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79F3A" w14:textId="69D62F0A" w:rsidR="00BE6049" w:rsidRDefault="009B71A5" w:rsidP="0096223E">
      <w:pPr>
        <w:spacing w:after="0" w:line="240" w:lineRule="auto"/>
        <w:ind w:left="709" w:hanging="709"/>
        <w:rPr>
          <w:rFonts w:ascii="Verdana" w:hAnsi="Verdana"/>
          <w:b/>
          <w:lang w:val="es-ES"/>
        </w:rPr>
      </w:pPr>
      <w:bookmarkStart w:id="0" w:name="_Hlk214366482"/>
      <w:bookmarkStart w:id="1" w:name="_Hlk143780582"/>
      <w:r w:rsidRPr="009B71A5">
        <w:rPr>
          <w:rFonts w:ascii="Verdana" w:hAnsi="Verdana"/>
          <w:b/>
          <w:lang w:val="es-ES"/>
        </w:rPr>
        <w:t>RÉGIMEN EXCEPCIONAL – Justificación – Criterios de clasificación</w:t>
      </w:r>
    </w:p>
    <w:p w14:paraId="5841525C" w14:textId="77777777" w:rsidR="0096223E" w:rsidRDefault="0096223E" w:rsidP="00F016F8">
      <w:pPr>
        <w:tabs>
          <w:tab w:val="left" w:pos="142"/>
          <w:tab w:val="left" w:pos="284"/>
          <w:tab w:val="left" w:pos="6975"/>
        </w:tabs>
        <w:spacing w:after="0" w:line="240" w:lineRule="auto"/>
        <w:jc w:val="both"/>
        <w:rPr>
          <w:rFonts w:ascii="Verdana" w:hAnsi="Verdana"/>
          <w:sz w:val="20"/>
          <w:szCs w:val="20"/>
          <w:lang w:val="es-ES"/>
        </w:rPr>
      </w:pPr>
    </w:p>
    <w:p w14:paraId="3AE76231" w14:textId="1957CC32" w:rsidR="00805515" w:rsidRPr="00F016F8" w:rsidRDefault="005C701A" w:rsidP="00F016F8">
      <w:pPr>
        <w:tabs>
          <w:tab w:val="left" w:pos="142"/>
          <w:tab w:val="left" w:pos="284"/>
          <w:tab w:val="left" w:pos="6975"/>
        </w:tabs>
        <w:spacing w:after="0" w:line="240" w:lineRule="auto"/>
        <w:jc w:val="both"/>
        <w:rPr>
          <w:rFonts w:ascii="Verdana" w:eastAsia="Calibri" w:hAnsi="Verdana" w:cs="Arial"/>
          <w:sz w:val="20"/>
          <w:szCs w:val="20"/>
        </w:rPr>
      </w:pPr>
      <w:r w:rsidRPr="00F016F8">
        <w:rPr>
          <w:rFonts w:ascii="Verdana" w:hAnsi="Verdana"/>
          <w:sz w:val="20"/>
          <w:szCs w:val="20"/>
        </w:rPr>
        <w:t>Las entidades de</w:t>
      </w:r>
      <w:r w:rsidRPr="00F016F8">
        <w:rPr>
          <w:rFonts w:ascii="Verdana" w:hAnsi="Verdana" w:cs="Arial"/>
          <w:sz w:val="20"/>
          <w:szCs w:val="20"/>
          <w:lang w:val="es-ES_tradnl"/>
        </w:rPr>
        <w:t xml:space="preserv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18DA6D7" w14:textId="77777777" w:rsidR="00805515" w:rsidRPr="00F016F8" w:rsidRDefault="00805515" w:rsidP="00F016F8">
      <w:pPr>
        <w:tabs>
          <w:tab w:val="left" w:pos="142"/>
          <w:tab w:val="left" w:pos="284"/>
          <w:tab w:val="left" w:pos="6975"/>
        </w:tabs>
        <w:spacing w:after="0" w:line="240" w:lineRule="auto"/>
        <w:jc w:val="both"/>
        <w:rPr>
          <w:rFonts w:ascii="Verdana" w:eastAsia="Calibri" w:hAnsi="Verdana" w:cs="Arial"/>
          <w:sz w:val="20"/>
          <w:szCs w:val="20"/>
        </w:rPr>
      </w:pPr>
    </w:p>
    <w:p w14:paraId="79370EC9" w14:textId="59AECA24" w:rsidR="00805515" w:rsidRPr="00F016F8" w:rsidRDefault="00805515" w:rsidP="00F016F8">
      <w:pPr>
        <w:tabs>
          <w:tab w:val="left" w:pos="142"/>
          <w:tab w:val="left" w:pos="284"/>
          <w:tab w:val="left" w:pos="6975"/>
        </w:tabs>
        <w:spacing w:after="0" w:line="240" w:lineRule="auto"/>
        <w:jc w:val="both"/>
        <w:rPr>
          <w:rFonts w:ascii="Verdana" w:hAnsi="Verdana" w:cs="Arial"/>
          <w:sz w:val="20"/>
          <w:szCs w:val="20"/>
        </w:rPr>
      </w:pPr>
      <w:r w:rsidRPr="00F016F8">
        <w:rPr>
          <w:rFonts w:ascii="Verdana" w:hAnsi="Verdana" w:cs="Arial"/>
          <w:sz w:val="20"/>
          <w:szCs w:val="20"/>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495FC5CA" w14:textId="77777777" w:rsidR="00EB6E5F" w:rsidRPr="00F016F8" w:rsidRDefault="00EB6E5F" w:rsidP="00F016F8">
      <w:pPr>
        <w:tabs>
          <w:tab w:val="left" w:pos="142"/>
          <w:tab w:val="left" w:pos="284"/>
          <w:tab w:val="left" w:pos="6975"/>
        </w:tabs>
        <w:spacing w:after="0" w:line="240" w:lineRule="auto"/>
        <w:jc w:val="both"/>
        <w:rPr>
          <w:rFonts w:ascii="Verdana" w:hAnsi="Verdana" w:cs="Arial"/>
          <w:sz w:val="20"/>
          <w:szCs w:val="20"/>
        </w:rPr>
      </w:pPr>
    </w:p>
    <w:p w14:paraId="2BCE4E73" w14:textId="50988A90" w:rsidR="00EB6E5F" w:rsidRPr="00F016F8" w:rsidRDefault="00EB6E5F" w:rsidP="00F016F8">
      <w:pPr>
        <w:tabs>
          <w:tab w:val="left" w:pos="142"/>
          <w:tab w:val="left" w:pos="284"/>
          <w:tab w:val="left" w:pos="6975"/>
        </w:tabs>
        <w:spacing w:after="0" w:line="240" w:lineRule="auto"/>
        <w:jc w:val="both"/>
        <w:rPr>
          <w:rFonts w:ascii="Verdana" w:hAnsi="Verdana" w:cs="Arial"/>
          <w:sz w:val="20"/>
          <w:szCs w:val="20"/>
        </w:rPr>
      </w:pPr>
      <w:r w:rsidRPr="00F016F8">
        <w:rPr>
          <w:rFonts w:ascii="Verdana" w:hAnsi="Verdana" w:cs="Arial"/>
          <w:sz w:val="20"/>
          <w:szCs w:val="20"/>
        </w:rPr>
        <w:t xml:space="preserve">[…] </w:t>
      </w:r>
    </w:p>
    <w:p w14:paraId="70639325" w14:textId="77777777" w:rsidR="00EB6E5F" w:rsidRPr="00F016F8" w:rsidRDefault="00EB6E5F" w:rsidP="00F016F8">
      <w:pPr>
        <w:tabs>
          <w:tab w:val="left" w:pos="142"/>
          <w:tab w:val="left" w:pos="284"/>
          <w:tab w:val="left" w:pos="6975"/>
        </w:tabs>
        <w:spacing w:after="0" w:line="240" w:lineRule="auto"/>
        <w:jc w:val="both"/>
        <w:rPr>
          <w:rFonts w:ascii="Verdana" w:hAnsi="Verdana" w:cs="Arial"/>
          <w:sz w:val="20"/>
          <w:szCs w:val="20"/>
        </w:rPr>
      </w:pPr>
    </w:p>
    <w:p w14:paraId="1C82006C" w14:textId="22296C12" w:rsidR="00EB6E5F" w:rsidRDefault="00EB6E5F" w:rsidP="00F016F8">
      <w:pPr>
        <w:tabs>
          <w:tab w:val="left" w:pos="142"/>
          <w:tab w:val="left" w:pos="284"/>
          <w:tab w:val="left" w:pos="6975"/>
        </w:tabs>
        <w:spacing w:after="0" w:line="240" w:lineRule="auto"/>
        <w:jc w:val="both"/>
        <w:rPr>
          <w:rFonts w:ascii="Verdana" w:hAnsi="Verdana" w:cs="Arial"/>
          <w:sz w:val="20"/>
          <w:szCs w:val="20"/>
        </w:rPr>
      </w:pPr>
      <w:r w:rsidRPr="00F016F8">
        <w:rPr>
          <w:rFonts w:ascii="Verdana" w:hAnsi="Verdana" w:cs="Arial"/>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016F8">
        <w:rPr>
          <w:rFonts w:ascii="Verdana" w:hAnsi="Verdana" w:cs="Arial"/>
          <w:sz w:val="20"/>
          <w:szCs w:val="20"/>
        </w:rPr>
        <w:t>ii</w:t>
      </w:r>
      <w:proofErr w:type="spellEnd"/>
      <w:r w:rsidRPr="00F016F8">
        <w:rPr>
          <w:rFonts w:ascii="Verdana" w:hAnsi="Verdana" w:cs="Arial"/>
          <w:sz w:val="20"/>
          <w:szCs w:val="20"/>
        </w:rPr>
        <w:t xml:space="preserve">) flexibilizar el ejercicio de la función administrativa –como en los contratos del Banco de la República o los de ciencia y tecnología– o </w:t>
      </w:r>
      <w:proofErr w:type="spellStart"/>
      <w:r w:rsidRPr="00F016F8">
        <w:rPr>
          <w:rFonts w:ascii="Verdana" w:hAnsi="Verdana" w:cs="Arial"/>
          <w:sz w:val="20"/>
          <w:szCs w:val="20"/>
        </w:rPr>
        <w:t>iii</w:t>
      </w:r>
      <w:proofErr w:type="spellEnd"/>
      <w:r w:rsidRPr="00F016F8">
        <w:rPr>
          <w:rFonts w:ascii="Verdana" w:hAnsi="Verdana" w:cs="Arial"/>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F016F8">
        <w:rPr>
          <w:rFonts w:ascii="Verdana" w:hAnsi="Verdana" w:cs="Arial"/>
          <w:sz w:val="20"/>
          <w:szCs w:val="20"/>
        </w:rPr>
        <w:t>ii</w:t>
      </w:r>
      <w:proofErr w:type="spellEnd"/>
      <w:r w:rsidRPr="00F016F8">
        <w:rPr>
          <w:rFonts w:ascii="Verdana" w:hAnsi="Verdana" w:cs="Arial"/>
          <w:sz w:val="20"/>
          <w:szCs w:val="20"/>
        </w:rPr>
        <w:t xml:space="preserve">) La asignación de un esquema legal especial, </w:t>
      </w:r>
      <w:proofErr w:type="spellStart"/>
      <w:r w:rsidRPr="00F016F8">
        <w:rPr>
          <w:rFonts w:ascii="Verdana" w:hAnsi="Verdana" w:cs="Arial"/>
          <w:sz w:val="20"/>
          <w:szCs w:val="20"/>
        </w:rPr>
        <w:t>iii</w:t>
      </w:r>
      <w:proofErr w:type="spellEnd"/>
      <w:r w:rsidRPr="00F016F8">
        <w:rPr>
          <w:rFonts w:ascii="Verdana" w:hAnsi="Verdana" w:cs="Arial"/>
          <w:sz w:val="20"/>
          <w:szCs w:val="20"/>
        </w:rPr>
        <w:t xml:space="preserve">) el objeto del contrato celebrado y </w:t>
      </w:r>
      <w:proofErr w:type="spellStart"/>
      <w:r w:rsidRPr="00F016F8">
        <w:rPr>
          <w:rFonts w:ascii="Verdana" w:hAnsi="Verdana" w:cs="Arial"/>
          <w:sz w:val="20"/>
          <w:szCs w:val="20"/>
        </w:rPr>
        <w:t>iv</w:t>
      </w:r>
      <w:proofErr w:type="spellEnd"/>
      <w:r w:rsidRPr="00F016F8">
        <w:rPr>
          <w:rFonts w:ascii="Verdana" w:hAnsi="Verdana" w:cs="Arial"/>
          <w:sz w:val="20"/>
          <w:szCs w:val="20"/>
        </w:rPr>
        <w:t>) la existencia de fondos que administran recursos públicos</w:t>
      </w:r>
      <w:r w:rsidR="00F016F8" w:rsidRPr="00F016F8">
        <w:rPr>
          <w:rFonts w:ascii="Verdana" w:hAnsi="Verdana" w:cs="Arial"/>
          <w:sz w:val="20"/>
          <w:szCs w:val="20"/>
        </w:rPr>
        <w:t>.</w:t>
      </w:r>
    </w:p>
    <w:p w14:paraId="60C2B72D" w14:textId="77777777" w:rsidR="00F016F8" w:rsidRDefault="00F016F8" w:rsidP="00F016F8">
      <w:pPr>
        <w:tabs>
          <w:tab w:val="left" w:pos="142"/>
          <w:tab w:val="left" w:pos="284"/>
          <w:tab w:val="left" w:pos="6975"/>
        </w:tabs>
        <w:spacing w:after="0" w:line="240" w:lineRule="auto"/>
        <w:jc w:val="both"/>
        <w:rPr>
          <w:rFonts w:ascii="Verdana" w:hAnsi="Verdana" w:cs="Arial"/>
          <w:sz w:val="20"/>
          <w:szCs w:val="20"/>
        </w:rPr>
      </w:pPr>
    </w:p>
    <w:p w14:paraId="510AB995" w14:textId="77777777" w:rsidR="00F016F8" w:rsidRPr="0096223E" w:rsidRDefault="00F016F8" w:rsidP="00F016F8">
      <w:pPr>
        <w:tabs>
          <w:tab w:val="left" w:pos="142"/>
          <w:tab w:val="left" w:pos="284"/>
          <w:tab w:val="left" w:pos="6975"/>
        </w:tabs>
        <w:spacing w:after="0" w:line="240" w:lineRule="auto"/>
        <w:jc w:val="both"/>
        <w:rPr>
          <w:rFonts w:ascii="Verdana" w:hAnsi="Verdana"/>
          <w:b/>
          <w:lang w:val="es-ES_tradnl"/>
        </w:rPr>
      </w:pPr>
      <w:r w:rsidRPr="0096223E">
        <w:rPr>
          <w:rFonts w:ascii="Verdana" w:hAnsi="Verdana"/>
          <w:b/>
          <w:lang w:val="es-ES_tradnl"/>
        </w:rPr>
        <w:t xml:space="preserve">EMPRESAS SOCIALES DEL ESTADO – Naturaleza – régimen especial </w:t>
      </w:r>
    </w:p>
    <w:p w14:paraId="458494CA" w14:textId="77777777" w:rsidR="00F016F8" w:rsidRDefault="00F016F8" w:rsidP="00F016F8">
      <w:pPr>
        <w:tabs>
          <w:tab w:val="left" w:pos="142"/>
          <w:tab w:val="left" w:pos="284"/>
          <w:tab w:val="left" w:pos="6975"/>
        </w:tabs>
        <w:spacing w:after="0" w:line="240" w:lineRule="auto"/>
        <w:jc w:val="both"/>
        <w:rPr>
          <w:rFonts w:ascii="Verdana" w:hAnsi="Verdana"/>
          <w:bCs/>
          <w:lang w:val="es-ES_tradnl"/>
        </w:rPr>
      </w:pPr>
    </w:p>
    <w:p w14:paraId="647859BD" w14:textId="4E645E99" w:rsidR="00F016F8" w:rsidRPr="00C160D9" w:rsidRDefault="001A6CC9" w:rsidP="00C160D9">
      <w:pPr>
        <w:tabs>
          <w:tab w:val="left" w:pos="142"/>
          <w:tab w:val="left" w:pos="284"/>
          <w:tab w:val="left" w:pos="6975"/>
        </w:tabs>
        <w:spacing w:after="0" w:line="240" w:lineRule="auto"/>
        <w:jc w:val="both"/>
        <w:rPr>
          <w:rFonts w:ascii="Verdana" w:hAnsi="Verdana" w:cs="Arial"/>
          <w:sz w:val="20"/>
          <w:szCs w:val="20"/>
          <w:lang w:val="es-MX"/>
        </w:rPr>
      </w:pPr>
      <w:r w:rsidRPr="00C160D9">
        <w:rPr>
          <w:rFonts w:ascii="Verdana" w:hAnsi="Verdana" w:cs="Arial"/>
          <w:sz w:val="20"/>
          <w:szCs w:val="20"/>
          <w:lang w:val="es-MX"/>
        </w:rPr>
        <w:t>[…] las Empresas Sociales del Estado – ESE</w:t>
      </w:r>
      <w:r w:rsidR="0096223E" w:rsidRPr="00C160D9">
        <w:rPr>
          <w:rFonts w:ascii="Verdana" w:hAnsi="Verdana" w:cs="Arial"/>
          <w:sz w:val="20"/>
          <w:szCs w:val="20"/>
          <w:lang w:val="es-MX"/>
        </w:rPr>
        <w:t xml:space="preserve"> […] han sido entendidas como Entidades Públicas que, conforme al artículo 194 de la Ley 100 de 1993, constituyen una categoría especial, descentralizada por servicios, con personería jurídica, patrimonio propio y autonomía administrativa</w:t>
      </w:r>
      <w:r w:rsidR="009B61BA" w:rsidRPr="00C160D9">
        <w:rPr>
          <w:rFonts w:ascii="Verdana" w:hAnsi="Verdana" w:cs="Arial"/>
          <w:sz w:val="20"/>
          <w:szCs w:val="20"/>
          <w:lang w:val="es-MX"/>
        </w:rPr>
        <w:t>. A través de ellas la Nación o las entidades territoriales prestan el servicio de salud de manera directa, es decir, las Empresas Sociales del Estado son, esencialmente, los hospitales públicos.</w:t>
      </w:r>
    </w:p>
    <w:p w14:paraId="00CC6138" w14:textId="77777777" w:rsidR="00C160D9" w:rsidRPr="00C160D9" w:rsidRDefault="00C160D9" w:rsidP="00C160D9">
      <w:pPr>
        <w:tabs>
          <w:tab w:val="left" w:pos="142"/>
          <w:tab w:val="left" w:pos="284"/>
          <w:tab w:val="left" w:pos="6975"/>
        </w:tabs>
        <w:spacing w:after="0" w:line="240" w:lineRule="auto"/>
        <w:jc w:val="both"/>
        <w:rPr>
          <w:rFonts w:ascii="Verdana" w:hAnsi="Verdana" w:cs="Arial"/>
          <w:sz w:val="20"/>
          <w:szCs w:val="20"/>
          <w:lang w:val="es-MX"/>
        </w:rPr>
      </w:pPr>
    </w:p>
    <w:p w14:paraId="7668ED0E" w14:textId="51721FEE" w:rsidR="00C160D9" w:rsidRPr="00C160D9" w:rsidRDefault="00C160D9" w:rsidP="00C160D9">
      <w:pPr>
        <w:tabs>
          <w:tab w:val="left" w:pos="142"/>
          <w:tab w:val="left" w:pos="284"/>
          <w:tab w:val="left" w:pos="6975"/>
        </w:tabs>
        <w:spacing w:after="0" w:line="240" w:lineRule="auto"/>
        <w:jc w:val="both"/>
        <w:rPr>
          <w:rFonts w:ascii="Verdana" w:hAnsi="Verdana" w:cs="Arial"/>
          <w:sz w:val="20"/>
          <w:szCs w:val="20"/>
          <w:lang w:val="es-MX"/>
        </w:rPr>
      </w:pPr>
      <w:r w:rsidRPr="00C160D9">
        <w:rPr>
          <w:rFonts w:ascii="Verdana" w:hAnsi="Verdana" w:cs="Arial"/>
          <w:sz w:val="20"/>
          <w:szCs w:val="20"/>
          <w:lang w:val="es-MX"/>
        </w:rPr>
        <w:t xml:space="preserve">[…] </w:t>
      </w:r>
    </w:p>
    <w:p w14:paraId="07349F76" w14:textId="77777777" w:rsidR="00C160D9" w:rsidRPr="00C160D9" w:rsidRDefault="00C160D9" w:rsidP="00C160D9">
      <w:pPr>
        <w:tabs>
          <w:tab w:val="left" w:pos="142"/>
          <w:tab w:val="left" w:pos="284"/>
          <w:tab w:val="left" w:pos="6975"/>
        </w:tabs>
        <w:spacing w:after="0" w:line="240" w:lineRule="auto"/>
        <w:jc w:val="both"/>
        <w:rPr>
          <w:rFonts w:ascii="Verdana" w:hAnsi="Verdana" w:cs="Arial"/>
          <w:sz w:val="20"/>
          <w:szCs w:val="20"/>
          <w:lang w:val="es-MX"/>
        </w:rPr>
      </w:pPr>
    </w:p>
    <w:p w14:paraId="6014E85D" w14:textId="22A0EEC1" w:rsidR="00C160D9" w:rsidRDefault="00C160D9" w:rsidP="00C160D9">
      <w:pPr>
        <w:widowControl w:val="0"/>
        <w:autoSpaceDE w:val="0"/>
        <w:autoSpaceDN w:val="0"/>
        <w:spacing w:after="0" w:line="240" w:lineRule="auto"/>
        <w:ind w:right="102"/>
        <w:jc w:val="both"/>
        <w:rPr>
          <w:rFonts w:ascii="Verdana" w:eastAsia="Arial" w:hAnsi="Verdana" w:cs="Arial"/>
          <w:sz w:val="20"/>
          <w:szCs w:val="20"/>
          <w:lang w:val="es-ES"/>
        </w:rPr>
      </w:pPr>
      <w:r w:rsidRPr="00C160D9">
        <w:rPr>
          <w:rFonts w:ascii="Verdana" w:eastAsia="Arial" w:hAnsi="Verdana" w:cs="Arial"/>
          <w:sz w:val="20"/>
          <w:szCs w:val="20"/>
          <w:lang w:val="es-ES"/>
        </w:rPr>
        <w:t xml:space="preserve">[…] las Empresas Sociales del Estado </w:t>
      </w:r>
      <w:r w:rsidRPr="00C160D9">
        <w:rPr>
          <w:rFonts w:ascii="Verdana" w:eastAsia="Arial" w:hAnsi="Verdana" w:cs="Arial"/>
          <w:sz w:val="20"/>
          <w:szCs w:val="20"/>
          <w:lang w:val="es-MX"/>
        </w:rPr>
        <w:t>–ESE–</w:t>
      </w:r>
      <w:r w:rsidRPr="00C160D9">
        <w:rPr>
          <w:rFonts w:ascii="Verdana" w:eastAsia="Arial" w:hAnsi="Verdana" w:cs="Arial"/>
          <w:sz w:val="20"/>
          <w:szCs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w:t>
      </w:r>
      <w:r w:rsidRPr="00C160D9">
        <w:rPr>
          <w:rFonts w:ascii="Verdana" w:eastAsia="Arial" w:hAnsi="Verdana" w:cs="Arial"/>
          <w:sz w:val="20"/>
          <w:szCs w:val="20"/>
          <w:lang w:val="es-ES"/>
        </w:rPr>
        <w:lastRenderedPageBreak/>
        <w:t xml:space="preserve">literal d) del numeral 2 que las Empresas Sociales del Estado hacen parte del sector descentralizado por servicios de esta rama del poder público. </w:t>
      </w:r>
    </w:p>
    <w:p w14:paraId="5318449D" w14:textId="77777777" w:rsidR="00C160D9" w:rsidRPr="00C160D9" w:rsidRDefault="00C160D9" w:rsidP="00C160D9">
      <w:pPr>
        <w:widowControl w:val="0"/>
        <w:autoSpaceDE w:val="0"/>
        <w:autoSpaceDN w:val="0"/>
        <w:spacing w:after="0" w:line="240" w:lineRule="auto"/>
        <w:ind w:right="102"/>
        <w:jc w:val="both"/>
        <w:rPr>
          <w:rFonts w:ascii="Verdana" w:eastAsia="Arial" w:hAnsi="Verdana" w:cs="Arial"/>
          <w:sz w:val="20"/>
          <w:szCs w:val="20"/>
          <w:lang w:val="es-ES"/>
        </w:rPr>
      </w:pPr>
    </w:p>
    <w:p w14:paraId="1CEA358B" w14:textId="1D2333F2" w:rsidR="00C160D9" w:rsidRDefault="00C160D9" w:rsidP="00C160D9">
      <w:pPr>
        <w:tabs>
          <w:tab w:val="left" w:pos="142"/>
          <w:tab w:val="left" w:pos="284"/>
          <w:tab w:val="left" w:pos="6975"/>
        </w:tabs>
        <w:spacing w:after="0" w:line="240" w:lineRule="auto"/>
        <w:jc w:val="both"/>
        <w:rPr>
          <w:rFonts w:ascii="Verdana" w:eastAsia="Calibri" w:hAnsi="Verdana" w:cs="Arial"/>
          <w:sz w:val="20"/>
          <w:szCs w:val="20"/>
        </w:rPr>
      </w:pPr>
      <w:r w:rsidRPr="00C160D9">
        <w:rPr>
          <w:rFonts w:ascii="Verdana" w:hAnsi="Verdana" w:cs="Arial"/>
          <w:sz w:val="20"/>
          <w:szCs w:val="20"/>
        </w:rPr>
        <w:t xml:space="preserve">Por su parte, en lo que a materia contractual se refiere, de conformidad con el numeral 6 del artículo 195 de la Ley 100 de 1993, el régimen de contratación de las </w:t>
      </w:r>
      <w:r w:rsidRPr="00C160D9">
        <w:rPr>
          <w:rFonts w:ascii="Verdana" w:hAnsi="Verdana" w:cs="Arial"/>
          <w:sz w:val="20"/>
          <w:szCs w:val="20"/>
          <w:lang w:val="es-MX"/>
        </w:rPr>
        <w:t>–ESE–</w:t>
      </w:r>
      <w:r w:rsidRPr="00C160D9">
        <w:rPr>
          <w:rFonts w:ascii="Verdana" w:hAnsi="Verdana"/>
          <w:sz w:val="20"/>
          <w:szCs w:val="20"/>
        </w:rPr>
        <w:t xml:space="preserve"> </w:t>
      </w:r>
      <w:r w:rsidRPr="00C160D9">
        <w:rPr>
          <w:rFonts w:ascii="Verdana" w:hAnsi="Verdana" w:cs="Arial"/>
          <w:sz w:val="20"/>
          <w:szCs w:val="20"/>
        </w:rPr>
        <w:t xml:space="preserve">es el de derecho privado, es decir, se rige por las disposiciones contenidas en el Código de Comercio y en el Código Civil, aplicables en lo que resulten pertinentes, salvo en las materias particularmente reguladas </w:t>
      </w:r>
      <w:r w:rsidRPr="00C160D9">
        <w:rPr>
          <w:rFonts w:ascii="Verdana" w:eastAsia="Calibri" w:hAnsi="Verdana" w:cs="Arial"/>
          <w:sz w:val="20"/>
          <w:szCs w:val="20"/>
        </w:rPr>
        <w:t>por el derecho público.</w:t>
      </w:r>
    </w:p>
    <w:p w14:paraId="44FA439D" w14:textId="77777777" w:rsidR="00C160D9" w:rsidRDefault="00C160D9" w:rsidP="00C160D9">
      <w:pPr>
        <w:tabs>
          <w:tab w:val="left" w:pos="142"/>
          <w:tab w:val="left" w:pos="284"/>
          <w:tab w:val="left" w:pos="6975"/>
        </w:tabs>
        <w:spacing w:after="0" w:line="240" w:lineRule="auto"/>
        <w:jc w:val="both"/>
        <w:rPr>
          <w:rFonts w:ascii="Verdana" w:eastAsia="Calibri" w:hAnsi="Verdana" w:cs="Arial"/>
          <w:sz w:val="20"/>
          <w:szCs w:val="20"/>
        </w:rPr>
      </w:pPr>
    </w:p>
    <w:p w14:paraId="69D60B4D" w14:textId="77777777" w:rsidR="009B61BA" w:rsidRDefault="00F016F8" w:rsidP="00F016F8">
      <w:pPr>
        <w:tabs>
          <w:tab w:val="left" w:pos="142"/>
          <w:tab w:val="left" w:pos="284"/>
          <w:tab w:val="left" w:pos="6975"/>
        </w:tabs>
        <w:spacing w:after="0" w:line="240" w:lineRule="auto"/>
        <w:jc w:val="both"/>
        <w:rPr>
          <w:rFonts w:ascii="Verdana" w:hAnsi="Verdana"/>
          <w:bCs/>
          <w:lang w:val="es-ES_tradnl"/>
        </w:rPr>
      </w:pPr>
      <w:r w:rsidRPr="009B61BA">
        <w:rPr>
          <w:rFonts w:ascii="Verdana" w:hAnsi="Verdana"/>
          <w:b/>
          <w:lang w:val="es-ES_tradnl"/>
        </w:rPr>
        <w:t>EMPRESAS SOCIALES DEL ESTADO – Límites en la contratación</w:t>
      </w:r>
      <w:r>
        <w:rPr>
          <w:rFonts w:ascii="Verdana" w:hAnsi="Verdana"/>
          <w:bCs/>
          <w:lang w:val="es-ES_tradnl"/>
        </w:rPr>
        <w:t xml:space="preserve"> </w:t>
      </w:r>
    </w:p>
    <w:p w14:paraId="66E76BB9" w14:textId="77777777" w:rsidR="009B61BA" w:rsidRPr="00442642" w:rsidRDefault="009B61BA" w:rsidP="00F016F8">
      <w:pPr>
        <w:tabs>
          <w:tab w:val="left" w:pos="142"/>
          <w:tab w:val="left" w:pos="284"/>
          <w:tab w:val="left" w:pos="6975"/>
        </w:tabs>
        <w:spacing w:after="0" w:line="240" w:lineRule="auto"/>
        <w:jc w:val="both"/>
        <w:rPr>
          <w:rFonts w:ascii="Verdana" w:hAnsi="Verdana"/>
          <w:bCs/>
          <w:sz w:val="20"/>
          <w:szCs w:val="20"/>
          <w:lang w:val="es-ES_tradnl"/>
        </w:rPr>
      </w:pPr>
    </w:p>
    <w:p w14:paraId="46931F6C" w14:textId="370DE9AE" w:rsidR="00442642" w:rsidRDefault="00442642" w:rsidP="00FF67FD">
      <w:pPr>
        <w:tabs>
          <w:tab w:val="left" w:pos="142"/>
          <w:tab w:val="left" w:pos="284"/>
          <w:tab w:val="left" w:pos="6975"/>
        </w:tabs>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w:t>
      </w:r>
      <w:r w:rsidRPr="00442642">
        <w:rPr>
          <w:rFonts w:ascii="Verdana" w:eastAsia="Arial" w:hAnsi="Verdana" w:cs="Arial"/>
          <w:sz w:val="20"/>
          <w:szCs w:val="20"/>
          <w:lang w:val="es-ES"/>
        </w:rPr>
        <w:t xml:space="preserve"> </w:t>
      </w:r>
      <w:r w:rsidRPr="00442642">
        <w:rPr>
          <w:rFonts w:ascii="Verdana" w:eastAsia="Calibri" w:hAnsi="Verdana" w:cs="Arial"/>
          <w:color w:val="000000" w:themeColor="text1"/>
          <w:sz w:val="20"/>
          <w:szCs w:val="20"/>
          <w:lang w:val="es-MX"/>
        </w:rPr>
        <w:t xml:space="preserve">las </w:t>
      </w:r>
      <w:r w:rsidRPr="00442642">
        <w:rPr>
          <w:rFonts w:ascii="Verdana" w:eastAsia="Arial" w:hAnsi="Verdana" w:cs="Arial"/>
          <w:sz w:val="20"/>
          <w:szCs w:val="20"/>
          <w:lang w:val="es-MX"/>
        </w:rPr>
        <w:t>–ESE–</w:t>
      </w:r>
      <w:r w:rsidRPr="00442642">
        <w:rPr>
          <w:rFonts w:ascii="Verdana" w:eastAsia="Arial" w:hAnsi="Verdana" w:cs="Arial"/>
          <w:sz w:val="20"/>
          <w:szCs w:val="20"/>
          <w:lang w:val="es-ES"/>
        </w:rPr>
        <w:t xml:space="preserve"> </w:t>
      </w:r>
      <w:r w:rsidRPr="00442642">
        <w:rPr>
          <w:rFonts w:ascii="Verdana" w:eastAsia="Calibri" w:hAnsi="Verdana" w:cs="Arial"/>
          <w:color w:val="000000" w:themeColor="text1"/>
          <w:sz w:val="20"/>
          <w:szCs w:val="20"/>
          <w:lang w:val="es-MX"/>
        </w:rPr>
        <w:t xml:space="preserve">no están sometidas al EGCAP ni a las normas que lo reglamentan o complementan, ya que, por disposición expresa de la norma transcrita, sus </w:t>
      </w:r>
      <w:r w:rsidRPr="00442642">
        <w:rPr>
          <w:rFonts w:ascii="Verdana" w:eastAsia="Arial" w:hAnsi="Verdana" w:cs="Arial"/>
          <w:sz w:val="20"/>
          <w:szCs w:val="20"/>
          <w:lang w:val="es-ES"/>
        </w:rPr>
        <w:t xml:space="preserve">contratos se rigen por el derecho privado. Sin embargo, esta circunstancia no implica la inobservancia de los principios de la función administrativa y la gestión fiscal, teniendo en cuenta que su objeto, conforme a la Sentencia C-665 de 2000 de la Corte Constitucional, corresponde a la prestación del servicio de salud a cargo del Estado o como parte del servicio de seguridad social. </w:t>
      </w:r>
    </w:p>
    <w:p w14:paraId="11B9F7C8" w14:textId="77777777" w:rsidR="00F96229" w:rsidRDefault="00F96229" w:rsidP="00FF67FD">
      <w:pPr>
        <w:tabs>
          <w:tab w:val="left" w:pos="142"/>
          <w:tab w:val="left" w:pos="284"/>
          <w:tab w:val="left" w:pos="6975"/>
        </w:tabs>
        <w:spacing w:after="0" w:line="240" w:lineRule="auto"/>
        <w:jc w:val="both"/>
        <w:rPr>
          <w:rFonts w:ascii="Verdana" w:eastAsia="Arial" w:hAnsi="Verdana" w:cs="Arial"/>
          <w:sz w:val="20"/>
          <w:szCs w:val="20"/>
          <w:lang w:val="es-ES"/>
        </w:rPr>
      </w:pPr>
    </w:p>
    <w:p w14:paraId="508EFCF8" w14:textId="598C70B4" w:rsidR="00F96229" w:rsidRDefault="00F96229" w:rsidP="00FF67FD">
      <w:pPr>
        <w:tabs>
          <w:tab w:val="left" w:pos="142"/>
          <w:tab w:val="left" w:pos="284"/>
          <w:tab w:val="left" w:pos="6975"/>
        </w:tabs>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xml:space="preserve">[…] </w:t>
      </w:r>
    </w:p>
    <w:p w14:paraId="70ADB646" w14:textId="77777777" w:rsidR="00F96229" w:rsidRDefault="00F96229" w:rsidP="00FF67FD">
      <w:pPr>
        <w:tabs>
          <w:tab w:val="left" w:pos="142"/>
          <w:tab w:val="left" w:pos="284"/>
          <w:tab w:val="left" w:pos="6975"/>
        </w:tabs>
        <w:spacing w:after="0" w:line="240" w:lineRule="auto"/>
        <w:jc w:val="both"/>
        <w:rPr>
          <w:rFonts w:ascii="Verdana" w:eastAsia="Arial" w:hAnsi="Verdana" w:cs="Arial"/>
          <w:sz w:val="20"/>
          <w:szCs w:val="20"/>
          <w:lang w:val="es-ES"/>
        </w:rPr>
      </w:pPr>
    </w:p>
    <w:p w14:paraId="5C47D28F" w14:textId="77777777" w:rsidR="00F96229" w:rsidRDefault="00F96229" w:rsidP="00FF67FD">
      <w:pPr>
        <w:spacing w:after="0" w:line="240" w:lineRule="auto"/>
        <w:jc w:val="both"/>
        <w:rPr>
          <w:rFonts w:ascii="Verdana" w:hAnsi="Verdana" w:cs="Arial"/>
          <w:sz w:val="20"/>
          <w:szCs w:val="20"/>
          <w:lang w:val="es-MX"/>
        </w:rPr>
      </w:pPr>
      <w:r w:rsidRPr="00F96229">
        <w:rPr>
          <w:rFonts w:ascii="Verdana" w:hAnsi="Verdana" w:cs="Arial"/>
          <w:sz w:val="20"/>
          <w:szCs w:val="20"/>
          <w:lang w:val="es-MX"/>
        </w:rPr>
        <w:t xml:space="preserve">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 </w:t>
      </w:r>
    </w:p>
    <w:p w14:paraId="786AF452" w14:textId="77777777" w:rsidR="00F96229" w:rsidRDefault="00F96229" w:rsidP="00F96229">
      <w:pPr>
        <w:spacing w:after="0" w:line="240" w:lineRule="auto"/>
        <w:jc w:val="both"/>
        <w:rPr>
          <w:rFonts w:ascii="Verdana" w:hAnsi="Verdana" w:cs="Arial"/>
          <w:sz w:val="20"/>
          <w:szCs w:val="20"/>
          <w:lang w:val="es-MX"/>
        </w:rPr>
      </w:pPr>
    </w:p>
    <w:p w14:paraId="7F128566" w14:textId="77777777" w:rsidR="0041327A" w:rsidRDefault="00F016F8" w:rsidP="00F016F8">
      <w:pPr>
        <w:tabs>
          <w:tab w:val="left" w:pos="142"/>
          <w:tab w:val="left" w:pos="284"/>
          <w:tab w:val="left" w:pos="6975"/>
        </w:tabs>
        <w:spacing w:after="0" w:line="240" w:lineRule="auto"/>
        <w:jc w:val="both"/>
        <w:rPr>
          <w:rFonts w:ascii="Verdana" w:hAnsi="Verdana"/>
          <w:b/>
          <w:lang w:val="es-ES_tradnl"/>
        </w:rPr>
      </w:pPr>
      <w:r w:rsidRPr="0041327A">
        <w:rPr>
          <w:rFonts w:ascii="Verdana" w:hAnsi="Verdana"/>
          <w:b/>
          <w:lang w:val="es-ES_tradnl"/>
        </w:rPr>
        <w:t xml:space="preserve">EMPRESAS SOCIALES DEL ESTADO – Manual de contratación </w:t>
      </w:r>
    </w:p>
    <w:p w14:paraId="4CF33AD7" w14:textId="77777777" w:rsidR="00394782" w:rsidRDefault="00394782" w:rsidP="00F016F8">
      <w:pPr>
        <w:tabs>
          <w:tab w:val="left" w:pos="142"/>
          <w:tab w:val="left" w:pos="284"/>
          <w:tab w:val="left" w:pos="6975"/>
        </w:tabs>
        <w:spacing w:after="0" w:line="240" w:lineRule="auto"/>
        <w:jc w:val="both"/>
        <w:rPr>
          <w:rFonts w:ascii="Verdana" w:hAnsi="Verdana"/>
          <w:b/>
          <w:lang w:val="es-ES_tradnl"/>
        </w:rPr>
      </w:pPr>
    </w:p>
    <w:p w14:paraId="4566264D" w14:textId="6F9B5EC5" w:rsidR="009A1B9A" w:rsidRPr="009A1B9A" w:rsidRDefault="009A1B9A" w:rsidP="009A1B9A">
      <w:pPr>
        <w:spacing w:after="0" w:line="240" w:lineRule="auto"/>
        <w:jc w:val="both"/>
        <w:rPr>
          <w:rFonts w:ascii="Verdana" w:eastAsia="Arial" w:hAnsi="Verdana" w:cs="Arial"/>
          <w:sz w:val="20"/>
          <w:szCs w:val="20"/>
        </w:rPr>
      </w:pPr>
      <w:r w:rsidRPr="009A1B9A">
        <w:rPr>
          <w:rFonts w:ascii="Verdana" w:eastAsia="Arial" w:hAnsi="Verdana" w:cs="Arial"/>
          <w:sz w:val="20"/>
          <w:szCs w:val="20"/>
        </w:rPr>
        <w:t xml:space="preserve">[…] una de las reglas para las </w:t>
      </w:r>
      <w:r w:rsidRPr="009A1B9A">
        <w:rPr>
          <w:rFonts w:ascii="Verdana" w:hAnsi="Verdana" w:cs="Arial"/>
          <w:sz w:val="20"/>
          <w:szCs w:val="20"/>
          <w:lang w:val="es-MX"/>
        </w:rPr>
        <w:t>–ESE–</w:t>
      </w:r>
      <w:r w:rsidRPr="009A1B9A">
        <w:rPr>
          <w:rFonts w:ascii="Verdana" w:eastAsia="Arial" w:hAnsi="Verdana" w:cs="Arial"/>
          <w:sz w:val="20"/>
          <w:szCs w:val="20"/>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03EF1C28" w14:textId="77777777" w:rsidR="009A1B9A" w:rsidRDefault="009A1B9A" w:rsidP="009A1B9A">
      <w:pPr>
        <w:spacing w:after="0" w:line="240" w:lineRule="auto"/>
        <w:jc w:val="both"/>
        <w:rPr>
          <w:rFonts w:ascii="Verdana" w:eastAsia="Calibri" w:hAnsi="Verdana" w:cs="Arial"/>
          <w:sz w:val="20"/>
          <w:szCs w:val="20"/>
          <w:lang w:val="es-ES"/>
        </w:rPr>
      </w:pPr>
    </w:p>
    <w:p w14:paraId="7AD83EFF" w14:textId="48CDA4BD" w:rsidR="009A1B9A" w:rsidRPr="009A1B9A" w:rsidRDefault="009A1B9A" w:rsidP="009A1B9A">
      <w:pPr>
        <w:spacing w:after="0" w:line="240" w:lineRule="auto"/>
        <w:jc w:val="both"/>
        <w:rPr>
          <w:rFonts w:ascii="Verdana" w:eastAsia="Calibri" w:hAnsi="Verdana" w:cs="Arial"/>
          <w:sz w:val="20"/>
          <w:szCs w:val="20"/>
          <w:lang w:val="es-ES"/>
        </w:rPr>
      </w:pPr>
      <w:r w:rsidRPr="009A1B9A">
        <w:rPr>
          <w:rFonts w:ascii="Verdana" w:eastAsia="Calibri" w:hAnsi="Verdana" w:cs="Arial"/>
          <w:sz w:val="20"/>
          <w:szCs w:val="20"/>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70EEA968" w14:textId="77777777" w:rsidR="00394782" w:rsidRPr="009A1B9A" w:rsidRDefault="00394782" w:rsidP="00F016F8">
      <w:pPr>
        <w:tabs>
          <w:tab w:val="left" w:pos="142"/>
          <w:tab w:val="left" w:pos="284"/>
          <w:tab w:val="left" w:pos="6975"/>
        </w:tabs>
        <w:spacing w:after="0" w:line="240" w:lineRule="auto"/>
        <w:jc w:val="both"/>
        <w:rPr>
          <w:rFonts w:ascii="Verdana" w:hAnsi="Verdana"/>
          <w:b/>
          <w:lang w:val="es-ES"/>
        </w:rPr>
      </w:pPr>
    </w:p>
    <w:p w14:paraId="61211BA0" w14:textId="77777777" w:rsidR="002A5C4A" w:rsidRDefault="00F016F8" w:rsidP="00F016F8">
      <w:pPr>
        <w:tabs>
          <w:tab w:val="left" w:pos="142"/>
          <w:tab w:val="left" w:pos="284"/>
          <w:tab w:val="left" w:pos="6975"/>
        </w:tabs>
        <w:spacing w:after="0" w:line="240" w:lineRule="auto"/>
        <w:jc w:val="both"/>
        <w:rPr>
          <w:rFonts w:ascii="Verdana" w:eastAsia="Calibri" w:hAnsi="Verdana" w:cs="Arial"/>
          <w:b/>
          <w:bCs/>
          <w:lang w:val="es-ES" w:eastAsia="es-ES"/>
        </w:rPr>
      </w:pPr>
      <w:r w:rsidRPr="000D7519">
        <w:rPr>
          <w:rFonts w:ascii="Verdana" w:eastAsia="Calibri" w:hAnsi="Verdana" w:cs="Arial"/>
          <w:b/>
          <w:bCs/>
          <w:lang w:val="es-ES" w:eastAsia="es-ES"/>
        </w:rPr>
        <w:t xml:space="preserve">DOBLE ASIGNACIÓN – Definición- Empleos Públicos </w:t>
      </w:r>
    </w:p>
    <w:p w14:paraId="51BCA2C2" w14:textId="77777777" w:rsidR="000D7519" w:rsidRDefault="000D7519" w:rsidP="00F016F8">
      <w:pPr>
        <w:tabs>
          <w:tab w:val="left" w:pos="142"/>
          <w:tab w:val="left" w:pos="284"/>
          <w:tab w:val="left" w:pos="6975"/>
        </w:tabs>
        <w:spacing w:after="0" w:line="240" w:lineRule="auto"/>
        <w:jc w:val="both"/>
        <w:rPr>
          <w:rFonts w:ascii="Verdana" w:eastAsia="Calibri" w:hAnsi="Verdana" w:cs="Arial"/>
          <w:b/>
          <w:bCs/>
          <w:lang w:val="es-ES" w:eastAsia="es-ES"/>
        </w:rPr>
      </w:pPr>
    </w:p>
    <w:p w14:paraId="0610B5C4" w14:textId="54303F81" w:rsidR="00EA2B1C" w:rsidRPr="00EA2B1C" w:rsidRDefault="00EA2B1C" w:rsidP="00EA2B1C">
      <w:pPr>
        <w:spacing w:after="0" w:line="240" w:lineRule="auto"/>
        <w:jc w:val="both"/>
        <w:rPr>
          <w:rFonts w:ascii="Verdana" w:eastAsia="Calibri" w:hAnsi="Verdana" w:cs="Arial"/>
          <w:color w:val="000000" w:themeColor="text1"/>
          <w:sz w:val="20"/>
          <w:szCs w:val="20"/>
          <w:lang w:val="es-ES"/>
        </w:rPr>
      </w:pPr>
      <w:r w:rsidRPr="00EA2B1C">
        <w:rPr>
          <w:rFonts w:ascii="Verdana" w:eastAsia="Calibri" w:hAnsi="Verdana" w:cs="Arial"/>
          <w:color w:val="000000" w:themeColor="text1"/>
          <w:sz w:val="20"/>
          <w:szCs w:val="20"/>
          <w:lang w:val="es-ES"/>
        </w:rPr>
        <w:t xml:space="preserve">[…] de conformidad con lo previsto en el artículo 127 de la Constitución Política </w:t>
      </w:r>
      <w:r w:rsidRPr="00EA2B1C">
        <w:rPr>
          <w:rFonts w:ascii="Verdana" w:eastAsia="Calibri" w:hAnsi="Verdana" w:cs="Arial"/>
          <w:i/>
          <w:iCs/>
          <w:color w:val="000000" w:themeColor="text1"/>
          <w:sz w:val="20"/>
          <w:szCs w:val="20"/>
          <w:lang w:val="es-ES"/>
        </w:rPr>
        <w:t>“</w:t>
      </w:r>
      <w:r w:rsidRPr="00EA2B1C">
        <w:rPr>
          <w:rFonts w:ascii="Verdana" w:eastAsia="Calibri" w:hAnsi="Verdana" w:cs="Arial"/>
          <w:i/>
          <w:iCs/>
          <w:color w:val="000000" w:themeColor="text1"/>
          <w:sz w:val="20"/>
          <w:szCs w:val="20"/>
        </w:rPr>
        <w:t xml:space="preserve">Los servidores públicos no podrán celebrar, por sí o por interpuesta persona, o en  representación de otro, contrato alguno con entidades públicas o con personas privadas que manejen o  administren recursos públicos, salvo las excepciones legales”, </w:t>
      </w:r>
      <w:r w:rsidRPr="00EA2B1C">
        <w:rPr>
          <w:rFonts w:ascii="Verdana" w:eastAsia="Calibri" w:hAnsi="Verdana" w:cs="Arial"/>
          <w:color w:val="000000" w:themeColor="text1"/>
          <w:sz w:val="20"/>
          <w:szCs w:val="20"/>
        </w:rPr>
        <w:t>así mismo, el artículo 128 constitucional indica que</w:t>
      </w:r>
      <w:r w:rsidRPr="00EA2B1C">
        <w:rPr>
          <w:rFonts w:ascii="Verdana" w:eastAsia="Calibri" w:hAnsi="Verdana" w:cs="Arial"/>
          <w:i/>
          <w:iCs/>
          <w:color w:val="000000" w:themeColor="text1"/>
          <w:sz w:val="20"/>
          <w:szCs w:val="20"/>
        </w:rPr>
        <w:t xml:space="preserve"> “Nadie podrá desempeñar simultáneamente más de un empleo público ni recibir más de una asignación que provenga del tesoro público, o de empresas o de instituciones en las que tenga parte  mayoritaria el Estado, salvo los casos expresamente determinados por la ley. Entiéndase por tesoro público el de la Nación, el de las entidades territoriales y el de las descentralizadas.”  </w:t>
      </w:r>
      <w:r w:rsidRPr="00EA2B1C">
        <w:rPr>
          <w:rFonts w:ascii="Verdana" w:eastAsia="Calibri" w:hAnsi="Verdana" w:cs="Arial"/>
          <w:color w:val="000000" w:themeColor="text1"/>
          <w:sz w:val="20"/>
          <w:szCs w:val="20"/>
          <w:lang w:val="es-ES"/>
        </w:rPr>
        <w:t xml:space="preserve">    </w:t>
      </w:r>
    </w:p>
    <w:p w14:paraId="76BBBBED" w14:textId="77777777" w:rsidR="00EA2B1C" w:rsidRDefault="00EA2B1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lang w:val="es-ES"/>
        </w:rPr>
      </w:pPr>
    </w:p>
    <w:p w14:paraId="49AED9EF" w14:textId="4FCD3EF9" w:rsidR="002A5C4A" w:rsidRDefault="00EA2B1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rPr>
      </w:pPr>
      <w:r w:rsidRPr="00EA2B1C">
        <w:rPr>
          <w:rFonts w:ascii="Verdana" w:eastAsia="Calibri" w:hAnsi="Verdana" w:cs="Arial"/>
          <w:color w:val="000000" w:themeColor="text1"/>
          <w:sz w:val="20"/>
          <w:szCs w:val="20"/>
          <w:lang w:val="es-ES"/>
        </w:rPr>
        <w:t>Ahora bien, de conformidad con lo previsto en la Ley 4 de 1992, el artículo 19 estableció</w:t>
      </w:r>
      <w:r w:rsidRPr="00EA2B1C">
        <w:rPr>
          <w:rFonts w:ascii="Verdana" w:eastAsia="Calibri" w:hAnsi="Verdana" w:cs="Arial"/>
          <w:color w:val="000000" w:themeColor="text1"/>
          <w:sz w:val="20"/>
          <w:szCs w:val="20"/>
        </w:rPr>
        <w:t xml:space="preserve"> las excepciones generales a la prohibición constitucional de recibir más de una asignación del erario</w:t>
      </w:r>
      <w:r w:rsidR="003A7C5C">
        <w:rPr>
          <w:rFonts w:ascii="Verdana" w:eastAsia="Calibri" w:hAnsi="Verdana" w:cs="Arial"/>
          <w:color w:val="000000" w:themeColor="text1"/>
          <w:sz w:val="20"/>
          <w:szCs w:val="20"/>
        </w:rPr>
        <w:t xml:space="preserve">. </w:t>
      </w:r>
    </w:p>
    <w:p w14:paraId="213DAC8A" w14:textId="77777777" w:rsidR="003A7C5C" w:rsidRDefault="003A7C5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rPr>
      </w:pPr>
    </w:p>
    <w:p w14:paraId="619969C1" w14:textId="3B67CA81" w:rsidR="003A7C5C" w:rsidRDefault="003A7C5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p>
    <w:p w14:paraId="36B0E20C" w14:textId="77777777" w:rsidR="003A7C5C" w:rsidRDefault="003A7C5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rPr>
      </w:pPr>
    </w:p>
    <w:p w14:paraId="408FC42B" w14:textId="27321D3C" w:rsidR="003A7C5C" w:rsidRPr="003A7C5C" w:rsidRDefault="003A7C5C" w:rsidP="00EA2B1C">
      <w:pPr>
        <w:tabs>
          <w:tab w:val="left" w:pos="142"/>
          <w:tab w:val="left" w:pos="284"/>
          <w:tab w:val="left" w:pos="6975"/>
        </w:tabs>
        <w:spacing w:after="0" w:line="240" w:lineRule="auto"/>
        <w:jc w:val="both"/>
        <w:rPr>
          <w:rFonts w:ascii="Verdana" w:eastAsia="Calibri" w:hAnsi="Verdana" w:cs="Arial"/>
          <w:color w:val="000000" w:themeColor="text1"/>
          <w:sz w:val="20"/>
          <w:szCs w:val="20"/>
          <w:lang w:val="es-ES"/>
        </w:rPr>
      </w:pPr>
      <w:r w:rsidRPr="003A7C5C">
        <w:rPr>
          <w:rFonts w:ascii="Verdana" w:eastAsia="Calibri" w:hAnsi="Verdana" w:cs="Arial"/>
          <w:color w:val="000000" w:themeColor="text1"/>
          <w:sz w:val="20"/>
          <w:szCs w:val="20"/>
          <w:lang w:val="es-ES"/>
        </w:rPr>
        <w:t>De conformidad con el artículo 128 de la Carta y con la Ley 4 de 1992, la prohibición de recibir doble asignación está directamente relacionada con las personas que ejercen “empleos públicos”, el cual es definido en el artículo 19 de la Ley 909 de 2004 como: “[…] el conjunto de funciones, tareas y responsabilidades que se asignan a una persona y las competencias requeridas para llevarlas a cabo, con el propósito de satisfacer el cumplimiento de los planes de desarrollo y los fines del Estado”.</w:t>
      </w:r>
    </w:p>
    <w:p w14:paraId="782A7FE0" w14:textId="77777777" w:rsidR="00EA2B1C" w:rsidRPr="000D7519" w:rsidRDefault="00EA2B1C" w:rsidP="00EA2B1C">
      <w:pPr>
        <w:tabs>
          <w:tab w:val="left" w:pos="142"/>
          <w:tab w:val="left" w:pos="284"/>
          <w:tab w:val="left" w:pos="6975"/>
        </w:tabs>
        <w:spacing w:after="0" w:line="240" w:lineRule="auto"/>
        <w:jc w:val="both"/>
        <w:rPr>
          <w:rFonts w:ascii="Verdana" w:eastAsia="Calibri" w:hAnsi="Verdana" w:cs="Arial"/>
          <w:b/>
          <w:bCs/>
          <w:lang w:val="es-ES" w:eastAsia="es-ES"/>
        </w:rPr>
      </w:pPr>
    </w:p>
    <w:p w14:paraId="2E7A9A25" w14:textId="77777777" w:rsidR="002A5C4A" w:rsidRDefault="00F016F8" w:rsidP="00F016F8">
      <w:pPr>
        <w:tabs>
          <w:tab w:val="left" w:pos="142"/>
          <w:tab w:val="left" w:pos="284"/>
          <w:tab w:val="left" w:pos="6975"/>
        </w:tabs>
        <w:spacing w:after="0" w:line="240" w:lineRule="auto"/>
        <w:jc w:val="both"/>
        <w:rPr>
          <w:rFonts w:ascii="Verdana" w:eastAsia="Calibri" w:hAnsi="Verdana" w:cs="Arial"/>
          <w:b/>
          <w:bCs/>
          <w:lang w:val="es-MX" w:eastAsia="es-ES"/>
        </w:rPr>
      </w:pPr>
      <w:r w:rsidRPr="000D7519">
        <w:rPr>
          <w:rFonts w:ascii="Verdana" w:eastAsia="Calibri" w:hAnsi="Verdana" w:cs="Arial"/>
          <w:b/>
          <w:bCs/>
          <w:lang w:val="es-MX" w:eastAsia="es-ES"/>
        </w:rPr>
        <w:t xml:space="preserve">CONTRATO DE PRESTACIÓN DE SERVICIOS – Doble erogación presupuestal – Prohibición – No es aplicable </w:t>
      </w:r>
    </w:p>
    <w:p w14:paraId="611658B7" w14:textId="77777777" w:rsidR="008729B2" w:rsidRDefault="008729B2" w:rsidP="00F016F8">
      <w:pPr>
        <w:tabs>
          <w:tab w:val="left" w:pos="142"/>
          <w:tab w:val="left" w:pos="284"/>
          <w:tab w:val="left" w:pos="6975"/>
        </w:tabs>
        <w:spacing w:after="0" w:line="240" w:lineRule="auto"/>
        <w:jc w:val="both"/>
        <w:rPr>
          <w:rFonts w:ascii="Verdana" w:eastAsia="Calibri" w:hAnsi="Verdana" w:cs="Arial"/>
          <w:b/>
          <w:bCs/>
          <w:lang w:val="es-MX" w:eastAsia="es-ES"/>
        </w:rPr>
      </w:pPr>
    </w:p>
    <w:p w14:paraId="615D96AE" w14:textId="2B93CB4E" w:rsidR="008729B2" w:rsidRPr="00A33ED2" w:rsidRDefault="008729B2" w:rsidP="008729B2">
      <w:pPr>
        <w:widowControl w:val="0"/>
        <w:autoSpaceDE w:val="0"/>
        <w:autoSpaceDN w:val="0"/>
        <w:spacing w:after="0" w:line="240" w:lineRule="auto"/>
        <w:jc w:val="both"/>
        <w:rPr>
          <w:rFonts w:ascii="Verdana" w:eastAsia="Arial" w:hAnsi="Verdana" w:cs="Arial"/>
          <w:sz w:val="20"/>
          <w:szCs w:val="20"/>
        </w:rPr>
      </w:pPr>
      <w:r w:rsidRPr="00A33ED2">
        <w:rPr>
          <w:rFonts w:ascii="Verdana" w:eastAsia="Arial" w:hAnsi="Verdana" w:cs="Arial"/>
          <w:sz w:val="20"/>
          <w:szCs w:val="20"/>
          <w:lang w:val="es-ES"/>
        </w:rPr>
        <w:t>[…] la prohibición de recibir doble asignación del tesoro público recae sobre los servidores públicos, incluidos los miembros de las corporaciones públicas, donde el término “asignación” comprende los dineros y recursos que provienen del tesoro público, o de empresas o de instituciones en las que tenga parte mayoritaria el Estado, en calidad de pago para retribuir un servicio denomínese salario, honorarios o cualquier otro emolumento, salvo las excepciones dispuestas en el artículo 19 de la Ley 4 de 1992. En tal sentido, el Departamento Administrativo de la Función Pública en torno al vocablo “asignación” expresa: “</w:t>
      </w:r>
      <w:r w:rsidRPr="00A33ED2">
        <w:rPr>
          <w:rFonts w:ascii="Verdana" w:eastAsia="Arial" w:hAnsi="Verdana" w:cs="Arial"/>
          <w:sz w:val="20"/>
          <w:szCs w:val="20"/>
        </w:rPr>
        <w:t>Gramaticalmente se concibe como la cantidad señalada por sueldo o por otro concepto, como emolumento dotación, salario”.</w:t>
      </w:r>
    </w:p>
    <w:p w14:paraId="5E6A8A85" w14:textId="77777777" w:rsidR="008729B2" w:rsidRDefault="008729B2" w:rsidP="008729B2">
      <w:pPr>
        <w:tabs>
          <w:tab w:val="left" w:pos="142"/>
          <w:tab w:val="left" w:pos="284"/>
          <w:tab w:val="left" w:pos="6975"/>
        </w:tabs>
        <w:spacing w:after="0" w:line="240" w:lineRule="auto"/>
        <w:jc w:val="both"/>
        <w:rPr>
          <w:rFonts w:ascii="Verdana" w:eastAsia="Arial" w:hAnsi="Verdana" w:cs="Arial"/>
          <w:sz w:val="20"/>
          <w:szCs w:val="20"/>
          <w:lang w:val="es-ES"/>
        </w:rPr>
      </w:pPr>
    </w:p>
    <w:p w14:paraId="3850ED14" w14:textId="77777777" w:rsidR="008729B2" w:rsidRDefault="008729B2" w:rsidP="008729B2">
      <w:pPr>
        <w:tabs>
          <w:tab w:val="left" w:pos="142"/>
          <w:tab w:val="left" w:pos="284"/>
          <w:tab w:val="left" w:pos="6975"/>
        </w:tabs>
        <w:spacing w:after="0" w:line="240" w:lineRule="auto"/>
        <w:jc w:val="both"/>
        <w:rPr>
          <w:rFonts w:ascii="Verdana" w:eastAsia="Arial" w:hAnsi="Verdana" w:cs="Arial"/>
          <w:sz w:val="20"/>
          <w:szCs w:val="20"/>
          <w:lang w:val="es-ES"/>
        </w:rPr>
      </w:pPr>
      <w:r w:rsidRPr="00A33ED2">
        <w:rPr>
          <w:rFonts w:ascii="Verdana" w:eastAsia="Arial" w:hAnsi="Verdana" w:cs="Arial"/>
          <w:sz w:val="20"/>
          <w:szCs w:val="20"/>
          <w:lang w:val="es-ES"/>
        </w:rPr>
        <w:t>De conformidad con lo anterior, y teniendo en cuenta la naturaleza jurídica del contrato de prestación de servicios en empresas sociales del estado que se rigen por la legislación del derecho privado, la prohibición de percibir doble asignación no es aplicable, en tanto que dicho contrato de prestación de servicios, no comportan una relación laboral, sino que es fruto de la libre autonomía de la voluntad de los contratantes, por consiguiente, el contratista no es considerado un servidor público, al no tener un vínculo de subordinación con el Estado, elemento propio de un contrato laboral.</w:t>
      </w:r>
    </w:p>
    <w:p w14:paraId="55AC1D98" w14:textId="77777777" w:rsidR="008E5C23" w:rsidRDefault="008E5C23" w:rsidP="008729B2">
      <w:pPr>
        <w:tabs>
          <w:tab w:val="left" w:pos="142"/>
          <w:tab w:val="left" w:pos="284"/>
          <w:tab w:val="left" w:pos="6975"/>
        </w:tabs>
        <w:spacing w:after="0" w:line="240" w:lineRule="auto"/>
        <w:jc w:val="both"/>
        <w:rPr>
          <w:rFonts w:ascii="Verdana" w:eastAsia="Arial" w:hAnsi="Verdana" w:cs="Arial"/>
          <w:sz w:val="20"/>
          <w:szCs w:val="20"/>
          <w:lang w:val="es-ES"/>
        </w:rPr>
      </w:pPr>
    </w:p>
    <w:p w14:paraId="39D12EDB" w14:textId="01CA71E5" w:rsidR="008E5C23" w:rsidRDefault="008E5C23" w:rsidP="008729B2">
      <w:pPr>
        <w:tabs>
          <w:tab w:val="left" w:pos="142"/>
          <w:tab w:val="left" w:pos="284"/>
          <w:tab w:val="left" w:pos="6975"/>
        </w:tabs>
        <w:spacing w:after="0" w:line="240" w:lineRule="auto"/>
        <w:jc w:val="both"/>
        <w:rPr>
          <w:rFonts w:ascii="Verdana" w:eastAsia="Arial" w:hAnsi="Verdana" w:cs="Arial"/>
          <w:sz w:val="20"/>
          <w:szCs w:val="20"/>
          <w:lang w:val="es-ES"/>
        </w:rPr>
      </w:pPr>
      <w:r>
        <w:rPr>
          <w:rFonts w:ascii="Verdana" w:eastAsia="Arial" w:hAnsi="Verdana" w:cs="Arial"/>
          <w:sz w:val="20"/>
          <w:szCs w:val="20"/>
          <w:lang w:val="es-ES"/>
        </w:rPr>
        <w:t xml:space="preserve">[…] </w:t>
      </w:r>
    </w:p>
    <w:p w14:paraId="233B12E6" w14:textId="77777777" w:rsidR="008E5C23" w:rsidRDefault="008E5C23" w:rsidP="008729B2">
      <w:pPr>
        <w:tabs>
          <w:tab w:val="left" w:pos="142"/>
          <w:tab w:val="left" w:pos="284"/>
          <w:tab w:val="left" w:pos="6975"/>
        </w:tabs>
        <w:spacing w:after="0" w:line="240" w:lineRule="auto"/>
        <w:jc w:val="both"/>
        <w:rPr>
          <w:rFonts w:ascii="Verdana" w:eastAsia="Arial" w:hAnsi="Verdana" w:cs="Arial"/>
          <w:sz w:val="20"/>
          <w:szCs w:val="20"/>
          <w:lang w:val="es-ES"/>
        </w:rPr>
      </w:pPr>
    </w:p>
    <w:p w14:paraId="711CEAAF" w14:textId="77777777" w:rsidR="008E5C23" w:rsidRPr="00866614" w:rsidRDefault="008E5C23" w:rsidP="00866614">
      <w:pPr>
        <w:widowControl w:val="0"/>
        <w:autoSpaceDE w:val="0"/>
        <w:autoSpaceDN w:val="0"/>
        <w:spacing w:after="0" w:line="240" w:lineRule="auto"/>
        <w:ind w:right="-93"/>
        <w:jc w:val="both"/>
        <w:rPr>
          <w:rFonts w:ascii="Verdana" w:eastAsia="Arial" w:hAnsi="Verdana" w:cs="Arial"/>
          <w:sz w:val="20"/>
          <w:szCs w:val="20"/>
          <w:lang w:val="es-ES"/>
        </w:rPr>
      </w:pPr>
      <w:r w:rsidRPr="00866614">
        <w:rPr>
          <w:rFonts w:ascii="Verdana" w:eastAsia="Arial" w:hAnsi="Verdana" w:cs="Arial"/>
          <w:sz w:val="20"/>
          <w:szCs w:val="20"/>
          <w:lang w:val="es-ES"/>
        </w:rPr>
        <w:t xml:space="preserve">Por consiguiente, no les aplica la prohibición del artículo 128 de la Constitución Política, toda vez que no se consideran servidores públicos porque su relación con el Estado está dada en el marco de un negocio jurídico y no en virtud de una relación laboral, además de encontrarse dentro de las excepciones definidas en el artículo 19 de la Ley 4 de 1992. </w:t>
      </w:r>
    </w:p>
    <w:p w14:paraId="7E1A1984" w14:textId="77777777" w:rsidR="008E5C23" w:rsidRPr="00866614" w:rsidRDefault="008E5C23" w:rsidP="00866614">
      <w:pPr>
        <w:widowControl w:val="0"/>
        <w:autoSpaceDE w:val="0"/>
        <w:autoSpaceDN w:val="0"/>
        <w:spacing w:after="0" w:line="240" w:lineRule="auto"/>
        <w:ind w:right="-93"/>
        <w:jc w:val="both"/>
        <w:rPr>
          <w:rFonts w:ascii="Verdana" w:eastAsia="Arial" w:hAnsi="Verdana" w:cs="Arial"/>
          <w:sz w:val="20"/>
          <w:szCs w:val="20"/>
          <w:lang w:val="es-ES"/>
        </w:rPr>
      </w:pPr>
    </w:p>
    <w:p w14:paraId="7D641DF4" w14:textId="4EF091E7" w:rsidR="008E5C23" w:rsidRPr="008E5C23" w:rsidRDefault="008E5C23" w:rsidP="00866614">
      <w:pPr>
        <w:widowControl w:val="0"/>
        <w:autoSpaceDE w:val="0"/>
        <w:autoSpaceDN w:val="0"/>
        <w:spacing w:after="0" w:line="240" w:lineRule="auto"/>
        <w:ind w:right="-93"/>
        <w:jc w:val="both"/>
        <w:rPr>
          <w:rFonts w:ascii="Verdana" w:eastAsia="Arial" w:hAnsi="Verdana" w:cs="Arial"/>
          <w:sz w:val="20"/>
          <w:szCs w:val="20"/>
          <w:lang w:val="es-ES"/>
        </w:rPr>
      </w:pPr>
      <w:r w:rsidRPr="00866614">
        <w:rPr>
          <w:rFonts w:ascii="Verdana" w:eastAsia="Arial" w:hAnsi="Verdana" w:cs="Arial"/>
          <w:sz w:val="20"/>
          <w:szCs w:val="20"/>
          <w:lang w:val="es-ES"/>
        </w:rPr>
        <w:t>De esta manera, la entidad deberá analizar en cada caso concreto el tipo de vinculación del profesional de la salud para así definir si se está en la prohibición o no definida en el artículo 128 constitucional o en su defecto, si se encuentra dentro de alguna de las causales de excepción contempladas en el artículo 19 de la Ley 4 de 1992. Lo anterior para efectos de poder concluir si se permite o no la vinculación mediante contrato de prestación de servicios profesionales.</w:t>
      </w:r>
      <w:r w:rsidRPr="008E5C23">
        <w:rPr>
          <w:rFonts w:ascii="Verdana" w:eastAsia="Arial" w:hAnsi="Verdana" w:cs="Arial"/>
          <w:sz w:val="20"/>
          <w:szCs w:val="20"/>
          <w:lang w:val="es-ES"/>
        </w:rPr>
        <w:t xml:space="preserve">    </w:t>
      </w:r>
    </w:p>
    <w:p w14:paraId="334B76E4" w14:textId="77777777" w:rsidR="008E5C23" w:rsidRPr="00A33ED2" w:rsidRDefault="008E5C23" w:rsidP="008E5C23">
      <w:pPr>
        <w:tabs>
          <w:tab w:val="left" w:pos="142"/>
          <w:tab w:val="left" w:pos="284"/>
          <w:tab w:val="left" w:pos="6975"/>
        </w:tabs>
        <w:spacing w:after="0" w:line="240" w:lineRule="auto"/>
        <w:jc w:val="both"/>
        <w:rPr>
          <w:rFonts w:ascii="Verdana" w:eastAsia="Calibri" w:hAnsi="Verdana" w:cs="Arial"/>
          <w:b/>
          <w:bCs/>
          <w:sz w:val="20"/>
          <w:szCs w:val="20"/>
          <w:lang w:val="es-ES" w:eastAsia="es-ES"/>
        </w:rPr>
      </w:pPr>
    </w:p>
    <w:p w14:paraId="466680CB" w14:textId="77777777" w:rsidR="002A5C4A" w:rsidRDefault="00F016F8" w:rsidP="00F016F8">
      <w:pPr>
        <w:tabs>
          <w:tab w:val="left" w:pos="142"/>
          <w:tab w:val="left" w:pos="284"/>
          <w:tab w:val="left" w:pos="6975"/>
        </w:tabs>
        <w:spacing w:after="0" w:line="240" w:lineRule="auto"/>
        <w:jc w:val="both"/>
        <w:rPr>
          <w:rFonts w:ascii="Verdana" w:eastAsia="Calibri" w:hAnsi="Verdana" w:cs="Arial"/>
          <w:b/>
          <w:bCs/>
          <w:lang w:val="es-ES" w:eastAsia="es-ES"/>
        </w:rPr>
      </w:pPr>
      <w:r w:rsidRPr="000D7519">
        <w:rPr>
          <w:rFonts w:ascii="Verdana" w:eastAsia="Calibri" w:hAnsi="Verdana" w:cs="Arial"/>
          <w:b/>
          <w:bCs/>
          <w:lang w:val="es-ES" w:eastAsia="es-ES"/>
        </w:rPr>
        <w:t xml:space="preserve">PRINCIPIO DE PUBLICIDAD – SECOP – Entidades con régimen especial de contratación - Documentos del proceso – Deber de publicación </w:t>
      </w:r>
    </w:p>
    <w:p w14:paraId="4582DCF0" w14:textId="77777777" w:rsidR="00AF1708" w:rsidRDefault="00AF1708" w:rsidP="00F016F8">
      <w:pPr>
        <w:tabs>
          <w:tab w:val="left" w:pos="142"/>
          <w:tab w:val="left" w:pos="284"/>
          <w:tab w:val="left" w:pos="6975"/>
        </w:tabs>
        <w:spacing w:after="0" w:line="240" w:lineRule="auto"/>
        <w:jc w:val="both"/>
        <w:rPr>
          <w:rFonts w:ascii="Verdana" w:eastAsia="Calibri" w:hAnsi="Verdana" w:cs="Arial"/>
          <w:b/>
          <w:bCs/>
          <w:lang w:val="es-ES" w:eastAsia="es-ES"/>
        </w:rPr>
      </w:pPr>
    </w:p>
    <w:p w14:paraId="1019FA49" w14:textId="2C5FF57A" w:rsidR="00531836" w:rsidRDefault="00B222AA" w:rsidP="00531836">
      <w:pPr>
        <w:tabs>
          <w:tab w:val="left" w:pos="142"/>
          <w:tab w:val="left" w:pos="284"/>
          <w:tab w:val="left" w:pos="6975"/>
        </w:tabs>
        <w:spacing w:after="0" w:line="240" w:lineRule="auto"/>
        <w:jc w:val="both"/>
        <w:rPr>
          <w:rFonts w:ascii="Verdana" w:hAnsi="Verdana"/>
          <w:sz w:val="20"/>
          <w:szCs w:val="20"/>
        </w:rPr>
      </w:pPr>
      <w:r w:rsidRPr="00B222AA">
        <w:rPr>
          <w:rFonts w:ascii="Verdana" w:eastAsia="Calibri" w:hAnsi="Verdana" w:cs="Arial"/>
          <w:color w:val="000000" w:themeColor="text1"/>
          <w:sz w:val="20"/>
          <w:szCs w:val="20"/>
        </w:rPr>
        <w:t xml:space="preserve">[…] las Empresas Sociales del Estado les asiste la </w:t>
      </w:r>
      <w:r w:rsidRPr="00B222AA">
        <w:rPr>
          <w:rFonts w:ascii="Verdana" w:hAnsi="Verdana"/>
          <w:sz w:val="20"/>
          <w:szCs w:val="20"/>
        </w:rPr>
        <w:t xml:space="preserve">obligación de publicar los Procesos de Contratación en el SECOP II. </w:t>
      </w:r>
      <w:r w:rsidRPr="00B222AA">
        <w:rPr>
          <w:rFonts w:ascii="Verdana" w:hAnsi="Verdana"/>
          <w:spacing w:val="40"/>
          <w:sz w:val="20"/>
          <w:szCs w:val="20"/>
        </w:rPr>
        <w:t>E</w:t>
      </w:r>
      <w:r w:rsidRPr="00B222AA">
        <w:rPr>
          <w:rFonts w:ascii="Verdana" w:hAnsi="Verdana"/>
          <w:sz w:val="20"/>
          <w:szCs w:val="20"/>
        </w:rPr>
        <w:t>l 18 de enero de 2022 fue expedida la Ley 2195 de 2022 “</w:t>
      </w:r>
      <w:r w:rsidRPr="00B222AA">
        <w:rPr>
          <w:rFonts w:ascii="Verdana" w:hAnsi="Verdana"/>
          <w:i/>
          <w:sz w:val="20"/>
          <w:szCs w:val="20"/>
        </w:rPr>
        <w:t>Por medio</w:t>
      </w:r>
      <w:r w:rsidRPr="00B222AA">
        <w:rPr>
          <w:rFonts w:ascii="Verdana" w:hAnsi="Verdana"/>
          <w:i/>
          <w:spacing w:val="-20"/>
          <w:sz w:val="20"/>
          <w:szCs w:val="20"/>
        </w:rPr>
        <w:t xml:space="preserve"> </w:t>
      </w:r>
      <w:r w:rsidRPr="00B222AA">
        <w:rPr>
          <w:rFonts w:ascii="Verdana" w:hAnsi="Verdana"/>
          <w:i/>
          <w:sz w:val="20"/>
          <w:szCs w:val="20"/>
        </w:rPr>
        <w:t>de</w:t>
      </w:r>
      <w:r w:rsidRPr="00B222AA">
        <w:rPr>
          <w:rFonts w:ascii="Verdana" w:hAnsi="Verdana"/>
          <w:i/>
          <w:spacing w:val="-19"/>
          <w:sz w:val="20"/>
          <w:szCs w:val="20"/>
        </w:rPr>
        <w:t xml:space="preserve"> </w:t>
      </w:r>
      <w:r w:rsidRPr="00B222AA">
        <w:rPr>
          <w:rFonts w:ascii="Verdana" w:hAnsi="Verdana"/>
          <w:i/>
          <w:sz w:val="20"/>
          <w:szCs w:val="20"/>
        </w:rPr>
        <w:t>la</w:t>
      </w:r>
      <w:r w:rsidRPr="00B222AA">
        <w:rPr>
          <w:rFonts w:ascii="Verdana" w:hAnsi="Verdana"/>
          <w:i/>
          <w:spacing w:val="-19"/>
          <w:sz w:val="20"/>
          <w:szCs w:val="20"/>
        </w:rPr>
        <w:t xml:space="preserve"> </w:t>
      </w:r>
      <w:r w:rsidRPr="00B222AA">
        <w:rPr>
          <w:rFonts w:ascii="Verdana" w:hAnsi="Verdana"/>
          <w:i/>
          <w:sz w:val="20"/>
          <w:szCs w:val="20"/>
        </w:rPr>
        <w:t>cual</w:t>
      </w:r>
      <w:r w:rsidRPr="00B222AA">
        <w:rPr>
          <w:rFonts w:ascii="Verdana" w:hAnsi="Verdana"/>
          <w:i/>
          <w:spacing w:val="-20"/>
          <w:sz w:val="20"/>
          <w:szCs w:val="20"/>
        </w:rPr>
        <w:t xml:space="preserve"> </w:t>
      </w:r>
      <w:r w:rsidRPr="00B222AA">
        <w:rPr>
          <w:rFonts w:ascii="Verdana" w:hAnsi="Verdana"/>
          <w:i/>
          <w:sz w:val="20"/>
          <w:szCs w:val="20"/>
        </w:rPr>
        <w:t>se</w:t>
      </w:r>
      <w:r w:rsidRPr="00B222AA">
        <w:rPr>
          <w:rFonts w:ascii="Verdana" w:hAnsi="Verdana"/>
          <w:i/>
          <w:spacing w:val="-19"/>
          <w:sz w:val="20"/>
          <w:szCs w:val="20"/>
        </w:rPr>
        <w:t xml:space="preserve"> </w:t>
      </w:r>
      <w:r w:rsidRPr="00B222AA">
        <w:rPr>
          <w:rFonts w:ascii="Verdana" w:hAnsi="Verdana"/>
          <w:i/>
          <w:sz w:val="20"/>
          <w:szCs w:val="20"/>
        </w:rPr>
        <w:t>adoptan</w:t>
      </w:r>
      <w:r w:rsidRPr="00B222AA">
        <w:rPr>
          <w:rFonts w:ascii="Verdana" w:hAnsi="Verdana"/>
          <w:i/>
          <w:spacing w:val="-20"/>
          <w:sz w:val="20"/>
          <w:szCs w:val="20"/>
        </w:rPr>
        <w:t xml:space="preserve"> </w:t>
      </w:r>
      <w:r w:rsidRPr="00B222AA">
        <w:rPr>
          <w:rFonts w:ascii="Verdana" w:hAnsi="Verdana"/>
          <w:i/>
          <w:sz w:val="20"/>
          <w:szCs w:val="20"/>
        </w:rPr>
        <w:t>medidas</w:t>
      </w:r>
      <w:r w:rsidRPr="00B222AA">
        <w:rPr>
          <w:rFonts w:ascii="Verdana" w:hAnsi="Verdana"/>
          <w:i/>
          <w:spacing w:val="-19"/>
          <w:sz w:val="20"/>
          <w:szCs w:val="20"/>
        </w:rPr>
        <w:t xml:space="preserve"> </w:t>
      </w:r>
      <w:r w:rsidRPr="00B222AA">
        <w:rPr>
          <w:rFonts w:ascii="Verdana" w:hAnsi="Verdana"/>
          <w:i/>
          <w:sz w:val="20"/>
          <w:szCs w:val="20"/>
        </w:rPr>
        <w:t>en</w:t>
      </w:r>
      <w:r w:rsidRPr="00B222AA">
        <w:rPr>
          <w:rFonts w:ascii="Verdana" w:hAnsi="Verdana"/>
          <w:i/>
          <w:spacing w:val="-19"/>
          <w:sz w:val="20"/>
          <w:szCs w:val="20"/>
        </w:rPr>
        <w:t xml:space="preserve"> </w:t>
      </w:r>
      <w:r w:rsidRPr="00B222AA">
        <w:rPr>
          <w:rFonts w:ascii="Verdana" w:hAnsi="Verdana"/>
          <w:i/>
          <w:sz w:val="20"/>
          <w:szCs w:val="20"/>
        </w:rPr>
        <w:t>materia</w:t>
      </w:r>
      <w:r w:rsidRPr="00B222AA">
        <w:rPr>
          <w:rFonts w:ascii="Verdana" w:hAnsi="Verdana"/>
          <w:i/>
          <w:spacing w:val="-20"/>
          <w:sz w:val="20"/>
          <w:szCs w:val="20"/>
        </w:rPr>
        <w:t xml:space="preserve"> </w:t>
      </w:r>
      <w:r w:rsidRPr="00B222AA">
        <w:rPr>
          <w:rFonts w:ascii="Verdana" w:hAnsi="Verdana"/>
          <w:i/>
          <w:sz w:val="20"/>
          <w:szCs w:val="20"/>
        </w:rPr>
        <w:t>de</w:t>
      </w:r>
      <w:r w:rsidRPr="00B222AA">
        <w:rPr>
          <w:rFonts w:ascii="Verdana" w:hAnsi="Verdana"/>
          <w:i/>
          <w:spacing w:val="-19"/>
          <w:sz w:val="20"/>
          <w:szCs w:val="20"/>
        </w:rPr>
        <w:t xml:space="preserve"> </w:t>
      </w:r>
      <w:r w:rsidRPr="00B222AA">
        <w:rPr>
          <w:rFonts w:ascii="Verdana" w:hAnsi="Verdana"/>
          <w:i/>
          <w:sz w:val="20"/>
          <w:szCs w:val="20"/>
        </w:rPr>
        <w:t>transparencia,</w:t>
      </w:r>
      <w:r w:rsidRPr="00B222AA">
        <w:rPr>
          <w:rFonts w:ascii="Verdana" w:hAnsi="Verdana"/>
          <w:i/>
          <w:spacing w:val="-19"/>
          <w:sz w:val="20"/>
          <w:szCs w:val="20"/>
        </w:rPr>
        <w:t xml:space="preserve"> </w:t>
      </w:r>
      <w:r w:rsidRPr="00B222AA">
        <w:rPr>
          <w:rFonts w:ascii="Verdana" w:hAnsi="Verdana"/>
          <w:i/>
          <w:sz w:val="20"/>
          <w:szCs w:val="20"/>
        </w:rPr>
        <w:t>prevención y</w:t>
      </w:r>
      <w:r w:rsidRPr="00B222AA">
        <w:rPr>
          <w:rFonts w:ascii="Verdana" w:hAnsi="Verdana"/>
          <w:i/>
          <w:spacing w:val="-13"/>
          <w:sz w:val="20"/>
          <w:szCs w:val="20"/>
        </w:rPr>
        <w:t xml:space="preserve"> </w:t>
      </w:r>
      <w:r w:rsidRPr="00B222AA">
        <w:rPr>
          <w:rFonts w:ascii="Verdana" w:hAnsi="Verdana"/>
          <w:i/>
          <w:sz w:val="20"/>
          <w:szCs w:val="20"/>
        </w:rPr>
        <w:t>lucha</w:t>
      </w:r>
      <w:r w:rsidRPr="00B222AA">
        <w:rPr>
          <w:rFonts w:ascii="Verdana" w:hAnsi="Verdana"/>
          <w:i/>
          <w:spacing w:val="-11"/>
          <w:sz w:val="20"/>
          <w:szCs w:val="20"/>
        </w:rPr>
        <w:t xml:space="preserve"> </w:t>
      </w:r>
      <w:r w:rsidRPr="00B222AA">
        <w:rPr>
          <w:rFonts w:ascii="Verdana" w:hAnsi="Verdana"/>
          <w:i/>
          <w:sz w:val="20"/>
          <w:szCs w:val="20"/>
        </w:rPr>
        <w:t>contra</w:t>
      </w:r>
      <w:r w:rsidRPr="00B222AA">
        <w:rPr>
          <w:rFonts w:ascii="Verdana" w:hAnsi="Verdana"/>
          <w:i/>
          <w:spacing w:val="-12"/>
          <w:sz w:val="20"/>
          <w:szCs w:val="20"/>
        </w:rPr>
        <w:t xml:space="preserve"> </w:t>
      </w:r>
      <w:r w:rsidRPr="00B222AA">
        <w:rPr>
          <w:rFonts w:ascii="Verdana" w:hAnsi="Verdana"/>
          <w:i/>
          <w:sz w:val="20"/>
          <w:szCs w:val="20"/>
        </w:rPr>
        <w:t>la</w:t>
      </w:r>
      <w:r w:rsidRPr="00B222AA">
        <w:rPr>
          <w:rFonts w:ascii="Verdana" w:hAnsi="Verdana"/>
          <w:i/>
          <w:spacing w:val="-11"/>
          <w:sz w:val="20"/>
          <w:szCs w:val="20"/>
        </w:rPr>
        <w:t xml:space="preserve"> </w:t>
      </w:r>
      <w:r w:rsidRPr="00B222AA">
        <w:rPr>
          <w:rFonts w:ascii="Verdana" w:hAnsi="Verdana"/>
          <w:i/>
          <w:sz w:val="20"/>
          <w:szCs w:val="20"/>
        </w:rPr>
        <w:t>corrupción</w:t>
      </w:r>
      <w:r w:rsidRPr="00B222AA">
        <w:rPr>
          <w:rFonts w:ascii="Verdana" w:hAnsi="Verdana"/>
          <w:i/>
          <w:spacing w:val="-12"/>
          <w:sz w:val="20"/>
          <w:szCs w:val="20"/>
        </w:rPr>
        <w:t xml:space="preserve"> </w:t>
      </w:r>
      <w:r w:rsidRPr="00B222AA">
        <w:rPr>
          <w:rFonts w:ascii="Verdana" w:hAnsi="Verdana"/>
          <w:i/>
          <w:sz w:val="20"/>
          <w:szCs w:val="20"/>
        </w:rPr>
        <w:t>y</w:t>
      </w:r>
      <w:r w:rsidRPr="00B222AA">
        <w:rPr>
          <w:rFonts w:ascii="Verdana" w:hAnsi="Verdana"/>
          <w:i/>
          <w:spacing w:val="-13"/>
          <w:sz w:val="20"/>
          <w:szCs w:val="20"/>
        </w:rPr>
        <w:t xml:space="preserve"> </w:t>
      </w:r>
      <w:r w:rsidRPr="00B222AA">
        <w:rPr>
          <w:rFonts w:ascii="Verdana" w:hAnsi="Verdana"/>
          <w:i/>
          <w:sz w:val="20"/>
          <w:szCs w:val="20"/>
        </w:rPr>
        <w:t>se</w:t>
      </w:r>
      <w:r w:rsidRPr="00B222AA">
        <w:rPr>
          <w:rFonts w:ascii="Verdana" w:hAnsi="Verdana"/>
          <w:i/>
          <w:spacing w:val="-11"/>
          <w:sz w:val="20"/>
          <w:szCs w:val="20"/>
        </w:rPr>
        <w:t xml:space="preserve"> </w:t>
      </w:r>
      <w:r w:rsidRPr="00B222AA">
        <w:rPr>
          <w:rFonts w:ascii="Verdana" w:hAnsi="Verdana"/>
          <w:i/>
          <w:sz w:val="20"/>
          <w:szCs w:val="20"/>
        </w:rPr>
        <w:t>dictan</w:t>
      </w:r>
      <w:r w:rsidRPr="00B222AA">
        <w:rPr>
          <w:rFonts w:ascii="Verdana" w:hAnsi="Verdana"/>
          <w:i/>
          <w:spacing w:val="-12"/>
          <w:sz w:val="20"/>
          <w:szCs w:val="20"/>
        </w:rPr>
        <w:t xml:space="preserve"> </w:t>
      </w:r>
      <w:r w:rsidRPr="00B222AA">
        <w:rPr>
          <w:rFonts w:ascii="Verdana" w:hAnsi="Verdana"/>
          <w:i/>
          <w:sz w:val="20"/>
          <w:szCs w:val="20"/>
        </w:rPr>
        <w:t>otras</w:t>
      </w:r>
      <w:r w:rsidRPr="00B222AA">
        <w:rPr>
          <w:rFonts w:ascii="Verdana" w:hAnsi="Verdana"/>
          <w:i/>
          <w:spacing w:val="-11"/>
          <w:sz w:val="20"/>
          <w:szCs w:val="20"/>
        </w:rPr>
        <w:t xml:space="preserve"> </w:t>
      </w:r>
      <w:r w:rsidRPr="00B222AA">
        <w:rPr>
          <w:rFonts w:ascii="Verdana" w:hAnsi="Verdana"/>
          <w:i/>
          <w:sz w:val="20"/>
          <w:szCs w:val="20"/>
        </w:rPr>
        <w:t>disposiciones</w:t>
      </w:r>
      <w:r w:rsidRPr="00B222AA">
        <w:rPr>
          <w:rFonts w:ascii="Verdana" w:hAnsi="Verdana"/>
          <w:sz w:val="20"/>
          <w:szCs w:val="20"/>
        </w:rPr>
        <w:t>”,</w:t>
      </w:r>
      <w:r w:rsidRPr="00B222AA">
        <w:rPr>
          <w:rFonts w:ascii="Verdana" w:hAnsi="Verdana"/>
          <w:spacing w:val="-14"/>
          <w:sz w:val="20"/>
          <w:szCs w:val="20"/>
        </w:rPr>
        <w:t xml:space="preserve"> </w:t>
      </w:r>
      <w:r w:rsidRPr="00B222AA">
        <w:rPr>
          <w:rFonts w:ascii="Verdana" w:hAnsi="Verdana"/>
          <w:sz w:val="20"/>
          <w:szCs w:val="20"/>
        </w:rPr>
        <w:t>mediante</w:t>
      </w:r>
      <w:r w:rsidRPr="00B222AA">
        <w:rPr>
          <w:rFonts w:ascii="Verdana" w:hAnsi="Verdana"/>
          <w:spacing w:val="-11"/>
          <w:sz w:val="20"/>
          <w:szCs w:val="20"/>
        </w:rPr>
        <w:t xml:space="preserve"> </w:t>
      </w:r>
      <w:r w:rsidRPr="00B222AA">
        <w:rPr>
          <w:rFonts w:ascii="Verdana" w:hAnsi="Verdana"/>
          <w:sz w:val="20"/>
          <w:szCs w:val="20"/>
        </w:rPr>
        <w:t>la</w:t>
      </w:r>
      <w:r w:rsidRPr="00B222AA">
        <w:rPr>
          <w:rFonts w:ascii="Verdana" w:hAnsi="Verdana"/>
          <w:spacing w:val="-10"/>
          <w:sz w:val="20"/>
          <w:szCs w:val="20"/>
        </w:rPr>
        <w:t xml:space="preserve"> </w:t>
      </w:r>
      <w:r w:rsidRPr="00B222AA">
        <w:rPr>
          <w:rFonts w:ascii="Verdana" w:hAnsi="Verdana"/>
          <w:sz w:val="20"/>
          <w:szCs w:val="20"/>
        </w:rPr>
        <w:t>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w:t>
      </w:r>
      <w:r w:rsidRPr="00B222AA">
        <w:rPr>
          <w:rFonts w:ascii="Verdana" w:hAnsi="Verdana"/>
          <w:spacing w:val="-2"/>
          <w:sz w:val="20"/>
          <w:szCs w:val="20"/>
        </w:rPr>
        <w:t xml:space="preserve"> </w:t>
      </w:r>
      <w:r w:rsidRPr="00B222AA">
        <w:rPr>
          <w:rFonts w:ascii="Verdana" w:hAnsi="Verdana"/>
          <w:sz w:val="20"/>
          <w:szCs w:val="20"/>
        </w:rPr>
        <w:t>para</w:t>
      </w:r>
      <w:r w:rsidRPr="00B222AA">
        <w:rPr>
          <w:rFonts w:ascii="Verdana" w:hAnsi="Verdana"/>
          <w:spacing w:val="-4"/>
          <w:sz w:val="20"/>
          <w:szCs w:val="20"/>
        </w:rPr>
        <w:t xml:space="preserve"> </w:t>
      </w:r>
      <w:r w:rsidRPr="00B222AA">
        <w:rPr>
          <w:rFonts w:ascii="Verdana" w:hAnsi="Verdana"/>
          <w:sz w:val="20"/>
          <w:szCs w:val="20"/>
        </w:rPr>
        <w:t>la</w:t>
      </w:r>
      <w:r w:rsidRPr="00B222AA">
        <w:rPr>
          <w:rFonts w:ascii="Verdana" w:hAnsi="Verdana"/>
          <w:spacing w:val="-2"/>
          <w:sz w:val="20"/>
          <w:szCs w:val="20"/>
        </w:rPr>
        <w:t xml:space="preserve"> </w:t>
      </w:r>
      <w:r w:rsidRPr="00B222AA">
        <w:rPr>
          <w:rFonts w:ascii="Verdana" w:hAnsi="Verdana"/>
          <w:sz w:val="20"/>
          <w:szCs w:val="20"/>
        </w:rPr>
        <w:t>Contratación</w:t>
      </w:r>
      <w:r w:rsidRPr="00B222AA">
        <w:rPr>
          <w:rFonts w:ascii="Verdana" w:hAnsi="Verdana"/>
          <w:spacing w:val="-3"/>
          <w:sz w:val="20"/>
          <w:szCs w:val="20"/>
        </w:rPr>
        <w:t xml:space="preserve"> </w:t>
      </w:r>
      <w:r w:rsidRPr="00B222AA">
        <w:rPr>
          <w:rFonts w:ascii="Verdana" w:hAnsi="Verdana"/>
          <w:sz w:val="20"/>
          <w:szCs w:val="20"/>
        </w:rPr>
        <w:t>Pública</w:t>
      </w:r>
      <w:r w:rsidRPr="00B222AA">
        <w:rPr>
          <w:rFonts w:ascii="Verdana" w:hAnsi="Verdana"/>
          <w:spacing w:val="-4"/>
          <w:sz w:val="20"/>
          <w:szCs w:val="20"/>
        </w:rPr>
        <w:t xml:space="preserve"> </w:t>
      </w:r>
      <w:r w:rsidRPr="00B222AA">
        <w:rPr>
          <w:rFonts w:ascii="Verdana" w:hAnsi="Verdana"/>
          <w:sz w:val="20"/>
          <w:szCs w:val="20"/>
        </w:rPr>
        <w:t>en</w:t>
      </w:r>
      <w:r w:rsidRPr="00B222AA">
        <w:rPr>
          <w:rFonts w:ascii="Verdana" w:hAnsi="Verdana"/>
          <w:spacing w:val="-1"/>
          <w:sz w:val="20"/>
          <w:szCs w:val="20"/>
        </w:rPr>
        <w:t xml:space="preserve"> </w:t>
      </w:r>
      <w:r w:rsidRPr="00B222AA">
        <w:rPr>
          <w:rFonts w:ascii="Verdana" w:hAnsi="Verdana"/>
          <w:sz w:val="20"/>
          <w:szCs w:val="20"/>
        </w:rPr>
        <w:t>su</w:t>
      </w:r>
      <w:r w:rsidRPr="00B222AA">
        <w:rPr>
          <w:rFonts w:ascii="Verdana" w:hAnsi="Verdana"/>
          <w:spacing w:val="-3"/>
          <w:sz w:val="20"/>
          <w:szCs w:val="20"/>
        </w:rPr>
        <w:t xml:space="preserve"> </w:t>
      </w:r>
      <w:r w:rsidRPr="00B222AA">
        <w:rPr>
          <w:rFonts w:ascii="Verdana" w:hAnsi="Verdana"/>
          <w:sz w:val="20"/>
          <w:szCs w:val="20"/>
        </w:rPr>
        <w:t>versión</w:t>
      </w:r>
      <w:r w:rsidRPr="00B222AA">
        <w:rPr>
          <w:rFonts w:ascii="Verdana" w:hAnsi="Verdana"/>
          <w:spacing w:val="-3"/>
          <w:sz w:val="20"/>
          <w:szCs w:val="20"/>
        </w:rPr>
        <w:t xml:space="preserve"> </w:t>
      </w:r>
      <w:r w:rsidRPr="00B222AA">
        <w:rPr>
          <w:rFonts w:ascii="Verdana" w:hAnsi="Verdana"/>
          <w:sz w:val="20"/>
          <w:szCs w:val="20"/>
        </w:rPr>
        <w:t>transaccional,</w:t>
      </w:r>
      <w:r w:rsidRPr="00B222AA">
        <w:rPr>
          <w:rFonts w:ascii="Verdana" w:hAnsi="Verdana"/>
          <w:spacing w:val="-2"/>
          <w:sz w:val="20"/>
          <w:szCs w:val="20"/>
        </w:rPr>
        <w:t xml:space="preserve"> </w:t>
      </w:r>
      <w:r w:rsidRPr="00B222AA">
        <w:rPr>
          <w:rFonts w:ascii="Verdana" w:hAnsi="Verdana"/>
          <w:sz w:val="20"/>
          <w:szCs w:val="20"/>
        </w:rPr>
        <w:t>es</w:t>
      </w:r>
      <w:r w:rsidRPr="00B222AA">
        <w:rPr>
          <w:rFonts w:ascii="Verdana" w:hAnsi="Verdana"/>
          <w:spacing w:val="-2"/>
          <w:sz w:val="20"/>
          <w:szCs w:val="20"/>
        </w:rPr>
        <w:t xml:space="preserve"> </w:t>
      </w:r>
      <w:r w:rsidRPr="00B222AA">
        <w:rPr>
          <w:rFonts w:ascii="Verdana" w:hAnsi="Verdana"/>
          <w:sz w:val="20"/>
          <w:szCs w:val="20"/>
        </w:rPr>
        <w:t>decir en la plataforma SECOP II</w:t>
      </w:r>
      <w:r>
        <w:rPr>
          <w:rFonts w:ascii="Verdana" w:hAnsi="Verdana"/>
          <w:sz w:val="20"/>
          <w:szCs w:val="20"/>
        </w:rPr>
        <w:t>.</w:t>
      </w:r>
    </w:p>
    <w:p w14:paraId="0AB5BAF7" w14:textId="77777777" w:rsidR="00531836" w:rsidRDefault="00531836" w:rsidP="00531836">
      <w:pPr>
        <w:tabs>
          <w:tab w:val="left" w:pos="142"/>
          <w:tab w:val="left" w:pos="284"/>
          <w:tab w:val="left" w:pos="6975"/>
        </w:tabs>
        <w:spacing w:after="0" w:line="240" w:lineRule="auto"/>
        <w:jc w:val="both"/>
        <w:rPr>
          <w:rFonts w:ascii="Verdana" w:hAnsi="Verdana"/>
          <w:sz w:val="20"/>
          <w:szCs w:val="20"/>
        </w:rPr>
      </w:pPr>
    </w:p>
    <w:p w14:paraId="38681EEA" w14:textId="5DA5950C" w:rsidR="00531836" w:rsidRPr="00531836" w:rsidRDefault="00531836" w:rsidP="00531836">
      <w:pPr>
        <w:tabs>
          <w:tab w:val="left" w:pos="142"/>
          <w:tab w:val="left" w:pos="284"/>
          <w:tab w:val="left" w:pos="6975"/>
        </w:tabs>
        <w:spacing w:after="0" w:line="240" w:lineRule="auto"/>
        <w:jc w:val="both"/>
        <w:rPr>
          <w:rFonts w:ascii="Verdana" w:hAnsi="Verdana"/>
          <w:sz w:val="20"/>
          <w:szCs w:val="20"/>
        </w:rPr>
      </w:pPr>
      <w:r w:rsidRPr="00CA409A">
        <w:rPr>
          <w:rFonts w:ascii="Verdana" w:hAnsi="Verdana"/>
        </w:rPr>
        <w:t>De</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misma</w:t>
      </w:r>
      <w:r w:rsidRPr="00CA409A">
        <w:rPr>
          <w:rFonts w:ascii="Verdana" w:hAnsi="Verdana"/>
          <w:spacing w:val="-19"/>
        </w:rPr>
        <w:t xml:space="preserve"> </w:t>
      </w:r>
      <w:r w:rsidRPr="00CA409A">
        <w:rPr>
          <w:rFonts w:ascii="Verdana" w:hAnsi="Verdana"/>
        </w:rPr>
        <w:t>manera,</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norma</w:t>
      </w:r>
      <w:r w:rsidRPr="00CA409A">
        <w:rPr>
          <w:rFonts w:ascii="Verdana" w:hAnsi="Verdana"/>
          <w:spacing w:val="-19"/>
        </w:rPr>
        <w:t xml:space="preserve"> </w:t>
      </w:r>
      <w:r w:rsidRPr="00CA409A">
        <w:rPr>
          <w:rFonts w:ascii="Verdana" w:hAnsi="Verdana"/>
        </w:rPr>
        <w:t>en</w:t>
      </w:r>
      <w:r w:rsidRPr="00CA409A">
        <w:rPr>
          <w:rFonts w:ascii="Verdana" w:hAnsi="Verdana"/>
          <w:spacing w:val="-19"/>
        </w:rPr>
        <w:t xml:space="preserve"> </w:t>
      </w:r>
      <w:r w:rsidRPr="00CA409A">
        <w:rPr>
          <w:rFonts w:ascii="Verdana" w:hAnsi="Verdana"/>
        </w:rPr>
        <w:t>mención</w:t>
      </w:r>
      <w:r w:rsidRPr="00CA409A">
        <w:rPr>
          <w:rFonts w:ascii="Verdana" w:hAnsi="Verdana"/>
          <w:spacing w:val="-19"/>
        </w:rPr>
        <w:t xml:space="preserve"> </w:t>
      </w:r>
      <w:r w:rsidRPr="00CA409A">
        <w:rPr>
          <w:rFonts w:ascii="Verdana" w:hAnsi="Verdana"/>
        </w:rPr>
        <w:t>precisa</w:t>
      </w:r>
      <w:r w:rsidRPr="00CA409A">
        <w:rPr>
          <w:rFonts w:ascii="Verdana" w:hAnsi="Verdana"/>
          <w:spacing w:val="-19"/>
        </w:rPr>
        <w:t xml:space="preserve"> </w:t>
      </w:r>
      <w:r w:rsidRPr="00CA409A">
        <w:rPr>
          <w:rFonts w:ascii="Verdana" w:hAnsi="Verdana"/>
        </w:rPr>
        <w:t>el</w:t>
      </w:r>
      <w:r w:rsidRPr="00CA409A">
        <w:rPr>
          <w:rFonts w:ascii="Verdana" w:hAnsi="Verdana"/>
          <w:spacing w:val="-19"/>
        </w:rPr>
        <w:t xml:space="preserve"> </w:t>
      </w:r>
      <w:r w:rsidRPr="00CA409A">
        <w:rPr>
          <w:rFonts w:ascii="Verdana" w:hAnsi="Verdana"/>
        </w:rPr>
        <w:t>entendimiento</w:t>
      </w:r>
      <w:r w:rsidRPr="00CA409A">
        <w:rPr>
          <w:rFonts w:ascii="Verdana" w:hAnsi="Verdana"/>
          <w:spacing w:val="-19"/>
        </w:rPr>
        <w:t xml:space="preserve"> </w:t>
      </w:r>
      <w:r w:rsidRPr="00CA409A">
        <w:rPr>
          <w:rFonts w:ascii="Verdana" w:hAnsi="Verdana"/>
        </w:rPr>
        <w:t>que</w:t>
      </w:r>
      <w:r w:rsidRPr="00CA409A">
        <w:rPr>
          <w:rFonts w:ascii="Verdana" w:hAnsi="Verdana"/>
          <w:spacing w:val="-19"/>
        </w:rPr>
        <w:t xml:space="preserve"> </w:t>
      </w:r>
      <w:r w:rsidRPr="00CA409A">
        <w:rPr>
          <w:rFonts w:ascii="Verdana" w:hAnsi="Verdana"/>
        </w:rPr>
        <w:t>debe dársele</w:t>
      </w:r>
      <w:r w:rsidRPr="00CA409A">
        <w:rPr>
          <w:rFonts w:ascii="Verdana" w:hAnsi="Verdana"/>
          <w:spacing w:val="-7"/>
        </w:rPr>
        <w:t xml:space="preserve"> </w:t>
      </w:r>
      <w:r w:rsidRPr="00CA409A">
        <w:rPr>
          <w:rFonts w:ascii="Verdana" w:hAnsi="Verdana"/>
        </w:rPr>
        <w:t>a</w:t>
      </w:r>
      <w:r w:rsidRPr="00CA409A">
        <w:rPr>
          <w:rFonts w:ascii="Verdana" w:hAnsi="Verdana"/>
          <w:spacing w:val="-8"/>
        </w:rPr>
        <w:t xml:space="preserve"> </w:t>
      </w:r>
      <w:r w:rsidRPr="00CA409A">
        <w:rPr>
          <w:rFonts w:ascii="Verdana" w:hAnsi="Verdana"/>
        </w:rPr>
        <w:t>la</w:t>
      </w:r>
      <w:r w:rsidRPr="00CA409A">
        <w:rPr>
          <w:rFonts w:ascii="Verdana" w:hAnsi="Verdana"/>
          <w:spacing w:val="-8"/>
        </w:rPr>
        <w:t xml:space="preserve"> </w:t>
      </w:r>
      <w:r w:rsidRPr="00CA409A">
        <w:rPr>
          <w:rFonts w:ascii="Verdana" w:hAnsi="Verdana"/>
        </w:rPr>
        <w:t>expresión</w:t>
      </w:r>
      <w:r w:rsidRPr="00CA409A">
        <w:rPr>
          <w:rFonts w:ascii="Verdana" w:hAnsi="Verdana"/>
          <w:spacing w:val="-8"/>
        </w:rPr>
        <w:t xml:space="preserve"> </w:t>
      </w:r>
      <w:r>
        <w:rPr>
          <w:rFonts w:ascii="Verdana" w:hAnsi="Verdana"/>
          <w:spacing w:val="-8"/>
        </w:rPr>
        <w:t>“</w:t>
      </w:r>
      <w:r w:rsidRPr="00CA409A">
        <w:rPr>
          <w:rFonts w:ascii="Verdana" w:hAnsi="Verdana"/>
          <w:spacing w:val="-8"/>
        </w:rPr>
        <w:t>actividad</w:t>
      </w:r>
      <w:r w:rsidRPr="00CA409A">
        <w:rPr>
          <w:rFonts w:ascii="Verdana" w:hAnsi="Verdana"/>
          <w:spacing w:val="-9"/>
        </w:rPr>
        <w:t xml:space="preserve"> </w:t>
      </w:r>
      <w:r w:rsidRPr="00CA409A">
        <w:rPr>
          <w:rFonts w:ascii="Verdana" w:hAnsi="Verdana"/>
        </w:rPr>
        <w:t>contractual</w:t>
      </w:r>
      <w:r>
        <w:rPr>
          <w:rFonts w:ascii="Verdana" w:hAnsi="Verdana"/>
        </w:rPr>
        <w:t>”</w:t>
      </w:r>
      <w:r w:rsidRPr="00CA409A">
        <w:rPr>
          <w:rFonts w:ascii="Verdana" w:hAnsi="Verdana"/>
          <w:spacing w:val="-9"/>
        </w:rPr>
        <w:t xml:space="preserve"> </w:t>
      </w:r>
      <w:r w:rsidRPr="00CA409A">
        <w:rPr>
          <w:rFonts w:ascii="Verdana" w:hAnsi="Verdana"/>
        </w:rPr>
        <w:t>y</w:t>
      </w:r>
      <w:r w:rsidRPr="00CA409A">
        <w:rPr>
          <w:rFonts w:ascii="Verdana" w:hAnsi="Verdana"/>
          <w:spacing w:val="-9"/>
        </w:rPr>
        <w:t xml:space="preserve"> </w:t>
      </w:r>
      <w:r w:rsidRPr="00CA409A">
        <w:rPr>
          <w:rFonts w:ascii="Verdana" w:hAnsi="Verdana"/>
        </w:rPr>
        <w:t>que</w:t>
      </w:r>
      <w:r w:rsidRPr="00CA409A">
        <w:rPr>
          <w:rFonts w:ascii="Verdana" w:hAnsi="Verdana"/>
          <w:spacing w:val="-8"/>
        </w:rPr>
        <w:t xml:space="preserve"> </w:t>
      </w:r>
      <w:r w:rsidRPr="00CA409A">
        <w:rPr>
          <w:rFonts w:ascii="Verdana" w:hAnsi="Verdana"/>
        </w:rPr>
        <w:t>permitirá</w:t>
      </w:r>
      <w:r w:rsidRPr="00CA409A">
        <w:rPr>
          <w:rFonts w:ascii="Verdana" w:hAnsi="Verdana"/>
          <w:spacing w:val="-8"/>
        </w:rPr>
        <w:t xml:space="preserve"> </w:t>
      </w:r>
      <w:r w:rsidRPr="00CA409A">
        <w:rPr>
          <w:rFonts w:ascii="Verdana" w:hAnsi="Verdana"/>
        </w:rPr>
        <w:t>determinar</w:t>
      </w:r>
      <w:r w:rsidRPr="00CA409A">
        <w:rPr>
          <w:rFonts w:ascii="Verdana" w:hAnsi="Verdana"/>
          <w:spacing w:val="-8"/>
        </w:rPr>
        <w:t xml:space="preserve"> </w:t>
      </w:r>
      <w:r w:rsidRPr="00CA409A">
        <w:rPr>
          <w:rFonts w:ascii="Verdana" w:hAnsi="Verdana"/>
        </w:rPr>
        <w:t>los documentos que deben publicar en la plataforma SECOP II estas entidades. En ese sentido, las entidades que tienen un régimen de contratación exceptuado</w:t>
      </w:r>
      <w:r w:rsidRPr="00CA409A">
        <w:rPr>
          <w:rFonts w:ascii="Verdana" w:hAnsi="Verdana"/>
          <w:spacing w:val="-16"/>
        </w:rPr>
        <w:t xml:space="preserve"> </w:t>
      </w:r>
      <w:r w:rsidRPr="00CA409A">
        <w:rPr>
          <w:rFonts w:ascii="Verdana" w:hAnsi="Verdana"/>
        </w:rPr>
        <w:t>del</w:t>
      </w:r>
      <w:r w:rsidRPr="00CA409A">
        <w:rPr>
          <w:rFonts w:ascii="Verdana" w:hAnsi="Verdana"/>
          <w:spacing w:val="-16"/>
        </w:rPr>
        <w:t xml:space="preserve"> </w:t>
      </w:r>
      <w:r w:rsidRPr="00CA409A">
        <w:rPr>
          <w:rFonts w:ascii="Verdana" w:hAnsi="Verdana"/>
        </w:rPr>
        <w:t>Estatuto</w:t>
      </w:r>
      <w:r w:rsidRPr="00CA409A">
        <w:rPr>
          <w:rFonts w:ascii="Verdana" w:hAnsi="Verdana"/>
          <w:spacing w:val="-16"/>
        </w:rPr>
        <w:t xml:space="preserve"> </w:t>
      </w:r>
      <w:r w:rsidRPr="00CA409A">
        <w:rPr>
          <w:rFonts w:ascii="Verdana" w:hAnsi="Verdana"/>
        </w:rPr>
        <w:t>General</w:t>
      </w:r>
      <w:r w:rsidRPr="00CA409A">
        <w:rPr>
          <w:rFonts w:ascii="Verdana" w:hAnsi="Verdana"/>
          <w:spacing w:val="-17"/>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Contratación</w:t>
      </w:r>
      <w:r w:rsidRPr="00CA409A">
        <w:rPr>
          <w:rFonts w:ascii="Verdana" w:hAnsi="Verdana"/>
          <w:spacing w:val="-16"/>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la</w:t>
      </w:r>
      <w:r w:rsidRPr="00CA409A">
        <w:rPr>
          <w:rFonts w:ascii="Verdana" w:hAnsi="Verdana"/>
          <w:spacing w:val="-17"/>
        </w:rPr>
        <w:t xml:space="preserve"> </w:t>
      </w:r>
      <w:r w:rsidRPr="00CA409A">
        <w:rPr>
          <w:rFonts w:ascii="Verdana" w:hAnsi="Verdana"/>
        </w:rPr>
        <w:t>Administración</w:t>
      </w:r>
      <w:r w:rsidRPr="00CA409A">
        <w:rPr>
          <w:rFonts w:ascii="Verdana" w:hAnsi="Verdana"/>
          <w:spacing w:val="-16"/>
        </w:rPr>
        <w:t xml:space="preserve"> </w:t>
      </w:r>
      <w:r w:rsidRPr="00CA409A">
        <w:rPr>
          <w:rFonts w:ascii="Verdana" w:hAnsi="Verdana"/>
        </w:rPr>
        <w:t xml:space="preserve">Pública tendrán la obligación de publicar </w:t>
      </w:r>
      <w:r>
        <w:rPr>
          <w:rFonts w:ascii="Verdana" w:hAnsi="Verdana"/>
          <w:i/>
        </w:rPr>
        <w:t>“</w:t>
      </w:r>
      <w:r w:rsidRPr="00CA409A">
        <w:rPr>
          <w:rFonts w:ascii="Verdana" w:hAnsi="Verdana"/>
          <w:i/>
        </w:rPr>
        <w:t>los documentos, contratos, actos e información</w:t>
      </w:r>
      <w:r w:rsidRPr="00CA409A">
        <w:rPr>
          <w:rFonts w:ascii="Verdana" w:hAnsi="Verdana"/>
          <w:i/>
          <w:spacing w:val="26"/>
        </w:rPr>
        <w:t xml:space="preserve"> </w:t>
      </w:r>
      <w:r w:rsidRPr="00CA409A">
        <w:rPr>
          <w:rFonts w:ascii="Verdana" w:hAnsi="Verdana"/>
          <w:i/>
        </w:rPr>
        <w:t>generada</w:t>
      </w:r>
      <w:r w:rsidRPr="00CA409A">
        <w:rPr>
          <w:rFonts w:ascii="Verdana" w:hAnsi="Verdana"/>
          <w:i/>
          <w:spacing w:val="28"/>
        </w:rPr>
        <w:t xml:space="preserve"> </w:t>
      </w:r>
      <w:r w:rsidRPr="00CA409A">
        <w:rPr>
          <w:rFonts w:ascii="Verdana" w:hAnsi="Verdana"/>
          <w:i/>
        </w:rPr>
        <w:t>por</w:t>
      </w:r>
      <w:r w:rsidRPr="00CA409A">
        <w:rPr>
          <w:rFonts w:ascii="Verdana" w:hAnsi="Verdana"/>
          <w:i/>
          <w:spacing w:val="28"/>
        </w:rPr>
        <w:t xml:space="preserve"> </w:t>
      </w:r>
      <w:r w:rsidRPr="00CA409A">
        <w:rPr>
          <w:rFonts w:ascii="Verdana" w:hAnsi="Verdana"/>
          <w:i/>
        </w:rPr>
        <w:t>oferentes,</w:t>
      </w:r>
      <w:r w:rsidRPr="00CA409A">
        <w:rPr>
          <w:rFonts w:ascii="Verdana" w:hAnsi="Verdana"/>
          <w:i/>
          <w:spacing w:val="30"/>
        </w:rPr>
        <w:t xml:space="preserve"> </w:t>
      </w:r>
      <w:r w:rsidRPr="00CA409A">
        <w:rPr>
          <w:rFonts w:ascii="Verdana" w:hAnsi="Verdana"/>
          <w:i/>
        </w:rPr>
        <w:t>contratista,</w:t>
      </w:r>
      <w:r w:rsidRPr="00CA409A">
        <w:rPr>
          <w:rFonts w:ascii="Verdana" w:hAnsi="Verdana"/>
          <w:i/>
          <w:spacing w:val="29"/>
        </w:rPr>
        <w:t xml:space="preserve"> </w:t>
      </w:r>
      <w:r w:rsidRPr="00CA409A">
        <w:rPr>
          <w:rFonts w:ascii="Verdana" w:hAnsi="Verdana"/>
          <w:i/>
        </w:rPr>
        <w:t>contratante,</w:t>
      </w:r>
      <w:r w:rsidRPr="00CA409A">
        <w:rPr>
          <w:rFonts w:ascii="Verdana" w:hAnsi="Verdana"/>
          <w:i/>
          <w:spacing w:val="30"/>
        </w:rPr>
        <w:t xml:space="preserve"> </w:t>
      </w:r>
      <w:r w:rsidRPr="00CA409A">
        <w:rPr>
          <w:rFonts w:ascii="Verdana" w:hAnsi="Verdana"/>
          <w:i/>
        </w:rPr>
        <w:t>supervisor</w:t>
      </w:r>
      <w:r w:rsidRPr="00CA409A">
        <w:rPr>
          <w:rFonts w:ascii="Verdana" w:hAnsi="Verdana"/>
          <w:i/>
          <w:spacing w:val="27"/>
        </w:rPr>
        <w:t xml:space="preserve"> </w:t>
      </w:r>
      <w:r w:rsidRPr="00CA409A">
        <w:rPr>
          <w:rFonts w:ascii="Verdana" w:hAnsi="Verdana"/>
          <w:i/>
          <w:spacing w:val="-10"/>
        </w:rPr>
        <w:t>o</w:t>
      </w:r>
      <w:r>
        <w:rPr>
          <w:rFonts w:ascii="Verdana" w:hAnsi="Verdana"/>
          <w:i/>
        </w:rPr>
        <w:t xml:space="preserve"> </w:t>
      </w:r>
      <w:r w:rsidRPr="00CA409A">
        <w:rPr>
          <w:rFonts w:ascii="Verdana" w:hAnsi="Verdana"/>
          <w:i/>
        </w:rPr>
        <w:t xml:space="preserve">interventor, tanto en la etapa precontractual, como en la contractual y la </w:t>
      </w:r>
      <w:proofErr w:type="spellStart"/>
      <w:r w:rsidRPr="00CA409A">
        <w:rPr>
          <w:rFonts w:ascii="Verdana" w:hAnsi="Verdana"/>
          <w:i/>
          <w:spacing w:val="-2"/>
        </w:rPr>
        <w:t>postcontractual</w:t>
      </w:r>
      <w:proofErr w:type="spellEnd"/>
      <w:r>
        <w:rPr>
          <w:rFonts w:ascii="Verdana" w:hAnsi="Verdana"/>
          <w:i/>
          <w:spacing w:val="-2"/>
        </w:rPr>
        <w:t>”</w:t>
      </w:r>
      <w:r w:rsidRPr="00CA409A">
        <w:rPr>
          <w:rFonts w:ascii="Verdana" w:hAnsi="Verdana"/>
          <w:spacing w:val="-2"/>
        </w:rPr>
        <w:t>.</w:t>
      </w:r>
    </w:p>
    <w:p w14:paraId="41AF9951" w14:textId="77777777" w:rsidR="00EB5765" w:rsidRDefault="00EB5765" w:rsidP="00F016F8">
      <w:pPr>
        <w:tabs>
          <w:tab w:val="left" w:pos="142"/>
          <w:tab w:val="left" w:pos="284"/>
          <w:tab w:val="left" w:pos="6975"/>
        </w:tabs>
        <w:spacing w:after="0" w:line="240" w:lineRule="auto"/>
        <w:jc w:val="both"/>
        <w:rPr>
          <w:rFonts w:ascii="Verdana" w:hAnsi="Verdana"/>
          <w:sz w:val="20"/>
          <w:szCs w:val="20"/>
        </w:rPr>
      </w:pPr>
    </w:p>
    <w:p w14:paraId="0265AC56" w14:textId="77777777" w:rsidR="002A5C4A" w:rsidRDefault="00F016F8" w:rsidP="00F016F8">
      <w:pPr>
        <w:tabs>
          <w:tab w:val="left" w:pos="142"/>
          <w:tab w:val="left" w:pos="284"/>
          <w:tab w:val="left" w:pos="6975"/>
        </w:tabs>
        <w:spacing w:after="0" w:line="240" w:lineRule="auto"/>
        <w:jc w:val="both"/>
        <w:rPr>
          <w:rFonts w:ascii="Verdana" w:eastAsia="Calibri" w:hAnsi="Verdana" w:cs="Arial"/>
          <w:b/>
          <w:bCs/>
          <w:lang w:val="es-ES" w:eastAsia="es-ES"/>
        </w:rPr>
      </w:pPr>
      <w:r w:rsidRPr="000D7519">
        <w:rPr>
          <w:rFonts w:ascii="Verdana" w:eastAsia="Calibri" w:hAnsi="Verdana" w:cs="Arial"/>
          <w:b/>
          <w:bCs/>
          <w:lang w:val="es-ES" w:eastAsia="es-ES"/>
        </w:rPr>
        <w:t xml:space="preserve">DOCUMENTOS DEL PROCESO – Noción – Deber de publicación </w:t>
      </w:r>
    </w:p>
    <w:p w14:paraId="44B92131" w14:textId="77777777" w:rsidR="00D02832" w:rsidRDefault="00D02832" w:rsidP="00F016F8">
      <w:pPr>
        <w:tabs>
          <w:tab w:val="left" w:pos="142"/>
          <w:tab w:val="left" w:pos="284"/>
          <w:tab w:val="left" w:pos="6975"/>
        </w:tabs>
        <w:spacing w:after="0" w:line="240" w:lineRule="auto"/>
        <w:jc w:val="both"/>
        <w:rPr>
          <w:rFonts w:ascii="Verdana" w:eastAsia="Calibri" w:hAnsi="Verdana" w:cs="Arial"/>
          <w:b/>
          <w:bCs/>
          <w:lang w:val="es-ES" w:eastAsia="es-ES"/>
        </w:rPr>
      </w:pPr>
    </w:p>
    <w:p w14:paraId="3F8C0EBD" w14:textId="77777777" w:rsidR="00D02832" w:rsidRDefault="00D02832" w:rsidP="00D02832">
      <w:pPr>
        <w:spacing w:after="0" w:line="240" w:lineRule="auto"/>
        <w:ind w:right="130"/>
        <w:jc w:val="both"/>
        <w:rPr>
          <w:rFonts w:ascii="Verdana" w:hAnsi="Verdana"/>
          <w:sz w:val="20"/>
          <w:szCs w:val="20"/>
        </w:rPr>
      </w:pPr>
      <w:r w:rsidRPr="00D02832">
        <w:rPr>
          <w:rFonts w:ascii="Verdana" w:hAnsi="Verdana"/>
          <w:sz w:val="20"/>
          <w:szCs w:val="20"/>
        </w:rPr>
        <w:t>Respecto a los documentos que deben publicarse es evidente que la norma no modifica lo señalado anteriormente por esta Agencia, es decir, no se modifica</w:t>
      </w:r>
      <w:r w:rsidRPr="00D02832">
        <w:rPr>
          <w:rFonts w:ascii="Verdana" w:hAnsi="Verdana"/>
          <w:spacing w:val="-7"/>
          <w:sz w:val="20"/>
          <w:szCs w:val="20"/>
        </w:rPr>
        <w:t xml:space="preserve"> </w:t>
      </w:r>
      <w:r w:rsidRPr="00D02832">
        <w:rPr>
          <w:rFonts w:ascii="Verdana" w:hAnsi="Verdana"/>
          <w:sz w:val="20"/>
          <w:szCs w:val="20"/>
        </w:rPr>
        <w:t>lo</w:t>
      </w:r>
      <w:r w:rsidRPr="00D02832">
        <w:rPr>
          <w:rFonts w:ascii="Verdana" w:hAnsi="Verdana"/>
          <w:spacing w:val="-6"/>
          <w:sz w:val="20"/>
          <w:szCs w:val="20"/>
        </w:rPr>
        <w:t xml:space="preserve"> </w:t>
      </w:r>
      <w:r w:rsidRPr="00D02832">
        <w:rPr>
          <w:rFonts w:ascii="Verdana" w:hAnsi="Verdana"/>
          <w:sz w:val="20"/>
          <w:szCs w:val="20"/>
        </w:rPr>
        <w:t>previsto</w:t>
      </w:r>
      <w:r w:rsidRPr="00D02832">
        <w:rPr>
          <w:rFonts w:ascii="Verdana" w:hAnsi="Verdana"/>
          <w:spacing w:val="-7"/>
          <w:sz w:val="20"/>
          <w:szCs w:val="20"/>
        </w:rPr>
        <w:t xml:space="preserve"> </w:t>
      </w:r>
      <w:r w:rsidRPr="00D02832">
        <w:rPr>
          <w:rFonts w:ascii="Verdana" w:hAnsi="Verdana"/>
          <w:sz w:val="20"/>
          <w:szCs w:val="20"/>
        </w:rPr>
        <w:t>en</w:t>
      </w:r>
      <w:r w:rsidRPr="00D02832">
        <w:rPr>
          <w:rFonts w:ascii="Verdana" w:hAnsi="Verdana"/>
          <w:spacing w:val="-7"/>
          <w:sz w:val="20"/>
          <w:szCs w:val="20"/>
        </w:rPr>
        <w:t xml:space="preserve"> </w:t>
      </w:r>
      <w:r w:rsidRPr="00D02832">
        <w:rPr>
          <w:rFonts w:ascii="Verdana" w:hAnsi="Verdana"/>
          <w:sz w:val="20"/>
          <w:szCs w:val="20"/>
        </w:rPr>
        <w:t>la</w:t>
      </w:r>
      <w:r w:rsidRPr="00D02832">
        <w:rPr>
          <w:rFonts w:ascii="Verdana" w:hAnsi="Verdana"/>
          <w:spacing w:val="-7"/>
          <w:sz w:val="20"/>
          <w:szCs w:val="20"/>
        </w:rPr>
        <w:t xml:space="preserve"> </w:t>
      </w:r>
      <w:r w:rsidRPr="00D02832">
        <w:rPr>
          <w:rFonts w:ascii="Verdana" w:hAnsi="Verdana"/>
          <w:sz w:val="20"/>
          <w:szCs w:val="20"/>
        </w:rPr>
        <w:t>Ley</w:t>
      </w:r>
      <w:r w:rsidRPr="00D02832">
        <w:rPr>
          <w:rFonts w:ascii="Verdana" w:hAnsi="Verdana"/>
          <w:spacing w:val="-8"/>
          <w:sz w:val="20"/>
          <w:szCs w:val="20"/>
        </w:rPr>
        <w:t xml:space="preserve"> </w:t>
      </w:r>
      <w:r w:rsidRPr="00D02832">
        <w:rPr>
          <w:rFonts w:ascii="Verdana" w:hAnsi="Verdana"/>
          <w:sz w:val="20"/>
          <w:szCs w:val="20"/>
        </w:rPr>
        <w:t>1712</w:t>
      </w:r>
      <w:r w:rsidRPr="00D02832">
        <w:rPr>
          <w:rFonts w:ascii="Verdana" w:hAnsi="Verdana"/>
          <w:spacing w:val="-6"/>
          <w:sz w:val="20"/>
          <w:szCs w:val="20"/>
        </w:rPr>
        <w:t xml:space="preserve"> </w:t>
      </w:r>
      <w:r w:rsidRPr="00D02832">
        <w:rPr>
          <w:rFonts w:ascii="Verdana" w:hAnsi="Verdana"/>
          <w:sz w:val="20"/>
          <w:szCs w:val="20"/>
        </w:rPr>
        <w:t>de</w:t>
      </w:r>
      <w:r w:rsidRPr="00D02832">
        <w:rPr>
          <w:rFonts w:ascii="Verdana" w:hAnsi="Verdana"/>
          <w:spacing w:val="-9"/>
          <w:sz w:val="20"/>
          <w:szCs w:val="20"/>
        </w:rPr>
        <w:t xml:space="preserve"> </w:t>
      </w:r>
      <w:r w:rsidRPr="00D02832">
        <w:rPr>
          <w:rFonts w:ascii="Verdana" w:hAnsi="Verdana"/>
          <w:sz w:val="20"/>
          <w:szCs w:val="20"/>
        </w:rPr>
        <w:t>2014,</w:t>
      </w:r>
      <w:r w:rsidRPr="00D02832">
        <w:rPr>
          <w:rFonts w:ascii="Verdana" w:hAnsi="Verdana"/>
          <w:spacing w:val="-8"/>
          <w:sz w:val="20"/>
          <w:szCs w:val="20"/>
        </w:rPr>
        <w:t xml:space="preserve"> </w:t>
      </w:r>
      <w:r w:rsidRPr="00D02832">
        <w:rPr>
          <w:rFonts w:ascii="Verdana" w:hAnsi="Verdana"/>
          <w:sz w:val="20"/>
          <w:szCs w:val="20"/>
        </w:rPr>
        <w:t>en</w:t>
      </w:r>
      <w:r w:rsidRPr="00D02832">
        <w:rPr>
          <w:rFonts w:ascii="Verdana" w:hAnsi="Verdana"/>
          <w:spacing w:val="-7"/>
          <w:sz w:val="20"/>
          <w:szCs w:val="20"/>
        </w:rPr>
        <w:t xml:space="preserve"> </w:t>
      </w:r>
      <w:r w:rsidRPr="00D02832">
        <w:rPr>
          <w:rFonts w:ascii="Verdana" w:hAnsi="Verdana"/>
          <w:sz w:val="20"/>
          <w:szCs w:val="20"/>
        </w:rPr>
        <w:t>cuanto</w:t>
      </w:r>
      <w:r w:rsidRPr="00D02832">
        <w:rPr>
          <w:rFonts w:ascii="Verdana" w:hAnsi="Verdana"/>
          <w:spacing w:val="-6"/>
          <w:sz w:val="20"/>
          <w:szCs w:val="20"/>
        </w:rPr>
        <w:t xml:space="preserve"> </w:t>
      </w:r>
      <w:r w:rsidRPr="00D02832">
        <w:rPr>
          <w:rFonts w:ascii="Verdana" w:hAnsi="Verdana"/>
          <w:sz w:val="20"/>
          <w:szCs w:val="20"/>
        </w:rPr>
        <w:t>que</w:t>
      </w:r>
      <w:r w:rsidRPr="00D02832">
        <w:rPr>
          <w:rFonts w:ascii="Verdana" w:hAnsi="Verdana"/>
          <w:spacing w:val="-7"/>
          <w:sz w:val="20"/>
          <w:szCs w:val="20"/>
        </w:rPr>
        <w:t xml:space="preserve"> </w:t>
      </w:r>
      <w:r w:rsidRPr="00D02832">
        <w:rPr>
          <w:rFonts w:ascii="Verdana" w:hAnsi="Verdana"/>
          <w:sz w:val="20"/>
          <w:szCs w:val="20"/>
        </w:rPr>
        <w:t>se</w:t>
      </w:r>
      <w:r w:rsidRPr="00D02832">
        <w:rPr>
          <w:rFonts w:ascii="Verdana" w:hAnsi="Verdana"/>
          <w:spacing w:val="-6"/>
          <w:sz w:val="20"/>
          <w:szCs w:val="20"/>
        </w:rPr>
        <w:t xml:space="preserve"> </w:t>
      </w:r>
      <w:r w:rsidRPr="00D02832">
        <w:rPr>
          <w:rFonts w:ascii="Verdana" w:hAnsi="Verdana"/>
          <w:sz w:val="20"/>
          <w:szCs w:val="20"/>
        </w:rPr>
        <w:t>publicará</w:t>
      </w:r>
      <w:r w:rsidRPr="00D02832">
        <w:rPr>
          <w:rFonts w:ascii="Verdana" w:hAnsi="Verdana"/>
          <w:spacing w:val="-7"/>
          <w:sz w:val="20"/>
          <w:szCs w:val="20"/>
        </w:rPr>
        <w:t xml:space="preserve"> </w:t>
      </w:r>
      <w:r w:rsidRPr="00D02832">
        <w:rPr>
          <w:rFonts w:ascii="Verdana" w:hAnsi="Verdana"/>
          <w:sz w:val="20"/>
          <w:szCs w:val="20"/>
        </w:rPr>
        <w:t>toda la</w:t>
      </w:r>
      <w:r w:rsidRPr="00D02832">
        <w:rPr>
          <w:rFonts w:ascii="Verdana" w:hAnsi="Verdana"/>
          <w:spacing w:val="-3"/>
          <w:sz w:val="20"/>
          <w:szCs w:val="20"/>
        </w:rPr>
        <w:t xml:space="preserve"> </w:t>
      </w:r>
      <w:r w:rsidRPr="00D02832">
        <w:rPr>
          <w:rFonts w:ascii="Verdana" w:hAnsi="Verdana"/>
          <w:sz w:val="20"/>
          <w:szCs w:val="20"/>
        </w:rPr>
        <w:t>información</w:t>
      </w:r>
      <w:r w:rsidRPr="00D02832">
        <w:rPr>
          <w:rFonts w:ascii="Verdana" w:hAnsi="Verdana"/>
          <w:spacing w:val="-2"/>
          <w:sz w:val="20"/>
          <w:szCs w:val="20"/>
        </w:rPr>
        <w:t xml:space="preserve"> </w:t>
      </w:r>
      <w:r w:rsidRPr="00D02832">
        <w:rPr>
          <w:rFonts w:ascii="Verdana" w:hAnsi="Verdana"/>
          <w:sz w:val="20"/>
          <w:szCs w:val="20"/>
        </w:rPr>
        <w:t>que</w:t>
      </w:r>
      <w:r w:rsidRPr="00D02832">
        <w:rPr>
          <w:rFonts w:ascii="Verdana" w:hAnsi="Verdana"/>
          <w:spacing w:val="-2"/>
          <w:sz w:val="20"/>
          <w:szCs w:val="20"/>
        </w:rPr>
        <w:t xml:space="preserve"> </w:t>
      </w:r>
      <w:r w:rsidRPr="00D02832">
        <w:rPr>
          <w:rFonts w:ascii="Verdana" w:hAnsi="Verdana"/>
          <w:sz w:val="20"/>
          <w:szCs w:val="20"/>
        </w:rPr>
        <w:t>se</w:t>
      </w:r>
      <w:r w:rsidRPr="00D02832">
        <w:rPr>
          <w:rFonts w:ascii="Verdana" w:hAnsi="Verdana"/>
          <w:spacing w:val="-4"/>
          <w:sz w:val="20"/>
          <w:szCs w:val="20"/>
        </w:rPr>
        <w:t xml:space="preserve"> </w:t>
      </w:r>
      <w:r w:rsidRPr="00D02832">
        <w:rPr>
          <w:rFonts w:ascii="Verdana" w:hAnsi="Verdana"/>
          <w:sz w:val="20"/>
          <w:szCs w:val="20"/>
        </w:rPr>
        <w:t>genere</w:t>
      </w:r>
      <w:r w:rsidRPr="00D02832">
        <w:rPr>
          <w:rFonts w:ascii="Verdana" w:hAnsi="Verdana"/>
          <w:spacing w:val="-2"/>
          <w:sz w:val="20"/>
          <w:szCs w:val="20"/>
        </w:rPr>
        <w:t xml:space="preserve"> </w:t>
      </w:r>
      <w:r w:rsidRPr="00D02832">
        <w:rPr>
          <w:rFonts w:ascii="Verdana" w:hAnsi="Verdana"/>
          <w:sz w:val="20"/>
          <w:szCs w:val="20"/>
        </w:rPr>
        <w:t>en</w:t>
      </w:r>
      <w:r w:rsidRPr="00D02832">
        <w:rPr>
          <w:rFonts w:ascii="Verdana" w:hAnsi="Verdana"/>
          <w:spacing w:val="-2"/>
          <w:sz w:val="20"/>
          <w:szCs w:val="20"/>
        </w:rPr>
        <w:t xml:space="preserve"> </w:t>
      </w:r>
      <w:r w:rsidRPr="00D02832">
        <w:rPr>
          <w:rFonts w:ascii="Verdana" w:hAnsi="Verdana"/>
          <w:sz w:val="20"/>
          <w:szCs w:val="20"/>
        </w:rPr>
        <w:t>la</w:t>
      </w:r>
      <w:r w:rsidRPr="00D02832">
        <w:rPr>
          <w:rFonts w:ascii="Verdana" w:hAnsi="Verdana"/>
          <w:spacing w:val="-5"/>
          <w:sz w:val="20"/>
          <w:szCs w:val="20"/>
        </w:rPr>
        <w:t xml:space="preserve"> </w:t>
      </w:r>
      <w:r w:rsidRPr="00D02832">
        <w:rPr>
          <w:rFonts w:ascii="Verdana" w:hAnsi="Verdana"/>
          <w:sz w:val="20"/>
          <w:szCs w:val="20"/>
        </w:rPr>
        <w:t>actividad</w:t>
      </w:r>
      <w:r w:rsidRPr="00D02832">
        <w:rPr>
          <w:rFonts w:ascii="Verdana" w:hAnsi="Verdana"/>
          <w:spacing w:val="-3"/>
          <w:sz w:val="20"/>
          <w:szCs w:val="20"/>
        </w:rPr>
        <w:t xml:space="preserve"> </w:t>
      </w:r>
      <w:r w:rsidRPr="00D02832">
        <w:rPr>
          <w:rFonts w:ascii="Verdana" w:hAnsi="Verdana"/>
          <w:sz w:val="20"/>
          <w:szCs w:val="20"/>
        </w:rPr>
        <w:t>contractual,</w:t>
      </w:r>
      <w:r w:rsidRPr="00D02832">
        <w:rPr>
          <w:rFonts w:ascii="Verdana" w:hAnsi="Verdana"/>
          <w:spacing w:val="-2"/>
          <w:sz w:val="20"/>
          <w:szCs w:val="20"/>
        </w:rPr>
        <w:t xml:space="preserve"> </w:t>
      </w:r>
      <w:r w:rsidRPr="00D02832">
        <w:rPr>
          <w:rFonts w:ascii="Verdana" w:hAnsi="Verdana"/>
          <w:sz w:val="20"/>
          <w:szCs w:val="20"/>
        </w:rPr>
        <w:t>salvo</w:t>
      </w:r>
      <w:r w:rsidRPr="00D02832">
        <w:rPr>
          <w:rFonts w:ascii="Verdana" w:hAnsi="Verdana"/>
          <w:spacing w:val="-2"/>
          <w:sz w:val="20"/>
          <w:szCs w:val="20"/>
        </w:rPr>
        <w:t xml:space="preserve"> </w:t>
      </w:r>
      <w:r w:rsidRPr="00D02832">
        <w:rPr>
          <w:rFonts w:ascii="Verdana" w:hAnsi="Verdana"/>
          <w:sz w:val="20"/>
          <w:szCs w:val="20"/>
        </w:rPr>
        <w:t>a</w:t>
      </w:r>
      <w:r w:rsidRPr="00D02832">
        <w:rPr>
          <w:rFonts w:ascii="Verdana" w:hAnsi="Verdana"/>
          <w:spacing w:val="-3"/>
          <w:sz w:val="20"/>
          <w:szCs w:val="20"/>
        </w:rPr>
        <w:t xml:space="preserve"> </w:t>
      </w:r>
      <w:r w:rsidRPr="00D02832">
        <w:rPr>
          <w:rFonts w:ascii="Verdana" w:hAnsi="Verdana"/>
          <w:sz w:val="20"/>
          <w:szCs w:val="20"/>
        </w:rPr>
        <w:t>aquello</w:t>
      </w:r>
      <w:r w:rsidRPr="00D02832">
        <w:rPr>
          <w:rFonts w:ascii="Verdana" w:hAnsi="Verdana"/>
          <w:spacing w:val="-2"/>
          <w:sz w:val="20"/>
          <w:szCs w:val="20"/>
        </w:rPr>
        <w:t xml:space="preserve"> </w:t>
      </w:r>
      <w:r w:rsidRPr="00D02832">
        <w:rPr>
          <w:rFonts w:ascii="Verdana" w:hAnsi="Verdana"/>
          <w:sz w:val="20"/>
          <w:szCs w:val="20"/>
        </w:rPr>
        <w:t>que sea sujeto a reserva legal.</w:t>
      </w:r>
    </w:p>
    <w:p w14:paraId="4E359F11" w14:textId="77777777" w:rsidR="00D02832" w:rsidRPr="00D02832" w:rsidRDefault="00D02832" w:rsidP="00D02832">
      <w:pPr>
        <w:spacing w:after="0" w:line="240" w:lineRule="auto"/>
        <w:ind w:right="130"/>
        <w:jc w:val="both"/>
        <w:rPr>
          <w:rFonts w:ascii="Verdana" w:hAnsi="Verdana"/>
          <w:i/>
          <w:sz w:val="20"/>
          <w:szCs w:val="20"/>
        </w:rPr>
      </w:pPr>
    </w:p>
    <w:p w14:paraId="33CC4BFE" w14:textId="7B1E3CBA" w:rsidR="00D02832" w:rsidRPr="00D02832" w:rsidRDefault="00D02832" w:rsidP="00D02832">
      <w:pPr>
        <w:tabs>
          <w:tab w:val="left" w:pos="142"/>
          <w:tab w:val="left" w:pos="284"/>
          <w:tab w:val="left" w:pos="6975"/>
        </w:tabs>
        <w:spacing w:after="0" w:line="240" w:lineRule="auto"/>
        <w:jc w:val="both"/>
        <w:rPr>
          <w:rFonts w:ascii="Verdana" w:eastAsia="Calibri" w:hAnsi="Verdana" w:cs="Arial"/>
          <w:b/>
          <w:bCs/>
          <w:sz w:val="20"/>
          <w:szCs w:val="20"/>
          <w:lang w:val="es-ES" w:eastAsia="es-ES"/>
        </w:rPr>
      </w:pPr>
      <w:r w:rsidRPr="00D02832">
        <w:rPr>
          <w:rFonts w:ascii="Verdana" w:hAnsi="Verdana"/>
          <w:sz w:val="20"/>
          <w:szCs w:val="20"/>
        </w:rPr>
        <w:t>Ahora</w:t>
      </w:r>
      <w:r w:rsidRPr="00D02832">
        <w:rPr>
          <w:rFonts w:ascii="Verdana" w:hAnsi="Verdana"/>
          <w:spacing w:val="-5"/>
          <w:sz w:val="20"/>
          <w:szCs w:val="20"/>
        </w:rPr>
        <w:t xml:space="preserve"> </w:t>
      </w:r>
      <w:r w:rsidRPr="00D02832">
        <w:rPr>
          <w:rFonts w:ascii="Verdana" w:hAnsi="Verdana"/>
          <w:sz w:val="20"/>
          <w:szCs w:val="20"/>
        </w:rPr>
        <w:t>bien,</w:t>
      </w:r>
      <w:r w:rsidRPr="00D02832">
        <w:rPr>
          <w:rFonts w:ascii="Verdana" w:hAnsi="Verdana"/>
          <w:spacing w:val="-3"/>
          <w:sz w:val="20"/>
          <w:szCs w:val="20"/>
        </w:rPr>
        <w:t xml:space="preserve"> </w:t>
      </w:r>
      <w:r w:rsidRPr="00D02832">
        <w:rPr>
          <w:rFonts w:ascii="Verdana" w:hAnsi="Verdana"/>
          <w:sz w:val="20"/>
          <w:szCs w:val="20"/>
        </w:rPr>
        <w:t>dado</w:t>
      </w:r>
      <w:r w:rsidRPr="00D02832">
        <w:rPr>
          <w:rFonts w:ascii="Verdana" w:hAnsi="Verdana"/>
          <w:spacing w:val="-4"/>
          <w:sz w:val="20"/>
          <w:szCs w:val="20"/>
        </w:rPr>
        <w:t xml:space="preserve"> </w:t>
      </w:r>
      <w:r w:rsidRPr="00D02832">
        <w:rPr>
          <w:rFonts w:ascii="Verdana" w:hAnsi="Verdana"/>
          <w:sz w:val="20"/>
          <w:szCs w:val="20"/>
        </w:rPr>
        <w:t>que</w:t>
      </w:r>
      <w:r w:rsidRPr="00D02832">
        <w:rPr>
          <w:rFonts w:ascii="Verdana" w:hAnsi="Verdana"/>
          <w:spacing w:val="-5"/>
          <w:sz w:val="20"/>
          <w:szCs w:val="20"/>
        </w:rPr>
        <w:t xml:space="preserve"> </w:t>
      </w:r>
      <w:r w:rsidRPr="00D02832">
        <w:rPr>
          <w:rFonts w:ascii="Verdana" w:hAnsi="Verdana"/>
          <w:sz w:val="20"/>
          <w:szCs w:val="20"/>
        </w:rPr>
        <w:t>el</w:t>
      </w:r>
      <w:r w:rsidRPr="00D02832">
        <w:rPr>
          <w:rFonts w:ascii="Verdana" w:hAnsi="Verdana"/>
          <w:spacing w:val="-5"/>
          <w:sz w:val="20"/>
          <w:szCs w:val="20"/>
        </w:rPr>
        <w:t xml:space="preserve"> </w:t>
      </w:r>
      <w:r w:rsidRPr="00D02832">
        <w:rPr>
          <w:rFonts w:ascii="Verdana" w:hAnsi="Verdana"/>
          <w:sz w:val="20"/>
          <w:szCs w:val="20"/>
        </w:rPr>
        <w:t>artículo</w:t>
      </w:r>
      <w:r w:rsidRPr="00D02832">
        <w:rPr>
          <w:rFonts w:ascii="Verdana" w:hAnsi="Verdana"/>
          <w:spacing w:val="-4"/>
          <w:sz w:val="20"/>
          <w:szCs w:val="20"/>
        </w:rPr>
        <w:t xml:space="preserve"> </w:t>
      </w:r>
      <w:r w:rsidRPr="00D02832">
        <w:rPr>
          <w:rFonts w:ascii="Verdana" w:hAnsi="Verdana"/>
          <w:sz w:val="20"/>
          <w:szCs w:val="20"/>
        </w:rPr>
        <w:t>53</w:t>
      </w:r>
      <w:r w:rsidRPr="00D02832">
        <w:rPr>
          <w:rFonts w:ascii="Verdana" w:hAnsi="Verdana"/>
          <w:spacing w:val="-3"/>
          <w:sz w:val="20"/>
          <w:szCs w:val="20"/>
        </w:rPr>
        <w:t xml:space="preserve"> </w:t>
      </w:r>
      <w:r w:rsidRPr="00D02832">
        <w:rPr>
          <w:rFonts w:ascii="Verdana" w:hAnsi="Verdana"/>
          <w:sz w:val="20"/>
          <w:szCs w:val="20"/>
        </w:rPr>
        <w:t>de</w:t>
      </w:r>
      <w:r w:rsidRPr="00D02832">
        <w:rPr>
          <w:rFonts w:ascii="Verdana" w:hAnsi="Verdana"/>
          <w:spacing w:val="-4"/>
          <w:sz w:val="20"/>
          <w:szCs w:val="20"/>
        </w:rPr>
        <w:t xml:space="preserve"> </w:t>
      </w:r>
      <w:r w:rsidRPr="00D02832">
        <w:rPr>
          <w:rFonts w:ascii="Verdana" w:hAnsi="Verdana"/>
          <w:sz w:val="20"/>
          <w:szCs w:val="20"/>
        </w:rPr>
        <w:t>la</w:t>
      </w:r>
      <w:r w:rsidRPr="00D02832">
        <w:rPr>
          <w:rFonts w:ascii="Verdana" w:hAnsi="Verdana"/>
          <w:spacing w:val="-5"/>
          <w:sz w:val="20"/>
          <w:szCs w:val="20"/>
        </w:rPr>
        <w:t xml:space="preserve"> </w:t>
      </w:r>
      <w:r w:rsidRPr="00D02832">
        <w:rPr>
          <w:rFonts w:ascii="Verdana" w:hAnsi="Verdana"/>
          <w:sz w:val="20"/>
          <w:szCs w:val="20"/>
        </w:rPr>
        <w:t>Ley</w:t>
      </w:r>
      <w:r w:rsidRPr="00D02832">
        <w:rPr>
          <w:rFonts w:ascii="Verdana" w:hAnsi="Verdana"/>
          <w:spacing w:val="-6"/>
          <w:sz w:val="20"/>
          <w:szCs w:val="20"/>
        </w:rPr>
        <w:t xml:space="preserve"> </w:t>
      </w:r>
      <w:r w:rsidRPr="00D02832">
        <w:rPr>
          <w:rFonts w:ascii="Verdana" w:hAnsi="Verdana"/>
          <w:sz w:val="20"/>
          <w:szCs w:val="20"/>
        </w:rPr>
        <w:t>2195</w:t>
      </w:r>
      <w:r w:rsidRPr="00D02832">
        <w:rPr>
          <w:rFonts w:ascii="Verdana" w:hAnsi="Verdana"/>
          <w:spacing w:val="-3"/>
          <w:sz w:val="20"/>
          <w:szCs w:val="20"/>
        </w:rPr>
        <w:t xml:space="preserve"> </w:t>
      </w:r>
      <w:r w:rsidRPr="00D02832">
        <w:rPr>
          <w:rFonts w:ascii="Verdana" w:hAnsi="Verdana"/>
          <w:sz w:val="20"/>
          <w:szCs w:val="20"/>
        </w:rPr>
        <w:t>de</w:t>
      </w:r>
      <w:r w:rsidRPr="00D02832">
        <w:rPr>
          <w:rFonts w:ascii="Verdana" w:hAnsi="Verdana"/>
          <w:spacing w:val="-6"/>
          <w:sz w:val="20"/>
          <w:szCs w:val="20"/>
        </w:rPr>
        <w:t xml:space="preserve"> </w:t>
      </w:r>
      <w:r w:rsidRPr="00D02832">
        <w:rPr>
          <w:rFonts w:ascii="Verdana" w:hAnsi="Verdana"/>
          <w:sz w:val="20"/>
          <w:szCs w:val="20"/>
        </w:rPr>
        <w:t>2022</w:t>
      </w:r>
      <w:r w:rsidRPr="00D02832">
        <w:rPr>
          <w:rFonts w:ascii="Verdana" w:hAnsi="Verdana"/>
          <w:spacing w:val="-3"/>
          <w:sz w:val="20"/>
          <w:szCs w:val="20"/>
        </w:rPr>
        <w:t xml:space="preserve"> </w:t>
      </w:r>
      <w:r w:rsidRPr="00D02832">
        <w:rPr>
          <w:rFonts w:ascii="Verdana" w:hAnsi="Verdana"/>
          <w:sz w:val="20"/>
          <w:szCs w:val="20"/>
        </w:rPr>
        <w:t>señala,</w:t>
      </w:r>
      <w:r w:rsidRPr="00D02832">
        <w:rPr>
          <w:rFonts w:ascii="Verdana" w:hAnsi="Verdana"/>
          <w:spacing w:val="-3"/>
          <w:sz w:val="20"/>
          <w:szCs w:val="20"/>
        </w:rPr>
        <w:t xml:space="preserve"> </w:t>
      </w:r>
      <w:r w:rsidRPr="00D02832">
        <w:rPr>
          <w:rFonts w:ascii="Verdana" w:hAnsi="Verdana"/>
          <w:sz w:val="20"/>
          <w:szCs w:val="20"/>
        </w:rPr>
        <w:t>de</w:t>
      </w:r>
      <w:r w:rsidRPr="00D02832">
        <w:rPr>
          <w:rFonts w:ascii="Verdana" w:hAnsi="Verdana"/>
          <w:spacing w:val="-4"/>
          <w:sz w:val="20"/>
          <w:szCs w:val="20"/>
        </w:rPr>
        <w:t xml:space="preserve"> </w:t>
      </w:r>
      <w:r w:rsidRPr="00D02832">
        <w:rPr>
          <w:rFonts w:ascii="Verdana" w:hAnsi="Verdana"/>
          <w:sz w:val="20"/>
          <w:szCs w:val="20"/>
        </w:rPr>
        <w:t xml:space="preserve">forma expresa, que esa norma está dirigida a las Entidades Estatales </w:t>
      </w:r>
      <w:r w:rsidRPr="00D02832">
        <w:rPr>
          <w:rFonts w:ascii="Verdana" w:hAnsi="Verdana"/>
          <w:i/>
          <w:sz w:val="20"/>
          <w:szCs w:val="20"/>
        </w:rPr>
        <w:t>“que por disposición legal cuenten con un régimen contractual excepcional al del Estatuto General de Contratación de la Administración Pública”</w:t>
      </w:r>
      <w:r w:rsidRPr="00D02832">
        <w:rPr>
          <w:rFonts w:ascii="Verdana" w:hAnsi="Verdana"/>
          <w:sz w:val="20"/>
          <w:szCs w:val="20"/>
        </w:rPr>
        <w:t>, por consiguiente, se puede concluir que las Empresas Sociales del Estado del orden nacional o territorial se encuentran obligadas a publicar su actividad contractual</w:t>
      </w:r>
      <w:r w:rsidRPr="00D02832">
        <w:rPr>
          <w:rFonts w:ascii="Verdana" w:hAnsi="Verdana"/>
          <w:spacing w:val="-4"/>
          <w:sz w:val="20"/>
          <w:szCs w:val="20"/>
        </w:rPr>
        <w:t xml:space="preserve"> </w:t>
      </w:r>
      <w:r w:rsidRPr="00D02832">
        <w:rPr>
          <w:rFonts w:ascii="Verdana" w:hAnsi="Verdana"/>
          <w:sz w:val="20"/>
          <w:szCs w:val="20"/>
        </w:rPr>
        <w:t>en</w:t>
      </w:r>
      <w:r w:rsidRPr="00D02832">
        <w:rPr>
          <w:rFonts w:ascii="Verdana" w:hAnsi="Verdana"/>
          <w:spacing w:val="-3"/>
          <w:sz w:val="20"/>
          <w:szCs w:val="20"/>
        </w:rPr>
        <w:t xml:space="preserve"> </w:t>
      </w:r>
      <w:r w:rsidRPr="00D02832">
        <w:rPr>
          <w:rFonts w:ascii="Verdana" w:hAnsi="Verdana"/>
          <w:sz w:val="20"/>
          <w:szCs w:val="20"/>
        </w:rPr>
        <w:t>la</w:t>
      </w:r>
      <w:r w:rsidRPr="00D02832">
        <w:rPr>
          <w:rFonts w:ascii="Verdana" w:hAnsi="Verdana"/>
          <w:spacing w:val="-1"/>
          <w:sz w:val="20"/>
          <w:szCs w:val="20"/>
        </w:rPr>
        <w:t xml:space="preserve"> </w:t>
      </w:r>
      <w:r w:rsidRPr="00D02832">
        <w:rPr>
          <w:rFonts w:ascii="Verdana" w:hAnsi="Verdana"/>
          <w:sz w:val="20"/>
          <w:szCs w:val="20"/>
        </w:rPr>
        <w:t>plataforma</w:t>
      </w:r>
      <w:r w:rsidRPr="00D02832">
        <w:rPr>
          <w:rFonts w:ascii="Verdana" w:hAnsi="Verdana"/>
          <w:spacing w:val="-4"/>
          <w:sz w:val="20"/>
          <w:szCs w:val="20"/>
        </w:rPr>
        <w:t xml:space="preserve"> </w:t>
      </w:r>
      <w:r w:rsidRPr="00D02832">
        <w:rPr>
          <w:rFonts w:ascii="Verdana" w:hAnsi="Verdana"/>
          <w:sz w:val="20"/>
          <w:szCs w:val="20"/>
        </w:rPr>
        <w:t>SECOP</w:t>
      </w:r>
      <w:r w:rsidRPr="00D02832">
        <w:rPr>
          <w:rFonts w:ascii="Verdana" w:hAnsi="Verdana"/>
          <w:spacing w:val="-2"/>
          <w:sz w:val="20"/>
          <w:szCs w:val="20"/>
        </w:rPr>
        <w:t xml:space="preserve"> </w:t>
      </w:r>
      <w:r w:rsidRPr="00D02832">
        <w:rPr>
          <w:rFonts w:ascii="Verdana" w:hAnsi="Verdana"/>
          <w:sz w:val="20"/>
          <w:szCs w:val="20"/>
        </w:rPr>
        <w:t>II,</w:t>
      </w:r>
      <w:r w:rsidRPr="00D02832">
        <w:rPr>
          <w:rFonts w:ascii="Verdana" w:hAnsi="Verdana"/>
          <w:spacing w:val="-2"/>
          <w:sz w:val="20"/>
          <w:szCs w:val="20"/>
        </w:rPr>
        <w:t xml:space="preserve"> </w:t>
      </w:r>
      <w:r w:rsidRPr="00D02832">
        <w:rPr>
          <w:rFonts w:ascii="Verdana" w:hAnsi="Verdana"/>
          <w:sz w:val="20"/>
          <w:szCs w:val="20"/>
        </w:rPr>
        <w:t>siempre</w:t>
      </w:r>
      <w:r w:rsidRPr="00D02832">
        <w:rPr>
          <w:rFonts w:ascii="Verdana" w:hAnsi="Verdana"/>
          <w:spacing w:val="-2"/>
          <w:sz w:val="20"/>
          <w:szCs w:val="20"/>
        </w:rPr>
        <w:t xml:space="preserve"> </w:t>
      </w:r>
      <w:r w:rsidRPr="00D02832">
        <w:rPr>
          <w:rFonts w:ascii="Verdana" w:hAnsi="Verdana"/>
          <w:sz w:val="20"/>
          <w:szCs w:val="20"/>
        </w:rPr>
        <w:t>y</w:t>
      </w:r>
      <w:r w:rsidRPr="00D02832">
        <w:rPr>
          <w:rFonts w:ascii="Verdana" w:hAnsi="Verdana"/>
          <w:spacing w:val="-4"/>
          <w:sz w:val="20"/>
          <w:szCs w:val="20"/>
        </w:rPr>
        <w:t xml:space="preserve"> </w:t>
      </w:r>
      <w:r w:rsidRPr="00D02832">
        <w:rPr>
          <w:rFonts w:ascii="Verdana" w:hAnsi="Verdana"/>
          <w:sz w:val="20"/>
          <w:szCs w:val="20"/>
        </w:rPr>
        <w:t>cuando</w:t>
      </w:r>
      <w:r w:rsidRPr="00D02832">
        <w:rPr>
          <w:rFonts w:ascii="Verdana" w:hAnsi="Verdana"/>
          <w:spacing w:val="-2"/>
          <w:sz w:val="20"/>
          <w:szCs w:val="20"/>
        </w:rPr>
        <w:t xml:space="preserve"> </w:t>
      </w:r>
      <w:r w:rsidRPr="00D02832">
        <w:rPr>
          <w:rFonts w:ascii="Verdana" w:hAnsi="Verdana"/>
          <w:sz w:val="20"/>
          <w:szCs w:val="20"/>
        </w:rPr>
        <w:t>tenga</w:t>
      </w:r>
      <w:r w:rsidRPr="00D02832">
        <w:rPr>
          <w:rFonts w:ascii="Verdana" w:hAnsi="Verdana"/>
          <w:spacing w:val="-1"/>
          <w:sz w:val="20"/>
          <w:szCs w:val="20"/>
        </w:rPr>
        <w:t xml:space="preserve"> </w:t>
      </w:r>
      <w:r w:rsidRPr="00D02832">
        <w:rPr>
          <w:rFonts w:ascii="Verdana" w:hAnsi="Verdana"/>
          <w:sz w:val="20"/>
          <w:szCs w:val="20"/>
        </w:rPr>
        <w:t>como</w:t>
      </w:r>
      <w:r w:rsidRPr="00D02832">
        <w:rPr>
          <w:rFonts w:ascii="Verdana" w:hAnsi="Verdana"/>
          <w:spacing w:val="-2"/>
          <w:sz w:val="20"/>
          <w:szCs w:val="20"/>
        </w:rPr>
        <w:t xml:space="preserve"> </w:t>
      </w:r>
      <w:r w:rsidRPr="00D02832">
        <w:rPr>
          <w:rFonts w:ascii="Verdana" w:hAnsi="Verdana"/>
          <w:sz w:val="20"/>
          <w:szCs w:val="20"/>
        </w:rPr>
        <w:t>fuente de financiación recursos públicos.</w:t>
      </w:r>
    </w:p>
    <w:p w14:paraId="05B02CB6" w14:textId="77777777" w:rsidR="002A5C4A" w:rsidRPr="000D7519" w:rsidRDefault="002A5C4A" w:rsidP="00F016F8">
      <w:pPr>
        <w:tabs>
          <w:tab w:val="left" w:pos="142"/>
          <w:tab w:val="left" w:pos="284"/>
          <w:tab w:val="left" w:pos="6975"/>
        </w:tabs>
        <w:spacing w:after="0" w:line="240" w:lineRule="auto"/>
        <w:jc w:val="both"/>
        <w:rPr>
          <w:rFonts w:ascii="Verdana" w:eastAsia="Calibri" w:hAnsi="Verdana" w:cs="Arial"/>
          <w:b/>
          <w:bCs/>
          <w:lang w:val="es-ES" w:eastAsia="es-ES"/>
        </w:rPr>
      </w:pPr>
    </w:p>
    <w:p w14:paraId="64896284"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Propósito </w:t>
      </w:r>
    </w:p>
    <w:p w14:paraId="5961FE0F" w14:textId="77777777" w:rsidR="00235A59" w:rsidRDefault="00235A59" w:rsidP="00F016F8">
      <w:pPr>
        <w:tabs>
          <w:tab w:val="left" w:pos="142"/>
          <w:tab w:val="left" w:pos="284"/>
          <w:tab w:val="left" w:pos="6975"/>
        </w:tabs>
        <w:spacing w:after="0" w:line="240" w:lineRule="auto"/>
        <w:jc w:val="both"/>
        <w:rPr>
          <w:rFonts w:ascii="Verdana" w:hAnsi="Verdana" w:cs="Arial"/>
          <w:b/>
          <w:bCs/>
          <w:color w:val="000000" w:themeColor="text1"/>
        </w:rPr>
      </w:pPr>
    </w:p>
    <w:p w14:paraId="38DF879A" w14:textId="7C77A1FF" w:rsidR="00235A59" w:rsidRDefault="009F0B8F" w:rsidP="00F016F8">
      <w:pPr>
        <w:tabs>
          <w:tab w:val="left" w:pos="142"/>
          <w:tab w:val="left" w:pos="284"/>
          <w:tab w:val="left" w:pos="6975"/>
        </w:tabs>
        <w:spacing w:after="0" w:line="240" w:lineRule="auto"/>
        <w:jc w:val="both"/>
        <w:rPr>
          <w:rFonts w:ascii="Verdana" w:eastAsia="Times New Roman" w:hAnsi="Verdana" w:cs="Arial"/>
          <w:bCs/>
          <w:sz w:val="20"/>
          <w:szCs w:val="20"/>
          <w:lang w:eastAsia="es-CO"/>
        </w:rPr>
      </w:pPr>
      <w:r w:rsidRPr="00414F0E">
        <w:rPr>
          <w:rFonts w:ascii="Verdana" w:hAnsi="Verdana" w:cs="Arial"/>
          <w:color w:val="000000" w:themeColor="text1"/>
          <w:sz w:val="20"/>
          <w:szCs w:val="20"/>
        </w:rPr>
        <w:t xml:space="preserve">[…] </w:t>
      </w:r>
      <w:r w:rsidRPr="00414F0E">
        <w:rPr>
          <w:rFonts w:ascii="Verdana" w:eastAsia="Times New Roman" w:hAnsi="Verdana" w:cs="Arial"/>
          <w:sz w:val="20"/>
          <w:szCs w:val="20"/>
          <w:lang w:eastAsia="es-CO"/>
        </w:rPr>
        <w:t xml:space="preserve">la Ley 996 de 2005 </w:t>
      </w:r>
      <w:r w:rsidR="00414F0E" w:rsidRPr="00414F0E">
        <w:rPr>
          <w:rFonts w:ascii="Verdana" w:eastAsia="Times New Roman" w:hAnsi="Verdana" w:cs="Arial"/>
          <w:sz w:val="20"/>
          <w:szCs w:val="20"/>
          <w:lang w:eastAsia="es-CO"/>
        </w:rPr>
        <w:t xml:space="preserve">[…] </w:t>
      </w:r>
      <w:r w:rsidR="00414F0E" w:rsidRPr="00414F0E">
        <w:rPr>
          <w:rFonts w:ascii="Verdana" w:eastAsia="Times New Roman" w:hAnsi="Verdana" w:cs="Arial"/>
          <w:bCs/>
          <w:sz w:val="20"/>
          <w:szCs w:val="20"/>
          <w:lang w:eastAsia="es-CO"/>
        </w:rPr>
        <w:t>tiene como propósito evitar cualquier tipo de arbitrariedad, de ventaja injustificada, de uso irregular de los recursos del Estado en las campañas o falta de garantías en la elección presidencial</w:t>
      </w:r>
      <w:r w:rsidR="00414F0E">
        <w:rPr>
          <w:rFonts w:ascii="Verdana" w:eastAsia="Times New Roman" w:hAnsi="Verdana" w:cs="Arial"/>
          <w:bCs/>
          <w:sz w:val="20"/>
          <w:szCs w:val="20"/>
          <w:lang w:eastAsia="es-CO"/>
        </w:rPr>
        <w:t>.</w:t>
      </w:r>
    </w:p>
    <w:p w14:paraId="3F6E29AF" w14:textId="77777777" w:rsidR="00414F0E" w:rsidRDefault="00414F0E" w:rsidP="00F016F8">
      <w:pPr>
        <w:tabs>
          <w:tab w:val="left" w:pos="142"/>
          <w:tab w:val="left" w:pos="284"/>
          <w:tab w:val="left" w:pos="6975"/>
        </w:tabs>
        <w:spacing w:after="0" w:line="240" w:lineRule="auto"/>
        <w:jc w:val="both"/>
        <w:rPr>
          <w:rFonts w:ascii="Verdana" w:eastAsia="Times New Roman" w:hAnsi="Verdana" w:cs="Arial"/>
          <w:bCs/>
          <w:sz w:val="20"/>
          <w:szCs w:val="20"/>
          <w:lang w:eastAsia="es-CO"/>
        </w:rPr>
      </w:pPr>
    </w:p>
    <w:p w14:paraId="364DD363" w14:textId="77777777" w:rsidR="004620BC"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LEY DE GARANTÍAS ELECTORALES – Prohibiciones – Restricciones</w:t>
      </w:r>
    </w:p>
    <w:p w14:paraId="12BD298A" w14:textId="77777777" w:rsidR="004620BC" w:rsidRDefault="004620BC" w:rsidP="00F016F8">
      <w:pPr>
        <w:tabs>
          <w:tab w:val="left" w:pos="142"/>
          <w:tab w:val="left" w:pos="284"/>
          <w:tab w:val="left" w:pos="6975"/>
        </w:tabs>
        <w:spacing w:after="0" w:line="240" w:lineRule="auto"/>
        <w:jc w:val="both"/>
        <w:rPr>
          <w:rFonts w:ascii="Verdana" w:hAnsi="Verdana" w:cs="Arial"/>
          <w:b/>
          <w:bCs/>
          <w:color w:val="000000" w:themeColor="text1"/>
        </w:rPr>
      </w:pPr>
    </w:p>
    <w:p w14:paraId="300DE171" w14:textId="01814FBA" w:rsidR="00FB6468" w:rsidRPr="00FB6468" w:rsidRDefault="00FB6468" w:rsidP="00FB6468">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FB6468">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424DB4C" w14:textId="77777777" w:rsidR="00FB6468" w:rsidRDefault="00FB6468" w:rsidP="00FB6468">
      <w:pPr>
        <w:spacing w:after="0" w:line="240" w:lineRule="auto"/>
        <w:jc w:val="both"/>
        <w:rPr>
          <w:rFonts w:ascii="Verdana" w:eastAsia="Arial" w:hAnsi="Verdana" w:cs="Arial"/>
          <w:sz w:val="20"/>
          <w:szCs w:val="20"/>
          <w:lang w:val="es-ES" w:eastAsia="es-ES" w:bidi="es-ES"/>
        </w:rPr>
      </w:pPr>
    </w:p>
    <w:p w14:paraId="01118465" w14:textId="77777777" w:rsidR="00FB6468" w:rsidRDefault="00FB6468" w:rsidP="00FB6468">
      <w:pPr>
        <w:spacing w:after="0" w:line="240" w:lineRule="auto"/>
        <w:jc w:val="both"/>
        <w:rPr>
          <w:rFonts w:ascii="Verdana" w:eastAsia="Arial" w:hAnsi="Verdana" w:cs="Arial"/>
          <w:sz w:val="20"/>
          <w:szCs w:val="20"/>
          <w:lang w:val="es-ES" w:eastAsia="es-ES" w:bidi="es-ES"/>
        </w:rPr>
      </w:pPr>
      <w:r w:rsidRPr="00FB6468">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5067DDD" w14:textId="77777777" w:rsidR="00FB6468" w:rsidRDefault="00FB6468" w:rsidP="00FB6468">
      <w:pPr>
        <w:spacing w:after="0" w:line="240" w:lineRule="auto"/>
        <w:jc w:val="both"/>
        <w:rPr>
          <w:rFonts w:ascii="Verdana" w:eastAsia="Arial" w:hAnsi="Verdana" w:cs="Arial"/>
          <w:sz w:val="20"/>
          <w:szCs w:val="20"/>
          <w:lang w:val="es-ES" w:eastAsia="es-ES" w:bidi="es-ES"/>
        </w:rPr>
      </w:pPr>
    </w:p>
    <w:p w14:paraId="37438991" w14:textId="2294C2C9" w:rsidR="00FB6468" w:rsidRPr="00FB6468" w:rsidRDefault="00FB6468" w:rsidP="00FB6468">
      <w:pPr>
        <w:spacing w:after="0" w:line="240" w:lineRule="auto"/>
        <w:jc w:val="both"/>
        <w:rPr>
          <w:rFonts w:ascii="Verdana" w:eastAsia="Arial" w:hAnsi="Verdana" w:cs="Arial"/>
          <w:sz w:val="20"/>
          <w:szCs w:val="20"/>
          <w:lang w:val="es-ES" w:eastAsia="es-ES" w:bidi="es-ES"/>
        </w:rPr>
      </w:pPr>
      <w:r w:rsidRPr="00FB6468">
        <w:rPr>
          <w:rFonts w:ascii="Verdana" w:eastAsia="Calibri" w:hAnsi="Verdana" w:cs="Arial"/>
          <w:sz w:val="20"/>
          <w:szCs w:val="20"/>
        </w:rPr>
        <w:t>Por un lado, el artículo 33 de la Ley 996 de 2005 prohíbe “</w:t>
      </w:r>
      <w:r w:rsidRPr="00FB6468">
        <w:rPr>
          <w:rFonts w:ascii="Verdana" w:eastAsia="Calibri" w:hAnsi="Verdana" w:cs="Arial"/>
          <w:bCs/>
          <w:sz w:val="20"/>
          <w:szCs w:val="20"/>
        </w:rPr>
        <w:t xml:space="preserve">(…) </w:t>
      </w:r>
      <w:r w:rsidRPr="00FB6468">
        <w:rPr>
          <w:rFonts w:ascii="Verdana" w:eastAsia="Calibri" w:hAnsi="Verdana" w:cs="Arial"/>
          <w:sz w:val="20"/>
          <w:szCs w:val="20"/>
        </w:rPr>
        <w:t>la contratación directa por parte de todos los entes del Estado</w:t>
      </w:r>
      <w:r w:rsidRPr="00FB6468">
        <w:rPr>
          <w:rFonts w:ascii="Verdana" w:eastAsia="Calibri" w:hAnsi="Verdana" w:cs="Arial"/>
          <w:bCs/>
          <w:sz w:val="20"/>
          <w:szCs w:val="20"/>
        </w:rPr>
        <w:t>”</w:t>
      </w:r>
      <w:r w:rsidRPr="00FB6468">
        <w:rPr>
          <w:rFonts w:ascii="Verdana" w:eastAsia="Calibri" w:hAnsi="Verdana" w:cs="Arial"/>
          <w:sz w:val="20"/>
          <w:szCs w:val="20"/>
        </w:rPr>
        <w:t xml:space="preserve"> durante los cuatro (4) meses anteriores a las elecciones presidenciales, salvo </w:t>
      </w:r>
      <w:r w:rsidRPr="00FB6468">
        <w:rPr>
          <w:rFonts w:ascii="Verdana" w:eastAsia="Calibri" w:hAnsi="Verdana" w:cs="Arial"/>
          <w:bCs/>
          <w:sz w:val="20"/>
          <w:szCs w:val="20"/>
        </w:rPr>
        <w:t xml:space="preserve">“(…) </w:t>
      </w:r>
      <w:r w:rsidRPr="00FB6468">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B6468">
        <w:rPr>
          <w:rFonts w:ascii="Verdana" w:eastAsia="Calibri" w:hAnsi="Verdana" w:cs="Arial"/>
          <w:bCs/>
          <w:sz w:val="20"/>
          <w:szCs w:val="20"/>
        </w:rPr>
        <w:t>”</w:t>
      </w:r>
      <w:r w:rsidRPr="00FB6468">
        <w:rPr>
          <w:rFonts w:ascii="Verdana" w:eastAsia="Calibri" w:hAnsi="Verdana" w:cs="Arial"/>
          <w:sz w:val="20"/>
          <w:szCs w:val="20"/>
        </w:rPr>
        <w:t>.</w:t>
      </w:r>
    </w:p>
    <w:p w14:paraId="0FAF157B" w14:textId="77777777" w:rsidR="00FB6468" w:rsidRDefault="00FB6468" w:rsidP="00FB6468">
      <w:pPr>
        <w:widowControl w:val="0"/>
        <w:autoSpaceDE w:val="0"/>
        <w:autoSpaceDN w:val="0"/>
        <w:spacing w:after="0" w:line="240" w:lineRule="auto"/>
        <w:jc w:val="both"/>
        <w:rPr>
          <w:rFonts w:ascii="Verdana" w:eastAsia="Calibri" w:hAnsi="Verdana" w:cs="Arial"/>
          <w:sz w:val="20"/>
          <w:szCs w:val="20"/>
          <w:lang w:val="es-ES"/>
        </w:rPr>
      </w:pPr>
    </w:p>
    <w:p w14:paraId="35013E9E" w14:textId="40015F3A" w:rsidR="00FB6468" w:rsidRPr="00FB6468" w:rsidRDefault="00FB6468" w:rsidP="00FB6468">
      <w:pPr>
        <w:widowControl w:val="0"/>
        <w:autoSpaceDE w:val="0"/>
        <w:autoSpaceDN w:val="0"/>
        <w:spacing w:after="0" w:line="240" w:lineRule="auto"/>
        <w:jc w:val="both"/>
        <w:rPr>
          <w:rFonts w:ascii="Verdana" w:eastAsia="Arial" w:hAnsi="Verdana" w:cs="Arial"/>
          <w:sz w:val="20"/>
          <w:szCs w:val="20"/>
          <w:lang w:val="es-ES" w:eastAsia="es-ES" w:bidi="es-ES"/>
        </w:rPr>
      </w:pPr>
      <w:r w:rsidRPr="00FB6468">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FB6468">
        <w:rPr>
          <w:rFonts w:ascii="Verdana" w:eastAsia="Calibri" w:hAnsi="Verdana" w:cs="Arial"/>
          <w:bCs/>
          <w:sz w:val="20"/>
          <w:szCs w:val="20"/>
        </w:rPr>
        <w:t xml:space="preserve">“(…) </w:t>
      </w:r>
      <w:r w:rsidRPr="00FB6468">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B6468">
        <w:rPr>
          <w:rFonts w:ascii="Verdana" w:eastAsia="Calibri" w:hAnsi="Verdana" w:cs="Arial"/>
          <w:bCs/>
          <w:sz w:val="20"/>
          <w:szCs w:val="20"/>
        </w:rPr>
        <w:t>”</w:t>
      </w:r>
      <w:r w:rsidRPr="00FB6468">
        <w:rPr>
          <w:rFonts w:ascii="Verdana" w:eastAsia="Calibri" w:hAnsi="Verdana" w:cs="Arial"/>
          <w:sz w:val="20"/>
          <w:szCs w:val="20"/>
        </w:rPr>
        <w:t>.</w:t>
      </w:r>
      <w:r w:rsidRPr="00FB6468">
        <w:rPr>
          <w:rFonts w:ascii="Verdana" w:eastAsia="Arial" w:hAnsi="Verdana" w:cs="Arial"/>
          <w:sz w:val="20"/>
          <w:szCs w:val="20"/>
          <w:lang w:val="es-ES" w:eastAsia="es-ES" w:bidi="es-ES"/>
        </w:rPr>
        <w:t xml:space="preserve"> </w:t>
      </w:r>
    </w:p>
    <w:p w14:paraId="475F1253" w14:textId="62B34724" w:rsidR="002A5C4A" w:rsidRPr="000D7519"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 </w:t>
      </w:r>
    </w:p>
    <w:p w14:paraId="46D9A778"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Artículo 33 – Ámbito material </w:t>
      </w:r>
    </w:p>
    <w:p w14:paraId="03EC6131" w14:textId="77777777" w:rsidR="00FB6468" w:rsidRPr="00B9692A" w:rsidRDefault="00FB6468" w:rsidP="00F016F8">
      <w:pPr>
        <w:tabs>
          <w:tab w:val="left" w:pos="142"/>
          <w:tab w:val="left" w:pos="284"/>
          <w:tab w:val="left" w:pos="6975"/>
        </w:tabs>
        <w:spacing w:after="0" w:line="240" w:lineRule="auto"/>
        <w:jc w:val="both"/>
        <w:rPr>
          <w:rFonts w:ascii="Verdana" w:hAnsi="Verdana" w:cs="Arial"/>
          <w:b/>
          <w:bCs/>
          <w:color w:val="000000" w:themeColor="text1"/>
          <w:sz w:val="20"/>
          <w:szCs w:val="20"/>
        </w:rPr>
      </w:pPr>
    </w:p>
    <w:p w14:paraId="64758399" w14:textId="68DCD3D5" w:rsidR="00FB6468" w:rsidRDefault="00B9692A" w:rsidP="00F016F8">
      <w:pPr>
        <w:tabs>
          <w:tab w:val="left" w:pos="142"/>
          <w:tab w:val="left" w:pos="284"/>
          <w:tab w:val="left" w:pos="6975"/>
        </w:tabs>
        <w:spacing w:after="0" w:line="240" w:lineRule="auto"/>
        <w:jc w:val="both"/>
        <w:rPr>
          <w:rFonts w:ascii="Verdana" w:hAnsi="Verdana" w:cs="Arial"/>
          <w:bCs/>
          <w:sz w:val="20"/>
          <w:szCs w:val="20"/>
          <w:lang w:eastAsia="x-none"/>
        </w:rPr>
      </w:pPr>
      <w:r w:rsidRPr="00B9692A">
        <w:rPr>
          <w:rFonts w:ascii="Verdana" w:hAnsi="Verdana" w:cs="Arial"/>
          <w:bCs/>
          <w:sz w:val="20"/>
          <w:szCs w:val="20"/>
          <w:lang w:eastAsia="x-none"/>
        </w:rPr>
        <w:t xml:space="preserve">El ámbito material de la prohibición contenida en el artículo 33 de la ley 996 de 2005 está delimitado por la expresión </w:t>
      </w:r>
      <w:r w:rsidRPr="00B9692A">
        <w:rPr>
          <w:rFonts w:ascii="Verdana" w:eastAsia="Calibri" w:hAnsi="Verdana" w:cs="Arial"/>
          <w:bCs/>
          <w:i/>
          <w:iCs/>
          <w:sz w:val="20"/>
          <w:szCs w:val="20"/>
        </w:rPr>
        <w:t>“</w:t>
      </w:r>
      <w:r w:rsidRPr="00B9692A">
        <w:rPr>
          <w:rFonts w:ascii="Verdana" w:hAnsi="Verdana" w:cs="Arial"/>
          <w:bCs/>
          <w:i/>
          <w:iCs/>
          <w:sz w:val="20"/>
          <w:szCs w:val="20"/>
          <w:lang w:eastAsia="x-none"/>
        </w:rPr>
        <w:t>queda prohibida la contratación directa</w:t>
      </w:r>
      <w:r w:rsidRPr="00B9692A">
        <w:rPr>
          <w:rFonts w:ascii="Verdana" w:hAnsi="Verdana" w:cs="Arial"/>
          <w:sz w:val="20"/>
          <w:szCs w:val="20"/>
        </w:rPr>
        <w:t>”</w:t>
      </w:r>
      <w:r w:rsidR="006F0515">
        <w:rPr>
          <w:rFonts w:ascii="Verdana" w:hAnsi="Verdana" w:cs="Arial"/>
          <w:bCs/>
          <w:sz w:val="20"/>
          <w:szCs w:val="20"/>
          <w:lang w:eastAsia="x-none"/>
        </w:rPr>
        <w:t xml:space="preserve"> […]</w:t>
      </w:r>
      <w:r w:rsidR="006F0515" w:rsidRPr="006F0515">
        <w:rPr>
          <w:rFonts w:ascii="Verdana" w:hAnsi="Verdana" w:cs="Arial"/>
          <w:bCs/>
          <w:sz w:val="20"/>
          <w:szCs w:val="20"/>
          <w:lang w:eastAsia="x-none"/>
        </w:rPr>
        <w:t>”, por lo que excluye las demás modalidades de contratación previstas en la Ley 1150 de 2007, es decir, la licitación pública, la selección abreviada, el concurso de méritos y la mínima cuantía u otros previstos en normas especiales.</w:t>
      </w:r>
    </w:p>
    <w:p w14:paraId="2E6CD4D4" w14:textId="77777777" w:rsidR="00186B52" w:rsidRDefault="00186B52" w:rsidP="00F016F8">
      <w:pPr>
        <w:tabs>
          <w:tab w:val="left" w:pos="142"/>
          <w:tab w:val="left" w:pos="284"/>
          <w:tab w:val="left" w:pos="6975"/>
        </w:tabs>
        <w:spacing w:after="0" w:line="240" w:lineRule="auto"/>
        <w:jc w:val="both"/>
        <w:rPr>
          <w:rFonts w:ascii="Verdana" w:hAnsi="Verdana" w:cs="Arial"/>
          <w:bCs/>
          <w:sz w:val="20"/>
          <w:szCs w:val="20"/>
          <w:lang w:eastAsia="x-none"/>
        </w:rPr>
      </w:pPr>
    </w:p>
    <w:p w14:paraId="10B989A6" w14:textId="4E996A12" w:rsidR="00186B52" w:rsidRDefault="001D757F" w:rsidP="00F016F8">
      <w:pPr>
        <w:tabs>
          <w:tab w:val="left" w:pos="142"/>
          <w:tab w:val="left" w:pos="284"/>
          <w:tab w:val="left" w:pos="6975"/>
        </w:tabs>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61DECB3F" w14:textId="77777777" w:rsidR="007E75E6" w:rsidRDefault="007E75E6" w:rsidP="001D757F">
      <w:pPr>
        <w:spacing w:after="0" w:line="240" w:lineRule="auto"/>
        <w:contextualSpacing/>
        <w:jc w:val="both"/>
        <w:rPr>
          <w:rFonts w:ascii="Verdana" w:hAnsi="Verdana" w:cs="Arial"/>
          <w:bCs/>
          <w:sz w:val="20"/>
          <w:szCs w:val="20"/>
          <w:lang w:eastAsia="x-none"/>
        </w:rPr>
      </w:pPr>
    </w:p>
    <w:p w14:paraId="7EFBD376" w14:textId="26FEBA42" w:rsidR="001D757F" w:rsidRPr="001D757F" w:rsidRDefault="007E75E6" w:rsidP="001D757F">
      <w:pPr>
        <w:spacing w:after="0" w:line="240" w:lineRule="auto"/>
        <w:contextualSpacing/>
        <w:jc w:val="both"/>
        <w:rPr>
          <w:rFonts w:ascii="Verdana" w:hAnsi="Verdana" w:cs="Arial"/>
          <w:sz w:val="20"/>
          <w:szCs w:val="20"/>
          <w:vertAlign w:val="superscript"/>
          <w:lang w:eastAsia="x-none"/>
        </w:rPr>
      </w:pPr>
      <w:r>
        <w:rPr>
          <w:rFonts w:ascii="Verdana" w:hAnsi="Verdana" w:cs="Arial"/>
          <w:bCs/>
          <w:sz w:val="20"/>
          <w:szCs w:val="20"/>
          <w:lang w:eastAsia="x-none"/>
        </w:rPr>
        <w:t xml:space="preserve">[…] ha </w:t>
      </w:r>
      <w:r w:rsidR="001D757F" w:rsidRPr="001D757F">
        <w:rPr>
          <w:rFonts w:ascii="Verdana" w:hAnsi="Verdana" w:cs="Arial"/>
          <w:bCs/>
          <w:sz w:val="20"/>
          <w:szCs w:val="20"/>
          <w:lang w:eastAsia="x-none"/>
        </w:rPr>
        <w:t>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001D757F" w:rsidRPr="001D757F">
        <w:rPr>
          <w:rFonts w:ascii="Verdana" w:hAnsi="Verdana" w:cs="Arial"/>
          <w:sz w:val="20"/>
          <w:szCs w:val="20"/>
          <w:lang w:eastAsia="x-none"/>
        </w:rPr>
        <w:t>.</w:t>
      </w:r>
      <w:r w:rsidR="001D757F" w:rsidRPr="001D757F">
        <w:rPr>
          <w:rFonts w:ascii="Verdana" w:hAnsi="Verdana" w:cs="Arial"/>
          <w:sz w:val="20"/>
          <w:szCs w:val="20"/>
          <w:vertAlign w:val="superscript"/>
          <w:lang w:eastAsia="x-none"/>
        </w:rPr>
        <w:t xml:space="preserve"> </w:t>
      </w:r>
    </w:p>
    <w:p w14:paraId="45C916DB" w14:textId="77777777" w:rsidR="007E75E6" w:rsidRDefault="007E75E6" w:rsidP="001D757F">
      <w:pPr>
        <w:tabs>
          <w:tab w:val="left" w:pos="142"/>
          <w:tab w:val="left" w:pos="284"/>
          <w:tab w:val="left" w:pos="6975"/>
        </w:tabs>
        <w:spacing w:after="0" w:line="240" w:lineRule="auto"/>
        <w:contextualSpacing/>
        <w:jc w:val="both"/>
        <w:rPr>
          <w:rFonts w:ascii="Verdana" w:hAnsi="Verdana" w:cs="Arial"/>
          <w:sz w:val="20"/>
          <w:szCs w:val="20"/>
          <w:lang w:eastAsia="x-none"/>
        </w:rPr>
      </w:pPr>
    </w:p>
    <w:p w14:paraId="10AE04D3" w14:textId="4E7EB131" w:rsidR="001D757F" w:rsidRPr="001D757F" w:rsidRDefault="001D757F" w:rsidP="001D757F">
      <w:pPr>
        <w:tabs>
          <w:tab w:val="left" w:pos="142"/>
          <w:tab w:val="left" w:pos="284"/>
          <w:tab w:val="left" w:pos="6975"/>
        </w:tabs>
        <w:spacing w:after="0" w:line="240" w:lineRule="auto"/>
        <w:contextualSpacing/>
        <w:jc w:val="both"/>
        <w:rPr>
          <w:rFonts w:ascii="Verdana" w:hAnsi="Verdana" w:cs="Arial"/>
          <w:bCs/>
          <w:sz w:val="20"/>
          <w:szCs w:val="20"/>
          <w:lang w:eastAsia="x-none"/>
        </w:rPr>
      </w:pPr>
      <w:r w:rsidRPr="001D757F">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sidR="007E75E6">
        <w:rPr>
          <w:rFonts w:ascii="Verdana" w:hAnsi="Verdana" w:cs="Arial"/>
          <w:sz w:val="20"/>
          <w:szCs w:val="20"/>
          <w:lang w:eastAsia="x-none"/>
        </w:rPr>
        <w:t>.</w:t>
      </w:r>
    </w:p>
    <w:p w14:paraId="332F7D5F" w14:textId="77777777" w:rsidR="002F5E6E" w:rsidRDefault="002F5E6E" w:rsidP="00F016F8">
      <w:pPr>
        <w:tabs>
          <w:tab w:val="left" w:pos="142"/>
          <w:tab w:val="left" w:pos="284"/>
          <w:tab w:val="left" w:pos="6975"/>
        </w:tabs>
        <w:spacing w:after="0" w:line="240" w:lineRule="auto"/>
        <w:jc w:val="both"/>
        <w:rPr>
          <w:rFonts w:ascii="Verdana" w:hAnsi="Verdana" w:cs="Arial"/>
          <w:bCs/>
          <w:sz w:val="20"/>
          <w:szCs w:val="20"/>
          <w:lang w:eastAsia="x-none"/>
        </w:rPr>
      </w:pPr>
    </w:p>
    <w:p w14:paraId="79930111"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Destinatarios </w:t>
      </w:r>
    </w:p>
    <w:p w14:paraId="1F9C0162" w14:textId="77777777" w:rsidR="0058306D" w:rsidRDefault="0058306D" w:rsidP="00F016F8">
      <w:pPr>
        <w:tabs>
          <w:tab w:val="left" w:pos="142"/>
          <w:tab w:val="left" w:pos="284"/>
          <w:tab w:val="left" w:pos="6975"/>
        </w:tabs>
        <w:spacing w:after="0" w:line="240" w:lineRule="auto"/>
        <w:jc w:val="both"/>
        <w:rPr>
          <w:rFonts w:ascii="Verdana" w:hAnsi="Verdana" w:cs="Arial"/>
          <w:b/>
          <w:bCs/>
          <w:color w:val="000000" w:themeColor="text1"/>
        </w:rPr>
      </w:pPr>
    </w:p>
    <w:p w14:paraId="3AB81F5A" w14:textId="1D7FEFEB" w:rsidR="0058306D" w:rsidRPr="0058306D" w:rsidRDefault="0058306D" w:rsidP="0058306D">
      <w:pPr>
        <w:spacing w:after="0" w:line="240" w:lineRule="auto"/>
        <w:jc w:val="both"/>
        <w:rPr>
          <w:rFonts w:ascii="Verdana" w:hAnsi="Verdana" w:cs="Arial"/>
          <w:color w:val="000000" w:themeColor="text1"/>
          <w:sz w:val="20"/>
          <w:szCs w:val="20"/>
          <w:lang w:val="es-MX"/>
        </w:rPr>
      </w:pPr>
      <w:r>
        <w:rPr>
          <w:rFonts w:ascii="Verdana" w:hAnsi="Verdana" w:cs="Arial"/>
          <w:color w:val="000000" w:themeColor="text1"/>
          <w:sz w:val="20"/>
          <w:szCs w:val="20"/>
          <w:lang w:val="es-MX"/>
        </w:rPr>
        <w:t xml:space="preserve">[…] </w:t>
      </w:r>
      <w:r w:rsidRPr="0058306D">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58306D">
        <w:rPr>
          <w:rFonts w:ascii="Verdana" w:hAnsi="Verdana" w:cs="Arial"/>
          <w:i/>
          <w:color w:val="000000" w:themeColor="text1"/>
          <w:sz w:val="20"/>
          <w:szCs w:val="20"/>
          <w:lang w:val="es-MX"/>
        </w:rPr>
        <w:t>todos los entes del Estado</w:t>
      </w:r>
      <w:r w:rsidRPr="0058306D">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A4D3900" w14:textId="77777777" w:rsidR="002A5C4A" w:rsidRPr="000D7519" w:rsidRDefault="002A5C4A" w:rsidP="00F016F8">
      <w:pPr>
        <w:tabs>
          <w:tab w:val="left" w:pos="142"/>
          <w:tab w:val="left" w:pos="284"/>
          <w:tab w:val="left" w:pos="6975"/>
        </w:tabs>
        <w:spacing w:after="0" w:line="240" w:lineRule="auto"/>
        <w:jc w:val="both"/>
        <w:rPr>
          <w:rFonts w:ascii="Verdana" w:hAnsi="Verdana" w:cs="Arial"/>
          <w:b/>
          <w:bCs/>
          <w:color w:val="000000" w:themeColor="text1"/>
        </w:rPr>
      </w:pPr>
    </w:p>
    <w:p w14:paraId="022713FF"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Excepciones </w:t>
      </w:r>
    </w:p>
    <w:p w14:paraId="65594A5C" w14:textId="77777777" w:rsidR="00E84623" w:rsidRDefault="00E84623" w:rsidP="00F016F8">
      <w:pPr>
        <w:tabs>
          <w:tab w:val="left" w:pos="142"/>
          <w:tab w:val="left" w:pos="284"/>
          <w:tab w:val="left" w:pos="6975"/>
        </w:tabs>
        <w:spacing w:after="0" w:line="240" w:lineRule="auto"/>
        <w:jc w:val="both"/>
        <w:rPr>
          <w:rFonts w:ascii="Verdana" w:hAnsi="Verdana" w:cs="Arial"/>
          <w:b/>
          <w:bCs/>
          <w:color w:val="000000" w:themeColor="text1"/>
        </w:rPr>
      </w:pPr>
    </w:p>
    <w:p w14:paraId="225C323A" w14:textId="0E8E4B07" w:rsidR="00E84623" w:rsidRPr="00E84623" w:rsidRDefault="00E84623" w:rsidP="00E84623">
      <w:pPr>
        <w:spacing w:after="0" w:line="240" w:lineRule="auto"/>
        <w:jc w:val="both"/>
        <w:rPr>
          <w:rFonts w:ascii="Verdana" w:hAnsi="Verdana" w:cs="Arial"/>
          <w:bCs/>
          <w:sz w:val="20"/>
          <w:szCs w:val="20"/>
          <w:lang w:eastAsia="x-none"/>
        </w:rPr>
      </w:pPr>
      <w:r>
        <w:rPr>
          <w:rFonts w:ascii="Verdana" w:eastAsia="Times New Roman" w:hAnsi="Verdana" w:cs="Arial"/>
          <w:bCs/>
          <w:sz w:val="20"/>
          <w:szCs w:val="20"/>
          <w:lang w:val="es-ES" w:eastAsia="es-CO" w:bidi="es-ES"/>
        </w:rPr>
        <w:t xml:space="preserve">[…] </w:t>
      </w:r>
      <w:r w:rsidRPr="00E84623">
        <w:rPr>
          <w:rFonts w:ascii="Verdana" w:eastAsia="Times New Roman" w:hAnsi="Verdana" w:cs="Arial"/>
          <w:bCs/>
          <w:sz w:val="20"/>
          <w:szCs w:val="20"/>
          <w:lang w:val="es-ES" w:eastAsia="es-CO" w:bidi="es-ES"/>
        </w:rPr>
        <w:t xml:space="preserve">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84623">
        <w:rPr>
          <w:rFonts w:ascii="Verdana" w:eastAsia="Times New Roman" w:hAnsi="Verdana" w:cs="Arial"/>
          <w:bCs/>
          <w:sz w:val="20"/>
          <w:szCs w:val="20"/>
          <w:lang w:val="es-ES" w:eastAsia="es-CO" w:bidi="es-ES"/>
        </w:rPr>
        <w:t>ii</w:t>
      </w:r>
      <w:proofErr w:type="spellEnd"/>
      <w:r w:rsidRPr="00E84623">
        <w:rPr>
          <w:rFonts w:ascii="Verdana" w:eastAsia="Times New Roman" w:hAnsi="Verdana" w:cs="Arial"/>
          <w:bCs/>
          <w:sz w:val="20"/>
          <w:szCs w:val="20"/>
          <w:lang w:val="es-ES" w:eastAsia="es-CO" w:bidi="es-ES"/>
        </w:rPr>
        <w:t xml:space="preserve">) los contratos de crédito público; </w:t>
      </w:r>
      <w:proofErr w:type="spellStart"/>
      <w:r w:rsidRPr="00E84623">
        <w:rPr>
          <w:rFonts w:ascii="Verdana" w:eastAsia="Times New Roman" w:hAnsi="Verdana" w:cs="Arial"/>
          <w:bCs/>
          <w:sz w:val="20"/>
          <w:szCs w:val="20"/>
          <w:lang w:val="es-ES" w:eastAsia="es-CO" w:bidi="es-ES"/>
        </w:rPr>
        <w:t>iii</w:t>
      </w:r>
      <w:proofErr w:type="spellEnd"/>
      <w:r w:rsidRPr="00E84623">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84623">
        <w:rPr>
          <w:rFonts w:ascii="Verdana" w:eastAsia="Times New Roman" w:hAnsi="Verdana" w:cs="Arial"/>
          <w:bCs/>
          <w:sz w:val="20"/>
          <w:szCs w:val="20"/>
          <w:lang w:val="es-ES" w:eastAsia="es-CO" w:bidi="es-ES"/>
        </w:rPr>
        <w:t>iv</w:t>
      </w:r>
      <w:proofErr w:type="spellEnd"/>
      <w:r w:rsidRPr="00E84623">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8462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F4B2F24" w14:textId="77777777" w:rsidR="00E84623" w:rsidRPr="000D7519" w:rsidRDefault="00E84623" w:rsidP="00F016F8">
      <w:pPr>
        <w:tabs>
          <w:tab w:val="left" w:pos="142"/>
          <w:tab w:val="left" w:pos="284"/>
          <w:tab w:val="left" w:pos="6975"/>
        </w:tabs>
        <w:spacing w:after="0" w:line="240" w:lineRule="auto"/>
        <w:jc w:val="both"/>
        <w:rPr>
          <w:rFonts w:ascii="Verdana" w:hAnsi="Verdana" w:cs="Arial"/>
          <w:b/>
          <w:bCs/>
          <w:color w:val="000000" w:themeColor="text1"/>
        </w:rPr>
      </w:pPr>
    </w:p>
    <w:p w14:paraId="28DA8CAF"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Parágrafo del artículo 38 - Alcance </w:t>
      </w:r>
    </w:p>
    <w:p w14:paraId="7CD7512F" w14:textId="77777777" w:rsidR="00E84623" w:rsidRDefault="00E84623" w:rsidP="00F016F8">
      <w:pPr>
        <w:tabs>
          <w:tab w:val="left" w:pos="142"/>
          <w:tab w:val="left" w:pos="284"/>
          <w:tab w:val="left" w:pos="6975"/>
        </w:tabs>
        <w:spacing w:after="0" w:line="240" w:lineRule="auto"/>
        <w:jc w:val="both"/>
        <w:rPr>
          <w:rFonts w:ascii="Verdana" w:hAnsi="Verdana" w:cs="Arial"/>
          <w:b/>
          <w:bCs/>
          <w:color w:val="000000" w:themeColor="text1"/>
        </w:rPr>
      </w:pPr>
    </w:p>
    <w:p w14:paraId="546D1E18" w14:textId="67491514" w:rsidR="00E84623" w:rsidRPr="00D822D2" w:rsidRDefault="00D822D2" w:rsidP="00D822D2">
      <w:pPr>
        <w:tabs>
          <w:tab w:val="left" w:pos="142"/>
          <w:tab w:val="left" w:pos="284"/>
          <w:tab w:val="left" w:pos="6975"/>
        </w:tabs>
        <w:spacing w:after="0" w:line="240" w:lineRule="auto"/>
        <w:jc w:val="both"/>
        <w:rPr>
          <w:rFonts w:ascii="Verdana" w:hAnsi="Verdana" w:cs="Arial"/>
          <w:b/>
          <w:bCs/>
          <w:color w:val="000000" w:themeColor="text1"/>
          <w:sz w:val="20"/>
          <w:szCs w:val="20"/>
        </w:rPr>
      </w:pPr>
      <w:r w:rsidRPr="00D822D2">
        <w:rPr>
          <w:rFonts w:ascii="Verdana" w:hAnsi="Verdana" w:cs="Arial"/>
          <w:sz w:val="20"/>
          <w:szCs w:val="20"/>
          <w:lang w:val="es-ES"/>
        </w:rPr>
        <w:t xml:space="preserve">Ahora bien, respecto del alcance del parágrafo </w:t>
      </w:r>
      <w:r w:rsidRPr="00D822D2">
        <w:rPr>
          <w:rFonts w:ascii="Verdana" w:hAnsi="Verdana" w:cs="Arial"/>
          <w:sz w:val="20"/>
          <w:szCs w:val="20"/>
        </w:rPr>
        <w:t xml:space="preserve">del artículo 38 de la Ley 996 de 2005, esta prohibición dispone en primera medida que: “[l]os Gobernadores, </w:t>
      </w:r>
      <w:proofErr w:type="gramStart"/>
      <w:r w:rsidRPr="00D822D2">
        <w:rPr>
          <w:rFonts w:ascii="Verdana" w:hAnsi="Verdana" w:cs="Arial"/>
          <w:sz w:val="20"/>
          <w:szCs w:val="20"/>
        </w:rPr>
        <w:t>Alcaldes</w:t>
      </w:r>
      <w:proofErr w:type="gramEnd"/>
      <w:r w:rsidRPr="00D822D2">
        <w:rPr>
          <w:rFonts w:ascii="Verdana" w:hAnsi="Verdana" w:cs="Arial"/>
          <w:sz w:val="20"/>
          <w:szCs w:val="20"/>
        </w:rPr>
        <w:t xml:space="preserve"> Municipales y/o Distritales, </w:t>
      </w:r>
      <w:proofErr w:type="gramStart"/>
      <w:r w:rsidRPr="00D822D2">
        <w:rPr>
          <w:rFonts w:ascii="Verdana" w:hAnsi="Verdana" w:cs="Arial"/>
          <w:sz w:val="20"/>
          <w:szCs w:val="20"/>
        </w:rPr>
        <w:t>Secretarios</w:t>
      </w:r>
      <w:proofErr w:type="gramEnd"/>
      <w:r w:rsidRPr="00D822D2">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D822D2">
        <w:rPr>
          <w:rFonts w:ascii="Verdana" w:hAnsi="Verdana" w:cs="Arial"/>
          <w:i/>
          <w:iCs/>
          <w:sz w:val="20"/>
          <w:szCs w:val="20"/>
        </w:rPr>
        <w:t>convenios interadministrativos</w:t>
      </w:r>
      <w:r w:rsidRPr="00D822D2">
        <w:rPr>
          <w:rFonts w:ascii="Verdana" w:hAnsi="Verdana" w:cs="Arial"/>
          <w:sz w:val="20"/>
          <w:szCs w:val="20"/>
        </w:rPr>
        <w:t xml:space="preserve"> </w:t>
      </w:r>
      <w:r w:rsidRPr="00D822D2">
        <w:rPr>
          <w:rFonts w:ascii="Verdana" w:hAnsi="Verdana" w:cs="Arial"/>
          <w:i/>
          <w:iCs/>
          <w:sz w:val="20"/>
          <w:szCs w:val="20"/>
        </w:rPr>
        <w:t>para la ejecución de recursos públicos</w:t>
      </w:r>
      <w:r w:rsidRPr="00D822D2">
        <w:rPr>
          <w:rFonts w:ascii="Verdana" w:hAnsi="Verdana" w:cs="Arial"/>
          <w:sz w:val="20"/>
          <w:szCs w:val="20"/>
        </w:rPr>
        <w:t>”.</w:t>
      </w:r>
    </w:p>
    <w:p w14:paraId="229C4F25" w14:textId="77777777" w:rsidR="002A5C4A" w:rsidRPr="000D7519" w:rsidRDefault="002A5C4A" w:rsidP="00F016F8">
      <w:pPr>
        <w:tabs>
          <w:tab w:val="left" w:pos="142"/>
          <w:tab w:val="left" w:pos="284"/>
          <w:tab w:val="left" w:pos="6975"/>
        </w:tabs>
        <w:spacing w:after="0" w:line="240" w:lineRule="auto"/>
        <w:jc w:val="both"/>
        <w:rPr>
          <w:rFonts w:ascii="Verdana" w:hAnsi="Verdana" w:cs="Arial"/>
          <w:b/>
          <w:bCs/>
          <w:color w:val="000000" w:themeColor="text1"/>
        </w:rPr>
      </w:pPr>
    </w:p>
    <w:p w14:paraId="367FB00C" w14:textId="77777777" w:rsidR="002A5C4A"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LEY DE GARANTÍAS ELECTORALES – Convenios interadministrativos – Contratos interadministrativos </w:t>
      </w:r>
    </w:p>
    <w:p w14:paraId="32F28591" w14:textId="77777777" w:rsidR="00D822D2" w:rsidRDefault="00D822D2" w:rsidP="00F016F8">
      <w:pPr>
        <w:tabs>
          <w:tab w:val="left" w:pos="142"/>
          <w:tab w:val="left" w:pos="284"/>
          <w:tab w:val="left" w:pos="6975"/>
        </w:tabs>
        <w:spacing w:after="0" w:line="240" w:lineRule="auto"/>
        <w:jc w:val="both"/>
        <w:rPr>
          <w:rFonts w:ascii="Verdana" w:hAnsi="Verdana" w:cs="Arial"/>
          <w:b/>
          <w:bCs/>
          <w:color w:val="000000" w:themeColor="text1"/>
        </w:rPr>
      </w:pPr>
    </w:p>
    <w:p w14:paraId="5F1025C7" w14:textId="1F1590AD" w:rsidR="00AD4362" w:rsidRPr="00AD4362" w:rsidRDefault="00AD4362" w:rsidP="00AD4362">
      <w:pPr>
        <w:spacing w:after="0" w:line="240" w:lineRule="auto"/>
        <w:jc w:val="both"/>
        <w:rPr>
          <w:rFonts w:ascii="Verdana" w:eastAsia="Calibri" w:hAnsi="Verdana" w:cs="Arial"/>
          <w:sz w:val="20"/>
          <w:szCs w:val="20"/>
          <w:lang w:val="es-ES"/>
        </w:rPr>
      </w:pPr>
      <w:r>
        <w:rPr>
          <w:rFonts w:ascii="Verdana" w:eastAsia="Times New Roman" w:hAnsi="Verdana" w:cs="Arial"/>
          <w:sz w:val="20"/>
          <w:szCs w:val="20"/>
          <w:lang w:val="es-ES" w:eastAsia="es-ES"/>
        </w:rPr>
        <w:t xml:space="preserve">[…] </w:t>
      </w:r>
      <w:r w:rsidRPr="00AD4362">
        <w:rPr>
          <w:rFonts w:ascii="Verdana" w:eastAsia="Times New Roman" w:hAnsi="Verdana" w:cs="Arial"/>
          <w:sz w:val="20"/>
          <w:szCs w:val="20"/>
          <w:lang w:val="es-ES" w:eastAsia="es-ES"/>
        </w:rPr>
        <w:t xml:space="preserve">debe precisarse que </w:t>
      </w:r>
      <w:r w:rsidRPr="00AD4362">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AD4362">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9863EEE" w14:textId="77777777" w:rsidR="00AD4362" w:rsidRPr="00AD4362" w:rsidRDefault="00AD4362" w:rsidP="00AD4362">
      <w:pPr>
        <w:spacing w:after="0" w:line="240" w:lineRule="auto"/>
        <w:ind w:firstLine="709"/>
        <w:jc w:val="both"/>
        <w:rPr>
          <w:rFonts w:ascii="Verdana" w:eastAsia="Calibri" w:hAnsi="Verdana" w:cs="Arial"/>
          <w:sz w:val="20"/>
          <w:szCs w:val="20"/>
          <w:lang w:val="es-ES"/>
        </w:rPr>
      </w:pPr>
    </w:p>
    <w:p w14:paraId="7E28D8B2" w14:textId="32816076" w:rsidR="00AD4362" w:rsidRPr="00AD4362" w:rsidRDefault="00AD4362" w:rsidP="00AD4362">
      <w:pPr>
        <w:spacing w:after="0" w:line="240" w:lineRule="auto"/>
        <w:jc w:val="both"/>
        <w:rPr>
          <w:rFonts w:ascii="Verdana" w:eastAsia="Calibri" w:hAnsi="Verdana" w:cs="Arial"/>
          <w:sz w:val="20"/>
          <w:szCs w:val="20"/>
          <w:lang w:val="es-ES"/>
        </w:rPr>
      </w:pPr>
      <w:r w:rsidRPr="00AD4362">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174340C" w14:textId="77777777" w:rsidR="00AD4362" w:rsidRDefault="00AD4362" w:rsidP="00AD4362">
      <w:pPr>
        <w:spacing w:after="0" w:line="240" w:lineRule="auto"/>
        <w:jc w:val="both"/>
        <w:rPr>
          <w:rFonts w:ascii="Verdana" w:hAnsi="Verdana" w:cs="Arial"/>
          <w:sz w:val="20"/>
          <w:szCs w:val="20"/>
          <w:lang w:val="es-ES"/>
        </w:rPr>
      </w:pPr>
    </w:p>
    <w:p w14:paraId="000E1343" w14:textId="1D6C0AE7" w:rsidR="00AD4362" w:rsidRPr="00AD4362" w:rsidRDefault="00AD4362" w:rsidP="00AD4362">
      <w:pPr>
        <w:spacing w:after="0" w:line="240" w:lineRule="auto"/>
        <w:jc w:val="both"/>
        <w:rPr>
          <w:rFonts w:ascii="Verdana" w:hAnsi="Verdana" w:cs="Arial"/>
          <w:sz w:val="20"/>
          <w:szCs w:val="20"/>
          <w:lang w:val="es-ES_tradnl"/>
        </w:rPr>
      </w:pPr>
      <w:r w:rsidRPr="00AD4362">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604F4A1B" w14:textId="77777777" w:rsidR="00D822D2" w:rsidRPr="00AD4362" w:rsidRDefault="00D822D2" w:rsidP="00F016F8">
      <w:pPr>
        <w:tabs>
          <w:tab w:val="left" w:pos="142"/>
          <w:tab w:val="left" w:pos="284"/>
          <w:tab w:val="left" w:pos="6975"/>
        </w:tabs>
        <w:spacing w:after="0" w:line="240" w:lineRule="auto"/>
        <w:jc w:val="both"/>
        <w:rPr>
          <w:rFonts w:ascii="Verdana" w:hAnsi="Verdana" w:cs="Arial"/>
          <w:b/>
          <w:bCs/>
          <w:color w:val="000000" w:themeColor="text1"/>
          <w:lang w:val="es-ES_tradnl"/>
        </w:rPr>
      </w:pPr>
    </w:p>
    <w:p w14:paraId="564AA2F4" w14:textId="7637D351" w:rsidR="000D7519" w:rsidRDefault="00F016F8" w:rsidP="00F016F8">
      <w:pPr>
        <w:tabs>
          <w:tab w:val="left" w:pos="142"/>
          <w:tab w:val="left" w:pos="284"/>
          <w:tab w:val="left" w:pos="6975"/>
        </w:tabs>
        <w:spacing w:after="0" w:line="240" w:lineRule="auto"/>
        <w:jc w:val="both"/>
        <w:rPr>
          <w:rFonts w:ascii="Verdana" w:hAnsi="Verdana" w:cs="Arial"/>
          <w:b/>
          <w:bCs/>
          <w:color w:val="000000" w:themeColor="text1"/>
        </w:rPr>
      </w:pPr>
      <w:r w:rsidRPr="000D7519">
        <w:rPr>
          <w:rFonts w:ascii="Verdana" w:hAnsi="Verdana" w:cs="Arial"/>
          <w:b/>
          <w:bCs/>
          <w:color w:val="000000" w:themeColor="text1"/>
        </w:rPr>
        <w:t xml:space="preserve">CONSEJO DE ESTADO </w:t>
      </w:r>
      <w:r w:rsidR="00D13848">
        <w:rPr>
          <w:rFonts w:ascii="Verdana" w:hAnsi="Verdana" w:cs="Arial"/>
          <w:b/>
          <w:bCs/>
          <w:color w:val="000000" w:themeColor="text1"/>
        </w:rPr>
        <w:t>- P</w:t>
      </w:r>
      <w:r w:rsidRPr="000D7519">
        <w:rPr>
          <w:rFonts w:ascii="Verdana" w:hAnsi="Verdana" w:cs="Arial"/>
          <w:b/>
          <w:bCs/>
          <w:color w:val="000000" w:themeColor="text1"/>
        </w:rPr>
        <w:t xml:space="preserve">osición </w:t>
      </w:r>
    </w:p>
    <w:p w14:paraId="718FB4CF" w14:textId="77777777" w:rsidR="00D13848" w:rsidRPr="006071D3" w:rsidRDefault="00D13848" w:rsidP="006071D3">
      <w:pPr>
        <w:tabs>
          <w:tab w:val="left" w:pos="142"/>
          <w:tab w:val="left" w:pos="284"/>
          <w:tab w:val="left" w:pos="6975"/>
        </w:tabs>
        <w:spacing w:after="0" w:line="240" w:lineRule="auto"/>
        <w:jc w:val="both"/>
        <w:rPr>
          <w:rFonts w:ascii="Verdana" w:hAnsi="Verdana" w:cs="Arial"/>
          <w:b/>
          <w:bCs/>
          <w:color w:val="000000" w:themeColor="text1"/>
          <w:sz w:val="20"/>
          <w:szCs w:val="20"/>
        </w:rPr>
      </w:pPr>
    </w:p>
    <w:p w14:paraId="58C2695C" w14:textId="04E3890B" w:rsidR="006071D3" w:rsidRPr="006071D3" w:rsidRDefault="006071D3" w:rsidP="006071D3">
      <w:pPr>
        <w:spacing w:after="0" w:line="240" w:lineRule="auto"/>
        <w:jc w:val="both"/>
        <w:rPr>
          <w:rFonts w:ascii="Verdana" w:eastAsia="Times New Roman" w:hAnsi="Verdana" w:cs="Times New Roman"/>
          <w:sz w:val="20"/>
          <w:szCs w:val="20"/>
          <w:lang w:eastAsia="es-ES"/>
        </w:rPr>
      </w:pPr>
      <w:r w:rsidRPr="006071D3">
        <w:rPr>
          <w:rFonts w:ascii="Verdana" w:eastAsia="Arial" w:hAnsi="Verdana" w:cs="Arial"/>
          <w:sz w:val="20"/>
          <w:szCs w:val="20"/>
          <w:lang w:eastAsia="es-ES" w:bidi="es-ES"/>
        </w:rPr>
        <w:t xml:space="preserve">[…] mediante sentencia del 17 de octubre de 2025, emitida por la Sección Tercera del Consejo de Estado, dentro del expediente </w:t>
      </w:r>
      <w:r w:rsidRPr="006071D3">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87EAE30" w14:textId="77777777" w:rsidR="006071D3" w:rsidRDefault="006071D3" w:rsidP="006071D3">
      <w:pPr>
        <w:spacing w:after="0" w:line="240" w:lineRule="auto"/>
        <w:jc w:val="both"/>
        <w:rPr>
          <w:rFonts w:ascii="Verdana" w:eastAsia="Times New Roman" w:hAnsi="Verdana" w:cs="Times New Roman"/>
          <w:sz w:val="20"/>
          <w:szCs w:val="20"/>
          <w:lang w:eastAsia="es-ES"/>
        </w:rPr>
      </w:pPr>
    </w:p>
    <w:p w14:paraId="07BF707A" w14:textId="59DE841A" w:rsidR="006071D3" w:rsidRPr="006071D3" w:rsidRDefault="006071D3" w:rsidP="006071D3">
      <w:pPr>
        <w:spacing w:after="0" w:line="240" w:lineRule="auto"/>
        <w:jc w:val="both"/>
        <w:rPr>
          <w:rFonts w:ascii="Verdana" w:eastAsia="Times New Roman" w:hAnsi="Verdana" w:cs="Times New Roman"/>
          <w:sz w:val="20"/>
          <w:szCs w:val="20"/>
          <w:lang w:eastAsia="es-ES"/>
        </w:rPr>
      </w:pPr>
      <w:r w:rsidRPr="006071D3">
        <w:rPr>
          <w:rFonts w:ascii="Verdana" w:eastAsia="Times New Roman" w:hAnsi="Verdana" w:cs="Times New Roman"/>
          <w:sz w:val="20"/>
          <w:szCs w:val="20"/>
          <w:lang w:eastAsia="es-ES"/>
        </w:rPr>
        <w:t xml:space="preserve">[…] </w:t>
      </w:r>
    </w:p>
    <w:p w14:paraId="1E3E5F66" w14:textId="77777777" w:rsidR="006071D3" w:rsidRDefault="006071D3" w:rsidP="006071D3">
      <w:pPr>
        <w:spacing w:after="0" w:line="240" w:lineRule="auto"/>
        <w:jc w:val="both"/>
        <w:rPr>
          <w:rFonts w:ascii="Verdana" w:eastAsia="Times New Roman" w:hAnsi="Verdana" w:cs="Times New Roman"/>
          <w:sz w:val="20"/>
          <w:szCs w:val="20"/>
          <w:lang w:eastAsia="es-ES"/>
        </w:rPr>
      </w:pPr>
    </w:p>
    <w:p w14:paraId="3550D97F" w14:textId="14586599" w:rsidR="006071D3" w:rsidRPr="006071D3" w:rsidRDefault="006071D3" w:rsidP="006071D3">
      <w:pPr>
        <w:spacing w:after="0" w:line="240" w:lineRule="auto"/>
        <w:jc w:val="both"/>
        <w:rPr>
          <w:rFonts w:ascii="Verdana" w:eastAsia="Times New Roman" w:hAnsi="Verdana" w:cs="Times New Roman"/>
          <w:sz w:val="20"/>
          <w:szCs w:val="20"/>
          <w:lang w:eastAsia="es-ES"/>
        </w:rPr>
      </w:pPr>
      <w:r w:rsidRPr="006071D3">
        <w:rPr>
          <w:rFonts w:ascii="Verdana" w:eastAsia="Times New Roman" w:hAnsi="Verdana" w:cs="Times New Roman"/>
          <w:sz w:val="20"/>
          <w:szCs w:val="20"/>
          <w:lang w:eastAsia="es-ES"/>
        </w:rPr>
        <w:t xml:space="preserve">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D6E87B0" w14:textId="77777777" w:rsidR="006071D3" w:rsidRDefault="006071D3" w:rsidP="006071D3">
      <w:pPr>
        <w:spacing w:after="0" w:line="240" w:lineRule="auto"/>
        <w:jc w:val="both"/>
        <w:rPr>
          <w:rFonts w:ascii="Verdana" w:eastAsia="Times New Roman" w:hAnsi="Verdana" w:cs="Times New Roman"/>
          <w:sz w:val="20"/>
          <w:szCs w:val="20"/>
          <w:lang w:eastAsia="es-ES"/>
        </w:rPr>
      </w:pPr>
    </w:p>
    <w:p w14:paraId="0A46F6B7" w14:textId="43E6844E" w:rsidR="006071D3" w:rsidRPr="006071D3" w:rsidRDefault="006071D3" w:rsidP="006071D3">
      <w:pPr>
        <w:spacing w:after="0" w:line="240" w:lineRule="auto"/>
        <w:jc w:val="both"/>
        <w:rPr>
          <w:rFonts w:ascii="Verdana" w:eastAsia="Times New Roman" w:hAnsi="Verdana" w:cs="Times New Roman"/>
          <w:sz w:val="20"/>
          <w:szCs w:val="20"/>
          <w:lang w:eastAsia="es-ES"/>
        </w:rPr>
      </w:pPr>
      <w:r w:rsidRPr="006071D3">
        <w:rPr>
          <w:rFonts w:ascii="Verdana" w:eastAsia="Times New Roman" w:hAnsi="Verdana" w:cs="Times New Roman"/>
          <w:sz w:val="20"/>
          <w:szCs w:val="20"/>
          <w:lang w:eastAsia="es-ES"/>
        </w:rPr>
        <w:t xml:space="preserve">[…] </w:t>
      </w:r>
    </w:p>
    <w:p w14:paraId="52B9FB32" w14:textId="77777777" w:rsidR="006071D3" w:rsidRDefault="006071D3" w:rsidP="006071D3">
      <w:pPr>
        <w:spacing w:after="0" w:line="240" w:lineRule="auto"/>
        <w:jc w:val="both"/>
        <w:rPr>
          <w:rFonts w:ascii="Verdana" w:eastAsia="Times New Roman" w:hAnsi="Verdana" w:cs="Times New Roman"/>
          <w:sz w:val="20"/>
          <w:szCs w:val="20"/>
          <w:lang w:eastAsia="es-ES"/>
        </w:rPr>
      </w:pPr>
    </w:p>
    <w:p w14:paraId="79B4A643" w14:textId="3A888766" w:rsidR="006071D3" w:rsidRPr="006071D3" w:rsidRDefault="006071D3" w:rsidP="006071D3">
      <w:pPr>
        <w:spacing w:after="0" w:line="240" w:lineRule="auto"/>
        <w:jc w:val="both"/>
        <w:rPr>
          <w:rFonts w:ascii="Verdana" w:eastAsia="Times New Roman" w:hAnsi="Verdana" w:cs="Arial"/>
          <w:sz w:val="20"/>
          <w:szCs w:val="20"/>
          <w:lang w:eastAsia="es-CO"/>
        </w:rPr>
      </w:pPr>
      <w:r w:rsidRPr="006071D3">
        <w:rPr>
          <w:rFonts w:ascii="Verdana" w:eastAsia="Times New Roman" w:hAnsi="Verdana" w:cs="Times New Roman"/>
          <w:sz w:val="20"/>
          <w:szCs w:val="20"/>
          <w:lang w:eastAsia="es-ES"/>
        </w:rPr>
        <w:t xml:space="preserve">[…] </w:t>
      </w:r>
      <w:r w:rsidRPr="006071D3">
        <w:rPr>
          <w:rFonts w:ascii="Verdana" w:eastAsia="Times New Roman" w:hAnsi="Verdana" w:cs="Arial"/>
          <w:sz w:val="20"/>
          <w:szCs w:val="20"/>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6071D3">
        <w:rPr>
          <w:rFonts w:ascii="Verdana" w:eastAsia="Times New Roman" w:hAnsi="Verdana" w:cs="Arial"/>
          <w:i/>
          <w:iCs/>
          <w:sz w:val="20"/>
          <w:szCs w:val="20"/>
          <w:lang w:eastAsia="es-CO"/>
        </w:rPr>
        <w:t>contratos interadministrativos</w:t>
      </w:r>
      <w:r w:rsidRPr="006071D3">
        <w:rPr>
          <w:rFonts w:ascii="Verdana" w:eastAsia="Times New Roman" w:hAnsi="Verdana" w:cs="Arial"/>
          <w:sz w:val="20"/>
          <w:szCs w:val="20"/>
          <w:lang w:eastAsia="es-CO"/>
        </w:rPr>
        <w:t>, esta prohibición solo aplicaría a los convenios interadministrativos que impliquen la ejecución de recursos públicos</w:t>
      </w:r>
      <w:r w:rsidR="009D6CCC">
        <w:rPr>
          <w:rFonts w:ascii="Verdana" w:eastAsia="Times New Roman" w:hAnsi="Verdana" w:cs="Arial"/>
          <w:sz w:val="20"/>
          <w:szCs w:val="20"/>
          <w:lang w:eastAsia="es-CO"/>
        </w:rPr>
        <w:t>.</w:t>
      </w:r>
      <w:r w:rsidRPr="006071D3">
        <w:rPr>
          <w:rFonts w:ascii="Verdana" w:eastAsia="Times New Roman" w:hAnsi="Verdana" w:cs="Arial"/>
          <w:sz w:val="20"/>
          <w:szCs w:val="20"/>
          <w:lang w:eastAsia="es-CO"/>
        </w:rPr>
        <w:t xml:space="preserve"> Conforme a lo señalado por el Consejo de Estado, cuando dos entidades públicas celebren un </w:t>
      </w:r>
      <w:r w:rsidRPr="006071D3">
        <w:rPr>
          <w:rFonts w:ascii="Verdana" w:eastAsia="Times New Roman" w:hAnsi="Verdana" w:cs="Arial"/>
          <w:i/>
          <w:iCs/>
          <w:sz w:val="20"/>
          <w:szCs w:val="20"/>
          <w:lang w:eastAsia="es-CO"/>
        </w:rPr>
        <w:t>contrato interadministrativo,</w:t>
      </w:r>
      <w:r w:rsidRPr="006071D3">
        <w:rPr>
          <w:rFonts w:ascii="Verdana" w:eastAsia="Times New Roman" w:hAnsi="Verdana" w:cs="Arial"/>
          <w:sz w:val="20"/>
          <w:szCs w:val="20"/>
          <w:lang w:eastAsia="es-CO"/>
        </w:rPr>
        <w:t xml:space="preserve"> independientemente del objeto, dicho contrato puede suscribirse durante el periodo preelectoral.</w:t>
      </w:r>
    </w:p>
    <w:p w14:paraId="10C703C9" w14:textId="77777777" w:rsidR="00D13848" w:rsidRPr="000D7519" w:rsidRDefault="00D13848" w:rsidP="00F016F8">
      <w:pPr>
        <w:tabs>
          <w:tab w:val="left" w:pos="142"/>
          <w:tab w:val="left" w:pos="284"/>
          <w:tab w:val="left" w:pos="6975"/>
        </w:tabs>
        <w:spacing w:after="0" w:line="240" w:lineRule="auto"/>
        <w:jc w:val="both"/>
        <w:rPr>
          <w:rFonts w:ascii="Verdana" w:hAnsi="Verdana" w:cs="Arial"/>
          <w:b/>
          <w:bCs/>
          <w:color w:val="000000" w:themeColor="text1"/>
        </w:rPr>
      </w:pPr>
    </w:p>
    <w:p w14:paraId="2195D25F" w14:textId="085A538B" w:rsidR="00F016F8" w:rsidRPr="006071D3" w:rsidRDefault="00F016F8" w:rsidP="00F016F8">
      <w:pPr>
        <w:tabs>
          <w:tab w:val="left" w:pos="142"/>
          <w:tab w:val="left" w:pos="284"/>
          <w:tab w:val="left" w:pos="6975"/>
        </w:tabs>
        <w:spacing w:after="0" w:line="240" w:lineRule="auto"/>
        <w:jc w:val="both"/>
        <w:rPr>
          <w:rFonts w:ascii="Verdana" w:hAnsi="Verdana" w:cs="Arial"/>
          <w:b/>
          <w:bCs/>
          <w:sz w:val="20"/>
          <w:szCs w:val="20"/>
        </w:rPr>
      </w:pPr>
      <w:r w:rsidRPr="006071D3">
        <w:rPr>
          <w:rFonts w:ascii="Verdana" w:hAnsi="Verdana"/>
          <w:b/>
          <w:bCs/>
          <w:color w:val="000000" w:themeColor="text1"/>
        </w:rPr>
        <w:t>LEY DE GARANTÍAS ELECTORALES -</w:t>
      </w:r>
      <w:r w:rsidRPr="006071D3">
        <w:rPr>
          <w:b/>
          <w:bCs/>
          <w:color w:val="000000" w:themeColor="text1"/>
        </w:rPr>
        <w:t xml:space="preserve"> </w:t>
      </w:r>
      <w:r w:rsidRPr="006071D3">
        <w:rPr>
          <w:rFonts w:ascii="Verdana" w:eastAsia="Calibri" w:hAnsi="Verdana" w:cs="Arial"/>
          <w:b/>
          <w:bCs/>
          <w:lang w:val="es-ES" w:eastAsia="es-ES"/>
        </w:rPr>
        <w:t xml:space="preserve">Excepción - Contratación </w:t>
      </w:r>
      <w:r w:rsidRPr="006071D3">
        <w:rPr>
          <w:rFonts w:ascii="Verdana" w:hAnsi="Verdana" w:cs="Arial"/>
          <w:b/>
          <w:bCs/>
          <w:color w:val="000000" w:themeColor="text1"/>
        </w:rPr>
        <w:t>por parte de entidades sanitarias y hospitalaria</w:t>
      </w:r>
      <w:r w:rsidRPr="006071D3">
        <w:rPr>
          <w:b/>
          <w:bCs/>
          <w:color w:val="000000" w:themeColor="text1"/>
        </w:rPr>
        <w:t xml:space="preserve"> </w:t>
      </w:r>
      <w:r w:rsidRPr="006071D3">
        <w:rPr>
          <w:rFonts w:ascii="Verdana" w:hAnsi="Verdana" w:cs="Arial"/>
          <w:b/>
          <w:bCs/>
          <w:color w:val="000000" w:themeColor="text1"/>
        </w:rPr>
        <w:t xml:space="preserve">  </w:t>
      </w:r>
    </w:p>
    <w:p w14:paraId="389D307D" w14:textId="77777777" w:rsidR="00F016F8" w:rsidRPr="00154F7F" w:rsidRDefault="00F016F8" w:rsidP="00154F7F">
      <w:pPr>
        <w:tabs>
          <w:tab w:val="left" w:pos="142"/>
          <w:tab w:val="left" w:pos="284"/>
          <w:tab w:val="left" w:pos="6975"/>
        </w:tabs>
        <w:spacing w:after="0" w:line="240" w:lineRule="auto"/>
        <w:jc w:val="both"/>
        <w:rPr>
          <w:rFonts w:ascii="Verdana" w:hAnsi="Verdana" w:cs="Arial"/>
          <w:b/>
          <w:bCs/>
          <w:sz w:val="20"/>
          <w:szCs w:val="20"/>
        </w:rPr>
      </w:pPr>
    </w:p>
    <w:p w14:paraId="3C99F58C" w14:textId="77777777" w:rsidR="00370356" w:rsidRPr="00154F7F" w:rsidRDefault="00370356" w:rsidP="00154F7F">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sidRPr="00154F7F">
        <w:rPr>
          <w:rFonts w:ascii="Verdana" w:eastAsia="Calibri" w:hAnsi="Verdana" w:cs="Arial"/>
          <w:bCs/>
          <w:color w:val="000000" w:themeColor="text1"/>
          <w:sz w:val="20"/>
          <w:szCs w:val="20"/>
        </w:rPr>
        <w:t xml:space="preserve">En torno a la procedencia de la contratación directa por parte de las E.S.E., es necesario </w:t>
      </w:r>
      <w:r w:rsidRPr="00154F7F">
        <w:rPr>
          <w:rFonts w:ascii="Verdana" w:hAnsi="Verdana" w:cs="Arial"/>
          <w:bCs/>
          <w:color w:val="000000" w:themeColor="text1"/>
          <w:sz w:val="20"/>
          <w:szCs w:val="20"/>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40F1090" w14:textId="4C840032" w:rsidR="00805515" w:rsidRPr="00154F7F" w:rsidRDefault="00370356" w:rsidP="00154F7F">
      <w:pPr>
        <w:tabs>
          <w:tab w:val="left" w:pos="142"/>
          <w:tab w:val="left" w:pos="284"/>
          <w:tab w:val="left" w:pos="6975"/>
        </w:tabs>
        <w:spacing w:after="0" w:line="240" w:lineRule="auto"/>
        <w:jc w:val="both"/>
        <w:rPr>
          <w:rFonts w:ascii="Verdana" w:hAnsi="Verdana" w:cs="Arial"/>
          <w:color w:val="000000" w:themeColor="text1"/>
          <w:sz w:val="20"/>
          <w:szCs w:val="20"/>
        </w:rPr>
      </w:pPr>
      <w:r w:rsidRPr="00154F7F">
        <w:rPr>
          <w:rFonts w:ascii="Verdana" w:hAnsi="Verdana" w:cs="Arial"/>
          <w:color w:val="000000" w:themeColor="text1"/>
          <w:sz w:val="20"/>
          <w:szCs w:val="20"/>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p>
    <w:p w14:paraId="306EFFC5" w14:textId="77777777" w:rsidR="001A473E" w:rsidRPr="00154F7F" w:rsidRDefault="001A473E" w:rsidP="00154F7F">
      <w:pPr>
        <w:tabs>
          <w:tab w:val="left" w:pos="142"/>
          <w:tab w:val="left" w:pos="284"/>
          <w:tab w:val="left" w:pos="6975"/>
        </w:tabs>
        <w:spacing w:after="0" w:line="240" w:lineRule="auto"/>
        <w:jc w:val="both"/>
        <w:rPr>
          <w:rFonts w:ascii="Verdana" w:hAnsi="Verdana" w:cs="Arial"/>
          <w:color w:val="000000" w:themeColor="text1"/>
          <w:sz w:val="20"/>
          <w:szCs w:val="20"/>
        </w:rPr>
      </w:pPr>
    </w:p>
    <w:p w14:paraId="7D210BAB" w14:textId="393BEB1E" w:rsidR="001A473E" w:rsidRPr="00154F7F" w:rsidRDefault="001A473E" w:rsidP="00154F7F">
      <w:pPr>
        <w:tabs>
          <w:tab w:val="left" w:pos="142"/>
          <w:tab w:val="left" w:pos="284"/>
          <w:tab w:val="left" w:pos="6975"/>
        </w:tabs>
        <w:spacing w:after="0" w:line="240" w:lineRule="auto"/>
        <w:jc w:val="both"/>
        <w:rPr>
          <w:rFonts w:ascii="Verdana" w:hAnsi="Verdana" w:cs="Arial"/>
          <w:color w:val="000000" w:themeColor="text1"/>
          <w:sz w:val="20"/>
          <w:szCs w:val="20"/>
        </w:rPr>
      </w:pPr>
      <w:r w:rsidRPr="00154F7F">
        <w:rPr>
          <w:rFonts w:ascii="Verdana" w:hAnsi="Verdana" w:cs="Arial"/>
          <w:color w:val="000000" w:themeColor="text1"/>
          <w:sz w:val="20"/>
          <w:szCs w:val="20"/>
        </w:rPr>
        <w:t xml:space="preserve">[…] </w:t>
      </w:r>
    </w:p>
    <w:p w14:paraId="01CF04D7" w14:textId="77777777" w:rsidR="001A473E" w:rsidRPr="00154F7F" w:rsidRDefault="001A473E" w:rsidP="00154F7F">
      <w:pPr>
        <w:tabs>
          <w:tab w:val="left" w:pos="142"/>
          <w:tab w:val="left" w:pos="284"/>
          <w:tab w:val="left" w:pos="6975"/>
        </w:tabs>
        <w:spacing w:after="0" w:line="240" w:lineRule="auto"/>
        <w:jc w:val="both"/>
        <w:rPr>
          <w:rFonts w:ascii="Verdana" w:hAnsi="Verdana" w:cs="Arial"/>
          <w:color w:val="000000" w:themeColor="text1"/>
          <w:sz w:val="20"/>
          <w:szCs w:val="20"/>
        </w:rPr>
      </w:pPr>
    </w:p>
    <w:p w14:paraId="172A7912" w14:textId="76465A97" w:rsidR="001A473E" w:rsidRPr="00154F7F" w:rsidRDefault="001A473E" w:rsidP="00154F7F">
      <w:pPr>
        <w:spacing w:after="0" w:line="240" w:lineRule="auto"/>
        <w:jc w:val="both"/>
        <w:rPr>
          <w:rFonts w:ascii="Verdana" w:eastAsia="Arial" w:hAnsi="Verdana" w:cs="Arial"/>
          <w:bCs/>
          <w:color w:val="000000" w:themeColor="text1"/>
          <w:sz w:val="20"/>
          <w:szCs w:val="20"/>
        </w:rPr>
      </w:pPr>
      <w:r w:rsidRPr="00154F7F">
        <w:rPr>
          <w:rFonts w:ascii="Verdana" w:eastAsia="Arial" w:hAnsi="Verdana" w:cs="Arial"/>
          <w:bCs/>
          <w:color w:val="000000" w:themeColor="text1"/>
          <w:sz w:val="20"/>
          <w:szCs w:val="20"/>
        </w:rPr>
        <w:t xml:space="preserve">De otro lado, el artículo 2.8.8.1.1.3 del Decreto 780 de 2016, “Por medio del cual se expide el Decreto Único Reglamentario del Sector Salud y Protección Social”, definió a las </w:t>
      </w:r>
      <w:r w:rsidRPr="00154F7F">
        <w:rPr>
          <w:rFonts w:ascii="Verdana" w:eastAsia="Arial" w:hAnsi="Verdana" w:cs="Arial"/>
          <w:bCs/>
          <w:i/>
          <w:iCs/>
          <w:color w:val="000000" w:themeColor="text1"/>
          <w:sz w:val="20"/>
          <w:szCs w:val="20"/>
        </w:rPr>
        <w:t>entidades sanitarias</w:t>
      </w:r>
      <w:r w:rsidRPr="00154F7F">
        <w:rPr>
          <w:rFonts w:ascii="Verdana" w:eastAsia="Arial" w:hAnsi="Verdana" w:cs="Arial"/>
          <w:bCs/>
          <w:color w:val="000000" w:themeColor="text1"/>
          <w:sz w:val="20"/>
          <w:szCs w:val="20"/>
        </w:rPr>
        <w:t xml:space="preserve"> como las “Entidades del Estado que prestan servicios sanitarios o de sanidad con el propósito de preservar la salud humana y la salud pública”. El artículo citado también define las </w:t>
      </w:r>
      <w:r w:rsidRPr="00154F7F">
        <w:rPr>
          <w:rFonts w:ascii="Verdana" w:eastAsia="Arial" w:hAnsi="Verdana" w:cs="Arial"/>
          <w:bCs/>
          <w:i/>
          <w:iCs/>
          <w:color w:val="000000" w:themeColor="text1"/>
          <w:sz w:val="20"/>
          <w:szCs w:val="20"/>
        </w:rPr>
        <w:t>autoridades sanitarias</w:t>
      </w:r>
      <w:r w:rsidRPr="00154F7F">
        <w:rPr>
          <w:rFonts w:ascii="Verdana" w:eastAsia="Arial" w:hAnsi="Verdana" w:cs="Arial"/>
          <w:bCs/>
          <w:color w:val="000000" w:themeColor="text1"/>
          <w:sz w:val="20"/>
          <w:szCs w:val="20"/>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63A39F7D" w14:textId="77777777" w:rsidR="001A473E" w:rsidRPr="00154F7F" w:rsidRDefault="001A473E" w:rsidP="00154F7F">
      <w:pPr>
        <w:tabs>
          <w:tab w:val="left" w:pos="142"/>
          <w:tab w:val="left" w:pos="284"/>
          <w:tab w:val="left" w:pos="6975"/>
        </w:tabs>
        <w:spacing w:after="0" w:line="240" w:lineRule="auto"/>
        <w:jc w:val="both"/>
        <w:rPr>
          <w:rFonts w:ascii="Verdana" w:hAnsi="Verdana" w:cs="Arial"/>
          <w:b/>
          <w:bCs/>
          <w:sz w:val="20"/>
          <w:szCs w:val="20"/>
        </w:rPr>
      </w:pPr>
    </w:p>
    <w:p w14:paraId="6F27EB62" w14:textId="47142F11" w:rsidR="00805515" w:rsidRPr="00154F7F" w:rsidRDefault="00154F7F" w:rsidP="00154F7F">
      <w:pPr>
        <w:tabs>
          <w:tab w:val="left" w:pos="142"/>
          <w:tab w:val="left" w:pos="284"/>
          <w:tab w:val="left" w:pos="6975"/>
        </w:tabs>
        <w:spacing w:after="0" w:line="240" w:lineRule="auto"/>
        <w:jc w:val="both"/>
        <w:rPr>
          <w:rFonts w:ascii="Verdana" w:eastAsia="Calibri" w:hAnsi="Verdana" w:cs="Arial"/>
          <w:sz w:val="20"/>
          <w:szCs w:val="20"/>
        </w:rPr>
      </w:pPr>
      <w:r w:rsidRPr="00154F7F">
        <w:rPr>
          <w:rFonts w:ascii="Verdana" w:eastAsia="Calibri" w:hAnsi="Verdana" w:cs="Arial"/>
          <w:sz w:val="20"/>
          <w:szCs w:val="20"/>
        </w:rPr>
        <w:t xml:space="preserve">[…] </w:t>
      </w:r>
    </w:p>
    <w:p w14:paraId="7E38CCED" w14:textId="77777777" w:rsidR="00154F7F" w:rsidRPr="00154F7F" w:rsidRDefault="00154F7F" w:rsidP="00154F7F">
      <w:pPr>
        <w:tabs>
          <w:tab w:val="left" w:pos="142"/>
          <w:tab w:val="left" w:pos="284"/>
          <w:tab w:val="left" w:pos="6975"/>
        </w:tabs>
        <w:spacing w:after="0" w:line="240" w:lineRule="auto"/>
        <w:jc w:val="both"/>
        <w:rPr>
          <w:rFonts w:ascii="Verdana" w:eastAsia="Calibri" w:hAnsi="Verdana" w:cs="Arial"/>
          <w:sz w:val="20"/>
          <w:szCs w:val="20"/>
        </w:rPr>
      </w:pPr>
    </w:p>
    <w:p w14:paraId="7CBBB731" w14:textId="77777777" w:rsidR="00154F7F" w:rsidRPr="00154F7F" w:rsidRDefault="00154F7F" w:rsidP="007F43AC">
      <w:pPr>
        <w:spacing w:after="0" w:line="240" w:lineRule="auto"/>
        <w:jc w:val="both"/>
        <w:rPr>
          <w:rFonts w:ascii="Verdana" w:eastAsia="Arial" w:hAnsi="Verdana" w:cs="Arial"/>
          <w:bCs/>
          <w:color w:val="000000" w:themeColor="text1"/>
          <w:sz w:val="20"/>
          <w:szCs w:val="20"/>
        </w:rPr>
      </w:pPr>
      <w:r w:rsidRPr="00154F7F">
        <w:rPr>
          <w:rFonts w:ascii="Verdana" w:eastAsia="Arial" w:hAnsi="Verdana" w:cs="Arial"/>
          <w:bCs/>
          <w:color w:val="000000" w:themeColor="text1"/>
          <w:sz w:val="20"/>
          <w:szCs w:val="20"/>
        </w:rPr>
        <w:t xml:space="preserve">Conforme con lo expuesto, las entidades que requieran adelantar procesos de contratación directa durante el periodo de garantías electorales deberán analizar, primero, si se configuran los supuestos establecidos en </w:t>
      </w:r>
      <w:r w:rsidRPr="00154F7F">
        <w:rPr>
          <w:rFonts w:ascii="Verdana" w:eastAsia="Arial" w:hAnsi="Verdana" w:cs="Arial"/>
          <w:bCs/>
          <w:i/>
          <w:iCs/>
          <w:color w:val="000000" w:themeColor="text1"/>
          <w:sz w:val="20"/>
          <w:szCs w:val="20"/>
        </w:rPr>
        <w:t>el artículo 33</w:t>
      </w:r>
      <w:r w:rsidRPr="00154F7F">
        <w:rPr>
          <w:rFonts w:ascii="Verdana" w:eastAsia="Arial" w:hAnsi="Verdana" w:cs="Arial"/>
          <w:bCs/>
          <w:color w:val="000000" w:themeColor="text1"/>
          <w:sz w:val="20"/>
          <w:szCs w:val="20"/>
        </w:rPr>
        <w:t xml:space="preserve"> de la Ley 996 de 2005, es decir, si se trata de cualquier entidad pública que pretenda adelantar un proceso no competitivo. Adicionalmente, será pertinente analizar si se configura alguna de las excepciones previstas en la norma. </w:t>
      </w:r>
    </w:p>
    <w:p w14:paraId="486FC810" w14:textId="77777777" w:rsidR="00154F7F" w:rsidRPr="00154F7F" w:rsidRDefault="00154F7F" w:rsidP="00154F7F">
      <w:pPr>
        <w:spacing w:after="0" w:line="240" w:lineRule="auto"/>
        <w:ind w:firstLine="709"/>
        <w:jc w:val="both"/>
        <w:rPr>
          <w:rFonts w:ascii="Verdana" w:eastAsia="Arial" w:hAnsi="Verdana" w:cs="Arial"/>
          <w:bCs/>
          <w:color w:val="000000" w:themeColor="text1"/>
          <w:sz w:val="20"/>
          <w:szCs w:val="20"/>
          <w:lang w:val="es-ES"/>
        </w:rPr>
      </w:pPr>
    </w:p>
    <w:p w14:paraId="6A5C948C" w14:textId="77777777" w:rsidR="00154F7F" w:rsidRPr="00154F7F" w:rsidRDefault="00154F7F" w:rsidP="00805515">
      <w:pPr>
        <w:tabs>
          <w:tab w:val="left" w:pos="142"/>
          <w:tab w:val="left" w:pos="284"/>
          <w:tab w:val="left" w:pos="6975"/>
        </w:tabs>
        <w:spacing w:after="0" w:line="240" w:lineRule="auto"/>
        <w:jc w:val="both"/>
        <w:rPr>
          <w:rFonts w:ascii="Verdana" w:eastAsia="Calibri" w:hAnsi="Verdana" w:cs="Arial"/>
          <w:sz w:val="20"/>
          <w:szCs w:val="20"/>
          <w:lang w:val="es-ES"/>
        </w:rPr>
      </w:pPr>
    </w:p>
    <w:p w14:paraId="6B97DDE5" w14:textId="77777777" w:rsidR="00805515" w:rsidRPr="005C701A" w:rsidRDefault="00805515" w:rsidP="00BE6049">
      <w:pPr>
        <w:spacing w:after="0"/>
        <w:ind w:left="708" w:hanging="708"/>
        <w:rPr>
          <w:rFonts w:ascii="Verdana" w:hAnsi="Verdana"/>
          <w:b/>
        </w:rPr>
      </w:pPr>
    </w:p>
    <w:p w14:paraId="332843A1" w14:textId="77777777" w:rsidR="009B71A5" w:rsidRPr="009B71A5" w:rsidRDefault="009B71A5" w:rsidP="00BE6049">
      <w:pPr>
        <w:spacing w:after="0"/>
        <w:ind w:left="708" w:hanging="708"/>
        <w:rPr>
          <w:rFonts w:ascii="Verdana" w:eastAsia="Verdana" w:hAnsi="Verdana" w:cs="Verdana"/>
          <w:b/>
        </w:rPr>
      </w:pPr>
    </w:p>
    <w:p w14:paraId="17BBC93B" w14:textId="77777777" w:rsidR="00BE6049" w:rsidRDefault="00BE6049" w:rsidP="00BE6049">
      <w:pPr>
        <w:spacing w:after="0"/>
        <w:ind w:left="708" w:hanging="708"/>
        <w:rPr>
          <w:rFonts w:ascii="Verdana" w:eastAsia="Verdana" w:hAnsi="Verdana" w:cs="Verdana"/>
        </w:rPr>
      </w:pPr>
    </w:p>
    <w:p w14:paraId="1929A92F" w14:textId="77777777" w:rsidR="007F43AC" w:rsidRDefault="007F43AC" w:rsidP="00BE6049">
      <w:pPr>
        <w:spacing w:after="0"/>
        <w:ind w:left="708" w:hanging="708"/>
        <w:rPr>
          <w:rFonts w:ascii="Verdana" w:eastAsia="Verdana" w:hAnsi="Verdana" w:cs="Verdana"/>
        </w:rPr>
      </w:pPr>
    </w:p>
    <w:p w14:paraId="7D2D052A" w14:textId="77777777" w:rsidR="007F43AC" w:rsidRDefault="007F43AC" w:rsidP="00BE6049">
      <w:pPr>
        <w:spacing w:after="0"/>
        <w:ind w:left="708" w:hanging="708"/>
        <w:rPr>
          <w:rFonts w:ascii="Verdana" w:eastAsia="Verdana" w:hAnsi="Verdana" w:cs="Verdana"/>
        </w:rPr>
      </w:pPr>
    </w:p>
    <w:p w14:paraId="0B55CEC2" w14:textId="77777777" w:rsidR="007F43AC" w:rsidRDefault="007F43AC" w:rsidP="00BE6049">
      <w:pPr>
        <w:spacing w:after="0"/>
        <w:ind w:left="708" w:hanging="708"/>
        <w:rPr>
          <w:rFonts w:ascii="Verdana" w:eastAsia="Verdana" w:hAnsi="Verdana" w:cs="Verdana"/>
        </w:rPr>
      </w:pPr>
    </w:p>
    <w:p w14:paraId="211BAE44" w14:textId="77777777" w:rsidR="007F43AC" w:rsidRDefault="007F43AC" w:rsidP="00BE6049">
      <w:pPr>
        <w:spacing w:after="0"/>
        <w:ind w:left="708" w:hanging="708"/>
        <w:rPr>
          <w:rFonts w:ascii="Verdana" w:eastAsia="Verdana" w:hAnsi="Verdana" w:cs="Verdana"/>
        </w:rPr>
      </w:pPr>
    </w:p>
    <w:p w14:paraId="1D7BAE30" w14:textId="77777777" w:rsidR="007F43AC" w:rsidRDefault="007F43AC" w:rsidP="00BE6049">
      <w:pPr>
        <w:spacing w:after="0"/>
        <w:ind w:left="708" w:hanging="708"/>
        <w:rPr>
          <w:rFonts w:ascii="Verdana" w:eastAsia="Verdana" w:hAnsi="Verdana" w:cs="Verdana"/>
        </w:rPr>
      </w:pPr>
    </w:p>
    <w:p w14:paraId="308DA9BF" w14:textId="77777777" w:rsidR="007F43AC" w:rsidRDefault="007F43AC" w:rsidP="00BE6049">
      <w:pPr>
        <w:spacing w:after="0"/>
        <w:ind w:left="708" w:hanging="708"/>
        <w:rPr>
          <w:rFonts w:ascii="Verdana" w:eastAsia="Verdana" w:hAnsi="Verdana" w:cs="Verdana"/>
        </w:rPr>
      </w:pPr>
    </w:p>
    <w:p w14:paraId="6938957D" w14:textId="77777777" w:rsidR="007F43AC" w:rsidRDefault="007F43AC" w:rsidP="00BE6049">
      <w:pPr>
        <w:spacing w:after="0"/>
        <w:ind w:left="708" w:hanging="708"/>
        <w:rPr>
          <w:rFonts w:ascii="Verdana" w:eastAsia="Verdana" w:hAnsi="Verdana" w:cs="Verdana"/>
        </w:rPr>
      </w:pPr>
    </w:p>
    <w:p w14:paraId="35017C94" w14:textId="77777777" w:rsidR="007F43AC" w:rsidRDefault="007F43AC" w:rsidP="00BE6049">
      <w:pPr>
        <w:spacing w:after="0"/>
        <w:ind w:left="708" w:hanging="708"/>
        <w:rPr>
          <w:rFonts w:ascii="Verdana" w:eastAsia="Verdana" w:hAnsi="Verdana" w:cs="Verdana"/>
        </w:rPr>
      </w:pPr>
    </w:p>
    <w:p w14:paraId="6122DB12" w14:textId="77777777" w:rsidR="007F43AC" w:rsidRDefault="007F43AC" w:rsidP="00BE6049">
      <w:pPr>
        <w:spacing w:after="0"/>
        <w:ind w:left="708" w:hanging="708"/>
        <w:rPr>
          <w:rFonts w:ascii="Verdana" w:eastAsia="Verdana" w:hAnsi="Verdana" w:cs="Verdana"/>
        </w:rPr>
      </w:pPr>
    </w:p>
    <w:p w14:paraId="253F96C6" w14:textId="77777777" w:rsidR="007F43AC" w:rsidRDefault="007F43AC" w:rsidP="00BE6049">
      <w:pPr>
        <w:spacing w:after="0"/>
        <w:ind w:left="708" w:hanging="708"/>
        <w:rPr>
          <w:rFonts w:ascii="Verdana" w:eastAsia="Verdana" w:hAnsi="Verdana" w:cs="Verdana"/>
        </w:rPr>
      </w:pPr>
    </w:p>
    <w:p w14:paraId="5EC9EA81" w14:textId="77777777" w:rsidR="007F43AC" w:rsidRDefault="007F43AC" w:rsidP="00BE6049">
      <w:pPr>
        <w:spacing w:after="0"/>
        <w:ind w:left="708" w:hanging="708"/>
        <w:rPr>
          <w:rFonts w:ascii="Verdana" w:eastAsia="Verdana" w:hAnsi="Verdana" w:cs="Verdana"/>
        </w:rPr>
      </w:pPr>
    </w:p>
    <w:p w14:paraId="513C37F5" w14:textId="77777777" w:rsidR="007F43AC" w:rsidRDefault="007F43AC" w:rsidP="00BE6049">
      <w:pPr>
        <w:spacing w:after="0"/>
        <w:ind w:left="708" w:hanging="708"/>
        <w:rPr>
          <w:rFonts w:ascii="Verdana" w:eastAsia="Verdana" w:hAnsi="Verdana" w:cs="Verdana"/>
        </w:rPr>
      </w:pPr>
    </w:p>
    <w:p w14:paraId="567A0927" w14:textId="77777777" w:rsidR="000925A3" w:rsidRDefault="007B7821" w:rsidP="00BE6049">
      <w:pPr>
        <w:spacing w:after="0"/>
        <w:ind w:left="708" w:hanging="708"/>
        <w:rPr>
          <w:rFonts w:ascii="Verdana" w:eastAsia="Verdana" w:hAnsi="Verdana" w:cs="Verdana"/>
        </w:rPr>
      </w:pPr>
      <w:r w:rsidRPr="78BEE707">
        <w:rPr>
          <w:rFonts w:ascii="Verdana" w:eastAsia="Verdana" w:hAnsi="Verdana" w:cs="Verdana"/>
        </w:rPr>
        <w:t xml:space="preserve">Bogotá D.C., </w:t>
      </w:r>
      <w:r w:rsidR="000925A3">
        <w:rPr>
          <w:rFonts w:ascii="Verdana" w:eastAsia="Verdana" w:hAnsi="Verdana" w:cs="Verdana"/>
        </w:rPr>
        <w:t xml:space="preserve">13 </w:t>
      </w:r>
      <w:proofErr w:type="gramStart"/>
      <w:r w:rsidR="000925A3">
        <w:rPr>
          <w:rFonts w:ascii="Verdana" w:eastAsia="Verdana" w:hAnsi="Verdana" w:cs="Verdana"/>
        </w:rPr>
        <w:t>Abril</w:t>
      </w:r>
      <w:proofErr w:type="gramEnd"/>
      <w:r w:rsidR="000925A3">
        <w:rPr>
          <w:rFonts w:ascii="Verdana" w:eastAsia="Verdana" w:hAnsi="Verdana" w:cs="Verdana"/>
        </w:rPr>
        <w:t xml:space="preserve"> 2026</w:t>
      </w:r>
    </w:p>
    <w:p w14:paraId="3E155DEA" w14:textId="11BCDDF9" w:rsidR="007B7821" w:rsidRPr="004D4217" w:rsidRDefault="000925A3" w:rsidP="000925A3">
      <w:pPr>
        <w:spacing w:after="0"/>
        <w:ind w:left="708" w:hanging="708"/>
        <w:jc w:val="right"/>
        <w:rPr>
          <w:rFonts w:ascii="Verdana" w:eastAsia="Verdana" w:hAnsi="Verdana" w:cs="Verdana"/>
        </w:rPr>
      </w:pPr>
      <w:r w:rsidRPr="000925A3">
        <w:rPr>
          <w:rFonts w:ascii="Verdana" w:eastAsia="Verdana" w:hAnsi="Verdana" w:cs="Verdana"/>
          <w:noProof/>
        </w:rPr>
        <w:drawing>
          <wp:inline distT="0" distB="0" distL="0" distR="0" wp14:anchorId="49B522F0" wp14:editId="19EA11D3">
            <wp:extent cx="2344210" cy="638175"/>
            <wp:effectExtent l="0" t="0" r="0" b="0"/>
            <wp:docPr id="2485315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531571" name=""/>
                    <pic:cNvPicPr/>
                  </pic:nvPicPr>
                  <pic:blipFill>
                    <a:blip r:embed="rId11"/>
                    <a:stretch>
                      <a:fillRect/>
                    </a:stretch>
                  </pic:blipFill>
                  <pic:spPr>
                    <a:xfrm>
                      <a:off x="0" y="0"/>
                      <a:ext cx="2368641" cy="644826"/>
                    </a:xfrm>
                    <a:prstGeom prst="rect">
                      <a:avLst/>
                    </a:prstGeom>
                  </pic:spPr>
                </pic:pic>
              </a:graphicData>
            </a:graphic>
          </wp:inline>
        </w:drawing>
      </w:r>
    </w:p>
    <w:p w14:paraId="7CAFA0CE" w14:textId="77777777" w:rsidR="007B7821" w:rsidRDefault="007B7821" w:rsidP="007B7821">
      <w:pPr>
        <w:spacing w:after="0" w:line="240" w:lineRule="auto"/>
        <w:jc w:val="both"/>
        <w:rPr>
          <w:rFonts w:ascii="Verdana" w:eastAsia="Calibri" w:hAnsi="Verdana" w:cs="Arial"/>
          <w:b/>
          <w:bCs/>
          <w:lang w:eastAsia="es-ES"/>
        </w:rPr>
      </w:pPr>
      <w:r>
        <w:rPr>
          <w:rFonts w:ascii="Verdana" w:eastAsia="Calibri" w:hAnsi="Verdana" w:cs="Arial"/>
          <w:b/>
          <w:bCs/>
          <w:lang w:eastAsia="es-ES"/>
        </w:rPr>
        <w:t>Señora</w:t>
      </w:r>
    </w:p>
    <w:p w14:paraId="78B90B19" w14:textId="77777777" w:rsidR="007B7821" w:rsidRPr="00B07F38" w:rsidRDefault="007B7821" w:rsidP="007B7821">
      <w:pPr>
        <w:spacing w:after="0" w:line="240" w:lineRule="auto"/>
        <w:jc w:val="both"/>
        <w:rPr>
          <w:rFonts w:ascii="Verdana" w:eastAsia="Calibri" w:hAnsi="Verdana" w:cs="Arial"/>
          <w:b/>
          <w:bCs/>
          <w:lang w:val="it-CH" w:eastAsia="es-ES"/>
        </w:rPr>
      </w:pPr>
      <w:r w:rsidRPr="00B07F38">
        <w:rPr>
          <w:rFonts w:ascii="Verdana" w:eastAsia="Calibri" w:hAnsi="Verdana" w:cs="Arial"/>
          <w:b/>
          <w:bCs/>
          <w:lang w:val="it-CH" w:eastAsia="es-ES"/>
        </w:rPr>
        <w:t>Alba Patricia Arana S</w:t>
      </w:r>
      <w:r>
        <w:rPr>
          <w:rFonts w:ascii="Verdana" w:eastAsia="Calibri" w:hAnsi="Verdana" w:cs="Arial"/>
          <w:b/>
          <w:bCs/>
          <w:lang w:val="it-CH" w:eastAsia="es-ES"/>
        </w:rPr>
        <w:t xml:space="preserve">ánchez </w:t>
      </w:r>
    </w:p>
    <w:p w14:paraId="6DEBBF7B" w14:textId="77777777" w:rsidR="007B7821" w:rsidRPr="00B07F38" w:rsidRDefault="007B7821" w:rsidP="007B7821">
      <w:pPr>
        <w:spacing w:after="0" w:line="240" w:lineRule="auto"/>
        <w:jc w:val="both"/>
        <w:rPr>
          <w:rFonts w:ascii="Verdana" w:hAnsi="Verdana"/>
          <w:b/>
          <w:bCs/>
        </w:rPr>
      </w:pPr>
      <w:hyperlink r:id="rId12" w:history="1">
        <w:r w:rsidRPr="00B07F38">
          <w:rPr>
            <w:rStyle w:val="Hipervnculo"/>
            <w:rFonts w:ascii="Verdana" w:hAnsi="Verdana"/>
            <w:b/>
            <w:bCs/>
          </w:rPr>
          <w:t>apoyoci09@subrednorte.gov.co</w:t>
        </w:r>
      </w:hyperlink>
    </w:p>
    <w:p w14:paraId="081DC633" w14:textId="77777777" w:rsidR="007B7821" w:rsidRPr="003F658D" w:rsidRDefault="007B7821" w:rsidP="007B7821">
      <w:pPr>
        <w:spacing w:after="0" w:line="240" w:lineRule="auto"/>
        <w:jc w:val="both"/>
        <w:rPr>
          <w:rFonts w:ascii="Verdana" w:hAnsi="Verdana"/>
          <w:lang w:val="it-CH"/>
        </w:rPr>
      </w:pPr>
      <w:r>
        <w:rPr>
          <w:rFonts w:ascii="Verdana" w:hAnsi="Verdana"/>
          <w:lang w:val="it-CH"/>
        </w:rPr>
        <w:t>Ciudad</w:t>
      </w:r>
    </w:p>
    <w:p w14:paraId="79495762" w14:textId="77777777" w:rsidR="007B7821" w:rsidRPr="0099386F" w:rsidRDefault="007B7821" w:rsidP="007B7821">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B7821" w:rsidRPr="005644FE" w14:paraId="5740DDE7" w14:textId="77777777" w:rsidTr="0021330D">
        <w:trPr>
          <w:trHeight w:val="162"/>
        </w:trPr>
        <w:tc>
          <w:tcPr>
            <w:tcW w:w="3119" w:type="dxa"/>
          </w:tcPr>
          <w:p w14:paraId="0DAA4809" w14:textId="77777777" w:rsidR="007B7821" w:rsidRPr="003F658D" w:rsidRDefault="007B7821" w:rsidP="0021330D">
            <w:pPr>
              <w:jc w:val="both"/>
              <w:rPr>
                <w:rFonts w:ascii="Verdana" w:eastAsia="Calibri" w:hAnsi="Verdana" w:cs="Arial"/>
                <w:b/>
                <w:bCs/>
                <w:color w:val="7030A0"/>
                <w:lang w:val="it-CH" w:eastAsia="es-ES_tradnl"/>
              </w:rPr>
            </w:pPr>
          </w:p>
        </w:tc>
        <w:tc>
          <w:tcPr>
            <w:tcW w:w="5670" w:type="dxa"/>
          </w:tcPr>
          <w:p w14:paraId="589A3771" w14:textId="77777777" w:rsidR="007B7821" w:rsidRPr="005644FE" w:rsidRDefault="007B7821" w:rsidP="0021330D">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357 de 2026</w:t>
            </w:r>
          </w:p>
          <w:p w14:paraId="2F4DD067" w14:textId="77777777" w:rsidR="007B7821" w:rsidRPr="005644FE" w:rsidRDefault="007B7821" w:rsidP="0021330D">
            <w:pPr>
              <w:jc w:val="both"/>
              <w:rPr>
                <w:rFonts w:ascii="Verdana" w:eastAsia="Calibri" w:hAnsi="Verdana" w:cs="Arial"/>
                <w:b/>
                <w:bCs/>
                <w:color w:val="7030A0"/>
                <w:lang w:eastAsia="es-ES"/>
              </w:rPr>
            </w:pPr>
          </w:p>
        </w:tc>
      </w:tr>
      <w:tr w:rsidR="007B7821" w:rsidRPr="005644FE" w14:paraId="07E64455" w14:textId="77777777" w:rsidTr="0021330D">
        <w:trPr>
          <w:trHeight w:val="884"/>
        </w:trPr>
        <w:tc>
          <w:tcPr>
            <w:tcW w:w="3119" w:type="dxa"/>
          </w:tcPr>
          <w:p w14:paraId="6E8DC2A1" w14:textId="77777777" w:rsidR="007B7821" w:rsidRPr="005644FE" w:rsidRDefault="007B7821" w:rsidP="0021330D">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4F7080EA" w14:textId="6417C57C" w:rsidR="007B7821" w:rsidRDefault="007B7821" w:rsidP="0021330D">
            <w:pPr>
              <w:jc w:val="both"/>
              <w:rPr>
                <w:rFonts w:ascii="Verdana" w:hAnsi="Verdana" w:cs="Arial"/>
                <w:color w:val="000000" w:themeColor="text1"/>
              </w:rPr>
            </w:pPr>
            <w:r w:rsidRPr="003C70D8">
              <w:rPr>
                <w:rFonts w:ascii="Verdana" w:hAnsi="Verdana"/>
                <w:bCs/>
                <w:lang w:val="es-ES"/>
              </w:rPr>
              <w:t xml:space="preserve">RÉGIMEN EXCEPCIONAL – Justificación – Criterios de clasificación / </w:t>
            </w:r>
            <w:r w:rsidRPr="003C70D8">
              <w:rPr>
                <w:rFonts w:ascii="Verdana" w:hAnsi="Verdana"/>
                <w:bCs/>
                <w:lang w:val="es-ES_tradnl"/>
              </w:rPr>
              <w:t>EMPRESAS SOCIALES DEL ESTADO – Naturaleza – régimen especial</w:t>
            </w:r>
            <w:r>
              <w:rPr>
                <w:rFonts w:ascii="Verdana" w:hAnsi="Verdana"/>
                <w:bCs/>
                <w:lang w:val="es-ES_tradnl"/>
              </w:rPr>
              <w:t xml:space="preserve"> /</w:t>
            </w:r>
            <w:r w:rsidRPr="003C70D8">
              <w:rPr>
                <w:rFonts w:ascii="Verdana" w:hAnsi="Verdana"/>
                <w:bCs/>
                <w:lang w:val="es-ES_tradnl"/>
              </w:rPr>
              <w:t xml:space="preserve"> EMPRESAS SOCIALES DEL ESTADO</w:t>
            </w:r>
            <w:r>
              <w:rPr>
                <w:rFonts w:ascii="Verdana" w:hAnsi="Verdana"/>
                <w:bCs/>
                <w:lang w:val="es-ES_tradnl"/>
              </w:rPr>
              <w:t xml:space="preserve"> – Límites en la contratación /EMPRESAS SOCIALES DEL ESTADO – Manual de contratación / </w:t>
            </w:r>
            <w:r w:rsidRPr="328AD567">
              <w:rPr>
                <w:rFonts w:ascii="Verdana" w:eastAsia="Calibri" w:hAnsi="Verdana" w:cs="Arial"/>
                <w:lang w:val="es-ES" w:eastAsia="es-ES"/>
              </w:rPr>
              <w:t xml:space="preserve">DOBLE ASIGNACIÓN – Definición- Empleos Públicos / </w:t>
            </w:r>
            <w:r w:rsidRPr="328AD567">
              <w:rPr>
                <w:rFonts w:ascii="Verdana" w:eastAsia="Calibri" w:hAnsi="Verdana" w:cs="Arial"/>
                <w:lang w:val="es-MX" w:eastAsia="es-ES"/>
              </w:rPr>
              <w:t>CONTRATO DE PRESTACIÓN DE SERVICIOS – Doble erogación presupuestal – Prohibición – No es aplicable</w:t>
            </w:r>
            <w:r>
              <w:rPr>
                <w:rFonts w:ascii="Verdana" w:eastAsia="Calibri" w:hAnsi="Verdana" w:cs="Arial"/>
                <w:lang w:val="es-MX" w:eastAsia="es-ES"/>
              </w:rPr>
              <w:t xml:space="preserve"> / </w:t>
            </w:r>
            <w:r w:rsidRPr="0047048A">
              <w:rPr>
                <w:rFonts w:ascii="Verdana" w:eastAsia="Calibri" w:hAnsi="Verdana" w:cs="Arial"/>
                <w:lang w:val="es-ES" w:eastAsia="es-ES"/>
              </w:rPr>
              <w:t xml:space="preserve">PRINCIPIO DE PUBLICIDAD – SECOP – </w:t>
            </w:r>
            <w:r>
              <w:rPr>
                <w:rFonts w:ascii="Verdana" w:eastAsia="Calibri" w:hAnsi="Verdana" w:cs="Arial"/>
                <w:lang w:val="es-ES" w:eastAsia="es-ES"/>
              </w:rPr>
              <w:t xml:space="preserve">Entidades con régimen especial de contratación - </w:t>
            </w:r>
            <w:r w:rsidRPr="0047048A">
              <w:rPr>
                <w:rFonts w:ascii="Verdana" w:eastAsia="Calibri" w:hAnsi="Verdana" w:cs="Arial"/>
                <w:lang w:val="es-ES" w:eastAsia="es-ES"/>
              </w:rPr>
              <w:t>Documentos del proceso – Deber de publicación</w:t>
            </w:r>
            <w:r>
              <w:rPr>
                <w:rFonts w:ascii="Verdana" w:eastAsia="Calibri" w:hAnsi="Verdana" w:cs="Arial"/>
                <w:lang w:val="es-ES" w:eastAsia="es-ES"/>
              </w:rPr>
              <w:t xml:space="preserve"> / </w:t>
            </w:r>
            <w:r w:rsidRPr="00B0785F">
              <w:rPr>
                <w:rFonts w:ascii="Verdana" w:eastAsia="Calibri" w:hAnsi="Verdana" w:cs="Arial"/>
                <w:lang w:val="es-ES" w:eastAsia="es-ES"/>
              </w:rPr>
              <w:t>DOCUMENTOS DEL PROCESO – Noción – Deber de publicación</w:t>
            </w:r>
            <w:r>
              <w:rPr>
                <w:rFonts w:ascii="Verdana" w:eastAsia="Calibri" w:hAnsi="Verdana" w:cs="Arial"/>
                <w:lang w:val="es-ES" w:eastAsia="es-ES"/>
              </w:rPr>
              <w:t xml:space="preserve"> / </w:t>
            </w:r>
            <w:r w:rsidRPr="00937FB6">
              <w:rPr>
                <w:rFonts w:ascii="Verdana" w:hAnsi="Verdana" w:cs="Arial"/>
                <w:color w:val="000000" w:themeColor="text1"/>
              </w:rPr>
              <w:t xml:space="preserve">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w:t>
            </w:r>
            <w:r w:rsidR="00A76D6C">
              <w:rPr>
                <w:rFonts w:ascii="Verdana" w:hAnsi="Verdana" w:cs="Arial"/>
                <w:color w:val="000000" w:themeColor="text1"/>
              </w:rPr>
              <w:t>- P</w:t>
            </w:r>
            <w:r w:rsidRPr="00937FB6">
              <w:rPr>
                <w:rFonts w:ascii="Verdana" w:hAnsi="Verdana" w:cs="Arial"/>
                <w:color w:val="000000" w:themeColor="text1"/>
              </w:rPr>
              <w:t>osición /</w:t>
            </w:r>
            <w:r w:rsidRPr="00937FB6">
              <w:rPr>
                <w:rFonts w:ascii="Verdana" w:hAnsi="Verdana"/>
                <w:color w:val="000000" w:themeColor="text1"/>
              </w:rPr>
              <w:t xml:space="preserve"> LEY DE GARANTÍAS ELECTORALES -</w:t>
            </w:r>
            <w:r w:rsidRPr="00937FB6">
              <w:rPr>
                <w:color w:val="000000" w:themeColor="text1"/>
              </w:rPr>
              <w:t xml:space="preserve"> </w:t>
            </w:r>
            <w:r w:rsidRPr="00937FB6">
              <w:rPr>
                <w:rFonts w:ascii="Verdana" w:eastAsia="Calibri" w:hAnsi="Verdana" w:cs="Arial"/>
                <w:lang w:val="es-ES" w:eastAsia="es-ES"/>
              </w:rPr>
              <w:t xml:space="preserve">Excepción - Contratación </w:t>
            </w:r>
            <w:r w:rsidRPr="00937FB6">
              <w:rPr>
                <w:rFonts w:ascii="Verdana" w:hAnsi="Verdana" w:cs="Arial"/>
                <w:bCs/>
                <w:color w:val="000000" w:themeColor="text1"/>
              </w:rPr>
              <w:t>por parte de</w:t>
            </w:r>
            <w:r w:rsidR="00A76D6C">
              <w:rPr>
                <w:rFonts w:ascii="Verdana" w:hAnsi="Verdana" w:cs="Arial"/>
                <w:bCs/>
                <w:color w:val="000000" w:themeColor="text1"/>
              </w:rPr>
              <w:t xml:space="preserve"> </w:t>
            </w:r>
            <w:r w:rsidRPr="00937FB6">
              <w:rPr>
                <w:rFonts w:ascii="Verdana" w:hAnsi="Verdana" w:cs="Arial"/>
                <w:bCs/>
                <w:color w:val="000000" w:themeColor="text1"/>
              </w:rPr>
              <w:t>entidades sanitarias y hospitalaria</w:t>
            </w:r>
            <w:r w:rsidRPr="00937FB6">
              <w:rPr>
                <w:color w:val="000000" w:themeColor="text1"/>
              </w:rPr>
              <w:t xml:space="preserve"> </w:t>
            </w:r>
            <w:r w:rsidRPr="00937FB6">
              <w:rPr>
                <w:rFonts w:ascii="Verdana" w:hAnsi="Verdana" w:cs="Arial"/>
                <w:color w:val="000000" w:themeColor="text1"/>
              </w:rPr>
              <w:t xml:space="preserve">  </w:t>
            </w:r>
          </w:p>
          <w:p w14:paraId="2A0E768A" w14:textId="77777777" w:rsidR="007B7821" w:rsidRPr="00BE56D0" w:rsidRDefault="007B7821" w:rsidP="0021330D">
            <w:pPr>
              <w:jc w:val="both"/>
              <w:rPr>
                <w:rFonts w:ascii="Verdana" w:eastAsia="Calibri" w:hAnsi="Verdana" w:cs="Arial"/>
                <w:lang w:val="es-ES" w:eastAsia="es-ES"/>
              </w:rPr>
            </w:pPr>
          </w:p>
        </w:tc>
      </w:tr>
      <w:tr w:rsidR="007B7821" w:rsidRPr="005644FE" w14:paraId="6CBA166B" w14:textId="77777777" w:rsidTr="0021330D">
        <w:tc>
          <w:tcPr>
            <w:tcW w:w="3119" w:type="dxa"/>
          </w:tcPr>
          <w:p w14:paraId="27D82D33" w14:textId="77777777" w:rsidR="007B7821" w:rsidRPr="005644FE" w:rsidRDefault="007B7821" w:rsidP="0021330D">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B4AB979" w14:textId="77777777" w:rsidR="007B7821" w:rsidRPr="00F04657" w:rsidRDefault="007B7821" w:rsidP="0021330D">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B07F38">
              <w:rPr>
                <w:rFonts w:ascii="Verdana" w:eastAsia="Calibri" w:hAnsi="Verdana" w:cs="Arial"/>
                <w:lang w:eastAsia="es-ES_tradnl"/>
              </w:rPr>
              <w:t>1_2026_03_04_003045</w:t>
            </w:r>
          </w:p>
        </w:tc>
      </w:tr>
    </w:tbl>
    <w:p w14:paraId="39FB014E" w14:textId="77777777" w:rsidR="007B7821" w:rsidRPr="005644FE" w:rsidRDefault="007B7821" w:rsidP="007B7821">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6D6DDFAE" w14:textId="77777777" w:rsidR="007B7821" w:rsidRPr="005644FE" w:rsidRDefault="007B7821" w:rsidP="007B7821">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Alba Patricia: </w:t>
      </w:r>
    </w:p>
    <w:p w14:paraId="2B2B07F4" w14:textId="77777777" w:rsidR="007B7821" w:rsidRPr="00E02524" w:rsidRDefault="007B7821" w:rsidP="007B7821">
      <w:pPr>
        <w:spacing w:after="0" w:line="276" w:lineRule="auto"/>
        <w:jc w:val="both"/>
        <w:rPr>
          <w:rFonts w:ascii="Verdana" w:hAnsi="Verdana"/>
          <w:lang w:val="es-MX"/>
        </w:rPr>
      </w:pPr>
    </w:p>
    <w:p w14:paraId="2CDCEB4A" w14:textId="77777777" w:rsidR="007B7821" w:rsidRDefault="007B7821" w:rsidP="007B7821">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4 de marzo de 2026, </w:t>
      </w:r>
      <w:r w:rsidRPr="005644FE">
        <w:rPr>
          <w:rFonts w:ascii="Verdana" w:eastAsia="Calibri" w:hAnsi="Verdana" w:cs="Arial"/>
          <w:lang w:eastAsia="es-ES"/>
        </w:rPr>
        <w:t>en la cual manifiesta lo siguiente:</w:t>
      </w:r>
    </w:p>
    <w:p w14:paraId="323B52F2" w14:textId="77777777" w:rsidR="007B7821" w:rsidRDefault="007B7821" w:rsidP="007B7821">
      <w:pPr>
        <w:spacing w:after="0" w:line="276" w:lineRule="auto"/>
        <w:jc w:val="both"/>
        <w:rPr>
          <w:rFonts w:ascii="Verdana" w:hAnsi="Verdana"/>
        </w:rPr>
      </w:pPr>
    </w:p>
    <w:p w14:paraId="28E9D852" w14:textId="77777777" w:rsidR="007B7821" w:rsidRDefault="007B7821" w:rsidP="007B7821">
      <w:pPr>
        <w:spacing w:after="0" w:line="276" w:lineRule="auto"/>
        <w:jc w:val="both"/>
        <w:rPr>
          <w:rFonts w:ascii="Verdana" w:hAnsi="Verdana"/>
        </w:rPr>
      </w:pPr>
      <w:r w:rsidRPr="00E02524">
        <w:rPr>
          <w:rFonts w:ascii="Verdana" w:hAnsi="Verdana"/>
        </w:rPr>
        <w:t xml:space="preserve">PETICIÓN REALIZADA </w:t>
      </w:r>
    </w:p>
    <w:p w14:paraId="2E1C836D" w14:textId="77777777" w:rsidR="007B7821" w:rsidRPr="008E5B36" w:rsidRDefault="007B7821" w:rsidP="007B7821">
      <w:pPr>
        <w:spacing w:after="0" w:line="240" w:lineRule="auto"/>
        <w:jc w:val="both"/>
        <w:rPr>
          <w:rFonts w:ascii="Verdana" w:hAnsi="Verdana"/>
        </w:rPr>
      </w:pPr>
    </w:p>
    <w:p w14:paraId="16EACAEF" w14:textId="77777777" w:rsidR="007B7821" w:rsidRDefault="007B7821" w:rsidP="007B7821">
      <w:pPr>
        <w:spacing w:after="0" w:line="240" w:lineRule="auto"/>
        <w:ind w:left="709" w:right="709"/>
        <w:jc w:val="both"/>
        <w:rPr>
          <w:rFonts w:ascii="Verdana" w:hAnsi="Verdana"/>
          <w:sz w:val="20"/>
          <w:szCs w:val="20"/>
        </w:rPr>
      </w:pPr>
      <w:r>
        <w:rPr>
          <w:rFonts w:ascii="Verdana" w:hAnsi="Verdana"/>
          <w:sz w:val="20"/>
          <w:szCs w:val="20"/>
        </w:rPr>
        <w:t xml:space="preserve">“(…) </w:t>
      </w:r>
      <w:r w:rsidRPr="00B07F38">
        <w:rPr>
          <w:rFonts w:ascii="Verdana" w:hAnsi="Verdana"/>
          <w:sz w:val="20"/>
          <w:szCs w:val="20"/>
        </w:rPr>
        <w:t>De manera atenta y en el marco de las funciones institucionales de análisis y seguimiento que se adelanta al interior de la Subred Integrada de Servicios de Salud Norte E.S.E., me permito elevar consulta como Oficina de Control Interno, a fin de obtener claridad jurídica respecto del régimen de contratación aplicable a las Empresas Sociales del Estado (E.S.E.), en especial frente a los siguientes interrogantes:</w:t>
      </w:r>
    </w:p>
    <w:p w14:paraId="48780099" w14:textId="77777777" w:rsidR="007B7821" w:rsidRPr="00B07F38" w:rsidRDefault="007B7821" w:rsidP="007B7821">
      <w:pPr>
        <w:spacing w:after="0" w:line="240" w:lineRule="auto"/>
        <w:ind w:left="709" w:right="709"/>
        <w:jc w:val="both"/>
        <w:rPr>
          <w:rFonts w:ascii="Verdana" w:hAnsi="Verdana"/>
          <w:sz w:val="20"/>
          <w:szCs w:val="20"/>
        </w:rPr>
      </w:pPr>
    </w:p>
    <w:p w14:paraId="3EBBDC40"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Régimen especial de las E.S.E.</w:t>
      </w:r>
    </w:p>
    <w:p w14:paraId="47FD67F4" w14:textId="77777777" w:rsidR="007B7821" w:rsidRPr="00B07F38" w:rsidRDefault="007B7821" w:rsidP="007B7821">
      <w:pPr>
        <w:spacing w:after="0" w:line="240" w:lineRule="auto"/>
        <w:ind w:left="720" w:right="709"/>
        <w:jc w:val="both"/>
        <w:rPr>
          <w:rFonts w:ascii="Verdana" w:hAnsi="Verdana"/>
          <w:sz w:val="20"/>
          <w:szCs w:val="20"/>
        </w:rPr>
      </w:pPr>
    </w:p>
    <w:p w14:paraId="5F89DA46" w14:textId="77777777" w:rsidR="007B7821" w:rsidRPr="00B07F38"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¿Por qué las Empresas Sociales del Estado se consideran entidades con régimen especial de contratación?</w:t>
      </w:r>
    </w:p>
    <w:p w14:paraId="46879914" w14:textId="77777777" w:rsidR="007B7821"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¿Qué implica jurídicamente dicha condición y cómo opera en la práctica la contratación de estas entidades prestadoras de servicios de salud?</w:t>
      </w:r>
    </w:p>
    <w:p w14:paraId="5C1BCBC5" w14:textId="77777777" w:rsidR="007B7821" w:rsidRPr="00B07F38" w:rsidRDefault="007B7821" w:rsidP="007B7821">
      <w:pPr>
        <w:spacing w:after="0" w:line="240" w:lineRule="auto"/>
        <w:ind w:left="1440" w:right="709"/>
        <w:jc w:val="both"/>
        <w:rPr>
          <w:rFonts w:ascii="Verdana" w:hAnsi="Verdana"/>
          <w:sz w:val="20"/>
          <w:szCs w:val="20"/>
        </w:rPr>
      </w:pPr>
    </w:p>
    <w:p w14:paraId="5B087273"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Contratación de personal por prestación de servicios</w:t>
      </w:r>
    </w:p>
    <w:p w14:paraId="6E1B8BFA" w14:textId="77777777" w:rsidR="007B7821" w:rsidRPr="00B07F38" w:rsidRDefault="007B7821" w:rsidP="007B7821">
      <w:pPr>
        <w:spacing w:after="0" w:line="240" w:lineRule="auto"/>
        <w:ind w:right="709"/>
        <w:jc w:val="both"/>
        <w:rPr>
          <w:rFonts w:ascii="Verdana" w:hAnsi="Verdana"/>
          <w:sz w:val="20"/>
          <w:szCs w:val="20"/>
        </w:rPr>
      </w:pPr>
    </w:p>
    <w:p w14:paraId="31D5ECBC" w14:textId="77777777" w:rsidR="007B7821" w:rsidRPr="00B07F38"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¿Existen diferentes frente a la contratación de la prestación de servicios de los profesionales para las áreas asistenciales / misionales (médicos, enfermeras, bacteriólogos, odontólogos, etc.), frente a los profesionales que apoyan la gestión administrativa (contadores, administradores, ingenieros, arquitectos, abogados, etc.), es decir ¿para el pago de cumplimiento mensual, se debe reportar el número de horas y días que asisten a la dependencia? o en estos casos se debe realizar el pago de los honorarios de acuerdo con el cumplimiento de las obligaciones contractuales pactadas y reportadas por el contratista en el informe de actividades mensuales? </w:t>
      </w:r>
    </w:p>
    <w:p w14:paraId="76E7A5F6" w14:textId="77777777" w:rsidR="007B7821" w:rsidRDefault="007B7821" w:rsidP="007B7821">
      <w:pPr>
        <w:numPr>
          <w:ilvl w:val="1"/>
          <w:numId w:val="18"/>
        </w:numPr>
        <w:spacing w:after="0" w:line="240" w:lineRule="auto"/>
        <w:ind w:right="709"/>
        <w:jc w:val="both"/>
        <w:rPr>
          <w:rFonts w:ascii="Verdana" w:hAnsi="Verdana"/>
          <w:sz w:val="20"/>
          <w:szCs w:val="20"/>
        </w:rPr>
      </w:pPr>
      <w:proofErr w:type="gramStart"/>
      <w:r w:rsidRPr="00B07F38">
        <w:rPr>
          <w:rFonts w:ascii="Verdana" w:hAnsi="Verdana"/>
          <w:sz w:val="20"/>
          <w:szCs w:val="20"/>
        </w:rPr>
        <w:t>De acuerdo a</w:t>
      </w:r>
      <w:proofErr w:type="gramEnd"/>
      <w:r w:rsidRPr="00B07F38">
        <w:rPr>
          <w:rFonts w:ascii="Verdana" w:hAnsi="Verdana"/>
          <w:sz w:val="20"/>
          <w:szCs w:val="20"/>
        </w:rPr>
        <w:t xml:space="preserve"> la anterior pregunta: ¿Existen diferencias en la estructuración contractual entre personal misional y personal administrativo bajo la modalidad OPS?</w:t>
      </w:r>
    </w:p>
    <w:p w14:paraId="2FD6BB04" w14:textId="77777777" w:rsidR="007B7821" w:rsidRPr="00B07F38" w:rsidRDefault="007B7821" w:rsidP="007B7821">
      <w:pPr>
        <w:spacing w:after="0" w:line="240" w:lineRule="auto"/>
        <w:ind w:left="1440" w:right="709"/>
        <w:jc w:val="both"/>
        <w:rPr>
          <w:rFonts w:ascii="Verdana" w:hAnsi="Verdana"/>
          <w:sz w:val="20"/>
          <w:szCs w:val="20"/>
        </w:rPr>
      </w:pPr>
    </w:p>
    <w:p w14:paraId="5BD14A9D"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Horas, turnos y supervisión en contratos OPS</w:t>
      </w:r>
    </w:p>
    <w:p w14:paraId="072851CA" w14:textId="77777777" w:rsidR="007B7821" w:rsidRPr="00B07F38" w:rsidRDefault="007B7821" w:rsidP="007B7821">
      <w:pPr>
        <w:spacing w:after="0" w:line="240" w:lineRule="auto"/>
        <w:ind w:left="720" w:right="709"/>
        <w:jc w:val="both"/>
        <w:rPr>
          <w:rFonts w:ascii="Verdana" w:hAnsi="Verdana"/>
          <w:sz w:val="20"/>
          <w:szCs w:val="20"/>
        </w:rPr>
      </w:pPr>
    </w:p>
    <w:p w14:paraId="30D66350" w14:textId="77777777" w:rsidR="007B7821" w:rsidRPr="00B07F38"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¿Es procedente manejar certificaciones de horas o turnos extras para profesionales asistenciales y administrativos?</w:t>
      </w:r>
    </w:p>
    <w:p w14:paraId="2BACBEFE" w14:textId="77777777" w:rsidR="007B7821"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¿Los supervisores pueden avalar el cumplimiento por días y horas en contratos administrativos?, o ¿El cumplimiento se avala por productos/obligaciones contractuales?</w:t>
      </w:r>
    </w:p>
    <w:p w14:paraId="1D27E254" w14:textId="77777777" w:rsidR="007B7821" w:rsidRPr="00B07F38" w:rsidRDefault="007B7821" w:rsidP="007B7821">
      <w:pPr>
        <w:spacing w:after="0" w:line="240" w:lineRule="auto"/>
        <w:ind w:left="1440" w:right="709"/>
        <w:jc w:val="both"/>
        <w:rPr>
          <w:rFonts w:ascii="Verdana" w:hAnsi="Verdana"/>
          <w:sz w:val="20"/>
          <w:szCs w:val="20"/>
        </w:rPr>
      </w:pPr>
    </w:p>
    <w:p w14:paraId="1E227201"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Doble vinculación (planta y OPS)</w:t>
      </w:r>
    </w:p>
    <w:p w14:paraId="2A7C60C3" w14:textId="77777777" w:rsidR="007B7821" w:rsidRPr="00B07F38" w:rsidRDefault="007B7821" w:rsidP="007B7821">
      <w:pPr>
        <w:spacing w:after="0" w:line="240" w:lineRule="auto"/>
        <w:ind w:left="720" w:right="709"/>
        <w:jc w:val="both"/>
        <w:rPr>
          <w:rFonts w:ascii="Verdana" w:hAnsi="Verdana"/>
          <w:sz w:val="20"/>
          <w:szCs w:val="20"/>
        </w:rPr>
      </w:pPr>
    </w:p>
    <w:p w14:paraId="0098EEDD" w14:textId="77777777" w:rsidR="007B7821"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¿Es jurídicamente viable que un médico y/o servidor público vinculado a la planta de la misma E.S.E. , suscriba adicionalmente un contrato de prestación de servicios por horas dentro de la misma entidad?, como ejemplo: Un médico trabaja de domingo a domingo hasta las 12m con su tipo de vinculación Planta, y posteriormente inicia sus actividades como médico con vinculación OPS, relacionando dentro de sus cobros número de días, número de horas al igual de domingo a domingo, incluyendo horas extras por ello). ¿Existe una norma que de lineamientos de Horas Extras para contratistas del Sector Salud?</w:t>
      </w:r>
    </w:p>
    <w:p w14:paraId="0610357B" w14:textId="77777777" w:rsidR="007B7821" w:rsidRPr="00B07F38" w:rsidRDefault="007B7821" w:rsidP="007B7821">
      <w:pPr>
        <w:spacing w:after="0" w:line="240" w:lineRule="auto"/>
        <w:ind w:left="1440" w:right="709"/>
        <w:jc w:val="both"/>
        <w:rPr>
          <w:rFonts w:ascii="Verdana" w:hAnsi="Verdana"/>
          <w:sz w:val="20"/>
          <w:szCs w:val="20"/>
        </w:rPr>
      </w:pPr>
    </w:p>
    <w:p w14:paraId="36E07512"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Pólizas en contratos de prestación de servicios</w:t>
      </w:r>
    </w:p>
    <w:p w14:paraId="5BF7FA27" w14:textId="77777777" w:rsidR="007B7821" w:rsidRPr="00B07F38" w:rsidRDefault="007B7821" w:rsidP="007B7821">
      <w:pPr>
        <w:spacing w:after="0" w:line="240" w:lineRule="auto"/>
        <w:ind w:left="720" w:right="709"/>
        <w:jc w:val="both"/>
        <w:rPr>
          <w:rFonts w:ascii="Verdana" w:hAnsi="Verdana"/>
          <w:sz w:val="20"/>
          <w:szCs w:val="20"/>
        </w:rPr>
      </w:pPr>
    </w:p>
    <w:p w14:paraId="5344971D" w14:textId="77777777" w:rsidR="007B7821" w:rsidRPr="00B07F38"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 xml:space="preserve">¿Es obligatorio que los contratistas para las áreas </w:t>
      </w:r>
      <w:proofErr w:type="gramStart"/>
      <w:r w:rsidRPr="00B07F38">
        <w:rPr>
          <w:rFonts w:ascii="Verdana" w:hAnsi="Verdana"/>
          <w:sz w:val="20"/>
          <w:szCs w:val="20"/>
        </w:rPr>
        <w:t>misionales,</w:t>
      </w:r>
      <w:proofErr w:type="gramEnd"/>
      <w:r w:rsidRPr="00B07F38">
        <w:rPr>
          <w:rFonts w:ascii="Verdana" w:hAnsi="Verdana"/>
          <w:sz w:val="20"/>
          <w:szCs w:val="20"/>
        </w:rPr>
        <w:t xml:space="preserve"> constituyan pólizas de cumplimiento en las E.S.E.?, o ¿el manejo es similar a los contratistas de las áreas administrativas, para lo cual se efectúa análisis de riesgos del contrato?</w:t>
      </w:r>
    </w:p>
    <w:p w14:paraId="0966116D" w14:textId="77777777" w:rsidR="007B7821"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¿Existe tratamiento diferencial frente al régimen general de contratación estatal?</w:t>
      </w:r>
    </w:p>
    <w:p w14:paraId="2BB72691" w14:textId="77777777" w:rsidR="007B7821" w:rsidRPr="00B07F38" w:rsidRDefault="007B7821" w:rsidP="007B7821">
      <w:pPr>
        <w:spacing w:after="0" w:line="240" w:lineRule="auto"/>
        <w:ind w:left="1440" w:right="709"/>
        <w:jc w:val="both"/>
        <w:rPr>
          <w:rFonts w:ascii="Verdana" w:hAnsi="Verdana"/>
          <w:sz w:val="20"/>
          <w:szCs w:val="20"/>
        </w:rPr>
      </w:pPr>
    </w:p>
    <w:p w14:paraId="2C4F4359"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SECOP II - LEY DE GARANTÍAS</w:t>
      </w:r>
    </w:p>
    <w:p w14:paraId="77D7696C" w14:textId="77777777" w:rsidR="007B7821" w:rsidRPr="00B07F38" w:rsidRDefault="007B7821" w:rsidP="007B7821">
      <w:pPr>
        <w:spacing w:after="0" w:line="240" w:lineRule="auto"/>
        <w:ind w:left="720" w:right="709"/>
        <w:jc w:val="both"/>
        <w:rPr>
          <w:rFonts w:ascii="Verdana" w:hAnsi="Verdana"/>
          <w:sz w:val="20"/>
          <w:szCs w:val="20"/>
        </w:rPr>
      </w:pPr>
    </w:p>
    <w:p w14:paraId="1DF44800" w14:textId="77777777" w:rsidR="007B7821" w:rsidRDefault="007B7821" w:rsidP="007B7821">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¿La operación del SECOP II y Aplicación de la Ley de Garantías para las entidades del Sector Salud presenta alguna particularidad por tratarse de régimen especial, o su uso es equivalente a los demás sectores estatales?</w:t>
      </w:r>
    </w:p>
    <w:p w14:paraId="3F7AF3E7" w14:textId="77777777" w:rsidR="007B7821" w:rsidRPr="00B07F38" w:rsidRDefault="007B7821" w:rsidP="007B7821">
      <w:pPr>
        <w:spacing w:after="0" w:line="240" w:lineRule="auto"/>
        <w:ind w:left="1440" w:right="709"/>
        <w:jc w:val="both"/>
        <w:rPr>
          <w:rFonts w:ascii="Verdana" w:hAnsi="Verdana"/>
          <w:sz w:val="20"/>
          <w:szCs w:val="20"/>
        </w:rPr>
      </w:pPr>
    </w:p>
    <w:p w14:paraId="6AEBBED4" w14:textId="77777777" w:rsidR="007B7821" w:rsidRPr="00B07F38" w:rsidRDefault="007B7821" w:rsidP="007B7821">
      <w:pPr>
        <w:numPr>
          <w:ilvl w:val="0"/>
          <w:numId w:val="18"/>
        </w:numPr>
        <w:spacing w:after="0" w:line="240" w:lineRule="auto"/>
        <w:ind w:right="709"/>
        <w:jc w:val="both"/>
        <w:rPr>
          <w:rFonts w:ascii="Verdana" w:hAnsi="Verdana"/>
          <w:sz w:val="20"/>
          <w:szCs w:val="20"/>
        </w:rPr>
      </w:pPr>
      <w:r w:rsidRPr="00B07F38">
        <w:rPr>
          <w:rFonts w:ascii="Verdana" w:hAnsi="Verdana"/>
          <w:b/>
          <w:bCs/>
          <w:sz w:val="20"/>
          <w:szCs w:val="20"/>
        </w:rPr>
        <w:t>Concepto general</w:t>
      </w:r>
    </w:p>
    <w:p w14:paraId="7104CA04" w14:textId="77777777" w:rsidR="007B7821" w:rsidRPr="00B07F38" w:rsidRDefault="007B7821" w:rsidP="007B7821">
      <w:pPr>
        <w:spacing w:after="0" w:line="240" w:lineRule="auto"/>
        <w:ind w:left="720" w:right="709"/>
        <w:jc w:val="both"/>
        <w:rPr>
          <w:rFonts w:ascii="Verdana" w:hAnsi="Verdana"/>
          <w:sz w:val="20"/>
          <w:szCs w:val="20"/>
        </w:rPr>
      </w:pPr>
    </w:p>
    <w:p w14:paraId="6F04B589" w14:textId="1B3B575E" w:rsidR="007B7821" w:rsidRPr="00632602" w:rsidRDefault="007B7821" w:rsidP="00632602">
      <w:pPr>
        <w:numPr>
          <w:ilvl w:val="1"/>
          <w:numId w:val="18"/>
        </w:numPr>
        <w:spacing w:after="0" w:line="240" w:lineRule="auto"/>
        <w:ind w:right="709"/>
        <w:jc w:val="both"/>
        <w:rPr>
          <w:rFonts w:ascii="Verdana" w:hAnsi="Verdana"/>
          <w:sz w:val="20"/>
          <w:szCs w:val="20"/>
        </w:rPr>
      </w:pPr>
      <w:r w:rsidRPr="00B07F38">
        <w:rPr>
          <w:rFonts w:ascii="Verdana" w:hAnsi="Verdana"/>
          <w:sz w:val="20"/>
          <w:szCs w:val="20"/>
        </w:rPr>
        <w:t>¿Qué debe entenderse técnicamente por “contratación bajo régimen especial” en el contexto de las Empresas Sociales del Estado? (…)”.</w:t>
      </w:r>
    </w:p>
    <w:p w14:paraId="22B53A37" w14:textId="77777777" w:rsidR="007B7821" w:rsidRPr="00F64722" w:rsidRDefault="007B7821" w:rsidP="007B7821">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D8703C2" w14:textId="77777777" w:rsidR="007B7821" w:rsidRPr="00C52681" w:rsidRDefault="007B7821" w:rsidP="007B7821">
      <w:pPr>
        <w:spacing w:after="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petición, pero señalando algunas consideraciones sobre las normas generales relacionadas a los problemas jurídicos de su consulta.</w:t>
      </w:r>
      <w:r w:rsidRPr="00C52681">
        <w:rPr>
          <w:rFonts w:ascii="Verdana" w:eastAsia="Calibri" w:hAnsi="Verdana" w:cs="Arial"/>
          <w:lang w:eastAsia="es-ES"/>
        </w:rPr>
        <w:t xml:space="preserve">  </w:t>
      </w:r>
    </w:p>
    <w:p w14:paraId="5FA7F0A8" w14:textId="77777777" w:rsidR="007B7821" w:rsidRPr="00C52681" w:rsidRDefault="007B7821" w:rsidP="007B7821">
      <w:pPr>
        <w:spacing w:after="0" w:line="276" w:lineRule="auto"/>
        <w:ind w:firstLine="709"/>
        <w:jc w:val="both"/>
        <w:rPr>
          <w:rFonts w:ascii="Verdana" w:eastAsia="Calibri" w:hAnsi="Verdana" w:cs="Arial"/>
          <w:lang w:eastAsia="es-ES"/>
        </w:rPr>
      </w:pPr>
    </w:p>
    <w:p w14:paraId="48C84C4D" w14:textId="77777777" w:rsidR="007B7821" w:rsidRPr="00C52681" w:rsidRDefault="007B7821" w:rsidP="007B78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52681">
        <w:rPr>
          <w:rFonts w:ascii="Verdana" w:eastAsia="Century Gothic" w:hAnsi="Verdana" w:cs="Century Gothic"/>
          <w:b/>
          <w:bCs/>
        </w:rPr>
        <w:t>Problema planteado:</w:t>
      </w:r>
    </w:p>
    <w:p w14:paraId="4723F5B2" w14:textId="77777777" w:rsidR="007B7821" w:rsidRPr="00C52681" w:rsidRDefault="007B7821" w:rsidP="007B7821">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499591B1" w14:textId="32951496" w:rsidR="007B7821" w:rsidRPr="00F76FC0" w:rsidRDefault="007B7821" w:rsidP="007B7821">
      <w:pPr>
        <w:spacing w:after="120" w:line="276" w:lineRule="auto"/>
        <w:jc w:val="both"/>
        <w:rPr>
          <w:rFonts w:ascii="Verdana" w:hAnsi="Verdana" w:cs="Arial"/>
        </w:rPr>
      </w:pPr>
      <w:r w:rsidRPr="00C52681">
        <w:rPr>
          <w:rFonts w:ascii="Verdana" w:eastAsia="Calibri" w:hAnsi="Verdana" w:cs="Arial"/>
          <w:color w:val="000000"/>
          <w:lang w:eastAsia="es-ES"/>
        </w:rPr>
        <w:t>De acuerdo con el contenido de su solicitud, esta Agencia resolverá el siguiente problema jurídico: i) ¿</w:t>
      </w:r>
      <w:r w:rsidRPr="00C52681">
        <w:rPr>
          <w:rFonts w:ascii="Verdana" w:hAnsi="Verdana"/>
          <w:lang w:val="es-ES"/>
        </w:rPr>
        <w:t xml:space="preserve">Cuál es alcance y el régimen de contratación de las </w:t>
      </w:r>
      <w:r w:rsidR="00583F6D" w:rsidRPr="003A1844">
        <w:rPr>
          <w:rFonts w:ascii="Verdana" w:hAnsi="Verdana" w:cs="Arial"/>
          <w:lang w:val="es-MX"/>
        </w:rPr>
        <w:t>Empresas Sociales del Estado</w:t>
      </w:r>
      <w:r w:rsidR="009D7A1C">
        <w:rPr>
          <w:rFonts w:ascii="Verdana" w:hAnsi="Verdana"/>
          <w:lang w:val="es-MX"/>
        </w:rPr>
        <w:t xml:space="preserve">, en adelante </w:t>
      </w:r>
      <w:r w:rsidRPr="00C52681">
        <w:rPr>
          <w:rFonts w:ascii="Verdana" w:hAnsi="Verdana"/>
          <w:lang w:val="es-ES"/>
        </w:rPr>
        <w:t xml:space="preserve">ESE? </w:t>
      </w:r>
      <w:proofErr w:type="spellStart"/>
      <w:r w:rsidRPr="00C52681">
        <w:rPr>
          <w:rFonts w:ascii="Verdana" w:hAnsi="Verdana"/>
          <w:lang w:val="es-ES"/>
        </w:rPr>
        <w:t>ii</w:t>
      </w:r>
      <w:proofErr w:type="spellEnd"/>
      <w:r w:rsidRPr="00C52681">
        <w:rPr>
          <w:rFonts w:ascii="Verdana" w:hAnsi="Verdana"/>
          <w:lang w:val="es-ES"/>
        </w:rPr>
        <w:t>) ¿Los contratos de prestación de servicios pueden contener modalidades de pago por horas, días o por cumplimiento de obligaciones contractuales</w:t>
      </w:r>
      <w:r>
        <w:rPr>
          <w:rFonts w:ascii="Verdana" w:hAnsi="Verdana"/>
          <w:lang w:val="es-ES"/>
        </w:rPr>
        <w:t xml:space="preserve"> y así mismo es exigible la constitución de garantía de cumplimiento</w:t>
      </w:r>
      <w:r w:rsidRPr="00C52681">
        <w:rPr>
          <w:rFonts w:ascii="Verdana" w:hAnsi="Verdana"/>
          <w:lang w:val="es-ES"/>
        </w:rPr>
        <w:t xml:space="preserve">? </w:t>
      </w:r>
      <w:proofErr w:type="spellStart"/>
      <w:r>
        <w:rPr>
          <w:rFonts w:ascii="Verdana" w:hAnsi="Verdana"/>
          <w:lang w:val="es-ES"/>
        </w:rPr>
        <w:t>i</w:t>
      </w:r>
      <w:r w:rsidRPr="00C52681">
        <w:rPr>
          <w:rFonts w:ascii="Verdana" w:hAnsi="Verdana"/>
          <w:lang w:val="es-ES"/>
        </w:rPr>
        <w:t>ii</w:t>
      </w:r>
      <w:proofErr w:type="spellEnd"/>
      <w:r w:rsidRPr="00C52681">
        <w:rPr>
          <w:rFonts w:ascii="Verdana" w:hAnsi="Verdana"/>
          <w:lang w:val="es-ES"/>
        </w:rPr>
        <w:t xml:space="preserve">) </w:t>
      </w:r>
      <w:r>
        <w:rPr>
          <w:rFonts w:ascii="Verdana" w:hAnsi="Verdana"/>
          <w:lang w:val="es-ES"/>
        </w:rPr>
        <w:t>¿</w:t>
      </w:r>
      <w:r w:rsidRPr="00C52681">
        <w:rPr>
          <w:rFonts w:ascii="Verdana" w:hAnsi="Verdana"/>
          <w:lang w:val="es-ES"/>
        </w:rPr>
        <w:t xml:space="preserve">Un médico </w:t>
      </w:r>
      <w:r w:rsidRPr="00F76FC0">
        <w:rPr>
          <w:rFonts w:ascii="Verdana" w:hAnsi="Verdana"/>
          <w:lang w:val="es-ES"/>
        </w:rPr>
        <w:t>vinculado laboralmente en una ESE puede suscribir un contrato de prestación de servicios con la misma entidad</w:t>
      </w:r>
      <w:r>
        <w:rPr>
          <w:rFonts w:ascii="Verdana" w:hAnsi="Verdana"/>
          <w:lang w:val="es-ES"/>
        </w:rPr>
        <w:t xml:space="preserve"> y dentro de este último contrato se reconocen horas extras</w:t>
      </w:r>
      <w:r w:rsidRPr="00F76FC0">
        <w:rPr>
          <w:rFonts w:ascii="Verdana" w:hAnsi="Verdana"/>
          <w:lang w:val="es-ES"/>
        </w:rPr>
        <w:t xml:space="preserve">? </w:t>
      </w:r>
      <w:proofErr w:type="spellStart"/>
      <w:r w:rsidRPr="00F76FC0">
        <w:rPr>
          <w:rFonts w:ascii="Verdana" w:hAnsi="Verdana"/>
          <w:lang w:val="es-ES"/>
        </w:rPr>
        <w:t>i</w:t>
      </w:r>
      <w:r w:rsidR="00EF7F7B">
        <w:rPr>
          <w:rFonts w:ascii="Verdana" w:hAnsi="Verdana"/>
          <w:lang w:val="es-ES"/>
        </w:rPr>
        <w:t>v</w:t>
      </w:r>
      <w:proofErr w:type="spellEnd"/>
      <w:r w:rsidRPr="00F76FC0">
        <w:rPr>
          <w:rFonts w:ascii="Verdana" w:hAnsi="Verdana"/>
          <w:lang w:val="es-ES"/>
        </w:rPr>
        <w:t xml:space="preserve">) ¿Las ESE están en la obligación de utilizar </w:t>
      </w:r>
      <w:r w:rsidR="00587754">
        <w:rPr>
          <w:rFonts w:ascii="Verdana" w:hAnsi="Verdana"/>
          <w:lang w:val="es-ES"/>
        </w:rPr>
        <w:t xml:space="preserve">el </w:t>
      </w:r>
      <w:r w:rsidRPr="00F76FC0">
        <w:rPr>
          <w:rFonts w:ascii="Verdana" w:hAnsi="Verdana"/>
          <w:lang w:val="es-ES"/>
        </w:rPr>
        <w:t>SECOP II? v) ¿Cuál es el alcance de la Ley de Garantías electorales respecto de las ESE?</w:t>
      </w:r>
      <w:r w:rsidRPr="00F76FC0">
        <w:rPr>
          <w:rFonts w:ascii="Verdana" w:hAnsi="Verdana" w:cs="Arial"/>
        </w:rPr>
        <w:t xml:space="preserve"> </w:t>
      </w:r>
    </w:p>
    <w:p w14:paraId="0A031FF3" w14:textId="77777777" w:rsidR="007B7821" w:rsidRPr="00C97CA6" w:rsidRDefault="007B7821" w:rsidP="007B7821">
      <w:pPr>
        <w:spacing w:after="0" w:line="276" w:lineRule="auto"/>
        <w:jc w:val="both"/>
        <w:rPr>
          <w:rFonts w:ascii="Verdana" w:eastAsia="Century Gothic" w:hAnsi="Verdana" w:cs="Century Gothic"/>
        </w:rPr>
      </w:pPr>
      <w:r>
        <w:rPr>
          <w:rFonts w:ascii="Verdana" w:hAnsi="Verdana" w:cs="Arial"/>
        </w:rPr>
        <w:t xml:space="preserve"> </w:t>
      </w:r>
      <w:r w:rsidRPr="00B33011">
        <w:rPr>
          <w:rFonts w:ascii="Verdana" w:eastAsia="Century Gothic" w:hAnsi="Verdana" w:cs="Century Gothic"/>
          <w:b/>
          <w:bCs/>
        </w:rPr>
        <w:t>2. Respuesta:</w:t>
      </w:r>
    </w:p>
    <w:p w14:paraId="34ED6F4A" w14:textId="77777777" w:rsidR="007B7821" w:rsidRPr="005644FE" w:rsidRDefault="007B7821" w:rsidP="007B7821">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B7821" w:rsidRPr="005644FE" w14:paraId="2583E57F" w14:textId="77777777" w:rsidTr="0021330D">
        <w:tc>
          <w:tcPr>
            <w:tcW w:w="8828" w:type="dxa"/>
          </w:tcPr>
          <w:p w14:paraId="13D344B3" w14:textId="77777777" w:rsidR="007B7821" w:rsidRDefault="007B7821" w:rsidP="0021330D">
            <w:pPr>
              <w:spacing w:after="120" w:line="276" w:lineRule="auto"/>
              <w:jc w:val="both"/>
              <w:rPr>
                <w:rFonts w:ascii="Verdana" w:hAnsi="Verdana" w:cs="Arial"/>
                <w:lang w:val="es-ES_tradnl"/>
              </w:rPr>
            </w:pPr>
            <w:r>
              <w:rPr>
                <w:rFonts w:ascii="Verdana" w:hAnsi="Verdana"/>
              </w:rPr>
              <w:t xml:space="preserve">i) </w:t>
            </w:r>
            <w:r w:rsidRPr="00AD533D">
              <w:rPr>
                <w:rFonts w:ascii="Verdana" w:hAnsi="Verdana"/>
              </w:rPr>
              <w:t>Las entidades de</w:t>
            </w:r>
            <w:r w:rsidRPr="00AD533D">
              <w:rPr>
                <w:rFonts w:ascii="Verdana" w:hAnsi="Verdana" w:cs="Arial"/>
                <w:lang w:val="es-ES_tradnl"/>
              </w:rPr>
              <w:t xml:space="preserv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w:t>
            </w:r>
          </w:p>
          <w:p w14:paraId="2AFF4033" w14:textId="77777777" w:rsidR="007B7821" w:rsidRDefault="007B7821" w:rsidP="0021330D">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3A1844">
              <w:rPr>
                <w:rFonts w:ascii="Verdana" w:eastAsia="Calibri" w:hAnsi="Verdana" w:cs="Arial"/>
              </w:rPr>
              <w:t>por el derecho público.</w:t>
            </w:r>
            <w:r>
              <w:rPr>
                <w:rFonts w:ascii="Verdana" w:eastAsia="Calibri" w:hAnsi="Verdana" w:cs="Arial"/>
              </w:rPr>
              <w:t xml:space="preserve"> </w:t>
            </w: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w:t>
            </w:r>
            <w:r>
              <w:rPr>
                <w:rFonts w:ascii="Verdana" w:hAnsi="Verdana" w:cs="Arial"/>
              </w:rPr>
              <w:t xml:space="preserve"> determina que aplicarán en el desarrollo de </w:t>
            </w:r>
            <w:r w:rsidRPr="00D4240A">
              <w:rPr>
                <w:rFonts w:ascii="Verdana" w:hAnsi="Verdana" w:cs="Arial"/>
              </w:rPr>
              <w:t>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D4EAEB5" w14:textId="77777777" w:rsidR="007B7821" w:rsidRPr="003A1844" w:rsidRDefault="007B7821" w:rsidP="0021330D">
            <w:pPr>
              <w:spacing w:after="120" w:line="276" w:lineRule="auto"/>
              <w:jc w:val="both"/>
              <w:rPr>
                <w:rFonts w:ascii="Verdana" w:eastAsia="Arial" w:hAnsi="Verdana" w:cs="Arial"/>
              </w:rPr>
            </w:pPr>
            <w:proofErr w:type="spellStart"/>
            <w:r>
              <w:rPr>
                <w:rFonts w:ascii="Verdana" w:hAnsi="Verdana" w:cs="Arial"/>
              </w:rPr>
              <w:t>ii</w:t>
            </w:r>
            <w:proofErr w:type="spellEnd"/>
            <w:r>
              <w:rPr>
                <w:rFonts w:ascii="Verdana" w:hAnsi="Verdana" w:cs="Arial"/>
              </w:rPr>
              <w:t xml:space="preserve">) </w:t>
            </w: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6E9128D9" w14:textId="37953854" w:rsidR="007B7821" w:rsidRDefault="007B7821" w:rsidP="0021330D">
            <w:pPr>
              <w:spacing w:after="120" w:line="276" w:lineRule="auto"/>
              <w:ind w:firstLine="708"/>
              <w:jc w:val="both"/>
              <w:rPr>
                <w:rFonts w:ascii="Verdana" w:eastAsia="Calibri" w:hAnsi="Verdana" w:cs="Arial"/>
                <w:lang w:val="es-ES"/>
              </w:rPr>
            </w:pPr>
            <w:r w:rsidRPr="77BAE255">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51D8F787" w14:textId="221B456B" w:rsidR="007B7821" w:rsidRDefault="007B7821" w:rsidP="0021330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conformidad con lo anterior, y para dar respuesta al segundo problema jurídico, la ESE, en virtud de lo dispuesto en el manual de contratación que rige las actuaciones contractuales, definirá en los estudios previos entre otros, la forma de pago de los honorarios, con ocasión de la necesidad que le asiste a la ESE, así como la exigencia o no de la constitución de garantías para el cumplimiento de las obligaciones por parte de los contratistas. Lo anterior siempre y cuando no contradiga la Constitución, la Ley y el orden público, y respete los principios de la actividad contractual.   </w:t>
            </w:r>
          </w:p>
          <w:p w14:paraId="0B9CE910" w14:textId="16FA6550" w:rsidR="007B7821" w:rsidRDefault="007B7821" w:rsidP="0021330D">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w:t>
            </w:r>
            <w:r w:rsidR="00C2680C">
              <w:rPr>
                <w:rFonts w:ascii="Verdana" w:eastAsia="Calibri" w:hAnsi="Verdana" w:cs="Arial"/>
                <w:color w:val="000000" w:themeColor="text1"/>
                <w:lang w:val="es-ES"/>
              </w:rPr>
              <w:t>E</w:t>
            </w:r>
            <w:r w:rsidRPr="00761691">
              <w:rPr>
                <w:rFonts w:ascii="Verdana" w:eastAsia="Calibri" w:hAnsi="Verdana" w:cs="Arial"/>
                <w:color w:val="000000" w:themeColor="text1"/>
                <w:lang w:val="es-ES"/>
              </w:rPr>
              <w:t>l Legislador expidió la Ley 100 de 1993, que en su artículo 194 permite la prestación de los servicios de salud en forma directa por la Nación o por las entidades territoriales a través de las Empresas Sociales del Estado, que constituyen una categoría especial de persona moral de derecho público de carácter descentralizado, con autonomía administrativa y patrimonio propio</w:t>
            </w:r>
            <w:r>
              <w:rPr>
                <w:rFonts w:ascii="Verdana" w:eastAsia="Calibri" w:hAnsi="Verdana" w:cs="Arial"/>
                <w:color w:val="000000" w:themeColor="text1"/>
                <w:lang w:val="es-ES"/>
              </w:rPr>
              <w:t>.</w:t>
            </w:r>
          </w:p>
          <w:p w14:paraId="1DA5B753" w14:textId="77777777" w:rsidR="007B7821" w:rsidRDefault="007B7821" w:rsidP="0021330D">
            <w:pPr>
              <w:spacing w:after="120" w:line="276" w:lineRule="auto"/>
              <w:ind w:firstLine="709"/>
              <w:jc w:val="both"/>
              <w:rPr>
                <w:rFonts w:ascii="Verdana" w:eastAsia="Calibri" w:hAnsi="Verdana" w:cs="Arial"/>
                <w:color w:val="000000" w:themeColor="text1"/>
                <w:lang w:val="es-ES"/>
              </w:rPr>
            </w:pPr>
            <w:r w:rsidRPr="00761691">
              <w:rPr>
                <w:rFonts w:ascii="Verdana" w:eastAsia="Calibri" w:hAnsi="Verdana" w:cs="Arial"/>
                <w:color w:val="000000" w:themeColor="text1"/>
                <w:lang w:val="es-ES"/>
              </w:rPr>
              <w:t>El numeral 5° del artículo 195 de la misma ley, que se refiere al régimen laboral de los sujetos vinculados las Empresas Sociales del Estado, remite en su integridad a la clasificación dispuesta en el capítulo IV de la Ley 10 de 1990, según la cual aquellas personas que desempeñen cargos destinados al mantenimiento de la planta física hospitalaria o de servicios generales son considerados trabajadores oficiales, mientras que de los demás servidores la ley predica su condición de empleados públicos (de carrera y libre nombramiento y remoción, si se trata del nivel directivo).</w:t>
            </w:r>
          </w:p>
          <w:p w14:paraId="79769A94" w14:textId="5C3D84BA" w:rsidR="007B7821" w:rsidRDefault="007B7821" w:rsidP="0021330D">
            <w:pPr>
              <w:spacing w:after="120" w:line="276" w:lineRule="auto"/>
              <w:ind w:firstLine="709"/>
              <w:jc w:val="both"/>
              <w:rPr>
                <w:rFonts w:ascii="Verdana" w:eastAsia="Calibri" w:hAnsi="Verdana" w:cs="Arial"/>
                <w:color w:val="000000" w:themeColor="text1"/>
                <w:lang w:val="es-ES"/>
              </w:rPr>
            </w:pPr>
            <w:r w:rsidRPr="007148B1">
              <w:rPr>
                <w:rFonts w:ascii="Verdana" w:eastAsia="Calibri" w:hAnsi="Verdana" w:cs="Arial"/>
                <w:color w:val="000000" w:themeColor="text1"/>
                <w:lang w:val="es-ES"/>
              </w:rPr>
              <w:t xml:space="preserve">Por su parte, de conformidad con lo previsto en el artículo 127 de la Constitución Política </w:t>
            </w:r>
            <w:r w:rsidRPr="007148B1">
              <w:rPr>
                <w:rFonts w:ascii="Verdana" w:eastAsia="Calibri" w:hAnsi="Verdana" w:cs="Arial"/>
                <w:i/>
                <w:iCs/>
                <w:color w:val="000000" w:themeColor="text1"/>
                <w:lang w:val="es-ES"/>
              </w:rPr>
              <w:t>“</w:t>
            </w:r>
            <w:r w:rsidRPr="007148B1">
              <w:rPr>
                <w:rFonts w:ascii="Verdana" w:eastAsia="Calibri" w:hAnsi="Verdana" w:cs="Arial"/>
                <w:i/>
                <w:iCs/>
                <w:color w:val="000000" w:themeColor="text1"/>
              </w:rPr>
              <w:t xml:space="preserve">Los servidores públicos no podrán celebrar, por sí o por interpuesta persona, o en  representación de otro, contrato alguno con entidades públicas o con personas privadas que manejen o  administren recursos públicos, salvo las excepciones legales” </w:t>
            </w:r>
            <w:r w:rsidRPr="007148B1">
              <w:rPr>
                <w:rFonts w:ascii="Verdana" w:eastAsia="Calibri" w:hAnsi="Verdana" w:cs="Arial"/>
                <w:color w:val="000000" w:themeColor="text1"/>
              </w:rPr>
              <w:t>así mismo, el artículo 128 constitucional indica que</w:t>
            </w:r>
            <w:r w:rsidRPr="007148B1">
              <w:rPr>
                <w:rFonts w:ascii="Verdana" w:eastAsia="Calibri" w:hAnsi="Verdana" w:cs="Arial"/>
                <w:i/>
                <w:iCs/>
                <w:color w:val="000000" w:themeColor="text1"/>
              </w:rPr>
              <w:t xml:space="preserve"> “Nadie podrá desempeñar simultáneamente más de un empleo público ni recibir más de una asignación que provenga del tesoro público, o de empresas o de instituciones en las que tenga parte  mayoritaria el Estado, salvo los casos expresamente determinados por la ley. Entiéndase por tesoro público el de la Nación, el de las entidades territoriales y el de las descentralizadas.”  </w:t>
            </w:r>
            <w:r w:rsidRPr="007148B1">
              <w:rPr>
                <w:rFonts w:ascii="Verdana" w:eastAsia="Calibri" w:hAnsi="Verdana" w:cs="Arial"/>
                <w:color w:val="000000" w:themeColor="text1"/>
                <w:lang w:val="es-ES"/>
              </w:rPr>
              <w:t xml:space="preserve">    </w:t>
            </w:r>
          </w:p>
          <w:p w14:paraId="56151F25" w14:textId="06B333E9" w:rsidR="007B7821" w:rsidRDefault="007B7821" w:rsidP="0021330D">
            <w:pPr>
              <w:widowControl w:val="0"/>
              <w:autoSpaceDE w:val="0"/>
              <w:autoSpaceDN w:val="0"/>
              <w:spacing w:after="120" w:line="276" w:lineRule="auto"/>
              <w:ind w:firstLine="709"/>
              <w:jc w:val="both"/>
              <w:rPr>
                <w:rFonts w:ascii="Verdana" w:eastAsia="Arial" w:hAnsi="Verdana" w:cs="Arial"/>
                <w:lang w:val="es-ES"/>
              </w:rPr>
            </w:pPr>
            <w:r w:rsidRPr="2F4CCC6E">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w:t>
            </w:r>
            <w:r>
              <w:rPr>
                <w:rFonts w:ascii="Verdana" w:eastAsia="Arial" w:hAnsi="Verdana" w:cs="Arial"/>
                <w:lang w:val="es-ES"/>
              </w:rPr>
              <w:t>, p</w:t>
            </w:r>
            <w:r w:rsidRPr="00C8156A">
              <w:rPr>
                <w:rFonts w:ascii="Verdana" w:eastAsia="Arial" w:hAnsi="Verdana" w:cs="Arial"/>
                <w:lang w:val="es-ES"/>
              </w:rPr>
              <w:t>or consiguiente, no les aplica la prohibición del artículo 128 de la Constitución Política, toda vez que no se consideran servidores públicos porque su relación con el Estado está dada en el marco de un negocio jurídico y no en virtud de una relación laboral</w:t>
            </w:r>
            <w:r>
              <w:rPr>
                <w:rFonts w:ascii="Verdana" w:eastAsia="Arial" w:hAnsi="Verdana" w:cs="Arial"/>
                <w:lang w:val="es-ES"/>
              </w:rPr>
              <w:t xml:space="preserve">, además de encontrarse dentro de las excepciones definidas en el artículo 19 de la Ley 4 de 1992. </w:t>
            </w:r>
          </w:p>
          <w:p w14:paraId="008E05D3" w14:textId="3894695A" w:rsidR="00E674F5" w:rsidRDefault="00E674F5" w:rsidP="0021330D">
            <w:pPr>
              <w:widowControl w:val="0"/>
              <w:autoSpaceDE w:val="0"/>
              <w:autoSpaceDN w:val="0"/>
              <w:spacing w:after="120" w:line="276" w:lineRule="auto"/>
              <w:ind w:firstLine="709"/>
              <w:jc w:val="both"/>
              <w:rPr>
                <w:rFonts w:ascii="Verdana" w:eastAsia="Arial" w:hAnsi="Verdana" w:cs="Arial"/>
                <w:lang w:val="es-ES"/>
              </w:rPr>
            </w:pPr>
            <w:r w:rsidRPr="00641FD4">
              <w:rPr>
                <w:rFonts w:ascii="Verdana" w:eastAsia="Arial" w:hAnsi="Verdana" w:cs="Arial"/>
                <w:lang w:val="es-ES"/>
              </w:rPr>
              <w:t xml:space="preserve">De esta manera, </w:t>
            </w:r>
            <w:r w:rsidR="00061C5B" w:rsidRPr="00641FD4">
              <w:rPr>
                <w:rFonts w:ascii="Verdana" w:eastAsia="Arial" w:hAnsi="Verdana" w:cs="Arial"/>
                <w:lang w:val="es-ES"/>
              </w:rPr>
              <w:t xml:space="preserve">la entidad </w:t>
            </w:r>
            <w:r w:rsidR="006D0A80" w:rsidRPr="00641FD4">
              <w:rPr>
                <w:rFonts w:ascii="Verdana" w:eastAsia="Arial" w:hAnsi="Verdana" w:cs="Arial"/>
                <w:lang w:val="es-ES"/>
              </w:rPr>
              <w:t>deberá analizar en cada caso concreto el tipo de vinculación del profesional de la salud</w:t>
            </w:r>
            <w:r w:rsidR="00AC5D64" w:rsidRPr="00641FD4">
              <w:rPr>
                <w:rFonts w:ascii="Verdana" w:eastAsia="Arial" w:hAnsi="Verdana" w:cs="Arial"/>
                <w:lang w:val="es-ES"/>
              </w:rPr>
              <w:t xml:space="preserve"> para así definir si se está en la prohibición o no definida en el artículo 128 constitucional o en su defecto, si se encuentra dentro de alguna de las causales de excepción contempladas en el artículo 19 de la Ley 4 de 1992. Lo anterior para efectos de poder concluir si se permite o no la vinculación mediante contrato de prestación de servicios profesionales.</w:t>
            </w:r>
            <w:r w:rsidR="00AC5D64">
              <w:rPr>
                <w:rFonts w:ascii="Verdana" w:eastAsia="Arial" w:hAnsi="Verdana" w:cs="Arial"/>
                <w:lang w:val="es-ES"/>
              </w:rPr>
              <w:t xml:space="preserve"> </w:t>
            </w:r>
            <w:r w:rsidR="006D0A80">
              <w:rPr>
                <w:rFonts w:ascii="Verdana" w:eastAsia="Arial" w:hAnsi="Verdana" w:cs="Arial"/>
                <w:lang w:val="es-ES"/>
              </w:rPr>
              <w:t xml:space="preserve">  </w:t>
            </w:r>
            <w:r w:rsidR="009B6992">
              <w:rPr>
                <w:rFonts w:ascii="Verdana" w:eastAsia="Arial" w:hAnsi="Verdana" w:cs="Arial"/>
                <w:lang w:val="es-ES"/>
              </w:rPr>
              <w:t xml:space="preserve"> </w:t>
            </w:r>
          </w:p>
          <w:p w14:paraId="0358A031" w14:textId="277F36F0" w:rsidR="007B7821" w:rsidRDefault="007B7821" w:rsidP="00BD0EE5">
            <w:pPr>
              <w:spacing w:after="120" w:line="276" w:lineRule="auto"/>
              <w:ind w:right="136" w:firstLine="709"/>
              <w:jc w:val="both"/>
              <w:rPr>
                <w:rFonts w:ascii="Verdana" w:hAnsi="Verdana"/>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L</w:t>
            </w:r>
            <w:r>
              <w:rPr>
                <w:rFonts w:ascii="Verdana" w:eastAsia="Calibri" w:hAnsi="Verdana" w:cs="Arial"/>
                <w:color w:val="000000" w:themeColor="text1"/>
              </w:rPr>
              <w:t xml:space="preserve">as Empresas Sociales del Estado les asiste la </w:t>
            </w:r>
            <w:r w:rsidRPr="00CA409A">
              <w:rPr>
                <w:rFonts w:ascii="Verdana" w:hAnsi="Verdana"/>
              </w:rPr>
              <w:t>obligación de publicar los Procesos de Contratación en el SECOP II</w:t>
            </w:r>
            <w:r>
              <w:rPr>
                <w:rFonts w:ascii="Verdana" w:hAnsi="Verdana"/>
              </w:rPr>
              <w:t xml:space="preserve">. </w:t>
            </w:r>
            <w:r>
              <w:rPr>
                <w:rFonts w:ascii="Verdana" w:hAnsi="Verdana"/>
                <w:spacing w:val="40"/>
              </w:rPr>
              <w:t>E</w:t>
            </w:r>
            <w:r w:rsidRPr="00CA409A">
              <w:rPr>
                <w:rFonts w:ascii="Verdana" w:hAnsi="Verdana"/>
              </w:rPr>
              <w:t>l 18 de enero de 2022 fue expedida la Ley 2195 de 2022 “</w:t>
            </w:r>
            <w:r w:rsidRPr="00CA409A">
              <w:rPr>
                <w:rFonts w:ascii="Verdana" w:hAnsi="Verdana"/>
                <w:i/>
              </w:rPr>
              <w:t>Por medio</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la</w:t>
            </w:r>
            <w:r w:rsidRPr="00CA409A">
              <w:rPr>
                <w:rFonts w:ascii="Verdana" w:hAnsi="Verdana"/>
                <w:i/>
                <w:spacing w:val="-19"/>
              </w:rPr>
              <w:t xml:space="preserve"> </w:t>
            </w:r>
            <w:r w:rsidRPr="00CA409A">
              <w:rPr>
                <w:rFonts w:ascii="Verdana" w:hAnsi="Verdana"/>
                <w:i/>
              </w:rPr>
              <w:t>cual</w:t>
            </w:r>
            <w:r w:rsidRPr="00CA409A">
              <w:rPr>
                <w:rFonts w:ascii="Verdana" w:hAnsi="Verdana"/>
                <w:i/>
                <w:spacing w:val="-20"/>
              </w:rPr>
              <w:t xml:space="preserve"> </w:t>
            </w:r>
            <w:r w:rsidRPr="00CA409A">
              <w:rPr>
                <w:rFonts w:ascii="Verdana" w:hAnsi="Verdana"/>
                <w:i/>
              </w:rPr>
              <w:t>se</w:t>
            </w:r>
            <w:r w:rsidRPr="00CA409A">
              <w:rPr>
                <w:rFonts w:ascii="Verdana" w:hAnsi="Verdana"/>
                <w:i/>
                <w:spacing w:val="-19"/>
              </w:rPr>
              <w:t xml:space="preserve"> </w:t>
            </w:r>
            <w:r w:rsidRPr="00CA409A">
              <w:rPr>
                <w:rFonts w:ascii="Verdana" w:hAnsi="Verdana"/>
                <w:i/>
              </w:rPr>
              <w:t>adoptan</w:t>
            </w:r>
            <w:r w:rsidRPr="00CA409A">
              <w:rPr>
                <w:rFonts w:ascii="Verdana" w:hAnsi="Verdana"/>
                <w:i/>
                <w:spacing w:val="-20"/>
              </w:rPr>
              <w:t xml:space="preserve"> </w:t>
            </w:r>
            <w:r w:rsidRPr="00CA409A">
              <w:rPr>
                <w:rFonts w:ascii="Verdana" w:hAnsi="Verdana"/>
                <w:i/>
              </w:rPr>
              <w:t>medidas</w:t>
            </w:r>
            <w:r w:rsidRPr="00CA409A">
              <w:rPr>
                <w:rFonts w:ascii="Verdana" w:hAnsi="Verdana"/>
                <w:i/>
                <w:spacing w:val="-19"/>
              </w:rPr>
              <w:t xml:space="preserve"> </w:t>
            </w:r>
            <w:r w:rsidRPr="00CA409A">
              <w:rPr>
                <w:rFonts w:ascii="Verdana" w:hAnsi="Verdana"/>
                <w:i/>
              </w:rPr>
              <w:t>en</w:t>
            </w:r>
            <w:r w:rsidRPr="00CA409A">
              <w:rPr>
                <w:rFonts w:ascii="Verdana" w:hAnsi="Verdana"/>
                <w:i/>
                <w:spacing w:val="-19"/>
              </w:rPr>
              <w:t xml:space="preserve"> </w:t>
            </w:r>
            <w:r w:rsidRPr="00CA409A">
              <w:rPr>
                <w:rFonts w:ascii="Verdana" w:hAnsi="Verdana"/>
                <w:i/>
              </w:rPr>
              <w:t>materia</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transparencia,</w:t>
            </w:r>
            <w:r w:rsidRPr="00CA409A">
              <w:rPr>
                <w:rFonts w:ascii="Verdana" w:hAnsi="Verdana"/>
                <w:i/>
                <w:spacing w:val="-19"/>
              </w:rPr>
              <w:t xml:space="preserve"> </w:t>
            </w:r>
            <w:r w:rsidRPr="00CA409A">
              <w:rPr>
                <w:rFonts w:ascii="Verdana" w:hAnsi="Verdana"/>
                <w:i/>
              </w:rPr>
              <w:t>prevención y</w:t>
            </w:r>
            <w:r w:rsidRPr="00CA409A">
              <w:rPr>
                <w:rFonts w:ascii="Verdana" w:hAnsi="Verdana"/>
                <w:i/>
                <w:spacing w:val="-13"/>
              </w:rPr>
              <w:t xml:space="preserve"> </w:t>
            </w:r>
            <w:r w:rsidRPr="00CA409A">
              <w:rPr>
                <w:rFonts w:ascii="Verdana" w:hAnsi="Verdana"/>
                <w:i/>
              </w:rPr>
              <w:t>lucha</w:t>
            </w:r>
            <w:r w:rsidRPr="00CA409A">
              <w:rPr>
                <w:rFonts w:ascii="Verdana" w:hAnsi="Verdana"/>
                <w:i/>
                <w:spacing w:val="-11"/>
              </w:rPr>
              <w:t xml:space="preserve"> </w:t>
            </w:r>
            <w:r w:rsidRPr="00CA409A">
              <w:rPr>
                <w:rFonts w:ascii="Verdana" w:hAnsi="Verdana"/>
                <w:i/>
              </w:rPr>
              <w:t>contra</w:t>
            </w:r>
            <w:r w:rsidRPr="00CA409A">
              <w:rPr>
                <w:rFonts w:ascii="Verdana" w:hAnsi="Verdana"/>
                <w:i/>
                <w:spacing w:val="-12"/>
              </w:rPr>
              <w:t xml:space="preserve"> </w:t>
            </w:r>
            <w:r w:rsidRPr="00CA409A">
              <w:rPr>
                <w:rFonts w:ascii="Verdana" w:hAnsi="Verdana"/>
                <w:i/>
              </w:rPr>
              <w:t>la</w:t>
            </w:r>
            <w:r w:rsidRPr="00CA409A">
              <w:rPr>
                <w:rFonts w:ascii="Verdana" w:hAnsi="Verdana"/>
                <w:i/>
                <w:spacing w:val="-11"/>
              </w:rPr>
              <w:t xml:space="preserve"> </w:t>
            </w:r>
            <w:r w:rsidRPr="00CA409A">
              <w:rPr>
                <w:rFonts w:ascii="Verdana" w:hAnsi="Verdana"/>
                <w:i/>
              </w:rPr>
              <w:t>corrupción</w:t>
            </w:r>
            <w:r w:rsidRPr="00CA409A">
              <w:rPr>
                <w:rFonts w:ascii="Verdana" w:hAnsi="Verdana"/>
                <w:i/>
                <w:spacing w:val="-12"/>
              </w:rPr>
              <w:t xml:space="preserve"> </w:t>
            </w:r>
            <w:r w:rsidRPr="00CA409A">
              <w:rPr>
                <w:rFonts w:ascii="Verdana" w:hAnsi="Verdana"/>
                <w:i/>
              </w:rPr>
              <w:t>y</w:t>
            </w:r>
            <w:r w:rsidRPr="00CA409A">
              <w:rPr>
                <w:rFonts w:ascii="Verdana" w:hAnsi="Verdana"/>
                <w:i/>
                <w:spacing w:val="-13"/>
              </w:rPr>
              <w:t xml:space="preserve"> </w:t>
            </w:r>
            <w:r w:rsidRPr="00CA409A">
              <w:rPr>
                <w:rFonts w:ascii="Verdana" w:hAnsi="Verdana"/>
                <w:i/>
              </w:rPr>
              <w:t>se</w:t>
            </w:r>
            <w:r w:rsidRPr="00CA409A">
              <w:rPr>
                <w:rFonts w:ascii="Verdana" w:hAnsi="Verdana"/>
                <w:i/>
                <w:spacing w:val="-11"/>
              </w:rPr>
              <w:t xml:space="preserve"> </w:t>
            </w:r>
            <w:r w:rsidRPr="00CA409A">
              <w:rPr>
                <w:rFonts w:ascii="Verdana" w:hAnsi="Verdana"/>
                <w:i/>
              </w:rPr>
              <w:t>dictan</w:t>
            </w:r>
            <w:r w:rsidRPr="00CA409A">
              <w:rPr>
                <w:rFonts w:ascii="Verdana" w:hAnsi="Verdana"/>
                <w:i/>
                <w:spacing w:val="-12"/>
              </w:rPr>
              <w:t xml:space="preserve"> </w:t>
            </w:r>
            <w:r w:rsidRPr="00CA409A">
              <w:rPr>
                <w:rFonts w:ascii="Verdana" w:hAnsi="Verdana"/>
                <w:i/>
              </w:rPr>
              <w:t>otras</w:t>
            </w:r>
            <w:r w:rsidRPr="00CA409A">
              <w:rPr>
                <w:rFonts w:ascii="Verdana" w:hAnsi="Verdana"/>
                <w:i/>
                <w:spacing w:val="-11"/>
              </w:rPr>
              <w:t xml:space="preserve"> </w:t>
            </w:r>
            <w:r w:rsidRPr="00CA409A">
              <w:rPr>
                <w:rFonts w:ascii="Verdana" w:hAnsi="Verdana"/>
                <w:i/>
              </w:rPr>
              <w:t>disposiciones</w:t>
            </w:r>
            <w:r w:rsidRPr="00CA409A">
              <w:rPr>
                <w:rFonts w:ascii="Verdana" w:hAnsi="Verdana"/>
              </w:rPr>
              <w:t>”</w:t>
            </w:r>
            <w:r w:rsidRPr="00CA409A">
              <w:rPr>
                <w:rFonts w:ascii="Verdana" w:hAnsi="Verdana"/>
                <w:spacing w:val="-14"/>
              </w:rPr>
              <w:t xml:space="preserve"> </w:t>
            </w:r>
            <w:r w:rsidRPr="00CA409A">
              <w:rPr>
                <w:rFonts w:ascii="Verdana" w:hAnsi="Verdana"/>
              </w:rPr>
              <w:t>mediante</w:t>
            </w:r>
            <w:r w:rsidRPr="00CA409A">
              <w:rPr>
                <w:rFonts w:ascii="Verdana" w:hAnsi="Verdana"/>
                <w:spacing w:val="-11"/>
              </w:rPr>
              <w:t xml:space="preserve"> </w:t>
            </w:r>
            <w:r w:rsidRPr="00CA409A">
              <w:rPr>
                <w:rFonts w:ascii="Verdana" w:hAnsi="Verdana"/>
              </w:rPr>
              <w:t>la</w:t>
            </w:r>
            <w:r w:rsidRPr="00CA409A">
              <w:rPr>
                <w:rFonts w:ascii="Verdana" w:hAnsi="Verdana"/>
                <w:spacing w:val="-10"/>
              </w:rPr>
              <w:t xml:space="preserve"> </w:t>
            </w:r>
            <w:r w:rsidRPr="00CA409A">
              <w:rPr>
                <w:rFonts w:ascii="Verdana" w:hAnsi="Verdana"/>
              </w:rPr>
              <w:t>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w:t>
            </w:r>
            <w:r w:rsidRPr="00CA409A">
              <w:rPr>
                <w:rFonts w:ascii="Verdana" w:hAnsi="Verdana"/>
                <w:spacing w:val="-2"/>
              </w:rPr>
              <w:t xml:space="preserve"> </w:t>
            </w:r>
            <w:r w:rsidRPr="00CA409A">
              <w:rPr>
                <w:rFonts w:ascii="Verdana" w:hAnsi="Verdana"/>
              </w:rPr>
              <w:t>para</w:t>
            </w:r>
            <w:r w:rsidRPr="00CA409A">
              <w:rPr>
                <w:rFonts w:ascii="Verdana" w:hAnsi="Verdana"/>
                <w:spacing w:val="-4"/>
              </w:rPr>
              <w:t xml:space="preserve"> </w:t>
            </w:r>
            <w:r w:rsidRPr="00CA409A">
              <w:rPr>
                <w:rFonts w:ascii="Verdana" w:hAnsi="Verdana"/>
              </w:rPr>
              <w:t>la</w:t>
            </w:r>
            <w:r w:rsidRPr="00CA409A">
              <w:rPr>
                <w:rFonts w:ascii="Verdana" w:hAnsi="Verdana"/>
                <w:spacing w:val="-2"/>
              </w:rPr>
              <w:t xml:space="preserve"> </w:t>
            </w:r>
            <w:r w:rsidRPr="00CA409A">
              <w:rPr>
                <w:rFonts w:ascii="Verdana" w:hAnsi="Verdana"/>
              </w:rPr>
              <w:t>Contratación</w:t>
            </w:r>
            <w:r w:rsidRPr="00CA409A">
              <w:rPr>
                <w:rFonts w:ascii="Verdana" w:hAnsi="Verdana"/>
                <w:spacing w:val="-3"/>
              </w:rPr>
              <w:t xml:space="preserve"> </w:t>
            </w:r>
            <w:r w:rsidRPr="00CA409A">
              <w:rPr>
                <w:rFonts w:ascii="Verdana" w:hAnsi="Verdana"/>
              </w:rPr>
              <w:t>Pública</w:t>
            </w:r>
            <w:r w:rsidRPr="00CA409A">
              <w:rPr>
                <w:rFonts w:ascii="Verdana" w:hAnsi="Verdana"/>
                <w:spacing w:val="-4"/>
              </w:rPr>
              <w:t xml:space="preserve"> </w:t>
            </w:r>
            <w:r w:rsidRPr="00CA409A">
              <w:rPr>
                <w:rFonts w:ascii="Verdana" w:hAnsi="Verdana"/>
              </w:rPr>
              <w:t>en</w:t>
            </w:r>
            <w:r w:rsidRPr="00CA409A">
              <w:rPr>
                <w:rFonts w:ascii="Verdana" w:hAnsi="Verdana"/>
                <w:spacing w:val="-1"/>
              </w:rPr>
              <w:t xml:space="preserve"> </w:t>
            </w:r>
            <w:r w:rsidRPr="00CA409A">
              <w:rPr>
                <w:rFonts w:ascii="Verdana" w:hAnsi="Verdana"/>
              </w:rPr>
              <w:t>su</w:t>
            </w:r>
            <w:r w:rsidRPr="00CA409A">
              <w:rPr>
                <w:rFonts w:ascii="Verdana" w:hAnsi="Verdana"/>
                <w:spacing w:val="-3"/>
              </w:rPr>
              <w:t xml:space="preserve"> </w:t>
            </w:r>
            <w:r w:rsidRPr="00CA409A">
              <w:rPr>
                <w:rFonts w:ascii="Verdana" w:hAnsi="Verdana"/>
              </w:rPr>
              <w:t>versión</w:t>
            </w:r>
            <w:r w:rsidRPr="00CA409A">
              <w:rPr>
                <w:rFonts w:ascii="Verdana" w:hAnsi="Verdana"/>
                <w:spacing w:val="-3"/>
              </w:rPr>
              <w:t xml:space="preserve"> </w:t>
            </w:r>
            <w:r w:rsidRPr="00CA409A">
              <w:rPr>
                <w:rFonts w:ascii="Verdana" w:hAnsi="Verdana"/>
              </w:rPr>
              <w:t>transaccional,</w:t>
            </w:r>
            <w:r w:rsidRPr="00CA409A">
              <w:rPr>
                <w:rFonts w:ascii="Verdana" w:hAnsi="Verdana"/>
                <w:spacing w:val="-2"/>
              </w:rPr>
              <w:t xml:space="preserve"> </w:t>
            </w:r>
            <w:r w:rsidRPr="00CA409A">
              <w:rPr>
                <w:rFonts w:ascii="Verdana" w:hAnsi="Verdana"/>
              </w:rPr>
              <w:t>es</w:t>
            </w:r>
            <w:r w:rsidRPr="00CA409A">
              <w:rPr>
                <w:rFonts w:ascii="Verdana" w:hAnsi="Verdana"/>
                <w:spacing w:val="-2"/>
              </w:rPr>
              <w:t xml:space="preserve"> </w:t>
            </w:r>
            <w:r w:rsidRPr="00CA409A">
              <w:rPr>
                <w:rFonts w:ascii="Verdana" w:hAnsi="Verdana"/>
              </w:rPr>
              <w:t>decir en la plataforma SECOP II.</w:t>
            </w:r>
            <w:r w:rsidR="005332A8">
              <w:rPr>
                <w:rFonts w:ascii="Verdana" w:hAnsi="Verdana"/>
              </w:rPr>
              <w:t xml:space="preserve"> </w:t>
            </w:r>
            <w:r w:rsidR="005332A8" w:rsidRPr="00BD0EE5">
              <w:rPr>
                <w:rFonts w:ascii="Verdana" w:hAnsi="Verdana"/>
              </w:rPr>
              <w:t>En esa misma línea se ha expuesto en la Circula única Externa proferida por la Agencia Nacional de Contratación Pública – Colombia Compra Eficiente.</w:t>
            </w:r>
            <w:r w:rsidR="005332A8">
              <w:rPr>
                <w:rFonts w:ascii="Verdana" w:hAnsi="Verdana"/>
              </w:rPr>
              <w:t xml:space="preserve"> </w:t>
            </w:r>
          </w:p>
          <w:p w14:paraId="7A0631CB" w14:textId="77777777" w:rsidR="007B7821" w:rsidRDefault="007B7821" w:rsidP="0021330D">
            <w:pPr>
              <w:spacing w:after="120" w:line="276" w:lineRule="auto"/>
              <w:ind w:right="136" w:firstLine="709"/>
              <w:jc w:val="both"/>
              <w:rPr>
                <w:rFonts w:ascii="Verdana" w:hAnsi="Verdana"/>
              </w:rPr>
            </w:pPr>
            <w:r w:rsidRPr="00CA409A">
              <w:rPr>
                <w:rFonts w:ascii="Verdana" w:hAnsi="Verdana"/>
              </w:rPr>
              <w:t>De</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misma</w:t>
            </w:r>
            <w:r w:rsidRPr="00CA409A">
              <w:rPr>
                <w:rFonts w:ascii="Verdana" w:hAnsi="Verdana"/>
                <w:spacing w:val="-19"/>
              </w:rPr>
              <w:t xml:space="preserve"> </w:t>
            </w:r>
            <w:r w:rsidRPr="00CA409A">
              <w:rPr>
                <w:rFonts w:ascii="Verdana" w:hAnsi="Verdana"/>
              </w:rPr>
              <w:t>manera,</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norma</w:t>
            </w:r>
            <w:r w:rsidRPr="00CA409A">
              <w:rPr>
                <w:rFonts w:ascii="Verdana" w:hAnsi="Verdana"/>
                <w:spacing w:val="-19"/>
              </w:rPr>
              <w:t xml:space="preserve"> </w:t>
            </w:r>
            <w:r w:rsidRPr="00CA409A">
              <w:rPr>
                <w:rFonts w:ascii="Verdana" w:hAnsi="Verdana"/>
              </w:rPr>
              <w:t>en</w:t>
            </w:r>
            <w:r w:rsidRPr="00CA409A">
              <w:rPr>
                <w:rFonts w:ascii="Verdana" w:hAnsi="Verdana"/>
                <w:spacing w:val="-19"/>
              </w:rPr>
              <w:t xml:space="preserve"> </w:t>
            </w:r>
            <w:r w:rsidRPr="00CA409A">
              <w:rPr>
                <w:rFonts w:ascii="Verdana" w:hAnsi="Verdana"/>
              </w:rPr>
              <w:t>mención</w:t>
            </w:r>
            <w:r w:rsidRPr="00CA409A">
              <w:rPr>
                <w:rFonts w:ascii="Verdana" w:hAnsi="Verdana"/>
                <w:spacing w:val="-19"/>
              </w:rPr>
              <w:t xml:space="preserve"> </w:t>
            </w:r>
            <w:r w:rsidRPr="00CA409A">
              <w:rPr>
                <w:rFonts w:ascii="Verdana" w:hAnsi="Verdana"/>
              </w:rPr>
              <w:t>precisa</w:t>
            </w:r>
            <w:r w:rsidRPr="00CA409A">
              <w:rPr>
                <w:rFonts w:ascii="Verdana" w:hAnsi="Verdana"/>
                <w:spacing w:val="-19"/>
              </w:rPr>
              <w:t xml:space="preserve"> </w:t>
            </w:r>
            <w:r w:rsidRPr="00CA409A">
              <w:rPr>
                <w:rFonts w:ascii="Verdana" w:hAnsi="Verdana"/>
              </w:rPr>
              <w:t>el</w:t>
            </w:r>
            <w:r w:rsidRPr="00CA409A">
              <w:rPr>
                <w:rFonts w:ascii="Verdana" w:hAnsi="Verdana"/>
                <w:spacing w:val="-19"/>
              </w:rPr>
              <w:t xml:space="preserve"> </w:t>
            </w:r>
            <w:r w:rsidRPr="00CA409A">
              <w:rPr>
                <w:rFonts w:ascii="Verdana" w:hAnsi="Verdana"/>
              </w:rPr>
              <w:t>entendimiento</w:t>
            </w:r>
            <w:r w:rsidRPr="00CA409A">
              <w:rPr>
                <w:rFonts w:ascii="Verdana" w:hAnsi="Verdana"/>
                <w:spacing w:val="-19"/>
              </w:rPr>
              <w:t xml:space="preserve"> </w:t>
            </w:r>
            <w:r w:rsidRPr="00CA409A">
              <w:rPr>
                <w:rFonts w:ascii="Verdana" w:hAnsi="Verdana"/>
              </w:rPr>
              <w:t>que</w:t>
            </w:r>
            <w:r w:rsidRPr="00CA409A">
              <w:rPr>
                <w:rFonts w:ascii="Verdana" w:hAnsi="Verdana"/>
                <w:spacing w:val="-19"/>
              </w:rPr>
              <w:t xml:space="preserve"> </w:t>
            </w:r>
            <w:r w:rsidRPr="00CA409A">
              <w:rPr>
                <w:rFonts w:ascii="Verdana" w:hAnsi="Verdana"/>
              </w:rPr>
              <w:t>debe dársele</w:t>
            </w:r>
            <w:r w:rsidRPr="00CA409A">
              <w:rPr>
                <w:rFonts w:ascii="Verdana" w:hAnsi="Verdana"/>
                <w:spacing w:val="-7"/>
              </w:rPr>
              <w:t xml:space="preserve"> </w:t>
            </w:r>
            <w:r w:rsidRPr="00CA409A">
              <w:rPr>
                <w:rFonts w:ascii="Verdana" w:hAnsi="Verdana"/>
              </w:rPr>
              <w:t>a</w:t>
            </w:r>
            <w:r w:rsidRPr="00CA409A">
              <w:rPr>
                <w:rFonts w:ascii="Verdana" w:hAnsi="Verdana"/>
                <w:spacing w:val="-8"/>
              </w:rPr>
              <w:t xml:space="preserve"> </w:t>
            </w:r>
            <w:r w:rsidRPr="00CA409A">
              <w:rPr>
                <w:rFonts w:ascii="Verdana" w:hAnsi="Verdana"/>
              </w:rPr>
              <w:t>la</w:t>
            </w:r>
            <w:r w:rsidRPr="00CA409A">
              <w:rPr>
                <w:rFonts w:ascii="Verdana" w:hAnsi="Verdana"/>
                <w:spacing w:val="-8"/>
              </w:rPr>
              <w:t xml:space="preserve"> </w:t>
            </w:r>
            <w:r w:rsidRPr="00CA409A">
              <w:rPr>
                <w:rFonts w:ascii="Verdana" w:hAnsi="Verdana"/>
              </w:rPr>
              <w:t>expresión</w:t>
            </w:r>
            <w:r w:rsidRPr="00CA409A">
              <w:rPr>
                <w:rFonts w:ascii="Verdana" w:hAnsi="Verdana"/>
                <w:spacing w:val="-8"/>
              </w:rPr>
              <w:t xml:space="preserve"> </w:t>
            </w:r>
            <w:r>
              <w:rPr>
                <w:rFonts w:ascii="Verdana" w:hAnsi="Verdana"/>
                <w:spacing w:val="-8"/>
              </w:rPr>
              <w:t>“</w:t>
            </w:r>
            <w:r w:rsidRPr="00CA409A">
              <w:rPr>
                <w:rFonts w:ascii="Verdana" w:hAnsi="Verdana"/>
                <w:spacing w:val="-8"/>
              </w:rPr>
              <w:t>actividad</w:t>
            </w:r>
            <w:r w:rsidRPr="00CA409A">
              <w:rPr>
                <w:rFonts w:ascii="Verdana" w:hAnsi="Verdana"/>
                <w:spacing w:val="-9"/>
              </w:rPr>
              <w:t xml:space="preserve"> </w:t>
            </w:r>
            <w:r w:rsidRPr="00CA409A">
              <w:rPr>
                <w:rFonts w:ascii="Verdana" w:hAnsi="Verdana"/>
              </w:rPr>
              <w:t>contractual</w:t>
            </w:r>
            <w:r>
              <w:rPr>
                <w:rFonts w:ascii="Verdana" w:hAnsi="Verdana"/>
              </w:rPr>
              <w:t>”</w:t>
            </w:r>
            <w:r w:rsidRPr="00CA409A">
              <w:rPr>
                <w:rFonts w:ascii="Verdana" w:hAnsi="Verdana"/>
                <w:spacing w:val="-9"/>
              </w:rPr>
              <w:t xml:space="preserve"> </w:t>
            </w:r>
            <w:r w:rsidRPr="00CA409A">
              <w:rPr>
                <w:rFonts w:ascii="Verdana" w:hAnsi="Verdana"/>
              </w:rPr>
              <w:t>y</w:t>
            </w:r>
            <w:r w:rsidRPr="00CA409A">
              <w:rPr>
                <w:rFonts w:ascii="Verdana" w:hAnsi="Verdana"/>
                <w:spacing w:val="-9"/>
              </w:rPr>
              <w:t xml:space="preserve"> </w:t>
            </w:r>
            <w:r w:rsidRPr="00CA409A">
              <w:rPr>
                <w:rFonts w:ascii="Verdana" w:hAnsi="Verdana"/>
              </w:rPr>
              <w:t>que</w:t>
            </w:r>
            <w:r w:rsidRPr="00CA409A">
              <w:rPr>
                <w:rFonts w:ascii="Verdana" w:hAnsi="Verdana"/>
                <w:spacing w:val="-8"/>
              </w:rPr>
              <w:t xml:space="preserve"> </w:t>
            </w:r>
            <w:r w:rsidRPr="00CA409A">
              <w:rPr>
                <w:rFonts w:ascii="Verdana" w:hAnsi="Verdana"/>
              </w:rPr>
              <w:t>permitirá</w:t>
            </w:r>
            <w:r w:rsidRPr="00CA409A">
              <w:rPr>
                <w:rFonts w:ascii="Verdana" w:hAnsi="Verdana"/>
                <w:spacing w:val="-8"/>
              </w:rPr>
              <w:t xml:space="preserve"> </w:t>
            </w:r>
            <w:r w:rsidRPr="00CA409A">
              <w:rPr>
                <w:rFonts w:ascii="Verdana" w:hAnsi="Verdana"/>
              </w:rPr>
              <w:t>determinar</w:t>
            </w:r>
            <w:r w:rsidRPr="00CA409A">
              <w:rPr>
                <w:rFonts w:ascii="Verdana" w:hAnsi="Verdana"/>
                <w:spacing w:val="-8"/>
              </w:rPr>
              <w:t xml:space="preserve"> </w:t>
            </w:r>
            <w:r w:rsidRPr="00CA409A">
              <w:rPr>
                <w:rFonts w:ascii="Verdana" w:hAnsi="Verdana"/>
              </w:rPr>
              <w:t>los documentos que deben publicar en la plataforma SECOP II estas entidades. En ese sentido, las entidades que tienen un régimen de contratación exceptuado</w:t>
            </w:r>
            <w:r w:rsidRPr="00CA409A">
              <w:rPr>
                <w:rFonts w:ascii="Verdana" w:hAnsi="Verdana"/>
                <w:spacing w:val="-16"/>
              </w:rPr>
              <w:t xml:space="preserve"> </w:t>
            </w:r>
            <w:r w:rsidRPr="00CA409A">
              <w:rPr>
                <w:rFonts w:ascii="Verdana" w:hAnsi="Verdana"/>
              </w:rPr>
              <w:t>del</w:t>
            </w:r>
            <w:r w:rsidRPr="00CA409A">
              <w:rPr>
                <w:rFonts w:ascii="Verdana" w:hAnsi="Verdana"/>
                <w:spacing w:val="-16"/>
              </w:rPr>
              <w:t xml:space="preserve"> </w:t>
            </w:r>
            <w:r w:rsidRPr="00CA409A">
              <w:rPr>
                <w:rFonts w:ascii="Verdana" w:hAnsi="Verdana"/>
              </w:rPr>
              <w:t>Estatuto</w:t>
            </w:r>
            <w:r w:rsidRPr="00CA409A">
              <w:rPr>
                <w:rFonts w:ascii="Verdana" w:hAnsi="Verdana"/>
                <w:spacing w:val="-16"/>
              </w:rPr>
              <w:t xml:space="preserve"> </w:t>
            </w:r>
            <w:r w:rsidRPr="00CA409A">
              <w:rPr>
                <w:rFonts w:ascii="Verdana" w:hAnsi="Verdana"/>
              </w:rPr>
              <w:t>General</w:t>
            </w:r>
            <w:r w:rsidRPr="00CA409A">
              <w:rPr>
                <w:rFonts w:ascii="Verdana" w:hAnsi="Verdana"/>
                <w:spacing w:val="-17"/>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Contratación</w:t>
            </w:r>
            <w:r w:rsidRPr="00CA409A">
              <w:rPr>
                <w:rFonts w:ascii="Verdana" w:hAnsi="Verdana"/>
                <w:spacing w:val="-16"/>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la</w:t>
            </w:r>
            <w:r w:rsidRPr="00CA409A">
              <w:rPr>
                <w:rFonts w:ascii="Verdana" w:hAnsi="Verdana"/>
                <w:spacing w:val="-17"/>
              </w:rPr>
              <w:t xml:space="preserve"> </w:t>
            </w:r>
            <w:r w:rsidRPr="00CA409A">
              <w:rPr>
                <w:rFonts w:ascii="Verdana" w:hAnsi="Verdana"/>
              </w:rPr>
              <w:t>Administración</w:t>
            </w:r>
            <w:r w:rsidRPr="00CA409A">
              <w:rPr>
                <w:rFonts w:ascii="Verdana" w:hAnsi="Verdana"/>
                <w:spacing w:val="-16"/>
              </w:rPr>
              <w:t xml:space="preserve"> </w:t>
            </w:r>
            <w:r w:rsidRPr="00CA409A">
              <w:rPr>
                <w:rFonts w:ascii="Verdana" w:hAnsi="Verdana"/>
              </w:rPr>
              <w:t xml:space="preserve">Pública tendrán la obligación de publicar </w:t>
            </w:r>
            <w:r>
              <w:rPr>
                <w:rFonts w:ascii="Verdana" w:hAnsi="Verdana"/>
                <w:i/>
              </w:rPr>
              <w:t>“</w:t>
            </w:r>
            <w:r w:rsidRPr="00CA409A">
              <w:rPr>
                <w:rFonts w:ascii="Verdana" w:hAnsi="Verdana"/>
                <w:i/>
              </w:rPr>
              <w:t>los documentos, contratos, actos e información</w:t>
            </w:r>
            <w:r w:rsidRPr="00CA409A">
              <w:rPr>
                <w:rFonts w:ascii="Verdana" w:hAnsi="Verdana"/>
                <w:i/>
                <w:spacing w:val="26"/>
              </w:rPr>
              <w:t xml:space="preserve"> </w:t>
            </w:r>
            <w:r w:rsidRPr="00CA409A">
              <w:rPr>
                <w:rFonts w:ascii="Verdana" w:hAnsi="Verdana"/>
                <w:i/>
              </w:rPr>
              <w:t>generada</w:t>
            </w:r>
            <w:r w:rsidRPr="00CA409A">
              <w:rPr>
                <w:rFonts w:ascii="Verdana" w:hAnsi="Verdana"/>
                <w:i/>
                <w:spacing w:val="28"/>
              </w:rPr>
              <w:t xml:space="preserve"> </w:t>
            </w:r>
            <w:r w:rsidRPr="00CA409A">
              <w:rPr>
                <w:rFonts w:ascii="Verdana" w:hAnsi="Verdana"/>
                <w:i/>
              </w:rPr>
              <w:t>por</w:t>
            </w:r>
            <w:r w:rsidRPr="00CA409A">
              <w:rPr>
                <w:rFonts w:ascii="Verdana" w:hAnsi="Verdana"/>
                <w:i/>
                <w:spacing w:val="28"/>
              </w:rPr>
              <w:t xml:space="preserve"> </w:t>
            </w:r>
            <w:r w:rsidRPr="00CA409A">
              <w:rPr>
                <w:rFonts w:ascii="Verdana" w:hAnsi="Verdana"/>
                <w:i/>
              </w:rPr>
              <w:t>oferentes,</w:t>
            </w:r>
            <w:r w:rsidRPr="00CA409A">
              <w:rPr>
                <w:rFonts w:ascii="Verdana" w:hAnsi="Verdana"/>
                <w:i/>
                <w:spacing w:val="30"/>
              </w:rPr>
              <w:t xml:space="preserve"> </w:t>
            </w:r>
            <w:r w:rsidRPr="00CA409A">
              <w:rPr>
                <w:rFonts w:ascii="Verdana" w:hAnsi="Verdana"/>
                <w:i/>
              </w:rPr>
              <w:t>contratista,</w:t>
            </w:r>
            <w:r w:rsidRPr="00CA409A">
              <w:rPr>
                <w:rFonts w:ascii="Verdana" w:hAnsi="Verdana"/>
                <w:i/>
                <w:spacing w:val="29"/>
              </w:rPr>
              <w:t xml:space="preserve"> </w:t>
            </w:r>
            <w:r w:rsidRPr="00CA409A">
              <w:rPr>
                <w:rFonts w:ascii="Verdana" w:hAnsi="Verdana"/>
                <w:i/>
              </w:rPr>
              <w:t>contratante,</w:t>
            </w:r>
            <w:r w:rsidRPr="00CA409A">
              <w:rPr>
                <w:rFonts w:ascii="Verdana" w:hAnsi="Verdana"/>
                <w:i/>
                <w:spacing w:val="30"/>
              </w:rPr>
              <w:t xml:space="preserve"> </w:t>
            </w:r>
            <w:r w:rsidRPr="00CA409A">
              <w:rPr>
                <w:rFonts w:ascii="Verdana" w:hAnsi="Verdana"/>
                <w:i/>
              </w:rPr>
              <w:t>supervisor</w:t>
            </w:r>
            <w:r w:rsidRPr="00CA409A">
              <w:rPr>
                <w:rFonts w:ascii="Verdana" w:hAnsi="Verdana"/>
                <w:i/>
                <w:spacing w:val="27"/>
              </w:rPr>
              <w:t xml:space="preserve"> </w:t>
            </w:r>
            <w:r w:rsidRPr="00CA409A">
              <w:rPr>
                <w:rFonts w:ascii="Verdana" w:hAnsi="Verdana"/>
                <w:i/>
                <w:spacing w:val="-10"/>
              </w:rPr>
              <w:t>o</w:t>
            </w:r>
            <w:r>
              <w:rPr>
                <w:rFonts w:ascii="Verdana" w:hAnsi="Verdana"/>
                <w:i/>
              </w:rPr>
              <w:t xml:space="preserve"> </w:t>
            </w:r>
            <w:r w:rsidRPr="00CA409A">
              <w:rPr>
                <w:rFonts w:ascii="Verdana" w:hAnsi="Verdana"/>
                <w:i/>
              </w:rPr>
              <w:t xml:space="preserve">interventor, tanto en la etapa precontractual, como en la contractual y la </w:t>
            </w:r>
            <w:proofErr w:type="spellStart"/>
            <w:r w:rsidRPr="00CA409A">
              <w:rPr>
                <w:rFonts w:ascii="Verdana" w:hAnsi="Verdana"/>
                <w:i/>
                <w:spacing w:val="-2"/>
              </w:rPr>
              <w:t>postcontractual</w:t>
            </w:r>
            <w:proofErr w:type="spellEnd"/>
            <w:r>
              <w:rPr>
                <w:rFonts w:ascii="Verdana" w:hAnsi="Verdana"/>
                <w:i/>
                <w:spacing w:val="-2"/>
              </w:rPr>
              <w:t>”</w:t>
            </w:r>
            <w:r w:rsidRPr="00CA409A">
              <w:rPr>
                <w:rFonts w:ascii="Verdana" w:hAnsi="Verdana"/>
                <w:spacing w:val="-2"/>
              </w:rPr>
              <w:t>.</w:t>
            </w:r>
            <w:r>
              <w:rPr>
                <w:rFonts w:ascii="Verdana" w:hAnsi="Verdana"/>
                <w:spacing w:val="-2"/>
              </w:rPr>
              <w:t xml:space="preserve"> Por lo tanto, </w:t>
            </w:r>
            <w:r w:rsidRPr="00CA409A">
              <w:rPr>
                <w:rFonts w:ascii="Verdana" w:hAnsi="Verdana"/>
              </w:rPr>
              <w:t>se puede concluir que las Empresas Sociales del Estado del orden nacional o territorial se encuentran obligadas a publicar su actividad contractual</w:t>
            </w:r>
            <w:r w:rsidRPr="00CA409A">
              <w:rPr>
                <w:rFonts w:ascii="Verdana" w:hAnsi="Verdana"/>
                <w:spacing w:val="-4"/>
              </w:rPr>
              <w:t xml:space="preserve"> </w:t>
            </w:r>
            <w:r w:rsidRPr="00CA409A">
              <w:rPr>
                <w:rFonts w:ascii="Verdana" w:hAnsi="Verdana"/>
              </w:rPr>
              <w:t>en</w:t>
            </w:r>
            <w:r w:rsidRPr="00CA409A">
              <w:rPr>
                <w:rFonts w:ascii="Verdana" w:hAnsi="Verdana"/>
                <w:spacing w:val="-3"/>
              </w:rPr>
              <w:t xml:space="preserve"> </w:t>
            </w:r>
            <w:r w:rsidRPr="00CA409A">
              <w:rPr>
                <w:rFonts w:ascii="Verdana" w:hAnsi="Verdana"/>
              </w:rPr>
              <w:t>la</w:t>
            </w:r>
            <w:r w:rsidRPr="00CA409A">
              <w:rPr>
                <w:rFonts w:ascii="Verdana" w:hAnsi="Verdana"/>
                <w:spacing w:val="-1"/>
              </w:rPr>
              <w:t xml:space="preserve"> </w:t>
            </w:r>
            <w:r w:rsidRPr="00CA409A">
              <w:rPr>
                <w:rFonts w:ascii="Verdana" w:hAnsi="Verdana"/>
              </w:rPr>
              <w:t>plataforma</w:t>
            </w:r>
            <w:r w:rsidRPr="00CA409A">
              <w:rPr>
                <w:rFonts w:ascii="Verdana" w:hAnsi="Verdana"/>
                <w:spacing w:val="-4"/>
              </w:rPr>
              <w:t xml:space="preserve"> </w:t>
            </w:r>
            <w:r w:rsidRPr="00CA409A">
              <w:rPr>
                <w:rFonts w:ascii="Verdana" w:hAnsi="Verdana"/>
              </w:rPr>
              <w:t>SECOP</w:t>
            </w:r>
            <w:r w:rsidRPr="00CA409A">
              <w:rPr>
                <w:rFonts w:ascii="Verdana" w:hAnsi="Verdana"/>
                <w:spacing w:val="-2"/>
              </w:rPr>
              <w:t xml:space="preserve"> </w:t>
            </w:r>
            <w:r w:rsidRPr="00CA409A">
              <w:rPr>
                <w:rFonts w:ascii="Verdana" w:hAnsi="Verdana"/>
              </w:rPr>
              <w:t>II,</w:t>
            </w:r>
            <w:r w:rsidRPr="00CA409A">
              <w:rPr>
                <w:rFonts w:ascii="Verdana" w:hAnsi="Verdana"/>
                <w:spacing w:val="-2"/>
              </w:rPr>
              <w:t xml:space="preserve"> </w:t>
            </w:r>
            <w:r w:rsidRPr="00CA409A">
              <w:rPr>
                <w:rFonts w:ascii="Verdana" w:hAnsi="Verdana"/>
              </w:rPr>
              <w:t>siempre</w:t>
            </w:r>
            <w:r w:rsidRPr="00CA409A">
              <w:rPr>
                <w:rFonts w:ascii="Verdana" w:hAnsi="Verdana"/>
                <w:spacing w:val="-2"/>
              </w:rPr>
              <w:t xml:space="preserve"> </w:t>
            </w:r>
            <w:r w:rsidRPr="00CA409A">
              <w:rPr>
                <w:rFonts w:ascii="Verdana" w:hAnsi="Verdana"/>
              </w:rPr>
              <w:t>y</w:t>
            </w:r>
            <w:r w:rsidRPr="00CA409A">
              <w:rPr>
                <w:rFonts w:ascii="Verdana" w:hAnsi="Verdana"/>
                <w:spacing w:val="-4"/>
              </w:rPr>
              <w:t xml:space="preserve"> </w:t>
            </w:r>
            <w:r w:rsidRPr="00CA409A">
              <w:rPr>
                <w:rFonts w:ascii="Verdana" w:hAnsi="Verdana"/>
              </w:rPr>
              <w:t>cuando</w:t>
            </w:r>
            <w:r w:rsidRPr="00CA409A">
              <w:rPr>
                <w:rFonts w:ascii="Verdana" w:hAnsi="Verdana"/>
                <w:spacing w:val="-2"/>
              </w:rPr>
              <w:t xml:space="preserve"> </w:t>
            </w:r>
            <w:r w:rsidRPr="00CA409A">
              <w:rPr>
                <w:rFonts w:ascii="Verdana" w:hAnsi="Verdana"/>
              </w:rPr>
              <w:t>tenga</w:t>
            </w:r>
            <w:r w:rsidRPr="00CA409A">
              <w:rPr>
                <w:rFonts w:ascii="Verdana" w:hAnsi="Verdana"/>
                <w:spacing w:val="-1"/>
              </w:rPr>
              <w:t xml:space="preserve"> </w:t>
            </w:r>
            <w:r w:rsidRPr="00CA409A">
              <w:rPr>
                <w:rFonts w:ascii="Verdana" w:hAnsi="Verdana"/>
              </w:rPr>
              <w:t>como</w:t>
            </w:r>
            <w:r w:rsidRPr="00CA409A">
              <w:rPr>
                <w:rFonts w:ascii="Verdana" w:hAnsi="Verdana"/>
                <w:spacing w:val="-2"/>
              </w:rPr>
              <w:t xml:space="preserve"> </w:t>
            </w:r>
            <w:r w:rsidRPr="00CA409A">
              <w:rPr>
                <w:rFonts w:ascii="Verdana" w:hAnsi="Verdana"/>
              </w:rPr>
              <w:t>fuente de financiación recursos públicos.</w:t>
            </w:r>
          </w:p>
          <w:p w14:paraId="5AB12936" w14:textId="77777777" w:rsidR="007B7821" w:rsidRPr="006A09E3" w:rsidRDefault="007B7821" w:rsidP="0021330D">
            <w:pPr>
              <w:spacing w:after="120" w:line="276" w:lineRule="auto"/>
              <w:jc w:val="both"/>
              <w:rPr>
                <w:rFonts w:ascii="Verdana" w:eastAsia="Calibri" w:hAnsi="Verdana" w:cs="Arial"/>
                <w:lang w:eastAsia="es-ES"/>
              </w:rPr>
            </w:pPr>
            <w:r>
              <w:rPr>
                <w:rFonts w:ascii="Verdana" w:hAnsi="Verdana"/>
              </w:rPr>
              <w:t xml:space="preserve">v) </w:t>
            </w: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5986EF2E" w14:textId="77777777" w:rsidR="007B7821" w:rsidRPr="006A09E3" w:rsidRDefault="007B7821" w:rsidP="0021330D">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su parte, la entidad definirá si la contratación que pretende celebrar se enmarca en alguna de las excepciones definidas en el artículo 33 de la Ley 996 de 2005, esto es, que se pretenda cubrir emergencias sanitarias o los que deban realizar las entidades sanitarias y hospitalarias, de tal manera que las excepciones contempladas no permiten efectuar una interpretación extensiva para incluir otros supuestos. </w:t>
            </w:r>
          </w:p>
          <w:p w14:paraId="2892AD80" w14:textId="77777777" w:rsidR="007B7821" w:rsidRPr="006A09E3" w:rsidRDefault="007B7821" w:rsidP="0021330D">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De otro lado, la restricción definida en 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1E16CFA9" w14:textId="77777777" w:rsidR="007B7821" w:rsidRPr="006A09E3" w:rsidRDefault="007B7821" w:rsidP="0021330D">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último, 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6C2936CC" w14:textId="77777777" w:rsidR="007B7821" w:rsidRPr="0078433B" w:rsidRDefault="007B7821" w:rsidP="0021330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6A09E3">
              <w:rPr>
                <w:rFonts w:ascii="Verdana" w:eastAsia="Calibri" w:hAnsi="Verdana" w:cs="Arial"/>
                <w:bCs/>
                <w:color w:val="000000" w:themeColor="text1"/>
                <w:sz w:val="22"/>
                <w:szCs w:val="22"/>
              </w:rPr>
              <w:t xml:space="preserve">En torno a la procedencia de la contratación directa por parte de las E.S.E., es necesario </w:t>
            </w:r>
            <w:r w:rsidRPr="006A09E3">
              <w:rPr>
                <w:rFonts w:ascii="Verdana" w:hAnsi="Verdana" w:cs="Arial"/>
                <w:bCs/>
                <w:color w:val="000000" w:themeColor="text1"/>
                <w:sz w:val="22"/>
                <w:szCs w:val="22"/>
              </w:rPr>
              <w:t>analizar el quinto evento exceptuado</w:t>
            </w:r>
            <w:r w:rsidRPr="00EC1732">
              <w:rPr>
                <w:rFonts w:ascii="Verdana" w:hAnsi="Verdana" w:cs="Arial"/>
                <w:bCs/>
                <w:color w:val="000000" w:themeColor="text1"/>
                <w:sz w:val="22"/>
                <w:szCs w:val="22"/>
              </w:rPr>
              <w:t xml:space="preserve">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1106AA86" w14:textId="77777777" w:rsidR="007B7821" w:rsidRPr="00FF007A" w:rsidRDefault="007B7821" w:rsidP="0021330D">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76293284" w14:textId="595EF626" w:rsidR="007B7821" w:rsidRPr="00BE56D0" w:rsidRDefault="007B7821" w:rsidP="00BD0EE5">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p>
        </w:tc>
      </w:tr>
    </w:tbl>
    <w:p w14:paraId="5007F035" w14:textId="77777777" w:rsidR="007B7821" w:rsidRDefault="007B7821" w:rsidP="007B7821">
      <w:pPr>
        <w:tabs>
          <w:tab w:val="left" w:pos="142"/>
          <w:tab w:val="left" w:pos="284"/>
        </w:tabs>
        <w:spacing w:after="0" w:line="276" w:lineRule="auto"/>
        <w:jc w:val="both"/>
        <w:rPr>
          <w:rFonts w:ascii="Verdana" w:eastAsia="Century Gothic" w:hAnsi="Verdana" w:cs="Century Gothic"/>
          <w:b/>
          <w:bCs/>
        </w:rPr>
      </w:pPr>
    </w:p>
    <w:p w14:paraId="5B970E7F" w14:textId="77777777" w:rsidR="007B7821" w:rsidRPr="005644FE" w:rsidRDefault="007B7821" w:rsidP="007B7821">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D1417E5" w14:textId="77777777" w:rsidR="007B7821" w:rsidRPr="005644FE" w:rsidRDefault="007B7821" w:rsidP="007B7821">
      <w:pPr>
        <w:pStyle w:val="Prrafodelista"/>
        <w:tabs>
          <w:tab w:val="left" w:pos="142"/>
          <w:tab w:val="left" w:pos="284"/>
        </w:tabs>
        <w:spacing w:after="0" w:line="240" w:lineRule="auto"/>
        <w:ind w:left="0"/>
        <w:contextualSpacing w:val="0"/>
        <w:jc w:val="both"/>
        <w:rPr>
          <w:rFonts w:ascii="Verdana" w:eastAsia="Calibri" w:hAnsi="Verdana" w:cs="Arial"/>
        </w:rPr>
      </w:pPr>
    </w:p>
    <w:p w14:paraId="16E58C67" w14:textId="77777777" w:rsidR="007B7821" w:rsidRDefault="007B7821" w:rsidP="007B7821">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7F480795" w14:textId="77777777" w:rsidR="007B7821" w:rsidRDefault="007B7821" w:rsidP="007B7821">
      <w:pPr>
        <w:tabs>
          <w:tab w:val="left" w:pos="142"/>
          <w:tab w:val="left" w:pos="284"/>
          <w:tab w:val="left" w:pos="6975"/>
        </w:tabs>
        <w:spacing w:after="0" w:line="240" w:lineRule="auto"/>
        <w:jc w:val="both"/>
        <w:rPr>
          <w:rFonts w:ascii="Verdana" w:eastAsia="Calibri" w:hAnsi="Verdana" w:cs="Arial"/>
        </w:rPr>
      </w:pPr>
    </w:p>
    <w:p w14:paraId="0957D9DD" w14:textId="77777777" w:rsidR="007B7821" w:rsidRDefault="007B7821" w:rsidP="007B7821">
      <w:pPr>
        <w:tabs>
          <w:tab w:val="left" w:pos="142"/>
          <w:tab w:val="left" w:pos="284"/>
          <w:tab w:val="left" w:pos="6975"/>
        </w:tabs>
        <w:spacing w:after="0" w:line="276" w:lineRule="auto"/>
        <w:jc w:val="both"/>
        <w:rPr>
          <w:rFonts w:ascii="Verdana" w:eastAsia="Calibri" w:hAnsi="Verdana" w:cs="Arial"/>
        </w:rPr>
      </w:pPr>
      <w:r>
        <w:rPr>
          <w:rFonts w:ascii="Verdana" w:eastAsia="Calibri" w:hAnsi="Verdana" w:cs="Arial"/>
        </w:rPr>
        <w:t xml:space="preserve">i) </w:t>
      </w:r>
      <w:r w:rsidRPr="002B4E56">
        <w:rPr>
          <w:rFonts w:ascii="Verdana" w:hAnsi="Verdana"/>
        </w:rPr>
        <w:t>Las entidades de</w:t>
      </w:r>
      <w:r w:rsidRPr="002A22E2">
        <w:rPr>
          <w:rFonts w:ascii="Verdana" w:hAnsi="Verdana" w:cs="Arial"/>
          <w:lang w:val="es-ES_tradnl"/>
        </w:rPr>
        <w:t xml:space="preserv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EGCAP–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0A4DBB25" w14:textId="77777777" w:rsidR="007B7821" w:rsidRDefault="007B7821" w:rsidP="007B7821">
      <w:pPr>
        <w:tabs>
          <w:tab w:val="left" w:pos="142"/>
          <w:tab w:val="left" w:pos="284"/>
          <w:tab w:val="left" w:pos="6975"/>
        </w:tabs>
        <w:spacing w:after="0" w:line="240" w:lineRule="auto"/>
        <w:jc w:val="both"/>
        <w:rPr>
          <w:rFonts w:ascii="Verdana" w:hAnsi="Verdana" w:cs="Arial"/>
        </w:rPr>
      </w:pPr>
    </w:p>
    <w:p w14:paraId="63113555" w14:textId="77777777" w:rsidR="007B7821" w:rsidRDefault="007B7821" w:rsidP="007B7821">
      <w:pPr>
        <w:tabs>
          <w:tab w:val="left" w:pos="142"/>
          <w:tab w:val="left" w:pos="284"/>
          <w:tab w:val="left" w:pos="6975"/>
        </w:tabs>
        <w:spacing w:after="0" w:line="276" w:lineRule="auto"/>
        <w:ind w:firstLine="709"/>
        <w:jc w:val="both"/>
        <w:rPr>
          <w:rFonts w:ascii="Verdana" w:hAnsi="Verdana" w:cs="Arial"/>
        </w:rPr>
      </w:pPr>
      <w:r w:rsidRPr="00C97CA6">
        <w:rPr>
          <w:rFonts w:ascii="Verdana" w:hAnsi="Verdana" w:cs="Arial"/>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2637F53E" w14:textId="77777777" w:rsidR="007B7821" w:rsidRDefault="007B7821" w:rsidP="007B7821">
      <w:pPr>
        <w:tabs>
          <w:tab w:val="left" w:pos="142"/>
          <w:tab w:val="left" w:pos="284"/>
          <w:tab w:val="left" w:pos="6975"/>
        </w:tabs>
        <w:spacing w:after="0" w:line="240" w:lineRule="auto"/>
        <w:ind w:firstLine="709"/>
        <w:jc w:val="both"/>
        <w:rPr>
          <w:rFonts w:ascii="Verdana" w:hAnsi="Verdana" w:cs="Arial"/>
        </w:rPr>
      </w:pPr>
    </w:p>
    <w:p w14:paraId="4BC80C90" w14:textId="77777777" w:rsidR="007B7821" w:rsidRDefault="007B7821" w:rsidP="007B7821">
      <w:pPr>
        <w:tabs>
          <w:tab w:val="left" w:pos="142"/>
          <w:tab w:val="left" w:pos="284"/>
          <w:tab w:val="left" w:pos="6975"/>
        </w:tabs>
        <w:spacing w:after="0" w:line="276" w:lineRule="auto"/>
        <w:ind w:firstLine="709"/>
        <w:jc w:val="both"/>
        <w:rPr>
          <w:rFonts w:ascii="Verdana" w:hAnsi="Verdana" w:cs="Arial"/>
        </w:rPr>
      </w:pPr>
      <w:r>
        <w:rPr>
          <w:rFonts w:ascii="Verdana" w:hAnsi="Verdana" w:cs="Arial"/>
        </w:rPr>
        <w:t>Sin embargo, e</w:t>
      </w:r>
      <w:r w:rsidRPr="00501E29">
        <w:rPr>
          <w:rFonts w:ascii="Verdana" w:hAnsi="Verdana" w:cs="Arial"/>
        </w:rPr>
        <w:t>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5496BD43" w14:textId="77777777" w:rsidR="007B7821" w:rsidRDefault="007B7821" w:rsidP="007B7821">
      <w:pPr>
        <w:tabs>
          <w:tab w:val="left" w:pos="142"/>
          <w:tab w:val="left" w:pos="284"/>
          <w:tab w:val="left" w:pos="6975"/>
        </w:tabs>
        <w:spacing w:after="0" w:line="240" w:lineRule="auto"/>
        <w:ind w:firstLine="709"/>
        <w:jc w:val="both"/>
        <w:rPr>
          <w:rFonts w:ascii="Verdana" w:hAnsi="Verdana" w:cs="Arial"/>
        </w:rPr>
      </w:pPr>
    </w:p>
    <w:p w14:paraId="35E7A216" w14:textId="77777777" w:rsidR="007B7821" w:rsidRPr="00573A53" w:rsidRDefault="007B7821" w:rsidP="007B7821">
      <w:pPr>
        <w:tabs>
          <w:tab w:val="left" w:pos="142"/>
          <w:tab w:val="left" w:pos="284"/>
          <w:tab w:val="left" w:pos="6975"/>
        </w:tabs>
        <w:spacing w:after="120" w:line="276" w:lineRule="auto"/>
        <w:ind w:firstLine="709"/>
        <w:jc w:val="both"/>
        <w:rPr>
          <w:rFonts w:ascii="Verdana" w:hAnsi="Verdana" w:cs="Arial"/>
        </w:rPr>
      </w:pPr>
      <w:r w:rsidRPr="00D4240A">
        <w:rPr>
          <w:rFonts w:ascii="Verdana" w:hAnsi="Verdana" w:cs="Arial"/>
        </w:rPr>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241EB4E" w14:textId="740573F9" w:rsidR="007B7821" w:rsidRDefault="007B7821" w:rsidP="007B7821">
      <w:pPr>
        <w:tabs>
          <w:tab w:val="left" w:pos="142"/>
          <w:tab w:val="left" w:pos="284"/>
          <w:tab w:val="left" w:pos="6975"/>
        </w:tabs>
        <w:spacing w:after="120" w:line="276" w:lineRule="auto"/>
        <w:ind w:firstLine="709"/>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Refdenotaalpie"/>
          <w:rFonts w:ascii="Verdana" w:hAnsi="Verdana" w:cs="Arial"/>
        </w:rPr>
        <w:footnoteReference w:id="1"/>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w:t>
      </w:r>
      <w:r w:rsidR="00554C9E">
        <w:rPr>
          <w:rFonts w:ascii="Verdana" w:hAnsi="Verdana" w:cs="Arial"/>
        </w:rPr>
        <w:t>L</w:t>
      </w:r>
      <w:r w:rsidRPr="00D4240A">
        <w:rPr>
          <w:rFonts w:ascii="Verdana" w:hAnsi="Verdana" w:cs="Arial"/>
        </w:rPr>
        <w:t xml:space="preserve">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Refdenotaalpie"/>
          <w:rFonts w:ascii="Verdana" w:hAnsi="Verdana" w:cs="Arial"/>
        </w:rPr>
        <w:footnoteReference w:id="2"/>
      </w:r>
      <w:r w:rsidRPr="00D4240A">
        <w:rPr>
          <w:rFonts w:ascii="Verdana" w:hAnsi="Verdana" w:cs="Arial"/>
        </w:rPr>
        <w:t>.</w:t>
      </w:r>
    </w:p>
    <w:p w14:paraId="05ECC37D" w14:textId="77777777" w:rsidR="007B7821" w:rsidRPr="00A05D89" w:rsidRDefault="007B7821" w:rsidP="007B7821">
      <w:pPr>
        <w:tabs>
          <w:tab w:val="left" w:pos="142"/>
          <w:tab w:val="left" w:pos="284"/>
          <w:tab w:val="left" w:pos="6975"/>
        </w:tabs>
        <w:spacing w:after="120" w:line="276" w:lineRule="auto"/>
        <w:ind w:firstLine="709"/>
        <w:jc w:val="both"/>
        <w:rPr>
          <w:rFonts w:ascii="Verdana" w:hAnsi="Verdana" w:cs="Arial"/>
        </w:rPr>
      </w:pPr>
      <w:r w:rsidRPr="003A1844">
        <w:rPr>
          <w:rFonts w:ascii="Verdana" w:hAnsi="Verdana" w:cs="Arial"/>
          <w:lang w:val="es-MX"/>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w:t>
      </w:r>
      <w:r w:rsidRPr="003A1844">
        <w:rPr>
          <w:rFonts w:ascii="Verdana" w:hAnsi="Verdana" w:cs="Arial"/>
          <w:vertAlign w:val="superscript"/>
          <w:lang w:val="es-MX"/>
        </w:rPr>
        <w:footnoteReference w:id="3"/>
      </w:r>
      <w:r w:rsidRPr="003A1844">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67145611" w14:textId="77777777" w:rsidR="007B7821" w:rsidRPr="003A1844" w:rsidRDefault="007B7821" w:rsidP="007B7821">
      <w:pPr>
        <w:spacing w:after="0" w:line="240" w:lineRule="auto"/>
        <w:ind w:left="709" w:right="709"/>
        <w:jc w:val="both"/>
        <w:rPr>
          <w:rFonts w:ascii="Verdana" w:eastAsia="Calibri" w:hAnsi="Verdana" w:cs="Arial"/>
          <w:sz w:val="20"/>
          <w:szCs w:val="20"/>
        </w:rPr>
      </w:pPr>
      <w:r w:rsidRPr="003A1844">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3A1844">
        <w:rPr>
          <w:rFonts w:ascii="Verdana" w:eastAsia="Calibri" w:hAnsi="Verdana" w:cs="Arial"/>
          <w:sz w:val="20"/>
          <w:szCs w:val="20"/>
          <w:vertAlign w:val="superscript"/>
        </w:rPr>
        <w:footnoteReference w:id="4"/>
      </w:r>
      <w:r w:rsidRPr="003A1844">
        <w:rPr>
          <w:rFonts w:ascii="Verdana" w:eastAsia="Calibri" w:hAnsi="Verdana" w:cs="Arial"/>
          <w:sz w:val="20"/>
          <w:szCs w:val="20"/>
        </w:rPr>
        <w:t xml:space="preserve">. </w:t>
      </w:r>
    </w:p>
    <w:p w14:paraId="1236CB35" w14:textId="77777777" w:rsidR="007B7821" w:rsidRPr="003A1844" w:rsidRDefault="007B7821" w:rsidP="007B7821">
      <w:pPr>
        <w:spacing w:after="0" w:line="276" w:lineRule="auto"/>
        <w:ind w:left="709" w:right="709"/>
        <w:jc w:val="both"/>
        <w:rPr>
          <w:rFonts w:ascii="Verdana" w:eastAsia="Calibri" w:hAnsi="Verdana" w:cs="Arial"/>
        </w:rPr>
      </w:pPr>
    </w:p>
    <w:p w14:paraId="5B1E5B7C" w14:textId="77777777" w:rsidR="007B7821" w:rsidRPr="003A1844" w:rsidRDefault="007B7821" w:rsidP="007B7821">
      <w:pPr>
        <w:widowControl w:val="0"/>
        <w:autoSpaceDE w:val="0"/>
        <w:autoSpaceDN w:val="0"/>
        <w:spacing w:after="120" w:line="276" w:lineRule="auto"/>
        <w:ind w:right="102" w:firstLine="709"/>
        <w:jc w:val="both"/>
        <w:rPr>
          <w:rFonts w:ascii="Verdana" w:eastAsia="Arial" w:hAnsi="Verdana" w:cs="Arial"/>
          <w:lang w:val="es-ES"/>
        </w:rPr>
      </w:pPr>
      <w:r>
        <w:rPr>
          <w:rFonts w:ascii="Verdana" w:eastAsia="Arial" w:hAnsi="Verdana" w:cs="Arial"/>
          <w:lang w:val="es-ES"/>
        </w:rPr>
        <w:t>De la cita precedente</w:t>
      </w:r>
      <w:r w:rsidRPr="003A1844">
        <w:rPr>
          <w:rFonts w:ascii="Verdana" w:eastAsia="Arial" w:hAnsi="Verdana" w:cs="Arial"/>
          <w:lang w:val="es-ES"/>
        </w:rPr>
        <w:t xml:space="preserve"> puede concluir</w:t>
      </w:r>
      <w:r>
        <w:rPr>
          <w:rFonts w:ascii="Verdana" w:eastAsia="Arial" w:hAnsi="Verdana" w:cs="Arial"/>
          <w:lang w:val="es-ES"/>
        </w:rPr>
        <w:t>se</w:t>
      </w:r>
      <w:r w:rsidRPr="003A1844">
        <w:rPr>
          <w:rFonts w:ascii="Verdana" w:eastAsia="Arial" w:hAnsi="Verdana" w:cs="Arial"/>
          <w:lang w:val="es-ES"/>
        </w:rPr>
        <w:t xml:space="preserve"> entonces que, las Empresas Sociales del Estado </w:t>
      </w:r>
      <w:r w:rsidRPr="003A1844">
        <w:rPr>
          <w:rFonts w:ascii="Verdana" w:eastAsia="Arial" w:hAnsi="Verdana" w:cs="Arial"/>
          <w:lang w:val="es-MX"/>
        </w:rPr>
        <w:t>–ESE–</w:t>
      </w:r>
      <w:r w:rsidRPr="003A1844">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36A89CD5" w14:textId="77777777" w:rsidR="007B7821" w:rsidRPr="003A1844" w:rsidRDefault="007B7821" w:rsidP="007B7821">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en lo que resulten pertinentes, salvo en las materias particularmente reguladas </w:t>
      </w:r>
      <w:r w:rsidRPr="003A1844">
        <w:rPr>
          <w:rFonts w:ascii="Verdana" w:eastAsia="Calibri" w:hAnsi="Verdana" w:cs="Arial"/>
        </w:rPr>
        <w:t xml:space="preserve">por el derecho público. </w:t>
      </w:r>
      <w:r w:rsidRPr="003A1844">
        <w:rPr>
          <w:rFonts w:ascii="Verdana" w:hAnsi="Verdana" w:cs="Arial"/>
        </w:rPr>
        <w:t xml:space="preserve">La norma referida prescribe que: “En materia contractual se regirá por el derecho privado, </w:t>
      </w:r>
      <w:r w:rsidRPr="00E2011B">
        <w:rPr>
          <w:rFonts w:ascii="Verdana" w:hAnsi="Verdana" w:cs="Arial"/>
          <w:i/>
        </w:rPr>
        <w:t>pero podrá discrecionalmente utilizar las cláusulas exorbitantes previstas en el estatuto general de contratación de la administración pública”</w:t>
      </w:r>
      <w:r>
        <w:rPr>
          <w:rFonts w:ascii="Verdana" w:hAnsi="Verdana" w:cs="Arial"/>
        </w:rPr>
        <w:t xml:space="preserve"> (énfasis fuera de texto). </w:t>
      </w:r>
    </w:p>
    <w:p w14:paraId="7D9569B9" w14:textId="77777777" w:rsidR="007B7821" w:rsidRPr="003A1844" w:rsidRDefault="007B7821" w:rsidP="007B7821">
      <w:pPr>
        <w:widowControl w:val="0"/>
        <w:autoSpaceDE w:val="0"/>
        <w:autoSpaceDN w:val="0"/>
        <w:spacing w:after="12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w:t>
      </w:r>
      <w:r>
        <w:rPr>
          <w:rFonts w:ascii="Verdana" w:eastAsia="Arial" w:hAnsi="Verdana" w:cs="Arial"/>
          <w:lang w:val="es-ES"/>
        </w:rPr>
        <w:t>o, conforme a la Sentencia C-665</w:t>
      </w:r>
      <w:r w:rsidRPr="003A1844">
        <w:rPr>
          <w:rFonts w:ascii="Verdana" w:eastAsia="Arial" w:hAnsi="Verdana" w:cs="Arial"/>
          <w:lang w:val="es-ES"/>
        </w:rPr>
        <w:t xml:space="preserve"> de 2000 de la Corte Constitucional, corresponde a la prestación del servicio de salud a cargo del Estado o como parte del servicio de seguridad social</w:t>
      </w:r>
      <w:r w:rsidRPr="003A1844">
        <w:rPr>
          <w:rFonts w:ascii="Verdana" w:eastAsia="Arial" w:hAnsi="Verdana" w:cs="Arial"/>
          <w:vertAlign w:val="superscript"/>
          <w:lang w:val="es-ES"/>
        </w:rPr>
        <w:footnoteReference w:id="5"/>
      </w:r>
      <w:r w:rsidRPr="003A1844">
        <w:rPr>
          <w:rFonts w:ascii="Verdana" w:eastAsia="Arial" w:hAnsi="Verdana" w:cs="Arial"/>
          <w:lang w:val="es-ES"/>
        </w:rPr>
        <w:t>. En esta misma línea, el artículo 83 de la Ley 489 de 1998, dispuso lo</w:t>
      </w:r>
      <w:r w:rsidRPr="003A1844">
        <w:rPr>
          <w:rFonts w:ascii="Verdana" w:eastAsia="Arial" w:hAnsi="Verdana" w:cs="Arial"/>
          <w:spacing w:val="-12"/>
          <w:lang w:val="es-ES"/>
        </w:rPr>
        <w:t xml:space="preserve"> </w:t>
      </w:r>
      <w:r w:rsidRPr="003A1844">
        <w:rPr>
          <w:rFonts w:ascii="Verdana" w:eastAsia="Arial" w:hAnsi="Verdana" w:cs="Arial"/>
          <w:lang w:val="es-ES"/>
        </w:rPr>
        <w:t>siguiente:</w:t>
      </w:r>
    </w:p>
    <w:p w14:paraId="6805CFF2" w14:textId="77777777" w:rsidR="007B7821" w:rsidRPr="003A1844" w:rsidRDefault="007B7821" w:rsidP="007B7821">
      <w:pPr>
        <w:widowControl w:val="0"/>
        <w:autoSpaceDE w:val="0"/>
        <w:autoSpaceDN w:val="0"/>
        <w:spacing w:after="0" w:line="240" w:lineRule="auto"/>
        <w:ind w:left="709" w:right="709"/>
        <w:jc w:val="both"/>
        <w:rPr>
          <w:rFonts w:ascii="Verdana" w:eastAsia="Arial" w:hAnsi="Verdana" w:cs="Arial"/>
          <w:sz w:val="20"/>
          <w:szCs w:val="20"/>
          <w:lang w:val="es-ES"/>
        </w:rPr>
      </w:pPr>
      <w:r w:rsidRPr="003A1844">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3A1844">
        <w:rPr>
          <w:rFonts w:ascii="Verdana" w:eastAsia="Arial" w:hAnsi="Verdana" w:cs="Arial"/>
          <w:spacing w:val="-1"/>
          <w:sz w:val="20"/>
          <w:szCs w:val="20"/>
          <w:lang w:val="es-ES"/>
        </w:rPr>
        <w:t xml:space="preserve"> </w:t>
      </w:r>
      <w:r w:rsidRPr="003A1844">
        <w:rPr>
          <w:rFonts w:ascii="Verdana" w:eastAsia="Arial" w:hAnsi="Verdana" w:cs="Arial"/>
          <w:sz w:val="20"/>
          <w:szCs w:val="20"/>
          <w:lang w:val="es-ES"/>
        </w:rPr>
        <w:t>adicionen.”</w:t>
      </w:r>
    </w:p>
    <w:p w14:paraId="42076CED" w14:textId="77777777" w:rsidR="007B7821" w:rsidRPr="003A1844" w:rsidRDefault="007B7821" w:rsidP="007B7821">
      <w:pPr>
        <w:widowControl w:val="0"/>
        <w:autoSpaceDE w:val="0"/>
        <w:autoSpaceDN w:val="0"/>
        <w:spacing w:after="0" w:line="276" w:lineRule="auto"/>
        <w:jc w:val="both"/>
        <w:rPr>
          <w:rFonts w:ascii="Verdana" w:eastAsia="Arial" w:hAnsi="Verdana" w:cs="Arial"/>
          <w:lang w:val="es-ES"/>
        </w:rPr>
      </w:pPr>
    </w:p>
    <w:p w14:paraId="31EA9D29" w14:textId="77777777" w:rsidR="007B7821" w:rsidRPr="003A1844" w:rsidRDefault="007B7821" w:rsidP="007B7821">
      <w:pPr>
        <w:tabs>
          <w:tab w:val="left" w:pos="709"/>
        </w:tabs>
        <w:spacing w:after="120" w:line="276" w:lineRule="auto"/>
        <w:jc w:val="both"/>
        <w:rPr>
          <w:rFonts w:ascii="Verdana" w:eastAsia="Calibri" w:hAnsi="Verdana" w:cs="Arial"/>
          <w:color w:val="000000" w:themeColor="text1"/>
        </w:rPr>
      </w:pPr>
      <w:r w:rsidRPr="003A1844">
        <w:rPr>
          <w:rFonts w:ascii="Verdana" w:eastAsia="Calibri" w:hAnsi="Verdana" w:cs="Arial"/>
          <w:color w:val="000000" w:themeColor="text1"/>
          <w:lang w:val="es-ES"/>
        </w:rPr>
        <w:tab/>
        <w:t>Esta también ha sido la interpretación por la Sala de Consulta y Servicio Civil del Consejo de Estado</w:t>
      </w:r>
      <w:r w:rsidRPr="003A1844">
        <w:rPr>
          <w:rFonts w:ascii="Verdana" w:eastAsia="Calibri" w:hAnsi="Verdana" w:cs="Arial"/>
          <w:color w:val="000000" w:themeColor="text1"/>
          <w:vertAlign w:val="superscript"/>
          <w:lang w:val="es-ES"/>
        </w:rPr>
        <w:footnoteReference w:id="6"/>
      </w:r>
      <w:r w:rsidRPr="003A1844">
        <w:rPr>
          <w:rFonts w:ascii="Verdana" w:eastAsia="Calibri" w:hAnsi="Verdana" w:cs="Arial"/>
          <w:color w:val="000000" w:themeColor="text1"/>
          <w:lang w:val="es-ES"/>
        </w:rPr>
        <w:t xml:space="preserve">, expresó que “[…] </w:t>
      </w:r>
      <w:r w:rsidRPr="003A1844">
        <w:rPr>
          <w:rFonts w:ascii="Verdana" w:eastAsia="Calibri" w:hAnsi="Verdana" w:cs="Arial"/>
          <w:color w:val="000000" w:themeColor="text1"/>
        </w:rPr>
        <w:t xml:space="preserve">el régimen de contratación de las Empresas Sociales del </w:t>
      </w:r>
      <w:proofErr w:type="gramStart"/>
      <w:r w:rsidRPr="003A1844">
        <w:rPr>
          <w:rFonts w:ascii="Verdana" w:eastAsia="Calibri" w:hAnsi="Verdana" w:cs="Arial"/>
          <w:color w:val="000000" w:themeColor="text1"/>
        </w:rPr>
        <w:t>Estado,</w:t>
      </w:r>
      <w:proofErr w:type="gramEnd"/>
      <w:r w:rsidRPr="003A1844">
        <w:rPr>
          <w:rFonts w:ascii="Verdana" w:eastAsia="Calibri" w:hAnsi="Verdana" w:cs="Arial"/>
          <w:color w:val="000000" w:themeColor="text1"/>
        </w:rPr>
        <w:t xml:space="preserve"> está sometido al derecho privado por disposición legal y la facultad discrecional de pactar las cláusulas excepcionales dota a las mentadas entidades de herramientas especiales para garantizar ciertos fines”</w:t>
      </w:r>
      <w:r w:rsidRPr="003A1844">
        <w:rPr>
          <w:rFonts w:ascii="Verdana" w:eastAsia="Calibri" w:hAnsi="Verdana" w:cs="Arial"/>
          <w:color w:val="000000" w:themeColor="text1"/>
          <w:lang w:val="es-ES"/>
        </w:rPr>
        <w:t xml:space="preserve">. </w:t>
      </w:r>
    </w:p>
    <w:p w14:paraId="109BF84D" w14:textId="77777777" w:rsidR="007B7821" w:rsidRPr="003A1844" w:rsidRDefault="007B7821" w:rsidP="007B7821">
      <w:pPr>
        <w:spacing w:after="120" w:line="276" w:lineRule="auto"/>
        <w:ind w:firstLine="709"/>
        <w:jc w:val="both"/>
        <w:rPr>
          <w:rFonts w:ascii="Verdana" w:hAnsi="Verdana" w:cs="Arial"/>
          <w:lang w:val="es-ES"/>
        </w:rPr>
      </w:pPr>
      <w:r w:rsidRPr="003A1844">
        <w:rPr>
          <w:rFonts w:ascii="Verdana" w:hAnsi="Verdana"/>
        </w:rPr>
        <w:t xml:space="preserve">En consecuencia, por mandato del legislador, el régimen jurídico de los contratos de las </w:t>
      </w:r>
      <w:r w:rsidRPr="003A1844">
        <w:rPr>
          <w:rFonts w:ascii="Verdana" w:hAnsi="Verdana" w:cs="Arial"/>
          <w:lang w:val="es-MX"/>
        </w:rPr>
        <w:t>–ESE–</w:t>
      </w:r>
      <w:r w:rsidRPr="003A1844">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3A1844">
        <w:rPr>
          <w:rFonts w:ascii="Verdana" w:hAnsi="Verdana" w:cs="Arial"/>
          <w:lang w:val="es-MX"/>
        </w:rPr>
        <w:t>–ESE–</w:t>
      </w:r>
      <w:r w:rsidRPr="003A1844">
        <w:rPr>
          <w:rFonts w:ascii="Verdana" w:hAnsi="Verdana"/>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4A91639C" w14:textId="77777777" w:rsidR="007B7821" w:rsidRPr="003A1844" w:rsidRDefault="007B7821" w:rsidP="007B7821">
      <w:pPr>
        <w:spacing w:after="120" w:line="276" w:lineRule="auto"/>
        <w:ind w:firstLine="709"/>
        <w:jc w:val="both"/>
        <w:rPr>
          <w:rFonts w:ascii="Verdana" w:hAnsi="Verdana" w:cs="Arial"/>
          <w:sz w:val="20"/>
          <w:szCs w:val="20"/>
          <w:lang w:val="es-MX"/>
        </w:rPr>
      </w:pPr>
      <w:r w:rsidRPr="003A1844">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3A1844">
        <w:rPr>
          <w:rFonts w:ascii="Verdana" w:hAnsi="Verdana" w:cs="Arial"/>
          <w:sz w:val="20"/>
          <w:szCs w:val="20"/>
          <w:lang w:val="es-MX"/>
        </w:rPr>
        <w:t xml:space="preserve">. </w:t>
      </w:r>
    </w:p>
    <w:p w14:paraId="46A73602" w14:textId="77777777" w:rsidR="007B7821" w:rsidRDefault="007B7821" w:rsidP="007B7821">
      <w:pPr>
        <w:spacing w:after="120" w:line="276" w:lineRule="auto"/>
        <w:ind w:firstLine="709"/>
        <w:jc w:val="both"/>
        <w:rPr>
          <w:rFonts w:ascii="Verdana" w:hAnsi="Verdana" w:cs="Arial"/>
          <w:lang w:val="es-MX"/>
        </w:rPr>
      </w:pPr>
      <w:r w:rsidRPr="003A1844">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A1844">
        <w:rPr>
          <w:rFonts w:ascii="Verdana" w:hAnsi="Verdana"/>
        </w:rPr>
        <w:t xml:space="preserve"> </w:t>
      </w:r>
      <w:r w:rsidRPr="003A1844">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r>
        <w:rPr>
          <w:rFonts w:ascii="Verdana" w:hAnsi="Verdana" w:cs="Arial"/>
          <w:lang w:val="es-MX"/>
        </w:rPr>
        <w:t>, así como el deber de publicar en la plataforma transaccional SECOP II</w:t>
      </w:r>
      <w:r w:rsidRPr="003A1844">
        <w:rPr>
          <w:rFonts w:ascii="Verdana" w:hAnsi="Verdana" w:cs="Arial"/>
          <w:lang w:val="es-MX"/>
        </w:rPr>
        <w:t>.</w:t>
      </w:r>
      <w:r>
        <w:rPr>
          <w:rFonts w:ascii="Verdana" w:hAnsi="Verdana" w:cs="Arial"/>
          <w:lang w:val="es-MX"/>
        </w:rPr>
        <w:t xml:space="preserve"> Al respecto, el artículo 13 de la Ley 1150 de 2007 modificado por el artículo 53 de la Ley 2195 de 2022:</w:t>
      </w:r>
    </w:p>
    <w:p w14:paraId="17CFB881" w14:textId="77777777" w:rsidR="007B7821" w:rsidRPr="008B26A1" w:rsidRDefault="007B7821" w:rsidP="007B7821">
      <w:pPr>
        <w:spacing w:after="0" w:line="240" w:lineRule="auto"/>
        <w:ind w:left="709" w:right="709"/>
        <w:jc w:val="both"/>
        <w:rPr>
          <w:rFonts w:ascii="Verdana" w:hAnsi="Verdana" w:cs="Arial"/>
          <w:bCs/>
          <w:sz w:val="21"/>
          <w:szCs w:val="21"/>
        </w:rPr>
      </w:pPr>
      <w:r w:rsidRPr="008B26A1">
        <w:rPr>
          <w:rFonts w:ascii="Verdana" w:hAnsi="Verdana" w:cs="Arial"/>
          <w:bCs/>
          <w:sz w:val="21"/>
          <w:szCs w:val="21"/>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6E5F52C" w14:textId="77777777" w:rsidR="007B7821" w:rsidRPr="008B26A1" w:rsidRDefault="007B7821" w:rsidP="007B7821">
      <w:pPr>
        <w:spacing w:after="0" w:line="240" w:lineRule="auto"/>
        <w:ind w:left="709" w:right="709" w:firstLine="709"/>
        <w:jc w:val="both"/>
        <w:rPr>
          <w:rFonts w:ascii="Verdana" w:hAnsi="Verdana" w:cs="Arial"/>
          <w:bCs/>
          <w:sz w:val="21"/>
          <w:szCs w:val="21"/>
        </w:rPr>
      </w:pPr>
    </w:p>
    <w:p w14:paraId="0EFB5754" w14:textId="77777777" w:rsidR="007B7821" w:rsidRPr="008B26A1" w:rsidRDefault="007B7821" w:rsidP="007B7821">
      <w:pPr>
        <w:spacing w:after="0" w:line="240" w:lineRule="auto"/>
        <w:ind w:left="709" w:right="709"/>
        <w:jc w:val="both"/>
        <w:rPr>
          <w:rFonts w:ascii="Verdana" w:hAnsi="Verdana" w:cs="Arial"/>
          <w:bCs/>
          <w:i/>
          <w:iCs/>
          <w:sz w:val="21"/>
          <w:szCs w:val="21"/>
        </w:rPr>
      </w:pPr>
      <w:r w:rsidRPr="008B26A1">
        <w:rPr>
          <w:rFonts w:ascii="Verdana" w:hAnsi="Verdana" w:cs="Arial"/>
          <w:bCs/>
          <w:i/>
          <w:iCs/>
          <w:sz w:val="21"/>
          <w:szCs w:val="21"/>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8B26A1">
        <w:rPr>
          <w:rFonts w:ascii="Verdana" w:hAnsi="Verdana" w:cs="Arial"/>
          <w:bCs/>
          <w:i/>
          <w:iCs/>
          <w:sz w:val="21"/>
          <w:szCs w:val="21"/>
        </w:rPr>
        <w:t>postcontractual</w:t>
      </w:r>
      <w:proofErr w:type="spellEnd"/>
      <w:r w:rsidRPr="008B26A1">
        <w:rPr>
          <w:rFonts w:ascii="Verdana" w:hAnsi="Verdana" w:cs="Arial"/>
          <w:bCs/>
          <w:i/>
          <w:iCs/>
          <w:sz w:val="21"/>
          <w:szCs w:val="21"/>
        </w:rPr>
        <w:t>.</w:t>
      </w:r>
    </w:p>
    <w:p w14:paraId="5B51E9C9" w14:textId="77777777" w:rsidR="007B7821" w:rsidRPr="008B26A1" w:rsidRDefault="007B7821" w:rsidP="007B7821">
      <w:pPr>
        <w:spacing w:after="0" w:line="240" w:lineRule="auto"/>
        <w:ind w:left="709" w:right="709"/>
        <w:jc w:val="both"/>
        <w:rPr>
          <w:rFonts w:ascii="Verdana" w:hAnsi="Verdana" w:cs="Arial"/>
          <w:bCs/>
          <w:i/>
          <w:iCs/>
          <w:sz w:val="21"/>
          <w:szCs w:val="21"/>
        </w:rPr>
      </w:pPr>
    </w:p>
    <w:p w14:paraId="7082ADAA" w14:textId="77777777" w:rsidR="007B7821" w:rsidRPr="008B26A1" w:rsidRDefault="007B7821" w:rsidP="007B7821">
      <w:pPr>
        <w:spacing w:after="0" w:line="240" w:lineRule="auto"/>
        <w:ind w:left="709" w:right="709"/>
        <w:jc w:val="both"/>
        <w:rPr>
          <w:rFonts w:ascii="Verdana" w:hAnsi="Verdana" w:cs="Arial"/>
          <w:bCs/>
          <w:i/>
          <w:iCs/>
          <w:sz w:val="21"/>
          <w:szCs w:val="21"/>
        </w:rPr>
      </w:pPr>
      <w:r w:rsidRPr="008B26A1">
        <w:rPr>
          <w:rFonts w:ascii="Verdana" w:hAnsi="Verdana" w:cs="Arial"/>
          <w:bCs/>
          <w:sz w:val="21"/>
          <w:szCs w:val="21"/>
        </w:rPr>
        <w:t xml:space="preserve">A partir de la </w:t>
      </w:r>
      <w:proofErr w:type="gramStart"/>
      <w:r w:rsidRPr="008B26A1">
        <w:rPr>
          <w:rFonts w:ascii="Verdana" w:hAnsi="Verdana" w:cs="Arial"/>
          <w:bCs/>
          <w:sz w:val="21"/>
          <w:szCs w:val="21"/>
        </w:rPr>
        <w:t>entrada en vigencia</w:t>
      </w:r>
      <w:proofErr w:type="gramEnd"/>
      <w:r w:rsidRPr="008B26A1">
        <w:rPr>
          <w:rFonts w:ascii="Verdana" w:hAnsi="Verdana" w:cs="Arial"/>
          <w:bCs/>
          <w:sz w:val="21"/>
          <w:szCs w:val="21"/>
        </w:rPr>
        <w:t xml:space="preserve"> de la presente Ley, se establecerá un periodo de transición de seis (6) meses, para que las entidades den cumplimiento efectivo a lo aquí establecido”. (Cursiva fuera del original).</w:t>
      </w:r>
    </w:p>
    <w:p w14:paraId="604D574E" w14:textId="77777777" w:rsidR="007B7821" w:rsidRPr="00BA51C0" w:rsidRDefault="007B7821" w:rsidP="007B7821">
      <w:pPr>
        <w:spacing w:after="0" w:line="276" w:lineRule="auto"/>
        <w:ind w:firstLine="709"/>
        <w:jc w:val="both"/>
        <w:rPr>
          <w:rFonts w:ascii="Verdana" w:hAnsi="Verdana" w:cs="Arial"/>
          <w:bCs/>
          <w:lang w:val="es-ES_tradnl"/>
        </w:rPr>
      </w:pPr>
    </w:p>
    <w:p w14:paraId="121B319E" w14:textId="77777777" w:rsidR="007B7821" w:rsidRPr="008A6A36" w:rsidRDefault="007B7821" w:rsidP="007B7821">
      <w:pPr>
        <w:spacing w:after="120" w:line="276" w:lineRule="auto"/>
        <w:ind w:firstLine="709"/>
        <w:jc w:val="both"/>
        <w:rPr>
          <w:rFonts w:ascii="Verdana" w:hAnsi="Verdana" w:cs="Arial"/>
          <w:bCs/>
          <w:iCs/>
        </w:rPr>
      </w:pPr>
      <w:r w:rsidRPr="00BA51C0">
        <w:rPr>
          <w:rFonts w:ascii="Verdana"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BA51C0">
        <w:rPr>
          <w:rFonts w:ascii="Verdana" w:hAnsi="Verdana" w:cs="Arial"/>
          <w:bCs/>
          <w:i/>
          <w:iCs/>
        </w:rPr>
        <w:t xml:space="preserve">de </w:t>
      </w:r>
      <w:r w:rsidRPr="00BA51C0">
        <w:rPr>
          <w:rFonts w:ascii="Verdana"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384B2B8D" w14:textId="77777777" w:rsidR="007B7821" w:rsidRPr="003A1844" w:rsidRDefault="007B7821" w:rsidP="007B7821">
      <w:pPr>
        <w:spacing w:before="120" w:after="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36D2A00F" w14:textId="77777777" w:rsidR="007B7821" w:rsidRPr="003A1844" w:rsidRDefault="007B7821" w:rsidP="007B7821">
      <w:pPr>
        <w:spacing w:after="0" w:line="240" w:lineRule="auto"/>
        <w:jc w:val="both"/>
        <w:rPr>
          <w:rFonts w:ascii="Verdana" w:eastAsia="Calibri" w:hAnsi="Verdana" w:cs="Arial"/>
          <w:color w:val="000000" w:themeColor="text1"/>
          <w:lang w:val="es-ES_tradnl"/>
        </w:rPr>
      </w:pPr>
    </w:p>
    <w:p w14:paraId="49531F23" w14:textId="77777777" w:rsidR="007B7821" w:rsidRPr="003A1844" w:rsidRDefault="007B7821" w:rsidP="007B7821">
      <w:pPr>
        <w:spacing w:after="0" w:line="240" w:lineRule="auto"/>
        <w:ind w:left="709" w:right="709"/>
        <w:jc w:val="both"/>
        <w:rPr>
          <w:rFonts w:ascii="Verdana" w:eastAsia="Calibri" w:hAnsi="Verdana" w:cs="Arial"/>
          <w:color w:val="000000" w:themeColor="text1"/>
          <w:sz w:val="21"/>
          <w:szCs w:val="21"/>
          <w:lang w:val="es-ES_tradnl"/>
        </w:rPr>
      </w:pPr>
      <w:r w:rsidRPr="003A1844">
        <w:rPr>
          <w:rFonts w:ascii="Verdana" w:eastAsia="Calibri" w:hAnsi="Verdana"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14DE6AB1" w14:textId="77777777" w:rsidR="007B7821" w:rsidRPr="003A1844" w:rsidRDefault="007B7821" w:rsidP="007B7821">
      <w:pPr>
        <w:spacing w:after="0" w:line="240" w:lineRule="auto"/>
        <w:ind w:left="709" w:right="709"/>
        <w:jc w:val="both"/>
        <w:rPr>
          <w:rFonts w:ascii="Verdana" w:eastAsia="Calibri" w:hAnsi="Verdana" w:cs="Arial"/>
          <w:color w:val="000000" w:themeColor="text1"/>
          <w:sz w:val="21"/>
          <w:szCs w:val="21"/>
          <w:lang w:val="es-ES_tradnl"/>
        </w:rPr>
      </w:pPr>
    </w:p>
    <w:p w14:paraId="33AFCE23" w14:textId="77777777" w:rsidR="007B7821" w:rsidRPr="003A1844" w:rsidRDefault="007B7821" w:rsidP="007B7821">
      <w:pPr>
        <w:spacing w:after="0" w:line="240" w:lineRule="auto"/>
        <w:ind w:left="709" w:right="709"/>
        <w:jc w:val="both"/>
        <w:rPr>
          <w:rFonts w:ascii="Verdana" w:eastAsia="Calibri" w:hAnsi="Verdana" w:cs="Arial"/>
          <w:color w:val="000000" w:themeColor="text1"/>
          <w:sz w:val="21"/>
          <w:szCs w:val="21"/>
          <w:lang w:val="es-ES"/>
        </w:rPr>
      </w:pPr>
      <w:r w:rsidRPr="003A1844">
        <w:rPr>
          <w:rFonts w:ascii="Verdana" w:eastAsia="Calibri" w:hAnsi="Verdana" w:cs="Arial"/>
          <w:color w:val="000000" w:themeColor="text1"/>
          <w:sz w:val="21"/>
          <w:szCs w:val="21"/>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3A1844">
        <w:rPr>
          <w:rFonts w:ascii="Verdana" w:eastAsia="Calibri" w:hAnsi="Verdana" w:cs="Arial"/>
          <w:color w:val="000000" w:themeColor="text1"/>
          <w:sz w:val="21"/>
          <w:szCs w:val="21"/>
          <w:vertAlign w:val="superscript"/>
          <w:lang w:val="es-ES_tradnl"/>
        </w:rPr>
        <w:footnoteReference w:id="7"/>
      </w:r>
      <w:r w:rsidRPr="003A1844">
        <w:rPr>
          <w:rFonts w:ascii="Verdana" w:eastAsia="Calibri" w:hAnsi="Verdana" w:cs="Arial"/>
          <w:color w:val="000000" w:themeColor="text1"/>
          <w:sz w:val="21"/>
          <w:szCs w:val="21"/>
          <w:lang w:val="es-ES"/>
        </w:rPr>
        <w:t>.</w:t>
      </w:r>
    </w:p>
    <w:p w14:paraId="7A83D347" w14:textId="77777777" w:rsidR="007B7821" w:rsidRPr="003A1844" w:rsidRDefault="007B7821" w:rsidP="007B7821">
      <w:pPr>
        <w:spacing w:after="0" w:line="276" w:lineRule="auto"/>
        <w:ind w:firstLine="709"/>
        <w:jc w:val="both"/>
        <w:rPr>
          <w:rFonts w:ascii="Verdana" w:hAnsi="Verdana" w:cs="Arial"/>
          <w:lang w:val="es-ES_tradnl"/>
        </w:rPr>
      </w:pPr>
    </w:p>
    <w:p w14:paraId="2E4D3E55" w14:textId="77777777" w:rsidR="007B7821" w:rsidRPr="003A1844" w:rsidRDefault="007B7821" w:rsidP="007B7821">
      <w:pPr>
        <w:spacing w:after="120" w:line="276" w:lineRule="auto"/>
        <w:jc w:val="both"/>
        <w:rPr>
          <w:rFonts w:ascii="Verdana" w:eastAsia="Arial" w:hAnsi="Verdana" w:cs="Arial"/>
        </w:rPr>
      </w:pPr>
      <w:proofErr w:type="spellStart"/>
      <w:r>
        <w:rPr>
          <w:rFonts w:ascii="Verdana" w:eastAsia="Arial" w:hAnsi="Verdana" w:cs="Arial"/>
        </w:rPr>
        <w:t>ii</w:t>
      </w:r>
      <w:proofErr w:type="spellEnd"/>
      <w:r>
        <w:rPr>
          <w:rFonts w:ascii="Verdana" w:eastAsia="Arial" w:hAnsi="Verdana" w:cs="Arial"/>
        </w:rPr>
        <w:t xml:space="preserve">) </w:t>
      </w: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645D2050" w14:textId="77777777" w:rsidR="007B7821" w:rsidRPr="003A1844" w:rsidRDefault="007B7821" w:rsidP="007B7821">
      <w:pPr>
        <w:spacing w:after="120" w:line="276" w:lineRule="auto"/>
        <w:ind w:firstLine="708"/>
        <w:jc w:val="both"/>
        <w:rPr>
          <w:rFonts w:ascii="Verdana" w:eastAsia="Calibri" w:hAnsi="Verdana" w:cs="Arial"/>
          <w:lang w:val="es-ES"/>
        </w:rPr>
      </w:pPr>
      <w:r w:rsidRPr="77BAE255">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77BAE255">
        <w:rPr>
          <w:rFonts w:ascii="Verdana" w:eastAsia="Calibri" w:hAnsi="Verdana" w:cs="Arial"/>
          <w:vertAlign w:val="superscript"/>
          <w:lang w:val="es-ES"/>
        </w:rPr>
        <w:footnoteReference w:id="8"/>
      </w:r>
      <w:r w:rsidRPr="77BAE255">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63AD8A4E" w14:textId="77777777" w:rsidR="007B7821" w:rsidRPr="003A1844" w:rsidRDefault="007B7821" w:rsidP="007B7821">
      <w:pPr>
        <w:spacing w:after="120" w:line="276" w:lineRule="auto"/>
        <w:ind w:firstLine="709"/>
        <w:jc w:val="both"/>
        <w:rPr>
          <w:rFonts w:ascii="Verdana" w:eastAsia="Calibri" w:hAnsi="Verdana" w:cs="Arial"/>
          <w:lang w:val="es-ES"/>
        </w:rPr>
      </w:pPr>
      <w:r w:rsidRPr="003A1844">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3A1844">
        <w:rPr>
          <w:rFonts w:ascii="Verdana" w:eastAsia="Calibri" w:hAnsi="Verdana" w:cs="Arial"/>
          <w:vertAlign w:val="superscript"/>
          <w:lang w:val="es-ES"/>
        </w:rPr>
        <w:footnoteReference w:id="9"/>
      </w:r>
      <w:r w:rsidRPr="003A1844">
        <w:rPr>
          <w:rFonts w:ascii="Verdana" w:eastAsia="Calibri" w:hAnsi="Verdana" w:cs="Arial"/>
          <w:lang w:val="es-ES"/>
        </w:rPr>
        <w:t xml:space="preserve">. </w:t>
      </w:r>
    </w:p>
    <w:p w14:paraId="139FCC19" w14:textId="77777777" w:rsidR="007B7821" w:rsidRPr="003A1844" w:rsidRDefault="007B7821" w:rsidP="007B7821">
      <w:pPr>
        <w:widowControl w:val="0"/>
        <w:autoSpaceDE w:val="0"/>
        <w:autoSpaceDN w:val="0"/>
        <w:spacing w:after="120" w:line="276" w:lineRule="auto"/>
        <w:ind w:firstLine="608"/>
        <w:jc w:val="both"/>
        <w:rPr>
          <w:rFonts w:ascii="Verdana" w:eastAsia="Arial" w:hAnsi="Verdana" w:cs="Arial"/>
          <w:lang w:val="es-ES"/>
        </w:rPr>
      </w:pPr>
      <w:r w:rsidRPr="003A1844">
        <w:rPr>
          <w:rFonts w:ascii="Verdana" w:eastAsia="Arial" w:hAnsi="Verdana" w:cs="Arial"/>
          <w:lang w:val="es-ES"/>
        </w:rPr>
        <w:t>De esta forma, las</w:t>
      </w:r>
      <w:r w:rsidRPr="003A1844">
        <w:rPr>
          <w:rFonts w:ascii="Verdana" w:eastAsia="Arial" w:hAnsi="Verdana" w:cs="Arial"/>
          <w:spacing w:val="-7"/>
          <w:lang w:val="es-ES"/>
        </w:rPr>
        <w:t xml:space="preserve"> </w:t>
      </w:r>
      <w:r w:rsidRPr="003A1844">
        <w:rPr>
          <w:rFonts w:ascii="Verdana" w:eastAsia="Arial" w:hAnsi="Verdana" w:cs="Arial"/>
          <w:lang w:val="es-ES"/>
        </w:rPr>
        <w:t>reglas</w:t>
      </w:r>
      <w:r w:rsidRPr="003A1844">
        <w:rPr>
          <w:rFonts w:ascii="Verdana" w:eastAsia="Arial" w:hAnsi="Verdana" w:cs="Arial"/>
          <w:spacing w:val="-6"/>
          <w:lang w:val="es-ES"/>
        </w:rPr>
        <w:t xml:space="preserve"> </w:t>
      </w:r>
      <w:r w:rsidRPr="003A1844">
        <w:rPr>
          <w:rFonts w:ascii="Verdana" w:eastAsia="Arial" w:hAnsi="Verdana" w:cs="Arial"/>
          <w:lang w:val="es-ES"/>
        </w:rPr>
        <w:t>establecidas</w:t>
      </w:r>
      <w:r w:rsidRPr="003A1844">
        <w:rPr>
          <w:rFonts w:ascii="Verdana" w:eastAsia="Arial" w:hAnsi="Verdana" w:cs="Arial"/>
          <w:spacing w:val="-5"/>
          <w:lang w:val="es-ES"/>
        </w:rPr>
        <w:t xml:space="preserve"> </w:t>
      </w:r>
      <w:r w:rsidRPr="003A1844">
        <w:rPr>
          <w:rFonts w:ascii="Verdana" w:eastAsia="Arial" w:hAnsi="Verdana" w:cs="Arial"/>
          <w:lang w:val="es-ES"/>
        </w:rPr>
        <w:t>en</w:t>
      </w:r>
      <w:r w:rsidRPr="003A1844">
        <w:rPr>
          <w:rFonts w:ascii="Verdana" w:eastAsia="Arial" w:hAnsi="Verdana" w:cs="Arial"/>
          <w:spacing w:val="-7"/>
          <w:lang w:val="es-ES"/>
        </w:rPr>
        <w:t xml:space="preserve"> </w:t>
      </w:r>
      <w:r w:rsidRPr="003A1844">
        <w:rPr>
          <w:rFonts w:ascii="Verdana" w:eastAsia="Arial" w:hAnsi="Verdana" w:cs="Arial"/>
          <w:lang w:val="es-ES"/>
        </w:rPr>
        <w:t>los</w:t>
      </w:r>
      <w:r w:rsidRPr="003A1844">
        <w:rPr>
          <w:rFonts w:ascii="Verdana" w:eastAsia="Arial" w:hAnsi="Verdana" w:cs="Arial"/>
          <w:spacing w:val="-6"/>
          <w:lang w:val="es-ES"/>
        </w:rPr>
        <w:t xml:space="preserve"> </w:t>
      </w:r>
      <w:r w:rsidRPr="003A1844">
        <w:rPr>
          <w:rFonts w:ascii="Verdana" w:eastAsia="Arial" w:hAnsi="Verdana" w:cs="Arial"/>
          <w:lang w:val="es-ES"/>
        </w:rPr>
        <w:t>manuales</w:t>
      </w:r>
      <w:r w:rsidRPr="003A1844">
        <w:rPr>
          <w:rFonts w:ascii="Verdana" w:eastAsia="Arial" w:hAnsi="Verdana" w:cs="Arial"/>
          <w:spacing w:val="-6"/>
          <w:lang w:val="es-ES"/>
        </w:rPr>
        <w:t xml:space="preserve"> </w:t>
      </w:r>
      <w:r w:rsidRPr="003A1844">
        <w:rPr>
          <w:rFonts w:ascii="Verdana" w:eastAsia="Arial" w:hAnsi="Verdana" w:cs="Arial"/>
          <w:lang w:val="es-ES"/>
        </w:rPr>
        <w:t>o</w:t>
      </w:r>
      <w:r w:rsidRPr="003A1844">
        <w:rPr>
          <w:rFonts w:ascii="Verdana" w:eastAsia="Arial" w:hAnsi="Verdana" w:cs="Arial"/>
          <w:spacing w:val="-6"/>
          <w:lang w:val="es-ES"/>
        </w:rPr>
        <w:t xml:space="preserve"> </w:t>
      </w:r>
      <w:r w:rsidRPr="003A1844">
        <w:rPr>
          <w:rFonts w:ascii="Verdana" w:eastAsia="Arial" w:hAnsi="Verdana" w:cs="Arial"/>
          <w:lang w:val="es-ES"/>
        </w:rPr>
        <w:t>reglamentos</w:t>
      </w:r>
      <w:r w:rsidRPr="003A1844">
        <w:rPr>
          <w:rFonts w:ascii="Verdana" w:eastAsia="Arial" w:hAnsi="Verdana" w:cs="Arial"/>
          <w:spacing w:val="-7"/>
          <w:lang w:val="es-ES"/>
        </w:rPr>
        <w:t xml:space="preserve"> </w:t>
      </w:r>
      <w:r w:rsidRPr="003A1844">
        <w:rPr>
          <w:rFonts w:ascii="Verdana" w:eastAsia="Arial" w:hAnsi="Verdana" w:cs="Arial"/>
          <w:lang w:val="es-ES"/>
        </w:rPr>
        <w:t>internos</w:t>
      </w:r>
      <w:r w:rsidRPr="003A1844">
        <w:rPr>
          <w:rFonts w:ascii="Verdana" w:eastAsia="Arial" w:hAnsi="Verdana" w:cs="Arial"/>
          <w:spacing w:val="-5"/>
          <w:lang w:val="es-ES"/>
        </w:rPr>
        <w:t xml:space="preserve"> </w:t>
      </w:r>
      <w:r w:rsidRPr="003A1844">
        <w:rPr>
          <w:rFonts w:ascii="Verdana" w:eastAsia="Arial" w:hAnsi="Verdana" w:cs="Arial"/>
          <w:lang w:val="es-ES"/>
        </w:rPr>
        <w:t>de</w:t>
      </w:r>
      <w:r w:rsidRPr="003A1844">
        <w:rPr>
          <w:rFonts w:ascii="Verdana" w:eastAsia="Arial" w:hAnsi="Verdana" w:cs="Arial"/>
          <w:spacing w:val="-6"/>
          <w:lang w:val="es-ES"/>
        </w:rPr>
        <w:t xml:space="preserve"> </w:t>
      </w:r>
      <w:r w:rsidRPr="003A1844">
        <w:rPr>
          <w:rFonts w:ascii="Verdana" w:eastAsia="Arial" w:hAnsi="Verdana" w:cs="Arial"/>
          <w:lang w:val="es-ES"/>
        </w:rPr>
        <w:t>contratación son muy importantes, toda vez que las entidades se obligan a cumplir su contenido.</w:t>
      </w:r>
      <w:r w:rsidRPr="003A1844">
        <w:rPr>
          <w:rFonts w:ascii="Verdana" w:eastAsia="Arial" w:hAnsi="Verdana" w:cs="Arial"/>
          <w:spacing w:val="1"/>
          <w:lang w:val="es-ES"/>
        </w:rPr>
        <w:t xml:space="preserve"> </w:t>
      </w:r>
      <w:r w:rsidRPr="003A1844">
        <w:rPr>
          <w:rFonts w:ascii="Verdana" w:eastAsia="Arial" w:hAnsi="Verdana" w:cs="Arial"/>
          <w:lang w:val="es-ES"/>
        </w:rPr>
        <w:t>Además, tratándose de un acto administrativo, concretamente de un reglamento, le</w:t>
      </w:r>
      <w:r w:rsidRPr="003A1844">
        <w:rPr>
          <w:rFonts w:ascii="Verdana" w:eastAsia="Arial" w:hAnsi="Verdana" w:cs="Arial"/>
          <w:spacing w:val="1"/>
          <w:lang w:val="es-ES"/>
        </w:rPr>
        <w:t xml:space="preserve"> </w:t>
      </w:r>
      <w:r w:rsidRPr="003A1844">
        <w:rPr>
          <w:rFonts w:ascii="Verdana" w:eastAsia="Arial" w:hAnsi="Verdana" w:cs="Arial"/>
          <w:lang w:val="es-ES"/>
        </w:rPr>
        <w:t>aplican</w:t>
      </w:r>
      <w:r w:rsidRPr="003A1844">
        <w:rPr>
          <w:rFonts w:ascii="Verdana" w:eastAsia="Arial" w:hAnsi="Verdana" w:cs="Arial"/>
          <w:spacing w:val="-10"/>
          <w:lang w:val="es-ES"/>
        </w:rPr>
        <w:t xml:space="preserve"> </w:t>
      </w:r>
      <w:r w:rsidRPr="003A1844">
        <w:rPr>
          <w:rFonts w:ascii="Verdana" w:eastAsia="Arial" w:hAnsi="Verdana" w:cs="Arial"/>
          <w:lang w:val="es-ES"/>
        </w:rPr>
        <w:t>los</w:t>
      </w:r>
      <w:r w:rsidRPr="003A1844">
        <w:rPr>
          <w:rFonts w:ascii="Verdana" w:eastAsia="Arial" w:hAnsi="Verdana" w:cs="Arial"/>
          <w:spacing w:val="-10"/>
          <w:lang w:val="es-ES"/>
        </w:rPr>
        <w:t xml:space="preserve"> </w:t>
      </w:r>
      <w:r w:rsidRPr="003A1844">
        <w:rPr>
          <w:rFonts w:ascii="Verdana" w:eastAsia="Arial" w:hAnsi="Verdana" w:cs="Arial"/>
          <w:lang w:val="es-ES"/>
        </w:rPr>
        <w:t>atributos</w:t>
      </w:r>
      <w:r w:rsidRPr="003A1844">
        <w:rPr>
          <w:rFonts w:ascii="Verdana" w:eastAsia="Arial" w:hAnsi="Verdana" w:cs="Arial"/>
          <w:spacing w:val="-10"/>
          <w:lang w:val="es-ES"/>
        </w:rPr>
        <w:t xml:space="preserve"> </w:t>
      </w:r>
      <w:r w:rsidRPr="003A1844">
        <w:rPr>
          <w:rFonts w:ascii="Verdana" w:eastAsia="Arial" w:hAnsi="Verdana" w:cs="Arial"/>
          <w:lang w:val="es-ES"/>
        </w:rPr>
        <w:t>propios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9"/>
          <w:lang w:val="es-ES"/>
        </w:rPr>
        <w:t xml:space="preserve"> </w:t>
      </w:r>
      <w:r w:rsidRPr="003A1844">
        <w:rPr>
          <w:rFonts w:ascii="Verdana" w:eastAsia="Arial" w:hAnsi="Verdana" w:cs="Arial"/>
          <w:lang w:val="es-ES"/>
        </w:rPr>
        <w:t>estos</w:t>
      </w:r>
      <w:r w:rsidRPr="003A1844">
        <w:rPr>
          <w:rFonts w:ascii="Verdana" w:eastAsia="Arial" w:hAnsi="Verdana" w:cs="Arial"/>
          <w:spacing w:val="-10"/>
          <w:lang w:val="es-ES"/>
        </w:rPr>
        <w:t xml:space="preserve"> </w:t>
      </w:r>
      <w:r w:rsidRPr="003A1844">
        <w:rPr>
          <w:rFonts w:ascii="Verdana" w:eastAsia="Arial" w:hAnsi="Verdana" w:cs="Arial"/>
          <w:lang w:val="es-ES"/>
        </w:rPr>
        <w:t>tipos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10"/>
          <w:lang w:val="es-ES"/>
        </w:rPr>
        <w:t xml:space="preserve"> </w:t>
      </w:r>
      <w:r w:rsidRPr="003A1844">
        <w:rPr>
          <w:rFonts w:ascii="Verdana" w:eastAsia="Arial" w:hAnsi="Verdana" w:cs="Arial"/>
          <w:lang w:val="es-ES"/>
        </w:rPr>
        <w:t>actos,</w:t>
      </w:r>
      <w:r w:rsidRPr="003A1844">
        <w:rPr>
          <w:rFonts w:ascii="Verdana" w:eastAsia="Arial" w:hAnsi="Verdana" w:cs="Arial"/>
          <w:spacing w:val="-9"/>
          <w:lang w:val="es-ES"/>
        </w:rPr>
        <w:t xml:space="preserve"> </w:t>
      </w:r>
      <w:r w:rsidRPr="003A1844">
        <w:rPr>
          <w:rFonts w:ascii="Verdana" w:eastAsia="Arial" w:hAnsi="Verdana" w:cs="Arial"/>
          <w:lang w:val="es-ES"/>
        </w:rPr>
        <w:t>entre</w:t>
      </w:r>
      <w:r w:rsidRPr="003A1844">
        <w:rPr>
          <w:rFonts w:ascii="Verdana" w:eastAsia="Arial" w:hAnsi="Verdana" w:cs="Arial"/>
          <w:spacing w:val="-10"/>
          <w:lang w:val="es-ES"/>
        </w:rPr>
        <w:t xml:space="preserve"> </w:t>
      </w:r>
      <w:r w:rsidRPr="003A1844">
        <w:rPr>
          <w:rFonts w:ascii="Verdana" w:eastAsia="Arial" w:hAnsi="Verdana" w:cs="Arial"/>
          <w:lang w:val="es-ES"/>
        </w:rPr>
        <w:t>otras</w:t>
      </w:r>
      <w:r w:rsidRPr="003A1844">
        <w:rPr>
          <w:rFonts w:ascii="Verdana" w:eastAsia="Arial" w:hAnsi="Verdana" w:cs="Arial"/>
          <w:spacing w:val="-10"/>
          <w:lang w:val="es-ES"/>
        </w:rPr>
        <w:t xml:space="preserve"> </w:t>
      </w:r>
      <w:r w:rsidRPr="003A1844">
        <w:rPr>
          <w:rFonts w:ascii="Verdana" w:eastAsia="Arial" w:hAnsi="Verdana" w:cs="Arial"/>
          <w:lang w:val="es-ES"/>
        </w:rPr>
        <w:t>cosas,</w:t>
      </w:r>
      <w:r w:rsidRPr="003A1844">
        <w:rPr>
          <w:rFonts w:ascii="Verdana" w:eastAsia="Arial" w:hAnsi="Verdana" w:cs="Arial"/>
          <w:spacing w:val="-10"/>
          <w:lang w:val="es-ES"/>
        </w:rPr>
        <w:t xml:space="preserve"> </w:t>
      </w:r>
      <w:r w:rsidRPr="003A1844">
        <w:rPr>
          <w:rFonts w:ascii="Verdana" w:eastAsia="Arial" w:hAnsi="Verdana" w:cs="Arial"/>
          <w:lang w:val="es-ES"/>
        </w:rPr>
        <w:t>la</w:t>
      </w:r>
      <w:r w:rsidRPr="003A1844">
        <w:rPr>
          <w:rFonts w:ascii="Verdana" w:eastAsia="Arial" w:hAnsi="Verdana" w:cs="Arial"/>
          <w:spacing w:val="-9"/>
          <w:lang w:val="es-ES"/>
        </w:rPr>
        <w:t xml:space="preserve"> </w:t>
      </w:r>
      <w:r w:rsidRPr="003A1844">
        <w:rPr>
          <w:rFonts w:ascii="Verdana" w:eastAsia="Arial" w:hAnsi="Verdana" w:cs="Arial"/>
          <w:lang w:val="es-ES"/>
        </w:rPr>
        <w:t>presunción</w:t>
      </w:r>
      <w:r w:rsidRPr="003A1844">
        <w:rPr>
          <w:rFonts w:ascii="Verdana" w:eastAsia="Arial" w:hAnsi="Verdana" w:cs="Arial"/>
          <w:spacing w:val="-10"/>
          <w:lang w:val="es-ES"/>
        </w:rPr>
        <w:t xml:space="preserve"> </w:t>
      </w:r>
      <w:r w:rsidRPr="003A1844">
        <w:rPr>
          <w:rFonts w:ascii="Verdana" w:eastAsia="Arial" w:hAnsi="Verdana" w:cs="Arial"/>
          <w:lang w:val="es-ES"/>
        </w:rPr>
        <w:t xml:space="preserve">de legalidad y la regla de </w:t>
      </w:r>
      <w:r w:rsidRPr="003A1844">
        <w:rPr>
          <w:rFonts w:ascii="Verdana" w:eastAsia="Arial" w:hAnsi="Verdana" w:cs="Arial"/>
          <w:i/>
          <w:lang w:val="es-ES"/>
        </w:rPr>
        <w:t>inderogabilidad singular del reglamento</w:t>
      </w:r>
      <w:r w:rsidRPr="003A1844">
        <w:rPr>
          <w:rFonts w:ascii="Verdana" w:eastAsia="Arial" w:hAnsi="Verdana" w:cs="Arial"/>
          <w:i/>
          <w:vertAlign w:val="superscript"/>
          <w:lang w:val="es-ES"/>
        </w:rPr>
        <w:footnoteReference w:id="10"/>
      </w:r>
      <w:r w:rsidRPr="003A1844">
        <w:rPr>
          <w:rFonts w:ascii="Verdana" w:eastAsia="Arial" w:hAnsi="Verdana" w:cs="Arial"/>
          <w:lang w:val="es-ES"/>
        </w:rPr>
        <w:t>. En tal sentido, su</w:t>
      </w:r>
      <w:r w:rsidRPr="003A1844">
        <w:rPr>
          <w:rFonts w:ascii="Verdana" w:eastAsia="Arial" w:hAnsi="Verdana" w:cs="Arial"/>
          <w:spacing w:val="1"/>
          <w:lang w:val="es-ES"/>
        </w:rPr>
        <w:t xml:space="preserve"> </w:t>
      </w:r>
      <w:r w:rsidRPr="003A1844">
        <w:rPr>
          <w:rFonts w:ascii="Verdana" w:eastAsia="Arial" w:hAnsi="Verdana" w:cs="Arial"/>
          <w:lang w:val="es-ES"/>
        </w:rPr>
        <w:t>contenido vincula a la propia entidad que lo expidió y no puede desconocerlo a su</w:t>
      </w:r>
      <w:r w:rsidRPr="003A1844">
        <w:rPr>
          <w:rFonts w:ascii="Verdana" w:eastAsia="Arial" w:hAnsi="Verdana" w:cs="Arial"/>
          <w:spacing w:val="1"/>
          <w:lang w:val="es-ES"/>
        </w:rPr>
        <w:t xml:space="preserve"> </w:t>
      </w:r>
      <w:r w:rsidRPr="003A1844">
        <w:rPr>
          <w:rFonts w:ascii="Verdana" w:eastAsia="Arial" w:hAnsi="Verdana" w:cs="Arial"/>
          <w:spacing w:val="-1"/>
          <w:lang w:val="es-ES"/>
        </w:rPr>
        <w:t>capricho</w:t>
      </w:r>
      <w:r w:rsidRPr="003A1844">
        <w:rPr>
          <w:rFonts w:ascii="Verdana" w:eastAsia="Arial" w:hAnsi="Verdana" w:cs="Arial"/>
          <w:spacing w:val="-15"/>
          <w:lang w:val="es-ES"/>
        </w:rPr>
        <w:t xml:space="preserve"> </w:t>
      </w:r>
      <w:r w:rsidRPr="003A1844">
        <w:rPr>
          <w:rFonts w:ascii="Verdana" w:eastAsia="Arial" w:hAnsi="Verdana" w:cs="Arial"/>
          <w:spacing w:val="-1"/>
          <w:lang w:val="es-ES"/>
        </w:rPr>
        <w:t>en</w:t>
      </w:r>
      <w:r w:rsidRPr="003A1844">
        <w:rPr>
          <w:rFonts w:ascii="Verdana" w:eastAsia="Arial" w:hAnsi="Verdana" w:cs="Arial"/>
          <w:spacing w:val="-14"/>
          <w:lang w:val="es-ES"/>
        </w:rPr>
        <w:t xml:space="preserve"> </w:t>
      </w:r>
      <w:r w:rsidRPr="003A1844">
        <w:rPr>
          <w:rFonts w:ascii="Verdana" w:eastAsia="Arial" w:hAnsi="Verdana" w:cs="Arial"/>
          <w:spacing w:val="-1"/>
          <w:lang w:val="es-ES"/>
        </w:rPr>
        <w:t>casos</w:t>
      </w:r>
      <w:r w:rsidRPr="003A1844">
        <w:rPr>
          <w:rFonts w:ascii="Verdana" w:eastAsia="Arial" w:hAnsi="Verdana" w:cs="Arial"/>
          <w:spacing w:val="-14"/>
          <w:lang w:val="es-ES"/>
        </w:rPr>
        <w:t xml:space="preserve"> </w:t>
      </w:r>
      <w:r w:rsidRPr="003A1844">
        <w:rPr>
          <w:rFonts w:ascii="Verdana" w:eastAsia="Arial" w:hAnsi="Verdana" w:cs="Arial"/>
          <w:spacing w:val="-1"/>
          <w:lang w:val="es-ES"/>
        </w:rPr>
        <w:t>específicos;</w:t>
      </w:r>
      <w:r w:rsidRPr="003A1844">
        <w:rPr>
          <w:rFonts w:ascii="Verdana" w:eastAsia="Arial" w:hAnsi="Verdana" w:cs="Arial"/>
          <w:spacing w:val="-15"/>
          <w:lang w:val="es-ES"/>
        </w:rPr>
        <w:t xml:space="preserve"> </w:t>
      </w:r>
      <w:r w:rsidRPr="003A1844">
        <w:rPr>
          <w:rFonts w:ascii="Verdana" w:eastAsia="Arial" w:hAnsi="Verdana" w:cs="Arial"/>
          <w:spacing w:val="-1"/>
          <w:lang w:val="es-ES"/>
        </w:rPr>
        <w:t>sin</w:t>
      </w:r>
      <w:r w:rsidRPr="003A1844">
        <w:rPr>
          <w:rFonts w:ascii="Verdana" w:eastAsia="Arial" w:hAnsi="Verdana" w:cs="Arial"/>
          <w:spacing w:val="-14"/>
          <w:lang w:val="es-ES"/>
        </w:rPr>
        <w:t xml:space="preserve"> </w:t>
      </w:r>
      <w:r w:rsidRPr="003A1844">
        <w:rPr>
          <w:rFonts w:ascii="Verdana" w:eastAsia="Arial" w:hAnsi="Verdana" w:cs="Arial"/>
          <w:spacing w:val="-1"/>
          <w:lang w:val="es-ES"/>
        </w:rPr>
        <w:t>perjuicio</w:t>
      </w:r>
      <w:r w:rsidRPr="003A1844">
        <w:rPr>
          <w:rFonts w:ascii="Verdana" w:eastAsia="Arial" w:hAnsi="Verdana" w:cs="Arial"/>
          <w:spacing w:val="-14"/>
          <w:lang w:val="es-ES"/>
        </w:rPr>
        <w:t xml:space="preserve"> </w:t>
      </w:r>
      <w:r w:rsidRPr="003A1844">
        <w:rPr>
          <w:rFonts w:ascii="Verdana" w:eastAsia="Arial" w:hAnsi="Verdana" w:cs="Arial"/>
          <w:spacing w:val="-1"/>
          <w:lang w:val="es-ES"/>
        </w:rPr>
        <w:t>de</w:t>
      </w:r>
      <w:r w:rsidRPr="003A1844">
        <w:rPr>
          <w:rFonts w:ascii="Verdana" w:eastAsia="Arial" w:hAnsi="Verdana" w:cs="Arial"/>
          <w:spacing w:val="-15"/>
          <w:lang w:val="es-ES"/>
        </w:rPr>
        <w:t xml:space="preserve"> </w:t>
      </w:r>
      <w:r w:rsidRPr="003A1844">
        <w:rPr>
          <w:rFonts w:ascii="Verdana" w:eastAsia="Arial" w:hAnsi="Verdana" w:cs="Arial"/>
          <w:spacing w:val="-1"/>
          <w:lang w:val="es-ES"/>
        </w:rPr>
        <w:t>la</w:t>
      </w:r>
      <w:r w:rsidRPr="003A1844">
        <w:rPr>
          <w:rFonts w:ascii="Verdana" w:eastAsia="Arial" w:hAnsi="Verdana" w:cs="Arial"/>
          <w:spacing w:val="-14"/>
          <w:lang w:val="es-ES"/>
        </w:rPr>
        <w:t xml:space="preserve"> </w:t>
      </w:r>
      <w:r w:rsidRPr="003A1844">
        <w:rPr>
          <w:rFonts w:ascii="Verdana" w:eastAsia="Arial" w:hAnsi="Verdana" w:cs="Arial"/>
          <w:spacing w:val="-1"/>
          <w:lang w:val="es-ES"/>
        </w:rPr>
        <w:t>posibilidad</w:t>
      </w:r>
      <w:r w:rsidRPr="003A1844">
        <w:rPr>
          <w:rFonts w:ascii="Verdana" w:eastAsia="Arial" w:hAnsi="Verdana" w:cs="Arial"/>
          <w:spacing w:val="-14"/>
          <w:lang w:val="es-ES"/>
        </w:rPr>
        <w:t xml:space="preserve"> </w:t>
      </w:r>
      <w:r w:rsidRPr="003A1844">
        <w:rPr>
          <w:rFonts w:ascii="Verdana" w:eastAsia="Arial" w:hAnsi="Verdana" w:cs="Arial"/>
          <w:lang w:val="es-ES"/>
        </w:rPr>
        <w:t>de</w:t>
      </w:r>
      <w:r w:rsidRPr="003A1844">
        <w:rPr>
          <w:rFonts w:ascii="Verdana" w:eastAsia="Arial" w:hAnsi="Verdana" w:cs="Arial"/>
          <w:spacing w:val="-14"/>
          <w:lang w:val="es-ES"/>
        </w:rPr>
        <w:t xml:space="preserve"> </w:t>
      </w:r>
      <w:r w:rsidRPr="003A1844">
        <w:rPr>
          <w:rFonts w:ascii="Verdana" w:eastAsia="Arial" w:hAnsi="Verdana" w:cs="Arial"/>
          <w:lang w:val="es-ES"/>
        </w:rPr>
        <w:t>expedir</w:t>
      </w:r>
      <w:r w:rsidRPr="003A1844">
        <w:rPr>
          <w:rFonts w:ascii="Verdana" w:eastAsia="Arial" w:hAnsi="Verdana" w:cs="Arial"/>
          <w:spacing w:val="-15"/>
          <w:lang w:val="es-ES"/>
        </w:rPr>
        <w:t xml:space="preserve"> </w:t>
      </w:r>
      <w:r w:rsidRPr="003A1844">
        <w:rPr>
          <w:rFonts w:ascii="Verdana" w:eastAsia="Arial" w:hAnsi="Verdana" w:cs="Arial"/>
          <w:lang w:val="es-ES"/>
        </w:rPr>
        <w:t>un</w:t>
      </w:r>
      <w:r w:rsidRPr="003A1844">
        <w:rPr>
          <w:rFonts w:ascii="Verdana" w:eastAsia="Arial" w:hAnsi="Verdana" w:cs="Arial"/>
          <w:spacing w:val="-14"/>
          <w:lang w:val="es-ES"/>
        </w:rPr>
        <w:t xml:space="preserve"> </w:t>
      </w:r>
      <w:r w:rsidRPr="003A1844">
        <w:rPr>
          <w:rFonts w:ascii="Verdana" w:eastAsia="Arial" w:hAnsi="Verdana" w:cs="Arial"/>
          <w:lang w:val="es-ES"/>
        </w:rPr>
        <w:t>nuevo</w:t>
      </w:r>
      <w:r w:rsidRPr="003A1844">
        <w:rPr>
          <w:rFonts w:ascii="Verdana" w:eastAsia="Arial" w:hAnsi="Verdana" w:cs="Arial"/>
          <w:spacing w:val="-14"/>
          <w:lang w:val="es-ES"/>
        </w:rPr>
        <w:t xml:space="preserve"> </w:t>
      </w:r>
      <w:r w:rsidRPr="003A1844">
        <w:rPr>
          <w:rFonts w:ascii="Verdana" w:eastAsia="Arial" w:hAnsi="Verdana" w:cs="Arial"/>
          <w:lang w:val="es-ES"/>
        </w:rPr>
        <w:t>manual o</w:t>
      </w:r>
      <w:r w:rsidRPr="003A1844">
        <w:rPr>
          <w:rFonts w:ascii="Verdana" w:eastAsia="Arial" w:hAnsi="Verdana" w:cs="Arial"/>
          <w:spacing w:val="-2"/>
          <w:lang w:val="es-ES"/>
        </w:rPr>
        <w:t xml:space="preserve"> </w:t>
      </w:r>
      <w:r w:rsidRPr="003A1844">
        <w:rPr>
          <w:rFonts w:ascii="Verdana" w:eastAsia="Arial" w:hAnsi="Verdana" w:cs="Arial"/>
          <w:lang w:val="es-ES"/>
        </w:rPr>
        <w:t>de</w:t>
      </w:r>
      <w:r w:rsidRPr="003A1844">
        <w:rPr>
          <w:rFonts w:ascii="Verdana" w:eastAsia="Arial" w:hAnsi="Verdana" w:cs="Arial"/>
          <w:spacing w:val="-1"/>
          <w:lang w:val="es-ES"/>
        </w:rPr>
        <w:t xml:space="preserve"> </w:t>
      </w:r>
      <w:r w:rsidRPr="003A1844">
        <w:rPr>
          <w:rFonts w:ascii="Verdana" w:eastAsia="Arial" w:hAnsi="Verdana" w:cs="Arial"/>
          <w:lang w:val="es-ES"/>
        </w:rPr>
        <w:t>modificar</w:t>
      </w:r>
      <w:r w:rsidRPr="003A1844">
        <w:rPr>
          <w:rFonts w:ascii="Verdana" w:eastAsia="Arial" w:hAnsi="Verdana" w:cs="Arial"/>
          <w:spacing w:val="-1"/>
          <w:lang w:val="es-ES"/>
        </w:rPr>
        <w:t xml:space="preserve"> </w:t>
      </w:r>
      <w:r w:rsidRPr="003A1844">
        <w:rPr>
          <w:rFonts w:ascii="Verdana" w:eastAsia="Arial" w:hAnsi="Verdana" w:cs="Arial"/>
          <w:lang w:val="es-ES"/>
        </w:rPr>
        <w:t>el</w:t>
      </w:r>
      <w:r w:rsidRPr="003A1844">
        <w:rPr>
          <w:rFonts w:ascii="Verdana" w:eastAsia="Arial" w:hAnsi="Verdana" w:cs="Arial"/>
          <w:spacing w:val="-1"/>
          <w:lang w:val="es-ES"/>
        </w:rPr>
        <w:t xml:space="preserve"> </w:t>
      </w:r>
      <w:r w:rsidRPr="003A1844">
        <w:rPr>
          <w:rFonts w:ascii="Verdana" w:eastAsia="Arial" w:hAnsi="Verdana" w:cs="Arial"/>
          <w:lang w:val="es-ES"/>
        </w:rPr>
        <w:t>existente.</w:t>
      </w:r>
    </w:p>
    <w:p w14:paraId="746594EC" w14:textId="77777777" w:rsidR="007B7821" w:rsidRPr="003A1844" w:rsidRDefault="007B7821" w:rsidP="007B7821">
      <w:pPr>
        <w:spacing w:after="12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780F2AA0" w14:textId="77777777" w:rsidR="007B7821" w:rsidRPr="003A1844" w:rsidRDefault="007B7821" w:rsidP="007B7821">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w:t>
      </w:r>
      <w:r>
        <w:rPr>
          <w:rFonts w:ascii="Verdana" w:eastAsia="Calibri" w:hAnsi="Verdana" w:cs="Arial"/>
          <w:color w:val="000000" w:themeColor="text1"/>
          <w:lang w:val="es-ES"/>
        </w:rPr>
        <w:t xml:space="preserve">habilidad o incompatibilidad, </w:t>
      </w:r>
      <w:r w:rsidRPr="003A1844">
        <w:rPr>
          <w:rFonts w:ascii="Verdana" w:eastAsia="Calibri" w:hAnsi="Verdana" w:cs="Arial"/>
          <w:color w:val="000000" w:themeColor="text1"/>
          <w:lang w:val="es-ES"/>
        </w:rPr>
        <w:t>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3A1844">
        <w:rPr>
          <w:rFonts w:ascii="Verdana" w:eastAsia="Calibri" w:hAnsi="Verdana" w:cs="Arial"/>
          <w:color w:val="000000" w:themeColor="text1"/>
          <w:vertAlign w:val="superscript"/>
          <w:lang w:val="es-ES_tradnl"/>
        </w:rPr>
        <w:footnoteReference w:id="11"/>
      </w:r>
      <w:r w:rsidRPr="003A1844">
        <w:rPr>
          <w:rFonts w:ascii="Verdana" w:eastAsia="Calibri" w:hAnsi="Verdana" w:cs="Arial"/>
          <w:color w:val="000000" w:themeColor="text1"/>
          <w:lang w:val="es-ES"/>
        </w:rPr>
        <w:t>.</w:t>
      </w:r>
    </w:p>
    <w:p w14:paraId="78E336EE" w14:textId="77777777" w:rsidR="007B7821" w:rsidRDefault="007B7821" w:rsidP="007B7821">
      <w:pPr>
        <w:spacing w:after="0" w:line="276" w:lineRule="auto"/>
        <w:ind w:firstLine="708"/>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w:t>
      </w:r>
      <w:r>
        <w:rPr>
          <w:rFonts w:ascii="Verdana" w:eastAsia="Calibri" w:hAnsi="Verdana" w:cs="Arial"/>
          <w:color w:val="000000" w:themeColor="text1"/>
          <w:lang w:val="es-ES"/>
        </w:rPr>
        <w:t>n.</w:t>
      </w:r>
    </w:p>
    <w:p w14:paraId="3FBF3D93" w14:textId="77777777" w:rsidR="007B7821" w:rsidRDefault="007B7821" w:rsidP="007B7821">
      <w:pPr>
        <w:spacing w:after="120" w:line="276" w:lineRule="auto"/>
        <w:ind w:firstLine="709"/>
        <w:jc w:val="both"/>
        <w:rPr>
          <w:rFonts w:ascii="Verdana" w:eastAsia="Calibri" w:hAnsi="Verdana" w:cs="Arial"/>
          <w:color w:val="000000" w:themeColor="text1"/>
          <w:lang w:val="es-ES"/>
        </w:rPr>
      </w:pPr>
      <w:r w:rsidRPr="00573A53">
        <w:rPr>
          <w:rFonts w:ascii="Verdana" w:eastAsia="Calibri" w:hAnsi="Verdana" w:cs="Arial"/>
          <w:color w:val="000000" w:themeColor="text1"/>
          <w:lang w:val="es-ES"/>
        </w:rPr>
        <w:t>En lo referente a las Empresas Sociales del Estado, el Ministerio de Salud y Protección Social, expidió la Resolución No. 5185 de 2013, modificado por la Resolución 1440 del 14 de agosto de 2024</w:t>
      </w:r>
      <w:r w:rsidRPr="00573A53">
        <w:rPr>
          <w:rFonts w:ascii="Verdana" w:eastAsia="Calibri" w:hAnsi="Verdana" w:cs="Arial"/>
          <w:color w:val="000000" w:themeColor="text1"/>
          <w:vertAlign w:val="superscript"/>
          <w:lang w:val="es-ES"/>
        </w:rPr>
        <w:footnoteReference w:id="12"/>
      </w:r>
      <w:r w:rsidRPr="00573A53">
        <w:rPr>
          <w:rFonts w:ascii="Verdana" w:eastAsia="Calibri" w:hAnsi="Verdana" w:cs="Arial"/>
          <w:color w:val="000000" w:themeColor="text1"/>
          <w:lang w:val="es-ES"/>
        </w:rPr>
        <w:t>, mediante la cual se fijan los lineamientos para que tales entidades adopten los manuales de contratación que regirán su actividad contractual. Este acto administrativo, dictado en ejercicio de las facultades conferidas por el artículo 76 de la Ley 1438 de 2011</w:t>
      </w:r>
      <w:r w:rsidRPr="00573A53">
        <w:rPr>
          <w:rFonts w:ascii="Verdana" w:eastAsia="Calibri" w:hAnsi="Verdana" w:cs="Arial"/>
          <w:color w:val="000000" w:themeColor="text1"/>
          <w:vertAlign w:val="superscript"/>
          <w:lang w:val="es-ES"/>
        </w:rPr>
        <w:footnoteReference w:id="13"/>
      </w:r>
      <w:r w:rsidRPr="00573A53">
        <w:rPr>
          <w:rFonts w:ascii="Verdana" w:eastAsia="Calibri" w:hAnsi="Verdana" w:cs="Arial"/>
          <w:color w:val="000000" w:themeColor="text1"/>
          <w:lang w:val="es-ES"/>
        </w:rPr>
        <w:t>, contiene varios criterios que se deberán cuenta a la hora de adoptar los manuales de contratación.</w:t>
      </w:r>
    </w:p>
    <w:p w14:paraId="26AA06A6" w14:textId="77777777" w:rsidR="007B7821" w:rsidRPr="005B5A98" w:rsidRDefault="007B7821" w:rsidP="007B7821">
      <w:pPr>
        <w:spacing w:after="120" w:line="276" w:lineRule="auto"/>
        <w:ind w:firstLine="709"/>
        <w:jc w:val="both"/>
        <w:rPr>
          <w:rFonts w:ascii="Verdana" w:eastAsia="Calibri" w:hAnsi="Verdana" w:cs="Arial"/>
          <w:color w:val="000000" w:themeColor="text1"/>
          <w:lang w:val="es-ES"/>
        </w:rPr>
      </w:pPr>
      <w:r w:rsidRPr="005B5A98">
        <w:rPr>
          <w:rFonts w:ascii="Verdana" w:eastAsia="Calibri" w:hAnsi="Verdana" w:cs="Arial"/>
          <w:color w:val="000000" w:themeColor="text1"/>
          <w:lang w:val="es-ES"/>
        </w:rPr>
        <w:t>En las disposiciones de Resolución No. 5185 de 2013 se reitera el régimen de contratación de estas entidades –Art.2–, se alude a los fines de la contratación –Art. 3–, se establece los principios a observarse en el desarrollo de la contratación –Art. 4–, se  hace referencia a las modalidades y mecanismos de selección –Art. 5–, se reitera la aplicabilidad del régimen de inhabilidades e incompatibilidades–Art. 6–, se establece la obligación de publicar un Plan Anual de Adquisiciones–Art. 7–, se alude al proceso de contratación –Art 8–, se refiere a la fase de planeación –Art 9–, se dispone sobre la fase de selección –Art 10–, sobre la fase de contratación, y se regulan otros aspectos. En cuanto a la contratación y ejecución de los contratos, son relevantes los artículos 11</w:t>
      </w:r>
      <w:r w:rsidRPr="005B5A98">
        <w:rPr>
          <w:rFonts w:ascii="Verdana" w:eastAsia="Calibri" w:hAnsi="Verdana" w:cs="Arial"/>
          <w:color w:val="000000" w:themeColor="text1"/>
          <w:vertAlign w:val="superscript"/>
          <w:lang w:val="es-ES"/>
        </w:rPr>
        <w:footnoteReference w:id="14"/>
      </w:r>
      <w:r w:rsidRPr="005B5A98">
        <w:rPr>
          <w:rFonts w:ascii="Verdana" w:eastAsia="Calibri" w:hAnsi="Verdana" w:cs="Arial"/>
          <w:color w:val="000000" w:themeColor="text1"/>
          <w:lang w:val="es-ES"/>
        </w:rPr>
        <w:t xml:space="preserve"> y 12</w:t>
      </w:r>
      <w:r w:rsidRPr="005B5A98">
        <w:rPr>
          <w:rFonts w:ascii="Verdana" w:eastAsia="Calibri" w:hAnsi="Verdana" w:cs="Arial"/>
          <w:color w:val="000000" w:themeColor="text1"/>
          <w:vertAlign w:val="superscript"/>
          <w:lang w:val="es-ES"/>
        </w:rPr>
        <w:footnoteReference w:id="15"/>
      </w:r>
      <w:r w:rsidRPr="005B5A98">
        <w:rPr>
          <w:rFonts w:ascii="Verdana" w:eastAsia="Calibri" w:hAnsi="Verdana" w:cs="Arial"/>
          <w:color w:val="000000" w:themeColor="text1"/>
          <w:lang w:val="es-ES"/>
        </w:rPr>
        <w:t xml:space="preserve"> de la citada resolución. Por su parte el artículo 14</w:t>
      </w:r>
      <w:r w:rsidRPr="005B5A98">
        <w:rPr>
          <w:rFonts w:ascii="Verdana" w:eastAsia="Calibri" w:hAnsi="Verdana" w:cs="Arial"/>
          <w:color w:val="000000" w:themeColor="text1"/>
          <w:vertAlign w:val="superscript"/>
          <w:lang w:val="es-ES"/>
        </w:rPr>
        <w:footnoteReference w:id="16"/>
      </w:r>
      <w:r w:rsidRPr="005B5A98">
        <w:rPr>
          <w:rFonts w:ascii="Verdana" w:eastAsia="Calibri" w:hAnsi="Verdana" w:cs="Arial"/>
          <w:color w:val="000000" w:themeColor="text1"/>
          <w:lang w:val="es-ES"/>
        </w:rPr>
        <w:t xml:space="preserve"> de la resolución establece que las Empresas Sociales del Estado están obligadas a publicar oportunamente su actividad contractual en el SECOP.  </w:t>
      </w:r>
    </w:p>
    <w:p w14:paraId="63CDC467" w14:textId="77777777" w:rsidR="007B7821" w:rsidRDefault="007B7821" w:rsidP="007B7821">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conformidad con lo anterior, y para dar respuesta al segundo problema jurídico, la ESE, en virtud de lo dispuesto en el manual de contratación que rige las actuaciones contractuales, definirá en los estudios previos entre otros, la forma de pago de los honorarios, con ocasión de la necesidad que le asiste a la Empresa Social del Estado, así como la exigencia o no de la constitución de garantías para el cumplimiento de las obligaciones por parte de los contratistas. Lo anterior siempre y cuando no contradiga la Constitución, la Ley y el orden público, y respete los principios de la actividad contractual.   </w:t>
      </w:r>
    </w:p>
    <w:p w14:paraId="67F482CD" w14:textId="77777777" w:rsidR="007B7821" w:rsidRDefault="007B7821" w:rsidP="007B7821">
      <w:pPr>
        <w:spacing w:after="120" w:line="276" w:lineRule="auto"/>
        <w:jc w:val="both"/>
        <w:rPr>
          <w:rFonts w:ascii="Verdana" w:eastAsia="Calibri" w:hAnsi="Verdana" w:cs="Arial"/>
          <w:color w:val="000000" w:themeColor="text1"/>
          <w:lang w:val="es-ES"/>
        </w:rPr>
      </w:pPr>
      <w:proofErr w:type="spellStart"/>
      <w:r w:rsidRPr="00761691">
        <w:rPr>
          <w:rFonts w:ascii="Verdana" w:eastAsia="Calibri" w:hAnsi="Verdana" w:cs="Arial"/>
          <w:color w:val="000000" w:themeColor="text1"/>
        </w:rPr>
        <w:t>iii</w:t>
      </w:r>
      <w:proofErr w:type="spellEnd"/>
      <w:r w:rsidRPr="00761691">
        <w:rPr>
          <w:rFonts w:ascii="Verdana" w:eastAsia="Calibri" w:hAnsi="Verdana" w:cs="Arial"/>
          <w:color w:val="000000" w:themeColor="text1"/>
        </w:rPr>
        <w:t>) Respecto del tercer problema jurídico,</w:t>
      </w:r>
      <w:r>
        <w:rPr>
          <w:rFonts w:ascii="Verdana" w:eastAsia="Calibri" w:hAnsi="Verdana" w:cs="Arial"/>
          <w:color w:val="000000" w:themeColor="text1"/>
        </w:rPr>
        <w:t xml:space="preserve"> </w:t>
      </w:r>
      <w:r w:rsidRPr="00761691">
        <w:rPr>
          <w:rFonts w:ascii="Verdana" w:eastAsia="Calibri" w:hAnsi="Verdana" w:cs="Arial"/>
          <w:color w:val="000000" w:themeColor="text1"/>
          <w:lang w:val="es-ES"/>
        </w:rPr>
        <w:t>el Legislador expidió la Ley 100 de 1993, que en su artículo 194 permite la prestación de los servicios de salud en forma directa por la Nación o por las entidades territoriales a través de las Empresas Sociales del Estado, que constituyen una categoría especial de persona moral de derecho público de carácter descentralizado, con autonomía administrativa y patrimonio propio</w:t>
      </w:r>
      <w:r>
        <w:rPr>
          <w:rFonts w:ascii="Verdana" w:eastAsia="Calibri" w:hAnsi="Verdana" w:cs="Arial"/>
          <w:color w:val="000000" w:themeColor="text1"/>
          <w:lang w:val="es-ES"/>
        </w:rPr>
        <w:t>.</w:t>
      </w:r>
    </w:p>
    <w:p w14:paraId="2A4AD514" w14:textId="77777777" w:rsidR="007B7821" w:rsidRDefault="007B7821" w:rsidP="007B7821">
      <w:pPr>
        <w:spacing w:after="120" w:line="276" w:lineRule="auto"/>
        <w:ind w:firstLine="709"/>
        <w:jc w:val="both"/>
        <w:rPr>
          <w:rFonts w:ascii="Verdana" w:eastAsia="Calibri" w:hAnsi="Verdana" w:cs="Arial"/>
          <w:color w:val="000000" w:themeColor="text1"/>
          <w:lang w:val="es-ES"/>
        </w:rPr>
      </w:pPr>
      <w:r w:rsidRPr="00761691">
        <w:rPr>
          <w:rFonts w:ascii="Verdana" w:eastAsia="Calibri" w:hAnsi="Verdana" w:cs="Arial"/>
          <w:color w:val="000000" w:themeColor="text1"/>
          <w:lang w:val="es-ES"/>
        </w:rPr>
        <w:t>El numeral 5° del artículo 195 de la misma ley, que se refiere al régimen laboral de los sujetos vinculados las Empresas Sociales del Estado, remite en su integridad a la clasificación dispuesta en el capítulo IV de la Ley 10 de 1990, según la cual aquellas personas que desempeñen cargos destinados al mantenimiento de la planta física hospitalaria o de servicios generales son considerados trabajadores oficiales, mientras que de los demás servidores la ley predica su condición de empleados públicos (de carrera y libre nombramiento y remoción, si se trata del nivel directivo).</w:t>
      </w:r>
    </w:p>
    <w:p w14:paraId="13DD3B9B" w14:textId="77777777" w:rsidR="007B7821" w:rsidRPr="007148B1" w:rsidRDefault="007B7821" w:rsidP="007B7821">
      <w:pPr>
        <w:spacing w:after="120" w:line="276" w:lineRule="auto"/>
        <w:ind w:firstLine="709"/>
        <w:jc w:val="both"/>
        <w:rPr>
          <w:rFonts w:ascii="Verdana" w:eastAsia="Calibri" w:hAnsi="Verdana" w:cs="Arial"/>
          <w:color w:val="000000" w:themeColor="text1"/>
          <w:lang w:val="es-ES"/>
        </w:rPr>
      </w:pPr>
      <w:r w:rsidRPr="007148B1">
        <w:rPr>
          <w:rFonts w:ascii="Verdana" w:eastAsia="Calibri" w:hAnsi="Verdana" w:cs="Arial"/>
          <w:color w:val="000000" w:themeColor="text1"/>
          <w:lang w:val="es-ES"/>
        </w:rPr>
        <w:t xml:space="preserve">Por su parte, de conformidad con lo previsto en el artículo 127 de la Constitución Política </w:t>
      </w:r>
      <w:r w:rsidRPr="007148B1">
        <w:rPr>
          <w:rFonts w:ascii="Verdana" w:eastAsia="Calibri" w:hAnsi="Verdana" w:cs="Arial"/>
          <w:i/>
          <w:iCs/>
          <w:color w:val="000000" w:themeColor="text1"/>
          <w:lang w:val="es-ES"/>
        </w:rPr>
        <w:t>“</w:t>
      </w:r>
      <w:r w:rsidRPr="007148B1">
        <w:rPr>
          <w:rFonts w:ascii="Verdana" w:eastAsia="Calibri" w:hAnsi="Verdana" w:cs="Arial"/>
          <w:i/>
          <w:iCs/>
          <w:color w:val="000000" w:themeColor="text1"/>
        </w:rPr>
        <w:t xml:space="preserve">Los servidores públicos no podrán celebrar, por sí o por interpuesta persona, o en  representación de otro, contrato alguno con entidades públicas o con personas privadas que manejen o  administren recursos públicos, salvo las excepciones legales”, </w:t>
      </w:r>
      <w:r w:rsidRPr="007148B1">
        <w:rPr>
          <w:rFonts w:ascii="Verdana" w:eastAsia="Calibri" w:hAnsi="Verdana" w:cs="Arial"/>
          <w:color w:val="000000" w:themeColor="text1"/>
        </w:rPr>
        <w:t>así mismo, el artículo 128 constitucional indica que</w:t>
      </w:r>
      <w:r w:rsidRPr="007148B1">
        <w:rPr>
          <w:rFonts w:ascii="Verdana" w:eastAsia="Calibri" w:hAnsi="Verdana" w:cs="Arial"/>
          <w:i/>
          <w:iCs/>
          <w:color w:val="000000" w:themeColor="text1"/>
        </w:rPr>
        <w:t xml:space="preserve"> “Nadie podrá desempeñar simultáneamente más de un empleo público ni recibir más de una asignación que provenga del tesoro público, o de empresas o de instituciones en las que tenga parte  mayoritaria el Estado, salvo los casos expresamente determinados por la ley. Entiéndase por tesoro público el de la Nación, el de las entidades territoriales y el de las descentralizadas.”  </w:t>
      </w:r>
      <w:r w:rsidRPr="007148B1">
        <w:rPr>
          <w:rFonts w:ascii="Verdana" w:eastAsia="Calibri" w:hAnsi="Verdana" w:cs="Arial"/>
          <w:color w:val="000000" w:themeColor="text1"/>
          <w:lang w:val="es-ES"/>
        </w:rPr>
        <w:t xml:space="preserve">    </w:t>
      </w:r>
    </w:p>
    <w:p w14:paraId="29446CE5" w14:textId="77777777" w:rsidR="007B7821" w:rsidRPr="007148B1" w:rsidRDefault="007B7821" w:rsidP="007B7821">
      <w:pPr>
        <w:spacing w:after="120" w:line="276" w:lineRule="auto"/>
        <w:ind w:firstLine="709"/>
        <w:jc w:val="both"/>
        <w:rPr>
          <w:rFonts w:ascii="Verdana" w:eastAsia="Calibri" w:hAnsi="Verdana" w:cs="Arial"/>
          <w:color w:val="000000" w:themeColor="text1"/>
        </w:rPr>
      </w:pPr>
      <w:r w:rsidRPr="007148B1">
        <w:rPr>
          <w:rFonts w:ascii="Verdana" w:eastAsia="Calibri" w:hAnsi="Verdana" w:cs="Arial"/>
          <w:color w:val="000000" w:themeColor="text1"/>
          <w:lang w:val="es-ES"/>
        </w:rPr>
        <w:t>Ahora bien, de conformidad con lo previsto en la Ley 4 de 1992</w:t>
      </w:r>
      <w:r w:rsidRPr="007148B1">
        <w:rPr>
          <w:rStyle w:val="Refdenotaalpie"/>
          <w:rFonts w:ascii="Verdana" w:eastAsia="Calibri" w:hAnsi="Verdana" w:cs="Arial"/>
          <w:color w:val="000000" w:themeColor="text1"/>
          <w:lang w:val="es-ES"/>
        </w:rPr>
        <w:footnoteReference w:id="17"/>
      </w:r>
      <w:r w:rsidRPr="007148B1">
        <w:rPr>
          <w:rFonts w:ascii="Verdana" w:eastAsia="Calibri" w:hAnsi="Verdana" w:cs="Arial"/>
          <w:color w:val="000000" w:themeColor="text1"/>
          <w:lang w:val="es-ES"/>
        </w:rPr>
        <w:t>, el artículo 19 estableció</w:t>
      </w:r>
      <w:r w:rsidRPr="007148B1">
        <w:rPr>
          <w:rFonts w:ascii="Verdana" w:eastAsia="Calibri" w:hAnsi="Verdana" w:cs="Arial"/>
          <w:color w:val="000000" w:themeColor="text1"/>
        </w:rPr>
        <w:t xml:space="preserve"> las excepciones generales a la prohibición constitucional de recibir más de una asignación del erario, en los siguientes términos: </w:t>
      </w:r>
    </w:p>
    <w:p w14:paraId="411260E3"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148B1">
        <w:rPr>
          <w:rFonts w:ascii="Verdana" w:eastAsia="Calibri" w:hAnsi="Verdana" w:cs="Arial"/>
          <w:b/>
          <w:bCs/>
          <w:color w:val="000000" w:themeColor="text1"/>
          <w:sz w:val="20"/>
          <w:szCs w:val="20"/>
        </w:rPr>
        <w:t>Artículo 19.</w:t>
      </w:r>
      <w:r w:rsidRPr="007276FC">
        <w:rPr>
          <w:rFonts w:ascii="Verdana" w:eastAsia="Calibri" w:hAnsi="Verdana" w:cs="Arial"/>
          <w:b/>
          <w:bCs/>
          <w:color w:val="000000" w:themeColor="text1"/>
          <w:sz w:val="20"/>
          <w:szCs w:val="20"/>
        </w:rPr>
        <w:t> </w:t>
      </w:r>
      <w:r w:rsidRPr="007276FC">
        <w:rPr>
          <w:rFonts w:ascii="Verdana" w:eastAsia="Calibri" w:hAnsi="Verdana" w:cs="Arial"/>
          <w:color w:val="000000" w:themeColor="text1"/>
          <w:sz w:val="20"/>
          <w:szCs w:val="20"/>
        </w:rPr>
        <w:t xml:space="preserve">Nadie podrá desempeñar simultáneamente más de un empleo público, ni recibir más de </w:t>
      </w:r>
      <w:r w:rsidRPr="007148B1">
        <w:rPr>
          <w:rFonts w:ascii="Verdana" w:eastAsia="Calibri" w:hAnsi="Verdana" w:cs="Arial"/>
          <w:color w:val="000000" w:themeColor="text1"/>
          <w:sz w:val="20"/>
          <w:szCs w:val="20"/>
        </w:rPr>
        <w:t>una asignación</w:t>
      </w:r>
      <w:r w:rsidRPr="007276FC">
        <w:rPr>
          <w:rFonts w:ascii="Verdana" w:eastAsia="Calibri" w:hAnsi="Verdana" w:cs="Arial"/>
          <w:color w:val="000000" w:themeColor="text1"/>
          <w:sz w:val="20"/>
          <w:szCs w:val="20"/>
        </w:rPr>
        <w:t xml:space="preserve"> que provenga del Tesoro Público, o de empresas o de instituciones en las que tenga parte mayoritaria el Estado. Exceptúense las siguientes asignaciones:  </w:t>
      </w:r>
    </w:p>
    <w:p w14:paraId="791BBA2E"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37C26F1F"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a). Las que reciban los profesores universitarios que se desempeñen como asesores de la Rama Legislativa; </w:t>
      </w:r>
    </w:p>
    <w:p w14:paraId="392DCE35"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2D4C87D8"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b). Las percibidas por el personal con asignación de retiro o pensión militar o policial de la Fuerza Pública; </w:t>
      </w:r>
    </w:p>
    <w:p w14:paraId="6C0432F9"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78245B90"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c). Las percibidas por concepto de sustitución pensional;  </w:t>
      </w:r>
    </w:p>
    <w:p w14:paraId="25D98CBD"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25F8F804" w14:textId="77777777" w:rsidR="007B7821" w:rsidRPr="007276FC" w:rsidRDefault="007B7821" w:rsidP="007B7821">
      <w:pPr>
        <w:spacing w:after="0" w:line="240" w:lineRule="auto"/>
        <w:ind w:left="851" w:right="758"/>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d). Los honorarios percibidos por concepto de hora-cátedra;  </w:t>
      </w:r>
    </w:p>
    <w:p w14:paraId="5B4F849F" w14:textId="77777777" w:rsidR="007B7821" w:rsidRPr="007276FC" w:rsidRDefault="007B7821" w:rsidP="007B7821">
      <w:pPr>
        <w:spacing w:after="0" w:line="240" w:lineRule="auto"/>
        <w:ind w:firstLine="709"/>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149FB96E"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e). </w:t>
      </w:r>
      <w:r w:rsidRPr="007276FC">
        <w:rPr>
          <w:rFonts w:ascii="Verdana" w:eastAsia="Calibri" w:hAnsi="Verdana" w:cs="Arial"/>
          <w:color w:val="000000" w:themeColor="text1"/>
          <w:sz w:val="20"/>
          <w:szCs w:val="20"/>
          <w:u w:val="single"/>
        </w:rPr>
        <w:t>Los honorarios percibidos por concepto de servicios profesionales de salud</w:t>
      </w:r>
      <w:r w:rsidRPr="007276FC">
        <w:rPr>
          <w:rFonts w:ascii="Verdana" w:eastAsia="Calibri" w:hAnsi="Verdana" w:cs="Arial"/>
          <w:color w:val="000000" w:themeColor="text1"/>
          <w:sz w:val="20"/>
          <w:szCs w:val="20"/>
        </w:rPr>
        <w:t>;  </w:t>
      </w:r>
    </w:p>
    <w:p w14:paraId="4E99797E"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70D6AA04"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xml:space="preserve">f). Los honorarios percibidos por los miembros de las Juntas Directivas, </w:t>
      </w:r>
      <w:proofErr w:type="gramStart"/>
      <w:r w:rsidRPr="007276FC">
        <w:rPr>
          <w:rFonts w:ascii="Verdana" w:eastAsia="Calibri" w:hAnsi="Verdana" w:cs="Arial"/>
          <w:color w:val="000000" w:themeColor="text1"/>
          <w:sz w:val="20"/>
          <w:szCs w:val="20"/>
        </w:rPr>
        <w:t>en razón de</w:t>
      </w:r>
      <w:proofErr w:type="gramEnd"/>
      <w:r w:rsidRPr="007276FC">
        <w:rPr>
          <w:rFonts w:ascii="Verdana" w:eastAsia="Calibri" w:hAnsi="Verdana" w:cs="Arial"/>
          <w:color w:val="000000" w:themeColor="text1"/>
          <w:sz w:val="20"/>
          <w:szCs w:val="20"/>
        </w:rPr>
        <w:t xml:space="preserve"> su asistencia a </w:t>
      </w:r>
      <w:r w:rsidRPr="007148B1">
        <w:rPr>
          <w:rFonts w:ascii="Verdana" w:eastAsia="Calibri" w:hAnsi="Verdana" w:cs="Arial"/>
          <w:color w:val="000000" w:themeColor="text1"/>
          <w:sz w:val="20"/>
          <w:szCs w:val="20"/>
        </w:rPr>
        <w:t>las mismas</w:t>
      </w:r>
      <w:r w:rsidRPr="007276FC">
        <w:rPr>
          <w:rFonts w:ascii="Verdana" w:eastAsia="Calibri" w:hAnsi="Verdana" w:cs="Arial"/>
          <w:color w:val="000000" w:themeColor="text1"/>
          <w:sz w:val="20"/>
          <w:szCs w:val="20"/>
        </w:rPr>
        <w:t>, siempre que no se trate de más de dos juntas;  </w:t>
      </w:r>
    </w:p>
    <w:p w14:paraId="76455416"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5CB7BAEA"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xml:space="preserve">g). Las que a la fecha de </w:t>
      </w:r>
      <w:proofErr w:type="gramStart"/>
      <w:r w:rsidRPr="007276FC">
        <w:rPr>
          <w:rFonts w:ascii="Verdana" w:eastAsia="Calibri" w:hAnsi="Verdana" w:cs="Arial"/>
          <w:color w:val="000000" w:themeColor="text1"/>
          <w:sz w:val="20"/>
          <w:szCs w:val="20"/>
        </w:rPr>
        <w:t>entrar en vigencia</w:t>
      </w:r>
      <w:proofErr w:type="gramEnd"/>
      <w:r w:rsidRPr="007276FC">
        <w:rPr>
          <w:rFonts w:ascii="Verdana" w:eastAsia="Calibri" w:hAnsi="Verdana" w:cs="Arial"/>
          <w:color w:val="000000" w:themeColor="text1"/>
          <w:sz w:val="20"/>
          <w:szCs w:val="20"/>
        </w:rPr>
        <w:t xml:space="preserve"> la presente Ley beneficien a los servidores oficiales </w:t>
      </w:r>
      <w:r w:rsidRPr="007148B1">
        <w:rPr>
          <w:rFonts w:ascii="Verdana" w:eastAsia="Calibri" w:hAnsi="Verdana" w:cs="Arial"/>
          <w:color w:val="000000" w:themeColor="text1"/>
          <w:sz w:val="20"/>
          <w:szCs w:val="20"/>
        </w:rPr>
        <w:t>docentes pensionados</w:t>
      </w:r>
      <w:r w:rsidRPr="007276FC">
        <w:rPr>
          <w:rFonts w:ascii="Verdana" w:eastAsia="Calibri" w:hAnsi="Verdana" w:cs="Arial"/>
          <w:color w:val="000000" w:themeColor="text1"/>
          <w:sz w:val="20"/>
          <w:szCs w:val="20"/>
        </w:rPr>
        <w:t>.  </w:t>
      </w:r>
    </w:p>
    <w:p w14:paraId="0F8A84A5" w14:textId="77777777" w:rsidR="007B7821" w:rsidRPr="007276FC"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color w:val="000000" w:themeColor="text1"/>
          <w:sz w:val="20"/>
          <w:szCs w:val="20"/>
        </w:rPr>
        <w:t> </w:t>
      </w:r>
    </w:p>
    <w:p w14:paraId="500F550E" w14:textId="77777777" w:rsidR="007B7821" w:rsidRPr="007148B1" w:rsidRDefault="007B7821" w:rsidP="007B7821">
      <w:pPr>
        <w:spacing w:after="0" w:line="240" w:lineRule="auto"/>
        <w:ind w:left="851" w:right="616"/>
        <w:jc w:val="both"/>
        <w:rPr>
          <w:rFonts w:ascii="Verdana" w:eastAsia="Calibri" w:hAnsi="Verdana" w:cs="Arial"/>
          <w:color w:val="000000" w:themeColor="text1"/>
          <w:sz w:val="20"/>
          <w:szCs w:val="20"/>
        </w:rPr>
      </w:pPr>
      <w:r w:rsidRPr="007276FC">
        <w:rPr>
          <w:rFonts w:ascii="Verdana" w:eastAsia="Calibri" w:hAnsi="Verdana" w:cs="Arial"/>
          <w:b/>
          <w:bCs/>
          <w:color w:val="000000" w:themeColor="text1"/>
          <w:sz w:val="20"/>
          <w:szCs w:val="20"/>
        </w:rPr>
        <w:t>PARÁGRAFO. </w:t>
      </w:r>
      <w:r w:rsidRPr="007276FC">
        <w:rPr>
          <w:rFonts w:ascii="Verdana" w:eastAsia="Calibri" w:hAnsi="Verdana" w:cs="Arial"/>
          <w:color w:val="000000" w:themeColor="text1"/>
          <w:sz w:val="20"/>
          <w:szCs w:val="20"/>
        </w:rPr>
        <w:t xml:space="preserve">No se podrán recibir honorarios que sumados correspondan a más de ocho (8) horas </w:t>
      </w:r>
      <w:r w:rsidRPr="007148B1">
        <w:rPr>
          <w:rFonts w:ascii="Verdana" w:eastAsia="Calibri" w:hAnsi="Verdana" w:cs="Arial"/>
          <w:color w:val="000000" w:themeColor="text1"/>
          <w:sz w:val="20"/>
          <w:szCs w:val="20"/>
        </w:rPr>
        <w:t>diarias de</w:t>
      </w:r>
      <w:r w:rsidRPr="007276FC">
        <w:rPr>
          <w:rFonts w:ascii="Verdana" w:eastAsia="Calibri" w:hAnsi="Verdana" w:cs="Arial"/>
          <w:color w:val="000000" w:themeColor="text1"/>
          <w:sz w:val="20"/>
          <w:szCs w:val="20"/>
        </w:rPr>
        <w:t xml:space="preserve"> trabajo a varias entidades. (...)”. </w:t>
      </w:r>
      <w:r w:rsidRPr="007148B1">
        <w:rPr>
          <w:rFonts w:ascii="Verdana" w:eastAsia="Calibri" w:hAnsi="Verdana" w:cs="Arial"/>
          <w:color w:val="000000" w:themeColor="text1"/>
          <w:sz w:val="20"/>
          <w:szCs w:val="20"/>
        </w:rPr>
        <w:t xml:space="preserve">(Subrayado fuera de texto) </w:t>
      </w:r>
    </w:p>
    <w:p w14:paraId="773ECCE1" w14:textId="77777777" w:rsidR="007B7821" w:rsidRPr="007148B1" w:rsidRDefault="007B7821" w:rsidP="007B7821">
      <w:pPr>
        <w:spacing w:after="0" w:line="240" w:lineRule="auto"/>
        <w:ind w:right="616"/>
        <w:jc w:val="both"/>
        <w:rPr>
          <w:rFonts w:ascii="Verdana" w:eastAsia="Calibri" w:hAnsi="Verdana" w:cs="Arial"/>
          <w:b/>
          <w:bCs/>
          <w:color w:val="000000" w:themeColor="text1"/>
          <w:sz w:val="20"/>
          <w:szCs w:val="20"/>
        </w:rPr>
      </w:pPr>
    </w:p>
    <w:p w14:paraId="3F46C8ED" w14:textId="77777777" w:rsidR="007B7821" w:rsidRDefault="007B7821" w:rsidP="007B7821">
      <w:pPr>
        <w:widowControl w:val="0"/>
        <w:autoSpaceDE w:val="0"/>
        <w:autoSpaceDN w:val="0"/>
        <w:spacing w:after="120" w:line="276" w:lineRule="auto"/>
        <w:ind w:firstLine="709"/>
        <w:jc w:val="both"/>
        <w:rPr>
          <w:rFonts w:ascii="Verdana" w:eastAsia="Arial" w:hAnsi="Verdana" w:cs="Arial"/>
          <w:lang w:val="es-ES"/>
        </w:rPr>
      </w:pPr>
      <w:r w:rsidRPr="2F4CCC6E">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 el cual es definido en el artículo 19 de la Ley 909 de 2004 como: “[…]</w:t>
      </w:r>
      <w:r w:rsidRPr="2F4CCC6E">
        <w:rPr>
          <w:rFonts w:ascii="Verdana" w:eastAsia="Arial" w:hAnsi="Verdana" w:cs="Arial"/>
        </w:rPr>
        <w:t xml:space="preserve"> el conjunto de funciones, tareas y responsabilidades que se asignan a una persona y las competencias requeridas para llevarlas a cabo, con el propósito de satisfacer el cumplimiento de los planes de desarrollo y los fines del Estado”</w:t>
      </w:r>
      <w:r w:rsidRPr="2F4CCC6E">
        <w:rPr>
          <w:rFonts w:ascii="Verdana" w:eastAsia="Arial" w:hAnsi="Verdana" w:cs="Arial"/>
          <w:lang w:val="es-ES"/>
        </w:rPr>
        <w:t xml:space="preserve">. </w:t>
      </w:r>
    </w:p>
    <w:p w14:paraId="1997093C" w14:textId="77777777" w:rsidR="007B7821" w:rsidRDefault="007B7821" w:rsidP="007B7821">
      <w:pPr>
        <w:widowControl w:val="0"/>
        <w:autoSpaceDE w:val="0"/>
        <w:autoSpaceDN w:val="0"/>
        <w:spacing w:after="120" w:line="276" w:lineRule="auto"/>
        <w:ind w:firstLine="709"/>
        <w:jc w:val="both"/>
        <w:rPr>
          <w:rFonts w:ascii="Verdana" w:eastAsia="Arial" w:hAnsi="Verdana" w:cs="Arial"/>
          <w:lang w:val="es-ES"/>
        </w:rPr>
      </w:pPr>
      <w:r w:rsidRPr="00C8156A">
        <w:rPr>
          <w:rFonts w:ascii="Verdana" w:eastAsia="Arial" w:hAnsi="Verdana" w:cs="Arial"/>
          <w:lang w:val="es-ES"/>
        </w:rPr>
        <w:t>Al respecto, la Sala de Consulta y Servicio Civil del Consejo de Estado, en</w:t>
      </w:r>
      <w:r w:rsidRPr="00C8156A">
        <w:rPr>
          <w:rFonts w:ascii="Verdana" w:eastAsia="Arial" w:hAnsi="Verdana" w:cs="Arial"/>
          <w:spacing w:val="53"/>
          <w:lang w:val="es-ES"/>
        </w:rPr>
        <w:t xml:space="preserve"> </w:t>
      </w:r>
      <w:r>
        <w:rPr>
          <w:rFonts w:ascii="Verdana" w:eastAsia="Arial" w:hAnsi="Verdana" w:cs="Arial"/>
          <w:lang w:val="es-ES"/>
        </w:rPr>
        <w:t>C</w:t>
      </w:r>
      <w:r w:rsidRPr="00C8156A">
        <w:rPr>
          <w:rFonts w:ascii="Verdana" w:eastAsia="Arial" w:hAnsi="Verdana" w:cs="Arial"/>
          <w:lang w:val="es-ES"/>
        </w:rPr>
        <w:t>oncepto</w:t>
      </w:r>
      <w:r w:rsidRPr="00C8156A">
        <w:rPr>
          <w:rFonts w:ascii="Verdana" w:eastAsia="Arial" w:hAnsi="Verdana" w:cs="Arial"/>
          <w:spacing w:val="54"/>
          <w:lang w:val="es-ES"/>
        </w:rPr>
        <w:t xml:space="preserve"> </w:t>
      </w:r>
      <w:r w:rsidRPr="00C8156A">
        <w:rPr>
          <w:rFonts w:ascii="Verdana" w:eastAsia="Arial" w:hAnsi="Verdana" w:cs="Arial"/>
          <w:lang w:val="es-ES"/>
        </w:rPr>
        <w:t>No</w:t>
      </w:r>
      <w:r w:rsidRPr="00C8156A">
        <w:rPr>
          <w:rFonts w:ascii="Verdana" w:eastAsia="Arial" w:hAnsi="Verdana" w:cs="Arial"/>
          <w:spacing w:val="54"/>
          <w:lang w:val="es-ES"/>
        </w:rPr>
        <w:t xml:space="preserve"> </w:t>
      </w:r>
      <w:r w:rsidRPr="00C8156A">
        <w:rPr>
          <w:rFonts w:ascii="Verdana" w:eastAsia="Arial" w:hAnsi="Verdana" w:cs="Arial"/>
          <w:lang w:val="es-ES"/>
        </w:rPr>
        <w:t>1.344,</w:t>
      </w:r>
      <w:r w:rsidRPr="00C8156A">
        <w:rPr>
          <w:rFonts w:ascii="Verdana" w:eastAsia="Arial" w:hAnsi="Verdana" w:cs="Arial"/>
          <w:spacing w:val="54"/>
          <w:lang w:val="es-ES"/>
        </w:rPr>
        <w:t xml:space="preserve"> </w:t>
      </w:r>
      <w:r w:rsidRPr="00C8156A">
        <w:rPr>
          <w:rFonts w:ascii="Verdana" w:eastAsia="Arial" w:hAnsi="Verdana" w:cs="Arial"/>
          <w:lang w:val="es-ES"/>
        </w:rPr>
        <w:t>del</w:t>
      </w:r>
      <w:r w:rsidRPr="00C8156A">
        <w:rPr>
          <w:rFonts w:ascii="Verdana" w:eastAsia="Arial" w:hAnsi="Verdana" w:cs="Arial"/>
          <w:spacing w:val="55"/>
          <w:lang w:val="es-ES"/>
        </w:rPr>
        <w:t xml:space="preserve"> </w:t>
      </w:r>
      <w:r w:rsidRPr="00C8156A">
        <w:rPr>
          <w:rFonts w:ascii="Verdana" w:eastAsia="Arial" w:hAnsi="Verdana" w:cs="Arial"/>
          <w:lang w:val="es-ES"/>
        </w:rPr>
        <w:t>10</w:t>
      </w:r>
      <w:r w:rsidRPr="00C8156A">
        <w:rPr>
          <w:rFonts w:ascii="Verdana" w:eastAsia="Arial" w:hAnsi="Verdana" w:cs="Arial"/>
          <w:spacing w:val="54"/>
          <w:lang w:val="es-ES"/>
        </w:rPr>
        <w:t xml:space="preserve"> </w:t>
      </w:r>
      <w:r w:rsidRPr="00C8156A">
        <w:rPr>
          <w:rFonts w:ascii="Verdana" w:eastAsia="Arial" w:hAnsi="Verdana" w:cs="Arial"/>
          <w:lang w:val="es-ES"/>
        </w:rPr>
        <w:t>de</w:t>
      </w:r>
      <w:r w:rsidRPr="00C8156A">
        <w:rPr>
          <w:rFonts w:ascii="Verdana" w:eastAsia="Arial" w:hAnsi="Verdana" w:cs="Arial"/>
          <w:spacing w:val="53"/>
          <w:lang w:val="es-ES"/>
        </w:rPr>
        <w:t xml:space="preserve"> </w:t>
      </w:r>
      <w:r w:rsidRPr="00C8156A">
        <w:rPr>
          <w:rFonts w:ascii="Verdana" w:eastAsia="Arial" w:hAnsi="Verdana" w:cs="Arial"/>
          <w:lang w:val="es-ES"/>
        </w:rPr>
        <w:t>mayo</w:t>
      </w:r>
      <w:r w:rsidRPr="00C8156A">
        <w:rPr>
          <w:rFonts w:ascii="Verdana" w:eastAsia="Arial" w:hAnsi="Verdana" w:cs="Arial"/>
          <w:spacing w:val="54"/>
          <w:lang w:val="es-ES"/>
        </w:rPr>
        <w:t xml:space="preserve"> </w:t>
      </w:r>
      <w:r w:rsidRPr="00C8156A">
        <w:rPr>
          <w:rFonts w:ascii="Verdana" w:eastAsia="Arial" w:hAnsi="Verdana" w:cs="Arial"/>
          <w:lang w:val="es-ES"/>
        </w:rPr>
        <w:t>de</w:t>
      </w:r>
      <w:r w:rsidRPr="00C8156A">
        <w:rPr>
          <w:rFonts w:ascii="Verdana" w:eastAsia="Arial" w:hAnsi="Verdana" w:cs="Arial"/>
          <w:spacing w:val="54"/>
          <w:lang w:val="es-ES"/>
        </w:rPr>
        <w:t xml:space="preserve"> </w:t>
      </w:r>
      <w:r w:rsidRPr="00C8156A">
        <w:rPr>
          <w:rFonts w:ascii="Verdana" w:eastAsia="Arial" w:hAnsi="Verdana" w:cs="Arial"/>
          <w:lang w:val="es-ES"/>
        </w:rPr>
        <w:t>2001,</w:t>
      </w:r>
      <w:r w:rsidRPr="00C8156A">
        <w:rPr>
          <w:rFonts w:ascii="Verdana" w:eastAsia="Arial" w:hAnsi="Verdana" w:cs="Arial"/>
          <w:spacing w:val="52"/>
          <w:lang w:val="es-ES"/>
        </w:rPr>
        <w:t xml:space="preserve"> </w:t>
      </w:r>
      <w:r w:rsidRPr="00C8156A">
        <w:rPr>
          <w:rFonts w:ascii="Verdana" w:eastAsia="Arial" w:hAnsi="Verdana" w:cs="Arial"/>
          <w:lang w:val="es-ES"/>
        </w:rPr>
        <w:t>con</w:t>
      </w:r>
      <w:r w:rsidRPr="00C8156A">
        <w:rPr>
          <w:rFonts w:ascii="Verdana" w:eastAsia="Arial" w:hAnsi="Verdana" w:cs="Arial"/>
          <w:spacing w:val="53"/>
          <w:lang w:val="es-ES"/>
        </w:rPr>
        <w:t xml:space="preserve"> </w:t>
      </w:r>
      <w:r w:rsidRPr="00C8156A">
        <w:rPr>
          <w:rFonts w:ascii="Verdana" w:eastAsia="Arial" w:hAnsi="Verdana" w:cs="Arial"/>
          <w:lang w:val="es-ES"/>
        </w:rPr>
        <w:t>ponencia</w:t>
      </w:r>
      <w:r w:rsidRPr="00C8156A">
        <w:rPr>
          <w:rFonts w:ascii="Verdana" w:eastAsia="Arial" w:hAnsi="Verdana" w:cs="Arial"/>
          <w:spacing w:val="54"/>
          <w:lang w:val="es-ES"/>
        </w:rPr>
        <w:t xml:space="preserve"> </w:t>
      </w:r>
      <w:r w:rsidRPr="00C8156A">
        <w:rPr>
          <w:rFonts w:ascii="Verdana" w:eastAsia="Arial" w:hAnsi="Verdana" w:cs="Arial"/>
          <w:lang w:val="es-ES"/>
        </w:rPr>
        <w:t>del</w:t>
      </w:r>
      <w:r w:rsidRPr="00C8156A">
        <w:rPr>
          <w:rFonts w:ascii="Verdana" w:eastAsia="Arial" w:hAnsi="Verdana" w:cs="Arial"/>
          <w:spacing w:val="55"/>
          <w:lang w:val="es-ES"/>
        </w:rPr>
        <w:t xml:space="preserve"> </w:t>
      </w:r>
      <w:proofErr w:type="gramStart"/>
      <w:r w:rsidRPr="00C8156A">
        <w:rPr>
          <w:rFonts w:ascii="Verdana" w:eastAsia="Arial" w:hAnsi="Verdana" w:cs="Arial"/>
          <w:lang w:val="es-ES"/>
        </w:rPr>
        <w:t>Consejero</w:t>
      </w:r>
      <w:proofErr w:type="gramEnd"/>
      <w:r w:rsidRPr="00C8156A">
        <w:rPr>
          <w:rFonts w:ascii="Verdana" w:eastAsia="Arial" w:hAnsi="Verdana" w:cs="Arial"/>
          <w:spacing w:val="59"/>
          <w:lang w:val="es-ES"/>
        </w:rPr>
        <w:t xml:space="preserve"> </w:t>
      </w:r>
      <w:r w:rsidRPr="00C8156A">
        <w:rPr>
          <w:rFonts w:ascii="Verdana" w:eastAsia="Arial" w:hAnsi="Verdana" w:cs="Arial"/>
          <w:lang w:val="es-ES"/>
        </w:rPr>
        <w:t>Flavio Augusto Rodríguez Arce,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7EF4997F" w14:textId="45CFC8AE" w:rsidR="007B7821" w:rsidRDefault="007B7821" w:rsidP="00075BCD">
      <w:pPr>
        <w:widowControl w:val="0"/>
        <w:autoSpaceDE w:val="0"/>
        <w:autoSpaceDN w:val="0"/>
        <w:spacing w:after="0" w:line="276" w:lineRule="auto"/>
        <w:ind w:firstLine="709"/>
        <w:jc w:val="both"/>
        <w:rPr>
          <w:rFonts w:ascii="Verdana" w:eastAsia="Arial" w:hAnsi="Verdana" w:cs="Arial"/>
          <w:lang w:val="es-ES"/>
        </w:rPr>
      </w:pPr>
      <w:r>
        <w:rPr>
          <w:rFonts w:ascii="Verdana" w:eastAsia="Arial" w:hAnsi="Verdana" w:cs="Arial"/>
          <w:lang w:val="es-ES"/>
        </w:rPr>
        <w:t>La Corte Constitucional, en la S</w:t>
      </w:r>
      <w:r w:rsidRPr="00C8156A">
        <w:rPr>
          <w:rFonts w:ascii="Verdana" w:eastAsia="Arial" w:hAnsi="Verdana" w:cs="Arial"/>
          <w:lang w:val="es-ES"/>
        </w:rPr>
        <w:t>entenci</w:t>
      </w:r>
      <w:r>
        <w:rPr>
          <w:rFonts w:ascii="Verdana" w:eastAsia="Arial" w:hAnsi="Verdana" w:cs="Arial"/>
          <w:lang w:val="es-ES"/>
        </w:rPr>
        <w:t>a C-133 del 1 de abril de 1993</w:t>
      </w:r>
      <w:r w:rsidRPr="00C8156A">
        <w:rPr>
          <w:rFonts w:ascii="Verdana" w:eastAsia="Arial" w:hAnsi="Verdana" w:cs="Arial"/>
          <w:lang w:val="es-ES"/>
        </w:rPr>
        <w:t>, analizó la demanda de inconstitucionalidad contra el artículo 19 de la Ley 4 de 1992. Señaló que la expresión “asignación” comprende todo tipo de remuneración que proviene del tesoro</w:t>
      </w:r>
      <w:r w:rsidRPr="00C8156A">
        <w:rPr>
          <w:rFonts w:ascii="Verdana" w:eastAsia="Arial" w:hAnsi="Verdana" w:cs="Arial"/>
          <w:spacing w:val="-8"/>
          <w:lang w:val="es-ES"/>
        </w:rPr>
        <w:t xml:space="preserve"> </w:t>
      </w:r>
      <w:r w:rsidRPr="00C8156A">
        <w:rPr>
          <w:rFonts w:ascii="Verdana" w:eastAsia="Arial" w:hAnsi="Verdana" w:cs="Arial"/>
          <w:lang w:val="es-ES"/>
        </w:rPr>
        <w:t>público:</w:t>
      </w:r>
    </w:p>
    <w:p w14:paraId="08B1A237" w14:textId="77777777" w:rsidR="007B7821" w:rsidRPr="00EE4799" w:rsidRDefault="007B7821" w:rsidP="007B7821">
      <w:pPr>
        <w:spacing w:after="0" w:line="240" w:lineRule="auto"/>
        <w:ind w:left="709" w:right="709"/>
        <w:jc w:val="both"/>
        <w:rPr>
          <w:rFonts w:ascii="Verdana" w:eastAsia="Arial" w:hAnsi="Verdana" w:cs="Arial"/>
          <w:sz w:val="20"/>
          <w:szCs w:val="20"/>
          <w:lang w:eastAsia="es-ES"/>
        </w:rPr>
      </w:pPr>
      <w:r w:rsidRPr="00A37FEF">
        <w:rPr>
          <w:rFonts w:ascii="Verdana" w:eastAsia="Arial" w:hAnsi="Verdana" w:cs="Arial"/>
          <w:sz w:val="20"/>
          <w:szCs w:val="20"/>
          <w:lang w:eastAsia="es-ES"/>
        </w:rPr>
        <w:t xml:space="preserve">“Si bien es cierto que en el artículo 128 C.P. se consagra una incompatibilidad, no lo es menos que ésta se encuentra en íntima relación de conexidad con la remuneración de los servidores estatales; basta ver que en ella se prohíbe la concurrencia de dos o más cargos públicos en una misma persona, tanto como recibir más de una asignación que provenga del </w:t>
      </w:r>
      <w:proofErr w:type="gramStart"/>
      <w:r w:rsidRPr="00A37FEF">
        <w:rPr>
          <w:rFonts w:ascii="Verdana" w:eastAsia="Arial" w:hAnsi="Verdana" w:cs="Arial"/>
          <w:sz w:val="20"/>
          <w:szCs w:val="20"/>
          <w:lang w:eastAsia="es-ES"/>
        </w:rPr>
        <w:t>erario público</w:t>
      </w:r>
      <w:proofErr w:type="gramEnd"/>
      <w:r w:rsidRPr="00A37FEF">
        <w:rPr>
          <w:rFonts w:ascii="Verdana" w:eastAsia="Arial" w:hAnsi="Verdana" w:cs="Arial"/>
          <w:sz w:val="20"/>
          <w:szCs w:val="20"/>
          <w:lang w:eastAsia="es-ES"/>
        </w:rPr>
        <w:t>. El término "asignación” comprende toda clase de remuneración que emane del tesoro público, llámese sueldo, honorario, mesada pensional, etc. Siendo así, bien podía el legislador ordinario establecer dicha incompatibilidad dentro de la citada Ley 4a. de 1992, sin contrariar mandato constitucional alguno. Aún en el remoto caso de que se hubiere concluido que el régimen de inhabilidades e incompatibilidades para los funcionarios públicos debía ser regulado por medio de ley ordinaria, el artículo 19, objeto de acusación, tampoco sería inconstitucional, por cuanto el legislador estaba perfectamente facultado para hacerlo”</w:t>
      </w:r>
      <w:r w:rsidRPr="00A37FEF">
        <w:rPr>
          <w:rStyle w:val="Refdenotaalpie"/>
          <w:rFonts w:ascii="Verdana" w:eastAsia="Arial" w:hAnsi="Verdana" w:cs="Arial"/>
          <w:sz w:val="20"/>
          <w:szCs w:val="20"/>
          <w:lang w:eastAsia="es-ES"/>
        </w:rPr>
        <w:footnoteReference w:id="18"/>
      </w:r>
      <w:r w:rsidRPr="00A37FEF">
        <w:rPr>
          <w:rFonts w:ascii="Verdana" w:eastAsia="Arial" w:hAnsi="Verdana" w:cs="Arial"/>
          <w:sz w:val="20"/>
          <w:szCs w:val="20"/>
          <w:lang w:eastAsia="es-ES"/>
        </w:rPr>
        <w:t>.</w:t>
      </w:r>
    </w:p>
    <w:p w14:paraId="21A8BBE0" w14:textId="77777777" w:rsidR="007B7821" w:rsidRPr="00C8156A" w:rsidRDefault="007B7821" w:rsidP="007B7821">
      <w:pPr>
        <w:widowControl w:val="0"/>
        <w:autoSpaceDE w:val="0"/>
        <w:autoSpaceDN w:val="0"/>
        <w:spacing w:after="0" w:line="276" w:lineRule="auto"/>
        <w:jc w:val="both"/>
        <w:rPr>
          <w:rFonts w:ascii="Verdana" w:eastAsia="Arial" w:hAnsi="Verdana" w:cs="Arial"/>
          <w:lang w:val="es-ES"/>
        </w:rPr>
      </w:pPr>
    </w:p>
    <w:p w14:paraId="613C3413" w14:textId="77777777" w:rsidR="007B7821" w:rsidRDefault="007B7821" w:rsidP="007B7821">
      <w:pPr>
        <w:widowControl w:val="0"/>
        <w:autoSpaceDE w:val="0"/>
        <w:autoSpaceDN w:val="0"/>
        <w:spacing w:after="120" w:line="276" w:lineRule="auto"/>
        <w:ind w:firstLine="708"/>
        <w:jc w:val="both"/>
        <w:rPr>
          <w:rFonts w:ascii="Verdana" w:eastAsia="Arial" w:hAnsi="Verdana" w:cs="Arial"/>
          <w:lang w:val="es-ES"/>
        </w:rPr>
      </w:pPr>
      <w:r w:rsidRPr="00C8156A">
        <w:rPr>
          <w:rFonts w:ascii="Verdana" w:eastAsia="Arial" w:hAnsi="Verdana" w:cs="Arial"/>
          <w:lang w:val="es-ES"/>
        </w:rPr>
        <w:t xml:space="preserve">En el concepto citado anteriormente, la Sala consideró necesario utilizar diferentes criterios de interpretación de estas normas, toda vez que le permitirían concluir que la finalidad de la norma está dirigida a: i) prevenir que existan en una misma persona más de un empleo público remunerado, con la acumulación de funciones públicas y </w:t>
      </w:r>
      <w:proofErr w:type="spellStart"/>
      <w:r w:rsidRPr="00C8156A">
        <w:rPr>
          <w:rFonts w:ascii="Verdana" w:eastAsia="Arial" w:hAnsi="Verdana" w:cs="Arial"/>
          <w:lang w:val="es-ES"/>
        </w:rPr>
        <w:t>ii</w:t>
      </w:r>
      <w:proofErr w:type="spellEnd"/>
      <w:r w:rsidRPr="00C8156A">
        <w:rPr>
          <w:rFonts w:ascii="Verdana" w:eastAsia="Arial" w:hAnsi="Verdana" w:cs="Arial"/>
          <w:lang w:val="es-ES"/>
        </w:rPr>
        <w:t>) evitar que un funcionario público reciba otra asignación proveniente del tesoro público, además de su salario, y por consiguiente la necesidad de prohibir constitucionalmente la doble asignación que emane del tesoro</w:t>
      </w:r>
      <w:r w:rsidRPr="00C8156A">
        <w:rPr>
          <w:rFonts w:ascii="Verdana" w:eastAsia="Arial" w:hAnsi="Verdana" w:cs="Arial"/>
          <w:spacing w:val="-6"/>
          <w:lang w:val="es-ES"/>
        </w:rPr>
        <w:t xml:space="preserve"> </w:t>
      </w:r>
      <w:r w:rsidRPr="00C8156A">
        <w:rPr>
          <w:rFonts w:ascii="Verdana" w:eastAsia="Arial" w:hAnsi="Verdana" w:cs="Arial"/>
          <w:lang w:val="es-ES"/>
        </w:rPr>
        <w:t>público.</w:t>
      </w:r>
    </w:p>
    <w:p w14:paraId="5DA6A37A" w14:textId="77777777" w:rsidR="007B7821" w:rsidRPr="00C8156A" w:rsidRDefault="007B7821" w:rsidP="007B7821">
      <w:pPr>
        <w:widowControl w:val="0"/>
        <w:autoSpaceDE w:val="0"/>
        <w:autoSpaceDN w:val="0"/>
        <w:spacing w:after="120" w:line="276" w:lineRule="auto"/>
        <w:ind w:firstLine="708"/>
        <w:jc w:val="both"/>
        <w:rPr>
          <w:rFonts w:ascii="Verdana" w:eastAsia="Arial" w:hAnsi="Verdana" w:cs="Arial"/>
          <w:lang w:val="es-ES"/>
        </w:rPr>
      </w:pPr>
      <w:r w:rsidRPr="00C8156A">
        <w:rPr>
          <w:rFonts w:ascii="Verdana" w:eastAsia="Arial" w:hAnsi="Verdana" w:cs="Arial"/>
          <w:lang w:val="es-ES"/>
        </w:rPr>
        <w:t xml:space="preserve">Finalmente, la Sala precisó que si bien lo anterior se relaciona </w:t>
      </w:r>
      <w:r>
        <w:rPr>
          <w:rFonts w:ascii="Verdana" w:eastAsia="Arial" w:hAnsi="Verdana" w:cs="Arial"/>
          <w:lang w:val="es-ES"/>
        </w:rPr>
        <w:t xml:space="preserve">con los empleos públicos, no </w:t>
      </w:r>
      <w:r w:rsidRPr="00C8156A">
        <w:rPr>
          <w:rFonts w:ascii="Verdana" w:eastAsia="Arial" w:hAnsi="Verdana" w:cs="Arial"/>
          <w:lang w:val="es-ES"/>
        </w:rPr>
        <w:t>puede olvidar</w:t>
      </w:r>
      <w:r>
        <w:rPr>
          <w:rFonts w:ascii="Verdana" w:eastAsia="Arial" w:hAnsi="Verdana" w:cs="Arial"/>
          <w:lang w:val="es-ES"/>
        </w:rPr>
        <w:t>se</w:t>
      </w:r>
      <w:r w:rsidRPr="00C8156A">
        <w:rPr>
          <w:rFonts w:ascii="Verdana" w:eastAsia="Arial" w:hAnsi="Verdana" w:cs="Arial"/>
          <w:lang w:val="es-ES"/>
        </w:rPr>
        <w:t xml:space="preserve"> lo previsto en el artículo 123 de la Constitución Política, que incluye en la clasificación de servidores públicos a los miembros de las corporaciones públicas, quienes no son empleados públicos ni tienen un vínculo laboral con el Estado, pero que de conformidad</w:t>
      </w:r>
      <w:r w:rsidRPr="00C8156A">
        <w:rPr>
          <w:rFonts w:ascii="Verdana" w:eastAsia="Arial" w:hAnsi="Verdana" w:cs="Arial"/>
          <w:spacing w:val="17"/>
          <w:lang w:val="es-ES"/>
        </w:rPr>
        <w:t xml:space="preserve"> </w:t>
      </w:r>
      <w:r w:rsidRPr="00C8156A">
        <w:rPr>
          <w:rFonts w:ascii="Verdana" w:eastAsia="Arial" w:hAnsi="Verdana" w:cs="Arial"/>
          <w:lang w:val="es-ES"/>
        </w:rPr>
        <w:t>con</w:t>
      </w:r>
      <w:r w:rsidRPr="00C8156A">
        <w:rPr>
          <w:rFonts w:ascii="Verdana" w:eastAsia="Arial" w:hAnsi="Verdana" w:cs="Arial"/>
          <w:spacing w:val="18"/>
          <w:lang w:val="es-ES"/>
        </w:rPr>
        <w:t xml:space="preserve"> </w:t>
      </w:r>
      <w:r w:rsidRPr="00C8156A">
        <w:rPr>
          <w:rFonts w:ascii="Verdana" w:eastAsia="Arial" w:hAnsi="Verdana" w:cs="Arial"/>
          <w:lang w:val="es-ES"/>
        </w:rPr>
        <w:t>las</w:t>
      </w:r>
      <w:r w:rsidRPr="00C8156A">
        <w:rPr>
          <w:rFonts w:ascii="Verdana" w:eastAsia="Arial" w:hAnsi="Verdana" w:cs="Arial"/>
          <w:spacing w:val="18"/>
          <w:lang w:val="es-ES"/>
        </w:rPr>
        <w:t xml:space="preserve"> </w:t>
      </w:r>
      <w:r w:rsidRPr="00C8156A">
        <w:rPr>
          <w:rFonts w:ascii="Verdana" w:eastAsia="Arial" w:hAnsi="Verdana" w:cs="Arial"/>
          <w:lang w:val="es-ES"/>
        </w:rPr>
        <w:t>normas</w:t>
      </w:r>
      <w:r w:rsidRPr="00C8156A">
        <w:rPr>
          <w:rFonts w:ascii="Verdana" w:eastAsia="Arial" w:hAnsi="Verdana" w:cs="Arial"/>
          <w:spacing w:val="17"/>
          <w:lang w:val="es-ES"/>
        </w:rPr>
        <w:t xml:space="preserve"> </w:t>
      </w:r>
      <w:r w:rsidRPr="00C8156A">
        <w:rPr>
          <w:rFonts w:ascii="Verdana" w:eastAsia="Arial" w:hAnsi="Verdana" w:cs="Arial"/>
          <w:lang w:val="es-ES"/>
        </w:rPr>
        <w:t>especiales</w:t>
      </w:r>
      <w:r w:rsidRPr="00C8156A">
        <w:rPr>
          <w:rFonts w:ascii="Verdana" w:eastAsia="Arial" w:hAnsi="Verdana" w:cs="Arial"/>
          <w:spacing w:val="19"/>
          <w:lang w:val="es-ES"/>
        </w:rPr>
        <w:t xml:space="preserve"> </w:t>
      </w:r>
      <w:r w:rsidRPr="00C8156A">
        <w:rPr>
          <w:rFonts w:ascii="Verdana" w:eastAsia="Arial" w:hAnsi="Verdana" w:cs="Arial"/>
          <w:lang w:val="es-ES"/>
        </w:rPr>
        <w:t>para</w:t>
      </w:r>
      <w:r w:rsidRPr="00C8156A">
        <w:rPr>
          <w:rFonts w:ascii="Verdana" w:eastAsia="Arial" w:hAnsi="Verdana" w:cs="Arial"/>
          <w:spacing w:val="16"/>
          <w:lang w:val="es-ES"/>
        </w:rPr>
        <w:t xml:space="preserve"> </w:t>
      </w:r>
      <w:r w:rsidRPr="00C8156A">
        <w:rPr>
          <w:rFonts w:ascii="Verdana" w:eastAsia="Arial" w:hAnsi="Verdana" w:cs="Arial"/>
          <w:lang w:val="es-ES"/>
        </w:rPr>
        <w:t>cada</w:t>
      </w:r>
      <w:r w:rsidRPr="00C8156A">
        <w:rPr>
          <w:rFonts w:ascii="Verdana" w:eastAsia="Arial" w:hAnsi="Verdana" w:cs="Arial"/>
          <w:spacing w:val="19"/>
          <w:lang w:val="es-ES"/>
        </w:rPr>
        <w:t xml:space="preserve"> </w:t>
      </w:r>
      <w:r w:rsidRPr="00C8156A">
        <w:rPr>
          <w:rFonts w:ascii="Verdana" w:eastAsia="Arial" w:hAnsi="Verdana" w:cs="Arial"/>
          <w:lang w:val="es-ES"/>
        </w:rPr>
        <w:t>respectivo</w:t>
      </w:r>
      <w:r w:rsidRPr="00C8156A">
        <w:rPr>
          <w:rFonts w:ascii="Verdana" w:eastAsia="Arial" w:hAnsi="Verdana" w:cs="Arial"/>
          <w:spacing w:val="17"/>
          <w:lang w:val="es-ES"/>
        </w:rPr>
        <w:t xml:space="preserve"> </w:t>
      </w:r>
      <w:r w:rsidRPr="00C8156A">
        <w:rPr>
          <w:rFonts w:ascii="Verdana" w:eastAsia="Arial" w:hAnsi="Verdana" w:cs="Arial"/>
          <w:lang w:val="es-ES"/>
        </w:rPr>
        <w:t>miembro</w:t>
      </w:r>
      <w:r w:rsidRPr="00C8156A">
        <w:rPr>
          <w:rFonts w:ascii="Verdana" w:eastAsia="Arial" w:hAnsi="Verdana" w:cs="Arial"/>
          <w:spacing w:val="17"/>
          <w:lang w:val="es-ES"/>
        </w:rPr>
        <w:t xml:space="preserve"> </w:t>
      </w:r>
      <w:r w:rsidRPr="00C8156A">
        <w:rPr>
          <w:rFonts w:ascii="Verdana" w:eastAsia="Arial" w:hAnsi="Verdana" w:cs="Arial"/>
          <w:lang w:val="es-ES"/>
        </w:rPr>
        <w:t>de</w:t>
      </w:r>
      <w:r w:rsidRPr="00C8156A">
        <w:rPr>
          <w:rFonts w:ascii="Verdana" w:eastAsia="Arial" w:hAnsi="Verdana" w:cs="Arial"/>
          <w:spacing w:val="14"/>
          <w:lang w:val="es-ES"/>
        </w:rPr>
        <w:t xml:space="preserve"> </w:t>
      </w:r>
      <w:r w:rsidRPr="00C8156A">
        <w:rPr>
          <w:rFonts w:ascii="Verdana" w:eastAsia="Arial" w:hAnsi="Verdana" w:cs="Arial"/>
          <w:lang w:val="es-ES"/>
        </w:rPr>
        <w:t>la</w:t>
      </w:r>
      <w:r w:rsidRPr="00C8156A">
        <w:rPr>
          <w:rFonts w:ascii="Verdana" w:eastAsia="Arial" w:hAnsi="Verdana" w:cs="Arial"/>
          <w:spacing w:val="18"/>
          <w:lang w:val="es-ES"/>
        </w:rPr>
        <w:t xml:space="preserve"> </w:t>
      </w:r>
      <w:r w:rsidRPr="00C8156A">
        <w:rPr>
          <w:rFonts w:ascii="Verdana" w:eastAsia="Arial" w:hAnsi="Verdana" w:cs="Arial"/>
          <w:lang w:val="es-ES"/>
        </w:rPr>
        <w:t>corporación, se les prohíbe desempeñar cargo alguno en la administración pública o vincularse como trabajador oficial</w:t>
      </w:r>
      <w:r w:rsidRPr="00C8156A">
        <w:rPr>
          <w:rFonts w:ascii="Verdana" w:eastAsia="Arial" w:hAnsi="Verdana" w:cs="Arial"/>
          <w:vertAlign w:val="superscript"/>
          <w:lang w:val="es-ES"/>
        </w:rPr>
        <w:footnoteReference w:id="19"/>
      </w:r>
      <w:r w:rsidRPr="00C8156A">
        <w:rPr>
          <w:rFonts w:ascii="Verdana" w:eastAsia="Arial" w:hAnsi="Verdana" w:cs="Arial"/>
          <w:lang w:val="es-ES"/>
        </w:rPr>
        <w:t>.</w:t>
      </w:r>
    </w:p>
    <w:p w14:paraId="5CDA72B5" w14:textId="77777777" w:rsidR="007B7821" w:rsidRPr="00C8156A" w:rsidRDefault="007B7821" w:rsidP="007B7821">
      <w:pPr>
        <w:widowControl w:val="0"/>
        <w:autoSpaceDE w:val="0"/>
        <w:autoSpaceDN w:val="0"/>
        <w:spacing w:after="120" w:line="276" w:lineRule="auto"/>
        <w:ind w:firstLine="708"/>
        <w:jc w:val="both"/>
        <w:rPr>
          <w:rFonts w:ascii="Verdana" w:eastAsia="Arial" w:hAnsi="Verdana" w:cs="Arial"/>
        </w:rPr>
      </w:pPr>
      <w:r w:rsidRPr="00C8156A">
        <w:rPr>
          <w:rFonts w:ascii="Verdana" w:eastAsia="Arial" w:hAnsi="Verdana" w:cs="Arial"/>
          <w:lang w:val="es-ES"/>
        </w:rPr>
        <w:t xml:space="preserve">En este orden de ideas, la prohibición de recibir doble asignación </w:t>
      </w:r>
      <w:bookmarkStart w:id="2" w:name="_Hlk141120008"/>
      <w:r w:rsidRPr="00C8156A">
        <w:rPr>
          <w:rFonts w:ascii="Verdana" w:eastAsia="Arial" w:hAnsi="Verdana" w:cs="Arial"/>
          <w:lang w:val="es-ES"/>
        </w:rPr>
        <w:t xml:space="preserve">del tesoro público </w:t>
      </w:r>
      <w:bookmarkEnd w:id="2"/>
      <w:r w:rsidRPr="00C8156A">
        <w:rPr>
          <w:rFonts w:ascii="Verdana" w:eastAsia="Arial" w:hAnsi="Verdana" w:cs="Arial"/>
          <w:lang w:val="es-ES"/>
        </w:rPr>
        <w:t>recae sobre los servidores públicos, incluidos los miembros de las corporaciones públicas, donde el término “asi</w:t>
      </w:r>
      <w:r>
        <w:rPr>
          <w:rFonts w:ascii="Verdana" w:eastAsia="Arial" w:hAnsi="Verdana" w:cs="Arial"/>
          <w:lang w:val="es-ES"/>
        </w:rPr>
        <w:t>gnación” comprende los dineros y</w:t>
      </w:r>
      <w:r w:rsidRPr="00C8156A">
        <w:rPr>
          <w:rFonts w:ascii="Verdana" w:eastAsia="Arial" w:hAnsi="Verdana" w:cs="Arial"/>
          <w:lang w:val="es-ES"/>
        </w:rPr>
        <w:t xml:space="preserve"> recursos que provienen del tesoro público, o de empresas o de instituciones en las que tenga parte mayoritaria el Estado, en calidad de pago par</w:t>
      </w:r>
      <w:r>
        <w:rPr>
          <w:rFonts w:ascii="Verdana" w:eastAsia="Arial" w:hAnsi="Verdana" w:cs="Arial"/>
          <w:lang w:val="es-ES"/>
        </w:rPr>
        <w:t>a retribuir un servicio denomínese salario, honorarios o cualquier otro emolumento, salvo las excepciones dispuestas en el artículo 19 de la Ley 4 de 1992. En tal sentido, el Departamento Administrativo de la Función Pública en torno al vocablo “asignación” expresa: “</w:t>
      </w:r>
      <w:r w:rsidRPr="007F0054">
        <w:rPr>
          <w:rFonts w:ascii="Verdana" w:eastAsia="Arial" w:hAnsi="Verdana" w:cs="Arial"/>
        </w:rPr>
        <w:t>Gramaticalmente se concibe como la cantidad señalada por sueldo o por otro concepto, como emolumento dotación, salario</w:t>
      </w:r>
      <w:r>
        <w:rPr>
          <w:rFonts w:ascii="Verdana" w:eastAsia="Arial" w:hAnsi="Verdana" w:cs="Arial"/>
        </w:rPr>
        <w:t>”</w:t>
      </w:r>
      <w:r>
        <w:rPr>
          <w:rStyle w:val="Refdenotaalpie"/>
          <w:rFonts w:ascii="Verdana" w:eastAsia="Arial" w:hAnsi="Verdana" w:cs="Arial"/>
        </w:rPr>
        <w:footnoteReference w:id="20"/>
      </w:r>
      <w:r w:rsidRPr="007F0054">
        <w:rPr>
          <w:rFonts w:ascii="Verdana" w:eastAsia="Arial" w:hAnsi="Verdana" w:cs="Arial"/>
        </w:rPr>
        <w:t>.</w:t>
      </w:r>
    </w:p>
    <w:p w14:paraId="436F7F77" w14:textId="77777777" w:rsidR="007B7821" w:rsidRPr="00C8156A" w:rsidRDefault="007B7821" w:rsidP="007B7821">
      <w:pPr>
        <w:widowControl w:val="0"/>
        <w:autoSpaceDE w:val="0"/>
        <w:autoSpaceDN w:val="0"/>
        <w:spacing w:after="0" w:line="276" w:lineRule="auto"/>
        <w:ind w:firstLine="709"/>
        <w:jc w:val="both"/>
        <w:rPr>
          <w:rFonts w:ascii="Verdana" w:eastAsia="Arial" w:hAnsi="Verdana" w:cs="Arial"/>
          <w:lang w:val="es-ES"/>
        </w:rPr>
      </w:pPr>
      <w:r w:rsidRPr="00C8156A">
        <w:rPr>
          <w:rFonts w:ascii="Verdana" w:eastAsia="Arial" w:hAnsi="Verdana" w:cs="Arial"/>
          <w:lang w:val="es-ES"/>
        </w:rPr>
        <w:t xml:space="preserve">De conformidad con lo anterior, y </w:t>
      </w:r>
      <w:bookmarkStart w:id="3" w:name="_Hlk141119984"/>
      <w:r w:rsidRPr="00C8156A">
        <w:rPr>
          <w:rFonts w:ascii="Verdana" w:eastAsia="Arial" w:hAnsi="Verdana" w:cs="Arial"/>
          <w:lang w:val="es-ES"/>
        </w:rPr>
        <w:t>teniendo en cuenta la naturaleza jurídica del contrato de prestación de servicios</w:t>
      </w:r>
      <w:r>
        <w:rPr>
          <w:rFonts w:ascii="Verdana" w:eastAsia="Arial" w:hAnsi="Verdana" w:cs="Arial"/>
          <w:lang w:val="es-ES"/>
        </w:rPr>
        <w:t xml:space="preserve"> en empresas sociales del estado que se rigen por la legislación del derecho privado</w:t>
      </w:r>
      <w:r w:rsidRPr="00C8156A">
        <w:rPr>
          <w:rFonts w:ascii="Verdana" w:eastAsia="Arial" w:hAnsi="Verdana" w:cs="Arial"/>
          <w:lang w:val="es-ES"/>
        </w:rPr>
        <w:t xml:space="preserve">, la prohibición de percibir doble asignación no es aplicable, </w:t>
      </w:r>
      <w:r>
        <w:rPr>
          <w:rFonts w:ascii="Verdana" w:eastAsia="Arial" w:hAnsi="Verdana" w:cs="Arial"/>
          <w:lang w:val="es-ES"/>
        </w:rPr>
        <w:t>en tanto que dicho contrato de prestación de servicios,</w:t>
      </w:r>
      <w:r w:rsidRPr="00C8156A">
        <w:rPr>
          <w:rFonts w:ascii="Verdana" w:eastAsia="Arial" w:hAnsi="Verdana" w:cs="Arial"/>
          <w:lang w:val="es-ES"/>
        </w:rPr>
        <w:t xml:space="preserve"> no comportan una relación laboral, sino que </w:t>
      </w:r>
      <w:r>
        <w:rPr>
          <w:rFonts w:ascii="Verdana" w:eastAsia="Arial" w:hAnsi="Verdana" w:cs="Arial"/>
          <w:lang w:val="es-ES"/>
        </w:rPr>
        <w:t>es</w:t>
      </w:r>
      <w:r w:rsidRPr="00C8156A">
        <w:rPr>
          <w:rFonts w:ascii="Verdana" w:eastAsia="Arial" w:hAnsi="Verdana" w:cs="Arial"/>
          <w:lang w:val="es-ES"/>
        </w:rPr>
        <w:t xml:space="preserve"> fruto de la libre autonomía de la voluntad de los contratantes, por consiguiente</w:t>
      </w:r>
      <w:r>
        <w:rPr>
          <w:rFonts w:ascii="Verdana" w:eastAsia="Arial" w:hAnsi="Verdana" w:cs="Arial"/>
          <w:lang w:val="es-ES"/>
        </w:rPr>
        <w:t>,</w:t>
      </w:r>
      <w:r w:rsidRPr="00C8156A">
        <w:rPr>
          <w:rFonts w:ascii="Verdana" w:eastAsia="Arial" w:hAnsi="Verdana" w:cs="Arial"/>
          <w:lang w:val="es-ES"/>
        </w:rPr>
        <w:t xml:space="preserve"> el contratista no es considerado un servidor público, al no tener un vínculo de subordinación con el Estado, elemento propio de un contrato laboral. </w:t>
      </w:r>
      <w:bookmarkEnd w:id="3"/>
      <w:r w:rsidRPr="00C8156A">
        <w:rPr>
          <w:rFonts w:ascii="Verdana" w:eastAsia="Arial" w:hAnsi="Verdana" w:cs="Arial"/>
          <w:lang w:val="es-ES"/>
        </w:rPr>
        <w:t>En este contexto, el Consejo de Estado, en el citado concepto, expresó que la retribución económica de los contratistas de prestación de servicios no constituye salario y, por lo tanto, no puede considerarse asignación presupuestal a la que hace referencia el artículo 128 de la Constit</w:t>
      </w:r>
      <w:r>
        <w:rPr>
          <w:rFonts w:ascii="Verdana" w:eastAsia="Arial" w:hAnsi="Verdana" w:cs="Arial"/>
          <w:lang w:val="es-ES"/>
        </w:rPr>
        <w:t xml:space="preserve">ución. En torno a este tema, </w:t>
      </w:r>
      <w:r w:rsidRPr="00C8156A">
        <w:rPr>
          <w:rFonts w:ascii="Verdana" w:eastAsia="Arial" w:hAnsi="Verdana" w:cs="Arial"/>
          <w:lang w:val="es-ES"/>
        </w:rPr>
        <w:t>expresó:</w:t>
      </w:r>
    </w:p>
    <w:p w14:paraId="2779DFC8" w14:textId="77777777" w:rsidR="007B7821" w:rsidRPr="00C8156A" w:rsidRDefault="007B7821" w:rsidP="007B7821">
      <w:pPr>
        <w:widowControl w:val="0"/>
        <w:autoSpaceDE w:val="0"/>
        <w:autoSpaceDN w:val="0"/>
        <w:spacing w:after="0" w:line="276" w:lineRule="auto"/>
        <w:jc w:val="both"/>
        <w:rPr>
          <w:rFonts w:ascii="Verdana" w:eastAsia="Arial" w:hAnsi="Verdana" w:cs="Arial"/>
          <w:lang w:val="es-ES"/>
        </w:rPr>
      </w:pPr>
    </w:p>
    <w:p w14:paraId="098AD68C" w14:textId="77777777" w:rsidR="007B7821" w:rsidRPr="00EE4799" w:rsidRDefault="007B7821" w:rsidP="007B7821">
      <w:pPr>
        <w:widowControl w:val="0"/>
        <w:autoSpaceDE w:val="0"/>
        <w:autoSpaceDN w:val="0"/>
        <w:spacing w:after="0" w:line="240" w:lineRule="auto"/>
        <w:ind w:left="709" w:right="709"/>
        <w:jc w:val="both"/>
        <w:rPr>
          <w:rFonts w:ascii="Verdana" w:eastAsia="Arial" w:hAnsi="Verdana" w:cs="Arial"/>
          <w:sz w:val="20"/>
          <w:szCs w:val="20"/>
          <w:lang w:val="es-ES"/>
        </w:rPr>
      </w:pPr>
      <w:r w:rsidRPr="00A37FEF">
        <w:rPr>
          <w:rFonts w:ascii="Verdana" w:eastAsia="Arial" w:hAnsi="Verdana" w:cs="Arial"/>
          <w:sz w:val="20"/>
          <w:szCs w:val="20"/>
          <w:lang w:val="es-ES"/>
        </w:rPr>
        <w:t>“Es así como los trabajadores oficiales perciben por sus servicios un salario, que constituye asignación, la retribución de los contratistas de prestación de servicios son los honorarios, que no tienen tal carácter. Así, la fuente del reconocimiento es bien distinta: en el primero, la vinculación laboral administrativa y, en el segundo, el negocio jurídico, fundado en la autonomía de la</w:t>
      </w:r>
      <w:r w:rsidRPr="00A37FEF">
        <w:rPr>
          <w:rFonts w:ascii="Verdana" w:eastAsia="Arial" w:hAnsi="Verdana" w:cs="Arial"/>
          <w:spacing w:val="-2"/>
          <w:sz w:val="20"/>
          <w:szCs w:val="20"/>
          <w:lang w:val="es-ES"/>
        </w:rPr>
        <w:t xml:space="preserve"> </w:t>
      </w:r>
      <w:r w:rsidRPr="00A37FEF">
        <w:rPr>
          <w:rFonts w:ascii="Verdana" w:eastAsia="Arial" w:hAnsi="Verdana" w:cs="Arial"/>
          <w:sz w:val="20"/>
          <w:szCs w:val="20"/>
          <w:lang w:val="es-ES"/>
        </w:rPr>
        <w:t>voluntad.</w:t>
      </w:r>
    </w:p>
    <w:p w14:paraId="2E557900" w14:textId="77777777" w:rsidR="007B7821" w:rsidRPr="00EE4799" w:rsidRDefault="007B7821" w:rsidP="007B7821">
      <w:pPr>
        <w:widowControl w:val="0"/>
        <w:autoSpaceDE w:val="0"/>
        <w:autoSpaceDN w:val="0"/>
        <w:spacing w:after="0" w:line="240" w:lineRule="auto"/>
        <w:ind w:left="709" w:right="709"/>
        <w:jc w:val="both"/>
        <w:rPr>
          <w:rFonts w:ascii="Verdana" w:eastAsia="Arial" w:hAnsi="Verdana" w:cs="Arial"/>
          <w:sz w:val="20"/>
          <w:szCs w:val="20"/>
          <w:lang w:val="es-ES"/>
        </w:rPr>
      </w:pPr>
    </w:p>
    <w:p w14:paraId="200FBB0F" w14:textId="77777777" w:rsidR="007B7821" w:rsidRPr="00EE4799" w:rsidRDefault="007B7821" w:rsidP="007B7821">
      <w:pPr>
        <w:widowControl w:val="0"/>
        <w:autoSpaceDE w:val="0"/>
        <w:autoSpaceDN w:val="0"/>
        <w:spacing w:after="0" w:line="240" w:lineRule="auto"/>
        <w:ind w:left="709" w:right="709"/>
        <w:jc w:val="both"/>
        <w:rPr>
          <w:rFonts w:ascii="Verdana" w:eastAsia="Arial" w:hAnsi="Verdana" w:cs="Arial"/>
          <w:sz w:val="20"/>
          <w:szCs w:val="20"/>
          <w:lang w:val="es-ES"/>
        </w:rPr>
      </w:pPr>
      <w:r w:rsidRPr="00A37FEF">
        <w:rPr>
          <w:rFonts w:ascii="Verdana" w:eastAsia="Arial" w:hAnsi="Verdana" w:cs="Arial"/>
          <w:sz w:val="20"/>
          <w:szCs w:val="20"/>
          <w:lang w:val="es-ES"/>
        </w:rPr>
        <w:t>De los presupuestos de la definición legal y de los elementos analizados, se concluye que particulares que colaboran con el Estado mediante un contrato de prestación de servicios o cualquier otro, tipificado en la ley 80 de l993 o producto de la autonomía de la voluntad, no están subsumidos en el contexto de la función pública, ni son, por tanto, servidores públicos y, por lo mismo, no reciben “asignación” en los términos establecidos, lo que hace imposible aplicarles el régimen de estos”</w:t>
      </w:r>
      <w:r w:rsidRPr="00A37FEF">
        <w:rPr>
          <w:rStyle w:val="Refdenotaalpie"/>
          <w:rFonts w:ascii="Verdana" w:eastAsia="Arial" w:hAnsi="Verdana" w:cs="Arial"/>
          <w:sz w:val="20"/>
          <w:szCs w:val="20"/>
          <w:lang w:val="es-ES"/>
        </w:rPr>
        <w:footnoteReference w:id="21"/>
      </w:r>
      <w:r w:rsidRPr="00A37FEF">
        <w:rPr>
          <w:rFonts w:ascii="Verdana" w:eastAsia="Arial" w:hAnsi="Verdana" w:cs="Arial"/>
          <w:sz w:val="20"/>
          <w:szCs w:val="20"/>
          <w:lang w:val="es-ES"/>
        </w:rPr>
        <w:t>.</w:t>
      </w:r>
    </w:p>
    <w:p w14:paraId="168801EC" w14:textId="77777777" w:rsidR="007B7821" w:rsidRPr="00C8156A" w:rsidRDefault="007B7821" w:rsidP="007B7821">
      <w:pPr>
        <w:widowControl w:val="0"/>
        <w:autoSpaceDE w:val="0"/>
        <w:autoSpaceDN w:val="0"/>
        <w:spacing w:after="0" w:line="276" w:lineRule="auto"/>
        <w:jc w:val="both"/>
        <w:rPr>
          <w:rFonts w:ascii="Verdana" w:eastAsia="Arial" w:hAnsi="Verdana" w:cs="Arial"/>
          <w:lang w:val="es-ES"/>
        </w:rPr>
      </w:pPr>
    </w:p>
    <w:p w14:paraId="7ABE7B8B" w14:textId="77777777" w:rsidR="007B7821" w:rsidRDefault="007B7821" w:rsidP="007B7821">
      <w:pPr>
        <w:widowControl w:val="0"/>
        <w:autoSpaceDE w:val="0"/>
        <w:autoSpaceDN w:val="0"/>
        <w:spacing w:after="120" w:line="276" w:lineRule="auto"/>
        <w:ind w:right="333" w:firstLine="709"/>
        <w:jc w:val="both"/>
        <w:rPr>
          <w:rFonts w:ascii="Verdana" w:eastAsia="Arial" w:hAnsi="Verdana" w:cs="Arial"/>
          <w:lang w:val="es-ES"/>
        </w:rPr>
      </w:pPr>
      <w:r w:rsidRPr="00C8156A">
        <w:rPr>
          <w:rFonts w:ascii="Verdana" w:eastAsia="Arial" w:hAnsi="Verdana" w:cs="Arial"/>
          <w:lang w:val="es-ES"/>
        </w:rPr>
        <w:t>Por consiguiente, no les aplica la prohibición del artículo 128 de la Constitución Política, toda vez que no se consideran servidores públicos porque su relación con el Estado está dada en el marco de un negocio jurídico y no en virtud de una relación laboral</w:t>
      </w:r>
      <w:r>
        <w:rPr>
          <w:rFonts w:ascii="Verdana" w:eastAsia="Arial" w:hAnsi="Verdana" w:cs="Arial"/>
          <w:lang w:val="es-ES"/>
        </w:rPr>
        <w:t xml:space="preserve">, además de encontrarse dentro de las excepciones definidas en el artículo 19 de la Ley 4 de 1992. </w:t>
      </w:r>
    </w:p>
    <w:p w14:paraId="0E004F31" w14:textId="668B1126" w:rsidR="00E4181B" w:rsidRDefault="00E4181B" w:rsidP="00E4181B">
      <w:pPr>
        <w:widowControl w:val="0"/>
        <w:autoSpaceDE w:val="0"/>
        <w:autoSpaceDN w:val="0"/>
        <w:spacing w:after="120" w:line="276" w:lineRule="auto"/>
        <w:ind w:firstLine="709"/>
        <w:jc w:val="both"/>
        <w:rPr>
          <w:rFonts w:ascii="Verdana" w:eastAsia="Arial" w:hAnsi="Verdana" w:cs="Arial"/>
          <w:lang w:val="es-ES"/>
        </w:rPr>
      </w:pPr>
      <w:r w:rsidRPr="00641FD4">
        <w:rPr>
          <w:rFonts w:ascii="Verdana" w:eastAsia="Arial" w:hAnsi="Verdana" w:cs="Arial"/>
          <w:lang w:val="es-ES"/>
        </w:rPr>
        <w:t>De esta manera, la entidad deberá analizar en cada caso concreto el tipo de vinculación del profesional de la salud para así definir si se está en la prohibición o no definida en el artículo 128 constitucional o en su defecto, si se encuentra dentro de alguna de las causales de excepción contempladas en el artículo 19 de la Ley 4 de 1992. Lo anterior para efectos de poder concluir si se permite o no la vinculación mediante contrato de prestación de servicios profesionales.</w:t>
      </w:r>
      <w:r>
        <w:rPr>
          <w:rFonts w:ascii="Verdana" w:eastAsia="Arial" w:hAnsi="Verdana" w:cs="Arial"/>
          <w:lang w:val="es-ES"/>
        </w:rPr>
        <w:t xml:space="preserve">    </w:t>
      </w:r>
    </w:p>
    <w:p w14:paraId="78968844" w14:textId="77777777" w:rsidR="007B7821" w:rsidRDefault="007B7821" w:rsidP="007B7821">
      <w:pPr>
        <w:widowControl w:val="0"/>
        <w:autoSpaceDE w:val="0"/>
        <w:autoSpaceDN w:val="0"/>
        <w:spacing w:after="120" w:line="276" w:lineRule="auto"/>
        <w:ind w:right="333" w:firstLine="709"/>
        <w:jc w:val="both"/>
        <w:rPr>
          <w:rFonts w:ascii="Verdana" w:eastAsia="Arial" w:hAnsi="Verdana" w:cs="Arial"/>
          <w:lang w:val="es-ES"/>
        </w:rPr>
      </w:pPr>
      <w:r>
        <w:rPr>
          <w:rFonts w:ascii="Verdana" w:eastAsia="Arial" w:hAnsi="Verdana" w:cs="Arial"/>
          <w:lang w:val="es-ES"/>
        </w:rPr>
        <w:t xml:space="preserve">Adicionalmente, en atención a la naturaleza del contrato de prestación de servicios, correspondiente a la autonomía e independencia del contratista, quien utiliza sus propios medios y conocimientos para la consecución del objeto pactado, recibe unos honorarios, esto es, la retribución por la obligación de hacer, que se materializa en la ejecución de obligaciones pactadas para satisfacer una necesidad de la entidad. Esto implica que, en ejercicio de la autonomía de la voluntad, las partes pueden adoptar la forma de pago de honorarios, </w:t>
      </w:r>
      <w:r w:rsidRPr="000C27C3">
        <w:rPr>
          <w:rFonts w:ascii="Verdana" w:eastAsia="Calibri" w:hAnsi="Verdana" w:cs="Arial"/>
          <w:bCs/>
          <w:color w:val="000000"/>
          <w:kern w:val="2"/>
          <w14:ligatures w14:val="standardContextual"/>
        </w:rPr>
        <w:t>siempre que no sean contrarias a la Constitución Política, la ley y el orden público</w:t>
      </w:r>
      <w:r>
        <w:rPr>
          <w:rFonts w:ascii="Verdana" w:eastAsia="Calibri" w:hAnsi="Verdana" w:cs="Arial"/>
          <w:bCs/>
          <w:color w:val="000000"/>
          <w:kern w:val="2"/>
          <w14:ligatures w14:val="standardContextual"/>
        </w:rPr>
        <w:t xml:space="preserve">. En cuanto a las horas extras en un contrato de prestación de servicios, resulta incompatible con las características propias de este contrato, por cuanto se resalta la autonomía e independencia en la ejecución de las actividades pactadas en el contrato, de tal manera que se pacta un pago por las actividades desarrolladas, o la entrega de productos, etc., sin que deba considerarse el reconocimiento de horas extras por cuanto puede devenir en la existencia de un contrato realidad.  </w:t>
      </w:r>
    </w:p>
    <w:p w14:paraId="41F693CF" w14:textId="77777777" w:rsidR="007B7821" w:rsidRPr="00F76FC0" w:rsidRDefault="007B7821" w:rsidP="007B7821">
      <w:pPr>
        <w:spacing w:after="120" w:line="276" w:lineRule="auto"/>
        <w:ind w:right="335"/>
        <w:jc w:val="both"/>
        <w:rPr>
          <w:rFonts w:ascii="Verdana" w:eastAsia="Calibri" w:hAnsi="Verdana" w:cs="Arial"/>
        </w:rPr>
      </w:pP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xml:space="preserve">) Frente al cuarto problema jurídico, es importante indicar que a las Empresas Sociales del Estado les asiste la </w:t>
      </w:r>
      <w:r w:rsidRPr="00CA409A">
        <w:rPr>
          <w:rFonts w:ascii="Verdana" w:hAnsi="Verdana"/>
        </w:rPr>
        <w:t>obligación de publicar los Procesos de Contratación en el SECOP II</w:t>
      </w:r>
      <w:r>
        <w:rPr>
          <w:rFonts w:ascii="Verdana" w:hAnsi="Verdana"/>
        </w:rPr>
        <w:t xml:space="preserve">. </w:t>
      </w:r>
      <w:r>
        <w:rPr>
          <w:rFonts w:ascii="Verdana" w:hAnsi="Verdana"/>
          <w:spacing w:val="40"/>
        </w:rPr>
        <w:t>E</w:t>
      </w:r>
      <w:r w:rsidRPr="00CA409A">
        <w:rPr>
          <w:rFonts w:ascii="Verdana" w:hAnsi="Verdana"/>
        </w:rPr>
        <w:t>l 18 de enero de 2022 fue expedida la Ley 2195 de 2022 “</w:t>
      </w:r>
      <w:r w:rsidRPr="00CA409A">
        <w:rPr>
          <w:rFonts w:ascii="Verdana" w:hAnsi="Verdana"/>
          <w:i/>
        </w:rPr>
        <w:t>Por medio</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la</w:t>
      </w:r>
      <w:r w:rsidRPr="00CA409A">
        <w:rPr>
          <w:rFonts w:ascii="Verdana" w:hAnsi="Verdana"/>
          <w:i/>
          <w:spacing w:val="-19"/>
        </w:rPr>
        <w:t xml:space="preserve"> </w:t>
      </w:r>
      <w:r w:rsidRPr="00CA409A">
        <w:rPr>
          <w:rFonts w:ascii="Verdana" w:hAnsi="Verdana"/>
          <w:i/>
        </w:rPr>
        <w:t>cual</w:t>
      </w:r>
      <w:r w:rsidRPr="00CA409A">
        <w:rPr>
          <w:rFonts w:ascii="Verdana" w:hAnsi="Verdana"/>
          <w:i/>
          <w:spacing w:val="-20"/>
        </w:rPr>
        <w:t xml:space="preserve"> </w:t>
      </w:r>
      <w:r w:rsidRPr="00CA409A">
        <w:rPr>
          <w:rFonts w:ascii="Verdana" w:hAnsi="Verdana"/>
          <w:i/>
        </w:rPr>
        <w:t>se</w:t>
      </w:r>
      <w:r w:rsidRPr="00CA409A">
        <w:rPr>
          <w:rFonts w:ascii="Verdana" w:hAnsi="Verdana"/>
          <w:i/>
          <w:spacing w:val="-19"/>
        </w:rPr>
        <w:t xml:space="preserve"> </w:t>
      </w:r>
      <w:r w:rsidRPr="00CA409A">
        <w:rPr>
          <w:rFonts w:ascii="Verdana" w:hAnsi="Verdana"/>
          <w:i/>
        </w:rPr>
        <w:t>adoptan</w:t>
      </w:r>
      <w:r w:rsidRPr="00CA409A">
        <w:rPr>
          <w:rFonts w:ascii="Verdana" w:hAnsi="Verdana"/>
          <w:i/>
          <w:spacing w:val="-20"/>
        </w:rPr>
        <w:t xml:space="preserve"> </w:t>
      </w:r>
      <w:r w:rsidRPr="00CA409A">
        <w:rPr>
          <w:rFonts w:ascii="Verdana" w:hAnsi="Verdana"/>
          <w:i/>
        </w:rPr>
        <w:t>medidas</w:t>
      </w:r>
      <w:r w:rsidRPr="00CA409A">
        <w:rPr>
          <w:rFonts w:ascii="Verdana" w:hAnsi="Verdana"/>
          <w:i/>
          <w:spacing w:val="-19"/>
        </w:rPr>
        <w:t xml:space="preserve"> </w:t>
      </w:r>
      <w:r w:rsidRPr="00CA409A">
        <w:rPr>
          <w:rFonts w:ascii="Verdana" w:hAnsi="Verdana"/>
          <w:i/>
        </w:rPr>
        <w:t>en</w:t>
      </w:r>
      <w:r w:rsidRPr="00CA409A">
        <w:rPr>
          <w:rFonts w:ascii="Verdana" w:hAnsi="Verdana"/>
          <w:i/>
          <w:spacing w:val="-19"/>
        </w:rPr>
        <w:t xml:space="preserve"> </w:t>
      </w:r>
      <w:r w:rsidRPr="00CA409A">
        <w:rPr>
          <w:rFonts w:ascii="Verdana" w:hAnsi="Verdana"/>
          <w:i/>
        </w:rPr>
        <w:t>materia</w:t>
      </w:r>
      <w:r w:rsidRPr="00CA409A">
        <w:rPr>
          <w:rFonts w:ascii="Verdana" w:hAnsi="Verdana"/>
          <w:i/>
          <w:spacing w:val="-20"/>
        </w:rPr>
        <w:t xml:space="preserve"> </w:t>
      </w:r>
      <w:r w:rsidRPr="00CA409A">
        <w:rPr>
          <w:rFonts w:ascii="Verdana" w:hAnsi="Verdana"/>
          <w:i/>
        </w:rPr>
        <w:t>de</w:t>
      </w:r>
      <w:r w:rsidRPr="00CA409A">
        <w:rPr>
          <w:rFonts w:ascii="Verdana" w:hAnsi="Verdana"/>
          <w:i/>
          <w:spacing w:val="-19"/>
        </w:rPr>
        <w:t xml:space="preserve"> </w:t>
      </w:r>
      <w:r w:rsidRPr="00CA409A">
        <w:rPr>
          <w:rFonts w:ascii="Verdana" w:hAnsi="Verdana"/>
          <w:i/>
        </w:rPr>
        <w:t>transparencia,</w:t>
      </w:r>
      <w:r w:rsidRPr="00CA409A">
        <w:rPr>
          <w:rFonts w:ascii="Verdana" w:hAnsi="Verdana"/>
          <w:i/>
          <w:spacing w:val="-19"/>
        </w:rPr>
        <w:t xml:space="preserve"> </w:t>
      </w:r>
      <w:r w:rsidRPr="00CA409A">
        <w:rPr>
          <w:rFonts w:ascii="Verdana" w:hAnsi="Verdana"/>
          <w:i/>
        </w:rPr>
        <w:t>prevención y</w:t>
      </w:r>
      <w:r w:rsidRPr="00CA409A">
        <w:rPr>
          <w:rFonts w:ascii="Verdana" w:hAnsi="Verdana"/>
          <w:i/>
          <w:spacing w:val="-13"/>
        </w:rPr>
        <w:t xml:space="preserve"> </w:t>
      </w:r>
      <w:r w:rsidRPr="00CA409A">
        <w:rPr>
          <w:rFonts w:ascii="Verdana" w:hAnsi="Verdana"/>
          <w:i/>
        </w:rPr>
        <w:t>lucha</w:t>
      </w:r>
      <w:r w:rsidRPr="00CA409A">
        <w:rPr>
          <w:rFonts w:ascii="Verdana" w:hAnsi="Verdana"/>
          <w:i/>
          <w:spacing w:val="-11"/>
        </w:rPr>
        <w:t xml:space="preserve"> </w:t>
      </w:r>
      <w:r w:rsidRPr="00CA409A">
        <w:rPr>
          <w:rFonts w:ascii="Verdana" w:hAnsi="Verdana"/>
          <w:i/>
        </w:rPr>
        <w:t>contra</w:t>
      </w:r>
      <w:r w:rsidRPr="00CA409A">
        <w:rPr>
          <w:rFonts w:ascii="Verdana" w:hAnsi="Verdana"/>
          <w:i/>
          <w:spacing w:val="-12"/>
        </w:rPr>
        <w:t xml:space="preserve"> </w:t>
      </w:r>
      <w:r w:rsidRPr="00CA409A">
        <w:rPr>
          <w:rFonts w:ascii="Verdana" w:hAnsi="Verdana"/>
          <w:i/>
        </w:rPr>
        <w:t>la</w:t>
      </w:r>
      <w:r w:rsidRPr="00CA409A">
        <w:rPr>
          <w:rFonts w:ascii="Verdana" w:hAnsi="Verdana"/>
          <w:i/>
          <w:spacing w:val="-11"/>
        </w:rPr>
        <w:t xml:space="preserve"> </w:t>
      </w:r>
      <w:r w:rsidRPr="00CA409A">
        <w:rPr>
          <w:rFonts w:ascii="Verdana" w:hAnsi="Verdana"/>
          <w:i/>
        </w:rPr>
        <w:t>corrupción</w:t>
      </w:r>
      <w:r w:rsidRPr="00CA409A">
        <w:rPr>
          <w:rFonts w:ascii="Verdana" w:hAnsi="Verdana"/>
          <w:i/>
          <w:spacing w:val="-12"/>
        </w:rPr>
        <w:t xml:space="preserve"> </w:t>
      </w:r>
      <w:r w:rsidRPr="00CA409A">
        <w:rPr>
          <w:rFonts w:ascii="Verdana" w:hAnsi="Verdana"/>
          <w:i/>
        </w:rPr>
        <w:t>y</w:t>
      </w:r>
      <w:r w:rsidRPr="00CA409A">
        <w:rPr>
          <w:rFonts w:ascii="Verdana" w:hAnsi="Verdana"/>
          <w:i/>
          <w:spacing w:val="-13"/>
        </w:rPr>
        <w:t xml:space="preserve"> </w:t>
      </w:r>
      <w:r w:rsidRPr="00CA409A">
        <w:rPr>
          <w:rFonts w:ascii="Verdana" w:hAnsi="Verdana"/>
          <w:i/>
        </w:rPr>
        <w:t>se</w:t>
      </w:r>
      <w:r w:rsidRPr="00CA409A">
        <w:rPr>
          <w:rFonts w:ascii="Verdana" w:hAnsi="Verdana"/>
          <w:i/>
          <w:spacing w:val="-11"/>
        </w:rPr>
        <w:t xml:space="preserve"> </w:t>
      </w:r>
      <w:r w:rsidRPr="00CA409A">
        <w:rPr>
          <w:rFonts w:ascii="Verdana" w:hAnsi="Verdana"/>
          <w:i/>
        </w:rPr>
        <w:t>dictan</w:t>
      </w:r>
      <w:r w:rsidRPr="00CA409A">
        <w:rPr>
          <w:rFonts w:ascii="Verdana" w:hAnsi="Verdana"/>
          <w:i/>
          <w:spacing w:val="-12"/>
        </w:rPr>
        <w:t xml:space="preserve"> </w:t>
      </w:r>
      <w:r w:rsidRPr="00CA409A">
        <w:rPr>
          <w:rFonts w:ascii="Verdana" w:hAnsi="Verdana"/>
          <w:i/>
        </w:rPr>
        <w:t>otras</w:t>
      </w:r>
      <w:r w:rsidRPr="00CA409A">
        <w:rPr>
          <w:rFonts w:ascii="Verdana" w:hAnsi="Verdana"/>
          <w:i/>
          <w:spacing w:val="-11"/>
        </w:rPr>
        <w:t xml:space="preserve"> </w:t>
      </w:r>
      <w:r w:rsidRPr="00CA409A">
        <w:rPr>
          <w:rFonts w:ascii="Verdana" w:hAnsi="Verdana"/>
          <w:i/>
        </w:rPr>
        <w:t>disposiciones</w:t>
      </w:r>
      <w:r w:rsidRPr="00CA409A">
        <w:rPr>
          <w:rFonts w:ascii="Verdana" w:hAnsi="Verdana"/>
        </w:rPr>
        <w:t>”,</w:t>
      </w:r>
      <w:r w:rsidRPr="00CA409A">
        <w:rPr>
          <w:rFonts w:ascii="Verdana" w:hAnsi="Verdana"/>
          <w:spacing w:val="-14"/>
        </w:rPr>
        <w:t xml:space="preserve"> </w:t>
      </w:r>
      <w:r w:rsidRPr="00CA409A">
        <w:rPr>
          <w:rFonts w:ascii="Verdana" w:hAnsi="Verdana"/>
        </w:rPr>
        <w:t>mediante</w:t>
      </w:r>
      <w:r w:rsidRPr="00CA409A">
        <w:rPr>
          <w:rFonts w:ascii="Verdana" w:hAnsi="Verdana"/>
          <w:spacing w:val="-11"/>
        </w:rPr>
        <w:t xml:space="preserve"> </w:t>
      </w:r>
      <w:r w:rsidRPr="00CA409A">
        <w:rPr>
          <w:rFonts w:ascii="Verdana" w:hAnsi="Verdana"/>
        </w:rPr>
        <w:t>la</w:t>
      </w:r>
      <w:r w:rsidRPr="00CA409A">
        <w:rPr>
          <w:rFonts w:ascii="Verdana" w:hAnsi="Verdana"/>
          <w:spacing w:val="-10"/>
        </w:rPr>
        <w:t xml:space="preserve"> </w:t>
      </w:r>
      <w:r w:rsidRPr="00CA409A">
        <w:rPr>
          <w:rFonts w:ascii="Verdana" w:hAnsi="Verdana"/>
        </w:rPr>
        <w:t>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w:t>
      </w:r>
      <w:r w:rsidRPr="00CA409A">
        <w:rPr>
          <w:rFonts w:ascii="Verdana" w:hAnsi="Verdana"/>
          <w:spacing w:val="-2"/>
        </w:rPr>
        <w:t xml:space="preserve"> </w:t>
      </w:r>
      <w:r w:rsidRPr="00CA409A">
        <w:rPr>
          <w:rFonts w:ascii="Verdana" w:hAnsi="Verdana"/>
        </w:rPr>
        <w:t>para</w:t>
      </w:r>
      <w:r w:rsidRPr="00CA409A">
        <w:rPr>
          <w:rFonts w:ascii="Verdana" w:hAnsi="Verdana"/>
          <w:spacing w:val="-4"/>
        </w:rPr>
        <w:t xml:space="preserve"> </w:t>
      </w:r>
      <w:r w:rsidRPr="00CA409A">
        <w:rPr>
          <w:rFonts w:ascii="Verdana" w:hAnsi="Verdana"/>
        </w:rPr>
        <w:t>la</w:t>
      </w:r>
      <w:r w:rsidRPr="00CA409A">
        <w:rPr>
          <w:rFonts w:ascii="Verdana" w:hAnsi="Verdana"/>
          <w:spacing w:val="-2"/>
        </w:rPr>
        <w:t xml:space="preserve"> </w:t>
      </w:r>
      <w:r w:rsidRPr="00CA409A">
        <w:rPr>
          <w:rFonts w:ascii="Verdana" w:hAnsi="Verdana"/>
        </w:rPr>
        <w:t>Contratación</w:t>
      </w:r>
      <w:r w:rsidRPr="00CA409A">
        <w:rPr>
          <w:rFonts w:ascii="Verdana" w:hAnsi="Verdana"/>
          <w:spacing w:val="-3"/>
        </w:rPr>
        <w:t xml:space="preserve"> </w:t>
      </w:r>
      <w:r w:rsidRPr="00CA409A">
        <w:rPr>
          <w:rFonts w:ascii="Verdana" w:hAnsi="Verdana"/>
        </w:rPr>
        <w:t>Pública</w:t>
      </w:r>
      <w:r w:rsidRPr="00CA409A">
        <w:rPr>
          <w:rFonts w:ascii="Verdana" w:hAnsi="Verdana"/>
          <w:spacing w:val="-4"/>
        </w:rPr>
        <w:t xml:space="preserve"> </w:t>
      </w:r>
      <w:r w:rsidRPr="00CA409A">
        <w:rPr>
          <w:rFonts w:ascii="Verdana" w:hAnsi="Verdana"/>
        </w:rPr>
        <w:t>en</w:t>
      </w:r>
      <w:r w:rsidRPr="00CA409A">
        <w:rPr>
          <w:rFonts w:ascii="Verdana" w:hAnsi="Verdana"/>
          <w:spacing w:val="-1"/>
        </w:rPr>
        <w:t xml:space="preserve"> </w:t>
      </w:r>
      <w:r w:rsidRPr="00CA409A">
        <w:rPr>
          <w:rFonts w:ascii="Verdana" w:hAnsi="Verdana"/>
        </w:rPr>
        <w:t>su</w:t>
      </w:r>
      <w:r w:rsidRPr="00CA409A">
        <w:rPr>
          <w:rFonts w:ascii="Verdana" w:hAnsi="Verdana"/>
          <w:spacing w:val="-3"/>
        </w:rPr>
        <w:t xml:space="preserve"> </w:t>
      </w:r>
      <w:r w:rsidRPr="00CA409A">
        <w:rPr>
          <w:rFonts w:ascii="Verdana" w:hAnsi="Verdana"/>
        </w:rPr>
        <w:t>versión</w:t>
      </w:r>
      <w:r w:rsidRPr="00CA409A">
        <w:rPr>
          <w:rFonts w:ascii="Verdana" w:hAnsi="Verdana"/>
          <w:spacing w:val="-3"/>
        </w:rPr>
        <w:t xml:space="preserve"> </w:t>
      </w:r>
      <w:r w:rsidRPr="00CA409A">
        <w:rPr>
          <w:rFonts w:ascii="Verdana" w:hAnsi="Verdana"/>
        </w:rPr>
        <w:t>transaccional,</w:t>
      </w:r>
      <w:r w:rsidRPr="00CA409A">
        <w:rPr>
          <w:rFonts w:ascii="Verdana" w:hAnsi="Verdana"/>
          <w:spacing w:val="-2"/>
        </w:rPr>
        <w:t xml:space="preserve"> </w:t>
      </w:r>
      <w:r w:rsidRPr="00CA409A">
        <w:rPr>
          <w:rFonts w:ascii="Verdana" w:hAnsi="Verdana"/>
        </w:rPr>
        <w:t>es</w:t>
      </w:r>
      <w:r w:rsidRPr="00CA409A">
        <w:rPr>
          <w:rFonts w:ascii="Verdana" w:hAnsi="Verdana"/>
          <w:spacing w:val="-2"/>
        </w:rPr>
        <w:t xml:space="preserve"> </w:t>
      </w:r>
      <w:r w:rsidRPr="00CA409A">
        <w:rPr>
          <w:rFonts w:ascii="Verdana" w:hAnsi="Verdana"/>
        </w:rPr>
        <w:t>decir en la plataforma SECOP II. Al respecto el artículo en mención precisa:</w:t>
      </w:r>
    </w:p>
    <w:p w14:paraId="2B9156D3" w14:textId="77777777" w:rsidR="007B7821" w:rsidRPr="00F76FC0" w:rsidRDefault="007B7821" w:rsidP="007B7821">
      <w:pPr>
        <w:spacing w:after="0" w:line="240" w:lineRule="auto"/>
        <w:ind w:left="851" w:right="902"/>
        <w:jc w:val="both"/>
        <w:rPr>
          <w:rFonts w:ascii="Verdana" w:hAnsi="Verdana"/>
          <w:iCs/>
          <w:sz w:val="20"/>
          <w:szCs w:val="20"/>
        </w:rPr>
      </w:pPr>
      <w:r w:rsidRPr="00F76FC0">
        <w:rPr>
          <w:rFonts w:ascii="Verdana" w:hAnsi="Verdana"/>
          <w:iCs/>
          <w:sz w:val="20"/>
          <w:szCs w:val="20"/>
        </w:rPr>
        <w:t>Adiciónese</w:t>
      </w:r>
      <w:r w:rsidRPr="00F76FC0">
        <w:rPr>
          <w:rFonts w:ascii="Verdana" w:hAnsi="Verdana"/>
          <w:iCs/>
          <w:spacing w:val="-13"/>
          <w:sz w:val="20"/>
          <w:szCs w:val="20"/>
        </w:rPr>
        <w:t xml:space="preserve"> </w:t>
      </w:r>
      <w:r w:rsidRPr="00F76FC0">
        <w:rPr>
          <w:rFonts w:ascii="Verdana" w:hAnsi="Verdana"/>
          <w:iCs/>
          <w:sz w:val="20"/>
          <w:szCs w:val="20"/>
        </w:rPr>
        <w:t>los</w:t>
      </w:r>
      <w:r w:rsidRPr="00F76FC0">
        <w:rPr>
          <w:rFonts w:ascii="Verdana" w:hAnsi="Verdana"/>
          <w:iCs/>
          <w:spacing w:val="-16"/>
          <w:sz w:val="20"/>
          <w:szCs w:val="20"/>
        </w:rPr>
        <w:t xml:space="preserve"> </w:t>
      </w:r>
      <w:r w:rsidRPr="00F76FC0">
        <w:rPr>
          <w:rFonts w:ascii="Verdana" w:hAnsi="Verdana"/>
          <w:iCs/>
          <w:sz w:val="20"/>
          <w:szCs w:val="20"/>
        </w:rPr>
        <w:t>siguientes</w:t>
      </w:r>
      <w:r w:rsidRPr="00F76FC0">
        <w:rPr>
          <w:rFonts w:ascii="Verdana" w:hAnsi="Verdana"/>
          <w:iCs/>
          <w:spacing w:val="-14"/>
          <w:sz w:val="20"/>
          <w:szCs w:val="20"/>
        </w:rPr>
        <w:t xml:space="preserve"> </w:t>
      </w:r>
      <w:r w:rsidRPr="00F76FC0">
        <w:rPr>
          <w:rFonts w:ascii="Verdana" w:hAnsi="Verdana"/>
          <w:iCs/>
          <w:sz w:val="20"/>
          <w:szCs w:val="20"/>
        </w:rPr>
        <w:t>incisos</w:t>
      </w:r>
      <w:r w:rsidRPr="00F76FC0">
        <w:rPr>
          <w:rFonts w:ascii="Verdana" w:hAnsi="Verdana"/>
          <w:iCs/>
          <w:spacing w:val="-16"/>
          <w:sz w:val="20"/>
          <w:szCs w:val="20"/>
        </w:rPr>
        <w:t xml:space="preserve"> </w:t>
      </w:r>
      <w:r w:rsidRPr="00F76FC0">
        <w:rPr>
          <w:rFonts w:ascii="Verdana" w:hAnsi="Verdana"/>
          <w:iCs/>
          <w:sz w:val="20"/>
          <w:szCs w:val="20"/>
        </w:rPr>
        <w:t>al</w:t>
      </w:r>
      <w:r w:rsidRPr="00F76FC0">
        <w:rPr>
          <w:rFonts w:ascii="Verdana" w:hAnsi="Verdana"/>
          <w:iCs/>
          <w:spacing w:val="-14"/>
          <w:sz w:val="20"/>
          <w:szCs w:val="20"/>
        </w:rPr>
        <w:t xml:space="preserve"> </w:t>
      </w:r>
      <w:r w:rsidRPr="00F76FC0">
        <w:rPr>
          <w:rFonts w:ascii="Verdana" w:hAnsi="Verdana"/>
          <w:iCs/>
          <w:sz w:val="20"/>
          <w:szCs w:val="20"/>
        </w:rPr>
        <w:t>artículo</w:t>
      </w:r>
      <w:r w:rsidRPr="00F76FC0">
        <w:rPr>
          <w:rFonts w:ascii="Verdana" w:hAnsi="Verdana"/>
          <w:iCs/>
          <w:spacing w:val="-16"/>
          <w:sz w:val="20"/>
          <w:szCs w:val="20"/>
        </w:rPr>
        <w:t xml:space="preserve"> </w:t>
      </w:r>
      <w:r w:rsidRPr="00F76FC0">
        <w:rPr>
          <w:rFonts w:ascii="Verdana" w:hAnsi="Verdana"/>
          <w:iCs/>
          <w:sz w:val="20"/>
          <w:szCs w:val="20"/>
        </w:rPr>
        <w:t>13</w:t>
      </w:r>
      <w:r w:rsidRPr="00F76FC0">
        <w:rPr>
          <w:rFonts w:ascii="Verdana" w:hAnsi="Verdana"/>
          <w:iCs/>
          <w:spacing w:val="-15"/>
          <w:sz w:val="20"/>
          <w:szCs w:val="20"/>
        </w:rPr>
        <w:t xml:space="preserve"> </w:t>
      </w:r>
      <w:r w:rsidRPr="00F76FC0">
        <w:rPr>
          <w:rFonts w:ascii="Verdana" w:hAnsi="Verdana"/>
          <w:iCs/>
          <w:sz w:val="20"/>
          <w:szCs w:val="20"/>
        </w:rPr>
        <w:t>de</w:t>
      </w:r>
      <w:r w:rsidRPr="00F76FC0">
        <w:rPr>
          <w:rFonts w:ascii="Verdana" w:hAnsi="Verdana"/>
          <w:iCs/>
          <w:spacing w:val="-13"/>
          <w:sz w:val="20"/>
          <w:szCs w:val="20"/>
        </w:rPr>
        <w:t xml:space="preserve"> </w:t>
      </w:r>
      <w:r w:rsidRPr="00F76FC0">
        <w:rPr>
          <w:rFonts w:ascii="Verdana" w:hAnsi="Verdana"/>
          <w:iCs/>
          <w:sz w:val="20"/>
          <w:szCs w:val="20"/>
        </w:rPr>
        <w:t>la</w:t>
      </w:r>
      <w:r w:rsidRPr="00F76FC0">
        <w:rPr>
          <w:rFonts w:ascii="Verdana" w:hAnsi="Verdana"/>
          <w:iCs/>
          <w:spacing w:val="-15"/>
          <w:sz w:val="20"/>
          <w:szCs w:val="20"/>
        </w:rPr>
        <w:t xml:space="preserve"> </w:t>
      </w:r>
      <w:r w:rsidRPr="00F76FC0">
        <w:rPr>
          <w:rFonts w:ascii="Verdana" w:hAnsi="Verdana"/>
          <w:iCs/>
          <w:sz w:val="20"/>
          <w:szCs w:val="20"/>
        </w:rPr>
        <w:t>Ley</w:t>
      </w:r>
      <w:r w:rsidRPr="00F76FC0">
        <w:rPr>
          <w:rFonts w:ascii="Verdana" w:hAnsi="Verdana"/>
          <w:iCs/>
          <w:spacing w:val="-14"/>
          <w:sz w:val="20"/>
          <w:szCs w:val="20"/>
        </w:rPr>
        <w:t xml:space="preserve"> </w:t>
      </w:r>
      <w:r w:rsidRPr="00F76FC0">
        <w:rPr>
          <w:rFonts w:ascii="Verdana" w:hAnsi="Verdana"/>
          <w:iCs/>
          <w:sz w:val="20"/>
          <w:szCs w:val="20"/>
        </w:rPr>
        <w:t>1150</w:t>
      </w:r>
      <w:r w:rsidRPr="00F76FC0">
        <w:rPr>
          <w:rFonts w:ascii="Verdana" w:hAnsi="Verdana"/>
          <w:iCs/>
          <w:spacing w:val="-15"/>
          <w:sz w:val="20"/>
          <w:szCs w:val="20"/>
        </w:rPr>
        <w:t xml:space="preserve"> </w:t>
      </w:r>
      <w:r w:rsidRPr="00F76FC0">
        <w:rPr>
          <w:rFonts w:ascii="Verdana" w:hAnsi="Verdana"/>
          <w:iCs/>
          <w:sz w:val="20"/>
          <w:szCs w:val="20"/>
        </w:rPr>
        <w:t>de 2007, el cual quedará así:</w:t>
      </w:r>
    </w:p>
    <w:p w14:paraId="01BCA257" w14:textId="77777777" w:rsidR="007B7821" w:rsidRDefault="007B7821" w:rsidP="007B7821">
      <w:pPr>
        <w:spacing w:after="0" w:line="240" w:lineRule="auto"/>
        <w:ind w:left="851" w:right="902"/>
        <w:jc w:val="both"/>
        <w:rPr>
          <w:rFonts w:ascii="Verdana" w:eastAsia="Calibri" w:hAnsi="Verdana" w:cs="Arial"/>
          <w:iCs/>
          <w:sz w:val="20"/>
          <w:szCs w:val="20"/>
          <w:lang w:val="es-ES"/>
        </w:rPr>
      </w:pPr>
    </w:p>
    <w:p w14:paraId="3CAC943C" w14:textId="77777777" w:rsidR="007B7821" w:rsidRPr="00F76FC0" w:rsidRDefault="007B7821" w:rsidP="007B7821">
      <w:pPr>
        <w:spacing w:after="0" w:line="240" w:lineRule="auto"/>
        <w:ind w:left="851" w:right="902"/>
        <w:jc w:val="both"/>
        <w:rPr>
          <w:rFonts w:ascii="Verdana" w:hAnsi="Verdana"/>
          <w:iCs/>
          <w:sz w:val="20"/>
          <w:szCs w:val="20"/>
        </w:rPr>
      </w:pPr>
      <w:r w:rsidRPr="00F76FC0">
        <w:rPr>
          <w:rFonts w:ascii="Verdana" w:hAnsi="Verdana"/>
          <w:iCs/>
          <w:sz w:val="20"/>
          <w:szCs w:val="20"/>
        </w:rPr>
        <w:t>ARTICULO 13. PRINCIPIOS GENERALES DE LA ACTIVIDAD CONTRACTUAL PARA ENTIDADES NO SOMETIDAS AL ESTATUTO GENERAL DE CONTRATACIÓN DE LA ADMINISTRACIÓN PÚBLICA.</w:t>
      </w:r>
    </w:p>
    <w:p w14:paraId="43BF9738" w14:textId="77777777" w:rsidR="007B7821" w:rsidRDefault="007B7821" w:rsidP="007B7821">
      <w:pPr>
        <w:spacing w:after="0" w:line="240" w:lineRule="auto"/>
        <w:ind w:left="851" w:right="902"/>
        <w:jc w:val="both"/>
        <w:rPr>
          <w:rFonts w:ascii="Verdana" w:hAnsi="Verdana"/>
          <w:iCs/>
          <w:sz w:val="20"/>
          <w:szCs w:val="20"/>
        </w:rPr>
      </w:pPr>
    </w:p>
    <w:p w14:paraId="28190C86" w14:textId="77777777" w:rsidR="007B7821" w:rsidRPr="00F76FC0" w:rsidRDefault="007B7821" w:rsidP="007B7821">
      <w:pPr>
        <w:spacing w:after="0" w:line="240" w:lineRule="auto"/>
        <w:ind w:left="851" w:right="902"/>
        <w:jc w:val="both"/>
        <w:rPr>
          <w:rFonts w:ascii="Verdana" w:hAnsi="Verdana"/>
          <w:iCs/>
          <w:sz w:val="20"/>
          <w:szCs w:val="20"/>
        </w:rPr>
      </w:pPr>
      <w:r w:rsidRPr="00F76FC0">
        <w:rPr>
          <w:rFonts w:ascii="Verdana" w:hAnsi="Verdana"/>
          <w:iCs/>
          <w:sz w:val="20"/>
          <w:szCs w:val="20"/>
        </w:rPr>
        <w:t>“Las entidades estatales que por disposición legal cuenten con un régimen contractual excepcional al del Estatuto General de Contratación de la Administración Pública, aplicarán en desarrollo de su actividad contractual, acorde con su régimen legal</w:t>
      </w:r>
      <w:r w:rsidRPr="00F76FC0">
        <w:rPr>
          <w:rFonts w:ascii="Verdana" w:hAnsi="Verdana"/>
          <w:iCs/>
          <w:spacing w:val="-6"/>
          <w:sz w:val="20"/>
          <w:szCs w:val="20"/>
        </w:rPr>
        <w:t xml:space="preserve"> </w:t>
      </w:r>
      <w:r w:rsidRPr="00F76FC0">
        <w:rPr>
          <w:rFonts w:ascii="Verdana" w:hAnsi="Verdana"/>
          <w:iCs/>
          <w:sz w:val="20"/>
          <w:szCs w:val="20"/>
        </w:rPr>
        <w:t>especial,</w:t>
      </w:r>
      <w:r w:rsidRPr="00F76FC0">
        <w:rPr>
          <w:rFonts w:ascii="Verdana" w:hAnsi="Verdana"/>
          <w:iCs/>
          <w:spacing w:val="-5"/>
          <w:sz w:val="20"/>
          <w:szCs w:val="20"/>
        </w:rPr>
        <w:t xml:space="preserve"> </w:t>
      </w:r>
      <w:r w:rsidRPr="00F76FC0">
        <w:rPr>
          <w:rFonts w:ascii="Verdana" w:hAnsi="Verdana"/>
          <w:iCs/>
          <w:sz w:val="20"/>
          <w:szCs w:val="20"/>
        </w:rPr>
        <w:t>los</w:t>
      </w:r>
      <w:r w:rsidRPr="00F76FC0">
        <w:rPr>
          <w:rFonts w:ascii="Verdana" w:hAnsi="Verdana"/>
          <w:iCs/>
          <w:spacing w:val="-5"/>
          <w:sz w:val="20"/>
          <w:szCs w:val="20"/>
        </w:rPr>
        <w:t xml:space="preserve"> </w:t>
      </w:r>
      <w:r w:rsidRPr="00F76FC0">
        <w:rPr>
          <w:rFonts w:ascii="Verdana" w:hAnsi="Verdana"/>
          <w:iCs/>
          <w:sz w:val="20"/>
          <w:szCs w:val="20"/>
        </w:rPr>
        <w:t>principios</w:t>
      </w:r>
      <w:r w:rsidRPr="00F76FC0">
        <w:rPr>
          <w:rFonts w:ascii="Verdana" w:hAnsi="Verdana"/>
          <w:iCs/>
          <w:spacing w:val="-5"/>
          <w:sz w:val="20"/>
          <w:szCs w:val="20"/>
        </w:rPr>
        <w:t xml:space="preserve"> </w:t>
      </w:r>
      <w:r w:rsidRPr="00F76FC0">
        <w:rPr>
          <w:rFonts w:ascii="Verdana" w:hAnsi="Verdana"/>
          <w:iCs/>
          <w:sz w:val="20"/>
          <w:szCs w:val="20"/>
        </w:rPr>
        <w:t>de</w:t>
      </w:r>
      <w:r w:rsidRPr="00F76FC0">
        <w:rPr>
          <w:rFonts w:ascii="Verdana" w:hAnsi="Verdana"/>
          <w:iCs/>
          <w:spacing w:val="-5"/>
          <w:sz w:val="20"/>
          <w:szCs w:val="20"/>
        </w:rPr>
        <w:t xml:space="preserve"> </w:t>
      </w:r>
      <w:r w:rsidRPr="00F76FC0">
        <w:rPr>
          <w:rFonts w:ascii="Verdana" w:hAnsi="Verdana"/>
          <w:iCs/>
          <w:sz w:val="20"/>
          <w:szCs w:val="20"/>
        </w:rPr>
        <w:t>la</w:t>
      </w:r>
      <w:r w:rsidRPr="00F76FC0">
        <w:rPr>
          <w:rFonts w:ascii="Verdana" w:hAnsi="Verdana"/>
          <w:iCs/>
          <w:spacing w:val="-6"/>
          <w:sz w:val="20"/>
          <w:szCs w:val="20"/>
        </w:rPr>
        <w:t xml:space="preserve"> </w:t>
      </w:r>
      <w:r w:rsidRPr="00F76FC0">
        <w:rPr>
          <w:rFonts w:ascii="Verdana" w:hAnsi="Verdana"/>
          <w:iCs/>
          <w:sz w:val="20"/>
          <w:szCs w:val="20"/>
        </w:rPr>
        <w:t>función</w:t>
      </w:r>
      <w:r w:rsidRPr="00F76FC0">
        <w:rPr>
          <w:rFonts w:ascii="Verdana" w:hAnsi="Verdana"/>
          <w:iCs/>
          <w:spacing w:val="-6"/>
          <w:sz w:val="20"/>
          <w:szCs w:val="20"/>
        </w:rPr>
        <w:t xml:space="preserve"> </w:t>
      </w:r>
      <w:r w:rsidRPr="00F76FC0">
        <w:rPr>
          <w:rFonts w:ascii="Verdana" w:hAnsi="Verdana"/>
          <w:iCs/>
          <w:sz w:val="20"/>
          <w:szCs w:val="20"/>
        </w:rPr>
        <w:t>administrativa</w:t>
      </w:r>
      <w:r w:rsidRPr="00F76FC0">
        <w:rPr>
          <w:rFonts w:ascii="Verdana" w:hAnsi="Verdana"/>
          <w:iCs/>
          <w:spacing w:val="-6"/>
          <w:sz w:val="20"/>
          <w:szCs w:val="20"/>
        </w:rPr>
        <w:t xml:space="preserve"> </w:t>
      </w:r>
      <w:r w:rsidRPr="00F76FC0">
        <w:rPr>
          <w:rFonts w:ascii="Verdana" w:hAnsi="Verdana"/>
          <w:iCs/>
          <w:sz w:val="20"/>
          <w:szCs w:val="20"/>
        </w:rPr>
        <w:t>y</w:t>
      </w:r>
      <w:r w:rsidRPr="00F76FC0">
        <w:rPr>
          <w:rFonts w:ascii="Verdana" w:hAnsi="Verdana"/>
          <w:iCs/>
          <w:spacing w:val="-6"/>
          <w:sz w:val="20"/>
          <w:szCs w:val="20"/>
        </w:rPr>
        <w:t xml:space="preserve"> </w:t>
      </w:r>
      <w:r w:rsidRPr="00F76FC0">
        <w:rPr>
          <w:rFonts w:ascii="Verdana" w:hAnsi="Verdana"/>
          <w:iCs/>
          <w:sz w:val="20"/>
          <w:szCs w:val="20"/>
        </w:rPr>
        <w:t>de</w:t>
      </w:r>
      <w:r w:rsidRPr="00F76FC0">
        <w:rPr>
          <w:rFonts w:ascii="Verdana" w:hAnsi="Verdana"/>
          <w:iCs/>
          <w:spacing w:val="-5"/>
          <w:sz w:val="20"/>
          <w:szCs w:val="20"/>
        </w:rPr>
        <w:t xml:space="preserve"> </w:t>
      </w:r>
      <w:r w:rsidRPr="00F76FC0">
        <w:rPr>
          <w:rFonts w:ascii="Verdana" w:hAnsi="Verdana"/>
          <w:iCs/>
          <w:sz w:val="20"/>
          <w:szCs w:val="20"/>
        </w:rPr>
        <w:t>la gestión fiscal de que tratan los artículos 209 y 267 de la Constitución Política, respectivamente</w:t>
      </w:r>
      <w:r w:rsidRPr="00F76FC0">
        <w:rPr>
          <w:rFonts w:ascii="Verdana" w:hAnsi="Verdana"/>
          <w:iCs/>
          <w:spacing w:val="40"/>
          <w:sz w:val="20"/>
          <w:szCs w:val="20"/>
        </w:rPr>
        <w:t xml:space="preserve"> </w:t>
      </w:r>
      <w:r w:rsidRPr="00F76FC0">
        <w:rPr>
          <w:rFonts w:ascii="Verdana" w:hAnsi="Verdana"/>
          <w:iCs/>
          <w:sz w:val="20"/>
          <w:szCs w:val="20"/>
        </w:rPr>
        <w:t>sea el caso y estarán sometidas al régimen de inhabilidades e incompatibilidades previsto legalmente para la contratación estatal.</w:t>
      </w:r>
    </w:p>
    <w:p w14:paraId="6402279A" w14:textId="77777777" w:rsidR="007B7821" w:rsidRDefault="007B7821" w:rsidP="007B7821">
      <w:pPr>
        <w:spacing w:after="0" w:line="240" w:lineRule="auto"/>
        <w:ind w:left="851" w:right="902"/>
        <w:jc w:val="both"/>
        <w:rPr>
          <w:rFonts w:ascii="Verdana" w:hAnsi="Verdana"/>
          <w:iCs/>
          <w:sz w:val="20"/>
          <w:szCs w:val="20"/>
        </w:rPr>
      </w:pPr>
    </w:p>
    <w:p w14:paraId="41B61E41" w14:textId="77777777" w:rsidR="007B7821" w:rsidRPr="00F76FC0" w:rsidRDefault="007B7821" w:rsidP="007B7821">
      <w:pPr>
        <w:spacing w:after="0" w:line="240" w:lineRule="auto"/>
        <w:ind w:left="851" w:right="902"/>
        <w:jc w:val="both"/>
        <w:rPr>
          <w:rFonts w:ascii="Verdana" w:hAnsi="Verdana"/>
          <w:iCs/>
          <w:sz w:val="20"/>
          <w:szCs w:val="20"/>
        </w:rPr>
      </w:pPr>
      <w:r w:rsidRPr="00F76FC0">
        <w:rPr>
          <w:rFonts w:ascii="Verdana" w:hAnsi="Verdana"/>
          <w:iCs/>
          <w:sz w:val="20"/>
          <w:szCs w:val="20"/>
        </w:rPr>
        <w:t>En</w:t>
      </w:r>
      <w:r w:rsidRPr="00F76FC0">
        <w:rPr>
          <w:rFonts w:ascii="Verdana" w:hAnsi="Verdana"/>
          <w:iCs/>
          <w:spacing w:val="-20"/>
          <w:sz w:val="20"/>
          <w:szCs w:val="20"/>
        </w:rPr>
        <w:t xml:space="preserve"> </w:t>
      </w:r>
      <w:r w:rsidRPr="00F76FC0">
        <w:rPr>
          <w:rFonts w:ascii="Verdana" w:hAnsi="Verdana"/>
          <w:iCs/>
          <w:sz w:val="20"/>
          <w:szCs w:val="20"/>
        </w:rPr>
        <w:t>desarrollo</w:t>
      </w:r>
      <w:r w:rsidRPr="00F76FC0">
        <w:rPr>
          <w:rFonts w:ascii="Verdana" w:hAnsi="Verdana"/>
          <w:iCs/>
          <w:spacing w:val="-19"/>
          <w:sz w:val="20"/>
          <w:szCs w:val="20"/>
        </w:rPr>
        <w:t xml:space="preserve"> </w:t>
      </w:r>
      <w:r w:rsidRPr="00F76FC0">
        <w:rPr>
          <w:rFonts w:ascii="Verdana" w:hAnsi="Verdana"/>
          <w:iCs/>
          <w:sz w:val="20"/>
          <w:szCs w:val="20"/>
        </w:rPr>
        <w:t>de</w:t>
      </w:r>
      <w:r w:rsidRPr="00F76FC0">
        <w:rPr>
          <w:rFonts w:ascii="Verdana" w:hAnsi="Verdana"/>
          <w:iCs/>
          <w:spacing w:val="-19"/>
          <w:sz w:val="20"/>
          <w:szCs w:val="20"/>
        </w:rPr>
        <w:t xml:space="preserve"> </w:t>
      </w:r>
      <w:r w:rsidRPr="00F76FC0">
        <w:rPr>
          <w:rFonts w:ascii="Verdana" w:hAnsi="Verdana"/>
          <w:iCs/>
          <w:sz w:val="20"/>
          <w:szCs w:val="20"/>
        </w:rPr>
        <w:t>los</w:t>
      </w:r>
      <w:r w:rsidRPr="00F76FC0">
        <w:rPr>
          <w:rFonts w:ascii="Verdana" w:hAnsi="Verdana"/>
          <w:iCs/>
          <w:spacing w:val="-20"/>
          <w:sz w:val="20"/>
          <w:szCs w:val="20"/>
        </w:rPr>
        <w:t xml:space="preserve"> </w:t>
      </w:r>
      <w:r w:rsidRPr="00F76FC0">
        <w:rPr>
          <w:rFonts w:ascii="Verdana" w:hAnsi="Verdana"/>
          <w:iCs/>
          <w:sz w:val="20"/>
          <w:szCs w:val="20"/>
        </w:rPr>
        <w:t>anteriores</w:t>
      </w:r>
      <w:r w:rsidRPr="00F76FC0">
        <w:rPr>
          <w:rFonts w:ascii="Verdana" w:hAnsi="Verdana"/>
          <w:iCs/>
          <w:spacing w:val="-19"/>
          <w:sz w:val="20"/>
          <w:szCs w:val="20"/>
        </w:rPr>
        <w:t xml:space="preserve"> </w:t>
      </w:r>
      <w:r w:rsidRPr="00F76FC0">
        <w:rPr>
          <w:rFonts w:ascii="Verdana" w:hAnsi="Verdana"/>
          <w:iCs/>
          <w:sz w:val="20"/>
          <w:szCs w:val="20"/>
        </w:rPr>
        <w:t>principios,</w:t>
      </w:r>
      <w:r w:rsidRPr="00F76FC0">
        <w:rPr>
          <w:rFonts w:ascii="Verdana" w:hAnsi="Verdana"/>
          <w:iCs/>
          <w:spacing w:val="-20"/>
          <w:sz w:val="20"/>
          <w:szCs w:val="20"/>
        </w:rPr>
        <w:t xml:space="preserve"> </w:t>
      </w:r>
      <w:r w:rsidRPr="00F76FC0">
        <w:rPr>
          <w:rFonts w:ascii="Verdana" w:hAnsi="Verdana"/>
          <w:iCs/>
          <w:sz w:val="20"/>
          <w:szCs w:val="20"/>
        </w:rPr>
        <w:t>deberán</w:t>
      </w:r>
      <w:r w:rsidRPr="00F76FC0">
        <w:rPr>
          <w:rFonts w:ascii="Verdana" w:hAnsi="Verdana"/>
          <w:iCs/>
          <w:spacing w:val="-18"/>
          <w:sz w:val="20"/>
          <w:szCs w:val="20"/>
        </w:rPr>
        <w:t xml:space="preserve"> </w:t>
      </w:r>
      <w:r w:rsidRPr="00F76FC0">
        <w:rPr>
          <w:rFonts w:ascii="Verdana" w:hAnsi="Verdana"/>
          <w:iCs/>
          <w:sz w:val="20"/>
          <w:szCs w:val="20"/>
        </w:rPr>
        <w:t>publicar</w:t>
      </w:r>
      <w:r w:rsidRPr="00F76FC0">
        <w:rPr>
          <w:rFonts w:ascii="Verdana" w:hAnsi="Verdana"/>
          <w:iCs/>
          <w:spacing w:val="-19"/>
          <w:sz w:val="20"/>
          <w:szCs w:val="20"/>
        </w:rPr>
        <w:t xml:space="preserve"> </w:t>
      </w:r>
      <w:r w:rsidRPr="00F76FC0">
        <w:rPr>
          <w:rFonts w:ascii="Verdana" w:hAnsi="Verdana"/>
          <w:iCs/>
          <w:sz w:val="20"/>
          <w:szCs w:val="20"/>
        </w:rPr>
        <w:t>los documentos</w:t>
      </w:r>
      <w:r w:rsidRPr="00F76FC0">
        <w:rPr>
          <w:rFonts w:ascii="Verdana" w:hAnsi="Verdana"/>
          <w:iCs/>
          <w:spacing w:val="-14"/>
          <w:sz w:val="20"/>
          <w:szCs w:val="20"/>
        </w:rPr>
        <w:t xml:space="preserve"> </w:t>
      </w:r>
      <w:r w:rsidRPr="00F76FC0">
        <w:rPr>
          <w:rFonts w:ascii="Verdana" w:hAnsi="Verdana"/>
          <w:iCs/>
          <w:sz w:val="20"/>
          <w:szCs w:val="20"/>
        </w:rPr>
        <w:t>relacionados</w:t>
      </w:r>
      <w:r w:rsidRPr="00F76FC0">
        <w:rPr>
          <w:rFonts w:ascii="Verdana" w:hAnsi="Verdana"/>
          <w:iCs/>
          <w:spacing w:val="-14"/>
          <w:sz w:val="20"/>
          <w:szCs w:val="20"/>
        </w:rPr>
        <w:t xml:space="preserve"> </w:t>
      </w:r>
      <w:r w:rsidRPr="00F76FC0">
        <w:rPr>
          <w:rFonts w:ascii="Verdana" w:hAnsi="Verdana"/>
          <w:iCs/>
          <w:sz w:val="20"/>
          <w:szCs w:val="20"/>
        </w:rPr>
        <w:t>con</w:t>
      </w:r>
      <w:r w:rsidRPr="00F76FC0">
        <w:rPr>
          <w:rFonts w:ascii="Verdana" w:hAnsi="Verdana"/>
          <w:iCs/>
          <w:spacing w:val="-17"/>
          <w:sz w:val="20"/>
          <w:szCs w:val="20"/>
        </w:rPr>
        <w:t xml:space="preserve"> </w:t>
      </w:r>
      <w:r w:rsidRPr="00F76FC0">
        <w:rPr>
          <w:rFonts w:ascii="Verdana" w:hAnsi="Verdana"/>
          <w:iCs/>
          <w:sz w:val="20"/>
          <w:szCs w:val="20"/>
        </w:rPr>
        <w:t>su</w:t>
      </w:r>
      <w:r w:rsidRPr="00F76FC0">
        <w:rPr>
          <w:rFonts w:ascii="Verdana" w:hAnsi="Verdana"/>
          <w:iCs/>
          <w:spacing w:val="-14"/>
          <w:sz w:val="20"/>
          <w:szCs w:val="20"/>
        </w:rPr>
        <w:t xml:space="preserve"> </w:t>
      </w:r>
      <w:r w:rsidRPr="00F76FC0">
        <w:rPr>
          <w:rFonts w:ascii="Verdana" w:hAnsi="Verdana"/>
          <w:iCs/>
          <w:sz w:val="20"/>
          <w:szCs w:val="20"/>
        </w:rPr>
        <w:t>actividad</w:t>
      </w:r>
      <w:r w:rsidRPr="00F76FC0">
        <w:rPr>
          <w:rFonts w:ascii="Verdana" w:hAnsi="Verdana"/>
          <w:iCs/>
          <w:spacing w:val="-16"/>
          <w:sz w:val="20"/>
          <w:szCs w:val="20"/>
        </w:rPr>
        <w:t xml:space="preserve"> </w:t>
      </w:r>
      <w:r w:rsidRPr="00F76FC0">
        <w:rPr>
          <w:rFonts w:ascii="Verdana" w:hAnsi="Verdana"/>
          <w:iCs/>
          <w:sz w:val="20"/>
          <w:szCs w:val="20"/>
        </w:rPr>
        <w:t>contractual</w:t>
      </w:r>
      <w:r w:rsidRPr="00F76FC0">
        <w:rPr>
          <w:rFonts w:ascii="Verdana" w:hAnsi="Verdana"/>
          <w:iCs/>
          <w:spacing w:val="-16"/>
          <w:sz w:val="20"/>
          <w:szCs w:val="20"/>
        </w:rPr>
        <w:t xml:space="preserve"> </w:t>
      </w:r>
      <w:r w:rsidRPr="00F76FC0">
        <w:rPr>
          <w:rFonts w:ascii="Verdana" w:hAnsi="Verdana"/>
          <w:iCs/>
          <w:sz w:val="20"/>
          <w:szCs w:val="20"/>
        </w:rPr>
        <w:t>en el Sistema Electrónico para la Contratación Pública - SECOP –I - o la plataforma transaccional que haga sus veces. Para los efectos de este artículo, se entiende por actividad contractual los documentos, contratos, actos e información generada por oferentes, contratista, contratante, supervisor</w:t>
      </w:r>
      <w:r w:rsidRPr="00F76FC0">
        <w:rPr>
          <w:rFonts w:ascii="Verdana" w:hAnsi="Verdana"/>
          <w:iCs/>
          <w:spacing w:val="-19"/>
          <w:sz w:val="20"/>
          <w:szCs w:val="20"/>
        </w:rPr>
        <w:t xml:space="preserve"> </w:t>
      </w:r>
      <w:r w:rsidRPr="00F76FC0">
        <w:rPr>
          <w:rFonts w:ascii="Verdana" w:hAnsi="Verdana"/>
          <w:iCs/>
          <w:sz w:val="20"/>
          <w:szCs w:val="20"/>
        </w:rPr>
        <w:t>o</w:t>
      </w:r>
      <w:r w:rsidRPr="00F76FC0">
        <w:rPr>
          <w:rFonts w:ascii="Verdana" w:hAnsi="Verdana"/>
          <w:iCs/>
          <w:spacing w:val="-18"/>
          <w:sz w:val="20"/>
          <w:szCs w:val="20"/>
        </w:rPr>
        <w:t xml:space="preserve"> </w:t>
      </w:r>
      <w:r w:rsidRPr="00F76FC0">
        <w:rPr>
          <w:rFonts w:ascii="Verdana" w:hAnsi="Verdana"/>
          <w:iCs/>
          <w:sz w:val="20"/>
          <w:szCs w:val="20"/>
        </w:rPr>
        <w:t>interventor,</w:t>
      </w:r>
      <w:r w:rsidRPr="00F76FC0">
        <w:rPr>
          <w:rFonts w:ascii="Verdana" w:hAnsi="Verdana"/>
          <w:iCs/>
          <w:spacing w:val="-18"/>
          <w:sz w:val="20"/>
          <w:szCs w:val="20"/>
        </w:rPr>
        <w:t xml:space="preserve"> </w:t>
      </w:r>
      <w:r w:rsidRPr="00F76FC0">
        <w:rPr>
          <w:rFonts w:ascii="Verdana" w:hAnsi="Verdana"/>
          <w:iCs/>
          <w:sz w:val="20"/>
          <w:szCs w:val="20"/>
        </w:rPr>
        <w:t>tanto</w:t>
      </w:r>
      <w:r w:rsidRPr="00F76FC0">
        <w:rPr>
          <w:rFonts w:ascii="Verdana" w:hAnsi="Verdana"/>
          <w:iCs/>
          <w:spacing w:val="-18"/>
          <w:sz w:val="20"/>
          <w:szCs w:val="20"/>
        </w:rPr>
        <w:t xml:space="preserve"> </w:t>
      </w:r>
      <w:r w:rsidRPr="00F76FC0">
        <w:rPr>
          <w:rFonts w:ascii="Verdana" w:hAnsi="Verdana"/>
          <w:iCs/>
          <w:sz w:val="20"/>
          <w:szCs w:val="20"/>
        </w:rPr>
        <w:t>en</w:t>
      </w:r>
      <w:r w:rsidRPr="00F76FC0">
        <w:rPr>
          <w:rFonts w:ascii="Verdana" w:hAnsi="Verdana"/>
          <w:iCs/>
          <w:spacing w:val="-19"/>
          <w:sz w:val="20"/>
          <w:szCs w:val="20"/>
        </w:rPr>
        <w:t xml:space="preserve"> </w:t>
      </w:r>
      <w:r w:rsidRPr="00F76FC0">
        <w:rPr>
          <w:rFonts w:ascii="Verdana" w:hAnsi="Verdana"/>
          <w:iCs/>
          <w:sz w:val="20"/>
          <w:szCs w:val="20"/>
        </w:rPr>
        <w:t>la</w:t>
      </w:r>
      <w:r w:rsidRPr="00F76FC0">
        <w:rPr>
          <w:rFonts w:ascii="Verdana" w:hAnsi="Verdana"/>
          <w:iCs/>
          <w:spacing w:val="-17"/>
          <w:sz w:val="20"/>
          <w:szCs w:val="20"/>
        </w:rPr>
        <w:t xml:space="preserve"> </w:t>
      </w:r>
      <w:r w:rsidRPr="00F76FC0">
        <w:rPr>
          <w:rFonts w:ascii="Verdana" w:hAnsi="Verdana"/>
          <w:iCs/>
          <w:sz w:val="20"/>
          <w:szCs w:val="20"/>
        </w:rPr>
        <w:t>etapa</w:t>
      </w:r>
      <w:r w:rsidRPr="00F76FC0">
        <w:rPr>
          <w:rFonts w:ascii="Verdana" w:hAnsi="Verdana"/>
          <w:iCs/>
          <w:spacing w:val="-19"/>
          <w:sz w:val="20"/>
          <w:szCs w:val="20"/>
        </w:rPr>
        <w:t xml:space="preserve"> </w:t>
      </w:r>
      <w:r w:rsidRPr="00F76FC0">
        <w:rPr>
          <w:rFonts w:ascii="Verdana" w:hAnsi="Verdana"/>
          <w:iCs/>
          <w:sz w:val="20"/>
          <w:szCs w:val="20"/>
        </w:rPr>
        <w:t>precontractual,</w:t>
      </w:r>
      <w:r w:rsidRPr="00F76FC0">
        <w:rPr>
          <w:rFonts w:ascii="Verdana" w:hAnsi="Verdana"/>
          <w:iCs/>
          <w:spacing w:val="-18"/>
          <w:sz w:val="20"/>
          <w:szCs w:val="20"/>
        </w:rPr>
        <w:t xml:space="preserve"> </w:t>
      </w:r>
      <w:r w:rsidRPr="00F76FC0">
        <w:rPr>
          <w:rFonts w:ascii="Verdana" w:hAnsi="Verdana"/>
          <w:iCs/>
          <w:sz w:val="20"/>
          <w:szCs w:val="20"/>
        </w:rPr>
        <w:t xml:space="preserve">como en la contractual y la </w:t>
      </w:r>
      <w:proofErr w:type="spellStart"/>
      <w:r w:rsidRPr="00F76FC0">
        <w:rPr>
          <w:rFonts w:ascii="Verdana" w:hAnsi="Verdana"/>
          <w:iCs/>
          <w:sz w:val="20"/>
          <w:szCs w:val="20"/>
        </w:rPr>
        <w:t>postcontractual</w:t>
      </w:r>
      <w:proofErr w:type="spellEnd"/>
      <w:r w:rsidRPr="00F76FC0">
        <w:rPr>
          <w:rFonts w:ascii="Verdana" w:hAnsi="Verdana"/>
          <w:iCs/>
          <w:sz w:val="20"/>
          <w:szCs w:val="20"/>
        </w:rPr>
        <w:t>.</w:t>
      </w:r>
    </w:p>
    <w:p w14:paraId="02B37F41" w14:textId="77777777" w:rsidR="007B7821" w:rsidRDefault="007B7821" w:rsidP="007B7821">
      <w:pPr>
        <w:pStyle w:val="Ttulo3"/>
        <w:spacing w:before="0"/>
        <w:rPr>
          <w:b w:val="0"/>
          <w:bCs w:val="0"/>
          <w:i w:val="0"/>
          <w:sz w:val="20"/>
          <w:szCs w:val="20"/>
          <w:u w:val="none"/>
        </w:rPr>
      </w:pPr>
    </w:p>
    <w:p w14:paraId="3B2599B6" w14:textId="77777777" w:rsidR="007B7821" w:rsidRPr="00F76FC0" w:rsidRDefault="007B7821" w:rsidP="007B7821">
      <w:pPr>
        <w:pStyle w:val="Ttulo3"/>
        <w:spacing w:before="0"/>
        <w:rPr>
          <w:b w:val="0"/>
          <w:bCs w:val="0"/>
          <w:i w:val="0"/>
          <w:sz w:val="20"/>
          <w:szCs w:val="20"/>
          <w:u w:val="none"/>
        </w:rPr>
      </w:pPr>
      <w:r w:rsidRPr="00F76FC0">
        <w:rPr>
          <w:b w:val="0"/>
          <w:bCs w:val="0"/>
          <w:i w:val="0"/>
          <w:sz w:val="20"/>
          <w:szCs w:val="20"/>
          <w:u w:val="none"/>
        </w:rPr>
        <w:t xml:space="preserve">A partir de la </w:t>
      </w:r>
      <w:proofErr w:type="gramStart"/>
      <w:r w:rsidRPr="00F76FC0">
        <w:rPr>
          <w:b w:val="0"/>
          <w:bCs w:val="0"/>
          <w:i w:val="0"/>
          <w:sz w:val="20"/>
          <w:szCs w:val="20"/>
          <w:u w:val="none"/>
        </w:rPr>
        <w:t>entrada en vigencia</w:t>
      </w:r>
      <w:proofErr w:type="gramEnd"/>
      <w:r w:rsidRPr="00F76FC0">
        <w:rPr>
          <w:b w:val="0"/>
          <w:bCs w:val="0"/>
          <w:i w:val="0"/>
          <w:sz w:val="20"/>
          <w:szCs w:val="20"/>
          <w:u w:val="none"/>
        </w:rPr>
        <w:t xml:space="preserve"> de la presente Ley, se establecerá un periodo de transición de seis (6) meses, para que las entidades den cumplimiento efectivo a lo aquí establecido”. </w:t>
      </w:r>
    </w:p>
    <w:p w14:paraId="2C869E55" w14:textId="77777777" w:rsidR="007B7821" w:rsidRDefault="007B7821" w:rsidP="007B7821">
      <w:pPr>
        <w:pStyle w:val="Textoindependiente"/>
        <w:spacing w:before="0" w:beforeAutospacing="0" w:after="0" w:afterAutospacing="0"/>
        <w:ind w:right="136" w:firstLine="709"/>
        <w:jc w:val="both"/>
        <w:rPr>
          <w:rFonts w:ascii="Verdana" w:hAnsi="Verdana"/>
          <w:sz w:val="22"/>
          <w:szCs w:val="22"/>
        </w:rPr>
      </w:pPr>
    </w:p>
    <w:p w14:paraId="4374EABC" w14:textId="77777777" w:rsidR="007B7821" w:rsidRPr="00CA409A" w:rsidRDefault="007B7821" w:rsidP="007B7821">
      <w:pPr>
        <w:pStyle w:val="Textoindependiente"/>
        <w:spacing w:before="0" w:beforeAutospacing="0" w:after="120" w:afterAutospacing="0" w:line="276" w:lineRule="auto"/>
        <w:ind w:right="136" w:firstLine="709"/>
        <w:jc w:val="both"/>
        <w:rPr>
          <w:rFonts w:ascii="Verdana" w:hAnsi="Verdana"/>
          <w:sz w:val="22"/>
          <w:szCs w:val="22"/>
        </w:rPr>
      </w:pPr>
      <w:r w:rsidRPr="00CA409A">
        <w:rPr>
          <w:rFonts w:ascii="Verdana" w:hAnsi="Verdana"/>
          <w:sz w:val="22"/>
          <w:szCs w:val="22"/>
        </w:rPr>
        <w:t>Así las cosas, en virtud de esta disposición normativa, todas las entidades que tienen un régimen de contratación exceptuado del Estatuto General de Contratación de la Administración Pública, a partir del 18 de julio de 2022, están</w:t>
      </w:r>
      <w:r w:rsidRPr="00CA409A">
        <w:rPr>
          <w:rFonts w:ascii="Verdana" w:hAnsi="Verdana"/>
          <w:spacing w:val="-11"/>
          <w:sz w:val="22"/>
          <w:szCs w:val="22"/>
        </w:rPr>
        <w:t xml:space="preserve"> </w:t>
      </w:r>
      <w:r w:rsidRPr="00CA409A">
        <w:rPr>
          <w:rFonts w:ascii="Verdana" w:hAnsi="Verdana"/>
          <w:sz w:val="22"/>
          <w:szCs w:val="22"/>
        </w:rPr>
        <w:t>obligados</w:t>
      </w:r>
      <w:r w:rsidRPr="00CA409A">
        <w:rPr>
          <w:rFonts w:ascii="Verdana" w:hAnsi="Verdana"/>
          <w:spacing w:val="-10"/>
          <w:sz w:val="22"/>
          <w:szCs w:val="22"/>
        </w:rPr>
        <w:t xml:space="preserve"> </w:t>
      </w:r>
      <w:r w:rsidRPr="00CA409A">
        <w:rPr>
          <w:rFonts w:ascii="Verdana" w:hAnsi="Verdana"/>
          <w:sz w:val="22"/>
          <w:szCs w:val="22"/>
        </w:rPr>
        <w:t>a</w:t>
      </w:r>
      <w:r w:rsidRPr="00CA409A">
        <w:rPr>
          <w:rFonts w:ascii="Verdana" w:hAnsi="Verdana"/>
          <w:spacing w:val="-11"/>
          <w:sz w:val="22"/>
          <w:szCs w:val="22"/>
        </w:rPr>
        <w:t xml:space="preserve"> </w:t>
      </w:r>
      <w:r w:rsidRPr="00CA409A">
        <w:rPr>
          <w:rFonts w:ascii="Verdana" w:hAnsi="Verdana"/>
          <w:sz w:val="22"/>
          <w:szCs w:val="22"/>
        </w:rPr>
        <w:t>publicar</w:t>
      </w:r>
      <w:r w:rsidRPr="00CA409A">
        <w:rPr>
          <w:rFonts w:ascii="Verdana" w:hAnsi="Verdana"/>
          <w:spacing w:val="-12"/>
          <w:sz w:val="22"/>
          <w:szCs w:val="22"/>
        </w:rPr>
        <w:t xml:space="preserve"> </w:t>
      </w:r>
      <w:r w:rsidRPr="00CA409A">
        <w:rPr>
          <w:rFonts w:ascii="Verdana" w:hAnsi="Verdana"/>
          <w:sz w:val="22"/>
          <w:szCs w:val="22"/>
        </w:rPr>
        <w:t>su</w:t>
      </w:r>
      <w:r w:rsidRPr="00CA409A">
        <w:rPr>
          <w:rFonts w:ascii="Verdana" w:hAnsi="Verdana"/>
          <w:spacing w:val="-13"/>
          <w:sz w:val="22"/>
          <w:szCs w:val="22"/>
        </w:rPr>
        <w:t xml:space="preserve"> </w:t>
      </w:r>
      <w:r w:rsidRPr="00CA409A">
        <w:rPr>
          <w:rFonts w:ascii="Verdana" w:hAnsi="Verdana"/>
          <w:sz w:val="22"/>
          <w:szCs w:val="22"/>
        </w:rPr>
        <w:t>actividad</w:t>
      </w:r>
      <w:r w:rsidRPr="00CA409A">
        <w:rPr>
          <w:rFonts w:ascii="Verdana" w:hAnsi="Verdana"/>
          <w:spacing w:val="-9"/>
          <w:sz w:val="22"/>
          <w:szCs w:val="22"/>
        </w:rPr>
        <w:t xml:space="preserve"> </w:t>
      </w:r>
      <w:r w:rsidRPr="00CA409A">
        <w:rPr>
          <w:rFonts w:ascii="Verdana" w:hAnsi="Verdana"/>
          <w:sz w:val="22"/>
          <w:szCs w:val="22"/>
        </w:rPr>
        <w:t>contractual</w:t>
      </w:r>
      <w:r w:rsidRPr="00CA409A">
        <w:rPr>
          <w:rFonts w:ascii="Verdana" w:hAnsi="Verdana"/>
          <w:spacing w:val="-11"/>
          <w:sz w:val="22"/>
          <w:szCs w:val="22"/>
        </w:rPr>
        <w:t xml:space="preserve"> </w:t>
      </w:r>
      <w:r w:rsidRPr="00CA409A">
        <w:rPr>
          <w:rFonts w:ascii="Verdana" w:hAnsi="Verdana"/>
          <w:sz w:val="22"/>
          <w:szCs w:val="22"/>
        </w:rPr>
        <w:t>en</w:t>
      </w:r>
      <w:r w:rsidRPr="00CA409A">
        <w:rPr>
          <w:rFonts w:ascii="Verdana" w:hAnsi="Verdana"/>
          <w:spacing w:val="-10"/>
          <w:sz w:val="22"/>
          <w:szCs w:val="22"/>
        </w:rPr>
        <w:t xml:space="preserve"> </w:t>
      </w:r>
      <w:r w:rsidRPr="00CA409A">
        <w:rPr>
          <w:rFonts w:ascii="Verdana" w:hAnsi="Verdana"/>
          <w:sz w:val="22"/>
          <w:szCs w:val="22"/>
        </w:rPr>
        <w:t>la</w:t>
      </w:r>
      <w:r w:rsidRPr="00CA409A">
        <w:rPr>
          <w:rFonts w:ascii="Verdana" w:hAnsi="Verdana"/>
          <w:spacing w:val="-11"/>
          <w:sz w:val="22"/>
          <w:szCs w:val="22"/>
        </w:rPr>
        <w:t xml:space="preserve"> </w:t>
      </w:r>
      <w:r w:rsidRPr="00CA409A">
        <w:rPr>
          <w:rFonts w:ascii="Verdana" w:hAnsi="Verdana"/>
          <w:sz w:val="22"/>
          <w:szCs w:val="22"/>
        </w:rPr>
        <w:t>plataforma</w:t>
      </w:r>
      <w:r w:rsidRPr="00CA409A">
        <w:rPr>
          <w:rFonts w:ascii="Verdana" w:hAnsi="Verdana"/>
          <w:spacing w:val="-11"/>
          <w:sz w:val="22"/>
          <w:szCs w:val="22"/>
        </w:rPr>
        <w:t xml:space="preserve"> </w:t>
      </w:r>
      <w:r w:rsidRPr="00CA409A">
        <w:rPr>
          <w:rFonts w:ascii="Verdana" w:hAnsi="Verdana"/>
          <w:sz w:val="22"/>
          <w:szCs w:val="22"/>
        </w:rPr>
        <w:t>SECOP</w:t>
      </w:r>
      <w:r w:rsidRPr="00CA409A">
        <w:rPr>
          <w:rFonts w:ascii="Verdana" w:hAnsi="Verdana"/>
          <w:spacing w:val="-9"/>
          <w:sz w:val="22"/>
          <w:szCs w:val="22"/>
        </w:rPr>
        <w:t xml:space="preserve"> </w:t>
      </w:r>
      <w:r w:rsidRPr="00CA409A">
        <w:rPr>
          <w:rFonts w:ascii="Verdana" w:hAnsi="Verdana"/>
          <w:sz w:val="22"/>
          <w:szCs w:val="22"/>
        </w:rPr>
        <w:t>II o en la plataforma transaccional que haga sus veces.</w:t>
      </w:r>
    </w:p>
    <w:p w14:paraId="775E0F8D" w14:textId="77777777" w:rsidR="007B7821" w:rsidRDefault="007B7821" w:rsidP="007B7821">
      <w:pPr>
        <w:spacing w:before="160" w:line="276" w:lineRule="auto"/>
        <w:ind w:right="130" w:firstLine="709"/>
        <w:jc w:val="both"/>
        <w:rPr>
          <w:rFonts w:ascii="Verdana" w:hAnsi="Verdana"/>
          <w:spacing w:val="-2"/>
        </w:rPr>
      </w:pPr>
      <w:r w:rsidRPr="00CA409A">
        <w:rPr>
          <w:rFonts w:ascii="Verdana" w:hAnsi="Verdana"/>
        </w:rPr>
        <w:t>De</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misma</w:t>
      </w:r>
      <w:r w:rsidRPr="00CA409A">
        <w:rPr>
          <w:rFonts w:ascii="Verdana" w:hAnsi="Verdana"/>
          <w:spacing w:val="-19"/>
        </w:rPr>
        <w:t xml:space="preserve"> </w:t>
      </w:r>
      <w:r w:rsidRPr="00CA409A">
        <w:rPr>
          <w:rFonts w:ascii="Verdana" w:hAnsi="Verdana"/>
        </w:rPr>
        <w:t>manera,</w:t>
      </w:r>
      <w:r w:rsidRPr="00CA409A">
        <w:rPr>
          <w:rFonts w:ascii="Verdana" w:hAnsi="Verdana"/>
          <w:spacing w:val="-18"/>
        </w:rPr>
        <w:t xml:space="preserve"> </w:t>
      </w:r>
      <w:r w:rsidRPr="00CA409A">
        <w:rPr>
          <w:rFonts w:ascii="Verdana" w:hAnsi="Verdana"/>
        </w:rPr>
        <w:t>la</w:t>
      </w:r>
      <w:r w:rsidRPr="00CA409A">
        <w:rPr>
          <w:rFonts w:ascii="Verdana" w:hAnsi="Verdana"/>
          <w:spacing w:val="-19"/>
        </w:rPr>
        <w:t xml:space="preserve"> </w:t>
      </w:r>
      <w:r w:rsidRPr="00CA409A">
        <w:rPr>
          <w:rFonts w:ascii="Verdana" w:hAnsi="Verdana"/>
        </w:rPr>
        <w:t>norma</w:t>
      </w:r>
      <w:r w:rsidRPr="00CA409A">
        <w:rPr>
          <w:rFonts w:ascii="Verdana" w:hAnsi="Verdana"/>
          <w:spacing w:val="-19"/>
        </w:rPr>
        <w:t xml:space="preserve"> </w:t>
      </w:r>
      <w:r w:rsidRPr="00CA409A">
        <w:rPr>
          <w:rFonts w:ascii="Verdana" w:hAnsi="Verdana"/>
        </w:rPr>
        <w:t>en</w:t>
      </w:r>
      <w:r w:rsidRPr="00CA409A">
        <w:rPr>
          <w:rFonts w:ascii="Verdana" w:hAnsi="Verdana"/>
          <w:spacing w:val="-19"/>
        </w:rPr>
        <w:t xml:space="preserve"> </w:t>
      </w:r>
      <w:r w:rsidRPr="00CA409A">
        <w:rPr>
          <w:rFonts w:ascii="Verdana" w:hAnsi="Verdana"/>
        </w:rPr>
        <w:t>mención</w:t>
      </w:r>
      <w:r w:rsidRPr="00CA409A">
        <w:rPr>
          <w:rFonts w:ascii="Verdana" w:hAnsi="Verdana"/>
          <w:spacing w:val="-19"/>
        </w:rPr>
        <w:t xml:space="preserve"> </w:t>
      </w:r>
      <w:r w:rsidRPr="00CA409A">
        <w:rPr>
          <w:rFonts w:ascii="Verdana" w:hAnsi="Verdana"/>
        </w:rPr>
        <w:t>precisa</w:t>
      </w:r>
      <w:r w:rsidRPr="00CA409A">
        <w:rPr>
          <w:rFonts w:ascii="Verdana" w:hAnsi="Verdana"/>
          <w:spacing w:val="-19"/>
        </w:rPr>
        <w:t xml:space="preserve"> </w:t>
      </w:r>
      <w:r w:rsidRPr="00CA409A">
        <w:rPr>
          <w:rFonts w:ascii="Verdana" w:hAnsi="Verdana"/>
        </w:rPr>
        <w:t>el</w:t>
      </w:r>
      <w:r w:rsidRPr="00CA409A">
        <w:rPr>
          <w:rFonts w:ascii="Verdana" w:hAnsi="Verdana"/>
          <w:spacing w:val="-19"/>
        </w:rPr>
        <w:t xml:space="preserve"> </w:t>
      </w:r>
      <w:r w:rsidRPr="00CA409A">
        <w:rPr>
          <w:rFonts w:ascii="Verdana" w:hAnsi="Verdana"/>
        </w:rPr>
        <w:t>entendimiento</w:t>
      </w:r>
      <w:r w:rsidRPr="00CA409A">
        <w:rPr>
          <w:rFonts w:ascii="Verdana" w:hAnsi="Verdana"/>
          <w:spacing w:val="-19"/>
        </w:rPr>
        <w:t xml:space="preserve"> </w:t>
      </w:r>
      <w:r w:rsidRPr="00CA409A">
        <w:rPr>
          <w:rFonts w:ascii="Verdana" w:hAnsi="Verdana"/>
        </w:rPr>
        <w:t>que</w:t>
      </w:r>
      <w:r w:rsidRPr="00CA409A">
        <w:rPr>
          <w:rFonts w:ascii="Verdana" w:hAnsi="Verdana"/>
          <w:spacing w:val="-19"/>
        </w:rPr>
        <w:t xml:space="preserve"> </w:t>
      </w:r>
      <w:r w:rsidRPr="00CA409A">
        <w:rPr>
          <w:rFonts w:ascii="Verdana" w:hAnsi="Verdana"/>
        </w:rPr>
        <w:t>debe dársele</w:t>
      </w:r>
      <w:r w:rsidRPr="00CA409A">
        <w:rPr>
          <w:rFonts w:ascii="Verdana" w:hAnsi="Verdana"/>
          <w:spacing w:val="-7"/>
        </w:rPr>
        <w:t xml:space="preserve"> </w:t>
      </w:r>
      <w:r w:rsidRPr="00CA409A">
        <w:rPr>
          <w:rFonts w:ascii="Verdana" w:hAnsi="Verdana"/>
        </w:rPr>
        <w:t>a</w:t>
      </w:r>
      <w:r w:rsidRPr="00CA409A">
        <w:rPr>
          <w:rFonts w:ascii="Verdana" w:hAnsi="Verdana"/>
          <w:spacing w:val="-8"/>
        </w:rPr>
        <w:t xml:space="preserve"> </w:t>
      </w:r>
      <w:r w:rsidRPr="00CA409A">
        <w:rPr>
          <w:rFonts w:ascii="Verdana" w:hAnsi="Verdana"/>
        </w:rPr>
        <w:t>la</w:t>
      </w:r>
      <w:r w:rsidRPr="00CA409A">
        <w:rPr>
          <w:rFonts w:ascii="Verdana" w:hAnsi="Verdana"/>
          <w:spacing w:val="-8"/>
        </w:rPr>
        <w:t xml:space="preserve"> </w:t>
      </w:r>
      <w:r w:rsidRPr="00CA409A">
        <w:rPr>
          <w:rFonts w:ascii="Verdana" w:hAnsi="Verdana"/>
        </w:rPr>
        <w:t>expresión</w:t>
      </w:r>
      <w:r w:rsidRPr="00CA409A">
        <w:rPr>
          <w:rFonts w:ascii="Verdana" w:hAnsi="Verdana"/>
          <w:spacing w:val="-8"/>
        </w:rPr>
        <w:t xml:space="preserve"> </w:t>
      </w:r>
      <w:r>
        <w:rPr>
          <w:rFonts w:ascii="Verdana" w:hAnsi="Verdana"/>
          <w:spacing w:val="-8"/>
        </w:rPr>
        <w:t>“</w:t>
      </w:r>
      <w:r w:rsidRPr="00CA409A">
        <w:rPr>
          <w:rFonts w:ascii="Verdana" w:hAnsi="Verdana"/>
          <w:spacing w:val="-8"/>
        </w:rPr>
        <w:t>actividad</w:t>
      </w:r>
      <w:r w:rsidRPr="00CA409A">
        <w:rPr>
          <w:rFonts w:ascii="Verdana" w:hAnsi="Verdana"/>
          <w:spacing w:val="-9"/>
        </w:rPr>
        <w:t xml:space="preserve"> </w:t>
      </w:r>
      <w:r w:rsidRPr="00CA409A">
        <w:rPr>
          <w:rFonts w:ascii="Verdana" w:hAnsi="Verdana"/>
        </w:rPr>
        <w:t>contractual</w:t>
      </w:r>
      <w:r>
        <w:rPr>
          <w:rFonts w:ascii="Verdana" w:hAnsi="Verdana"/>
        </w:rPr>
        <w:t>”</w:t>
      </w:r>
      <w:r w:rsidRPr="00CA409A">
        <w:rPr>
          <w:rFonts w:ascii="Verdana" w:hAnsi="Verdana"/>
          <w:spacing w:val="-9"/>
        </w:rPr>
        <w:t xml:space="preserve"> </w:t>
      </w:r>
      <w:r w:rsidRPr="00CA409A">
        <w:rPr>
          <w:rFonts w:ascii="Verdana" w:hAnsi="Verdana"/>
        </w:rPr>
        <w:t>y</w:t>
      </w:r>
      <w:r w:rsidRPr="00CA409A">
        <w:rPr>
          <w:rFonts w:ascii="Verdana" w:hAnsi="Verdana"/>
          <w:spacing w:val="-9"/>
        </w:rPr>
        <w:t xml:space="preserve"> </w:t>
      </w:r>
      <w:r w:rsidRPr="00CA409A">
        <w:rPr>
          <w:rFonts w:ascii="Verdana" w:hAnsi="Verdana"/>
        </w:rPr>
        <w:t>que</w:t>
      </w:r>
      <w:r w:rsidRPr="00CA409A">
        <w:rPr>
          <w:rFonts w:ascii="Verdana" w:hAnsi="Verdana"/>
          <w:spacing w:val="-8"/>
        </w:rPr>
        <w:t xml:space="preserve"> </w:t>
      </w:r>
      <w:r w:rsidRPr="00CA409A">
        <w:rPr>
          <w:rFonts w:ascii="Verdana" w:hAnsi="Verdana"/>
        </w:rPr>
        <w:t>permitirá</w:t>
      </w:r>
      <w:r w:rsidRPr="00CA409A">
        <w:rPr>
          <w:rFonts w:ascii="Verdana" w:hAnsi="Verdana"/>
          <w:spacing w:val="-8"/>
        </w:rPr>
        <w:t xml:space="preserve"> </w:t>
      </w:r>
      <w:r w:rsidRPr="00CA409A">
        <w:rPr>
          <w:rFonts w:ascii="Verdana" w:hAnsi="Verdana"/>
        </w:rPr>
        <w:t>determinar</w:t>
      </w:r>
      <w:r w:rsidRPr="00CA409A">
        <w:rPr>
          <w:rFonts w:ascii="Verdana" w:hAnsi="Verdana"/>
          <w:spacing w:val="-8"/>
        </w:rPr>
        <w:t xml:space="preserve"> </w:t>
      </w:r>
      <w:r w:rsidRPr="00CA409A">
        <w:rPr>
          <w:rFonts w:ascii="Verdana" w:hAnsi="Verdana"/>
        </w:rPr>
        <w:t>los documentos que deben publicar en la plataforma SECOP II estas entidades. En ese sentido, las entidades que tienen un régimen de contratación exceptuado</w:t>
      </w:r>
      <w:r w:rsidRPr="00CA409A">
        <w:rPr>
          <w:rFonts w:ascii="Verdana" w:hAnsi="Verdana"/>
          <w:spacing w:val="-16"/>
        </w:rPr>
        <w:t xml:space="preserve"> </w:t>
      </w:r>
      <w:r w:rsidRPr="00CA409A">
        <w:rPr>
          <w:rFonts w:ascii="Verdana" w:hAnsi="Verdana"/>
        </w:rPr>
        <w:t>del</w:t>
      </w:r>
      <w:r w:rsidRPr="00CA409A">
        <w:rPr>
          <w:rFonts w:ascii="Verdana" w:hAnsi="Verdana"/>
          <w:spacing w:val="-16"/>
        </w:rPr>
        <w:t xml:space="preserve"> </w:t>
      </w:r>
      <w:r w:rsidRPr="00CA409A">
        <w:rPr>
          <w:rFonts w:ascii="Verdana" w:hAnsi="Verdana"/>
        </w:rPr>
        <w:t>Estatuto</w:t>
      </w:r>
      <w:r w:rsidRPr="00CA409A">
        <w:rPr>
          <w:rFonts w:ascii="Verdana" w:hAnsi="Verdana"/>
          <w:spacing w:val="-16"/>
        </w:rPr>
        <w:t xml:space="preserve"> </w:t>
      </w:r>
      <w:r w:rsidRPr="00CA409A">
        <w:rPr>
          <w:rFonts w:ascii="Verdana" w:hAnsi="Verdana"/>
        </w:rPr>
        <w:t>General</w:t>
      </w:r>
      <w:r w:rsidRPr="00CA409A">
        <w:rPr>
          <w:rFonts w:ascii="Verdana" w:hAnsi="Verdana"/>
          <w:spacing w:val="-17"/>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Contratación</w:t>
      </w:r>
      <w:r w:rsidRPr="00CA409A">
        <w:rPr>
          <w:rFonts w:ascii="Verdana" w:hAnsi="Verdana"/>
          <w:spacing w:val="-16"/>
        </w:rPr>
        <w:t xml:space="preserve"> </w:t>
      </w:r>
      <w:r w:rsidRPr="00CA409A">
        <w:rPr>
          <w:rFonts w:ascii="Verdana" w:hAnsi="Verdana"/>
        </w:rPr>
        <w:t>de</w:t>
      </w:r>
      <w:r w:rsidRPr="00CA409A">
        <w:rPr>
          <w:rFonts w:ascii="Verdana" w:hAnsi="Verdana"/>
          <w:spacing w:val="-16"/>
        </w:rPr>
        <w:t xml:space="preserve"> </w:t>
      </w:r>
      <w:r w:rsidRPr="00CA409A">
        <w:rPr>
          <w:rFonts w:ascii="Verdana" w:hAnsi="Verdana"/>
        </w:rPr>
        <w:t>la</w:t>
      </w:r>
      <w:r w:rsidRPr="00CA409A">
        <w:rPr>
          <w:rFonts w:ascii="Verdana" w:hAnsi="Verdana"/>
          <w:spacing w:val="-17"/>
        </w:rPr>
        <w:t xml:space="preserve"> </w:t>
      </w:r>
      <w:r w:rsidRPr="00CA409A">
        <w:rPr>
          <w:rFonts w:ascii="Verdana" w:hAnsi="Verdana"/>
        </w:rPr>
        <w:t>Administración</w:t>
      </w:r>
      <w:r w:rsidRPr="00CA409A">
        <w:rPr>
          <w:rFonts w:ascii="Verdana" w:hAnsi="Verdana"/>
          <w:spacing w:val="-16"/>
        </w:rPr>
        <w:t xml:space="preserve"> </w:t>
      </w:r>
      <w:r w:rsidRPr="00CA409A">
        <w:rPr>
          <w:rFonts w:ascii="Verdana" w:hAnsi="Verdana"/>
        </w:rPr>
        <w:t xml:space="preserve">Pública tendrán la obligación de publicar </w:t>
      </w:r>
      <w:r>
        <w:rPr>
          <w:rFonts w:ascii="Verdana" w:hAnsi="Verdana"/>
          <w:i/>
        </w:rPr>
        <w:t>“</w:t>
      </w:r>
      <w:r w:rsidRPr="00CA409A">
        <w:rPr>
          <w:rFonts w:ascii="Verdana" w:hAnsi="Verdana"/>
          <w:i/>
        </w:rPr>
        <w:t>los documentos, contratos, actos e información</w:t>
      </w:r>
      <w:r w:rsidRPr="00CA409A">
        <w:rPr>
          <w:rFonts w:ascii="Verdana" w:hAnsi="Verdana"/>
          <w:i/>
          <w:spacing w:val="26"/>
        </w:rPr>
        <w:t xml:space="preserve"> </w:t>
      </w:r>
      <w:r w:rsidRPr="00CA409A">
        <w:rPr>
          <w:rFonts w:ascii="Verdana" w:hAnsi="Verdana"/>
          <w:i/>
        </w:rPr>
        <w:t>generada</w:t>
      </w:r>
      <w:r w:rsidRPr="00CA409A">
        <w:rPr>
          <w:rFonts w:ascii="Verdana" w:hAnsi="Verdana"/>
          <w:i/>
          <w:spacing w:val="28"/>
        </w:rPr>
        <w:t xml:space="preserve"> </w:t>
      </w:r>
      <w:r w:rsidRPr="00CA409A">
        <w:rPr>
          <w:rFonts w:ascii="Verdana" w:hAnsi="Verdana"/>
          <w:i/>
        </w:rPr>
        <w:t>por</w:t>
      </w:r>
      <w:r w:rsidRPr="00CA409A">
        <w:rPr>
          <w:rFonts w:ascii="Verdana" w:hAnsi="Verdana"/>
          <w:i/>
          <w:spacing w:val="28"/>
        </w:rPr>
        <w:t xml:space="preserve"> </w:t>
      </w:r>
      <w:r w:rsidRPr="00CA409A">
        <w:rPr>
          <w:rFonts w:ascii="Verdana" w:hAnsi="Verdana"/>
          <w:i/>
        </w:rPr>
        <w:t>oferentes,</w:t>
      </w:r>
      <w:r w:rsidRPr="00CA409A">
        <w:rPr>
          <w:rFonts w:ascii="Verdana" w:hAnsi="Verdana"/>
          <w:i/>
          <w:spacing w:val="30"/>
        </w:rPr>
        <w:t xml:space="preserve"> </w:t>
      </w:r>
      <w:r w:rsidRPr="00CA409A">
        <w:rPr>
          <w:rFonts w:ascii="Verdana" w:hAnsi="Verdana"/>
          <w:i/>
        </w:rPr>
        <w:t>contratista,</w:t>
      </w:r>
      <w:r w:rsidRPr="00CA409A">
        <w:rPr>
          <w:rFonts w:ascii="Verdana" w:hAnsi="Verdana"/>
          <w:i/>
          <w:spacing w:val="29"/>
        </w:rPr>
        <w:t xml:space="preserve"> </w:t>
      </w:r>
      <w:r w:rsidRPr="00CA409A">
        <w:rPr>
          <w:rFonts w:ascii="Verdana" w:hAnsi="Verdana"/>
          <w:i/>
        </w:rPr>
        <w:t>contratante,</w:t>
      </w:r>
      <w:r w:rsidRPr="00CA409A">
        <w:rPr>
          <w:rFonts w:ascii="Verdana" w:hAnsi="Verdana"/>
          <w:i/>
          <w:spacing w:val="30"/>
        </w:rPr>
        <w:t xml:space="preserve"> </w:t>
      </w:r>
      <w:r w:rsidRPr="00CA409A">
        <w:rPr>
          <w:rFonts w:ascii="Verdana" w:hAnsi="Verdana"/>
          <w:i/>
        </w:rPr>
        <w:t>supervisor</w:t>
      </w:r>
      <w:r w:rsidRPr="00CA409A">
        <w:rPr>
          <w:rFonts w:ascii="Verdana" w:hAnsi="Verdana"/>
          <w:i/>
          <w:spacing w:val="27"/>
        </w:rPr>
        <w:t xml:space="preserve"> </w:t>
      </w:r>
      <w:r w:rsidRPr="00CA409A">
        <w:rPr>
          <w:rFonts w:ascii="Verdana" w:hAnsi="Verdana"/>
          <w:i/>
          <w:spacing w:val="-10"/>
        </w:rPr>
        <w:t>o</w:t>
      </w:r>
      <w:r>
        <w:rPr>
          <w:rFonts w:ascii="Verdana" w:hAnsi="Verdana"/>
          <w:i/>
        </w:rPr>
        <w:t xml:space="preserve"> </w:t>
      </w:r>
      <w:r w:rsidRPr="00CA409A">
        <w:rPr>
          <w:rFonts w:ascii="Verdana" w:hAnsi="Verdana"/>
          <w:i/>
        </w:rPr>
        <w:t xml:space="preserve">interventor, tanto en la etapa precontractual, como en la contractual y la </w:t>
      </w:r>
      <w:proofErr w:type="spellStart"/>
      <w:r w:rsidRPr="00CA409A">
        <w:rPr>
          <w:rFonts w:ascii="Verdana" w:hAnsi="Verdana"/>
          <w:i/>
          <w:spacing w:val="-2"/>
        </w:rPr>
        <w:t>postcontractual</w:t>
      </w:r>
      <w:proofErr w:type="spellEnd"/>
      <w:r>
        <w:rPr>
          <w:rFonts w:ascii="Verdana" w:hAnsi="Verdana"/>
          <w:i/>
          <w:spacing w:val="-2"/>
        </w:rPr>
        <w:t>”</w:t>
      </w:r>
      <w:r w:rsidRPr="00CA409A">
        <w:rPr>
          <w:rFonts w:ascii="Verdana" w:hAnsi="Verdana"/>
          <w:spacing w:val="-2"/>
        </w:rPr>
        <w:t>.</w:t>
      </w:r>
    </w:p>
    <w:p w14:paraId="6E878B95" w14:textId="77777777" w:rsidR="007B7821" w:rsidRPr="00F76FC0" w:rsidRDefault="007B7821" w:rsidP="007B7821">
      <w:pPr>
        <w:spacing w:after="120" w:line="276" w:lineRule="auto"/>
        <w:ind w:right="130" w:firstLine="709"/>
        <w:jc w:val="both"/>
        <w:rPr>
          <w:rFonts w:ascii="Verdana" w:hAnsi="Verdana"/>
          <w:i/>
        </w:rPr>
      </w:pPr>
      <w:r w:rsidRPr="00CA409A">
        <w:rPr>
          <w:rFonts w:ascii="Verdana" w:hAnsi="Verdana"/>
        </w:rPr>
        <w:t>Respecto a los documentos que deben publicarse es evidente que la norma no modifica lo señalado anteriormente por esta Agencia, es decir, no se modifica</w:t>
      </w:r>
      <w:r w:rsidRPr="00CA409A">
        <w:rPr>
          <w:rFonts w:ascii="Verdana" w:hAnsi="Verdana"/>
          <w:spacing w:val="-7"/>
        </w:rPr>
        <w:t xml:space="preserve"> </w:t>
      </w:r>
      <w:r w:rsidRPr="00CA409A">
        <w:rPr>
          <w:rFonts w:ascii="Verdana" w:hAnsi="Verdana"/>
        </w:rPr>
        <w:t>lo</w:t>
      </w:r>
      <w:r w:rsidRPr="00CA409A">
        <w:rPr>
          <w:rFonts w:ascii="Verdana" w:hAnsi="Verdana"/>
          <w:spacing w:val="-6"/>
        </w:rPr>
        <w:t xml:space="preserve"> </w:t>
      </w:r>
      <w:r w:rsidRPr="00CA409A">
        <w:rPr>
          <w:rFonts w:ascii="Verdana" w:hAnsi="Verdana"/>
        </w:rPr>
        <w:t>previsto</w:t>
      </w:r>
      <w:r w:rsidRPr="00CA409A">
        <w:rPr>
          <w:rFonts w:ascii="Verdana" w:hAnsi="Verdana"/>
          <w:spacing w:val="-7"/>
        </w:rPr>
        <w:t xml:space="preserve"> </w:t>
      </w:r>
      <w:r w:rsidRPr="00CA409A">
        <w:rPr>
          <w:rFonts w:ascii="Verdana" w:hAnsi="Verdana"/>
        </w:rPr>
        <w:t>en</w:t>
      </w:r>
      <w:r w:rsidRPr="00CA409A">
        <w:rPr>
          <w:rFonts w:ascii="Verdana" w:hAnsi="Verdana"/>
          <w:spacing w:val="-7"/>
        </w:rPr>
        <w:t xml:space="preserve"> </w:t>
      </w:r>
      <w:r w:rsidRPr="00CA409A">
        <w:rPr>
          <w:rFonts w:ascii="Verdana" w:hAnsi="Verdana"/>
        </w:rPr>
        <w:t>la</w:t>
      </w:r>
      <w:r w:rsidRPr="00CA409A">
        <w:rPr>
          <w:rFonts w:ascii="Verdana" w:hAnsi="Verdana"/>
          <w:spacing w:val="-7"/>
        </w:rPr>
        <w:t xml:space="preserve"> </w:t>
      </w:r>
      <w:r w:rsidRPr="00CA409A">
        <w:rPr>
          <w:rFonts w:ascii="Verdana" w:hAnsi="Verdana"/>
        </w:rPr>
        <w:t>Ley</w:t>
      </w:r>
      <w:r w:rsidRPr="00CA409A">
        <w:rPr>
          <w:rFonts w:ascii="Verdana" w:hAnsi="Verdana"/>
          <w:spacing w:val="-8"/>
        </w:rPr>
        <w:t xml:space="preserve"> </w:t>
      </w:r>
      <w:r w:rsidRPr="00CA409A">
        <w:rPr>
          <w:rFonts w:ascii="Verdana" w:hAnsi="Verdana"/>
        </w:rPr>
        <w:t>1712</w:t>
      </w:r>
      <w:r w:rsidRPr="00CA409A">
        <w:rPr>
          <w:rFonts w:ascii="Verdana" w:hAnsi="Verdana"/>
          <w:spacing w:val="-6"/>
        </w:rPr>
        <w:t xml:space="preserve"> </w:t>
      </w:r>
      <w:r w:rsidRPr="00CA409A">
        <w:rPr>
          <w:rFonts w:ascii="Verdana" w:hAnsi="Verdana"/>
        </w:rPr>
        <w:t>de</w:t>
      </w:r>
      <w:r w:rsidRPr="00CA409A">
        <w:rPr>
          <w:rFonts w:ascii="Verdana" w:hAnsi="Verdana"/>
          <w:spacing w:val="-9"/>
        </w:rPr>
        <w:t xml:space="preserve"> </w:t>
      </w:r>
      <w:r w:rsidRPr="00CA409A">
        <w:rPr>
          <w:rFonts w:ascii="Verdana" w:hAnsi="Verdana"/>
        </w:rPr>
        <w:t>2014,</w:t>
      </w:r>
      <w:r w:rsidRPr="00CA409A">
        <w:rPr>
          <w:rFonts w:ascii="Verdana" w:hAnsi="Verdana"/>
          <w:spacing w:val="-8"/>
        </w:rPr>
        <w:t xml:space="preserve"> </w:t>
      </w:r>
      <w:r w:rsidRPr="00CA409A">
        <w:rPr>
          <w:rFonts w:ascii="Verdana" w:hAnsi="Verdana"/>
        </w:rPr>
        <w:t>en</w:t>
      </w:r>
      <w:r w:rsidRPr="00CA409A">
        <w:rPr>
          <w:rFonts w:ascii="Verdana" w:hAnsi="Verdana"/>
          <w:spacing w:val="-7"/>
        </w:rPr>
        <w:t xml:space="preserve"> </w:t>
      </w:r>
      <w:r w:rsidRPr="00CA409A">
        <w:rPr>
          <w:rFonts w:ascii="Verdana" w:hAnsi="Verdana"/>
        </w:rPr>
        <w:t>cuanto</w:t>
      </w:r>
      <w:r w:rsidRPr="00CA409A">
        <w:rPr>
          <w:rFonts w:ascii="Verdana" w:hAnsi="Verdana"/>
          <w:spacing w:val="-6"/>
        </w:rPr>
        <w:t xml:space="preserve"> </w:t>
      </w:r>
      <w:r w:rsidRPr="00CA409A">
        <w:rPr>
          <w:rFonts w:ascii="Verdana" w:hAnsi="Verdana"/>
        </w:rPr>
        <w:t>que</w:t>
      </w:r>
      <w:r w:rsidRPr="00CA409A">
        <w:rPr>
          <w:rFonts w:ascii="Verdana" w:hAnsi="Verdana"/>
          <w:spacing w:val="-7"/>
        </w:rPr>
        <w:t xml:space="preserve"> </w:t>
      </w:r>
      <w:r w:rsidRPr="00CA409A">
        <w:rPr>
          <w:rFonts w:ascii="Verdana" w:hAnsi="Verdana"/>
        </w:rPr>
        <w:t>se</w:t>
      </w:r>
      <w:r w:rsidRPr="00CA409A">
        <w:rPr>
          <w:rFonts w:ascii="Verdana" w:hAnsi="Verdana"/>
          <w:spacing w:val="-6"/>
        </w:rPr>
        <w:t xml:space="preserve"> </w:t>
      </w:r>
      <w:r w:rsidRPr="00CA409A">
        <w:rPr>
          <w:rFonts w:ascii="Verdana" w:hAnsi="Verdana"/>
        </w:rPr>
        <w:t>publicará</w:t>
      </w:r>
      <w:r w:rsidRPr="00CA409A">
        <w:rPr>
          <w:rFonts w:ascii="Verdana" w:hAnsi="Verdana"/>
          <w:spacing w:val="-7"/>
        </w:rPr>
        <w:t xml:space="preserve"> </w:t>
      </w:r>
      <w:r w:rsidRPr="00CA409A">
        <w:rPr>
          <w:rFonts w:ascii="Verdana" w:hAnsi="Verdana"/>
        </w:rPr>
        <w:t>toda la</w:t>
      </w:r>
      <w:r w:rsidRPr="00CA409A">
        <w:rPr>
          <w:rFonts w:ascii="Verdana" w:hAnsi="Verdana"/>
          <w:spacing w:val="-3"/>
        </w:rPr>
        <w:t xml:space="preserve"> </w:t>
      </w:r>
      <w:r w:rsidRPr="00CA409A">
        <w:rPr>
          <w:rFonts w:ascii="Verdana" w:hAnsi="Verdana"/>
        </w:rPr>
        <w:t>información</w:t>
      </w:r>
      <w:r w:rsidRPr="00CA409A">
        <w:rPr>
          <w:rFonts w:ascii="Verdana" w:hAnsi="Verdana"/>
          <w:spacing w:val="-2"/>
        </w:rPr>
        <w:t xml:space="preserve"> </w:t>
      </w:r>
      <w:r w:rsidRPr="00CA409A">
        <w:rPr>
          <w:rFonts w:ascii="Verdana" w:hAnsi="Verdana"/>
        </w:rPr>
        <w:t>que</w:t>
      </w:r>
      <w:r w:rsidRPr="00CA409A">
        <w:rPr>
          <w:rFonts w:ascii="Verdana" w:hAnsi="Verdana"/>
          <w:spacing w:val="-2"/>
        </w:rPr>
        <w:t xml:space="preserve"> </w:t>
      </w:r>
      <w:r w:rsidRPr="00CA409A">
        <w:rPr>
          <w:rFonts w:ascii="Verdana" w:hAnsi="Verdana"/>
        </w:rPr>
        <w:t>se</w:t>
      </w:r>
      <w:r w:rsidRPr="00CA409A">
        <w:rPr>
          <w:rFonts w:ascii="Verdana" w:hAnsi="Verdana"/>
          <w:spacing w:val="-4"/>
        </w:rPr>
        <w:t xml:space="preserve"> </w:t>
      </w:r>
      <w:r w:rsidRPr="00CA409A">
        <w:rPr>
          <w:rFonts w:ascii="Verdana" w:hAnsi="Verdana"/>
        </w:rPr>
        <w:t>genere</w:t>
      </w:r>
      <w:r w:rsidRPr="00CA409A">
        <w:rPr>
          <w:rFonts w:ascii="Verdana" w:hAnsi="Verdana"/>
          <w:spacing w:val="-2"/>
        </w:rPr>
        <w:t xml:space="preserve"> </w:t>
      </w:r>
      <w:r w:rsidRPr="00CA409A">
        <w:rPr>
          <w:rFonts w:ascii="Verdana" w:hAnsi="Verdana"/>
        </w:rPr>
        <w:t>en</w:t>
      </w:r>
      <w:r w:rsidRPr="00CA409A">
        <w:rPr>
          <w:rFonts w:ascii="Verdana" w:hAnsi="Verdana"/>
          <w:spacing w:val="-2"/>
        </w:rPr>
        <w:t xml:space="preserve"> </w:t>
      </w:r>
      <w:r w:rsidRPr="00CA409A">
        <w:rPr>
          <w:rFonts w:ascii="Verdana" w:hAnsi="Verdana"/>
        </w:rPr>
        <w:t>la</w:t>
      </w:r>
      <w:r w:rsidRPr="00CA409A">
        <w:rPr>
          <w:rFonts w:ascii="Verdana" w:hAnsi="Verdana"/>
          <w:spacing w:val="-5"/>
        </w:rPr>
        <w:t xml:space="preserve"> </w:t>
      </w:r>
      <w:r w:rsidRPr="00CA409A">
        <w:rPr>
          <w:rFonts w:ascii="Verdana" w:hAnsi="Verdana"/>
        </w:rPr>
        <w:t>actividad</w:t>
      </w:r>
      <w:r w:rsidRPr="00CA409A">
        <w:rPr>
          <w:rFonts w:ascii="Verdana" w:hAnsi="Verdana"/>
          <w:spacing w:val="-3"/>
        </w:rPr>
        <w:t xml:space="preserve"> </w:t>
      </w:r>
      <w:r w:rsidRPr="00CA409A">
        <w:rPr>
          <w:rFonts w:ascii="Verdana" w:hAnsi="Verdana"/>
        </w:rPr>
        <w:t>contractual,</w:t>
      </w:r>
      <w:r w:rsidRPr="00CA409A">
        <w:rPr>
          <w:rFonts w:ascii="Verdana" w:hAnsi="Verdana"/>
          <w:spacing w:val="-2"/>
        </w:rPr>
        <w:t xml:space="preserve"> </w:t>
      </w:r>
      <w:r w:rsidRPr="00CA409A">
        <w:rPr>
          <w:rFonts w:ascii="Verdana" w:hAnsi="Verdana"/>
        </w:rPr>
        <w:t>salvo</w:t>
      </w:r>
      <w:r w:rsidRPr="00CA409A">
        <w:rPr>
          <w:rFonts w:ascii="Verdana" w:hAnsi="Verdana"/>
          <w:spacing w:val="-2"/>
        </w:rPr>
        <w:t xml:space="preserve"> </w:t>
      </w:r>
      <w:r w:rsidRPr="00CA409A">
        <w:rPr>
          <w:rFonts w:ascii="Verdana" w:hAnsi="Verdana"/>
        </w:rPr>
        <w:t>a</w:t>
      </w:r>
      <w:r w:rsidRPr="00CA409A">
        <w:rPr>
          <w:rFonts w:ascii="Verdana" w:hAnsi="Verdana"/>
          <w:spacing w:val="-3"/>
        </w:rPr>
        <w:t xml:space="preserve"> </w:t>
      </w:r>
      <w:r w:rsidRPr="00CA409A">
        <w:rPr>
          <w:rFonts w:ascii="Verdana" w:hAnsi="Verdana"/>
        </w:rPr>
        <w:t>aquello</w:t>
      </w:r>
      <w:r w:rsidRPr="00CA409A">
        <w:rPr>
          <w:rFonts w:ascii="Verdana" w:hAnsi="Verdana"/>
          <w:spacing w:val="-2"/>
        </w:rPr>
        <w:t xml:space="preserve"> </w:t>
      </w:r>
      <w:r w:rsidRPr="00CA409A">
        <w:rPr>
          <w:rFonts w:ascii="Verdana" w:hAnsi="Verdana"/>
        </w:rPr>
        <w:t>que sea sujeto a reserva legal.</w:t>
      </w:r>
    </w:p>
    <w:p w14:paraId="6102BA9A" w14:textId="086A47E6" w:rsidR="007B7821" w:rsidRPr="00641FD4" w:rsidRDefault="007B7821" w:rsidP="007B7821">
      <w:pPr>
        <w:spacing w:after="120" w:line="276" w:lineRule="auto"/>
        <w:ind w:right="136" w:firstLine="709"/>
        <w:jc w:val="both"/>
        <w:rPr>
          <w:rFonts w:ascii="Verdana" w:hAnsi="Verdana"/>
        </w:rPr>
      </w:pPr>
      <w:r w:rsidRPr="00CA409A">
        <w:rPr>
          <w:rFonts w:ascii="Verdana" w:hAnsi="Verdana"/>
        </w:rPr>
        <w:t>Ahora</w:t>
      </w:r>
      <w:r w:rsidRPr="00CA409A">
        <w:rPr>
          <w:rFonts w:ascii="Verdana" w:hAnsi="Verdana"/>
          <w:spacing w:val="-5"/>
        </w:rPr>
        <w:t xml:space="preserve"> </w:t>
      </w:r>
      <w:r w:rsidRPr="00CA409A">
        <w:rPr>
          <w:rFonts w:ascii="Verdana" w:hAnsi="Verdana"/>
        </w:rPr>
        <w:t>bien,</w:t>
      </w:r>
      <w:r w:rsidRPr="00CA409A">
        <w:rPr>
          <w:rFonts w:ascii="Verdana" w:hAnsi="Verdana"/>
          <w:spacing w:val="-3"/>
        </w:rPr>
        <w:t xml:space="preserve"> </w:t>
      </w:r>
      <w:r w:rsidRPr="00CA409A">
        <w:rPr>
          <w:rFonts w:ascii="Verdana" w:hAnsi="Verdana"/>
        </w:rPr>
        <w:t>dado</w:t>
      </w:r>
      <w:r w:rsidRPr="00CA409A">
        <w:rPr>
          <w:rFonts w:ascii="Verdana" w:hAnsi="Verdana"/>
          <w:spacing w:val="-4"/>
        </w:rPr>
        <w:t xml:space="preserve"> </w:t>
      </w:r>
      <w:r w:rsidRPr="00CA409A">
        <w:rPr>
          <w:rFonts w:ascii="Verdana" w:hAnsi="Verdana"/>
        </w:rPr>
        <w:t>que</w:t>
      </w:r>
      <w:r w:rsidRPr="00CA409A">
        <w:rPr>
          <w:rFonts w:ascii="Verdana" w:hAnsi="Verdana"/>
          <w:spacing w:val="-5"/>
        </w:rPr>
        <w:t xml:space="preserve"> </w:t>
      </w:r>
      <w:r w:rsidRPr="00CA409A">
        <w:rPr>
          <w:rFonts w:ascii="Verdana" w:hAnsi="Verdana"/>
        </w:rPr>
        <w:t>el</w:t>
      </w:r>
      <w:r w:rsidRPr="00CA409A">
        <w:rPr>
          <w:rFonts w:ascii="Verdana" w:hAnsi="Verdana"/>
          <w:spacing w:val="-5"/>
        </w:rPr>
        <w:t xml:space="preserve"> </w:t>
      </w:r>
      <w:r w:rsidRPr="00CA409A">
        <w:rPr>
          <w:rFonts w:ascii="Verdana" w:hAnsi="Verdana"/>
        </w:rPr>
        <w:t>artículo</w:t>
      </w:r>
      <w:r w:rsidRPr="00CA409A">
        <w:rPr>
          <w:rFonts w:ascii="Verdana" w:hAnsi="Verdana"/>
          <w:spacing w:val="-4"/>
        </w:rPr>
        <w:t xml:space="preserve"> </w:t>
      </w:r>
      <w:r w:rsidRPr="00CA409A">
        <w:rPr>
          <w:rFonts w:ascii="Verdana" w:hAnsi="Verdana"/>
        </w:rPr>
        <w:t>53</w:t>
      </w:r>
      <w:r w:rsidRPr="00CA409A">
        <w:rPr>
          <w:rFonts w:ascii="Verdana" w:hAnsi="Verdana"/>
          <w:spacing w:val="-3"/>
        </w:rPr>
        <w:t xml:space="preserve"> </w:t>
      </w:r>
      <w:r w:rsidRPr="00CA409A">
        <w:rPr>
          <w:rFonts w:ascii="Verdana" w:hAnsi="Verdana"/>
        </w:rPr>
        <w:t>de</w:t>
      </w:r>
      <w:r w:rsidRPr="00CA409A">
        <w:rPr>
          <w:rFonts w:ascii="Verdana" w:hAnsi="Verdana"/>
          <w:spacing w:val="-4"/>
        </w:rPr>
        <w:t xml:space="preserve"> </w:t>
      </w:r>
      <w:r w:rsidRPr="00CA409A">
        <w:rPr>
          <w:rFonts w:ascii="Verdana" w:hAnsi="Verdana"/>
        </w:rPr>
        <w:t>la</w:t>
      </w:r>
      <w:r w:rsidRPr="00CA409A">
        <w:rPr>
          <w:rFonts w:ascii="Verdana" w:hAnsi="Verdana"/>
          <w:spacing w:val="-5"/>
        </w:rPr>
        <w:t xml:space="preserve"> </w:t>
      </w:r>
      <w:r w:rsidRPr="00CA409A">
        <w:rPr>
          <w:rFonts w:ascii="Verdana" w:hAnsi="Verdana"/>
        </w:rPr>
        <w:t>Ley</w:t>
      </w:r>
      <w:r w:rsidRPr="00CA409A">
        <w:rPr>
          <w:rFonts w:ascii="Verdana" w:hAnsi="Verdana"/>
          <w:spacing w:val="-6"/>
        </w:rPr>
        <w:t xml:space="preserve"> </w:t>
      </w:r>
      <w:r w:rsidRPr="00CA409A">
        <w:rPr>
          <w:rFonts w:ascii="Verdana" w:hAnsi="Verdana"/>
        </w:rPr>
        <w:t>2195</w:t>
      </w:r>
      <w:r w:rsidRPr="00CA409A">
        <w:rPr>
          <w:rFonts w:ascii="Verdana" w:hAnsi="Verdana"/>
          <w:spacing w:val="-3"/>
        </w:rPr>
        <w:t xml:space="preserve"> </w:t>
      </w:r>
      <w:r w:rsidRPr="00CA409A">
        <w:rPr>
          <w:rFonts w:ascii="Verdana" w:hAnsi="Verdana"/>
        </w:rPr>
        <w:t>de</w:t>
      </w:r>
      <w:r w:rsidRPr="00CA409A">
        <w:rPr>
          <w:rFonts w:ascii="Verdana" w:hAnsi="Verdana"/>
          <w:spacing w:val="-6"/>
        </w:rPr>
        <w:t xml:space="preserve"> </w:t>
      </w:r>
      <w:r w:rsidRPr="00CA409A">
        <w:rPr>
          <w:rFonts w:ascii="Verdana" w:hAnsi="Verdana"/>
        </w:rPr>
        <w:t>2022</w:t>
      </w:r>
      <w:r w:rsidRPr="00CA409A">
        <w:rPr>
          <w:rFonts w:ascii="Verdana" w:hAnsi="Verdana"/>
          <w:spacing w:val="-3"/>
        </w:rPr>
        <w:t xml:space="preserve"> </w:t>
      </w:r>
      <w:r w:rsidRPr="00CA409A">
        <w:rPr>
          <w:rFonts w:ascii="Verdana" w:hAnsi="Verdana"/>
        </w:rPr>
        <w:t>señala,</w:t>
      </w:r>
      <w:r w:rsidRPr="00CA409A">
        <w:rPr>
          <w:rFonts w:ascii="Verdana" w:hAnsi="Verdana"/>
          <w:spacing w:val="-3"/>
        </w:rPr>
        <w:t xml:space="preserve"> </w:t>
      </w:r>
      <w:r w:rsidRPr="00CA409A">
        <w:rPr>
          <w:rFonts w:ascii="Verdana" w:hAnsi="Verdana"/>
        </w:rPr>
        <w:t>de</w:t>
      </w:r>
      <w:r w:rsidRPr="00CA409A">
        <w:rPr>
          <w:rFonts w:ascii="Verdana" w:hAnsi="Verdana"/>
          <w:spacing w:val="-4"/>
        </w:rPr>
        <w:t xml:space="preserve"> </w:t>
      </w:r>
      <w:r w:rsidRPr="00CA409A">
        <w:rPr>
          <w:rFonts w:ascii="Verdana" w:hAnsi="Verdana"/>
        </w:rPr>
        <w:t xml:space="preserve">forma expresa, que esa norma está dirigida a las Entidades Estatales </w:t>
      </w:r>
      <w:r>
        <w:rPr>
          <w:rFonts w:ascii="Verdana" w:hAnsi="Verdana"/>
          <w:i/>
        </w:rPr>
        <w:t>“</w:t>
      </w:r>
      <w:r w:rsidRPr="00CA409A">
        <w:rPr>
          <w:rFonts w:ascii="Verdana" w:hAnsi="Verdana"/>
          <w:i/>
        </w:rPr>
        <w:t>que por disposición legal cuenten con un régimen contractual excepcional al del Estatuto General de Contratación de la Administración Pública</w:t>
      </w:r>
      <w:r>
        <w:rPr>
          <w:rFonts w:ascii="Verdana" w:hAnsi="Verdana"/>
          <w:i/>
        </w:rPr>
        <w:t>”</w:t>
      </w:r>
      <w:r w:rsidRPr="00CA409A">
        <w:rPr>
          <w:rFonts w:ascii="Verdana" w:hAnsi="Verdana"/>
        </w:rPr>
        <w:t>, por consiguiente, se puede concluir que las Empresas Sociales del Estado del orden nacional o territorial se encuentran obligadas a publicar su actividad contractual</w:t>
      </w:r>
      <w:r w:rsidRPr="00CA409A">
        <w:rPr>
          <w:rFonts w:ascii="Verdana" w:hAnsi="Verdana"/>
          <w:spacing w:val="-4"/>
        </w:rPr>
        <w:t xml:space="preserve"> </w:t>
      </w:r>
      <w:r w:rsidRPr="00CA409A">
        <w:rPr>
          <w:rFonts w:ascii="Verdana" w:hAnsi="Verdana"/>
        </w:rPr>
        <w:t>en</w:t>
      </w:r>
      <w:r w:rsidRPr="00CA409A">
        <w:rPr>
          <w:rFonts w:ascii="Verdana" w:hAnsi="Verdana"/>
          <w:spacing w:val="-3"/>
        </w:rPr>
        <w:t xml:space="preserve"> </w:t>
      </w:r>
      <w:r w:rsidRPr="00CA409A">
        <w:rPr>
          <w:rFonts w:ascii="Verdana" w:hAnsi="Verdana"/>
        </w:rPr>
        <w:t>la</w:t>
      </w:r>
      <w:r w:rsidRPr="00CA409A">
        <w:rPr>
          <w:rFonts w:ascii="Verdana" w:hAnsi="Verdana"/>
          <w:spacing w:val="-1"/>
        </w:rPr>
        <w:t xml:space="preserve"> </w:t>
      </w:r>
      <w:r w:rsidRPr="00CA409A">
        <w:rPr>
          <w:rFonts w:ascii="Verdana" w:hAnsi="Verdana"/>
        </w:rPr>
        <w:t>plataforma</w:t>
      </w:r>
      <w:r w:rsidRPr="00CA409A">
        <w:rPr>
          <w:rFonts w:ascii="Verdana" w:hAnsi="Verdana"/>
          <w:spacing w:val="-4"/>
        </w:rPr>
        <w:t xml:space="preserve"> </w:t>
      </w:r>
      <w:r w:rsidRPr="00641FD4">
        <w:rPr>
          <w:rFonts w:ascii="Verdana" w:hAnsi="Verdana"/>
        </w:rPr>
        <w:t>SECOP</w:t>
      </w:r>
      <w:r w:rsidRPr="00641FD4">
        <w:rPr>
          <w:rFonts w:ascii="Verdana" w:hAnsi="Verdana"/>
          <w:spacing w:val="-2"/>
        </w:rPr>
        <w:t xml:space="preserve"> </w:t>
      </w:r>
      <w:r w:rsidRPr="00641FD4">
        <w:rPr>
          <w:rFonts w:ascii="Verdana" w:hAnsi="Verdana"/>
        </w:rPr>
        <w:t>II,</w:t>
      </w:r>
      <w:r w:rsidRPr="00641FD4">
        <w:rPr>
          <w:rFonts w:ascii="Verdana" w:hAnsi="Verdana"/>
          <w:spacing w:val="-2"/>
        </w:rPr>
        <w:t xml:space="preserve"> </w:t>
      </w:r>
      <w:r w:rsidRPr="00641FD4">
        <w:rPr>
          <w:rFonts w:ascii="Verdana" w:hAnsi="Verdana"/>
        </w:rPr>
        <w:t>siempre</w:t>
      </w:r>
      <w:r w:rsidRPr="00641FD4">
        <w:rPr>
          <w:rFonts w:ascii="Verdana" w:hAnsi="Verdana"/>
          <w:spacing w:val="-2"/>
        </w:rPr>
        <w:t xml:space="preserve"> </w:t>
      </w:r>
      <w:r w:rsidRPr="00641FD4">
        <w:rPr>
          <w:rFonts w:ascii="Verdana" w:hAnsi="Verdana"/>
        </w:rPr>
        <w:t>y</w:t>
      </w:r>
      <w:r w:rsidRPr="00641FD4">
        <w:rPr>
          <w:rFonts w:ascii="Verdana" w:hAnsi="Verdana"/>
          <w:spacing w:val="-4"/>
        </w:rPr>
        <w:t xml:space="preserve"> </w:t>
      </w:r>
      <w:r w:rsidRPr="00641FD4">
        <w:rPr>
          <w:rFonts w:ascii="Verdana" w:hAnsi="Verdana"/>
        </w:rPr>
        <w:t>cuando</w:t>
      </w:r>
      <w:r w:rsidRPr="00641FD4">
        <w:rPr>
          <w:rFonts w:ascii="Verdana" w:hAnsi="Verdana"/>
          <w:spacing w:val="-2"/>
        </w:rPr>
        <w:t xml:space="preserve"> </w:t>
      </w:r>
      <w:r w:rsidRPr="00641FD4">
        <w:rPr>
          <w:rFonts w:ascii="Verdana" w:hAnsi="Verdana"/>
        </w:rPr>
        <w:t>tenga</w:t>
      </w:r>
      <w:r w:rsidRPr="00641FD4">
        <w:rPr>
          <w:rFonts w:ascii="Verdana" w:hAnsi="Verdana"/>
          <w:spacing w:val="-1"/>
        </w:rPr>
        <w:t xml:space="preserve"> </w:t>
      </w:r>
      <w:r w:rsidRPr="00641FD4">
        <w:rPr>
          <w:rFonts w:ascii="Verdana" w:hAnsi="Verdana"/>
        </w:rPr>
        <w:t>como</w:t>
      </w:r>
      <w:r w:rsidRPr="00641FD4">
        <w:rPr>
          <w:rFonts w:ascii="Verdana" w:hAnsi="Verdana"/>
          <w:spacing w:val="-2"/>
        </w:rPr>
        <w:t xml:space="preserve"> </w:t>
      </w:r>
      <w:r w:rsidRPr="00641FD4">
        <w:rPr>
          <w:rFonts w:ascii="Verdana" w:hAnsi="Verdana"/>
        </w:rPr>
        <w:t>fuente de financiación recursos públicos.</w:t>
      </w:r>
      <w:r w:rsidR="00A523AD" w:rsidRPr="00641FD4">
        <w:rPr>
          <w:rFonts w:ascii="Verdana" w:hAnsi="Verdana"/>
        </w:rPr>
        <w:t xml:space="preserve"> En esa misma línea se ha expuesto en la Circula única Externa proferida por la Agencia Nacional de Contratación Pública – Colombia Compra Eficiente</w:t>
      </w:r>
      <w:r w:rsidR="00A523AD" w:rsidRPr="00641FD4">
        <w:rPr>
          <w:rStyle w:val="Refdenotaalpie"/>
          <w:rFonts w:ascii="Verdana" w:hAnsi="Verdana"/>
        </w:rPr>
        <w:footnoteReference w:id="22"/>
      </w:r>
      <w:r w:rsidR="00A523AD" w:rsidRPr="00641FD4">
        <w:rPr>
          <w:rFonts w:ascii="Verdana" w:hAnsi="Verdana"/>
        </w:rPr>
        <w:t xml:space="preserve">. </w:t>
      </w:r>
    </w:p>
    <w:p w14:paraId="40BDA04E" w14:textId="77777777" w:rsidR="007B7821" w:rsidRPr="009D221F" w:rsidRDefault="007B7821" w:rsidP="007B7821">
      <w:pPr>
        <w:tabs>
          <w:tab w:val="left" w:pos="142"/>
          <w:tab w:val="left" w:pos="284"/>
          <w:tab w:val="left" w:pos="6912"/>
        </w:tabs>
        <w:spacing w:after="120" w:line="276" w:lineRule="auto"/>
        <w:jc w:val="both"/>
        <w:rPr>
          <w:rFonts w:ascii="Verdana" w:eastAsia="Times New Roman" w:hAnsi="Verdana" w:cs="Arial"/>
          <w:bCs/>
          <w:lang w:eastAsia="es-CO"/>
        </w:rPr>
      </w:pPr>
      <w:r w:rsidRPr="00641FD4">
        <w:rPr>
          <w:rFonts w:ascii="Verdana" w:hAnsi="Verdana"/>
        </w:rPr>
        <w:t>v) Por último, en cuanto</w:t>
      </w:r>
      <w:r>
        <w:rPr>
          <w:rFonts w:ascii="Verdana" w:hAnsi="Verdana"/>
        </w:rPr>
        <w:t xml:space="preserve"> al alcance de la Ley de Garantías Electorales, </w:t>
      </w:r>
      <w:r>
        <w:rPr>
          <w:rFonts w:ascii="Verdana" w:eastAsia="Times New Roman" w:hAnsi="Verdana" w:cs="Arial"/>
          <w:bCs/>
          <w:lang w:eastAsia="es-CO"/>
        </w:rPr>
        <w:t>e</w:t>
      </w:r>
      <w:r w:rsidRPr="002D6B92">
        <w:rPr>
          <w:rFonts w:ascii="Verdana" w:eastAsia="Times New Roman" w:hAnsi="Verdana" w:cs="Arial"/>
          <w:bCs/>
          <w:lang w:eastAsia="es-CO"/>
        </w:rPr>
        <w:t>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23"/>
      </w:r>
      <w:r w:rsidRPr="00F10E52">
        <w:rPr>
          <w:rFonts w:ascii="Verdana" w:eastAsia="Calibri" w:hAnsi="Verdana" w:cs="Arial"/>
          <w:bCs/>
        </w:rPr>
        <w:t xml:space="preserve">. </w:t>
      </w:r>
    </w:p>
    <w:p w14:paraId="45BB9B90" w14:textId="77777777" w:rsidR="007B7821" w:rsidRDefault="007B7821" w:rsidP="007B7821">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4"/>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494BCB3D" w14:textId="77777777" w:rsidR="007B7821" w:rsidRPr="00F10E52" w:rsidRDefault="007B7821" w:rsidP="007B7821">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BC0BA86" w14:textId="77777777" w:rsidR="007B7821" w:rsidRPr="00AC7749" w:rsidRDefault="007B7821" w:rsidP="007B7821">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2BC09EF1" w14:textId="77777777" w:rsidR="007B7821" w:rsidRPr="00E80F85" w:rsidRDefault="007B7821" w:rsidP="007B7821">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25"/>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4" w:name="_Hlk78818186"/>
    </w:p>
    <w:p w14:paraId="179E4B8F" w14:textId="77777777" w:rsidR="007B7821" w:rsidRDefault="007B7821" w:rsidP="007B7821">
      <w:pPr>
        <w:spacing w:after="0" w:line="240" w:lineRule="auto"/>
        <w:ind w:firstLine="709"/>
        <w:jc w:val="both"/>
        <w:rPr>
          <w:rFonts w:ascii="Verdana" w:eastAsia="Times New Roman" w:hAnsi="Verdana" w:cs="Arial"/>
          <w:bCs/>
          <w:lang w:eastAsia="es-CO"/>
        </w:rPr>
      </w:pPr>
    </w:p>
    <w:p w14:paraId="2EC575C8" w14:textId="77777777" w:rsidR="007B7821" w:rsidRPr="002D6B92" w:rsidRDefault="007B7821" w:rsidP="007B7821">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68444269" w14:textId="77777777" w:rsidR="007B7821" w:rsidRPr="009B20C5" w:rsidRDefault="007B7821" w:rsidP="007B7821">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DB49E4C" w14:textId="77777777" w:rsidR="007B7821" w:rsidRDefault="007B7821" w:rsidP="007B7821">
      <w:pPr>
        <w:spacing w:after="0" w:line="240" w:lineRule="auto"/>
        <w:ind w:left="709" w:right="709"/>
        <w:jc w:val="both"/>
        <w:rPr>
          <w:rFonts w:ascii="Verdana" w:eastAsia="Times New Roman" w:hAnsi="Verdana" w:cs="Arial"/>
          <w:bCs/>
          <w:sz w:val="20"/>
          <w:szCs w:val="20"/>
          <w:lang w:eastAsia="es-CO"/>
        </w:rPr>
      </w:pPr>
    </w:p>
    <w:p w14:paraId="35298F85" w14:textId="77777777" w:rsidR="007B7821" w:rsidRPr="009B20C5" w:rsidRDefault="007B7821" w:rsidP="007B782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26"/>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27"/>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28"/>
      </w:r>
      <w:r w:rsidRPr="009B20C5">
        <w:rPr>
          <w:rFonts w:ascii="Verdana" w:eastAsia="Times New Roman" w:hAnsi="Verdana" w:cs="Arial"/>
          <w:bCs/>
          <w:sz w:val="20"/>
          <w:szCs w:val="20"/>
          <w:lang w:eastAsia="es-CO"/>
        </w:rPr>
        <w:t>.</w:t>
      </w:r>
    </w:p>
    <w:p w14:paraId="1673A6DA" w14:textId="77777777" w:rsidR="007B7821" w:rsidRDefault="007B7821" w:rsidP="007B7821">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6DD4C23F" w14:textId="77777777" w:rsidR="007B7821" w:rsidRDefault="007B7821" w:rsidP="007B7821">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2CEEEA" w14:textId="77777777" w:rsidR="007B7821" w:rsidRPr="00F10E52" w:rsidRDefault="007B7821" w:rsidP="007B782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54D63C95" w14:textId="77777777" w:rsidR="007B7821" w:rsidRPr="00F10E52" w:rsidRDefault="007B7821" w:rsidP="007B7821">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29"/>
      </w:r>
      <w:r w:rsidRPr="00F10E52">
        <w:rPr>
          <w:rFonts w:ascii="Verdana" w:eastAsia="Calibri" w:hAnsi="Verdana" w:cs="Arial"/>
        </w:rPr>
        <w:t>.</w:t>
      </w:r>
    </w:p>
    <w:p w14:paraId="39DEF519" w14:textId="77777777" w:rsidR="007B7821" w:rsidRDefault="007B7821" w:rsidP="007B7821">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30"/>
      </w:r>
      <w:r w:rsidRPr="00F10E52">
        <w:rPr>
          <w:rFonts w:ascii="Verdana" w:eastAsia="Calibri" w:hAnsi="Verdana" w:cs="Arial"/>
        </w:rPr>
        <w:t>.</w:t>
      </w:r>
      <w:r w:rsidRPr="00F10E52">
        <w:rPr>
          <w:rFonts w:ascii="Verdana" w:eastAsia="Arial" w:hAnsi="Verdana" w:cs="Arial"/>
          <w:lang w:val="es-ES" w:eastAsia="es-ES" w:bidi="es-ES"/>
        </w:rPr>
        <w:t xml:space="preserve"> </w:t>
      </w:r>
    </w:p>
    <w:p w14:paraId="396D992C" w14:textId="77777777" w:rsidR="007B7821" w:rsidRDefault="007B7821" w:rsidP="007B7821">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C9A05B3" w14:textId="77777777" w:rsidR="007B7821" w:rsidRDefault="007B7821" w:rsidP="007B7821">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7BD98043" w14:textId="77777777" w:rsidR="007B7821" w:rsidRDefault="007B7821" w:rsidP="007B7821">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21A7B2E" w14:textId="77777777" w:rsidR="007B7821" w:rsidRPr="00AA5D69" w:rsidRDefault="007B7821" w:rsidP="007B7821">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31"/>
      </w:r>
      <w:r w:rsidRPr="00894384">
        <w:rPr>
          <w:rFonts w:ascii="Verdana" w:eastAsia="Times New Roman" w:hAnsi="Verdana" w:cs="Arial"/>
          <w:bCs/>
          <w:lang w:val="es-MX" w:eastAsia="es-CO"/>
        </w:rPr>
        <w:t xml:space="preserve">. </w:t>
      </w:r>
    </w:p>
    <w:p w14:paraId="2CF482D5" w14:textId="77777777" w:rsidR="007B7821" w:rsidRPr="006A51F6" w:rsidRDefault="007B7821" w:rsidP="007B7821">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B4BE72B" w14:textId="77777777" w:rsidR="007B7821" w:rsidRDefault="007B7821" w:rsidP="007B782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9B20C5">
        <w:rPr>
          <w:rFonts w:ascii="Verdana" w:eastAsia="Arial" w:hAnsi="Verdana" w:cs="Arial"/>
          <w:sz w:val="20"/>
          <w:szCs w:val="20"/>
          <w:lang w:val="es-ES" w:eastAsia="es-ES" w:bidi="es-ES"/>
        </w:rPr>
        <w:t>se integran parcialmente</w:t>
      </w:r>
      <w:bookmarkEnd w:id="8"/>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32"/>
      </w:r>
      <w:r>
        <w:rPr>
          <w:rFonts w:ascii="Verdana" w:eastAsia="Arial" w:hAnsi="Verdana" w:cs="Arial"/>
          <w:sz w:val="20"/>
          <w:szCs w:val="20"/>
          <w:lang w:val="es-ES" w:eastAsia="es-ES" w:bidi="es-ES"/>
        </w:rPr>
        <w:t>.</w:t>
      </w:r>
    </w:p>
    <w:p w14:paraId="50E52301" w14:textId="77777777" w:rsidR="002B6202" w:rsidRPr="00AC7749" w:rsidRDefault="002B6202" w:rsidP="007B782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9F02287" w14:textId="77777777" w:rsidR="007B7821" w:rsidRPr="00F10E52" w:rsidRDefault="007B7821" w:rsidP="007B782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9" w:name="_Hlk99438241"/>
      <w:r w:rsidRPr="00F10E52">
        <w:rPr>
          <w:rFonts w:ascii="Verdana" w:eastAsia="Arial" w:hAnsi="Verdana" w:cs="Arial"/>
          <w:lang w:val="es-ES" w:eastAsia="es-ES" w:bidi="es-ES"/>
        </w:rPr>
        <w:t xml:space="preserve">, </w:t>
      </w:r>
      <w:bookmarkStart w:id="10" w:name="_Hlk77236420"/>
      <w:bookmarkStart w:id="11" w:name="_Hlk78818435"/>
      <w:bookmarkStart w:id="12"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9"/>
    <w:bookmarkEnd w:id="11"/>
    <w:p w14:paraId="3C6980F1" w14:textId="77777777" w:rsidR="007B7821" w:rsidRPr="00F10E52" w:rsidRDefault="007B7821" w:rsidP="007B782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3684669B" w14:textId="77777777" w:rsidR="007B7821" w:rsidRDefault="007B7821" w:rsidP="007B7821">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106125F9" w14:textId="77777777" w:rsidR="007B7821" w:rsidRDefault="007B7821" w:rsidP="007B7821">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79FA76E1" w14:textId="77777777" w:rsidR="007B7821" w:rsidRPr="00435A6A" w:rsidRDefault="007B7821" w:rsidP="007B7821">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3" w:name="_Hlk75628761"/>
      <w:r w:rsidRPr="00195E24">
        <w:rPr>
          <w:rFonts w:ascii="Verdana" w:hAnsi="Verdana" w:cs="Arial"/>
          <w:bCs/>
          <w:lang w:eastAsia="x-none"/>
        </w:rPr>
        <w:t xml:space="preserve">en el artículo 33 de la ley 996 de 2005 </w:t>
      </w:r>
      <w:bookmarkEnd w:id="13"/>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8AF8323" w14:textId="77777777" w:rsidR="007B7821" w:rsidRDefault="007B7821" w:rsidP="007B7821">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33"/>
      </w:r>
      <w:r w:rsidRPr="005800D0">
        <w:rPr>
          <w:rFonts w:ascii="Verdana" w:hAnsi="Verdana" w:cs="Arial"/>
          <w:sz w:val="20"/>
          <w:szCs w:val="20"/>
        </w:rPr>
        <w:t>.</w:t>
      </w:r>
    </w:p>
    <w:p w14:paraId="204690B0" w14:textId="77777777" w:rsidR="007B7821" w:rsidRDefault="007B7821" w:rsidP="007B7821">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4" w:name="_Hlk75741738"/>
      <w:r w:rsidRPr="005800D0">
        <w:rPr>
          <w:rFonts w:ascii="Verdana" w:hAnsi="Verdana" w:cs="Arial"/>
          <w:sz w:val="20"/>
          <w:szCs w:val="20"/>
        </w:rPr>
        <w:t xml:space="preserve">de cualquier sistema que no implique convocatoria pública y posibilidad de pluralidad de oferentes, </w:t>
      </w:r>
      <w:bookmarkEnd w:id="14"/>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34"/>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35"/>
      </w:r>
      <w:r w:rsidRPr="005800D0">
        <w:rPr>
          <w:rFonts w:ascii="Verdana" w:hAnsi="Verdana" w:cs="Arial"/>
          <w:sz w:val="20"/>
          <w:szCs w:val="20"/>
        </w:rPr>
        <w:t>.</w:t>
      </w:r>
    </w:p>
    <w:p w14:paraId="4E29618A" w14:textId="77777777" w:rsidR="007B7821" w:rsidRPr="005800D0" w:rsidRDefault="007B7821" w:rsidP="007B7821">
      <w:pPr>
        <w:spacing w:after="0" w:line="240" w:lineRule="auto"/>
        <w:ind w:left="709" w:right="709"/>
        <w:jc w:val="both"/>
        <w:rPr>
          <w:rFonts w:ascii="Verdana" w:hAnsi="Verdana" w:cs="Arial"/>
        </w:rPr>
      </w:pPr>
    </w:p>
    <w:p w14:paraId="248FCE6A" w14:textId="77777777" w:rsidR="007B7821" w:rsidRPr="00195E24" w:rsidRDefault="007B7821" w:rsidP="007B7821">
      <w:pPr>
        <w:spacing w:after="120" w:line="276" w:lineRule="auto"/>
        <w:ind w:firstLine="709"/>
        <w:jc w:val="both"/>
        <w:rPr>
          <w:rFonts w:ascii="Verdana" w:hAnsi="Verdana" w:cs="Arial"/>
          <w:bCs/>
          <w:lang w:eastAsia="x-none"/>
        </w:rPr>
      </w:pPr>
      <w:bookmarkStart w:id="16"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36"/>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37"/>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6"/>
    <w:p w14:paraId="3BEE85D6" w14:textId="77777777" w:rsidR="007B7821" w:rsidRPr="00195E24" w:rsidRDefault="007B7821" w:rsidP="007B7821">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38"/>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891279A" w14:textId="77777777" w:rsidR="007B7821" w:rsidRPr="00195E24" w:rsidRDefault="007B7821" w:rsidP="007B7821">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7"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7"/>
      <w:r w:rsidRPr="00195E24">
        <w:rPr>
          <w:rFonts w:ascii="Verdana" w:hAnsi="Verdana" w:cs="Arial"/>
          <w:vertAlign w:val="superscript"/>
          <w:lang w:eastAsia="x-none"/>
        </w:rPr>
        <w:footnoteReference w:id="39"/>
      </w:r>
      <w:r w:rsidRPr="00195E24">
        <w:rPr>
          <w:rFonts w:ascii="Verdana" w:hAnsi="Verdana" w:cs="Arial"/>
          <w:lang w:eastAsia="x-none"/>
        </w:rPr>
        <w:t xml:space="preserve">. </w:t>
      </w:r>
    </w:p>
    <w:p w14:paraId="03A91604" w14:textId="77777777" w:rsidR="007B7821" w:rsidRPr="00CE0712" w:rsidRDefault="007B7821" w:rsidP="007B7821">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08BE4D7B" w14:textId="77777777" w:rsidR="007B7821" w:rsidRDefault="007B7821" w:rsidP="007B7821">
      <w:pPr>
        <w:spacing w:after="120" w:line="276" w:lineRule="auto"/>
        <w:ind w:firstLine="709"/>
        <w:jc w:val="both"/>
        <w:rPr>
          <w:rFonts w:ascii="Verdana" w:hAnsi="Verdana" w:cs="Arial"/>
          <w:vertAlign w:val="superscript"/>
          <w:lang w:eastAsia="x-none"/>
        </w:rPr>
      </w:pPr>
      <w:bookmarkStart w:id="18"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40"/>
      </w:r>
      <w:r w:rsidRPr="007E27D9">
        <w:rPr>
          <w:rFonts w:ascii="Verdana" w:hAnsi="Verdana" w:cs="Arial"/>
          <w:lang w:eastAsia="x-none"/>
        </w:rPr>
        <w:t>.</w:t>
      </w:r>
      <w:r w:rsidRPr="007E27D9">
        <w:rPr>
          <w:rFonts w:ascii="Verdana" w:hAnsi="Verdana" w:cs="Arial"/>
          <w:vertAlign w:val="superscript"/>
          <w:lang w:eastAsia="x-none"/>
        </w:rPr>
        <w:t xml:space="preserve"> </w:t>
      </w:r>
    </w:p>
    <w:p w14:paraId="07AF19BD" w14:textId="77777777" w:rsidR="007B7821" w:rsidRPr="007E27D9" w:rsidRDefault="007B7821" w:rsidP="007B7821">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41"/>
      </w:r>
      <w:r w:rsidRPr="00AD17FF">
        <w:rPr>
          <w:rFonts w:ascii="Verdana" w:hAnsi="Verdana" w:cs="Arial"/>
          <w:lang w:eastAsia="x-none"/>
        </w:rPr>
        <w:t>.</w:t>
      </w:r>
    </w:p>
    <w:bookmarkEnd w:id="18"/>
    <w:p w14:paraId="637B2806" w14:textId="77777777" w:rsidR="007B7821" w:rsidRPr="007E27D9" w:rsidRDefault="007B7821" w:rsidP="007B7821">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06BB4925" w14:textId="77777777" w:rsidR="007B7821" w:rsidRPr="00CE0712" w:rsidRDefault="007B7821" w:rsidP="007B7821">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9F1D78C" w14:textId="77777777" w:rsidR="007B7821" w:rsidRDefault="007B7821" w:rsidP="007B782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42"/>
      </w:r>
      <w:r w:rsidRPr="73D21086">
        <w:rPr>
          <w:rFonts w:ascii="Verdana" w:hAnsi="Verdana" w:cs="Arial"/>
          <w:color w:val="000000" w:themeColor="text1"/>
          <w:lang w:val="es-MX"/>
        </w:rPr>
        <w:t xml:space="preserve">. </w:t>
      </w:r>
    </w:p>
    <w:p w14:paraId="2DE6FE29" w14:textId="77777777" w:rsidR="007B7821" w:rsidRPr="002D6B92" w:rsidRDefault="007B7821" w:rsidP="007B782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43"/>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11B13EBE" w14:textId="77777777" w:rsidR="007B7821" w:rsidRPr="005800D0" w:rsidRDefault="007B7821" w:rsidP="007B7821">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7C0BC50" w14:textId="77777777" w:rsidR="007B7821" w:rsidRDefault="007B7821" w:rsidP="007B7821">
      <w:pPr>
        <w:spacing w:after="0" w:line="240" w:lineRule="auto"/>
        <w:ind w:left="709" w:right="709"/>
        <w:jc w:val="both"/>
        <w:rPr>
          <w:rFonts w:ascii="Verdana" w:hAnsi="Verdana" w:cs="Arial"/>
          <w:color w:val="000000" w:themeColor="text1"/>
          <w:sz w:val="20"/>
          <w:szCs w:val="20"/>
          <w:lang w:val="es-MX"/>
        </w:rPr>
      </w:pPr>
    </w:p>
    <w:p w14:paraId="1805393C" w14:textId="77777777" w:rsidR="007B7821" w:rsidRPr="00AA5D69" w:rsidRDefault="007B7821" w:rsidP="007B7821">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44"/>
      </w:r>
      <w:r w:rsidRPr="005800D0">
        <w:rPr>
          <w:rFonts w:ascii="Verdana" w:hAnsi="Verdana" w:cs="Arial"/>
          <w:color w:val="000000" w:themeColor="text1"/>
          <w:sz w:val="20"/>
          <w:szCs w:val="20"/>
          <w:lang w:val="es-MX" w:eastAsia="x-none"/>
        </w:rPr>
        <w:t>.</w:t>
      </w:r>
    </w:p>
    <w:p w14:paraId="1B71630E" w14:textId="77777777" w:rsidR="007B7821" w:rsidRDefault="007B7821" w:rsidP="007B7821">
      <w:pPr>
        <w:spacing w:after="0" w:line="240" w:lineRule="auto"/>
        <w:ind w:firstLine="709"/>
        <w:jc w:val="both"/>
        <w:rPr>
          <w:rFonts w:ascii="Verdana" w:hAnsi="Verdana" w:cs="Arial"/>
          <w:color w:val="000000" w:themeColor="text1"/>
          <w:lang w:val="es-MX"/>
        </w:rPr>
      </w:pPr>
    </w:p>
    <w:p w14:paraId="67F1C2A9" w14:textId="77777777" w:rsidR="007B7821" w:rsidRDefault="007B7821" w:rsidP="007B7821">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45"/>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40C5BE89" w14:textId="77777777" w:rsidR="007B7821" w:rsidRPr="00195E24" w:rsidRDefault="007B7821" w:rsidP="007B7821">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7D2B723F" w14:textId="77777777" w:rsidR="007B7821" w:rsidRPr="00CE0712" w:rsidRDefault="007B7821" w:rsidP="007B7821">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06CACAFC" w14:textId="77777777" w:rsidR="007B7821" w:rsidRDefault="007B7821" w:rsidP="007B7821">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CD9CED5" w14:textId="77777777" w:rsidR="007B7821" w:rsidRDefault="007B7821" w:rsidP="007B7821">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20" w:name="_Hlk74309042"/>
      <w:r w:rsidRPr="00F8199A">
        <w:rPr>
          <w:rFonts w:ascii="Verdana" w:hAnsi="Verdana" w:cs="Arial"/>
          <w:bCs/>
          <w:lang w:val="es-MX" w:eastAsia="x-none"/>
        </w:rPr>
        <w:t xml:space="preserve">que </w:t>
      </w:r>
      <w:r>
        <w:rPr>
          <w:rFonts w:ascii="Verdana" w:hAnsi="Verdana" w:cs="Arial"/>
          <w:bCs/>
          <w:lang w:val="es-MX" w:eastAsia="x-none"/>
        </w:rPr>
        <w:t>“</w:t>
      </w:r>
      <w:bookmarkEnd w:id="20"/>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21"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46"/>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1"/>
    </w:p>
    <w:p w14:paraId="3AE09E71" w14:textId="77777777" w:rsidR="007B7821" w:rsidRPr="0004207F" w:rsidRDefault="007B7821" w:rsidP="007B7821">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47"/>
      </w:r>
      <w:r w:rsidRPr="0004207F">
        <w:rPr>
          <w:rFonts w:ascii="Verdana" w:hAnsi="Verdana" w:cs="Arial"/>
          <w:bCs/>
          <w:lang w:val="es-MX" w:eastAsia="x-none"/>
        </w:rPr>
        <w:t>.</w:t>
      </w:r>
    </w:p>
    <w:p w14:paraId="562B1F74" w14:textId="77777777" w:rsidR="007B7821" w:rsidRPr="0004207F" w:rsidRDefault="007B7821" w:rsidP="007B7821">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48"/>
      </w:r>
      <w:r w:rsidRPr="2E79A5E2">
        <w:rPr>
          <w:rFonts w:ascii="Verdana" w:hAnsi="Verdana" w:cs="Arial"/>
          <w:lang w:val="es-ES" w:eastAsia="es-CO"/>
        </w:rPr>
        <w:t xml:space="preserve">. </w:t>
      </w:r>
    </w:p>
    <w:p w14:paraId="4F628D24" w14:textId="77777777" w:rsidR="007B7821" w:rsidRPr="0004207F" w:rsidRDefault="007B7821" w:rsidP="007B7821">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12CD7C6A" w14:textId="77777777" w:rsidR="007B7821" w:rsidRDefault="007B7821" w:rsidP="007B7821">
      <w:pPr>
        <w:spacing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702ABC48" w14:textId="77777777" w:rsidR="007B7821" w:rsidRDefault="007B7821" w:rsidP="007B7821">
      <w:pPr>
        <w:spacing w:after="0" w:line="240" w:lineRule="auto"/>
        <w:ind w:firstLine="709"/>
        <w:jc w:val="both"/>
        <w:rPr>
          <w:rFonts w:ascii="Verdana" w:eastAsia="Calibri" w:hAnsi="Verdana" w:cs="Arial"/>
          <w:lang w:val="es-ES"/>
        </w:rPr>
      </w:pPr>
    </w:p>
    <w:p w14:paraId="328604D4" w14:textId="77777777" w:rsidR="007B7821" w:rsidRDefault="007B7821" w:rsidP="007B7821">
      <w:pPr>
        <w:spacing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49"/>
      </w:r>
      <w:r w:rsidRPr="00667CD6">
        <w:rPr>
          <w:rFonts w:ascii="Verdana" w:hAnsi="Verdana" w:cs="Arial"/>
          <w:lang w:eastAsia="es-ES"/>
        </w:rPr>
        <w:t>.</w:t>
      </w:r>
    </w:p>
    <w:p w14:paraId="5A73F76E" w14:textId="77777777" w:rsidR="007B7821" w:rsidRDefault="007B7821" w:rsidP="007B7821">
      <w:pPr>
        <w:spacing w:after="0" w:line="240" w:lineRule="auto"/>
        <w:ind w:firstLine="709"/>
        <w:jc w:val="both"/>
        <w:rPr>
          <w:rFonts w:ascii="Verdana" w:eastAsia="Calibri" w:hAnsi="Verdana" w:cs="Arial"/>
          <w:lang w:val="es-ES"/>
        </w:rPr>
      </w:pPr>
    </w:p>
    <w:p w14:paraId="2DE81C91" w14:textId="77777777" w:rsidR="007B7821" w:rsidRPr="00AD17FF" w:rsidRDefault="007B7821" w:rsidP="007B7821">
      <w:pPr>
        <w:spacing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C9CA5D7" w14:textId="77777777" w:rsidR="007B7821" w:rsidRPr="00667CD6" w:rsidRDefault="007B7821" w:rsidP="007B7821">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50"/>
      </w:r>
      <w:r w:rsidRPr="2035D652">
        <w:rPr>
          <w:rFonts w:ascii="Verdana" w:hAnsi="Verdana" w:cs="Arial"/>
          <w:lang w:val="es-ES"/>
        </w:rPr>
        <w:t>. Nótese que, en este caso, lo que cambia es la modalidad de selección y no la naturaleza de contrato interadministrativo.</w:t>
      </w:r>
    </w:p>
    <w:p w14:paraId="609307AA" w14:textId="77777777" w:rsidR="007B7821" w:rsidRPr="00667CD6" w:rsidRDefault="007B7821" w:rsidP="007B7821">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51"/>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399E771" w14:textId="77777777" w:rsidR="007B7821" w:rsidRPr="00667CD6" w:rsidRDefault="007B7821" w:rsidP="007B7821">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52"/>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25095FE" w14:textId="77777777" w:rsidR="007B7821" w:rsidRDefault="007B7821" w:rsidP="007B7821">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2897171A" w14:textId="77777777" w:rsidR="007B7821" w:rsidRDefault="007B7821" w:rsidP="007B782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75E1484" w14:textId="77777777" w:rsidR="007B7821" w:rsidRPr="00667CD6" w:rsidRDefault="007B7821" w:rsidP="007B782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53"/>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F45DE25" w14:textId="77777777" w:rsidR="007B7821" w:rsidRPr="00667CD6" w:rsidRDefault="007B7821" w:rsidP="007B782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36683B9C" w14:textId="77777777" w:rsidR="007B7821" w:rsidRPr="00AC7749" w:rsidRDefault="007B7821" w:rsidP="007B7821">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54"/>
      </w:r>
      <w:r w:rsidRPr="00667CD6">
        <w:rPr>
          <w:rFonts w:ascii="Verdana" w:hAnsi="Verdana" w:cs="Arial"/>
        </w:rPr>
        <w:t xml:space="preserve">: </w:t>
      </w:r>
    </w:p>
    <w:p w14:paraId="57C3A769" w14:textId="77777777" w:rsidR="007B7821" w:rsidRDefault="007B7821" w:rsidP="007B7821">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07FA5BE3" w14:textId="77777777" w:rsidR="007B7821" w:rsidRPr="00667CD6" w:rsidRDefault="007B7821" w:rsidP="007B7821">
      <w:pPr>
        <w:spacing w:after="0" w:line="240" w:lineRule="auto"/>
        <w:ind w:left="709" w:right="709"/>
        <w:jc w:val="both"/>
        <w:rPr>
          <w:rFonts w:ascii="Verdana" w:hAnsi="Verdana" w:cs="Arial"/>
          <w:sz w:val="20"/>
          <w:szCs w:val="20"/>
        </w:rPr>
      </w:pPr>
    </w:p>
    <w:p w14:paraId="2AA3C6CB" w14:textId="77777777" w:rsidR="007B7821" w:rsidRPr="00667CD6" w:rsidRDefault="007B7821" w:rsidP="007B7821">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680E1D7B" w14:textId="77777777" w:rsidR="007B7821" w:rsidRPr="00667CD6" w:rsidRDefault="007B7821" w:rsidP="007B7821">
      <w:pPr>
        <w:spacing w:after="0" w:line="276" w:lineRule="auto"/>
        <w:ind w:left="709" w:right="709"/>
        <w:jc w:val="both"/>
        <w:rPr>
          <w:rFonts w:ascii="Verdana" w:hAnsi="Verdana" w:cs="Arial"/>
        </w:rPr>
      </w:pPr>
    </w:p>
    <w:p w14:paraId="008DD952" w14:textId="77777777" w:rsidR="007B7821" w:rsidRPr="00667CD6" w:rsidRDefault="007B7821" w:rsidP="007B7821">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5CD6C5E6" w14:textId="77777777" w:rsidR="007B7821" w:rsidRPr="00667CD6" w:rsidRDefault="007B7821" w:rsidP="007B7821">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55"/>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367301B7" w14:textId="77777777" w:rsidR="007B7821" w:rsidRDefault="007B7821" w:rsidP="007B7821">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7515A3C4" w14:textId="77777777" w:rsidR="007B7821" w:rsidRDefault="007B7821" w:rsidP="007B7821">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56"/>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A3891AF" w14:textId="77777777" w:rsidR="007B7821" w:rsidRDefault="007B7821" w:rsidP="007B7821">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57"/>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4739CD9A" w14:textId="77777777" w:rsidR="007B7821" w:rsidRDefault="007B7821" w:rsidP="007B7821">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0F915D6C" w14:textId="77777777" w:rsidR="007B7821" w:rsidRDefault="007B7821" w:rsidP="007B782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lang w:val="es-ES" w:eastAsia="es-ES"/>
        </w:rPr>
      </w:pPr>
      <w:r w:rsidRPr="00667CD6">
        <w:rPr>
          <w:rFonts w:ascii="Verdana" w:hAnsi="Verdana" w:cs="Arial"/>
        </w:rPr>
        <w:t xml:space="preserve"> </w:t>
      </w:r>
      <w:r w:rsidRPr="00AC7749">
        <w:rPr>
          <w:rFonts w:ascii="Verdana" w:eastAsia="Calibri" w:hAnsi="Verdana" w:cs="Arial"/>
          <w:bCs/>
          <w:color w:val="000000" w:themeColor="text1"/>
          <w:sz w:val="22"/>
          <w:szCs w:val="22"/>
        </w:rPr>
        <w:t>No obstante,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r w:rsidRPr="605533EB">
        <w:rPr>
          <w:rFonts w:ascii="Verdana" w:eastAsia="Calibri" w:hAnsi="Verdana" w:cs="Arial"/>
          <w:lang w:val="es-ES" w:eastAsia="es-ES"/>
        </w:rPr>
        <w:t xml:space="preserve"> </w:t>
      </w:r>
    </w:p>
    <w:p w14:paraId="56B9AEDB" w14:textId="77777777" w:rsidR="007B7821" w:rsidRPr="0078433B" w:rsidRDefault="007B7821" w:rsidP="007B782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sidRPr="00EC1732">
        <w:rPr>
          <w:rFonts w:ascii="Verdana" w:eastAsia="Calibri" w:hAnsi="Verdana" w:cs="Arial"/>
          <w:bCs/>
          <w:color w:val="000000" w:themeColor="text1"/>
          <w:sz w:val="22"/>
          <w:szCs w:val="22"/>
        </w:rPr>
        <w:t xml:space="preserve">En torno a la procedencia de la contratación directa por parte de las E.S.E., es necesario </w:t>
      </w:r>
      <w:r w:rsidRPr="00EC1732">
        <w:rPr>
          <w:rFonts w:ascii="Verdana" w:hAnsi="Verdana" w:cs="Arial"/>
          <w:bCs/>
          <w:color w:val="000000" w:themeColor="text1"/>
          <w:sz w:val="22"/>
          <w:szCs w:val="22"/>
        </w:rPr>
        <w:t>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2C75F15C" w14:textId="77777777" w:rsidR="007B7821" w:rsidRPr="00FF007A" w:rsidRDefault="007B7821" w:rsidP="007B7821">
      <w:pPr>
        <w:tabs>
          <w:tab w:val="left" w:pos="426"/>
        </w:tabs>
        <w:spacing w:after="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58"/>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59"/>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43B91C2E" w14:textId="77777777" w:rsidR="007B7821" w:rsidRPr="00FF007A" w:rsidRDefault="007B7821" w:rsidP="007B7821">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60"/>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2F7AEEAC" w14:textId="77777777" w:rsidR="007B7821" w:rsidRPr="00017D8E" w:rsidRDefault="007B7821" w:rsidP="007B7821">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61"/>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62"/>
      </w:r>
      <w:r w:rsidRPr="00FF007A">
        <w:rPr>
          <w:rFonts w:ascii="Verdana" w:eastAsia="Arial" w:hAnsi="Verdana" w:cs="Arial"/>
          <w:bCs/>
          <w:color w:val="000000" w:themeColor="text1"/>
        </w:rPr>
        <w:t xml:space="preserve">. </w:t>
      </w:r>
    </w:p>
    <w:p w14:paraId="1A230DC9" w14:textId="77777777" w:rsidR="007B7821" w:rsidRDefault="007B7821" w:rsidP="007B7821">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4DD48E91" w14:textId="77777777" w:rsidR="007B7821" w:rsidRDefault="007B7821" w:rsidP="007B7821">
      <w:pPr>
        <w:spacing w:after="0" w:line="240" w:lineRule="auto"/>
        <w:ind w:firstLine="709"/>
        <w:jc w:val="both"/>
        <w:rPr>
          <w:rFonts w:ascii="Verdana" w:eastAsia="Arial" w:hAnsi="Verdana" w:cs="Arial"/>
          <w:bCs/>
          <w:color w:val="000000" w:themeColor="text1"/>
          <w:lang w:val="es-ES"/>
        </w:rPr>
      </w:pPr>
    </w:p>
    <w:p w14:paraId="6E6E3381" w14:textId="77777777" w:rsidR="007B7821" w:rsidRDefault="007B7821" w:rsidP="007B7821">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p>
    <w:p w14:paraId="14BACC1C" w14:textId="77777777" w:rsidR="007B7821" w:rsidRPr="00A65838" w:rsidRDefault="007B7821" w:rsidP="007B7821">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63"/>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5D35058B" w14:textId="77777777" w:rsidR="007B7821" w:rsidRPr="005B0452" w:rsidRDefault="007B7821" w:rsidP="007B7821">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56228840" w14:textId="77777777" w:rsidR="007B7821" w:rsidRDefault="007B7821" w:rsidP="007B7821">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05D1E887" w14:textId="77777777" w:rsidR="007B7821" w:rsidRDefault="007B7821" w:rsidP="007B7821">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D23E62" w14:textId="77777777" w:rsidR="007B7821" w:rsidRPr="001450CA" w:rsidRDefault="007B7821" w:rsidP="007B7821">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CB03068" w14:textId="77777777" w:rsidR="007B7821" w:rsidRDefault="007B7821" w:rsidP="007B7821">
      <w:pPr>
        <w:spacing w:after="0" w:line="276" w:lineRule="auto"/>
        <w:jc w:val="both"/>
        <w:rPr>
          <w:rFonts w:ascii="Verdana" w:eastAsia="Century Gothic" w:hAnsi="Verdana" w:cs="Century Gothic"/>
          <w:b/>
          <w:bCs/>
        </w:rPr>
      </w:pPr>
      <w:bookmarkStart w:id="24"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4"/>
    </w:p>
    <w:p w14:paraId="0E3DFAD3" w14:textId="77777777" w:rsidR="007B7821" w:rsidRPr="000B6E79" w:rsidRDefault="007B7821" w:rsidP="007B7821">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B7821" w:rsidRPr="002D2C18" w14:paraId="3C766B12" w14:textId="77777777" w:rsidTr="0021330D">
        <w:trPr>
          <w:trHeight w:val="56"/>
          <w:jc w:val="center"/>
        </w:trPr>
        <w:tc>
          <w:tcPr>
            <w:tcW w:w="8647" w:type="dxa"/>
          </w:tcPr>
          <w:p w14:paraId="7ACC19A3"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Constitución Política. Artículos 127, 128, 209 y 267. </w:t>
            </w:r>
          </w:p>
          <w:p w14:paraId="030069C5"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Ley 4 de 1002. Artículo 19.</w:t>
            </w:r>
          </w:p>
          <w:p w14:paraId="41E65F3E"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Ley 100 de 1993. Artículos 94, 194, 195 numeral 5, 197. </w:t>
            </w:r>
          </w:p>
          <w:p w14:paraId="3DE09B9A"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Ley 80 de 1993. Artículos 41 y 42. </w:t>
            </w:r>
          </w:p>
          <w:p w14:paraId="6CBE37C3"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Ley 489 de 1998. Artículo 83.</w:t>
            </w:r>
          </w:p>
          <w:p w14:paraId="586E255B"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Ley 80 de 1993. Artículo 2. </w:t>
            </w:r>
          </w:p>
          <w:p w14:paraId="149BF518" w14:textId="77777777" w:rsidR="007B7821" w:rsidRDefault="007B7821" w:rsidP="0021330D">
            <w:pPr>
              <w:pStyle w:val="Textonotapie"/>
              <w:numPr>
                <w:ilvl w:val="0"/>
                <w:numId w:val="17"/>
              </w:numPr>
              <w:spacing w:line="276" w:lineRule="auto"/>
              <w:jc w:val="both"/>
              <w:rPr>
                <w:rFonts w:ascii="Verdana" w:hAnsi="Verdana" w:cs="Arial"/>
                <w:color w:val="000000" w:themeColor="text1"/>
                <w:sz w:val="22"/>
                <w:szCs w:val="22"/>
              </w:rPr>
            </w:pPr>
            <w:r>
              <w:rPr>
                <w:rFonts w:ascii="Verdana" w:hAnsi="Verdana" w:cs="Arial"/>
                <w:color w:val="000000" w:themeColor="text1"/>
                <w:sz w:val="22"/>
                <w:szCs w:val="22"/>
              </w:rPr>
              <w:t xml:space="preserve">Ley 1150 de 2007. Artículos 2 numeral 4 literal c, 13. </w:t>
            </w:r>
          </w:p>
          <w:p w14:paraId="3E1655D0"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79E6D9F6"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 xml:space="preserve">Resolución No. 5185 de 2013. Artículos 2 a 12 y 14. </w:t>
            </w:r>
          </w:p>
          <w:p w14:paraId="2844A48F"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Resolución 1440 de 2024.</w:t>
            </w:r>
          </w:p>
          <w:p w14:paraId="6C69D4E4"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 xml:space="preserve">Consejo de Estado. Sala de lo Contencioso Administrativo. Sección Tercera. Sentencia 18 de febrero de 2010. </w:t>
            </w:r>
            <w:proofErr w:type="spellStart"/>
            <w:r w:rsidRPr="009C475F">
              <w:rPr>
                <w:rFonts w:ascii="Verdana" w:hAnsi="Verdana" w:cs="Arial"/>
                <w:color w:val="000000" w:themeColor="text1"/>
              </w:rPr>
              <w:t>Exp</w:t>
            </w:r>
            <w:proofErr w:type="spellEnd"/>
            <w:r w:rsidRPr="009C475F">
              <w:rPr>
                <w:rFonts w:ascii="Verdana" w:hAnsi="Verdana" w:cs="Arial"/>
                <w:color w:val="000000" w:themeColor="text1"/>
              </w:rPr>
              <w:t xml:space="preserve">. 37004. C.P: Enrique Gil Botero. </w:t>
            </w:r>
          </w:p>
          <w:p w14:paraId="331931F4"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 xml:space="preserve">Consejo de Estado. Sala de lo Contencioso Administrativo. Sección Tercera. Subsección A. Sentencia del 24 de octubre de 2016. </w:t>
            </w:r>
            <w:proofErr w:type="spellStart"/>
            <w:r w:rsidRPr="009C475F">
              <w:rPr>
                <w:rFonts w:ascii="Verdana" w:hAnsi="Verdana" w:cs="Arial"/>
                <w:color w:val="000000" w:themeColor="text1"/>
              </w:rPr>
              <w:t>Exp</w:t>
            </w:r>
            <w:proofErr w:type="spellEnd"/>
            <w:r w:rsidRPr="009C475F">
              <w:rPr>
                <w:rFonts w:ascii="Verdana" w:hAnsi="Verdana" w:cs="Arial"/>
                <w:color w:val="000000" w:themeColor="text1"/>
              </w:rPr>
              <w:t>. 45.607. C.P. Marta Nubia Velásquez Rico.</w:t>
            </w:r>
          </w:p>
          <w:p w14:paraId="689E32AF"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Consejo de Estado. Sala de Consulta y Servicio Civil. Concepto 1.344, del 10 de mayo de 2001. M.P: Flavio Augusto Rodríguez Arce.</w:t>
            </w:r>
          </w:p>
          <w:p w14:paraId="180B43A3"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032E7273"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27E95C07"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3E7C3F81"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3F9D02DE"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0583D1AC" w14:textId="77777777" w:rsidR="007B7821" w:rsidRPr="00C076BE"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2D0F70DA"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44692BF8"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11C89B98"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5805C92B"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7103643D"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2A296E66" w14:textId="77777777" w:rsidR="007B7821" w:rsidRPr="00FB5770" w:rsidRDefault="007B7821" w:rsidP="0021330D">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w:t>
            </w:r>
            <w:proofErr w:type="spellStart"/>
            <w:r w:rsidRPr="00FB5770">
              <w:rPr>
                <w:rFonts w:ascii="Verdana" w:hAnsi="Verdana"/>
                <w:lang w:val="es-CO"/>
              </w:rPr>
              <w:t>Exp</w:t>
            </w:r>
            <w:proofErr w:type="spellEnd"/>
            <w:r w:rsidRPr="00FB5770">
              <w:rPr>
                <w:rFonts w:ascii="Verdana" w:hAnsi="Verdana"/>
                <w:lang w:val="es-CO"/>
              </w:rPr>
              <w:t>.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127D0ACF"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6214732D"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6A09E3">
              <w:rPr>
                <w:rFonts w:ascii="Verdana" w:hAnsi="Verdana" w:cs="Arial"/>
                <w:lang w:eastAsia="es-ES"/>
              </w:rPr>
              <w:t xml:space="preserve">Consejo de Estado. Sala de Consulta y Servicio Civil. Concepto del 12 de junio de 2018. Radicación: 11001-03-06-000-2018-0043-00. (2371). C.P: Oscar Darío Amaya Navas. </w:t>
            </w:r>
          </w:p>
          <w:p w14:paraId="4593663B"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Corte Constitucional. Sentencia C-665 de 2000. M.P. José Gregorio Hernández Galindo.</w:t>
            </w:r>
          </w:p>
          <w:p w14:paraId="42C5B9F4"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Corte Constitucional. Sentencia C-133 de 1993. M.P: Vladimiro Naranjo Mesa.</w:t>
            </w:r>
          </w:p>
          <w:p w14:paraId="367B9B49"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3F010A99"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26006993"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78DEE5A5" w14:textId="77777777" w:rsidR="007B7821" w:rsidRDefault="007B7821" w:rsidP="0021330D">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1A1CE274"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p>
          <w:p w14:paraId="61284B30"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 xml:space="preserve">JOJOA BOLAÑOS, Alexander. Los regímenes exceptuados en los contratos estatales. Bogotá: Grupo Editorial Ibáñez, 2012. </w:t>
            </w:r>
          </w:p>
          <w:p w14:paraId="61D9627A"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BARRETO MORENO, Antonio Alejandro. El derecho de la compra pública: estudio jurídico de un mercado imperfecto. Bogotá: Legis, 2019.</w:t>
            </w:r>
          </w:p>
          <w:p w14:paraId="6BA3CDB1"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HINESTROSA FORERO, Fernando. Tratado de las Obligaciones II. De las fuentes de las obligaciones: el negocio jurídico. Vol. I. Bogotá: Universidad Externado de Colombia, 2015.</w:t>
            </w:r>
          </w:p>
          <w:p w14:paraId="0616E44F"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9C475F">
              <w:rPr>
                <w:rFonts w:ascii="Verdana" w:hAnsi="Verdana" w:cs="Arial"/>
                <w:color w:val="000000" w:themeColor="text1"/>
              </w:rPr>
              <w:t>MARÍN CORTÉS, Fabián G. El reglamento como fuente del derecho administrativo. En: Las fuentes del derecho administrativo. Texto inédito. 2010.</w:t>
            </w:r>
          </w:p>
          <w:p w14:paraId="3741587B"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r>
              <w:rPr>
                <w:rFonts w:ascii="Verdana" w:hAnsi="Verdana" w:cs="Arial"/>
                <w:lang w:eastAsia="es-ES"/>
              </w:rPr>
              <w:t>.</w:t>
            </w:r>
          </w:p>
          <w:p w14:paraId="2F2AA73C" w14:textId="77777777" w:rsidR="00E40A6F" w:rsidRPr="00641FD4" w:rsidRDefault="007B7821" w:rsidP="00E40A6F">
            <w:pPr>
              <w:pStyle w:val="Prrafodelista"/>
              <w:numPr>
                <w:ilvl w:val="0"/>
                <w:numId w:val="17"/>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3" w:history="1">
              <w:r w:rsidRPr="00641FD4">
                <w:rPr>
                  <w:rStyle w:val="Hipervnculo"/>
                  <w:rFonts w:ascii="Verdana" w:hAnsi="Verdana"/>
                  <w:lang w:val="es-CO"/>
                </w:rPr>
                <w:t>006-de-2025-Circular-Externa-L996-ajustado-comentarios-BM-BID-Rev-ARSC-V3.d-1.pdf</w:t>
              </w:r>
            </w:hyperlink>
          </w:p>
          <w:p w14:paraId="3A84F1C9" w14:textId="7E99BFF3" w:rsidR="00E40A6F" w:rsidRPr="00641FD4" w:rsidRDefault="00E40A6F" w:rsidP="00E40A6F">
            <w:pPr>
              <w:pStyle w:val="Prrafodelista"/>
              <w:numPr>
                <w:ilvl w:val="0"/>
                <w:numId w:val="17"/>
              </w:numPr>
              <w:spacing w:after="120" w:line="276" w:lineRule="auto"/>
              <w:jc w:val="both"/>
              <w:rPr>
                <w:rFonts w:ascii="Verdana" w:hAnsi="Verdana" w:cs="Arial"/>
                <w:lang w:eastAsia="es-ES"/>
              </w:rPr>
            </w:pPr>
            <w:r w:rsidRPr="00641FD4">
              <w:rPr>
                <w:rFonts w:ascii="Verdana" w:hAnsi="Verdana"/>
              </w:rPr>
              <w:t xml:space="preserve">Agencia Nacional de Contratación Pública – Colombia Compra Eficiente. Circular única Externa. Disponible en </w:t>
            </w:r>
            <w:hyperlink r:id="rId14" w:history="1">
              <w:r w:rsidRPr="00641FD4">
                <w:rPr>
                  <w:rStyle w:val="Hipervnculo"/>
                  <w:rFonts w:ascii="Verdana" w:hAnsi="Verdana"/>
                  <w:lang w:val="es-CO"/>
                </w:rPr>
                <w:t>circular_externa_unica_version_3_vf49.pdf</w:t>
              </w:r>
            </w:hyperlink>
          </w:p>
          <w:p w14:paraId="625A4784" w14:textId="77777777" w:rsidR="007B7821" w:rsidRPr="009C475F" w:rsidRDefault="007B7821" w:rsidP="0021330D">
            <w:pPr>
              <w:pStyle w:val="Prrafodelista"/>
              <w:numPr>
                <w:ilvl w:val="0"/>
                <w:numId w:val="17"/>
              </w:numPr>
              <w:spacing w:after="120" w:line="276" w:lineRule="auto"/>
              <w:jc w:val="both"/>
              <w:rPr>
                <w:rFonts w:ascii="Verdana" w:hAnsi="Verdana" w:cs="Arial"/>
                <w:lang w:eastAsia="es-ES"/>
              </w:rPr>
            </w:pPr>
            <w:r w:rsidRPr="00641FD4">
              <w:rPr>
                <w:rFonts w:ascii="Verdana" w:hAnsi="Verdana" w:cs="Arial"/>
                <w:lang w:eastAsia="es-ES"/>
              </w:rPr>
              <w:t>DEPARTAMENTO ADMINISTRATIVO DE LA FUNCIÓN P</w:t>
            </w:r>
            <w:r w:rsidRPr="009C475F">
              <w:rPr>
                <w:rFonts w:ascii="Verdana" w:hAnsi="Verdana" w:cs="Arial"/>
                <w:lang w:eastAsia="es-ES"/>
              </w:rPr>
              <w:t xml:space="preserve">ÚBLICA –DAFP. Concepto 004081 del 4 de enero de 2024.  </w:t>
            </w:r>
          </w:p>
        </w:tc>
      </w:tr>
    </w:tbl>
    <w:p w14:paraId="25F65C65" w14:textId="77777777" w:rsidR="007B7821" w:rsidRDefault="007B7821" w:rsidP="007B7821">
      <w:pPr>
        <w:tabs>
          <w:tab w:val="left" w:pos="142"/>
          <w:tab w:val="left" w:pos="284"/>
          <w:tab w:val="left" w:pos="3828"/>
        </w:tabs>
        <w:spacing w:after="0" w:line="276" w:lineRule="auto"/>
        <w:jc w:val="both"/>
        <w:rPr>
          <w:rFonts w:ascii="Verdana" w:eastAsia="Century Gothic" w:hAnsi="Verdana" w:cs="Century Gothic"/>
          <w:b/>
          <w:bCs/>
        </w:rPr>
      </w:pPr>
    </w:p>
    <w:p w14:paraId="774353C6" w14:textId="77777777" w:rsidR="007B7821" w:rsidRPr="0091091D" w:rsidRDefault="007B7821" w:rsidP="007B7821">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6CF1BEE6" w14:textId="77777777" w:rsidR="007B7821" w:rsidRPr="007A3DD4" w:rsidRDefault="007B7821" w:rsidP="007B7821">
      <w:pPr>
        <w:widowControl w:val="0"/>
        <w:autoSpaceDE w:val="0"/>
        <w:autoSpaceDN w:val="0"/>
        <w:spacing w:after="0" w:line="240" w:lineRule="auto"/>
        <w:jc w:val="both"/>
        <w:rPr>
          <w:rStyle w:val="normaltextrun"/>
          <w:rFonts w:ascii="Verdana" w:hAnsi="Verdana" w:cs="Arial"/>
          <w:shd w:val="clear" w:color="auto" w:fill="FFFFFF"/>
        </w:rPr>
      </w:pPr>
    </w:p>
    <w:p w14:paraId="11357405" w14:textId="77777777" w:rsidR="007B7821" w:rsidRDefault="007B7821" w:rsidP="007B7821">
      <w:pPr>
        <w:widowControl w:val="0"/>
        <w:autoSpaceDE w:val="0"/>
        <w:autoSpaceDN w:val="0"/>
        <w:spacing w:after="12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régimen de contratación de las entidades exceptuadas del Estatuto General de Contratación de la Administración Pública, entre otros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C-1851 del 21 de enero de 2026, C-081 del 4 de marzo de 2026, entre otros.</w:t>
      </w:r>
    </w:p>
    <w:p w14:paraId="4AB09E09" w14:textId="77777777" w:rsidR="007B7821" w:rsidRDefault="007B7821" w:rsidP="007B7821">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lang w:val="es-ES"/>
        </w:rPr>
        <w:t xml:space="preserve">Del mismo modo, esta </w:t>
      </w:r>
      <w:r w:rsidRPr="00F6599C">
        <w:rPr>
          <w:rFonts w:ascii="Verdana" w:hAnsi="Verdana" w:cs="Arial"/>
          <w:shd w:val="clear" w:color="auto" w:fill="FFFFFF"/>
        </w:rPr>
        <w:t>Subdirec</w:t>
      </w:r>
      <w:r>
        <w:rPr>
          <w:rFonts w:ascii="Verdana" w:hAnsi="Verdana" w:cs="Arial"/>
          <w:shd w:val="clear" w:color="auto" w:fill="FFFFFF"/>
        </w:rPr>
        <w:t xml:space="preserve">ción se ha pronunciado </w:t>
      </w:r>
      <w:r w:rsidRPr="00601C45">
        <w:rPr>
          <w:rFonts w:ascii="Verdana" w:hAnsi="Verdana" w:cs="Arial"/>
          <w:shd w:val="clear" w:color="auto" w:fill="FFFFFF"/>
        </w:rPr>
        <w:t xml:space="preserve">sobre la prohibición de percibir doble asignación presupuestal y el alcance a los contratos de prestación de servicios en el concepto con radicado No. 2201913000008409 del 12 de </w:t>
      </w:r>
      <w:r>
        <w:rPr>
          <w:rFonts w:ascii="Verdana" w:hAnsi="Verdana" w:cs="Arial"/>
          <w:shd w:val="clear" w:color="auto" w:fill="FFFFFF"/>
        </w:rPr>
        <w:t>noviembre de 2019,</w:t>
      </w:r>
      <w:r w:rsidRPr="00601C45">
        <w:rPr>
          <w:rFonts w:ascii="Verdana" w:hAnsi="Verdana" w:cs="Arial"/>
          <w:shd w:val="clear" w:color="auto" w:fill="FFFFFF"/>
        </w:rPr>
        <w:t xml:space="preserve"> </w:t>
      </w:r>
      <w:r>
        <w:rPr>
          <w:rFonts w:ascii="Verdana" w:hAnsi="Verdana" w:cs="Arial"/>
          <w:shd w:val="clear" w:color="auto" w:fill="FFFFFF"/>
        </w:rPr>
        <w:t xml:space="preserve">C-090 del 24 de febrero de 2020, C-286 del 2 de julio de 2023, C-864 del 8 de diciembre de 2024, C-935 del 1 de agosto de 2025, entre otros. </w:t>
      </w:r>
    </w:p>
    <w:p w14:paraId="74AB9E47" w14:textId="77777777" w:rsidR="007B7821" w:rsidRPr="00934C14" w:rsidRDefault="007B7821" w:rsidP="007B7821">
      <w:pPr>
        <w:widowControl w:val="0"/>
        <w:autoSpaceDE w:val="0"/>
        <w:autoSpaceDN w:val="0"/>
        <w:spacing w:after="120" w:line="276" w:lineRule="auto"/>
        <w:jc w:val="both"/>
        <w:rPr>
          <w:rFonts w:ascii="Verdana" w:hAnsi="Verdana" w:cs="Arial"/>
        </w:rPr>
      </w:pPr>
      <w:r w:rsidRPr="00934C14">
        <w:rPr>
          <w:rFonts w:ascii="Verdana" w:hAnsi="Verdana" w:cs="Arial"/>
        </w:rPr>
        <w:t xml:space="preserve">Sobre el principio de publicidad, la obligatoriedad de publicación en la plataforma SECOP II y la interpretación del artículo 53 de la Ley 2195 de 2022, se pronunció esta Subdirección en los conceptos CU-367 del 23 de julio de 2020, C-049 del 7 de marzo de 2022, C-120 del 22 de marzo de 2022, C-124 del 22 de marzo de 2022, C-132 del 28 de marzo de 2022, C-941-2024, C-009 de 2025, C-073 de 2025, C-139 de 2025, C-294 de 2025, C-778 de 2025, C-908 del 19 de agosto de 2015, C-1295 del 15 de octubre de 2025, entre otros. </w:t>
      </w:r>
    </w:p>
    <w:p w14:paraId="76E3EFEB" w14:textId="77777777" w:rsidR="007B7821" w:rsidRPr="00934C14" w:rsidRDefault="007B7821" w:rsidP="007B7821">
      <w:pPr>
        <w:widowControl w:val="0"/>
        <w:autoSpaceDE w:val="0"/>
        <w:autoSpaceDN w:val="0"/>
        <w:spacing w:after="120" w:line="276" w:lineRule="auto"/>
        <w:jc w:val="both"/>
        <w:rPr>
          <w:rFonts w:ascii="Verdana" w:hAnsi="Verdana" w:cs="Arial"/>
          <w:shd w:val="clear" w:color="auto" w:fill="FFFFFF"/>
        </w:rPr>
      </w:pPr>
      <w:r w:rsidRPr="00934C14">
        <w:rPr>
          <w:rFonts w:ascii="Verdana" w:hAnsi="Verdana" w:cs="Arial"/>
        </w:rPr>
        <w:t xml:space="preserve">Por último, </w:t>
      </w:r>
      <w:r w:rsidRPr="00934C14">
        <w:rPr>
          <w:rFonts w:ascii="Verdana" w:eastAsia="Calibri" w:hAnsi="Verdana" w:cs="Arial"/>
        </w:rPr>
        <w:t xml:space="preserve">La Agencia Nacional de Contratación Pública – Colombia Compra Eficiente se ha referido </w:t>
      </w:r>
      <w:r w:rsidRPr="00934C14">
        <w:rPr>
          <w:rFonts w:ascii="Verdana" w:hAnsi="Verdana" w:cs="Arial"/>
          <w:shd w:val="clear" w:color="auto" w:fill="FFFFFF"/>
        </w:rPr>
        <w:t xml:space="preserve">sobre la Ley de Garantías Electorales en los conceptos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Pr="00934C14">
        <w:rPr>
          <w:rFonts w:ascii="Verdana" w:hAnsi="Verdana"/>
        </w:rPr>
        <w:t>21 de noviembre del 2025, C-1629, C-1646 del 17 de diciembre de 2025, C-1662 del 22 de diciembre de 2025</w:t>
      </w:r>
      <w:r w:rsidRPr="00934C14">
        <w:rPr>
          <w:rStyle w:val="normaltextrun"/>
          <w:rFonts w:ascii="Verdana" w:hAnsi="Verdana" w:cs="Arial"/>
          <w:shd w:val="clear" w:color="auto" w:fill="FFFFFF"/>
          <w:lang w:val="es-ES"/>
        </w:rPr>
        <w:t>, C-160 del 24 de febrero de 2026, C-108 del 4 de marzo de 2026, C-177 del 16 de marzo de 2026, entre otros.</w:t>
      </w:r>
      <w:r w:rsidRPr="00934C14">
        <w:rPr>
          <w:rFonts w:ascii="Verdana" w:hAnsi="Verdana" w:cs="Arial"/>
          <w:shd w:val="clear" w:color="auto" w:fill="FFFFFF"/>
          <w:lang w:val="es-ES"/>
        </w:rPr>
        <w:t xml:space="preserve"> </w:t>
      </w:r>
      <w:r w:rsidRPr="00934C14">
        <w:rPr>
          <w:rFonts w:ascii="Verdana" w:hAnsi="Verdana" w:cs="Arial"/>
        </w:rPr>
        <w:t xml:space="preserve">Estos y otros </w:t>
      </w:r>
      <w:r w:rsidRPr="00934C14">
        <w:rPr>
          <w:rFonts w:ascii="Verdana" w:hAnsi="Verdana"/>
        </w:rPr>
        <w:t>conceptos se encuentran disponibles para consulta en el Sistema de relatoría de la Agencia, al cual se puede acceder a través del siguiente enlace:</w:t>
      </w:r>
      <w:r w:rsidRPr="00934C14">
        <w:rPr>
          <w:rFonts w:ascii="Verdana" w:hAnsi="Verdana" w:cs="Arial"/>
          <w:shd w:val="clear" w:color="auto" w:fill="FFFFFF"/>
        </w:rPr>
        <w:t xml:space="preserve"> </w:t>
      </w:r>
      <w:hyperlink r:id="rId15" w:history="1">
        <w:r w:rsidRPr="00934C14">
          <w:rPr>
            <w:rFonts w:ascii="Verdana" w:hAnsi="Verdana" w:cs="Arial"/>
            <w:color w:val="0563C1" w:themeColor="hyperlink"/>
            <w:u w:val="single"/>
            <w:shd w:val="clear" w:color="auto" w:fill="FFFFFF"/>
          </w:rPr>
          <w:t>https://relatoria.colombiacompra.gov.co/busqueda/conceptos</w:t>
        </w:r>
      </w:hyperlink>
      <w:r w:rsidRPr="00934C14">
        <w:rPr>
          <w:rFonts w:ascii="Verdana" w:hAnsi="Verdana" w:cs="Arial"/>
          <w:shd w:val="clear" w:color="auto" w:fill="FFFFFF"/>
        </w:rPr>
        <w:t>.</w:t>
      </w:r>
      <w:r w:rsidRPr="008746BD">
        <w:rPr>
          <w:rFonts w:ascii="Verdana" w:hAnsi="Verdana" w:cs="Arial"/>
          <w:color w:val="FF0000"/>
          <w:shd w:val="clear" w:color="auto" w:fill="FFFFFF"/>
        </w:rPr>
        <w:t xml:space="preserve"> </w:t>
      </w:r>
      <w:r w:rsidRPr="008746BD">
        <w:rPr>
          <w:rFonts w:ascii="Verdana" w:hAnsi="Verdana" w:cs="Arial"/>
          <w:color w:val="000000" w:themeColor="text1"/>
          <w:shd w:val="clear" w:color="auto" w:fill="FFFFFF"/>
        </w:rPr>
        <w:t>  </w:t>
      </w:r>
    </w:p>
    <w:p w14:paraId="2177FA64" w14:textId="77777777" w:rsidR="007B7821" w:rsidRDefault="007B7821" w:rsidP="007B7821">
      <w:pPr>
        <w:widowControl w:val="0"/>
        <w:autoSpaceDE w:val="0"/>
        <w:autoSpaceDN w:val="0"/>
        <w:spacing w:after="120" w:line="276" w:lineRule="auto"/>
        <w:jc w:val="both"/>
        <w:rPr>
          <w:rFonts w:ascii="Verdana" w:hAnsi="Verdana" w:cs="Arial"/>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8746BD">
          <w:rPr>
            <w:rStyle w:val="Hipervnculo"/>
            <w:rFonts w:ascii="Verdana" w:hAnsi="Verdana"/>
          </w:rPr>
          <w:t>https://formacionvirtual.colombiacompra.gov.co/mod/page/view.php?id=3718</w:t>
        </w:r>
      </w:hyperlink>
    </w:p>
    <w:p w14:paraId="12CD9716" w14:textId="77777777" w:rsidR="007B7821" w:rsidRDefault="007B7821" w:rsidP="007B7821">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7" w:tgtFrame="_new" w:history="1">
        <w:r w:rsidRPr="008746BD">
          <w:rPr>
            <w:rStyle w:val="Hipervnculo"/>
            <w:rFonts w:ascii="Verdana" w:hAnsi="Verdana"/>
          </w:rPr>
          <w:t>https://www.colombiacompra.gov.co/normativa-y-relatoria/documentos-tipo</w:t>
        </w:r>
      </w:hyperlink>
    </w:p>
    <w:p w14:paraId="7429E8C7" w14:textId="77777777" w:rsidR="007B7821" w:rsidRDefault="007B7821" w:rsidP="007B7821">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8"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6D40691" w14:textId="77777777" w:rsidR="007B7821" w:rsidRPr="007A3DD4" w:rsidRDefault="007B7821" w:rsidP="007B7821">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0F0CAE4A" w14:textId="77777777" w:rsidR="007B7821" w:rsidRPr="00116940" w:rsidRDefault="007B7821" w:rsidP="007B7821">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486F68A" w14:textId="77777777" w:rsidR="007B7821" w:rsidRPr="00116940" w:rsidRDefault="007B7821" w:rsidP="007B7821">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8AD0C08" w14:textId="77777777" w:rsidR="007B7821" w:rsidRPr="00116940" w:rsidRDefault="007B7821" w:rsidP="007B7821">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9">
        <w:r w:rsidRPr="00116940">
          <w:rPr>
            <w:rStyle w:val="Hipervnculo"/>
            <w:rFonts w:ascii="Verdana" w:eastAsia="Verdana" w:hAnsi="Verdana" w:cs="Verdana"/>
            <w:lang w:val="es-MX"/>
          </w:rPr>
          <w:t>ventanilladeradicacion@colombiacompra.gov.co</w:t>
        </w:r>
      </w:hyperlink>
    </w:p>
    <w:p w14:paraId="21B39182" w14:textId="77777777" w:rsidR="007B7821" w:rsidRPr="00116940" w:rsidRDefault="007B7821" w:rsidP="007B7821">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0">
        <w:r w:rsidRPr="00116940">
          <w:rPr>
            <w:rStyle w:val="Hipervnculo"/>
            <w:rFonts w:ascii="Verdana" w:eastAsia="Verdana" w:hAnsi="Verdana" w:cs="Verdana"/>
            <w:lang w:val="es-MX"/>
          </w:rPr>
          <w:t>https://www.colombiacompra.gov.co/pqrsd/informacion-importante-antes-de-formular-una-pqrsd</w:t>
        </w:r>
      </w:hyperlink>
    </w:p>
    <w:p w14:paraId="00E1F2C9" w14:textId="77777777" w:rsidR="007B7821" w:rsidRPr="00116940" w:rsidRDefault="007B7821" w:rsidP="007B7821">
      <w:pPr>
        <w:spacing w:after="0" w:line="276" w:lineRule="auto"/>
        <w:ind w:left="720"/>
        <w:jc w:val="both"/>
        <w:rPr>
          <w:rFonts w:ascii="Verdana" w:hAnsi="Verdana"/>
        </w:rPr>
      </w:pPr>
    </w:p>
    <w:p w14:paraId="772BB23A" w14:textId="77777777" w:rsidR="007B7821" w:rsidRDefault="007B7821" w:rsidP="007B7821">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1"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B67B02E" w14:textId="77777777" w:rsidR="007B7821" w:rsidRPr="00116940" w:rsidRDefault="007B7821" w:rsidP="007B7821">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3DEC241" w14:textId="77777777" w:rsidR="007B7821" w:rsidRPr="008746BD" w:rsidRDefault="007B7821" w:rsidP="007B7821">
      <w:pPr>
        <w:spacing w:after="0" w:line="276" w:lineRule="auto"/>
        <w:jc w:val="both"/>
        <w:rPr>
          <w:rFonts w:ascii="Verdana" w:hAnsi="Verdana"/>
        </w:rPr>
      </w:pPr>
    </w:p>
    <w:p w14:paraId="73CF26E1" w14:textId="77777777" w:rsidR="007B7821" w:rsidRPr="00116940" w:rsidRDefault="007B7821" w:rsidP="007B7821">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D137BD3" w14:textId="77777777" w:rsidR="007B7821" w:rsidRPr="00116940" w:rsidRDefault="007B7821" w:rsidP="007B7821">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F8231AF" w14:textId="77777777" w:rsidR="007B7821" w:rsidRPr="00116940" w:rsidRDefault="007B7821" w:rsidP="007B7821">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B8CCEE" w14:textId="77777777" w:rsidR="007B7821" w:rsidRDefault="007B7821" w:rsidP="007B7821">
      <w:pPr>
        <w:spacing w:after="0" w:line="276" w:lineRule="auto"/>
        <w:jc w:val="both"/>
        <w:rPr>
          <w:rFonts w:ascii="Verdana" w:hAnsi="Verdana"/>
          <w:lang w:val="es-MX"/>
        </w:rPr>
      </w:pPr>
    </w:p>
    <w:p w14:paraId="2C9AB5CE" w14:textId="77777777" w:rsidR="007B7821" w:rsidRPr="00330029" w:rsidRDefault="007B7821" w:rsidP="007B7821">
      <w:pPr>
        <w:spacing w:after="0" w:line="276" w:lineRule="auto"/>
        <w:jc w:val="both"/>
        <w:rPr>
          <w:rFonts w:ascii="Verdana" w:hAnsi="Verdana"/>
          <w:lang w:val="es-MX"/>
        </w:rPr>
      </w:pPr>
      <w:r w:rsidRPr="00E02524">
        <w:rPr>
          <w:rFonts w:ascii="Verdana" w:hAnsi="Verdana"/>
          <w:lang w:val="es-MX"/>
        </w:rPr>
        <w:t>Cordialmente,</w:t>
      </w:r>
    </w:p>
    <w:p w14:paraId="463D7687" w14:textId="159C5DCB" w:rsidR="007B7821" w:rsidRDefault="007B7821" w:rsidP="007B7821">
      <w:pPr>
        <w:spacing w:after="0" w:line="256" w:lineRule="auto"/>
        <w:jc w:val="center"/>
        <w:rPr>
          <w:rFonts w:ascii="Verdana" w:eastAsia="Calibri" w:hAnsi="Verdana" w:cs="Times New Roman"/>
        </w:rPr>
      </w:pPr>
    </w:p>
    <w:p w14:paraId="3EF8F8F4" w14:textId="324D89C2" w:rsidR="007B7821" w:rsidRDefault="000925A3" w:rsidP="007B7821">
      <w:pPr>
        <w:spacing w:after="0" w:line="256" w:lineRule="auto"/>
        <w:jc w:val="center"/>
        <w:rPr>
          <w:rFonts w:ascii="Verdana" w:eastAsia="Calibri" w:hAnsi="Verdana" w:cs="Times New Roman"/>
        </w:rPr>
      </w:pPr>
      <w:r>
        <w:rPr>
          <w:noProof/>
        </w:rPr>
        <w:drawing>
          <wp:inline distT="0" distB="0" distL="0" distR="0" wp14:anchorId="63AAB18A" wp14:editId="2CA54227">
            <wp:extent cx="3609975" cy="1700854"/>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22"/>
                    <a:stretch>
                      <a:fillRect/>
                    </a:stretch>
                  </pic:blipFill>
                  <pic:spPr>
                    <a:xfrm>
                      <a:off x="0" y="0"/>
                      <a:ext cx="3627714" cy="1709212"/>
                    </a:xfrm>
                    <a:prstGeom prst="rect">
                      <a:avLst/>
                    </a:prstGeom>
                  </pic:spPr>
                </pic:pic>
              </a:graphicData>
            </a:graphic>
          </wp:inline>
        </w:drawing>
      </w:r>
    </w:p>
    <w:p w14:paraId="70736F4C" w14:textId="77777777" w:rsidR="007B7821" w:rsidRDefault="007B7821" w:rsidP="007B7821">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7B7821" w:rsidRPr="005644FE" w14:paraId="38B6C76F" w14:textId="77777777" w:rsidTr="0021330D">
        <w:trPr>
          <w:trHeight w:val="288"/>
        </w:trPr>
        <w:tc>
          <w:tcPr>
            <w:tcW w:w="893" w:type="dxa"/>
            <w:vAlign w:val="center"/>
            <w:hideMark/>
          </w:tcPr>
          <w:p w14:paraId="17819B77" w14:textId="77777777" w:rsidR="007B7821" w:rsidRPr="005644FE" w:rsidRDefault="007B7821" w:rsidP="0021330D">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235EA96" w14:textId="77777777" w:rsidR="007B7821" w:rsidRPr="005644FE" w:rsidRDefault="007B7821" w:rsidP="0021330D">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9756BD6" w14:textId="77777777" w:rsidR="007B7821" w:rsidRPr="005644FE" w:rsidRDefault="007B7821" w:rsidP="0021330D">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7B7821" w:rsidRPr="005644FE" w14:paraId="77CE4FD7" w14:textId="77777777" w:rsidTr="0021330D">
        <w:trPr>
          <w:trHeight w:val="330"/>
        </w:trPr>
        <w:tc>
          <w:tcPr>
            <w:tcW w:w="893" w:type="dxa"/>
            <w:vAlign w:val="center"/>
            <w:hideMark/>
          </w:tcPr>
          <w:p w14:paraId="570DCD3B" w14:textId="77777777" w:rsidR="007B7821" w:rsidRPr="005644FE" w:rsidRDefault="007B7821" w:rsidP="0021330D">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7873D74" w14:textId="77777777" w:rsidR="007B7821" w:rsidRPr="00E578B0" w:rsidRDefault="007B7821" w:rsidP="0021330D">
            <w:pPr>
              <w:pStyle w:val="paragraph"/>
              <w:spacing w:before="0" w:beforeAutospacing="0" w:after="0" w:afterAutospacing="0"/>
              <w:contextualSpacing/>
              <w:textAlignment w:val="baseline"/>
              <w:rPr>
                <w:rStyle w:val="normaltextrun"/>
                <w:rFonts w:ascii="Verdana" w:hAnsi="Verdana"/>
                <w:sz w:val="16"/>
                <w:szCs w:val="16"/>
              </w:rPr>
            </w:pPr>
            <w:r w:rsidRPr="00E578B0">
              <w:rPr>
                <w:rStyle w:val="normaltextrun"/>
                <w:rFonts w:ascii="Verdana" w:hAnsi="Verdana"/>
                <w:sz w:val="16"/>
                <w:szCs w:val="16"/>
              </w:rPr>
              <w:t xml:space="preserve">Martha Alicia Romero Vargas </w:t>
            </w:r>
          </w:p>
          <w:p w14:paraId="2A4D6FFF" w14:textId="77777777" w:rsidR="007B7821" w:rsidRPr="005644FE" w:rsidRDefault="007B7821" w:rsidP="0021330D">
            <w:pPr>
              <w:pStyle w:val="paragraph"/>
              <w:spacing w:before="0" w:beforeAutospacing="0" w:after="0" w:afterAutospacing="0"/>
              <w:contextualSpacing/>
              <w:textAlignment w:val="baseline"/>
              <w:rPr>
                <w:rFonts w:ascii="Verdana" w:hAnsi="Verdana" w:cs="Segoe UI"/>
                <w:sz w:val="16"/>
                <w:szCs w:val="16"/>
              </w:rPr>
            </w:pPr>
            <w:r w:rsidRPr="00E578B0">
              <w:rPr>
                <w:rStyle w:val="normaltextrun"/>
                <w:rFonts w:ascii="Verdana" w:hAnsi="Verdana"/>
                <w:sz w:val="16"/>
                <w:szCs w:val="16"/>
              </w:rPr>
              <w:t>Gestor Código T1- grado 15</w:t>
            </w:r>
            <w:r>
              <w:rPr>
                <w:rStyle w:val="normaltextrun"/>
              </w:rPr>
              <w:t xml:space="preserve"> </w:t>
            </w:r>
            <w:r w:rsidRPr="005644FE">
              <w:rPr>
                <w:rStyle w:val="eop"/>
                <w:rFonts w:ascii="Verdana" w:hAnsi="Verdana" w:cs="Arial"/>
                <w:sz w:val="16"/>
                <w:szCs w:val="16"/>
              </w:rPr>
              <w:t> </w:t>
            </w:r>
          </w:p>
        </w:tc>
      </w:tr>
      <w:tr w:rsidR="007B7821" w:rsidRPr="005644FE" w14:paraId="4D7D309F" w14:textId="77777777" w:rsidTr="0021330D">
        <w:trPr>
          <w:trHeight w:val="300"/>
        </w:trPr>
        <w:tc>
          <w:tcPr>
            <w:tcW w:w="893" w:type="dxa"/>
            <w:vAlign w:val="center"/>
          </w:tcPr>
          <w:p w14:paraId="40D9F2E0" w14:textId="77777777" w:rsidR="007B7821" w:rsidRPr="005644FE" w:rsidRDefault="007B7821" w:rsidP="0021330D">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4475A50" w14:textId="77777777" w:rsidR="007B7821" w:rsidRPr="005644FE" w:rsidRDefault="007B7821" w:rsidP="0021330D">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406067DC" w14:textId="77777777" w:rsidR="007B7821" w:rsidRPr="005644FE" w:rsidRDefault="007B7821" w:rsidP="0021330D">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tbl>
    <w:p w14:paraId="56BF2B76" w14:textId="77777777" w:rsidR="007B7821" w:rsidRPr="005B24D8" w:rsidRDefault="007B7821" w:rsidP="007B7821"/>
    <w:p w14:paraId="7EF336B0" w14:textId="77777777" w:rsidR="007B7821" w:rsidRPr="0024624F" w:rsidRDefault="007B7821" w:rsidP="007B7821">
      <w:pPr>
        <w:spacing w:after="0"/>
        <w:rPr>
          <w:rFonts w:ascii="Verdana" w:eastAsia="Verdana" w:hAnsi="Verdana" w:cs="Verdana"/>
        </w:rPr>
      </w:pPr>
    </w:p>
    <w:p w14:paraId="5386028F" w14:textId="77777777" w:rsidR="007B7821" w:rsidRPr="0024624F" w:rsidRDefault="007B7821" w:rsidP="007B7821">
      <w:pPr>
        <w:spacing w:after="0"/>
        <w:rPr>
          <w:rFonts w:ascii="Verdana" w:eastAsia="Verdana" w:hAnsi="Verdana" w:cs="Verdana"/>
        </w:rPr>
      </w:pPr>
    </w:p>
    <w:p w14:paraId="1468C46D" w14:textId="1567CEE5" w:rsidR="00C15139" w:rsidRPr="0024624F" w:rsidRDefault="00C15139" w:rsidP="30821638">
      <w:pPr>
        <w:spacing w:after="0"/>
        <w:rPr>
          <w:rFonts w:ascii="Verdana" w:eastAsia="Verdana" w:hAnsi="Verdana" w:cs="Verdana"/>
        </w:rPr>
      </w:pPr>
      <w:r>
        <w:br/>
      </w:r>
      <w:r>
        <w:tab/>
      </w:r>
      <w:bookmarkEnd w:id="1"/>
    </w:p>
    <w:sectPr w:rsidR="00C15139" w:rsidRPr="0024624F"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9C914" w14:textId="77777777" w:rsidR="001A13F0" w:rsidRDefault="001A13F0" w:rsidP="004A1847">
      <w:pPr>
        <w:spacing w:after="0" w:line="240" w:lineRule="auto"/>
      </w:pPr>
      <w:r>
        <w:separator/>
      </w:r>
    </w:p>
  </w:endnote>
  <w:endnote w:type="continuationSeparator" w:id="0">
    <w:p w14:paraId="54C8E6EA" w14:textId="77777777" w:rsidR="001A13F0" w:rsidRDefault="001A13F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B09F5" w14:textId="77777777" w:rsidR="001A13F0" w:rsidRDefault="001A13F0" w:rsidP="004A1847">
      <w:pPr>
        <w:spacing w:after="0" w:line="240" w:lineRule="auto"/>
      </w:pPr>
      <w:r>
        <w:separator/>
      </w:r>
    </w:p>
  </w:footnote>
  <w:footnote w:type="continuationSeparator" w:id="0">
    <w:p w14:paraId="636AA29D" w14:textId="77777777" w:rsidR="001A13F0" w:rsidRDefault="001A13F0" w:rsidP="004A1847">
      <w:pPr>
        <w:spacing w:after="0" w:line="240" w:lineRule="auto"/>
      </w:pPr>
      <w:r>
        <w:continuationSeparator/>
      </w:r>
    </w:p>
  </w:footnote>
  <w:footnote w:id="1">
    <w:p w14:paraId="26245D01" w14:textId="77777777" w:rsidR="007B7821" w:rsidRPr="00A05D89" w:rsidRDefault="007B7821" w:rsidP="007B7821">
      <w:pPr>
        <w:pStyle w:val="Textonotapie"/>
        <w:ind w:firstLine="708"/>
        <w:jc w:val="both"/>
        <w:rPr>
          <w:rFonts w:ascii="Verdana" w:hAnsi="Verdana" w:cs="Arial"/>
          <w:sz w:val="16"/>
          <w:szCs w:val="16"/>
        </w:rPr>
      </w:pPr>
      <w:r w:rsidRPr="00A05D89">
        <w:rPr>
          <w:rStyle w:val="Refdenotaalpie"/>
          <w:rFonts w:ascii="Verdana" w:hAnsi="Verdana" w:cs="Arial"/>
          <w:sz w:val="16"/>
          <w:szCs w:val="16"/>
          <w:vertAlign w:val="baseline"/>
        </w:rPr>
        <w:footnoteRef/>
      </w:r>
      <w:r w:rsidRPr="00A05D89">
        <w:rPr>
          <w:rFonts w:ascii="Verdana" w:hAnsi="Verdana" w:cs="Arial"/>
          <w:sz w:val="16"/>
          <w:szCs w:val="16"/>
        </w:rPr>
        <w:t xml:space="preserve"> JOJOA BOLAÑOS, Alexander. Los regímenes exceptuados en los contratos estatales. Bogotá: Grupo Editorial Ibáñez, 2012. p. 89.</w:t>
      </w:r>
    </w:p>
    <w:p w14:paraId="5C10B2DF" w14:textId="77777777" w:rsidR="007B7821" w:rsidRPr="00A05D89" w:rsidRDefault="007B7821" w:rsidP="007B7821">
      <w:pPr>
        <w:pStyle w:val="Textonotapie"/>
        <w:ind w:firstLine="708"/>
        <w:jc w:val="both"/>
        <w:rPr>
          <w:rFonts w:ascii="Verdana" w:hAnsi="Verdana" w:cs="Arial"/>
          <w:sz w:val="16"/>
          <w:szCs w:val="16"/>
        </w:rPr>
      </w:pPr>
    </w:p>
  </w:footnote>
  <w:footnote w:id="2">
    <w:p w14:paraId="07AB081B" w14:textId="77777777" w:rsidR="007B7821" w:rsidRPr="00A05D89" w:rsidRDefault="007B7821" w:rsidP="007B7821">
      <w:pPr>
        <w:pStyle w:val="Textonotapie"/>
        <w:ind w:firstLine="708"/>
        <w:jc w:val="both"/>
        <w:rPr>
          <w:rFonts w:ascii="Verdana" w:hAnsi="Verdana" w:cs="Arial"/>
          <w:sz w:val="16"/>
          <w:szCs w:val="16"/>
        </w:rPr>
      </w:pPr>
      <w:r w:rsidRPr="00A05D89">
        <w:rPr>
          <w:rStyle w:val="Refdenotaalpie"/>
          <w:rFonts w:ascii="Verdana" w:hAnsi="Verdana" w:cs="Arial"/>
          <w:sz w:val="16"/>
          <w:szCs w:val="16"/>
          <w:vertAlign w:val="baseline"/>
        </w:rPr>
        <w:footnoteRef/>
      </w:r>
      <w:r w:rsidRPr="00A05D89">
        <w:rPr>
          <w:rFonts w:ascii="Verdana" w:hAnsi="Verdana" w:cs="Arial"/>
          <w:sz w:val="16"/>
          <w:szCs w:val="16"/>
        </w:rPr>
        <w:t xml:space="preserve"> BARRETO MORENO, Antonio Alejandro. El derecho de la compra pública: estudio jurídico de un mercado imperfecto. Bogotá: Legis, 2019. pp. 281 y ss.</w:t>
      </w:r>
    </w:p>
    <w:p w14:paraId="4762A749" w14:textId="77777777" w:rsidR="007B7821" w:rsidRPr="00A05D89" w:rsidRDefault="007B7821" w:rsidP="007B7821">
      <w:pPr>
        <w:pStyle w:val="Textonotapie"/>
        <w:ind w:firstLine="708"/>
        <w:jc w:val="both"/>
        <w:rPr>
          <w:rFonts w:ascii="Verdana" w:hAnsi="Verdana" w:cs="Arial"/>
          <w:sz w:val="16"/>
          <w:szCs w:val="16"/>
        </w:rPr>
      </w:pPr>
    </w:p>
  </w:footnote>
  <w:footnote w:id="3">
    <w:p w14:paraId="2EB86D31" w14:textId="77777777" w:rsidR="007B7821" w:rsidRPr="00A05D89" w:rsidRDefault="007B7821" w:rsidP="007B7821">
      <w:pPr>
        <w:pStyle w:val="Textonotapie"/>
        <w:ind w:firstLine="709"/>
        <w:jc w:val="both"/>
        <w:rPr>
          <w:rFonts w:ascii="Verdana" w:hAnsi="Verdana" w:cs="Arial"/>
          <w:sz w:val="16"/>
          <w:szCs w:val="16"/>
          <w:lang w:val="es-ES"/>
        </w:rPr>
      </w:pPr>
      <w:r w:rsidRPr="00A05D89">
        <w:rPr>
          <w:rStyle w:val="Refdenotaalpie"/>
          <w:rFonts w:ascii="Verdana" w:hAnsi="Verdana" w:cs="Arial"/>
          <w:sz w:val="16"/>
          <w:szCs w:val="16"/>
        </w:rPr>
        <w:footnoteRef/>
      </w:r>
      <w:r w:rsidRPr="00A05D89">
        <w:rPr>
          <w:rFonts w:ascii="Verdana" w:hAnsi="Verdana" w:cs="Arial"/>
          <w:sz w:val="16"/>
          <w:szCs w:val="16"/>
        </w:rPr>
        <w:t xml:space="preserve"> </w:t>
      </w:r>
      <w:r w:rsidRPr="00A05D89">
        <w:rPr>
          <w:rFonts w:ascii="Verdana" w:hAnsi="Verdana" w:cs="Arial"/>
          <w:sz w:val="16"/>
          <w:szCs w:val="16"/>
          <w:lang w:val="es-ES"/>
        </w:rPr>
        <w:t>“</w:t>
      </w:r>
      <w:r w:rsidRPr="00A05D89">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A05D89">
        <w:rPr>
          <w:rFonts w:ascii="Verdana" w:hAnsi="Verdana" w:cs="Arial"/>
          <w:sz w:val="16"/>
          <w:szCs w:val="16"/>
          <w:lang w:val="es-ES"/>
        </w:rPr>
        <w:t>”.</w:t>
      </w:r>
    </w:p>
  </w:footnote>
  <w:footnote w:id="4">
    <w:p w14:paraId="7441CA30" w14:textId="77777777" w:rsidR="007B7821" w:rsidRPr="0064767F" w:rsidRDefault="007B7821" w:rsidP="007B7821">
      <w:pPr>
        <w:pStyle w:val="Textonotapie"/>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Consejo de Estado. </w:t>
      </w:r>
      <w:r>
        <w:rPr>
          <w:rFonts w:ascii="Verdana" w:hAnsi="Verdana" w:cs="Arial"/>
          <w:sz w:val="18"/>
          <w:szCs w:val="18"/>
        </w:rPr>
        <w:t xml:space="preserve">Sala de lo Contencioso Administrativo. </w:t>
      </w:r>
      <w:r w:rsidRPr="0064767F">
        <w:rPr>
          <w:rFonts w:ascii="Verdana" w:hAnsi="Verdana" w:cs="Arial"/>
          <w:sz w:val="18"/>
          <w:szCs w:val="18"/>
        </w:rPr>
        <w:t xml:space="preserve">Sección Tercera. Sentencia 18 de febrero de 2010. </w:t>
      </w:r>
      <w:proofErr w:type="spellStart"/>
      <w:r w:rsidRPr="0064767F">
        <w:rPr>
          <w:rFonts w:ascii="Verdana" w:hAnsi="Verdana" w:cs="Arial"/>
          <w:sz w:val="18"/>
          <w:szCs w:val="18"/>
        </w:rPr>
        <w:t>Exp</w:t>
      </w:r>
      <w:proofErr w:type="spellEnd"/>
      <w:r w:rsidRPr="0064767F">
        <w:rPr>
          <w:rFonts w:ascii="Verdana" w:hAnsi="Verdana" w:cs="Arial"/>
          <w:sz w:val="18"/>
          <w:szCs w:val="18"/>
        </w:rPr>
        <w:t>. 37004</w:t>
      </w:r>
      <w:r>
        <w:rPr>
          <w:rFonts w:ascii="Verdana" w:hAnsi="Verdana" w:cs="Arial"/>
          <w:sz w:val="18"/>
          <w:szCs w:val="18"/>
        </w:rPr>
        <w:t xml:space="preserve">. </w:t>
      </w:r>
      <w:r w:rsidRPr="0064767F">
        <w:rPr>
          <w:rFonts w:ascii="Verdana" w:hAnsi="Verdana" w:cs="Arial"/>
          <w:sz w:val="18"/>
          <w:szCs w:val="18"/>
        </w:rPr>
        <w:t>C</w:t>
      </w:r>
      <w:r>
        <w:rPr>
          <w:rFonts w:ascii="Verdana" w:hAnsi="Verdana" w:cs="Arial"/>
          <w:sz w:val="18"/>
          <w:szCs w:val="18"/>
        </w:rPr>
        <w:t>.</w:t>
      </w:r>
      <w:r w:rsidRPr="0064767F">
        <w:rPr>
          <w:rFonts w:ascii="Verdana" w:hAnsi="Verdana" w:cs="Arial"/>
          <w:sz w:val="18"/>
          <w:szCs w:val="18"/>
        </w:rPr>
        <w:t>P</w:t>
      </w:r>
      <w:r>
        <w:rPr>
          <w:rFonts w:ascii="Verdana" w:hAnsi="Verdana" w:cs="Arial"/>
          <w:sz w:val="18"/>
          <w:szCs w:val="18"/>
        </w:rPr>
        <w:t>:</w:t>
      </w:r>
      <w:r w:rsidRPr="0064767F">
        <w:rPr>
          <w:rFonts w:ascii="Verdana" w:hAnsi="Verdana" w:cs="Arial"/>
          <w:sz w:val="18"/>
          <w:szCs w:val="18"/>
        </w:rPr>
        <w:t xml:space="preserve"> Enrique Gil Botero. </w:t>
      </w:r>
    </w:p>
    <w:p w14:paraId="1AF68807" w14:textId="77777777" w:rsidR="007B7821" w:rsidRPr="0064767F" w:rsidRDefault="007B7821" w:rsidP="007B7821">
      <w:pPr>
        <w:pStyle w:val="Textonotapie"/>
        <w:ind w:firstLine="709"/>
        <w:jc w:val="both"/>
        <w:rPr>
          <w:rFonts w:ascii="Verdana" w:hAnsi="Verdana" w:cs="Arial"/>
          <w:sz w:val="18"/>
          <w:szCs w:val="18"/>
        </w:rPr>
      </w:pPr>
    </w:p>
  </w:footnote>
  <w:footnote w:id="5">
    <w:p w14:paraId="7ECD404B" w14:textId="77777777" w:rsidR="007B7821" w:rsidRDefault="007B7821" w:rsidP="007B7821">
      <w:pPr>
        <w:pStyle w:val="Textonotapie"/>
        <w:ind w:firstLine="709"/>
        <w:jc w:val="both"/>
        <w:rPr>
          <w:rFonts w:ascii="Verdana" w:hAnsi="Verdana" w:cs="Arial"/>
          <w:color w:val="000000"/>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En sentencia C-665 de 2000, la Corte Constitucional se pronunció, así: </w:t>
      </w:r>
      <w:r w:rsidRPr="0064767F">
        <w:rPr>
          <w:rFonts w:ascii="Verdana" w:hAnsi="Verdana" w:cs="Arial"/>
          <w:sz w:val="18"/>
          <w:szCs w:val="18"/>
          <w:lang w:val="es-ES_tradnl"/>
        </w:rPr>
        <w:t>“</w:t>
      </w:r>
      <w:r w:rsidRPr="0064767F">
        <w:rPr>
          <w:rFonts w:ascii="Verdana" w:hAnsi="Verdana" w:cs="Arial"/>
          <w:color w:val="000000"/>
          <w:sz w:val="18"/>
          <w:szCs w:val="18"/>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64767F">
        <w:rPr>
          <w:rFonts w:ascii="Verdana" w:hAnsi="Verdana" w:cs="Arial"/>
          <w:sz w:val="18"/>
          <w:szCs w:val="18"/>
          <w:lang w:val="es-ES_tradnl"/>
        </w:rPr>
        <w:t>”</w:t>
      </w:r>
      <w:r w:rsidRPr="0064767F">
        <w:rPr>
          <w:rFonts w:ascii="Verdana" w:hAnsi="Verdana" w:cs="Arial"/>
          <w:color w:val="000000"/>
          <w:sz w:val="18"/>
          <w:szCs w:val="18"/>
        </w:rPr>
        <w:t xml:space="preserve"> (Corte Constitucional. Sentencia C-665 de 2000. M.P. José Gregorio Hernández Galindo)</w:t>
      </w:r>
    </w:p>
    <w:p w14:paraId="23286F97" w14:textId="77777777" w:rsidR="007B7821" w:rsidRPr="0064767F" w:rsidRDefault="007B7821" w:rsidP="007B7821">
      <w:pPr>
        <w:pStyle w:val="Textonotapie"/>
        <w:ind w:firstLine="709"/>
        <w:jc w:val="both"/>
        <w:rPr>
          <w:rFonts w:ascii="Verdana" w:hAnsi="Verdana" w:cs="Arial"/>
          <w:color w:val="000000"/>
          <w:sz w:val="18"/>
          <w:szCs w:val="18"/>
        </w:rPr>
      </w:pPr>
    </w:p>
  </w:footnote>
  <w:footnote w:id="6">
    <w:p w14:paraId="614DAE86" w14:textId="77777777" w:rsidR="007B7821" w:rsidRDefault="007B7821" w:rsidP="007B7821">
      <w:pPr>
        <w:pStyle w:val="Textonotapie"/>
        <w:ind w:firstLine="708"/>
        <w:jc w:val="both"/>
        <w:rPr>
          <w:rFonts w:ascii="Verdana" w:hAnsi="Verdana" w:cs="Arial"/>
          <w:color w:val="000000" w:themeColor="text1"/>
          <w:sz w:val="18"/>
          <w:szCs w:val="18"/>
          <w:lang w:val="es-CO"/>
        </w:rPr>
      </w:pPr>
      <w:r w:rsidRPr="0064767F">
        <w:rPr>
          <w:rStyle w:val="Refdenotaalpie"/>
          <w:rFonts w:ascii="Verdana" w:hAnsi="Verdana" w:cs="Arial"/>
          <w:color w:val="000000" w:themeColor="text1"/>
          <w:sz w:val="18"/>
          <w:szCs w:val="18"/>
        </w:rPr>
        <w:footnoteRef/>
      </w:r>
      <w:r w:rsidRPr="0064767F">
        <w:rPr>
          <w:rFonts w:ascii="Verdana" w:hAnsi="Verdana" w:cs="Arial"/>
          <w:color w:val="000000" w:themeColor="text1"/>
          <w:sz w:val="18"/>
          <w:szCs w:val="18"/>
        </w:rPr>
        <w:t xml:space="preserve"> Consejo de Estado. Sala de Consulta y Servicio Civil. Concepto del 27 de agosto de 1998, Rad. 1.127, C.P</w:t>
      </w:r>
      <w:r>
        <w:rPr>
          <w:rFonts w:ascii="Verdana" w:hAnsi="Verdana" w:cs="Arial"/>
          <w:color w:val="000000" w:themeColor="text1"/>
          <w:sz w:val="18"/>
          <w:szCs w:val="18"/>
        </w:rPr>
        <w:t>:</w:t>
      </w:r>
      <w:r w:rsidRPr="0064767F">
        <w:rPr>
          <w:rFonts w:ascii="Verdana" w:hAnsi="Verdana" w:cs="Arial"/>
          <w:color w:val="000000" w:themeColor="text1"/>
          <w:sz w:val="18"/>
          <w:szCs w:val="18"/>
        </w:rPr>
        <w:t xml:space="preserve"> Javier Henao Hidrón</w:t>
      </w:r>
      <w:r>
        <w:rPr>
          <w:rFonts w:ascii="Verdana" w:hAnsi="Verdana" w:cs="Arial"/>
          <w:color w:val="000000" w:themeColor="text1"/>
          <w:sz w:val="18"/>
          <w:szCs w:val="18"/>
        </w:rPr>
        <w:t xml:space="preserve"> y Concepto </w:t>
      </w:r>
      <w:r w:rsidRPr="0064767F">
        <w:rPr>
          <w:rFonts w:ascii="Verdana" w:hAnsi="Verdana" w:cs="Arial"/>
          <w:color w:val="000000" w:themeColor="text1"/>
          <w:sz w:val="18"/>
          <w:szCs w:val="18"/>
          <w:lang w:val="es-CO"/>
        </w:rPr>
        <w:t>del 6 de abril de 2000</w:t>
      </w:r>
      <w:r>
        <w:rPr>
          <w:rFonts w:ascii="Verdana" w:hAnsi="Verdana" w:cs="Arial"/>
          <w:color w:val="000000" w:themeColor="text1"/>
          <w:sz w:val="18"/>
          <w:szCs w:val="18"/>
          <w:lang w:val="es-CO"/>
        </w:rPr>
        <w:t xml:space="preserve">. </w:t>
      </w:r>
      <w:r w:rsidRPr="0064767F">
        <w:rPr>
          <w:rFonts w:ascii="Verdana" w:hAnsi="Verdana" w:cs="Arial"/>
          <w:color w:val="000000" w:themeColor="text1"/>
          <w:sz w:val="18"/>
          <w:szCs w:val="18"/>
          <w:lang w:val="es-CO"/>
        </w:rPr>
        <w:t>Arce. Rad. 1.263. C.P</w:t>
      </w:r>
      <w:r>
        <w:rPr>
          <w:rFonts w:ascii="Verdana" w:hAnsi="Verdana" w:cs="Arial"/>
          <w:color w:val="000000" w:themeColor="text1"/>
          <w:sz w:val="18"/>
          <w:szCs w:val="18"/>
          <w:lang w:val="es-CO"/>
        </w:rPr>
        <w:t>:</w:t>
      </w:r>
      <w:r w:rsidRPr="0064767F">
        <w:rPr>
          <w:rFonts w:ascii="Verdana" w:hAnsi="Verdana" w:cs="Arial"/>
          <w:color w:val="000000" w:themeColor="text1"/>
          <w:sz w:val="18"/>
          <w:szCs w:val="18"/>
          <w:lang w:val="es-CO"/>
        </w:rPr>
        <w:t xml:space="preserve"> Flavio Augusto Rodríguez</w:t>
      </w:r>
      <w:r>
        <w:rPr>
          <w:rFonts w:ascii="Verdana" w:hAnsi="Verdana" w:cs="Arial"/>
          <w:color w:val="000000" w:themeColor="text1"/>
          <w:sz w:val="18"/>
          <w:szCs w:val="18"/>
          <w:lang w:val="es-CO"/>
        </w:rPr>
        <w:t>.</w:t>
      </w:r>
      <w:r w:rsidRPr="0064767F">
        <w:rPr>
          <w:rFonts w:ascii="Verdana" w:hAnsi="Verdana" w:cs="Arial"/>
          <w:color w:val="000000" w:themeColor="text1"/>
          <w:sz w:val="18"/>
          <w:szCs w:val="18"/>
          <w:lang w:val="es-CO"/>
        </w:rPr>
        <w:t xml:space="preserve"> </w:t>
      </w:r>
    </w:p>
    <w:p w14:paraId="7C2D2D22" w14:textId="77777777" w:rsidR="007B7821" w:rsidRPr="0064767F" w:rsidRDefault="007B7821" w:rsidP="007B7821">
      <w:pPr>
        <w:pStyle w:val="Textonotapie"/>
        <w:ind w:firstLine="708"/>
        <w:jc w:val="both"/>
        <w:rPr>
          <w:rFonts w:ascii="Verdana" w:hAnsi="Verdana" w:cs="Arial"/>
          <w:color w:val="000000" w:themeColor="text1"/>
          <w:sz w:val="18"/>
          <w:szCs w:val="18"/>
          <w:lang w:val="es-CO"/>
        </w:rPr>
      </w:pPr>
    </w:p>
  </w:footnote>
  <w:footnote w:id="7">
    <w:p w14:paraId="6C29651D" w14:textId="77777777" w:rsidR="007B7821" w:rsidRPr="00573A53" w:rsidRDefault="007B7821" w:rsidP="007B7821">
      <w:pPr>
        <w:pStyle w:val="Textonotapie"/>
        <w:ind w:firstLine="709"/>
        <w:jc w:val="both"/>
        <w:rPr>
          <w:rFonts w:ascii="Verdana" w:hAnsi="Verdana" w:cs="Arial"/>
          <w:color w:val="000000" w:themeColor="text1"/>
          <w:sz w:val="16"/>
          <w:szCs w:val="16"/>
        </w:rPr>
      </w:pPr>
      <w:r w:rsidRPr="00573A53">
        <w:rPr>
          <w:rStyle w:val="Refdenotaalpie"/>
          <w:rFonts w:ascii="Verdana" w:hAnsi="Verdana" w:cs="Arial"/>
          <w:color w:val="000000" w:themeColor="text1"/>
          <w:sz w:val="16"/>
          <w:szCs w:val="16"/>
        </w:rPr>
        <w:footnoteRef/>
      </w:r>
      <w:r w:rsidRPr="00573A53">
        <w:rPr>
          <w:rFonts w:ascii="Verdana" w:hAnsi="Verdana" w:cs="Arial"/>
          <w:color w:val="000000" w:themeColor="text1"/>
          <w:sz w:val="16"/>
          <w:szCs w:val="16"/>
        </w:rPr>
        <w:t xml:space="preserve"> Consejo de Estado. Sala de lo Contencioso Administrativo. Sección Tercera. Subsección A. Sentencia del 24 de octubre de 2016.</w:t>
      </w:r>
      <w:r w:rsidRPr="00573A53">
        <w:rPr>
          <w:rFonts w:ascii="Verdana" w:hAnsi="Verdana" w:cs="Arial"/>
          <w:color w:val="000000" w:themeColor="text1"/>
          <w:sz w:val="16"/>
          <w:szCs w:val="16"/>
          <w:lang w:val="es-CO"/>
        </w:rPr>
        <w:t xml:space="preserve"> </w:t>
      </w:r>
      <w:proofErr w:type="spellStart"/>
      <w:r w:rsidRPr="00573A53">
        <w:rPr>
          <w:rFonts w:ascii="Verdana" w:hAnsi="Verdana" w:cs="Arial"/>
          <w:color w:val="000000" w:themeColor="text1"/>
          <w:sz w:val="16"/>
          <w:szCs w:val="16"/>
          <w:lang w:val="es-CO"/>
        </w:rPr>
        <w:t>Exp</w:t>
      </w:r>
      <w:proofErr w:type="spellEnd"/>
      <w:r w:rsidRPr="00573A53">
        <w:rPr>
          <w:rFonts w:ascii="Verdana" w:hAnsi="Verdana" w:cs="Arial"/>
          <w:color w:val="000000" w:themeColor="text1"/>
          <w:sz w:val="16"/>
          <w:szCs w:val="16"/>
          <w:lang w:val="es-CO"/>
        </w:rPr>
        <w:t>. 45.607.</w:t>
      </w:r>
      <w:r w:rsidRPr="00573A53">
        <w:rPr>
          <w:rFonts w:ascii="Verdana" w:hAnsi="Verdana" w:cs="Arial"/>
          <w:color w:val="000000" w:themeColor="text1"/>
          <w:sz w:val="16"/>
          <w:szCs w:val="16"/>
        </w:rPr>
        <w:t xml:space="preserve"> C.P. Marta Nubia Velásquez Rico. </w:t>
      </w:r>
    </w:p>
    <w:p w14:paraId="0B18FBCE" w14:textId="77777777" w:rsidR="007B7821" w:rsidRPr="00573A53" w:rsidRDefault="007B7821" w:rsidP="007B7821">
      <w:pPr>
        <w:pStyle w:val="Textonotapie"/>
        <w:ind w:firstLine="709"/>
        <w:jc w:val="both"/>
        <w:rPr>
          <w:rFonts w:ascii="Verdana" w:hAnsi="Verdana" w:cs="Arial"/>
          <w:color w:val="000000" w:themeColor="text1"/>
          <w:sz w:val="16"/>
          <w:szCs w:val="16"/>
        </w:rPr>
      </w:pPr>
    </w:p>
  </w:footnote>
  <w:footnote w:id="8">
    <w:p w14:paraId="5880C176" w14:textId="77777777" w:rsidR="007B7821" w:rsidRPr="00573A53" w:rsidRDefault="007B7821" w:rsidP="007B7821">
      <w:pPr>
        <w:pStyle w:val="Textonotapie"/>
        <w:snapToGrid w:val="0"/>
        <w:ind w:firstLine="709"/>
        <w:jc w:val="both"/>
        <w:rPr>
          <w:rFonts w:ascii="Verdana" w:hAnsi="Verdana" w:cs="Arial"/>
          <w:color w:val="000000" w:themeColor="text1"/>
          <w:sz w:val="16"/>
          <w:szCs w:val="16"/>
        </w:rPr>
      </w:pPr>
      <w:r w:rsidRPr="00573A53">
        <w:rPr>
          <w:rStyle w:val="Refdenotaalpie"/>
          <w:rFonts w:ascii="Verdana" w:hAnsi="Verdana" w:cs="Arial"/>
          <w:color w:val="000000" w:themeColor="text1"/>
          <w:sz w:val="16"/>
          <w:szCs w:val="16"/>
        </w:rPr>
        <w:footnoteRef/>
      </w:r>
      <w:r w:rsidRPr="00573A53">
        <w:rPr>
          <w:rFonts w:ascii="Verdana" w:hAnsi="Verdana" w:cs="Arial"/>
          <w:color w:val="000000" w:themeColor="text1"/>
          <w:sz w:val="16"/>
          <w:szCs w:val="16"/>
        </w:rPr>
        <w:t xml:space="preserve"> HINESTROSA FORERO, Fernando. Tratado de las Obligaciones II. De las fuentes de las obligaciones: el negocio jurídico. Vol. I. Bogotá: Universidad Externado de Colombia, 2015. p. 116.  </w:t>
      </w:r>
    </w:p>
    <w:p w14:paraId="5E8AAB79" w14:textId="77777777" w:rsidR="007B7821" w:rsidRPr="0064767F" w:rsidRDefault="007B7821" w:rsidP="007B7821">
      <w:pPr>
        <w:pStyle w:val="Textonotapie"/>
        <w:snapToGrid w:val="0"/>
        <w:ind w:firstLine="709"/>
        <w:jc w:val="both"/>
        <w:rPr>
          <w:rFonts w:ascii="Verdana" w:hAnsi="Verdana" w:cs="Arial"/>
          <w:color w:val="000000" w:themeColor="text1"/>
          <w:sz w:val="18"/>
          <w:szCs w:val="18"/>
        </w:rPr>
      </w:pPr>
    </w:p>
  </w:footnote>
  <w:footnote w:id="9">
    <w:p w14:paraId="08E13879" w14:textId="77777777" w:rsidR="007B7821" w:rsidRDefault="007B7821" w:rsidP="007B7821">
      <w:pPr>
        <w:pStyle w:val="Textonotapie"/>
        <w:snapToGrid w:val="0"/>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Cfr. Colombia Compra Eficiente. Subdirección de Gestión Contractual. Concepto C-362 del 3 de julio de 2020. Pág. 9.</w:t>
      </w:r>
    </w:p>
    <w:p w14:paraId="43402291" w14:textId="77777777" w:rsidR="007B7821" w:rsidRPr="0064767F" w:rsidRDefault="007B7821" w:rsidP="007B7821">
      <w:pPr>
        <w:pStyle w:val="Textonotapie"/>
        <w:snapToGrid w:val="0"/>
        <w:ind w:firstLine="709"/>
        <w:jc w:val="both"/>
        <w:rPr>
          <w:rFonts w:ascii="Verdana" w:hAnsi="Verdana" w:cs="Arial"/>
          <w:sz w:val="18"/>
          <w:szCs w:val="18"/>
        </w:rPr>
      </w:pPr>
    </w:p>
  </w:footnote>
  <w:footnote w:id="10">
    <w:p w14:paraId="0E7AFFC0" w14:textId="77777777" w:rsidR="007B7821" w:rsidRPr="0064767F" w:rsidRDefault="007B7821" w:rsidP="007B7821">
      <w:pPr>
        <w:snapToGrid w:val="0"/>
        <w:spacing w:after="0" w:line="240" w:lineRule="auto"/>
        <w:ind w:firstLine="709"/>
        <w:jc w:val="both"/>
        <w:rPr>
          <w:rFonts w:ascii="Verdana" w:hAnsi="Verdana" w:cs="Arial"/>
          <w:sz w:val="18"/>
          <w:szCs w:val="18"/>
        </w:rPr>
      </w:pPr>
      <w:r w:rsidRPr="0064767F">
        <w:rPr>
          <w:rStyle w:val="Refdenotaalpie"/>
          <w:rFonts w:ascii="Verdana" w:hAnsi="Verdana" w:cs="Arial"/>
          <w:sz w:val="18"/>
          <w:szCs w:val="18"/>
        </w:rPr>
        <w:footnoteRef/>
      </w:r>
      <w:r w:rsidRPr="0064767F">
        <w:rPr>
          <w:rFonts w:ascii="Verdana" w:hAnsi="Verdana" w:cs="Arial"/>
          <w:sz w:val="18"/>
          <w:szCs w:val="18"/>
        </w:rPr>
        <w:t xml:space="preserve"> “La</w:t>
      </w:r>
      <w:r w:rsidRPr="0064767F">
        <w:rPr>
          <w:rFonts w:ascii="Verdana" w:hAnsi="Verdana" w:cs="Arial"/>
          <w:spacing w:val="-12"/>
          <w:sz w:val="18"/>
          <w:szCs w:val="18"/>
        </w:rPr>
        <w:t xml:space="preserve"> </w:t>
      </w:r>
      <w:r w:rsidRPr="0064767F">
        <w:rPr>
          <w:rFonts w:ascii="Verdana" w:hAnsi="Verdana" w:cs="Arial"/>
          <w:sz w:val="18"/>
          <w:szCs w:val="18"/>
        </w:rPr>
        <w:t>fuerza</w:t>
      </w:r>
      <w:r w:rsidRPr="0064767F">
        <w:rPr>
          <w:rFonts w:ascii="Verdana" w:hAnsi="Verdana" w:cs="Arial"/>
          <w:spacing w:val="-12"/>
          <w:sz w:val="18"/>
          <w:szCs w:val="18"/>
        </w:rPr>
        <w:t xml:space="preserve"> </w:t>
      </w:r>
      <w:r w:rsidRPr="0064767F">
        <w:rPr>
          <w:rFonts w:ascii="Verdana" w:hAnsi="Verdana" w:cs="Arial"/>
          <w:sz w:val="18"/>
          <w:szCs w:val="18"/>
        </w:rPr>
        <w:t>vinculante</w:t>
      </w:r>
      <w:r w:rsidRPr="0064767F">
        <w:rPr>
          <w:rFonts w:ascii="Verdana" w:hAnsi="Verdana" w:cs="Arial"/>
          <w:spacing w:val="-12"/>
          <w:sz w:val="18"/>
          <w:szCs w:val="18"/>
        </w:rPr>
        <w:t xml:space="preserve"> </w:t>
      </w:r>
      <w:r w:rsidRPr="0064767F">
        <w:rPr>
          <w:rFonts w:ascii="Verdana" w:hAnsi="Verdana" w:cs="Arial"/>
          <w:sz w:val="18"/>
          <w:szCs w:val="18"/>
        </w:rPr>
        <w:t>de</w:t>
      </w:r>
      <w:r w:rsidRPr="0064767F">
        <w:rPr>
          <w:rFonts w:ascii="Verdana" w:hAnsi="Verdana" w:cs="Arial"/>
          <w:spacing w:val="-11"/>
          <w:sz w:val="18"/>
          <w:szCs w:val="18"/>
        </w:rPr>
        <w:t xml:space="preserve"> </w:t>
      </w:r>
      <w:r w:rsidRPr="0064767F">
        <w:rPr>
          <w:rFonts w:ascii="Verdana" w:hAnsi="Verdana" w:cs="Arial"/>
          <w:sz w:val="18"/>
          <w:szCs w:val="18"/>
        </w:rPr>
        <w:t>los</w:t>
      </w:r>
      <w:r w:rsidRPr="0064767F">
        <w:rPr>
          <w:rFonts w:ascii="Verdana" w:hAnsi="Verdana" w:cs="Arial"/>
          <w:spacing w:val="-12"/>
          <w:sz w:val="18"/>
          <w:szCs w:val="18"/>
        </w:rPr>
        <w:t xml:space="preserve"> </w:t>
      </w:r>
      <w:r w:rsidRPr="0064767F">
        <w:rPr>
          <w:rFonts w:ascii="Verdana" w:hAnsi="Verdana" w:cs="Arial"/>
          <w:sz w:val="18"/>
          <w:szCs w:val="18"/>
        </w:rPr>
        <w:t>reglamentos</w:t>
      </w:r>
      <w:r w:rsidRPr="0064767F">
        <w:rPr>
          <w:rFonts w:ascii="Verdana" w:hAnsi="Verdana" w:cs="Arial"/>
          <w:spacing w:val="-12"/>
          <w:sz w:val="18"/>
          <w:szCs w:val="18"/>
        </w:rPr>
        <w:t xml:space="preserve"> </w:t>
      </w:r>
      <w:r w:rsidRPr="0064767F">
        <w:rPr>
          <w:rFonts w:ascii="Verdana" w:hAnsi="Verdana" w:cs="Arial"/>
          <w:sz w:val="18"/>
          <w:szCs w:val="18"/>
        </w:rPr>
        <w:t>–tanto</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los</w:t>
      </w:r>
      <w:r w:rsidRPr="0064767F">
        <w:rPr>
          <w:rFonts w:ascii="Verdana" w:hAnsi="Verdana" w:cs="Arial"/>
          <w:spacing w:val="-11"/>
          <w:sz w:val="18"/>
          <w:szCs w:val="18"/>
        </w:rPr>
        <w:t xml:space="preserve"> </w:t>
      </w:r>
      <w:r w:rsidRPr="0064767F">
        <w:rPr>
          <w:rFonts w:ascii="Verdana" w:hAnsi="Verdana" w:cs="Arial"/>
          <w:sz w:val="18"/>
          <w:szCs w:val="18"/>
        </w:rPr>
        <w:t>administrados</w:t>
      </w:r>
      <w:r w:rsidRPr="0064767F">
        <w:rPr>
          <w:rFonts w:ascii="Verdana" w:hAnsi="Verdana" w:cs="Arial"/>
          <w:spacing w:val="-12"/>
          <w:sz w:val="18"/>
          <w:szCs w:val="18"/>
        </w:rPr>
        <w:t xml:space="preserve"> </w:t>
      </w:r>
      <w:r w:rsidRPr="0064767F">
        <w:rPr>
          <w:rFonts w:ascii="Verdana" w:hAnsi="Verdana" w:cs="Arial"/>
          <w:sz w:val="18"/>
          <w:szCs w:val="18"/>
        </w:rPr>
        <w:t>como</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propia</w:t>
      </w:r>
      <w:r w:rsidRPr="0064767F">
        <w:rPr>
          <w:rFonts w:ascii="Verdana" w:hAnsi="Verdana" w:cs="Arial"/>
          <w:spacing w:val="-50"/>
          <w:sz w:val="18"/>
          <w:szCs w:val="18"/>
        </w:rPr>
        <w:t xml:space="preserve"> </w:t>
      </w:r>
      <w:r w:rsidRPr="0064767F">
        <w:rPr>
          <w:rFonts w:ascii="Verdana" w:hAnsi="Verdana" w:cs="Arial"/>
          <w:sz w:val="18"/>
          <w:szCs w:val="18"/>
        </w:rPr>
        <w:t>administración– surge del hecho de ser una norma jurídica, y de compartir la naturaleza del acto</w:t>
      </w:r>
      <w:r w:rsidRPr="0064767F">
        <w:rPr>
          <w:rFonts w:ascii="Verdana" w:hAnsi="Verdana" w:cs="Arial"/>
          <w:spacing w:val="1"/>
          <w:sz w:val="18"/>
          <w:szCs w:val="18"/>
        </w:rPr>
        <w:t xml:space="preserve"> </w:t>
      </w:r>
      <w:r w:rsidRPr="0064767F">
        <w:rPr>
          <w:rFonts w:ascii="Verdana" w:hAnsi="Verdana" w:cs="Arial"/>
          <w:sz w:val="18"/>
          <w:szCs w:val="18"/>
        </w:rPr>
        <w:t>administrativo,</w:t>
      </w:r>
      <w:r w:rsidRPr="0064767F">
        <w:rPr>
          <w:rFonts w:ascii="Verdana" w:hAnsi="Verdana" w:cs="Arial"/>
          <w:spacing w:val="-4"/>
          <w:sz w:val="18"/>
          <w:szCs w:val="18"/>
        </w:rPr>
        <w:t xml:space="preserve"> </w:t>
      </w:r>
      <w:r w:rsidRPr="0064767F">
        <w:rPr>
          <w:rFonts w:ascii="Verdana" w:hAnsi="Verdana" w:cs="Arial"/>
          <w:sz w:val="18"/>
          <w:szCs w:val="18"/>
        </w:rPr>
        <w:t>luego,</w:t>
      </w:r>
      <w:r w:rsidRPr="0064767F">
        <w:rPr>
          <w:rFonts w:ascii="Verdana" w:hAnsi="Verdana" w:cs="Arial"/>
          <w:spacing w:val="-4"/>
          <w:sz w:val="18"/>
          <w:szCs w:val="18"/>
        </w:rPr>
        <w:t xml:space="preserve"> </w:t>
      </w:r>
      <w:r w:rsidRPr="0064767F">
        <w:rPr>
          <w:rFonts w:ascii="Verdana" w:hAnsi="Verdana" w:cs="Arial"/>
          <w:sz w:val="18"/>
          <w:szCs w:val="18"/>
        </w:rPr>
        <w:t>de</w:t>
      </w:r>
      <w:r w:rsidRPr="0064767F">
        <w:rPr>
          <w:rFonts w:ascii="Verdana" w:hAnsi="Verdana" w:cs="Arial"/>
          <w:spacing w:val="-4"/>
          <w:sz w:val="18"/>
          <w:szCs w:val="18"/>
        </w:rPr>
        <w:t xml:space="preserve"> </w:t>
      </w:r>
      <w:r w:rsidRPr="0064767F">
        <w:rPr>
          <w:rFonts w:ascii="Verdana" w:hAnsi="Verdana" w:cs="Arial"/>
          <w:sz w:val="18"/>
          <w:szCs w:val="18"/>
        </w:rPr>
        <w:t>allí</w:t>
      </w:r>
      <w:r w:rsidRPr="0064767F">
        <w:rPr>
          <w:rFonts w:ascii="Verdana" w:hAnsi="Verdana" w:cs="Arial"/>
          <w:spacing w:val="-4"/>
          <w:sz w:val="18"/>
          <w:szCs w:val="18"/>
        </w:rPr>
        <w:t xml:space="preserve"> </w:t>
      </w:r>
      <w:r w:rsidRPr="0064767F">
        <w:rPr>
          <w:rFonts w:ascii="Verdana" w:hAnsi="Verdana" w:cs="Arial"/>
          <w:sz w:val="18"/>
          <w:szCs w:val="18"/>
        </w:rPr>
        <w:t>también</w:t>
      </w:r>
      <w:r w:rsidRPr="0064767F">
        <w:rPr>
          <w:rFonts w:ascii="Verdana" w:hAnsi="Verdana" w:cs="Arial"/>
          <w:spacing w:val="-4"/>
          <w:sz w:val="18"/>
          <w:szCs w:val="18"/>
        </w:rPr>
        <w:t xml:space="preserve"> </w:t>
      </w:r>
      <w:r w:rsidRPr="0064767F">
        <w:rPr>
          <w:rFonts w:ascii="Verdana" w:hAnsi="Verdana" w:cs="Arial"/>
          <w:sz w:val="18"/>
          <w:szCs w:val="18"/>
        </w:rPr>
        <w:t>se</w:t>
      </w:r>
      <w:r w:rsidRPr="0064767F">
        <w:rPr>
          <w:rFonts w:ascii="Verdana" w:hAnsi="Verdana" w:cs="Arial"/>
          <w:spacing w:val="-4"/>
          <w:sz w:val="18"/>
          <w:szCs w:val="18"/>
        </w:rPr>
        <w:t xml:space="preserve"> </w:t>
      </w:r>
      <w:r w:rsidRPr="0064767F">
        <w:rPr>
          <w:rFonts w:ascii="Verdana" w:hAnsi="Verdana" w:cs="Arial"/>
          <w:sz w:val="18"/>
          <w:szCs w:val="18"/>
        </w:rPr>
        <w:t>desprende</w:t>
      </w:r>
      <w:r w:rsidRPr="0064767F">
        <w:rPr>
          <w:rFonts w:ascii="Verdana" w:hAnsi="Verdana" w:cs="Arial"/>
          <w:spacing w:val="-4"/>
          <w:sz w:val="18"/>
          <w:szCs w:val="18"/>
        </w:rPr>
        <w:t xml:space="preserve"> </w:t>
      </w:r>
      <w:r w:rsidRPr="0064767F">
        <w:rPr>
          <w:rFonts w:ascii="Verdana" w:hAnsi="Verdana" w:cs="Arial"/>
          <w:sz w:val="18"/>
          <w:szCs w:val="18"/>
        </w:rPr>
        <w:t>que</w:t>
      </w:r>
      <w:r w:rsidRPr="0064767F">
        <w:rPr>
          <w:rFonts w:ascii="Verdana" w:hAnsi="Verdana" w:cs="Arial"/>
          <w:spacing w:val="-3"/>
          <w:sz w:val="18"/>
          <w:szCs w:val="18"/>
        </w:rPr>
        <w:t xml:space="preserve"> </w:t>
      </w:r>
      <w:r w:rsidRPr="0064767F">
        <w:rPr>
          <w:rFonts w:ascii="Verdana" w:hAnsi="Verdana" w:cs="Arial"/>
          <w:sz w:val="18"/>
          <w:szCs w:val="18"/>
        </w:rPr>
        <w:t>se</w:t>
      </w:r>
      <w:r w:rsidRPr="0064767F">
        <w:rPr>
          <w:rFonts w:ascii="Verdana" w:hAnsi="Verdana" w:cs="Arial"/>
          <w:spacing w:val="-4"/>
          <w:sz w:val="18"/>
          <w:szCs w:val="18"/>
        </w:rPr>
        <w:t xml:space="preserve"> </w:t>
      </w:r>
      <w:r w:rsidRPr="0064767F">
        <w:rPr>
          <w:rFonts w:ascii="Verdana" w:hAnsi="Verdana" w:cs="Arial"/>
          <w:sz w:val="18"/>
          <w:szCs w:val="18"/>
        </w:rPr>
        <w:t>presuman</w:t>
      </w:r>
      <w:r w:rsidRPr="0064767F">
        <w:rPr>
          <w:rFonts w:ascii="Verdana" w:hAnsi="Verdana" w:cs="Arial"/>
          <w:spacing w:val="-4"/>
          <w:sz w:val="18"/>
          <w:szCs w:val="18"/>
        </w:rPr>
        <w:t xml:space="preserve"> </w:t>
      </w:r>
      <w:r w:rsidRPr="0064767F">
        <w:rPr>
          <w:rFonts w:ascii="Verdana" w:hAnsi="Verdana" w:cs="Arial"/>
          <w:sz w:val="18"/>
          <w:szCs w:val="18"/>
        </w:rPr>
        <w:t>legales</w:t>
      </w:r>
      <w:r w:rsidRPr="0064767F">
        <w:rPr>
          <w:rFonts w:ascii="Verdana" w:hAnsi="Verdana" w:cs="Arial"/>
          <w:spacing w:val="-4"/>
          <w:sz w:val="18"/>
          <w:szCs w:val="18"/>
        </w:rPr>
        <w:t xml:space="preserve"> </w:t>
      </w:r>
      <w:r w:rsidRPr="0064767F">
        <w:rPr>
          <w:rFonts w:ascii="Verdana" w:hAnsi="Verdana" w:cs="Arial"/>
          <w:sz w:val="18"/>
          <w:szCs w:val="18"/>
        </w:rPr>
        <w:t>y</w:t>
      </w:r>
      <w:r w:rsidRPr="0064767F">
        <w:rPr>
          <w:rFonts w:ascii="Verdana" w:hAnsi="Verdana" w:cs="Arial"/>
          <w:spacing w:val="-4"/>
          <w:sz w:val="18"/>
          <w:szCs w:val="18"/>
        </w:rPr>
        <w:t xml:space="preserve"> </w:t>
      </w:r>
      <w:r w:rsidRPr="0064767F">
        <w:rPr>
          <w:rFonts w:ascii="Verdana" w:hAnsi="Verdana" w:cs="Arial"/>
          <w:sz w:val="18"/>
          <w:szCs w:val="18"/>
        </w:rPr>
        <w:t>sean</w:t>
      </w:r>
      <w:r w:rsidRPr="0064767F">
        <w:rPr>
          <w:rFonts w:ascii="Verdana" w:hAnsi="Verdana" w:cs="Arial"/>
          <w:spacing w:val="-4"/>
          <w:sz w:val="18"/>
          <w:szCs w:val="18"/>
        </w:rPr>
        <w:t xml:space="preserve"> </w:t>
      </w:r>
      <w:r w:rsidRPr="0064767F">
        <w:rPr>
          <w:rFonts w:ascii="Verdana" w:hAnsi="Verdana" w:cs="Arial"/>
          <w:sz w:val="18"/>
          <w:szCs w:val="18"/>
        </w:rPr>
        <w:t>ejecutorios.</w:t>
      </w:r>
    </w:p>
    <w:p w14:paraId="1FB231E2" w14:textId="77777777" w:rsidR="007B7821" w:rsidRPr="0064767F" w:rsidRDefault="007B7821" w:rsidP="007B7821">
      <w:pPr>
        <w:spacing w:after="0" w:line="240" w:lineRule="auto"/>
        <w:ind w:firstLine="708"/>
        <w:jc w:val="both"/>
        <w:rPr>
          <w:rFonts w:ascii="Verdana" w:hAnsi="Verdana" w:cs="Arial"/>
          <w:sz w:val="18"/>
          <w:szCs w:val="18"/>
        </w:rPr>
      </w:pPr>
      <w:r w:rsidRPr="0064767F">
        <w:rPr>
          <w:rFonts w:ascii="Verdana" w:hAnsi="Verdana" w:cs="Arial"/>
          <w:sz w:val="18"/>
          <w:szCs w:val="18"/>
        </w:rPr>
        <w:t>Por esta misma razón, la doctrina española –con especial fuerza– ha señalado que su</w:t>
      </w:r>
      <w:r w:rsidRPr="0064767F">
        <w:rPr>
          <w:rFonts w:ascii="Verdana" w:hAnsi="Verdana" w:cs="Arial"/>
          <w:spacing w:val="1"/>
          <w:sz w:val="18"/>
          <w:szCs w:val="18"/>
        </w:rPr>
        <w:t xml:space="preserve"> </w:t>
      </w:r>
      <w:r w:rsidRPr="0064767F">
        <w:rPr>
          <w:rFonts w:ascii="Verdana" w:hAnsi="Verdana" w:cs="Arial"/>
          <w:sz w:val="18"/>
          <w:szCs w:val="18"/>
        </w:rPr>
        <w:t>observancia</w:t>
      </w:r>
      <w:r w:rsidRPr="0064767F">
        <w:rPr>
          <w:rFonts w:ascii="Verdana" w:hAnsi="Verdana" w:cs="Arial"/>
          <w:spacing w:val="-5"/>
          <w:sz w:val="18"/>
          <w:szCs w:val="18"/>
        </w:rPr>
        <w:t xml:space="preserve"> </w:t>
      </w:r>
      <w:r w:rsidRPr="0064767F">
        <w:rPr>
          <w:rFonts w:ascii="Verdana" w:hAnsi="Verdana" w:cs="Arial"/>
          <w:sz w:val="18"/>
          <w:szCs w:val="18"/>
        </w:rPr>
        <w:t>no</w:t>
      </w:r>
      <w:r w:rsidRPr="0064767F">
        <w:rPr>
          <w:rFonts w:ascii="Verdana" w:hAnsi="Verdana" w:cs="Arial"/>
          <w:spacing w:val="-4"/>
          <w:sz w:val="18"/>
          <w:szCs w:val="18"/>
        </w:rPr>
        <w:t xml:space="preserve"> </w:t>
      </w:r>
      <w:r w:rsidRPr="0064767F">
        <w:rPr>
          <w:rFonts w:ascii="Verdana" w:hAnsi="Verdana" w:cs="Arial"/>
          <w:sz w:val="18"/>
          <w:szCs w:val="18"/>
        </w:rPr>
        <w:t>queda</w:t>
      </w:r>
      <w:r w:rsidRPr="0064767F">
        <w:rPr>
          <w:rFonts w:ascii="Verdana" w:hAnsi="Verdana" w:cs="Arial"/>
          <w:spacing w:val="-5"/>
          <w:sz w:val="18"/>
          <w:szCs w:val="18"/>
        </w:rPr>
        <w:t xml:space="preserve"> </w:t>
      </w:r>
      <w:r w:rsidRPr="0064767F">
        <w:rPr>
          <w:rFonts w:ascii="Verdana" w:hAnsi="Verdana" w:cs="Arial"/>
          <w:sz w:val="18"/>
          <w:szCs w:val="18"/>
        </w:rPr>
        <w:t>al</w:t>
      </w:r>
      <w:r w:rsidRPr="0064767F">
        <w:rPr>
          <w:rFonts w:ascii="Verdana" w:hAnsi="Verdana" w:cs="Arial"/>
          <w:spacing w:val="-4"/>
          <w:sz w:val="18"/>
          <w:szCs w:val="18"/>
        </w:rPr>
        <w:t xml:space="preserve"> </w:t>
      </w:r>
      <w:r w:rsidRPr="0064767F">
        <w:rPr>
          <w:rFonts w:ascii="Verdana" w:hAnsi="Verdana" w:cs="Arial"/>
          <w:sz w:val="18"/>
          <w:szCs w:val="18"/>
        </w:rPr>
        <w:t>capricho</w:t>
      </w:r>
      <w:r w:rsidRPr="0064767F">
        <w:rPr>
          <w:rFonts w:ascii="Verdana" w:hAnsi="Verdana" w:cs="Arial"/>
          <w:spacing w:val="-5"/>
          <w:sz w:val="18"/>
          <w:szCs w:val="18"/>
        </w:rPr>
        <w:t xml:space="preserve"> </w:t>
      </w:r>
      <w:r w:rsidRPr="0064767F">
        <w:rPr>
          <w:rFonts w:ascii="Verdana" w:hAnsi="Verdana" w:cs="Arial"/>
          <w:sz w:val="18"/>
          <w:szCs w:val="18"/>
        </w:rPr>
        <w:t>del</w:t>
      </w:r>
      <w:r w:rsidRPr="0064767F">
        <w:rPr>
          <w:rFonts w:ascii="Verdana" w:hAnsi="Verdana" w:cs="Arial"/>
          <w:spacing w:val="-4"/>
          <w:sz w:val="18"/>
          <w:szCs w:val="18"/>
        </w:rPr>
        <w:t xml:space="preserve"> </w:t>
      </w:r>
      <w:r w:rsidRPr="0064767F">
        <w:rPr>
          <w:rFonts w:ascii="Verdana" w:hAnsi="Verdana" w:cs="Arial"/>
          <w:sz w:val="18"/>
          <w:szCs w:val="18"/>
        </w:rPr>
        <w:t>órgano</w:t>
      </w:r>
      <w:r w:rsidRPr="0064767F">
        <w:rPr>
          <w:rFonts w:ascii="Verdana" w:hAnsi="Verdana" w:cs="Arial"/>
          <w:spacing w:val="-5"/>
          <w:sz w:val="18"/>
          <w:szCs w:val="18"/>
        </w:rPr>
        <w:t xml:space="preserve"> </w:t>
      </w:r>
      <w:r w:rsidRPr="0064767F">
        <w:rPr>
          <w:rFonts w:ascii="Verdana" w:hAnsi="Verdana" w:cs="Arial"/>
          <w:sz w:val="18"/>
          <w:szCs w:val="18"/>
        </w:rPr>
        <w:t>que</w:t>
      </w:r>
      <w:r w:rsidRPr="0064767F">
        <w:rPr>
          <w:rFonts w:ascii="Verdana" w:hAnsi="Verdana" w:cs="Arial"/>
          <w:spacing w:val="-4"/>
          <w:sz w:val="18"/>
          <w:szCs w:val="18"/>
        </w:rPr>
        <w:t xml:space="preserve"> </w:t>
      </w:r>
      <w:r w:rsidRPr="0064767F">
        <w:rPr>
          <w:rFonts w:ascii="Verdana" w:hAnsi="Verdana" w:cs="Arial"/>
          <w:sz w:val="18"/>
          <w:szCs w:val="18"/>
        </w:rPr>
        <w:t>la</w:t>
      </w:r>
      <w:r w:rsidRPr="0064767F">
        <w:rPr>
          <w:rFonts w:ascii="Verdana" w:hAnsi="Verdana" w:cs="Arial"/>
          <w:spacing w:val="-5"/>
          <w:sz w:val="18"/>
          <w:szCs w:val="18"/>
        </w:rPr>
        <w:t xml:space="preserve"> </w:t>
      </w:r>
      <w:r w:rsidRPr="0064767F">
        <w:rPr>
          <w:rFonts w:ascii="Verdana" w:hAnsi="Verdana" w:cs="Arial"/>
          <w:sz w:val="18"/>
          <w:szCs w:val="18"/>
        </w:rPr>
        <w:t>expidió,</w:t>
      </w:r>
      <w:r w:rsidRPr="0064767F">
        <w:rPr>
          <w:rFonts w:ascii="Verdana" w:hAnsi="Verdana" w:cs="Arial"/>
          <w:spacing w:val="-4"/>
          <w:sz w:val="18"/>
          <w:szCs w:val="18"/>
        </w:rPr>
        <w:t xml:space="preserve"> </w:t>
      </w:r>
      <w:r w:rsidRPr="0064767F">
        <w:rPr>
          <w:rFonts w:ascii="Verdana" w:hAnsi="Verdana" w:cs="Arial"/>
          <w:sz w:val="18"/>
          <w:szCs w:val="18"/>
        </w:rPr>
        <w:t>pues</w:t>
      </w:r>
      <w:r w:rsidRPr="0064767F">
        <w:rPr>
          <w:rFonts w:ascii="Verdana" w:hAnsi="Verdana" w:cs="Arial"/>
          <w:spacing w:val="-5"/>
          <w:sz w:val="18"/>
          <w:szCs w:val="18"/>
        </w:rPr>
        <w:t xml:space="preserve"> </w:t>
      </w:r>
      <w:r w:rsidRPr="0064767F">
        <w:rPr>
          <w:rFonts w:ascii="Verdana" w:hAnsi="Verdana" w:cs="Arial"/>
          <w:sz w:val="18"/>
          <w:szCs w:val="18"/>
        </w:rPr>
        <w:t>si</w:t>
      </w:r>
      <w:r w:rsidRPr="0064767F">
        <w:rPr>
          <w:rFonts w:ascii="Verdana" w:hAnsi="Verdana" w:cs="Arial"/>
          <w:spacing w:val="-4"/>
          <w:sz w:val="18"/>
          <w:szCs w:val="18"/>
        </w:rPr>
        <w:t xml:space="preserve"> </w:t>
      </w:r>
      <w:r w:rsidRPr="0064767F">
        <w:rPr>
          <w:rFonts w:ascii="Verdana" w:hAnsi="Verdana" w:cs="Arial"/>
          <w:sz w:val="18"/>
          <w:szCs w:val="18"/>
        </w:rPr>
        <w:t>quisiera</w:t>
      </w:r>
      <w:r w:rsidRPr="0064767F">
        <w:rPr>
          <w:rFonts w:ascii="Verdana" w:hAnsi="Verdana" w:cs="Arial"/>
          <w:spacing w:val="-5"/>
          <w:sz w:val="18"/>
          <w:szCs w:val="18"/>
        </w:rPr>
        <w:t xml:space="preserve"> </w:t>
      </w:r>
      <w:r w:rsidRPr="0064767F">
        <w:rPr>
          <w:rFonts w:ascii="Verdana" w:hAnsi="Verdana" w:cs="Arial"/>
          <w:sz w:val="18"/>
          <w:szCs w:val="18"/>
        </w:rPr>
        <w:t>él</w:t>
      </w:r>
      <w:r w:rsidRPr="0064767F">
        <w:rPr>
          <w:rFonts w:ascii="Verdana" w:hAnsi="Verdana" w:cs="Arial"/>
          <w:spacing w:val="-4"/>
          <w:sz w:val="18"/>
          <w:szCs w:val="18"/>
        </w:rPr>
        <w:t xml:space="preserve"> </w:t>
      </w:r>
      <w:r w:rsidRPr="0064767F">
        <w:rPr>
          <w:rFonts w:ascii="Verdana" w:hAnsi="Verdana" w:cs="Arial"/>
          <w:sz w:val="18"/>
          <w:szCs w:val="18"/>
        </w:rPr>
        <w:t>lo</w:t>
      </w:r>
      <w:r w:rsidRPr="0064767F">
        <w:rPr>
          <w:rFonts w:ascii="Verdana" w:hAnsi="Verdana" w:cs="Arial"/>
          <w:spacing w:val="-4"/>
          <w:sz w:val="18"/>
          <w:szCs w:val="18"/>
        </w:rPr>
        <w:t xml:space="preserve"> </w:t>
      </w:r>
      <w:r w:rsidRPr="0064767F">
        <w:rPr>
          <w:rFonts w:ascii="Verdana" w:hAnsi="Verdana" w:cs="Arial"/>
          <w:sz w:val="18"/>
          <w:szCs w:val="18"/>
        </w:rPr>
        <w:t>puede</w:t>
      </w:r>
      <w:r w:rsidRPr="0064767F">
        <w:rPr>
          <w:rFonts w:ascii="Verdana" w:hAnsi="Verdana" w:cs="Arial"/>
          <w:spacing w:val="-5"/>
          <w:sz w:val="18"/>
          <w:szCs w:val="18"/>
        </w:rPr>
        <w:t xml:space="preserve"> </w:t>
      </w:r>
      <w:r w:rsidRPr="0064767F">
        <w:rPr>
          <w:rFonts w:ascii="Verdana" w:hAnsi="Verdana" w:cs="Arial"/>
          <w:sz w:val="18"/>
          <w:szCs w:val="18"/>
        </w:rPr>
        <w:t>desconocer.</w:t>
      </w:r>
      <w:r w:rsidRPr="0064767F">
        <w:rPr>
          <w:rFonts w:ascii="Verdana" w:hAnsi="Verdana" w:cs="Arial"/>
          <w:spacing w:val="1"/>
          <w:sz w:val="18"/>
          <w:szCs w:val="18"/>
        </w:rPr>
        <w:t xml:space="preserve"> </w:t>
      </w:r>
      <w:r w:rsidRPr="0064767F">
        <w:rPr>
          <w:rFonts w:ascii="Verdana" w:hAnsi="Verdana" w:cs="Arial"/>
          <w:sz w:val="18"/>
          <w:szCs w:val="18"/>
        </w:rPr>
        <w:t>De algún modo, como acontece con todo acto administrativo, el acto cobra vida propia, y autonomía</w:t>
      </w:r>
      <w:r w:rsidRPr="0064767F">
        <w:rPr>
          <w:rFonts w:ascii="Verdana" w:hAnsi="Verdana" w:cs="Arial"/>
          <w:spacing w:val="1"/>
          <w:sz w:val="18"/>
          <w:szCs w:val="18"/>
        </w:rPr>
        <w:t xml:space="preserve"> </w:t>
      </w:r>
      <w:r w:rsidRPr="0064767F">
        <w:rPr>
          <w:rFonts w:ascii="Verdana" w:hAnsi="Verdana" w:cs="Arial"/>
          <w:sz w:val="18"/>
          <w:szCs w:val="18"/>
        </w:rPr>
        <w:t>en</w:t>
      </w:r>
      <w:r w:rsidRPr="0064767F">
        <w:rPr>
          <w:rFonts w:ascii="Verdana" w:hAnsi="Verdana" w:cs="Arial"/>
          <w:spacing w:val="-7"/>
          <w:sz w:val="18"/>
          <w:szCs w:val="18"/>
        </w:rPr>
        <w:t xml:space="preserve"> </w:t>
      </w:r>
      <w:r w:rsidRPr="0064767F">
        <w:rPr>
          <w:rFonts w:ascii="Verdana" w:hAnsi="Verdana" w:cs="Arial"/>
          <w:sz w:val="18"/>
          <w:szCs w:val="18"/>
        </w:rPr>
        <w:t>relación</w:t>
      </w:r>
      <w:r w:rsidRPr="0064767F">
        <w:rPr>
          <w:rFonts w:ascii="Verdana" w:hAnsi="Verdana" w:cs="Arial"/>
          <w:spacing w:val="-7"/>
          <w:sz w:val="18"/>
          <w:szCs w:val="18"/>
        </w:rPr>
        <w:t xml:space="preserve"> </w:t>
      </w:r>
      <w:r w:rsidRPr="0064767F">
        <w:rPr>
          <w:rFonts w:ascii="Verdana" w:hAnsi="Verdana" w:cs="Arial"/>
          <w:sz w:val="18"/>
          <w:szCs w:val="18"/>
        </w:rPr>
        <w:t>con</w:t>
      </w:r>
      <w:r w:rsidRPr="0064767F">
        <w:rPr>
          <w:rFonts w:ascii="Verdana" w:hAnsi="Verdana" w:cs="Arial"/>
          <w:spacing w:val="-6"/>
          <w:sz w:val="18"/>
          <w:szCs w:val="18"/>
        </w:rPr>
        <w:t xml:space="preserve"> </w:t>
      </w:r>
      <w:r w:rsidRPr="0064767F">
        <w:rPr>
          <w:rFonts w:ascii="Verdana" w:hAnsi="Verdana" w:cs="Arial"/>
          <w:sz w:val="18"/>
          <w:szCs w:val="18"/>
        </w:rPr>
        <w:t>su</w:t>
      </w:r>
      <w:r w:rsidRPr="0064767F">
        <w:rPr>
          <w:rFonts w:ascii="Verdana" w:hAnsi="Verdana" w:cs="Arial"/>
          <w:spacing w:val="-7"/>
          <w:sz w:val="18"/>
          <w:szCs w:val="18"/>
        </w:rPr>
        <w:t xml:space="preserve"> </w:t>
      </w:r>
      <w:r w:rsidRPr="0064767F">
        <w:rPr>
          <w:rFonts w:ascii="Verdana" w:hAnsi="Verdana" w:cs="Arial"/>
          <w:sz w:val="18"/>
          <w:szCs w:val="18"/>
        </w:rPr>
        <w:t>propio</w:t>
      </w:r>
      <w:r w:rsidRPr="0064767F">
        <w:rPr>
          <w:rFonts w:ascii="Verdana" w:hAnsi="Verdana" w:cs="Arial"/>
          <w:spacing w:val="-7"/>
          <w:sz w:val="18"/>
          <w:szCs w:val="18"/>
        </w:rPr>
        <w:t xml:space="preserve"> </w:t>
      </w:r>
      <w:r w:rsidRPr="0064767F">
        <w:rPr>
          <w:rFonts w:ascii="Verdana" w:hAnsi="Verdana" w:cs="Arial"/>
          <w:sz w:val="18"/>
          <w:szCs w:val="18"/>
        </w:rPr>
        <w:t>creador.</w:t>
      </w:r>
      <w:r w:rsidRPr="0064767F">
        <w:rPr>
          <w:rFonts w:ascii="Verdana" w:hAnsi="Verdana" w:cs="Arial"/>
          <w:spacing w:val="-6"/>
          <w:sz w:val="18"/>
          <w:szCs w:val="18"/>
        </w:rPr>
        <w:t xml:space="preserve"> </w:t>
      </w:r>
      <w:r w:rsidRPr="0064767F">
        <w:rPr>
          <w:rFonts w:ascii="Verdana" w:hAnsi="Verdana" w:cs="Arial"/>
          <w:sz w:val="18"/>
          <w:szCs w:val="18"/>
        </w:rPr>
        <w:t>A</w:t>
      </w:r>
      <w:r w:rsidRPr="0064767F">
        <w:rPr>
          <w:rFonts w:ascii="Verdana" w:hAnsi="Verdana" w:cs="Arial"/>
          <w:spacing w:val="-7"/>
          <w:sz w:val="18"/>
          <w:szCs w:val="18"/>
        </w:rPr>
        <w:t xml:space="preserve"> </w:t>
      </w:r>
      <w:r w:rsidRPr="0064767F">
        <w:rPr>
          <w:rFonts w:ascii="Verdana" w:hAnsi="Verdana" w:cs="Arial"/>
          <w:sz w:val="18"/>
          <w:szCs w:val="18"/>
        </w:rPr>
        <w:t>este</w:t>
      </w:r>
      <w:r w:rsidRPr="0064767F">
        <w:rPr>
          <w:rFonts w:ascii="Verdana" w:hAnsi="Verdana" w:cs="Arial"/>
          <w:spacing w:val="-6"/>
          <w:sz w:val="18"/>
          <w:szCs w:val="18"/>
        </w:rPr>
        <w:t xml:space="preserve"> </w:t>
      </w:r>
      <w:r w:rsidRPr="0064767F">
        <w:rPr>
          <w:rFonts w:ascii="Verdana" w:hAnsi="Verdana" w:cs="Arial"/>
          <w:sz w:val="18"/>
          <w:szCs w:val="18"/>
        </w:rPr>
        <w:t>último</w:t>
      </w:r>
      <w:r w:rsidRPr="0064767F">
        <w:rPr>
          <w:rFonts w:ascii="Verdana" w:hAnsi="Verdana" w:cs="Arial"/>
          <w:spacing w:val="-7"/>
          <w:sz w:val="18"/>
          <w:szCs w:val="18"/>
        </w:rPr>
        <w:t xml:space="preserve"> </w:t>
      </w:r>
      <w:r w:rsidRPr="0064767F">
        <w:rPr>
          <w:rFonts w:ascii="Verdana" w:hAnsi="Verdana" w:cs="Arial"/>
          <w:sz w:val="18"/>
          <w:szCs w:val="18"/>
        </w:rPr>
        <w:t>evento</w:t>
      </w:r>
      <w:r w:rsidRPr="0064767F">
        <w:rPr>
          <w:rFonts w:ascii="Verdana" w:hAnsi="Verdana" w:cs="Arial"/>
          <w:spacing w:val="-7"/>
          <w:sz w:val="18"/>
          <w:szCs w:val="18"/>
        </w:rPr>
        <w:t xml:space="preserve"> </w:t>
      </w:r>
      <w:r w:rsidRPr="0064767F">
        <w:rPr>
          <w:rFonts w:ascii="Verdana" w:hAnsi="Verdana" w:cs="Arial"/>
          <w:sz w:val="18"/>
          <w:szCs w:val="18"/>
        </w:rPr>
        <w:t>se</w:t>
      </w:r>
      <w:r w:rsidRPr="0064767F">
        <w:rPr>
          <w:rFonts w:ascii="Verdana" w:hAnsi="Verdana" w:cs="Arial"/>
          <w:spacing w:val="-6"/>
          <w:sz w:val="18"/>
          <w:szCs w:val="18"/>
        </w:rPr>
        <w:t xml:space="preserve"> </w:t>
      </w:r>
      <w:r w:rsidRPr="0064767F">
        <w:rPr>
          <w:rFonts w:ascii="Verdana" w:hAnsi="Verdana" w:cs="Arial"/>
          <w:sz w:val="18"/>
          <w:szCs w:val="18"/>
        </w:rPr>
        <w:t>le</w:t>
      </w:r>
      <w:r w:rsidRPr="0064767F">
        <w:rPr>
          <w:rFonts w:ascii="Verdana" w:hAnsi="Verdana" w:cs="Arial"/>
          <w:spacing w:val="-7"/>
          <w:sz w:val="18"/>
          <w:szCs w:val="18"/>
        </w:rPr>
        <w:t xml:space="preserve"> </w:t>
      </w:r>
      <w:r w:rsidRPr="0064767F">
        <w:rPr>
          <w:rFonts w:ascii="Verdana" w:hAnsi="Verdana" w:cs="Arial"/>
          <w:sz w:val="18"/>
          <w:szCs w:val="18"/>
        </w:rPr>
        <w:t>denomina</w:t>
      </w:r>
      <w:r w:rsidRPr="0064767F">
        <w:rPr>
          <w:rFonts w:ascii="Verdana" w:hAnsi="Verdana" w:cs="Arial"/>
          <w:spacing w:val="-6"/>
          <w:sz w:val="18"/>
          <w:szCs w:val="18"/>
        </w:rPr>
        <w:t xml:space="preserve"> </w:t>
      </w:r>
      <w:r w:rsidRPr="0064767F">
        <w:rPr>
          <w:rFonts w:ascii="Verdana" w:hAnsi="Verdana" w:cs="Arial"/>
          <w:sz w:val="18"/>
          <w:szCs w:val="18"/>
        </w:rPr>
        <w:t>la</w:t>
      </w:r>
      <w:r w:rsidRPr="0064767F">
        <w:rPr>
          <w:rFonts w:ascii="Verdana" w:hAnsi="Verdana" w:cs="Arial"/>
          <w:spacing w:val="-6"/>
          <w:sz w:val="18"/>
          <w:szCs w:val="18"/>
        </w:rPr>
        <w:t xml:space="preserve"> </w:t>
      </w:r>
      <w:r w:rsidRPr="0064767F">
        <w:rPr>
          <w:rFonts w:ascii="Verdana" w:hAnsi="Verdana" w:cs="Arial"/>
          <w:sz w:val="18"/>
          <w:szCs w:val="18"/>
        </w:rPr>
        <w:t>inderogabilidad</w:t>
      </w:r>
      <w:r w:rsidRPr="0064767F">
        <w:rPr>
          <w:rFonts w:ascii="Verdana" w:hAnsi="Verdana" w:cs="Arial"/>
          <w:spacing w:val="-6"/>
          <w:sz w:val="18"/>
          <w:szCs w:val="18"/>
        </w:rPr>
        <w:t xml:space="preserve"> </w:t>
      </w:r>
      <w:r w:rsidRPr="0064767F">
        <w:rPr>
          <w:rFonts w:ascii="Verdana" w:hAnsi="Verdana" w:cs="Arial"/>
          <w:sz w:val="18"/>
          <w:szCs w:val="18"/>
        </w:rPr>
        <w:t>singular</w:t>
      </w:r>
      <w:r w:rsidRPr="0064767F">
        <w:rPr>
          <w:rFonts w:ascii="Verdana" w:hAnsi="Verdana" w:cs="Arial"/>
          <w:spacing w:val="-6"/>
          <w:sz w:val="18"/>
          <w:szCs w:val="18"/>
        </w:rPr>
        <w:t xml:space="preserve"> </w:t>
      </w:r>
      <w:r w:rsidRPr="0064767F">
        <w:rPr>
          <w:rFonts w:ascii="Verdana" w:hAnsi="Verdana" w:cs="Arial"/>
          <w:sz w:val="18"/>
          <w:szCs w:val="18"/>
        </w:rPr>
        <w:t>del</w:t>
      </w:r>
      <w:r w:rsidRPr="0064767F">
        <w:rPr>
          <w:rFonts w:ascii="Verdana" w:hAnsi="Verdana" w:cs="Arial"/>
          <w:spacing w:val="1"/>
          <w:sz w:val="18"/>
          <w:szCs w:val="18"/>
        </w:rPr>
        <w:t xml:space="preserve"> </w:t>
      </w:r>
      <w:r w:rsidRPr="0064767F">
        <w:rPr>
          <w:rFonts w:ascii="Verdana" w:hAnsi="Verdana" w:cs="Arial"/>
          <w:sz w:val="18"/>
          <w:szCs w:val="18"/>
        </w:rPr>
        <w:t>reglamento,</w:t>
      </w:r>
      <w:r w:rsidRPr="0064767F">
        <w:rPr>
          <w:rFonts w:ascii="Verdana" w:hAnsi="Verdana" w:cs="Arial"/>
          <w:spacing w:val="-3"/>
          <w:sz w:val="18"/>
          <w:szCs w:val="18"/>
        </w:rPr>
        <w:t xml:space="preserve"> </w:t>
      </w:r>
      <w:r w:rsidRPr="0064767F">
        <w:rPr>
          <w:rFonts w:ascii="Verdana" w:hAnsi="Verdana" w:cs="Arial"/>
          <w:sz w:val="18"/>
          <w:szCs w:val="18"/>
        </w:rPr>
        <w:t>que</w:t>
      </w:r>
      <w:r w:rsidRPr="0064767F">
        <w:rPr>
          <w:rFonts w:ascii="Verdana" w:hAnsi="Verdana" w:cs="Arial"/>
          <w:spacing w:val="-2"/>
          <w:sz w:val="18"/>
          <w:szCs w:val="18"/>
        </w:rPr>
        <w:t xml:space="preserve"> </w:t>
      </w:r>
      <w:r w:rsidRPr="0064767F">
        <w:rPr>
          <w:rFonts w:ascii="Verdana" w:hAnsi="Verdana" w:cs="Arial"/>
          <w:sz w:val="18"/>
          <w:szCs w:val="18"/>
        </w:rPr>
        <w:t>no</w:t>
      </w:r>
      <w:r w:rsidRPr="0064767F">
        <w:rPr>
          <w:rFonts w:ascii="Verdana" w:hAnsi="Verdana" w:cs="Arial"/>
          <w:spacing w:val="-2"/>
          <w:sz w:val="18"/>
          <w:szCs w:val="18"/>
        </w:rPr>
        <w:t xml:space="preserve"> </w:t>
      </w:r>
      <w:r w:rsidRPr="0064767F">
        <w:rPr>
          <w:rFonts w:ascii="Verdana" w:hAnsi="Verdana" w:cs="Arial"/>
          <w:sz w:val="18"/>
          <w:szCs w:val="18"/>
        </w:rPr>
        <w:t>es</w:t>
      </w:r>
      <w:r w:rsidRPr="0064767F">
        <w:rPr>
          <w:rFonts w:ascii="Verdana" w:hAnsi="Verdana" w:cs="Arial"/>
          <w:spacing w:val="-2"/>
          <w:sz w:val="18"/>
          <w:szCs w:val="18"/>
        </w:rPr>
        <w:t xml:space="preserve"> </w:t>
      </w:r>
      <w:r w:rsidRPr="0064767F">
        <w:rPr>
          <w:rFonts w:ascii="Verdana" w:hAnsi="Verdana" w:cs="Arial"/>
          <w:sz w:val="18"/>
          <w:szCs w:val="18"/>
        </w:rPr>
        <w:t>otra</w:t>
      </w:r>
      <w:r w:rsidRPr="0064767F">
        <w:rPr>
          <w:rFonts w:ascii="Verdana" w:hAnsi="Verdana" w:cs="Arial"/>
          <w:spacing w:val="-2"/>
          <w:sz w:val="18"/>
          <w:szCs w:val="18"/>
        </w:rPr>
        <w:t xml:space="preserve"> </w:t>
      </w:r>
      <w:r w:rsidRPr="0064767F">
        <w:rPr>
          <w:rFonts w:ascii="Verdana" w:hAnsi="Verdana" w:cs="Arial"/>
          <w:sz w:val="18"/>
          <w:szCs w:val="18"/>
        </w:rPr>
        <w:t>cosa</w:t>
      </w:r>
      <w:r w:rsidRPr="0064767F">
        <w:rPr>
          <w:rFonts w:ascii="Verdana" w:hAnsi="Verdana" w:cs="Arial"/>
          <w:spacing w:val="-2"/>
          <w:sz w:val="18"/>
          <w:szCs w:val="18"/>
        </w:rPr>
        <w:t xml:space="preserve"> </w:t>
      </w:r>
      <w:r w:rsidRPr="0064767F">
        <w:rPr>
          <w:rFonts w:ascii="Verdana" w:hAnsi="Verdana" w:cs="Arial"/>
          <w:sz w:val="18"/>
          <w:szCs w:val="18"/>
        </w:rPr>
        <w:t>que</w:t>
      </w:r>
      <w:r w:rsidRPr="0064767F">
        <w:rPr>
          <w:rFonts w:ascii="Verdana" w:hAnsi="Verdana" w:cs="Arial"/>
          <w:spacing w:val="-2"/>
          <w:sz w:val="18"/>
          <w:szCs w:val="18"/>
        </w:rPr>
        <w:t xml:space="preserve"> </w:t>
      </w:r>
      <w:r w:rsidRPr="0064767F">
        <w:rPr>
          <w:rFonts w:ascii="Verdana" w:hAnsi="Verdana" w:cs="Arial"/>
          <w:sz w:val="18"/>
          <w:szCs w:val="18"/>
        </w:rPr>
        <w:t>la</w:t>
      </w:r>
      <w:r w:rsidRPr="0064767F">
        <w:rPr>
          <w:rFonts w:ascii="Verdana" w:hAnsi="Verdana" w:cs="Arial"/>
          <w:spacing w:val="-2"/>
          <w:sz w:val="18"/>
          <w:szCs w:val="18"/>
        </w:rPr>
        <w:t xml:space="preserve"> </w:t>
      </w:r>
      <w:r w:rsidRPr="0064767F">
        <w:rPr>
          <w:rFonts w:ascii="Verdana" w:hAnsi="Verdana" w:cs="Arial"/>
          <w:sz w:val="18"/>
          <w:szCs w:val="18"/>
        </w:rPr>
        <w:t>prohibición</w:t>
      </w:r>
      <w:r w:rsidRPr="0064767F">
        <w:rPr>
          <w:rFonts w:ascii="Verdana" w:hAnsi="Verdana" w:cs="Arial"/>
          <w:spacing w:val="-2"/>
          <w:sz w:val="18"/>
          <w:szCs w:val="18"/>
        </w:rPr>
        <w:t xml:space="preserve"> </w:t>
      </w:r>
      <w:r w:rsidRPr="0064767F">
        <w:rPr>
          <w:rFonts w:ascii="Verdana" w:hAnsi="Verdana" w:cs="Arial"/>
          <w:sz w:val="18"/>
          <w:szCs w:val="18"/>
        </w:rPr>
        <w:t>de</w:t>
      </w:r>
      <w:r w:rsidRPr="0064767F">
        <w:rPr>
          <w:rFonts w:ascii="Verdana" w:hAnsi="Verdana" w:cs="Arial"/>
          <w:spacing w:val="-2"/>
          <w:sz w:val="18"/>
          <w:szCs w:val="18"/>
        </w:rPr>
        <w:t xml:space="preserve"> </w:t>
      </w:r>
      <w:r w:rsidRPr="0064767F">
        <w:rPr>
          <w:rFonts w:ascii="Verdana" w:hAnsi="Verdana" w:cs="Arial"/>
          <w:sz w:val="18"/>
          <w:szCs w:val="18"/>
        </w:rPr>
        <w:t>insertarlo</w:t>
      </w:r>
      <w:r w:rsidRPr="0064767F">
        <w:rPr>
          <w:rFonts w:ascii="Verdana" w:hAnsi="Verdana" w:cs="Arial"/>
          <w:spacing w:val="-2"/>
          <w:sz w:val="18"/>
          <w:szCs w:val="18"/>
        </w:rPr>
        <w:t xml:space="preserve"> </w:t>
      </w:r>
      <w:r w:rsidRPr="0064767F">
        <w:rPr>
          <w:rFonts w:ascii="Verdana" w:hAnsi="Verdana" w:cs="Arial"/>
          <w:sz w:val="18"/>
          <w:szCs w:val="18"/>
        </w:rPr>
        <w:t>en</w:t>
      </w:r>
      <w:r w:rsidRPr="0064767F">
        <w:rPr>
          <w:rFonts w:ascii="Verdana" w:hAnsi="Verdana" w:cs="Arial"/>
          <w:spacing w:val="-3"/>
          <w:sz w:val="18"/>
          <w:szCs w:val="18"/>
        </w:rPr>
        <w:t xml:space="preserve"> </w:t>
      </w:r>
      <w:r w:rsidRPr="0064767F">
        <w:rPr>
          <w:rFonts w:ascii="Verdana" w:hAnsi="Verdana" w:cs="Arial"/>
          <w:sz w:val="18"/>
          <w:szCs w:val="18"/>
        </w:rPr>
        <w:t>un</w:t>
      </w:r>
      <w:r w:rsidRPr="0064767F">
        <w:rPr>
          <w:rFonts w:ascii="Verdana" w:hAnsi="Verdana" w:cs="Arial"/>
          <w:spacing w:val="-2"/>
          <w:sz w:val="18"/>
          <w:szCs w:val="18"/>
        </w:rPr>
        <w:t xml:space="preserve"> </w:t>
      </w:r>
      <w:r w:rsidRPr="0064767F">
        <w:rPr>
          <w:rFonts w:ascii="Verdana" w:hAnsi="Verdana" w:cs="Arial"/>
          <w:sz w:val="18"/>
          <w:szCs w:val="18"/>
        </w:rPr>
        <w:t>caso</w:t>
      </w:r>
      <w:r w:rsidRPr="0064767F">
        <w:rPr>
          <w:rFonts w:ascii="Verdana" w:hAnsi="Verdana" w:cs="Arial"/>
          <w:spacing w:val="-2"/>
          <w:sz w:val="18"/>
          <w:szCs w:val="18"/>
        </w:rPr>
        <w:t xml:space="preserve"> </w:t>
      </w:r>
      <w:r w:rsidRPr="0064767F">
        <w:rPr>
          <w:rFonts w:ascii="Verdana" w:hAnsi="Verdana" w:cs="Arial"/>
          <w:sz w:val="18"/>
          <w:szCs w:val="18"/>
        </w:rPr>
        <w:t>particular.</w:t>
      </w:r>
    </w:p>
    <w:p w14:paraId="1230695F" w14:textId="77777777" w:rsidR="007B7821" w:rsidRDefault="007B7821" w:rsidP="007B7821">
      <w:pPr>
        <w:spacing w:after="0" w:line="240" w:lineRule="auto"/>
        <w:ind w:firstLine="708"/>
        <w:jc w:val="both"/>
        <w:rPr>
          <w:rFonts w:ascii="Verdana" w:hAnsi="Verdana" w:cs="Arial"/>
          <w:sz w:val="18"/>
          <w:szCs w:val="18"/>
        </w:rPr>
      </w:pPr>
      <w:r w:rsidRPr="0064767F">
        <w:rPr>
          <w:rFonts w:ascii="Verdana" w:hAnsi="Verdana" w:cs="Arial"/>
          <w:sz w:val="18"/>
          <w:szCs w:val="18"/>
        </w:rPr>
        <w:t>Esta tesis –de absoluta razonabilidad–, protege tanto al ciudadano como al ordenamiento</w:t>
      </w:r>
      <w:r w:rsidRPr="0064767F">
        <w:rPr>
          <w:rFonts w:ascii="Verdana" w:hAnsi="Verdana" w:cs="Arial"/>
          <w:spacing w:val="1"/>
          <w:sz w:val="18"/>
          <w:szCs w:val="18"/>
        </w:rPr>
        <w:t xml:space="preserve"> </w:t>
      </w:r>
      <w:r w:rsidRPr="0064767F">
        <w:rPr>
          <w:rFonts w:ascii="Verdana" w:hAnsi="Verdana" w:cs="Arial"/>
          <w:sz w:val="18"/>
          <w:szCs w:val="18"/>
        </w:rPr>
        <w:t xml:space="preserve">jurídico en general, de la arbitrariedad de la administración, pues si se admitiera </w:t>
      </w:r>
      <w:proofErr w:type="gramStart"/>
      <w:r w:rsidRPr="0064767F">
        <w:rPr>
          <w:rFonts w:ascii="Verdana" w:hAnsi="Verdana" w:cs="Arial"/>
          <w:sz w:val="18"/>
          <w:szCs w:val="18"/>
        </w:rPr>
        <w:t>que</w:t>
      </w:r>
      <w:proofErr w:type="gramEnd"/>
      <w:r w:rsidRPr="0064767F">
        <w:rPr>
          <w:rFonts w:ascii="Verdana" w:hAnsi="Verdana" w:cs="Arial"/>
          <w:sz w:val="18"/>
          <w:szCs w:val="18"/>
        </w:rPr>
        <w:t xml:space="preserve"> pese a estar en</w:t>
      </w:r>
      <w:r w:rsidRPr="0064767F">
        <w:rPr>
          <w:rFonts w:ascii="Verdana" w:hAnsi="Verdana" w:cs="Arial"/>
          <w:spacing w:val="-50"/>
          <w:sz w:val="18"/>
          <w:szCs w:val="18"/>
        </w:rPr>
        <w:t xml:space="preserve"> </w:t>
      </w:r>
      <w:r w:rsidRPr="0064767F">
        <w:rPr>
          <w:rFonts w:ascii="Verdana" w:hAnsi="Verdana" w:cs="Arial"/>
          <w:sz w:val="18"/>
          <w:szCs w:val="18"/>
        </w:rPr>
        <w:t>vigencia</w:t>
      </w:r>
      <w:r w:rsidRPr="0064767F">
        <w:rPr>
          <w:rFonts w:ascii="Verdana" w:hAnsi="Verdana" w:cs="Arial"/>
          <w:spacing w:val="-10"/>
          <w:sz w:val="18"/>
          <w:szCs w:val="18"/>
        </w:rPr>
        <w:t xml:space="preserve"> </w:t>
      </w:r>
      <w:r w:rsidRPr="0064767F">
        <w:rPr>
          <w:rFonts w:ascii="Verdana" w:hAnsi="Verdana" w:cs="Arial"/>
          <w:sz w:val="18"/>
          <w:szCs w:val="18"/>
        </w:rPr>
        <w:t>un</w:t>
      </w:r>
      <w:r w:rsidRPr="0064767F">
        <w:rPr>
          <w:rFonts w:ascii="Verdana" w:hAnsi="Verdana" w:cs="Arial"/>
          <w:spacing w:val="-9"/>
          <w:sz w:val="18"/>
          <w:szCs w:val="18"/>
        </w:rPr>
        <w:t xml:space="preserve"> </w:t>
      </w:r>
      <w:r w:rsidRPr="0064767F">
        <w:rPr>
          <w:rFonts w:ascii="Verdana" w:hAnsi="Verdana" w:cs="Arial"/>
          <w:sz w:val="18"/>
          <w:szCs w:val="18"/>
        </w:rPr>
        <w:t>reglamento</w:t>
      </w:r>
      <w:r w:rsidRPr="0064767F">
        <w:rPr>
          <w:rFonts w:ascii="Verdana" w:hAnsi="Verdana" w:cs="Arial"/>
          <w:spacing w:val="-10"/>
          <w:sz w:val="18"/>
          <w:szCs w:val="18"/>
        </w:rPr>
        <w:t xml:space="preserve"> </w:t>
      </w:r>
      <w:r w:rsidRPr="0064767F">
        <w:rPr>
          <w:rFonts w:ascii="Verdana" w:hAnsi="Verdana" w:cs="Arial"/>
          <w:sz w:val="18"/>
          <w:szCs w:val="18"/>
        </w:rPr>
        <w:t>la</w:t>
      </w:r>
      <w:r w:rsidRPr="0064767F">
        <w:rPr>
          <w:rFonts w:ascii="Verdana" w:hAnsi="Verdana" w:cs="Arial"/>
          <w:spacing w:val="-9"/>
          <w:sz w:val="18"/>
          <w:szCs w:val="18"/>
        </w:rPr>
        <w:t xml:space="preserve"> </w:t>
      </w:r>
      <w:r w:rsidRPr="0064767F">
        <w:rPr>
          <w:rFonts w:ascii="Verdana" w:hAnsi="Verdana" w:cs="Arial"/>
          <w:sz w:val="18"/>
          <w:szCs w:val="18"/>
        </w:rPr>
        <w:t>propia</w:t>
      </w:r>
      <w:r w:rsidRPr="0064767F">
        <w:rPr>
          <w:rFonts w:ascii="Verdana" w:hAnsi="Verdana" w:cs="Arial"/>
          <w:spacing w:val="-10"/>
          <w:sz w:val="18"/>
          <w:szCs w:val="18"/>
        </w:rPr>
        <w:t xml:space="preserve"> </w:t>
      </w:r>
      <w:r w:rsidRPr="0064767F">
        <w:rPr>
          <w:rFonts w:ascii="Verdana" w:hAnsi="Verdana" w:cs="Arial"/>
          <w:sz w:val="18"/>
          <w:szCs w:val="18"/>
        </w:rPr>
        <w:t>administración</w:t>
      </w:r>
      <w:r w:rsidRPr="0064767F">
        <w:rPr>
          <w:rFonts w:ascii="Verdana" w:hAnsi="Verdana" w:cs="Arial"/>
          <w:spacing w:val="-9"/>
          <w:sz w:val="18"/>
          <w:szCs w:val="18"/>
        </w:rPr>
        <w:t xml:space="preserve"> </w:t>
      </w:r>
      <w:r w:rsidRPr="0064767F">
        <w:rPr>
          <w:rFonts w:ascii="Verdana" w:hAnsi="Verdana" w:cs="Arial"/>
          <w:sz w:val="18"/>
          <w:szCs w:val="18"/>
        </w:rPr>
        <w:t>que</w:t>
      </w:r>
      <w:r w:rsidRPr="0064767F">
        <w:rPr>
          <w:rFonts w:ascii="Verdana" w:hAnsi="Verdana" w:cs="Arial"/>
          <w:spacing w:val="-10"/>
          <w:sz w:val="18"/>
          <w:szCs w:val="18"/>
        </w:rPr>
        <w:t xml:space="preserve"> </w:t>
      </w:r>
      <w:r w:rsidRPr="0064767F">
        <w:rPr>
          <w:rFonts w:ascii="Verdana" w:hAnsi="Verdana" w:cs="Arial"/>
          <w:sz w:val="18"/>
          <w:szCs w:val="18"/>
        </w:rPr>
        <w:t>lo</w:t>
      </w:r>
      <w:r w:rsidRPr="0064767F">
        <w:rPr>
          <w:rFonts w:ascii="Verdana" w:hAnsi="Verdana" w:cs="Arial"/>
          <w:spacing w:val="-9"/>
          <w:sz w:val="18"/>
          <w:szCs w:val="18"/>
        </w:rPr>
        <w:t xml:space="preserve"> </w:t>
      </w:r>
      <w:r w:rsidRPr="0064767F">
        <w:rPr>
          <w:rFonts w:ascii="Verdana" w:hAnsi="Verdana" w:cs="Arial"/>
          <w:sz w:val="18"/>
          <w:szCs w:val="18"/>
        </w:rPr>
        <w:t>dictó</w:t>
      </w:r>
      <w:r w:rsidRPr="0064767F">
        <w:rPr>
          <w:rFonts w:ascii="Verdana" w:hAnsi="Verdana" w:cs="Arial"/>
          <w:spacing w:val="-10"/>
          <w:sz w:val="18"/>
          <w:szCs w:val="18"/>
        </w:rPr>
        <w:t xml:space="preserve"> </w:t>
      </w:r>
      <w:r w:rsidRPr="0064767F">
        <w:rPr>
          <w:rFonts w:ascii="Verdana" w:hAnsi="Verdana" w:cs="Arial"/>
          <w:sz w:val="18"/>
          <w:szCs w:val="18"/>
        </w:rPr>
        <w:t>lo</w:t>
      </w:r>
      <w:r w:rsidRPr="0064767F">
        <w:rPr>
          <w:rFonts w:ascii="Verdana" w:hAnsi="Verdana" w:cs="Arial"/>
          <w:spacing w:val="-9"/>
          <w:sz w:val="18"/>
          <w:szCs w:val="18"/>
        </w:rPr>
        <w:t xml:space="preserve"> </w:t>
      </w:r>
      <w:r w:rsidRPr="0064767F">
        <w:rPr>
          <w:rFonts w:ascii="Verdana" w:hAnsi="Verdana" w:cs="Arial"/>
          <w:sz w:val="18"/>
          <w:szCs w:val="18"/>
        </w:rPr>
        <w:t>pudiera</w:t>
      </w:r>
      <w:r w:rsidRPr="0064767F">
        <w:rPr>
          <w:rFonts w:ascii="Verdana" w:hAnsi="Verdana" w:cs="Arial"/>
          <w:spacing w:val="-10"/>
          <w:sz w:val="18"/>
          <w:szCs w:val="18"/>
        </w:rPr>
        <w:t xml:space="preserve"> </w:t>
      </w:r>
      <w:r w:rsidRPr="0064767F">
        <w:rPr>
          <w:rFonts w:ascii="Verdana" w:hAnsi="Verdana" w:cs="Arial"/>
          <w:sz w:val="18"/>
          <w:szCs w:val="18"/>
        </w:rPr>
        <w:t>inaplicar,</w:t>
      </w:r>
      <w:r w:rsidRPr="0064767F">
        <w:rPr>
          <w:rFonts w:ascii="Verdana" w:hAnsi="Verdana" w:cs="Arial"/>
          <w:spacing w:val="-9"/>
          <w:sz w:val="18"/>
          <w:szCs w:val="18"/>
        </w:rPr>
        <w:t xml:space="preserve"> </w:t>
      </w:r>
      <w:r w:rsidRPr="0064767F">
        <w:rPr>
          <w:rFonts w:ascii="Verdana" w:hAnsi="Verdana" w:cs="Arial"/>
          <w:sz w:val="18"/>
          <w:szCs w:val="18"/>
        </w:rPr>
        <w:t>aduciendo</w:t>
      </w:r>
      <w:r w:rsidRPr="0064767F">
        <w:rPr>
          <w:rFonts w:ascii="Verdana" w:hAnsi="Verdana" w:cs="Arial"/>
          <w:spacing w:val="-10"/>
          <w:sz w:val="18"/>
          <w:szCs w:val="18"/>
        </w:rPr>
        <w:t xml:space="preserve"> </w:t>
      </w:r>
      <w:r w:rsidRPr="0064767F">
        <w:rPr>
          <w:rFonts w:ascii="Verdana" w:hAnsi="Verdana" w:cs="Arial"/>
          <w:sz w:val="18"/>
          <w:szCs w:val="18"/>
        </w:rPr>
        <w:t>que</w:t>
      </w:r>
      <w:r w:rsidRPr="0064767F">
        <w:rPr>
          <w:rFonts w:ascii="Verdana" w:hAnsi="Verdana" w:cs="Arial"/>
          <w:spacing w:val="-9"/>
          <w:sz w:val="18"/>
          <w:szCs w:val="18"/>
        </w:rPr>
        <w:t xml:space="preserve"> </w:t>
      </w:r>
      <w:r w:rsidRPr="0064767F">
        <w:rPr>
          <w:rFonts w:ascii="Verdana" w:hAnsi="Verdana" w:cs="Arial"/>
          <w:sz w:val="18"/>
          <w:szCs w:val="18"/>
        </w:rPr>
        <w:t>si</w:t>
      </w:r>
      <w:r w:rsidRPr="0064767F">
        <w:rPr>
          <w:rFonts w:ascii="Verdana" w:hAnsi="Verdana" w:cs="Arial"/>
          <w:spacing w:val="-10"/>
          <w:sz w:val="18"/>
          <w:szCs w:val="18"/>
        </w:rPr>
        <w:t xml:space="preserve"> </w:t>
      </w:r>
      <w:r w:rsidRPr="0064767F">
        <w:rPr>
          <w:rFonts w:ascii="Verdana" w:hAnsi="Verdana" w:cs="Arial"/>
          <w:sz w:val="18"/>
          <w:szCs w:val="18"/>
        </w:rPr>
        <w:t>ella</w:t>
      </w:r>
      <w:r w:rsidRPr="0064767F">
        <w:rPr>
          <w:rFonts w:ascii="Verdana" w:hAnsi="Verdana" w:cs="Arial"/>
          <w:spacing w:val="1"/>
          <w:sz w:val="18"/>
          <w:szCs w:val="18"/>
        </w:rPr>
        <w:t xml:space="preserve"> </w:t>
      </w:r>
      <w:r w:rsidRPr="0064767F">
        <w:rPr>
          <w:rFonts w:ascii="Verdana" w:hAnsi="Verdana" w:cs="Arial"/>
          <w:sz w:val="18"/>
          <w:szCs w:val="18"/>
        </w:rPr>
        <w:t>lo</w:t>
      </w:r>
      <w:r w:rsidRPr="0064767F">
        <w:rPr>
          <w:rFonts w:ascii="Verdana" w:hAnsi="Verdana" w:cs="Arial"/>
          <w:spacing w:val="-13"/>
          <w:sz w:val="18"/>
          <w:szCs w:val="18"/>
        </w:rPr>
        <w:t xml:space="preserve"> </w:t>
      </w:r>
      <w:r w:rsidRPr="0064767F">
        <w:rPr>
          <w:rFonts w:ascii="Verdana" w:hAnsi="Verdana" w:cs="Arial"/>
          <w:sz w:val="18"/>
          <w:szCs w:val="18"/>
        </w:rPr>
        <w:t>produjo</w:t>
      </w:r>
      <w:r w:rsidRPr="0064767F">
        <w:rPr>
          <w:rFonts w:ascii="Verdana" w:hAnsi="Verdana" w:cs="Arial"/>
          <w:spacing w:val="-12"/>
          <w:sz w:val="18"/>
          <w:szCs w:val="18"/>
        </w:rPr>
        <w:t xml:space="preserve"> </w:t>
      </w:r>
      <w:r w:rsidRPr="0064767F">
        <w:rPr>
          <w:rFonts w:ascii="Verdana" w:hAnsi="Verdana" w:cs="Arial"/>
          <w:sz w:val="18"/>
          <w:szCs w:val="18"/>
        </w:rPr>
        <w:t>entonces</w:t>
      </w:r>
      <w:r w:rsidRPr="0064767F">
        <w:rPr>
          <w:rFonts w:ascii="Verdana" w:hAnsi="Verdana" w:cs="Arial"/>
          <w:spacing w:val="-12"/>
          <w:sz w:val="18"/>
          <w:szCs w:val="18"/>
        </w:rPr>
        <w:t xml:space="preserve"> </w:t>
      </w:r>
      <w:r w:rsidRPr="0064767F">
        <w:rPr>
          <w:rFonts w:ascii="Verdana" w:hAnsi="Verdana" w:cs="Arial"/>
          <w:sz w:val="18"/>
          <w:szCs w:val="18"/>
        </w:rPr>
        <w:t>cuenta</w:t>
      </w:r>
      <w:r w:rsidRPr="0064767F">
        <w:rPr>
          <w:rFonts w:ascii="Verdana" w:hAnsi="Verdana" w:cs="Arial"/>
          <w:spacing w:val="-12"/>
          <w:sz w:val="18"/>
          <w:szCs w:val="18"/>
        </w:rPr>
        <w:t xml:space="preserve"> </w:t>
      </w:r>
      <w:r w:rsidRPr="0064767F">
        <w:rPr>
          <w:rFonts w:ascii="Verdana" w:hAnsi="Verdana" w:cs="Arial"/>
          <w:sz w:val="18"/>
          <w:szCs w:val="18"/>
        </w:rPr>
        <w:t>con</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autoridad</w:t>
      </w:r>
      <w:r w:rsidRPr="0064767F">
        <w:rPr>
          <w:rFonts w:ascii="Verdana" w:hAnsi="Verdana" w:cs="Arial"/>
          <w:spacing w:val="-12"/>
          <w:sz w:val="18"/>
          <w:szCs w:val="18"/>
        </w:rPr>
        <w:t xml:space="preserve"> </w:t>
      </w:r>
      <w:r w:rsidRPr="0064767F">
        <w:rPr>
          <w:rFonts w:ascii="Verdana" w:hAnsi="Verdana" w:cs="Arial"/>
          <w:sz w:val="18"/>
          <w:szCs w:val="18"/>
        </w:rPr>
        <w:t>para</w:t>
      </w:r>
      <w:r w:rsidRPr="0064767F">
        <w:rPr>
          <w:rFonts w:ascii="Verdana" w:hAnsi="Verdana" w:cs="Arial"/>
          <w:spacing w:val="-12"/>
          <w:sz w:val="18"/>
          <w:szCs w:val="18"/>
        </w:rPr>
        <w:t xml:space="preserve"> </w:t>
      </w:r>
      <w:r w:rsidRPr="0064767F">
        <w:rPr>
          <w:rFonts w:ascii="Verdana" w:hAnsi="Verdana" w:cs="Arial"/>
          <w:sz w:val="18"/>
          <w:szCs w:val="18"/>
        </w:rPr>
        <w:t>desconocerlo,</w:t>
      </w:r>
      <w:r w:rsidRPr="0064767F">
        <w:rPr>
          <w:rFonts w:ascii="Verdana" w:hAnsi="Verdana" w:cs="Arial"/>
          <w:spacing w:val="-12"/>
          <w:sz w:val="18"/>
          <w:szCs w:val="18"/>
        </w:rPr>
        <w:t xml:space="preserve"> </w:t>
      </w:r>
      <w:r w:rsidRPr="0064767F">
        <w:rPr>
          <w:rFonts w:ascii="Verdana" w:hAnsi="Verdana" w:cs="Arial"/>
          <w:sz w:val="18"/>
          <w:szCs w:val="18"/>
        </w:rPr>
        <w:t>los</w:t>
      </w:r>
      <w:r w:rsidRPr="0064767F">
        <w:rPr>
          <w:rFonts w:ascii="Verdana" w:hAnsi="Verdana" w:cs="Arial"/>
          <w:spacing w:val="-12"/>
          <w:sz w:val="18"/>
          <w:szCs w:val="18"/>
        </w:rPr>
        <w:t xml:space="preserve"> </w:t>
      </w:r>
      <w:r w:rsidRPr="0064767F">
        <w:rPr>
          <w:rFonts w:ascii="Verdana" w:hAnsi="Verdana" w:cs="Arial"/>
          <w:sz w:val="18"/>
          <w:szCs w:val="18"/>
        </w:rPr>
        <w:t>abusos</w:t>
      </w:r>
      <w:r w:rsidRPr="0064767F">
        <w:rPr>
          <w:rFonts w:ascii="Verdana" w:hAnsi="Verdana" w:cs="Arial"/>
          <w:spacing w:val="-12"/>
          <w:sz w:val="18"/>
          <w:szCs w:val="18"/>
        </w:rPr>
        <w:t xml:space="preserve"> </w:t>
      </w:r>
      <w:r w:rsidRPr="0064767F">
        <w:rPr>
          <w:rFonts w:ascii="Verdana" w:hAnsi="Verdana" w:cs="Arial"/>
          <w:sz w:val="18"/>
          <w:szCs w:val="18"/>
        </w:rPr>
        <w:t>y</w:t>
      </w:r>
      <w:r w:rsidRPr="0064767F">
        <w:rPr>
          <w:rFonts w:ascii="Verdana" w:hAnsi="Verdana" w:cs="Arial"/>
          <w:spacing w:val="-12"/>
          <w:sz w:val="18"/>
          <w:szCs w:val="18"/>
        </w:rPr>
        <w:t xml:space="preserve"> </w:t>
      </w:r>
      <w:r w:rsidRPr="0064767F">
        <w:rPr>
          <w:rFonts w:ascii="Verdana" w:hAnsi="Verdana" w:cs="Arial"/>
          <w:sz w:val="18"/>
          <w:szCs w:val="18"/>
        </w:rPr>
        <w:t>la</w:t>
      </w:r>
      <w:r w:rsidRPr="0064767F">
        <w:rPr>
          <w:rFonts w:ascii="Verdana" w:hAnsi="Verdana" w:cs="Arial"/>
          <w:spacing w:val="-12"/>
          <w:sz w:val="18"/>
          <w:szCs w:val="18"/>
        </w:rPr>
        <w:t xml:space="preserve"> </w:t>
      </w:r>
      <w:r w:rsidRPr="0064767F">
        <w:rPr>
          <w:rFonts w:ascii="Verdana" w:hAnsi="Verdana" w:cs="Arial"/>
          <w:sz w:val="18"/>
          <w:szCs w:val="18"/>
        </w:rPr>
        <w:t>violación</w:t>
      </w:r>
      <w:r w:rsidRPr="0064767F">
        <w:rPr>
          <w:rFonts w:ascii="Verdana" w:hAnsi="Verdana" w:cs="Arial"/>
          <w:spacing w:val="-12"/>
          <w:sz w:val="18"/>
          <w:szCs w:val="18"/>
        </w:rPr>
        <w:t xml:space="preserve"> </w:t>
      </w:r>
      <w:r w:rsidRPr="0064767F">
        <w:rPr>
          <w:rFonts w:ascii="Verdana" w:hAnsi="Verdana" w:cs="Arial"/>
          <w:sz w:val="18"/>
          <w:szCs w:val="18"/>
        </w:rPr>
        <w:t>a</w:t>
      </w:r>
      <w:r w:rsidRPr="0064767F">
        <w:rPr>
          <w:rFonts w:ascii="Verdana" w:hAnsi="Verdana" w:cs="Arial"/>
          <w:spacing w:val="-12"/>
          <w:sz w:val="18"/>
          <w:szCs w:val="18"/>
        </w:rPr>
        <w:t xml:space="preserve"> </w:t>
      </w:r>
      <w:r w:rsidRPr="0064767F">
        <w:rPr>
          <w:rFonts w:ascii="Verdana" w:hAnsi="Verdana" w:cs="Arial"/>
          <w:sz w:val="18"/>
          <w:szCs w:val="18"/>
        </w:rPr>
        <w:t>sus</w:t>
      </w:r>
      <w:r w:rsidRPr="0064767F">
        <w:rPr>
          <w:rFonts w:ascii="Verdana" w:hAnsi="Verdana" w:cs="Arial"/>
          <w:spacing w:val="-12"/>
          <w:sz w:val="18"/>
          <w:szCs w:val="18"/>
        </w:rPr>
        <w:t xml:space="preserve"> </w:t>
      </w:r>
      <w:r w:rsidRPr="0064767F">
        <w:rPr>
          <w:rFonts w:ascii="Verdana" w:hAnsi="Verdana" w:cs="Arial"/>
          <w:sz w:val="18"/>
          <w:szCs w:val="18"/>
        </w:rPr>
        <w:t>propias</w:t>
      </w:r>
      <w:r w:rsidRPr="0064767F">
        <w:rPr>
          <w:rFonts w:ascii="Verdana" w:hAnsi="Verdana" w:cs="Arial"/>
          <w:spacing w:val="1"/>
          <w:sz w:val="18"/>
          <w:szCs w:val="18"/>
        </w:rPr>
        <w:t xml:space="preserve"> </w:t>
      </w:r>
      <w:r w:rsidRPr="0064767F">
        <w:rPr>
          <w:rFonts w:ascii="Verdana" w:hAnsi="Verdana" w:cs="Arial"/>
          <w:sz w:val="18"/>
          <w:szCs w:val="18"/>
        </w:rPr>
        <w:t>reglas propiciaría el atropello y la corrupción”. (MARÍN CORTÉS, Fabián G. El reglamento como</w:t>
      </w:r>
      <w:r w:rsidRPr="0064767F">
        <w:rPr>
          <w:rFonts w:ascii="Verdana" w:hAnsi="Verdana" w:cs="Arial"/>
          <w:spacing w:val="1"/>
          <w:sz w:val="18"/>
          <w:szCs w:val="18"/>
        </w:rPr>
        <w:t xml:space="preserve"> </w:t>
      </w:r>
      <w:r w:rsidRPr="0064767F">
        <w:rPr>
          <w:rFonts w:ascii="Verdana" w:hAnsi="Verdana" w:cs="Arial"/>
          <w:sz w:val="18"/>
          <w:szCs w:val="18"/>
        </w:rPr>
        <w:t>fuente</w:t>
      </w:r>
      <w:r w:rsidRPr="0064767F">
        <w:rPr>
          <w:rFonts w:ascii="Verdana" w:hAnsi="Verdana" w:cs="Arial"/>
          <w:spacing w:val="-12"/>
          <w:sz w:val="18"/>
          <w:szCs w:val="18"/>
        </w:rPr>
        <w:t xml:space="preserve"> </w:t>
      </w:r>
      <w:r w:rsidRPr="0064767F">
        <w:rPr>
          <w:rFonts w:ascii="Verdana" w:hAnsi="Verdana" w:cs="Arial"/>
          <w:sz w:val="18"/>
          <w:szCs w:val="18"/>
        </w:rPr>
        <w:t>del</w:t>
      </w:r>
      <w:r w:rsidRPr="0064767F">
        <w:rPr>
          <w:rFonts w:ascii="Verdana" w:hAnsi="Verdana" w:cs="Arial"/>
          <w:spacing w:val="-12"/>
          <w:sz w:val="18"/>
          <w:szCs w:val="18"/>
        </w:rPr>
        <w:t xml:space="preserve"> </w:t>
      </w:r>
      <w:r w:rsidRPr="0064767F">
        <w:rPr>
          <w:rFonts w:ascii="Verdana" w:hAnsi="Verdana" w:cs="Arial"/>
          <w:sz w:val="18"/>
          <w:szCs w:val="18"/>
        </w:rPr>
        <w:t>derecho</w:t>
      </w:r>
      <w:r w:rsidRPr="0064767F">
        <w:rPr>
          <w:rFonts w:ascii="Verdana" w:hAnsi="Verdana" w:cs="Arial"/>
          <w:spacing w:val="-12"/>
          <w:sz w:val="18"/>
          <w:szCs w:val="18"/>
        </w:rPr>
        <w:t xml:space="preserve"> </w:t>
      </w:r>
      <w:r w:rsidRPr="0064767F">
        <w:rPr>
          <w:rFonts w:ascii="Verdana" w:hAnsi="Verdana" w:cs="Arial"/>
          <w:sz w:val="18"/>
          <w:szCs w:val="18"/>
        </w:rPr>
        <w:t>administrativo.</w:t>
      </w:r>
      <w:r w:rsidRPr="0064767F">
        <w:rPr>
          <w:rFonts w:ascii="Verdana" w:hAnsi="Verdana" w:cs="Arial"/>
          <w:spacing w:val="-11"/>
          <w:sz w:val="18"/>
          <w:szCs w:val="18"/>
        </w:rPr>
        <w:t xml:space="preserve"> </w:t>
      </w:r>
      <w:r w:rsidRPr="0064767F">
        <w:rPr>
          <w:rFonts w:ascii="Verdana" w:hAnsi="Verdana" w:cs="Arial"/>
          <w:sz w:val="18"/>
          <w:szCs w:val="18"/>
        </w:rPr>
        <w:t>En:</w:t>
      </w:r>
      <w:r w:rsidRPr="0064767F">
        <w:rPr>
          <w:rFonts w:ascii="Verdana" w:hAnsi="Verdana" w:cs="Arial"/>
          <w:spacing w:val="-12"/>
          <w:sz w:val="18"/>
          <w:szCs w:val="18"/>
        </w:rPr>
        <w:t xml:space="preserve"> </w:t>
      </w:r>
      <w:r w:rsidRPr="0064767F">
        <w:rPr>
          <w:rFonts w:ascii="Verdana" w:hAnsi="Verdana" w:cs="Arial"/>
          <w:sz w:val="18"/>
          <w:szCs w:val="18"/>
        </w:rPr>
        <w:t>Las</w:t>
      </w:r>
      <w:r w:rsidRPr="0064767F">
        <w:rPr>
          <w:rFonts w:ascii="Verdana" w:hAnsi="Verdana" w:cs="Arial"/>
          <w:spacing w:val="-12"/>
          <w:sz w:val="18"/>
          <w:szCs w:val="18"/>
        </w:rPr>
        <w:t xml:space="preserve"> </w:t>
      </w:r>
      <w:r w:rsidRPr="0064767F">
        <w:rPr>
          <w:rFonts w:ascii="Verdana" w:hAnsi="Verdana" w:cs="Arial"/>
          <w:sz w:val="18"/>
          <w:szCs w:val="18"/>
        </w:rPr>
        <w:t>fuentes</w:t>
      </w:r>
      <w:r w:rsidRPr="0064767F">
        <w:rPr>
          <w:rFonts w:ascii="Verdana" w:hAnsi="Verdana" w:cs="Arial"/>
          <w:spacing w:val="-11"/>
          <w:sz w:val="18"/>
          <w:szCs w:val="18"/>
        </w:rPr>
        <w:t xml:space="preserve"> </w:t>
      </w:r>
      <w:r w:rsidRPr="0064767F">
        <w:rPr>
          <w:rFonts w:ascii="Verdana" w:hAnsi="Verdana" w:cs="Arial"/>
          <w:sz w:val="18"/>
          <w:szCs w:val="18"/>
        </w:rPr>
        <w:t>del</w:t>
      </w:r>
      <w:r w:rsidRPr="0064767F">
        <w:rPr>
          <w:rFonts w:ascii="Verdana" w:hAnsi="Verdana" w:cs="Arial"/>
          <w:spacing w:val="-12"/>
          <w:sz w:val="18"/>
          <w:szCs w:val="18"/>
        </w:rPr>
        <w:t xml:space="preserve"> </w:t>
      </w:r>
      <w:r w:rsidRPr="0064767F">
        <w:rPr>
          <w:rFonts w:ascii="Verdana" w:hAnsi="Verdana" w:cs="Arial"/>
          <w:sz w:val="18"/>
          <w:szCs w:val="18"/>
        </w:rPr>
        <w:t>derecho</w:t>
      </w:r>
      <w:r w:rsidRPr="0064767F">
        <w:rPr>
          <w:rFonts w:ascii="Verdana" w:hAnsi="Verdana" w:cs="Arial"/>
          <w:spacing w:val="-12"/>
          <w:sz w:val="18"/>
          <w:szCs w:val="18"/>
        </w:rPr>
        <w:t xml:space="preserve"> </w:t>
      </w:r>
      <w:r w:rsidRPr="0064767F">
        <w:rPr>
          <w:rFonts w:ascii="Verdana" w:hAnsi="Verdana" w:cs="Arial"/>
          <w:sz w:val="18"/>
          <w:szCs w:val="18"/>
        </w:rPr>
        <w:t>administrativo.</w:t>
      </w:r>
      <w:r w:rsidRPr="0064767F">
        <w:rPr>
          <w:rFonts w:ascii="Verdana" w:hAnsi="Verdana" w:cs="Arial"/>
          <w:spacing w:val="-12"/>
          <w:sz w:val="18"/>
          <w:szCs w:val="18"/>
        </w:rPr>
        <w:t xml:space="preserve"> </w:t>
      </w:r>
      <w:r w:rsidRPr="0064767F">
        <w:rPr>
          <w:rFonts w:ascii="Verdana" w:hAnsi="Verdana" w:cs="Arial"/>
          <w:sz w:val="18"/>
          <w:szCs w:val="18"/>
        </w:rPr>
        <w:t>Texto</w:t>
      </w:r>
      <w:r w:rsidRPr="0064767F">
        <w:rPr>
          <w:rFonts w:ascii="Verdana" w:hAnsi="Verdana" w:cs="Arial"/>
          <w:spacing w:val="-11"/>
          <w:sz w:val="18"/>
          <w:szCs w:val="18"/>
        </w:rPr>
        <w:t xml:space="preserve"> </w:t>
      </w:r>
      <w:r w:rsidRPr="0064767F">
        <w:rPr>
          <w:rFonts w:ascii="Verdana" w:hAnsi="Verdana" w:cs="Arial"/>
          <w:sz w:val="18"/>
          <w:szCs w:val="18"/>
        </w:rPr>
        <w:t>inédito.</w:t>
      </w:r>
      <w:r w:rsidRPr="0064767F">
        <w:rPr>
          <w:rFonts w:ascii="Verdana" w:hAnsi="Verdana" w:cs="Arial"/>
          <w:spacing w:val="-12"/>
          <w:sz w:val="18"/>
          <w:szCs w:val="18"/>
        </w:rPr>
        <w:t xml:space="preserve"> </w:t>
      </w:r>
      <w:r w:rsidRPr="0064767F">
        <w:rPr>
          <w:rFonts w:ascii="Verdana" w:hAnsi="Verdana" w:cs="Arial"/>
          <w:sz w:val="18"/>
          <w:szCs w:val="18"/>
        </w:rPr>
        <w:t>2010.</w:t>
      </w:r>
      <w:r w:rsidRPr="0064767F">
        <w:rPr>
          <w:rFonts w:ascii="Verdana" w:hAnsi="Verdana" w:cs="Arial"/>
          <w:spacing w:val="-12"/>
          <w:sz w:val="18"/>
          <w:szCs w:val="18"/>
        </w:rPr>
        <w:t xml:space="preserve"> </w:t>
      </w:r>
      <w:r w:rsidRPr="0064767F">
        <w:rPr>
          <w:rFonts w:ascii="Verdana" w:hAnsi="Verdana" w:cs="Arial"/>
          <w:sz w:val="18"/>
          <w:szCs w:val="18"/>
        </w:rPr>
        <w:t>pp.</w:t>
      </w:r>
      <w:r w:rsidRPr="0064767F">
        <w:rPr>
          <w:rFonts w:ascii="Verdana" w:hAnsi="Verdana" w:cs="Arial"/>
          <w:spacing w:val="1"/>
          <w:sz w:val="18"/>
          <w:szCs w:val="18"/>
        </w:rPr>
        <w:t xml:space="preserve"> </w:t>
      </w:r>
      <w:r w:rsidRPr="0064767F">
        <w:rPr>
          <w:rFonts w:ascii="Verdana" w:hAnsi="Verdana" w:cs="Arial"/>
          <w:sz w:val="18"/>
          <w:szCs w:val="18"/>
        </w:rPr>
        <w:t>200-201).</w:t>
      </w:r>
    </w:p>
    <w:p w14:paraId="664712D0" w14:textId="77777777" w:rsidR="007B7821" w:rsidRPr="0064767F" w:rsidRDefault="007B7821" w:rsidP="007B7821">
      <w:pPr>
        <w:spacing w:after="0" w:line="240" w:lineRule="auto"/>
        <w:ind w:firstLine="708"/>
        <w:jc w:val="both"/>
        <w:rPr>
          <w:rFonts w:ascii="Verdana" w:hAnsi="Verdana" w:cs="Arial"/>
          <w:sz w:val="18"/>
          <w:szCs w:val="18"/>
        </w:rPr>
      </w:pPr>
    </w:p>
  </w:footnote>
  <w:footnote w:id="11">
    <w:p w14:paraId="4FA9A355" w14:textId="77777777" w:rsidR="007B7821" w:rsidRPr="005B5A98" w:rsidRDefault="007B7821" w:rsidP="007B7821">
      <w:pPr>
        <w:pStyle w:val="Textonotapie"/>
        <w:ind w:firstLine="708"/>
        <w:jc w:val="both"/>
        <w:rPr>
          <w:rFonts w:ascii="Verdana" w:hAnsi="Verdana" w:cs="Arial"/>
          <w:sz w:val="16"/>
          <w:szCs w:val="16"/>
        </w:rPr>
      </w:pPr>
      <w:r w:rsidRPr="005B5A98">
        <w:rPr>
          <w:rStyle w:val="Refdenotaalpie"/>
          <w:rFonts w:ascii="Verdana" w:hAnsi="Verdana" w:cs="Arial"/>
          <w:sz w:val="16"/>
          <w:szCs w:val="16"/>
        </w:rPr>
        <w:footnoteRef/>
      </w:r>
      <w:r w:rsidRPr="005B5A98">
        <w:rPr>
          <w:rFonts w:ascii="Verdana" w:hAnsi="Verdana" w:cs="Arial"/>
          <w:sz w:val="16"/>
          <w:szCs w:val="16"/>
        </w:rPr>
        <w:t xml:space="preserve"> </w:t>
      </w:r>
      <w:proofErr w:type="spellStart"/>
      <w:r w:rsidRPr="005B5A98">
        <w:rPr>
          <w:rFonts w:ascii="Verdana" w:hAnsi="Verdana" w:cs="Arial"/>
          <w:sz w:val="16"/>
          <w:szCs w:val="16"/>
        </w:rPr>
        <w:t>Ibíd</w:t>
      </w:r>
      <w:proofErr w:type="spellEnd"/>
      <w:r w:rsidRPr="005B5A98">
        <w:rPr>
          <w:rFonts w:ascii="Verdana" w:hAnsi="Verdana" w:cs="Arial"/>
          <w:sz w:val="16"/>
          <w:szCs w:val="16"/>
        </w:rPr>
        <w:t xml:space="preserve">. </w:t>
      </w:r>
    </w:p>
    <w:p w14:paraId="39EBD1B1" w14:textId="77777777" w:rsidR="007B7821" w:rsidRPr="005B5A98" w:rsidRDefault="007B7821" w:rsidP="007B7821">
      <w:pPr>
        <w:pStyle w:val="Textonotapie"/>
        <w:ind w:firstLine="708"/>
        <w:jc w:val="both"/>
        <w:rPr>
          <w:rFonts w:ascii="Verdana" w:hAnsi="Verdana" w:cs="Arial"/>
          <w:sz w:val="16"/>
          <w:szCs w:val="16"/>
        </w:rPr>
      </w:pPr>
    </w:p>
  </w:footnote>
  <w:footnote w:id="12">
    <w:p w14:paraId="26D836AA" w14:textId="77777777" w:rsidR="007B7821" w:rsidRPr="005B5A98" w:rsidRDefault="007B7821" w:rsidP="007B7821">
      <w:pPr>
        <w:pStyle w:val="Textonotapie"/>
        <w:ind w:firstLine="709"/>
        <w:jc w:val="both"/>
        <w:rPr>
          <w:rFonts w:ascii="Verdana" w:eastAsia="Arial" w:hAnsi="Verdana" w:cs="Arial"/>
          <w:sz w:val="16"/>
          <w:szCs w:val="16"/>
          <w:lang w:val="es-ES"/>
        </w:rPr>
      </w:pPr>
      <w:r w:rsidRPr="005B5A98">
        <w:rPr>
          <w:rStyle w:val="Refdenotaalpie"/>
          <w:rFonts w:ascii="Verdana" w:hAnsi="Verdana"/>
          <w:sz w:val="16"/>
          <w:szCs w:val="16"/>
        </w:rPr>
        <w:footnoteRef/>
      </w:r>
      <w:r w:rsidRPr="005B5A98">
        <w:rPr>
          <w:rFonts w:ascii="Verdana" w:hAnsi="Verdana"/>
          <w:sz w:val="16"/>
          <w:szCs w:val="16"/>
        </w:rPr>
        <w:t xml:space="preserve"> </w:t>
      </w:r>
      <w:r w:rsidRPr="005B5A98">
        <w:rPr>
          <w:rFonts w:ascii="Verdana" w:eastAsia="Arial" w:hAnsi="Verdana" w:cs="Arial"/>
          <w:sz w:val="16"/>
          <w:szCs w:val="16"/>
          <w:lang w:val="es-ES"/>
        </w:rPr>
        <w:t xml:space="preserve">La Resolución 1440 del 14 de agosto de 2024 se encuentra disponible en: </w:t>
      </w:r>
      <w:hyperlink r:id="rId1" w:history="1">
        <w:r w:rsidRPr="005B5A98">
          <w:rPr>
            <w:rStyle w:val="Hipervnculo"/>
            <w:rFonts w:ascii="Verdana" w:eastAsia="Arial" w:hAnsi="Verdana" w:cs="Arial"/>
            <w:sz w:val="16"/>
            <w:szCs w:val="16"/>
            <w:lang w:val="es-ES"/>
          </w:rPr>
          <w:t>https://www.minsalud.gov.co/Normatividad_Nuevo/Resoluci%C3%B3n%20No%201440%20de%202024.pdf</w:t>
        </w:r>
      </w:hyperlink>
      <w:r w:rsidRPr="005B5A98">
        <w:rPr>
          <w:rFonts w:ascii="Verdana" w:eastAsia="Arial" w:hAnsi="Verdana" w:cs="Arial"/>
          <w:sz w:val="16"/>
          <w:szCs w:val="16"/>
          <w:lang w:val="es-ES"/>
        </w:rPr>
        <w:t xml:space="preserve"> </w:t>
      </w:r>
    </w:p>
    <w:p w14:paraId="4FB5D68C" w14:textId="77777777" w:rsidR="007B7821" w:rsidRPr="005B5A98" w:rsidRDefault="007B7821" w:rsidP="007B7821">
      <w:pPr>
        <w:pStyle w:val="Textonotapie"/>
        <w:ind w:firstLine="709"/>
        <w:jc w:val="both"/>
        <w:rPr>
          <w:rFonts w:ascii="Verdana" w:hAnsi="Verdana"/>
          <w:sz w:val="16"/>
          <w:szCs w:val="16"/>
        </w:rPr>
      </w:pPr>
    </w:p>
  </w:footnote>
  <w:footnote w:id="13">
    <w:p w14:paraId="0DF49AF2" w14:textId="77777777" w:rsidR="007B7821" w:rsidRPr="005B5A98" w:rsidRDefault="007B7821" w:rsidP="007B7821">
      <w:pPr>
        <w:spacing w:line="240" w:lineRule="auto"/>
        <w:ind w:firstLine="709"/>
        <w:contextualSpacing/>
        <w:jc w:val="both"/>
        <w:rPr>
          <w:rFonts w:ascii="Verdana" w:hAnsi="Verdana" w:cs="Arial"/>
          <w:sz w:val="16"/>
          <w:szCs w:val="16"/>
        </w:rPr>
      </w:pPr>
      <w:r w:rsidRPr="005B5A98">
        <w:rPr>
          <w:rStyle w:val="Refdenotaalpie"/>
          <w:rFonts w:ascii="Verdana" w:hAnsi="Verdana" w:cs="Arial"/>
          <w:sz w:val="16"/>
          <w:szCs w:val="16"/>
        </w:rPr>
        <w:footnoteRef/>
      </w:r>
      <w:r w:rsidRPr="005B5A98">
        <w:rPr>
          <w:rFonts w:ascii="Verdana" w:hAnsi="Verdana" w:cs="Arial"/>
          <w:sz w:val="16"/>
          <w:szCs w:val="16"/>
        </w:rPr>
        <w:t xml:space="preserve"> Ley 1438 de 2011: “Artículo 76. Eficiencia y transparencia en contratación, adquisiciones</w:t>
      </w:r>
      <w:r w:rsidRPr="005B5A98">
        <w:rPr>
          <w:rFonts w:ascii="Verdana" w:hAnsi="Verdana" w:cs="Arial"/>
          <w:spacing w:val="1"/>
          <w:sz w:val="16"/>
          <w:szCs w:val="16"/>
        </w:rPr>
        <w:t xml:space="preserve"> </w:t>
      </w:r>
      <w:r w:rsidRPr="005B5A98">
        <w:rPr>
          <w:rFonts w:ascii="Verdana" w:hAnsi="Verdana" w:cs="Arial"/>
          <w:sz w:val="16"/>
          <w:szCs w:val="16"/>
        </w:rPr>
        <w:t>y compras de las Empresas Sociales del Estado. Con el propósito de promover la eficiencia y</w:t>
      </w:r>
      <w:r w:rsidRPr="005B5A98">
        <w:rPr>
          <w:rFonts w:ascii="Verdana" w:hAnsi="Verdana" w:cs="Arial"/>
          <w:spacing w:val="1"/>
          <w:sz w:val="16"/>
          <w:szCs w:val="16"/>
        </w:rPr>
        <w:t xml:space="preserve"> </w:t>
      </w:r>
      <w:r w:rsidRPr="005B5A98">
        <w:rPr>
          <w:rFonts w:ascii="Verdana" w:hAnsi="Verdana" w:cs="Arial"/>
          <w:sz w:val="16"/>
          <w:szCs w:val="16"/>
        </w:rPr>
        <w:t>transparencia</w:t>
      </w:r>
      <w:r w:rsidRPr="005B5A98">
        <w:rPr>
          <w:rFonts w:ascii="Verdana" w:hAnsi="Verdana" w:cs="Arial"/>
          <w:spacing w:val="1"/>
          <w:sz w:val="16"/>
          <w:szCs w:val="16"/>
        </w:rPr>
        <w:t xml:space="preserve"> </w:t>
      </w:r>
      <w:r w:rsidRPr="005B5A98">
        <w:rPr>
          <w:rFonts w:ascii="Verdana" w:hAnsi="Verdana" w:cs="Arial"/>
          <w:sz w:val="16"/>
          <w:szCs w:val="16"/>
        </w:rPr>
        <w:t>en la contratación las Empresas Sociales del Estado podrán asociarse entre sí,</w:t>
      </w:r>
      <w:r w:rsidRPr="005B5A98">
        <w:rPr>
          <w:rFonts w:ascii="Verdana" w:hAnsi="Verdana" w:cs="Arial"/>
          <w:spacing w:val="1"/>
          <w:sz w:val="16"/>
          <w:szCs w:val="16"/>
        </w:rPr>
        <w:t xml:space="preserve"> </w:t>
      </w:r>
      <w:r w:rsidRPr="005B5A98">
        <w:rPr>
          <w:rFonts w:ascii="Verdana" w:hAnsi="Verdana" w:cs="Arial"/>
          <w:sz w:val="16"/>
          <w:szCs w:val="16"/>
        </w:rPr>
        <w:t>constituir cooperativas o utilizar sistemas de compras electrónicas o cualquier otro mecanismo que</w:t>
      </w:r>
      <w:r w:rsidRPr="005B5A98">
        <w:rPr>
          <w:rFonts w:ascii="Verdana" w:hAnsi="Verdana" w:cs="Arial"/>
          <w:spacing w:val="1"/>
          <w:sz w:val="16"/>
          <w:szCs w:val="16"/>
        </w:rPr>
        <w:t xml:space="preserve"> </w:t>
      </w:r>
      <w:r w:rsidRPr="005B5A98">
        <w:rPr>
          <w:rFonts w:ascii="Verdana" w:hAnsi="Verdana" w:cs="Arial"/>
          <w:sz w:val="16"/>
          <w:szCs w:val="16"/>
        </w:rPr>
        <w:t>beneficie a las entidades con economías de escala, calidad, oportunidad y eficiencia, respetando los</w:t>
      </w:r>
      <w:r w:rsidRPr="005B5A98">
        <w:rPr>
          <w:rFonts w:ascii="Verdana" w:hAnsi="Verdana" w:cs="Arial"/>
          <w:spacing w:val="-50"/>
          <w:sz w:val="16"/>
          <w:szCs w:val="16"/>
        </w:rPr>
        <w:t xml:space="preserve"> </w:t>
      </w:r>
      <w:r w:rsidRPr="005B5A98">
        <w:rPr>
          <w:rFonts w:ascii="Verdana" w:hAnsi="Verdana" w:cs="Arial"/>
          <w:sz w:val="16"/>
          <w:szCs w:val="16"/>
        </w:rPr>
        <w:t>principios de la actuación administrativa y la contratación pública. Para lo anterior la Junta Directiva</w:t>
      </w:r>
      <w:r w:rsidRPr="005B5A98">
        <w:rPr>
          <w:rFonts w:ascii="Verdana" w:hAnsi="Verdana" w:cs="Arial"/>
          <w:spacing w:val="1"/>
          <w:sz w:val="16"/>
          <w:szCs w:val="16"/>
        </w:rPr>
        <w:t xml:space="preserve"> </w:t>
      </w:r>
      <w:r w:rsidRPr="005B5A98">
        <w:rPr>
          <w:rFonts w:ascii="Verdana" w:hAnsi="Verdana" w:cs="Arial"/>
          <w:sz w:val="16"/>
          <w:szCs w:val="16"/>
        </w:rPr>
        <w:t>deberá adoptar un estatuto de contratación de acuerdo con los lineamientos que defina el Ministerio</w:t>
      </w:r>
      <w:r w:rsidRPr="005B5A98">
        <w:rPr>
          <w:rFonts w:ascii="Verdana" w:hAnsi="Verdana" w:cs="Arial"/>
          <w:spacing w:val="1"/>
          <w:sz w:val="16"/>
          <w:szCs w:val="16"/>
        </w:rPr>
        <w:t xml:space="preserve"> </w:t>
      </w:r>
      <w:r w:rsidRPr="005B5A98">
        <w:rPr>
          <w:rFonts w:ascii="Verdana" w:hAnsi="Verdana" w:cs="Arial"/>
          <w:sz w:val="16"/>
          <w:szCs w:val="16"/>
        </w:rPr>
        <w:t>de</w:t>
      </w:r>
      <w:r w:rsidRPr="005B5A98">
        <w:rPr>
          <w:rFonts w:ascii="Verdana" w:hAnsi="Verdana" w:cs="Arial"/>
          <w:spacing w:val="-2"/>
          <w:sz w:val="16"/>
          <w:szCs w:val="16"/>
        </w:rPr>
        <w:t xml:space="preserve"> </w:t>
      </w:r>
      <w:r w:rsidRPr="005B5A98">
        <w:rPr>
          <w:rFonts w:ascii="Verdana" w:hAnsi="Verdana" w:cs="Arial"/>
          <w:sz w:val="16"/>
          <w:szCs w:val="16"/>
        </w:rPr>
        <w:t>la</w:t>
      </w:r>
      <w:r w:rsidRPr="005B5A98">
        <w:rPr>
          <w:rFonts w:ascii="Verdana" w:hAnsi="Verdana" w:cs="Arial"/>
          <w:spacing w:val="-1"/>
          <w:sz w:val="16"/>
          <w:szCs w:val="16"/>
        </w:rPr>
        <w:t xml:space="preserve"> </w:t>
      </w:r>
      <w:r w:rsidRPr="005B5A98">
        <w:rPr>
          <w:rFonts w:ascii="Verdana" w:hAnsi="Verdana" w:cs="Arial"/>
          <w:sz w:val="16"/>
          <w:szCs w:val="16"/>
        </w:rPr>
        <w:t>Protección</w:t>
      </w:r>
      <w:r w:rsidRPr="005B5A98">
        <w:rPr>
          <w:rFonts w:ascii="Verdana" w:hAnsi="Verdana" w:cs="Arial"/>
          <w:spacing w:val="-1"/>
          <w:sz w:val="16"/>
          <w:szCs w:val="16"/>
        </w:rPr>
        <w:t xml:space="preserve"> </w:t>
      </w:r>
      <w:r w:rsidRPr="005B5A98">
        <w:rPr>
          <w:rFonts w:ascii="Verdana" w:hAnsi="Verdana" w:cs="Arial"/>
          <w:sz w:val="16"/>
          <w:szCs w:val="16"/>
        </w:rPr>
        <w:t>Social.</w:t>
      </w:r>
    </w:p>
    <w:p w14:paraId="7BE8E078" w14:textId="77777777" w:rsidR="007B7821" w:rsidRPr="005B5A98" w:rsidRDefault="007B7821" w:rsidP="007B7821">
      <w:pPr>
        <w:spacing w:line="240" w:lineRule="auto"/>
        <w:ind w:firstLine="709"/>
        <w:contextualSpacing/>
        <w:jc w:val="both"/>
        <w:rPr>
          <w:rFonts w:ascii="Verdana" w:hAnsi="Verdana" w:cs="Arial"/>
          <w:sz w:val="16"/>
          <w:szCs w:val="16"/>
        </w:rPr>
      </w:pPr>
    </w:p>
    <w:p w14:paraId="2FF86264" w14:textId="77777777" w:rsidR="007B7821" w:rsidRPr="005B5A98" w:rsidRDefault="007B7821" w:rsidP="007B7821">
      <w:pPr>
        <w:spacing w:line="240" w:lineRule="auto"/>
        <w:ind w:firstLine="709"/>
        <w:contextualSpacing/>
        <w:jc w:val="both"/>
        <w:rPr>
          <w:rFonts w:ascii="Verdana" w:hAnsi="Verdana" w:cs="Arial"/>
          <w:sz w:val="16"/>
          <w:szCs w:val="16"/>
        </w:rPr>
      </w:pPr>
      <w:r w:rsidRPr="005B5A98">
        <w:rPr>
          <w:rFonts w:ascii="Verdana" w:hAnsi="Verdana" w:cs="Arial"/>
          <w:sz w:val="16"/>
          <w:szCs w:val="16"/>
        </w:rPr>
        <w:t>Igualmente,</w:t>
      </w:r>
      <w:r w:rsidRPr="005B5A98">
        <w:rPr>
          <w:rFonts w:ascii="Verdana" w:hAnsi="Verdana" w:cs="Arial"/>
          <w:spacing w:val="1"/>
          <w:sz w:val="16"/>
          <w:szCs w:val="16"/>
        </w:rPr>
        <w:t xml:space="preserve"> </w:t>
      </w:r>
      <w:r w:rsidRPr="005B5A98">
        <w:rPr>
          <w:rFonts w:ascii="Verdana" w:hAnsi="Verdana" w:cs="Arial"/>
          <w:sz w:val="16"/>
          <w:szCs w:val="16"/>
        </w:rPr>
        <w:t>las</w:t>
      </w:r>
      <w:r w:rsidRPr="005B5A98">
        <w:rPr>
          <w:rFonts w:ascii="Verdana" w:hAnsi="Verdana" w:cs="Arial"/>
          <w:spacing w:val="1"/>
          <w:sz w:val="16"/>
          <w:szCs w:val="16"/>
        </w:rPr>
        <w:t xml:space="preserve"> </w:t>
      </w:r>
      <w:r w:rsidRPr="005B5A98">
        <w:rPr>
          <w:rFonts w:ascii="Verdana" w:hAnsi="Verdana" w:cs="Arial"/>
          <w:sz w:val="16"/>
          <w:szCs w:val="16"/>
        </w:rPr>
        <w:t>Empresas</w:t>
      </w:r>
      <w:r w:rsidRPr="005B5A98">
        <w:rPr>
          <w:rFonts w:ascii="Verdana" w:hAnsi="Verdana" w:cs="Arial"/>
          <w:spacing w:val="1"/>
          <w:sz w:val="16"/>
          <w:szCs w:val="16"/>
        </w:rPr>
        <w:t xml:space="preserve"> </w:t>
      </w:r>
      <w:r w:rsidRPr="005B5A98">
        <w:rPr>
          <w:rFonts w:ascii="Verdana" w:hAnsi="Verdana" w:cs="Arial"/>
          <w:sz w:val="16"/>
          <w:szCs w:val="16"/>
        </w:rPr>
        <w:t>Sociales</w:t>
      </w:r>
      <w:r w:rsidRPr="005B5A98">
        <w:rPr>
          <w:rFonts w:ascii="Verdana" w:hAnsi="Verdana" w:cs="Arial"/>
          <w:spacing w:val="1"/>
          <w:sz w:val="16"/>
          <w:szCs w:val="16"/>
        </w:rPr>
        <w:t xml:space="preserve"> </w:t>
      </w:r>
      <w:r w:rsidRPr="005B5A98">
        <w:rPr>
          <w:rFonts w:ascii="Verdana" w:hAnsi="Verdana" w:cs="Arial"/>
          <w:sz w:val="16"/>
          <w:szCs w:val="16"/>
        </w:rPr>
        <w:t>del</w:t>
      </w:r>
      <w:r w:rsidRPr="005B5A98">
        <w:rPr>
          <w:rFonts w:ascii="Verdana" w:hAnsi="Verdana" w:cs="Arial"/>
          <w:spacing w:val="1"/>
          <w:sz w:val="16"/>
          <w:szCs w:val="16"/>
        </w:rPr>
        <w:t xml:space="preserve"> </w:t>
      </w:r>
      <w:r w:rsidRPr="005B5A98">
        <w:rPr>
          <w:rFonts w:ascii="Verdana" w:hAnsi="Verdana" w:cs="Arial"/>
          <w:sz w:val="16"/>
          <w:szCs w:val="16"/>
        </w:rPr>
        <w:t>Estado</w:t>
      </w:r>
      <w:r w:rsidRPr="005B5A98">
        <w:rPr>
          <w:rFonts w:ascii="Verdana" w:hAnsi="Verdana" w:cs="Arial"/>
          <w:spacing w:val="1"/>
          <w:sz w:val="16"/>
          <w:szCs w:val="16"/>
        </w:rPr>
        <w:t xml:space="preserve"> </w:t>
      </w:r>
      <w:r w:rsidRPr="005B5A98">
        <w:rPr>
          <w:rFonts w:ascii="Verdana" w:hAnsi="Verdana" w:cs="Arial"/>
          <w:sz w:val="16"/>
          <w:szCs w:val="16"/>
        </w:rPr>
        <w:t>podrán</w:t>
      </w:r>
      <w:r w:rsidRPr="005B5A98">
        <w:rPr>
          <w:rFonts w:ascii="Verdana" w:hAnsi="Verdana" w:cs="Arial"/>
          <w:spacing w:val="1"/>
          <w:sz w:val="16"/>
          <w:szCs w:val="16"/>
        </w:rPr>
        <w:t xml:space="preserve"> </w:t>
      </w:r>
      <w:r w:rsidRPr="005B5A98">
        <w:rPr>
          <w:rFonts w:ascii="Verdana" w:hAnsi="Verdana" w:cs="Arial"/>
          <w:sz w:val="16"/>
          <w:szCs w:val="16"/>
        </w:rPr>
        <w:t>contratar</w:t>
      </w:r>
      <w:r w:rsidRPr="005B5A98">
        <w:rPr>
          <w:rFonts w:ascii="Verdana" w:hAnsi="Verdana" w:cs="Arial"/>
          <w:spacing w:val="1"/>
          <w:sz w:val="16"/>
          <w:szCs w:val="16"/>
        </w:rPr>
        <w:t xml:space="preserve"> </w:t>
      </w:r>
      <w:r w:rsidRPr="005B5A98">
        <w:rPr>
          <w:rFonts w:ascii="Verdana" w:hAnsi="Verdana" w:cs="Arial"/>
          <w:sz w:val="16"/>
          <w:szCs w:val="16"/>
        </w:rPr>
        <w:t>de</w:t>
      </w:r>
      <w:r w:rsidRPr="005B5A98">
        <w:rPr>
          <w:rFonts w:ascii="Verdana" w:hAnsi="Verdana" w:cs="Arial"/>
          <w:spacing w:val="1"/>
          <w:sz w:val="16"/>
          <w:szCs w:val="16"/>
        </w:rPr>
        <w:t xml:space="preserve"> </w:t>
      </w:r>
      <w:r w:rsidRPr="005B5A98">
        <w:rPr>
          <w:rFonts w:ascii="Verdana" w:hAnsi="Verdana" w:cs="Arial"/>
          <w:sz w:val="16"/>
          <w:szCs w:val="16"/>
        </w:rPr>
        <w:t>manera</w:t>
      </w:r>
      <w:r w:rsidRPr="005B5A98">
        <w:rPr>
          <w:rFonts w:ascii="Verdana" w:hAnsi="Verdana" w:cs="Arial"/>
          <w:spacing w:val="1"/>
          <w:sz w:val="16"/>
          <w:szCs w:val="16"/>
        </w:rPr>
        <w:t xml:space="preserve"> </w:t>
      </w:r>
      <w:r w:rsidRPr="005B5A98">
        <w:rPr>
          <w:rFonts w:ascii="Verdana" w:hAnsi="Verdana" w:cs="Arial"/>
          <w:sz w:val="16"/>
          <w:szCs w:val="16"/>
        </w:rPr>
        <w:t>conjunta</w:t>
      </w:r>
      <w:r w:rsidRPr="005B5A98">
        <w:rPr>
          <w:rFonts w:ascii="Verdana" w:hAnsi="Verdana" w:cs="Arial"/>
          <w:spacing w:val="1"/>
          <w:sz w:val="16"/>
          <w:szCs w:val="16"/>
        </w:rPr>
        <w:t xml:space="preserve"> </w:t>
      </w:r>
      <w:r w:rsidRPr="005B5A98">
        <w:rPr>
          <w:rFonts w:ascii="Verdana" w:hAnsi="Verdana" w:cs="Arial"/>
          <w:sz w:val="16"/>
          <w:szCs w:val="16"/>
        </w:rPr>
        <w:t>sistemas</w:t>
      </w:r>
      <w:r w:rsidRPr="005B5A98">
        <w:rPr>
          <w:rFonts w:ascii="Verdana" w:hAnsi="Verdana" w:cs="Arial"/>
          <w:spacing w:val="-10"/>
          <w:sz w:val="16"/>
          <w:szCs w:val="16"/>
        </w:rPr>
        <w:t xml:space="preserve"> </w:t>
      </w:r>
      <w:r w:rsidRPr="005B5A98">
        <w:rPr>
          <w:rFonts w:ascii="Verdana" w:hAnsi="Verdana" w:cs="Arial"/>
          <w:sz w:val="16"/>
          <w:szCs w:val="16"/>
        </w:rPr>
        <w:t>de</w:t>
      </w:r>
      <w:r w:rsidRPr="005B5A98">
        <w:rPr>
          <w:rFonts w:ascii="Verdana" w:hAnsi="Verdana" w:cs="Arial"/>
          <w:spacing w:val="-10"/>
          <w:sz w:val="16"/>
          <w:szCs w:val="16"/>
        </w:rPr>
        <w:t xml:space="preserve"> </w:t>
      </w:r>
      <w:r w:rsidRPr="005B5A98">
        <w:rPr>
          <w:rFonts w:ascii="Verdana" w:hAnsi="Verdana" w:cs="Arial"/>
          <w:sz w:val="16"/>
          <w:szCs w:val="16"/>
        </w:rPr>
        <w:t>información,</w:t>
      </w:r>
      <w:r w:rsidRPr="005B5A98">
        <w:rPr>
          <w:rFonts w:ascii="Verdana" w:hAnsi="Verdana" w:cs="Arial"/>
          <w:spacing w:val="-10"/>
          <w:sz w:val="16"/>
          <w:szCs w:val="16"/>
        </w:rPr>
        <w:t xml:space="preserve"> </w:t>
      </w:r>
      <w:r w:rsidRPr="005B5A98">
        <w:rPr>
          <w:rFonts w:ascii="Verdana" w:hAnsi="Verdana" w:cs="Arial"/>
          <w:sz w:val="16"/>
          <w:szCs w:val="16"/>
        </w:rPr>
        <w:t>sistema</w:t>
      </w:r>
      <w:r w:rsidRPr="005B5A98">
        <w:rPr>
          <w:rFonts w:ascii="Verdana" w:hAnsi="Verdana" w:cs="Arial"/>
          <w:spacing w:val="-9"/>
          <w:sz w:val="16"/>
          <w:szCs w:val="16"/>
        </w:rPr>
        <w:t xml:space="preserve"> </w:t>
      </w:r>
      <w:r w:rsidRPr="005B5A98">
        <w:rPr>
          <w:rFonts w:ascii="Verdana" w:hAnsi="Verdana" w:cs="Arial"/>
          <w:sz w:val="16"/>
          <w:szCs w:val="16"/>
        </w:rPr>
        <w:t>de</w:t>
      </w:r>
      <w:r w:rsidRPr="005B5A98">
        <w:rPr>
          <w:rFonts w:ascii="Verdana" w:hAnsi="Verdana" w:cs="Arial"/>
          <w:spacing w:val="-10"/>
          <w:sz w:val="16"/>
          <w:szCs w:val="16"/>
        </w:rPr>
        <w:t xml:space="preserve"> </w:t>
      </w:r>
      <w:r w:rsidRPr="005B5A98">
        <w:rPr>
          <w:rFonts w:ascii="Verdana" w:hAnsi="Verdana" w:cs="Arial"/>
          <w:sz w:val="16"/>
          <w:szCs w:val="16"/>
        </w:rPr>
        <w:t>control</w:t>
      </w:r>
      <w:r w:rsidRPr="005B5A98">
        <w:rPr>
          <w:rFonts w:ascii="Verdana" w:hAnsi="Verdana" w:cs="Arial"/>
          <w:spacing w:val="-10"/>
          <w:sz w:val="16"/>
          <w:szCs w:val="16"/>
        </w:rPr>
        <w:t xml:space="preserve"> </w:t>
      </w:r>
      <w:r w:rsidRPr="005B5A98">
        <w:rPr>
          <w:rFonts w:ascii="Verdana" w:hAnsi="Verdana" w:cs="Arial"/>
          <w:sz w:val="16"/>
          <w:szCs w:val="16"/>
        </w:rPr>
        <w:t>interno,</w:t>
      </w:r>
      <w:r w:rsidRPr="005B5A98">
        <w:rPr>
          <w:rFonts w:ascii="Verdana" w:hAnsi="Verdana" w:cs="Arial"/>
          <w:spacing w:val="-9"/>
          <w:sz w:val="16"/>
          <w:szCs w:val="16"/>
        </w:rPr>
        <w:t xml:space="preserve"> </w:t>
      </w:r>
      <w:r w:rsidRPr="005B5A98">
        <w:rPr>
          <w:rFonts w:ascii="Verdana" w:hAnsi="Verdana" w:cs="Arial"/>
          <w:sz w:val="16"/>
          <w:szCs w:val="16"/>
        </w:rPr>
        <w:t>de</w:t>
      </w:r>
      <w:r w:rsidRPr="005B5A98">
        <w:rPr>
          <w:rFonts w:ascii="Verdana" w:hAnsi="Verdana" w:cs="Arial"/>
          <w:spacing w:val="-10"/>
          <w:sz w:val="16"/>
          <w:szCs w:val="16"/>
        </w:rPr>
        <w:t xml:space="preserve"> </w:t>
      </w:r>
      <w:r w:rsidRPr="005B5A98">
        <w:rPr>
          <w:rFonts w:ascii="Verdana" w:hAnsi="Verdana" w:cs="Arial"/>
          <w:sz w:val="16"/>
          <w:szCs w:val="16"/>
        </w:rPr>
        <w:t>interventorías,</w:t>
      </w:r>
      <w:r w:rsidRPr="005B5A98">
        <w:rPr>
          <w:rFonts w:ascii="Verdana" w:hAnsi="Verdana" w:cs="Arial"/>
          <w:spacing w:val="-10"/>
          <w:sz w:val="16"/>
          <w:szCs w:val="16"/>
        </w:rPr>
        <w:t xml:space="preserve"> </w:t>
      </w:r>
      <w:r w:rsidRPr="005B5A98">
        <w:rPr>
          <w:rFonts w:ascii="Verdana" w:hAnsi="Verdana" w:cs="Arial"/>
          <w:sz w:val="16"/>
          <w:szCs w:val="16"/>
        </w:rPr>
        <w:t>gestión</w:t>
      </w:r>
      <w:r w:rsidRPr="005B5A98">
        <w:rPr>
          <w:rFonts w:ascii="Verdana" w:hAnsi="Verdana" w:cs="Arial"/>
          <w:spacing w:val="-10"/>
          <w:sz w:val="16"/>
          <w:szCs w:val="16"/>
        </w:rPr>
        <w:t xml:space="preserve"> </w:t>
      </w:r>
      <w:r w:rsidRPr="005B5A98">
        <w:rPr>
          <w:rFonts w:ascii="Verdana" w:hAnsi="Verdana" w:cs="Arial"/>
          <w:sz w:val="16"/>
          <w:szCs w:val="16"/>
        </w:rPr>
        <w:t>de</w:t>
      </w:r>
      <w:r w:rsidRPr="005B5A98">
        <w:rPr>
          <w:rFonts w:ascii="Verdana" w:hAnsi="Verdana" w:cs="Arial"/>
          <w:spacing w:val="-9"/>
          <w:sz w:val="16"/>
          <w:szCs w:val="16"/>
        </w:rPr>
        <w:t xml:space="preserve"> </w:t>
      </w:r>
      <w:r w:rsidRPr="005B5A98">
        <w:rPr>
          <w:rFonts w:ascii="Verdana" w:hAnsi="Verdana" w:cs="Arial"/>
          <w:sz w:val="16"/>
          <w:szCs w:val="16"/>
        </w:rPr>
        <w:t>calidad</w:t>
      </w:r>
      <w:r w:rsidRPr="005B5A98">
        <w:rPr>
          <w:rFonts w:ascii="Verdana" w:hAnsi="Verdana" w:cs="Arial"/>
          <w:spacing w:val="-10"/>
          <w:sz w:val="16"/>
          <w:szCs w:val="16"/>
        </w:rPr>
        <w:t xml:space="preserve"> </w:t>
      </w:r>
      <w:r w:rsidRPr="005B5A98">
        <w:rPr>
          <w:rFonts w:ascii="Verdana" w:hAnsi="Verdana" w:cs="Arial"/>
          <w:sz w:val="16"/>
          <w:szCs w:val="16"/>
        </w:rPr>
        <w:t>y</w:t>
      </w:r>
      <w:r w:rsidRPr="005B5A98">
        <w:rPr>
          <w:rFonts w:ascii="Verdana" w:hAnsi="Verdana" w:cs="Arial"/>
          <w:spacing w:val="-10"/>
          <w:sz w:val="16"/>
          <w:szCs w:val="16"/>
        </w:rPr>
        <w:t xml:space="preserve"> </w:t>
      </w:r>
      <w:r w:rsidRPr="005B5A98">
        <w:rPr>
          <w:rFonts w:ascii="Verdana" w:hAnsi="Verdana" w:cs="Arial"/>
          <w:sz w:val="16"/>
          <w:szCs w:val="16"/>
        </w:rPr>
        <w:t>auditorías,</w:t>
      </w:r>
      <w:r w:rsidRPr="005B5A98">
        <w:rPr>
          <w:rFonts w:ascii="Verdana" w:hAnsi="Verdana" w:cs="Arial"/>
          <w:spacing w:val="1"/>
          <w:sz w:val="16"/>
          <w:szCs w:val="16"/>
        </w:rPr>
        <w:t xml:space="preserve"> </w:t>
      </w:r>
      <w:r w:rsidRPr="005B5A98">
        <w:rPr>
          <w:rFonts w:ascii="Verdana" w:hAnsi="Verdana" w:cs="Arial"/>
          <w:sz w:val="16"/>
          <w:szCs w:val="16"/>
        </w:rPr>
        <w:t>de</w:t>
      </w:r>
      <w:r w:rsidRPr="005B5A98">
        <w:rPr>
          <w:rFonts w:ascii="Verdana" w:hAnsi="Verdana" w:cs="Arial"/>
          <w:spacing w:val="1"/>
          <w:sz w:val="16"/>
          <w:szCs w:val="16"/>
        </w:rPr>
        <w:t xml:space="preserve"> </w:t>
      </w:r>
      <w:r w:rsidRPr="005B5A98">
        <w:rPr>
          <w:rFonts w:ascii="Verdana" w:hAnsi="Verdana" w:cs="Arial"/>
          <w:sz w:val="16"/>
          <w:szCs w:val="16"/>
        </w:rPr>
        <w:t>recurso</w:t>
      </w:r>
      <w:r w:rsidRPr="005B5A98">
        <w:rPr>
          <w:rFonts w:ascii="Verdana" w:hAnsi="Verdana" w:cs="Arial"/>
          <w:spacing w:val="1"/>
          <w:sz w:val="16"/>
          <w:szCs w:val="16"/>
        </w:rPr>
        <w:t xml:space="preserve"> </w:t>
      </w:r>
      <w:r w:rsidRPr="005B5A98">
        <w:rPr>
          <w:rFonts w:ascii="Verdana" w:hAnsi="Verdana" w:cs="Arial"/>
          <w:sz w:val="16"/>
          <w:szCs w:val="16"/>
        </w:rPr>
        <w:t>humano</w:t>
      </w:r>
      <w:r w:rsidRPr="005B5A98">
        <w:rPr>
          <w:rFonts w:ascii="Verdana" w:hAnsi="Verdana" w:cs="Arial"/>
          <w:spacing w:val="1"/>
          <w:sz w:val="16"/>
          <w:szCs w:val="16"/>
        </w:rPr>
        <w:t xml:space="preserve"> </w:t>
      </w:r>
      <w:r w:rsidRPr="005B5A98">
        <w:rPr>
          <w:rFonts w:ascii="Verdana" w:hAnsi="Verdana" w:cs="Arial"/>
          <w:sz w:val="16"/>
          <w:szCs w:val="16"/>
        </w:rPr>
        <w:t>y</w:t>
      </w:r>
      <w:r w:rsidRPr="005B5A98">
        <w:rPr>
          <w:rFonts w:ascii="Verdana" w:hAnsi="Verdana" w:cs="Arial"/>
          <w:spacing w:val="1"/>
          <w:sz w:val="16"/>
          <w:szCs w:val="16"/>
        </w:rPr>
        <w:t xml:space="preserve"> </w:t>
      </w:r>
      <w:r w:rsidRPr="005B5A98">
        <w:rPr>
          <w:rFonts w:ascii="Verdana" w:hAnsi="Verdana" w:cs="Arial"/>
          <w:sz w:val="16"/>
          <w:szCs w:val="16"/>
        </w:rPr>
        <w:t>demás</w:t>
      </w:r>
      <w:r w:rsidRPr="005B5A98">
        <w:rPr>
          <w:rFonts w:ascii="Verdana" w:hAnsi="Verdana" w:cs="Arial"/>
          <w:spacing w:val="1"/>
          <w:sz w:val="16"/>
          <w:szCs w:val="16"/>
        </w:rPr>
        <w:t xml:space="preserve"> </w:t>
      </w:r>
      <w:r w:rsidRPr="005B5A98">
        <w:rPr>
          <w:rFonts w:ascii="Verdana" w:hAnsi="Verdana" w:cs="Arial"/>
          <w:sz w:val="16"/>
          <w:szCs w:val="16"/>
        </w:rPr>
        <w:t>funciones</w:t>
      </w:r>
      <w:r w:rsidRPr="005B5A98">
        <w:rPr>
          <w:rFonts w:ascii="Verdana" w:hAnsi="Verdana" w:cs="Arial"/>
          <w:spacing w:val="1"/>
          <w:sz w:val="16"/>
          <w:szCs w:val="16"/>
        </w:rPr>
        <w:t xml:space="preserve"> </w:t>
      </w:r>
      <w:r w:rsidRPr="005B5A98">
        <w:rPr>
          <w:rFonts w:ascii="Verdana" w:hAnsi="Verdana" w:cs="Arial"/>
          <w:sz w:val="16"/>
          <w:szCs w:val="16"/>
        </w:rPr>
        <w:t>administrativas,</w:t>
      </w:r>
      <w:r w:rsidRPr="005B5A98">
        <w:rPr>
          <w:rFonts w:ascii="Verdana" w:hAnsi="Verdana" w:cs="Arial"/>
          <w:spacing w:val="1"/>
          <w:sz w:val="16"/>
          <w:szCs w:val="16"/>
        </w:rPr>
        <w:t xml:space="preserve"> </w:t>
      </w:r>
      <w:r w:rsidRPr="005B5A98">
        <w:rPr>
          <w:rFonts w:ascii="Verdana" w:hAnsi="Verdana" w:cs="Arial"/>
          <w:sz w:val="16"/>
          <w:szCs w:val="16"/>
        </w:rPr>
        <w:t>para</w:t>
      </w:r>
      <w:r w:rsidRPr="005B5A98">
        <w:rPr>
          <w:rFonts w:ascii="Verdana" w:hAnsi="Verdana" w:cs="Arial"/>
          <w:spacing w:val="1"/>
          <w:sz w:val="16"/>
          <w:szCs w:val="16"/>
        </w:rPr>
        <w:t xml:space="preserve"> </w:t>
      </w:r>
      <w:r w:rsidRPr="005B5A98">
        <w:rPr>
          <w:rFonts w:ascii="Verdana" w:hAnsi="Verdana" w:cs="Arial"/>
          <w:sz w:val="16"/>
          <w:szCs w:val="16"/>
        </w:rPr>
        <w:t>el</w:t>
      </w:r>
      <w:r w:rsidRPr="005B5A98">
        <w:rPr>
          <w:rFonts w:ascii="Verdana" w:hAnsi="Verdana" w:cs="Arial"/>
          <w:spacing w:val="1"/>
          <w:sz w:val="16"/>
          <w:szCs w:val="16"/>
        </w:rPr>
        <w:t xml:space="preserve"> </w:t>
      </w:r>
      <w:r w:rsidRPr="005B5A98">
        <w:rPr>
          <w:rFonts w:ascii="Verdana" w:hAnsi="Verdana" w:cs="Arial"/>
          <w:sz w:val="16"/>
          <w:szCs w:val="16"/>
        </w:rPr>
        <w:t>desarrollo</w:t>
      </w:r>
      <w:r w:rsidRPr="005B5A98">
        <w:rPr>
          <w:rFonts w:ascii="Verdana" w:hAnsi="Verdana" w:cs="Arial"/>
          <w:spacing w:val="1"/>
          <w:sz w:val="16"/>
          <w:szCs w:val="16"/>
        </w:rPr>
        <w:t xml:space="preserve"> </w:t>
      </w:r>
      <w:r w:rsidRPr="005B5A98">
        <w:rPr>
          <w:rFonts w:ascii="Verdana" w:hAnsi="Verdana" w:cs="Arial"/>
          <w:sz w:val="16"/>
          <w:szCs w:val="16"/>
        </w:rPr>
        <w:t>de</w:t>
      </w:r>
      <w:r w:rsidRPr="005B5A98">
        <w:rPr>
          <w:rFonts w:ascii="Verdana" w:hAnsi="Verdana" w:cs="Arial"/>
          <w:spacing w:val="1"/>
          <w:sz w:val="16"/>
          <w:szCs w:val="16"/>
        </w:rPr>
        <w:t xml:space="preserve"> </w:t>
      </w:r>
      <w:r w:rsidRPr="005B5A98">
        <w:rPr>
          <w:rFonts w:ascii="Verdana" w:hAnsi="Verdana" w:cs="Arial"/>
          <w:sz w:val="16"/>
          <w:szCs w:val="16"/>
        </w:rPr>
        <w:t>actividades</w:t>
      </w:r>
      <w:r w:rsidRPr="005B5A98">
        <w:rPr>
          <w:rFonts w:ascii="Verdana" w:hAnsi="Verdana" w:cs="Arial"/>
          <w:spacing w:val="1"/>
          <w:sz w:val="16"/>
          <w:szCs w:val="16"/>
        </w:rPr>
        <w:t xml:space="preserve"> </w:t>
      </w:r>
      <w:r w:rsidRPr="005B5A98">
        <w:rPr>
          <w:rFonts w:ascii="Verdana" w:hAnsi="Verdana" w:cs="Arial"/>
          <w:sz w:val="16"/>
          <w:szCs w:val="16"/>
        </w:rPr>
        <w:t>especializadas, de tipo operativo y de apoyo que puedan cubrir las necesidades de la empresa, de</w:t>
      </w:r>
      <w:r w:rsidRPr="005B5A98">
        <w:rPr>
          <w:rFonts w:ascii="Verdana" w:hAnsi="Verdana" w:cs="Arial"/>
          <w:spacing w:val="1"/>
          <w:sz w:val="16"/>
          <w:szCs w:val="16"/>
        </w:rPr>
        <w:t xml:space="preserve"> </w:t>
      </w:r>
      <w:r w:rsidRPr="005B5A98">
        <w:rPr>
          <w:rFonts w:ascii="Verdana" w:hAnsi="Verdana" w:cs="Arial"/>
          <w:sz w:val="16"/>
          <w:szCs w:val="16"/>
        </w:rPr>
        <w:t>forma</w:t>
      </w:r>
      <w:r w:rsidRPr="005B5A98">
        <w:rPr>
          <w:rFonts w:ascii="Verdana" w:hAnsi="Verdana" w:cs="Arial"/>
          <w:spacing w:val="-2"/>
          <w:sz w:val="16"/>
          <w:szCs w:val="16"/>
        </w:rPr>
        <w:t xml:space="preserve"> </w:t>
      </w:r>
      <w:r w:rsidRPr="005B5A98">
        <w:rPr>
          <w:rFonts w:ascii="Verdana" w:hAnsi="Verdana" w:cs="Arial"/>
          <w:sz w:val="16"/>
          <w:szCs w:val="16"/>
        </w:rPr>
        <w:t>tal</w:t>
      </w:r>
      <w:r w:rsidRPr="005B5A98">
        <w:rPr>
          <w:rFonts w:ascii="Verdana" w:hAnsi="Verdana" w:cs="Arial"/>
          <w:spacing w:val="-2"/>
          <w:sz w:val="16"/>
          <w:szCs w:val="16"/>
        </w:rPr>
        <w:t xml:space="preserve"> </w:t>
      </w:r>
      <w:r w:rsidRPr="005B5A98">
        <w:rPr>
          <w:rFonts w:ascii="Verdana" w:hAnsi="Verdana" w:cs="Arial"/>
          <w:sz w:val="16"/>
          <w:szCs w:val="16"/>
        </w:rPr>
        <w:t>que</w:t>
      </w:r>
      <w:r w:rsidRPr="005B5A98">
        <w:rPr>
          <w:rFonts w:ascii="Verdana" w:hAnsi="Verdana" w:cs="Arial"/>
          <w:spacing w:val="-2"/>
          <w:sz w:val="16"/>
          <w:szCs w:val="16"/>
        </w:rPr>
        <w:t xml:space="preserve"> </w:t>
      </w:r>
      <w:r w:rsidRPr="005B5A98">
        <w:rPr>
          <w:rFonts w:ascii="Verdana" w:hAnsi="Verdana" w:cs="Arial"/>
          <w:sz w:val="16"/>
          <w:szCs w:val="16"/>
        </w:rPr>
        <w:t>la</w:t>
      </w:r>
      <w:r w:rsidRPr="005B5A98">
        <w:rPr>
          <w:rFonts w:ascii="Verdana" w:hAnsi="Verdana" w:cs="Arial"/>
          <w:spacing w:val="-1"/>
          <w:sz w:val="16"/>
          <w:szCs w:val="16"/>
        </w:rPr>
        <w:t xml:space="preserve"> </w:t>
      </w:r>
      <w:r w:rsidRPr="005B5A98">
        <w:rPr>
          <w:rFonts w:ascii="Verdana" w:hAnsi="Verdana" w:cs="Arial"/>
          <w:sz w:val="16"/>
          <w:szCs w:val="16"/>
        </w:rPr>
        <w:t>gestión</w:t>
      </w:r>
      <w:r w:rsidRPr="005B5A98">
        <w:rPr>
          <w:rFonts w:ascii="Verdana" w:hAnsi="Verdana" w:cs="Arial"/>
          <w:spacing w:val="-2"/>
          <w:sz w:val="16"/>
          <w:szCs w:val="16"/>
        </w:rPr>
        <w:t xml:space="preserve"> </w:t>
      </w:r>
      <w:r w:rsidRPr="005B5A98">
        <w:rPr>
          <w:rFonts w:ascii="Verdana" w:hAnsi="Verdana" w:cs="Arial"/>
          <w:sz w:val="16"/>
          <w:szCs w:val="16"/>
        </w:rPr>
        <w:t>resulte</w:t>
      </w:r>
      <w:r w:rsidRPr="005B5A98">
        <w:rPr>
          <w:rFonts w:ascii="Verdana" w:hAnsi="Verdana" w:cs="Arial"/>
          <w:spacing w:val="-2"/>
          <w:sz w:val="16"/>
          <w:szCs w:val="16"/>
        </w:rPr>
        <w:t xml:space="preserve"> </w:t>
      </w:r>
      <w:r w:rsidRPr="005B5A98">
        <w:rPr>
          <w:rFonts w:ascii="Verdana" w:hAnsi="Verdana" w:cs="Arial"/>
          <w:sz w:val="16"/>
          <w:szCs w:val="16"/>
        </w:rPr>
        <w:t>más</w:t>
      </w:r>
      <w:r w:rsidRPr="005B5A98">
        <w:rPr>
          <w:rFonts w:ascii="Verdana" w:hAnsi="Verdana" w:cs="Arial"/>
          <w:spacing w:val="-1"/>
          <w:sz w:val="16"/>
          <w:szCs w:val="16"/>
        </w:rPr>
        <w:t xml:space="preserve"> </w:t>
      </w:r>
      <w:r w:rsidRPr="005B5A98">
        <w:rPr>
          <w:rFonts w:ascii="Verdana" w:hAnsi="Verdana" w:cs="Arial"/>
          <w:sz w:val="16"/>
          <w:szCs w:val="16"/>
        </w:rPr>
        <w:t>eficiente,</w:t>
      </w:r>
      <w:r w:rsidRPr="005B5A98">
        <w:rPr>
          <w:rFonts w:ascii="Verdana" w:hAnsi="Verdana" w:cs="Arial"/>
          <w:spacing w:val="-2"/>
          <w:sz w:val="16"/>
          <w:szCs w:val="16"/>
        </w:rPr>
        <w:t xml:space="preserve"> </w:t>
      </w:r>
      <w:r w:rsidRPr="005B5A98">
        <w:rPr>
          <w:rFonts w:ascii="Verdana" w:hAnsi="Verdana" w:cs="Arial"/>
          <w:sz w:val="16"/>
          <w:szCs w:val="16"/>
        </w:rPr>
        <w:t>con</w:t>
      </w:r>
      <w:r w:rsidRPr="005B5A98">
        <w:rPr>
          <w:rFonts w:ascii="Verdana" w:hAnsi="Verdana" w:cs="Arial"/>
          <w:spacing w:val="-2"/>
          <w:sz w:val="16"/>
          <w:szCs w:val="16"/>
        </w:rPr>
        <w:t xml:space="preserve"> </w:t>
      </w:r>
      <w:r w:rsidRPr="005B5A98">
        <w:rPr>
          <w:rFonts w:ascii="Verdana" w:hAnsi="Verdana" w:cs="Arial"/>
          <w:sz w:val="16"/>
          <w:szCs w:val="16"/>
        </w:rPr>
        <w:t>calidad</w:t>
      </w:r>
      <w:r w:rsidRPr="005B5A98">
        <w:rPr>
          <w:rFonts w:ascii="Verdana" w:hAnsi="Verdana" w:cs="Arial"/>
          <w:spacing w:val="-1"/>
          <w:sz w:val="16"/>
          <w:szCs w:val="16"/>
        </w:rPr>
        <w:t xml:space="preserve"> </w:t>
      </w:r>
      <w:r w:rsidRPr="005B5A98">
        <w:rPr>
          <w:rFonts w:ascii="Verdana" w:hAnsi="Verdana" w:cs="Arial"/>
          <w:sz w:val="16"/>
          <w:szCs w:val="16"/>
        </w:rPr>
        <w:t>e</w:t>
      </w:r>
      <w:r w:rsidRPr="005B5A98">
        <w:rPr>
          <w:rFonts w:ascii="Verdana" w:hAnsi="Verdana" w:cs="Arial"/>
          <w:spacing w:val="-2"/>
          <w:sz w:val="16"/>
          <w:szCs w:val="16"/>
        </w:rPr>
        <w:t xml:space="preserve"> </w:t>
      </w:r>
      <w:r w:rsidRPr="005B5A98">
        <w:rPr>
          <w:rFonts w:ascii="Verdana" w:hAnsi="Verdana" w:cs="Arial"/>
          <w:sz w:val="16"/>
          <w:szCs w:val="16"/>
        </w:rPr>
        <w:t>implique</w:t>
      </w:r>
      <w:r w:rsidRPr="005B5A98">
        <w:rPr>
          <w:rFonts w:ascii="Verdana" w:hAnsi="Verdana" w:cs="Arial"/>
          <w:spacing w:val="-2"/>
          <w:sz w:val="16"/>
          <w:szCs w:val="16"/>
        </w:rPr>
        <w:t xml:space="preserve"> </w:t>
      </w:r>
      <w:r w:rsidRPr="005B5A98">
        <w:rPr>
          <w:rFonts w:ascii="Verdana" w:hAnsi="Verdana" w:cs="Arial"/>
          <w:sz w:val="16"/>
          <w:szCs w:val="16"/>
        </w:rPr>
        <w:t>menor</w:t>
      </w:r>
      <w:r w:rsidRPr="005B5A98">
        <w:rPr>
          <w:rFonts w:ascii="Verdana" w:hAnsi="Verdana" w:cs="Arial"/>
          <w:spacing w:val="-2"/>
          <w:sz w:val="16"/>
          <w:szCs w:val="16"/>
        </w:rPr>
        <w:t xml:space="preserve"> </w:t>
      </w:r>
      <w:r w:rsidRPr="005B5A98">
        <w:rPr>
          <w:rFonts w:ascii="Verdana" w:hAnsi="Verdana" w:cs="Arial"/>
          <w:sz w:val="16"/>
          <w:szCs w:val="16"/>
        </w:rPr>
        <w:t>costo.</w:t>
      </w:r>
    </w:p>
    <w:p w14:paraId="66E36779" w14:textId="77777777" w:rsidR="007B7821" w:rsidRPr="005B5A98" w:rsidRDefault="007B7821" w:rsidP="007B7821">
      <w:pPr>
        <w:spacing w:line="240" w:lineRule="auto"/>
        <w:ind w:firstLine="709"/>
        <w:contextualSpacing/>
        <w:jc w:val="both"/>
        <w:rPr>
          <w:rFonts w:ascii="Verdana" w:hAnsi="Verdana" w:cs="Arial"/>
          <w:sz w:val="16"/>
          <w:szCs w:val="16"/>
        </w:rPr>
      </w:pPr>
    </w:p>
    <w:p w14:paraId="3D05824C" w14:textId="77777777" w:rsidR="007B7821" w:rsidRPr="005B5A98" w:rsidRDefault="007B7821" w:rsidP="007B7821">
      <w:pPr>
        <w:spacing w:line="240" w:lineRule="auto"/>
        <w:ind w:firstLine="709"/>
        <w:contextualSpacing/>
        <w:jc w:val="both"/>
        <w:rPr>
          <w:rFonts w:ascii="Verdana" w:hAnsi="Verdana" w:cs="Arial"/>
          <w:sz w:val="16"/>
          <w:szCs w:val="16"/>
        </w:rPr>
      </w:pPr>
      <w:r w:rsidRPr="005B5A98">
        <w:rPr>
          <w:rFonts w:ascii="Verdana" w:hAnsi="Verdana" w:cs="Arial"/>
          <w:sz w:val="16"/>
          <w:szCs w:val="16"/>
        </w:rPr>
        <w:t>Estas</w:t>
      </w:r>
      <w:r w:rsidRPr="005B5A98">
        <w:rPr>
          <w:rFonts w:ascii="Verdana" w:hAnsi="Verdana" w:cs="Arial"/>
          <w:spacing w:val="1"/>
          <w:sz w:val="16"/>
          <w:szCs w:val="16"/>
        </w:rPr>
        <w:t xml:space="preserve"> </w:t>
      </w:r>
      <w:r w:rsidRPr="005B5A98">
        <w:rPr>
          <w:rFonts w:ascii="Verdana" w:hAnsi="Verdana" w:cs="Arial"/>
          <w:sz w:val="16"/>
          <w:szCs w:val="16"/>
        </w:rPr>
        <w:t>instituciones</w:t>
      </w:r>
      <w:r w:rsidRPr="005B5A98">
        <w:rPr>
          <w:rFonts w:ascii="Verdana" w:hAnsi="Verdana" w:cs="Arial"/>
          <w:spacing w:val="1"/>
          <w:sz w:val="16"/>
          <w:szCs w:val="16"/>
        </w:rPr>
        <w:t xml:space="preserve"> </w:t>
      </w:r>
      <w:r w:rsidRPr="005B5A98">
        <w:rPr>
          <w:rFonts w:ascii="Verdana" w:hAnsi="Verdana" w:cs="Arial"/>
          <w:sz w:val="16"/>
          <w:szCs w:val="16"/>
        </w:rPr>
        <w:t>podrán</w:t>
      </w:r>
      <w:r w:rsidRPr="005B5A98">
        <w:rPr>
          <w:rFonts w:ascii="Verdana" w:hAnsi="Verdana" w:cs="Arial"/>
          <w:spacing w:val="1"/>
          <w:sz w:val="16"/>
          <w:szCs w:val="16"/>
        </w:rPr>
        <w:t xml:space="preserve"> </w:t>
      </w:r>
      <w:r w:rsidRPr="005B5A98">
        <w:rPr>
          <w:rFonts w:ascii="Verdana" w:hAnsi="Verdana" w:cs="Arial"/>
          <w:sz w:val="16"/>
          <w:szCs w:val="16"/>
        </w:rPr>
        <w:t>utilizar</w:t>
      </w:r>
      <w:r w:rsidRPr="005B5A98">
        <w:rPr>
          <w:rFonts w:ascii="Verdana" w:hAnsi="Verdana" w:cs="Arial"/>
          <w:spacing w:val="1"/>
          <w:sz w:val="16"/>
          <w:szCs w:val="16"/>
        </w:rPr>
        <w:t xml:space="preserve"> </w:t>
      </w:r>
      <w:r w:rsidRPr="005B5A98">
        <w:rPr>
          <w:rFonts w:ascii="Verdana" w:hAnsi="Verdana" w:cs="Arial"/>
          <w:sz w:val="16"/>
          <w:szCs w:val="16"/>
        </w:rPr>
        <w:t>mecanismos</w:t>
      </w:r>
      <w:r w:rsidRPr="005B5A98">
        <w:rPr>
          <w:rFonts w:ascii="Verdana" w:hAnsi="Verdana" w:cs="Arial"/>
          <w:spacing w:val="1"/>
          <w:sz w:val="16"/>
          <w:szCs w:val="16"/>
        </w:rPr>
        <w:t xml:space="preserve"> </w:t>
      </w:r>
      <w:r w:rsidRPr="005B5A98">
        <w:rPr>
          <w:rFonts w:ascii="Verdana" w:hAnsi="Verdana" w:cs="Arial"/>
          <w:sz w:val="16"/>
          <w:szCs w:val="16"/>
        </w:rPr>
        <w:t>de</w:t>
      </w:r>
      <w:r w:rsidRPr="005B5A98">
        <w:rPr>
          <w:rFonts w:ascii="Verdana" w:hAnsi="Verdana" w:cs="Arial"/>
          <w:spacing w:val="1"/>
          <w:sz w:val="16"/>
          <w:szCs w:val="16"/>
        </w:rPr>
        <w:t xml:space="preserve"> </w:t>
      </w:r>
      <w:r w:rsidRPr="005B5A98">
        <w:rPr>
          <w:rFonts w:ascii="Verdana" w:hAnsi="Verdana" w:cs="Arial"/>
          <w:sz w:val="16"/>
          <w:szCs w:val="16"/>
        </w:rPr>
        <w:t>subasta</w:t>
      </w:r>
      <w:r w:rsidRPr="005B5A98">
        <w:rPr>
          <w:rFonts w:ascii="Verdana" w:hAnsi="Verdana" w:cs="Arial"/>
          <w:spacing w:val="1"/>
          <w:sz w:val="16"/>
          <w:szCs w:val="16"/>
        </w:rPr>
        <w:t xml:space="preserve"> </w:t>
      </w:r>
      <w:r w:rsidRPr="005B5A98">
        <w:rPr>
          <w:rFonts w:ascii="Verdana" w:hAnsi="Verdana" w:cs="Arial"/>
          <w:sz w:val="16"/>
          <w:szCs w:val="16"/>
        </w:rPr>
        <w:t>inversa</w:t>
      </w:r>
      <w:r w:rsidRPr="005B5A98">
        <w:rPr>
          <w:rFonts w:ascii="Verdana" w:hAnsi="Verdana" w:cs="Arial"/>
          <w:spacing w:val="1"/>
          <w:sz w:val="16"/>
          <w:szCs w:val="16"/>
        </w:rPr>
        <w:t xml:space="preserve"> </w:t>
      </w:r>
      <w:r w:rsidRPr="005B5A98">
        <w:rPr>
          <w:rFonts w:ascii="Verdana" w:hAnsi="Verdana" w:cs="Arial"/>
          <w:sz w:val="16"/>
          <w:szCs w:val="16"/>
        </w:rPr>
        <w:t>para</w:t>
      </w:r>
      <w:r w:rsidRPr="005B5A98">
        <w:rPr>
          <w:rFonts w:ascii="Verdana" w:hAnsi="Verdana" w:cs="Arial"/>
          <w:spacing w:val="1"/>
          <w:sz w:val="16"/>
          <w:szCs w:val="16"/>
        </w:rPr>
        <w:t xml:space="preserve"> </w:t>
      </w:r>
      <w:r w:rsidRPr="005B5A98">
        <w:rPr>
          <w:rFonts w:ascii="Verdana" w:hAnsi="Verdana" w:cs="Arial"/>
          <w:sz w:val="16"/>
          <w:szCs w:val="16"/>
        </w:rPr>
        <w:t>lograr</w:t>
      </w:r>
      <w:r w:rsidRPr="005B5A98">
        <w:rPr>
          <w:rFonts w:ascii="Verdana" w:hAnsi="Verdana" w:cs="Arial"/>
          <w:spacing w:val="1"/>
          <w:sz w:val="16"/>
          <w:szCs w:val="16"/>
        </w:rPr>
        <w:t xml:space="preserve"> </w:t>
      </w:r>
      <w:r w:rsidRPr="005B5A98">
        <w:rPr>
          <w:rFonts w:ascii="Verdana" w:hAnsi="Verdana" w:cs="Arial"/>
          <w:sz w:val="16"/>
          <w:szCs w:val="16"/>
        </w:rPr>
        <w:t>mayor</w:t>
      </w:r>
      <w:r w:rsidRPr="005B5A98">
        <w:rPr>
          <w:rFonts w:ascii="Verdana" w:hAnsi="Verdana" w:cs="Arial"/>
          <w:spacing w:val="-50"/>
          <w:sz w:val="16"/>
          <w:szCs w:val="16"/>
        </w:rPr>
        <w:t xml:space="preserve"> </w:t>
      </w:r>
      <w:r w:rsidRPr="005B5A98">
        <w:rPr>
          <w:rFonts w:ascii="Verdana" w:hAnsi="Verdana" w:cs="Arial"/>
          <w:sz w:val="16"/>
          <w:szCs w:val="16"/>
        </w:rPr>
        <w:t>eficiencia</w:t>
      </w:r>
      <w:r w:rsidRPr="005B5A98">
        <w:rPr>
          <w:rFonts w:ascii="Verdana" w:hAnsi="Verdana" w:cs="Arial"/>
          <w:spacing w:val="-2"/>
          <w:sz w:val="16"/>
          <w:szCs w:val="16"/>
        </w:rPr>
        <w:t xml:space="preserve"> </w:t>
      </w:r>
      <w:r w:rsidRPr="005B5A98">
        <w:rPr>
          <w:rFonts w:ascii="Verdana" w:hAnsi="Verdana" w:cs="Arial"/>
          <w:sz w:val="16"/>
          <w:szCs w:val="16"/>
        </w:rPr>
        <w:t>en</w:t>
      </w:r>
      <w:r w:rsidRPr="005B5A98">
        <w:rPr>
          <w:rFonts w:ascii="Verdana" w:hAnsi="Verdana" w:cs="Arial"/>
          <w:spacing w:val="-1"/>
          <w:sz w:val="16"/>
          <w:szCs w:val="16"/>
        </w:rPr>
        <w:t xml:space="preserve"> </w:t>
      </w:r>
      <w:r w:rsidRPr="005B5A98">
        <w:rPr>
          <w:rFonts w:ascii="Verdana" w:hAnsi="Verdana" w:cs="Arial"/>
          <w:sz w:val="16"/>
          <w:szCs w:val="16"/>
        </w:rPr>
        <w:t>sus</w:t>
      </w:r>
      <w:r w:rsidRPr="005B5A98">
        <w:rPr>
          <w:rFonts w:ascii="Verdana" w:hAnsi="Verdana" w:cs="Arial"/>
          <w:spacing w:val="-1"/>
          <w:sz w:val="16"/>
          <w:szCs w:val="16"/>
        </w:rPr>
        <w:t xml:space="preserve"> </w:t>
      </w:r>
      <w:r w:rsidRPr="005B5A98">
        <w:rPr>
          <w:rFonts w:ascii="Verdana" w:hAnsi="Verdana" w:cs="Arial"/>
          <w:sz w:val="16"/>
          <w:szCs w:val="16"/>
        </w:rPr>
        <w:t>adquisiciones”.</w:t>
      </w:r>
    </w:p>
    <w:p w14:paraId="17646252" w14:textId="77777777" w:rsidR="007B7821" w:rsidRDefault="007B7821" w:rsidP="007B7821">
      <w:pPr>
        <w:spacing w:line="240" w:lineRule="auto"/>
        <w:ind w:firstLine="709"/>
        <w:contextualSpacing/>
        <w:jc w:val="both"/>
        <w:rPr>
          <w:rFonts w:ascii="Verdana" w:hAnsi="Verdana" w:cs="Arial"/>
          <w:sz w:val="14"/>
          <w:szCs w:val="14"/>
        </w:rPr>
      </w:pPr>
    </w:p>
  </w:footnote>
  <w:footnote w:id="14">
    <w:p w14:paraId="011CACEC" w14:textId="77777777" w:rsidR="007B7821" w:rsidRPr="005B5A98" w:rsidRDefault="007B7821" w:rsidP="007B7821">
      <w:pPr>
        <w:pStyle w:val="NormalWeb"/>
        <w:spacing w:before="0" w:beforeAutospacing="0" w:after="0" w:afterAutospacing="0"/>
        <w:ind w:firstLine="709"/>
        <w:contextualSpacing/>
        <w:jc w:val="both"/>
        <w:rPr>
          <w:rFonts w:ascii="Verdana" w:hAnsi="Verdana" w:cs="Arial"/>
          <w:color w:val="000000" w:themeColor="text1"/>
          <w:sz w:val="16"/>
          <w:szCs w:val="16"/>
        </w:rPr>
      </w:pPr>
      <w:r w:rsidRPr="005B5A98">
        <w:rPr>
          <w:rStyle w:val="Refdenotaalpie"/>
          <w:rFonts w:ascii="Verdana" w:hAnsi="Verdana" w:cs="Arial"/>
          <w:color w:val="000000" w:themeColor="text1"/>
          <w:sz w:val="16"/>
          <w:szCs w:val="16"/>
        </w:rPr>
        <w:footnoteRef/>
      </w:r>
      <w:r w:rsidRPr="005B5A98">
        <w:rPr>
          <w:rFonts w:ascii="Verdana" w:hAnsi="Verdana" w:cs="Arial"/>
          <w:color w:val="000000" w:themeColor="text1"/>
          <w:sz w:val="16"/>
          <w:szCs w:val="16"/>
        </w:rPr>
        <w:t xml:space="preserve"> Artículo 11. </w:t>
      </w:r>
      <w:r w:rsidRPr="005B5A98">
        <w:rPr>
          <w:rFonts w:ascii="Verdana" w:hAnsi="Verdana" w:cs="Arial"/>
          <w:i/>
          <w:color w:val="000000" w:themeColor="text1"/>
          <w:sz w:val="16"/>
          <w:szCs w:val="16"/>
        </w:rPr>
        <w:t>Fase de contratación</w:t>
      </w:r>
      <w:r w:rsidRPr="005B5A98">
        <w:rPr>
          <w:rFonts w:ascii="Verdana" w:hAnsi="Verdana" w:cs="Arial"/>
          <w:color w:val="000000" w:themeColor="text1"/>
          <w:sz w:val="16"/>
          <w:szCs w:val="16"/>
        </w:rPr>
        <w:t>. Corresponde al período comprendido entre la sus</w:t>
      </w:r>
      <w:r w:rsidRPr="005B5A98">
        <w:rPr>
          <w:rFonts w:ascii="Verdana" w:hAnsi="Verdana" w:cs="Arial"/>
          <w:color w:val="000000" w:themeColor="text1"/>
          <w:sz w:val="16"/>
          <w:szCs w:val="16"/>
        </w:rPr>
        <w:softHyphen/>
        <w:t xml:space="preserve">cripción del contrato y la publicación en el </w:t>
      </w:r>
      <w:proofErr w:type="spellStart"/>
      <w:r w:rsidRPr="005B5A98">
        <w:rPr>
          <w:rFonts w:ascii="Verdana" w:hAnsi="Verdana" w:cs="Arial"/>
          <w:color w:val="000000" w:themeColor="text1"/>
          <w:sz w:val="16"/>
          <w:szCs w:val="16"/>
        </w:rPr>
        <w:t>Secop</w:t>
      </w:r>
      <w:proofErr w:type="spellEnd"/>
      <w:r w:rsidRPr="005B5A98">
        <w:rPr>
          <w:rFonts w:ascii="Verdana" w:hAnsi="Verdana" w:cs="Arial"/>
          <w:color w:val="000000" w:themeColor="text1"/>
          <w:sz w:val="16"/>
          <w:szCs w:val="16"/>
        </w:rPr>
        <w:t>, pasando por la obtención del registro presupuestal y la aprobación de las garantías si las hay.</w:t>
      </w:r>
    </w:p>
    <w:p w14:paraId="44229800"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En el estatuto de contratación se deberán definir las garantías que deberá solicitar la Empresa Social del Estado de acuerdo con la modalidad, naturaleza, objeto, riesgos y cuantía del contrato, con ocasión de la presentación de las ofertas, los contratos y su liquidación y los riesgos a los que se encuentra expuesta la entidad.</w:t>
      </w:r>
    </w:p>
  </w:footnote>
  <w:footnote w:id="15">
    <w:p w14:paraId="7E2E0FAA" w14:textId="77777777" w:rsidR="007B7821" w:rsidRPr="005B5A98" w:rsidRDefault="007B7821" w:rsidP="007B7821">
      <w:pPr>
        <w:pStyle w:val="NormalWeb"/>
        <w:spacing w:before="0" w:beforeAutospacing="0" w:after="0" w:afterAutospacing="0"/>
        <w:ind w:firstLine="709"/>
        <w:contextualSpacing/>
        <w:jc w:val="both"/>
        <w:rPr>
          <w:rFonts w:ascii="Verdana" w:hAnsi="Verdana" w:cs="Arial"/>
          <w:color w:val="000000" w:themeColor="text1"/>
          <w:sz w:val="16"/>
          <w:szCs w:val="16"/>
        </w:rPr>
      </w:pPr>
      <w:r w:rsidRPr="005B5A98">
        <w:rPr>
          <w:rStyle w:val="Refdenotaalpie"/>
          <w:rFonts w:ascii="Verdana" w:hAnsi="Verdana" w:cs="Arial"/>
          <w:color w:val="000000" w:themeColor="text1"/>
          <w:sz w:val="16"/>
          <w:szCs w:val="16"/>
        </w:rPr>
        <w:footnoteRef/>
      </w:r>
      <w:r w:rsidRPr="005B5A98">
        <w:rPr>
          <w:rFonts w:ascii="Verdana" w:hAnsi="Verdana" w:cs="Arial"/>
          <w:color w:val="000000" w:themeColor="text1"/>
          <w:sz w:val="16"/>
          <w:szCs w:val="16"/>
        </w:rPr>
        <w:t xml:space="preserve"> Artículo 12. </w:t>
      </w:r>
      <w:r w:rsidRPr="005B5A98">
        <w:rPr>
          <w:rFonts w:ascii="Verdana" w:hAnsi="Verdana" w:cs="Arial"/>
          <w:i/>
          <w:color w:val="000000" w:themeColor="text1"/>
          <w:sz w:val="16"/>
          <w:szCs w:val="16"/>
        </w:rPr>
        <w:t>Fase de ejecución. </w:t>
      </w:r>
      <w:r w:rsidRPr="005B5A98">
        <w:rPr>
          <w:rFonts w:ascii="Verdana" w:hAnsi="Verdana" w:cs="Arial"/>
          <w:color w:val="000000" w:themeColor="text1"/>
          <w:sz w:val="16"/>
          <w:szCs w:val="16"/>
        </w:rPr>
        <w:t>Corresponde al período comprendido entre la legalización del contrato hasta su liquidación. El estatuto de contratación deberá regular las siguientes acciones:</w:t>
      </w:r>
    </w:p>
    <w:p w14:paraId="481BE5FE"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 xml:space="preserve">12.1. La forma de designación de la persona responsable encargada de las labores de supervisión e interventoría del contrato y del seguimiento a la ejecución </w:t>
      </w:r>
      <w:proofErr w:type="gramStart"/>
      <w:r w:rsidRPr="005B5A98">
        <w:rPr>
          <w:rFonts w:ascii="Verdana" w:eastAsia="Times New Roman" w:hAnsi="Verdana" w:cs="Arial"/>
          <w:color w:val="000000" w:themeColor="text1"/>
          <w:sz w:val="16"/>
          <w:szCs w:val="16"/>
          <w:lang w:eastAsia="es-CO"/>
        </w:rPr>
        <w:t>del mismo</w:t>
      </w:r>
      <w:proofErr w:type="gramEnd"/>
      <w:r w:rsidRPr="005B5A98">
        <w:rPr>
          <w:rFonts w:ascii="Verdana" w:eastAsia="Times New Roman" w:hAnsi="Verdana" w:cs="Arial"/>
          <w:color w:val="000000" w:themeColor="text1"/>
          <w:sz w:val="16"/>
          <w:szCs w:val="16"/>
          <w:lang w:eastAsia="es-CO"/>
        </w:rPr>
        <w:t xml:space="preserve"> dentro de una correcta actividad gerencial y adecuados criterios de gestión.</w:t>
      </w:r>
    </w:p>
    <w:p w14:paraId="71531737"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12.2. Las alertas en materia de vencimiento del contrato en el marco de la planeación.</w:t>
      </w:r>
    </w:p>
    <w:p w14:paraId="1BAE7FEF"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12.3. La obligación de hacer efectivas las cláusulas excepcionales, en caso de haberlas pactado en los contratos, cuando haya lugar a ello, dentro del plazo del contrato.</w:t>
      </w:r>
    </w:p>
    <w:p w14:paraId="106EBD7B"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12.4. La necesidad de suscribir las actas de inicio del contrato, así como las prórrogas y adiciones si las hay, y las de suspensión del contrato en caso de presentarse dicha situación.</w:t>
      </w:r>
    </w:p>
    <w:p w14:paraId="0367E05E" w14:textId="77777777" w:rsidR="007B7821" w:rsidRPr="005B5A98" w:rsidRDefault="007B7821" w:rsidP="007B7821">
      <w:pPr>
        <w:spacing w:line="240" w:lineRule="auto"/>
        <w:ind w:firstLine="709"/>
        <w:contextualSpacing/>
        <w:jc w:val="both"/>
        <w:rPr>
          <w:rFonts w:ascii="Verdana" w:eastAsia="Times New Roman" w:hAnsi="Verdana" w:cs="Arial"/>
          <w:color w:val="000000" w:themeColor="text1"/>
          <w:sz w:val="16"/>
          <w:szCs w:val="16"/>
          <w:lang w:eastAsia="es-CO"/>
        </w:rPr>
      </w:pPr>
      <w:r w:rsidRPr="005B5A98">
        <w:rPr>
          <w:rFonts w:ascii="Verdana" w:eastAsia="Times New Roman" w:hAnsi="Verdana" w:cs="Arial"/>
          <w:color w:val="000000" w:themeColor="text1"/>
          <w:sz w:val="16"/>
          <w:szCs w:val="16"/>
          <w:lang w:eastAsia="es-CO"/>
        </w:rPr>
        <w:t>12.5. Las demás disposiciones por medio de las cuales se desarrolle la dirección general del contrato con el fin de garantizar su ejecución y las medidas para evitar su incumplimiento.</w:t>
      </w:r>
    </w:p>
  </w:footnote>
  <w:footnote w:id="16">
    <w:p w14:paraId="431730F8" w14:textId="77777777" w:rsidR="007B7821" w:rsidRPr="005B5A98" w:rsidRDefault="007B7821" w:rsidP="007B7821">
      <w:pPr>
        <w:pStyle w:val="Textonotapie"/>
        <w:ind w:firstLine="709"/>
        <w:jc w:val="both"/>
        <w:rPr>
          <w:rFonts w:ascii="Verdana" w:hAnsi="Verdana" w:cs="Arial"/>
          <w:color w:val="000000" w:themeColor="text1"/>
          <w:sz w:val="16"/>
          <w:szCs w:val="16"/>
          <w:lang w:val="es-CO" w:eastAsia="es-CO"/>
        </w:rPr>
      </w:pPr>
      <w:r w:rsidRPr="005B5A98">
        <w:rPr>
          <w:rStyle w:val="Refdenotaalpie"/>
          <w:rFonts w:ascii="Verdana" w:hAnsi="Verdana" w:cs="Arial"/>
          <w:color w:val="000000" w:themeColor="text1"/>
          <w:sz w:val="16"/>
          <w:szCs w:val="16"/>
        </w:rPr>
        <w:footnoteRef/>
      </w:r>
      <w:r w:rsidRPr="005B5A98">
        <w:rPr>
          <w:rFonts w:ascii="Verdana" w:hAnsi="Verdana" w:cs="Arial"/>
          <w:color w:val="000000" w:themeColor="text1"/>
          <w:sz w:val="16"/>
          <w:szCs w:val="16"/>
        </w:rPr>
        <w:t xml:space="preserve"> </w:t>
      </w:r>
      <w:r w:rsidRPr="005B5A98">
        <w:rPr>
          <w:rFonts w:ascii="Verdana" w:hAnsi="Verdana" w:cs="Arial"/>
          <w:color w:val="000000" w:themeColor="text1"/>
          <w:sz w:val="16"/>
          <w:szCs w:val="16"/>
          <w:lang w:val="es-CO" w:eastAsia="es-CO"/>
        </w:rPr>
        <w:t xml:space="preserve">Artículo 14. Publicación. Las Empresas Sociales del Estado están obligadas a publicar oportunamente su actividad contractual en el </w:t>
      </w:r>
      <w:proofErr w:type="spellStart"/>
      <w:r w:rsidRPr="005B5A98">
        <w:rPr>
          <w:rFonts w:ascii="Verdana" w:hAnsi="Verdana" w:cs="Arial"/>
          <w:color w:val="000000" w:themeColor="text1"/>
          <w:sz w:val="16"/>
          <w:szCs w:val="16"/>
          <w:lang w:val="es-CO" w:eastAsia="es-CO"/>
        </w:rPr>
        <w:t>Secop</w:t>
      </w:r>
      <w:proofErr w:type="spellEnd"/>
      <w:r w:rsidRPr="005B5A98">
        <w:rPr>
          <w:rFonts w:ascii="Verdana" w:hAnsi="Verdana" w:cs="Arial"/>
          <w:color w:val="000000" w:themeColor="text1"/>
          <w:sz w:val="16"/>
          <w:szCs w:val="16"/>
          <w:lang w:val="es-CO" w:eastAsia="es-CO"/>
        </w:rPr>
        <w:t>.</w:t>
      </w:r>
    </w:p>
    <w:p w14:paraId="6BBE641F" w14:textId="77777777" w:rsidR="007B7821" w:rsidRPr="005B5A98" w:rsidRDefault="007B7821" w:rsidP="007B7821">
      <w:pPr>
        <w:pStyle w:val="Textonotapie"/>
        <w:ind w:firstLine="709"/>
        <w:jc w:val="both"/>
        <w:rPr>
          <w:rFonts w:ascii="Verdana" w:hAnsi="Verdana" w:cs="Arial"/>
          <w:sz w:val="16"/>
          <w:szCs w:val="16"/>
          <w:lang w:val="es-CO"/>
        </w:rPr>
      </w:pPr>
    </w:p>
  </w:footnote>
  <w:footnote w:id="17">
    <w:p w14:paraId="0213E4CA" w14:textId="77777777" w:rsidR="007B7821" w:rsidRPr="00523FB5" w:rsidRDefault="007B7821" w:rsidP="007B7821">
      <w:pPr>
        <w:pStyle w:val="Textonotapie"/>
        <w:ind w:firstLine="709"/>
        <w:jc w:val="both"/>
        <w:rPr>
          <w:rFonts w:ascii="Verdana" w:hAnsi="Verdana"/>
          <w:sz w:val="16"/>
          <w:szCs w:val="16"/>
          <w:lang w:val="es-ES"/>
        </w:rPr>
      </w:pPr>
      <w:r w:rsidRPr="00523FB5">
        <w:rPr>
          <w:rStyle w:val="Refdenotaalpie"/>
          <w:rFonts w:ascii="Verdana" w:hAnsi="Verdana"/>
          <w:sz w:val="16"/>
          <w:szCs w:val="16"/>
        </w:rPr>
        <w:footnoteRef/>
      </w:r>
      <w:r w:rsidRPr="00523FB5">
        <w:rPr>
          <w:rFonts w:ascii="Verdana" w:hAnsi="Verdana"/>
          <w:sz w:val="16"/>
          <w:szCs w:val="16"/>
        </w:rPr>
        <w:t xml:space="preserve"> </w:t>
      </w:r>
      <w:r w:rsidRPr="00523FB5">
        <w:rPr>
          <w:rFonts w:ascii="Verdana" w:hAnsi="Verdana"/>
          <w:sz w:val="16"/>
          <w:szCs w:val="16"/>
          <w:lang w:val="es-CO"/>
        </w:rPr>
        <w:t>Mediante la cual se señalan las normas, objetivos y criterios que debe observar el Gobierno Nacional para la fijación del régimen salarial y prestacional de los empleados públicos, de los miembros del Congreso Nacional y de la Fuerza Pública y para la fijación de las prestaciones sociales de los Trabajadores Oficiales y se dictan otras disposiciones, de conformidad con lo establecido en el artículo 150, numeral 19, literales e) y f) de la Constitución Política.</w:t>
      </w:r>
    </w:p>
  </w:footnote>
  <w:footnote w:id="18">
    <w:p w14:paraId="503CBFAC" w14:textId="77777777" w:rsidR="007B7821" w:rsidRPr="00EE4799" w:rsidRDefault="007B7821" w:rsidP="007B7821">
      <w:pPr>
        <w:pStyle w:val="Textonotapie"/>
        <w:ind w:firstLine="707"/>
        <w:rPr>
          <w:rFonts w:ascii="Verdana" w:hAnsi="Verdana"/>
          <w:sz w:val="15"/>
          <w:szCs w:val="15"/>
        </w:rPr>
      </w:pPr>
      <w:r w:rsidRPr="00A37FEF">
        <w:rPr>
          <w:rStyle w:val="Refdenotaalpie"/>
          <w:rFonts w:ascii="Verdana" w:hAnsi="Verdana"/>
          <w:sz w:val="15"/>
          <w:szCs w:val="15"/>
        </w:rPr>
        <w:footnoteRef/>
      </w:r>
      <w:r w:rsidRPr="00A37FEF">
        <w:rPr>
          <w:rFonts w:ascii="Verdana" w:hAnsi="Verdana"/>
          <w:sz w:val="15"/>
          <w:szCs w:val="15"/>
        </w:rPr>
        <w:t xml:space="preserve"> C</w:t>
      </w:r>
      <w:r>
        <w:rPr>
          <w:rFonts w:ascii="Verdana" w:hAnsi="Verdana"/>
          <w:sz w:val="15"/>
          <w:szCs w:val="15"/>
        </w:rPr>
        <w:t>orte Constitucional. S</w:t>
      </w:r>
      <w:r w:rsidRPr="00A37FEF">
        <w:rPr>
          <w:rFonts w:ascii="Verdana" w:hAnsi="Verdana"/>
          <w:sz w:val="15"/>
          <w:szCs w:val="15"/>
        </w:rPr>
        <w:t>entencia C-133 de 1993. M.P</w:t>
      </w:r>
      <w:r>
        <w:rPr>
          <w:rFonts w:ascii="Verdana" w:hAnsi="Verdana"/>
          <w:sz w:val="15"/>
          <w:szCs w:val="15"/>
        </w:rPr>
        <w:t>:</w:t>
      </w:r>
      <w:r w:rsidRPr="00A37FEF">
        <w:rPr>
          <w:rFonts w:ascii="Verdana" w:hAnsi="Verdana"/>
          <w:sz w:val="15"/>
          <w:szCs w:val="15"/>
        </w:rPr>
        <w:t xml:space="preserve"> Vladimiro Naranjo Mesa. </w:t>
      </w:r>
    </w:p>
  </w:footnote>
  <w:footnote w:id="19">
    <w:p w14:paraId="4591FC5B" w14:textId="77777777" w:rsidR="007B7821" w:rsidRPr="007F1B20" w:rsidRDefault="007B7821" w:rsidP="007B7821">
      <w:pPr>
        <w:spacing w:after="0" w:line="240" w:lineRule="auto"/>
        <w:ind w:firstLine="707"/>
        <w:contextualSpacing/>
        <w:jc w:val="both"/>
        <w:rPr>
          <w:rFonts w:ascii="Verdana" w:hAnsi="Verdana" w:cs="Arial"/>
          <w:sz w:val="16"/>
          <w:szCs w:val="16"/>
        </w:rPr>
      </w:pPr>
      <w:r w:rsidRPr="007F1B20">
        <w:rPr>
          <w:rStyle w:val="Refdenotaalpie"/>
          <w:rFonts w:ascii="Verdana" w:hAnsi="Verdana" w:cs="Arial"/>
          <w:sz w:val="16"/>
          <w:szCs w:val="16"/>
        </w:rPr>
        <w:footnoteRef/>
      </w:r>
      <w:r w:rsidRPr="007F1B20">
        <w:rPr>
          <w:rFonts w:ascii="Verdana" w:hAnsi="Verdana" w:cs="Arial"/>
          <w:sz w:val="16"/>
          <w:szCs w:val="16"/>
        </w:rPr>
        <w:t xml:space="preserve"> C</w:t>
      </w:r>
      <w:r>
        <w:rPr>
          <w:rFonts w:ascii="Verdana" w:hAnsi="Verdana" w:cs="Arial"/>
          <w:sz w:val="16"/>
          <w:szCs w:val="16"/>
        </w:rPr>
        <w:t xml:space="preserve">onsejo de Estado. </w:t>
      </w:r>
      <w:r w:rsidRPr="007F1B20">
        <w:rPr>
          <w:rFonts w:ascii="Verdana" w:hAnsi="Verdana" w:cs="Arial"/>
          <w:sz w:val="16"/>
          <w:szCs w:val="16"/>
        </w:rPr>
        <w:t>Sala de Consulta y servicio Civil, Concepto No 1.344, del 10 de mayo de 2001. C.P. Flavio Augusto Rodríguez Arce: “El artículo 123, a su vez, dentro de la clasificación de los servidores públicos, incluye a los miembros de las corporaciones públicas quienes, aunque ejercen funciones públicas, no tienen la calidad de empleados públicos ni poseen nexo laboral con el Estado, por lo que la prohibición se les aplica a estos, no con fundamento en el artículo 128, sino en las normas especiales de los respectivos regímenes de incompatibilidades que prohíben, a los congresistas, desempeñar cargo o empleo público - arts. 180.1 de la C.P. y 282.1, ley 5ª/92-; a los diputados, aceptar o desempeñar cargo como empleado oficial - art. 34.1 ley 617/00, y a los concejales, aceptar o desempeñar cargo alguno en la administración pública o vincularse como trabajador oficial - art. 45.1 ley 136/94, sustituido por el art. 3° de la ley</w:t>
      </w:r>
      <w:r w:rsidRPr="007F1B20">
        <w:rPr>
          <w:rFonts w:ascii="Verdana" w:hAnsi="Verdana" w:cs="Arial"/>
          <w:spacing w:val="-4"/>
          <w:sz w:val="16"/>
          <w:szCs w:val="16"/>
        </w:rPr>
        <w:t xml:space="preserve"> </w:t>
      </w:r>
      <w:r w:rsidRPr="007F1B20">
        <w:rPr>
          <w:rFonts w:ascii="Verdana" w:hAnsi="Verdana" w:cs="Arial"/>
          <w:sz w:val="16"/>
          <w:szCs w:val="16"/>
        </w:rPr>
        <w:t>177/94”.</w:t>
      </w:r>
    </w:p>
    <w:p w14:paraId="0C8B1BDC" w14:textId="77777777" w:rsidR="007B7821" w:rsidRPr="007F1B20" w:rsidRDefault="007B7821" w:rsidP="007B7821">
      <w:pPr>
        <w:pStyle w:val="Textonotapie"/>
        <w:contextualSpacing/>
        <w:jc w:val="both"/>
        <w:rPr>
          <w:rFonts w:ascii="Verdana" w:hAnsi="Verdana" w:cs="Arial"/>
          <w:sz w:val="16"/>
          <w:szCs w:val="16"/>
          <w:lang w:val="es-CO"/>
        </w:rPr>
      </w:pPr>
    </w:p>
  </w:footnote>
  <w:footnote w:id="20">
    <w:p w14:paraId="4FB87082" w14:textId="77777777" w:rsidR="007B7821" w:rsidRPr="007F1B20" w:rsidRDefault="007B7821" w:rsidP="007B7821">
      <w:pPr>
        <w:pStyle w:val="Textonotapie"/>
        <w:ind w:firstLine="707"/>
        <w:jc w:val="both"/>
        <w:rPr>
          <w:rFonts w:ascii="Verdana" w:hAnsi="Verdana"/>
          <w:b/>
          <w:bCs/>
          <w:sz w:val="16"/>
          <w:szCs w:val="16"/>
          <w:lang w:val="es-CO"/>
        </w:rPr>
      </w:pPr>
      <w:r w:rsidRPr="007F1B20">
        <w:rPr>
          <w:rStyle w:val="Refdenotaalpie"/>
          <w:rFonts w:ascii="Verdana" w:hAnsi="Verdana"/>
          <w:sz w:val="16"/>
          <w:szCs w:val="16"/>
        </w:rPr>
        <w:footnoteRef/>
      </w:r>
      <w:r w:rsidRPr="007F1B20">
        <w:rPr>
          <w:rFonts w:ascii="Verdana" w:hAnsi="Verdana"/>
          <w:sz w:val="16"/>
          <w:szCs w:val="16"/>
        </w:rPr>
        <w:t xml:space="preserve"> DEPARTAMENTO ADMINISTRATIVO DE LA FUNCIÓN PÚBLICA –DAFP. Concepto </w:t>
      </w:r>
      <w:r w:rsidRPr="007F1B20">
        <w:rPr>
          <w:rFonts w:ascii="Verdana" w:hAnsi="Verdana"/>
          <w:sz w:val="16"/>
          <w:szCs w:val="16"/>
          <w:lang w:val="es-CO"/>
        </w:rPr>
        <w:t>004081 del 4 de enero de 2024.  </w:t>
      </w:r>
    </w:p>
    <w:p w14:paraId="71C0FDCB" w14:textId="77777777" w:rsidR="007B7821" w:rsidRPr="007F1B20" w:rsidRDefault="007B7821" w:rsidP="007B7821">
      <w:pPr>
        <w:pStyle w:val="Textonotapie"/>
        <w:ind w:firstLine="707"/>
        <w:rPr>
          <w:rFonts w:ascii="Verdana" w:hAnsi="Verdana"/>
          <w:sz w:val="16"/>
          <w:szCs w:val="16"/>
        </w:rPr>
      </w:pPr>
    </w:p>
  </w:footnote>
  <w:footnote w:id="21">
    <w:p w14:paraId="13D55B65" w14:textId="77777777" w:rsidR="007B7821" w:rsidRPr="00EE4799" w:rsidRDefault="007B7821" w:rsidP="007B7821">
      <w:pPr>
        <w:pStyle w:val="Textonotapie"/>
        <w:ind w:firstLine="707"/>
        <w:rPr>
          <w:sz w:val="15"/>
          <w:szCs w:val="15"/>
          <w:lang w:val="es-ES"/>
        </w:rPr>
      </w:pPr>
      <w:r w:rsidRPr="00A37FEF">
        <w:rPr>
          <w:rStyle w:val="Refdenotaalpie"/>
          <w:rFonts w:ascii="Verdana" w:hAnsi="Verdana"/>
          <w:sz w:val="15"/>
          <w:szCs w:val="15"/>
        </w:rPr>
        <w:footnoteRef/>
      </w:r>
      <w:r w:rsidRPr="00A37FEF">
        <w:rPr>
          <w:rFonts w:ascii="Verdana" w:hAnsi="Verdana"/>
          <w:sz w:val="15"/>
          <w:szCs w:val="15"/>
        </w:rPr>
        <w:t xml:space="preserve"> </w:t>
      </w:r>
      <w:r w:rsidRPr="00A37FEF">
        <w:rPr>
          <w:rFonts w:ascii="Verdana" w:hAnsi="Verdana" w:cs="Arial"/>
          <w:sz w:val="15"/>
          <w:szCs w:val="15"/>
        </w:rPr>
        <w:t>CONSEJO DE ESTADO, Sala de Consulta y servicio Civil, Concepto No 1.344, del 10 de mayo de 2001. C.P. Flavio Augusto Rodríguez Arce.</w:t>
      </w:r>
    </w:p>
  </w:footnote>
  <w:footnote w:id="22">
    <w:p w14:paraId="7054E64B" w14:textId="333566DC" w:rsidR="00A523AD" w:rsidRPr="00944650" w:rsidRDefault="00A523AD" w:rsidP="00944650">
      <w:pPr>
        <w:pStyle w:val="Textonotapie"/>
        <w:ind w:firstLine="709"/>
        <w:jc w:val="both"/>
        <w:rPr>
          <w:rFonts w:ascii="Verdana" w:hAnsi="Verdana"/>
          <w:sz w:val="16"/>
          <w:szCs w:val="16"/>
        </w:rPr>
      </w:pPr>
      <w:r w:rsidRPr="00944650">
        <w:rPr>
          <w:rStyle w:val="Refdenotaalpie"/>
          <w:rFonts w:ascii="Verdana" w:hAnsi="Verdana"/>
          <w:sz w:val="16"/>
          <w:szCs w:val="16"/>
        </w:rPr>
        <w:footnoteRef/>
      </w:r>
      <w:r w:rsidRPr="00944650">
        <w:rPr>
          <w:rFonts w:ascii="Verdana" w:hAnsi="Verdana"/>
          <w:sz w:val="16"/>
          <w:szCs w:val="16"/>
        </w:rPr>
        <w:t xml:space="preserve"> </w:t>
      </w:r>
      <w:r w:rsidR="00944650" w:rsidRPr="00944650">
        <w:rPr>
          <w:rFonts w:ascii="Verdana" w:hAnsi="Verdana"/>
          <w:sz w:val="16"/>
          <w:szCs w:val="16"/>
        </w:rPr>
        <w:t xml:space="preserve">Agencia Nacional de Contratación Pública – Colombia Compra Eficiente. Circular única Externa. Disponible en </w:t>
      </w:r>
      <w:hyperlink r:id="rId2" w:history="1">
        <w:r w:rsidRPr="00944650">
          <w:rPr>
            <w:rStyle w:val="Hipervnculo"/>
            <w:rFonts w:ascii="Verdana" w:hAnsi="Verdana"/>
            <w:sz w:val="16"/>
            <w:szCs w:val="16"/>
            <w:lang w:val="es-CO"/>
          </w:rPr>
          <w:t>circular_externa_unica_version_3_vf49.pdf</w:t>
        </w:r>
      </w:hyperlink>
    </w:p>
    <w:p w14:paraId="69C6BC1C" w14:textId="77777777" w:rsidR="00944650" w:rsidRPr="00A523AD" w:rsidRDefault="00944650" w:rsidP="00944650">
      <w:pPr>
        <w:pStyle w:val="Textonotapie"/>
        <w:jc w:val="both"/>
      </w:pPr>
    </w:p>
  </w:footnote>
  <w:footnote w:id="23">
    <w:p w14:paraId="7B1FF4E6"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4031923" w14:textId="77777777" w:rsidR="007B7821" w:rsidRPr="00AC7749" w:rsidRDefault="007B7821" w:rsidP="007B7821">
      <w:pPr>
        <w:pStyle w:val="Textonotapie"/>
        <w:ind w:firstLine="709"/>
        <w:jc w:val="both"/>
        <w:rPr>
          <w:rFonts w:ascii="Verdana" w:hAnsi="Verdana" w:cs="Arial"/>
          <w:sz w:val="16"/>
          <w:szCs w:val="16"/>
        </w:rPr>
      </w:pPr>
      <w:r w:rsidRPr="00AC774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5E817AC" w14:textId="77777777" w:rsidR="007B7821" w:rsidRPr="00AC7749" w:rsidRDefault="007B7821" w:rsidP="007B7821">
      <w:pPr>
        <w:pStyle w:val="Textonotapie"/>
        <w:ind w:firstLine="709"/>
        <w:jc w:val="both"/>
        <w:rPr>
          <w:rFonts w:ascii="Verdana" w:hAnsi="Verdana" w:cs="Arial"/>
          <w:sz w:val="16"/>
          <w:szCs w:val="16"/>
        </w:rPr>
      </w:pPr>
    </w:p>
  </w:footnote>
  <w:footnote w:id="24">
    <w:p w14:paraId="43E11805"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Gaceta del Congreso de la República No. 71 del 2005.</w:t>
      </w:r>
    </w:p>
    <w:p w14:paraId="2D635F4B" w14:textId="77777777" w:rsidR="007B7821" w:rsidRPr="00AC7749" w:rsidRDefault="007B7821" w:rsidP="007B7821">
      <w:pPr>
        <w:pStyle w:val="Textonotapie"/>
        <w:ind w:firstLine="709"/>
        <w:jc w:val="both"/>
        <w:rPr>
          <w:rFonts w:ascii="Verdana" w:hAnsi="Verdana" w:cs="Arial"/>
          <w:sz w:val="16"/>
          <w:szCs w:val="16"/>
        </w:rPr>
      </w:pPr>
    </w:p>
  </w:footnote>
  <w:footnote w:id="25">
    <w:p w14:paraId="584B942A" w14:textId="77777777" w:rsidR="007B7821" w:rsidRPr="00AC7749" w:rsidRDefault="007B7821" w:rsidP="007B7821">
      <w:pPr>
        <w:pStyle w:val="Textonotapie"/>
        <w:tabs>
          <w:tab w:val="left" w:pos="8145"/>
        </w:tabs>
        <w:ind w:firstLine="709"/>
        <w:jc w:val="both"/>
        <w:rPr>
          <w:rFonts w:ascii="Verdana" w:hAnsi="Verdana" w:cs="Arial"/>
          <w:sz w:val="16"/>
          <w:szCs w:val="16"/>
          <w:lang w:val="pt-PT"/>
        </w:rPr>
      </w:pPr>
      <w:r w:rsidRPr="00AC7749">
        <w:rPr>
          <w:rStyle w:val="Refdenotaalpie"/>
          <w:rFonts w:ascii="Verdana" w:hAnsi="Verdana" w:cs="Arial"/>
          <w:sz w:val="16"/>
          <w:szCs w:val="16"/>
        </w:rPr>
        <w:footnoteRef/>
      </w:r>
      <w:r w:rsidRPr="00AC7749">
        <w:rPr>
          <w:rFonts w:ascii="Verdana" w:hAnsi="Verdana" w:cs="Arial"/>
          <w:sz w:val="16"/>
          <w:szCs w:val="16"/>
          <w:lang w:val="pt-PT"/>
        </w:rPr>
        <w:t xml:space="preserve"> </w:t>
      </w:r>
      <w:r w:rsidRPr="00AC7749">
        <w:rPr>
          <w:rFonts w:ascii="Verdana" w:hAnsi="Verdana" w:cs="Arial"/>
          <w:sz w:val="16"/>
          <w:szCs w:val="16"/>
          <w:lang w:val="pt-PT"/>
        </w:rPr>
        <w:t>Corte Constitucional. Sentencia C- 1153 de 2005, M.P: Marco Gerardo Monroy Cabra.</w:t>
      </w:r>
      <w:r w:rsidRPr="00AC7749">
        <w:rPr>
          <w:rFonts w:ascii="Verdana" w:hAnsi="Verdana" w:cs="Arial"/>
          <w:sz w:val="16"/>
          <w:szCs w:val="16"/>
          <w:lang w:val="pt-PT"/>
        </w:rPr>
        <w:tab/>
      </w:r>
    </w:p>
    <w:p w14:paraId="667FF9E1" w14:textId="77777777" w:rsidR="007B7821" w:rsidRPr="00AC7749" w:rsidRDefault="007B7821" w:rsidP="007B7821">
      <w:pPr>
        <w:pStyle w:val="Textonotapie"/>
        <w:tabs>
          <w:tab w:val="left" w:pos="8145"/>
        </w:tabs>
        <w:ind w:firstLine="709"/>
        <w:jc w:val="both"/>
        <w:rPr>
          <w:rFonts w:ascii="Verdana" w:hAnsi="Verdana" w:cs="Arial"/>
          <w:sz w:val="16"/>
          <w:szCs w:val="16"/>
          <w:lang w:val="pt-PT"/>
        </w:rPr>
      </w:pPr>
    </w:p>
  </w:footnote>
  <w:footnote w:id="26">
    <w:p w14:paraId="56A218C9" w14:textId="77777777" w:rsidR="007B7821" w:rsidRPr="00AC7749" w:rsidRDefault="007B7821" w:rsidP="007B7821">
      <w:pPr>
        <w:pStyle w:val="Textonotapie"/>
        <w:ind w:firstLine="709"/>
        <w:jc w:val="both"/>
        <w:rPr>
          <w:rFonts w:ascii="Verdana" w:hAnsi="Verdana" w:cs="Arial"/>
          <w:sz w:val="16"/>
          <w:szCs w:val="16"/>
          <w:lang w:val="pt-PT"/>
        </w:rPr>
      </w:pPr>
      <w:r w:rsidRPr="00AC7749">
        <w:rPr>
          <w:rStyle w:val="Refdenotaalpie"/>
          <w:rFonts w:ascii="Verdana" w:hAnsi="Verdana" w:cs="Arial"/>
          <w:sz w:val="16"/>
          <w:szCs w:val="16"/>
        </w:rPr>
        <w:footnoteRef/>
      </w:r>
      <w:r w:rsidRPr="00AC7749">
        <w:rPr>
          <w:rFonts w:ascii="Verdana" w:hAnsi="Verdana" w:cs="Arial"/>
          <w:sz w:val="16"/>
          <w:szCs w:val="16"/>
          <w:lang w:val="pt-PT"/>
        </w:rPr>
        <w:t xml:space="preserve"> </w:t>
      </w:r>
      <w:r w:rsidRPr="00AC7749">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AC7749">
        <w:rPr>
          <w:rFonts w:ascii="Verdana" w:hAnsi="Verdana" w:cs="Arial"/>
          <w:sz w:val="16"/>
          <w:szCs w:val="16"/>
          <w:lang w:val="es-CO"/>
        </w:rPr>
        <w:t>Palacio</w:t>
      </w:r>
      <w:proofErr w:type="spellEnd"/>
      <w:r w:rsidRPr="00AC7749">
        <w:rPr>
          <w:rFonts w:ascii="Verdana" w:hAnsi="Verdana" w:cs="Arial"/>
          <w:sz w:val="16"/>
          <w:szCs w:val="16"/>
          <w:lang w:val="es-CO"/>
        </w:rPr>
        <w:t>; C-541 de 30 de junio de 2010. M.P: Gabriel Eduardo Mendoza Martelo; entre otras.</w:t>
      </w:r>
    </w:p>
    <w:p w14:paraId="239DAE03" w14:textId="77777777" w:rsidR="007B7821" w:rsidRPr="00AC7749" w:rsidRDefault="007B7821" w:rsidP="007B7821">
      <w:pPr>
        <w:pStyle w:val="Textonotapie"/>
        <w:ind w:firstLine="709"/>
        <w:jc w:val="both"/>
        <w:rPr>
          <w:rFonts w:ascii="Verdana" w:hAnsi="Verdana" w:cs="Arial"/>
          <w:sz w:val="16"/>
          <w:szCs w:val="16"/>
          <w:lang w:val="pt-PT"/>
        </w:rPr>
      </w:pPr>
    </w:p>
  </w:footnote>
  <w:footnote w:id="27">
    <w:p w14:paraId="73297E81" w14:textId="77777777" w:rsidR="007B7821" w:rsidRPr="00AC7749" w:rsidRDefault="007B7821" w:rsidP="007B7821">
      <w:pPr>
        <w:pStyle w:val="Textonotapie"/>
        <w:ind w:firstLine="709"/>
        <w:jc w:val="both"/>
        <w:rPr>
          <w:rFonts w:ascii="Verdana" w:hAnsi="Verdana" w:cs="Arial"/>
          <w:sz w:val="16"/>
          <w:szCs w:val="16"/>
          <w:lang w:val="es-CO"/>
        </w:rPr>
      </w:pPr>
      <w:r w:rsidRPr="00AC7749">
        <w:rPr>
          <w:rStyle w:val="Refdenotaalpie"/>
          <w:rFonts w:ascii="Verdana" w:hAnsi="Verdana" w:cs="Arial"/>
          <w:sz w:val="16"/>
          <w:szCs w:val="16"/>
        </w:rPr>
        <w:footnoteRef/>
      </w:r>
      <w:r w:rsidRPr="00AC7749">
        <w:rPr>
          <w:rFonts w:ascii="Verdana" w:hAnsi="Verdana" w:cs="Arial"/>
          <w:sz w:val="16"/>
          <w:szCs w:val="16"/>
          <w:lang w:val="es-CO"/>
        </w:rPr>
        <w:t xml:space="preserve"> Consejo de Estado. Sala de lo Contencioso Administrativo. Sección Primera. Sentencia de 3 de marzo de 2005. Radicado: </w:t>
      </w:r>
      <w:r w:rsidRPr="00AC7749">
        <w:rPr>
          <w:rFonts w:ascii="Verdana" w:hAnsi="Verdana" w:cs="Arial"/>
          <w:sz w:val="16"/>
          <w:szCs w:val="16"/>
          <w:lang w:val="es-ES"/>
        </w:rPr>
        <w:t xml:space="preserve">25001-23-15-000-2004-00823-01 (PI). </w:t>
      </w:r>
      <w:r w:rsidRPr="00AC7749">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19E71DC4" w14:textId="77777777" w:rsidR="007B7821" w:rsidRPr="00AC7749" w:rsidRDefault="007B7821" w:rsidP="007B7821">
      <w:pPr>
        <w:pStyle w:val="Textonotapie"/>
        <w:ind w:firstLine="709"/>
        <w:jc w:val="both"/>
        <w:rPr>
          <w:rFonts w:ascii="Verdana" w:hAnsi="Verdana" w:cs="Arial"/>
          <w:sz w:val="16"/>
          <w:szCs w:val="16"/>
          <w:lang w:val="es-CO"/>
        </w:rPr>
      </w:pPr>
    </w:p>
  </w:footnote>
  <w:footnote w:id="28">
    <w:p w14:paraId="526DA844"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Consejo de Estado, Sala de Consulta y Servicio Civil. 24 de julio de 2013. Radicado: </w:t>
      </w:r>
      <w:r w:rsidRPr="00AC7749">
        <w:rPr>
          <w:rFonts w:ascii="Verdana" w:hAnsi="Verdana" w:cs="Arial"/>
          <w:sz w:val="16"/>
          <w:szCs w:val="16"/>
          <w:lang w:val="es-CO"/>
        </w:rPr>
        <w:t xml:space="preserve">11001-03-06-000-2013-00407-00 </w:t>
      </w:r>
      <w:r w:rsidRPr="00AC7749">
        <w:rPr>
          <w:rFonts w:ascii="Verdana" w:hAnsi="Verdana" w:cs="Arial"/>
          <w:sz w:val="16"/>
          <w:szCs w:val="16"/>
        </w:rPr>
        <w:t xml:space="preserve">(2166). C.P. Álvaro Namén Vargas.  </w:t>
      </w:r>
    </w:p>
    <w:p w14:paraId="53DD1E28" w14:textId="77777777" w:rsidR="007B7821" w:rsidRPr="00AC7749" w:rsidRDefault="007B7821" w:rsidP="007B7821">
      <w:pPr>
        <w:pStyle w:val="Textonotapie"/>
        <w:ind w:firstLine="709"/>
        <w:jc w:val="both"/>
        <w:rPr>
          <w:rFonts w:ascii="Verdana" w:hAnsi="Verdana" w:cs="Arial"/>
          <w:sz w:val="16"/>
          <w:szCs w:val="16"/>
        </w:rPr>
      </w:pPr>
    </w:p>
  </w:footnote>
  <w:footnote w:id="29">
    <w:p w14:paraId="64DABC1F" w14:textId="77777777" w:rsidR="007B7821" w:rsidRPr="00AC7749" w:rsidRDefault="007B7821" w:rsidP="007B7821">
      <w:pPr>
        <w:spacing w:after="0" w:line="240" w:lineRule="auto"/>
        <w:ind w:firstLine="709"/>
        <w:jc w:val="both"/>
        <w:rPr>
          <w:rFonts w:ascii="Verdana" w:eastAsia="Times New Roman"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w:t>
      </w:r>
      <w:bookmarkStart w:id="6" w:name="33"/>
      <w:r w:rsidRPr="00AC7749">
        <w:rPr>
          <w:rFonts w:ascii="Verdana" w:eastAsia="Calibri" w:hAnsi="Verdana" w:cs="Arial"/>
          <w:color w:val="000000"/>
          <w:sz w:val="16"/>
          <w:szCs w:val="16"/>
        </w:rPr>
        <w:t>“</w:t>
      </w:r>
      <w:r w:rsidRPr="00AC7749">
        <w:rPr>
          <w:rFonts w:ascii="Verdana" w:eastAsia="Times New Roman" w:hAnsi="Verdana" w:cs="Arial"/>
          <w:sz w:val="16"/>
          <w:szCs w:val="16"/>
        </w:rPr>
        <w:t>Artículo 33. Restricciones a la contratación pública.</w:t>
      </w:r>
      <w:bookmarkEnd w:id="6"/>
      <w:r w:rsidRPr="00AC7749">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66FD810" w14:textId="77777777" w:rsidR="007B7821" w:rsidRPr="00AC7749" w:rsidRDefault="007B7821" w:rsidP="007B7821">
      <w:pPr>
        <w:spacing w:after="0" w:line="240" w:lineRule="auto"/>
        <w:ind w:firstLine="709"/>
        <w:jc w:val="both"/>
        <w:rPr>
          <w:rFonts w:ascii="Verdana" w:eastAsia="Times New Roman" w:hAnsi="Verdana" w:cs="Arial"/>
          <w:sz w:val="16"/>
          <w:szCs w:val="16"/>
        </w:rPr>
      </w:pPr>
      <w:r w:rsidRPr="00AC774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C0BFBE" w14:textId="77777777" w:rsidR="007B7821" w:rsidRPr="00AC7749" w:rsidRDefault="007B7821" w:rsidP="007B7821">
      <w:pPr>
        <w:spacing w:after="0" w:line="240" w:lineRule="auto"/>
        <w:ind w:firstLine="709"/>
        <w:jc w:val="both"/>
        <w:rPr>
          <w:rFonts w:ascii="Verdana" w:eastAsia="Times New Roman" w:hAnsi="Verdana" w:cs="Arial"/>
          <w:sz w:val="16"/>
          <w:szCs w:val="16"/>
        </w:rPr>
      </w:pPr>
    </w:p>
  </w:footnote>
  <w:footnote w:id="30">
    <w:p w14:paraId="2C88C560" w14:textId="77777777" w:rsidR="007B7821" w:rsidRPr="00AC7749" w:rsidRDefault="007B7821" w:rsidP="007B7821">
      <w:pPr>
        <w:pStyle w:val="NormalWeb"/>
        <w:spacing w:before="0" w:beforeAutospacing="0" w:after="0" w:afterAutospacing="0"/>
        <w:ind w:firstLine="709"/>
        <w:jc w:val="both"/>
        <w:rPr>
          <w:rFonts w:ascii="Verdana" w:hAnsi="Verdana" w:cs="Arial"/>
          <w:sz w:val="16"/>
          <w:szCs w:val="16"/>
          <w:lang w:val="es-MX"/>
        </w:rPr>
      </w:pPr>
      <w:r w:rsidRPr="00AC7749">
        <w:rPr>
          <w:rStyle w:val="Refdenotaalpie"/>
          <w:rFonts w:ascii="Verdana" w:eastAsiaTheme="majorEastAsia" w:hAnsi="Verdana" w:cs="Arial"/>
          <w:sz w:val="16"/>
          <w:szCs w:val="16"/>
        </w:rPr>
        <w:footnoteRef/>
      </w:r>
      <w:r w:rsidRPr="00AC7749">
        <w:rPr>
          <w:rFonts w:ascii="Verdana" w:hAnsi="Verdana" w:cs="Arial"/>
          <w:sz w:val="16"/>
          <w:szCs w:val="16"/>
        </w:rPr>
        <w:t xml:space="preserve"> </w:t>
      </w:r>
      <w:bookmarkStart w:id="7" w:name="38"/>
      <w:r w:rsidRPr="00AC7749">
        <w:rPr>
          <w:rFonts w:ascii="Verdana" w:eastAsia="Calibri" w:hAnsi="Verdana" w:cs="Arial"/>
          <w:color w:val="000000"/>
          <w:sz w:val="16"/>
          <w:szCs w:val="16"/>
        </w:rPr>
        <w:t>“</w:t>
      </w:r>
      <w:r w:rsidRPr="00AC7749">
        <w:rPr>
          <w:rFonts w:ascii="Verdana" w:hAnsi="Verdana" w:cs="Arial"/>
          <w:sz w:val="16"/>
          <w:szCs w:val="16"/>
          <w:lang w:val="es-MX"/>
        </w:rPr>
        <w:t>Artículo 38. Prohibiciones para los servidores públicos. A los empleados del Estado les está prohibido:</w:t>
      </w:r>
      <w:bookmarkEnd w:id="7"/>
    </w:p>
    <w:p w14:paraId="1608B657" w14:textId="77777777" w:rsidR="007B7821" w:rsidRPr="00AC7749" w:rsidRDefault="007B7821" w:rsidP="007B7821">
      <w:pPr>
        <w:pStyle w:val="NormalWeb"/>
        <w:spacing w:before="0" w:beforeAutospacing="0" w:after="0" w:afterAutospacing="0"/>
        <w:ind w:firstLine="709"/>
        <w:jc w:val="both"/>
        <w:rPr>
          <w:rFonts w:ascii="Verdana" w:hAnsi="Verdana" w:cs="Arial"/>
          <w:sz w:val="16"/>
          <w:szCs w:val="16"/>
          <w:lang w:val="es-MX"/>
        </w:rPr>
      </w:pPr>
      <w:r w:rsidRPr="00AC7749">
        <w:rPr>
          <w:rFonts w:ascii="Verdana" w:hAnsi="Verdana" w:cs="Arial"/>
          <w:sz w:val="16"/>
          <w:szCs w:val="16"/>
          <w:lang w:val="es-MX"/>
        </w:rPr>
        <w:t>(…)</w:t>
      </w:r>
    </w:p>
    <w:p w14:paraId="6747DF80" w14:textId="77777777" w:rsidR="007B7821" w:rsidRPr="00AC7749" w:rsidRDefault="007B7821" w:rsidP="007B7821">
      <w:pPr>
        <w:pStyle w:val="NormalWeb"/>
        <w:spacing w:before="0" w:beforeAutospacing="0" w:after="0" w:afterAutospacing="0"/>
        <w:ind w:firstLine="709"/>
        <w:jc w:val="both"/>
        <w:rPr>
          <w:rFonts w:ascii="Verdana" w:eastAsia="Calibri" w:hAnsi="Verdana" w:cs="Arial"/>
          <w:color w:val="000000"/>
          <w:sz w:val="16"/>
          <w:szCs w:val="16"/>
        </w:rPr>
      </w:pPr>
      <w:r w:rsidRPr="00AC7749">
        <w:rPr>
          <w:rStyle w:val="baj"/>
          <w:rFonts w:ascii="Verdana" w:eastAsia="Verdana" w:hAnsi="Verdana" w:cs="Arial"/>
          <w:sz w:val="16"/>
          <w:szCs w:val="16"/>
          <w:lang w:val="es-MX"/>
        </w:rPr>
        <w:t>Parágrafo.</w:t>
      </w:r>
      <w:r w:rsidRPr="00AC774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C7749">
        <w:rPr>
          <w:rFonts w:ascii="Verdana" w:eastAsia="Calibri" w:hAnsi="Verdana" w:cs="Arial"/>
          <w:color w:val="000000"/>
          <w:sz w:val="16"/>
          <w:szCs w:val="16"/>
        </w:rPr>
        <w:t>”.</w:t>
      </w:r>
    </w:p>
    <w:p w14:paraId="4B561EAC" w14:textId="77777777" w:rsidR="007B7821" w:rsidRPr="00AC7749" w:rsidRDefault="007B7821" w:rsidP="007B7821">
      <w:pPr>
        <w:pStyle w:val="NormalWeb"/>
        <w:spacing w:before="0" w:beforeAutospacing="0" w:after="0" w:afterAutospacing="0"/>
        <w:ind w:firstLine="709"/>
        <w:jc w:val="both"/>
        <w:rPr>
          <w:rFonts w:ascii="Verdana" w:hAnsi="Verdana" w:cs="Arial"/>
          <w:sz w:val="16"/>
          <w:szCs w:val="16"/>
          <w:lang w:val="es-MX"/>
        </w:rPr>
      </w:pPr>
    </w:p>
  </w:footnote>
  <w:footnote w:id="31">
    <w:p w14:paraId="41E378E9" w14:textId="77777777" w:rsidR="007B7821" w:rsidRDefault="007B7821" w:rsidP="007B7821">
      <w:pPr>
        <w:pStyle w:val="Textonotapie"/>
        <w:ind w:firstLine="708"/>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Colombia Compra Eficiente. Circular Externa Única. Numeral 16.5. </w:t>
      </w:r>
    </w:p>
    <w:p w14:paraId="4EA266F9" w14:textId="77777777" w:rsidR="007B7821" w:rsidRPr="00AC7749" w:rsidRDefault="007B7821" w:rsidP="007B7821">
      <w:pPr>
        <w:pStyle w:val="Textonotapie"/>
        <w:ind w:firstLine="708"/>
        <w:jc w:val="both"/>
        <w:rPr>
          <w:rFonts w:ascii="Verdana" w:hAnsi="Verdana" w:cs="Arial"/>
          <w:sz w:val="16"/>
          <w:szCs w:val="16"/>
        </w:rPr>
      </w:pPr>
    </w:p>
  </w:footnote>
  <w:footnote w:id="32">
    <w:p w14:paraId="4755409D" w14:textId="77777777" w:rsidR="007B7821" w:rsidRPr="00AC7749" w:rsidRDefault="007B7821" w:rsidP="007B7821">
      <w:pPr>
        <w:tabs>
          <w:tab w:val="left" w:pos="2127"/>
        </w:tabs>
        <w:spacing w:after="0" w:line="240" w:lineRule="auto"/>
        <w:ind w:left="100" w:right="244"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Consejo de Estado. Sala de Consulta y Servicio Civil. Concepto del 17 de febrero de 2015. Radicado: 11001-03-06-000-2015-00164-00 (2269). C.P. William Zambrano Cetina.</w:t>
      </w:r>
    </w:p>
    <w:p w14:paraId="2C9C9EED" w14:textId="77777777" w:rsidR="007B7821" w:rsidRPr="00AC7749" w:rsidRDefault="007B7821" w:rsidP="007B7821">
      <w:pPr>
        <w:spacing w:after="0" w:line="240" w:lineRule="auto"/>
        <w:ind w:left="100" w:right="244" w:firstLine="709"/>
        <w:jc w:val="both"/>
        <w:rPr>
          <w:rFonts w:ascii="Verdana" w:hAnsi="Verdana" w:cs="Arial"/>
          <w:sz w:val="16"/>
          <w:szCs w:val="16"/>
          <w:lang w:val="es-ES"/>
        </w:rPr>
      </w:pPr>
    </w:p>
  </w:footnote>
  <w:footnote w:id="33">
    <w:p w14:paraId="0F89C66A"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w:t>
      </w:r>
      <w:r w:rsidRPr="00AC7749">
        <w:rPr>
          <w:rFonts w:ascii="Verdana" w:hAnsi="Verdana" w:cs="Arial"/>
          <w:sz w:val="16"/>
          <w:szCs w:val="16"/>
          <w:lang w:val="es-ES"/>
        </w:rPr>
        <w:t xml:space="preserve">[25] </w:t>
      </w:r>
      <w:r w:rsidRPr="00AC7749">
        <w:rPr>
          <w:rFonts w:ascii="Verdana" w:hAnsi="Verdana" w:cs="Arial"/>
          <w:sz w:val="16"/>
          <w:szCs w:val="16"/>
        </w:rPr>
        <w:t>Cfr. Consejo de Estado. Sección Tercera. Sentencia de 3 de diciembre de 2007. Radicados: 24.715, 25.206, 25.409, 24.524, 27.834, 25.410, 26.105, 28.244, 31.447 -acumulados</w:t>
      </w:r>
      <w:proofErr w:type="gramStart"/>
      <w:r w:rsidRPr="00AC7749">
        <w:rPr>
          <w:rFonts w:ascii="Verdana" w:hAnsi="Verdana" w:cs="Arial"/>
          <w:sz w:val="16"/>
          <w:szCs w:val="16"/>
        </w:rPr>
        <w:t>-“</w:t>
      </w:r>
      <w:proofErr w:type="gramEnd"/>
      <w:r w:rsidRPr="00AC7749">
        <w:rPr>
          <w:rFonts w:ascii="Verdana" w:hAnsi="Verdana" w:cs="Arial"/>
          <w:sz w:val="16"/>
          <w:szCs w:val="16"/>
        </w:rPr>
        <w:t>.</w:t>
      </w:r>
    </w:p>
    <w:p w14:paraId="338D7B98" w14:textId="77777777" w:rsidR="007B7821" w:rsidRPr="00AC7749" w:rsidRDefault="007B7821" w:rsidP="007B7821">
      <w:pPr>
        <w:pStyle w:val="Textonotapie"/>
        <w:ind w:firstLine="709"/>
        <w:jc w:val="both"/>
        <w:rPr>
          <w:rFonts w:ascii="Verdana" w:hAnsi="Verdana" w:cs="Arial"/>
          <w:sz w:val="16"/>
          <w:szCs w:val="16"/>
        </w:rPr>
      </w:pPr>
    </w:p>
  </w:footnote>
  <w:footnote w:id="34">
    <w:p w14:paraId="55CB3AB4"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w:t>
      </w:r>
      <w:bookmarkStart w:id="15" w:name="_Hlk74294506"/>
      <w:r w:rsidRPr="00AC7749">
        <w:rPr>
          <w:rFonts w:ascii="Verdana" w:hAnsi="Verdana" w:cs="Arial"/>
          <w:sz w:val="16"/>
          <w:szCs w:val="16"/>
        </w:rPr>
        <w:t>“</w:t>
      </w:r>
      <w:r w:rsidRPr="00AC7749">
        <w:rPr>
          <w:rFonts w:ascii="Verdana" w:hAnsi="Verdana" w:cs="Arial"/>
          <w:sz w:val="16"/>
          <w:szCs w:val="16"/>
          <w:lang w:val="es-ES"/>
        </w:rPr>
        <w:t xml:space="preserve">[26] </w:t>
      </w:r>
      <w:bookmarkEnd w:id="15"/>
      <w:r w:rsidRPr="00AC7749">
        <w:rPr>
          <w:rFonts w:ascii="Verdana" w:hAnsi="Verdana" w:cs="Arial"/>
          <w:sz w:val="16"/>
          <w:szCs w:val="16"/>
        </w:rPr>
        <w:t>Al respecto ver el concepto 1712 de 2 de febrero de 2006. Consejo de Estado Sala de Consulta y Servicio Civil”.</w:t>
      </w:r>
    </w:p>
    <w:p w14:paraId="7097E5FA" w14:textId="77777777" w:rsidR="007B7821" w:rsidRPr="00AC7749" w:rsidRDefault="007B7821" w:rsidP="007B7821">
      <w:pPr>
        <w:pStyle w:val="Textonotapie"/>
        <w:ind w:firstLine="709"/>
        <w:jc w:val="both"/>
        <w:rPr>
          <w:rFonts w:ascii="Verdana" w:hAnsi="Verdana" w:cs="Arial"/>
          <w:sz w:val="16"/>
          <w:szCs w:val="16"/>
        </w:rPr>
      </w:pPr>
    </w:p>
  </w:footnote>
  <w:footnote w:id="35">
    <w:p w14:paraId="0E5E98D1"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5E193A1A" w14:textId="77777777" w:rsidR="007B7821" w:rsidRPr="00435A6A" w:rsidRDefault="007B7821" w:rsidP="007B7821">
      <w:pPr>
        <w:pStyle w:val="Textonotapie"/>
        <w:ind w:firstLine="709"/>
        <w:jc w:val="both"/>
        <w:rPr>
          <w:rFonts w:ascii="Verdana" w:hAnsi="Verdana" w:cs="Arial"/>
          <w:sz w:val="14"/>
          <w:szCs w:val="14"/>
        </w:rPr>
      </w:pPr>
    </w:p>
  </w:footnote>
  <w:footnote w:id="36">
    <w:p w14:paraId="08D6EFC9" w14:textId="77777777" w:rsidR="007B7821" w:rsidRPr="00AC7749" w:rsidRDefault="007B7821" w:rsidP="007B7821">
      <w:pPr>
        <w:pStyle w:val="Textonotapie"/>
        <w:ind w:firstLine="709"/>
        <w:rPr>
          <w:rFonts w:ascii="Verdana" w:hAnsi="Verdana" w:cs="Arial"/>
          <w:sz w:val="16"/>
          <w:szCs w:val="16"/>
          <w:lang w:val="es-ES"/>
        </w:rPr>
      </w:pPr>
      <w:r w:rsidRPr="00AC7749">
        <w:rPr>
          <w:rStyle w:val="Refdenotaalpie"/>
          <w:rFonts w:ascii="Verdana" w:hAnsi="Verdana" w:cs="Arial"/>
          <w:sz w:val="16"/>
          <w:szCs w:val="16"/>
        </w:rPr>
        <w:footnoteRef/>
      </w:r>
      <w:r w:rsidRPr="00AC7749">
        <w:rPr>
          <w:rFonts w:ascii="Verdana" w:hAnsi="Verdana" w:cs="Arial"/>
          <w:sz w:val="16"/>
          <w:szCs w:val="16"/>
        </w:rPr>
        <w:t xml:space="preserve"> </w:t>
      </w:r>
      <w:r w:rsidRPr="00AC7749">
        <w:rPr>
          <w:rFonts w:ascii="Verdana" w:hAnsi="Verdana" w:cs="Arial"/>
          <w:sz w:val="16"/>
          <w:szCs w:val="16"/>
          <w:lang w:val="es-ES"/>
        </w:rPr>
        <w:t xml:space="preserve">Artículo 2. </w:t>
      </w:r>
    </w:p>
    <w:p w14:paraId="38B99A8E" w14:textId="77777777" w:rsidR="007B7821" w:rsidRPr="00AC7749" w:rsidRDefault="007B7821" w:rsidP="007B7821">
      <w:pPr>
        <w:pStyle w:val="Textonotapie"/>
        <w:ind w:firstLine="709"/>
        <w:rPr>
          <w:rFonts w:ascii="Verdana" w:hAnsi="Verdana" w:cs="Arial"/>
          <w:sz w:val="16"/>
          <w:szCs w:val="16"/>
          <w:lang w:val="es-ES"/>
        </w:rPr>
      </w:pPr>
    </w:p>
  </w:footnote>
  <w:footnote w:id="37">
    <w:p w14:paraId="436B1DB1" w14:textId="77777777" w:rsidR="007B7821" w:rsidRPr="00AC7749" w:rsidRDefault="007B7821" w:rsidP="007B7821">
      <w:pPr>
        <w:pStyle w:val="Textonotapie"/>
        <w:ind w:firstLine="709"/>
        <w:rPr>
          <w:rFonts w:ascii="Verdana" w:hAnsi="Verdana" w:cs="Arial"/>
          <w:sz w:val="16"/>
          <w:szCs w:val="16"/>
          <w:lang w:val="es-ES"/>
        </w:rPr>
      </w:pPr>
      <w:r w:rsidRPr="00AC7749">
        <w:rPr>
          <w:rStyle w:val="Refdenotaalpie"/>
          <w:rFonts w:ascii="Verdana" w:hAnsi="Verdana" w:cs="Arial"/>
          <w:sz w:val="16"/>
          <w:szCs w:val="16"/>
        </w:rPr>
        <w:footnoteRef/>
      </w:r>
      <w:r w:rsidRPr="00AC7749">
        <w:rPr>
          <w:rFonts w:ascii="Verdana" w:hAnsi="Verdana" w:cs="Arial"/>
          <w:sz w:val="16"/>
          <w:szCs w:val="16"/>
        </w:rPr>
        <w:t xml:space="preserve"> </w:t>
      </w:r>
      <w:r w:rsidRPr="00AC7749">
        <w:rPr>
          <w:rFonts w:ascii="Verdana" w:hAnsi="Verdana" w:cs="Arial"/>
          <w:i/>
          <w:sz w:val="16"/>
          <w:szCs w:val="16"/>
          <w:lang w:val="es-ES"/>
        </w:rPr>
        <w:t>Ídem</w:t>
      </w:r>
      <w:r w:rsidRPr="00AC7749">
        <w:rPr>
          <w:rFonts w:ascii="Verdana" w:hAnsi="Verdana" w:cs="Arial"/>
          <w:sz w:val="16"/>
          <w:szCs w:val="16"/>
          <w:lang w:val="es-ES"/>
        </w:rPr>
        <w:t>.</w:t>
      </w:r>
    </w:p>
    <w:p w14:paraId="7F5EDC8C" w14:textId="77777777" w:rsidR="007B7821" w:rsidRPr="00AC7749" w:rsidRDefault="007B7821" w:rsidP="007B7821">
      <w:pPr>
        <w:pStyle w:val="Textonotapie"/>
        <w:ind w:firstLine="709"/>
        <w:rPr>
          <w:rFonts w:ascii="Verdana" w:hAnsi="Verdana" w:cs="Arial"/>
          <w:sz w:val="16"/>
          <w:szCs w:val="16"/>
          <w:lang w:val="es-ES"/>
        </w:rPr>
      </w:pPr>
    </w:p>
  </w:footnote>
  <w:footnote w:id="38">
    <w:p w14:paraId="753FF179" w14:textId="77777777" w:rsidR="007B7821" w:rsidRPr="00AC7749" w:rsidRDefault="007B7821" w:rsidP="007B7821">
      <w:pPr>
        <w:pStyle w:val="Textonotapie"/>
        <w:ind w:firstLine="709"/>
        <w:rPr>
          <w:rFonts w:ascii="Verdana" w:hAnsi="Verdana" w:cs="Arial"/>
          <w:sz w:val="16"/>
          <w:szCs w:val="16"/>
          <w:lang w:val="es-ES"/>
        </w:rPr>
      </w:pPr>
      <w:r w:rsidRPr="00AC7749">
        <w:rPr>
          <w:rStyle w:val="Refdenotaalpie"/>
          <w:rFonts w:ascii="Verdana" w:hAnsi="Verdana" w:cs="Arial"/>
          <w:sz w:val="16"/>
          <w:szCs w:val="16"/>
        </w:rPr>
        <w:footnoteRef/>
      </w:r>
      <w:r w:rsidRPr="00AC7749">
        <w:rPr>
          <w:rStyle w:val="Refdenotaalpie"/>
          <w:rFonts w:ascii="Verdana" w:hAnsi="Verdana" w:cs="Arial"/>
          <w:sz w:val="16"/>
          <w:szCs w:val="16"/>
        </w:rPr>
        <w:t xml:space="preserve"> </w:t>
      </w:r>
      <w:r w:rsidRPr="00AC7749">
        <w:rPr>
          <w:rFonts w:ascii="Verdana" w:hAnsi="Verdana" w:cs="Arial"/>
          <w:sz w:val="16"/>
          <w:szCs w:val="16"/>
          <w:lang w:val="es-ES"/>
        </w:rPr>
        <w:t xml:space="preserve">[…] A este respecto, cabe recordar que el artículo 860 del Código de Comercio regula la licitación en el derecho privado. </w:t>
      </w:r>
    </w:p>
    <w:p w14:paraId="311FB0A9" w14:textId="77777777" w:rsidR="007B7821" w:rsidRPr="00AC7749" w:rsidRDefault="007B7821" w:rsidP="007B7821">
      <w:pPr>
        <w:pStyle w:val="Textonotapie"/>
        <w:ind w:firstLine="709"/>
        <w:rPr>
          <w:rFonts w:ascii="Verdana" w:hAnsi="Verdana" w:cs="Arial"/>
          <w:sz w:val="16"/>
          <w:szCs w:val="16"/>
          <w:lang w:val="es-ES"/>
        </w:rPr>
      </w:pPr>
    </w:p>
  </w:footnote>
  <w:footnote w:id="39">
    <w:p w14:paraId="27C9070E" w14:textId="77777777" w:rsidR="007B7821" w:rsidRPr="00AC7749" w:rsidRDefault="007B7821" w:rsidP="007B7821">
      <w:pPr>
        <w:shd w:val="clear" w:color="auto" w:fill="FFFFFF"/>
        <w:spacing w:after="0" w:line="240" w:lineRule="auto"/>
        <w:ind w:firstLine="709"/>
        <w:jc w:val="both"/>
        <w:rPr>
          <w:rFonts w:ascii="Verdana" w:hAnsi="Verdana" w:cs="Arial"/>
          <w:sz w:val="16"/>
          <w:szCs w:val="16"/>
          <w:lang w:val="es-ES"/>
        </w:rPr>
      </w:pPr>
      <w:r w:rsidRPr="00AC7749">
        <w:rPr>
          <w:rStyle w:val="Refdenotaalpie"/>
          <w:rFonts w:ascii="Verdana" w:hAnsi="Verdana" w:cs="Arial"/>
          <w:sz w:val="16"/>
          <w:szCs w:val="16"/>
        </w:rPr>
        <w:footnoteRef/>
      </w:r>
      <w:r w:rsidRPr="00AC7749">
        <w:rPr>
          <w:rStyle w:val="Refdenotaalpie"/>
          <w:rFonts w:ascii="Verdana" w:hAnsi="Verdana" w:cs="Arial"/>
          <w:sz w:val="16"/>
          <w:szCs w:val="16"/>
        </w:rPr>
        <w:t xml:space="preserve"> </w:t>
      </w:r>
      <w:r w:rsidRPr="00AC7749">
        <w:rPr>
          <w:rFonts w:ascii="Verdana" w:hAnsi="Verdana" w:cs="Arial"/>
          <w:sz w:val="16"/>
          <w:szCs w:val="16"/>
          <w:lang w:val="es-ES"/>
        </w:rPr>
        <w:t>Consejo de Estado. Sala de Consulta y Servicio Civil, Concepto de 8 de mayo de 2018. Radicación Número: 11001-03-06-000-2018-00095-00 (2382). C.P: Álvaro Namén Vargas.</w:t>
      </w:r>
    </w:p>
    <w:p w14:paraId="66207EBF" w14:textId="77777777" w:rsidR="007B7821" w:rsidRPr="00AC7749" w:rsidRDefault="007B7821" w:rsidP="007B7821">
      <w:pPr>
        <w:shd w:val="clear" w:color="auto" w:fill="FFFFFF"/>
        <w:spacing w:after="0" w:line="240" w:lineRule="auto"/>
        <w:ind w:firstLine="709"/>
        <w:jc w:val="both"/>
        <w:rPr>
          <w:rFonts w:ascii="Verdana" w:hAnsi="Verdana" w:cs="Arial"/>
          <w:sz w:val="16"/>
          <w:szCs w:val="16"/>
          <w:lang w:val="es-ES"/>
        </w:rPr>
      </w:pPr>
    </w:p>
  </w:footnote>
  <w:footnote w:id="40">
    <w:p w14:paraId="07AB5D5A"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Consejo de Estado. Sala de Consulta y Servicio Civil. Concepto del 08 de mayo de 2018. </w:t>
      </w:r>
      <w:proofErr w:type="spellStart"/>
      <w:r w:rsidRPr="00AC7749">
        <w:rPr>
          <w:rFonts w:ascii="Verdana" w:hAnsi="Verdana" w:cs="Arial"/>
          <w:sz w:val="16"/>
          <w:szCs w:val="16"/>
        </w:rPr>
        <w:t>Exp</w:t>
      </w:r>
      <w:proofErr w:type="spellEnd"/>
      <w:r w:rsidRPr="00AC7749">
        <w:rPr>
          <w:rFonts w:ascii="Verdana" w:hAnsi="Verdana" w:cs="Arial"/>
          <w:sz w:val="16"/>
          <w:szCs w:val="16"/>
        </w:rPr>
        <w:t>. 2.382. C.P. Álvaro Namén Vargas.</w:t>
      </w:r>
    </w:p>
    <w:p w14:paraId="5428F1C1" w14:textId="77777777" w:rsidR="007B7821" w:rsidRPr="00AC7749" w:rsidRDefault="007B7821" w:rsidP="007B7821">
      <w:pPr>
        <w:pStyle w:val="Textonotapie"/>
        <w:ind w:firstLine="709"/>
        <w:jc w:val="both"/>
        <w:rPr>
          <w:rFonts w:ascii="Verdana" w:hAnsi="Verdana" w:cs="Arial"/>
          <w:sz w:val="16"/>
          <w:szCs w:val="16"/>
        </w:rPr>
      </w:pPr>
    </w:p>
  </w:footnote>
  <w:footnote w:id="41">
    <w:p w14:paraId="41CF4B76" w14:textId="77777777" w:rsidR="007B7821" w:rsidRPr="00AC7749" w:rsidRDefault="007B7821" w:rsidP="007B7821">
      <w:pPr>
        <w:pStyle w:val="Textonotapie"/>
        <w:ind w:firstLine="709"/>
        <w:rPr>
          <w:rFonts w:ascii="Verdana" w:hAnsi="Verdana"/>
          <w:sz w:val="16"/>
          <w:szCs w:val="16"/>
          <w:lang w:val="es-ES"/>
        </w:rPr>
      </w:pPr>
      <w:r w:rsidRPr="00AC7749">
        <w:rPr>
          <w:rStyle w:val="Refdenotaalpie"/>
          <w:rFonts w:ascii="Verdana" w:hAnsi="Verdana"/>
          <w:sz w:val="16"/>
          <w:szCs w:val="16"/>
        </w:rPr>
        <w:footnoteRef/>
      </w:r>
      <w:r w:rsidRPr="00AC7749">
        <w:rPr>
          <w:rFonts w:ascii="Verdana" w:hAnsi="Verdana"/>
          <w:sz w:val="16"/>
          <w:szCs w:val="16"/>
        </w:rPr>
        <w:t xml:space="preserve"> </w:t>
      </w:r>
      <w:r w:rsidRPr="00AC7749">
        <w:rPr>
          <w:rFonts w:ascii="Verdana" w:hAnsi="Verdana"/>
          <w:sz w:val="16"/>
          <w:szCs w:val="16"/>
          <w:lang w:val="es-ES"/>
        </w:rPr>
        <w:t xml:space="preserve">Agencia Nacional de Contratación Pública. Circular Externa 006 del 25 de septiembre de 2025. Disponible en </w:t>
      </w:r>
      <w:hyperlink r:id="rId3" w:history="1">
        <w:r w:rsidRPr="00AC7749">
          <w:rPr>
            <w:rStyle w:val="Hipervnculo"/>
            <w:rFonts w:ascii="Verdana" w:hAnsi="Verdana"/>
            <w:sz w:val="16"/>
            <w:szCs w:val="16"/>
            <w:lang w:val="es-CO"/>
          </w:rPr>
          <w:t>006-de-2025-Circular-Externa-L996-ajustado-comentarios-BM-BID-Rev-ARSC-V3.d-1.pdf</w:t>
        </w:r>
      </w:hyperlink>
    </w:p>
    <w:p w14:paraId="488EB93F" w14:textId="77777777" w:rsidR="007B7821" w:rsidRPr="00AD17FF" w:rsidRDefault="007B7821" w:rsidP="007B7821">
      <w:pPr>
        <w:pStyle w:val="Textonotapie"/>
        <w:rPr>
          <w:rFonts w:ascii="Verdana" w:hAnsi="Verdana"/>
          <w:sz w:val="14"/>
          <w:szCs w:val="14"/>
          <w:lang w:val="es-ES"/>
        </w:rPr>
      </w:pPr>
    </w:p>
  </w:footnote>
  <w:footnote w:id="42">
    <w:p w14:paraId="26657563" w14:textId="77777777" w:rsidR="007B7821" w:rsidRPr="00AC7749" w:rsidRDefault="007B7821" w:rsidP="007B7821">
      <w:pPr>
        <w:spacing w:after="0" w:line="240" w:lineRule="auto"/>
        <w:ind w:firstLine="709"/>
        <w:jc w:val="both"/>
        <w:rPr>
          <w:rFonts w:ascii="Verdana" w:hAnsi="Verdana" w:cs="Arial"/>
          <w:color w:val="000000" w:themeColor="text1"/>
          <w:sz w:val="16"/>
          <w:szCs w:val="16"/>
        </w:rPr>
      </w:pPr>
      <w:r w:rsidRPr="00AC7749">
        <w:rPr>
          <w:rStyle w:val="Refdenotaalpie"/>
          <w:rFonts w:ascii="Verdana" w:hAnsi="Verdana" w:cs="Arial"/>
          <w:color w:val="000000" w:themeColor="text1"/>
          <w:sz w:val="16"/>
          <w:szCs w:val="16"/>
        </w:rPr>
        <w:footnoteRef/>
      </w:r>
      <w:r w:rsidRPr="00AC7749">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D552617" w14:textId="77777777" w:rsidR="007B7821" w:rsidRPr="00AC7749" w:rsidRDefault="007B7821" w:rsidP="007B7821">
      <w:pPr>
        <w:spacing w:after="0" w:line="240" w:lineRule="auto"/>
        <w:ind w:firstLine="709"/>
        <w:jc w:val="both"/>
        <w:rPr>
          <w:rFonts w:ascii="Verdana" w:hAnsi="Verdana" w:cs="Arial"/>
          <w:color w:val="000000" w:themeColor="text1"/>
          <w:sz w:val="16"/>
          <w:szCs w:val="16"/>
        </w:rPr>
      </w:pPr>
    </w:p>
  </w:footnote>
  <w:footnote w:id="43">
    <w:p w14:paraId="66A31300" w14:textId="77777777" w:rsidR="007B7821" w:rsidRPr="00AC7749" w:rsidRDefault="007B7821" w:rsidP="007B7821">
      <w:pPr>
        <w:pStyle w:val="Textonotapie"/>
        <w:ind w:firstLine="709"/>
        <w:jc w:val="both"/>
        <w:rPr>
          <w:rFonts w:ascii="Verdana" w:eastAsia="Times New Roman" w:hAnsi="Verdana" w:cs="Arial"/>
          <w:color w:val="000000" w:themeColor="text1"/>
          <w:sz w:val="16"/>
          <w:szCs w:val="16"/>
          <w:lang w:eastAsia="x-none"/>
        </w:rPr>
      </w:pPr>
      <w:r w:rsidRPr="00AC7749">
        <w:rPr>
          <w:rStyle w:val="Refdenotaalpie"/>
          <w:rFonts w:ascii="Verdana" w:hAnsi="Verdana" w:cs="Arial"/>
          <w:color w:val="000000" w:themeColor="text1"/>
          <w:sz w:val="16"/>
          <w:szCs w:val="16"/>
        </w:rPr>
        <w:footnoteRef/>
      </w:r>
      <w:r w:rsidRPr="00AC7749">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AC7749">
        <w:rPr>
          <w:rFonts w:ascii="Verdana" w:eastAsia="Times New Roman" w:hAnsi="Verdana" w:cs="Arial"/>
          <w:color w:val="000000" w:themeColor="text1"/>
          <w:sz w:val="16"/>
          <w:szCs w:val="16"/>
          <w:lang w:eastAsia="x-none"/>
        </w:rPr>
        <w:t xml:space="preserve"> </w:t>
      </w:r>
      <w:bookmarkStart w:id="19" w:name="_Hlk97890572"/>
      <w:r w:rsidRPr="00AC7749">
        <w:rPr>
          <w:rFonts w:ascii="Verdana" w:eastAsia="Times New Roman" w:hAnsi="Verdana" w:cs="Arial"/>
          <w:color w:val="000000" w:themeColor="text1"/>
          <w:sz w:val="16"/>
          <w:szCs w:val="16"/>
          <w:lang w:eastAsia="x-none"/>
        </w:rPr>
        <w:t>“</w:t>
      </w:r>
      <w:r w:rsidRPr="00AC7749">
        <w:rPr>
          <w:rFonts w:ascii="Verdana" w:hAnsi="Verdana" w:cs="Arial"/>
          <w:color w:val="000000" w:themeColor="text1"/>
          <w:sz w:val="16"/>
          <w:szCs w:val="16"/>
        </w:rPr>
        <w:t xml:space="preserve">Si bien en el tema del concepto del que se extractaron </w:t>
      </w:r>
      <w:bookmarkEnd w:id="19"/>
      <w:r w:rsidRPr="00AC7749">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AC7749">
        <w:rPr>
          <w:rFonts w:ascii="Verdana" w:eastAsia="Times New Roman" w:hAnsi="Verdana" w:cs="Arial"/>
          <w:color w:val="000000" w:themeColor="text1"/>
          <w:sz w:val="16"/>
          <w:szCs w:val="16"/>
          <w:lang w:eastAsia="x-none"/>
        </w:rPr>
        <w:t>”.</w:t>
      </w:r>
    </w:p>
    <w:p w14:paraId="191CCE41" w14:textId="77777777" w:rsidR="007B7821" w:rsidRPr="00AC7749" w:rsidRDefault="007B7821" w:rsidP="007B7821">
      <w:pPr>
        <w:pStyle w:val="Textonotapie"/>
        <w:ind w:firstLine="709"/>
        <w:jc w:val="both"/>
        <w:rPr>
          <w:rFonts w:ascii="Verdana" w:hAnsi="Verdana" w:cs="Arial"/>
          <w:color w:val="000000" w:themeColor="text1"/>
          <w:sz w:val="16"/>
          <w:szCs w:val="16"/>
        </w:rPr>
      </w:pPr>
    </w:p>
  </w:footnote>
  <w:footnote w:id="44">
    <w:p w14:paraId="012152A2" w14:textId="77777777" w:rsidR="007B7821" w:rsidRPr="00AC7749" w:rsidRDefault="007B7821" w:rsidP="007B7821">
      <w:pPr>
        <w:spacing w:after="0" w:line="240" w:lineRule="auto"/>
        <w:ind w:firstLine="709"/>
        <w:jc w:val="both"/>
        <w:rPr>
          <w:rFonts w:ascii="Verdana" w:hAnsi="Verdana" w:cs="Arial"/>
          <w:color w:val="000000" w:themeColor="text1"/>
          <w:sz w:val="16"/>
          <w:szCs w:val="16"/>
        </w:rPr>
      </w:pPr>
      <w:r w:rsidRPr="00AC7749">
        <w:rPr>
          <w:rStyle w:val="Refdenotaalpie"/>
          <w:rFonts w:ascii="Verdana" w:hAnsi="Verdana" w:cs="Arial"/>
          <w:color w:val="000000" w:themeColor="text1"/>
          <w:sz w:val="16"/>
          <w:szCs w:val="16"/>
        </w:rPr>
        <w:footnoteRef/>
      </w:r>
      <w:r w:rsidRPr="00AC7749">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766BBB1C" w14:textId="77777777" w:rsidR="007B7821" w:rsidRPr="00AC7749" w:rsidRDefault="007B7821" w:rsidP="007B7821">
      <w:pPr>
        <w:spacing w:after="0" w:line="240" w:lineRule="auto"/>
        <w:ind w:firstLine="709"/>
        <w:jc w:val="both"/>
        <w:rPr>
          <w:rFonts w:ascii="Verdana" w:hAnsi="Verdana" w:cs="Arial"/>
          <w:color w:val="000000" w:themeColor="text1"/>
          <w:sz w:val="16"/>
          <w:szCs w:val="16"/>
        </w:rPr>
      </w:pPr>
    </w:p>
  </w:footnote>
  <w:footnote w:id="45">
    <w:p w14:paraId="1DF60C19" w14:textId="77777777" w:rsidR="007B7821" w:rsidRPr="00AC7749" w:rsidRDefault="007B7821" w:rsidP="007B7821">
      <w:pPr>
        <w:pStyle w:val="Textonotapie"/>
        <w:ind w:firstLine="709"/>
        <w:rPr>
          <w:rFonts w:ascii="Verdana" w:hAnsi="Verdana" w:cs="Arial"/>
          <w:color w:val="000000" w:themeColor="text1"/>
          <w:sz w:val="16"/>
          <w:szCs w:val="16"/>
        </w:rPr>
      </w:pPr>
      <w:r w:rsidRPr="00AC7749">
        <w:rPr>
          <w:rStyle w:val="Refdenotaalpie"/>
          <w:rFonts w:ascii="Verdana" w:hAnsi="Verdana" w:cs="Arial"/>
          <w:color w:val="000000" w:themeColor="text1"/>
          <w:sz w:val="16"/>
          <w:szCs w:val="16"/>
        </w:rPr>
        <w:footnoteRef/>
      </w:r>
      <w:r w:rsidRPr="00AC7749">
        <w:rPr>
          <w:rFonts w:ascii="Verdana" w:hAnsi="Verdana" w:cs="Arial"/>
          <w:color w:val="000000" w:themeColor="text1"/>
          <w:sz w:val="16"/>
          <w:szCs w:val="16"/>
        </w:rPr>
        <w:t xml:space="preserve"> Consejo de Estado. Sala de Consulta y Servicio Civil, ídem.</w:t>
      </w:r>
    </w:p>
    <w:p w14:paraId="033AE1E5" w14:textId="77777777" w:rsidR="007B7821" w:rsidRPr="003A04BF" w:rsidRDefault="007B7821" w:rsidP="007B7821">
      <w:pPr>
        <w:pStyle w:val="Textonotapie"/>
        <w:ind w:firstLine="709"/>
        <w:rPr>
          <w:rFonts w:ascii="Verdana" w:hAnsi="Verdana" w:cs="Arial"/>
          <w:color w:val="000000" w:themeColor="text1"/>
          <w:sz w:val="14"/>
          <w:szCs w:val="14"/>
        </w:rPr>
      </w:pPr>
    </w:p>
  </w:footnote>
  <w:footnote w:id="46">
    <w:p w14:paraId="04F8B442" w14:textId="77777777" w:rsidR="007B7821" w:rsidRPr="00AC7749" w:rsidRDefault="007B7821" w:rsidP="007B7821">
      <w:pPr>
        <w:pStyle w:val="Textonotapie"/>
        <w:ind w:firstLine="709"/>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AC7749">
        <w:rPr>
          <w:rFonts w:ascii="Verdana" w:hAnsi="Verdana" w:cs="Arial"/>
          <w:sz w:val="16"/>
          <w:szCs w:val="16"/>
        </w:rPr>
        <w:t>N°</w:t>
      </w:r>
      <w:proofErr w:type="spellEnd"/>
      <w:r w:rsidRPr="00AC7749">
        <w:rPr>
          <w:rFonts w:ascii="Verdana" w:hAnsi="Verdana" w:cs="Arial"/>
          <w:sz w:val="16"/>
          <w:szCs w:val="16"/>
        </w:rPr>
        <w:t xml:space="preserve"> 216/05 Senado, </w:t>
      </w:r>
      <w:proofErr w:type="spellStart"/>
      <w:r w:rsidRPr="00AC7749">
        <w:rPr>
          <w:rFonts w:ascii="Verdana" w:hAnsi="Verdana" w:cs="Arial"/>
          <w:sz w:val="16"/>
          <w:szCs w:val="16"/>
        </w:rPr>
        <w:t>N°</w:t>
      </w:r>
      <w:proofErr w:type="spellEnd"/>
      <w:r w:rsidRPr="00AC7749">
        <w:rPr>
          <w:rFonts w:ascii="Verdana" w:hAnsi="Verdana" w:cs="Arial"/>
          <w:sz w:val="16"/>
          <w:szCs w:val="16"/>
        </w:rPr>
        <w:t xml:space="preserve"> 235-Cámara que dio lugar a la Ley de Garantías Electorales.</w:t>
      </w:r>
    </w:p>
    <w:p w14:paraId="542805F2" w14:textId="77777777" w:rsidR="007B7821" w:rsidRPr="00AC7749" w:rsidRDefault="007B7821" w:rsidP="007B7821">
      <w:pPr>
        <w:pStyle w:val="Textonotapie"/>
        <w:ind w:firstLine="709"/>
        <w:jc w:val="both"/>
        <w:rPr>
          <w:rFonts w:ascii="Verdana" w:hAnsi="Verdana" w:cs="Arial"/>
          <w:sz w:val="16"/>
          <w:szCs w:val="16"/>
        </w:rPr>
      </w:pPr>
    </w:p>
  </w:footnote>
  <w:footnote w:id="47">
    <w:p w14:paraId="1E78E7B4" w14:textId="77777777" w:rsidR="007B7821" w:rsidRPr="00AC7749" w:rsidRDefault="007B7821" w:rsidP="007B7821">
      <w:pPr>
        <w:pStyle w:val="Textonotapie"/>
        <w:ind w:firstLine="708"/>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Consejo de Estado. Sala de Consulta y Servicio Civil. Concepto del 18 de febrero 2010. Rad. 11001-03-06-000-2010-00006-00 (1985). C.P. Enrique José Arboleda Perdomo.</w:t>
      </w:r>
    </w:p>
    <w:p w14:paraId="1F5DA3EF" w14:textId="77777777" w:rsidR="007B7821" w:rsidRPr="00AC7749" w:rsidRDefault="007B7821" w:rsidP="007B7821">
      <w:pPr>
        <w:pStyle w:val="Textonotapie"/>
        <w:ind w:firstLine="708"/>
        <w:jc w:val="both"/>
        <w:rPr>
          <w:rFonts w:ascii="Verdana" w:hAnsi="Verdana" w:cs="Arial"/>
          <w:sz w:val="16"/>
          <w:szCs w:val="16"/>
        </w:rPr>
      </w:pPr>
    </w:p>
  </w:footnote>
  <w:footnote w:id="48">
    <w:p w14:paraId="6666BC7F" w14:textId="77777777" w:rsidR="007B7821" w:rsidRPr="00AC7749" w:rsidRDefault="007B7821" w:rsidP="007B7821">
      <w:pPr>
        <w:pStyle w:val="Textonotapie"/>
        <w:ind w:firstLine="708"/>
        <w:jc w:val="both"/>
        <w:rPr>
          <w:rFonts w:ascii="Verdana" w:hAnsi="Verdana" w:cs="Arial"/>
          <w:sz w:val="16"/>
          <w:szCs w:val="16"/>
        </w:rPr>
      </w:pPr>
      <w:r w:rsidRPr="00AC7749">
        <w:rPr>
          <w:rStyle w:val="Refdenotaalpie"/>
          <w:rFonts w:ascii="Verdana" w:hAnsi="Verdana" w:cs="Arial"/>
          <w:sz w:val="16"/>
          <w:szCs w:val="16"/>
        </w:rPr>
        <w:footnoteRef/>
      </w:r>
      <w:r w:rsidRPr="00AC7749">
        <w:rPr>
          <w:rFonts w:ascii="Verdana" w:hAnsi="Verdana" w:cs="Arial"/>
          <w:sz w:val="16"/>
          <w:szCs w:val="16"/>
        </w:rPr>
        <w:t xml:space="preserve"> Corte Constitucional. Sentencia C-1153 de 2005 M.P. Marco Gerardo Monroy Cabra. </w:t>
      </w:r>
    </w:p>
    <w:p w14:paraId="0E5A4894" w14:textId="77777777" w:rsidR="007B7821" w:rsidRPr="00AC7749" w:rsidRDefault="007B7821" w:rsidP="007B7821">
      <w:pPr>
        <w:pStyle w:val="Textonotapie"/>
        <w:ind w:firstLine="708"/>
        <w:jc w:val="both"/>
        <w:rPr>
          <w:rFonts w:ascii="Verdana" w:hAnsi="Verdana" w:cs="Arial"/>
          <w:sz w:val="16"/>
          <w:szCs w:val="16"/>
        </w:rPr>
      </w:pPr>
    </w:p>
  </w:footnote>
  <w:footnote w:id="49">
    <w:p w14:paraId="389F1395" w14:textId="77777777" w:rsidR="007B7821" w:rsidRPr="00AC7749" w:rsidRDefault="007B7821" w:rsidP="007B7821">
      <w:pPr>
        <w:pStyle w:val="Textonotapie"/>
        <w:ind w:firstLine="709"/>
        <w:contextualSpacing/>
        <w:jc w:val="both"/>
        <w:rPr>
          <w:rFonts w:ascii="Verdana" w:hAnsi="Verdana" w:cs="Arial"/>
          <w:sz w:val="16"/>
          <w:szCs w:val="16"/>
        </w:rPr>
      </w:pPr>
      <w:r w:rsidRPr="00AC7749">
        <w:rPr>
          <w:rStyle w:val="Refdenotaalpie"/>
          <w:rFonts w:ascii="Verdana" w:hAnsi="Verdana"/>
          <w:sz w:val="16"/>
          <w:szCs w:val="16"/>
        </w:rPr>
        <w:footnoteRef/>
      </w:r>
      <w:r w:rsidRPr="00AC7749">
        <w:rPr>
          <w:rFonts w:ascii="Verdana" w:hAnsi="Verdana"/>
          <w:sz w:val="16"/>
          <w:szCs w:val="16"/>
        </w:rPr>
        <w:t xml:space="preserve"> </w:t>
      </w:r>
      <w:r w:rsidRPr="00AC7749">
        <w:rPr>
          <w:rFonts w:ascii="Verdana" w:hAnsi="Verdana" w:cs="Arial"/>
          <w:sz w:val="16"/>
          <w:szCs w:val="16"/>
        </w:rPr>
        <w:t xml:space="preserve">Consejo de Estado. Sala de lo Contencioso Administrativo. Sección Tercera. Sentencia del 21 de febrero de 2025. </w:t>
      </w:r>
      <w:proofErr w:type="spellStart"/>
      <w:r w:rsidRPr="00AC7749">
        <w:rPr>
          <w:rFonts w:ascii="Verdana" w:hAnsi="Verdana" w:cs="Arial"/>
          <w:sz w:val="16"/>
          <w:szCs w:val="16"/>
        </w:rPr>
        <w:t>Exp</w:t>
      </w:r>
      <w:proofErr w:type="spellEnd"/>
      <w:r w:rsidRPr="00AC7749">
        <w:rPr>
          <w:rFonts w:ascii="Verdana" w:hAnsi="Verdana" w:cs="Arial"/>
          <w:sz w:val="16"/>
          <w:szCs w:val="16"/>
        </w:rPr>
        <w:t>. 68.280. CP: José Roberto Sáchica Méndez.</w:t>
      </w:r>
    </w:p>
    <w:p w14:paraId="49BF0F59" w14:textId="77777777" w:rsidR="007B7821" w:rsidRPr="00AC7749" w:rsidRDefault="007B7821" w:rsidP="007B7821">
      <w:pPr>
        <w:pStyle w:val="Textonotapie"/>
        <w:ind w:firstLine="709"/>
        <w:contextualSpacing/>
        <w:jc w:val="both"/>
        <w:rPr>
          <w:rFonts w:ascii="Verdana" w:hAnsi="Verdana" w:cs="Arial"/>
          <w:sz w:val="16"/>
          <w:szCs w:val="16"/>
        </w:rPr>
      </w:pPr>
    </w:p>
  </w:footnote>
  <w:footnote w:id="50">
    <w:p w14:paraId="41BCA977" w14:textId="77777777" w:rsidR="007B7821" w:rsidRPr="00AC7749" w:rsidRDefault="007B7821" w:rsidP="007B7821">
      <w:pPr>
        <w:pStyle w:val="Textonotapie"/>
        <w:ind w:firstLine="709"/>
        <w:contextualSpacing/>
        <w:jc w:val="both"/>
        <w:rPr>
          <w:rFonts w:ascii="Verdana" w:hAnsi="Verdana" w:cs="Arial"/>
          <w:sz w:val="16"/>
          <w:szCs w:val="16"/>
        </w:rPr>
      </w:pPr>
      <w:r w:rsidRPr="00AC7749">
        <w:rPr>
          <w:rFonts w:ascii="Verdana" w:hAnsi="Verdana"/>
          <w:sz w:val="16"/>
          <w:szCs w:val="16"/>
          <w:vertAlign w:val="superscript"/>
        </w:rPr>
        <w:footnoteRef/>
      </w:r>
      <w:r w:rsidRPr="00AC7749">
        <w:rPr>
          <w:rFonts w:ascii="Verdana" w:hAnsi="Verdana"/>
          <w:sz w:val="16"/>
          <w:szCs w:val="16"/>
          <w:vertAlign w:val="superscript"/>
        </w:rPr>
        <w:t xml:space="preserve"> </w:t>
      </w:r>
      <w:r w:rsidRPr="00AC7749">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DBE15CA" w14:textId="77777777" w:rsidR="007B7821" w:rsidRPr="00AC7749" w:rsidRDefault="007B7821" w:rsidP="007B7821">
      <w:pPr>
        <w:pStyle w:val="Textonotapie"/>
        <w:ind w:firstLine="709"/>
        <w:contextualSpacing/>
        <w:jc w:val="both"/>
        <w:rPr>
          <w:rFonts w:ascii="Verdana" w:hAnsi="Verdana" w:cs="Arial"/>
          <w:sz w:val="16"/>
          <w:szCs w:val="16"/>
        </w:rPr>
      </w:pPr>
    </w:p>
  </w:footnote>
  <w:footnote w:id="51">
    <w:p w14:paraId="0056E53E" w14:textId="77777777" w:rsidR="007B7821" w:rsidRPr="00AC7749" w:rsidRDefault="007B7821" w:rsidP="007B7821">
      <w:pPr>
        <w:pStyle w:val="Textonotapie"/>
        <w:ind w:firstLine="709"/>
        <w:contextualSpacing/>
        <w:jc w:val="both"/>
        <w:rPr>
          <w:rFonts w:ascii="Verdana" w:hAnsi="Verdana" w:cs="Arial"/>
          <w:sz w:val="16"/>
          <w:szCs w:val="16"/>
        </w:rPr>
      </w:pPr>
      <w:r w:rsidRPr="00AC7749">
        <w:rPr>
          <w:rFonts w:ascii="Verdana" w:hAnsi="Verdana"/>
          <w:sz w:val="16"/>
          <w:szCs w:val="16"/>
          <w:vertAlign w:val="superscript"/>
        </w:rPr>
        <w:footnoteRef/>
      </w:r>
      <w:r w:rsidRPr="00AC7749">
        <w:rPr>
          <w:rFonts w:ascii="Verdana" w:hAnsi="Verdana" w:cs="Arial"/>
          <w:sz w:val="16"/>
          <w:szCs w:val="16"/>
          <w:vertAlign w:val="superscript"/>
        </w:rPr>
        <w:t xml:space="preserve"> </w:t>
      </w:r>
      <w:r w:rsidRPr="00AC7749">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20A51C92" w14:textId="77777777" w:rsidR="007B7821" w:rsidRPr="00AC7749" w:rsidRDefault="007B7821" w:rsidP="007B7821">
      <w:pPr>
        <w:pStyle w:val="Textonotapie"/>
        <w:ind w:firstLine="709"/>
        <w:contextualSpacing/>
        <w:jc w:val="both"/>
        <w:rPr>
          <w:rFonts w:ascii="Verdana" w:hAnsi="Verdana" w:cs="Arial"/>
          <w:sz w:val="16"/>
          <w:szCs w:val="16"/>
        </w:rPr>
      </w:pPr>
    </w:p>
  </w:footnote>
  <w:footnote w:id="52">
    <w:p w14:paraId="7945C47C" w14:textId="77777777" w:rsidR="007B7821" w:rsidRPr="00FB5770" w:rsidRDefault="007B7821" w:rsidP="007B7821">
      <w:pPr>
        <w:pStyle w:val="Textonotapie"/>
        <w:ind w:firstLine="709"/>
        <w:contextualSpacing/>
        <w:jc w:val="both"/>
        <w:rPr>
          <w:rFonts w:ascii="Verdana" w:hAnsi="Verdana" w:cs="Arial"/>
          <w:sz w:val="14"/>
          <w:szCs w:val="14"/>
        </w:rPr>
      </w:pPr>
      <w:r w:rsidRPr="00AC7749">
        <w:rPr>
          <w:rFonts w:ascii="Verdana" w:hAnsi="Verdana"/>
          <w:sz w:val="16"/>
          <w:szCs w:val="16"/>
          <w:vertAlign w:val="superscript"/>
        </w:rPr>
        <w:footnoteRef/>
      </w:r>
      <w:r w:rsidRPr="00AC7749">
        <w:rPr>
          <w:rFonts w:ascii="Verdana" w:hAnsi="Verdana" w:cs="Arial"/>
          <w:sz w:val="16"/>
          <w:szCs w:val="16"/>
          <w:vertAlign w:val="superscript"/>
        </w:rPr>
        <w:t xml:space="preserve"> </w:t>
      </w:r>
      <w:r w:rsidRPr="00AC7749">
        <w:rPr>
          <w:rFonts w:ascii="Verdana" w:hAnsi="Verdana" w:cs="Arial"/>
          <w:sz w:val="16"/>
          <w:szCs w:val="16"/>
        </w:rPr>
        <w:t>Código Civil: “Artículo 27. Cuando el sentido de la ley sea claro, no se desatenderá su tenor a pretexto de consultar su espíritu”.</w:t>
      </w:r>
    </w:p>
  </w:footnote>
  <w:footnote w:id="53">
    <w:p w14:paraId="048FC129" w14:textId="77777777" w:rsidR="007B7821" w:rsidRPr="00AC7749" w:rsidRDefault="007B7821" w:rsidP="007B7821">
      <w:pPr>
        <w:pStyle w:val="Textonotapie"/>
        <w:ind w:firstLine="708"/>
        <w:jc w:val="both"/>
        <w:rPr>
          <w:rFonts w:ascii="Verdana" w:hAnsi="Verdana"/>
          <w:sz w:val="16"/>
          <w:szCs w:val="16"/>
          <w:lang w:val="es-ES"/>
        </w:rPr>
      </w:pPr>
      <w:r w:rsidRPr="00AC7749">
        <w:rPr>
          <w:rStyle w:val="Refdenotaalpie"/>
          <w:rFonts w:ascii="Verdana" w:hAnsi="Verdana"/>
          <w:sz w:val="16"/>
          <w:szCs w:val="16"/>
        </w:rPr>
        <w:footnoteRef/>
      </w:r>
      <w:r w:rsidRPr="00AC7749">
        <w:rPr>
          <w:rFonts w:ascii="Verdana" w:hAnsi="Verdana"/>
          <w:sz w:val="16"/>
          <w:szCs w:val="16"/>
        </w:rPr>
        <w:t xml:space="preserve"> </w:t>
      </w:r>
      <w:r w:rsidRPr="00AC7749">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AC7749">
        <w:rPr>
          <w:rFonts w:ascii="Verdana" w:hAnsi="Verdana"/>
          <w:i/>
          <w:iCs/>
          <w:sz w:val="16"/>
          <w:szCs w:val="16"/>
          <w:lang w:val="es-ES"/>
        </w:rPr>
        <w:t>Ubi</w:t>
      </w:r>
      <w:proofErr w:type="spellEnd"/>
      <w:r w:rsidRPr="00AC7749">
        <w:rPr>
          <w:rFonts w:ascii="Verdana" w:hAnsi="Verdana"/>
          <w:i/>
          <w:iCs/>
          <w:sz w:val="16"/>
          <w:szCs w:val="16"/>
          <w:lang w:val="es-ES"/>
        </w:rPr>
        <w:t xml:space="preserve"> lex non </w:t>
      </w:r>
      <w:proofErr w:type="spellStart"/>
      <w:r w:rsidRPr="00AC7749">
        <w:rPr>
          <w:rFonts w:ascii="Verdana" w:hAnsi="Verdana"/>
          <w:i/>
          <w:iCs/>
          <w:sz w:val="16"/>
          <w:szCs w:val="16"/>
          <w:lang w:val="es-ES"/>
        </w:rPr>
        <w:t>distinguit</w:t>
      </w:r>
      <w:proofErr w:type="spellEnd"/>
      <w:r w:rsidRPr="00AC7749">
        <w:rPr>
          <w:rFonts w:ascii="Verdana" w:hAnsi="Verdana"/>
          <w:i/>
          <w:iCs/>
          <w:sz w:val="16"/>
          <w:szCs w:val="16"/>
          <w:lang w:val="es-ES"/>
        </w:rPr>
        <w:t xml:space="preserve"> </w:t>
      </w:r>
      <w:proofErr w:type="spellStart"/>
      <w:r w:rsidRPr="00AC7749">
        <w:rPr>
          <w:rFonts w:ascii="Verdana" w:hAnsi="Verdana"/>
          <w:i/>
          <w:iCs/>
          <w:sz w:val="16"/>
          <w:szCs w:val="16"/>
          <w:lang w:val="es-ES"/>
        </w:rPr>
        <w:t>nec</w:t>
      </w:r>
      <w:proofErr w:type="spellEnd"/>
      <w:r w:rsidRPr="00AC7749">
        <w:rPr>
          <w:rFonts w:ascii="Verdana" w:hAnsi="Verdana"/>
          <w:i/>
          <w:iCs/>
          <w:sz w:val="16"/>
          <w:szCs w:val="16"/>
          <w:lang w:val="es-ES"/>
        </w:rPr>
        <w:t xml:space="preserve"> nos </w:t>
      </w:r>
      <w:proofErr w:type="spellStart"/>
      <w:r w:rsidRPr="00AC7749">
        <w:rPr>
          <w:rFonts w:ascii="Verdana" w:hAnsi="Verdana"/>
          <w:i/>
          <w:iCs/>
          <w:sz w:val="16"/>
          <w:szCs w:val="16"/>
          <w:lang w:val="es-ES"/>
        </w:rPr>
        <w:t>distinguere</w:t>
      </w:r>
      <w:proofErr w:type="spellEnd"/>
      <w:r w:rsidRPr="00AC7749">
        <w:rPr>
          <w:rFonts w:ascii="Verdana" w:hAnsi="Verdana"/>
          <w:i/>
          <w:iCs/>
          <w:sz w:val="16"/>
          <w:szCs w:val="16"/>
          <w:lang w:val="es-ES"/>
        </w:rPr>
        <w:t xml:space="preserve"> </w:t>
      </w:r>
      <w:proofErr w:type="spellStart"/>
      <w:r w:rsidRPr="00AC7749">
        <w:rPr>
          <w:rFonts w:ascii="Verdana" w:hAnsi="Verdana"/>
          <w:i/>
          <w:iCs/>
          <w:sz w:val="16"/>
          <w:szCs w:val="16"/>
          <w:lang w:val="es-ES"/>
        </w:rPr>
        <w:t>debemus</w:t>
      </w:r>
      <w:proofErr w:type="spellEnd"/>
      <w:r w:rsidRPr="00AC7749">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9F1FBF7" w14:textId="77777777" w:rsidR="007B7821" w:rsidRPr="00AC7749" w:rsidRDefault="007B7821" w:rsidP="007B7821">
      <w:pPr>
        <w:pStyle w:val="Textonotapie"/>
        <w:ind w:firstLine="708"/>
        <w:jc w:val="both"/>
        <w:rPr>
          <w:rFonts w:ascii="Verdana" w:hAnsi="Verdana"/>
          <w:sz w:val="16"/>
          <w:szCs w:val="16"/>
        </w:rPr>
      </w:pPr>
      <w:r w:rsidRPr="00AC7749">
        <w:rPr>
          <w:rFonts w:ascii="Verdana" w:hAnsi="Verdana"/>
          <w:sz w:val="16"/>
          <w:szCs w:val="16"/>
          <w:lang w:val="es-ES"/>
        </w:rPr>
        <w:t xml:space="preserve">En el derecho antiguo y en el derecho canónico se distinguían las leyes en favorables y odiosas, para ampliar o restringir su interpretación. </w:t>
      </w:r>
      <w:r w:rsidRPr="00AC7749">
        <w:rPr>
          <w:rFonts w:ascii="Verdana" w:hAnsi="Verdana"/>
          <w:i/>
          <w:iCs/>
          <w:sz w:val="16"/>
          <w:szCs w:val="16"/>
          <w:lang w:val="es-ES"/>
        </w:rPr>
        <w:t xml:space="preserve">Odia restringí et favores </w:t>
      </w:r>
      <w:proofErr w:type="spellStart"/>
      <w:r w:rsidRPr="00AC7749">
        <w:rPr>
          <w:rFonts w:ascii="Verdana" w:hAnsi="Verdana"/>
          <w:i/>
          <w:iCs/>
          <w:sz w:val="16"/>
          <w:szCs w:val="16"/>
          <w:lang w:val="es-ES"/>
        </w:rPr>
        <w:t>convenit</w:t>
      </w:r>
      <w:proofErr w:type="spellEnd"/>
      <w:r w:rsidRPr="00AC7749">
        <w:rPr>
          <w:rFonts w:ascii="Verdana" w:hAnsi="Verdana"/>
          <w:i/>
          <w:iCs/>
          <w:sz w:val="16"/>
          <w:szCs w:val="16"/>
          <w:lang w:val="es-ES"/>
        </w:rPr>
        <w:t xml:space="preserve"> </w:t>
      </w:r>
      <w:proofErr w:type="spellStart"/>
      <w:r w:rsidRPr="00AC7749">
        <w:rPr>
          <w:rFonts w:ascii="Verdana" w:hAnsi="Verdana"/>
          <w:i/>
          <w:iCs/>
          <w:sz w:val="16"/>
          <w:szCs w:val="16"/>
          <w:lang w:val="es-ES"/>
        </w:rPr>
        <w:t>ampliari</w:t>
      </w:r>
      <w:proofErr w:type="spellEnd"/>
      <w:r w:rsidRPr="00AC7749">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AC7749">
        <w:rPr>
          <w:rFonts w:ascii="Verdana" w:hAnsi="Verdana"/>
          <w:sz w:val="16"/>
          <w:szCs w:val="16"/>
        </w:rPr>
        <w:t>CLARO SOLAR, Luis. Explicaciones de derecho civil chileno y comparado. Volumen I. Tomo I. Santiago: Editorial Jurídica de Chile, 2013. p. 119. Énfasis dentro del texto).</w:t>
      </w:r>
    </w:p>
    <w:p w14:paraId="735C03CD" w14:textId="77777777" w:rsidR="007B7821" w:rsidRPr="00AC7749" w:rsidRDefault="007B7821" w:rsidP="007B7821">
      <w:pPr>
        <w:pStyle w:val="Textonotapie"/>
        <w:ind w:firstLine="708"/>
        <w:jc w:val="both"/>
        <w:rPr>
          <w:rFonts w:ascii="Verdana" w:hAnsi="Verdana"/>
          <w:sz w:val="16"/>
          <w:szCs w:val="16"/>
          <w:lang w:val="es-CO"/>
        </w:rPr>
      </w:pPr>
    </w:p>
  </w:footnote>
  <w:footnote w:id="54">
    <w:p w14:paraId="2C0ABDD8" w14:textId="77777777" w:rsidR="007B7821" w:rsidRPr="00AC7749" w:rsidRDefault="007B7821" w:rsidP="007B7821">
      <w:pPr>
        <w:spacing w:after="0" w:line="240" w:lineRule="auto"/>
        <w:ind w:firstLine="709"/>
        <w:jc w:val="both"/>
        <w:rPr>
          <w:rFonts w:ascii="Verdana" w:hAnsi="Verdana" w:cs="Arial"/>
          <w:sz w:val="16"/>
          <w:szCs w:val="16"/>
          <w:lang w:eastAsia="es-ES"/>
        </w:rPr>
      </w:pPr>
      <w:r w:rsidRPr="00AC7749">
        <w:rPr>
          <w:rStyle w:val="Refdenotaalpie"/>
          <w:rFonts w:ascii="Verdana" w:hAnsi="Verdana"/>
          <w:sz w:val="16"/>
          <w:szCs w:val="16"/>
        </w:rPr>
        <w:footnoteRef/>
      </w:r>
      <w:r w:rsidRPr="00AC7749">
        <w:rPr>
          <w:rFonts w:ascii="Verdana" w:hAnsi="Verdana"/>
          <w:sz w:val="16"/>
          <w:szCs w:val="16"/>
        </w:rPr>
        <w:t xml:space="preserve"> Consejo de Estado. Sala de lo Contencioso Administrativo. Sección Tercera. Subsección B. Auto del 4 de octubre de 2024. </w:t>
      </w:r>
      <w:proofErr w:type="spellStart"/>
      <w:r w:rsidRPr="00AC7749">
        <w:rPr>
          <w:rFonts w:ascii="Verdana" w:hAnsi="Verdana"/>
          <w:sz w:val="16"/>
          <w:szCs w:val="16"/>
        </w:rPr>
        <w:t>Exp</w:t>
      </w:r>
      <w:proofErr w:type="spellEnd"/>
      <w:r w:rsidRPr="00AC7749">
        <w:rPr>
          <w:rFonts w:ascii="Verdana" w:hAnsi="Verdana"/>
          <w:sz w:val="16"/>
          <w:szCs w:val="16"/>
        </w:rPr>
        <w:t>. 70.313. C.P: Fredy Ibarra Martínez.</w:t>
      </w:r>
    </w:p>
    <w:p w14:paraId="3321D060" w14:textId="77777777" w:rsidR="007B7821" w:rsidRPr="00AC7749" w:rsidRDefault="007B7821" w:rsidP="007B7821">
      <w:pPr>
        <w:pStyle w:val="Textonotapie"/>
        <w:ind w:firstLine="709"/>
        <w:contextualSpacing/>
        <w:jc w:val="both"/>
        <w:rPr>
          <w:rFonts w:ascii="Verdana" w:hAnsi="Verdana"/>
          <w:sz w:val="16"/>
          <w:szCs w:val="16"/>
          <w:lang w:val="es-CO"/>
        </w:rPr>
      </w:pPr>
    </w:p>
  </w:footnote>
  <w:footnote w:id="55">
    <w:p w14:paraId="3343C29A" w14:textId="77777777" w:rsidR="007B7821" w:rsidRPr="00AC7749" w:rsidRDefault="007B7821" w:rsidP="007B7821">
      <w:pPr>
        <w:pStyle w:val="Textonotapie"/>
        <w:ind w:firstLine="709"/>
        <w:contextualSpacing/>
        <w:jc w:val="both"/>
        <w:rPr>
          <w:rFonts w:ascii="Verdana" w:hAnsi="Verdana"/>
          <w:sz w:val="16"/>
          <w:szCs w:val="16"/>
          <w:lang w:val="es-CO"/>
        </w:rPr>
      </w:pPr>
      <w:r w:rsidRPr="00AC7749">
        <w:rPr>
          <w:rStyle w:val="Refdenotaalpie"/>
          <w:rFonts w:ascii="Verdana" w:hAnsi="Verdana"/>
          <w:sz w:val="16"/>
          <w:szCs w:val="16"/>
        </w:rPr>
        <w:footnoteRef/>
      </w:r>
      <w:r w:rsidRPr="00AC7749">
        <w:rPr>
          <w:rFonts w:ascii="Verdana" w:hAnsi="Verdana"/>
          <w:sz w:val="16"/>
          <w:szCs w:val="16"/>
        </w:rPr>
        <w:t xml:space="preserve"> La parte resolutiva del auto dispone lo siguiente; “</w:t>
      </w:r>
      <w:r w:rsidRPr="00AC7749">
        <w:rPr>
          <w:rFonts w:ascii="Verdana" w:hAnsi="Verdana"/>
          <w:b/>
          <w:sz w:val="16"/>
          <w:szCs w:val="16"/>
          <w:lang w:val="es-CO"/>
        </w:rPr>
        <w:t xml:space="preserve">PRIMERO: DECRETAR </w:t>
      </w:r>
      <w:r w:rsidRPr="00AC7749">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AC7749">
        <w:rPr>
          <w:rFonts w:ascii="Verdana" w:hAnsi="Verdana"/>
          <w:i/>
          <w:sz w:val="16"/>
          <w:szCs w:val="16"/>
          <w:lang w:val="es-CO"/>
        </w:rPr>
        <w:t>“[e]</w:t>
      </w:r>
      <w:proofErr w:type="spellStart"/>
      <w:r w:rsidRPr="00AC7749">
        <w:rPr>
          <w:rFonts w:ascii="Verdana" w:hAnsi="Verdana"/>
          <w:i/>
          <w:sz w:val="16"/>
          <w:szCs w:val="16"/>
          <w:lang w:val="es-CO"/>
        </w:rPr>
        <w:t>sta</w:t>
      </w:r>
      <w:proofErr w:type="spellEnd"/>
      <w:r w:rsidRPr="00AC7749">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AC7749">
        <w:rPr>
          <w:rFonts w:ascii="Verdana" w:hAnsi="Verdana"/>
          <w:sz w:val="16"/>
          <w:szCs w:val="16"/>
          <w:lang w:val="es-CO"/>
        </w:rPr>
        <w:t xml:space="preserve">, por las razones expuestas en precedencia. </w:t>
      </w:r>
    </w:p>
    <w:p w14:paraId="498D4B9C" w14:textId="77777777" w:rsidR="007B7821" w:rsidRPr="00AC7749" w:rsidRDefault="007B7821" w:rsidP="007B7821">
      <w:pPr>
        <w:pStyle w:val="Textonotapie"/>
        <w:ind w:firstLine="709"/>
        <w:contextualSpacing/>
        <w:jc w:val="both"/>
        <w:rPr>
          <w:rFonts w:ascii="Verdana" w:hAnsi="Verdana"/>
          <w:sz w:val="16"/>
          <w:szCs w:val="16"/>
          <w:lang w:val="es-CO"/>
        </w:rPr>
      </w:pPr>
      <w:r w:rsidRPr="00AC7749">
        <w:rPr>
          <w:rFonts w:ascii="Verdana" w:hAnsi="Verdana"/>
          <w:b/>
          <w:sz w:val="16"/>
          <w:szCs w:val="16"/>
          <w:lang w:val="es-CO"/>
        </w:rPr>
        <w:t xml:space="preserve">SEGUNDO: DECRETAR </w:t>
      </w:r>
      <w:r w:rsidRPr="00AC7749">
        <w:rPr>
          <w:rFonts w:ascii="Verdana" w:hAnsi="Verdana"/>
          <w:sz w:val="16"/>
          <w:szCs w:val="16"/>
          <w:lang w:val="es-CO"/>
        </w:rPr>
        <w:t>la suspensión provisional de la expresión “</w:t>
      </w:r>
      <w:r w:rsidRPr="00AC7749">
        <w:rPr>
          <w:rFonts w:ascii="Verdana" w:hAnsi="Verdana"/>
          <w:i/>
          <w:sz w:val="16"/>
          <w:szCs w:val="16"/>
          <w:lang w:val="es-CO"/>
        </w:rPr>
        <w:t>contratos</w:t>
      </w:r>
      <w:r w:rsidRPr="00AC7749">
        <w:rPr>
          <w:rFonts w:ascii="Verdana" w:hAnsi="Verdana"/>
          <w:sz w:val="16"/>
          <w:szCs w:val="16"/>
          <w:lang w:val="es-CO"/>
        </w:rPr>
        <w:t xml:space="preserve">” y del párrafo </w:t>
      </w:r>
      <w:r w:rsidRPr="00AC774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AC774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AC7749">
        <w:rPr>
          <w:rFonts w:ascii="Verdana" w:hAnsi="Verdana"/>
          <w:sz w:val="16"/>
          <w:szCs w:val="16"/>
          <w:lang w:val="es-CO"/>
        </w:rPr>
        <w:t>Exp</w:t>
      </w:r>
      <w:proofErr w:type="spellEnd"/>
      <w:r w:rsidRPr="00AC7749">
        <w:rPr>
          <w:rFonts w:ascii="Verdana" w:hAnsi="Verdana"/>
          <w:sz w:val="16"/>
          <w:szCs w:val="16"/>
          <w:lang w:val="es-CO"/>
        </w:rPr>
        <w:t xml:space="preserve">. 72.424. C.P: Fernando Alexei Pardo Flórez. </w:t>
      </w:r>
    </w:p>
    <w:p w14:paraId="4C9A8C51" w14:textId="77777777" w:rsidR="007B7821" w:rsidRPr="00AC7749" w:rsidRDefault="007B7821" w:rsidP="007B7821">
      <w:pPr>
        <w:pStyle w:val="Textonotapie"/>
        <w:ind w:firstLine="709"/>
        <w:contextualSpacing/>
        <w:jc w:val="both"/>
        <w:rPr>
          <w:rFonts w:ascii="Verdana" w:hAnsi="Verdana"/>
          <w:sz w:val="16"/>
          <w:szCs w:val="16"/>
          <w:lang w:val="es-CO"/>
        </w:rPr>
      </w:pPr>
    </w:p>
  </w:footnote>
  <w:footnote w:id="56">
    <w:p w14:paraId="6005E7CD" w14:textId="77777777" w:rsidR="007B7821" w:rsidRPr="00AC7749" w:rsidRDefault="007B7821" w:rsidP="007B7821">
      <w:pPr>
        <w:spacing w:after="0" w:line="240" w:lineRule="auto"/>
        <w:ind w:firstLine="709"/>
        <w:contextualSpacing/>
        <w:jc w:val="both"/>
        <w:rPr>
          <w:rFonts w:ascii="Verdana" w:eastAsia="Times New Roman" w:hAnsi="Verdana" w:cs="Times New Roman"/>
          <w:sz w:val="16"/>
          <w:szCs w:val="16"/>
          <w:lang w:eastAsia="es-ES"/>
        </w:rPr>
      </w:pPr>
      <w:r w:rsidRPr="00AC7749">
        <w:rPr>
          <w:rStyle w:val="Refdenotaalpie"/>
          <w:rFonts w:ascii="Verdana" w:hAnsi="Verdana"/>
          <w:sz w:val="16"/>
          <w:szCs w:val="16"/>
        </w:rPr>
        <w:footnoteRef/>
      </w:r>
      <w:r w:rsidRPr="00AC7749">
        <w:rPr>
          <w:rFonts w:ascii="Verdana" w:hAnsi="Verdana"/>
          <w:sz w:val="16"/>
          <w:szCs w:val="16"/>
        </w:rPr>
        <w:t xml:space="preserve"> </w:t>
      </w:r>
      <w:r w:rsidRPr="00AC7749">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AC7749">
        <w:rPr>
          <w:rFonts w:ascii="Verdana" w:hAnsi="Verdana"/>
          <w:sz w:val="16"/>
          <w:szCs w:val="16"/>
        </w:rPr>
        <w:t xml:space="preserve">La parte de la providencia señala: </w:t>
      </w:r>
      <w:r w:rsidRPr="00AC7749">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AC7749">
        <w:rPr>
          <w:rFonts w:ascii="Verdana" w:eastAsia="Times New Roman" w:hAnsi="Verdana" w:cs="Times New Roman"/>
          <w:sz w:val="16"/>
          <w:szCs w:val="16"/>
          <w:lang w:eastAsia="es-ES"/>
        </w:rPr>
        <w:t>ii</w:t>
      </w:r>
      <w:proofErr w:type="spellEnd"/>
      <w:r w:rsidRPr="00AC7749">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5D9A7E49" w14:textId="77777777" w:rsidR="007B7821" w:rsidRPr="00AC7749" w:rsidRDefault="007B7821" w:rsidP="007B7821">
      <w:pPr>
        <w:spacing w:after="0" w:line="240" w:lineRule="auto"/>
        <w:ind w:firstLine="709"/>
        <w:contextualSpacing/>
        <w:jc w:val="both"/>
        <w:rPr>
          <w:rFonts w:ascii="Verdana" w:eastAsia="Times New Roman" w:hAnsi="Verdana" w:cs="Times New Roman"/>
          <w:sz w:val="16"/>
          <w:szCs w:val="16"/>
          <w:lang w:eastAsia="es-ES"/>
        </w:rPr>
      </w:pPr>
    </w:p>
  </w:footnote>
  <w:footnote w:id="57">
    <w:p w14:paraId="0AEB960F" w14:textId="77777777" w:rsidR="007B7821" w:rsidRPr="00AC7749" w:rsidRDefault="007B7821" w:rsidP="007B7821">
      <w:pPr>
        <w:pStyle w:val="Textonotapie"/>
        <w:ind w:firstLine="709"/>
        <w:jc w:val="both"/>
        <w:rPr>
          <w:rFonts w:ascii="Verdana" w:hAnsi="Verdana"/>
          <w:sz w:val="16"/>
          <w:szCs w:val="16"/>
          <w:lang w:val="es-CO"/>
        </w:rPr>
      </w:pPr>
      <w:r w:rsidRPr="00AC7749">
        <w:rPr>
          <w:rStyle w:val="Refdenotaalpie"/>
          <w:rFonts w:ascii="Verdana" w:hAnsi="Verdana"/>
          <w:sz w:val="16"/>
          <w:szCs w:val="16"/>
        </w:rPr>
        <w:footnoteRef/>
      </w:r>
      <w:r w:rsidRPr="00AC7749">
        <w:rPr>
          <w:rFonts w:ascii="Verdana" w:hAnsi="Verdana"/>
          <w:sz w:val="16"/>
          <w:szCs w:val="16"/>
        </w:rPr>
        <w:t xml:space="preserve"> No </w:t>
      </w:r>
      <w:proofErr w:type="gramStart"/>
      <w:r w:rsidRPr="00AC7749">
        <w:rPr>
          <w:rFonts w:ascii="Verdana" w:hAnsi="Verdana"/>
          <w:sz w:val="16"/>
          <w:szCs w:val="16"/>
        </w:rPr>
        <w:t>obstante</w:t>
      </w:r>
      <w:proofErr w:type="gramEnd"/>
      <w:r w:rsidRPr="00AC7749">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58">
    <w:p w14:paraId="0AE86145" w14:textId="77777777" w:rsidR="007B7821" w:rsidRPr="00AC7749" w:rsidRDefault="007B7821" w:rsidP="007B7821">
      <w:pPr>
        <w:pStyle w:val="Textonotapie"/>
        <w:ind w:firstLine="709"/>
        <w:jc w:val="both"/>
        <w:rPr>
          <w:rFonts w:ascii="Verdana" w:hAnsi="Verdana"/>
          <w:sz w:val="16"/>
          <w:szCs w:val="16"/>
          <w:lang w:val="es-CO"/>
        </w:rPr>
      </w:pPr>
      <w:r w:rsidRPr="00AC7749">
        <w:rPr>
          <w:rStyle w:val="Refdenotaalpie"/>
          <w:rFonts w:ascii="Verdana" w:hAnsi="Verdana"/>
          <w:sz w:val="16"/>
          <w:szCs w:val="16"/>
        </w:rPr>
        <w:footnoteRef/>
      </w:r>
      <w:r w:rsidRPr="00AC7749">
        <w:rPr>
          <w:rFonts w:ascii="Verdana" w:hAnsi="Verdana"/>
          <w:sz w:val="16"/>
          <w:szCs w:val="16"/>
        </w:rPr>
        <w:t xml:space="preserve"> </w:t>
      </w:r>
      <w:r w:rsidRPr="00AC7749">
        <w:rPr>
          <w:rFonts w:ascii="Verdana" w:hAnsi="Verdana"/>
          <w:sz w:val="16"/>
          <w:szCs w:val="16"/>
          <w:lang w:val="es-ES"/>
        </w:rPr>
        <w:t xml:space="preserve">Ley 100 de 1993. </w:t>
      </w:r>
      <w:r w:rsidRPr="00AC7749">
        <w:rPr>
          <w:rFonts w:ascii="Verdana" w:hAnsi="Verdana"/>
          <w:sz w:val="16"/>
          <w:szCs w:val="16"/>
          <w:lang w:val="es-CO"/>
        </w:rPr>
        <w:t>Artículo</w:t>
      </w:r>
      <w:bookmarkStart w:id="22" w:name="194"/>
      <w:bookmarkEnd w:id="22"/>
      <w:r w:rsidRPr="00AC7749">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23" w:name="LPHit237"/>
      <w:bookmarkEnd w:id="23"/>
      <w:r w:rsidRPr="00AC7749">
        <w:rPr>
          <w:rFonts w:ascii="Verdana" w:hAnsi="Verdana"/>
          <w:sz w:val="16"/>
          <w:szCs w:val="16"/>
          <w:lang w:val="es-CO"/>
        </w:rPr>
        <w:t> Ley o por las asambleas o concejos, según el caso, sometidas al régimen jurídico previsto en este capítulo.</w:t>
      </w:r>
    </w:p>
    <w:p w14:paraId="0FE840CD" w14:textId="77777777" w:rsidR="007B7821" w:rsidRPr="00AC7749" w:rsidRDefault="007B7821" w:rsidP="007B7821">
      <w:pPr>
        <w:pStyle w:val="Textonotapie"/>
        <w:ind w:firstLine="709"/>
        <w:jc w:val="both"/>
        <w:rPr>
          <w:rFonts w:ascii="Verdana" w:hAnsi="Verdana"/>
          <w:sz w:val="16"/>
          <w:szCs w:val="16"/>
          <w:lang w:val="es-CO"/>
        </w:rPr>
      </w:pPr>
    </w:p>
  </w:footnote>
  <w:footnote w:id="59">
    <w:p w14:paraId="5C0ABCCE" w14:textId="77777777" w:rsidR="007B7821" w:rsidRPr="00EC1732" w:rsidRDefault="007B7821" w:rsidP="007B7821">
      <w:pPr>
        <w:pStyle w:val="Textonotapie"/>
        <w:ind w:firstLine="708"/>
        <w:contextualSpacing/>
        <w:jc w:val="both"/>
        <w:rPr>
          <w:rFonts w:ascii="Verdana" w:hAnsi="Verdana" w:cs="Arial"/>
          <w:color w:val="000000" w:themeColor="text1"/>
          <w:sz w:val="14"/>
          <w:szCs w:val="14"/>
          <w:lang w:val="es-CO"/>
        </w:rPr>
      </w:pPr>
      <w:r w:rsidRPr="00AC7749">
        <w:rPr>
          <w:rStyle w:val="Refdenotaalpie"/>
          <w:rFonts w:ascii="Verdana" w:hAnsi="Verdana" w:cs="Arial"/>
          <w:color w:val="000000" w:themeColor="text1"/>
          <w:sz w:val="16"/>
          <w:szCs w:val="16"/>
          <w:lang w:val="es-CO"/>
        </w:rPr>
        <w:footnoteRef/>
      </w:r>
      <w:r w:rsidRPr="00AC7749">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60">
    <w:p w14:paraId="22FA1DDA" w14:textId="77777777" w:rsidR="007B7821" w:rsidRPr="00357270" w:rsidRDefault="007B7821" w:rsidP="007B7821">
      <w:pPr>
        <w:pStyle w:val="Textonotapie"/>
        <w:ind w:firstLine="708"/>
        <w:contextualSpacing/>
        <w:jc w:val="both"/>
        <w:rPr>
          <w:rFonts w:ascii="Verdana" w:hAnsi="Verdana" w:cs="Arial"/>
          <w:color w:val="000000" w:themeColor="text1"/>
          <w:sz w:val="16"/>
          <w:szCs w:val="16"/>
          <w:lang w:val="es-CO"/>
        </w:rPr>
      </w:pPr>
      <w:r w:rsidRPr="00357270">
        <w:rPr>
          <w:rStyle w:val="Refdenotaalpie"/>
          <w:rFonts w:ascii="Verdana" w:hAnsi="Verdana" w:cs="Arial"/>
          <w:color w:val="000000" w:themeColor="text1"/>
          <w:sz w:val="16"/>
          <w:szCs w:val="16"/>
          <w:lang w:val="es-CO"/>
        </w:rPr>
        <w:footnoteRef/>
      </w:r>
      <w:r w:rsidRPr="00357270">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proofErr w:type="spellStart"/>
      <w:r w:rsidRPr="00357270">
        <w:rPr>
          <w:rFonts w:ascii="Verdana" w:hAnsi="Verdana" w:cs="Arial"/>
          <w:color w:val="000000" w:themeColor="text1"/>
          <w:sz w:val="16"/>
          <w:szCs w:val="16"/>
          <w:lang w:val="es-CO"/>
        </w:rPr>
        <w:t>Sivigila</w:t>
      </w:r>
      <w:proofErr w:type="spellEnd"/>
      <w:r w:rsidRPr="00357270">
        <w:rPr>
          <w:rFonts w:ascii="Verdana" w:hAnsi="Verdana" w:cs="Arial"/>
          <w:color w:val="000000" w:themeColor="text1"/>
          <w:sz w:val="16"/>
          <w:szCs w:val="16"/>
          <w:lang w:val="es-CO"/>
        </w:rPr>
        <w:t xml:space="preserve">, el Ministerio de Salud y Protección Social; el Instituto Nacional de Salud (INS); el Instituto Nacional de Vigilancia de Medicamentos y Alimentos (Invima), las Direcciones Territoriales de Salud, </w:t>
      </w:r>
      <w:r w:rsidRPr="00357270">
        <w:rPr>
          <w:rFonts w:ascii="Verdana" w:hAnsi="Verdana" w:cs="Arial"/>
          <w:i/>
          <w:iCs/>
          <w:color w:val="000000" w:themeColor="text1"/>
          <w:sz w:val="16"/>
          <w:szCs w:val="16"/>
          <w:lang w:val="es-CO"/>
        </w:rPr>
        <w:t>y todas aquellas entidades que de acuerdo con la ley ejerzan funciones de vigilancia y control sanitario</w:t>
      </w:r>
      <w:r w:rsidRPr="00357270">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70580710" w14:textId="77777777" w:rsidR="007B7821" w:rsidRPr="00357270" w:rsidRDefault="007B7821" w:rsidP="007B7821">
      <w:pPr>
        <w:pStyle w:val="Textonotapie"/>
        <w:ind w:firstLine="708"/>
        <w:contextualSpacing/>
        <w:jc w:val="both"/>
        <w:rPr>
          <w:rFonts w:ascii="Verdana" w:hAnsi="Verdana" w:cs="Arial"/>
          <w:color w:val="000000" w:themeColor="text1"/>
          <w:sz w:val="16"/>
          <w:szCs w:val="16"/>
          <w:lang w:val="es-CO"/>
        </w:rPr>
      </w:pPr>
    </w:p>
  </w:footnote>
  <w:footnote w:id="61">
    <w:p w14:paraId="7C13ECF7" w14:textId="77777777" w:rsidR="007B7821" w:rsidRPr="00357270" w:rsidRDefault="007B7821" w:rsidP="007B7821">
      <w:pPr>
        <w:pStyle w:val="Textonotapie"/>
        <w:ind w:firstLine="708"/>
        <w:contextualSpacing/>
        <w:jc w:val="both"/>
        <w:rPr>
          <w:rFonts w:ascii="Verdana" w:hAnsi="Verdana"/>
          <w:sz w:val="16"/>
          <w:szCs w:val="16"/>
          <w:lang w:val="es-CO"/>
        </w:rPr>
      </w:pPr>
      <w:r w:rsidRPr="00357270">
        <w:rPr>
          <w:rStyle w:val="Refdenotaalpie"/>
          <w:rFonts w:ascii="Verdana" w:hAnsi="Verdana"/>
          <w:sz w:val="16"/>
          <w:szCs w:val="16"/>
          <w:lang w:val="es-CO"/>
        </w:rPr>
        <w:footnoteRef/>
      </w:r>
      <w:r w:rsidRPr="00357270">
        <w:rPr>
          <w:rFonts w:ascii="Verdana" w:hAnsi="Verdana"/>
          <w:sz w:val="16"/>
          <w:szCs w:val="16"/>
          <w:lang w:val="es-CO"/>
        </w:rPr>
        <w:t xml:space="preserve"> Consejo de Estado. Sala de Consulta y Servicio Civil. Concepto del 12 de junio de 2018. Radicación: 11001-03-06-000-2018-0043-00. (2371). C.P: Oscar Darío Amaya Navas. </w:t>
      </w:r>
    </w:p>
    <w:p w14:paraId="2376BF30" w14:textId="77777777" w:rsidR="007B7821" w:rsidRPr="00357270" w:rsidRDefault="007B7821" w:rsidP="007B7821">
      <w:pPr>
        <w:pStyle w:val="Textonotapie"/>
        <w:ind w:firstLine="708"/>
        <w:contextualSpacing/>
        <w:jc w:val="both"/>
        <w:rPr>
          <w:rFonts w:ascii="Verdana" w:hAnsi="Verdana"/>
          <w:sz w:val="16"/>
          <w:szCs w:val="16"/>
          <w:lang w:val="es-CO"/>
        </w:rPr>
      </w:pPr>
    </w:p>
  </w:footnote>
  <w:footnote w:id="62">
    <w:p w14:paraId="1D9146DE" w14:textId="77777777" w:rsidR="007B7821" w:rsidRPr="00357270" w:rsidRDefault="007B7821" w:rsidP="007B7821">
      <w:pPr>
        <w:pStyle w:val="Textonotapie"/>
        <w:ind w:firstLine="708"/>
        <w:contextualSpacing/>
        <w:rPr>
          <w:rFonts w:ascii="Verdana" w:hAnsi="Verdana"/>
          <w:sz w:val="16"/>
          <w:szCs w:val="16"/>
          <w:lang w:val="es-CO"/>
        </w:rPr>
      </w:pPr>
      <w:r w:rsidRPr="00357270">
        <w:rPr>
          <w:rStyle w:val="Refdenotaalpie"/>
          <w:rFonts w:ascii="Verdana" w:hAnsi="Verdana"/>
          <w:sz w:val="16"/>
          <w:szCs w:val="16"/>
          <w:lang w:val="es-CO"/>
        </w:rPr>
        <w:footnoteRef/>
      </w:r>
      <w:r w:rsidRPr="00357270">
        <w:rPr>
          <w:rFonts w:ascii="Verdana" w:hAnsi="Verdana"/>
          <w:sz w:val="16"/>
          <w:szCs w:val="16"/>
          <w:lang w:val="es-CO"/>
        </w:rPr>
        <w:t xml:space="preserve"> Ibidem.</w:t>
      </w:r>
    </w:p>
    <w:p w14:paraId="69586F7D" w14:textId="77777777" w:rsidR="007B7821" w:rsidRPr="00357270" w:rsidRDefault="007B7821" w:rsidP="007B7821">
      <w:pPr>
        <w:pStyle w:val="Textonotapie"/>
        <w:ind w:firstLine="708"/>
        <w:contextualSpacing/>
        <w:rPr>
          <w:rFonts w:ascii="Verdana" w:hAnsi="Verdana"/>
          <w:sz w:val="16"/>
          <w:szCs w:val="16"/>
          <w:lang w:val="es-CO"/>
        </w:rPr>
      </w:pPr>
    </w:p>
  </w:footnote>
  <w:footnote w:id="63">
    <w:p w14:paraId="00B9FB23" w14:textId="77777777" w:rsidR="007B7821" w:rsidRPr="00357270" w:rsidRDefault="007B7821" w:rsidP="007B7821">
      <w:pPr>
        <w:pStyle w:val="Textonotapie"/>
        <w:ind w:firstLine="709"/>
        <w:rPr>
          <w:rFonts w:ascii="Verdana" w:hAnsi="Verdana"/>
          <w:sz w:val="16"/>
          <w:szCs w:val="16"/>
        </w:rPr>
      </w:pPr>
      <w:r w:rsidRPr="00357270">
        <w:rPr>
          <w:rStyle w:val="Refdenotaalpie"/>
          <w:rFonts w:ascii="Verdana" w:hAnsi="Verdana"/>
          <w:sz w:val="16"/>
          <w:szCs w:val="16"/>
        </w:rPr>
        <w:footnoteRef/>
      </w:r>
      <w:r w:rsidRPr="00357270">
        <w:rPr>
          <w:rFonts w:ascii="Verdana" w:hAnsi="Verdana"/>
          <w:sz w:val="16"/>
          <w:szCs w:val="16"/>
        </w:rPr>
        <w:t xml:space="preserve"> Esto en el entendido de la posición de la Agencia Nacional descrito en la presente comunicación.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7A460C"/>
    <w:multiLevelType w:val="multilevel"/>
    <w:tmpl w:val="090C59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0F35EC"/>
    <w:multiLevelType w:val="hybridMultilevel"/>
    <w:tmpl w:val="7480C8DC"/>
    <w:lvl w:ilvl="0" w:tplc="B1D48F5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341274352">
    <w:abstractNumId w:val="0"/>
  </w:num>
  <w:num w:numId="17" w16cid:durableId="1358431546">
    <w:abstractNumId w:val="3"/>
  </w:num>
  <w:num w:numId="18" w16cid:durableId="223764832">
    <w:abstractNumId w:val="10"/>
  </w:num>
  <w:num w:numId="19" w16cid:durableId="534537855">
    <w:abstractNumId w:val="13"/>
  </w:num>
  <w:num w:numId="20" w16cid:durableId="2370634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4D9"/>
    <w:rsid w:val="00046945"/>
    <w:rsid w:val="00061B2A"/>
    <w:rsid w:val="00061C5B"/>
    <w:rsid w:val="00075BCD"/>
    <w:rsid w:val="00082362"/>
    <w:rsid w:val="00084E34"/>
    <w:rsid w:val="000925A3"/>
    <w:rsid w:val="00094D8C"/>
    <w:rsid w:val="00096D5C"/>
    <w:rsid w:val="000A683E"/>
    <w:rsid w:val="000B19B9"/>
    <w:rsid w:val="000B6867"/>
    <w:rsid w:val="000B7B8F"/>
    <w:rsid w:val="000D0334"/>
    <w:rsid w:val="000D5DA7"/>
    <w:rsid w:val="000D7519"/>
    <w:rsid w:val="000E14F1"/>
    <w:rsid w:val="000F09D2"/>
    <w:rsid w:val="000F6486"/>
    <w:rsid w:val="001032FA"/>
    <w:rsid w:val="00116940"/>
    <w:rsid w:val="00125105"/>
    <w:rsid w:val="00127233"/>
    <w:rsid w:val="00132BA0"/>
    <w:rsid w:val="0014058E"/>
    <w:rsid w:val="00150164"/>
    <w:rsid w:val="00154F7F"/>
    <w:rsid w:val="0015699B"/>
    <w:rsid w:val="00174E25"/>
    <w:rsid w:val="00183E51"/>
    <w:rsid w:val="00186B52"/>
    <w:rsid w:val="0018705A"/>
    <w:rsid w:val="001A13F0"/>
    <w:rsid w:val="001A33BF"/>
    <w:rsid w:val="001A361D"/>
    <w:rsid w:val="001A473E"/>
    <w:rsid w:val="001A6CC9"/>
    <w:rsid w:val="001D757F"/>
    <w:rsid w:val="001E3EAA"/>
    <w:rsid w:val="001E4177"/>
    <w:rsid w:val="001F0B24"/>
    <w:rsid w:val="001F7DC6"/>
    <w:rsid w:val="0022149F"/>
    <w:rsid w:val="0022400B"/>
    <w:rsid w:val="0023453F"/>
    <w:rsid w:val="00235A59"/>
    <w:rsid w:val="002421BB"/>
    <w:rsid w:val="0025796E"/>
    <w:rsid w:val="0026022C"/>
    <w:rsid w:val="002639B7"/>
    <w:rsid w:val="002707A2"/>
    <w:rsid w:val="002951A0"/>
    <w:rsid w:val="002962BC"/>
    <w:rsid w:val="002A093D"/>
    <w:rsid w:val="002A0DD0"/>
    <w:rsid w:val="002A49AC"/>
    <w:rsid w:val="002A5C4A"/>
    <w:rsid w:val="002A64FD"/>
    <w:rsid w:val="002B6202"/>
    <w:rsid w:val="002C7A84"/>
    <w:rsid w:val="002D3FC7"/>
    <w:rsid w:val="002E2BF8"/>
    <w:rsid w:val="002E4FD9"/>
    <w:rsid w:val="002F5E6E"/>
    <w:rsid w:val="00304F64"/>
    <w:rsid w:val="0030657A"/>
    <w:rsid w:val="00310D66"/>
    <w:rsid w:val="00322A85"/>
    <w:rsid w:val="00324168"/>
    <w:rsid w:val="00330834"/>
    <w:rsid w:val="003448F4"/>
    <w:rsid w:val="00352A70"/>
    <w:rsid w:val="00370356"/>
    <w:rsid w:val="00374F5E"/>
    <w:rsid w:val="00377E3E"/>
    <w:rsid w:val="0039359C"/>
    <w:rsid w:val="00394782"/>
    <w:rsid w:val="003956A7"/>
    <w:rsid w:val="003A779E"/>
    <w:rsid w:val="003A7C5C"/>
    <w:rsid w:val="003C5C34"/>
    <w:rsid w:val="003D0ED5"/>
    <w:rsid w:val="003D0F4D"/>
    <w:rsid w:val="003D1DF4"/>
    <w:rsid w:val="003D20DE"/>
    <w:rsid w:val="003D5B0D"/>
    <w:rsid w:val="003E0499"/>
    <w:rsid w:val="003E4F80"/>
    <w:rsid w:val="003E6439"/>
    <w:rsid w:val="003F3941"/>
    <w:rsid w:val="004046B5"/>
    <w:rsid w:val="00406575"/>
    <w:rsid w:val="0041327A"/>
    <w:rsid w:val="00414C74"/>
    <w:rsid w:val="00414F0E"/>
    <w:rsid w:val="004242C9"/>
    <w:rsid w:val="00424AFE"/>
    <w:rsid w:val="0042722E"/>
    <w:rsid w:val="00440D6B"/>
    <w:rsid w:val="00442642"/>
    <w:rsid w:val="0044528D"/>
    <w:rsid w:val="004544E9"/>
    <w:rsid w:val="004620BC"/>
    <w:rsid w:val="00466E39"/>
    <w:rsid w:val="004A1847"/>
    <w:rsid w:val="004A305D"/>
    <w:rsid w:val="004C03BE"/>
    <w:rsid w:val="004D1CD4"/>
    <w:rsid w:val="004E2D4B"/>
    <w:rsid w:val="004E4A5B"/>
    <w:rsid w:val="004F21C4"/>
    <w:rsid w:val="004F685F"/>
    <w:rsid w:val="00507C07"/>
    <w:rsid w:val="00526135"/>
    <w:rsid w:val="00531836"/>
    <w:rsid w:val="005332A8"/>
    <w:rsid w:val="00540670"/>
    <w:rsid w:val="00554C9E"/>
    <w:rsid w:val="0055614F"/>
    <w:rsid w:val="005566E8"/>
    <w:rsid w:val="00574867"/>
    <w:rsid w:val="0058306D"/>
    <w:rsid w:val="00583F6D"/>
    <w:rsid w:val="00587754"/>
    <w:rsid w:val="00591460"/>
    <w:rsid w:val="005A65E0"/>
    <w:rsid w:val="005B219D"/>
    <w:rsid w:val="005C3777"/>
    <w:rsid w:val="005C5CDC"/>
    <w:rsid w:val="005C701A"/>
    <w:rsid w:val="005D476C"/>
    <w:rsid w:val="006071D3"/>
    <w:rsid w:val="006200BF"/>
    <w:rsid w:val="006219F8"/>
    <w:rsid w:val="006302F7"/>
    <w:rsid w:val="00632602"/>
    <w:rsid w:val="00640853"/>
    <w:rsid w:val="00641FD4"/>
    <w:rsid w:val="006424C7"/>
    <w:rsid w:val="00646B9F"/>
    <w:rsid w:val="00665D70"/>
    <w:rsid w:val="00670F63"/>
    <w:rsid w:val="00681C1A"/>
    <w:rsid w:val="00682A3A"/>
    <w:rsid w:val="00682B3D"/>
    <w:rsid w:val="006900D9"/>
    <w:rsid w:val="006D0A80"/>
    <w:rsid w:val="006D6794"/>
    <w:rsid w:val="006E5805"/>
    <w:rsid w:val="006F0515"/>
    <w:rsid w:val="00706C16"/>
    <w:rsid w:val="00715FEE"/>
    <w:rsid w:val="007340C3"/>
    <w:rsid w:val="0075235A"/>
    <w:rsid w:val="00756841"/>
    <w:rsid w:val="007649AB"/>
    <w:rsid w:val="00770B79"/>
    <w:rsid w:val="00771D0C"/>
    <w:rsid w:val="007833AC"/>
    <w:rsid w:val="007969B4"/>
    <w:rsid w:val="007A0C03"/>
    <w:rsid w:val="007A1B77"/>
    <w:rsid w:val="007B268C"/>
    <w:rsid w:val="007B38E5"/>
    <w:rsid w:val="007B7171"/>
    <w:rsid w:val="007B7821"/>
    <w:rsid w:val="007C0C0F"/>
    <w:rsid w:val="007C3DC2"/>
    <w:rsid w:val="007C4103"/>
    <w:rsid w:val="007E39F8"/>
    <w:rsid w:val="007E5497"/>
    <w:rsid w:val="007E75E6"/>
    <w:rsid w:val="007F3DC5"/>
    <w:rsid w:val="007F43AC"/>
    <w:rsid w:val="00805515"/>
    <w:rsid w:val="00805800"/>
    <w:rsid w:val="00806F5F"/>
    <w:rsid w:val="00820278"/>
    <w:rsid w:val="008258C9"/>
    <w:rsid w:val="00844AE9"/>
    <w:rsid w:val="00852D15"/>
    <w:rsid w:val="00853BF1"/>
    <w:rsid w:val="00866614"/>
    <w:rsid w:val="008673F6"/>
    <w:rsid w:val="00867F95"/>
    <w:rsid w:val="008729B2"/>
    <w:rsid w:val="008752E0"/>
    <w:rsid w:val="008843B6"/>
    <w:rsid w:val="00891928"/>
    <w:rsid w:val="008A446D"/>
    <w:rsid w:val="008B1164"/>
    <w:rsid w:val="008B25F1"/>
    <w:rsid w:val="008C63D2"/>
    <w:rsid w:val="008D180B"/>
    <w:rsid w:val="008E5C23"/>
    <w:rsid w:val="008F0EA7"/>
    <w:rsid w:val="008F6977"/>
    <w:rsid w:val="00923EEF"/>
    <w:rsid w:val="009419F9"/>
    <w:rsid w:val="00944650"/>
    <w:rsid w:val="0095685E"/>
    <w:rsid w:val="00961B09"/>
    <w:rsid w:val="0096223E"/>
    <w:rsid w:val="00965334"/>
    <w:rsid w:val="0097093E"/>
    <w:rsid w:val="00971B8E"/>
    <w:rsid w:val="009A0DFA"/>
    <w:rsid w:val="009A1B9A"/>
    <w:rsid w:val="009A1C6F"/>
    <w:rsid w:val="009A4DB1"/>
    <w:rsid w:val="009A76D8"/>
    <w:rsid w:val="009B2D26"/>
    <w:rsid w:val="009B61BA"/>
    <w:rsid w:val="009B6992"/>
    <w:rsid w:val="009B71A5"/>
    <w:rsid w:val="009C71FA"/>
    <w:rsid w:val="009C72E7"/>
    <w:rsid w:val="009C7F7E"/>
    <w:rsid w:val="009D199D"/>
    <w:rsid w:val="009D3058"/>
    <w:rsid w:val="009D6CCC"/>
    <w:rsid w:val="009D7A1C"/>
    <w:rsid w:val="009E6197"/>
    <w:rsid w:val="009F0B8F"/>
    <w:rsid w:val="009F3A13"/>
    <w:rsid w:val="00A00F83"/>
    <w:rsid w:val="00A122D3"/>
    <w:rsid w:val="00A14468"/>
    <w:rsid w:val="00A17F13"/>
    <w:rsid w:val="00A20739"/>
    <w:rsid w:val="00A23AF9"/>
    <w:rsid w:val="00A33C78"/>
    <w:rsid w:val="00A33ED2"/>
    <w:rsid w:val="00A374C5"/>
    <w:rsid w:val="00A523AD"/>
    <w:rsid w:val="00A561C4"/>
    <w:rsid w:val="00A63600"/>
    <w:rsid w:val="00A65253"/>
    <w:rsid w:val="00A67C33"/>
    <w:rsid w:val="00A73470"/>
    <w:rsid w:val="00A7659D"/>
    <w:rsid w:val="00A76D6C"/>
    <w:rsid w:val="00AB0ADB"/>
    <w:rsid w:val="00AC5D64"/>
    <w:rsid w:val="00AD01FF"/>
    <w:rsid w:val="00AD4362"/>
    <w:rsid w:val="00AF1708"/>
    <w:rsid w:val="00B00C0E"/>
    <w:rsid w:val="00B01B1A"/>
    <w:rsid w:val="00B0381D"/>
    <w:rsid w:val="00B222AA"/>
    <w:rsid w:val="00B4305A"/>
    <w:rsid w:val="00B44A47"/>
    <w:rsid w:val="00B57A0A"/>
    <w:rsid w:val="00B72CD3"/>
    <w:rsid w:val="00B72FFF"/>
    <w:rsid w:val="00B8166E"/>
    <w:rsid w:val="00B9692A"/>
    <w:rsid w:val="00BA497C"/>
    <w:rsid w:val="00BB32FE"/>
    <w:rsid w:val="00BC3D36"/>
    <w:rsid w:val="00BD0EE5"/>
    <w:rsid w:val="00BD54A6"/>
    <w:rsid w:val="00BD7F72"/>
    <w:rsid w:val="00BE6049"/>
    <w:rsid w:val="00BF24F2"/>
    <w:rsid w:val="00BF3E91"/>
    <w:rsid w:val="00BF7425"/>
    <w:rsid w:val="00C04FB3"/>
    <w:rsid w:val="00C11D8B"/>
    <w:rsid w:val="00C15139"/>
    <w:rsid w:val="00C160D9"/>
    <w:rsid w:val="00C2680C"/>
    <w:rsid w:val="00C330EB"/>
    <w:rsid w:val="00C50D69"/>
    <w:rsid w:val="00C5365C"/>
    <w:rsid w:val="00C568F6"/>
    <w:rsid w:val="00C62625"/>
    <w:rsid w:val="00C655B2"/>
    <w:rsid w:val="00C754BE"/>
    <w:rsid w:val="00C76B1C"/>
    <w:rsid w:val="00C77222"/>
    <w:rsid w:val="00C925AC"/>
    <w:rsid w:val="00CB6357"/>
    <w:rsid w:val="00CC1240"/>
    <w:rsid w:val="00CC1B26"/>
    <w:rsid w:val="00CF05D6"/>
    <w:rsid w:val="00D02832"/>
    <w:rsid w:val="00D112BF"/>
    <w:rsid w:val="00D13087"/>
    <w:rsid w:val="00D13848"/>
    <w:rsid w:val="00D33B38"/>
    <w:rsid w:val="00D361FD"/>
    <w:rsid w:val="00D423A2"/>
    <w:rsid w:val="00D44E26"/>
    <w:rsid w:val="00D520D8"/>
    <w:rsid w:val="00D63AC2"/>
    <w:rsid w:val="00D6506C"/>
    <w:rsid w:val="00D7383B"/>
    <w:rsid w:val="00D7788A"/>
    <w:rsid w:val="00D822D2"/>
    <w:rsid w:val="00D86340"/>
    <w:rsid w:val="00DA231B"/>
    <w:rsid w:val="00DC39FC"/>
    <w:rsid w:val="00DE047E"/>
    <w:rsid w:val="00DF5254"/>
    <w:rsid w:val="00E02524"/>
    <w:rsid w:val="00E16408"/>
    <w:rsid w:val="00E20894"/>
    <w:rsid w:val="00E245AB"/>
    <w:rsid w:val="00E25C89"/>
    <w:rsid w:val="00E2764C"/>
    <w:rsid w:val="00E27F2E"/>
    <w:rsid w:val="00E40A6F"/>
    <w:rsid w:val="00E4181B"/>
    <w:rsid w:val="00E50AFE"/>
    <w:rsid w:val="00E53BDB"/>
    <w:rsid w:val="00E674F5"/>
    <w:rsid w:val="00E75C92"/>
    <w:rsid w:val="00E771DC"/>
    <w:rsid w:val="00E84623"/>
    <w:rsid w:val="00E8772A"/>
    <w:rsid w:val="00E90F6B"/>
    <w:rsid w:val="00E92C27"/>
    <w:rsid w:val="00EA0E3D"/>
    <w:rsid w:val="00EA24EB"/>
    <w:rsid w:val="00EA2B1C"/>
    <w:rsid w:val="00EB5765"/>
    <w:rsid w:val="00EB6E5F"/>
    <w:rsid w:val="00EC24F0"/>
    <w:rsid w:val="00EC38A7"/>
    <w:rsid w:val="00ED08CA"/>
    <w:rsid w:val="00EE1AA8"/>
    <w:rsid w:val="00EF42D6"/>
    <w:rsid w:val="00EF7F7B"/>
    <w:rsid w:val="00F016F8"/>
    <w:rsid w:val="00F23FEA"/>
    <w:rsid w:val="00F31EDC"/>
    <w:rsid w:val="00F358FF"/>
    <w:rsid w:val="00F462B3"/>
    <w:rsid w:val="00F5664F"/>
    <w:rsid w:val="00F666C4"/>
    <w:rsid w:val="00F76AFC"/>
    <w:rsid w:val="00F96229"/>
    <w:rsid w:val="00FA47C0"/>
    <w:rsid w:val="00FA70F5"/>
    <w:rsid w:val="00FB5DD1"/>
    <w:rsid w:val="00FB6468"/>
    <w:rsid w:val="00FC2B5D"/>
    <w:rsid w:val="00FD45E8"/>
    <w:rsid w:val="00FF1449"/>
    <w:rsid w:val="00FF67FD"/>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8BEE707"/>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3">
    <w:name w:val="heading 3"/>
    <w:basedOn w:val="Normal"/>
    <w:link w:val="Ttulo3Car"/>
    <w:uiPriority w:val="9"/>
    <w:unhideWhenUsed/>
    <w:qFormat/>
    <w:rsid w:val="007B7821"/>
    <w:pPr>
      <w:widowControl w:val="0"/>
      <w:autoSpaceDE w:val="0"/>
      <w:autoSpaceDN w:val="0"/>
      <w:spacing w:before="160" w:after="0" w:line="240" w:lineRule="auto"/>
      <w:ind w:left="851" w:right="902"/>
      <w:jc w:val="both"/>
      <w:outlineLvl w:val="2"/>
    </w:pPr>
    <w:rPr>
      <w:rFonts w:ascii="Verdana" w:eastAsia="Verdana" w:hAnsi="Verdana" w:cs="Verdana"/>
      <w:b/>
      <w:bCs/>
      <w:i/>
      <w:iCs/>
      <w:u w:val="single" w:color="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3Car">
    <w:name w:val="Título 3 Car"/>
    <w:basedOn w:val="Fuentedeprrafopredeter"/>
    <w:link w:val="Ttulo3"/>
    <w:uiPriority w:val="9"/>
    <w:rsid w:val="007B7821"/>
    <w:rPr>
      <w:rFonts w:ascii="Verdana" w:eastAsia="Verdana" w:hAnsi="Verdana" w:cs="Verdana"/>
      <w:b/>
      <w:bCs/>
      <w:i/>
      <w:iCs/>
      <w:u w:val="single" w:color="000000"/>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B7821"/>
    <w:rPr>
      <w:rFonts w:ascii="Geomanist Light" w:hAnsi="Geomanist Light"/>
      <w:lang w:val="es-ES"/>
    </w:rPr>
  </w:style>
  <w:style w:type="paragraph" w:customStyle="1" w:styleId="Appelnotedebasde">
    <w:name w:val="Appel note de bas de..."/>
    <w:basedOn w:val="Normal"/>
    <w:link w:val="Refdenotaalpie"/>
    <w:uiPriority w:val="99"/>
    <w:rsid w:val="007B7821"/>
    <w:pPr>
      <w:spacing w:line="240" w:lineRule="exact"/>
    </w:pPr>
    <w:rPr>
      <w:vertAlign w:val="superscript"/>
    </w:rPr>
  </w:style>
  <w:style w:type="paragraph" w:styleId="Sinespaciado">
    <w:name w:val="No Spacing"/>
    <w:aliases w:val="No Indent"/>
    <w:uiPriority w:val="1"/>
    <w:qFormat/>
    <w:rsid w:val="007B7821"/>
    <w:pPr>
      <w:spacing w:after="0" w:line="240" w:lineRule="auto"/>
    </w:pPr>
    <w:rPr>
      <w:sz w:val="24"/>
      <w:lang w:val="es-MX"/>
    </w:rPr>
  </w:style>
  <w:style w:type="paragraph" w:styleId="Textoindependiente">
    <w:name w:val="Body Text"/>
    <w:basedOn w:val="Normal"/>
    <w:link w:val="TextoindependienteCar"/>
    <w:uiPriority w:val="1"/>
    <w:unhideWhenUsed/>
    <w:qFormat/>
    <w:rsid w:val="007B782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1"/>
    <w:rsid w:val="007B7821"/>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7B7821"/>
    <w:rPr>
      <w:rFonts w:ascii="Times New Roman" w:eastAsia="Times New Roman" w:hAnsi="Times New Roman" w:cs="Times New Roman"/>
      <w:sz w:val="24"/>
      <w:szCs w:val="24"/>
      <w:lang w:eastAsia="es-CO"/>
    </w:rPr>
  </w:style>
  <w:style w:type="character" w:customStyle="1" w:styleId="baj">
    <w:name w:val="b_aj"/>
    <w:basedOn w:val="Fuentedeprrafopredeter"/>
    <w:rsid w:val="007B7821"/>
  </w:style>
  <w:style w:type="paragraph" w:customStyle="1" w:styleId="western">
    <w:name w:val="western"/>
    <w:basedOn w:val="Normal"/>
    <w:rsid w:val="007B7821"/>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150164"/>
    <w:rPr>
      <w:b/>
      <w:bCs/>
    </w:rPr>
  </w:style>
  <w:style w:type="character" w:customStyle="1" w:styleId="AsuntodelcomentarioCar">
    <w:name w:val="Asunto del comentario Car"/>
    <w:basedOn w:val="TextocomentarioCar"/>
    <w:link w:val="Asuntodelcomentario"/>
    <w:uiPriority w:val="99"/>
    <w:semiHidden/>
    <w:rsid w:val="001501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wp-content/uploads/2025/09/006-de-2025-Circular-Externa-L996-ajustado-comentarios-BM-BID-Rev-ARSC-V3.d-1.pdf"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apoyoci09@subrednorte.gov.co"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08/circular_externa_unica_version_3_vf49.pdf"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s://www.minsalud.gov.co/Normatividad_Nuevo/Resoluci%C3%B3n%20No%201440%20de%20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A268C27-C119-4F02-905C-2E86516D23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E1A364B8-2C2B-4A80-AA31-ADCDA3724B5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65</Pages>
  <Words>22027</Words>
  <Characters>121153</Characters>
  <Application>Microsoft Office Word</Application>
  <DocSecurity>0</DocSecurity>
  <Lines>1009</Lines>
  <Paragraphs>285</Paragraphs>
  <ScaleCrop>false</ScaleCrop>
  <Company/>
  <LinksUpToDate>false</LinksUpToDate>
  <CharactersWithSpaces>142895</CharactersWithSpaces>
  <SharedDoc>false</SharedDoc>
  <HLinks>
    <vt:vector size="78" baseType="variant">
      <vt:variant>
        <vt:i4>4456513</vt:i4>
      </vt:variant>
      <vt:variant>
        <vt:i4>27</vt:i4>
      </vt:variant>
      <vt:variant>
        <vt:i4>0</vt:i4>
      </vt:variant>
      <vt:variant>
        <vt:i4>5</vt:i4>
      </vt:variant>
      <vt:variant>
        <vt:lpwstr>https://forms.office.com/r/pPHyWVs2SZ</vt:lpwstr>
      </vt:variant>
      <vt:variant>
        <vt:lpwstr/>
      </vt:variant>
      <vt:variant>
        <vt:i4>3407926</vt:i4>
      </vt:variant>
      <vt:variant>
        <vt:i4>24</vt:i4>
      </vt:variant>
      <vt:variant>
        <vt:i4>0</vt:i4>
      </vt:variant>
      <vt:variant>
        <vt:i4>5</vt:i4>
      </vt:variant>
      <vt:variant>
        <vt:lpwstr>https://www.colombiacompra.gov.co/pqrsd/informacion-importante-antes-de-formular-una-pqrsd</vt:lpwstr>
      </vt:variant>
      <vt:variant>
        <vt:lpwstr/>
      </vt:variant>
      <vt:variant>
        <vt:i4>4980779</vt:i4>
      </vt:variant>
      <vt:variant>
        <vt:i4>21</vt:i4>
      </vt:variant>
      <vt:variant>
        <vt:i4>0</vt:i4>
      </vt:variant>
      <vt:variant>
        <vt:i4>5</vt:i4>
      </vt:variant>
      <vt:variant>
        <vt:lpwstr>mailto:ventanilladeradicacion@colombiacompra.gov.co</vt:lpwstr>
      </vt:variant>
      <vt:variant>
        <vt:lpwstr/>
      </vt: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786475</vt:i4>
      </vt:variant>
      <vt:variant>
        <vt:i4>6</vt:i4>
      </vt:variant>
      <vt:variant>
        <vt:i4>0</vt:i4>
      </vt:variant>
      <vt:variant>
        <vt:i4>5</vt:i4>
      </vt:variant>
      <vt:variant>
        <vt:lpwstr>https://www.colombiacompra.gov.co/wp-content/uploads/2024/08/circular_externa_unica_version_3_vf49.pdf</vt:lpwstr>
      </vt:variant>
      <vt:variant>
        <vt:lpwstr/>
      </vt:variant>
      <vt:variant>
        <vt:i4>3407907</vt:i4>
      </vt:variant>
      <vt:variant>
        <vt:i4>3</vt:i4>
      </vt:variant>
      <vt:variant>
        <vt:i4>0</vt:i4>
      </vt:variant>
      <vt:variant>
        <vt:i4>5</vt:i4>
      </vt:variant>
      <vt:variant>
        <vt:lpwstr>https://colombiacompra.gov.co/wp-content/uploads/2025/09/006-de-2025-Circular-Externa-L996-ajustado-comentarios-BM-BID-Rev-ARSC-V3.d-1.pdf</vt:lpwstr>
      </vt:variant>
      <vt:variant>
        <vt:lpwstr/>
      </vt:variant>
      <vt:variant>
        <vt:i4>2883655</vt:i4>
      </vt:variant>
      <vt:variant>
        <vt:i4>0</vt:i4>
      </vt:variant>
      <vt:variant>
        <vt:i4>0</vt:i4>
      </vt:variant>
      <vt:variant>
        <vt:i4>5</vt:i4>
      </vt:variant>
      <vt:variant>
        <vt:lpwstr>mailto:apoyoci09@subrednorte.gov.co</vt:lpwstr>
      </vt:variant>
      <vt:variant>
        <vt:lpwstr/>
      </vt:variant>
      <vt:variant>
        <vt:i4>3407907</vt:i4>
      </vt:variant>
      <vt:variant>
        <vt:i4>6</vt:i4>
      </vt:variant>
      <vt:variant>
        <vt:i4>0</vt:i4>
      </vt:variant>
      <vt:variant>
        <vt:i4>5</vt:i4>
      </vt:variant>
      <vt:variant>
        <vt:lpwstr>https://colombiacompra.gov.co/wp-content/uploads/2025/09/006-de-2025-Circular-Externa-L996-ajustado-comentarios-BM-BID-Rev-ARSC-V3.d-1.pdf</vt:lpwstr>
      </vt:variant>
      <vt:variant>
        <vt:lpwstr/>
      </vt:variant>
      <vt:variant>
        <vt:i4>786475</vt:i4>
      </vt:variant>
      <vt:variant>
        <vt:i4>3</vt:i4>
      </vt:variant>
      <vt:variant>
        <vt:i4>0</vt:i4>
      </vt:variant>
      <vt:variant>
        <vt:i4>5</vt:i4>
      </vt:variant>
      <vt:variant>
        <vt:lpwstr>https://www.colombiacompra.gov.co/wp-content/uploads/2024/08/circular_externa_unica_version_3_vf49.pdf</vt:lpwstr>
      </vt:variant>
      <vt:variant>
        <vt:lpwstr/>
      </vt:variant>
      <vt:variant>
        <vt:i4>7012382</vt:i4>
      </vt:variant>
      <vt:variant>
        <vt:i4>0</vt:i4>
      </vt:variant>
      <vt:variant>
        <vt:i4>0</vt:i4>
      </vt:variant>
      <vt:variant>
        <vt:i4>5</vt:i4>
      </vt:variant>
      <vt:variant>
        <vt:lpwstr>https://www.minsalud.gov.co/Normatividad_Nuevo/Resoluci%C3%B3n No 1440 de 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2026-04-09T21:49:00Z</dcterms:created>
  <dcterms:modified xsi:type="dcterms:W3CDTF">2026-04-14T22:54:00Z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