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E279" w14:textId="77777777" w:rsidR="009E746B" w:rsidRPr="00BC3C31" w:rsidRDefault="009E746B" w:rsidP="009E746B">
      <w:pPr>
        <w:spacing w:after="0" w:line="240" w:lineRule="auto"/>
        <w:jc w:val="both"/>
        <w:rPr>
          <w:rFonts w:ascii="Verdana" w:eastAsia="Verdana" w:hAnsi="Verdana" w:cs="Verdana"/>
          <w:b/>
        </w:rPr>
      </w:pPr>
      <w:bookmarkStart w:id="0" w:name="_Hlk143780582"/>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Finalidad </w:t>
      </w:r>
    </w:p>
    <w:p w14:paraId="7F4C02FC" w14:textId="77777777" w:rsidR="009E746B" w:rsidRPr="00BC3C31" w:rsidRDefault="009E746B" w:rsidP="009E746B">
      <w:pPr>
        <w:spacing w:after="0" w:line="240" w:lineRule="auto"/>
        <w:jc w:val="both"/>
        <w:rPr>
          <w:rFonts w:ascii="Verdana" w:eastAsia="Verdana" w:hAnsi="Verdana" w:cs="Verdana"/>
        </w:rPr>
      </w:pPr>
    </w:p>
    <w:p w14:paraId="221B853F" w14:textId="77777777" w:rsidR="009E746B" w:rsidRPr="004F3465" w:rsidRDefault="009E746B" w:rsidP="009E746B">
      <w:pPr>
        <w:spacing w:after="0" w:line="240" w:lineRule="auto"/>
        <w:jc w:val="both"/>
        <w:rPr>
          <w:rFonts w:ascii="Verdana" w:eastAsia="Verdana" w:hAnsi="Verdana" w:cs="Verdana"/>
          <w:sz w:val="20"/>
        </w:rPr>
      </w:pPr>
      <w:r w:rsidRPr="004F3465">
        <w:rPr>
          <w:rFonts w:ascii="Verdana" w:eastAsia="Verdana" w:hAnsi="Verdana" w:cs="Verdana"/>
          <w:sz w:val="20"/>
        </w:rPr>
        <w:t>En el mismo sentido</w:t>
      </w:r>
      <w:r w:rsidRPr="004F3465">
        <w:rPr>
          <w:rFonts w:ascii="Verdana" w:eastAsia="Verdana" w:hAnsi="Verdana" w:cs="Verdana"/>
          <w:sz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14D37391" w14:textId="77777777" w:rsidR="009E746B" w:rsidRDefault="009E746B" w:rsidP="009E746B">
      <w:pPr>
        <w:spacing w:after="0" w:line="240" w:lineRule="auto"/>
        <w:jc w:val="both"/>
        <w:rPr>
          <w:rFonts w:ascii="Verdana" w:eastAsia="Verdana" w:hAnsi="Verdana" w:cs="Verdana"/>
          <w:b/>
        </w:rPr>
      </w:pPr>
    </w:p>
    <w:p w14:paraId="0F054590" w14:textId="720872AB" w:rsidR="009E746B" w:rsidRPr="00BC3C31" w:rsidRDefault="009E746B" w:rsidP="009E746B">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Tipos de restricciones </w:t>
      </w:r>
      <w:r w:rsidRPr="00BC3C31">
        <w:rPr>
          <w:rFonts w:ascii="Verdana" w:eastAsia="Verdana" w:hAnsi="Verdana" w:cs="Verdana"/>
          <w:b/>
          <w:bCs/>
        </w:rPr>
        <w:t>‒</w:t>
      </w:r>
      <w:r w:rsidRPr="00BC3C31">
        <w:rPr>
          <w:rFonts w:ascii="Verdana" w:eastAsia="Verdana" w:hAnsi="Verdana" w:cs="Verdana"/>
          <w:b/>
        </w:rPr>
        <w:t xml:space="preserve"> Ámbito temporal – </w:t>
      </w:r>
      <w:r w:rsidR="007F18D6">
        <w:rPr>
          <w:rFonts w:ascii="Verdana" w:eastAsia="Verdana" w:hAnsi="Verdana" w:cs="Verdana"/>
          <w:b/>
        </w:rPr>
        <w:t>C</w:t>
      </w:r>
      <w:r w:rsidRPr="00BC3C31">
        <w:rPr>
          <w:rFonts w:ascii="Verdana" w:eastAsia="Verdana" w:hAnsi="Verdana" w:cs="Verdana"/>
          <w:b/>
        </w:rPr>
        <w:t>elebración</w:t>
      </w:r>
      <w:r w:rsidR="007F18D6">
        <w:rPr>
          <w:rFonts w:ascii="Verdana" w:eastAsia="Verdana" w:hAnsi="Verdana" w:cs="Verdana"/>
          <w:b/>
        </w:rPr>
        <w:t xml:space="preserve"> </w:t>
      </w:r>
      <w:r w:rsidR="007F18D6" w:rsidRPr="007F18D6">
        <w:rPr>
          <w:rFonts w:ascii="Verdana" w:eastAsia="Verdana" w:hAnsi="Verdana" w:cs="Verdana"/>
          <w:b/>
        </w:rPr>
        <w:t>–</w:t>
      </w:r>
      <w:r w:rsidRPr="00BC3C31">
        <w:rPr>
          <w:rFonts w:ascii="Verdana" w:eastAsia="Verdana" w:hAnsi="Verdana" w:cs="Verdana"/>
          <w:b/>
        </w:rPr>
        <w:t xml:space="preserve"> </w:t>
      </w:r>
      <w:r w:rsidR="007F18D6">
        <w:rPr>
          <w:rFonts w:ascii="Verdana" w:eastAsia="Verdana" w:hAnsi="Verdana" w:cs="Verdana"/>
          <w:b/>
        </w:rPr>
        <w:t>L</w:t>
      </w:r>
      <w:r w:rsidRPr="00BC3C31">
        <w:rPr>
          <w:rFonts w:ascii="Verdana" w:eastAsia="Verdana" w:hAnsi="Verdana" w:cs="Verdana"/>
          <w:b/>
        </w:rPr>
        <w:t xml:space="preserve">ímite </w:t>
      </w:r>
    </w:p>
    <w:p w14:paraId="584A6E84" w14:textId="77777777" w:rsidR="009E746B" w:rsidRDefault="009E746B" w:rsidP="009E746B">
      <w:pPr>
        <w:spacing w:after="0" w:line="240" w:lineRule="auto"/>
        <w:jc w:val="both"/>
        <w:rPr>
          <w:rFonts w:ascii="Verdana" w:eastAsia="Verdana" w:hAnsi="Verdana" w:cs="Verdana"/>
          <w:b/>
        </w:rPr>
      </w:pPr>
    </w:p>
    <w:p w14:paraId="3A7EA98D" w14:textId="77777777" w:rsidR="009E746B" w:rsidRDefault="009E746B" w:rsidP="009E746B">
      <w:pPr>
        <w:spacing w:after="0" w:line="240" w:lineRule="auto"/>
        <w:jc w:val="both"/>
        <w:rPr>
          <w:rFonts w:ascii="Verdana" w:eastAsia="Verdana" w:hAnsi="Verdana" w:cs="Verdana"/>
          <w:sz w:val="20"/>
        </w:rPr>
      </w:pPr>
      <w:r w:rsidRPr="004D7FB4">
        <w:rPr>
          <w:rFonts w:ascii="Verdana" w:eastAsia="Verdana" w:hAnsi="Verdana" w:cs="Verdana"/>
          <w:sz w:val="20"/>
        </w:rPr>
        <w:t xml:space="preserve">Por un lado, el </w:t>
      </w:r>
      <w:r w:rsidRPr="004D7FB4">
        <w:rPr>
          <w:rFonts w:ascii="Verdana" w:eastAsia="Verdana" w:hAnsi="Verdana" w:cs="Verdana"/>
          <w:i/>
          <w:iCs/>
          <w:sz w:val="20"/>
        </w:rPr>
        <w:t>artículo 33 de la Ley 996 de 2005</w:t>
      </w:r>
      <w:r w:rsidRPr="004D7FB4">
        <w:rPr>
          <w:rFonts w:ascii="Verdana" w:eastAsia="Verdana" w:hAnsi="Verdana" w:cs="Verdana"/>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83B59C5" w14:textId="77777777" w:rsidR="009E746B" w:rsidRPr="004D7FB4" w:rsidRDefault="009E746B" w:rsidP="009E746B">
      <w:pPr>
        <w:spacing w:after="0" w:line="240" w:lineRule="auto"/>
        <w:jc w:val="both"/>
        <w:rPr>
          <w:rFonts w:ascii="Verdana" w:eastAsia="Verdana" w:hAnsi="Verdana" w:cs="Verdana"/>
          <w:sz w:val="20"/>
        </w:rPr>
      </w:pPr>
    </w:p>
    <w:p w14:paraId="07EFA25A" w14:textId="77777777" w:rsidR="009E746B" w:rsidRDefault="009E746B" w:rsidP="009E746B">
      <w:pPr>
        <w:spacing w:after="0" w:line="240" w:lineRule="auto"/>
        <w:jc w:val="both"/>
        <w:rPr>
          <w:rFonts w:ascii="Verdana" w:eastAsia="Verdana" w:hAnsi="Verdana" w:cs="Verdana"/>
          <w:sz w:val="20"/>
          <w:lang w:val="es-MX"/>
        </w:rPr>
      </w:pPr>
      <w:r w:rsidRPr="004D7FB4">
        <w:rPr>
          <w:rFonts w:ascii="Verdana" w:eastAsia="Verdana" w:hAnsi="Verdana" w:cs="Verdana"/>
          <w:sz w:val="20"/>
        </w:rPr>
        <w:t xml:space="preserve">Por otro lado, </w:t>
      </w:r>
      <w:r w:rsidRPr="004D7FB4">
        <w:rPr>
          <w:rFonts w:ascii="Verdana" w:eastAsia="Verdana" w:hAnsi="Verdana" w:cs="Verdana"/>
          <w:i/>
          <w:iCs/>
          <w:sz w:val="20"/>
        </w:rPr>
        <w:t>el parágrafo del artículo 38 de la Ley 996 de 2005</w:t>
      </w:r>
      <w:r w:rsidRPr="004D7FB4">
        <w:rPr>
          <w:rFonts w:ascii="Verdana" w:eastAsia="Verdana" w:hAnsi="Verdana" w:cs="Verdana"/>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D7FB4">
        <w:rPr>
          <w:rFonts w:ascii="Verdana" w:eastAsia="Verdana" w:hAnsi="Verdana" w:cs="Verdana"/>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D7FB4">
        <w:rPr>
          <w:rFonts w:ascii="Verdana" w:eastAsia="Verdana" w:hAnsi="Verdana" w:cs="Verdana"/>
          <w:sz w:val="20"/>
        </w:rPr>
        <w:t>”</w:t>
      </w:r>
      <w:r w:rsidRPr="004D7FB4">
        <w:rPr>
          <w:rFonts w:ascii="Verdana" w:eastAsia="Verdana" w:hAnsi="Verdana" w:cs="Verdana"/>
          <w:sz w:val="20"/>
          <w:lang w:val="es-MX"/>
        </w:rPr>
        <w:t>.</w:t>
      </w:r>
    </w:p>
    <w:p w14:paraId="0F340AA0" w14:textId="77777777" w:rsidR="009E746B" w:rsidRPr="004D7FB4" w:rsidRDefault="009E746B" w:rsidP="009E746B">
      <w:pPr>
        <w:spacing w:after="0" w:line="240" w:lineRule="auto"/>
        <w:jc w:val="both"/>
        <w:rPr>
          <w:rFonts w:ascii="Verdana" w:eastAsia="Verdana" w:hAnsi="Verdana" w:cs="Verdana"/>
          <w:sz w:val="20"/>
          <w:lang w:bidi="es-ES"/>
        </w:rPr>
      </w:pPr>
      <w:r w:rsidRPr="004D7FB4">
        <w:rPr>
          <w:rFonts w:ascii="Verdana" w:eastAsia="Verdana" w:hAnsi="Verdana" w:cs="Verdana"/>
          <w:sz w:val="20"/>
          <w:lang w:bidi="es-ES"/>
        </w:rPr>
        <w:t xml:space="preserve"> </w:t>
      </w:r>
    </w:p>
    <w:p w14:paraId="5A884AE1" w14:textId="77777777" w:rsidR="009E746B" w:rsidRPr="004D7FB4" w:rsidRDefault="009E746B" w:rsidP="009E746B">
      <w:pPr>
        <w:spacing w:after="0" w:line="240" w:lineRule="auto"/>
        <w:jc w:val="both"/>
        <w:rPr>
          <w:rFonts w:ascii="Verdana" w:eastAsia="Verdana" w:hAnsi="Verdana" w:cs="Verdana"/>
          <w:bCs/>
          <w:sz w:val="20"/>
        </w:rPr>
      </w:pPr>
      <w:r w:rsidRPr="004D7FB4">
        <w:rPr>
          <w:rFonts w:ascii="Verdana" w:eastAsia="Verdana" w:hAnsi="Verdana" w:cs="Verdana"/>
          <w:bCs/>
          <w:sz w:val="20"/>
          <w:lang w:val="es-MX"/>
        </w:rPr>
        <w:t>Para entender el momento de aplicación de estas restricciones, es preciso señalar que el vocablo “celebrar” es definido por el Diccionario Panhispánico del Español Jurídico como: “</w:t>
      </w:r>
      <w:r w:rsidRPr="004D7FB4">
        <w:rPr>
          <w:rFonts w:ascii="Verdana" w:eastAsia="Verdana" w:hAnsi="Verdana" w:cs="Verdana"/>
          <w:bCs/>
          <w:sz w:val="20"/>
        </w:rPr>
        <w:t>1. </w:t>
      </w:r>
      <w:r w:rsidRPr="004D7FB4">
        <w:rPr>
          <w:rFonts w:ascii="Verdana" w:eastAsia="Verdana" w:hAnsi="Verdana" w:cs="Verdana"/>
          <w:bCs/>
          <w:i/>
          <w:iCs/>
          <w:sz w:val="20"/>
        </w:rPr>
        <w:t>Gral.</w:t>
      </w:r>
      <w:r w:rsidRPr="004D7FB4">
        <w:rPr>
          <w:rFonts w:ascii="Verdana" w:eastAsia="Verdana" w:hAnsi="Verdana" w:cs="Verdana"/>
          <w:bCs/>
          <w:sz w:val="20"/>
        </w:rPr>
        <w:t xml:space="preserve"> Otorgar o firmar un contrato. 2. </w:t>
      </w:r>
      <w:r w:rsidRPr="004D7FB4">
        <w:rPr>
          <w:rFonts w:ascii="Verdana" w:eastAsia="Verdana" w:hAnsi="Verdana" w:cs="Verdana"/>
          <w:bCs/>
          <w:i/>
          <w:iCs/>
          <w:sz w:val="20"/>
        </w:rPr>
        <w:t>Proc.</w:t>
      </w:r>
      <w:r w:rsidRPr="004D7FB4">
        <w:rPr>
          <w:rFonts w:ascii="Verdana" w:eastAsia="Verdana" w:hAnsi="Verdana" w:cs="Verdana"/>
          <w:bCs/>
          <w:sz w:val="20"/>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39AD80C4" w14:textId="77777777" w:rsidR="009E746B" w:rsidRPr="00BC3C31" w:rsidRDefault="009E746B" w:rsidP="009E746B">
      <w:pPr>
        <w:spacing w:after="0" w:line="240" w:lineRule="auto"/>
        <w:jc w:val="both"/>
        <w:rPr>
          <w:rFonts w:ascii="Verdana" w:eastAsia="Verdana" w:hAnsi="Verdana" w:cs="Verdana"/>
          <w:b/>
        </w:rPr>
      </w:pPr>
    </w:p>
    <w:p w14:paraId="5031AFAD" w14:textId="77777777" w:rsidR="009E746B" w:rsidRPr="00BC3C31" w:rsidRDefault="009E746B" w:rsidP="009E746B">
      <w:pPr>
        <w:spacing w:after="0" w:line="240" w:lineRule="auto"/>
        <w:jc w:val="both"/>
        <w:rPr>
          <w:rFonts w:ascii="Verdana" w:eastAsia="Verdana" w:hAnsi="Verdana" w:cs="Verdana"/>
          <w:b/>
        </w:rPr>
      </w:pPr>
      <w:r w:rsidRPr="00BC3C31">
        <w:rPr>
          <w:rFonts w:ascii="Verdana" w:eastAsia="Verdana" w:hAnsi="Verdana" w:cs="Verdana"/>
          <w:b/>
        </w:rPr>
        <w:t>LEY DE GARANTÍAS ELECTORALES – Prohibición artículo 33 – Contratación directa – Alcance</w:t>
      </w:r>
    </w:p>
    <w:p w14:paraId="1D2D5CD6" w14:textId="77777777" w:rsidR="009E746B" w:rsidRPr="00BC3C31" w:rsidRDefault="009E746B" w:rsidP="009E746B">
      <w:pPr>
        <w:spacing w:after="0" w:line="240" w:lineRule="auto"/>
        <w:jc w:val="both"/>
        <w:rPr>
          <w:rFonts w:ascii="Verdana" w:eastAsia="Verdana" w:hAnsi="Verdana" w:cs="Verdana"/>
          <w:b/>
        </w:rPr>
      </w:pPr>
    </w:p>
    <w:p w14:paraId="704F412D" w14:textId="77777777" w:rsidR="009E746B" w:rsidRPr="004D7FB4" w:rsidRDefault="009E746B" w:rsidP="009E746B">
      <w:pPr>
        <w:spacing w:after="0" w:line="240" w:lineRule="auto"/>
        <w:jc w:val="both"/>
        <w:rPr>
          <w:rFonts w:ascii="Verdana" w:eastAsia="Verdana" w:hAnsi="Verdana" w:cs="Verdana"/>
          <w:bCs/>
          <w:sz w:val="20"/>
        </w:rPr>
      </w:pPr>
      <w:r w:rsidRPr="004D7FB4">
        <w:rPr>
          <w:rFonts w:ascii="Verdana" w:eastAsia="Verdana" w:hAnsi="Verdana" w:cs="Verdana"/>
          <w:sz w:val="20"/>
        </w:rPr>
        <w:t xml:space="preserve">De acuerdo con el citado concepto, la prohibición del artículo 33 de la Ley de Garantías Electorales se refiere a “cualquier sistema que no implique convocatoria pública y </w:t>
      </w:r>
      <w:r w:rsidRPr="004D7FB4">
        <w:rPr>
          <w:rFonts w:ascii="Verdana" w:eastAsia="Verdana" w:hAnsi="Verdana" w:cs="Verdana"/>
          <w:sz w:val="20"/>
        </w:rPr>
        <w:lastRenderedPageBreak/>
        <w:t>posibilidad de pluralidad de oferentes”, por lo que excluye las demás modalidades de contratación previstas en la Ley 1150 de 2007, es decir, la licitación pública, la selección abreviada, el concurso de méritos y la mínima cuantía</w:t>
      </w:r>
      <w:r w:rsidRPr="004D7FB4" w:rsidDel="00A85D9F">
        <w:rPr>
          <w:rFonts w:ascii="Verdana" w:eastAsia="Verdana" w:hAnsi="Verdana" w:cs="Verdana"/>
          <w:sz w:val="20"/>
        </w:rPr>
        <w:t xml:space="preserve"> </w:t>
      </w:r>
      <w:r w:rsidRPr="004D7FB4">
        <w:rPr>
          <w:rFonts w:ascii="Verdana" w:eastAsia="Verdana" w:hAnsi="Verdana" w:cs="Verdana"/>
          <w:sz w:val="20"/>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2B844779" w14:textId="77777777" w:rsidR="009E746B" w:rsidRPr="00BC3C31" w:rsidRDefault="009E746B" w:rsidP="009E746B">
      <w:pPr>
        <w:spacing w:after="0" w:line="240" w:lineRule="auto"/>
        <w:jc w:val="both"/>
        <w:rPr>
          <w:rFonts w:ascii="Verdana" w:eastAsia="Verdana" w:hAnsi="Verdana" w:cs="Verdana"/>
          <w:b/>
        </w:rPr>
      </w:pPr>
    </w:p>
    <w:p w14:paraId="0CB6A4A2" w14:textId="77777777" w:rsidR="009E746B" w:rsidRPr="00BC3C31" w:rsidRDefault="009E746B" w:rsidP="009E746B">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Prohibición del artículo 33 – Destinatarios </w:t>
      </w:r>
    </w:p>
    <w:p w14:paraId="55D68CC1" w14:textId="77777777" w:rsidR="009E746B" w:rsidRPr="00BC3C31" w:rsidRDefault="009E746B" w:rsidP="009E746B">
      <w:pPr>
        <w:spacing w:after="0" w:line="240" w:lineRule="auto"/>
        <w:jc w:val="both"/>
        <w:rPr>
          <w:rFonts w:ascii="Verdana" w:eastAsia="Verdana" w:hAnsi="Verdana" w:cs="Verdana"/>
          <w:b/>
        </w:rPr>
      </w:pPr>
    </w:p>
    <w:p w14:paraId="22E2A0E8" w14:textId="77777777" w:rsidR="009E746B" w:rsidRPr="00865A1B" w:rsidRDefault="009E746B" w:rsidP="009E746B">
      <w:pPr>
        <w:spacing w:after="0" w:line="240" w:lineRule="auto"/>
        <w:jc w:val="both"/>
        <w:rPr>
          <w:rFonts w:ascii="Verdana" w:eastAsia="Verdana" w:hAnsi="Verdana" w:cs="Verdana"/>
          <w:bCs/>
          <w:sz w:val="20"/>
        </w:rPr>
      </w:pPr>
      <w:r w:rsidRPr="00865A1B">
        <w:rPr>
          <w:rFonts w:ascii="Verdana" w:eastAsia="Verdana" w:hAnsi="Verdana" w:cs="Verdana"/>
          <w:bCs/>
          <w:sz w:val="20"/>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865A1B">
        <w:rPr>
          <w:rFonts w:ascii="Verdana" w:eastAsia="Verdana" w:hAnsi="Verdana" w:cs="Verdana"/>
          <w:sz w:val="20"/>
        </w:rPr>
        <w:t xml:space="preserve"> </w:t>
      </w:r>
      <w:r w:rsidRPr="00865A1B">
        <w:rPr>
          <w:rFonts w:ascii="Verdana" w:eastAsia="Verdana" w:hAnsi="Verdana" w:cs="Verdana"/>
          <w:bCs/>
          <w:sz w:val="20"/>
        </w:rPr>
        <w:t>En efecto, tal como lo ha sostenido el Consejo de Estado, el vocablo “todos” utilizado por el legislador comprende</w:t>
      </w:r>
      <w:r w:rsidRPr="00865A1B">
        <w:rPr>
          <w:rFonts w:ascii="Verdana" w:eastAsia="Verdana" w:hAnsi="Verdana" w:cs="Verdana"/>
          <w:sz w:val="20"/>
        </w:rPr>
        <w:t xml:space="preserve"> </w:t>
      </w:r>
      <w:r w:rsidRPr="00865A1B">
        <w:rPr>
          <w:rFonts w:ascii="Verdana" w:eastAsia="Verdana" w:hAnsi="Verdana" w:cs="Verdana"/>
          <w:bCs/>
          <w:sz w:val="20"/>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6B43A11F" w14:textId="77777777" w:rsidR="009E746B" w:rsidRPr="004D7FB4" w:rsidRDefault="009E746B" w:rsidP="009E746B">
      <w:pPr>
        <w:spacing w:after="0" w:line="240" w:lineRule="auto"/>
        <w:jc w:val="both"/>
        <w:rPr>
          <w:rFonts w:ascii="Verdana" w:eastAsia="Verdana" w:hAnsi="Verdana" w:cs="Verdana"/>
          <w:b/>
        </w:rPr>
      </w:pPr>
    </w:p>
    <w:p w14:paraId="1C890EFC" w14:textId="77777777" w:rsidR="009E746B" w:rsidRPr="00BC3C31" w:rsidRDefault="009E746B" w:rsidP="009E746B">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Excepciones </w:t>
      </w:r>
    </w:p>
    <w:p w14:paraId="5110A29A" w14:textId="77777777" w:rsidR="009E746B" w:rsidRPr="00865A1B" w:rsidRDefault="009E746B" w:rsidP="009E746B">
      <w:pPr>
        <w:spacing w:after="0" w:line="240" w:lineRule="auto"/>
        <w:jc w:val="both"/>
        <w:rPr>
          <w:rFonts w:ascii="Verdana" w:eastAsia="Verdana" w:hAnsi="Verdana" w:cs="Verdana"/>
          <w:sz w:val="20"/>
        </w:rPr>
      </w:pPr>
    </w:p>
    <w:p w14:paraId="063ACB9C" w14:textId="77777777" w:rsidR="009E746B" w:rsidRPr="00865A1B" w:rsidRDefault="009E746B" w:rsidP="009E746B">
      <w:pPr>
        <w:spacing w:after="0" w:line="240" w:lineRule="auto"/>
        <w:jc w:val="both"/>
        <w:rPr>
          <w:rFonts w:ascii="Verdana" w:eastAsia="Verdana" w:hAnsi="Verdana" w:cs="Verdana"/>
          <w:bCs/>
          <w:sz w:val="20"/>
        </w:rPr>
      </w:pPr>
      <w:r w:rsidRPr="00865A1B">
        <w:rPr>
          <w:rFonts w:ascii="Verdana" w:eastAsia="Verdana" w:hAnsi="Verdana" w:cs="Verdana"/>
          <w:bCs/>
          <w:sz w:val="20"/>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 </w:t>
      </w:r>
      <w:r w:rsidRPr="00865A1B">
        <w:rPr>
          <w:rFonts w:ascii="Verdana" w:eastAsia="Verdana" w:hAnsi="Verdana" w:cs="Verdana"/>
          <w:bCs/>
          <w:sz w:val="20"/>
          <w:lang w:val="es-MX"/>
        </w:rPr>
        <w:t xml:space="preserve">Así mismo, la Corte Constitucional en la Sentencia C-1153 de 2005 señaló que la expresión </w:t>
      </w:r>
      <w:r w:rsidRPr="00865A1B">
        <w:rPr>
          <w:rFonts w:ascii="Verdana" w:eastAsia="Verdana" w:hAnsi="Verdana" w:cs="Verdana"/>
          <w:i/>
          <w:iCs/>
          <w:sz w:val="20"/>
          <w:lang w:val="es-ES"/>
        </w:rPr>
        <w:t xml:space="preserve">“adicionalmente se exceptúan aquellos gastos inaplazables e imprescindibles que afecten el normal funcionamiento de la administración” </w:t>
      </w:r>
      <w:r w:rsidRPr="00865A1B">
        <w:rPr>
          <w:rFonts w:ascii="Verdana" w:eastAsia="Verdana" w:hAnsi="Verdana" w:cs="Verdana"/>
          <w:iCs/>
          <w:sz w:val="20"/>
          <w:lang w:val="es-ES"/>
        </w:rPr>
        <w:t>regulada como excepción en el artículo 33</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 xml:space="preserve">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w:t>
      </w:r>
      <w:r w:rsidRPr="00865A1B">
        <w:rPr>
          <w:rFonts w:ascii="Verdana" w:eastAsia="Verdana" w:hAnsi="Verdana" w:cs="Verdana"/>
          <w:iCs/>
          <w:sz w:val="20"/>
          <w:lang w:val="es-ES"/>
        </w:rPr>
        <w:lastRenderedPageBreak/>
        <w:t>Garantías Electorales.</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Por tanto, dicha expresión fue declarada inexequible, razón por la cual no es posible que las entidades argumenten razones como esta para exceptuar la restricción del artículo 33.</w:t>
      </w:r>
    </w:p>
    <w:p w14:paraId="18A1D519" w14:textId="77777777" w:rsidR="009E746B" w:rsidRPr="00BC3C31" w:rsidRDefault="009E746B" w:rsidP="009E746B">
      <w:pPr>
        <w:spacing w:after="0" w:line="240" w:lineRule="auto"/>
        <w:jc w:val="both"/>
        <w:rPr>
          <w:rFonts w:ascii="Verdana" w:eastAsia="Verdana" w:hAnsi="Verdana" w:cs="Verdana"/>
          <w:b/>
        </w:rPr>
      </w:pPr>
    </w:p>
    <w:p w14:paraId="1378E71E" w14:textId="77777777" w:rsidR="009E746B" w:rsidRPr="00BC3C31" w:rsidRDefault="009E746B" w:rsidP="009E746B">
      <w:pPr>
        <w:spacing w:after="0" w:line="240" w:lineRule="auto"/>
        <w:jc w:val="both"/>
        <w:rPr>
          <w:rFonts w:ascii="Verdana" w:eastAsia="Verdana" w:hAnsi="Verdana" w:cs="Verdana"/>
          <w:b/>
        </w:rPr>
      </w:pPr>
      <w:r w:rsidRPr="00BC3C31">
        <w:rPr>
          <w:rFonts w:ascii="Verdana" w:eastAsia="Verdana" w:hAnsi="Verdana" w:cs="Verdana"/>
          <w:b/>
        </w:rPr>
        <w:t>LEY DE GARANTÍAS ELECTORALES – Excepciones – Posturas de la Sala de Consulta y Servicio del Consejo de Estado</w:t>
      </w:r>
    </w:p>
    <w:p w14:paraId="204724DF" w14:textId="77777777" w:rsidR="009E746B" w:rsidRPr="00865A1B" w:rsidRDefault="009E746B" w:rsidP="009E746B">
      <w:pPr>
        <w:spacing w:after="0" w:line="240" w:lineRule="auto"/>
        <w:jc w:val="both"/>
        <w:rPr>
          <w:rFonts w:ascii="Verdana" w:eastAsia="Verdana" w:hAnsi="Verdana" w:cs="Verdana"/>
          <w:sz w:val="20"/>
        </w:rPr>
      </w:pPr>
    </w:p>
    <w:p w14:paraId="645E309D" w14:textId="77777777" w:rsidR="009E746B" w:rsidRDefault="009E746B" w:rsidP="009E746B">
      <w:pPr>
        <w:spacing w:after="0" w:line="240" w:lineRule="auto"/>
        <w:jc w:val="both"/>
        <w:rPr>
          <w:rFonts w:ascii="Verdana" w:eastAsia="Verdana" w:hAnsi="Verdana" w:cs="Verdana"/>
          <w:sz w:val="20"/>
        </w:rPr>
      </w:pPr>
      <w:r w:rsidRPr="00865A1B">
        <w:rPr>
          <w:rFonts w:ascii="Verdana" w:eastAsia="Verdana" w:hAnsi="Verdana" w:cs="Verdana"/>
          <w:sz w:val="20"/>
          <w:lang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865A1B">
        <w:rPr>
          <w:rFonts w:ascii="Verdana" w:eastAsia="Verdana" w:hAnsi="Verdana" w:cs="Verdana"/>
          <w:sz w:val="20"/>
        </w:rPr>
        <w:t>el contrato no puede ser violatorio de la restricción a la contratación directa contenida en el artículo 33 de la Ley 996 de 2005.</w:t>
      </w:r>
    </w:p>
    <w:p w14:paraId="0C7BDA52" w14:textId="77777777" w:rsidR="009E746B" w:rsidRPr="00865A1B" w:rsidRDefault="009E746B" w:rsidP="009E746B">
      <w:pPr>
        <w:spacing w:after="0" w:line="240" w:lineRule="auto"/>
        <w:jc w:val="both"/>
        <w:rPr>
          <w:rFonts w:ascii="Verdana" w:eastAsia="Verdana" w:hAnsi="Verdana" w:cs="Verdana"/>
          <w:sz w:val="20"/>
        </w:rPr>
      </w:pPr>
      <w:r w:rsidRPr="00865A1B">
        <w:rPr>
          <w:rFonts w:ascii="Verdana" w:eastAsia="Verdana" w:hAnsi="Verdana" w:cs="Verdana"/>
          <w:sz w:val="20"/>
        </w:rPr>
        <w:t xml:space="preserve"> </w:t>
      </w:r>
    </w:p>
    <w:p w14:paraId="067322C1" w14:textId="77777777" w:rsidR="009E746B" w:rsidRDefault="009E746B" w:rsidP="009E746B">
      <w:pPr>
        <w:spacing w:after="0" w:line="240" w:lineRule="auto"/>
        <w:jc w:val="both"/>
        <w:rPr>
          <w:rFonts w:ascii="Verdana" w:eastAsia="Verdana" w:hAnsi="Verdana" w:cs="Verdana"/>
          <w:sz w:val="20"/>
          <w:lang w:bidi="es-ES"/>
        </w:rPr>
      </w:pPr>
      <w:r w:rsidRPr="00865A1B">
        <w:rPr>
          <w:rFonts w:ascii="Verdana" w:eastAsia="Verdana" w:hAnsi="Verdana" w:cs="Verdana"/>
          <w:sz w:val="20"/>
          <w:lang w:val="es-ES_tradnl"/>
        </w:rPr>
        <w:t>También la Sala de Consulta y Servicio Civil del Consejo de Estado ha presentado supuestos de excepción a la restricción de los artículos 33 y 38 cuando la contratación se enmarca en una providencia judicial</w:t>
      </w:r>
      <w:r w:rsidRPr="00865A1B">
        <w:rPr>
          <w:rFonts w:ascii="Verdana" w:eastAsia="Verdana" w:hAnsi="Verdana" w:cs="Verdana"/>
          <w:sz w:val="20"/>
          <w:lang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0A090AFA" w14:textId="77777777" w:rsidR="009E746B" w:rsidRPr="00865A1B" w:rsidRDefault="009E746B" w:rsidP="009E746B">
      <w:pPr>
        <w:spacing w:after="0" w:line="240" w:lineRule="auto"/>
        <w:jc w:val="both"/>
        <w:rPr>
          <w:rFonts w:ascii="Verdana" w:eastAsia="Verdana" w:hAnsi="Verdana" w:cs="Verdana"/>
          <w:sz w:val="20"/>
          <w:lang w:bidi="es-ES"/>
        </w:rPr>
      </w:pPr>
    </w:p>
    <w:p w14:paraId="17F6C987" w14:textId="77777777" w:rsidR="009E746B" w:rsidRDefault="009E746B" w:rsidP="009E746B">
      <w:pPr>
        <w:spacing w:after="0" w:line="240" w:lineRule="auto"/>
        <w:jc w:val="both"/>
        <w:rPr>
          <w:rFonts w:ascii="Verdana" w:eastAsia="Verdana" w:hAnsi="Verdana" w:cs="Verdana"/>
          <w:sz w:val="20"/>
          <w:lang w:bidi="es-ES"/>
        </w:rPr>
      </w:pPr>
      <w:r w:rsidRPr="00865A1B">
        <w:rPr>
          <w:rFonts w:ascii="Verdana" w:eastAsia="Verdana" w:hAnsi="Verdana" w:cs="Verdana"/>
          <w:sz w:val="20"/>
          <w:lang w:bidi="es-ES"/>
        </w:rPr>
        <w:t>En este asunto, es importante resaltar que la Sala de Consulta y Servicio Civil del Consejo de Estado mediante Concepto con Radicado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635FA3B0" w14:textId="77777777" w:rsidR="009E746B" w:rsidRDefault="009E746B" w:rsidP="009E746B">
      <w:pPr>
        <w:spacing w:after="0"/>
        <w:rPr>
          <w:rFonts w:ascii="Verdana" w:hAnsi="Verdana" w:cs="Arial"/>
          <w:lang w:eastAsia="es-ES_tradnl"/>
        </w:rPr>
      </w:pPr>
    </w:p>
    <w:p w14:paraId="21963B04" w14:textId="77777777" w:rsidR="009E746B" w:rsidRPr="009E746B" w:rsidRDefault="009E746B" w:rsidP="009E746B">
      <w:pPr>
        <w:spacing w:after="0"/>
        <w:jc w:val="both"/>
        <w:rPr>
          <w:rFonts w:ascii="Verdana" w:hAnsi="Verdana" w:cs="Arial"/>
          <w:b/>
          <w:lang w:val="es-MX" w:eastAsia="es-ES_tradnl"/>
        </w:rPr>
      </w:pPr>
      <w:r w:rsidRPr="009E746B">
        <w:rPr>
          <w:rFonts w:ascii="Verdana" w:hAnsi="Verdana" w:cs="Arial"/>
          <w:b/>
          <w:lang w:val="es-MX" w:eastAsia="es-ES_tradnl"/>
        </w:rPr>
        <w:t xml:space="preserve">PROGRAMA DE ALIMENTACIÓN ESCOLAR – Definición – Estrategia </w:t>
      </w:r>
    </w:p>
    <w:p w14:paraId="5A6EE51A" w14:textId="77777777" w:rsidR="009E746B" w:rsidRPr="009E746B" w:rsidRDefault="009E746B" w:rsidP="009E746B">
      <w:pPr>
        <w:spacing w:after="0"/>
        <w:jc w:val="both"/>
        <w:rPr>
          <w:rFonts w:ascii="Verdana" w:hAnsi="Verdana" w:cs="Arial"/>
          <w:b/>
          <w:lang w:val="es-MX" w:eastAsia="es-ES_tradnl"/>
        </w:rPr>
      </w:pPr>
    </w:p>
    <w:p w14:paraId="7508BF18" w14:textId="77777777" w:rsidR="009E746B" w:rsidRPr="009E746B" w:rsidRDefault="009E746B" w:rsidP="009E746B">
      <w:pPr>
        <w:spacing w:after="0" w:line="240" w:lineRule="auto"/>
        <w:jc w:val="both"/>
        <w:rPr>
          <w:rFonts w:ascii="Verdana" w:hAnsi="Verdana" w:cs="Arial"/>
          <w:bCs/>
          <w:sz w:val="20"/>
          <w:lang w:eastAsia="es-ES_tradnl"/>
        </w:rPr>
      </w:pPr>
      <w:r w:rsidRPr="009E746B">
        <w:rPr>
          <w:rFonts w:ascii="Verdana" w:hAnsi="Verdana" w:cs="Arial"/>
          <w:sz w:val="20"/>
          <w:lang w:eastAsia="es-ES_tradnl"/>
        </w:rPr>
        <w:t xml:space="preserve">El Programa de Alimentación es definido así: [...] </w:t>
      </w:r>
      <w:r w:rsidRPr="009E746B">
        <w:rPr>
          <w:rFonts w:ascii="Verdana" w:hAnsi="Verdana" w:cs="Arial"/>
          <w:bCs/>
          <w:sz w:val="20"/>
          <w:lang w:eastAsia="es-ES_tradnl"/>
        </w:rPr>
        <w:t xml:space="preserve">estrategia estatal que promueve el acceso con permanencia de los niños, niñas, adolescentes y jóvenes en el sistema educativo oficial, a través del suministro de un complemento alimentario durante la jornada escolar, para mantener los niveles de atención, impactar de forma positiva los procesos de aprendizaje, el desarrollo cognitivo, disminuir el ausentismo y la deserción y fomentar estilos de vida saludables” –artículo 2.3.10.2.1 del Decreto 1075 de 2015 adicionado por el Decreto 1852 de 2015-. Teniendo en cuenta esta definición, se precisa que dicha estrategia se basa en la corresponsabilidad en el Programa de Alimentación </w:t>
      </w:r>
      <w:r w:rsidRPr="009E746B">
        <w:rPr>
          <w:rFonts w:ascii="Verdana" w:hAnsi="Verdana" w:cs="Arial"/>
          <w:bCs/>
          <w:sz w:val="20"/>
          <w:lang w:eastAsia="es-ES_tradnl"/>
        </w:rPr>
        <w:lastRenderedPageBreak/>
        <w:t xml:space="preserve">Escolar (PAE), el cual se refiere a la participación conjunta y coordinada del Estado, la sociedad y la familia para garantizar su correcta y oportuna ejecución. El Estado lidera el cumplimiento del programa, pero necesita del compromiso activo de los demás actores sociales, quienes deben aportar desde sus funciones y responsabilidades. En este marco, la familia, como primer espacio de socialización, cumple un papel fundamental en la protección y garantía de los derechos de niños, niñas, adolescentes y jóvenes, contando con el apoyo solidario de la sociedad para asegurar su bienestar y desarrollo integral. </w:t>
      </w:r>
    </w:p>
    <w:p w14:paraId="5A0E7396" w14:textId="77777777" w:rsidR="009E746B" w:rsidRDefault="009E746B" w:rsidP="009E746B">
      <w:pPr>
        <w:spacing w:after="0" w:line="240" w:lineRule="auto"/>
        <w:jc w:val="both"/>
        <w:rPr>
          <w:rFonts w:ascii="Verdana" w:hAnsi="Verdana" w:cs="Arial"/>
          <w:bCs/>
          <w:sz w:val="20"/>
          <w:lang w:eastAsia="es-ES_tradnl"/>
        </w:rPr>
      </w:pPr>
    </w:p>
    <w:p w14:paraId="6B97EA63" w14:textId="1A3ABA6C" w:rsidR="009E746B" w:rsidRPr="009E746B" w:rsidRDefault="009E746B" w:rsidP="009E746B">
      <w:pPr>
        <w:spacing w:after="0" w:line="240" w:lineRule="auto"/>
        <w:jc w:val="both"/>
        <w:rPr>
          <w:rFonts w:ascii="Verdana" w:hAnsi="Verdana" w:cs="Arial"/>
          <w:bCs/>
          <w:sz w:val="20"/>
          <w:lang w:eastAsia="es-ES_tradnl"/>
        </w:rPr>
      </w:pPr>
      <w:r w:rsidRPr="009E746B">
        <w:rPr>
          <w:rFonts w:ascii="Verdana" w:hAnsi="Verdana" w:cs="Arial"/>
          <w:bCs/>
          <w:sz w:val="20"/>
          <w:lang w:eastAsia="es-ES_tradnl"/>
        </w:rPr>
        <w:t>Ahora bien, para garantizar dicha estrategia y corresponsabilidad, es pertinente tener en cuenta como se entiende por parte del Decreto 1852 de 2019 “por el cual se adiciona el Decreto número 1075 de 2015 Único Reglamentario del Sector Educación, para reglamentar el parágrafo 4° del artículo 136 de la Ley 1450 de 2011, el numeral 20 del artículo 6° de la Ley 1551 de 2012, el parágrafo 2° del artículo 2° de la Ley 715 de 2001 y los artículos 16, 17, 18 y 19 de la Ley 1176 de 2007, en lo referente al Programa de Alimentación Escolar (PAE)” ciertas instituciones como las fuentes de financiamiento, la bolsa común, los lineamientos técnico-administrativos del Ministerio de Educación y el Operador del PAE. En referencia a las fuentes de financiamiento del PAE comprenden todos los recursos públicos y privados destinados a garantizar la prestación del programa, los cuales son administrados y coordinados por las entidades territoriales. Estos recursos se integran bajo el esquema de bolsa común, que permite la ejecución unificada y articulada de los aportes realizados por la Nación y las entidades territoriales. Este mecanismo asegura una inversión coordinada, eficiente y alineada con la normativa vigente y los objetivos del programa, optimizando el uso de los recursos disponibles para garantizar el derecho a la alimentación escolar.</w:t>
      </w:r>
    </w:p>
    <w:p w14:paraId="58987090" w14:textId="77777777" w:rsidR="009E746B" w:rsidRPr="009E746B" w:rsidRDefault="009E746B" w:rsidP="009E746B">
      <w:pPr>
        <w:spacing w:after="0"/>
        <w:jc w:val="both"/>
        <w:rPr>
          <w:rFonts w:ascii="Verdana" w:hAnsi="Verdana" w:cs="Arial"/>
          <w:b/>
          <w:lang w:eastAsia="es-ES_tradnl"/>
        </w:rPr>
      </w:pPr>
    </w:p>
    <w:p w14:paraId="48B448A0" w14:textId="249A7EC3" w:rsidR="009E746B" w:rsidRPr="009E746B" w:rsidRDefault="009E746B" w:rsidP="00D70345">
      <w:pPr>
        <w:spacing w:after="0" w:line="240" w:lineRule="auto"/>
        <w:jc w:val="both"/>
        <w:rPr>
          <w:rFonts w:ascii="Verdana" w:hAnsi="Verdana" w:cs="Arial"/>
          <w:b/>
          <w:lang w:val="es-MX" w:eastAsia="es-ES_tradnl"/>
        </w:rPr>
      </w:pPr>
      <w:r w:rsidRPr="009E746B">
        <w:rPr>
          <w:rFonts w:ascii="Verdana" w:hAnsi="Verdana" w:cs="Arial"/>
          <w:b/>
          <w:lang w:val="es-MX" w:eastAsia="es-ES_tradnl"/>
        </w:rPr>
        <w:t>PROGRAMA DE ALIMENTACIÓN ESCOLAR –</w:t>
      </w:r>
      <w:r w:rsidR="007D7F8D">
        <w:rPr>
          <w:rFonts w:ascii="Verdana" w:hAnsi="Verdana" w:cs="Arial"/>
          <w:b/>
          <w:lang w:val="es-MX" w:eastAsia="es-ES_tradnl"/>
        </w:rPr>
        <w:t xml:space="preserve"> </w:t>
      </w:r>
      <w:r w:rsidRPr="009E746B">
        <w:rPr>
          <w:rFonts w:ascii="Verdana" w:hAnsi="Verdana" w:cs="Arial"/>
          <w:b/>
          <w:lang w:val="es-MX" w:eastAsia="es-ES_tradnl"/>
        </w:rPr>
        <w:t xml:space="preserve">Resolución 003 de 2026 – Entidades Territoriales No Certificadas – Entidades Territoriales Certificadas – Bolsa Común </w:t>
      </w:r>
    </w:p>
    <w:p w14:paraId="5DF1F6B9" w14:textId="408517F7" w:rsidR="009E746B" w:rsidRPr="009E746B" w:rsidRDefault="009E746B" w:rsidP="00D70345">
      <w:pPr>
        <w:spacing w:after="0" w:line="240" w:lineRule="auto"/>
        <w:jc w:val="both"/>
        <w:rPr>
          <w:rFonts w:ascii="Verdana" w:hAnsi="Verdana" w:cs="Arial"/>
          <w:sz w:val="20"/>
          <w:lang w:val="es-MX" w:eastAsia="es-ES_tradnl"/>
        </w:rPr>
      </w:pPr>
    </w:p>
    <w:p w14:paraId="279F22EE" w14:textId="77777777" w:rsidR="009E746B" w:rsidRPr="009E746B" w:rsidRDefault="009E746B" w:rsidP="00D70345">
      <w:pPr>
        <w:spacing w:after="0" w:line="240" w:lineRule="auto"/>
        <w:jc w:val="both"/>
        <w:rPr>
          <w:rFonts w:ascii="Verdana" w:hAnsi="Verdana" w:cs="Arial"/>
          <w:bCs/>
          <w:sz w:val="20"/>
          <w:lang w:eastAsia="es-ES_tradnl"/>
        </w:rPr>
      </w:pPr>
      <w:r w:rsidRPr="009E746B">
        <w:rPr>
          <w:rFonts w:ascii="Verdana" w:hAnsi="Verdana" w:cs="Arial"/>
          <w:bCs/>
          <w:sz w:val="20"/>
          <w:lang w:eastAsia="es-ES_tradnl"/>
        </w:rPr>
        <w:t xml:space="preserve">Para entender un poco más sobre la articulación y estrategias para una ejecución del PAE por parte de entidades territoriales, la Nación y demás actores, es pertinente tener en cuenta “los Lineamientos Técnicos – Administrativos, los Estándares y las Condiciones Mínimas que deben cumplir todos los actores para la operación del Programa de Alimentación Escolar – PAE”, regulada en la Resolución No. 0003 del 07 de enero 2026. Para ello, hay que tener en cuenta que para la ejecución del PAE existen Entidades Territoriales Certificadas y Entidades No Territoriales No Certificadas. Al respecto, el artículo 10 numeral 3 prescribe que las Entidades Territoriales Certificadas (ETC) son las responsables principales de la planeación, ejecución y supervisión del Programa de Alimentación Escolar (PAE) en su jurisdicción, con el propósito de garantizar la prestación continua y oportuna del servicio durante todo el calendario escolar, conforme a los lineamientos establecidos. Su gestión contribuye al acceso, la permanencia, la reducción del ausentismo y el bienestar de niñas, niños, adolescentes y jóvenes, e incluye la adecuada contratación de operadores, el aseguramiento de condiciones logísticas e infraestructurales, la entrega oportuna de información, la promoción de la participación ciudadana y la administración de los recursos de cofinanciación, así como la constitución </w:t>
      </w:r>
      <w:r w:rsidRPr="009E746B">
        <w:rPr>
          <w:rFonts w:ascii="Verdana" w:hAnsi="Verdana" w:cs="Arial"/>
          <w:bCs/>
          <w:sz w:val="20"/>
          <w:lang w:eastAsia="es-ES_tradnl"/>
        </w:rPr>
        <w:lastRenderedPageBreak/>
        <w:t>de la bolsa común en coordinación con las Entidades Territoriales no Certificadas, para asegurar la sostenibilidad y cobertura del programa.</w:t>
      </w:r>
    </w:p>
    <w:p w14:paraId="4CF548C1" w14:textId="648909FB" w:rsidR="009E746B" w:rsidRPr="00D70345" w:rsidRDefault="00D70345" w:rsidP="00D70345">
      <w:pPr>
        <w:spacing w:after="0" w:line="240" w:lineRule="auto"/>
        <w:jc w:val="both"/>
        <w:rPr>
          <w:rFonts w:ascii="Verdana" w:hAnsi="Verdana" w:cs="Arial"/>
          <w:sz w:val="20"/>
          <w:lang w:eastAsia="es-ES_tradnl"/>
        </w:rPr>
      </w:pPr>
      <w:r w:rsidRPr="00D70345">
        <w:rPr>
          <w:rFonts w:ascii="Verdana" w:hAnsi="Verdana" w:cs="Arial"/>
          <w:sz w:val="20"/>
          <w:lang w:eastAsia="es-ES_tradnl"/>
        </w:rPr>
        <w:t>[…]</w:t>
      </w:r>
    </w:p>
    <w:p w14:paraId="2B206E54" w14:textId="01F812E9" w:rsidR="00D70345" w:rsidRDefault="00D70345" w:rsidP="00D70345">
      <w:pPr>
        <w:spacing w:after="0" w:line="240" w:lineRule="auto"/>
        <w:jc w:val="both"/>
        <w:rPr>
          <w:rFonts w:ascii="Verdana" w:hAnsi="Verdana" w:cs="Arial"/>
          <w:bCs/>
          <w:sz w:val="20"/>
          <w:lang w:eastAsia="es-ES_tradnl"/>
        </w:rPr>
      </w:pPr>
      <w:r w:rsidRPr="00D70345">
        <w:rPr>
          <w:rFonts w:ascii="Verdana" w:hAnsi="Verdana" w:cs="Arial"/>
          <w:bCs/>
          <w:sz w:val="20"/>
          <w:lang w:eastAsia="es-ES_tradnl"/>
        </w:rPr>
        <w:t xml:space="preserve">Frente a la procedencia de la contratación directa solo se hará viable en los casos expresamente autorizados, que para el caso del PAE son contratos y convenios interadministrativos con otras entidades públicas cuyo objeto social les permita ejecutar el PAE, con o sin contrapartida; Convenios interadministrativos o acuerdos formales para la conformación de bolsas comunes; Convenio solidario; Inexistencia de pluralidad de oferentes; y Urgencia manifiesta. </w:t>
      </w:r>
    </w:p>
    <w:p w14:paraId="24FA13AB" w14:textId="77777777" w:rsidR="00D70345" w:rsidRPr="00D70345" w:rsidRDefault="00D70345" w:rsidP="00D70345">
      <w:pPr>
        <w:spacing w:after="0" w:line="240" w:lineRule="auto"/>
        <w:jc w:val="both"/>
        <w:rPr>
          <w:rFonts w:ascii="Verdana" w:hAnsi="Verdana" w:cs="Arial"/>
          <w:bCs/>
          <w:sz w:val="20"/>
          <w:lang w:eastAsia="es-ES_tradnl"/>
        </w:rPr>
      </w:pPr>
    </w:p>
    <w:p w14:paraId="163555F3" w14:textId="77777777" w:rsidR="00D70345" w:rsidRPr="00D70345" w:rsidRDefault="00D70345" w:rsidP="00D70345">
      <w:pPr>
        <w:spacing w:after="0" w:line="240" w:lineRule="auto"/>
        <w:jc w:val="both"/>
        <w:rPr>
          <w:rFonts w:ascii="Verdana" w:hAnsi="Verdana" w:cs="Arial"/>
          <w:sz w:val="20"/>
          <w:lang w:eastAsia="es-ES_tradnl"/>
        </w:rPr>
      </w:pPr>
      <w:r w:rsidRPr="00D70345">
        <w:rPr>
          <w:rFonts w:ascii="Verdana" w:hAnsi="Verdana" w:cs="Arial"/>
          <w:bCs/>
          <w:sz w:val="20"/>
          <w:lang w:eastAsia="es-ES_tradnl"/>
        </w:rPr>
        <w:t xml:space="preserve">En relación con los convenios interadministrativos o acuerdos formales para la conformación de bolsas comunes entre Entidades Territoriales Certificadas (ETC), como los departamentos, y las Entidades Territoriales No Certificadas (ETnoC), como los municipios, orientados a la ejecución del Programa de Alimentación Escolar (PAE), se establece que la Entidad Territorial Certificada departamental debe ejercer un seguimiento permanente y sistemático al cronograma de conformación y ejecución de la bolsa común, así como al convenio o acuerdo suscrito. Este seguimiento debe verificar el cumplimiento de las responsabilidades y compromisos asumidos por cada entidad, especialmente en lo relacionado con la priorización, asignación y uso adecuado de los recursos, la correcta operación del Programa y el oportuno reporte de la información. Asimismo, debe contemplar la revisión del avance técnico, financiero y administrativo definido en el mecanismo seleccionado y la consolidación de los resultados en los medios y formatos establecidos por la Unidad Administrativa Especial de Alimentación Escolar (UApA), garantizando la transparencia, eficiencia y articulación en la ejecución del PAE. En este contexto, la suscripción de convenios para la conformación de Bolsas Comunes en el cumplimiento de los objetivos del PAE implica revisar su procedencia frente a las restricciones de la Ley de Garantías Electorales. </w:t>
      </w:r>
      <w:r w:rsidRPr="00D70345">
        <w:rPr>
          <w:rFonts w:ascii="Verdana" w:hAnsi="Verdana" w:cs="Arial"/>
          <w:sz w:val="20"/>
          <w:lang w:eastAsia="es-ES_tradnl"/>
        </w:rPr>
        <w:t xml:space="preserve"> </w:t>
      </w:r>
    </w:p>
    <w:p w14:paraId="647DCA12" w14:textId="77777777" w:rsidR="00D70345" w:rsidRPr="00D70345" w:rsidRDefault="00D70345" w:rsidP="00D70345">
      <w:pPr>
        <w:spacing w:after="0" w:line="240" w:lineRule="auto"/>
        <w:jc w:val="both"/>
        <w:rPr>
          <w:rFonts w:ascii="Verdana" w:hAnsi="Verdana" w:cs="Arial"/>
          <w:sz w:val="20"/>
          <w:lang w:eastAsia="es-ES_tradnl"/>
        </w:rPr>
      </w:pPr>
    </w:p>
    <w:p w14:paraId="52BC9BB1" w14:textId="77777777" w:rsidR="009E746B" w:rsidRPr="009E746B" w:rsidRDefault="009E746B" w:rsidP="00D70345">
      <w:pPr>
        <w:spacing w:after="0" w:line="240" w:lineRule="auto"/>
        <w:jc w:val="both"/>
        <w:rPr>
          <w:rFonts w:ascii="Verdana" w:hAnsi="Verdana" w:cs="Arial"/>
          <w:b/>
          <w:lang w:val="es-MX" w:eastAsia="es-ES_tradnl"/>
        </w:rPr>
      </w:pPr>
      <w:r w:rsidRPr="009E746B">
        <w:rPr>
          <w:rFonts w:ascii="Verdana" w:hAnsi="Verdana" w:cs="Arial"/>
          <w:b/>
          <w:lang w:val="es-MX" w:eastAsia="es-ES_tradnl"/>
        </w:rPr>
        <w:t>PROGRAMA DE ALIMENTACIÓN ESCOLAR – Ley de Garantías Electorales – Restricción – Artículo 33 – Excepciones</w:t>
      </w:r>
    </w:p>
    <w:p w14:paraId="0CED03DC" w14:textId="58003AE2" w:rsidR="00D70345" w:rsidRPr="00D70345" w:rsidRDefault="00D70345" w:rsidP="00D70345">
      <w:pPr>
        <w:spacing w:after="0" w:line="240" w:lineRule="auto"/>
        <w:jc w:val="both"/>
        <w:rPr>
          <w:rFonts w:ascii="Verdana" w:hAnsi="Verdana" w:cs="Arial"/>
          <w:b/>
          <w:lang w:eastAsia="es-ES_tradnl"/>
        </w:rPr>
      </w:pPr>
    </w:p>
    <w:p w14:paraId="7BB9D0C8" w14:textId="7274644C" w:rsidR="00D70345" w:rsidRDefault="00D70345" w:rsidP="00D70345">
      <w:pPr>
        <w:spacing w:after="0" w:line="240" w:lineRule="auto"/>
        <w:jc w:val="both"/>
        <w:rPr>
          <w:rFonts w:ascii="Verdana" w:hAnsi="Verdana" w:cs="Arial"/>
          <w:bCs/>
          <w:sz w:val="20"/>
          <w:lang w:val="es-MX" w:eastAsia="es-ES_tradnl"/>
        </w:rPr>
      </w:pPr>
      <w:r w:rsidRPr="00D70345">
        <w:rPr>
          <w:rFonts w:ascii="Verdana" w:hAnsi="Verdana" w:cs="Arial"/>
          <w:sz w:val="20"/>
          <w:lang w:eastAsia="es-ES_tradnl"/>
        </w:rPr>
        <w:t xml:space="preserve">En relación a estos convenios interadministrativos que se adelantan con fundamento en los programas antes referidos, debe señalarse que estos se encuentran sujetos a la restricción del artículo 33 de la Ley 996 de 2005. Lo anterior en la medida que dicha disposición prohíbe </w:t>
      </w:r>
      <w:r w:rsidRPr="00D70345">
        <w:rPr>
          <w:rFonts w:ascii="Verdana" w:hAnsi="Verdana" w:cs="Arial"/>
          <w:bCs/>
          <w:sz w:val="20"/>
          <w:lang w:val="es-MX" w:eastAsia="es-ES_tradnl"/>
        </w:rPr>
        <w:t xml:space="preserve">adelantar cualquier tipo de contratación bajo la figura de contratación directa, entendida como todo mecanismo no competitivo. En consecuencia, esta resulta aplicable a aquellos supuestos, en los que se pretenda celebrar convenios interadministrativos para la conformación de una bolsa común de manera directa. En este sentido, todos los entes del Estado, independiente del régimen jurídico aplicable, están sujetos a la citada restricción, por lo que no podrán ningun tipo de contrato bajo la modalidad de contratación directa dentro de los cuatro (4) meses anteriores a la celebración de las elecciones presidenciales. </w:t>
      </w:r>
    </w:p>
    <w:p w14:paraId="7638B616" w14:textId="77777777" w:rsidR="00D70345" w:rsidRPr="00D70345" w:rsidRDefault="00D70345" w:rsidP="00D70345">
      <w:pPr>
        <w:spacing w:after="0" w:line="240" w:lineRule="auto"/>
        <w:jc w:val="both"/>
        <w:rPr>
          <w:rFonts w:ascii="Verdana" w:hAnsi="Verdana" w:cs="Arial"/>
          <w:bCs/>
          <w:sz w:val="20"/>
          <w:lang w:val="es-MX" w:eastAsia="es-ES_tradnl"/>
        </w:rPr>
      </w:pPr>
    </w:p>
    <w:p w14:paraId="228B7BE6" w14:textId="77777777" w:rsidR="00D70345" w:rsidRPr="00D70345" w:rsidRDefault="00D70345" w:rsidP="00D70345">
      <w:pPr>
        <w:spacing w:after="0" w:line="240" w:lineRule="auto"/>
        <w:jc w:val="both"/>
        <w:rPr>
          <w:rFonts w:ascii="Verdana" w:hAnsi="Verdana" w:cs="Arial"/>
          <w:bCs/>
          <w:sz w:val="20"/>
          <w:lang w:val="es-MX" w:eastAsia="es-ES_tradnl"/>
        </w:rPr>
      </w:pPr>
      <w:r w:rsidRPr="00D70345">
        <w:rPr>
          <w:rFonts w:ascii="Verdana" w:hAnsi="Verdana" w:cs="Arial"/>
          <w:bCs/>
          <w:sz w:val="20"/>
          <w:lang w:val="es-MX" w:eastAsia="es-ES_tradnl"/>
        </w:rPr>
        <w:t xml:space="preserve">Esto, sin perjuicio de las excepciones a esta prohibición, contenidas en el inciso segundo del precitado artículo: i) los contratos relacionados con la defensa y seguridad del </w:t>
      </w:r>
      <w:r w:rsidRPr="00D70345">
        <w:rPr>
          <w:rFonts w:ascii="Verdana" w:hAnsi="Verdana" w:cs="Arial"/>
          <w:bCs/>
          <w:sz w:val="20"/>
          <w:lang w:val="es-MX" w:eastAsia="es-ES_tradnl"/>
        </w:rPr>
        <w:lastRenderedPageBreak/>
        <w:t>Estado, analizados en el Concepto 322 de 2026; ii) los contratos de crédito público, abordados en el Concepto CU-372 de 2026; iii) los contratos necesarios para atender emergencias educativas, sanitarias o desastres, tratados en los Conceptos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118 de 2026 y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176 de 2026, que tratan en este caso de la urgencia manifiesta; iv) los contratos destinados a la reconstrucción de infraestructura vial, energética y de comunicaciones afectada por atentados, acciones terroristas, desastres naturales o fuerza mayor, igualmente estudiados en los Conceptos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118 de 2026 y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176 de 2026, entre otros; y v) la contratación directa celebrada por entidades sanitarias y hospitalarias, objeto de análisis en los Conceptos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1124 de 2026,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1406 de 2026 y C</w:t>
      </w:r>
      <w:r w:rsidRPr="00D70345">
        <w:rPr>
          <w:rFonts w:ascii="Cambria Math" w:hAnsi="Cambria Math" w:cs="Cambria Math"/>
          <w:bCs/>
          <w:sz w:val="20"/>
          <w:lang w:val="es-MX" w:eastAsia="es-ES_tradnl"/>
        </w:rPr>
        <w:t>‑</w:t>
      </w:r>
      <w:r w:rsidRPr="00D70345">
        <w:rPr>
          <w:rFonts w:ascii="Verdana" w:hAnsi="Verdana" w:cs="Arial"/>
          <w:bCs/>
          <w:sz w:val="20"/>
          <w:lang w:val="es-MX" w:eastAsia="es-ES_tradnl"/>
        </w:rPr>
        <w:t>1703 de 2026. Es responsabilidad del respectivo ente del Estado, examinar en cada caso la naturaleza de las actividades que adelanta y determinar si las mismas se enmarcan en alguna de las mencionadas excepciones, de manera que se le permita realizar la celebración del convenio interadministrativo para la ejecución del PAE mediante bolsas comunes.</w:t>
      </w:r>
    </w:p>
    <w:p w14:paraId="01FA5F4C" w14:textId="77777777" w:rsidR="00D70345" w:rsidRPr="00D70345" w:rsidRDefault="00D70345" w:rsidP="00D70345">
      <w:pPr>
        <w:spacing w:after="0" w:line="240" w:lineRule="auto"/>
        <w:jc w:val="both"/>
        <w:rPr>
          <w:rFonts w:ascii="Verdana" w:hAnsi="Verdana" w:cs="Arial"/>
          <w:sz w:val="20"/>
          <w:lang w:val="es-MX" w:eastAsia="es-ES_tradnl"/>
        </w:rPr>
      </w:pPr>
    </w:p>
    <w:p w14:paraId="098DECBB" w14:textId="34A06ABC" w:rsidR="009E746B" w:rsidRPr="009E746B" w:rsidRDefault="009E746B" w:rsidP="00D70345">
      <w:pPr>
        <w:spacing w:after="0" w:line="240" w:lineRule="auto"/>
        <w:jc w:val="both"/>
        <w:rPr>
          <w:rFonts w:ascii="Verdana" w:eastAsia="Verdana" w:hAnsi="Verdana" w:cs="Verdana"/>
          <w:b/>
        </w:rPr>
      </w:pPr>
      <w:r w:rsidRPr="009E746B">
        <w:rPr>
          <w:rFonts w:ascii="Verdana" w:hAnsi="Verdana" w:cs="Arial"/>
          <w:b/>
          <w:lang w:val="es-MX" w:eastAsia="es-ES_tradnl"/>
        </w:rPr>
        <w:t xml:space="preserve">PROGRAMA DE ALIMENTACIÓN ESCOLAR – Restricción </w:t>
      </w:r>
      <w:r w:rsidR="007D7F8D" w:rsidRPr="007D7F8D">
        <w:rPr>
          <w:rFonts w:ascii="Verdana" w:hAnsi="Verdana" w:cs="Arial"/>
          <w:b/>
          <w:bCs/>
          <w:lang w:val="es-ES" w:eastAsia="es-ES_tradnl"/>
        </w:rPr>
        <w:t>–</w:t>
      </w:r>
      <w:r w:rsidRPr="009E746B">
        <w:rPr>
          <w:rFonts w:ascii="Verdana" w:hAnsi="Verdana" w:cs="Arial"/>
          <w:b/>
          <w:lang w:val="es-MX" w:eastAsia="es-ES_tradnl"/>
        </w:rPr>
        <w:t xml:space="preserve"> Artículo 38</w:t>
      </w:r>
    </w:p>
    <w:p w14:paraId="79F1E419" w14:textId="77777777" w:rsidR="00D70345" w:rsidRDefault="00D70345" w:rsidP="00D70345">
      <w:pPr>
        <w:spacing w:after="0" w:line="240" w:lineRule="auto"/>
        <w:rPr>
          <w:rFonts w:ascii="Verdana" w:eastAsia="Verdana" w:hAnsi="Verdana" w:cs="Verdana"/>
          <w:b/>
          <w:lang w:val="es-MX"/>
        </w:rPr>
      </w:pPr>
    </w:p>
    <w:p w14:paraId="22C835EC" w14:textId="2A9892C2" w:rsidR="00D70345" w:rsidRDefault="00D70345" w:rsidP="00D70345">
      <w:pPr>
        <w:spacing w:after="0" w:line="240" w:lineRule="auto"/>
        <w:jc w:val="both"/>
        <w:rPr>
          <w:rFonts w:ascii="Verdana" w:eastAsia="Verdana" w:hAnsi="Verdana" w:cs="Verdana"/>
          <w:sz w:val="20"/>
        </w:rPr>
      </w:pPr>
      <w:r w:rsidRPr="00D70345">
        <w:rPr>
          <w:rFonts w:ascii="Verdana" w:eastAsia="Verdana" w:hAnsi="Verdana" w:cs="Verdana"/>
          <w:sz w:val="20"/>
          <w:lang w:val="es-MX"/>
        </w:rPr>
        <w:t>Ahora bien</w:t>
      </w:r>
      <w:r w:rsidRPr="00D70345">
        <w:rPr>
          <w:rFonts w:ascii="Verdana" w:eastAsia="Verdana" w:hAnsi="Verdana" w:cs="Verdana"/>
          <w:sz w:val="20"/>
        </w:rPr>
        <w:t>, resulta pertinente precisar que los convenios interadministrativos para la conformación de bolsas comunes entre Entidades Territoriales Certificadas y Entidades Territoriales No Certificadas 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3A42D606" w14:textId="77777777" w:rsidR="00D70345" w:rsidRPr="00D70345" w:rsidRDefault="00D70345" w:rsidP="00D70345">
      <w:pPr>
        <w:spacing w:after="0" w:line="240" w:lineRule="auto"/>
        <w:jc w:val="both"/>
        <w:rPr>
          <w:rFonts w:ascii="Verdana" w:eastAsia="Verdana" w:hAnsi="Verdana" w:cs="Verdana"/>
          <w:sz w:val="20"/>
        </w:rPr>
      </w:pPr>
    </w:p>
    <w:p w14:paraId="75C96743" w14:textId="77777777" w:rsidR="00D70345" w:rsidRPr="00D70345" w:rsidRDefault="00D70345" w:rsidP="00D70345">
      <w:pPr>
        <w:spacing w:after="0" w:line="240" w:lineRule="auto"/>
        <w:jc w:val="both"/>
        <w:rPr>
          <w:rFonts w:ascii="Verdana" w:eastAsia="Verdana" w:hAnsi="Verdana" w:cs="Verdana"/>
          <w:sz w:val="20"/>
        </w:rPr>
      </w:pPr>
      <w:r w:rsidRPr="00D70345">
        <w:rPr>
          <w:rFonts w:ascii="Verdana" w:eastAsia="Verdana" w:hAnsi="Verdana" w:cs="Verdana"/>
          <w:sz w:val="20"/>
        </w:rPr>
        <w:t xml:space="preserve">En estos casos, opera la restricción contenida en el parágrafo del citado artículo, que prohíbe la celebración de convenios interadministrativos durante los cuatro meses anteriores a cualquier contienda electoral. Es importante subrayar que esta limitación no se refiere a la relación entre contratantes y contratistas, sino a la naturaleza cooperativa y colaborativa de las partes intervinientes. La restricción se extiende, en consecuencia, a las elecciones presidenciales programadas para el 31 de mayo de 2026, así como a una eventual segunda vuelta prevista para el 21 de junio del mismo año. De igual manera, resulta importante precisar que, a diferencia de lo dispuesto en el artículo 33, </w:t>
      </w:r>
      <w:r w:rsidRPr="00D70345">
        <w:rPr>
          <w:rFonts w:ascii="Verdana" w:eastAsia="Verdana" w:hAnsi="Verdana" w:cs="Verdana"/>
          <w:bCs/>
          <w:sz w:val="20"/>
        </w:rPr>
        <w:t>el artículo 38 de la Ley de Garantías Electorales no prevé excepciones para la suscripción de los convenios interadministrativos o acuerdos formales destinados a la conformación de bolsas comunes</w:t>
      </w:r>
      <w:r w:rsidRPr="00D70345">
        <w:rPr>
          <w:rFonts w:ascii="Verdana" w:eastAsia="Verdana" w:hAnsi="Verdana" w:cs="Verdana"/>
          <w:sz w:val="20"/>
        </w:rPr>
        <w:t>.</w:t>
      </w:r>
    </w:p>
    <w:p w14:paraId="4A8B6EF3" w14:textId="77777777" w:rsidR="00D70345" w:rsidRPr="00D70345" w:rsidRDefault="00D70345" w:rsidP="00D70345">
      <w:pPr>
        <w:spacing w:after="0"/>
        <w:rPr>
          <w:rFonts w:ascii="Verdana" w:eastAsia="Verdana" w:hAnsi="Verdana" w:cs="Verdana"/>
          <w:b/>
        </w:rPr>
      </w:pPr>
    </w:p>
    <w:p w14:paraId="7DF3F697" w14:textId="30D364DD" w:rsidR="00D70345" w:rsidRDefault="00D70345" w:rsidP="00737E18">
      <w:pPr>
        <w:spacing w:after="0"/>
        <w:rPr>
          <w:rFonts w:ascii="Verdana" w:eastAsia="Verdana" w:hAnsi="Verdana" w:cs="Verdana"/>
        </w:rPr>
      </w:pPr>
    </w:p>
    <w:p w14:paraId="38D12FBA" w14:textId="340F4083" w:rsidR="00D70345" w:rsidRDefault="00D70345" w:rsidP="00737E18">
      <w:pPr>
        <w:spacing w:after="0"/>
        <w:rPr>
          <w:rFonts w:ascii="Verdana" w:eastAsia="Verdana" w:hAnsi="Verdana" w:cs="Verdana"/>
        </w:rPr>
      </w:pPr>
    </w:p>
    <w:p w14:paraId="482ABDFA" w14:textId="1784E9E7" w:rsidR="00D70345" w:rsidRDefault="00D70345" w:rsidP="00737E18">
      <w:pPr>
        <w:spacing w:after="0"/>
        <w:rPr>
          <w:rFonts w:ascii="Verdana" w:eastAsia="Verdana" w:hAnsi="Verdana" w:cs="Verdana"/>
        </w:rPr>
      </w:pPr>
    </w:p>
    <w:p w14:paraId="610DEF59" w14:textId="49E444BE" w:rsidR="00D70345" w:rsidRDefault="00D70345" w:rsidP="00737E18">
      <w:pPr>
        <w:spacing w:after="0"/>
        <w:rPr>
          <w:rFonts w:ascii="Verdana" w:eastAsia="Verdana" w:hAnsi="Verdana" w:cs="Verdana"/>
        </w:rPr>
      </w:pPr>
    </w:p>
    <w:p w14:paraId="552E05E3" w14:textId="52F1933B" w:rsidR="00D70345" w:rsidRDefault="00D70345" w:rsidP="00737E18">
      <w:pPr>
        <w:spacing w:after="0"/>
        <w:rPr>
          <w:rFonts w:ascii="Verdana" w:eastAsia="Verdana" w:hAnsi="Verdana" w:cs="Verdana"/>
        </w:rPr>
      </w:pPr>
    </w:p>
    <w:p w14:paraId="18AA1009" w14:textId="77777777" w:rsidR="00D70345" w:rsidRDefault="00D70345" w:rsidP="00737E18">
      <w:pPr>
        <w:spacing w:after="0"/>
        <w:rPr>
          <w:rFonts w:ascii="Verdana" w:eastAsia="Verdana" w:hAnsi="Verdana" w:cs="Verdana"/>
        </w:rPr>
      </w:pPr>
    </w:p>
    <w:p w14:paraId="32E92F36" w14:textId="2A2F75AA" w:rsidR="00737E18" w:rsidRDefault="00D70345" w:rsidP="00D70345">
      <w:pPr>
        <w:spacing w:after="0" w:line="240" w:lineRule="auto"/>
        <w:rPr>
          <w:rFonts w:ascii="Verdana" w:eastAsia="Calibri" w:hAnsi="Verdana" w:cs="Arial"/>
          <w:color w:val="000000"/>
          <w:lang w:val="es-MX"/>
        </w:rPr>
      </w:pPr>
      <w:r w:rsidRPr="00D70345">
        <w:rPr>
          <w:rFonts w:ascii="Verdana" w:eastAsia="Calibri" w:hAnsi="Verdana" w:cs="Arial"/>
          <w:noProof/>
          <w:color w:val="000000"/>
          <w:lang w:val="en-US"/>
        </w:rPr>
        <w:lastRenderedPageBreak/>
        <w:drawing>
          <wp:anchor distT="0" distB="0" distL="114300" distR="114300" simplePos="0" relativeHeight="251658240" behindDoc="0" locked="0" layoutInCell="1" allowOverlap="1" wp14:anchorId="27367A6A" wp14:editId="73099F2A">
            <wp:simplePos x="0" y="0"/>
            <wp:positionH relativeFrom="margin">
              <wp:align>right</wp:align>
            </wp:positionH>
            <wp:positionV relativeFrom="paragraph">
              <wp:posOffset>135890</wp:posOffset>
            </wp:positionV>
            <wp:extent cx="2752090" cy="76327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52090" cy="7632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37E18" w:rsidRPr="30821638">
        <w:rPr>
          <w:rFonts w:ascii="Verdana" w:eastAsia="Verdana" w:hAnsi="Verdana" w:cs="Verdana"/>
        </w:rPr>
        <w:t>Bogotá D.C.,</w:t>
      </w:r>
      <w:r w:rsidR="009E746B">
        <w:rPr>
          <w:rFonts w:ascii="Verdana" w:eastAsia="Verdana" w:hAnsi="Verdana" w:cs="Verdana"/>
        </w:rPr>
        <w:t xml:space="preserve"> 15 de abril de 2026</w:t>
      </w:r>
      <w:r w:rsidR="00737E18">
        <w:tab/>
      </w:r>
      <w:r w:rsidR="00737E18">
        <w:br/>
      </w:r>
    </w:p>
    <w:p w14:paraId="36C4EC7B" w14:textId="0D41A3A4" w:rsidR="00737E18" w:rsidRPr="00593A5F" w:rsidRDefault="00737E18" w:rsidP="00D70345">
      <w:pPr>
        <w:spacing w:after="0" w:line="240" w:lineRule="auto"/>
        <w:jc w:val="both"/>
        <w:rPr>
          <w:rFonts w:ascii="Verdana" w:eastAsia="Calibri" w:hAnsi="Verdana" w:cs="Arial"/>
          <w:color w:val="000000"/>
          <w:lang w:val="es-ES"/>
        </w:rPr>
      </w:pPr>
    </w:p>
    <w:p w14:paraId="3BB0F790" w14:textId="77777777" w:rsidR="00737E18" w:rsidRPr="003F1AD6" w:rsidRDefault="00737E18" w:rsidP="00D70345">
      <w:pPr>
        <w:spacing w:after="0" w:line="240" w:lineRule="auto"/>
        <w:jc w:val="both"/>
        <w:rPr>
          <w:rFonts w:ascii="Verdana" w:eastAsia="Calibri" w:hAnsi="Verdana" w:cs="Arial"/>
          <w:lang w:val="es-ES" w:eastAsia="es-ES"/>
        </w:rPr>
      </w:pPr>
      <w:r w:rsidRPr="003F1AD6">
        <w:rPr>
          <w:rFonts w:ascii="Verdana" w:eastAsia="Calibri" w:hAnsi="Verdana" w:cs="Arial"/>
          <w:lang w:val="es-ES" w:eastAsia="es-ES"/>
        </w:rPr>
        <w:t>Señor</w:t>
      </w:r>
    </w:p>
    <w:p w14:paraId="0F1610BA" w14:textId="77777777" w:rsidR="00737E18" w:rsidRPr="003F1AD6" w:rsidRDefault="00737E18" w:rsidP="00D70345">
      <w:pPr>
        <w:spacing w:after="0" w:line="240" w:lineRule="auto"/>
        <w:rPr>
          <w:rFonts w:ascii="Verdana" w:eastAsia="Calibri" w:hAnsi="Verdana" w:cs="Arial"/>
          <w:b/>
          <w:lang w:val="es-ES" w:eastAsia="es-ES"/>
        </w:rPr>
      </w:pPr>
      <w:r w:rsidRPr="003F1AD6">
        <w:rPr>
          <w:rFonts w:ascii="Verdana" w:eastAsia="Calibri" w:hAnsi="Verdana" w:cs="Arial"/>
          <w:b/>
          <w:lang w:val="es-ES" w:eastAsia="es-ES"/>
        </w:rPr>
        <w:t xml:space="preserve">Julián David Castaño Gómez </w:t>
      </w:r>
    </w:p>
    <w:p w14:paraId="5C8C7900" w14:textId="77777777" w:rsidR="00737E18" w:rsidRPr="003F1AD6" w:rsidRDefault="00737E18" w:rsidP="00D70345">
      <w:pPr>
        <w:spacing w:after="0" w:line="240" w:lineRule="auto"/>
        <w:rPr>
          <w:rFonts w:ascii="Verdana" w:eastAsia="Calibri" w:hAnsi="Verdana" w:cs="Arial"/>
          <w:lang w:val="es-ES" w:eastAsia="es-ES"/>
        </w:rPr>
      </w:pPr>
      <w:hyperlink r:id="rId12" w:history="1">
        <w:r w:rsidRPr="003F1AD6">
          <w:rPr>
            <w:rStyle w:val="Hipervnculo"/>
            <w:rFonts w:ascii="Verdana" w:eastAsia="Calibri" w:hAnsi="Verdana" w:cs="Arial"/>
            <w:lang w:val="es-ES" w:eastAsia="es-ES"/>
          </w:rPr>
          <w:t>castanogomez27@gmail.com</w:t>
        </w:r>
      </w:hyperlink>
      <w:r w:rsidRPr="003F1AD6">
        <w:rPr>
          <w:rFonts w:ascii="Verdana" w:eastAsia="Calibri" w:hAnsi="Verdana" w:cs="Arial"/>
          <w:lang w:val="es-ES" w:eastAsia="es-ES"/>
        </w:rPr>
        <w:t xml:space="preserve"> </w:t>
      </w:r>
    </w:p>
    <w:p w14:paraId="140ACF24" w14:textId="77777777" w:rsidR="00737E18" w:rsidRPr="003F1AD6" w:rsidRDefault="00737E18" w:rsidP="00D70345">
      <w:pPr>
        <w:spacing w:after="0" w:line="240" w:lineRule="auto"/>
        <w:rPr>
          <w:rFonts w:ascii="Verdana" w:eastAsia="Calibri" w:hAnsi="Verdana" w:cs="Arial"/>
          <w:lang w:val="es-ES" w:eastAsia="es-ES"/>
        </w:rPr>
      </w:pPr>
      <w:r w:rsidRPr="003F1AD6">
        <w:rPr>
          <w:rFonts w:ascii="Verdana" w:eastAsia="Calibri" w:hAnsi="Verdana" w:cs="Arial"/>
          <w:lang w:val="es-ES" w:eastAsia="es-ES"/>
        </w:rPr>
        <w:t xml:space="preserve">Bogotá D.C. </w:t>
      </w:r>
    </w:p>
    <w:p w14:paraId="7DB95F42" w14:textId="77777777" w:rsidR="00737E18" w:rsidRDefault="00737E18" w:rsidP="00D70345">
      <w:pPr>
        <w:spacing w:after="0" w:line="240" w:lineRule="auto"/>
        <w:rPr>
          <w:rFonts w:ascii="Verdana" w:eastAsia="Calibri" w:hAnsi="Verdana" w:cs="Arial"/>
          <w:b/>
          <w:bCs/>
          <w:color w:val="000000"/>
          <w:lang w:val="es-ES_tradnl" w:eastAsia="es-ES_tradnl"/>
        </w:rPr>
      </w:pPr>
    </w:p>
    <w:p w14:paraId="4B88563F" w14:textId="77777777" w:rsidR="00737E18" w:rsidRPr="00A12CB6" w:rsidRDefault="00737E18" w:rsidP="00D70345">
      <w:pPr>
        <w:spacing w:after="0" w:line="240" w:lineRule="auto"/>
        <w:rPr>
          <w:rFonts w:ascii="Verdana" w:eastAsia="Calibri" w:hAnsi="Verdana" w:cs="Times New Roman"/>
        </w:rPr>
      </w:pPr>
    </w:p>
    <w:p w14:paraId="48617EAF" w14:textId="77777777" w:rsidR="00737E18" w:rsidRPr="00A12CB6" w:rsidRDefault="00737E18" w:rsidP="00737E18">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C- 358 de 2026</w:t>
      </w:r>
    </w:p>
    <w:p w14:paraId="5F45EA92" w14:textId="77777777" w:rsidR="00737E18" w:rsidRPr="00A12CB6" w:rsidRDefault="00737E18" w:rsidP="00737E18">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37E18" w:rsidRPr="00A12CB6" w14:paraId="42F51BBD" w14:textId="77777777" w:rsidTr="00727511">
        <w:trPr>
          <w:trHeight w:val="645"/>
        </w:trPr>
        <w:tc>
          <w:tcPr>
            <w:tcW w:w="2685" w:type="dxa"/>
            <w:hideMark/>
          </w:tcPr>
          <w:p w14:paraId="1844CB91" w14:textId="77777777" w:rsidR="00737E18" w:rsidRPr="00A12CB6" w:rsidRDefault="00737E18" w:rsidP="00727511">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22423C10" w14:textId="538F385B" w:rsidR="00737E18" w:rsidRPr="00817856" w:rsidRDefault="00737E18" w:rsidP="00727511">
            <w:pPr>
              <w:spacing w:line="276" w:lineRule="auto"/>
              <w:jc w:val="both"/>
              <w:rPr>
                <w:rFonts w:ascii="Verdana" w:hAnsi="Verdana" w:cs="Arial"/>
                <w:lang w:val="es-ES" w:eastAsia="es-ES_tradnl"/>
              </w:rPr>
            </w:pPr>
            <w:r w:rsidRPr="00891006">
              <w:rPr>
                <w:rFonts w:ascii="Verdana" w:hAnsi="Verdana" w:cs="Arial"/>
                <w:lang w:eastAsia="es-ES_tradnl"/>
              </w:rPr>
              <w:t xml:space="preserve">LEY DE GARANTÍAS ELECTORALES </w:t>
            </w:r>
            <w:r w:rsidRPr="00891006">
              <w:rPr>
                <w:rFonts w:ascii="Verdana" w:hAnsi="Verdana" w:cs="Arial"/>
                <w:bCs/>
                <w:lang w:eastAsia="es-ES_tradnl"/>
              </w:rPr>
              <w:t>‒</w:t>
            </w:r>
            <w:r w:rsidRPr="00891006">
              <w:rPr>
                <w:rFonts w:ascii="Verdana" w:hAnsi="Verdana" w:cs="Arial"/>
                <w:lang w:eastAsia="es-ES_tradnl"/>
              </w:rPr>
              <w:t xml:space="preserve"> Finalidad / LEY DE GARANTÍAS ELECTORALES </w:t>
            </w:r>
            <w:r w:rsidRPr="00891006">
              <w:rPr>
                <w:rFonts w:ascii="Verdana" w:hAnsi="Verdana" w:cs="Arial"/>
                <w:bCs/>
                <w:lang w:eastAsia="es-ES_tradnl"/>
              </w:rPr>
              <w:t>‒</w:t>
            </w:r>
            <w:r w:rsidRPr="00891006">
              <w:rPr>
                <w:rFonts w:ascii="Verdana" w:hAnsi="Verdana" w:cs="Arial"/>
                <w:lang w:eastAsia="es-ES_tradnl"/>
              </w:rPr>
              <w:t xml:space="preserve"> Tipos de restricciones </w:t>
            </w:r>
            <w:r w:rsidRPr="00891006">
              <w:rPr>
                <w:rFonts w:ascii="Verdana" w:hAnsi="Verdana" w:cs="Arial"/>
                <w:bCs/>
                <w:lang w:eastAsia="es-ES_tradnl"/>
              </w:rPr>
              <w:t>‒</w:t>
            </w:r>
            <w:r w:rsidRPr="00891006">
              <w:rPr>
                <w:rFonts w:ascii="Verdana" w:hAnsi="Verdana" w:cs="Arial"/>
                <w:lang w:eastAsia="es-ES_tradnl"/>
              </w:rPr>
              <w:t xml:space="preserve"> Ámbito temporal – celebración- límite / LEY DE GARANTÍAS ELECTORALES – Prohibición artículo 33 – Contratación directa – Alcance / LEY DE GARANTÍAS ELECTORALES – Prohibición del artículo 33 – Destinatarios</w:t>
            </w:r>
            <w:r>
              <w:rPr>
                <w:rFonts w:ascii="Verdana" w:hAnsi="Verdana" w:cs="Arial"/>
                <w:lang w:eastAsia="es-ES_tradnl"/>
              </w:rPr>
              <w:t xml:space="preserve"> /</w:t>
            </w:r>
            <w:r w:rsidRPr="00891006">
              <w:rPr>
                <w:rFonts w:ascii="Verdana" w:hAnsi="Verdana" w:cs="Arial"/>
                <w:lang w:eastAsia="es-ES_tradnl"/>
              </w:rPr>
              <w:t xml:space="preserve"> LEY DE GARANTÍAS ELECTORALES – Excepciones / </w:t>
            </w:r>
            <w:r>
              <w:rPr>
                <w:rFonts w:ascii="Verdana" w:hAnsi="Verdana" w:cs="Arial"/>
                <w:lang w:eastAsia="es-ES_tradnl"/>
              </w:rPr>
              <w:t>LEY DE GARANTÍAS ELECTORALES – Excepciones – Posturas de la Sala de Consulta y Servicio del Consejo de Estado /</w:t>
            </w:r>
            <w:r>
              <w:rPr>
                <w:rFonts w:ascii="Verdana" w:hAnsi="Verdana" w:cs="Arial"/>
                <w:lang w:val="es-MX" w:eastAsia="es-ES_tradnl"/>
              </w:rPr>
              <w:t xml:space="preserve"> </w:t>
            </w:r>
            <w:r w:rsidRPr="008C309E">
              <w:rPr>
                <w:rFonts w:ascii="Verdana" w:hAnsi="Verdana" w:cs="Arial"/>
                <w:lang w:val="es-MX" w:eastAsia="es-ES_tradnl"/>
              </w:rPr>
              <w:t>LEY DE GARANTÍAS ELECTORALES – Contratos y convenios interadministrativos – Criterio orgánico / LEY DE GARANTÍAS ELECTORALES –Restricción- Convenios interadministrativos – Postura del Consejo de Estado /</w:t>
            </w:r>
            <w:r>
              <w:rPr>
                <w:rFonts w:ascii="Verdana" w:hAnsi="Verdana" w:cs="Arial"/>
                <w:lang w:val="es-MX" w:eastAsia="es-ES_tradnl"/>
              </w:rPr>
              <w:t xml:space="preserve"> PROGRAMA DE ALIMENTACIÓN ESCOLAR – Definición – Estrategia / PROGRAMA DE ALIMENTACIÓN ESCOLAR –Resolución 003 de 2026 – Entidades Territoriales No Certificadas – Entidades Territoriales Certificadas – Bolsa Común / PROGRAMA DE ALIMENTACIÓN ESCOLAR – Ley de Garantías Electorales – Restricción – Artículo 33 – Excepciones / PROGRAMA DE ALIMENTACIÓN ESCOLAR – Restricción </w:t>
            </w:r>
            <w:r w:rsidR="007D7F8D" w:rsidRPr="007D7F8D">
              <w:rPr>
                <w:rFonts w:ascii="Verdana" w:hAnsi="Verdana" w:cs="Arial"/>
                <w:b/>
                <w:bCs/>
                <w:lang w:val="es-ES" w:eastAsia="es-ES_tradnl"/>
              </w:rPr>
              <w:t>–</w:t>
            </w:r>
            <w:r>
              <w:rPr>
                <w:rFonts w:ascii="Verdana" w:hAnsi="Verdana" w:cs="Arial"/>
                <w:lang w:val="es-MX" w:eastAsia="es-ES_tradnl"/>
              </w:rPr>
              <w:t xml:space="preserve"> Artículo 38 </w:t>
            </w:r>
          </w:p>
        </w:tc>
        <w:tc>
          <w:tcPr>
            <w:tcW w:w="6237" w:type="dxa"/>
          </w:tcPr>
          <w:p w14:paraId="6207091A" w14:textId="77777777" w:rsidR="00737E18" w:rsidRPr="00A12CB6" w:rsidRDefault="00737E18" w:rsidP="00727511">
            <w:pPr>
              <w:spacing w:line="256" w:lineRule="auto"/>
              <w:rPr>
                <w:rFonts w:ascii="Verdana" w:hAnsi="Verdana"/>
              </w:rPr>
            </w:pPr>
          </w:p>
        </w:tc>
      </w:tr>
    </w:tbl>
    <w:p w14:paraId="5035EDB6" w14:textId="77777777" w:rsidR="00737E18" w:rsidRPr="00593A5F" w:rsidRDefault="00737E18" w:rsidP="00737E1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37E18" w:rsidRPr="008E6AD9" w14:paraId="7F5D7FCA" w14:textId="77777777" w:rsidTr="00727511">
        <w:tc>
          <w:tcPr>
            <w:tcW w:w="2689" w:type="dxa"/>
          </w:tcPr>
          <w:p w14:paraId="3FED46F8" w14:textId="77777777" w:rsidR="00737E18" w:rsidRPr="008E6AD9" w:rsidRDefault="00737E18" w:rsidP="0072751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CC8687F" w14:textId="77777777" w:rsidR="00737E18" w:rsidRPr="00AD67E7" w:rsidRDefault="00737E18" w:rsidP="00727511">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3F1AD6">
              <w:rPr>
                <w:rFonts w:ascii="Verdana" w:eastAsia="Calibri" w:hAnsi="Verdana" w:cs="Arial"/>
                <w:lang w:eastAsia="es-ES_tradnl"/>
              </w:rPr>
              <w:t>1_2026_03_04_003047</w:t>
            </w:r>
          </w:p>
        </w:tc>
      </w:tr>
    </w:tbl>
    <w:p w14:paraId="2B87B3CC" w14:textId="4E4F2BB8" w:rsidR="00737E18" w:rsidRDefault="00737E18" w:rsidP="00737E18">
      <w:pPr>
        <w:spacing w:after="0" w:line="240" w:lineRule="auto"/>
        <w:jc w:val="both"/>
        <w:rPr>
          <w:rFonts w:ascii="Verdana" w:eastAsia="Calibri" w:hAnsi="Verdana" w:cs="Arial"/>
          <w:color w:val="000000"/>
          <w:lang w:val="es-ES_tradnl" w:eastAsia="es-ES_tradnl"/>
        </w:rPr>
      </w:pPr>
    </w:p>
    <w:p w14:paraId="4E4D00F8" w14:textId="77777777" w:rsidR="00D70345" w:rsidRPr="00593A5F" w:rsidRDefault="00D70345" w:rsidP="00737E18">
      <w:pPr>
        <w:spacing w:after="0" w:line="240" w:lineRule="auto"/>
        <w:jc w:val="both"/>
        <w:rPr>
          <w:rFonts w:ascii="Verdana" w:eastAsia="Calibri" w:hAnsi="Verdana" w:cs="Arial"/>
          <w:color w:val="000000"/>
          <w:lang w:val="es-ES_tradnl" w:eastAsia="es-ES_tradnl"/>
        </w:rPr>
      </w:pPr>
    </w:p>
    <w:p w14:paraId="10095B33" w14:textId="77777777" w:rsidR="00737E18" w:rsidRPr="008E6AD9" w:rsidRDefault="00737E18" w:rsidP="00737E18">
      <w:pPr>
        <w:spacing w:after="0" w:line="240" w:lineRule="auto"/>
        <w:jc w:val="both"/>
        <w:rPr>
          <w:rFonts w:ascii="Verdana" w:eastAsia="Calibri" w:hAnsi="Verdana" w:cs="Arial"/>
          <w:lang w:val="es-ES" w:eastAsia="es-ES"/>
        </w:rPr>
      </w:pPr>
      <w:r w:rsidRPr="008E6AD9">
        <w:rPr>
          <w:rFonts w:ascii="Verdana" w:eastAsia="Calibri" w:hAnsi="Verdana" w:cs="Arial"/>
          <w:lang w:val="es-ES" w:eastAsia="es-ES"/>
        </w:rPr>
        <w:lastRenderedPageBreak/>
        <w:t>Estimad</w:t>
      </w:r>
      <w:r>
        <w:rPr>
          <w:rFonts w:ascii="Verdana" w:eastAsia="Calibri" w:hAnsi="Verdana" w:cs="Arial"/>
          <w:lang w:val="es-ES" w:eastAsia="es-ES"/>
        </w:rPr>
        <w:t>o Señor Castaño</w:t>
      </w:r>
      <w:r w:rsidRPr="008E6AD9">
        <w:rPr>
          <w:rFonts w:ascii="Verdana" w:eastAsia="Calibri" w:hAnsi="Verdana" w:cs="Arial"/>
          <w:lang w:val="es-ES" w:eastAsia="es-ES"/>
        </w:rPr>
        <w:t xml:space="preserve">: </w:t>
      </w:r>
    </w:p>
    <w:p w14:paraId="51FC6EF2" w14:textId="77777777" w:rsidR="00737E18" w:rsidRDefault="00737E18" w:rsidP="00737E18">
      <w:pPr>
        <w:tabs>
          <w:tab w:val="left" w:pos="3768"/>
        </w:tabs>
        <w:spacing w:after="0" w:line="240"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847B3BD" w14:textId="77777777" w:rsidR="007D7F8D" w:rsidRDefault="00737E18" w:rsidP="00737E18">
      <w:pPr>
        <w:spacing w:after="120" w:line="276" w:lineRule="auto"/>
        <w:jc w:val="both"/>
        <w:rPr>
          <w:rFonts w:ascii="Verdana" w:eastAsia="Calibri" w:hAnsi="Verdana" w:cs="Arial"/>
          <w:bCs/>
          <w:color w:val="000000" w:themeColor="text1"/>
          <w:lang w:val="es-ES" w:eastAsia="es-ES" w:bidi="es-ES"/>
        </w:rPr>
      </w:pPr>
      <w:r w:rsidRPr="00D677B5">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D677B5">
        <w:rPr>
          <w:rFonts w:ascii="Verdana" w:eastAsia="Calibri" w:hAnsi="Verdana" w:cs="Arial"/>
          <w:bCs/>
          <w:color w:val="000000" w:themeColor="text1"/>
          <w:lang w:eastAsia="es-ES"/>
        </w:rPr>
        <w:t xml:space="preserve">así como lo establecido por la Resolución 469 de 2025 expedida por esta Entidad, </w:t>
      </w:r>
      <w:r w:rsidRPr="00D677B5">
        <w:rPr>
          <w:rFonts w:ascii="Verdana" w:eastAsia="Calibri" w:hAnsi="Verdana" w:cs="Arial"/>
          <w:bCs/>
          <w:color w:val="000000" w:themeColor="text1"/>
          <w:lang w:val="es-ES" w:eastAsia="es-ES" w:bidi="es-ES"/>
        </w:rPr>
        <w:t xml:space="preserve">la Agencia Nacional de Contratación Pública – Colombia Compra Eficiente– responde la solicitud de consulta del 4 de marzo de 2026, en la cual manifiesta: </w:t>
      </w:r>
      <w:bookmarkStart w:id="1" w:name="_Hlk95313578"/>
    </w:p>
    <w:p w14:paraId="5C391553" w14:textId="4B0B36F2" w:rsidR="00737E18" w:rsidRPr="007D7F8D" w:rsidRDefault="00737E18" w:rsidP="00737E18">
      <w:pPr>
        <w:spacing w:after="120" w:line="276" w:lineRule="auto"/>
        <w:jc w:val="both"/>
        <w:rPr>
          <w:rFonts w:ascii="Verdana" w:eastAsia="Calibri" w:hAnsi="Verdana" w:cs="Arial"/>
          <w:bCs/>
          <w:i/>
          <w:iCs/>
          <w:color w:val="000000" w:themeColor="text1"/>
          <w:sz w:val="20"/>
          <w:szCs w:val="20"/>
          <w:lang w:val="es-ES" w:eastAsia="es-ES" w:bidi="es-ES"/>
        </w:rPr>
      </w:pPr>
      <w:r w:rsidRPr="007D7F8D">
        <w:rPr>
          <w:rFonts w:ascii="Verdana" w:eastAsia="Century Gothic" w:hAnsi="Verdana" w:cs="Century Gothic"/>
          <w:i/>
          <w:iCs/>
          <w:sz w:val="20"/>
          <w:szCs w:val="20"/>
          <w:lang w:val="es-ES"/>
        </w:rPr>
        <w:t>“</w:t>
      </w:r>
      <w:bookmarkEnd w:id="1"/>
      <w:r w:rsidRPr="007D7F8D">
        <w:rPr>
          <w:rFonts w:ascii="Verdana" w:eastAsia="Century Gothic" w:hAnsi="Verdana" w:cs="Century Gothic"/>
          <w:i/>
          <w:iCs/>
          <w:sz w:val="20"/>
          <w:szCs w:val="20"/>
          <w:lang w:val="es-ES"/>
        </w:rPr>
        <w:t>[…]</w:t>
      </w:r>
      <w:r w:rsidRPr="007D7F8D">
        <w:rPr>
          <w:rFonts w:ascii="Verdana" w:eastAsia="Calibri" w:hAnsi="Verdana" w:cs="Arial"/>
          <w:bCs/>
          <w:i/>
          <w:iCs/>
          <w:color w:val="000000" w:themeColor="text1"/>
          <w:sz w:val="20"/>
          <w:szCs w:val="20"/>
          <w:lang w:val="es-ES" w:eastAsia="es-ES" w:bidi="es-ES"/>
        </w:rPr>
        <w:t xml:space="preserve"> </w:t>
      </w:r>
      <w:r w:rsidRPr="007D7F8D">
        <w:rPr>
          <w:rFonts w:ascii="Verdana" w:eastAsia="Century Gothic" w:hAnsi="Verdana" w:cs="Century Gothic"/>
          <w:i/>
          <w:iCs/>
          <w:sz w:val="20"/>
          <w:szCs w:val="20"/>
        </w:rPr>
        <w:t>la celebración estos convenios interadministrativos entre la ETC y las ETNoC, entiéndase, Gobernaciones y Municipios de su jurisdicción para la cofinanciación del programa de alimentación escolar, lo que implica la transferencia de recursos de los municipios al departamento ¿se encuentran previstos dentro de las prohibiciones previstas en el artículo 33 y 38 de la LEY 996 DE 2005 – Ley de Garantías?”.</w:t>
      </w:r>
    </w:p>
    <w:p w14:paraId="14F40212" w14:textId="5D0AE484" w:rsidR="00737E18" w:rsidRPr="00A652FF" w:rsidRDefault="00737E18" w:rsidP="00737E1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sidR="00D70345">
        <w:rPr>
          <w:rFonts w:ascii="Verdana" w:eastAsia="Calibri" w:hAnsi="Verdana" w:cs="Arial"/>
          <w:color w:val="000000"/>
          <w:lang w:val="es-ES" w:eastAsia="es-ES"/>
        </w:rPr>
        <w:t xml:space="preserve"> la </w:t>
      </w:r>
      <w:r>
        <w:rPr>
          <w:rFonts w:ascii="Verdana" w:eastAsia="Calibri" w:hAnsi="Verdana" w:cs="Arial"/>
          <w:color w:val="000000"/>
          <w:lang w:val="es-ES" w:eastAsia="es-ES"/>
        </w:rPr>
        <w:t>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0003C1C" w14:textId="77777777" w:rsidR="00737E18" w:rsidRPr="00423BE7" w:rsidRDefault="00737E18" w:rsidP="00737E18">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540EFAA0" w14:textId="77777777" w:rsidR="00737E18" w:rsidRPr="00593A5F" w:rsidRDefault="00737E18" w:rsidP="00D70345">
      <w:pPr>
        <w:spacing w:after="0" w:line="240" w:lineRule="auto"/>
        <w:ind w:firstLine="709"/>
        <w:jc w:val="both"/>
        <w:rPr>
          <w:rFonts w:ascii="Verdana" w:eastAsia="Calibri" w:hAnsi="Verdana" w:cs="Arial"/>
          <w:color w:val="000000"/>
          <w:lang w:val="es-ES" w:eastAsia="es-ES"/>
        </w:rPr>
      </w:pPr>
    </w:p>
    <w:p w14:paraId="5DB1C116" w14:textId="77777777" w:rsidR="00737E18" w:rsidRPr="00593A5F" w:rsidRDefault="00737E18" w:rsidP="00737E1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07495797" w14:textId="77777777" w:rsidR="00737E18" w:rsidRPr="00593A5F" w:rsidRDefault="00737E18" w:rsidP="00737E18">
      <w:pPr>
        <w:tabs>
          <w:tab w:val="left" w:pos="426"/>
        </w:tabs>
        <w:spacing w:after="0" w:line="276" w:lineRule="auto"/>
        <w:jc w:val="both"/>
        <w:rPr>
          <w:rFonts w:ascii="Verdana" w:eastAsia="Century Gothic" w:hAnsi="Verdana" w:cs="Century Gothic"/>
          <w:lang w:val="es-ES"/>
        </w:rPr>
      </w:pPr>
    </w:p>
    <w:p w14:paraId="23B1F33B" w14:textId="77777777" w:rsidR="00737E18" w:rsidRPr="00082AFE" w:rsidRDefault="00737E18" w:rsidP="00737E1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problema jurídico: </w:t>
      </w:r>
      <w:r w:rsidRPr="00082AFE">
        <w:rPr>
          <w:rFonts w:ascii="Verdana" w:eastAsia="Century Gothic" w:hAnsi="Verdana" w:cs="Century Gothic"/>
        </w:rPr>
        <w:t xml:space="preserve">¿La celebración de convenios interadministrativos entre la Entidad Territorial Certificada (ETC) y las Entidades Territoriales No Certificadas </w:t>
      </w:r>
      <w:r w:rsidRPr="00082AFE">
        <w:rPr>
          <w:rFonts w:ascii="Verdana" w:eastAsia="Century Gothic" w:hAnsi="Verdana" w:cs="Century Gothic"/>
        </w:rPr>
        <w:lastRenderedPageBreak/>
        <w:t>(ETNoC), es decir, las gobernaciones y los municipios, destinados a la cofinanciación del Pro</w:t>
      </w:r>
      <w:r>
        <w:rPr>
          <w:rFonts w:ascii="Verdana" w:eastAsia="Century Gothic" w:hAnsi="Verdana" w:cs="Century Gothic"/>
        </w:rPr>
        <w:t>grama de Alimentación Escolar, está prohibida durante el periodo en que opera la Ley de Garantías Electorales</w:t>
      </w:r>
      <w:r w:rsidRPr="00082AFE">
        <w:rPr>
          <w:rFonts w:ascii="Verdana" w:eastAsia="Century Gothic" w:hAnsi="Verdana" w:cs="Century Gothic"/>
        </w:rPr>
        <w:t>?</w:t>
      </w:r>
    </w:p>
    <w:p w14:paraId="7CCCDAD3" w14:textId="77777777" w:rsidR="00737E18" w:rsidRPr="004B140F" w:rsidRDefault="00737E18" w:rsidP="00D70345">
      <w:pPr>
        <w:spacing w:after="0" w:line="240" w:lineRule="auto"/>
        <w:jc w:val="both"/>
        <w:rPr>
          <w:rFonts w:ascii="Verdana" w:eastAsia="Calibri" w:hAnsi="Verdana" w:cs="Arial"/>
          <w:color w:val="7030A0"/>
        </w:rPr>
      </w:pPr>
    </w:p>
    <w:p w14:paraId="59F3B9ED" w14:textId="77777777" w:rsidR="00737E18" w:rsidRPr="00593A5F" w:rsidRDefault="00737E18" w:rsidP="00737E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76309AE0" w14:textId="77777777" w:rsidR="00737E18" w:rsidRPr="00593A5F" w:rsidRDefault="00737E18" w:rsidP="00737E1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37E18" w:rsidRPr="00593A5F" w14:paraId="0C5A855A" w14:textId="77777777" w:rsidTr="00727511">
        <w:trPr>
          <w:jc w:val="center"/>
        </w:trPr>
        <w:tc>
          <w:tcPr>
            <w:tcW w:w="8828" w:type="dxa"/>
          </w:tcPr>
          <w:p w14:paraId="41B28527" w14:textId="77777777" w:rsidR="00737E18" w:rsidRPr="00A47089" w:rsidRDefault="00737E18" w:rsidP="00727511">
            <w:pPr>
              <w:spacing w:after="120" w:line="276" w:lineRule="auto"/>
              <w:jc w:val="both"/>
              <w:rPr>
                <w:rFonts w:ascii="Verdana" w:eastAsia="Times New Roman" w:hAnsi="Verdana" w:cs="Arial"/>
                <w:bCs/>
                <w:lang w:eastAsia="x-none"/>
              </w:rPr>
            </w:pPr>
            <w:bookmarkStart w:id="2" w:name="_Hlk171694685"/>
            <w:r w:rsidRPr="00A47089">
              <w:rPr>
                <w:rFonts w:ascii="Verdana" w:eastAsia="Times New Roman" w:hAnsi="Verdana" w:cs="Arial"/>
                <w:bCs/>
                <w:lang w:eastAsia="x-none"/>
              </w:rPr>
              <w:t xml:space="preserve">Para dar solución al problema jurídico planteado en la consulta, es necesario precisar que la procedencia de </w:t>
            </w:r>
            <w:r>
              <w:rPr>
                <w:rFonts w:ascii="Verdana" w:eastAsia="Times New Roman" w:hAnsi="Verdana" w:cs="Arial"/>
                <w:bCs/>
                <w:lang w:eastAsia="x-none"/>
              </w:rPr>
              <w:t xml:space="preserve">suscribir </w:t>
            </w:r>
            <w:r w:rsidRPr="00A47089">
              <w:rPr>
                <w:rFonts w:ascii="Verdana" w:eastAsia="Times New Roman" w:hAnsi="Verdana" w:cs="Arial"/>
                <w:bCs/>
                <w:lang w:eastAsia="x-none"/>
              </w:rPr>
              <w:t>los convenios interadministrativos o acuerdos formales para la conformación de bolsas comunes entre Entidades Territoriales Certificadas (ETC), como los departamentos, y Entidades Territoriales No Certificadas (ETnoC), como los municipios, en el marco del cumplimiento de los objetivos del Programa de Alimentación Escolar (PAE), debe analizarse a la luz de las restricciones previstas en la Ley de Garantías Electorales, con el fin de determinar su viabilidad y alcance durante los periodos de aplicación de dicha normativa.</w:t>
            </w:r>
          </w:p>
          <w:p w14:paraId="78AAF3B8" w14:textId="77777777" w:rsidR="00737E18" w:rsidRDefault="00737E18" w:rsidP="00727511">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lang w:eastAsia="es-CO"/>
              </w:rPr>
              <w:t xml:space="preserve">En relación a estos convenios interadministrativos que se adelantan con fundamento en los programas antes referidos, debe señalarse que estos se encuentran sujetos a la restricción del artículo 33 de la Ley 996 de 2005. Lo anterior en la medida que dicha disposición prohíbe </w:t>
            </w:r>
            <w:r w:rsidRPr="004C1120">
              <w:rPr>
                <w:rFonts w:ascii="Verdana" w:eastAsiaTheme="minorEastAsia" w:hAnsi="Verdana" w:cs="Arial"/>
                <w:bCs/>
                <w:lang w:val="es-MX" w:eastAsia="es-CO"/>
              </w:rPr>
              <w:t xml:space="preserve">adelantar cualquier </w:t>
            </w:r>
            <w:r>
              <w:rPr>
                <w:rFonts w:ascii="Verdana" w:eastAsiaTheme="minorEastAsia" w:hAnsi="Verdana" w:cs="Arial"/>
                <w:bCs/>
                <w:lang w:val="es-MX" w:eastAsia="es-CO"/>
              </w:rPr>
              <w:t>tipo</w:t>
            </w:r>
            <w:r w:rsidRPr="004C1120">
              <w:rPr>
                <w:rFonts w:ascii="Verdana" w:eastAsiaTheme="minorEastAsia" w:hAnsi="Verdana" w:cs="Arial"/>
                <w:bCs/>
                <w:lang w:val="es-MX" w:eastAsia="es-CO"/>
              </w:rPr>
              <w:t xml:space="preserve"> de contratación bajo la figura de contratación directa, entendida como todo mecanismo no competitivo. </w:t>
            </w:r>
            <w:r>
              <w:rPr>
                <w:rFonts w:ascii="Verdana" w:eastAsiaTheme="minorEastAsia" w:hAnsi="Verdana" w:cs="Arial"/>
                <w:bCs/>
                <w:lang w:val="es-MX" w:eastAsia="es-CO"/>
              </w:rPr>
              <w:t>En consecuencia</w:t>
            </w:r>
            <w:r w:rsidRPr="004C1120">
              <w:rPr>
                <w:rFonts w:ascii="Verdana" w:eastAsiaTheme="minorEastAsia" w:hAnsi="Verdana" w:cs="Arial"/>
                <w:bCs/>
                <w:lang w:val="es-MX" w:eastAsia="es-CO"/>
              </w:rPr>
              <w:t xml:space="preserve">, </w:t>
            </w:r>
            <w:r>
              <w:rPr>
                <w:rFonts w:ascii="Verdana" w:eastAsiaTheme="minorEastAsia" w:hAnsi="Verdana" w:cs="Arial"/>
                <w:bCs/>
                <w:lang w:val="es-MX" w:eastAsia="es-CO"/>
              </w:rPr>
              <w:t xml:space="preserve">esta resulta aplicable a aquellos supuestos, en los que se pretenda </w:t>
            </w:r>
            <w:r w:rsidRPr="004C1120">
              <w:rPr>
                <w:rFonts w:ascii="Verdana" w:eastAsiaTheme="minorEastAsia" w:hAnsi="Verdana" w:cs="Arial"/>
                <w:bCs/>
                <w:lang w:val="es-MX" w:eastAsia="es-CO"/>
              </w:rPr>
              <w:t>celebrar con</w:t>
            </w:r>
            <w:r>
              <w:rPr>
                <w:rFonts w:ascii="Verdana" w:eastAsiaTheme="minorEastAsia" w:hAnsi="Verdana" w:cs="Arial"/>
                <w:bCs/>
                <w:lang w:val="es-MX" w:eastAsia="es-CO"/>
              </w:rPr>
              <w:t xml:space="preserve">venios </w:t>
            </w:r>
            <w:r w:rsidRPr="004C1120">
              <w:rPr>
                <w:rFonts w:ascii="Verdana" w:eastAsiaTheme="minorEastAsia" w:hAnsi="Verdana" w:cs="Arial"/>
                <w:bCs/>
                <w:lang w:val="es-MX" w:eastAsia="es-CO"/>
              </w:rPr>
              <w:t>interadministrativos</w:t>
            </w:r>
            <w:r>
              <w:rPr>
                <w:rFonts w:ascii="Verdana" w:eastAsiaTheme="minorEastAsia" w:hAnsi="Verdana" w:cs="Arial"/>
                <w:bCs/>
                <w:lang w:val="es-MX" w:eastAsia="es-CO"/>
              </w:rPr>
              <w:t xml:space="preserve"> para la conformación de una bolsa común de manera directa</w:t>
            </w:r>
            <w:r w:rsidRPr="004C1120">
              <w:rPr>
                <w:rFonts w:ascii="Verdana" w:eastAsiaTheme="minorEastAsia" w:hAnsi="Verdana" w:cs="Arial"/>
                <w:bCs/>
                <w:lang w:val="es-MX" w:eastAsia="es-CO"/>
              </w:rPr>
              <w:t xml:space="preserve">. En este sentido, todos los entes del Estado, independiente del régimen jurídico aplicable, están sujetos a la </w:t>
            </w:r>
            <w:r>
              <w:rPr>
                <w:rFonts w:ascii="Verdana" w:eastAsiaTheme="minorEastAsia" w:hAnsi="Verdana" w:cs="Arial"/>
                <w:bCs/>
                <w:lang w:val="es-MX" w:eastAsia="es-CO"/>
              </w:rPr>
              <w:t xml:space="preserve">citada </w:t>
            </w:r>
            <w:r w:rsidRPr="004C1120">
              <w:rPr>
                <w:rFonts w:ascii="Verdana" w:eastAsiaTheme="minorEastAsia" w:hAnsi="Verdana" w:cs="Arial"/>
                <w:bCs/>
                <w:lang w:val="es-MX" w:eastAsia="es-CO"/>
              </w:rPr>
              <w:t>restricción</w:t>
            </w:r>
            <w:r>
              <w:rPr>
                <w:rFonts w:ascii="Verdana" w:eastAsiaTheme="minorEastAsia" w:hAnsi="Verdana" w:cs="Arial"/>
                <w:bCs/>
                <w:lang w:val="es-MX" w:eastAsia="es-CO"/>
              </w:rPr>
              <w:t>,</w:t>
            </w:r>
            <w:r w:rsidRPr="004C1120">
              <w:rPr>
                <w:rFonts w:ascii="Verdana" w:eastAsiaTheme="minorEastAsia" w:hAnsi="Verdana" w:cs="Arial"/>
                <w:bCs/>
                <w:lang w:val="es-MX" w:eastAsia="es-CO"/>
              </w:rPr>
              <w:t xml:space="preserve"> </w:t>
            </w:r>
            <w:r>
              <w:rPr>
                <w:rFonts w:ascii="Verdana" w:eastAsiaTheme="minorEastAsia" w:hAnsi="Verdana" w:cs="Arial"/>
                <w:bCs/>
                <w:lang w:val="es-MX" w:eastAsia="es-CO"/>
              </w:rPr>
              <w:t>por lo que</w:t>
            </w:r>
            <w:r w:rsidRPr="004C1120">
              <w:rPr>
                <w:rFonts w:ascii="Verdana" w:eastAsiaTheme="minorEastAsia" w:hAnsi="Verdana" w:cs="Arial"/>
                <w:bCs/>
                <w:lang w:val="es-MX" w:eastAsia="es-CO"/>
              </w:rPr>
              <w:t xml:space="preserve"> no podrán </w:t>
            </w:r>
            <w:r>
              <w:rPr>
                <w:rFonts w:ascii="Verdana" w:eastAsiaTheme="minorEastAsia" w:hAnsi="Verdana" w:cs="Arial"/>
                <w:bCs/>
                <w:lang w:val="es-MX" w:eastAsia="es-CO"/>
              </w:rPr>
              <w:t>ningun tipo de contrato bajo la modalidad de</w:t>
            </w:r>
            <w:r w:rsidRPr="004C1120">
              <w:rPr>
                <w:rFonts w:ascii="Verdana" w:eastAsiaTheme="minorEastAsia" w:hAnsi="Verdana" w:cs="Arial"/>
                <w:bCs/>
                <w:lang w:val="es-MX" w:eastAsia="es-CO"/>
              </w:rPr>
              <w:t xml:space="preserve"> contratación directa dentro de los cuatro (4) meses anteriores a la celebración de las elecciones presidenciales. </w:t>
            </w:r>
          </w:p>
          <w:p w14:paraId="5154CFC8" w14:textId="77777777" w:rsidR="00737E18" w:rsidRDefault="00737E18" w:rsidP="00727511">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las excepciones a esta prohibición, contenidas en el </w:t>
            </w:r>
            <w:r w:rsidRPr="00D13A78">
              <w:rPr>
                <w:rFonts w:ascii="Verdana" w:eastAsia="Times New Roman" w:hAnsi="Verdana" w:cs="Arial"/>
                <w:bCs/>
                <w:lang w:val="es-MX" w:eastAsia="x-none"/>
              </w:rPr>
              <w:t>inciso segundo del precitado artículo: i) los contratos relacionados con la defensa y seguridad del Estado, analizados en el Concepto 322 de 2026; ii) los contratos de crédito público, abordados en el Concepto CU-372 de 2026; iii) los contratos necesarios para atender emergencias educativas, sanitarias o desastres, tratados en los Conceptos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118 de 2026 y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 xml:space="preserve">176 de 2026, que tratan en este caso de la urgencia manifiesta; iv) los contratos destinados a la reconstrucción de infraestructura vial, energética y de comunicaciones </w:t>
            </w:r>
            <w:r w:rsidRPr="00D13A78">
              <w:rPr>
                <w:rFonts w:ascii="Verdana" w:eastAsia="Times New Roman" w:hAnsi="Verdana" w:cs="Arial"/>
                <w:bCs/>
                <w:lang w:val="es-MX" w:eastAsia="x-none"/>
              </w:rPr>
              <w:lastRenderedPageBreak/>
              <w:t>afectada por atentados, acciones terroristas, desastres naturales o fuerza mayor, igualmente estudiados en los Conceptos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118 de 2026 y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176 de 2026, entre otros; y v) la contratación directa celebrada por entidades sanitarias y hospitalarias, objeto de análisis en los Conceptos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1124 de 2026,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1406 de 2026 y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 xml:space="preserve">1703 de 2026. </w:t>
            </w:r>
          </w:p>
          <w:p w14:paraId="3DB401E6" w14:textId="77777777" w:rsidR="00737E18" w:rsidRPr="00506CA6" w:rsidRDefault="00737E18" w:rsidP="00727511">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De acuerdo con dichas excepciones, </w:t>
            </w:r>
            <w:r>
              <w:rPr>
                <w:rFonts w:ascii="Verdana" w:eastAsia="Times New Roman" w:hAnsi="Verdana" w:cs="Arial"/>
                <w:bCs/>
                <w:lang w:val="es-MX" w:eastAsia="es-CO"/>
              </w:rPr>
              <w:t>es</w:t>
            </w:r>
            <w:r w:rsidRPr="00D13A78">
              <w:rPr>
                <w:rFonts w:ascii="Verdana" w:eastAsia="Times New Roman" w:hAnsi="Verdana" w:cs="Arial"/>
                <w:bCs/>
                <w:lang w:val="es-MX" w:eastAsia="es-CO"/>
              </w:rPr>
              <w:t xml:space="preserve"> responsabilidad del respectivo ente del Estado, examinar en cada caso la naturaleza de las actividades que adelanta y determinar si las mismas se enmarcan en alguna de las mencionadas excepciones, de manera que se le permita realizar la</w:t>
            </w:r>
            <w:r>
              <w:rPr>
                <w:rFonts w:ascii="Verdana" w:eastAsia="Times New Roman" w:hAnsi="Verdana" w:cs="Arial"/>
                <w:bCs/>
                <w:lang w:val="es-MX" w:eastAsia="es-CO"/>
              </w:rPr>
              <w:t xml:space="preserve"> celebración del convenio interadministrativo para la ejecución del PAE mediante bolsas comunes</w:t>
            </w:r>
            <w:r w:rsidRPr="00D13A78">
              <w:rPr>
                <w:rFonts w:ascii="Verdana" w:eastAsia="Times New Roman" w:hAnsi="Verdana" w:cs="Arial"/>
                <w:bCs/>
                <w:lang w:val="es-MX" w:eastAsia="es-CO"/>
              </w:rPr>
              <w:t>.</w:t>
            </w:r>
          </w:p>
          <w:p w14:paraId="3DB9B104" w14:textId="77777777" w:rsidR="00737E18" w:rsidRDefault="00737E18" w:rsidP="00727511">
            <w:pPr>
              <w:spacing w:after="120" w:line="276" w:lineRule="auto"/>
              <w:ind w:firstLine="708"/>
              <w:jc w:val="both"/>
              <w:rPr>
                <w:rFonts w:ascii="Verdana" w:eastAsiaTheme="minorEastAsia" w:hAnsi="Verdana" w:cs="Arial"/>
                <w:lang w:eastAsia="es-CO"/>
              </w:rPr>
            </w:pPr>
            <w:r>
              <w:rPr>
                <w:rFonts w:ascii="Verdana" w:eastAsiaTheme="minorEastAsia" w:hAnsi="Verdana" w:cs="Arial"/>
                <w:lang w:val="es-MX" w:eastAsia="es-CO"/>
              </w:rPr>
              <w:t>Ahora bien</w:t>
            </w:r>
            <w:r w:rsidRPr="00FF1C59">
              <w:rPr>
                <w:rFonts w:ascii="Verdana" w:eastAsiaTheme="minorEastAsia" w:hAnsi="Verdana" w:cs="Arial"/>
                <w:lang w:eastAsia="es-CO"/>
              </w:rPr>
              <w:t xml:space="preserve">, </w:t>
            </w:r>
            <w:r>
              <w:rPr>
                <w:rFonts w:ascii="Verdana" w:eastAsiaTheme="minorEastAsia" w:hAnsi="Verdana" w:cs="Arial"/>
                <w:lang w:eastAsia="es-CO"/>
              </w:rPr>
              <w:t xml:space="preserve">también </w:t>
            </w:r>
            <w:r w:rsidRPr="00FF1C59">
              <w:rPr>
                <w:rFonts w:ascii="Verdana" w:eastAsiaTheme="minorEastAsia" w:hAnsi="Verdana" w:cs="Arial"/>
                <w:lang w:eastAsia="es-CO"/>
              </w:rPr>
              <w:t xml:space="preserve">resulta pertinente precisar que los convenios interadministrativos </w:t>
            </w:r>
            <w:r>
              <w:rPr>
                <w:rFonts w:ascii="Verdana" w:eastAsiaTheme="minorEastAsia" w:hAnsi="Verdana" w:cs="Arial"/>
                <w:lang w:eastAsia="es-CO"/>
              </w:rPr>
              <w:t xml:space="preserve">para la conformación de bolsas comunes entre Entidades Territoriales Certificadas y Entidades Territoriales No Certificadas </w:t>
            </w:r>
            <w:r w:rsidRPr="00FF1C59">
              <w:rPr>
                <w:rFonts w:ascii="Verdana" w:eastAsiaTheme="minorEastAsia" w:hAnsi="Verdana" w:cs="Arial"/>
                <w:lang w:eastAsia="es-CO"/>
              </w:rPr>
              <w:t>se encuentran sujetos a la restricción prevista en el artículo 38 de la Ley 996 de 2005, que prohíbe la celebración de convenios interadministrativos durante los cuatro</w:t>
            </w:r>
            <w:r>
              <w:rPr>
                <w:rFonts w:ascii="Verdana" w:eastAsiaTheme="minorEastAsia" w:hAnsi="Verdana" w:cs="Arial"/>
                <w:lang w:eastAsia="es-CO"/>
              </w:rPr>
              <w:t xml:space="preserve"> (4)</w:t>
            </w:r>
            <w:r w:rsidRPr="00FF1C59">
              <w:rPr>
                <w:rFonts w:ascii="Verdana" w:eastAsiaTheme="minorEastAsia" w:hAnsi="Verdana" w:cs="Arial"/>
                <w:lang w:eastAsia="es-CO"/>
              </w:rPr>
              <w:t xml:space="preserve"> meses anteriores a cualquier contienda electoral. Es importante subrayar que esta limitación no se refiere a la relación entre contratantes y contratistas, sino a la naturaleza cooperativa y colaborativa de las partes intervinientes. La restricción se extiende, en consecuencia, a las elecciones presidenciales programadas para el 31 de mayo de 2026, así como a una eventual segunda vuelta prevista para el 21 de junio del mismo año.</w:t>
            </w:r>
            <w:r>
              <w:rPr>
                <w:rFonts w:ascii="Verdana" w:eastAsiaTheme="minorEastAsia" w:hAnsi="Verdana" w:cs="Arial"/>
                <w:lang w:eastAsia="es-CO"/>
              </w:rPr>
              <w:t xml:space="preserve"> </w:t>
            </w:r>
            <w:r w:rsidRPr="00506CA6">
              <w:rPr>
                <w:rFonts w:ascii="Verdana" w:eastAsiaTheme="minorEastAsia" w:hAnsi="Verdana" w:cs="Arial"/>
                <w:lang w:eastAsia="es-CO"/>
              </w:rPr>
              <w:t xml:space="preserve">De igual manera, resulta importante precisar que, a diferencia de lo dispuesto en el artículo 33, </w:t>
            </w:r>
            <w:r w:rsidRPr="00506CA6">
              <w:rPr>
                <w:rFonts w:ascii="Verdana" w:eastAsiaTheme="minorEastAsia" w:hAnsi="Verdana" w:cs="Arial"/>
                <w:bCs/>
                <w:lang w:eastAsia="es-CO"/>
              </w:rPr>
              <w:t>el artículo 38 de la Ley de Garantías Electorales no prevé excepciones para la suscripción de los convenios interadministrativos o acuerdos formales destinados a la conformación de bolsas comunes</w:t>
            </w:r>
            <w:r w:rsidRPr="00506CA6">
              <w:rPr>
                <w:rFonts w:ascii="Verdana" w:eastAsiaTheme="minorEastAsia" w:hAnsi="Verdana" w:cs="Arial"/>
                <w:lang w:eastAsia="es-CO"/>
              </w:rPr>
              <w:t>.</w:t>
            </w:r>
          </w:p>
          <w:p w14:paraId="17C8C5D7" w14:textId="77777777" w:rsidR="00737E18" w:rsidRPr="008377DE" w:rsidRDefault="00737E18" w:rsidP="00727511">
            <w:pPr>
              <w:spacing w:line="276" w:lineRule="auto"/>
              <w:ind w:firstLine="709"/>
              <w:jc w:val="both"/>
              <w:rPr>
                <w:rFonts w:ascii="Verdana" w:eastAsia="Times New Roman" w:hAnsi="Verdana" w:cs="Arial"/>
                <w:bCs/>
                <w:lang w:val="es-MX" w:eastAsia="es-CO"/>
              </w:rPr>
            </w:pPr>
            <w:r w:rsidRPr="00506CA6">
              <w:rPr>
                <w:rFonts w:ascii="Verdana" w:eastAsia="Times New Roman" w:hAnsi="Verdana" w:cs="Arial"/>
                <w:bCs/>
                <w:lang w:eastAsia="x-none"/>
              </w:rPr>
              <w:t>Por último</w:t>
            </w:r>
            <w:r w:rsidRPr="00506CA6">
              <w:rPr>
                <w:rFonts w:ascii="Verdana" w:eastAsia="Times New Roman" w:hAnsi="Verdana" w:cs="Arial"/>
                <w:bCs/>
                <w:lang w:val="es-MX" w:eastAsia="x-none"/>
              </w:rPr>
              <w:t xml:space="preserve">, se reitera, </w:t>
            </w:r>
            <w:r w:rsidRPr="00506CA6">
              <w:rPr>
                <w:rFonts w:ascii="Verdana" w:eastAsia="Times New Roman" w:hAnsi="Verdana" w:cs="Arial"/>
                <w:bCs/>
                <w:lang w:val="es-MX" w:eastAsia="es-CO"/>
              </w:rPr>
              <w:t>que las prórrogas, modificaciones o adiciones de los contratos suscritos antes de la entrada en vigor de las prohibiciones anotadas, en especial del artículo 33 de la Ley 996 de 2005, así como la cesión de los mismos, pueden tener lugar en el período de aplicación de la Ley de Garantí</w:t>
            </w:r>
            <w:r>
              <w:rPr>
                <w:rFonts w:ascii="Verdana" w:eastAsia="Times New Roman" w:hAnsi="Verdana" w:cs="Arial"/>
                <w:bCs/>
                <w:lang w:val="es-MX" w:eastAsia="es-CO"/>
              </w:rPr>
              <w:t>as Electorales</w:t>
            </w:r>
            <w:r w:rsidRPr="00506CA6">
              <w:rPr>
                <w:rFonts w:ascii="Verdana" w:eastAsia="Times New Roman" w:hAnsi="Verdana" w:cs="Arial"/>
                <w:bCs/>
                <w:lang w:val="es-MX" w:eastAsia="es-CO"/>
              </w:rPr>
              <w:t xml:space="preserve">, sin que ello haga nugatoria la restricción de la contratación directa y siempre que cumplan los principios de planeación, </w:t>
            </w:r>
            <w:r w:rsidRPr="00506CA6">
              <w:rPr>
                <w:rFonts w:ascii="Verdana" w:eastAsia="Times New Roman" w:hAnsi="Verdana" w:cs="Arial"/>
                <w:bCs/>
                <w:lang w:val="es-MX" w:eastAsia="es-CO"/>
              </w:rPr>
              <w:lastRenderedPageBreak/>
              <w:t>transparencia y responsabilidad</w:t>
            </w:r>
            <w:r w:rsidRPr="00506CA6">
              <w:rPr>
                <w:rFonts w:ascii="Verdana" w:eastAsia="Times New Roman" w:hAnsi="Verdana" w:cs="Arial"/>
                <w:bCs/>
                <w:vertAlign w:val="superscript"/>
                <w:lang w:val="es-MX" w:eastAsia="es-CO"/>
              </w:rPr>
              <w:footnoteReference w:id="2"/>
            </w:r>
            <w:r w:rsidRPr="00506CA6">
              <w:rPr>
                <w:rFonts w:ascii="Verdana" w:eastAsia="Times New Roman" w:hAnsi="Verdana" w:cs="Arial"/>
                <w:bCs/>
                <w:lang w:val="es-MX" w:eastAsia="es-CO"/>
              </w:rPr>
              <w:t>. Además, también es posible que contratos celebrados previamente se continúen ejecutando con normalidad.</w:t>
            </w:r>
          </w:p>
        </w:tc>
      </w:tr>
    </w:tbl>
    <w:p w14:paraId="07BA82AC" w14:textId="77777777" w:rsidR="00737E18" w:rsidRPr="00593A5F" w:rsidRDefault="00737E18" w:rsidP="00737E18">
      <w:pPr>
        <w:tabs>
          <w:tab w:val="left" w:pos="142"/>
          <w:tab w:val="left" w:pos="284"/>
        </w:tabs>
        <w:spacing w:after="0" w:line="276" w:lineRule="auto"/>
        <w:jc w:val="both"/>
        <w:rPr>
          <w:rFonts w:ascii="Verdana" w:eastAsia="Century Gothic" w:hAnsi="Verdana" w:cs="Century Gothic"/>
          <w:b/>
          <w:bCs/>
          <w:lang w:val="es-ES"/>
        </w:rPr>
      </w:pPr>
    </w:p>
    <w:bookmarkEnd w:id="2"/>
    <w:p w14:paraId="1933C413" w14:textId="77777777" w:rsidR="00737E18" w:rsidRPr="00593A5F" w:rsidRDefault="00737E18" w:rsidP="00737E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71F5BA3B" w14:textId="77777777" w:rsidR="00737E18" w:rsidRPr="00593A5F" w:rsidRDefault="00737E18" w:rsidP="00737E18">
      <w:pPr>
        <w:spacing w:after="0" w:line="240" w:lineRule="auto"/>
        <w:jc w:val="both"/>
        <w:rPr>
          <w:rFonts w:ascii="Verdana" w:eastAsia="Calibri" w:hAnsi="Verdana" w:cs="Arial"/>
          <w:color w:val="7030A0"/>
          <w:lang w:val="es-ES"/>
        </w:rPr>
      </w:pPr>
    </w:p>
    <w:p w14:paraId="7AF66583" w14:textId="77777777" w:rsidR="00737E18" w:rsidRDefault="00737E18" w:rsidP="00737E18">
      <w:pPr>
        <w:spacing w:after="0" w:line="240"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9A14B00" w14:textId="77777777" w:rsidR="00737E18" w:rsidRDefault="00737E18" w:rsidP="00737E18">
      <w:pPr>
        <w:spacing w:after="0" w:line="240" w:lineRule="auto"/>
        <w:jc w:val="both"/>
        <w:rPr>
          <w:rFonts w:ascii="Verdana" w:eastAsia="Calibri" w:hAnsi="Verdana" w:cs="Arial"/>
          <w:lang w:val="es-ES"/>
        </w:rPr>
      </w:pPr>
    </w:p>
    <w:p w14:paraId="1BC714F2" w14:textId="77777777" w:rsidR="00737E18" w:rsidRPr="002D6B43" w:rsidRDefault="00737E18" w:rsidP="00737E18">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3"/>
      </w:r>
      <w:r w:rsidRPr="002D6B43">
        <w:rPr>
          <w:rFonts w:ascii="Verdana" w:eastAsia="Calibri" w:hAnsi="Verdana" w:cs="Arial"/>
        </w:rPr>
        <w:t xml:space="preserve">. </w:t>
      </w:r>
    </w:p>
    <w:p w14:paraId="3F7B4881" w14:textId="77777777" w:rsidR="00737E18" w:rsidRDefault="00737E18" w:rsidP="00737E18">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4"/>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p>
    <w:p w14:paraId="7799465D" w14:textId="77777777" w:rsidR="00737E18" w:rsidRPr="006B14B5" w:rsidRDefault="00737E18" w:rsidP="00737E18">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4E2D6541" w14:textId="77777777" w:rsidR="00737E18" w:rsidRPr="00E2397D" w:rsidRDefault="00737E18" w:rsidP="00737E18">
      <w:pPr>
        <w:spacing w:after="0" w:line="276" w:lineRule="auto"/>
        <w:ind w:right="709"/>
        <w:contextualSpacing/>
        <w:jc w:val="both"/>
        <w:rPr>
          <w:rFonts w:ascii="Verdana" w:eastAsia="Times New Roman" w:hAnsi="Verdana" w:cs="Arial"/>
          <w:lang w:val="es-ES" w:eastAsia="es-CO"/>
        </w:rPr>
      </w:pPr>
    </w:p>
    <w:p w14:paraId="3E92580A" w14:textId="77777777" w:rsidR="00737E18" w:rsidRPr="00E2397D" w:rsidRDefault="00737E18" w:rsidP="00737E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lastRenderedPageBreak/>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0F4840EA" w14:textId="77777777" w:rsidR="00737E18" w:rsidRDefault="00737E18" w:rsidP="00737E18">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61EF1D35" w14:textId="77777777" w:rsidR="00737E18" w:rsidRPr="000B35C5" w:rsidRDefault="00737E18" w:rsidP="00737E18">
      <w:pPr>
        <w:spacing w:after="0" w:line="240" w:lineRule="auto"/>
        <w:ind w:left="709" w:right="709"/>
        <w:contextualSpacing/>
        <w:jc w:val="both"/>
        <w:rPr>
          <w:rFonts w:ascii="Verdana" w:eastAsia="Times New Roman" w:hAnsi="Verdana" w:cs="Arial"/>
          <w:sz w:val="12"/>
          <w:szCs w:val="12"/>
          <w:lang w:val="es-MX" w:eastAsia="es-CO"/>
        </w:rPr>
      </w:pPr>
    </w:p>
    <w:p w14:paraId="2D40700B" w14:textId="77777777" w:rsidR="00737E18" w:rsidRPr="00E2397D" w:rsidRDefault="00737E18" w:rsidP="00737E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5"/>
      </w:r>
    </w:p>
    <w:p w14:paraId="1C171E28" w14:textId="77777777" w:rsidR="00737E18" w:rsidRPr="00E2397D" w:rsidRDefault="00737E18" w:rsidP="00737E18">
      <w:pPr>
        <w:spacing w:after="0" w:line="276" w:lineRule="auto"/>
        <w:ind w:firstLine="709"/>
        <w:jc w:val="both"/>
        <w:rPr>
          <w:rFonts w:ascii="Verdana" w:eastAsia="Times New Roman" w:hAnsi="Verdana" w:cs="Arial"/>
          <w:lang w:val="es-MX" w:eastAsia="es-CO"/>
        </w:rPr>
      </w:pPr>
      <w:bookmarkStart w:id="4" w:name="_Hlk78818186"/>
    </w:p>
    <w:p w14:paraId="3DEC94EF" w14:textId="77777777" w:rsidR="00737E18" w:rsidRPr="00E2397D" w:rsidRDefault="00737E18" w:rsidP="00737E18">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81A7BB4" w14:textId="77777777" w:rsidR="00737E18" w:rsidRPr="00886C02" w:rsidRDefault="00737E18" w:rsidP="00737E18">
      <w:pPr>
        <w:spacing w:after="0" w:line="276" w:lineRule="auto"/>
        <w:ind w:firstLine="709"/>
        <w:jc w:val="both"/>
        <w:rPr>
          <w:rFonts w:ascii="Verdana" w:eastAsia="Times New Roman" w:hAnsi="Verdana" w:cs="Arial"/>
          <w:lang w:val="es-MX" w:eastAsia="es-CO"/>
        </w:rPr>
      </w:pPr>
    </w:p>
    <w:p w14:paraId="6B086AED" w14:textId="77777777" w:rsidR="00737E18" w:rsidRPr="00E2397D" w:rsidRDefault="00737E18" w:rsidP="00737E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CFAEB54" w14:textId="77777777" w:rsidR="00737E18" w:rsidRPr="000B35C5" w:rsidRDefault="00737E18" w:rsidP="00737E18">
      <w:pPr>
        <w:spacing w:after="0" w:line="240" w:lineRule="auto"/>
        <w:ind w:right="709"/>
        <w:contextualSpacing/>
        <w:jc w:val="both"/>
        <w:rPr>
          <w:rFonts w:ascii="Verdana" w:eastAsia="Times New Roman" w:hAnsi="Verdana" w:cs="Arial"/>
          <w:sz w:val="12"/>
          <w:szCs w:val="12"/>
          <w:lang w:val="es-MX" w:eastAsia="es-CO"/>
        </w:rPr>
      </w:pPr>
    </w:p>
    <w:p w14:paraId="0122B848" w14:textId="77777777" w:rsidR="00737E18" w:rsidRPr="00E2397D" w:rsidRDefault="00737E18" w:rsidP="00737E1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8"/>
      </w:r>
      <w:r w:rsidRPr="00E2397D">
        <w:rPr>
          <w:rFonts w:ascii="Verdana" w:eastAsia="Times New Roman" w:hAnsi="Verdana" w:cs="Arial"/>
          <w:sz w:val="20"/>
          <w:szCs w:val="20"/>
          <w:lang w:val="es-MX" w:eastAsia="es-CO"/>
        </w:rPr>
        <w:t>.</w:t>
      </w:r>
    </w:p>
    <w:p w14:paraId="2C044F90" w14:textId="77777777" w:rsidR="00737E18" w:rsidRPr="00E2397D" w:rsidRDefault="00737E18" w:rsidP="00737E18">
      <w:pPr>
        <w:spacing w:after="0" w:line="276" w:lineRule="auto"/>
        <w:jc w:val="both"/>
        <w:rPr>
          <w:rFonts w:ascii="Verdana" w:eastAsia="Calibri" w:hAnsi="Verdana" w:cs="Arial"/>
          <w:bCs/>
          <w:lang w:val="es-ES_tradnl"/>
        </w:rPr>
      </w:pPr>
    </w:p>
    <w:p w14:paraId="3C6D2400" w14:textId="77777777" w:rsidR="00737E18" w:rsidRDefault="00737E18" w:rsidP="00737E18">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420AED6D" w14:textId="77777777" w:rsidR="00737E18" w:rsidRPr="00E2397D" w:rsidRDefault="00737E18" w:rsidP="00737E18">
      <w:pPr>
        <w:spacing w:after="0" w:line="276" w:lineRule="auto"/>
        <w:ind w:firstLine="709"/>
        <w:jc w:val="both"/>
        <w:rPr>
          <w:rFonts w:ascii="Verdana" w:eastAsia="Arial" w:hAnsi="Verdana" w:cs="Arial"/>
          <w:lang w:val="es-ES" w:eastAsia="es-ES" w:bidi="es-ES"/>
        </w:rPr>
      </w:pPr>
    </w:p>
    <w:p w14:paraId="38435374" w14:textId="77777777" w:rsidR="00737E18" w:rsidRPr="00E2397D" w:rsidRDefault="00737E18" w:rsidP="00737E18">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 xml:space="preserve">ii. </w:t>
      </w:r>
      <w:bookmarkEnd w:id="5"/>
      <w:bookmarkEnd w:id="6"/>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09E54F5A" w14:textId="77777777" w:rsidR="00737E18" w:rsidRPr="00E2397D" w:rsidRDefault="00737E18" w:rsidP="00737E18">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9"/>
      </w:r>
      <w:r w:rsidRPr="00E2397D">
        <w:rPr>
          <w:rFonts w:ascii="Verdana" w:eastAsia="Calibri" w:hAnsi="Verdana" w:cs="Arial"/>
        </w:rPr>
        <w:t>.</w:t>
      </w:r>
    </w:p>
    <w:p w14:paraId="3D21EABD" w14:textId="77777777" w:rsidR="00737E18" w:rsidRPr="00E2397D" w:rsidRDefault="00737E18" w:rsidP="00737E18">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10"/>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59373398" w14:textId="77777777" w:rsidR="00737E18" w:rsidRPr="00E2397D" w:rsidRDefault="00737E18" w:rsidP="00737E1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E2397D">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p>
    <w:p w14:paraId="35C32D61" w14:textId="77777777" w:rsidR="00737E18" w:rsidRPr="00E2397D" w:rsidRDefault="00737E18" w:rsidP="00737E1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1BB0AFF1" w14:textId="77777777" w:rsidR="00737E18" w:rsidRDefault="00737E18" w:rsidP="00737E1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645A71E3" w14:textId="77777777" w:rsidR="00737E18" w:rsidRDefault="00737E18" w:rsidP="00737E18">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Ahora bien, 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7CCFFA49" w14:textId="77777777" w:rsidR="00737E18" w:rsidRDefault="00737E18" w:rsidP="00737E1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w:t>
      </w:r>
      <w:r w:rsidRPr="00447D82">
        <w:rPr>
          <w:rFonts w:ascii="Verdana" w:eastAsia="Times New Roman" w:hAnsi="Verdana" w:cs="Arial"/>
          <w:bCs/>
          <w:lang w:val="es-ES" w:eastAsia="es-CO"/>
        </w:rPr>
        <w:lastRenderedPageBreak/>
        <w:t xml:space="preserve">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51C1C724" w14:textId="77777777" w:rsidR="00737E18" w:rsidRDefault="00737E18" w:rsidP="00737E1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12019D67" w14:textId="77777777" w:rsidR="00737E18" w:rsidRPr="005B4B74" w:rsidRDefault="00737E18" w:rsidP="00737E18">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1"/>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63002C6B" w14:textId="77777777" w:rsidR="00737E18" w:rsidRPr="00E2397D" w:rsidRDefault="00737E18" w:rsidP="00737E18">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18B4E0F6" w14:textId="77777777" w:rsidR="00737E18" w:rsidRDefault="00737E18" w:rsidP="00737E18">
      <w:pPr>
        <w:widowControl w:val="0"/>
        <w:autoSpaceDE w:val="0"/>
        <w:autoSpaceDN w:val="0"/>
        <w:spacing w:after="0" w:line="240" w:lineRule="auto"/>
        <w:ind w:left="709" w:right="709"/>
        <w:jc w:val="both"/>
        <w:rPr>
          <w:rFonts w:ascii="Verdana" w:eastAsia="Arial" w:hAnsi="Verdana" w:cs="Arial"/>
          <w:lang w:val="es-ES"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w:t>
      </w:r>
      <w:r w:rsidRPr="00E2397D">
        <w:rPr>
          <w:rFonts w:ascii="Verdana" w:eastAsia="Arial" w:hAnsi="Verdana" w:cs="Arial"/>
          <w:sz w:val="20"/>
          <w:szCs w:val="20"/>
          <w:lang w:eastAsia="es-ES" w:bidi="es-ES"/>
        </w:rPr>
        <w:lastRenderedPageBreak/>
        <w:t>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2"/>
      </w:r>
    </w:p>
    <w:p w14:paraId="6E26F9E8" w14:textId="77777777" w:rsidR="00737E18" w:rsidRPr="00380CA4" w:rsidRDefault="00737E18" w:rsidP="00737E18">
      <w:pPr>
        <w:spacing w:after="0" w:line="276" w:lineRule="auto"/>
        <w:ind w:firstLine="709"/>
        <w:jc w:val="both"/>
        <w:rPr>
          <w:rFonts w:ascii="Verdana" w:eastAsia="Arial" w:hAnsi="Verdana" w:cs="Arial"/>
          <w:lang w:eastAsia="es-ES" w:bidi="es-ES"/>
        </w:rPr>
      </w:pPr>
    </w:p>
    <w:p w14:paraId="684E307D" w14:textId="77777777" w:rsidR="00737E18" w:rsidRPr="00380CA4" w:rsidRDefault="00737E18" w:rsidP="00737E18">
      <w:pPr>
        <w:spacing w:after="0" w:line="276" w:lineRule="auto"/>
        <w:jc w:val="both"/>
        <w:rPr>
          <w:rFonts w:ascii="Verdana" w:eastAsia="Times New Roman" w:hAnsi="Verdana" w:cs="Arial"/>
          <w:bCs/>
          <w:lang w:eastAsia="es-CO"/>
        </w:rPr>
      </w:pPr>
      <w:r>
        <w:rPr>
          <w:rFonts w:ascii="Verdana" w:eastAsia="Arial" w:hAnsi="Verdana" w:cs="Arial"/>
          <w:lang w:eastAsia="es-ES" w:bidi="es-ES"/>
        </w:rPr>
        <w:t>iii.</w:t>
      </w:r>
      <w:r w:rsidRPr="00380CA4">
        <w:rPr>
          <w:rFonts w:ascii="Verdana" w:eastAsia="Arial" w:hAnsi="Verdana" w:cs="Arial"/>
          <w:lang w:eastAsia="es-ES" w:bidi="es-ES"/>
        </w:rPr>
        <w:t xml:space="preserve"> </w:t>
      </w:r>
      <w:r w:rsidRPr="00380CA4">
        <w:rPr>
          <w:rFonts w:ascii="Verdana" w:eastAsia="Times New Roman" w:hAnsi="Verdana" w:cs="Arial"/>
          <w:bCs/>
          <w:lang w:eastAsia="x-none"/>
        </w:rPr>
        <w:t xml:space="preserve">El ámbito material de la prohibición contenida en el artículo 33 de la ley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1AA72B51" w14:textId="77777777" w:rsidR="00737E18" w:rsidRPr="00380CA4" w:rsidRDefault="00737E18" w:rsidP="00737E18">
      <w:pPr>
        <w:spacing w:after="0" w:line="240" w:lineRule="auto"/>
        <w:ind w:left="708" w:right="709"/>
        <w:jc w:val="both"/>
        <w:rPr>
          <w:rFonts w:ascii="Verdana" w:eastAsia="Calibri" w:hAnsi="Verdana" w:cs="Arial"/>
          <w:sz w:val="21"/>
          <w:szCs w:val="21"/>
        </w:rPr>
      </w:pPr>
    </w:p>
    <w:p w14:paraId="1A35783A" w14:textId="77777777" w:rsidR="00737E18" w:rsidRPr="00380CA4" w:rsidRDefault="00737E18" w:rsidP="00737E18">
      <w:pPr>
        <w:spacing w:after="120" w:line="240" w:lineRule="auto"/>
        <w:ind w:left="709" w:right="709"/>
        <w:jc w:val="both"/>
        <w:rPr>
          <w:rFonts w:ascii="Verdana" w:eastAsia="Calibri" w:hAnsi="Verdana" w:cs="Arial"/>
          <w:sz w:val="20"/>
          <w:szCs w:val="20"/>
        </w:rPr>
      </w:pPr>
      <w:r w:rsidRPr="00380CA4">
        <w:rPr>
          <w:rFonts w:ascii="Verdana" w:eastAsia="Calibri"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380CA4">
        <w:rPr>
          <w:rFonts w:ascii="Verdana" w:eastAsia="Times New Roman" w:hAnsi="Verdana" w:cs="Arial"/>
          <w:sz w:val="20"/>
          <w:szCs w:val="20"/>
          <w:vertAlign w:val="superscript"/>
          <w:lang w:eastAsia="es-CO"/>
        </w:rPr>
        <w:footnoteReference w:id="13"/>
      </w:r>
      <w:r w:rsidRPr="00380CA4">
        <w:rPr>
          <w:rFonts w:ascii="Verdana" w:eastAsia="Calibri" w:hAnsi="Verdana" w:cs="Arial"/>
          <w:sz w:val="20"/>
          <w:szCs w:val="20"/>
        </w:rPr>
        <w:t>.</w:t>
      </w:r>
    </w:p>
    <w:p w14:paraId="10520C95" w14:textId="77777777" w:rsidR="00737E18" w:rsidRPr="00380CA4" w:rsidRDefault="00737E18" w:rsidP="00737E18">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4"/>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80CA4">
        <w:rPr>
          <w:rFonts w:ascii="Verdana" w:eastAsia="Times New Roman" w:hAnsi="Verdana" w:cs="Arial"/>
          <w:sz w:val="20"/>
          <w:szCs w:val="20"/>
          <w:vertAlign w:val="superscript"/>
          <w:lang w:eastAsia="es-CO"/>
        </w:rPr>
        <w:footnoteReference w:id="15"/>
      </w:r>
      <w:r w:rsidRPr="00380CA4">
        <w:rPr>
          <w:rFonts w:ascii="Verdana" w:eastAsia="Calibri" w:hAnsi="Verdana" w:cs="Arial"/>
          <w:sz w:val="20"/>
          <w:szCs w:val="20"/>
        </w:rPr>
        <w:t xml:space="preserve"> .</w:t>
      </w:r>
    </w:p>
    <w:p w14:paraId="36B97CDB" w14:textId="77777777" w:rsidR="00737E18" w:rsidRPr="00380CA4" w:rsidRDefault="00737E18" w:rsidP="00737E18">
      <w:pPr>
        <w:shd w:val="clear" w:color="auto" w:fill="FFFFFF"/>
        <w:spacing w:after="0" w:line="276" w:lineRule="auto"/>
        <w:ind w:firstLine="709"/>
        <w:jc w:val="both"/>
        <w:rPr>
          <w:rFonts w:ascii="Verdana" w:eastAsia="Times New Roman" w:hAnsi="Verdana" w:cs="Arial"/>
          <w:lang w:eastAsia="x-none"/>
        </w:rPr>
      </w:pPr>
    </w:p>
    <w:p w14:paraId="04F7B767" w14:textId="77777777" w:rsidR="00737E18" w:rsidRPr="00380CA4" w:rsidRDefault="00737E18" w:rsidP="00737E1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xml:space="preserve">, por lo que excluye las demás modalidades de contratación previstas en la Ley 1150 de 2007, es </w:t>
      </w:r>
      <w:r w:rsidRPr="00380CA4">
        <w:rPr>
          <w:rFonts w:ascii="Verdana" w:eastAsia="Times New Roman" w:hAnsi="Verdana" w:cs="Arial"/>
          <w:lang w:eastAsia="x-none"/>
        </w:rPr>
        <w:lastRenderedPageBreak/>
        <w:t>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2E4395BA" w14:textId="77777777" w:rsidR="00737E18" w:rsidRPr="00F04D58" w:rsidRDefault="00737E18" w:rsidP="00737E18">
      <w:pPr>
        <w:spacing w:after="120" w:line="276" w:lineRule="auto"/>
        <w:ind w:firstLine="708"/>
        <w:jc w:val="both"/>
        <w:rPr>
          <w:rFonts w:ascii="Verdana" w:eastAsia="Times New Roman" w:hAnsi="Verdana" w:cs="Arial"/>
          <w:lang w:eastAsia="en-GB"/>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Pr>
          <w:rFonts w:ascii="Verdana" w:eastAsia="Times New Roman" w:hAnsi="Verdana" w:cs="Arial"/>
          <w:lang w:eastAsia="en-GB"/>
        </w:rPr>
        <w:t>”</w:t>
      </w:r>
      <w:r w:rsidRPr="00380CA4">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380CA4">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380CA4">
        <w:rPr>
          <w:rFonts w:ascii="Verdana" w:eastAsia="Times New Roman" w:hAnsi="Verdana" w:cs="Arial"/>
          <w:lang w:eastAsia="x-none"/>
        </w:rPr>
        <w:t xml:space="preserve">. </w:t>
      </w:r>
    </w:p>
    <w:p w14:paraId="71D3D9F5" w14:textId="77777777" w:rsidR="00737E18" w:rsidRPr="00380CA4" w:rsidRDefault="00737E18" w:rsidP="00737E18">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lang w:eastAsia="x-none"/>
        </w:rPr>
        <w:t xml:space="preserve">. </w:t>
      </w:r>
    </w:p>
    <w:p w14:paraId="675D8097" w14:textId="77777777" w:rsidR="00737E18" w:rsidRPr="00380CA4" w:rsidRDefault="00737E18" w:rsidP="00737E18">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 xml:space="preserve">Como se advierte de lo anterior, el Consejo de Estado realiza una interpretación amplia de la contratación directa, para efectos de aplicar las </w:t>
      </w:r>
      <w:r w:rsidRPr="00380CA4">
        <w:rPr>
          <w:rFonts w:ascii="Verdana" w:eastAsia="Times New Roman" w:hAnsi="Verdana" w:cs="Arial"/>
          <w:bCs/>
          <w:lang w:eastAsia="es-CO"/>
        </w:rPr>
        <w:lastRenderedPageBreak/>
        <w:t>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eastAsia="es-CO"/>
        </w:rPr>
        <w:t xml:space="preserve"> mayor precisión el término de “contratación directa”</w:t>
      </w:r>
      <w:r w:rsidRPr="00380CA4">
        <w:rPr>
          <w:rFonts w:ascii="Verdana" w:eastAsia="Times New Roman" w:hAnsi="Verdana" w:cs="Arial"/>
          <w:bCs/>
          <w:lang w:eastAsia="es-CO"/>
        </w:rPr>
        <w:t>.</w:t>
      </w:r>
    </w:p>
    <w:p w14:paraId="091B12FA" w14:textId="77777777" w:rsidR="00737E18" w:rsidRPr="001052D1" w:rsidRDefault="00737E18" w:rsidP="00737E1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0CA4">
        <w:rPr>
          <w:rFonts w:ascii="Verdana" w:eastAsia="Times New Roman" w:hAnsi="Verdana" w:cs="Arial"/>
          <w:vertAlign w:val="superscript"/>
          <w:lang w:eastAsia="x-none"/>
        </w:rPr>
        <w:footnoteReference w:id="20"/>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380CA4">
        <w:rPr>
          <w:rFonts w:ascii="Verdana" w:eastAsia="Times New Roman"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380CA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EB3A66F" w14:textId="77777777" w:rsidR="00737E18" w:rsidRDefault="00737E18" w:rsidP="00737E1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w:t>
      </w:r>
      <w:r>
        <w:rPr>
          <w:rFonts w:ascii="Verdana" w:eastAsia="Times New Roman" w:hAnsi="Verdana" w:cs="Arial"/>
          <w:bCs/>
          <w:lang w:eastAsia="x-none"/>
        </w:rPr>
        <w:t>s.</w:t>
      </w:r>
    </w:p>
    <w:p w14:paraId="7D04D134" w14:textId="77777777" w:rsidR="00737E18" w:rsidRDefault="00737E18" w:rsidP="00737E18">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eastAsia="x-none"/>
        </w:rPr>
        <w:t>De acuerdo con dichas causales, e</w:t>
      </w:r>
      <w:r w:rsidRPr="00380CA4">
        <w:rPr>
          <w:rFonts w:ascii="Verdana" w:eastAsia="Times New Roman" w:hAnsi="Verdana" w:cs="Arial"/>
          <w:bCs/>
          <w:lang w:eastAsia="x-none"/>
        </w:rPr>
        <w:t>s.</w:t>
      </w:r>
      <w:r w:rsidRPr="00380CA4">
        <w:rPr>
          <w:rFonts w:ascii="Verdana" w:eastAsia="Times New Roman" w:hAnsi="Verdana" w:cs="Arial"/>
          <w:bCs/>
          <w:lang w:eastAsia="es-CO"/>
        </w:rPr>
        <w:t xml:space="preserve"> responsabilidad del respectivo ente del Estado, examinar en cada caso la naturaleza de las actividades que adelanta y determinar si las mismas se enmarcan en alguna de las mencionadas </w:t>
      </w:r>
      <w:r w:rsidRPr="00380CA4">
        <w:rPr>
          <w:rFonts w:ascii="Verdana" w:eastAsia="Times New Roman" w:hAnsi="Verdana" w:cs="Arial"/>
          <w:bCs/>
          <w:lang w:eastAsia="es-CO"/>
        </w:rPr>
        <w:lastRenderedPageBreak/>
        <w:t xml:space="preserve">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r>
        <w:rPr>
          <w:rFonts w:ascii="Verdana" w:eastAsia="Times New Roman" w:hAnsi="Verdana" w:cs="Arial"/>
          <w:bCs/>
          <w:lang w:eastAsia="es-CO"/>
        </w:rPr>
        <w:t xml:space="preserve"> </w:t>
      </w:r>
    </w:p>
    <w:p w14:paraId="3CDAB2D9" w14:textId="77777777" w:rsidR="00737E18" w:rsidRDefault="00737E18" w:rsidP="00737E1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0CA4">
        <w:rPr>
          <w:rFonts w:ascii="Verdana" w:eastAsia="Calibri" w:hAnsi="Verdana" w:cs="Arial"/>
          <w:vertAlign w:val="superscript"/>
        </w:rPr>
        <w:footnoteReference w:id="21"/>
      </w:r>
      <w:r w:rsidRPr="00380CA4">
        <w:rPr>
          <w:rFonts w:ascii="Verdana" w:eastAsia="Times New Roman" w:hAnsi="Verdana" w:cs="Arial"/>
          <w:bCs/>
          <w:lang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Pr>
          <w:rFonts w:ascii="Verdana" w:eastAsia="Times New Roman" w:hAnsi="Verdana" w:cs="Arial"/>
          <w:bCs/>
          <w:lang w:eastAsia="x-none"/>
        </w:rPr>
        <w:t>.</w:t>
      </w:r>
    </w:p>
    <w:p w14:paraId="2D0C0B85" w14:textId="77777777" w:rsidR="00737E18" w:rsidRPr="002A1E2D" w:rsidRDefault="00737E18" w:rsidP="00737E18">
      <w:pPr>
        <w:spacing w:after="120" w:line="276" w:lineRule="auto"/>
        <w:ind w:firstLine="708"/>
        <w:jc w:val="both"/>
        <w:rPr>
          <w:rFonts w:ascii="Verdana" w:eastAsia="Times New Roman" w:hAnsi="Verdana" w:cs="Arial"/>
          <w:bCs/>
          <w:lang w:eastAsia="x-none"/>
        </w:rPr>
      </w:pPr>
      <w:r w:rsidRPr="002A1E2D">
        <w:rPr>
          <w:rFonts w:ascii="Verdana" w:eastAsia="Times New Roman" w:hAnsi="Verdana" w:cs="Arial"/>
          <w:bCs/>
          <w:lang w:val="es-MX" w:eastAsia="x-none"/>
        </w:rPr>
        <w:t xml:space="preserve">Así mismo, la Corte Constitucional en la Sentencia C-1153 de 2005 señaló que la expresión </w:t>
      </w:r>
      <w:r w:rsidRPr="002A1E2D">
        <w:rPr>
          <w:rFonts w:ascii="Verdana" w:eastAsia="Times New Roman" w:hAnsi="Verdana" w:cs="Arial"/>
          <w:bCs/>
          <w:i/>
          <w:iCs/>
          <w:lang w:val="es-ES" w:eastAsia="x-none"/>
        </w:rPr>
        <w:t xml:space="preserve">“adicionalmente se exceptúan aquellos gastos inaplazables e imprescindibles que afecten el normal funcionamiento de la administración” </w:t>
      </w:r>
      <w:r w:rsidRPr="002A1E2D">
        <w:rPr>
          <w:rFonts w:ascii="Verdana" w:eastAsia="Times New Roman" w:hAnsi="Verdana" w:cs="Arial"/>
          <w:bCs/>
          <w:iCs/>
          <w:lang w:val="es-ES" w:eastAsia="x-none"/>
        </w:rPr>
        <w:t>regulada como excepción en el artículo 33</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Por tanto, dicha expresión fue declarada inexequible, razón por la cual no es posible que las entidades argumenten razones como esta para exceptuar la restricción del artículo 33.</w:t>
      </w:r>
    </w:p>
    <w:p w14:paraId="4222BB3E" w14:textId="77777777" w:rsidR="00737E18" w:rsidRPr="00380CA4" w:rsidRDefault="00737E18" w:rsidP="00737E18">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380CA4">
        <w:rPr>
          <w:rFonts w:ascii="Verdana" w:eastAsia="Times New Roman" w:hAnsi="Verdana" w:cs="Arial"/>
          <w:bCs/>
          <w:lang w:eastAsia="x-none"/>
        </w:rPr>
        <w:lastRenderedPageBreak/>
        <w:t xml:space="preserve">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49760FC4" w14:textId="77777777" w:rsidR="00737E18" w:rsidRPr="00380CA4" w:rsidRDefault="00737E18" w:rsidP="00737E18">
      <w:pPr>
        <w:spacing w:after="0" w:line="276" w:lineRule="auto"/>
        <w:jc w:val="both"/>
        <w:rPr>
          <w:rFonts w:ascii="Verdana" w:eastAsia="Times New Roman" w:hAnsi="Verdana" w:cs="Arial"/>
          <w:bCs/>
          <w:lang w:eastAsia="x-none"/>
        </w:rPr>
      </w:pPr>
    </w:p>
    <w:p w14:paraId="5147AEAA" w14:textId="77777777" w:rsidR="00737E18" w:rsidRPr="00625764" w:rsidRDefault="00737E18" w:rsidP="00737E18">
      <w:pPr>
        <w:spacing w:after="0" w:line="240" w:lineRule="auto"/>
        <w:ind w:left="708" w:right="709"/>
        <w:jc w:val="both"/>
        <w:rPr>
          <w:rFonts w:ascii="Verdana" w:eastAsia="Times New Roman" w:hAnsi="Verdana" w:cs="Arial"/>
          <w:bCs/>
          <w:sz w:val="20"/>
          <w:szCs w:val="20"/>
          <w:lang w:eastAsia="es-CO"/>
        </w:rPr>
      </w:pPr>
      <w:r w:rsidRPr="00625764">
        <w:rPr>
          <w:rFonts w:ascii="Verdana" w:eastAsia="Times New Roman" w:hAnsi="Verdana" w:cs="Arial"/>
          <w:bCs/>
          <w:sz w:val="20"/>
          <w:szCs w:val="20"/>
          <w:lang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25764">
        <w:rPr>
          <w:rFonts w:ascii="Verdana" w:eastAsia="Times New Roman" w:hAnsi="Verdana" w:cs="Arial"/>
          <w:bCs/>
          <w:sz w:val="20"/>
          <w:szCs w:val="20"/>
          <w:vertAlign w:val="superscript"/>
          <w:lang w:eastAsia="x-none"/>
        </w:rPr>
        <w:footnoteReference w:id="22"/>
      </w:r>
      <w:r w:rsidRPr="00625764">
        <w:rPr>
          <w:rFonts w:ascii="Verdana" w:eastAsia="Times New Roman" w:hAnsi="Verdana" w:cs="Arial"/>
          <w:bCs/>
          <w:sz w:val="20"/>
          <w:szCs w:val="20"/>
          <w:lang w:eastAsia="x-none"/>
        </w:rPr>
        <w:t>.</w:t>
      </w:r>
      <w:r w:rsidRPr="00625764">
        <w:rPr>
          <w:rFonts w:ascii="Verdana" w:eastAsia="Times New Roman" w:hAnsi="Verdana" w:cs="Arial"/>
          <w:bCs/>
          <w:sz w:val="20"/>
          <w:szCs w:val="20"/>
          <w:lang w:eastAsia="es-CO"/>
        </w:rPr>
        <w:t xml:space="preserve"> </w:t>
      </w:r>
    </w:p>
    <w:p w14:paraId="46048F24" w14:textId="77777777" w:rsidR="00737E18" w:rsidRPr="00380CA4" w:rsidRDefault="00737E18" w:rsidP="00737E18">
      <w:pPr>
        <w:spacing w:after="0" w:line="276" w:lineRule="auto"/>
        <w:ind w:firstLine="708"/>
        <w:jc w:val="both"/>
        <w:rPr>
          <w:rFonts w:ascii="Verdana" w:eastAsia="Times New Roman" w:hAnsi="Verdana" w:cs="Arial"/>
          <w:bCs/>
          <w:lang w:eastAsia="es-CO"/>
        </w:rPr>
      </w:pPr>
    </w:p>
    <w:p w14:paraId="37F43AAF" w14:textId="77777777" w:rsidR="00737E18" w:rsidRPr="00380CA4" w:rsidRDefault="00737E18" w:rsidP="00737E18">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3"/>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2F7C26EA" w14:textId="77777777" w:rsidR="00737E18" w:rsidRPr="00380CA4" w:rsidRDefault="00737E18" w:rsidP="00737E18">
      <w:pPr>
        <w:spacing w:after="0" w:line="276" w:lineRule="auto"/>
        <w:jc w:val="both"/>
        <w:rPr>
          <w:rFonts w:ascii="Verdana" w:eastAsia="Calibri" w:hAnsi="Verdana" w:cs="Arial"/>
        </w:rPr>
      </w:pPr>
    </w:p>
    <w:p w14:paraId="48EDA298" w14:textId="77777777" w:rsidR="00737E18" w:rsidRPr="00380CA4" w:rsidRDefault="00737E18" w:rsidP="00737E18">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w:t>
      </w:r>
      <w:r w:rsidRPr="00380CA4">
        <w:rPr>
          <w:rFonts w:ascii="Verdana" w:eastAsia="Calibri" w:hAnsi="Verdana" w:cs="Arial"/>
          <w:sz w:val="20"/>
          <w:szCs w:val="20"/>
        </w:rPr>
        <w:lastRenderedPageBreak/>
        <w:t>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F8374E9" w14:textId="77777777" w:rsidR="00737E18" w:rsidRPr="00380CA4" w:rsidRDefault="00737E18" w:rsidP="00737E18">
      <w:pPr>
        <w:spacing w:after="0" w:line="240" w:lineRule="auto"/>
        <w:ind w:left="708" w:right="709"/>
        <w:jc w:val="both"/>
        <w:rPr>
          <w:rFonts w:ascii="Verdana" w:eastAsia="Calibri" w:hAnsi="Verdana" w:cs="Arial"/>
          <w:sz w:val="20"/>
          <w:szCs w:val="20"/>
        </w:rPr>
      </w:pPr>
    </w:p>
    <w:p w14:paraId="51290ABA" w14:textId="77777777" w:rsidR="00737E18" w:rsidRPr="00380CA4" w:rsidRDefault="00737E18" w:rsidP="00737E18">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24"/>
      </w:r>
      <w:r w:rsidRPr="00380CA4">
        <w:rPr>
          <w:rFonts w:ascii="Verdana" w:eastAsia="Times New Roman" w:hAnsi="Verdana" w:cs="Arial"/>
          <w:bCs/>
          <w:sz w:val="20"/>
          <w:szCs w:val="20"/>
          <w:lang w:eastAsia="x-none"/>
        </w:rPr>
        <w:t>.</w:t>
      </w:r>
    </w:p>
    <w:p w14:paraId="2E8D539E" w14:textId="77777777" w:rsidR="00737E18" w:rsidRPr="00380CA4" w:rsidRDefault="00737E18" w:rsidP="00737E18">
      <w:pPr>
        <w:spacing w:after="0" w:line="276" w:lineRule="auto"/>
        <w:jc w:val="both"/>
        <w:rPr>
          <w:rFonts w:ascii="Verdana" w:eastAsia="Calibri" w:hAnsi="Verdana" w:cs="Arial"/>
        </w:rPr>
      </w:pPr>
    </w:p>
    <w:p w14:paraId="7ECDAA43" w14:textId="77777777" w:rsidR="00737E18" w:rsidRDefault="00737E18" w:rsidP="00737E18">
      <w:pPr>
        <w:spacing w:after="0" w:line="276" w:lineRule="auto"/>
        <w:ind w:firstLine="709"/>
        <w:jc w:val="both"/>
        <w:rPr>
          <w:rFonts w:ascii="Verdana" w:eastAsiaTheme="minorEastAsia" w:hAnsi="Verdana" w:cs="Arial"/>
          <w:lang w:eastAsia="es-CO"/>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3309D2B0" w14:textId="77777777" w:rsidR="00737E18" w:rsidRDefault="00737E18" w:rsidP="00737E18">
      <w:pPr>
        <w:spacing w:after="0" w:line="276" w:lineRule="auto"/>
        <w:ind w:left="709" w:right="709"/>
        <w:jc w:val="both"/>
        <w:rPr>
          <w:rFonts w:ascii="Verdana" w:eastAsia="Calibri" w:hAnsi="Verdana" w:cs="Arial"/>
          <w:sz w:val="20"/>
          <w:szCs w:val="20"/>
        </w:rPr>
      </w:pPr>
    </w:p>
    <w:p w14:paraId="1AE477A4" w14:textId="77777777" w:rsidR="00737E18" w:rsidRDefault="00737E18" w:rsidP="00737E18">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w:t>
      </w:r>
      <w:r w:rsidRPr="002D1225">
        <w:rPr>
          <w:rFonts w:ascii="Verdana" w:eastAsia="Calibri" w:hAnsi="Verdana" w:cs="Arial"/>
          <w:sz w:val="20"/>
          <w:szCs w:val="20"/>
        </w:rPr>
        <w:lastRenderedPageBreak/>
        <w:t>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que frente a los servicios públicos domiciliarios, los usuarios tienen un derecho subjetivo a su prestación, que en veces está en conexión con los derechos fundamentales, como en el caso de los servicios del acueducto, alcantarillado, saneamiento básico, etc</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49CE8FEA" w14:textId="77777777" w:rsidR="00737E18" w:rsidRDefault="00737E18" w:rsidP="00737E18">
      <w:pPr>
        <w:spacing w:after="0" w:line="276" w:lineRule="auto"/>
        <w:ind w:left="709" w:right="709"/>
        <w:jc w:val="both"/>
        <w:rPr>
          <w:rFonts w:ascii="Verdana" w:eastAsia="Calibri" w:hAnsi="Verdana" w:cs="Arial"/>
          <w:sz w:val="20"/>
          <w:szCs w:val="20"/>
        </w:rPr>
      </w:pPr>
    </w:p>
    <w:p w14:paraId="1473ECD6" w14:textId="77777777" w:rsidR="00737E18" w:rsidRPr="00C15525" w:rsidRDefault="00737E18" w:rsidP="00737E18">
      <w:pPr>
        <w:spacing w:after="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3E5185A4" w14:textId="77777777" w:rsidR="00737E18" w:rsidRPr="00C15525" w:rsidRDefault="00737E18" w:rsidP="00737E18">
      <w:pPr>
        <w:widowControl w:val="0"/>
        <w:autoSpaceDE w:val="0"/>
        <w:autoSpaceDN w:val="0"/>
        <w:spacing w:after="0" w:line="276" w:lineRule="auto"/>
        <w:jc w:val="both"/>
        <w:rPr>
          <w:rFonts w:ascii="Verdana" w:eastAsia="Arial" w:hAnsi="Verdana" w:cs="Arial"/>
          <w:lang w:val="es-ES" w:eastAsia="es-ES" w:bidi="es-ES"/>
        </w:rPr>
      </w:pPr>
    </w:p>
    <w:p w14:paraId="5880AB62" w14:textId="77777777" w:rsidR="00737E18" w:rsidRPr="00C15525" w:rsidRDefault="00737E18" w:rsidP="00737E1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5B3BC164" w14:textId="77777777" w:rsidR="00737E18" w:rsidRPr="00C15525" w:rsidRDefault="00737E18" w:rsidP="00737E18">
      <w:pPr>
        <w:widowControl w:val="0"/>
        <w:autoSpaceDE w:val="0"/>
        <w:autoSpaceDN w:val="0"/>
        <w:spacing w:after="0" w:line="240" w:lineRule="auto"/>
        <w:ind w:left="709" w:right="709"/>
        <w:jc w:val="both"/>
        <w:rPr>
          <w:rFonts w:ascii="Verdana" w:hAnsi="Verdana" w:cs="Arial"/>
          <w:sz w:val="20"/>
          <w:szCs w:val="20"/>
        </w:rPr>
      </w:pPr>
    </w:p>
    <w:p w14:paraId="1E76FDA9" w14:textId="77777777" w:rsidR="00737E18" w:rsidRPr="00C15525" w:rsidRDefault="00737E18" w:rsidP="00737E1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Es claro que la ley ordena que la regulación de dicha relación interadministrativa se efectúe por el mecanismo de una convención, pero también es claro que éste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55EDF830" w14:textId="77777777" w:rsidR="00737E18" w:rsidRPr="00C15525" w:rsidRDefault="00737E18" w:rsidP="00737E18">
      <w:pPr>
        <w:widowControl w:val="0"/>
        <w:autoSpaceDE w:val="0"/>
        <w:autoSpaceDN w:val="0"/>
        <w:spacing w:after="0" w:line="240" w:lineRule="auto"/>
        <w:ind w:left="709" w:right="709"/>
        <w:jc w:val="both"/>
        <w:rPr>
          <w:rFonts w:ascii="Verdana" w:hAnsi="Verdana" w:cs="Arial"/>
          <w:sz w:val="20"/>
          <w:szCs w:val="20"/>
        </w:rPr>
      </w:pPr>
    </w:p>
    <w:p w14:paraId="25572155" w14:textId="77777777" w:rsidR="00737E18" w:rsidRPr="00C15525" w:rsidRDefault="00737E18" w:rsidP="00737E18">
      <w:pPr>
        <w:widowControl w:val="0"/>
        <w:autoSpaceDE w:val="0"/>
        <w:autoSpaceDN w:val="0"/>
        <w:spacing w:after="0" w:line="240" w:lineRule="auto"/>
        <w:ind w:left="709" w:right="709"/>
        <w:jc w:val="both"/>
        <w:rPr>
          <w:rFonts w:ascii="Verdana" w:hAnsi="Verdana" w:cs="Arial"/>
        </w:rPr>
      </w:pPr>
      <w:bookmarkStart w:id="7" w:name="_Hlk75761737"/>
      <w:r w:rsidRPr="00C15525">
        <w:rPr>
          <w:rFonts w:ascii="Verdana" w:hAnsi="Verdana" w:cs="Arial"/>
          <w:sz w:val="20"/>
          <w:szCs w:val="20"/>
        </w:rPr>
        <w:t xml:space="preserve">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w:t>
      </w:r>
      <w:r w:rsidRPr="00C15525">
        <w:rPr>
          <w:rFonts w:ascii="Verdana" w:hAnsi="Verdana" w:cs="Arial"/>
          <w:sz w:val="20"/>
          <w:szCs w:val="20"/>
        </w:rPr>
        <w:lastRenderedPageBreak/>
        <w:t>la orden dada por el legislador</w:t>
      </w:r>
      <w:bookmarkEnd w:id="7"/>
      <w:r w:rsidRPr="00C15525">
        <w:rPr>
          <w:rFonts w:ascii="Verdana" w:hAnsi="Verdana" w:cs="Arial"/>
          <w:sz w:val="20"/>
          <w:szCs w:val="20"/>
          <w:vertAlign w:val="superscript"/>
        </w:rPr>
        <w:footnoteReference w:id="26"/>
      </w:r>
      <w:r w:rsidRPr="00C15525">
        <w:rPr>
          <w:rFonts w:ascii="Verdana" w:hAnsi="Verdana" w:cs="Arial"/>
          <w:sz w:val="20"/>
          <w:szCs w:val="20"/>
        </w:rPr>
        <w:t xml:space="preserve">. </w:t>
      </w:r>
    </w:p>
    <w:p w14:paraId="1AA66FD4" w14:textId="77777777" w:rsidR="00737E18" w:rsidRPr="00C15525" w:rsidRDefault="00737E18" w:rsidP="00737E18">
      <w:pPr>
        <w:widowControl w:val="0"/>
        <w:autoSpaceDE w:val="0"/>
        <w:autoSpaceDN w:val="0"/>
        <w:spacing w:after="0" w:line="276" w:lineRule="auto"/>
        <w:jc w:val="both"/>
        <w:rPr>
          <w:rFonts w:ascii="Verdana" w:eastAsia="Arial" w:hAnsi="Verdana" w:cs="Arial"/>
          <w:lang w:val="es-ES" w:eastAsia="es-ES" w:bidi="es-ES"/>
        </w:rPr>
      </w:pPr>
    </w:p>
    <w:p w14:paraId="7E1CE976" w14:textId="77777777" w:rsidR="00737E18" w:rsidRPr="000E03E2" w:rsidRDefault="00737E18" w:rsidP="00737E18">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36353EB7" w14:textId="77777777" w:rsidR="00737E18" w:rsidRPr="006177F8" w:rsidRDefault="00737E18" w:rsidP="00737E18">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33B3CD38" w14:textId="77777777" w:rsidR="00737E18" w:rsidRPr="006177F8" w:rsidRDefault="00737E18" w:rsidP="00737E18">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8"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8"/>
      <w:r w:rsidRPr="006177F8">
        <w:rPr>
          <w:rFonts w:ascii="Verdana" w:eastAsia="Arial" w:hAnsi="Verdana" w:cs="Arial"/>
          <w:vertAlign w:val="superscript"/>
          <w:lang w:val="es-ES" w:eastAsia="es-ES" w:bidi="es-ES"/>
        </w:rPr>
        <w:footnoteReference w:id="27"/>
      </w:r>
      <w:r w:rsidRPr="006177F8">
        <w:rPr>
          <w:rFonts w:ascii="Verdana" w:eastAsia="Arial" w:hAnsi="Verdana" w:cs="Arial"/>
          <w:lang w:val="es-ES" w:eastAsia="es-ES" w:bidi="es-ES"/>
        </w:rPr>
        <w:t>. Al respecto, dicho Concepto expresa:</w:t>
      </w:r>
    </w:p>
    <w:p w14:paraId="13D4B5E9" w14:textId="77777777" w:rsidR="00737E18" w:rsidRPr="006177F8" w:rsidRDefault="00737E18" w:rsidP="00737E18">
      <w:pPr>
        <w:spacing w:after="0" w:line="276" w:lineRule="auto"/>
        <w:ind w:firstLine="709"/>
        <w:jc w:val="both"/>
        <w:rPr>
          <w:rFonts w:ascii="Verdana" w:eastAsia="Arial" w:hAnsi="Verdana" w:cs="Arial"/>
          <w:lang w:val="es-ES" w:eastAsia="es-ES" w:bidi="es-ES"/>
        </w:rPr>
      </w:pPr>
    </w:p>
    <w:p w14:paraId="625379F1"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 xml:space="preserve">la Sala que los servidores públicos del nivel nacional o territorial que en cumplimiento de una sentencia judicial o de una </w:t>
      </w:r>
      <w:r w:rsidRPr="006177F8">
        <w:rPr>
          <w:rFonts w:ascii="Verdana" w:eastAsia="Arial" w:hAnsi="Verdana" w:cs="Arial"/>
          <w:sz w:val="20"/>
          <w:lang w:eastAsia="es-ES" w:bidi="es-ES"/>
        </w:rPr>
        <w:lastRenderedPageBreak/>
        <w:t>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377A0BA3"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p>
    <w:p w14:paraId="601D3412"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5B6377CB"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p>
    <w:p w14:paraId="11F79E1C"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r>
        <w:rPr>
          <w:rFonts w:ascii="Verdana" w:eastAsia="Arial" w:hAnsi="Verdana" w:cs="Arial"/>
          <w:sz w:val="20"/>
          <w:lang w:eastAsia="es-ES" w:bidi="es-ES"/>
        </w:rPr>
        <w:t xml:space="preserve">. </w:t>
      </w:r>
    </w:p>
    <w:p w14:paraId="63795935"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p>
    <w:p w14:paraId="41603992" w14:textId="77777777" w:rsidR="00737E18" w:rsidRPr="006177F8" w:rsidRDefault="00737E18" w:rsidP="00737E1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238D5E6C" w14:textId="77777777" w:rsidR="00737E18" w:rsidRPr="006177F8" w:rsidRDefault="00737E18" w:rsidP="00737E18">
      <w:pPr>
        <w:spacing w:after="0" w:line="240" w:lineRule="auto"/>
        <w:ind w:firstLine="709"/>
        <w:jc w:val="both"/>
        <w:rPr>
          <w:rFonts w:ascii="Verdana" w:eastAsia="Arial" w:hAnsi="Verdana" w:cs="Arial"/>
          <w:lang w:eastAsia="es-ES" w:bidi="es-ES"/>
        </w:rPr>
      </w:pPr>
    </w:p>
    <w:p w14:paraId="016C1A8C" w14:textId="77777777" w:rsidR="00737E18" w:rsidRDefault="00737E18" w:rsidP="00737E18">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 xml:space="preserve">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w:t>
      </w:r>
      <w:r w:rsidRPr="006177F8">
        <w:rPr>
          <w:rFonts w:ascii="Verdana" w:hAnsi="Verdana" w:cs="Arial"/>
          <w:lang w:val="es-ES"/>
        </w:rPr>
        <w:lastRenderedPageBreak/>
        <w:t>de garantizar la efectividad de las decisiones judiciales y la protección de los derechos fundamentales.</w:t>
      </w:r>
    </w:p>
    <w:p w14:paraId="2B432103" w14:textId="77777777" w:rsidR="00737E18" w:rsidRPr="00380CA4" w:rsidRDefault="00737E18" w:rsidP="00737E18">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95633C0" w14:textId="77777777" w:rsidR="00737E18" w:rsidRPr="00380CA4" w:rsidRDefault="00737E18" w:rsidP="00737E18">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28"/>
      </w:r>
      <w:r w:rsidRPr="00380CA4">
        <w:rPr>
          <w:rFonts w:ascii="Verdana" w:eastAsia="Times New Roman" w:hAnsi="Verdana" w:cs="Arial"/>
          <w:bCs/>
          <w:lang w:eastAsia="es-CO"/>
        </w:rPr>
        <w:t>. Además, también es posible que contratos celebrados previamente se continúen ejecutando con normalidad.</w:t>
      </w:r>
    </w:p>
    <w:p w14:paraId="0B0C32EB" w14:textId="77777777" w:rsidR="00737E18" w:rsidRDefault="00737E18" w:rsidP="00737E18">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2"/>
          <w:szCs w:val="22"/>
        </w:rPr>
      </w:pPr>
    </w:p>
    <w:p w14:paraId="6E0A1B37" w14:textId="77777777" w:rsidR="00737E18" w:rsidRPr="00667CD6" w:rsidRDefault="00737E18" w:rsidP="00737E18">
      <w:pPr>
        <w:spacing w:after="120" w:line="276" w:lineRule="auto"/>
        <w:jc w:val="both"/>
        <w:rPr>
          <w:rFonts w:ascii="Verdana" w:hAnsi="Verdana" w:cs="Arial"/>
          <w:lang w:val="es-ES"/>
        </w:rPr>
      </w:pPr>
      <w:r>
        <w:rPr>
          <w:rFonts w:ascii="Verdana" w:eastAsia="Calibri" w:hAnsi="Verdana" w:cs="Arial"/>
          <w:lang w:val="es-MX"/>
        </w:rPr>
        <w:t xml:space="preserve">iv. </w:t>
      </w:r>
      <w:r w:rsidRPr="00667CD6">
        <w:rPr>
          <w:rFonts w:ascii="Verdana" w:hAnsi="Verdana" w:cs="Arial"/>
          <w:lang w:val="es-ES"/>
        </w:rPr>
        <w:t xml:space="preserve">Ahora bien,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Alcaldes Municipales y/o Distritales, Secretarios,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14C2EF84" w14:textId="77777777" w:rsidR="00737E18" w:rsidRPr="00667CD6" w:rsidRDefault="00737E18" w:rsidP="00737E18">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 xml:space="preserve">independientemente de las normas que regulan la relación contractual. En este </w:t>
      </w:r>
      <w:r w:rsidRPr="00667CD6">
        <w:rPr>
          <w:rFonts w:ascii="Verdana" w:hAnsi="Verdana" w:cs="Arial"/>
          <w:lang w:eastAsia="es-ES"/>
        </w:rPr>
        <w:lastRenderedPageBreak/>
        <w:t>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9"/>
      </w:r>
      <w:r w:rsidRPr="00667CD6">
        <w:rPr>
          <w:rFonts w:ascii="Verdana" w:hAnsi="Verdana" w:cs="Arial"/>
          <w:lang w:eastAsia="es-ES"/>
        </w:rPr>
        <w:t>.</w:t>
      </w:r>
    </w:p>
    <w:p w14:paraId="156B4909" w14:textId="77777777" w:rsidR="00737E18" w:rsidRPr="00667CD6" w:rsidRDefault="00737E18" w:rsidP="00737E18">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FDDACF2" w14:textId="77777777" w:rsidR="00737E18" w:rsidRPr="00667CD6" w:rsidRDefault="00737E18" w:rsidP="00737E18">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30"/>
      </w:r>
      <w:r w:rsidRPr="2035D652">
        <w:rPr>
          <w:rFonts w:ascii="Verdana" w:hAnsi="Verdana" w:cs="Arial"/>
          <w:lang w:val="es-ES"/>
        </w:rPr>
        <w:t>. Nótese que, en este caso, lo que cambia es la modalidad de selección y no la naturaleza de contrato interadministrativo.</w:t>
      </w:r>
    </w:p>
    <w:p w14:paraId="06408F1E" w14:textId="77777777" w:rsidR="00737E18" w:rsidRPr="00667CD6" w:rsidRDefault="00737E18" w:rsidP="00737E18">
      <w:pPr>
        <w:spacing w:before="120" w:after="0" w:line="276" w:lineRule="auto"/>
        <w:ind w:firstLine="708"/>
        <w:jc w:val="both"/>
        <w:rPr>
          <w:rFonts w:ascii="Verdana" w:hAnsi="Verdana" w:cs="Arial"/>
          <w:lang w:val="es-ES_tradnl"/>
        </w:rPr>
      </w:pPr>
      <w:r w:rsidRPr="2035D652">
        <w:rPr>
          <w:rFonts w:ascii="Verdana" w:hAnsi="Verdana" w:cs="Arial"/>
          <w:lang w:val="es-ES"/>
        </w:rPr>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31"/>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75BF2525" w14:textId="77777777" w:rsidR="00737E18" w:rsidRPr="00667CD6" w:rsidRDefault="00737E18" w:rsidP="00737E18">
      <w:pPr>
        <w:spacing w:before="120" w:after="0" w:line="276" w:lineRule="auto"/>
        <w:ind w:firstLine="708"/>
        <w:jc w:val="both"/>
        <w:rPr>
          <w:rFonts w:ascii="Verdana" w:hAnsi="Verdana"/>
          <w:sz w:val="24"/>
          <w:szCs w:val="24"/>
          <w:lang w:eastAsia="es-CO"/>
        </w:rPr>
      </w:pPr>
      <w:r w:rsidRPr="2035D652">
        <w:rPr>
          <w:rFonts w:ascii="Verdana" w:hAnsi="Verdana" w:cs="Arial"/>
          <w:lang w:val="es-ES"/>
        </w:rPr>
        <w:lastRenderedPageBreak/>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2"/>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410105EF" w14:textId="77777777" w:rsidR="00737E18" w:rsidRDefault="00737E18" w:rsidP="00737E18">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667CD6">
        <w:rPr>
          <w:rFonts w:ascii="Verdana" w:eastAsia="Times New Roman" w:hAnsi="Verdana" w:cs="Arial"/>
          <w:lang w:val="es-MX" w:eastAsia="es-CO"/>
        </w:rPr>
        <w:t xml:space="preserve">a dicha tipología contractual sin que el legislador hubiere contemplado un efecto extensivo a otra tipología. </w:t>
      </w:r>
    </w:p>
    <w:p w14:paraId="5F4D87A6" w14:textId="77777777" w:rsidR="00737E18" w:rsidRPr="00E60AD8" w:rsidRDefault="00737E18" w:rsidP="00737E18">
      <w:pPr>
        <w:spacing w:before="120" w:after="0" w:line="276" w:lineRule="auto"/>
        <w:ind w:firstLine="708"/>
        <w:jc w:val="both"/>
        <w:rPr>
          <w:rFonts w:ascii="Verdana" w:eastAsia="Calibri" w:hAnsi="Verdana" w:cs="Arial"/>
          <w:color w:val="000000"/>
        </w:rPr>
      </w:pPr>
      <w:r>
        <w:rPr>
          <w:rFonts w:ascii="Verdana" w:eastAsia="Times New Roman" w:hAnsi="Verdana" w:cs="Arial"/>
          <w:lang w:val="es-MX" w:eastAsia="es-CO"/>
        </w:rPr>
        <w:t xml:space="preserve">En este aspecto, se destaca que uno de los sujetos de aplicación de dicha restricción son las entidades descentralizadas por servicios, </w:t>
      </w:r>
      <w:r>
        <w:rPr>
          <w:rFonts w:ascii="Verdana" w:eastAsia="Times New Roman" w:hAnsi="Verdana" w:cs="Arial"/>
          <w:lang w:eastAsia="es-CO"/>
        </w:rPr>
        <w:t xml:space="preserve">las cuales </w:t>
      </w:r>
      <w:r w:rsidRPr="004A1A19">
        <w:rPr>
          <w:rFonts w:ascii="Verdana" w:eastAsia="Calibri" w:hAnsi="Verdana" w:cs="Arial"/>
          <w:color w:val="000000"/>
        </w:rPr>
        <w:t>–sin perjuicio del control de tutela– tienen personería jurídica, autonomía administrativa y patrimonio propio.</w:t>
      </w:r>
      <w:r w:rsidRPr="004A1A19">
        <w:rPr>
          <w:rFonts w:ascii="Verdana" w:eastAsia="Calibri" w:hAnsi="Verdana" w:cs="Arial"/>
          <w:b/>
          <w:bCs/>
          <w:color w:val="000000"/>
        </w:rPr>
        <w:t xml:space="preserve"> </w:t>
      </w:r>
      <w:r>
        <w:rPr>
          <w:rFonts w:ascii="Verdana" w:eastAsia="Calibri" w:hAnsi="Verdana" w:cs="Arial"/>
          <w:color w:val="000000"/>
        </w:rPr>
        <w:t xml:space="preserve">Dentro de la categoría amplia de entidades descentralizadas por servicios se encuentran las Empresas Industriales y Comerciales del Estado, los establecimientos públicos, las sociedades públicas, las sociedades de economía mixta, las empresas sociales del Estado, entre otras entidades. </w:t>
      </w:r>
    </w:p>
    <w:p w14:paraId="3C59E5BD" w14:textId="77777777" w:rsidR="00737E18" w:rsidRDefault="00737E18" w:rsidP="00737E1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w:t>
      </w:r>
      <w:r w:rsidRPr="00667CD6">
        <w:rPr>
          <w:rFonts w:ascii="Verdana" w:eastAsia="Times New Roman" w:hAnsi="Verdana" w:cs="Arial"/>
          <w:lang w:eastAsia="es-CO"/>
        </w:rPr>
        <w:lastRenderedPageBreak/>
        <w:t xml:space="preserve">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5FCF55DB" w14:textId="77777777" w:rsidR="00737E18" w:rsidRPr="00667CD6" w:rsidRDefault="00737E18" w:rsidP="00737E1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Lo anterior conforme a la directriz interpretativa del artículo 31 del Código Civil, según la cual “Lo favorable u odioso de una disposición no se tomará en cuenta para ampliar o restringir su interpretación. La extensión que deba darse a toda ley se determinará por su genuino sentido, y según las reglas de interpretación precedentes”</w:t>
      </w:r>
      <w:r>
        <w:rPr>
          <w:rStyle w:val="Refdenotaalpie"/>
          <w:rFonts w:ascii="Verdana" w:hAnsi="Verdana" w:cs="Arial"/>
          <w:lang w:val="es-ES"/>
        </w:rPr>
        <w:footnoteReference w:id="33"/>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301D965D" w14:textId="77777777" w:rsidR="00737E18" w:rsidRPr="00667CD6" w:rsidRDefault="00737E18" w:rsidP="00737E1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w:t>
      </w:r>
      <w:r w:rsidRPr="00667CD6">
        <w:rPr>
          <w:rFonts w:ascii="Verdana" w:hAnsi="Verdana" w:cs="Arial"/>
          <w:bCs/>
          <w:lang w:val="es-MX" w:eastAsia="x-none"/>
        </w:rPr>
        <w:lastRenderedPageBreak/>
        <w:t>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7A1E4586" w14:textId="77777777" w:rsidR="00737E18" w:rsidRPr="00667CD6" w:rsidRDefault="00737E18" w:rsidP="00737E18">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4"/>
      </w:r>
      <w:r w:rsidRPr="00667CD6">
        <w:rPr>
          <w:rFonts w:ascii="Verdana" w:hAnsi="Verdana" w:cs="Arial"/>
        </w:rPr>
        <w:t xml:space="preserve">: </w:t>
      </w:r>
    </w:p>
    <w:p w14:paraId="765E1A6A" w14:textId="77777777" w:rsidR="00737E18" w:rsidRPr="00667CD6" w:rsidRDefault="00737E18" w:rsidP="00737E18">
      <w:pPr>
        <w:spacing w:after="0" w:line="276" w:lineRule="auto"/>
        <w:ind w:firstLine="709"/>
        <w:jc w:val="both"/>
        <w:rPr>
          <w:rFonts w:ascii="Verdana" w:hAnsi="Verdana" w:cs="Arial"/>
        </w:rPr>
      </w:pPr>
    </w:p>
    <w:p w14:paraId="132854B7" w14:textId="77777777" w:rsidR="00737E18" w:rsidRPr="00667CD6" w:rsidRDefault="00737E18" w:rsidP="00737E18">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0D469BDE" w14:textId="77777777" w:rsidR="00737E18" w:rsidRPr="00667CD6" w:rsidRDefault="00737E18" w:rsidP="00737E18">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68D64DA4" w14:textId="77777777" w:rsidR="00737E18" w:rsidRPr="00667CD6" w:rsidRDefault="00737E18" w:rsidP="00737E18">
      <w:pPr>
        <w:spacing w:after="0" w:line="276" w:lineRule="auto"/>
        <w:ind w:left="709" w:right="709"/>
        <w:jc w:val="both"/>
        <w:rPr>
          <w:rFonts w:ascii="Verdana" w:hAnsi="Verdana" w:cs="Arial"/>
        </w:rPr>
      </w:pPr>
    </w:p>
    <w:p w14:paraId="006D7D0D" w14:textId="77777777" w:rsidR="00737E18" w:rsidRPr="00667CD6" w:rsidRDefault="00737E18" w:rsidP="00737E18">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w:t>
      </w:r>
      <w:r w:rsidRPr="00667CD6">
        <w:rPr>
          <w:rFonts w:ascii="Verdana" w:eastAsia="Arial" w:hAnsi="Verdana" w:cs="Arial"/>
          <w:i/>
          <w:iCs/>
          <w:lang w:eastAsia="es-ES" w:bidi="es-ES"/>
        </w:rPr>
        <w:lastRenderedPageBreak/>
        <w:t xml:space="preserve">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0363017E" w14:textId="77777777" w:rsidR="00737E18" w:rsidRPr="00667CD6" w:rsidRDefault="00737E18" w:rsidP="00737E18">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35"/>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083CE0DF" w14:textId="77777777" w:rsidR="00737E18" w:rsidRDefault="00737E18" w:rsidP="00737E18">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Finalmente, mediante sentencia del 17 de octubre de 2025, emitida por la S</w:t>
      </w:r>
      <w:r>
        <w:rPr>
          <w:rFonts w:ascii="Verdana" w:eastAsia="Arial" w:hAnsi="Verdana" w:cs="Arial"/>
          <w:lang w:eastAsia="es-ES" w:bidi="es-ES"/>
        </w:rPr>
        <w:t xml:space="preserve">ección Tercera del </w:t>
      </w:r>
      <w:r w:rsidRPr="31E4E861">
        <w:rPr>
          <w:rFonts w:ascii="Verdana" w:eastAsia="Arial" w:hAnsi="Verdana" w:cs="Arial"/>
          <w:lang w:eastAsia="es-ES" w:bidi="es-ES"/>
        </w:rPr>
        <w:t xml:space="preserve">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w:t>
      </w:r>
      <w:r w:rsidRPr="31E4E861">
        <w:rPr>
          <w:rFonts w:ascii="Verdana" w:eastAsia="Times New Roman" w:hAnsi="Verdana" w:cs="Times New Roman"/>
          <w:lang w:eastAsia="es-ES"/>
        </w:rPr>
        <w:lastRenderedPageBreak/>
        <w:t>-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228B7C6D" w14:textId="77777777" w:rsidR="00737E18" w:rsidRDefault="00737E18" w:rsidP="00737E18">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6"/>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5C3118A6" w14:textId="77777777" w:rsidR="00737E18" w:rsidRDefault="00737E18" w:rsidP="00737E18">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7"/>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w:t>
      </w:r>
      <w:r w:rsidRPr="00667CD6">
        <w:rPr>
          <w:rFonts w:ascii="Verdana" w:eastAsia="Times New Roman" w:hAnsi="Verdana" w:cs="Arial"/>
          <w:lang w:eastAsia="es-CO"/>
        </w:rPr>
        <w:lastRenderedPageBreak/>
        <w:t>independientemente del objeto, dicho contrato puede suscribirse durante el periodo preelectoral.</w:t>
      </w:r>
    </w:p>
    <w:p w14:paraId="628B8D6A" w14:textId="77777777" w:rsidR="00737E18" w:rsidRDefault="00737E18" w:rsidP="00737E18">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1EBD180A" w14:textId="77777777" w:rsidR="00737E18" w:rsidRDefault="00737E18" w:rsidP="00737E18">
      <w:pPr>
        <w:spacing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57500D20" w14:textId="77777777" w:rsidR="00737E18" w:rsidRDefault="00737E18" w:rsidP="00737E18">
      <w:pPr>
        <w:spacing w:after="0" w:line="240" w:lineRule="auto"/>
        <w:jc w:val="both"/>
        <w:rPr>
          <w:rFonts w:ascii="Verdana" w:eastAsia="Times New Roman" w:hAnsi="Verdana" w:cs="Arial"/>
          <w:lang w:eastAsia="es-CO"/>
        </w:rPr>
      </w:pPr>
    </w:p>
    <w:p w14:paraId="35146821" w14:textId="77777777" w:rsidR="00737E18" w:rsidRPr="00B57A1B" w:rsidRDefault="00737E18" w:rsidP="00737E18">
      <w:pPr>
        <w:spacing w:after="120" w:line="276" w:lineRule="auto"/>
        <w:jc w:val="both"/>
        <w:rPr>
          <w:rFonts w:ascii="Verdana" w:eastAsiaTheme="minorEastAsia" w:hAnsi="Verdana" w:cs="Arial"/>
          <w:lang w:eastAsia="es-CO"/>
        </w:rPr>
      </w:pPr>
      <w:r>
        <w:rPr>
          <w:rFonts w:ascii="Verdana" w:eastAsia="Arial" w:hAnsi="Verdana" w:cs="Arial"/>
          <w:lang w:val="es-ES" w:eastAsia="es-ES" w:bidi="es-ES"/>
        </w:rPr>
        <w:t xml:space="preserve">v. </w:t>
      </w:r>
      <w:r w:rsidRPr="00B57A1B">
        <w:rPr>
          <w:rFonts w:ascii="Verdana" w:eastAsiaTheme="minorEastAsia" w:hAnsi="Verdana" w:cs="Arial"/>
          <w:lang w:eastAsia="es-CO"/>
        </w:rPr>
        <w:t xml:space="preserve">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w:t>
      </w:r>
      <w:r w:rsidRPr="00B57A1B">
        <w:rPr>
          <w:rFonts w:ascii="Verdana" w:eastAsiaTheme="minorEastAsia" w:hAnsi="Verdana" w:cs="Arial"/>
          <w:lang w:eastAsia="es-CO"/>
        </w:rPr>
        <w:lastRenderedPageBreak/>
        <w:t>ley, deba adelantarse un procedimiento con pluralidad de oferentes</w:t>
      </w:r>
      <w:r w:rsidRPr="00B57A1B">
        <w:rPr>
          <w:rFonts w:ascii="Verdana" w:eastAsiaTheme="minorEastAsia" w:hAnsi="Verdana" w:cs="Arial"/>
          <w:vertAlign w:val="superscript"/>
          <w:lang w:eastAsia="es-CO"/>
        </w:rPr>
        <w:footnoteReference w:id="38"/>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6AEB9C38" w14:textId="77777777" w:rsidR="00737E18" w:rsidRPr="00B57A1B" w:rsidRDefault="00737E18" w:rsidP="00737E18">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39"/>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6BD4EF33" w14:textId="77777777" w:rsidR="00737E18" w:rsidRPr="00B57A1B" w:rsidRDefault="00737E18" w:rsidP="00737E18">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w:t>
      </w:r>
      <w:r>
        <w:rPr>
          <w:rFonts w:ascii="Verdana" w:eastAsiaTheme="minorEastAsia" w:hAnsi="Verdana" w:cs="Arial"/>
          <w:lang w:eastAsia="es-CO"/>
        </w:rPr>
        <w:t>ante y otra como contratista. En esta línea</w:t>
      </w:r>
      <w:r w:rsidRPr="00B57A1B">
        <w:rPr>
          <w:rFonts w:ascii="Verdana" w:eastAsiaTheme="minorEastAsia" w:hAnsi="Verdana" w:cs="Arial"/>
          <w:lang w:eastAsia="es-CO"/>
        </w:rPr>
        <w:t xml:space="preserve">, la doctrina expresa: </w:t>
      </w:r>
    </w:p>
    <w:p w14:paraId="62E9763B" w14:textId="77777777" w:rsidR="00737E18" w:rsidRPr="00B57A1B" w:rsidRDefault="00737E18" w:rsidP="00737E18">
      <w:pPr>
        <w:spacing w:after="0" w:line="276" w:lineRule="auto"/>
        <w:ind w:firstLine="709"/>
        <w:jc w:val="both"/>
        <w:rPr>
          <w:rFonts w:ascii="Verdana" w:eastAsiaTheme="minorEastAsia" w:hAnsi="Verdana" w:cs="Arial"/>
          <w:lang w:eastAsia="es-CO"/>
        </w:rPr>
      </w:pPr>
    </w:p>
    <w:p w14:paraId="31699545" w14:textId="77777777" w:rsidR="00737E18" w:rsidRPr="000E225C" w:rsidRDefault="00737E18" w:rsidP="00737E18">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3A9037C2" w14:textId="77777777" w:rsidR="00737E18" w:rsidRPr="000E225C" w:rsidRDefault="00737E18" w:rsidP="00737E18">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49B7D016" w14:textId="77777777" w:rsidR="00737E18" w:rsidRPr="000E225C" w:rsidRDefault="00737E18" w:rsidP="00737E18">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lastRenderedPageBreak/>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40"/>
      </w:r>
      <w:r w:rsidRPr="000E225C">
        <w:rPr>
          <w:rFonts w:ascii="Verdana" w:hAnsi="Verdana" w:cs="Weiss"/>
          <w:sz w:val="20"/>
          <w:szCs w:val="19"/>
        </w:rPr>
        <w:t>.</w:t>
      </w:r>
    </w:p>
    <w:p w14:paraId="2BB6C831" w14:textId="77777777" w:rsidR="00737E18" w:rsidRPr="00B57A1B" w:rsidRDefault="00737E18" w:rsidP="00737E18">
      <w:pPr>
        <w:spacing w:after="0" w:line="276" w:lineRule="auto"/>
        <w:jc w:val="both"/>
        <w:rPr>
          <w:rFonts w:ascii="Verdana" w:eastAsiaTheme="minorEastAsia" w:hAnsi="Verdana" w:cs="Arial"/>
          <w:lang w:eastAsia="es-CO"/>
        </w:rPr>
      </w:pPr>
    </w:p>
    <w:p w14:paraId="1E2ABE5E" w14:textId="77777777" w:rsidR="00737E18" w:rsidRPr="00B57A1B" w:rsidRDefault="00737E18" w:rsidP="00737E18">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41"/>
      </w:r>
      <w:r w:rsidRPr="00B57A1B">
        <w:rPr>
          <w:rFonts w:ascii="Verdana" w:eastAsiaTheme="minorEastAsia" w:hAnsi="Verdana" w:cs="Arial"/>
          <w:lang w:eastAsia="es-CO"/>
        </w:rPr>
        <w:t xml:space="preserve">. De esta manera, el Consejo de Estado expresa:  </w:t>
      </w:r>
    </w:p>
    <w:p w14:paraId="68D5E953" w14:textId="77777777" w:rsidR="00737E18" w:rsidRPr="00B57A1B" w:rsidRDefault="00737E18" w:rsidP="00737E18">
      <w:pPr>
        <w:widowControl w:val="0"/>
        <w:autoSpaceDE w:val="0"/>
        <w:autoSpaceDN w:val="0"/>
        <w:spacing w:after="0" w:line="276" w:lineRule="auto"/>
        <w:jc w:val="both"/>
        <w:rPr>
          <w:rFonts w:ascii="Verdana" w:eastAsia="Arial MT" w:hAnsi="Verdana" w:cs="Arial MT"/>
        </w:rPr>
      </w:pPr>
    </w:p>
    <w:p w14:paraId="7164F26F" w14:textId="77777777" w:rsidR="00737E18" w:rsidRPr="000E225C" w:rsidRDefault="00737E18" w:rsidP="00737E18">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48B591FF" w14:textId="77777777" w:rsidR="00737E18" w:rsidRPr="000E225C" w:rsidRDefault="00737E18" w:rsidP="00737E18">
      <w:pPr>
        <w:widowControl w:val="0"/>
        <w:autoSpaceDE w:val="0"/>
        <w:autoSpaceDN w:val="0"/>
        <w:spacing w:after="0" w:line="240" w:lineRule="auto"/>
        <w:ind w:left="709" w:right="709"/>
        <w:jc w:val="both"/>
        <w:rPr>
          <w:rFonts w:ascii="Verdana" w:eastAsia="Arial MT" w:hAnsi="Verdana" w:cs="Arial MT"/>
          <w:sz w:val="20"/>
          <w:szCs w:val="19"/>
        </w:rPr>
      </w:pPr>
    </w:p>
    <w:p w14:paraId="78AEBF45" w14:textId="77777777" w:rsidR="00737E18" w:rsidRPr="000E225C" w:rsidRDefault="00737E18" w:rsidP="00737E18">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w:t>
      </w:r>
      <w:r w:rsidRPr="000E225C">
        <w:rPr>
          <w:rFonts w:ascii="Verdana" w:eastAsia="Arial MT" w:hAnsi="Verdana" w:cs="Arial MT"/>
          <w:i/>
          <w:iCs/>
          <w:sz w:val="20"/>
          <w:szCs w:val="19"/>
        </w:rPr>
        <w:lastRenderedPageBreak/>
        <w:t xml:space="preserve">que la regulación del EGCAP y del derecho privado sea de aplicación supletoria, esto es, solo en la medida en que exista una verdadera laguna o falta de regulación normativa y/o convencional. </w:t>
      </w:r>
    </w:p>
    <w:p w14:paraId="62ECBFE3" w14:textId="77777777" w:rsidR="00737E18" w:rsidRPr="000E225C" w:rsidRDefault="00737E18" w:rsidP="00737E18">
      <w:pPr>
        <w:widowControl w:val="0"/>
        <w:autoSpaceDE w:val="0"/>
        <w:autoSpaceDN w:val="0"/>
        <w:spacing w:after="0" w:line="240" w:lineRule="auto"/>
        <w:ind w:left="709" w:right="709"/>
        <w:jc w:val="both"/>
        <w:rPr>
          <w:rFonts w:ascii="Verdana" w:eastAsia="Arial MT" w:hAnsi="Verdana" w:cs="Arial MT"/>
          <w:sz w:val="20"/>
          <w:szCs w:val="19"/>
        </w:rPr>
      </w:pPr>
    </w:p>
    <w:p w14:paraId="2F8A5131" w14:textId="77777777" w:rsidR="00737E18" w:rsidRPr="000E225C" w:rsidRDefault="00737E18" w:rsidP="00737E18">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42"/>
      </w:r>
      <w:r w:rsidRPr="000E225C">
        <w:rPr>
          <w:rFonts w:ascii="Verdana" w:eastAsia="Arial MT" w:hAnsi="Verdana" w:cs="Arial MT"/>
          <w:i/>
          <w:iCs/>
          <w:sz w:val="20"/>
          <w:szCs w:val="19"/>
        </w:rPr>
        <w:t>.</w:t>
      </w:r>
    </w:p>
    <w:p w14:paraId="68598397" w14:textId="77777777" w:rsidR="00737E18" w:rsidRPr="00B57A1B" w:rsidRDefault="00737E18" w:rsidP="00737E18">
      <w:pPr>
        <w:spacing w:after="0" w:line="276" w:lineRule="auto"/>
        <w:ind w:firstLine="709"/>
        <w:jc w:val="both"/>
        <w:rPr>
          <w:rFonts w:ascii="Verdana" w:eastAsiaTheme="minorEastAsia" w:hAnsi="Verdana" w:cs="Arial"/>
          <w:lang w:val="es-ES" w:eastAsia="es-CO"/>
        </w:rPr>
      </w:pPr>
    </w:p>
    <w:p w14:paraId="4D1A19F0" w14:textId="77777777" w:rsidR="00737E18" w:rsidRDefault="00737E18" w:rsidP="00737E18">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De lo expuesto, se encuentra que l</w:t>
      </w:r>
      <w:r w:rsidRPr="00771E47">
        <w:rPr>
          <w:rFonts w:ascii="Verdana" w:eastAsiaTheme="minorEastAsia" w:hAnsi="Verdana" w:cs="Arial"/>
          <w:lang w:eastAsia="es-CO"/>
        </w:rPr>
        <w:t xml:space="preserve">os convenios interadministrativos, previstos en el artículo 95 de la Ley 489 de 1998, son instrumentos de cooperación que buscan la coordinación entre entidades públicas para alcanzar fines comunes de carácter administrativo y social. Su naturaleza se distingue por la finalidad asociativa, pues no persiguen la adquisición de bienes o servicios como los contratos estatales tradicionales, sino la articulación de esfuerzos, capacidades y recursos. </w:t>
      </w:r>
    </w:p>
    <w:p w14:paraId="7D61DD1B" w14:textId="77777777" w:rsidR="00737E18" w:rsidRDefault="00737E18" w:rsidP="00737E18">
      <w:pPr>
        <w:spacing w:after="0" w:line="276" w:lineRule="auto"/>
        <w:jc w:val="both"/>
        <w:rPr>
          <w:rFonts w:ascii="Verdana" w:eastAsiaTheme="minorEastAsia" w:hAnsi="Verdana" w:cs="Arial"/>
          <w:lang w:eastAsia="es-CO"/>
        </w:rPr>
      </w:pPr>
    </w:p>
    <w:p w14:paraId="2E6C5B9B" w14:textId="77777777" w:rsidR="00737E18" w:rsidRDefault="00737E18" w:rsidP="00737E18">
      <w:pPr>
        <w:spacing w:after="120" w:line="276" w:lineRule="auto"/>
        <w:jc w:val="both"/>
        <w:rPr>
          <w:rFonts w:ascii="Verdana" w:eastAsia="Times New Roman" w:hAnsi="Verdana" w:cs="Arial"/>
          <w:bCs/>
          <w:lang w:eastAsia="es-CO"/>
        </w:rPr>
      </w:pPr>
      <w:r>
        <w:rPr>
          <w:rFonts w:ascii="Verdana" w:eastAsiaTheme="minorEastAsia" w:hAnsi="Verdana" w:cs="Arial"/>
          <w:lang w:eastAsia="es-CO"/>
        </w:rPr>
        <w:t xml:space="preserve">vi. El Programa de Alimentación es definido así: [...] </w:t>
      </w:r>
      <w:r w:rsidRPr="008C383D">
        <w:rPr>
          <w:rFonts w:ascii="Verdana" w:eastAsia="Times New Roman" w:hAnsi="Verdana" w:cs="Arial"/>
          <w:bCs/>
          <w:lang w:eastAsia="es-CO"/>
        </w:rPr>
        <w:t>estrategia estatal que promueve el acceso con permanencia de los niños, niñas, adolescentes y jóvenes en el sistema educativo oficial, a través del suministro de un complemento alimentario durante la jornada escolar, para mantener los niveles de atención, impactar de forma positiva los procesos de aprendizaje, el desarrollo cognitivo, disminuir el ausentismo y la deserción y fomentar estilos de vida saludables</w:t>
      </w:r>
      <w:r>
        <w:rPr>
          <w:rFonts w:ascii="Verdana" w:eastAsia="Times New Roman" w:hAnsi="Verdana" w:cs="Arial"/>
          <w:bCs/>
          <w:lang w:eastAsia="es-CO"/>
        </w:rPr>
        <w:t xml:space="preserve">” –artículo </w:t>
      </w:r>
      <w:r w:rsidRPr="00077D14">
        <w:rPr>
          <w:rFonts w:ascii="Verdana" w:eastAsia="Times New Roman" w:hAnsi="Verdana" w:cs="Arial"/>
          <w:bCs/>
          <w:lang w:eastAsia="es-CO"/>
        </w:rPr>
        <w:t>2.3.10.2.1</w:t>
      </w:r>
      <w:r>
        <w:rPr>
          <w:rFonts w:ascii="Verdana" w:eastAsia="Times New Roman" w:hAnsi="Verdana" w:cs="Arial"/>
          <w:bCs/>
          <w:lang w:eastAsia="es-CO"/>
        </w:rPr>
        <w:t xml:space="preserve"> del Decreto 1075 de 2015 adicionado por el Decreto 1852 de 2015</w:t>
      </w:r>
      <w:r w:rsidRPr="00077D14">
        <w:rPr>
          <w:rFonts w:ascii="Verdana" w:eastAsia="Times New Roman" w:hAnsi="Verdana" w:cs="Arial"/>
          <w:bCs/>
          <w:lang w:eastAsia="es-CO"/>
        </w:rPr>
        <w:t>-.</w:t>
      </w:r>
      <w:r>
        <w:rPr>
          <w:rFonts w:ascii="Verdana" w:eastAsia="Times New Roman" w:hAnsi="Verdana" w:cs="Arial"/>
          <w:bCs/>
          <w:lang w:eastAsia="es-CO"/>
        </w:rPr>
        <w:t xml:space="preserve"> Teniendo en cuenta esta definición, se precisa que dicha estrategia se basa en la corresponsabilidad </w:t>
      </w:r>
      <w:r w:rsidRPr="001156CB">
        <w:rPr>
          <w:rFonts w:ascii="Verdana" w:eastAsia="Times New Roman" w:hAnsi="Verdana" w:cs="Arial"/>
          <w:bCs/>
          <w:lang w:eastAsia="es-CO"/>
        </w:rPr>
        <w:t>en el Programa de Alimentación Escolar (PAE)</w:t>
      </w:r>
      <w:r>
        <w:rPr>
          <w:rFonts w:ascii="Verdana" w:eastAsia="Times New Roman" w:hAnsi="Verdana" w:cs="Arial"/>
          <w:bCs/>
          <w:lang w:eastAsia="es-CO"/>
        </w:rPr>
        <w:t>, el cual</w:t>
      </w:r>
      <w:r w:rsidRPr="001156CB">
        <w:rPr>
          <w:rFonts w:ascii="Verdana" w:eastAsia="Times New Roman" w:hAnsi="Verdana" w:cs="Arial"/>
          <w:bCs/>
          <w:lang w:eastAsia="es-CO"/>
        </w:rPr>
        <w:t xml:space="preserve"> se refiere a la participación conjunta y coordinada del Estado, la sociedad y la familia para garantizar su correcta y oportuna ejecución. El Estado lidera el cumplimiento del programa, pero necesita del compromiso activo de los demás actores sociales, quienes deben aportar desde sus funciones y </w:t>
      </w:r>
      <w:r w:rsidRPr="001156CB">
        <w:rPr>
          <w:rFonts w:ascii="Verdana" w:eastAsia="Times New Roman" w:hAnsi="Verdana" w:cs="Arial"/>
          <w:bCs/>
          <w:lang w:eastAsia="es-CO"/>
        </w:rPr>
        <w:lastRenderedPageBreak/>
        <w:t>responsabilidades. En este marco, la familia, como primer espacio de socialización, cumple un papel fundamental en la protección y garantía de los derechos de niños, niñas, adolescentes y jóvenes, contando con el apoyo solidario de la sociedad para asegurar su bienestar y desarrollo integral.</w:t>
      </w:r>
      <w:r>
        <w:rPr>
          <w:rFonts w:ascii="Verdana" w:eastAsia="Times New Roman" w:hAnsi="Verdana" w:cs="Arial"/>
          <w:bCs/>
          <w:lang w:eastAsia="es-CO"/>
        </w:rPr>
        <w:t xml:space="preserve"> </w:t>
      </w:r>
    </w:p>
    <w:p w14:paraId="0E031A76" w14:textId="77777777" w:rsidR="00737E18" w:rsidRPr="00FB3A0F" w:rsidRDefault="00737E18" w:rsidP="00737E18">
      <w:pPr>
        <w:spacing w:after="120" w:line="276" w:lineRule="auto"/>
        <w:ind w:firstLine="708"/>
        <w:jc w:val="both"/>
        <w:rPr>
          <w:rFonts w:ascii="Verdana" w:hAnsi="Verdana" w:cs="Arial"/>
          <w:bCs/>
        </w:rPr>
      </w:pPr>
      <w:r>
        <w:rPr>
          <w:rFonts w:ascii="Verdana" w:eastAsia="Times New Roman" w:hAnsi="Verdana" w:cs="Arial"/>
          <w:bCs/>
          <w:lang w:eastAsia="es-CO"/>
        </w:rPr>
        <w:t xml:space="preserve">Ahora bien, para garantizar dicha estrategia y corresponsabilidad, es pertinente tener en cuenta como se entiende por parte del Decreto 1852 de 2019 </w:t>
      </w:r>
      <w:r w:rsidRPr="008A2CD2">
        <w:rPr>
          <w:rFonts w:ascii="Verdana" w:eastAsia="Times New Roman" w:hAnsi="Verdana" w:cs="Arial"/>
          <w:bCs/>
          <w:lang w:eastAsia="es-CO"/>
        </w:rPr>
        <w:t>“por el cual se adiciona el Decreto número 1075 de 2015 Único Reglamentario del Sector Educación, para reglamentar el parágrafo 4° del artículo 136 de la Ley 1450 de 2011, el numeral 20 del artículo 6° de la Ley 1551 de 2012, el parágrafo 2° del artículo 2° de la Ley 715 de 2001 y los artículos 16, 17, 18 y 19 de la Ley 1176 de 2007, en lo referente al Programa de Alimentación Escolar (PAE)” ciertas instituciones como</w:t>
      </w:r>
      <w:r>
        <w:rPr>
          <w:rFonts w:ascii="Verdana" w:eastAsia="Times New Roman" w:hAnsi="Verdana" w:cs="Arial"/>
          <w:b/>
          <w:bCs/>
          <w:lang w:eastAsia="es-CO"/>
        </w:rPr>
        <w:t xml:space="preserve"> </w:t>
      </w:r>
      <w:r>
        <w:rPr>
          <w:rFonts w:ascii="Verdana" w:eastAsia="Times New Roman" w:hAnsi="Verdana" w:cs="Arial"/>
          <w:bCs/>
          <w:lang w:eastAsia="es-CO"/>
        </w:rPr>
        <w:t>las fuentes de financiamiento, la bolsa común, los lineamientos técnico-administrativos del Ministerio de Educación y el Operador del PAE</w:t>
      </w:r>
      <w:r>
        <w:rPr>
          <w:rStyle w:val="Refdenotaalpie"/>
          <w:rFonts w:ascii="Verdana" w:eastAsia="Times New Roman" w:hAnsi="Verdana" w:cs="Arial"/>
          <w:bCs/>
          <w:lang w:eastAsia="es-CO"/>
        </w:rPr>
        <w:footnoteReference w:id="43"/>
      </w:r>
      <w:r>
        <w:rPr>
          <w:rFonts w:ascii="Verdana" w:eastAsia="Times New Roman" w:hAnsi="Verdana" w:cs="Arial"/>
          <w:bCs/>
          <w:lang w:eastAsia="es-CO"/>
        </w:rPr>
        <w:t xml:space="preserve">. </w:t>
      </w:r>
      <w:r>
        <w:rPr>
          <w:rFonts w:ascii="Verdana" w:hAnsi="Verdana" w:cs="Arial"/>
          <w:bCs/>
        </w:rPr>
        <w:t>En referencia a las</w:t>
      </w:r>
      <w:r w:rsidRPr="00FB3A0F">
        <w:rPr>
          <w:rFonts w:ascii="Verdana" w:hAnsi="Verdana" w:cs="Arial"/>
          <w:bCs/>
        </w:rPr>
        <w:t xml:space="preserve"> fuentes de financiamiento del PAE </w:t>
      </w:r>
      <w:r w:rsidRPr="00FB3A0F">
        <w:rPr>
          <w:rFonts w:ascii="Verdana" w:hAnsi="Verdana" w:cs="Arial"/>
          <w:bCs/>
        </w:rPr>
        <w:lastRenderedPageBreak/>
        <w:t xml:space="preserve">comprenden todos los recursos públicos y privados destinados a garantizar la prestación del programa, los cuales son administrados y coordinados por las entidades territoriales. Estos recursos se integran bajo el esquema de </w:t>
      </w:r>
      <w:r w:rsidRPr="008A2CD2">
        <w:rPr>
          <w:rFonts w:ascii="Verdana" w:hAnsi="Verdana" w:cs="Arial"/>
          <w:bCs/>
        </w:rPr>
        <w:t>bolsa común,</w:t>
      </w:r>
      <w:r w:rsidRPr="00FB3A0F">
        <w:rPr>
          <w:rFonts w:ascii="Verdana" w:hAnsi="Verdana" w:cs="Arial"/>
          <w:bCs/>
        </w:rPr>
        <w:t xml:space="preserve"> que permite la ejecución unificada y articulada de los aporte</w:t>
      </w:r>
      <w:r>
        <w:rPr>
          <w:rFonts w:ascii="Verdana" w:hAnsi="Verdana" w:cs="Arial"/>
          <w:bCs/>
        </w:rPr>
        <w:t>s realizados por la Nación y las entidades territoriales</w:t>
      </w:r>
      <w:r w:rsidRPr="00FB3A0F">
        <w:rPr>
          <w:rFonts w:ascii="Verdana" w:hAnsi="Verdana" w:cs="Arial"/>
          <w:bCs/>
        </w:rPr>
        <w:t>. Este mecanismo asegura una inversión coordinada, eficiente y alineada con la normativa vigente y los objetivos del programa, optimizando el uso de los recursos disponibles para garantizar el derecho a la alimentación escolar.</w:t>
      </w:r>
    </w:p>
    <w:p w14:paraId="281AC97B" w14:textId="77777777" w:rsidR="00737E18" w:rsidRPr="00FB3A0F" w:rsidRDefault="00737E18" w:rsidP="00737E18">
      <w:pPr>
        <w:spacing w:after="120" w:line="276" w:lineRule="auto"/>
        <w:ind w:firstLine="708"/>
        <w:jc w:val="both"/>
        <w:rPr>
          <w:rFonts w:ascii="Verdana" w:eastAsia="Times New Roman" w:hAnsi="Verdana" w:cs="Arial"/>
          <w:bCs/>
          <w:lang w:eastAsia="es-CO"/>
        </w:rPr>
      </w:pPr>
      <w:r w:rsidRPr="00FB3A0F">
        <w:rPr>
          <w:rFonts w:ascii="Verdana" w:eastAsia="Times New Roman" w:hAnsi="Verdana" w:cs="Arial"/>
          <w:bCs/>
          <w:lang w:eastAsia="es-CO"/>
        </w:rPr>
        <w:t xml:space="preserve">Por su parte, los </w:t>
      </w:r>
      <w:r w:rsidRPr="008A2CD2">
        <w:rPr>
          <w:rFonts w:ascii="Verdana" w:eastAsia="Times New Roman" w:hAnsi="Verdana" w:cs="Arial"/>
          <w:bCs/>
          <w:lang w:eastAsia="es-CO"/>
        </w:rPr>
        <w:t>Lineamientos Técnicos-Administrativos</w:t>
      </w:r>
      <w:r w:rsidRPr="00FB3A0F">
        <w:rPr>
          <w:rFonts w:ascii="Verdana" w:eastAsia="Times New Roman" w:hAnsi="Verdana" w:cs="Arial"/>
          <w:bCs/>
          <w:lang w:eastAsia="es-CO"/>
        </w:rPr>
        <w:t xml:space="preserve">, definidos por el Ministerio de Educación Nacional, establecen los requisitos mínimos técnicos y administrativos que deben cumplir todos los actores y operadores del PAE para asegurar un servicio de calidad. Estos lineamientos contemplan ajustes diferenciales para las instituciones educativas ubicadas en comunidades indígenas y grupos étnicos, respetando sus usos y costumbres, siempre que no contravengan la Constitución y la ley. Finalmente, el </w:t>
      </w:r>
      <w:r w:rsidRPr="008A2CD2">
        <w:rPr>
          <w:rFonts w:ascii="Verdana" w:eastAsia="Times New Roman" w:hAnsi="Verdana" w:cs="Arial"/>
          <w:bCs/>
          <w:lang w:eastAsia="es-CO"/>
        </w:rPr>
        <w:t>operador del PAE</w:t>
      </w:r>
      <w:r w:rsidRPr="00FB3A0F">
        <w:rPr>
          <w:rFonts w:ascii="Verdana" w:eastAsia="Times New Roman" w:hAnsi="Verdana" w:cs="Arial"/>
          <w:bCs/>
          <w:lang w:eastAsia="es-CO"/>
        </w:rPr>
        <w:t xml:space="preserve"> es la persona o entidad contratada para prestar el servicio de alimentación escolar, responsable de entregar el complemento alimentario a los estudiantes beneficiarios</w:t>
      </w:r>
      <w:r>
        <w:rPr>
          <w:rFonts w:ascii="Verdana" w:eastAsia="Times New Roman" w:hAnsi="Verdana" w:cs="Arial"/>
          <w:bCs/>
          <w:lang w:eastAsia="es-CO"/>
        </w:rPr>
        <w:t>,</w:t>
      </w:r>
      <w:r w:rsidRPr="00FB3A0F">
        <w:rPr>
          <w:rFonts w:ascii="Verdana" w:eastAsia="Times New Roman" w:hAnsi="Verdana" w:cs="Arial"/>
          <w:bCs/>
          <w:lang w:eastAsia="es-CO"/>
        </w:rPr>
        <w:t xml:space="preserve"> conforme a lo establecido en los lineamientos oficiales y a las obligaciones contractuales.</w:t>
      </w:r>
    </w:p>
    <w:p w14:paraId="26B03865" w14:textId="77777777" w:rsidR="00737E18" w:rsidRDefault="00737E18" w:rsidP="00737E18">
      <w:pPr>
        <w:spacing w:after="120" w:line="276" w:lineRule="auto"/>
        <w:ind w:firstLine="708"/>
        <w:jc w:val="both"/>
        <w:rPr>
          <w:rFonts w:ascii="Verdana" w:eastAsia="Calibri" w:hAnsi="Verdana" w:cs="Arial"/>
          <w:bCs/>
          <w:color w:val="000000" w:themeColor="text1"/>
        </w:rPr>
      </w:pPr>
      <w:r>
        <w:rPr>
          <w:rFonts w:ascii="Verdana" w:eastAsia="Times New Roman" w:hAnsi="Verdana" w:cs="Arial"/>
          <w:bCs/>
          <w:lang w:eastAsia="es-CO"/>
        </w:rPr>
        <w:t xml:space="preserve">En torno a esta estrategia estatal, el artículo </w:t>
      </w:r>
      <w:r w:rsidRPr="009D0BD0">
        <w:rPr>
          <w:rFonts w:ascii="Verdana" w:eastAsia="Calibri" w:hAnsi="Verdana" w:cs="Arial"/>
          <w:bCs/>
          <w:color w:val="000000" w:themeColor="text1"/>
        </w:rPr>
        <w:t>2.3.10.3.2. del Decreto</w:t>
      </w:r>
      <w:r>
        <w:rPr>
          <w:rFonts w:ascii="Verdana" w:eastAsia="Calibri" w:hAnsi="Verdana" w:cs="Arial"/>
          <w:b/>
          <w:bCs/>
          <w:color w:val="000000" w:themeColor="text1"/>
        </w:rPr>
        <w:t xml:space="preserve"> </w:t>
      </w:r>
      <w:r w:rsidRPr="009D0BD0">
        <w:rPr>
          <w:rFonts w:ascii="Verdana" w:eastAsia="Calibri" w:hAnsi="Verdana" w:cs="Arial"/>
          <w:bCs/>
          <w:color w:val="000000" w:themeColor="text1"/>
        </w:rPr>
        <w:t>1075 de 2015 adicionado por el Decreto 1852 de 2019 prescribe que el</w:t>
      </w:r>
      <w:r w:rsidRPr="00EC1DAC">
        <w:rPr>
          <w:rFonts w:ascii="Verdana" w:eastAsia="Calibri" w:hAnsi="Verdana" w:cs="Arial"/>
          <w:bCs/>
          <w:color w:val="000000" w:themeColor="text1"/>
        </w:rPr>
        <w:t xml:space="preserve"> Ministerio de Educación Nacional determinará los criterios para distribuir los recursos de la Nación y </w:t>
      </w:r>
      <w:r>
        <w:rPr>
          <w:rFonts w:ascii="Verdana" w:eastAsia="Calibri" w:hAnsi="Verdana" w:cs="Arial"/>
          <w:bCs/>
          <w:color w:val="000000" w:themeColor="text1"/>
        </w:rPr>
        <w:t xml:space="preserve">ejecutará </w:t>
      </w:r>
      <w:r w:rsidRPr="00EC1DAC">
        <w:rPr>
          <w:rFonts w:ascii="Verdana" w:eastAsia="Calibri" w:hAnsi="Verdana" w:cs="Arial"/>
          <w:bCs/>
          <w:color w:val="000000" w:themeColor="text1"/>
        </w:rPr>
        <w:t>las actividades institucionales necesarias para transferirlos a las entidades territoriales, con el fin de que estas, como responsables del servicio educativo en su jurisdicción y de la ejecución del PAE, realicen la implementación, financ</w:t>
      </w:r>
      <w:r>
        <w:rPr>
          <w:rFonts w:ascii="Verdana" w:eastAsia="Calibri" w:hAnsi="Verdana" w:cs="Arial"/>
          <w:bCs/>
          <w:color w:val="000000" w:themeColor="text1"/>
        </w:rPr>
        <w:t>iación y ejecución del programa, conforme a</w:t>
      </w:r>
      <w:r w:rsidRPr="00EC1DAC">
        <w:rPr>
          <w:rFonts w:ascii="Verdana" w:eastAsia="Calibri" w:hAnsi="Verdana" w:cs="Arial"/>
          <w:bCs/>
          <w:color w:val="000000" w:themeColor="text1"/>
        </w:rPr>
        <w:t xml:space="preserve"> los lineamientos del Minist</w:t>
      </w:r>
      <w:r>
        <w:rPr>
          <w:rFonts w:ascii="Verdana" w:eastAsia="Calibri" w:hAnsi="Verdana" w:cs="Arial"/>
          <w:bCs/>
          <w:color w:val="000000" w:themeColor="text1"/>
        </w:rPr>
        <w:t>erio y las necesidades locales. Para la ejecución del PAE, es posible de manera excepcional que el Ministerio de Educación podrá ejecutar los recursos del Presupuesto General de la Nación en determinados supuestos:</w:t>
      </w:r>
      <w:r w:rsidRPr="003E0A60">
        <w:rPr>
          <w:rFonts w:ascii="Segoe UI" w:eastAsia="Times New Roman" w:hAnsi="Segoe UI" w:cs="Segoe UI"/>
          <w:sz w:val="21"/>
          <w:szCs w:val="21"/>
        </w:rPr>
        <w:t xml:space="preserve"> </w:t>
      </w:r>
      <w:r>
        <w:rPr>
          <w:rFonts w:ascii="Segoe UI" w:eastAsia="Times New Roman" w:hAnsi="Segoe UI" w:cs="Segoe UI"/>
          <w:sz w:val="21"/>
          <w:szCs w:val="21"/>
        </w:rPr>
        <w:t xml:space="preserve">i) </w:t>
      </w:r>
      <w:r w:rsidRPr="003E0A60">
        <w:rPr>
          <w:rFonts w:ascii="Verdana" w:eastAsia="Calibri" w:hAnsi="Verdana" w:cs="Arial"/>
          <w:bCs/>
          <w:color w:val="000000" w:themeColor="text1"/>
        </w:rPr>
        <w:t xml:space="preserve">Cuando en un territorio o región se presenten situaciones excepcionales como calamidad pública, desastre, emergencia grave, fuerza mayor, caso fortuito o </w:t>
      </w:r>
      <w:r>
        <w:rPr>
          <w:rFonts w:ascii="Verdana" w:eastAsia="Calibri" w:hAnsi="Verdana" w:cs="Arial"/>
          <w:bCs/>
          <w:color w:val="000000" w:themeColor="text1"/>
        </w:rPr>
        <w:t xml:space="preserve">ii) </w:t>
      </w:r>
      <w:r w:rsidRPr="003E0A60">
        <w:rPr>
          <w:rFonts w:ascii="Verdana" w:eastAsia="Calibri" w:hAnsi="Verdana" w:cs="Arial"/>
          <w:bCs/>
          <w:color w:val="000000" w:themeColor="text1"/>
        </w:rPr>
        <w:t xml:space="preserve">hechos sobrevinientes que generen una grave perturbación del orden público, y que impidan de manera temporal a las entidades territoriales la suscripción y/o ejecución de los contratos del Programa de Alimentación Escolar (PAE) para estudiantes en clase, el Ministerio de Educación Nacional podrá asumir la </w:t>
      </w:r>
      <w:r w:rsidRPr="003E0A60">
        <w:rPr>
          <w:rFonts w:ascii="Verdana" w:eastAsia="Calibri" w:hAnsi="Verdana" w:cs="Arial"/>
          <w:bCs/>
          <w:color w:val="000000" w:themeColor="text1"/>
        </w:rPr>
        <w:lastRenderedPageBreak/>
        <w:t>ejecución de los recursos durante el tiempo que persista dicha imposibilidad, mediante la celebración de contratos de aporte</w:t>
      </w:r>
      <w:r>
        <w:rPr>
          <w:rFonts w:ascii="Verdana" w:eastAsia="Calibri" w:hAnsi="Verdana" w:cs="Arial"/>
          <w:bCs/>
          <w:color w:val="000000" w:themeColor="text1"/>
        </w:rPr>
        <w:t>,</w:t>
      </w:r>
      <w:r w:rsidRPr="003E0A60">
        <w:rPr>
          <w:rFonts w:ascii="Verdana" w:eastAsia="Calibri" w:hAnsi="Verdana" w:cs="Arial"/>
          <w:bCs/>
          <w:color w:val="000000" w:themeColor="text1"/>
        </w:rPr>
        <w:t xml:space="preserve"> conforme a lo establecido en el artículo 2.4.</w:t>
      </w:r>
      <w:r>
        <w:rPr>
          <w:rFonts w:ascii="Verdana" w:eastAsia="Calibri" w:hAnsi="Verdana" w:cs="Arial"/>
          <w:bCs/>
          <w:color w:val="000000" w:themeColor="text1"/>
        </w:rPr>
        <w:t xml:space="preserve">3.2.9 del Decreto 1084 de 2015. </w:t>
      </w:r>
    </w:p>
    <w:p w14:paraId="517043D2" w14:textId="77777777" w:rsidR="00737E18" w:rsidRPr="0072640F" w:rsidRDefault="00737E18" w:rsidP="00737E18">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Para entender un poco más sobre la articulación y estrategias para una ejecución del PAE por parte de entidades territoriales, la Nación y demás actores, es pertinente tener en cuenta “los</w:t>
      </w:r>
      <w:r w:rsidRPr="003E0A60">
        <w:rPr>
          <w:rFonts w:ascii="Verdana" w:eastAsia="Calibri" w:hAnsi="Verdana" w:cs="Arial"/>
          <w:bCs/>
          <w:color w:val="000000" w:themeColor="text1"/>
        </w:rPr>
        <w:t xml:space="preserve"> Lineamientos Técnicos – Administrativos, los Estándares y las Condiciones Mínimas que deben cumplir todos los actores para la operación del Programa de Alimentación Escolar </w:t>
      </w:r>
      <w:r>
        <w:rPr>
          <w:rFonts w:ascii="Verdana" w:eastAsia="Calibri" w:hAnsi="Verdana" w:cs="Arial"/>
          <w:bCs/>
          <w:color w:val="000000" w:themeColor="text1"/>
        </w:rPr>
        <w:t>–</w:t>
      </w:r>
      <w:r w:rsidRPr="003E0A60">
        <w:rPr>
          <w:rFonts w:ascii="Verdana" w:eastAsia="Calibri" w:hAnsi="Verdana" w:cs="Arial"/>
          <w:bCs/>
          <w:color w:val="000000" w:themeColor="text1"/>
        </w:rPr>
        <w:t xml:space="preserve"> PAE</w:t>
      </w:r>
      <w:r>
        <w:rPr>
          <w:rFonts w:ascii="Verdana" w:eastAsia="Calibri" w:hAnsi="Verdana" w:cs="Arial"/>
          <w:bCs/>
          <w:color w:val="000000" w:themeColor="text1"/>
        </w:rPr>
        <w:t>”, regulada en la Resolución</w:t>
      </w:r>
      <w:r w:rsidRPr="003E0A60">
        <w:rPr>
          <w:rFonts w:ascii="Verdana" w:eastAsia="Calibri" w:hAnsi="Verdana" w:cs="Arial"/>
          <w:b/>
          <w:bCs/>
          <w:color w:val="000000" w:themeColor="text1"/>
        </w:rPr>
        <w:t xml:space="preserve"> </w:t>
      </w:r>
      <w:r w:rsidRPr="003E0A60">
        <w:rPr>
          <w:rFonts w:ascii="Verdana" w:eastAsia="Calibri" w:hAnsi="Verdana" w:cs="Arial"/>
          <w:bCs/>
          <w:color w:val="000000" w:themeColor="text1"/>
        </w:rPr>
        <w:t>No. 0003 del 07 de enero 2026</w:t>
      </w:r>
      <w:r>
        <w:rPr>
          <w:rFonts w:ascii="Verdana" w:eastAsia="Calibri" w:hAnsi="Verdana" w:cs="Arial"/>
          <w:bCs/>
          <w:color w:val="000000" w:themeColor="text1"/>
        </w:rPr>
        <w:t>. Para ello, hay que tener en cuenta que para la ejecución del PAE existen Entidades Territoriales Certificadas y Entidades No Territoriales No Certificadas. Al respecto, el artículo 10 numeral 3 prescribe que l</w:t>
      </w:r>
      <w:r w:rsidRPr="0072640F">
        <w:rPr>
          <w:rFonts w:ascii="Verdana" w:eastAsia="Calibri" w:hAnsi="Verdana" w:cs="Arial"/>
          <w:bCs/>
          <w:color w:val="000000" w:themeColor="text1"/>
        </w:rPr>
        <w:t>as Entidades Territoriales Certificadas (ETC) son las responsables principales de la planeación, ejecución y supervisión del Programa de Alimentación Escolar (PAE) en su jurisdicción, con el propósito de garantizar la prestación continua y oportuna del servicio durante todo el calendario escolar, conforme a los lineamientos establecidos. Su gestión contribuye al acceso, la permanencia, la reducción del ausentismo y el bienestar de niñas, niños, adolescentes y jóvenes, e incluye la adecuada contratación de operadores, el aseguramiento de condiciones logísticas e infraestructurales, la entrega oportuna de información, la promoción de la participación ciudadana y la administración de los recursos de cofinanciación, así como la constitución de la bolsa común en coordinación con las Entidades Territoriales no Certificadas, para asegurar la sostenibilidad y cobertura del programa.</w:t>
      </w:r>
    </w:p>
    <w:p w14:paraId="5AE6B3EB" w14:textId="77777777" w:rsidR="00737E18" w:rsidRPr="0072640F" w:rsidRDefault="00737E18" w:rsidP="00737E18">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Para ampliar un poco sobre las reglas del Sistema de Compras Públicas del PAE, es necesario acudir al Anexo No 2 “Estructuración y Contratación” de los Lineamientos precitados. En este anexo, se señala que en el momento de contratar por parte de la entidad territorial se exige un proceso de planeación </w:t>
      </w:r>
      <w:r w:rsidRPr="0072640F">
        <w:rPr>
          <w:rFonts w:ascii="Verdana" w:eastAsia="Calibri" w:hAnsi="Verdana" w:cs="Arial"/>
          <w:bCs/>
          <w:color w:val="000000" w:themeColor="text1"/>
        </w:rPr>
        <w:t>integral y oportuna, orientada a garantizar un servicio eficiente, continuo, inocuo, transparente y con enfoque diferencial. Este proceso exige contar con el Plan Operativo Anual del PAE aprobado por el CTPS y formalizado mediante acto administrativo, verificar la disponibilidad presupuestal y elaborar los estudios previos que sustenten la necesidad de contratación. Asimismo, implica definir objetivos, metas, estrategias, perfil del operador, requisitos habilitantes, criterios de evaluación y el análisis de riesgos con su respectivo plan de manejo.</w:t>
      </w:r>
    </w:p>
    <w:p w14:paraId="5F911609" w14:textId="77777777" w:rsidR="00737E18" w:rsidRPr="0072640F" w:rsidRDefault="00737E18" w:rsidP="00737E18">
      <w:pPr>
        <w:spacing w:after="120" w:line="276" w:lineRule="auto"/>
        <w:ind w:firstLine="708"/>
        <w:jc w:val="both"/>
        <w:rPr>
          <w:rFonts w:ascii="Verdana" w:eastAsia="Calibri" w:hAnsi="Verdana" w:cs="Arial"/>
          <w:bCs/>
          <w:color w:val="000000" w:themeColor="text1"/>
        </w:rPr>
      </w:pPr>
      <w:r w:rsidRPr="0072640F">
        <w:rPr>
          <w:rFonts w:ascii="Verdana" w:eastAsia="Calibri" w:hAnsi="Verdana" w:cs="Arial"/>
          <w:bCs/>
          <w:color w:val="000000" w:themeColor="text1"/>
        </w:rPr>
        <w:lastRenderedPageBreak/>
        <w:t>Cuando el programa se financie total o parcialmente con recursos del Sis</w:t>
      </w:r>
      <w:r>
        <w:rPr>
          <w:rFonts w:ascii="Verdana" w:eastAsia="Calibri" w:hAnsi="Verdana" w:cs="Arial"/>
          <w:bCs/>
          <w:color w:val="000000" w:themeColor="text1"/>
        </w:rPr>
        <w:t>tema General de Regalías, la Entidad Territorial Certificada</w:t>
      </w:r>
      <w:r w:rsidRPr="0072640F">
        <w:rPr>
          <w:rFonts w:ascii="Verdana" w:eastAsia="Calibri" w:hAnsi="Verdana" w:cs="Arial"/>
          <w:bCs/>
          <w:color w:val="000000" w:themeColor="text1"/>
        </w:rPr>
        <w:t xml:space="preserve"> debe formular y viabilizar el proyecto conforme a la normativa vigente, cumpliendo los requisitos sectoriales antes de iniciar el proceso de selección. De igual forma, debe elaborar y publicar el Plan Anual de Adquisiciones en el SECOP y estructurar un cronograma contractual que permita la selección, adjudicación, perfeccionamiento y alistamiento del contrato antes del inicio del calendario académico, asegurando la prestación continua del servicio desde el primer día de clases y la coordinación de los cronogramas cuando existan múltiples procesos contractuales.</w:t>
      </w:r>
    </w:p>
    <w:p w14:paraId="5C07450A" w14:textId="77777777" w:rsidR="00737E18" w:rsidRDefault="00737E18" w:rsidP="00737E18">
      <w:pPr>
        <w:spacing w:after="120" w:line="276" w:lineRule="auto"/>
        <w:ind w:firstLine="708"/>
        <w:jc w:val="both"/>
        <w:rPr>
          <w:rFonts w:ascii="Verdana" w:eastAsia="Calibri" w:hAnsi="Verdana" w:cs="Arial"/>
          <w:bCs/>
          <w:color w:val="000000" w:themeColor="text1"/>
        </w:rPr>
      </w:pPr>
      <w:r w:rsidRPr="0072640F">
        <w:rPr>
          <w:rFonts w:ascii="Verdana" w:eastAsia="Calibri" w:hAnsi="Verdana" w:cs="Arial"/>
          <w:bCs/>
          <w:color w:val="000000" w:themeColor="text1"/>
        </w:rPr>
        <w:t xml:space="preserve">En concordancia con la Ley 80 de 1993 y la Ley 1150 de 2007, la prestación del servicio del PAE debe contratarse, como regla general, mediante licitación pública, pudiendo acudirse a otras modalidades solo cuando exista causal legal debidamente justificada y motivada en los estudios previos, respetando los principios de transparencia, libre concurrencia, selección objetiva y economía. La modalidad elegida debe sustentarse en el análisis del sector y en estudios de oportunidad, conveniencia y pertinencia, incluyendo criterios de costo y calidad; en el caso de bolsas de productos, se deberán evaluar los costos, comisiones y efectos sobre la competencia. </w:t>
      </w:r>
    </w:p>
    <w:p w14:paraId="1DF06E72" w14:textId="77777777" w:rsidR="00737E18" w:rsidRPr="003E6637" w:rsidRDefault="00737E18" w:rsidP="00737E18">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Frente a la procedencia de </w:t>
      </w:r>
      <w:r w:rsidRPr="0072640F">
        <w:rPr>
          <w:rFonts w:ascii="Verdana" w:eastAsia="Calibri" w:hAnsi="Verdana" w:cs="Arial"/>
          <w:bCs/>
          <w:color w:val="000000" w:themeColor="text1"/>
        </w:rPr>
        <w:t>la contratación directa</w:t>
      </w:r>
      <w:r>
        <w:rPr>
          <w:rFonts w:ascii="Verdana" w:eastAsia="Calibri" w:hAnsi="Verdana" w:cs="Arial"/>
          <w:bCs/>
          <w:color w:val="000000" w:themeColor="text1"/>
        </w:rPr>
        <w:t xml:space="preserve"> solo se hará viable en los casos expresamente autorizados</w:t>
      </w:r>
      <w:r w:rsidRPr="0072640F">
        <w:rPr>
          <w:rFonts w:ascii="Verdana" w:eastAsia="Calibri" w:hAnsi="Verdana" w:cs="Arial"/>
          <w:bCs/>
          <w:color w:val="000000" w:themeColor="text1"/>
        </w:rPr>
        <w:t xml:space="preserve">, </w:t>
      </w:r>
      <w:r>
        <w:rPr>
          <w:rFonts w:ascii="Verdana" w:eastAsia="Calibri" w:hAnsi="Verdana" w:cs="Arial"/>
          <w:bCs/>
          <w:color w:val="000000" w:themeColor="text1"/>
        </w:rPr>
        <w:t>que para el caso del PAE son c</w:t>
      </w:r>
      <w:r w:rsidRPr="005C6190">
        <w:rPr>
          <w:rFonts w:ascii="Verdana" w:eastAsia="Calibri" w:hAnsi="Verdana" w:cs="Arial"/>
          <w:bCs/>
          <w:color w:val="000000" w:themeColor="text1"/>
        </w:rPr>
        <w:t xml:space="preserve">ontratos y convenios interadministrativos con otras entidades públicas cuyo objeto social les permita ejecutar el PAE, </w:t>
      </w:r>
      <w:r>
        <w:rPr>
          <w:rFonts w:ascii="Verdana" w:eastAsia="Calibri" w:hAnsi="Verdana" w:cs="Arial"/>
          <w:bCs/>
          <w:color w:val="000000" w:themeColor="text1"/>
        </w:rPr>
        <w:t xml:space="preserve">con o sin contrapartida; </w:t>
      </w:r>
      <w:r w:rsidRPr="005C6190">
        <w:rPr>
          <w:rFonts w:ascii="Verdana" w:eastAsia="Calibri" w:hAnsi="Verdana" w:cs="Arial"/>
          <w:bCs/>
          <w:color w:val="000000" w:themeColor="text1"/>
        </w:rPr>
        <w:t xml:space="preserve">Convenios interadministrativos o acuerdos formales para la </w:t>
      </w:r>
      <w:r>
        <w:rPr>
          <w:rFonts w:ascii="Verdana" w:eastAsia="Calibri" w:hAnsi="Verdana" w:cs="Arial"/>
          <w:bCs/>
          <w:color w:val="000000" w:themeColor="text1"/>
        </w:rPr>
        <w:t xml:space="preserve">conformación de bolsas comunes; Convenio solidario; </w:t>
      </w:r>
      <w:r w:rsidRPr="003E6637">
        <w:rPr>
          <w:rFonts w:ascii="Verdana" w:eastAsia="Calibri" w:hAnsi="Verdana" w:cs="Arial"/>
          <w:bCs/>
          <w:color w:val="000000" w:themeColor="text1"/>
        </w:rPr>
        <w:t>Inexiste</w:t>
      </w:r>
      <w:r>
        <w:rPr>
          <w:rFonts w:ascii="Verdana" w:eastAsia="Calibri" w:hAnsi="Verdana" w:cs="Arial"/>
          <w:bCs/>
          <w:color w:val="000000" w:themeColor="text1"/>
        </w:rPr>
        <w:t xml:space="preserve">ncia de pluralidad de oferentes; y </w:t>
      </w:r>
      <w:r w:rsidRPr="003E6637">
        <w:rPr>
          <w:rFonts w:ascii="Verdana" w:eastAsia="Calibri" w:hAnsi="Verdana" w:cs="Arial"/>
          <w:bCs/>
          <w:color w:val="000000" w:themeColor="text1"/>
        </w:rPr>
        <w:t xml:space="preserve">Urgencia manifiesta. </w:t>
      </w:r>
    </w:p>
    <w:p w14:paraId="2BC9CEC7" w14:textId="77777777" w:rsidR="00737E18" w:rsidRDefault="00737E18" w:rsidP="00737E18">
      <w:pPr>
        <w:spacing w:after="120" w:line="276" w:lineRule="auto"/>
        <w:ind w:firstLine="708"/>
        <w:jc w:val="both"/>
        <w:rPr>
          <w:rFonts w:ascii="Verdana" w:eastAsiaTheme="minorEastAsia" w:hAnsi="Verdana" w:cs="Arial"/>
          <w:lang w:eastAsia="es-CO"/>
        </w:rPr>
      </w:pPr>
      <w:r w:rsidRPr="00575D0A">
        <w:rPr>
          <w:rFonts w:ascii="Verdana" w:eastAsia="Calibri" w:hAnsi="Verdana" w:cs="Arial"/>
          <w:bCs/>
          <w:color w:val="000000" w:themeColor="text1"/>
        </w:rPr>
        <w:t xml:space="preserve">En relación con los </w:t>
      </w:r>
      <w:r w:rsidRPr="00F238FA">
        <w:rPr>
          <w:rFonts w:ascii="Verdana" w:eastAsia="Calibri" w:hAnsi="Verdana" w:cs="Arial"/>
          <w:bCs/>
          <w:color w:val="000000" w:themeColor="text1"/>
        </w:rPr>
        <w:t>convenios interadministrativos o acuerdos formales para la conformación de bolsas comunes</w:t>
      </w:r>
      <w:r w:rsidRPr="00575D0A">
        <w:rPr>
          <w:rFonts w:ascii="Verdana" w:eastAsia="Calibri" w:hAnsi="Verdana" w:cs="Arial"/>
          <w:bCs/>
          <w:color w:val="000000" w:themeColor="text1"/>
        </w:rPr>
        <w:t xml:space="preserve"> entre Entidades Territoriales Certificadas (ETC), como los departamentos, y las Entidades Territoriales No Certificadas (ETnoC), como los municipios, orientados a la ejecución del Programa de Alimentación Escolar (PAE), se establece que la Entidad Territorial Certificada departamental debe ejercer un seguimiento permanente y sistemático al cronograma de conformación y ejecución de la bolsa común, así como al convenio o acuerdo suscrito. Este seguimiento debe verificar el cumplimiento de las responsabilidades y compromisos asumidos por cada </w:t>
      </w:r>
      <w:r w:rsidRPr="00575D0A">
        <w:rPr>
          <w:rFonts w:ascii="Verdana" w:eastAsia="Calibri" w:hAnsi="Verdana" w:cs="Arial"/>
          <w:bCs/>
          <w:color w:val="000000" w:themeColor="text1"/>
        </w:rPr>
        <w:lastRenderedPageBreak/>
        <w:t>entidad, especialmente en lo relacionado con la priorización, asignación y uso adecuado de los recursos, la correcta operación del Programa y el oportuno reporte de la información. Asimismo, debe contemplar la revisión del avance técnico, financiero y administrativo definido en el mecanismo seleccionado y la consolidación de los resultados en los medios y formatos establecidos por la Unidad Administrativa Especial de Alimentación Escolar (UApA), garantizando la transparencia, eficiencia y articulación en la ejecución del PAE.</w:t>
      </w:r>
      <w:r>
        <w:rPr>
          <w:rFonts w:ascii="Verdana" w:eastAsia="Calibri" w:hAnsi="Verdana" w:cs="Arial"/>
          <w:bCs/>
          <w:color w:val="000000" w:themeColor="text1"/>
        </w:rPr>
        <w:t xml:space="preserve"> En este contexto, la suscripción de convenios para la conformación de Bolsas Comunes en el cumplimiento de los objetivos del PAE implica revisar su procedencia frente a las restricciones de la Ley de Garantías Electorales. </w:t>
      </w:r>
      <w:r>
        <w:rPr>
          <w:rFonts w:ascii="Verdana" w:eastAsiaTheme="minorEastAsia" w:hAnsi="Verdana" w:cs="Arial"/>
          <w:lang w:eastAsia="es-CO"/>
        </w:rPr>
        <w:t xml:space="preserve"> </w:t>
      </w:r>
    </w:p>
    <w:p w14:paraId="780E6714" w14:textId="77777777" w:rsidR="00737E18" w:rsidRDefault="00737E18" w:rsidP="00737E18">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lang w:eastAsia="es-CO"/>
        </w:rPr>
        <w:t xml:space="preserve">En relación a estos convenios interadministrativos que se adelantan con fundamento en los programas antes referidos, debe señalarse que estos se encuentran sujetos a la restricción del artículo 33 de la Ley 996 de 2005. Lo anterior en la medida que dicha disposición prohíbe </w:t>
      </w:r>
      <w:r w:rsidRPr="004C1120">
        <w:rPr>
          <w:rFonts w:ascii="Verdana" w:eastAsiaTheme="minorEastAsia" w:hAnsi="Verdana" w:cs="Arial"/>
          <w:bCs/>
          <w:lang w:val="es-MX" w:eastAsia="es-CO"/>
        </w:rPr>
        <w:t xml:space="preserve">adelantar cualquier </w:t>
      </w:r>
      <w:r>
        <w:rPr>
          <w:rFonts w:ascii="Verdana" w:eastAsiaTheme="minorEastAsia" w:hAnsi="Verdana" w:cs="Arial"/>
          <w:bCs/>
          <w:lang w:val="es-MX" w:eastAsia="es-CO"/>
        </w:rPr>
        <w:t>tipo</w:t>
      </w:r>
      <w:r w:rsidRPr="004C1120">
        <w:rPr>
          <w:rFonts w:ascii="Verdana" w:eastAsiaTheme="minorEastAsia" w:hAnsi="Verdana" w:cs="Arial"/>
          <w:bCs/>
          <w:lang w:val="es-MX" w:eastAsia="es-CO"/>
        </w:rPr>
        <w:t xml:space="preserve"> de contratación bajo la figura de contratación directa, entendida como todo mecanismo no competitivo. </w:t>
      </w:r>
      <w:r>
        <w:rPr>
          <w:rFonts w:ascii="Verdana" w:eastAsiaTheme="minorEastAsia" w:hAnsi="Verdana" w:cs="Arial"/>
          <w:bCs/>
          <w:lang w:val="es-MX" w:eastAsia="es-CO"/>
        </w:rPr>
        <w:t>En consecuencia</w:t>
      </w:r>
      <w:r w:rsidRPr="004C1120">
        <w:rPr>
          <w:rFonts w:ascii="Verdana" w:eastAsiaTheme="minorEastAsia" w:hAnsi="Verdana" w:cs="Arial"/>
          <w:bCs/>
          <w:lang w:val="es-MX" w:eastAsia="es-CO"/>
        </w:rPr>
        <w:t xml:space="preserve">, </w:t>
      </w:r>
      <w:r>
        <w:rPr>
          <w:rFonts w:ascii="Verdana" w:eastAsiaTheme="minorEastAsia" w:hAnsi="Verdana" w:cs="Arial"/>
          <w:bCs/>
          <w:lang w:val="es-MX" w:eastAsia="es-CO"/>
        </w:rPr>
        <w:t xml:space="preserve">esta resulta aplicable a aquellos supuestos, en los que se pretenda </w:t>
      </w:r>
      <w:r w:rsidRPr="004C1120">
        <w:rPr>
          <w:rFonts w:ascii="Verdana" w:eastAsiaTheme="minorEastAsia" w:hAnsi="Verdana" w:cs="Arial"/>
          <w:bCs/>
          <w:lang w:val="es-MX" w:eastAsia="es-CO"/>
        </w:rPr>
        <w:t>celebrar con</w:t>
      </w:r>
      <w:r>
        <w:rPr>
          <w:rFonts w:ascii="Verdana" w:eastAsiaTheme="minorEastAsia" w:hAnsi="Verdana" w:cs="Arial"/>
          <w:bCs/>
          <w:lang w:val="es-MX" w:eastAsia="es-CO"/>
        </w:rPr>
        <w:t xml:space="preserve">venios </w:t>
      </w:r>
      <w:r w:rsidRPr="004C1120">
        <w:rPr>
          <w:rFonts w:ascii="Verdana" w:eastAsiaTheme="minorEastAsia" w:hAnsi="Verdana" w:cs="Arial"/>
          <w:bCs/>
          <w:lang w:val="es-MX" w:eastAsia="es-CO"/>
        </w:rPr>
        <w:t>interadministrativos</w:t>
      </w:r>
      <w:r>
        <w:rPr>
          <w:rFonts w:ascii="Verdana" w:eastAsiaTheme="minorEastAsia" w:hAnsi="Verdana" w:cs="Arial"/>
          <w:bCs/>
          <w:lang w:val="es-MX" w:eastAsia="es-CO"/>
        </w:rPr>
        <w:t xml:space="preserve"> para la conformación de una bolsa común de manera directa</w:t>
      </w:r>
      <w:r w:rsidRPr="004C1120">
        <w:rPr>
          <w:rFonts w:ascii="Verdana" w:eastAsiaTheme="minorEastAsia" w:hAnsi="Verdana" w:cs="Arial"/>
          <w:bCs/>
          <w:lang w:val="es-MX" w:eastAsia="es-CO"/>
        </w:rPr>
        <w:t xml:space="preserve">. En este sentido, todos los entes del Estado, independiente del régimen jurídico aplicable, están sujetos a la </w:t>
      </w:r>
      <w:r>
        <w:rPr>
          <w:rFonts w:ascii="Verdana" w:eastAsiaTheme="minorEastAsia" w:hAnsi="Verdana" w:cs="Arial"/>
          <w:bCs/>
          <w:lang w:val="es-MX" w:eastAsia="es-CO"/>
        </w:rPr>
        <w:t xml:space="preserve">citada </w:t>
      </w:r>
      <w:r w:rsidRPr="004C1120">
        <w:rPr>
          <w:rFonts w:ascii="Verdana" w:eastAsiaTheme="minorEastAsia" w:hAnsi="Verdana" w:cs="Arial"/>
          <w:bCs/>
          <w:lang w:val="es-MX" w:eastAsia="es-CO"/>
        </w:rPr>
        <w:t>restricción</w:t>
      </w:r>
      <w:r>
        <w:rPr>
          <w:rFonts w:ascii="Verdana" w:eastAsiaTheme="minorEastAsia" w:hAnsi="Verdana" w:cs="Arial"/>
          <w:bCs/>
          <w:lang w:val="es-MX" w:eastAsia="es-CO"/>
        </w:rPr>
        <w:t>,</w:t>
      </w:r>
      <w:r w:rsidRPr="004C1120">
        <w:rPr>
          <w:rFonts w:ascii="Verdana" w:eastAsiaTheme="minorEastAsia" w:hAnsi="Verdana" w:cs="Arial"/>
          <w:bCs/>
          <w:lang w:val="es-MX" w:eastAsia="es-CO"/>
        </w:rPr>
        <w:t xml:space="preserve"> </w:t>
      </w:r>
      <w:r>
        <w:rPr>
          <w:rFonts w:ascii="Verdana" w:eastAsiaTheme="minorEastAsia" w:hAnsi="Verdana" w:cs="Arial"/>
          <w:bCs/>
          <w:lang w:val="es-MX" w:eastAsia="es-CO"/>
        </w:rPr>
        <w:t>por lo que</w:t>
      </w:r>
      <w:r w:rsidRPr="004C1120">
        <w:rPr>
          <w:rFonts w:ascii="Verdana" w:eastAsiaTheme="minorEastAsia" w:hAnsi="Verdana" w:cs="Arial"/>
          <w:bCs/>
          <w:lang w:val="es-MX" w:eastAsia="es-CO"/>
        </w:rPr>
        <w:t xml:space="preserve"> no podrán </w:t>
      </w:r>
      <w:r>
        <w:rPr>
          <w:rFonts w:ascii="Verdana" w:eastAsiaTheme="minorEastAsia" w:hAnsi="Verdana" w:cs="Arial"/>
          <w:bCs/>
          <w:lang w:val="es-MX" w:eastAsia="es-CO"/>
        </w:rPr>
        <w:t>ningun tipo de contrato bajo la modalidad de</w:t>
      </w:r>
      <w:r w:rsidRPr="004C1120">
        <w:rPr>
          <w:rFonts w:ascii="Verdana" w:eastAsiaTheme="minorEastAsia" w:hAnsi="Verdana" w:cs="Arial"/>
          <w:bCs/>
          <w:lang w:val="es-MX" w:eastAsia="es-CO"/>
        </w:rPr>
        <w:t xml:space="preserve"> contratación directa dentro de los cuatro (4) meses anteriores a la celebración de las elecciones presidenciales. </w:t>
      </w:r>
    </w:p>
    <w:p w14:paraId="5B9572B5" w14:textId="77777777" w:rsidR="00737E18" w:rsidRPr="00506CA6" w:rsidRDefault="00737E18" w:rsidP="00737E18">
      <w:pPr>
        <w:spacing w:after="120" w:line="276" w:lineRule="auto"/>
        <w:ind w:firstLine="708"/>
        <w:jc w:val="both"/>
        <w:rPr>
          <w:rFonts w:ascii="Verdana" w:eastAsia="Times New Roman" w:hAnsi="Verdana" w:cs="Arial"/>
          <w:bCs/>
          <w:lang w:val="es-MX" w:eastAsia="x-none"/>
        </w:rPr>
      </w:pPr>
      <w:r>
        <w:rPr>
          <w:rFonts w:ascii="Verdana" w:eastAsia="Times New Roman" w:hAnsi="Verdana" w:cs="Arial"/>
          <w:bCs/>
          <w:lang w:val="es-MX" w:eastAsia="x-none"/>
        </w:rPr>
        <w:t xml:space="preserve">Esto, sin perjuicio de las excepciones a esta prohibición, contenidas en el </w:t>
      </w:r>
      <w:r w:rsidRPr="00D13A78">
        <w:rPr>
          <w:rFonts w:ascii="Verdana" w:eastAsia="Times New Roman" w:hAnsi="Verdana" w:cs="Arial"/>
          <w:bCs/>
          <w:lang w:val="es-MX" w:eastAsia="x-none"/>
        </w:rPr>
        <w:t>inciso segundo del precitado artículo: i) los contratos relacionados con la defensa y seguridad del Estado, analizados en el Concepto 322 de 2026; ii) los contratos de crédito público, abordados en el Concepto CU-372 de 2026; iii) los contratos necesarios para atender emergencias educativas, sanitarias o desastres, tratados en los Conceptos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118 de 2026 y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176 de 2026, que tratan en este caso de la urgencia manifiesta; iv) los contratos destinados a la reconstrucción de infraestructura vial, energética y de comunicaciones afectada por atentados, acciones terroristas, desastres naturales o fuerza mayor, igualmente estudiados en los Conceptos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118 de 2026 y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176 de 2026, entre otros; y v) la contratación directa celebrada por entidades sanitarias y hospitalarias, objeto de análisis en los Conceptos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1124 de 2026,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1406 de 2026 y C</w:t>
      </w:r>
      <w:r w:rsidRPr="00D13A78">
        <w:rPr>
          <w:rFonts w:ascii="Cambria Math" w:eastAsia="Times New Roman" w:hAnsi="Cambria Math" w:cs="Cambria Math"/>
          <w:bCs/>
          <w:lang w:val="es-MX" w:eastAsia="x-none"/>
        </w:rPr>
        <w:t>‑</w:t>
      </w:r>
      <w:r w:rsidRPr="00D13A78">
        <w:rPr>
          <w:rFonts w:ascii="Verdana" w:eastAsia="Times New Roman" w:hAnsi="Verdana" w:cs="Arial"/>
          <w:bCs/>
          <w:lang w:val="es-MX" w:eastAsia="x-none"/>
        </w:rPr>
        <w:t xml:space="preserve">1703 de 2026. </w:t>
      </w:r>
      <w:r w:rsidRPr="00D13A78">
        <w:rPr>
          <w:rFonts w:ascii="Verdana" w:eastAsia="Times New Roman" w:hAnsi="Verdana" w:cs="Arial"/>
          <w:bCs/>
          <w:lang w:val="es-MX" w:eastAsia="es-CO"/>
        </w:rPr>
        <w:t xml:space="preserve">Es responsabilidad del respectivo ente del Estado, examinar en cada caso la </w:t>
      </w:r>
      <w:r w:rsidRPr="00D13A78">
        <w:rPr>
          <w:rFonts w:ascii="Verdana" w:eastAsia="Times New Roman" w:hAnsi="Verdana" w:cs="Arial"/>
          <w:bCs/>
          <w:lang w:val="es-MX" w:eastAsia="es-CO"/>
        </w:rPr>
        <w:lastRenderedPageBreak/>
        <w:t>naturaleza de las actividades que adelanta y determinar si las mismas se enmarcan en alguna de las mencionadas excepciones, de manera que se le permita realizar la</w:t>
      </w:r>
      <w:r>
        <w:rPr>
          <w:rFonts w:ascii="Verdana" w:eastAsia="Times New Roman" w:hAnsi="Verdana" w:cs="Arial"/>
          <w:bCs/>
          <w:lang w:val="es-MX" w:eastAsia="es-CO"/>
        </w:rPr>
        <w:t xml:space="preserve"> celebración del convenio interadministrativo para la ejecución del PAE mediante bolsas comunes</w:t>
      </w:r>
      <w:r w:rsidRPr="00D13A78">
        <w:rPr>
          <w:rFonts w:ascii="Verdana" w:eastAsia="Times New Roman" w:hAnsi="Verdana" w:cs="Arial"/>
          <w:bCs/>
          <w:lang w:val="es-MX" w:eastAsia="es-CO"/>
        </w:rPr>
        <w:t>.</w:t>
      </w:r>
    </w:p>
    <w:p w14:paraId="0F5E811E" w14:textId="77777777" w:rsidR="00737E18" w:rsidRPr="00FF1C59" w:rsidRDefault="00737E18" w:rsidP="00737E18">
      <w:pPr>
        <w:spacing w:after="120" w:line="276" w:lineRule="auto"/>
        <w:ind w:firstLine="708"/>
        <w:jc w:val="both"/>
        <w:rPr>
          <w:rFonts w:ascii="Verdana" w:eastAsiaTheme="minorEastAsia" w:hAnsi="Verdana" w:cs="Arial"/>
          <w:lang w:eastAsia="es-CO"/>
        </w:rPr>
      </w:pPr>
      <w:r>
        <w:rPr>
          <w:rFonts w:ascii="Verdana" w:eastAsiaTheme="minorEastAsia" w:hAnsi="Verdana" w:cs="Arial"/>
          <w:lang w:val="es-MX" w:eastAsia="es-CO"/>
        </w:rPr>
        <w:t>Ahora bien</w:t>
      </w:r>
      <w:r w:rsidRPr="00FF1C59">
        <w:rPr>
          <w:rFonts w:ascii="Verdana" w:eastAsiaTheme="minorEastAsia" w:hAnsi="Verdana" w:cs="Arial"/>
          <w:lang w:eastAsia="es-CO"/>
        </w:rPr>
        <w:t xml:space="preserve">, resulta pertinente precisar que los convenios interadministrativos </w:t>
      </w:r>
      <w:r>
        <w:rPr>
          <w:rFonts w:ascii="Verdana" w:eastAsiaTheme="minorEastAsia" w:hAnsi="Verdana" w:cs="Arial"/>
          <w:lang w:eastAsia="es-CO"/>
        </w:rPr>
        <w:t xml:space="preserve">para la conformación de bolsas comunes entre Entidades Territoriales Certificadas y Entidades Territoriales No Certificadas </w:t>
      </w:r>
      <w:r w:rsidRPr="00FF1C59">
        <w:rPr>
          <w:rFonts w:ascii="Verdana" w:eastAsiaTheme="minorEastAsia" w:hAnsi="Verdana" w:cs="Arial"/>
          <w:lang w:eastAsia="es-CO"/>
        </w:rPr>
        <w:t>se encuentran sujetos a la restricción prevista en el artículo 38 de la Ley 996 de 2005. Dicha disposición establece que la celebración de estos convenios por parte de alcaldes, gobernadores, secretarios, gerentes y directores de entidades del orden municipal, departamental o distrital debe observar las limitaciones allí señaladas, particularmente cuando se trate de convenios destinados a la ejecución de recursos públicos.</w:t>
      </w:r>
    </w:p>
    <w:p w14:paraId="378C1CF0" w14:textId="77777777" w:rsidR="00737E18" w:rsidRDefault="00737E18" w:rsidP="00737E18">
      <w:pPr>
        <w:spacing w:after="120" w:line="276" w:lineRule="auto"/>
        <w:ind w:firstLine="708"/>
        <w:jc w:val="both"/>
        <w:rPr>
          <w:rFonts w:ascii="Verdana" w:eastAsiaTheme="minorEastAsia" w:hAnsi="Verdana" w:cs="Arial"/>
          <w:lang w:eastAsia="es-CO"/>
        </w:rPr>
      </w:pPr>
      <w:r w:rsidRPr="00FF1C59">
        <w:rPr>
          <w:rFonts w:ascii="Verdana" w:eastAsiaTheme="minorEastAsia" w:hAnsi="Verdana" w:cs="Arial"/>
          <w:lang w:eastAsia="es-CO"/>
        </w:rPr>
        <w:t>En estos casos, opera la restricción contenida en el parágrafo del citado artículo, que prohíbe la celebración de convenios interadministrativos durante los cuatro meses anteriores a cualquier contienda electoral. Es importante subrayar que esta limitación no se refiere a la relación entre contratantes y contratistas, sino a la naturaleza cooperativa y colaborativa de las partes intervinientes. La restricción se extiende, en consecuencia, a las elecciones presidenciales programadas para el 31 de mayo de 2026, así como a una eventual segunda vuelta prevista para el 21 de junio del mismo año.</w:t>
      </w:r>
      <w:r>
        <w:rPr>
          <w:rFonts w:ascii="Verdana" w:eastAsiaTheme="minorEastAsia" w:hAnsi="Verdana" w:cs="Arial"/>
          <w:lang w:eastAsia="es-CO"/>
        </w:rPr>
        <w:t xml:space="preserve"> </w:t>
      </w:r>
      <w:r w:rsidRPr="00506CA6">
        <w:rPr>
          <w:rFonts w:ascii="Verdana" w:eastAsiaTheme="minorEastAsia" w:hAnsi="Verdana" w:cs="Arial"/>
          <w:lang w:eastAsia="es-CO"/>
        </w:rPr>
        <w:t xml:space="preserve">De igual manera, resulta importante precisar que, a diferencia de lo dispuesto en el artículo 33, </w:t>
      </w:r>
      <w:r w:rsidRPr="00506CA6">
        <w:rPr>
          <w:rFonts w:ascii="Verdana" w:eastAsiaTheme="minorEastAsia" w:hAnsi="Verdana" w:cs="Arial"/>
          <w:bCs/>
          <w:lang w:eastAsia="es-CO"/>
        </w:rPr>
        <w:t>el artículo 38 de la Ley de Garantías Electorales no prevé excepciones para la suscripción de los convenios interadministrativos o acuerdos formales destinados a la conformación de bolsas comunes</w:t>
      </w:r>
      <w:r w:rsidRPr="00506CA6">
        <w:rPr>
          <w:rFonts w:ascii="Verdana" w:eastAsiaTheme="minorEastAsia" w:hAnsi="Verdana" w:cs="Arial"/>
          <w:lang w:eastAsia="es-CO"/>
        </w:rPr>
        <w:t>.</w:t>
      </w:r>
    </w:p>
    <w:p w14:paraId="153EF024" w14:textId="77777777" w:rsidR="00737E18" w:rsidRDefault="00737E18" w:rsidP="00737E18">
      <w:pPr>
        <w:spacing w:after="0" w:line="276" w:lineRule="auto"/>
        <w:ind w:firstLine="709"/>
        <w:jc w:val="both"/>
        <w:rPr>
          <w:rFonts w:ascii="Verdana" w:eastAsia="Times New Roman" w:hAnsi="Verdana" w:cs="Arial"/>
          <w:bCs/>
          <w:lang w:val="es-MX" w:eastAsia="es-CO"/>
        </w:rPr>
      </w:pPr>
      <w:r w:rsidRPr="00506CA6">
        <w:rPr>
          <w:rFonts w:ascii="Verdana" w:eastAsia="Times New Roman" w:hAnsi="Verdana" w:cs="Arial"/>
          <w:bCs/>
          <w:lang w:eastAsia="x-none"/>
        </w:rPr>
        <w:t>Por último</w:t>
      </w:r>
      <w:r w:rsidRPr="00506CA6">
        <w:rPr>
          <w:rFonts w:ascii="Verdana" w:eastAsia="Times New Roman" w:hAnsi="Verdana" w:cs="Arial"/>
          <w:bCs/>
          <w:lang w:val="es-MX" w:eastAsia="x-none"/>
        </w:rPr>
        <w:t xml:space="preserve">, se reitera, </w:t>
      </w:r>
      <w:r w:rsidRPr="00506CA6">
        <w:rPr>
          <w:rFonts w:ascii="Verdana" w:eastAsia="Times New Roman" w:hAnsi="Verdana" w:cs="Arial"/>
          <w:bCs/>
          <w:lang w:val="es-MX" w:eastAsia="es-CO"/>
        </w:rPr>
        <w:t>que las prórrogas, modificaciones o adiciones de los contratos suscritos antes de la entrada en vigor de las prohibiciones anotadas, en especial del artículo 33 de la Ley 996 de 2005,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06CA6">
        <w:rPr>
          <w:rFonts w:ascii="Verdana" w:eastAsia="Times New Roman" w:hAnsi="Verdana" w:cs="Arial"/>
          <w:bCs/>
          <w:vertAlign w:val="superscript"/>
          <w:lang w:val="es-MX" w:eastAsia="es-CO"/>
        </w:rPr>
        <w:footnoteReference w:id="44"/>
      </w:r>
      <w:r w:rsidRPr="00506CA6">
        <w:rPr>
          <w:rFonts w:ascii="Verdana" w:eastAsia="Times New Roman" w:hAnsi="Verdana" w:cs="Arial"/>
          <w:bCs/>
          <w:lang w:val="es-MX" w:eastAsia="es-CO"/>
        </w:rPr>
        <w:t>. Además, también es posible que contratos celebrados previamente se continúen ejecutando con normalidad.</w:t>
      </w:r>
    </w:p>
    <w:p w14:paraId="2A8F5D76" w14:textId="77777777" w:rsidR="00737E18" w:rsidRPr="00506CA6" w:rsidRDefault="00737E18" w:rsidP="00737E18">
      <w:pPr>
        <w:spacing w:after="0" w:line="276" w:lineRule="auto"/>
        <w:ind w:firstLine="709"/>
        <w:jc w:val="both"/>
        <w:rPr>
          <w:rFonts w:ascii="Verdana" w:eastAsia="Times New Roman" w:hAnsi="Verdana" w:cs="Arial"/>
          <w:bCs/>
          <w:lang w:val="es-MX" w:eastAsia="es-CO"/>
        </w:rPr>
      </w:pPr>
    </w:p>
    <w:p w14:paraId="59013D2D" w14:textId="77777777" w:rsidR="00737E18" w:rsidRPr="00F4158D" w:rsidRDefault="00737E18" w:rsidP="00737E18">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vii. </w:t>
      </w: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F94C1DD" w14:textId="77777777" w:rsidR="00737E18" w:rsidRPr="00F4158D" w:rsidRDefault="00737E18" w:rsidP="00737E18">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8DDFEF2" w14:textId="77777777" w:rsidR="00737E18" w:rsidRPr="00F4158D" w:rsidRDefault="00737E18" w:rsidP="00D70345">
      <w:pPr>
        <w:spacing w:after="0" w:line="240"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678A6493" w14:textId="77777777" w:rsidR="00737E18" w:rsidRPr="00593A5F" w:rsidRDefault="00737E18" w:rsidP="00737E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341535D" w14:textId="77777777" w:rsidR="00737E18" w:rsidRPr="00593A5F" w:rsidRDefault="00737E18" w:rsidP="00D70345">
      <w:pPr>
        <w:widowControl w:val="0"/>
        <w:autoSpaceDE w:val="0"/>
        <w:autoSpaceDN w:val="0"/>
        <w:spacing w:after="0" w:line="240"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37E18" w:rsidRPr="002407CE" w14:paraId="555DBFBC" w14:textId="77777777" w:rsidTr="00727511">
        <w:trPr>
          <w:trHeight w:val="311"/>
          <w:jc w:val="center"/>
        </w:trPr>
        <w:tc>
          <w:tcPr>
            <w:tcW w:w="8647" w:type="dxa"/>
          </w:tcPr>
          <w:p w14:paraId="3C27E935" w14:textId="77777777" w:rsidR="00737E18" w:rsidRDefault="00737E18" w:rsidP="00727511">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 127.</w:t>
            </w:r>
          </w:p>
          <w:p w14:paraId="622A6899" w14:textId="77777777" w:rsidR="00737E18" w:rsidRDefault="00737E18" w:rsidP="00727511">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0FFBA754" w14:textId="77777777" w:rsidR="00737E18" w:rsidRPr="0060360B" w:rsidRDefault="00737E18" w:rsidP="00727511">
            <w:pPr>
              <w:pStyle w:val="Prrafodelista"/>
              <w:numPr>
                <w:ilvl w:val="0"/>
                <w:numId w:val="17"/>
              </w:numPr>
              <w:rPr>
                <w:rFonts w:ascii="Verdana" w:hAnsi="Verdana" w:cs="Arial"/>
              </w:rPr>
            </w:pPr>
            <w:r w:rsidRPr="0060360B">
              <w:rPr>
                <w:rFonts w:ascii="Verdana" w:hAnsi="Verdana" w:cs="Arial"/>
              </w:rPr>
              <w:t xml:space="preserve">Ley 489 de 1998, artículo 95. </w:t>
            </w:r>
          </w:p>
          <w:p w14:paraId="444EEAA7" w14:textId="77777777" w:rsidR="00737E18" w:rsidRDefault="00737E18" w:rsidP="00727511">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228CD7CB" w14:textId="77777777" w:rsidR="00737E18" w:rsidRDefault="00737E18" w:rsidP="00727511">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103F5965" w14:textId="77777777" w:rsidR="00737E18" w:rsidRDefault="00737E18" w:rsidP="00727511">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31 y 1501.</w:t>
            </w:r>
          </w:p>
          <w:p w14:paraId="69553894" w14:textId="77777777" w:rsidR="00737E18" w:rsidRDefault="00737E18" w:rsidP="00727511">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 xml:space="preserve">Decreto 1075 de 2015, artículos </w:t>
            </w:r>
            <w:r w:rsidRPr="008470B0">
              <w:rPr>
                <w:rFonts w:ascii="Verdana" w:hAnsi="Verdana" w:cs="Arial"/>
                <w:bCs/>
                <w:lang w:val="es-CO"/>
              </w:rPr>
              <w:t>2.3.10.2.1</w:t>
            </w:r>
            <w:r>
              <w:rPr>
                <w:rFonts w:ascii="Verdana" w:hAnsi="Verdana" w:cs="Arial"/>
                <w:bCs/>
                <w:lang w:val="es-CO"/>
              </w:rPr>
              <w:t xml:space="preserve">, </w:t>
            </w:r>
            <w:r w:rsidRPr="008470B0">
              <w:rPr>
                <w:rFonts w:ascii="Verdana" w:hAnsi="Verdana" w:cs="Arial"/>
                <w:bCs/>
                <w:lang w:val="es-CO"/>
              </w:rPr>
              <w:t>2.3.10.3.2.</w:t>
            </w:r>
          </w:p>
          <w:p w14:paraId="05686B26" w14:textId="77777777" w:rsidR="00737E18" w:rsidRPr="008377DE" w:rsidRDefault="00737E18" w:rsidP="00727511">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Pr>
                <w:rFonts w:ascii="Verdana" w:hAnsi="Verdana" w:cs="Arial"/>
              </w:rPr>
              <w:t xml:space="preserve">Decreto 1852 de 2015. </w:t>
            </w:r>
          </w:p>
          <w:p w14:paraId="11E33B11" w14:textId="77777777" w:rsidR="00737E18" w:rsidRPr="008377DE" w:rsidRDefault="00737E18" w:rsidP="00727511">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8470B0">
              <w:rPr>
                <w:rFonts w:ascii="Verdana" w:hAnsi="Verdana" w:cs="Arial"/>
              </w:rPr>
              <w:t>Resolució</w:t>
            </w:r>
            <w:r>
              <w:rPr>
                <w:rFonts w:ascii="Verdana" w:hAnsi="Verdana" w:cs="Arial"/>
              </w:rPr>
              <w:t xml:space="preserve">n No. 0003 del 07 de enero 2026, </w:t>
            </w:r>
            <w:r w:rsidRPr="00A47089">
              <w:rPr>
                <w:rFonts w:ascii="Verdana" w:hAnsi="Verdana" w:cs="Arial"/>
                <w:bCs/>
                <w:lang w:val="es-CO"/>
              </w:rPr>
              <w:t xml:space="preserve">“los Lineamientos Técnicos – Administrativos, los Estándares y las Condiciones Mínimas que </w:t>
            </w:r>
            <w:r w:rsidRPr="00A47089">
              <w:rPr>
                <w:rFonts w:ascii="Verdana" w:hAnsi="Verdana" w:cs="Arial"/>
                <w:bCs/>
                <w:lang w:val="es-CO"/>
              </w:rPr>
              <w:lastRenderedPageBreak/>
              <w:t>deben cumplir todos los actores para la operación del Programa de Alimentación Escolar – PAE</w:t>
            </w:r>
            <w:r>
              <w:rPr>
                <w:rFonts w:ascii="Verdana" w:hAnsi="Verdana" w:cs="Arial"/>
                <w:bCs/>
                <w:lang w:val="es-CO"/>
              </w:rPr>
              <w:t>”.</w:t>
            </w:r>
          </w:p>
        </w:tc>
      </w:tr>
    </w:tbl>
    <w:p w14:paraId="089170DB" w14:textId="77777777" w:rsidR="00737E18" w:rsidRPr="002407CE" w:rsidRDefault="00737E18" w:rsidP="00737E18">
      <w:pPr>
        <w:widowControl w:val="0"/>
        <w:autoSpaceDE w:val="0"/>
        <w:autoSpaceDN w:val="0"/>
        <w:spacing w:after="0" w:line="276" w:lineRule="auto"/>
        <w:jc w:val="both"/>
        <w:rPr>
          <w:rFonts w:ascii="Verdana" w:hAnsi="Verdana" w:cs="Arial"/>
        </w:rPr>
      </w:pPr>
    </w:p>
    <w:p w14:paraId="4EA34811" w14:textId="77777777" w:rsidR="00737E18" w:rsidRPr="00593A5F" w:rsidRDefault="00737E18" w:rsidP="00737E1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9108B17" w14:textId="77777777" w:rsidR="00737E18" w:rsidRPr="00593A5F" w:rsidRDefault="00737E18" w:rsidP="00737E18">
      <w:pPr>
        <w:widowControl w:val="0"/>
        <w:autoSpaceDE w:val="0"/>
        <w:autoSpaceDN w:val="0"/>
        <w:spacing w:after="0" w:line="276" w:lineRule="auto"/>
        <w:jc w:val="both"/>
        <w:rPr>
          <w:rFonts w:ascii="Verdana" w:hAnsi="Verdana" w:cs="Arial"/>
        </w:rPr>
      </w:pPr>
    </w:p>
    <w:p w14:paraId="3AB4E62B" w14:textId="77777777" w:rsidR="00737E18" w:rsidRPr="007D6CC8" w:rsidRDefault="00737E18" w:rsidP="00737E18">
      <w:pPr>
        <w:widowControl w:val="0"/>
        <w:autoSpaceDE w:val="0"/>
        <w:autoSpaceDN w:val="0"/>
        <w:spacing w:after="0" w:line="276" w:lineRule="auto"/>
        <w:jc w:val="both"/>
        <w:rPr>
          <w:rFonts w:ascii="Verdana" w:hAnsi="Verdana" w:cs="Arial"/>
          <w:shd w:val="clear" w:color="auto" w:fill="FFFFFF"/>
        </w:rPr>
      </w:pPr>
      <w:r w:rsidRPr="00380CA4">
        <w:rPr>
          <w:rFonts w:ascii="Verdana" w:eastAsia="Calibri" w:hAnsi="Verdana" w:cs="Times New Roman"/>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w:t>
      </w:r>
      <w:r>
        <w:rPr>
          <w:rFonts w:ascii="Verdana" w:eastAsia="Calibri" w:hAnsi="Verdana" w:cs="Times New Roman"/>
        </w:rPr>
        <w:t xml:space="preserve">, C-111 del 6 de febrero de 2026, C-127 del 6 de febrero de 2026, </w:t>
      </w:r>
      <w:r w:rsidRPr="0061256A">
        <w:rPr>
          <w:rFonts w:ascii="Verdana" w:hAnsi="Verdana" w:cs="Arial"/>
          <w:shd w:val="clear" w:color="auto" w:fill="FFFFFF"/>
        </w:rPr>
        <w:t>C-137 del 17 de febrero de 2026, C-185 del 23 de febrero de 2026, C-322 del 4 de marz</w:t>
      </w:r>
      <w:r>
        <w:rPr>
          <w:rFonts w:ascii="Verdana" w:hAnsi="Verdana" w:cs="Arial"/>
          <w:shd w:val="clear" w:color="auto" w:fill="FFFFFF"/>
        </w:rPr>
        <w:t xml:space="preserve">o de 2026, C-263 del 27 de marzo de 2026, </w:t>
      </w:r>
      <w:r>
        <w:rPr>
          <w:rFonts w:ascii="Verdana" w:eastAsia="Calibri" w:hAnsi="Verdana" w:cs="Times New Roman"/>
        </w:rPr>
        <w:t xml:space="preserve">entre otros.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8EEE047" w14:textId="77777777" w:rsidR="00737E18" w:rsidRPr="00185EE9" w:rsidRDefault="00737E18" w:rsidP="00737E18">
      <w:pPr>
        <w:spacing w:after="0" w:line="256" w:lineRule="auto"/>
        <w:jc w:val="both"/>
        <w:rPr>
          <w:rFonts w:ascii="Verdana" w:eastAsia="Calibri" w:hAnsi="Verdana" w:cs="Times New Roman"/>
        </w:rPr>
      </w:pPr>
      <w:hyperlink r:id="rId17"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0F1EE9C6" w14:textId="77777777" w:rsidR="00737E18" w:rsidRPr="00096788" w:rsidRDefault="00737E18" w:rsidP="00737E18">
      <w:pPr>
        <w:widowControl w:val="0"/>
        <w:autoSpaceDE w:val="0"/>
        <w:autoSpaceDN w:val="0"/>
        <w:spacing w:after="0" w:line="276" w:lineRule="auto"/>
        <w:jc w:val="both"/>
        <w:rPr>
          <w:rFonts w:ascii="Verdana" w:hAnsi="Verdana" w:cs="Arial"/>
          <w:color w:val="000000" w:themeColor="text1"/>
          <w:shd w:val="clear" w:color="auto" w:fill="FFFFFF"/>
        </w:rPr>
      </w:pPr>
    </w:p>
    <w:p w14:paraId="2FFB0C93" w14:textId="77777777" w:rsidR="00737E18" w:rsidRDefault="00737E18" w:rsidP="00737E18">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8"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4D1E2D5B" w14:textId="77777777" w:rsidR="00737E18" w:rsidRDefault="00737E18" w:rsidP="00737E18">
      <w:pPr>
        <w:shd w:val="clear" w:color="auto" w:fill="FFFFFF"/>
        <w:spacing w:after="0" w:line="276" w:lineRule="auto"/>
        <w:jc w:val="both"/>
        <w:rPr>
          <w:rFonts w:ascii="Verdana" w:hAnsi="Verdana"/>
          <w:color w:val="000000"/>
          <w:u w:val="single"/>
        </w:rPr>
      </w:pPr>
    </w:p>
    <w:p w14:paraId="19BEE09D" w14:textId="77777777" w:rsidR="00737E18" w:rsidRPr="00593A5F" w:rsidRDefault="00737E18" w:rsidP="00737E18">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4ABBB7BC" w14:textId="77777777" w:rsidR="00737E18" w:rsidRPr="00593A5F" w:rsidRDefault="00737E18" w:rsidP="00737E18">
      <w:pPr>
        <w:widowControl w:val="0"/>
        <w:autoSpaceDE w:val="0"/>
        <w:autoSpaceDN w:val="0"/>
        <w:spacing w:after="0" w:line="276" w:lineRule="auto"/>
        <w:jc w:val="both"/>
        <w:rPr>
          <w:rFonts w:ascii="Verdana" w:hAnsi="Verdana" w:cs="Arial"/>
        </w:rPr>
      </w:pPr>
    </w:p>
    <w:p w14:paraId="5A35E616" w14:textId="0ADBA14F" w:rsidR="00737E18" w:rsidRPr="005C2A0C" w:rsidRDefault="00737E18" w:rsidP="00737E1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60C8C73C" w14:textId="17D1F923" w:rsidR="00737E18" w:rsidRPr="0060360B" w:rsidRDefault="009E746B" w:rsidP="00737E18">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D4F677D" wp14:editId="19ABF54C">
            <wp:extent cx="3134242" cy="1163468"/>
            <wp:effectExtent l="0" t="0" r="9525" b="0"/>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178192" cy="1179783"/>
                    </a:xfrm>
                    <a:prstGeom prst="rect">
                      <a:avLst/>
                    </a:prstGeom>
                  </pic:spPr>
                </pic:pic>
              </a:graphicData>
            </a:graphic>
          </wp:inline>
        </w:drawing>
      </w:r>
    </w:p>
    <w:p w14:paraId="1190428F" w14:textId="77777777" w:rsidR="00737E18" w:rsidRPr="0060360B" w:rsidRDefault="00737E18" w:rsidP="00737E18">
      <w:pPr>
        <w:spacing w:after="0" w:line="256" w:lineRule="auto"/>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37E18" w:rsidRPr="0060360B" w14:paraId="6A768DF6" w14:textId="77777777" w:rsidTr="00727511">
        <w:trPr>
          <w:trHeight w:val="409"/>
        </w:trPr>
        <w:tc>
          <w:tcPr>
            <w:tcW w:w="817" w:type="dxa"/>
            <w:tcBorders>
              <w:top w:val="nil"/>
              <w:left w:val="nil"/>
              <w:bottom w:val="nil"/>
              <w:right w:val="nil"/>
            </w:tcBorders>
            <w:vAlign w:val="center"/>
            <w:hideMark/>
          </w:tcPr>
          <w:p w14:paraId="665621CB"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15B4B48"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José Luis Sánchez Cardona</w:t>
            </w:r>
          </w:p>
          <w:p w14:paraId="7663B729"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w:t>
            </w:r>
          </w:p>
        </w:tc>
      </w:tr>
      <w:tr w:rsidR="00737E18" w:rsidRPr="0060360B" w14:paraId="6C77CB03" w14:textId="77777777" w:rsidTr="00727511">
        <w:trPr>
          <w:trHeight w:val="409"/>
        </w:trPr>
        <w:tc>
          <w:tcPr>
            <w:tcW w:w="817" w:type="dxa"/>
            <w:tcBorders>
              <w:top w:val="nil"/>
              <w:left w:val="nil"/>
              <w:bottom w:val="nil"/>
              <w:right w:val="nil"/>
            </w:tcBorders>
            <w:vAlign w:val="center"/>
            <w:hideMark/>
          </w:tcPr>
          <w:p w14:paraId="61311020"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2447BD6"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Diana Lucía Saavedra Castañeda</w:t>
            </w:r>
          </w:p>
          <w:p w14:paraId="084F7CEA"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Contratista de la Subdirección de Gestión Contractual </w:t>
            </w:r>
          </w:p>
        </w:tc>
      </w:tr>
      <w:tr w:rsidR="00737E18" w:rsidRPr="0060360B" w14:paraId="5AF067E3" w14:textId="77777777" w:rsidTr="00727511">
        <w:trPr>
          <w:trHeight w:val="389"/>
        </w:trPr>
        <w:tc>
          <w:tcPr>
            <w:tcW w:w="817" w:type="dxa"/>
            <w:tcBorders>
              <w:top w:val="nil"/>
              <w:left w:val="nil"/>
              <w:bottom w:val="nil"/>
              <w:right w:val="nil"/>
            </w:tcBorders>
            <w:vAlign w:val="center"/>
            <w:hideMark/>
          </w:tcPr>
          <w:p w14:paraId="4AB42029"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B429849"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Carolina Quintero Gacharná</w:t>
            </w:r>
          </w:p>
          <w:p w14:paraId="44D92F17" w14:textId="77777777" w:rsidR="00737E18" w:rsidRPr="0060360B" w:rsidRDefault="00737E18" w:rsidP="00727511">
            <w:pPr>
              <w:spacing w:after="0" w:line="256" w:lineRule="auto"/>
              <w:rPr>
                <w:rFonts w:ascii="Verdana" w:eastAsia="Calibri" w:hAnsi="Verdana" w:cs="Times New Roman"/>
                <w:sz w:val="16"/>
                <w:szCs w:val="16"/>
              </w:rPr>
            </w:pPr>
            <w:r w:rsidRPr="0060360B">
              <w:rPr>
                <w:rFonts w:ascii="Verdana" w:eastAsia="Calibri" w:hAnsi="Verdana" w:cs="Times New Roman"/>
                <w:sz w:val="16"/>
                <w:szCs w:val="16"/>
              </w:rPr>
              <w:t>Subdirectora de Gestión Contractual ANCP – CCE</w:t>
            </w:r>
          </w:p>
        </w:tc>
      </w:tr>
      <w:bookmarkEnd w:id="0"/>
    </w:tbl>
    <w:p w14:paraId="0F293BF4" w14:textId="6CCB562A" w:rsidR="00127233" w:rsidRPr="00737E18" w:rsidRDefault="00127233" w:rsidP="00737E18"/>
    <w:sectPr w:rsidR="00127233" w:rsidRPr="00737E18"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3EE51" w14:textId="77777777" w:rsidR="0075231C" w:rsidRDefault="0075231C" w:rsidP="004A1847">
      <w:pPr>
        <w:spacing w:after="0" w:line="240" w:lineRule="auto"/>
      </w:pPr>
      <w:r>
        <w:separator/>
      </w:r>
    </w:p>
  </w:endnote>
  <w:endnote w:type="continuationSeparator" w:id="0">
    <w:p w14:paraId="13ED8846" w14:textId="77777777" w:rsidR="0075231C" w:rsidRDefault="0075231C" w:rsidP="004A1847">
      <w:pPr>
        <w:spacing w:after="0" w:line="240" w:lineRule="auto"/>
      </w:pPr>
      <w:r>
        <w:continuationSeparator/>
      </w:r>
    </w:p>
  </w:endnote>
  <w:endnote w:type="continuationNotice" w:id="1">
    <w:p w14:paraId="5ECEEC03" w14:textId="77777777" w:rsidR="0075231C" w:rsidRDefault="007523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60360B" w:rsidRDefault="0060360B">
    <w:pPr>
      <w:pStyle w:val="Piedepgina"/>
    </w:pPr>
  </w:p>
  <w:p w14:paraId="594D6D9F" w14:textId="02D0D305" w:rsidR="0060360B" w:rsidRPr="00174B77" w:rsidRDefault="0060360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70345" w:rsidRPr="00D70345">
      <w:rPr>
        <w:rFonts w:ascii="Verdana" w:eastAsiaTheme="minorEastAsia" w:hAnsi="Verdana"/>
        <w:b/>
        <w:bCs/>
        <w:noProof/>
        <w:sz w:val="16"/>
        <w:szCs w:val="16"/>
      </w:rPr>
      <w:t>45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60360B" w:rsidRDefault="0060360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60360B" w:rsidRPr="00E41027" w:rsidRDefault="0060360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0360B" w:rsidRDefault="0060360B"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E558F" w14:textId="77777777" w:rsidR="0075231C" w:rsidRDefault="0075231C" w:rsidP="004A1847">
      <w:pPr>
        <w:spacing w:after="0" w:line="240" w:lineRule="auto"/>
      </w:pPr>
      <w:r>
        <w:separator/>
      </w:r>
    </w:p>
  </w:footnote>
  <w:footnote w:type="continuationSeparator" w:id="0">
    <w:p w14:paraId="54958200" w14:textId="77777777" w:rsidR="0075231C" w:rsidRDefault="0075231C" w:rsidP="004A1847">
      <w:pPr>
        <w:spacing w:after="0" w:line="240" w:lineRule="auto"/>
      </w:pPr>
      <w:r>
        <w:continuationSeparator/>
      </w:r>
    </w:p>
  </w:footnote>
  <w:footnote w:type="continuationNotice" w:id="1">
    <w:p w14:paraId="20B861C7" w14:textId="77777777" w:rsidR="0075231C" w:rsidRDefault="0075231C">
      <w:pPr>
        <w:spacing w:after="0" w:line="240" w:lineRule="auto"/>
      </w:pPr>
    </w:p>
  </w:footnote>
  <w:footnote w:id="2">
    <w:p w14:paraId="1B22C597" w14:textId="77777777" w:rsidR="00737E18" w:rsidRPr="008E4A2F" w:rsidRDefault="00737E18" w:rsidP="00737E18">
      <w:pPr>
        <w:pStyle w:val="Textonotapie"/>
        <w:ind w:firstLine="708"/>
        <w:jc w:val="both"/>
        <w:rPr>
          <w:rFonts w:ascii="Arial" w:hAnsi="Arial"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Colombia Compra Eficiente. Circular Externa Única. Numeral 15.5.</w:t>
      </w:r>
    </w:p>
  </w:footnote>
  <w:footnote w:id="3">
    <w:p w14:paraId="2002F36C" w14:textId="77777777" w:rsidR="00737E18" w:rsidRPr="008E4A2F" w:rsidRDefault="00737E18" w:rsidP="00737E18">
      <w:pPr>
        <w:pStyle w:val="Textonotapie"/>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C41273D" w14:textId="77777777" w:rsidR="00737E18" w:rsidRPr="008E4A2F" w:rsidRDefault="00737E18" w:rsidP="00737E18">
      <w:pPr>
        <w:pStyle w:val="Textonotapie"/>
        <w:ind w:firstLine="709"/>
        <w:jc w:val="both"/>
        <w:rPr>
          <w:rFonts w:ascii="Verdana" w:hAnsi="Verdana" w:cs="Arial"/>
          <w:sz w:val="16"/>
          <w:szCs w:val="16"/>
        </w:rPr>
      </w:pPr>
      <w:r w:rsidRPr="008E4A2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4">
    <w:p w14:paraId="5A8B210E" w14:textId="77777777" w:rsidR="00737E18" w:rsidRPr="008E4A2F" w:rsidRDefault="00737E18" w:rsidP="00737E18">
      <w:pPr>
        <w:pStyle w:val="Textonotapie"/>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Gaceta del Congreso de la República No. 71 del 2005.</w:t>
      </w:r>
    </w:p>
  </w:footnote>
  <w:footnote w:id="5">
    <w:p w14:paraId="26800462" w14:textId="77777777" w:rsidR="00737E18" w:rsidRPr="008E4A2F" w:rsidRDefault="00737E18" w:rsidP="00737E18">
      <w:pPr>
        <w:pStyle w:val="Textonotapie"/>
        <w:ind w:firstLine="709"/>
        <w:jc w:val="both"/>
        <w:rPr>
          <w:rFonts w:ascii="Verdana" w:hAnsi="Verdana" w:cs="Arial"/>
          <w:sz w:val="16"/>
          <w:szCs w:val="16"/>
          <w:lang w:val="pt-BR"/>
        </w:rPr>
      </w:pPr>
      <w:r w:rsidRPr="008E4A2F">
        <w:rPr>
          <w:rStyle w:val="Refdenotaalpie"/>
          <w:rFonts w:ascii="Verdana" w:hAnsi="Verdana" w:cs="Arial"/>
          <w:sz w:val="16"/>
          <w:szCs w:val="16"/>
        </w:rPr>
        <w:footnoteRef/>
      </w:r>
      <w:r w:rsidRPr="008E4A2F">
        <w:rPr>
          <w:rFonts w:ascii="Verdana" w:hAnsi="Verdana" w:cs="Arial"/>
          <w:sz w:val="16"/>
          <w:szCs w:val="16"/>
          <w:lang w:val="pt-BR"/>
        </w:rPr>
        <w:t xml:space="preserve"> Corte Constitucional, Sentencia C- 1153 de 2005, M.P. Marco Gerardo Monroy Cabra.</w:t>
      </w:r>
    </w:p>
  </w:footnote>
  <w:footnote w:id="6">
    <w:p w14:paraId="1834E577" w14:textId="77777777" w:rsidR="00737E18" w:rsidRPr="008E4A2F" w:rsidRDefault="00737E18" w:rsidP="00737E18">
      <w:pPr>
        <w:pStyle w:val="Textonotapie"/>
        <w:ind w:firstLine="709"/>
        <w:jc w:val="both"/>
        <w:rPr>
          <w:rFonts w:ascii="Verdana" w:hAnsi="Verdana" w:cs="Arial"/>
          <w:sz w:val="16"/>
          <w:szCs w:val="16"/>
          <w:lang w:val="pt-BR"/>
        </w:rPr>
      </w:pPr>
      <w:r w:rsidRPr="008E4A2F">
        <w:rPr>
          <w:rStyle w:val="Refdenotaalpie"/>
          <w:rFonts w:ascii="Verdana" w:hAnsi="Verdana" w:cs="Arial"/>
          <w:sz w:val="16"/>
          <w:szCs w:val="16"/>
        </w:rPr>
        <w:footnoteRef/>
      </w:r>
      <w:r w:rsidRPr="008E4A2F">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7">
    <w:p w14:paraId="4053D31B" w14:textId="77777777" w:rsidR="00737E18" w:rsidRPr="008E4A2F" w:rsidRDefault="00737E18" w:rsidP="00737E18">
      <w:pPr>
        <w:pStyle w:val="Textonotapie"/>
        <w:ind w:firstLine="709"/>
        <w:jc w:val="both"/>
        <w:rPr>
          <w:rFonts w:ascii="Verdana" w:hAnsi="Verdana" w:cs="Arial"/>
          <w:sz w:val="16"/>
          <w:szCs w:val="16"/>
          <w:lang w:val="es-CO"/>
        </w:rPr>
      </w:pPr>
      <w:r w:rsidRPr="008E4A2F">
        <w:rPr>
          <w:rStyle w:val="Refdenotaalpie"/>
          <w:rFonts w:ascii="Verdana" w:hAnsi="Verdana" w:cs="Arial"/>
          <w:sz w:val="16"/>
          <w:szCs w:val="16"/>
        </w:rPr>
        <w:footnoteRef/>
      </w:r>
      <w:r w:rsidRPr="008E4A2F">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8">
    <w:p w14:paraId="6AD69A95" w14:textId="77777777" w:rsidR="00737E18" w:rsidRPr="008E4A2F" w:rsidRDefault="00737E18" w:rsidP="00737E18">
      <w:pPr>
        <w:pStyle w:val="Textonotapie"/>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de fecha 24 de julio de 2013, radicado 2166, C. P. Álvaro Namén Vargas.  </w:t>
      </w:r>
    </w:p>
  </w:footnote>
  <w:footnote w:id="9">
    <w:p w14:paraId="45F535EC" w14:textId="77777777" w:rsidR="00737E18" w:rsidRPr="008E4A2F" w:rsidRDefault="00737E18" w:rsidP="00737E18">
      <w:pPr>
        <w:spacing w:after="0" w:line="240" w:lineRule="auto"/>
        <w:ind w:firstLine="709"/>
        <w:jc w:val="both"/>
        <w:rPr>
          <w:rFonts w:ascii="Verdana" w:eastAsia="Times New Roman"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w:t>
      </w:r>
      <w:r w:rsidRPr="008E4A2F">
        <w:rPr>
          <w:rFonts w:ascii="Verdana" w:eastAsia="Calibri" w:hAnsi="Verdana" w:cs="Arial"/>
          <w:color w:val="000000"/>
          <w:sz w:val="16"/>
          <w:szCs w:val="16"/>
        </w:rPr>
        <w:t>“</w:t>
      </w:r>
      <w:r w:rsidRPr="008E4A2F">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B2278DF" w14:textId="77777777" w:rsidR="00737E18" w:rsidRPr="008E4A2F" w:rsidRDefault="00737E18" w:rsidP="00737E18">
      <w:pPr>
        <w:spacing w:after="0" w:line="240" w:lineRule="auto"/>
        <w:ind w:firstLine="709"/>
        <w:jc w:val="both"/>
        <w:rPr>
          <w:rFonts w:ascii="Verdana" w:eastAsia="Times New Roman" w:hAnsi="Verdana" w:cs="Arial"/>
          <w:sz w:val="16"/>
          <w:szCs w:val="16"/>
        </w:rPr>
      </w:pPr>
      <w:r w:rsidRPr="008E4A2F">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8E4A2F">
        <w:rPr>
          <w:rFonts w:ascii="Verdana" w:eastAsia="Calibri" w:hAnsi="Verdana" w:cs="Arial"/>
          <w:color w:val="000000"/>
          <w:sz w:val="16"/>
          <w:szCs w:val="16"/>
        </w:rPr>
        <w:t>”</w:t>
      </w:r>
      <w:r w:rsidRPr="008E4A2F">
        <w:rPr>
          <w:rFonts w:ascii="Verdana" w:eastAsia="Times New Roman" w:hAnsi="Verdana" w:cs="Arial"/>
          <w:sz w:val="16"/>
          <w:szCs w:val="16"/>
        </w:rPr>
        <w:t>.</w:t>
      </w:r>
    </w:p>
  </w:footnote>
  <w:footnote w:id="10">
    <w:p w14:paraId="2483F08F" w14:textId="77777777" w:rsidR="00737E18" w:rsidRPr="008E4A2F" w:rsidRDefault="00737E18" w:rsidP="00737E18">
      <w:pPr>
        <w:pStyle w:val="NormalWeb"/>
        <w:spacing w:before="0" w:beforeAutospacing="0" w:after="0" w:afterAutospacing="0"/>
        <w:ind w:firstLine="709"/>
        <w:jc w:val="both"/>
        <w:rPr>
          <w:rFonts w:ascii="Verdana" w:hAnsi="Verdana" w:cs="Arial"/>
          <w:sz w:val="16"/>
          <w:szCs w:val="16"/>
          <w:lang w:val="es-MX"/>
        </w:rPr>
      </w:pPr>
      <w:r w:rsidRPr="008E4A2F">
        <w:rPr>
          <w:rStyle w:val="Refdenotaalpie"/>
          <w:rFonts w:ascii="Verdana" w:hAnsi="Verdana" w:cs="Arial"/>
          <w:sz w:val="16"/>
          <w:szCs w:val="16"/>
        </w:rPr>
        <w:footnoteRef/>
      </w:r>
      <w:r w:rsidRPr="008E4A2F">
        <w:rPr>
          <w:rFonts w:ascii="Verdana" w:hAnsi="Verdana" w:cs="Arial"/>
          <w:sz w:val="16"/>
          <w:szCs w:val="16"/>
        </w:rPr>
        <w:t xml:space="preserve"> </w:t>
      </w:r>
      <w:r w:rsidRPr="008E4A2F">
        <w:rPr>
          <w:rFonts w:ascii="Verdana" w:eastAsia="Calibri" w:hAnsi="Verdana" w:cs="Arial"/>
          <w:color w:val="000000"/>
          <w:sz w:val="16"/>
          <w:szCs w:val="16"/>
        </w:rPr>
        <w:t>“</w:t>
      </w:r>
      <w:r w:rsidRPr="008E4A2F">
        <w:rPr>
          <w:rFonts w:ascii="Verdana" w:hAnsi="Verdana" w:cs="Arial"/>
          <w:sz w:val="16"/>
          <w:szCs w:val="16"/>
          <w:lang w:val="es-MX"/>
        </w:rPr>
        <w:t>Artículo 38. Prohibiciones para los servidores públicos. A los empleados del Estado les está prohibido: […]</w:t>
      </w:r>
    </w:p>
    <w:p w14:paraId="74B06700" w14:textId="77777777" w:rsidR="00737E18" w:rsidRPr="008E4A2F" w:rsidRDefault="00737E18" w:rsidP="00737E18">
      <w:pPr>
        <w:pStyle w:val="NormalWeb"/>
        <w:spacing w:before="0" w:beforeAutospacing="0" w:after="0" w:afterAutospacing="0"/>
        <w:ind w:firstLine="709"/>
        <w:jc w:val="both"/>
        <w:rPr>
          <w:rFonts w:ascii="Verdana" w:hAnsi="Verdana" w:cs="Arial"/>
          <w:sz w:val="16"/>
          <w:szCs w:val="16"/>
          <w:lang w:val="es-MX"/>
        </w:rPr>
      </w:pPr>
      <w:r w:rsidRPr="008E4A2F">
        <w:rPr>
          <w:rStyle w:val="baj"/>
          <w:rFonts w:ascii="Verdana" w:hAnsi="Verdana" w:cs="Arial"/>
          <w:sz w:val="16"/>
          <w:szCs w:val="16"/>
          <w:lang w:val="es-MX"/>
        </w:rPr>
        <w:t>Parágrafo.</w:t>
      </w:r>
      <w:r w:rsidRPr="008E4A2F">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8E4A2F">
        <w:rPr>
          <w:rFonts w:ascii="Verdana" w:eastAsia="Calibri" w:hAnsi="Verdana" w:cs="Arial"/>
          <w:color w:val="000000"/>
          <w:sz w:val="16"/>
          <w:szCs w:val="16"/>
        </w:rPr>
        <w:t>”</w:t>
      </w:r>
      <w:r w:rsidRPr="008E4A2F">
        <w:rPr>
          <w:rFonts w:ascii="Verdana" w:hAnsi="Verdana" w:cs="Arial"/>
          <w:sz w:val="16"/>
          <w:szCs w:val="16"/>
          <w:lang w:val="es-MX"/>
        </w:rPr>
        <w:t>.</w:t>
      </w:r>
    </w:p>
  </w:footnote>
  <w:footnote w:id="11">
    <w:p w14:paraId="2E6C6F06" w14:textId="77777777" w:rsidR="00737E18" w:rsidRPr="008E4A2F" w:rsidRDefault="00737E18" w:rsidP="00737E18">
      <w:pPr>
        <w:pStyle w:val="Textonotapie"/>
        <w:ind w:firstLine="708"/>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Colombia Compra Eficiente. Circular Externa Única. Numeral 16.5. </w:t>
      </w:r>
    </w:p>
  </w:footnote>
  <w:footnote w:id="12">
    <w:p w14:paraId="10EC151F" w14:textId="77777777" w:rsidR="00737E18" w:rsidRPr="008E4A2F" w:rsidRDefault="00737E18" w:rsidP="00737E18">
      <w:pPr>
        <w:spacing w:after="0" w:line="240" w:lineRule="auto"/>
        <w:ind w:left="100" w:right="244" w:firstLine="608"/>
        <w:jc w:val="both"/>
        <w:rPr>
          <w:rFonts w:ascii="Verdana" w:hAnsi="Verdana" w:cs="Arial"/>
          <w:sz w:val="16"/>
          <w:szCs w:val="16"/>
          <w:lang w:val="es-ES"/>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4BF2F4DE" w14:textId="77777777" w:rsidR="00737E18" w:rsidRPr="008E4A2F" w:rsidRDefault="00737E18" w:rsidP="00737E18">
      <w:pPr>
        <w:pStyle w:val="Textonotapie"/>
        <w:ind w:right="51"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w:t>
      </w:r>
      <w:r w:rsidRPr="008E4A2F">
        <w:rPr>
          <w:rFonts w:ascii="Verdana" w:hAnsi="Verdana" w:cs="Arial"/>
          <w:sz w:val="16"/>
          <w:szCs w:val="16"/>
          <w:lang w:val="es-ES"/>
        </w:rPr>
        <w:t xml:space="preserve">[25] </w:t>
      </w:r>
      <w:r w:rsidRPr="008E4A2F">
        <w:rPr>
          <w:rFonts w:ascii="Verdana" w:hAnsi="Verdana" w:cs="Arial"/>
          <w:sz w:val="16"/>
          <w:szCs w:val="16"/>
        </w:rPr>
        <w:t>Cfr. Consejo de Estado. Sección Tercera. Sentencia de 3 de diciembre de 2007. Radicados: 24.715, 25.206, 25.409, 24.524, 27.834, 25.410, 26.105, 28.244, 31.447 -acumulados</w:t>
      </w:r>
      <w:r w:rsidRPr="008E4A2F">
        <w:rPr>
          <w:rFonts w:ascii="Verdana" w:hAnsi="Verdana" w:cs="Arial"/>
          <w:sz w:val="16"/>
          <w:szCs w:val="16"/>
        </w:rPr>
        <w:t>-“.</w:t>
      </w:r>
    </w:p>
  </w:footnote>
  <w:footnote w:id="14">
    <w:p w14:paraId="42A8C1BD" w14:textId="77777777" w:rsidR="00737E18" w:rsidRPr="008E4A2F" w:rsidRDefault="00737E18" w:rsidP="00737E18">
      <w:pPr>
        <w:pStyle w:val="Textonotapie"/>
        <w:ind w:right="51"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w:t>
      </w:r>
      <w:r w:rsidRPr="008E4A2F">
        <w:rPr>
          <w:rFonts w:ascii="Verdana" w:hAnsi="Verdana" w:cs="Arial"/>
          <w:sz w:val="16"/>
          <w:szCs w:val="16"/>
          <w:lang w:val="es-ES"/>
        </w:rPr>
        <w:t xml:space="preserve">[26] </w:t>
      </w:r>
      <w:r w:rsidRPr="008E4A2F">
        <w:rPr>
          <w:rFonts w:ascii="Verdana" w:hAnsi="Verdana" w:cs="Arial"/>
          <w:sz w:val="16"/>
          <w:szCs w:val="16"/>
        </w:rPr>
        <w:t>Al respecto ver el concepto 1712 de 2 de febrero de 2006. Consejo de Estado Sala de Consulta y Servicio Civil”.</w:t>
      </w:r>
    </w:p>
  </w:footnote>
  <w:footnote w:id="15">
    <w:p w14:paraId="5F1D4860" w14:textId="77777777" w:rsidR="00737E18" w:rsidRPr="008E4A2F" w:rsidRDefault="00737E18" w:rsidP="00737E18">
      <w:pPr>
        <w:pStyle w:val="Textonotapie"/>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6">
    <w:p w14:paraId="016E671E" w14:textId="77777777" w:rsidR="00737E18" w:rsidRPr="008E4A2F" w:rsidRDefault="00737E18" w:rsidP="00737E18">
      <w:pPr>
        <w:pStyle w:val="Textonotapie"/>
        <w:ind w:firstLine="709"/>
        <w:jc w:val="both"/>
        <w:rPr>
          <w:rFonts w:ascii="Verdana" w:hAnsi="Verdana" w:cs="Arial"/>
          <w:sz w:val="16"/>
          <w:szCs w:val="16"/>
          <w:lang w:val="es-ES"/>
        </w:rPr>
      </w:pPr>
      <w:r w:rsidRPr="008E4A2F">
        <w:rPr>
          <w:rStyle w:val="Refdenotaalpie"/>
          <w:rFonts w:ascii="Verdana" w:hAnsi="Verdana" w:cs="Arial"/>
          <w:sz w:val="16"/>
          <w:szCs w:val="16"/>
        </w:rPr>
        <w:footnoteRef/>
      </w:r>
      <w:r w:rsidRPr="008E4A2F">
        <w:rPr>
          <w:rFonts w:ascii="Verdana" w:hAnsi="Verdana" w:cs="Arial"/>
          <w:sz w:val="16"/>
          <w:szCs w:val="16"/>
        </w:rPr>
        <w:t xml:space="preserve"> </w:t>
      </w:r>
      <w:r w:rsidRPr="008E4A2F">
        <w:rPr>
          <w:rFonts w:ascii="Verdana" w:hAnsi="Verdana" w:cs="Arial"/>
          <w:sz w:val="16"/>
          <w:szCs w:val="16"/>
          <w:lang w:val="es-ES"/>
        </w:rPr>
        <w:t xml:space="preserve">Artículo 2. </w:t>
      </w:r>
    </w:p>
  </w:footnote>
  <w:footnote w:id="17">
    <w:p w14:paraId="03768E05" w14:textId="77777777" w:rsidR="00737E18" w:rsidRPr="008E4A2F" w:rsidRDefault="00737E18" w:rsidP="00737E18">
      <w:pPr>
        <w:pStyle w:val="Textonotapie"/>
        <w:ind w:firstLine="709"/>
        <w:jc w:val="both"/>
        <w:rPr>
          <w:rFonts w:ascii="Verdana" w:hAnsi="Verdana" w:cs="Arial"/>
          <w:sz w:val="16"/>
          <w:szCs w:val="16"/>
          <w:lang w:val="es-ES"/>
        </w:rPr>
      </w:pPr>
      <w:r w:rsidRPr="008E4A2F">
        <w:rPr>
          <w:rStyle w:val="Refdenotaalpie"/>
          <w:rFonts w:ascii="Verdana" w:hAnsi="Verdana" w:cs="Arial"/>
          <w:sz w:val="16"/>
          <w:szCs w:val="16"/>
        </w:rPr>
        <w:footnoteRef/>
      </w:r>
      <w:r w:rsidRPr="008E4A2F">
        <w:rPr>
          <w:rFonts w:ascii="Verdana" w:hAnsi="Verdana" w:cs="Arial"/>
          <w:sz w:val="16"/>
          <w:szCs w:val="16"/>
        </w:rPr>
        <w:t xml:space="preserve"> </w:t>
      </w:r>
      <w:r w:rsidRPr="008E4A2F">
        <w:rPr>
          <w:rFonts w:ascii="Verdana" w:hAnsi="Verdana" w:cs="Arial"/>
          <w:i/>
          <w:sz w:val="16"/>
          <w:szCs w:val="16"/>
          <w:lang w:val="es-ES"/>
        </w:rPr>
        <w:t>Ídem</w:t>
      </w:r>
      <w:r w:rsidRPr="008E4A2F">
        <w:rPr>
          <w:rFonts w:ascii="Verdana" w:hAnsi="Verdana" w:cs="Arial"/>
          <w:sz w:val="16"/>
          <w:szCs w:val="16"/>
          <w:lang w:val="es-ES"/>
        </w:rPr>
        <w:t>.</w:t>
      </w:r>
    </w:p>
  </w:footnote>
  <w:footnote w:id="18">
    <w:p w14:paraId="7632F80F" w14:textId="77777777" w:rsidR="00737E18" w:rsidRPr="008E4A2F" w:rsidRDefault="00737E18" w:rsidP="00737E18">
      <w:pPr>
        <w:pStyle w:val="Textonotapie"/>
        <w:ind w:firstLine="709"/>
        <w:jc w:val="both"/>
        <w:rPr>
          <w:rFonts w:ascii="Verdana" w:hAnsi="Verdana" w:cs="Arial"/>
          <w:sz w:val="16"/>
          <w:szCs w:val="16"/>
          <w:lang w:val="es-ES"/>
        </w:rPr>
      </w:pPr>
      <w:r w:rsidRPr="008E4A2F">
        <w:rPr>
          <w:rStyle w:val="Refdenotaalpie"/>
          <w:rFonts w:ascii="Verdana" w:hAnsi="Verdana" w:cs="Arial"/>
          <w:sz w:val="16"/>
          <w:szCs w:val="16"/>
        </w:rPr>
        <w:footnoteRef/>
      </w:r>
      <w:r w:rsidRPr="008E4A2F">
        <w:rPr>
          <w:rStyle w:val="Refdenotaalpie"/>
          <w:rFonts w:ascii="Verdana" w:hAnsi="Verdana" w:cs="Arial"/>
          <w:sz w:val="16"/>
          <w:szCs w:val="16"/>
        </w:rPr>
        <w:t xml:space="preserve"> </w:t>
      </w:r>
      <w:r w:rsidRPr="008E4A2F">
        <w:rPr>
          <w:rFonts w:ascii="Verdana" w:hAnsi="Verdana" w:cs="Arial"/>
          <w:sz w:val="16"/>
          <w:szCs w:val="16"/>
          <w:lang w:val="es-ES"/>
        </w:rPr>
        <w:t xml:space="preserve">“[…] A este respecto, cabe recordar que el artículo 860 del Código de Comercio regula la licitación en el derecho privado”. </w:t>
      </w:r>
    </w:p>
  </w:footnote>
  <w:footnote w:id="19">
    <w:p w14:paraId="1C633D2A" w14:textId="77777777" w:rsidR="00737E18" w:rsidRPr="008E4A2F" w:rsidRDefault="00737E18" w:rsidP="00737E18">
      <w:pPr>
        <w:shd w:val="clear" w:color="auto" w:fill="FFFFFF"/>
        <w:spacing w:after="0" w:line="240" w:lineRule="auto"/>
        <w:ind w:firstLine="709"/>
        <w:jc w:val="both"/>
        <w:rPr>
          <w:rFonts w:ascii="Verdana" w:hAnsi="Verdana" w:cs="Arial"/>
          <w:sz w:val="16"/>
          <w:szCs w:val="16"/>
          <w:lang w:val="es-ES"/>
        </w:rPr>
      </w:pPr>
      <w:r w:rsidRPr="008E4A2F">
        <w:rPr>
          <w:rStyle w:val="Refdenotaalpie"/>
          <w:rFonts w:ascii="Verdana" w:hAnsi="Verdana" w:cs="Arial"/>
          <w:sz w:val="16"/>
          <w:szCs w:val="16"/>
        </w:rPr>
        <w:footnoteRef/>
      </w:r>
      <w:r w:rsidRPr="008E4A2F">
        <w:rPr>
          <w:rStyle w:val="Refdenotaalpie"/>
          <w:rFonts w:ascii="Verdana" w:hAnsi="Verdana" w:cs="Arial"/>
          <w:sz w:val="16"/>
          <w:szCs w:val="16"/>
        </w:rPr>
        <w:t xml:space="preserve"> </w:t>
      </w:r>
      <w:r w:rsidRPr="008E4A2F">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20">
    <w:p w14:paraId="262E2317" w14:textId="77777777" w:rsidR="00737E18" w:rsidRPr="008E4A2F" w:rsidRDefault="00737E18" w:rsidP="00737E18">
      <w:pPr>
        <w:pStyle w:val="Textonotapie"/>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del 08 de mayo de 2018. Exp. 2.382. C.P. Álvaro Namén Vargas.</w:t>
      </w:r>
    </w:p>
  </w:footnote>
  <w:footnote w:id="21">
    <w:p w14:paraId="5304F0FC" w14:textId="77777777" w:rsidR="00737E18" w:rsidRPr="008E4A2F" w:rsidRDefault="00737E18" w:rsidP="00737E18">
      <w:pPr>
        <w:pStyle w:val="Textonotapie"/>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7F9DE642" w14:textId="77777777" w:rsidR="00737E18" w:rsidRPr="008E4A2F" w:rsidRDefault="00737E18" w:rsidP="00737E18">
      <w:pPr>
        <w:spacing w:after="0" w:line="240" w:lineRule="auto"/>
        <w:ind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679775B3" w14:textId="77777777" w:rsidR="00737E18" w:rsidRPr="008E4A2F" w:rsidRDefault="00737E18" w:rsidP="00737E18">
      <w:pPr>
        <w:pStyle w:val="Textonotapie"/>
        <w:ind w:right="51" w:firstLine="709"/>
        <w:jc w:val="both"/>
        <w:rPr>
          <w:rFonts w:ascii="Verdana" w:eastAsia="Times New Roman" w:hAnsi="Verdana" w:cs="Arial"/>
          <w:bCs/>
          <w:sz w:val="16"/>
          <w:szCs w:val="16"/>
          <w:lang w:eastAsia="x-none"/>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8E4A2F">
        <w:rPr>
          <w:rFonts w:ascii="Verdana" w:eastAsia="Times New Roman" w:hAnsi="Verdana" w:cs="Arial"/>
          <w:bCs/>
          <w:sz w:val="16"/>
          <w:szCs w:val="16"/>
          <w:lang w:eastAsia="x-none"/>
        </w:rPr>
        <w:t xml:space="preserve"> “</w:t>
      </w:r>
      <w:r w:rsidRPr="008E4A2F">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8E4A2F">
        <w:rPr>
          <w:rFonts w:ascii="Verdana" w:eastAsia="Times New Roman" w:hAnsi="Verdana" w:cs="Arial"/>
          <w:bCs/>
          <w:sz w:val="16"/>
          <w:szCs w:val="16"/>
          <w:lang w:eastAsia="x-none"/>
        </w:rPr>
        <w:t>”.</w:t>
      </w:r>
    </w:p>
  </w:footnote>
  <w:footnote w:id="24">
    <w:p w14:paraId="388B3A75" w14:textId="77777777" w:rsidR="00737E18" w:rsidRPr="008E4A2F" w:rsidRDefault="00737E18" w:rsidP="00737E18">
      <w:pPr>
        <w:spacing w:after="0" w:line="240" w:lineRule="auto"/>
        <w:ind w:firstLine="708"/>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5">
    <w:p w14:paraId="504E5998" w14:textId="77777777" w:rsidR="00737E18" w:rsidRPr="008E4A2F" w:rsidRDefault="00737E18" w:rsidP="00737E18">
      <w:pPr>
        <w:pStyle w:val="Textonotapie"/>
        <w:ind w:right="51" w:firstLine="709"/>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Consejo de Estado. Sala de Consulta y Servicio Civil. Concepto del 20 de febrero de 2006. Rad. 1727. C.P. Enrique José Arboleda Perdomo. </w:t>
      </w:r>
    </w:p>
  </w:footnote>
  <w:footnote w:id="26">
    <w:p w14:paraId="68CFF3CF" w14:textId="77777777" w:rsidR="00737E18" w:rsidRPr="008E4A2F" w:rsidRDefault="00737E18" w:rsidP="00737E18">
      <w:pPr>
        <w:pStyle w:val="Textonotapie"/>
        <w:ind w:firstLine="709"/>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rPr>
        <w:t xml:space="preserve"> </w:t>
      </w:r>
      <w:r w:rsidRPr="008E4A2F">
        <w:rPr>
          <w:rFonts w:ascii="Verdana" w:hAnsi="Verdana" w:cs="Arial"/>
          <w:sz w:val="16"/>
          <w:szCs w:val="16"/>
        </w:rPr>
        <w:t>Consejo de Estado. Sala de Consulta y Servicio Civil. Concepto de 6 de abril de 2006. Rad. 1738. C.P. Enrique José Arboleda Perdomo.</w:t>
      </w:r>
    </w:p>
  </w:footnote>
  <w:footnote w:id="27">
    <w:p w14:paraId="0CC93301" w14:textId="77777777" w:rsidR="00737E18" w:rsidRPr="008E4A2F" w:rsidRDefault="00737E18" w:rsidP="00737E18">
      <w:pPr>
        <w:pStyle w:val="Textonotapie"/>
        <w:ind w:firstLine="709"/>
        <w:contextualSpacing/>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w:t>
      </w:r>
      <w:bookmarkStart w:id="9" w:name="_Hlk192533196"/>
      <w:r w:rsidRPr="008E4A2F">
        <w:rPr>
          <w:rFonts w:ascii="Verdana" w:hAnsi="Verdana" w:cs="Arial"/>
          <w:sz w:val="16"/>
          <w:szCs w:val="16"/>
        </w:rPr>
        <w:t>Consejo de Estado. Sala de Consulta y Servicio Civil. Concepto del 15 de noviembre de 2007. Rad. 1863. C.P.: Luis Fernando Álvarez Jaramillo.</w:t>
      </w:r>
      <w:bookmarkEnd w:id="9"/>
    </w:p>
  </w:footnote>
  <w:footnote w:id="28">
    <w:p w14:paraId="1DB668EF" w14:textId="77777777" w:rsidR="00737E18" w:rsidRPr="008E4A2F" w:rsidRDefault="00737E18" w:rsidP="00737E18">
      <w:pPr>
        <w:pStyle w:val="Textonotapie"/>
        <w:ind w:firstLine="708"/>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Colombia Compra Eficiente. Circular Externa Única. Numeral 15.5.</w:t>
      </w:r>
    </w:p>
  </w:footnote>
  <w:footnote w:id="29">
    <w:p w14:paraId="79E45BCF" w14:textId="77777777" w:rsidR="00737E18" w:rsidRPr="008E4A2F" w:rsidRDefault="00737E18" w:rsidP="00737E18">
      <w:pPr>
        <w:pStyle w:val="Textonotapie"/>
        <w:ind w:firstLine="709"/>
        <w:contextualSpacing/>
        <w:jc w:val="both"/>
        <w:rPr>
          <w:rFonts w:ascii="Verdana" w:hAnsi="Verdana" w:cs="Arial"/>
          <w:sz w:val="16"/>
          <w:szCs w:val="16"/>
        </w:rPr>
      </w:pPr>
      <w:r w:rsidRPr="008E4A2F">
        <w:rPr>
          <w:rStyle w:val="Refdenotaalpie"/>
          <w:rFonts w:ascii="Verdana" w:hAnsi="Verdana"/>
          <w:sz w:val="16"/>
          <w:szCs w:val="16"/>
        </w:rPr>
        <w:footnoteRef/>
      </w:r>
      <w:r w:rsidRPr="008E4A2F">
        <w:rPr>
          <w:rFonts w:ascii="Verdana" w:hAnsi="Verdana"/>
          <w:sz w:val="16"/>
          <w:szCs w:val="16"/>
        </w:rPr>
        <w:t xml:space="preserve"> </w:t>
      </w:r>
      <w:r w:rsidRPr="008E4A2F">
        <w:rPr>
          <w:rFonts w:ascii="Verdana" w:hAnsi="Verdana" w:cs="Arial"/>
          <w:sz w:val="16"/>
          <w:szCs w:val="16"/>
        </w:rPr>
        <w:t xml:space="preserve">Consejo de Estado -Sección Tercera-. Sentencia del 21 de febrero de 2025. CP: José Roberto Sáchica Méndez. Exp. 68.280. </w:t>
      </w:r>
    </w:p>
  </w:footnote>
  <w:footnote w:id="30">
    <w:p w14:paraId="48A2FCE0" w14:textId="77777777" w:rsidR="00737E18" w:rsidRPr="008E4A2F" w:rsidRDefault="00737E18" w:rsidP="00737E18">
      <w:pPr>
        <w:pStyle w:val="Textonotapie"/>
        <w:ind w:firstLine="709"/>
        <w:contextualSpacing/>
        <w:jc w:val="both"/>
        <w:rPr>
          <w:rFonts w:ascii="Verdana" w:hAnsi="Verdana" w:cs="Arial"/>
          <w:sz w:val="16"/>
          <w:szCs w:val="16"/>
        </w:rPr>
      </w:pPr>
      <w:r w:rsidRPr="008E4A2F">
        <w:rPr>
          <w:rFonts w:ascii="Verdana" w:hAnsi="Verdana"/>
          <w:sz w:val="16"/>
          <w:szCs w:val="16"/>
          <w:vertAlign w:val="superscript"/>
        </w:rPr>
        <w:footnoteRef/>
      </w:r>
      <w:r w:rsidRPr="008E4A2F">
        <w:rPr>
          <w:rFonts w:ascii="Verdana" w:hAnsi="Verdana"/>
          <w:sz w:val="16"/>
          <w:szCs w:val="16"/>
          <w:vertAlign w:val="superscript"/>
        </w:rPr>
        <w:t xml:space="preserve"> </w:t>
      </w:r>
      <w:r w:rsidRPr="008E4A2F">
        <w:rPr>
          <w:rFonts w:ascii="Verdana" w:hAnsi="Verdana" w:cs="Arial"/>
          <w:sz w:val="16"/>
          <w:szCs w:val="16"/>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31">
    <w:p w14:paraId="2FCBEDC6" w14:textId="77777777" w:rsidR="00737E18" w:rsidRPr="008E4A2F" w:rsidRDefault="00737E18" w:rsidP="00737E18">
      <w:pPr>
        <w:pStyle w:val="Textonotapie"/>
        <w:ind w:firstLine="709"/>
        <w:contextualSpacing/>
        <w:jc w:val="both"/>
        <w:rPr>
          <w:rFonts w:ascii="Verdana" w:hAnsi="Verdana" w:cs="Arial"/>
          <w:sz w:val="16"/>
          <w:szCs w:val="16"/>
        </w:rPr>
      </w:pPr>
      <w:r w:rsidRPr="008E4A2F">
        <w:rPr>
          <w:rFonts w:ascii="Verdana" w:hAnsi="Verdana"/>
          <w:sz w:val="16"/>
          <w:szCs w:val="16"/>
          <w:vertAlign w:val="superscript"/>
        </w:rPr>
        <w:footnoteRef/>
      </w:r>
      <w:r w:rsidRPr="008E4A2F">
        <w:rPr>
          <w:rFonts w:ascii="Verdana" w:hAnsi="Verdana" w:cs="Arial"/>
          <w:sz w:val="16"/>
          <w:szCs w:val="16"/>
          <w:vertAlign w:val="superscript"/>
        </w:rPr>
        <w:t xml:space="preserve"> </w:t>
      </w:r>
      <w:r w:rsidRPr="008E4A2F">
        <w:rPr>
          <w:rFonts w:ascii="Verdana" w:hAnsi="Verdana" w:cs="Arial"/>
          <w:sz w:val="16"/>
          <w:szCs w:val="16"/>
        </w:rPr>
        <w:t>Ley 80 de 1993: “Artículo 41. Del perfeccionamiento del contrato. Los contratos del Estado se perfeccionan cuando se logre acuerdo sobre el objeto y la contraprestación y éste se eleve a escrito.</w:t>
      </w:r>
    </w:p>
    <w:p w14:paraId="3D6D9AF3" w14:textId="77777777" w:rsidR="00737E18" w:rsidRPr="008E4A2F" w:rsidRDefault="00737E18" w:rsidP="00737E18">
      <w:pPr>
        <w:pStyle w:val="Textonotapie"/>
        <w:ind w:firstLine="709"/>
        <w:contextualSpacing/>
        <w:jc w:val="both"/>
        <w:rPr>
          <w:rFonts w:ascii="Verdana" w:hAnsi="Verdana" w:cs="Arial"/>
          <w:sz w:val="16"/>
          <w:szCs w:val="16"/>
        </w:rPr>
      </w:pPr>
      <w:r w:rsidRPr="008E4A2F">
        <w:rPr>
          <w:rFonts w:ascii="Verdana" w:hAnsi="Verdana" w:cs="Arial"/>
          <w:sz w:val="16"/>
          <w:szCs w:val="16"/>
        </w:rPr>
        <w:t>[…]”.</w:t>
      </w:r>
    </w:p>
  </w:footnote>
  <w:footnote w:id="32">
    <w:p w14:paraId="30DE23D6" w14:textId="77777777" w:rsidR="00737E18" w:rsidRPr="008E4A2F" w:rsidRDefault="00737E18" w:rsidP="00737E18">
      <w:pPr>
        <w:pStyle w:val="Textonotapie"/>
        <w:ind w:firstLine="709"/>
        <w:contextualSpacing/>
        <w:jc w:val="both"/>
        <w:rPr>
          <w:rFonts w:ascii="Verdana" w:hAnsi="Verdana" w:cs="Arial"/>
          <w:sz w:val="16"/>
          <w:szCs w:val="16"/>
        </w:rPr>
      </w:pPr>
      <w:r w:rsidRPr="008E4A2F">
        <w:rPr>
          <w:rFonts w:ascii="Verdana" w:hAnsi="Verdana"/>
          <w:sz w:val="16"/>
          <w:szCs w:val="16"/>
          <w:vertAlign w:val="superscript"/>
        </w:rPr>
        <w:footnoteRef/>
      </w:r>
      <w:r w:rsidRPr="008E4A2F">
        <w:rPr>
          <w:rFonts w:ascii="Verdana" w:hAnsi="Verdana" w:cs="Arial"/>
          <w:sz w:val="16"/>
          <w:szCs w:val="16"/>
          <w:vertAlign w:val="superscript"/>
        </w:rPr>
        <w:t xml:space="preserve"> </w:t>
      </w:r>
      <w:r w:rsidRPr="008E4A2F">
        <w:rPr>
          <w:rFonts w:ascii="Verdana" w:hAnsi="Verdana" w:cs="Arial"/>
          <w:sz w:val="16"/>
          <w:szCs w:val="16"/>
        </w:rPr>
        <w:t>Código Civil: “Artículo 27. Cuando el sentido de la ley sea claro, no se desatenderá su tenor a pretexto de consultar su espíritu”.</w:t>
      </w:r>
    </w:p>
  </w:footnote>
  <w:footnote w:id="33">
    <w:p w14:paraId="55118E20" w14:textId="77777777" w:rsidR="00737E18" w:rsidRPr="008E4A2F" w:rsidRDefault="00737E18" w:rsidP="00737E18">
      <w:pPr>
        <w:pStyle w:val="Textonotapie"/>
        <w:ind w:firstLine="708"/>
        <w:jc w:val="both"/>
        <w:rPr>
          <w:rFonts w:ascii="Verdana" w:hAnsi="Verdana"/>
          <w:sz w:val="16"/>
          <w:szCs w:val="16"/>
          <w:lang w:val="es-ES"/>
        </w:rPr>
      </w:pPr>
      <w:r w:rsidRPr="008E4A2F">
        <w:rPr>
          <w:rStyle w:val="Refdenotaalpie"/>
          <w:rFonts w:ascii="Verdana" w:hAnsi="Verdana"/>
          <w:sz w:val="16"/>
          <w:szCs w:val="16"/>
        </w:rPr>
        <w:footnoteRef/>
      </w:r>
      <w:r w:rsidRPr="008E4A2F">
        <w:rPr>
          <w:rFonts w:ascii="Verdana" w:hAnsi="Verdana"/>
          <w:sz w:val="16"/>
          <w:szCs w:val="16"/>
        </w:rPr>
        <w:t xml:space="preserve"> </w:t>
      </w:r>
      <w:r w:rsidRPr="008E4A2F">
        <w:rPr>
          <w:rFonts w:ascii="Verdana" w:hAnsi="Verdana"/>
          <w:sz w:val="16"/>
          <w:szCs w:val="16"/>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8E4A2F">
        <w:rPr>
          <w:rFonts w:ascii="Verdana" w:hAnsi="Verdana"/>
          <w:i/>
          <w:iCs/>
          <w:sz w:val="16"/>
          <w:szCs w:val="16"/>
          <w:lang w:val="es-ES"/>
        </w:rPr>
        <w:t>Ubi lex non distinguit nec nos distinguere debemus</w:t>
      </w:r>
      <w:r w:rsidRPr="008E4A2F">
        <w:rPr>
          <w:rFonts w:ascii="Verdana" w:hAnsi="Verdana"/>
          <w:sz w:val="16"/>
          <w:szCs w:val="16"/>
          <w:lang w:val="es-ES"/>
        </w:rPr>
        <w:t>, ‘donde la ley no distingue no puede el hombre distinguir’. ‘La extensión que deba dársele a la ley se determinará por su genuino sentido y según las reglas de interpretación precedentes’, dice el artículo 23.</w:t>
      </w:r>
    </w:p>
    <w:p w14:paraId="1D86431C"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sz w:val="16"/>
          <w:szCs w:val="16"/>
          <w:lang w:val="es-ES"/>
        </w:rPr>
        <w:t xml:space="preserve">En el derecho antiguo y en el derecho canónico se distinguían las leyes en favorables y odiosas, para ampliar o restringir su interpretación. </w:t>
      </w:r>
      <w:r w:rsidRPr="008E4A2F">
        <w:rPr>
          <w:rFonts w:ascii="Verdana" w:hAnsi="Verdana"/>
          <w:i/>
          <w:iCs/>
          <w:sz w:val="16"/>
          <w:szCs w:val="16"/>
          <w:lang w:val="es-ES"/>
        </w:rPr>
        <w:t>Odia restringí et favores convenit ampliari</w:t>
      </w:r>
      <w:r w:rsidRPr="008E4A2F">
        <w:rPr>
          <w:rFonts w:ascii="Verdana" w:hAnsi="Verdana"/>
          <w:sz w:val="16"/>
          <w:szCs w:val="16"/>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8E4A2F">
        <w:rPr>
          <w:rFonts w:ascii="Verdana" w:hAnsi="Verdana"/>
          <w:sz w:val="16"/>
          <w:szCs w:val="16"/>
        </w:rPr>
        <w:t>CLARO SOLAR, Luis. Explicaciones de derecho civil chileno y comparado. Volumen I. Tomo I. Santiago: Editorial Jurídica de Chile, 2013. p. 119. Énfasis dentro del texto).</w:t>
      </w:r>
    </w:p>
  </w:footnote>
  <w:footnote w:id="34">
    <w:p w14:paraId="42C948B6" w14:textId="77777777" w:rsidR="00737E18" w:rsidRPr="008E4A2F" w:rsidRDefault="00737E18" w:rsidP="00737E18">
      <w:pPr>
        <w:pStyle w:val="Textonotapie"/>
        <w:ind w:firstLine="709"/>
        <w:contextualSpacing/>
        <w:jc w:val="both"/>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lang w:val="es-CO"/>
        </w:rPr>
        <w:t xml:space="preserve"> Consejo de Estado, Sección Tercera, Subsección B. Auto del 4 de octubre de 2024. C.P: Fredy Ibarra Martínez. Exp. 70.313.</w:t>
      </w:r>
    </w:p>
  </w:footnote>
  <w:footnote w:id="35">
    <w:p w14:paraId="3EF74928" w14:textId="77777777" w:rsidR="00737E18" w:rsidRPr="008E4A2F" w:rsidRDefault="00737E18" w:rsidP="00737E18">
      <w:pPr>
        <w:pStyle w:val="Textonotapie"/>
        <w:ind w:firstLine="709"/>
        <w:contextualSpacing/>
        <w:jc w:val="both"/>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rPr>
        <w:t xml:space="preserve"> La parte resolutiva del auto dispone lo siguiente; “</w:t>
      </w:r>
      <w:r w:rsidRPr="008E4A2F">
        <w:rPr>
          <w:rFonts w:ascii="Verdana" w:hAnsi="Verdana"/>
          <w:b/>
          <w:sz w:val="16"/>
          <w:szCs w:val="16"/>
          <w:lang w:val="es-CO"/>
        </w:rPr>
        <w:t xml:space="preserve">PRIMERO: DECRETAR </w:t>
      </w:r>
      <w:r w:rsidRPr="008E4A2F">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8E4A2F">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8E4A2F">
        <w:rPr>
          <w:rFonts w:ascii="Verdana" w:hAnsi="Verdana"/>
          <w:sz w:val="16"/>
          <w:szCs w:val="16"/>
          <w:lang w:val="es-CO"/>
        </w:rPr>
        <w:t xml:space="preserve">, por las razones expuestas en precedencia. </w:t>
      </w:r>
    </w:p>
    <w:p w14:paraId="2FBE519C" w14:textId="77777777" w:rsidR="00737E18" w:rsidRPr="008E4A2F" w:rsidRDefault="00737E18" w:rsidP="00737E18">
      <w:pPr>
        <w:pStyle w:val="Textonotapie"/>
        <w:ind w:firstLine="709"/>
        <w:contextualSpacing/>
        <w:jc w:val="both"/>
        <w:rPr>
          <w:rFonts w:ascii="Verdana" w:hAnsi="Verdana"/>
          <w:sz w:val="16"/>
          <w:szCs w:val="16"/>
          <w:lang w:val="es-CO"/>
        </w:rPr>
      </w:pPr>
      <w:r w:rsidRPr="008E4A2F">
        <w:rPr>
          <w:rFonts w:ascii="Verdana" w:hAnsi="Verdana"/>
          <w:b/>
          <w:sz w:val="16"/>
          <w:szCs w:val="16"/>
          <w:lang w:val="es-CO"/>
        </w:rPr>
        <w:t xml:space="preserve">SEGUNDO: DECRETAR </w:t>
      </w:r>
      <w:r w:rsidRPr="008E4A2F">
        <w:rPr>
          <w:rFonts w:ascii="Verdana" w:hAnsi="Verdana"/>
          <w:sz w:val="16"/>
          <w:szCs w:val="16"/>
          <w:lang w:val="es-CO"/>
        </w:rPr>
        <w:t>la suspensión provisional de la expresión “</w:t>
      </w:r>
      <w:r w:rsidRPr="008E4A2F">
        <w:rPr>
          <w:rFonts w:ascii="Verdana" w:hAnsi="Verdana"/>
          <w:i/>
          <w:sz w:val="16"/>
          <w:szCs w:val="16"/>
          <w:lang w:val="es-CO"/>
        </w:rPr>
        <w:t>contratos</w:t>
      </w:r>
      <w:r w:rsidRPr="008E4A2F">
        <w:rPr>
          <w:rFonts w:ascii="Verdana" w:hAnsi="Verdana"/>
          <w:sz w:val="16"/>
          <w:szCs w:val="16"/>
          <w:lang w:val="es-CO"/>
        </w:rPr>
        <w:t xml:space="preserve">” y del párrafo </w:t>
      </w:r>
      <w:r w:rsidRPr="008E4A2F">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8E4A2F">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6">
    <w:p w14:paraId="334D8B7D" w14:textId="77777777" w:rsidR="00737E18" w:rsidRPr="008E4A2F" w:rsidRDefault="00737E18" w:rsidP="00737E18">
      <w:pPr>
        <w:spacing w:after="0" w:line="240" w:lineRule="auto"/>
        <w:ind w:firstLine="709"/>
        <w:contextualSpacing/>
        <w:jc w:val="both"/>
        <w:rPr>
          <w:rFonts w:ascii="Verdana" w:eastAsia="Times New Roman" w:hAnsi="Verdana" w:cs="Times New Roman"/>
          <w:sz w:val="16"/>
          <w:szCs w:val="16"/>
          <w:lang w:eastAsia="es-ES"/>
        </w:rPr>
      </w:pPr>
      <w:r w:rsidRPr="008E4A2F">
        <w:rPr>
          <w:rStyle w:val="Refdenotaalpie"/>
          <w:rFonts w:ascii="Verdana" w:hAnsi="Verdana"/>
          <w:sz w:val="16"/>
          <w:szCs w:val="16"/>
        </w:rPr>
        <w:footnoteRef/>
      </w:r>
      <w:r w:rsidRPr="008E4A2F">
        <w:rPr>
          <w:rFonts w:ascii="Verdana" w:hAnsi="Verdana"/>
          <w:sz w:val="16"/>
          <w:szCs w:val="16"/>
        </w:rPr>
        <w:t xml:space="preserve"> </w:t>
      </w:r>
      <w:r w:rsidRPr="008E4A2F">
        <w:rPr>
          <w:rFonts w:ascii="Verdana" w:eastAsia="Times New Roman" w:hAnsi="Verdana" w:cs="Times New Roman"/>
          <w:sz w:val="16"/>
          <w:szCs w:val="16"/>
          <w:lang w:eastAsia="es-ES"/>
        </w:rPr>
        <w:t xml:space="preserve">Consejo de Estado. Sección Tercera. Subsección B. 17 de octubre de 2025. C.P. Fredy Ibarra Martínez. </w:t>
      </w:r>
      <w:r w:rsidRPr="008E4A2F">
        <w:rPr>
          <w:rFonts w:ascii="Verdana" w:hAnsi="Verdana"/>
          <w:sz w:val="16"/>
          <w:szCs w:val="16"/>
        </w:rPr>
        <w:t xml:space="preserve">La parte de la providencia señala: </w:t>
      </w:r>
      <w:r w:rsidRPr="008E4A2F">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7">
    <w:p w14:paraId="40ED0EA1" w14:textId="77777777" w:rsidR="00737E18" w:rsidRPr="008E4A2F" w:rsidRDefault="00737E18" w:rsidP="00737E18">
      <w:pPr>
        <w:pStyle w:val="Textonotapie"/>
        <w:ind w:firstLine="709"/>
        <w:jc w:val="both"/>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rPr>
        <w:t xml:space="preserve"> No </w:t>
      </w:r>
      <w:r w:rsidRPr="008E4A2F">
        <w:rPr>
          <w:rFonts w:ascii="Verdana" w:hAnsi="Verdana"/>
          <w:sz w:val="16"/>
          <w:szCs w:val="16"/>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38">
    <w:p w14:paraId="6157169F" w14:textId="77777777" w:rsidR="00737E18" w:rsidRPr="008E4A2F" w:rsidRDefault="00737E18" w:rsidP="00737E18">
      <w:pPr>
        <w:spacing w:after="0" w:line="240" w:lineRule="auto"/>
        <w:ind w:firstLine="709"/>
        <w:contextualSpacing/>
        <w:jc w:val="both"/>
        <w:rPr>
          <w:rFonts w:ascii="Verdana" w:hAnsi="Verdana" w:cs="Arial"/>
          <w:sz w:val="16"/>
          <w:szCs w:val="16"/>
        </w:rPr>
      </w:pPr>
      <w:r w:rsidRPr="008E4A2F">
        <w:rPr>
          <w:rStyle w:val="Refdenotaalpie"/>
          <w:rFonts w:ascii="Verdana" w:hAnsi="Verdana" w:cs="Arial"/>
          <w:sz w:val="16"/>
          <w:szCs w:val="16"/>
        </w:rPr>
        <w:footnoteRef/>
      </w:r>
      <w:r w:rsidRPr="008E4A2F">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8E4A2F">
        <w:rPr>
          <w:rFonts w:ascii="Verdana" w:hAnsi="Verdana" w:cs="Arial"/>
          <w:spacing w:val="-6"/>
          <w:sz w:val="16"/>
          <w:szCs w:val="16"/>
        </w:rPr>
        <w:t xml:space="preserve"> </w:t>
      </w:r>
      <w:r w:rsidRPr="008E4A2F">
        <w:rPr>
          <w:rFonts w:ascii="Verdana" w:hAnsi="Verdana" w:cs="Arial"/>
          <w:sz w:val="16"/>
          <w:szCs w:val="16"/>
        </w:rPr>
        <w:t>artículo”.</w:t>
      </w:r>
    </w:p>
  </w:footnote>
  <w:footnote w:id="39">
    <w:p w14:paraId="650BAD52" w14:textId="77777777" w:rsidR="00737E18" w:rsidRPr="008E4A2F" w:rsidRDefault="00737E18" w:rsidP="00737E18">
      <w:pPr>
        <w:pStyle w:val="Textonotapie"/>
        <w:ind w:firstLine="708"/>
        <w:rPr>
          <w:rFonts w:ascii="Verdana" w:hAnsi="Verdana"/>
          <w:sz w:val="16"/>
          <w:szCs w:val="16"/>
          <w:lang w:val="pt-BR"/>
        </w:rPr>
      </w:pPr>
      <w:r w:rsidRPr="008E4A2F">
        <w:rPr>
          <w:rStyle w:val="Refdenotaalpie"/>
          <w:rFonts w:ascii="Verdana" w:hAnsi="Verdana"/>
          <w:sz w:val="16"/>
          <w:szCs w:val="16"/>
        </w:rPr>
        <w:footnoteRef/>
      </w:r>
      <w:r w:rsidRPr="008E4A2F">
        <w:rPr>
          <w:rFonts w:ascii="Verdana" w:hAnsi="Verdana"/>
          <w:sz w:val="16"/>
          <w:szCs w:val="16"/>
          <w:lang w:val="pt-BR"/>
        </w:rPr>
        <w:t xml:space="preserve"> Corte Constitucional. Sentencia C-671 de 2005. M.P. Álvaro Tafur Galvis. </w:t>
      </w:r>
    </w:p>
  </w:footnote>
  <w:footnote w:id="40">
    <w:p w14:paraId="0C0521A5" w14:textId="77777777" w:rsidR="00737E18" w:rsidRPr="008E4A2F" w:rsidRDefault="00737E18" w:rsidP="00737E18">
      <w:pPr>
        <w:pStyle w:val="Textonotapie"/>
        <w:ind w:firstLine="708"/>
        <w:jc w:val="both"/>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lang w:val="pt-BR"/>
        </w:rPr>
        <w:t xml:space="preserve"> SANTOS RODRÍGUEZ, Jorge Enrique. Consideraciones sobre los contratos y convenios interadministrativos. En: Revista Digital de Derecho Administrativo, 2008. p.p. 10-11. </w:t>
      </w:r>
      <w:r w:rsidRPr="008E4A2F">
        <w:rPr>
          <w:rFonts w:ascii="Verdana" w:hAnsi="Verdana"/>
          <w:sz w:val="16"/>
          <w:szCs w:val="16"/>
        </w:rPr>
        <w:t>De igual forma, Augusto Ramón Chavéz Marín expresa: “</w:t>
      </w:r>
      <w:r w:rsidRPr="008E4A2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footnote>
  <w:footnote w:id="41">
    <w:p w14:paraId="3BE87E46" w14:textId="77777777" w:rsidR="00737E18" w:rsidRPr="008E4A2F" w:rsidRDefault="00737E18" w:rsidP="00737E18">
      <w:pPr>
        <w:pStyle w:val="Textonotapie"/>
        <w:ind w:firstLine="708"/>
        <w:jc w:val="both"/>
        <w:rPr>
          <w:rFonts w:ascii="Verdana" w:hAnsi="Verdana"/>
          <w:sz w:val="16"/>
          <w:szCs w:val="16"/>
          <w:lang w:val="es-ES"/>
        </w:rPr>
      </w:pPr>
      <w:r w:rsidRPr="008E4A2F">
        <w:rPr>
          <w:rStyle w:val="Refdenotaalpie"/>
          <w:rFonts w:ascii="Verdana" w:hAnsi="Verdana"/>
          <w:sz w:val="16"/>
          <w:szCs w:val="16"/>
        </w:rPr>
        <w:footnoteRef/>
      </w:r>
      <w:r w:rsidRPr="008E4A2F">
        <w:rPr>
          <w:rFonts w:ascii="Verdana" w:hAnsi="Verdana"/>
          <w:sz w:val="16"/>
          <w:szCs w:val="16"/>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42">
    <w:p w14:paraId="61411A45" w14:textId="77777777" w:rsidR="00737E18" w:rsidRPr="008E4A2F" w:rsidRDefault="00737E18" w:rsidP="00737E18">
      <w:pPr>
        <w:pStyle w:val="Textonotapie"/>
        <w:ind w:firstLine="708"/>
        <w:jc w:val="both"/>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rPr>
        <w:t xml:space="preserve"> </w:t>
      </w:r>
      <w:r w:rsidRPr="008E4A2F">
        <w:rPr>
          <w:rFonts w:ascii="Verdana" w:hAnsi="Verdana"/>
          <w:sz w:val="16"/>
          <w:szCs w:val="16"/>
          <w:lang w:val="es-CO"/>
        </w:rPr>
        <w:t>Consejo de Estado. Sección Tercera, Subsección A. Sentencia del 14 de junio de 2019, C.P.: Marta Nubia Velásquez Rico. Rad.: 25000-23-37-000-2010-02552-01 (AP); Consejo de Estado, Sección Tercera, Subsección A. Sentencia del 25 de mayo de 2025. C.P. María Adriana Marín Hernández. Exp. 70.504.</w:t>
      </w:r>
    </w:p>
  </w:footnote>
  <w:footnote w:id="43">
    <w:p w14:paraId="1999B6EA" w14:textId="77777777" w:rsidR="00737E18" w:rsidRPr="008E4A2F" w:rsidRDefault="00737E18" w:rsidP="00737E18">
      <w:pPr>
        <w:pStyle w:val="Textonotapie"/>
        <w:ind w:firstLine="708"/>
        <w:jc w:val="both"/>
        <w:rPr>
          <w:rFonts w:ascii="Verdana" w:hAnsi="Verdana"/>
          <w:sz w:val="16"/>
          <w:szCs w:val="16"/>
          <w:lang w:val="es-CO"/>
        </w:rPr>
      </w:pPr>
      <w:r w:rsidRPr="008E4A2F">
        <w:rPr>
          <w:rStyle w:val="Refdenotaalpie"/>
          <w:rFonts w:ascii="Verdana" w:hAnsi="Verdana"/>
          <w:sz w:val="16"/>
          <w:szCs w:val="16"/>
        </w:rPr>
        <w:footnoteRef/>
      </w:r>
      <w:r w:rsidRPr="008E4A2F">
        <w:rPr>
          <w:rFonts w:ascii="Verdana" w:hAnsi="Verdana"/>
          <w:sz w:val="16"/>
          <w:szCs w:val="16"/>
        </w:rPr>
        <w:t xml:space="preserve"> </w:t>
      </w:r>
      <w:r w:rsidRPr="008E4A2F">
        <w:rPr>
          <w:rFonts w:ascii="Verdana" w:hAnsi="Verdana"/>
          <w:bCs/>
          <w:sz w:val="16"/>
          <w:szCs w:val="16"/>
          <w:lang w:val="es-CO"/>
        </w:rPr>
        <w:t xml:space="preserve">Artículo 2.3.10.2.1. </w:t>
      </w:r>
      <w:r w:rsidRPr="008E4A2F">
        <w:rPr>
          <w:rFonts w:ascii="Verdana" w:hAnsi="Verdana"/>
          <w:i/>
          <w:iCs/>
          <w:sz w:val="16"/>
          <w:szCs w:val="16"/>
          <w:lang w:val="es-CO"/>
        </w:rPr>
        <w:t>Definiciones</w:t>
      </w:r>
      <w:r w:rsidRPr="008E4A2F">
        <w:rPr>
          <w:rFonts w:ascii="Verdana" w:hAnsi="Verdana"/>
          <w:sz w:val="16"/>
          <w:szCs w:val="16"/>
          <w:lang w:val="es-CO"/>
        </w:rPr>
        <w:t>. Para la interpretación y aplicación del presente Título, se establecen las siguientes definiciones: </w:t>
      </w:r>
    </w:p>
    <w:p w14:paraId="390AED6D"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bCs/>
          <w:sz w:val="16"/>
          <w:szCs w:val="16"/>
          <w:lang w:val="es-CO"/>
        </w:rPr>
        <w:t>1. </w:t>
      </w:r>
      <w:r w:rsidRPr="008E4A2F">
        <w:rPr>
          <w:rFonts w:ascii="Verdana" w:hAnsi="Verdana"/>
          <w:bCs/>
          <w:i/>
          <w:iCs/>
          <w:sz w:val="16"/>
          <w:szCs w:val="16"/>
          <w:lang w:val="es-CO"/>
        </w:rPr>
        <w:t>Programa de Alimentación Escolar (PAE</w:t>
      </w:r>
      <w:r w:rsidRPr="008E4A2F">
        <w:rPr>
          <w:rFonts w:ascii="Verdana" w:hAnsi="Verdana"/>
          <w:i/>
          <w:iCs/>
          <w:sz w:val="16"/>
          <w:szCs w:val="16"/>
          <w:lang w:val="es-CO"/>
        </w:rPr>
        <w:t>): </w:t>
      </w:r>
      <w:r w:rsidRPr="008E4A2F">
        <w:rPr>
          <w:rFonts w:ascii="Verdana" w:hAnsi="Verdana"/>
          <w:sz w:val="16"/>
          <w:szCs w:val="16"/>
          <w:lang w:val="es-CO"/>
        </w:rPr>
        <w:t>estrategia estatal que promueve el acceso con permanencia de los niños, niñas, adolescentes y jóvenes en el sistema educativo oficial, a través del suministro de un complemento alimentario durante la jornada escolar, para mantener los niveles de atención, impactar de forma positiva los procesos de aprendizaje, el desarrollo cognitivo, disminuir el ausentismo y la deserción y fomentar estilos de vida saludables. </w:t>
      </w:r>
    </w:p>
    <w:p w14:paraId="73432DD6"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bCs/>
          <w:sz w:val="16"/>
          <w:szCs w:val="16"/>
          <w:lang w:val="es-CO"/>
        </w:rPr>
        <w:t>2. </w:t>
      </w:r>
      <w:r w:rsidRPr="008E4A2F">
        <w:rPr>
          <w:rFonts w:ascii="Verdana" w:hAnsi="Verdana"/>
          <w:bCs/>
          <w:i/>
          <w:iCs/>
          <w:sz w:val="16"/>
          <w:szCs w:val="16"/>
          <w:lang w:val="es-CO"/>
        </w:rPr>
        <w:t>Corresponsabilidad:</w:t>
      </w:r>
      <w:r w:rsidRPr="008E4A2F">
        <w:rPr>
          <w:rFonts w:ascii="Verdana" w:hAnsi="Verdana"/>
          <w:sz w:val="16"/>
          <w:szCs w:val="16"/>
          <w:lang w:val="es-CO"/>
        </w:rPr>
        <w:t> concurrencia de actores y acciones conducentes a garantizar la adecuada y oportuna ejecución y prestación del Programa de Alimentación Escolar (PAE). Implica que el Estado, para poder cumplir ese fin, requiere el apoyo de los otros actores sociales, los cuales deben participar responsablemente y contribuir desde sus respectivos roles y obligaciones. </w:t>
      </w:r>
    </w:p>
    <w:p w14:paraId="73425044"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sz w:val="16"/>
          <w:szCs w:val="16"/>
          <w:lang w:val="es-CO"/>
        </w:rPr>
        <w:t>De igual forma, la familia como contexto más cercano y espacio primario de socialización, es garante del adecuado ejercicio de los derechos de sus integrantes, especialmente si son niños, niñas, adolescentes y jóvenes, con la concurrencia y solidaridad de la sociedad. </w:t>
      </w:r>
    </w:p>
    <w:p w14:paraId="520E45B3"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bCs/>
          <w:sz w:val="16"/>
          <w:szCs w:val="16"/>
          <w:lang w:val="es-CO"/>
        </w:rPr>
        <w:t>3. </w:t>
      </w:r>
      <w:r w:rsidRPr="008E4A2F">
        <w:rPr>
          <w:rFonts w:ascii="Verdana" w:hAnsi="Verdana"/>
          <w:bCs/>
          <w:i/>
          <w:iCs/>
          <w:sz w:val="16"/>
          <w:szCs w:val="16"/>
          <w:lang w:val="es-CO"/>
        </w:rPr>
        <w:t>Fuentes de financiamiento:</w:t>
      </w:r>
      <w:r w:rsidRPr="008E4A2F">
        <w:rPr>
          <w:rFonts w:ascii="Verdana" w:hAnsi="Verdana"/>
          <w:sz w:val="16"/>
          <w:szCs w:val="16"/>
          <w:lang w:val="es-CO"/>
        </w:rPr>
        <w:t> son todos aquellos recursos públicos o privados destinados a financiar el PAE, cuya ejecución será coordinada por las entidades territoriales, bajo el esquema de bolsa común con los recursos de las diferentes fuentes que concurran en el financiamiento del Programa. </w:t>
      </w:r>
    </w:p>
    <w:p w14:paraId="0894CDC1"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bCs/>
          <w:sz w:val="16"/>
          <w:szCs w:val="16"/>
          <w:lang w:val="es-CO"/>
        </w:rPr>
        <w:t>4. </w:t>
      </w:r>
      <w:r w:rsidRPr="008E4A2F">
        <w:rPr>
          <w:rFonts w:ascii="Verdana" w:hAnsi="Verdana"/>
          <w:bCs/>
          <w:i/>
          <w:iCs/>
          <w:sz w:val="16"/>
          <w:szCs w:val="16"/>
          <w:lang w:val="es-CO"/>
        </w:rPr>
        <w:t>Bolsa común:</w:t>
      </w:r>
      <w:r w:rsidRPr="008E4A2F">
        <w:rPr>
          <w:rFonts w:ascii="Verdana" w:hAnsi="Verdana"/>
          <w:sz w:val="16"/>
          <w:szCs w:val="16"/>
          <w:lang w:val="es-CO"/>
        </w:rPr>
        <w:t> esquema de ejecución unificada de recursos mediante el cual la Nación y las entidades territoriales invierten de manera coordinada sus recursos de conformidad con lo establecido en la ley, en este Título y en los lineamientos técnicos-administrativos del PAE, con el fin de alcanzar los objetivos comunes del programa, mediante una ejecución articulada y eficiente de los recursos. </w:t>
      </w:r>
    </w:p>
    <w:p w14:paraId="4FA623E7"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bCs/>
          <w:sz w:val="16"/>
          <w:szCs w:val="16"/>
          <w:lang w:val="es-CO"/>
        </w:rPr>
        <w:t>5. </w:t>
      </w:r>
      <w:r w:rsidRPr="008E4A2F">
        <w:rPr>
          <w:rFonts w:ascii="Verdana" w:hAnsi="Verdana"/>
          <w:bCs/>
          <w:i/>
          <w:iCs/>
          <w:sz w:val="16"/>
          <w:szCs w:val="16"/>
          <w:lang w:val="es-CO"/>
        </w:rPr>
        <w:t>Lineamientos Técnicos-Administrativos:</w:t>
      </w:r>
      <w:r w:rsidRPr="008E4A2F">
        <w:rPr>
          <w:rFonts w:ascii="Verdana" w:hAnsi="Verdana"/>
          <w:sz w:val="16"/>
          <w:szCs w:val="16"/>
          <w:lang w:val="es-CO"/>
        </w:rPr>
        <w:t> documento emitido por el Ministerio de Educación Nacional en el que se definen las condiciones, los elementos técnicos y administrativos mínimos que deben tener o cumplir todos los actores y operadores del programa para la prestación de un servicio de alimentación escolar con calidad, y poder ejecutar acciones dentro del mismo. </w:t>
      </w:r>
    </w:p>
    <w:p w14:paraId="33BC3700" w14:textId="77777777" w:rsidR="00737E18" w:rsidRPr="008E4A2F" w:rsidRDefault="00737E18" w:rsidP="00737E18">
      <w:pPr>
        <w:pStyle w:val="Textonotapie"/>
        <w:ind w:firstLine="708"/>
        <w:jc w:val="both"/>
        <w:rPr>
          <w:rFonts w:ascii="Verdana" w:hAnsi="Verdana"/>
          <w:sz w:val="16"/>
          <w:szCs w:val="16"/>
          <w:lang w:val="es-CO"/>
        </w:rPr>
      </w:pPr>
      <w:r w:rsidRPr="008E4A2F">
        <w:rPr>
          <w:rFonts w:ascii="Verdana" w:hAnsi="Verdana"/>
          <w:sz w:val="16"/>
          <w:szCs w:val="16"/>
          <w:lang w:val="es-CO"/>
        </w:rPr>
        <w:t>Las instituciones educativas ubicadas en comunidades, resguardos o territorios indígenas y grupos étnicos tendrán unos Lineamientos Técnicos Administrativos Diferenciales acorde con sus usos, costumbres e identidad cultural, debidamente concertados en los espacios conformados por la ley, siempre y cuando dichos usos y costumbres no sean contrarios a la Constitución y las leyes. </w:t>
      </w:r>
    </w:p>
    <w:p w14:paraId="5696CBEC" w14:textId="77777777" w:rsidR="00737E18" w:rsidRPr="009D0BD0" w:rsidRDefault="00737E18" w:rsidP="00737E18">
      <w:pPr>
        <w:pStyle w:val="Textonotapie"/>
        <w:ind w:firstLine="708"/>
        <w:jc w:val="both"/>
        <w:rPr>
          <w:rFonts w:ascii="Verdana" w:hAnsi="Verdana"/>
          <w:sz w:val="16"/>
          <w:szCs w:val="16"/>
          <w:lang w:val="es-CO"/>
        </w:rPr>
      </w:pPr>
      <w:r w:rsidRPr="008E4A2F">
        <w:rPr>
          <w:rFonts w:ascii="Verdana" w:hAnsi="Verdana"/>
          <w:bCs/>
          <w:sz w:val="16"/>
          <w:szCs w:val="16"/>
          <w:lang w:val="es-CO"/>
        </w:rPr>
        <w:t>6. </w:t>
      </w:r>
      <w:r w:rsidRPr="008E4A2F">
        <w:rPr>
          <w:rFonts w:ascii="Verdana" w:hAnsi="Verdana"/>
          <w:bCs/>
          <w:i/>
          <w:iCs/>
          <w:sz w:val="16"/>
          <w:szCs w:val="16"/>
          <w:lang w:val="es-CO"/>
        </w:rPr>
        <w:t>Operador del PAE:</w:t>
      </w:r>
      <w:r w:rsidRPr="008E4A2F">
        <w:rPr>
          <w:rFonts w:ascii="Verdana" w:hAnsi="Verdana"/>
          <w:sz w:val="16"/>
          <w:szCs w:val="16"/>
          <w:lang w:val="es-CO"/>
        </w:rPr>
        <w:t> persona contratada para realizar la prestación del servicio del Programa de Alimentación Escolar en las instituciones educativas, haciendo entrega del complemento alimentario a los estudiantes beneficiarios, de acuerdo con los lineamientos, estándares y condiciones mínimas señaladas por el Ministerio de Educación Nacional y las obligaciones del contrato.</w:t>
      </w:r>
      <w:r w:rsidRPr="009D0BD0">
        <w:rPr>
          <w:rFonts w:ascii="Verdana" w:hAnsi="Verdana"/>
          <w:sz w:val="16"/>
          <w:szCs w:val="16"/>
          <w:lang w:val="es-CO"/>
        </w:rPr>
        <w:t> </w:t>
      </w:r>
    </w:p>
  </w:footnote>
  <w:footnote w:id="44">
    <w:p w14:paraId="7219FD2A" w14:textId="77777777" w:rsidR="00737E18" w:rsidRPr="009D6AE1" w:rsidRDefault="00737E18" w:rsidP="00737E18">
      <w:pPr>
        <w:pStyle w:val="Textonotapie"/>
        <w:ind w:firstLine="708"/>
        <w:jc w:val="both"/>
        <w:rPr>
          <w:rFonts w:ascii="Arial" w:hAnsi="Arial" w:cs="Arial"/>
          <w:sz w:val="14"/>
          <w:szCs w:val="14"/>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60360B" w:rsidRDefault="0060360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60360B" w:rsidRDefault="0060360B">
    <w:pPr>
      <w:pStyle w:val="Encabezado"/>
    </w:pPr>
  </w:p>
  <w:p w14:paraId="5E18350A" w14:textId="705F7B76" w:rsidR="0060360B" w:rsidRPr="004A305D" w:rsidRDefault="0060360B" w:rsidP="00B01B1A">
    <w:pPr>
      <w:spacing w:after="0" w:line="120" w:lineRule="auto"/>
      <w:rPr>
        <w:rFonts w:ascii="Century Gothic" w:eastAsia="Geo" w:hAnsi="Century Gothic" w:cs="Geo"/>
        <w:sz w:val="16"/>
        <w:szCs w:val="16"/>
        <w:lang w:eastAsia="es-CO"/>
      </w:rPr>
    </w:pPr>
  </w:p>
  <w:p w14:paraId="211B7F5D" w14:textId="77777777" w:rsidR="0060360B" w:rsidRDefault="0060360B" w:rsidP="00844AE9">
    <w:pPr>
      <w:spacing w:after="0" w:line="240" w:lineRule="auto"/>
      <w:rPr>
        <w:rFonts w:ascii="Verdana" w:hAnsi="Verdana"/>
        <w:sz w:val="24"/>
        <w:szCs w:val="24"/>
      </w:rPr>
    </w:pPr>
  </w:p>
  <w:p w14:paraId="5A0054B1" w14:textId="77777777" w:rsidR="0060360B" w:rsidRPr="00C925AC" w:rsidRDefault="0060360B" w:rsidP="00844AE9">
    <w:pPr>
      <w:spacing w:after="0" w:line="240" w:lineRule="auto"/>
      <w:rPr>
        <w:rFonts w:ascii="Verdana" w:hAnsi="Verdana"/>
        <w:sz w:val="24"/>
        <w:szCs w:val="24"/>
      </w:rPr>
    </w:pPr>
  </w:p>
  <w:p w14:paraId="1FD1C243" w14:textId="37C5500A" w:rsidR="0060360B" w:rsidRPr="00C925AC" w:rsidRDefault="0060360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F7634B6B"/>
    <w:multiLevelType w:val="hybridMultilevel"/>
    <w:tmpl w:val="92994A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6C0FB4E"/>
    <w:multiLevelType w:val="hybridMultilevel"/>
    <w:tmpl w:val="895AFCF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A6C115E"/>
    <w:multiLevelType w:val="hybridMultilevel"/>
    <w:tmpl w:val="5443360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8BCD79"/>
    <w:multiLevelType w:val="hybridMultilevel"/>
    <w:tmpl w:val="13FB668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851425">
    <w:abstractNumId w:val="10"/>
  </w:num>
  <w:num w:numId="2" w16cid:durableId="567767674">
    <w:abstractNumId w:val="3"/>
  </w:num>
  <w:num w:numId="3" w16cid:durableId="1876119244">
    <w:abstractNumId w:val="8"/>
  </w:num>
  <w:num w:numId="4" w16cid:durableId="140418205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41460712">
    <w:abstractNumId w:val="3"/>
  </w:num>
  <w:num w:numId="6" w16cid:durableId="976376139">
    <w:abstractNumId w:val="19"/>
  </w:num>
  <w:num w:numId="7" w16cid:durableId="875311036">
    <w:abstractNumId w:val="9"/>
  </w:num>
  <w:num w:numId="8" w16cid:durableId="941689176">
    <w:abstractNumId w:val="18"/>
  </w:num>
  <w:num w:numId="9" w16cid:durableId="1232275821">
    <w:abstractNumId w:val="11"/>
  </w:num>
  <w:num w:numId="10" w16cid:durableId="1245070123">
    <w:abstractNumId w:val="17"/>
  </w:num>
  <w:num w:numId="11" w16cid:durableId="236718483">
    <w:abstractNumId w:val="12"/>
  </w:num>
  <w:num w:numId="12" w16cid:durableId="601493372">
    <w:abstractNumId w:val="2"/>
  </w:num>
  <w:num w:numId="13" w16cid:durableId="1670524252">
    <w:abstractNumId w:val="7"/>
  </w:num>
  <w:num w:numId="14" w16cid:durableId="560797640">
    <w:abstractNumId w:val="21"/>
  </w:num>
  <w:num w:numId="15" w16cid:durableId="1784568480">
    <w:abstractNumId w:val="16"/>
  </w:num>
  <w:num w:numId="16" w16cid:durableId="1231117596">
    <w:abstractNumId w:val="1"/>
  </w:num>
  <w:num w:numId="17" w16cid:durableId="1083261773">
    <w:abstractNumId w:val="13"/>
  </w:num>
  <w:num w:numId="18" w16cid:durableId="1837376719">
    <w:abstractNumId w:val="14"/>
  </w:num>
  <w:num w:numId="19" w16cid:durableId="592396814">
    <w:abstractNumId w:val="4"/>
  </w:num>
  <w:num w:numId="20" w16cid:durableId="2002731286">
    <w:abstractNumId w:val="6"/>
  </w:num>
  <w:num w:numId="21" w16cid:durableId="1559127671">
    <w:abstractNumId w:val="0"/>
  </w:num>
  <w:num w:numId="22" w16cid:durableId="1030300127">
    <w:abstractNumId w:val="5"/>
  </w:num>
  <w:num w:numId="23" w16cid:durableId="2061779957">
    <w:abstractNumId w:val="20"/>
  </w:num>
  <w:num w:numId="24" w16cid:durableId="179267320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041D"/>
    <w:rsid w:val="00016F78"/>
    <w:rsid w:val="00046945"/>
    <w:rsid w:val="00061B2A"/>
    <w:rsid w:val="0006246F"/>
    <w:rsid w:val="00077D14"/>
    <w:rsid w:val="00081367"/>
    <w:rsid w:val="00082362"/>
    <w:rsid w:val="000825A6"/>
    <w:rsid w:val="00082AFE"/>
    <w:rsid w:val="00095DAE"/>
    <w:rsid w:val="000A02D4"/>
    <w:rsid w:val="000A683E"/>
    <w:rsid w:val="000B19B9"/>
    <w:rsid w:val="000D0334"/>
    <w:rsid w:val="000D5DA7"/>
    <w:rsid w:val="000D6D48"/>
    <w:rsid w:val="000F6486"/>
    <w:rsid w:val="00102203"/>
    <w:rsid w:val="0011272A"/>
    <w:rsid w:val="001156CB"/>
    <w:rsid w:val="00116940"/>
    <w:rsid w:val="00125105"/>
    <w:rsid w:val="00127233"/>
    <w:rsid w:val="00127474"/>
    <w:rsid w:val="0013401F"/>
    <w:rsid w:val="0015699B"/>
    <w:rsid w:val="001A33BF"/>
    <w:rsid w:val="001D1BBB"/>
    <w:rsid w:val="001E194B"/>
    <w:rsid w:val="001E4177"/>
    <w:rsid w:val="001E5EA0"/>
    <w:rsid w:val="001F0B24"/>
    <w:rsid w:val="001F7DC6"/>
    <w:rsid w:val="0020079E"/>
    <w:rsid w:val="0021277A"/>
    <w:rsid w:val="0022400B"/>
    <w:rsid w:val="002421BB"/>
    <w:rsid w:val="0024692A"/>
    <w:rsid w:val="0025796E"/>
    <w:rsid w:val="00261121"/>
    <w:rsid w:val="002707A2"/>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F3CDF"/>
    <w:rsid w:val="0030657A"/>
    <w:rsid w:val="00307DCF"/>
    <w:rsid w:val="00322A85"/>
    <w:rsid w:val="00324168"/>
    <w:rsid w:val="00330834"/>
    <w:rsid w:val="003318AB"/>
    <w:rsid w:val="00335987"/>
    <w:rsid w:val="003448F4"/>
    <w:rsid w:val="00355EA0"/>
    <w:rsid w:val="003604F5"/>
    <w:rsid w:val="00374F5E"/>
    <w:rsid w:val="00377E3E"/>
    <w:rsid w:val="003A1A0B"/>
    <w:rsid w:val="003A779E"/>
    <w:rsid w:val="003C5B9E"/>
    <w:rsid w:val="003C64B8"/>
    <w:rsid w:val="003D0F4D"/>
    <w:rsid w:val="003D1CF9"/>
    <w:rsid w:val="003D5B0D"/>
    <w:rsid w:val="003E0499"/>
    <w:rsid w:val="003E0A60"/>
    <w:rsid w:val="003E4F80"/>
    <w:rsid w:val="003E6439"/>
    <w:rsid w:val="003E6637"/>
    <w:rsid w:val="003E6646"/>
    <w:rsid w:val="003F1AD6"/>
    <w:rsid w:val="003F3941"/>
    <w:rsid w:val="00406575"/>
    <w:rsid w:val="00414C74"/>
    <w:rsid w:val="004151A8"/>
    <w:rsid w:val="00417B5B"/>
    <w:rsid w:val="0042722E"/>
    <w:rsid w:val="00437377"/>
    <w:rsid w:val="0044528D"/>
    <w:rsid w:val="004473CC"/>
    <w:rsid w:val="00455F82"/>
    <w:rsid w:val="00466302"/>
    <w:rsid w:val="00466E39"/>
    <w:rsid w:val="00473BEB"/>
    <w:rsid w:val="004A1847"/>
    <w:rsid w:val="004A305D"/>
    <w:rsid w:val="004B7D74"/>
    <w:rsid w:val="004F21C4"/>
    <w:rsid w:val="004F685F"/>
    <w:rsid w:val="00506CA6"/>
    <w:rsid w:val="0053199F"/>
    <w:rsid w:val="005566E8"/>
    <w:rsid w:val="00557199"/>
    <w:rsid w:val="00574867"/>
    <w:rsid w:val="00575D0A"/>
    <w:rsid w:val="00580BC6"/>
    <w:rsid w:val="0058142F"/>
    <w:rsid w:val="00591460"/>
    <w:rsid w:val="00597A19"/>
    <w:rsid w:val="005A39E6"/>
    <w:rsid w:val="005A65E0"/>
    <w:rsid w:val="005B0452"/>
    <w:rsid w:val="005C2A0C"/>
    <w:rsid w:val="005C3777"/>
    <w:rsid w:val="005C5CDC"/>
    <w:rsid w:val="005C6190"/>
    <w:rsid w:val="005C6BC8"/>
    <w:rsid w:val="005D476C"/>
    <w:rsid w:val="005E288B"/>
    <w:rsid w:val="005E6B20"/>
    <w:rsid w:val="005F181C"/>
    <w:rsid w:val="0060360B"/>
    <w:rsid w:val="006200BF"/>
    <w:rsid w:val="006219F8"/>
    <w:rsid w:val="006302F7"/>
    <w:rsid w:val="00646B9F"/>
    <w:rsid w:val="00662D62"/>
    <w:rsid w:val="00665485"/>
    <w:rsid w:val="00665D70"/>
    <w:rsid w:val="006900D9"/>
    <w:rsid w:val="006A6A7A"/>
    <w:rsid w:val="006C04F1"/>
    <w:rsid w:val="006E4C4E"/>
    <w:rsid w:val="00706C16"/>
    <w:rsid w:val="00715041"/>
    <w:rsid w:val="00721364"/>
    <w:rsid w:val="0072640F"/>
    <w:rsid w:val="007317FA"/>
    <w:rsid w:val="00731E59"/>
    <w:rsid w:val="007340C3"/>
    <w:rsid w:val="00737E18"/>
    <w:rsid w:val="0075231C"/>
    <w:rsid w:val="0075235A"/>
    <w:rsid w:val="00756841"/>
    <w:rsid w:val="007649AB"/>
    <w:rsid w:val="00771D0C"/>
    <w:rsid w:val="007744FB"/>
    <w:rsid w:val="007829E1"/>
    <w:rsid w:val="007833AC"/>
    <w:rsid w:val="0078433B"/>
    <w:rsid w:val="00791D76"/>
    <w:rsid w:val="007A153F"/>
    <w:rsid w:val="007B268C"/>
    <w:rsid w:val="007B7171"/>
    <w:rsid w:val="007C0C0F"/>
    <w:rsid w:val="007C3DC2"/>
    <w:rsid w:val="007D3968"/>
    <w:rsid w:val="007D7F8D"/>
    <w:rsid w:val="007E5497"/>
    <w:rsid w:val="007F18D6"/>
    <w:rsid w:val="00804180"/>
    <w:rsid w:val="00806F5F"/>
    <w:rsid w:val="00815B83"/>
    <w:rsid w:val="00817856"/>
    <w:rsid w:val="00820169"/>
    <w:rsid w:val="00820278"/>
    <w:rsid w:val="008258C9"/>
    <w:rsid w:val="00826EE8"/>
    <w:rsid w:val="008377DE"/>
    <w:rsid w:val="00844AE9"/>
    <w:rsid w:val="008470B0"/>
    <w:rsid w:val="00867F95"/>
    <w:rsid w:val="008835B4"/>
    <w:rsid w:val="008843B6"/>
    <w:rsid w:val="00891928"/>
    <w:rsid w:val="008934CB"/>
    <w:rsid w:val="00895356"/>
    <w:rsid w:val="008A2CD2"/>
    <w:rsid w:val="008A446D"/>
    <w:rsid w:val="008B104D"/>
    <w:rsid w:val="008B25F1"/>
    <w:rsid w:val="008C309E"/>
    <w:rsid w:val="008C383D"/>
    <w:rsid w:val="008C571F"/>
    <w:rsid w:val="008C5A84"/>
    <w:rsid w:val="008D180B"/>
    <w:rsid w:val="008E72AF"/>
    <w:rsid w:val="008F0EA7"/>
    <w:rsid w:val="008F327E"/>
    <w:rsid w:val="0091294A"/>
    <w:rsid w:val="00923EEF"/>
    <w:rsid w:val="009305DC"/>
    <w:rsid w:val="009419F9"/>
    <w:rsid w:val="0095685E"/>
    <w:rsid w:val="00961B09"/>
    <w:rsid w:val="00965334"/>
    <w:rsid w:val="0097093E"/>
    <w:rsid w:val="00990BF1"/>
    <w:rsid w:val="00991790"/>
    <w:rsid w:val="009A027F"/>
    <w:rsid w:val="009A0DFA"/>
    <w:rsid w:val="009A1C6F"/>
    <w:rsid w:val="009B2D26"/>
    <w:rsid w:val="009C71FA"/>
    <w:rsid w:val="009C72E7"/>
    <w:rsid w:val="009C7F7E"/>
    <w:rsid w:val="009D0BD0"/>
    <w:rsid w:val="009D3058"/>
    <w:rsid w:val="009E6333"/>
    <w:rsid w:val="009E746B"/>
    <w:rsid w:val="009F35DD"/>
    <w:rsid w:val="009F3A13"/>
    <w:rsid w:val="00A07EBF"/>
    <w:rsid w:val="00A122D3"/>
    <w:rsid w:val="00A14468"/>
    <w:rsid w:val="00A17F13"/>
    <w:rsid w:val="00A20739"/>
    <w:rsid w:val="00A23AF9"/>
    <w:rsid w:val="00A33C78"/>
    <w:rsid w:val="00A47089"/>
    <w:rsid w:val="00A63F17"/>
    <w:rsid w:val="00A83161"/>
    <w:rsid w:val="00A86E5C"/>
    <w:rsid w:val="00AA3788"/>
    <w:rsid w:val="00AB0ADB"/>
    <w:rsid w:val="00AD67E7"/>
    <w:rsid w:val="00AF1B67"/>
    <w:rsid w:val="00AF619D"/>
    <w:rsid w:val="00B00C0E"/>
    <w:rsid w:val="00B01B1A"/>
    <w:rsid w:val="00B0381D"/>
    <w:rsid w:val="00B13882"/>
    <w:rsid w:val="00B14F36"/>
    <w:rsid w:val="00B31A79"/>
    <w:rsid w:val="00B44A47"/>
    <w:rsid w:val="00B72CD3"/>
    <w:rsid w:val="00B72FFF"/>
    <w:rsid w:val="00B7443D"/>
    <w:rsid w:val="00B944AA"/>
    <w:rsid w:val="00B95ED8"/>
    <w:rsid w:val="00BA15D8"/>
    <w:rsid w:val="00BA7A2E"/>
    <w:rsid w:val="00BC3D36"/>
    <w:rsid w:val="00BD31E4"/>
    <w:rsid w:val="00BD54A6"/>
    <w:rsid w:val="00BD7F72"/>
    <w:rsid w:val="00BE378A"/>
    <w:rsid w:val="00BF6651"/>
    <w:rsid w:val="00BF7425"/>
    <w:rsid w:val="00C04FB3"/>
    <w:rsid w:val="00C11D8B"/>
    <w:rsid w:val="00C15139"/>
    <w:rsid w:val="00C330EB"/>
    <w:rsid w:val="00C50D69"/>
    <w:rsid w:val="00C5365C"/>
    <w:rsid w:val="00C67C8B"/>
    <w:rsid w:val="00C754BE"/>
    <w:rsid w:val="00C76B1C"/>
    <w:rsid w:val="00C77E63"/>
    <w:rsid w:val="00C819F9"/>
    <w:rsid w:val="00C925AC"/>
    <w:rsid w:val="00C946BF"/>
    <w:rsid w:val="00C958D1"/>
    <w:rsid w:val="00CA0E68"/>
    <w:rsid w:val="00CB6357"/>
    <w:rsid w:val="00CC1B26"/>
    <w:rsid w:val="00CD6067"/>
    <w:rsid w:val="00CE4589"/>
    <w:rsid w:val="00CE72C3"/>
    <w:rsid w:val="00CF4861"/>
    <w:rsid w:val="00D078F7"/>
    <w:rsid w:val="00D13A78"/>
    <w:rsid w:val="00D13C5D"/>
    <w:rsid w:val="00D31EC6"/>
    <w:rsid w:val="00D350D3"/>
    <w:rsid w:val="00D361FD"/>
    <w:rsid w:val="00D423A2"/>
    <w:rsid w:val="00D439FC"/>
    <w:rsid w:val="00D44E26"/>
    <w:rsid w:val="00D520D8"/>
    <w:rsid w:val="00D53F94"/>
    <w:rsid w:val="00D63AC2"/>
    <w:rsid w:val="00D677B5"/>
    <w:rsid w:val="00D70345"/>
    <w:rsid w:val="00D7383B"/>
    <w:rsid w:val="00D7788A"/>
    <w:rsid w:val="00DA231B"/>
    <w:rsid w:val="00DC39FC"/>
    <w:rsid w:val="00DD0992"/>
    <w:rsid w:val="00DF3F1B"/>
    <w:rsid w:val="00DF5254"/>
    <w:rsid w:val="00E02524"/>
    <w:rsid w:val="00E16408"/>
    <w:rsid w:val="00E20894"/>
    <w:rsid w:val="00E245AB"/>
    <w:rsid w:val="00E2764C"/>
    <w:rsid w:val="00E27F2E"/>
    <w:rsid w:val="00E5016B"/>
    <w:rsid w:val="00E50AFE"/>
    <w:rsid w:val="00E56EE8"/>
    <w:rsid w:val="00E60AD8"/>
    <w:rsid w:val="00E66DD3"/>
    <w:rsid w:val="00E75C92"/>
    <w:rsid w:val="00E760D9"/>
    <w:rsid w:val="00E771DC"/>
    <w:rsid w:val="00E8252C"/>
    <w:rsid w:val="00E83EFE"/>
    <w:rsid w:val="00E8772A"/>
    <w:rsid w:val="00E90AC3"/>
    <w:rsid w:val="00E90F6B"/>
    <w:rsid w:val="00E92C27"/>
    <w:rsid w:val="00EA0E3D"/>
    <w:rsid w:val="00EA4B5D"/>
    <w:rsid w:val="00EC1DAC"/>
    <w:rsid w:val="00EC38A7"/>
    <w:rsid w:val="00EE1AA8"/>
    <w:rsid w:val="00F04FFA"/>
    <w:rsid w:val="00F11E70"/>
    <w:rsid w:val="00F163B0"/>
    <w:rsid w:val="00F16BC8"/>
    <w:rsid w:val="00F238FA"/>
    <w:rsid w:val="00F23FEA"/>
    <w:rsid w:val="00F31A4A"/>
    <w:rsid w:val="00F31EDC"/>
    <w:rsid w:val="00F462B3"/>
    <w:rsid w:val="00F5664F"/>
    <w:rsid w:val="00F624DD"/>
    <w:rsid w:val="00F666C4"/>
    <w:rsid w:val="00F7339B"/>
    <w:rsid w:val="00F76AFC"/>
    <w:rsid w:val="00F76B7B"/>
    <w:rsid w:val="00FA3E17"/>
    <w:rsid w:val="00FA47C0"/>
    <w:rsid w:val="00FB2271"/>
    <w:rsid w:val="00FB3A0F"/>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E1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4151A8"/>
    <w:rPr>
      <w:b/>
      <w:bCs/>
    </w:rPr>
  </w:style>
  <w:style w:type="character" w:styleId="nfasis">
    <w:name w:val="Emphasis"/>
    <w:basedOn w:val="Fuentedeprrafopredeter"/>
    <w:uiPriority w:val="20"/>
    <w:qFormat/>
    <w:rsid w:val="004151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64887">
      <w:bodyDiv w:val="1"/>
      <w:marLeft w:val="0"/>
      <w:marRight w:val="0"/>
      <w:marTop w:val="0"/>
      <w:marBottom w:val="0"/>
      <w:divBdr>
        <w:top w:val="none" w:sz="0" w:space="0" w:color="auto"/>
        <w:left w:val="none" w:sz="0" w:space="0" w:color="auto"/>
        <w:bottom w:val="none" w:sz="0" w:space="0" w:color="auto"/>
        <w:right w:val="none" w:sz="0" w:space="0" w:color="auto"/>
      </w:divBdr>
      <w:divsChild>
        <w:div w:id="1014302957">
          <w:marLeft w:val="0"/>
          <w:marRight w:val="0"/>
          <w:marTop w:val="0"/>
          <w:marBottom w:val="0"/>
          <w:divBdr>
            <w:top w:val="none" w:sz="0" w:space="0" w:color="auto"/>
            <w:left w:val="none" w:sz="0" w:space="0" w:color="auto"/>
            <w:bottom w:val="none" w:sz="0" w:space="0" w:color="auto"/>
            <w:right w:val="none" w:sz="0" w:space="0" w:color="auto"/>
          </w:divBdr>
        </w:div>
      </w:divsChild>
    </w:div>
    <w:div w:id="264727878">
      <w:bodyDiv w:val="1"/>
      <w:marLeft w:val="0"/>
      <w:marRight w:val="0"/>
      <w:marTop w:val="0"/>
      <w:marBottom w:val="0"/>
      <w:divBdr>
        <w:top w:val="none" w:sz="0" w:space="0" w:color="auto"/>
        <w:left w:val="none" w:sz="0" w:space="0" w:color="auto"/>
        <w:bottom w:val="none" w:sz="0" w:space="0" w:color="auto"/>
        <w:right w:val="none" w:sz="0" w:space="0" w:color="auto"/>
      </w:divBdr>
      <w:divsChild>
        <w:div w:id="1634362215">
          <w:marLeft w:val="0"/>
          <w:marRight w:val="0"/>
          <w:marTop w:val="0"/>
          <w:marBottom w:val="0"/>
          <w:divBdr>
            <w:top w:val="none" w:sz="0" w:space="0" w:color="auto"/>
            <w:left w:val="none" w:sz="0" w:space="0" w:color="auto"/>
            <w:bottom w:val="none" w:sz="0" w:space="0" w:color="auto"/>
            <w:right w:val="none" w:sz="0" w:space="0" w:color="auto"/>
          </w:divBdr>
        </w:div>
      </w:divsChild>
    </w:div>
    <w:div w:id="278729725">
      <w:bodyDiv w:val="1"/>
      <w:marLeft w:val="0"/>
      <w:marRight w:val="0"/>
      <w:marTop w:val="0"/>
      <w:marBottom w:val="0"/>
      <w:divBdr>
        <w:top w:val="none" w:sz="0" w:space="0" w:color="auto"/>
        <w:left w:val="none" w:sz="0" w:space="0" w:color="auto"/>
        <w:bottom w:val="none" w:sz="0" w:space="0" w:color="auto"/>
        <w:right w:val="none" w:sz="0" w:space="0" w:color="auto"/>
      </w:divBdr>
      <w:divsChild>
        <w:div w:id="1992824514">
          <w:marLeft w:val="0"/>
          <w:marRight w:val="0"/>
          <w:marTop w:val="0"/>
          <w:marBottom w:val="0"/>
          <w:divBdr>
            <w:top w:val="none" w:sz="0" w:space="0" w:color="auto"/>
            <w:left w:val="none" w:sz="0" w:space="0" w:color="auto"/>
            <w:bottom w:val="none" w:sz="0" w:space="0" w:color="auto"/>
            <w:right w:val="none" w:sz="0" w:space="0" w:color="auto"/>
          </w:divBdr>
        </w:div>
      </w:divsChild>
    </w:div>
    <w:div w:id="468741564">
      <w:bodyDiv w:val="1"/>
      <w:marLeft w:val="0"/>
      <w:marRight w:val="0"/>
      <w:marTop w:val="0"/>
      <w:marBottom w:val="0"/>
      <w:divBdr>
        <w:top w:val="none" w:sz="0" w:space="0" w:color="auto"/>
        <w:left w:val="none" w:sz="0" w:space="0" w:color="auto"/>
        <w:bottom w:val="none" w:sz="0" w:space="0" w:color="auto"/>
        <w:right w:val="none" w:sz="0" w:space="0" w:color="auto"/>
      </w:divBdr>
      <w:divsChild>
        <w:div w:id="692998847">
          <w:marLeft w:val="0"/>
          <w:marRight w:val="0"/>
          <w:marTop w:val="0"/>
          <w:marBottom w:val="0"/>
          <w:divBdr>
            <w:top w:val="none" w:sz="0" w:space="0" w:color="auto"/>
            <w:left w:val="none" w:sz="0" w:space="0" w:color="auto"/>
            <w:bottom w:val="none" w:sz="0" w:space="0" w:color="auto"/>
            <w:right w:val="none" w:sz="0" w:space="0" w:color="auto"/>
          </w:divBdr>
        </w:div>
      </w:divsChild>
    </w:div>
    <w:div w:id="494808525">
      <w:bodyDiv w:val="1"/>
      <w:marLeft w:val="0"/>
      <w:marRight w:val="0"/>
      <w:marTop w:val="0"/>
      <w:marBottom w:val="0"/>
      <w:divBdr>
        <w:top w:val="none" w:sz="0" w:space="0" w:color="auto"/>
        <w:left w:val="none" w:sz="0" w:space="0" w:color="auto"/>
        <w:bottom w:val="none" w:sz="0" w:space="0" w:color="auto"/>
        <w:right w:val="none" w:sz="0" w:space="0" w:color="auto"/>
      </w:divBdr>
      <w:divsChild>
        <w:div w:id="1682782366">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241504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4515305">
      <w:bodyDiv w:val="1"/>
      <w:marLeft w:val="0"/>
      <w:marRight w:val="0"/>
      <w:marTop w:val="0"/>
      <w:marBottom w:val="0"/>
      <w:divBdr>
        <w:top w:val="none" w:sz="0" w:space="0" w:color="auto"/>
        <w:left w:val="none" w:sz="0" w:space="0" w:color="auto"/>
        <w:bottom w:val="none" w:sz="0" w:space="0" w:color="auto"/>
        <w:right w:val="none" w:sz="0" w:space="0" w:color="auto"/>
      </w:divBdr>
      <w:divsChild>
        <w:div w:id="737703769">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479764076">
      <w:bodyDiv w:val="1"/>
      <w:marLeft w:val="0"/>
      <w:marRight w:val="0"/>
      <w:marTop w:val="0"/>
      <w:marBottom w:val="0"/>
      <w:divBdr>
        <w:top w:val="none" w:sz="0" w:space="0" w:color="auto"/>
        <w:left w:val="none" w:sz="0" w:space="0" w:color="auto"/>
        <w:bottom w:val="none" w:sz="0" w:space="0" w:color="auto"/>
        <w:right w:val="none" w:sz="0" w:space="0" w:color="auto"/>
      </w:divBdr>
      <w:divsChild>
        <w:div w:id="58983323">
          <w:marLeft w:val="0"/>
          <w:marRight w:val="0"/>
          <w:marTop w:val="0"/>
          <w:marBottom w:val="0"/>
          <w:divBdr>
            <w:top w:val="none" w:sz="0" w:space="0" w:color="auto"/>
            <w:left w:val="none" w:sz="0" w:space="0" w:color="auto"/>
            <w:bottom w:val="none" w:sz="0" w:space="0" w:color="auto"/>
            <w:right w:val="none" w:sz="0" w:space="0" w:color="auto"/>
          </w:divBdr>
        </w:div>
      </w:divsChild>
    </w:div>
    <w:div w:id="1489788465">
      <w:bodyDiv w:val="1"/>
      <w:marLeft w:val="0"/>
      <w:marRight w:val="0"/>
      <w:marTop w:val="0"/>
      <w:marBottom w:val="0"/>
      <w:divBdr>
        <w:top w:val="none" w:sz="0" w:space="0" w:color="auto"/>
        <w:left w:val="none" w:sz="0" w:space="0" w:color="auto"/>
        <w:bottom w:val="none" w:sz="0" w:space="0" w:color="auto"/>
        <w:right w:val="none" w:sz="0" w:space="0" w:color="auto"/>
      </w:divBdr>
      <w:divsChild>
        <w:div w:id="913703278">
          <w:marLeft w:val="0"/>
          <w:marRight w:val="0"/>
          <w:marTop w:val="0"/>
          <w:marBottom w:val="0"/>
          <w:divBdr>
            <w:top w:val="none" w:sz="0" w:space="0" w:color="auto"/>
            <w:left w:val="none" w:sz="0" w:space="0" w:color="auto"/>
            <w:bottom w:val="none" w:sz="0" w:space="0" w:color="auto"/>
            <w:right w:val="none" w:sz="0" w:space="0" w:color="auto"/>
          </w:divBdr>
        </w:div>
      </w:divsChild>
    </w:div>
    <w:div w:id="1558398087">
      <w:bodyDiv w:val="1"/>
      <w:marLeft w:val="0"/>
      <w:marRight w:val="0"/>
      <w:marTop w:val="0"/>
      <w:marBottom w:val="0"/>
      <w:divBdr>
        <w:top w:val="none" w:sz="0" w:space="0" w:color="auto"/>
        <w:left w:val="none" w:sz="0" w:space="0" w:color="auto"/>
        <w:bottom w:val="none" w:sz="0" w:space="0" w:color="auto"/>
        <w:right w:val="none" w:sz="0" w:space="0" w:color="auto"/>
      </w:divBdr>
      <w:divsChild>
        <w:div w:id="1643585234">
          <w:marLeft w:val="0"/>
          <w:marRight w:val="0"/>
          <w:marTop w:val="0"/>
          <w:marBottom w:val="0"/>
          <w:divBdr>
            <w:top w:val="none" w:sz="0" w:space="0" w:color="auto"/>
            <w:left w:val="none" w:sz="0" w:space="0" w:color="auto"/>
            <w:bottom w:val="none" w:sz="0" w:space="0" w:color="auto"/>
            <w:right w:val="none" w:sz="0" w:space="0" w:color="auto"/>
          </w:divBdr>
        </w:div>
      </w:divsChild>
    </w:div>
    <w:div w:id="186065645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castanogomez27@gmail.com"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6C57C48F-845B-41DA-93C5-026E1E200673}">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FDE4958-233E-428D-ACD2-3A47AF286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45</Pages>
  <Words>16134</Words>
  <Characters>88419</Characters>
  <Application>Microsoft Office Word</Application>
  <DocSecurity>0</DocSecurity>
  <Lines>1578</Lines>
  <Paragraphs>219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2026-04-15T12:03:00Z</dcterms:created>
  <dcterms:modified xsi:type="dcterms:W3CDTF">2026-04-15T15:43:00Z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