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57F66665" w14:textId="77777777" w:rsidR="00E73A7B" w:rsidRDefault="00E73A7B" w:rsidP="00E73A7B">
      <w:pPr>
        <w:spacing w:after="0" w:line="240" w:lineRule="auto"/>
        <w:contextualSpacing/>
        <w:jc w:val="both"/>
        <w:rPr>
          <w:rFonts w:ascii="Verdana" w:eastAsia="Calibri" w:hAnsi="Verdana" w:cs="Arial"/>
          <w:b/>
          <w:bCs/>
          <w:lang w:val="es-ES" w:eastAsia="es-ES"/>
        </w:rPr>
      </w:pPr>
      <w:r w:rsidRPr="00840F56">
        <w:rPr>
          <w:rFonts w:ascii="Verdana" w:eastAsia="Calibri" w:hAnsi="Verdana" w:cs="Arial"/>
          <w:b/>
          <w:bCs/>
          <w:lang w:val="es-ES" w:eastAsia="es-ES"/>
        </w:rPr>
        <w:t>CERTIFICADO DE DISPONIBILIDAD PRESUPUESTAL – Deber de elaboración – Obligación de las entidades públicas – Etapa precontractual</w:t>
      </w:r>
    </w:p>
    <w:p w14:paraId="22C3250F" w14:textId="77777777" w:rsidR="00E73A7B" w:rsidRDefault="00E73A7B" w:rsidP="00E73A7B">
      <w:pPr>
        <w:spacing w:after="0" w:line="240" w:lineRule="auto"/>
        <w:contextualSpacing/>
        <w:jc w:val="both"/>
        <w:rPr>
          <w:rFonts w:ascii="Verdana" w:eastAsia="Calibri" w:hAnsi="Verdana" w:cs="Arial"/>
          <w:b/>
          <w:bCs/>
          <w:lang w:val="es-ES" w:eastAsia="es-ES"/>
        </w:rPr>
      </w:pPr>
    </w:p>
    <w:p w14:paraId="3371674C" w14:textId="77777777" w:rsidR="00E73A7B" w:rsidRDefault="00E73A7B" w:rsidP="00E73A7B">
      <w:pPr>
        <w:spacing w:after="0" w:line="240" w:lineRule="auto"/>
        <w:contextualSpacing/>
        <w:jc w:val="both"/>
        <w:rPr>
          <w:rFonts w:ascii="Verdana" w:eastAsia="Times New Roman" w:hAnsi="Verdana" w:cs="Arial"/>
          <w:sz w:val="20"/>
          <w:szCs w:val="20"/>
          <w:lang w:val="es-ES" w:eastAsia="es-MX"/>
        </w:rPr>
      </w:pPr>
      <w:r w:rsidRPr="00840F56">
        <w:rPr>
          <w:rFonts w:ascii="Verdana" w:eastAsia="Calibri" w:hAnsi="Verdana" w:cs="Arial"/>
          <w:sz w:val="20"/>
          <w:szCs w:val="20"/>
          <w:lang w:val="es-ES"/>
        </w:rPr>
        <w:t xml:space="preserve">El numeral sexto del artículo 25 de </w:t>
      </w:r>
      <w:r w:rsidRPr="00840F56">
        <w:rPr>
          <w:rFonts w:ascii="Verdana" w:eastAsia="Times New Roman" w:hAnsi="Verdana" w:cs="Arial"/>
          <w:color w:val="1A1A1A" w:themeColor="background1" w:themeShade="1A"/>
          <w:sz w:val="20"/>
          <w:szCs w:val="20"/>
          <w:lang w:val="es-ES" w:eastAsia="es-ES_tradnl"/>
        </w:rPr>
        <w:t xml:space="preserve">la Ley 80 de 1993 estableció el régimen presupuestal en la contratación estatal. En desarrollo del principio de economía, el Estatuto señala que </w:t>
      </w:r>
      <w:r w:rsidRPr="00840F56">
        <w:rPr>
          <w:rFonts w:ascii="Verdana" w:eastAsia="Times New Roman" w:hAnsi="Verdana" w:cs="Arial"/>
          <w:i/>
          <w:iCs/>
          <w:color w:val="1A1A1A" w:themeColor="background1" w:themeShade="1A"/>
          <w:sz w:val="20"/>
          <w:szCs w:val="20"/>
          <w:lang w:val="es-ES" w:eastAsia="es-ES_tradnl"/>
        </w:rPr>
        <w:t>“l</w:t>
      </w:r>
      <w:r w:rsidRPr="00840F56">
        <w:rPr>
          <w:rFonts w:ascii="Verdana" w:eastAsia="Calibri" w:hAnsi="Verdana" w:cs="Arial"/>
          <w:i/>
          <w:iCs/>
          <w:sz w:val="20"/>
          <w:szCs w:val="20"/>
          <w:lang w:val="es-ES" w:eastAsia="es-ES_tradnl"/>
        </w:rPr>
        <w:t>as entidades estatales abrirán licitaciones e iniciarán procesos de suscripción de contratos, cuando existan las respectivas partidas o disponibilidades presupuestales”.</w:t>
      </w:r>
      <w:r w:rsidRPr="00840F56">
        <w:rPr>
          <w:rFonts w:ascii="Verdana" w:eastAsia="Calibri" w:hAnsi="Verdana" w:cs="Arial"/>
          <w:sz w:val="20"/>
          <w:szCs w:val="20"/>
          <w:lang w:val="es-ES" w:eastAsia="es-ES_tradnl"/>
        </w:rPr>
        <w:t xml:space="preserve"> </w:t>
      </w:r>
      <w:r w:rsidRPr="00840F56">
        <w:rPr>
          <w:rFonts w:ascii="Verdana" w:eastAsia="Times New Roman" w:hAnsi="Verdana" w:cs="Arial"/>
          <w:sz w:val="20"/>
          <w:szCs w:val="20"/>
          <w:lang w:val="es-ES" w:eastAsia="es-MX"/>
        </w:rPr>
        <w:t xml:space="preserve">Como se observa, la norma establece de manera expresa el momento o la oportunidad en la que las entidades deben expedir el certificado de disponibilidad presupuestal (CDP) cuando adelanten procesos de contratación. Por expresa disposición del legislador, deben contar con este certificado en una fecha </w:t>
      </w:r>
      <w:r w:rsidRPr="00840F56">
        <w:rPr>
          <w:rFonts w:ascii="Verdana" w:eastAsia="Times New Roman" w:hAnsi="Verdana" w:cs="Arial"/>
          <w:i/>
          <w:iCs/>
          <w:sz w:val="20"/>
          <w:szCs w:val="20"/>
          <w:lang w:val="es-ES" w:eastAsia="es-MX"/>
        </w:rPr>
        <w:t>previa</w:t>
      </w:r>
      <w:r w:rsidRPr="00840F56">
        <w:rPr>
          <w:rFonts w:ascii="Verdana" w:eastAsia="Times New Roman" w:hAnsi="Verdana" w:cs="Arial"/>
          <w:sz w:val="20"/>
          <w:szCs w:val="20"/>
          <w:lang w:val="es-ES" w:eastAsia="es-MX"/>
        </w:rPr>
        <w:t xml:space="preserve"> al momento en que inicia el proceso de selección del contratista.</w:t>
      </w:r>
    </w:p>
    <w:p w14:paraId="2094A6F4" w14:textId="77777777" w:rsidR="00E73A7B" w:rsidRPr="00840F56" w:rsidRDefault="00E73A7B" w:rsidP="00E73A7B">
      <w:pPr>
        <w:spacing w:after="0" w:line="240" w:lineRule="auto"/>
        <w:contextualSpacing/>
        <w:jc w:val="both"/>
        <w:rPr>
          <w:rFonts w:ascii="Verdana" w:eastAsia="Calibri" w:hAnsi="Verdana" w:cs="Arial"/>
          <w:sz w:val="20"/>
          <w:szCs w:val="20"/>
          <w:lang w:val="es-ES" w:eastAsia="es-ES_tradnl"/>
        </w:rPr>
      </w:pPr>
    </w:p>
    <w:p w14:paraId="01D5980A" w14:textId="77777777" w:rsidR="00E73A7B" w:rsidRPr="00840F56" w:rsidRDefault="00E73A7B" w:rsidP="00E73A7B">
      <w:pPr>
        <w:spacing w:after="0" w:line="240" w:lineRule="auto"/>
        <w:contextualSpacing/>
        <w:jc w:val="both"/>
        <w:rPr>
          <w:rFonts w:ascii="Verdana" w:eastAsia="Calibri" w:hAnsi="Verdana" w:cs="Arial"/>
          <w:sz w:val="20"/>
          <w:szCs w:val="20"/>
          <w:lang w:val="es-ES" w:eastAsia="es-ES_tradnl"/>
        </w:rPr>
      </w:pPr>
      <w:r w:rsidRPr="00840F56">
        <w:rPr>
          <w:rFonts w:ascii="Verdana" w:eastAsia="Times New Roman" w:hAnsi="Verdana" w:cs="Arial"/>
          <w:sz w:val="20"/>
          <w:szCs w:val="20"/>
          <w:lang w:val="es-ES" w:eastAsia="es-MX"/>
        </w:rPr>
        <w:t>Esto implica que, en los procesos de licitación pública, selección abreviada y concurso de méritos, las entidades deben contar con el CDP antes de la expedición del acto administrativo de apertura formal del proceso. En la contratación directa, deben expedir el CDP antes del momento en que inicie el proceso de negociación con el futuro contratista.</w:t>
      </w:r>
    </w:p>
    <w:p w14:paraId="7A36705A" w14:textId="77777777" w:rsidR="00E73A7B" w:rsidRDefault="00E73A7B" w:rsidP="00E73A7B">
      <w:pPr>
        <w:spacing w:after="0" w:line="240" w:lineRule="auto"/>
        <w:rPr>
          <w:rFonts w:ascii="Verdana" w:hAnsi="Verdana"/>
          <w:sz w:val="20"/>
          <w:szCs w:val="20"/>
        </w:rPr>
      </w:pPr>
    </w:p>
    <w:p w14:paraId="158119CC" w14:textId="77777777" w:rsidR="00E73A7B" w:rsidRDefault="00E73A7B" w:rsidP="00E73A7B">
      <w:pPr>
        <w:spacing w:after="0" w:line="240" w:lineRule="auto"/>
        <w:rPr>
          <w:rFonts w:ascii="Verdana" w:hAnsi="Verdana"/>
          <w:sz w:val="20"/>
          <w:szCs w:val="20"/>
        </w:rPr>
      </w:pPr>
    </w:p>
    <w:p w14:paraId="14C75D49" w14:textId="77777777" w:rsidR="00E73A7B" w:rsidRDefault="00E73A7B" w:rsidP="00E73A7B">
      <w:pPr>
        <w:spacing w:after="0" w:line="240" w:lineRule="auto"/>
        <w:rPr>
          <w:rFonts w:ascii="Verdana" w:hAnsi="Verdana"/>
          <w:sz w:val="20"/>
          <w:szCs w:val="20"/>
        </w:rPr>
      </w:pPr>
    </w:p>
    <w:p w14:paraId="3F527982" w14:textId="77777777" w:rsidR="00E73A7B" w:rsidRDefault="00E73A7B" w:rsidP="00E73A7B">
      <w:pPr>
        <w:spacing w:after="0" w:line="240" w:lineRule="auto"/>
        <w:rPr>
          <w:rFonts w:ascii="Verdana" w:hAnsi="Verdana"/>
          <w:sz w:val="20"/>
          <w:szCs w:val="20"/>
        </w:rPr>
      </w:pPr>
    </w:p>
    <w:p w14:paraId="5A0C4EB6" w14:textId="77777777" w:rsidR="00E73A7B" w:rsidRDefault="00E73A7B" w:rsidP="00E73A7B">
      <w:pPr>
        <w:spacing w:after="0" w:line="240" w:lineRule="auto"/>
        <w:rPr>
          <w:rFonts w:ascii="Verdana" w:hAnsi="Verdana"/>
          <w:sz w:val="20"/>
          <w:szCs w:val="20"/>
        </w:rPr>
      </w:pPr>
    </w:p>
    <w:p w14:paraId="253477D5" w14:textId="77777777" w:rsidR="00E73A7B" w:rsidRDefault="00E73A7B" w:rsidP="00E73A7B">
      <w:pPr>
        <w:spacing w:after="0" w:line="240" w:lineRule="auto"/>
        <w:rPr>
          <w:rFonts w:ascii="Verdana" w:hAnsi="Verdana"/>
          <w:sz w:val="20"/>
          <w:szCs w:val="20"/>
        </w:rPr>
      </w:pPr>
    </w:p>
    <w:p w14:paraId="68E5E671" w14:textId="77777777" w:rsidR="00E73A7B" w:rsidRDefault="00E73A7B" w:rsidP="00E73A7B">
      <w:pPr>
        <w:spacing w:after="0" w:line="240" w:lineRule="auto"/>
        <w:rPr>
          <w:rFonts w:ascii="Verdana" w:hAnsi="Verdana"/>
          <w:sz w:val="20"/>
          <w:szCs w:val="20"/>
        </w:rPr>
      </w:pPr>
    </w:p>
    <w:p w14:paraId="56C66281" w14:textId="77777777" w:rsidR="00E73A7B" w:rsidRDefault="00E73A7B" w:rsidP="00E73A7B">
      <w:pPr>
        <w:spacing w:after="0" w:line="240" w:lineRule="auto"/>
        <w:rPr>
          <w:rFonts w:ascii="Verdana" w:hAnsi="Verdana"/>
          <w:sz w:val="20"/>
          <w:szCs w:val="20"/>
        </w:rPr>
      </w:pPr>
    </w:p>
    <w:p w14:paraId="13BDC675" w14:textId="77777777" w:rsidR="00E73A7B" w:rsidRDefault="00E73A7B" w:rsidP="00E73A7B">
      <w:pPr>
        <w:spacing w:after="0" w:line="240" w:lineRule="auto"/>
        <w:rPr>
          <w:rFonts w:ascii="Verdana" w:hAnsi="Verdana"/>
          <w:sz w:val="20"/>
          <w:szCs w:val="20"/>
        </w:rPr>
      </w:pPr>
    </w:p>
    <w:p w14:paraId="727336F1" w14:textId="77777777" w:rsidR="00E73A7B" w:rsidRDefault="00E73A7B" w:rsidP="00E73A7B">
      <w:pPr>
        <w:spacing w:after="0" w:line="240" w:lineRule="auto"/>
        <w:rPr>
          <w:rFonts w:ascii="Verdana" w:hAnsi="Verdana"/>
          <w:sz w:val="20"/>
          <w:szCs w:val="20"/>
        </w:rPr>
      </w:pPr>
    </w:p>
    <w:p w14:paraId="490F9D7B" w14:textId="77777777" w:rsidR="00E73A7B" w:rsidRDefault="00E73A7B" w:rsidP="00E73A7B">
      <w:pPr>
        <w:spacing w:after="0" w:line="240" w:lineRule="auto"/>
        <w:rPr>
          <w:rFonts w:ascii="Verdana" w:hAnsi="Verdana"/>
          <w:sz w:val="20"/>
          <w:szCs w:val="20"/>
        </w:rPr>
      </w:pPr>
    </w:p>
    <w:p w14:paraId="7719611B" w14:textId="77777777" w:rsidR="00E73A7B" w:rsidRDefault="00E73A7B" w:rsidP="00E73A7B">
      <w:pPr>
        <w:spacing w:after="0" w:line="240" w:lineRule="auto"/>
        <w:rPr>
          <w:rFonts w:ascii="Verdana" w:hAnsi="Verdana"/>
          <w:sz w:val="20"/>
          <w:szCs w:val="20"/>
        </w:rPr>
      </w:pPr>
    </w:p>
    <w:p w14:paraId="23AF3874" w14:textId="77777777" w:rsidR="00E73A7B" w:rsidRDefault="00E73A7B" w:rsidP="00E73A7B">
      <w:pPr>
        <w:spacing w:after="0" w:line="240" w:lineRule="auto"/>
        <w:rPr>
          <w:rFonts w:ascii="Verdana" w:hAnsi="Verdana"/>
          <w:sz w:val="20"/>
          <w:szCs w:val="20"/>
        </w:rPr>
      </w:pPr>
    </w:p>
    <w:p w14:paraId="1415867F" w14:textId="77777777" w:rsidR="00E73A7B" w:rsidRDefault="00E73A7B" w:rsidP="00E73A7B">
      <w:pPr>
        <w:spacing w:after="0" w:line="240" w:lineRule="auto"/>
        <w:rPr>
          <w:rFonts w:ascii="Verdana" w:hAnsi="Verdana"/>
          <w:sz w:val="20"/>
          <w:szCs w:val="20"/>
        </w:rPr>
      </w:pPr>
    </w:p>
    <w:p w14:paraId="18D56D23" w14:textId="77777777" w:rsidR="00E73A7B" w:rsidRDefault="00E73A7B" w:rsidP="00E73A7B">
      <w:pPr>
        <w:spacing w:after="0" w:line="240" w:lineRule="auto"/>
        <w:rPr>
          <w:rFonts w:ascii="Verdana" w:hAnsi="Verdana"/>
          <w:sz w:val="20"/>
          <w:szCs w:val="20"/>
        </w:rPr>
      </w:pPr>
    </w:p>
    <w:p w14:paraId="4EC897A1" w14:textId="77777777" w:rsidR="00E73A7B" w:rsidRDefault="00E73A7B" w:rsidP="00E73A7B">
      <w:pPr>
        <w:spacing w:after="0" w:line="240" w:lineRule="auto"/>
        <w:rPr>
          <w:rFonts w:ascii="Verdana" w:hAnsi="Verdana"/>
          <w:sz w:val="20"/>
          <w:szCs w:val="20"/>
        </w:rPr>
      </w:pPr>
    </w:p>
    <w:p w14:paraId="006DD302" w14:textId="77777777" w:rsidR="00E73A7B" w:rsidRDefault="00E73A7B" w:rsidP="00E73A7B">
      <w:pPr>
        <w:spacing w:after="0" w:line="240" w:lineRule="auto"/>
        <w:rPr>
          <w:rFonts w:ascii="Verdana" w:hAnsi="Verdana"/>
          <w:sz w:val="20"/>
          <w:szCs w:val="20"/>
        </w:rPr>
      </w:pPr>
    </w:p>
    <w:p w14:paraId="1044AD33" w14:textId="77777777" w:rsidR="00E73A7B" w:rsidRDefault="00E73A7B" w:rsidP="00E73A7B">
      <w:pPr>
        <w:spacing w:after="0" w:line="240" w:lineRule="auto"/>
        <w:rPr>
          <w:rFonts w:ascii="Verdana" w:hAnsi="Verdana"/>
          <w:sz w:val="20"/>
          <w:szCs w:val="20"/>
        </w:rPr>
      </w:pPr>
    </w:p>
    <w:p w14:paraId="35B53D38" w14:textId="77777777" w:rsidR="00E73A7B" w:rsidRDefault="00E73A7B" w:rsidP="00E73A7B">
      <w:pPr>
        <w:spacing w:after="0" w:line="240" w:lineRule="auto"/>
        <w:rPr>
          <w:rFonts w:ascii="Verdana" w:hAnsi="Verdana"/>
          <w:sz w:val="20"/>
          <w:szCs w:val="20"/>
        </w:rPr>
      </w:pPr>
    </w:p>
    <w:p w14:paraId="04FA5B76" w14:textId="77777777" w:rsidR="00E73A7B" w:rsidRDefault="00E73A7B" w:rsidP="00E73A7B">
      <w:pPr>
        <w:spacing w:after="0" w:line="240" w:lineRule="auto"/>
        <w:rPr>
          <w:rFonts w:ascii="Verdana" w:hAnsi="Verdana"/>
          <w:sz w:val="20"/>
          <w:szCs w:val="20"/>
        </w:rPr>
      </w:pPr>
    </w:p>
    <w:p w14:paraId="13936C07" w14:textId="77777777" w:rsidR="00E73A7B" w:rsidRDefault="00E73A7B" w:rsidP="00E73A7B">
      <w:pPr>
        <w:spacing w:after="0" w:line="240" w:lineRule="auto"/>
        <w:rPr>
          <w:rFonts w:ascii="Verdana" w:hAnsi="Verdana"/>
          <w:sz w:val="20"/>
          <w:szCs w:val="20"/>
        </w:rPr>
      </w:pPr>
    </w:p>
    <w:p w14:paraId="19A3F7D3" w14:textId="77777777" w:rsidR="00E73A7B" w:rsidRDefault="00E73A7B" w:rsidP="00E73A7B">
      <w:pPr>
        <w:spacing w:after="0" w:line="240" w:lineRule="auto"/>
        <w:rPr>
          <w:rFonts w:ascii="Verdana" w:hAnsi="Verdana"/>
          <w:sz w:val="20"/>
          <w:szCs w:val="20"/>
        </w:rPr>
      </w:pPr>
    </w:p>
    <w:p w14:paraId="426724BB" w14:textId="77777777" w:rsidR="00E73A7B" w:rsidRDefault="00E73A7B" w:rsidP="00E73A7B">
      <w:pPr>
        <w:spacing w:after="0" w:line="240" w:lineRule="auto"/>
        <w:rPr>
          <w:rFonts w:ascii="Verdana" w:hAnsi="Verdana"/>
          <w:sz w:val="20"/>
          <w:szCs w:val="20"/>
        </w:rPr>
      </w:pPr>
    </w:p>
    <w:p w14:paraId="09F8F3ED" w14:textId="77777777" w:rsidR="00E73A7B" w:rsidRDefault="00E73A7B" w:rsidP="00E73A7B">
      <w:pPr>
        <w:spacing w:after="0" w:line="240" w:lineRule="auto"/>
        <w:rPr>
          <w:rFonts w:ascii="Verdana" w:hAnsi="Verdana"/>
          <w:sz w:val="20"/>
          <w:szCs w:val="20"/>
        </w:rPr>
      </w:pPr>
    </w:p>
    <w:p w14:paraId="2EB28458" w14:textId="77777777" w:rsidR="00E73A7B" w:rsidRDefault="00E73A7B" w:rsidP="00E73A7B">
      <w:pPr>
        <w:spacing w:after="0" w:line="240" w:lineRule="auto"/>
        <w:rPr>
          <w:rFonts w:ascii="Verdana" w:hAnsi="Verdana"/>
          <w:sz w:val="20"/>
          <w:szCs w:val="20"/>
        </w:rPr>
      </w:pPr>
    </w:p>
    <w:p w14:paraId="67A9AC15" w14:textId="7AFE8440" w:rsidR="00E73A7B" w:rsidRPr="00E31648" w:rsidRDefault="00E73A7B" w:rsidP="00E73A7B">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1</w:t>
      </w:r>
      <w:r w:rsidR="00FB1B6B">
        <w:rPr>
          <w:rFonts w:ascii="Verdana" w:eastAsia="Calibri" w:hAnsi="Verdana" w:cs="Arial"/>
          <w:color w:val="000000" w:themeColor="text1"/>
        </w:rPr>
        <w:t>6</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abril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733B911F" w14:textId="77777777" w:rsidR="00E73A7B" w:rsidRDefault="00E73A7B" w:rsidP="00E73A7B">
      <w:pPr>
        <w:spacing w:after="0" w:line="240" w:lineRule="auto"/>
        <w:jc w:val="both"/>
        <w:rPr>
          <w:rFonts w:ascii="Verdana" w:eastAsia="Calibri" w:hAnsi="Verdana" w:cs="Arial"/>
          <w:color w:val="000000" w:themeColor="text1"/>
          <w:lang w:val="es-ES"/>
        </w:rPr>
      </w:pPr>
    </w:p>
    <w:p w14:paraId="4F93D4E4" w14:textId="7A92DCF9" w:rsidR="006F626B" w:rsidRDefault="006F626B" w:rsidP="006F626B">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5599F343" wp14:editId="3C53EC09">
            <wp:extent cx="2324100" cy="638175"/>
            <wp:effectExtent l="0" t="0" r="0" b="9525"/>
            <wp:docPr id="1561502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100" cy="638175"/>
                    </a:xfrm>
                    <a:prstGeom prst="rect">
                      <a:avLst/>
                    </a:prstGeom>
                    <a:noFill/>
                    <a:ln>
                      <a:noFill/>
                    </a:ln>
                  </pic:spPr>
                </pic:pic>
              </a:graphicData>
            </a:graphic>
          </wp:inline>
        </w:drawing>
      </w:r>
    </w:p>
    <w:p w14:paraId="2E856D1D" w14:textId="77777777" w:rsidR="006F626B" w:rsidRDefault="006F626B" w:rsidP="00E73A7B">
      <w:pPr>
        <w:spacing w:after="0" w:line="240" w:lineRule="auto"/>
        <w:jc w:val="both"/>
        <w:rPr>
          <w:rFonts w:ascii="Verdana" w:eastAsia="Calibri" w:hAnsi="Verdana" w:cs="Arial"/>
          <w:color w:val="000000" w:themeColor="text1"/>
          <w:lang w:val="es-ES"/>
        </w:rPr>
      </w:pPr>
    </w:p>
    <w:p w14:paraId="063E57F5" w14:textId="77777777" w:rsidR="006F626B" w:rsidRDefault="006F626B" w:rsidP="00E73A7B">
      <w:pPr>
        <w:spacing w:after="0" w:line="240" w:lineRule="auto"/>
        <w:jc w:val="both"/>
        <w:rPr>
          <w:rFonts w:ascii="Verdana" w:eastAsia="Calibri" w:hAnsi="Verdana" w:cs="Arial"/>
          <w:color w:val="000000" w:themeColor="text1"/>
          <w:lang w:val="es-ES"/>
        </w:rPr>
      </w:pPr>
    </w:p>
    <w:p w14:paraId="4F3B36E4" w14:textId="77777777" w:rsidR="00E73A7B" w:rsidRPr="00115E3D" w:rsidRDefault="00E73A7B" w:rsidP="00E73A7B">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2DB5A092" w14:textId="77777777" w:rsidR="00E73A7B" w:rsidRDefault="00E73A7B" w:rsidP="00E73A7B">
      <w:pPr>
        <w:spacing w:after="0" w:line="240" w:lineRule="auto"/>
        <w:rPr>
          <w:rFonts w:ascii="Verdana" w:eastAsia="Calibri" w:hAnsi="Verdana" w:cs="Arial"/>
          <w:b/>
          <w:bCs/>
          <w:color w:val="000000" w:themeColor="text1"/>
          <w:lang w:eastAsia="es-ES"/>
        </w:rPr>
      </w:pPr>
      <w:r w:rsidRPr="001D556A">
        <w:rPr>
          <w:rFonts w:ascii="Verdana" w:eastAsia="Calibri" w:hAnsi="Verdana" w:cs="Arial"/>
          <w:b/>
          <w:bCs/>
          <w:color w:val="000000" w:themeColor="text1"/>
          <w:lang w:eastAsia="es-ES"/>
        </w:rPr>
        <w:t>CLAUDIA ROSA HERNANDEZ PINZON</w:t>
      </w:r>
    </w:p>
    <w:p w14:paraId="2BDDCF6A" w14:textId="77777777" w:rsidR="00E73A7B" w:rsidRPr="0087638A" w:rsidRDefault="007670F4" w:rsidP="00E73A7B">
      <w:pPr>
        <w:spacing w:after="0" w:line="240" w:lineRule="auto"/>
        <w:rPr>
          <w:rFonts w:ascii="Verdana" w:eastAsia="Calibri" w:hAnsi="Verdana" w:cs="Arial"/>
          <w:color w:val="000000" w:themeColor="text1"/>
          <w:lang w:eastAsia="es-ES"/>
        </w:rPr>
      </w:pPr>
      <w:hyperlink r:id="rId11" w:history="1">
        <w:r w:rsidR="00E73A7B" w:rsidRPr="0063313C">
          <w:rPr>
            <w:rStyle w:val="Hipervnculo"/>
            <w:rFonts w:ascii="Verdana" w:hAnsi="Verdana"/>
          </w:rPr>
          <w:t>claudiar.hernandez@agencialogistica.gov.co</w:t>
        </w:r>
      </w:hyperlink>
      <w:r w:rsidR="00E73A7B">
        <w:rPr>
          <w:rFonts w:ascii="Verdana" w:hAnsi="Verdana"/>
        </w:rPr>
        <w:t xml:space="preserve"> </w:t>
      </w:r>
    </w:p>
    <w:p w14:paraId="776AEF32" w14:textId="77777777" w:rsidR="00E73A7B" w:rsidRPr="00385D7A" w:rsidRDefault="00E73A7B" w:rsidP="00E73A7B">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5C673B43" w14:textId="77777777" w:rsidR="00E73A7B" w:rsidRPr="00CB7ABE" w:rsidRDefault="00E73A7B" w:rsidP="00E73A7B">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E73A7B" w:rsidRPr="00115E3D" w14:paraId="074CD6C6" w14:textId="77777777" w:rsidTr="006B31F8">
        <w:trPr>
          <w:trHeight w:val="615"/>
        </w:trPr>
        <w:tc>
          <w:tcPr>
            <w:tcW w:w="2270" w:type="dxa"/>
          </w:tcPr>
          <w:p w14:paraId="7F595AF8" w14:textId="77777777" w:rsidR="00E73A7B" w:rsidRPr="00CB7ABE" w:rsidRDefault="00E73A7B" w:rsidP="006B31F8">
            <w:pPr>
              <w:jc w:val="both"/>
              <w:rPr>
                <w:rFonts w:ascii="Verdana" w:eastAsia="Calibri" w:hAnsi="Verdana" w:cs="Arial"/>
                <w:b/>
                <w:bCs/>
                <w:color w:val="000000" w:themeColor="text1"/>
                <w:lang w:eastAsia="es-ES_tradnl"/>
              </w:rPr>
            </w:pPr>
          </w:p>
        </w:tc>
        <w:tc>
          <w:tcPr>
            <w:tcW w:w="6547" w:type="dxa"/>
          </w:tcPr>
          <w:p w14:paraId="2203CFEF" w14:textId="77777777" w:rsidR="00E73A7B" w:rsidRPr="008A209A" w:rsidRDefault="00E73A7B" w:rsidP="006B31F8">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361</w:t>
            </w:r>
            <w:r w:rsidRPr="008A209A">
              <w:rPr>
                <w:rFonts w:ascii="Verdana" w:eastAsia="Calibri" w:hAnsi="Verdana" w:cs="Arial"/>
                <w:b/>
                <w:bCs/>
                <w:color w:val="000000" w:themeColor="text1"/>
                <w:lang w:val="es-ES" w:eastAsia="es-ES"/>
              </w:rPr>
              <w:t xml:space="preserve"> de 2026</w:t>
            </w:r>
          </w:p>
        </w:tc>
      </w:tr>
      <w:tr w:rsidR="00E73A7B" w:rsidRPr="007E403E" w14:paraId="1BB7468B" w14:textId="77777777" w:rsidTr="006B31F8">
        <w:trPr>
          <w:trHeight w:val="1071"/>
        </w:trPr>
        <w:tc>
          <w:tcPr>
            <w:tcW w:w="2270" w:type="dxa"/>
          </w:tcPr>
          <w:p w14:paraId="29D82054" w14:textId="77777777" w:rsidR="00E73A7B" w:rsidRPr="001B36DA" w:rsidRDefault="00E73A7B" w:rsidP="006B31F8">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635D0B68" w14:textId="4746E6A1" w:rsidR="00E73A7B" w:rsidRPr="00134D45" w:rsidRDefault="00E73A7B" w:rsidP="006B31F8">
            <w:pPr>
              <w:contextualSpacing/>
              <w:jc w:val="both"/>
              <w:rPr>
                <w:rFonts w:ascii="Verdana" w:eastAsia="Calibri" w:hAnsi="Verdana" w:cs="Arial"/>
                <w:lang w:val="es-ES" w:eastAsia="es-ES"/>
              </w:rPr>
            </w:pPr>
            <w:r w:rsidRPr="00134D45">
              <w:rPr>
                <w:rFonts w:ascii="Verdana" w:eastAsia="Calibri" w:hAnsi="Verdana" w:cs="Arial"/>
                <w:lang w:val="es-ES" w:eastAsia="es-ES"/>
              </w:rPr>
              <w:t>CERTIFICADO DE DISPONIBILIDAD PRESUPUESTAL – Deber de elaboración – Obligación de las entidades pública</w:t>
            </w:r>
            <w:r w:rsidR="008950E7">
              <w:rPr>
                <w:rFonts w:ascii="Verdana" w:eastAsia="Calibri" w:hAnsi="Verdana" w:cs="Arial"/>
                <w:lang w:val="es-ES" w:eastAsia="es-ES"/>
              </w:rPr>
              <w:t xml:space="preserve"> </w:t>
            </w:r>
            <w:r w:rsidR="00FB1B6B">
              <w:rPr>
                <w:rFonts w:ascii="Verdana" w:eastAsia="Calibri" w:hAnsi="Verdana" w:cs="Arial"/>
                <w:lang w:val="es-ES" w:eastAsia="es-ES"/>
              </w:rPr>
              <w:t xml:space="preserve">/ </w:t>
            </w:r>
            <w:r w:rsidR="00FB1B6B" w:rsidRPr="00134D45">
              <w:rPr>
                <w:rFonts w:ascii="Verdana" w:eastAsia="Calibri" w:hAnsi="Verdana" w:cs="Arial"/>
                <w:lang w:val="es-ES" w:eastAsia="es-ES"/>
              </w:rPr>
              <w:t>CERTIFICADO</w:t>
            </w:r>
            <w:r w:rsidR="008950E7" w:rsidRPr="00134D45">
              <w:rPr>
                <w:rFonts w:ascii="Verdana" w:eastAsia="Calibri" w:hAnsi="Verdana" w:cs="Arial"/>
                <w:lang w:val="es-ES" w:eastAsia="es-ES"/>
              </w:rPr>
              <w:t xml:space="preserve"> DE DISPONIBILIDAD PRESUPUESTAL – Deber de elaboración</w:t>
            </w:r>
            <w:r w:rsidRPr="00134D45">
              <w:rPr>
                <w:rFonts w:ascii="Verdana" w:eastAsia="Calibri" w:hAnsi="Verdana" w:cs="Arial"/>
                <w:lang w:val="es-ES" w:eastAsia="es-ES"/>
              </w:rPr>
              <w:t xml:space="preserve"> – Etapa precontractual</w:t>
            </w:r>
          </w:p>
          <w:p w14:paraId="038B8D45" w14:textId="77777777" w:rsidR="00E73A7B" w:rsidRPr="00E7389E" w:rsidRDefault="00E73A7B" w:rsidP="006B31F8">
            <w:pPr>
              <w:spacing w:line="276" w:lineRule="auto"/>
              <w:jc w:val="both"/>
              <w:rPr>
                <w:rFonts w:ascii="Verdana" w:eastAsia="Calibri" w:hAnsi="Verdana" w:cs="Arial"/>
                <w:color w:val="000000" w:themeColor="text1"/>
                <w:highlight w:val="yellow"/>
                <w:lang w:val="es-ES" w:eastAsia="es-ES"/>
              </w:rPr>
            </w:pPr>
          </w:p>
        </w:tc>
      </w:tr>
      <w:tr w:rsidR="00E73A7B" w:rsidRPr="00115E3D" w14:paraId="452106F0" w14:textId="77777777" w:rsidTr="006B31F8">
        <w:trPr>
          <w:trHeight w:val="653"/>
        </w:trPr>
        <w:tc>
          <w:tcPr>
            <w:tcW w:w="2270" w:type="dxa"/>
          </w:tcPr>
          <w:p w14:paraId="6119F7FE" w14:textId="77777777" w:rsidR="00E73A7B" w:rsidRPr="00CB7ABE" w:rsidRDefault="00E73A7B" w:rsidP="006B31F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C4BBFA3" w14:textId="77777777" w:rsidR="00E73A7B" w:rsidRPr="00E4271C" w:rsidRDefault="00E73A7B" w:rsidP="006B31F8">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1D556A">
              <w:rPr>
                <w:rFonts w:ascii="Verdana" w:hAnsi="Verdana"/>
                <w:color w:val="2B2B2B"/>
              </w:rPr>
              <w:t>1_2026_03_04_003070</w:t>
            </w:r>
          </w:p>
          <w:p w14:paraId="3CAC0B4B" w14:textId="77777777" w:rsidR="00E73A7B" w:rsidRDefault="00E73A7B" w:rsidP="006B31F8">
            <w:pPr>
              <w:ind w:right="1"/>
              <w:jc w:val="both"/>
              <w:rPr>
                <w:rFonts w:ascii="Verdana" w:hAnsi="Verdana"/>
                <w:color w:val="000000"/>
              </w:rPr>
            </w:pPr>
          </w:p>
          <w:p w14:paraId="4103AD6D" w14:textId="5AEC775D" w:rsidR="00E73A7B" w:rsidRPr="00CB7ABE" w:rsidRDefault="00E73A7B" w:rsidP="006B31F8">
            <w:pPr>
              <w:ind w:right="1"/>
              <w:jc w:val="both"/>
              <w:rPr>
                <w:rFonts w:ascii="Verdana" w:hAnsi="Verdana"/>
                <w:color w:val="000000"/>
              </w:rPr>
            </w:pPr>
          </w:p>
        </w:tc>
      </w:tr>
    </w:tbl>
    <w:p w14:paraId="1F1404F3" w14:textId="77777777" w:rsidR="00E73A7B" w:rsidRPr="00115E3D" w:rsidRDefault="00E73A7B" w:rsidP="00E73A7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Hernández;</w:t>
      </w:r>
    </w:p>
    <w:p w14:paraId="5E0E96FF" w14:textId="77777777" w:rsidR="00E73A7B" w:rsidRPr="00115E3D" w:rsidRDefault="00E73A7B" w:rsidP="00E73A7B">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0C3A1BB" w14:textId="77777777" w:rsidR="00E73A7B" w:rsidRPr="00115E3D" w:rsidRDefault="00E73A7B" w:rsidP="00E73A7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05 de marzo de 2026 </w:t>
      </w:r>
      <w:r w:rsidRPr="00115E3D">
        <w:rPr>
          <w:rFonts w:ascii="Verdana" w:eastAsia="Calibri" w:hAnsi="Verdana" w:cs="Arial"/>
          <w:color w:val="000000" w:themeColor="text1"/>
          <w:lang w:val="es-ES" w:eastAsia="es-ES"/>
        </w:rPr>
        <w:t xml:space="preserve">en la cual manifiesta lo siguiente: </w:t>
      </w:r>
    </w:p>
    <w:p w14:paraId="1C206EC2" w14:textId="77777777" w:rsidR="00E73A7B" w:rsidRDefault="00E73A7B" w:rsidP="00E73A7B">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345CAA4" w14:textId="77777777" w:rsidR="00E73A7B" w:rsidRPr="001D556A" w:rsidRDefault="00E73A7B" w:rsidP="00E73A7B">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sidRPr="001D556A">
        <w:rPr>
          <w:rFonts w:ascii="Verdana" w:eastAsia="Century Gothic" w:hAnsi="Verdana" w:cs="Century Gothic"/>
          <w:i/>
          <w:iCs/>
          <w:color w:val="000000" w:themeColor="text1"/>
          <w:sz w:val="20"/>
          <w:szCs w:val="20"/>
        </w:rPr>
        <w:t>Solicito amablemente me den concepto jurídico sobre la viabilidad de</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estructurar y adelantar una licitación pública sin certificado de</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disponibilidad presupuestal previo, sin presupuesto oficial asignado y con</w:t>
      </w:r>
    </w:p>
    <w:p w14:paraId="477BB7F7" w14:textId="77777777" w:rsidR="00E73A7B" w:rsidRPr="001D556A" w:rsidRDefault="00E73A7B" w:rsidP="00E73A7B">
      <w:pPr>
        <w:spacing w:after="0" w:line="240" w:lineRule="auto"/>
        <w:ind w:left="709" w:right="709"/>
        <w:jc w:val="both"/>
        <w:rPr>
          <w:rFonts w:ascii="Verdana" w:eastAsia="Century Gothic" w:hAnsi="Verdana" w:cs="Century Gothic"/>
          <w:i/>
          <w:iCs/>
          <w:color w:val="000000" w:themeColor="text1"/>
          <w:sz w:val="20"/>
          <w:szCs w:val="20"/>
        </w:rPr>
      </w:pPr>
      <w:r w:rsidRPr="001D556A">
        <w:rPr>
          <w:rFonts w:ascii="Verdana" w:eastAsia="Century Gothic" w:hAnsi="Verdana" w:cs="Century Gothic"/>
          <w:i/>
          <w:iCs/>
          <w:color w:val="000000" w:themeColor="text1"/>
          <w:sz w:val="20"/>
          <w:szCs w:val="20"/>
        </w:rPr>
        <w:t>ejecución condicionada a órdenes futuras. Agradezco se sirvan emitir</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concepto respecto de los siguientes interrogantes: Primero. ¿Es</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jurídicamente viable que una entidad estatal abra y adelante una</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licitación pública sin contar previamente con certificado de disponibilidad</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lastRenderedPageBreak/>
        <w:t>presupuestal, cuando en los documentos del proceso se indica que el</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respaldo presupuestal solo existirá en órdenes de abastecimiento futuras?</w:t>
      </w:r>
    </w:p>
    <w:p w14:paraId="704D5605" w14:textId="77777777" w:rsidR="00E73A7B" w:rsidRPr="001D556A" w:rsidRDefault="00E73A7B" w:rsidP="00E73A7B">
      <w:pPr>
        <w:spacing w:after="0" w:line="240" w:lineRule="auto"/>
        <w:ind w:left="709" w:right="709"/>
        <w:jc w:val="both"/>
        <w:rPr>
          <w:rFonts w:ascii="Verdana" w:eastAsia="Century Gothic" w:hAnsi="Verdana" w:cs="Century Gothic"/>
          <w:i/>
          <w:iCs/>
          <w:color w:val="000000" w:themeColor="text1"/>
          <w:sz w:val="20"/>
          <w:szCs w:val="20"/>
        </w:rPr>
      </w:pPr>
      <w:r w:rsidRPr="001D556A">
        <w:rPr>
          <w:rFonts w:ascii="Verdana" w:eastAsia="Century Gothic" w:hAnsi="Verdana" w:cs="Century Gothic"/>
          <w:i/>
          <w:iCs/>
          <w:color w:val="000000" w:themeColor="text1"/>
          <w:sz w:val="20"/>
          <w:szCs w:val="20"/>
        </w:rPr>
        <w:t>Segundo. ¿Es compatible con el régimen de contratación estatal que una</w:t>
      </w:r>
    </w:p>
    <w:p w14:paraId="61E9EF1B" w14:textId="77777777" w:rsidR="00E73A7B" w:rsidRPr="00970C7D" w:rsidRDefault="00E73A7B" w:rsidP="00E73A7B">
      <w:pPr>
        <w:spacing w:after="0" w:line="240" w:lineRule="auto"/>
        <w:ind w:left="709" w:right="709"/>
        <w:jc w:val="both"/>
        <w:rPr>
          <w:rFonts w:ascii="Verdana" w:eastAsia="Century Gothic" w:hAnsi="Verdana" w:cs="Century Gothic"/>
          <w:i/>
          <w:iCs/>
          <w:color w:val="000000" w:themeColor="text1"/>
          <w:sz w:val="20"/>
          <w:szCs w:val="20"/>
        </w:rPr>
      </w:pPr>
      <w:r w:rsidRPr="001D556A">
        <w:rPr>
          <w:rFonts w:ascii="Verdana" w:eastAsia="Century Gothic" w:hAnsi="Verdana" w:cs="Century Gothic"/>
          <w:i/>
          <w:iCs/>
          <w:color w:val="000000" w:themeColor="text1"/>
          <w:sz w:val="20"/>
          <w:szCs w:val="20"/>
        </w:rPr>
        <w:t>entidad adelante un proceso de licitación pública manifestando que no</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cuenta con presupuesto oficial asignado y que el contrato principal</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dependerá de requerimientos futuros e inciertos de sus clientes o usuarios?</w:t>
      </w:r>
      <w:r>
        <w:rPr>
          <w:rFonts w:ascii="Verdana" w:eastAsia="Century Gothic" w:hAnsi="Verdana" w:cs="Century Gothic"/>
          <w:i/>
          <w:iCs/>
          <w:color w:val="000000" w:themeColor="text1"/>
          <w:sz w:val="20"/>
          <w:szCs w:val="20"/>
        </w:rPr>
        <w:t xml:space="preserve"> </w:t>
      </w:r>
      <w:r w:rsidRPr="001D556A">
        <w:rPr>
          <w:rFonts w:ascii="Verdana" w:eastAsia="Century Gothic" w:hAnsi="Verdana" w:cs="Century Gothic"/>
          <w:i/>
          <w:iCs/>
          <w:color w:val="000000" w:themeColor="text1"/>
          <w:sz w:val="20"/>
          <w:szCs w:val="20"/>
        </w:rPr>
        <w:t>y otros que aporto en documento adjunt</w:t>
      </w:r>
      <w:r>
        <w:rPr>
          <w:rFonts w:ascii="Verdana" w:eastAsia="Century Gothic" w:hAnsi="Verdana" w:cs="Century Gothic"/>
          <w:i/>
          <w:iCs/>
          <w:color w:val="000000" w:themeColor="text1"/>
          <w:sz w:val="20"/>
          <w:szCs w:val="20"/>
        </w:rPr>
        <w:t>o”.</w:t>
      </w:r>
      <w:r w:rsidRPr="00970C7D">
        <w:rPr>
          <w:rFonts w:ascii="Verdana" w:eastAsia="Century Gothic" w:hAnsi="Verdana" w:cs="Century Gothic"/>
          <w:i/>
          <w:iCs/>
          <w:color w:val="000000" w:themeColor="text1"/>
          <w:sz w:val="20"/>
          <w:szCs w:val="20"/>
        </w:rPr>
        <w:t xml:space="preserve"> </w:t>
      </w:r>
    </w:p>
    <w:p w14:paraId="6686D139" w14:textId="77777777" w:rsidR="00E73A7B" w:rsidRDefault="00E73A7B" w:rsidP="00E73A7B">
      <w:pPr>
        <w:spacing w:after="0" w:line="240" w:lineRule="auto"/>
        <w:ind w:left="709" w:right="709"/>
        <w:jc w:val="both"/>
        <w:rPr>
          <w:rFonts w:ascii="Verdana" w:eastAsia="Century Gothic" w:hAnsi="Verdana" w:cs="Century Gothic"/>
          <w:i/>
          <w:iCs/>
          <w:color w:val="000000" w:themeColor="text1"/>
          <w:sz w:val="20"/>
          <w:szCs w:val="20"/>
        </w:rPr>
      </w:pPr>
    </w:p>
    <w:p w14:paraId="17FFC15A" w14:textId="6FAF94B6" w:rsidR="00E73A7B" w:rsidRPr="00115E3D" w:rsidRDefault="00E73A7B" w:rsidP="00922143">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9A94959" w14:textId="77777777" w:rsidR="00E73A7B" w:rsidRPr="00115E3D" w:rsidRDefault="00E73A7B" w:rsidP="00E73A7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7E6FC940" w14:textId="77777777" w:rsidR="00E73A7B" w:rsidRPr="00115E3D" w:rsidRDefault="00E73A7B" w:rsidP="00E73A7B">
      <w:pPr>
        <w:spacing w:after="0" w:line="276" w:lineRule="auto"/>
        <w:ind w:firstLine="709"/>
        <w:jc w:val="both"/>
        <w:rPr>
          <w:rFonts w:ascii="Verdana" w:eastAsia="Calibri" w:hAnsi="Verdana" w:cs="Arial"/>
          <w:color w:val="000000" w:themeColor="text1"/>
          <w:lang w:val="es-ES" w:eastAsia="es-ES"/>
        </w:rPr>
      </w:pPr>
    </w:p>
    <w:p w14:paraId="21888800" w14:textId="77777777" w:rsidR="00E73A7B" w:rsidRPr="00115E3D" w:rsidRDefault="00E73A7B" w:rsidP="00E73A7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0DD62346" w14:textId="77777777" w:rsidR="00E73A7B" w:rsidRPr="00115E3D" w:rsidRDefault="00E73A7B" w:rsidP="00E73A7B">
      <w:pPr>
        <w:tabs>
          <w:tab w:val="left" w:pos="426"/>
        </w:tabs>
        <w:spacing w:after="0" w:line="276" w:lineRule="auto"/>
        <w:jc w:val="both"/>
        <w:rPr>
          <w:rFonts w:ascii="Verdana" w:eastAsia="Century Gothic" w:hAnsi="Verdana" w:cs="Century Gothic"/>
          <w:color w:val="000000" w:themeColor="text1"/>
          <w:lang w:val="es-ES"/>
        </w:rPr>
      </w:pPr>
    </w:p>
    <w:p w14:paraId="6B13DB8A" w14:textId="77777777" w:rsidR="00E73A7B" w:rsidRPr="00843B35" w:rsidRDefault="00E73A7B" w:rsidP="00E73A7B">
      <w:pPr>
        <w:spacing w:after="0" w:line="276" w:lineRule="auto"/>
        <w:jc w:val="both"/>
        <w:rPr>
          <w:rFonts w:ascii="Verdana" w:eastAsia="Verdana" w:hAnsi="Verdana" w:cs="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117910">
        <w:rPr>
          <w:rFonts w:ascii="Verdana" w:eastAsia="Verdana" w:hAnsi="Verdana" w:cs="Verdana"/>
        </w:rPr>
        <w:t>¿</w:t>
      </w:r>
      <w:r w:rsidRPr="00CA3A18">
        <w:rPr>
          <w:rFonts w:ascii="Verdana" w:eastAsia="Verdana" w:hAnsi="Verdana" w:cs="Verdana"/>
        </w:rPr>
        <w:t>Es jurídicamente viable que una entidad estatal adelante un proceso de licitación pública sin contar previamente con certificado de disponibilidad presupuestal (CDP) ni presupuesto oficial asignado</w:t>
      </w:r>
      <w:r w:rsidRPr="00117910">
        <w:rPr>
          <w:rFonts w:ascii="Verdana" w:eastAsia="Verdana" w:hAnsi="Verdana" w:cs="Verdana"/>
        </w:rPr>
        <w:t>?</w:t>
      </w:r>
    </w:p>
    <w:p w14:paraId="73DA364A" w14:textId="77777777" w:rsidR="00E73A7B" w:rsidRDefault="00E73A7B" w:rsidP="00E73A7B">
      <w:pPr>
        <w:spacing w:after="0" w:line="276" w:lineRule="auto"/>
        <w:jc w:val="both"/>
        <w:rPr>
          <w:rFonts w:ascii="Verdana" w:eastAsia="Verdana" w:hAnsi="Verdana" w:cs="Verdana"/>
          <w:lang w:val="es-ES"/>
        </w:rPr>
      </w:pPr>
    </w:p>
    <w:p w14:paraId="1561AA26" w14:textId="77777777" w:rsidR="00E73A7B" w:rsidRPr="00115E3D" w:rsidRDefault="00E73A7B" w:rsidP="00E73A7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5EC9319E" w14:textId="77777777" w:rsidR="00E73A7B" w:rsidRPr="00115E3D" w:rsidRDefault="00E73A7B" w:rsidP="00E73A7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73A7B" w:rsidRPr="00115E3D" w14:paraId="5B86C75F" w14:textId="77777777" w:rsidTr="006B31F8">
        <w:trPr>
          <w:trHeight w:val="774"/>
        </w:trPr>
        <w:tc>
          <w:tcPr>
            <w:tcW w:w="8828" w:type="dxa"/>
          </w:tcPr>
          <w:p w14:paraId="678174FB" w14:textId="40D320A7" w:rsidR="00E73A7B" w:rsidRDefault="00E73A7B" w:rsidP="006B31F8">
            <w:pPr>
              <w:spacing w:before="120" w:after="120" w:line="276" w:lineRule="auto"/>
              <w:jc w:val="both"/>
              <w:rPr>
                <w:rFonts w:ascii="Verdana" w:eastAsia="Calibri" w:hAnsi="Verdana" w:cs="Arial"/>
                <w:lang w:val="es-ES" w:eastAsia="es-ES_tradnl"/>
              </w:rPr>
            </w:pPr>
            <w:r w:rsidRPr="00B54DCC">
              <w:rPr>
                <w:rFonts w:ascii="Verdana" w:eastAsiaTheme="minorEastAsia" w:hAnsi="Verdana" w:cs="Arial"/>
              </w:rPr>
              <w:lastRenderedPageBreak/>
              <w:t xml:space="preserve">De manera preliminar, es pertinente indicar que el </w:t>
            </w:r>
            <w:r w:rsidRPr="00BC1770">
              <w:rPr>
                <w:rFonts w:ascii="Verdana" w:eastAsia="Calibri" w:hAnsi="Verdana" w:cs="Arial"/>
                <w:lang w:val="es-ES"/>
              </w:rPr>
              <w:t xml:space="preserve">numeral sexto del artículo 25 de </w:t>
            </w:r>
            <w:r w:rsidRPr="00BC1770">
              <w:rPr>
                <w:rFonts w:ascii="Verdana" w:eastAsia="Times New Roman" w:hAnsi="Verdana" w:cs="Arial"/>
                <w:color w:val="1A1A1A" w:themeColor="background1" w:themeShade="1A"/>
                <w:lang w:val="es-ES" w:eastAsia="es-ES_tradnl"/>
              </w:rPr>
              <w:t xml:space="preserve">la Ley 80 de 1993 estableció el régimen presupuestal en la contratación estatal. En desarrollo del principio de economía, el Estatuto señala que </w:t>
            </w:r>
            <w:r w:rsidRPr="00570215">
              <w:rPr>
                <w:rFonts w:ascii="Verdana" w:eastAsia="Times New Roman" w:hAnsi="Verdana" w:cs="Arial"/>
                <w:i/>
                <w:iCs/>
                <w:color w:val="1A1A1A" w:themeColor="background1" w:themeShade="1A"/>
                <w:lang w:val="es-ES" w:eastAsia="es-ES_tradnl"/>
              </w:rPr>
              <w:t>“l</w:t>
            </w:r>
            <w:r w:rsidRPr="00570215">
              <w:rPr>
                <w:rFonts w:ascii="Verdana" w:eastAsia="Calibri" w:hAnsi="Verdana" w:cs="Arial"/>
                <w:i/>
                <w:iCs/>
                <w:lang w:val="es-ES" w:eastAsia="es-ES_tradnl"/>
              </w:rPr>
              <w:t>as entidades estatales abrirán licitaciones e iniciarán procesos de suscripción de contratos, cuando existan las respectivas partidas o disponibilidades presupuestales”.</w:t>
            </w:r>
            <w:r w:rsidRPr="00BC1770">
              <w:rPr>
                <w:rFonts w:ascii="Verdana" w:eastAsia="Calibri" w:hAnsi="Verdana" w:cs="Arial"/>
                <w:lang w:val="es-ES" w:eastAsia="es-ES_tradnl"/>
              </w:rPr>
              <w:t xml:space="preserve"> </w:t>
            </w:r>
            <w:r w:rsidRPr="00BC1770">
              <w:rPr>
                <w:rFonts w:ascii="Verdana" w:eastAsia="Times New Roman" w:hAnsi="Verdana" w:cs="Arial"/>
                <w:lang w:val="es-ES" w:eastAsia="es-MX"/>
              </w:rPr>
              <w:t>Como se observa, la norma establece de manera expresa el momento o la oportunidad en la que las entidades deben expedir el certificado de disponibilidad presupuestal</w:t>
            </w:r>
            <w:r>
              <w:rPr>
                <w:rFonts w:ascii="Verdana" w:eastAsia="Times New Roman" w:hAnsi="Verdana" w:cs="Arial"/>
                <w:lang w:val="es-ES" w:eastAsia="es-MX"/>
              </w:rPr>
              <w:t xml:space="preserve"> (CDP)</w:t>
            </w:r>
            <w:r w:rsidRPr="00BC1770">
              <w:rPr>
                <w:rFonts w:ascii="Verdana" w:eastAsia="Times New Roman" w:hAnsi="Verdana" w:cs="Arial"/>
                <w:lang w:val="es-ES" w:eastAsia="es-MX"/>
              </w:rPr>
              <w:t xml:space="preserve"> cuando adelanten procesos de contratación. </w:t>
            </w:r>
            <w:r w:rsidR="00922143">
              <w:rPr>
                <w:rFonts w:ascii="Verdana" w:eastAsia="Times New Roman" w:hAnsi="Verdana" w:cs="Arial"/>
                <w:lang w:val="es-ES" w:eastAsia="es-MX"/>
              </w:rPr>
              <w:t>Así las cosas, p</w:t>
            </w:r>
            <w:r w:rsidRPr="00BC1770">
              <w:rPr>
                <w:rFonts w:ascii="Verdana" w:eastAsia="Times New Roman" w:hAnsi="Verdana" w:cs="Arial"/>
                <w:lang w:val="es-ES" w:eastAsia="es-MX"/>
              </w:rPr>
              <w:t xml:space="preserve">or expresa disposición del legislador, deben contar con este certificado en una fecha </w:t>
            </w:r>
            <w:r w:rsidRPr="00BC1770">
              <w:rPr>
                <w:rFonts w:ascii="Verdana" w:eastAsia="Times New Roman" w:hAnsi="Verdana" w:cs="Arial"/>
                <w:i/>
                <w:iCs/>
                <w:lang w:val="es-ES" w:eastAsia="es-MX"/>
              </w:rPr>
              <w:t>previa</w:t>
            </w:r>
            <w:r w:rsidRPr="00BC1770">
              <w:rPr>
                <w:rFonts w:ascii="Verdana" w:eastAsia="Times New Roman" w:hAnsi="Verdana" w:cs="Arial"/>
                <w:lang w:val="es-ES" w:eastAsia="es-MX"/>
              </w:rPr>
              <w:t xml:space="preserve"> al momento en que inicia el proceso de selección del contratista.</w:t>
            </w:r>
          </w:p>
          <w:p w14:paraId="6C71A150" w14:textId="77777777" w:rsidR="00E73A7B" w:rsidRPr="00EA5C19" w:rsidRDefault="00E73A7B" w:rsidP="006B31F8">
            <w:pPr>
              <w:spacing w:before="120" w:after="120" w:line="276" w:lineRule="auto"/>
              <w:ind w:firstLine="739"/>
              <w:jc w:val="both"/>
              <w:rPr>
                <w:rFonts w:ascii="Verdana" w:eastAsia="Calibri" w:hAnsi="Verdana" w:cs="Arial"/>
                <w:lang w:val="es-ES" w:eastAsia="es-ES_tradnl"/>
              </w:rPr>
            </w:pPr>
            <w:r w:rsidRPr="00BC1770">
              <w:rPr>
                <w:rFonts w:ascii="Verdana" w:eastAsia="Times New Roman" w:hAnsi="Verdana" w:cs="Arial"/>
                <w:lang w:val="es-ES" w:eastAsia="es-MX"/>
              </w:rPr>
              <w:t>Esto implica que</w:t>
            </w:r>
            <w:r>
              <w:rPr>
                <w:rFonts w:ascii="Verdana" w:eastAsia="Times New Roman" w:hAnsi="Verdana" w:cs="Arial"/>
                <w:lang w:val="es-ES" w:eastAsia="es-MX"/>
              </w:rPr>
              <w:t>,</w:t>
            </w:r>
            <w:r w:rsidRPr="00BC1770">
              <w:rPr>
                <w:rFonts w:ascii="Verdana" w:eastAsia="Times New Roman" w:hAnsi="Verdana" w:cs="Arial"/>
                <w:lang w:val="es-ES" w:eastAsia="es-MX"/>
              </w:rPr>
              <w:t xml:space="preserve"> en los procesos de licitación pública, selección abreviada y concurso de méritos, las entidades deben contar con el CDP antes de la expedición del acto administrativo de apertura formal del proceso. En la contratación directa, deben expedir el CDP antes del momento en que inicie el proceso de negociación con el futuro contratista.</w:t>
            </w:r>
          </w:p>
          <w:p w14:paraId="5E467BFD" w14:textId="77777777" w:rsidR="00E73A7B" w:rsidRPr="00BC1770" w:rsidRDefault="00E73A7B" w:rsidP="006B31F8">
            <w:pPr>
              <w:spacing w:before="120" w:after="120" w:line="276" w:lineRule="auto"/>
              <w:ind w:firstLine="708"/>
              <w:jc w:val="both"/>
              <w:rPr>
                <w:rFonts w:ascii="Verdana" w:eastAsia="Century Gothic" w:hAnsi="Verdana" w:cs="Century Gothic"/>
                <w:lang w:val="es-ES"/>
              </w:rPr>
            </w:pPr>
            <w:r w:rsidRPr="00BC1770">
              <w:rPr>
                <w:rFonts w:ascii="Verdana" w:eastAsia="Century Gothic" w:hAnsi="Verdana" w:cs="Century Gothic"/>
                <w:lang w:val="es-ES"/>
              </w:rPr>
              <w:t xml:space="preserve">De acuerdo con lo expuesto, esta Agencia ha sostenido que la expedición del </w:t>
            </w:r>
            <w:r>
              <w:rPr>
                <w:rFonts w:ascii="Verdana" w:eastAsia="Century Gothic" w:hAnsi="Verdana" w:cs="Century Gothic"/>
                <w:lang w:val="es-ES"/>
              </w:rPr>
              <w:t xml:space="preserve">CDP </w:t>
            </w:r>
            <w:r w:rsidRPr="00BC1770">
              <w:rPr>
                <w:rFonts w:ascii="Verdana" w:eastAsia="Century Gothic" w:hAnsi="Verdana" w:cs="Century Gothic"/>
                <w:lang w:val="es-ES"/>
              </w:rPr>
              <w:t xml:space="preserve">se debe realizar con anterioridad al momento de apertura del proceso de selección o previo </w:t>
            </w:r>
            <w:r w:rsidRPr="00BC1770">
              <w:rPr>
                <w:rFonts w:ascii="Verdana" w:eastAsia="Times New Roman" w:hAnsi="Verdana" w:cs="Arial"/>
                <w:lang w:val="es-ES" w:eastAsia="es-MX"/>
              </w:rPr>
              <w:t>a iniciar el proceso de negociación con el futuro contratista</w:t>
            </w:r>
            <w:r w:rsidRPr="00BC1770">
              <w:rPr>
                <w:rFonts w:ascii="Verdana" w:eastAsia="Century Gothic" w:hAnsi="Verdana" w:cs="Century Gothic"/>
                <w:lang w:val="es-ES"/>
              </w:rPr>
              <w:t xml:space="preserve"> en el caso de la contratación directa. Lo anterior, con el fin de que los recursos del Estado se administren con responsabilidad y evitar que se adelanten procesos sin contar con los recursos necesarios para ejecutar el contrato. </w:t>
            </w:r>
          </w:p>
          <w:p w14:paraId="510F718D" w14:textId="77777777" w:rsidR="00E73A7B" w:rsidRPr="009326F6" w:rsidRDefault="00E73A7B" w:rsidP="006B31F8">
            <w:pPr>
              <w:spacing w:after="120" w:line="276" w:lineRule="auto"/>
              <w:jc w:val="both"/>
              <w:rPr>
                <w:rFonts w:ascii="Verdana" w:eastAsia="Calibri" w:hAnsi="Verdana" w:cs="Arial"/>
              </w:rPr>
            </w:pPr>
            <w:r>
              <w:rPr>
                <w:rFonts w:ascii="Verdana" w:eastAsia="Calibri" w:hAnsi="Verdana" w:cs="Arial"/>
              </w:rPr>
              <w:t xml:space="preserve">       </w:t>
            </w:r>
            <w:r w:rsidRPr="00DD53C0">
              <w:rPr>
                <w:rFonts w:ascii="Verdana" w:eastAsia="Calibri" w:hAnsi="Verdana" w:cs="Arial"/>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eastAsia="Calibri" w:hAnsi="Verdana" w:cs="Arial"/>
              </w:rPr>
              <w:t xml:space="preserve">    </w:t>
            </w:r>
          </w:p>
          <w:p w14:paraId="5884037D" w14:textId="77777777" w:rsidR="00E73A7B" w:rsidRPr="0029110A" w:rsidRDefault="00E73A7B" w:rsidP="006B31F8">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Pr="00DB4737">
              <w:rPr>
                <w:rFonts w:ascii="Verdana" w:eastAsia="Calibri" w:hAnsi="Verdana" w:cs="Times New Roman"/>
                <w:lang w:val="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90A0240" w14:textId="77777777" w:rsidR="00E73A7B" w:rsidRDefault="00E73A7B" w:rsidP="00E73A7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0053A87" w14:textId="77777777" w:rsidR="00E73A7B" w:rsidRDefault="00E73A7B" w:rsidP="00F713C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33A30876" w14:textId="77777777" w:rsidR="00E73A7B" w:rsidRPr="00115E3D" w:rsidRDefault="00E73A7B" w:rsidP="00E73A7B">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0887248" w14:textId="77777777" w:rsidR="00E73A7B" w:rsidRPr="00BC1770" w:rsidRDefault="00E73A7B" w:rsidP="00FB1B6B">
      <w:pPr>
        <w:spacing w:after="120" w:line="276" w:lineRule="auto"/>
        <w:jc w:val="both"/>
        <w:rPr>
          <w:rFonts w:ascii="Verdana" w:eastAsia="Times New Roman" w:hAnsi="Verdana" w:cs="Arial"/>
          <w:color w:val="1A1A1A" w:themeColor="background1" w:themeShade="1A"/>
          <w:lang w:val="es-ES" w:eastAsia="es-ES_tradnl"/>
        </w:rPr>
      </w:pPr>
      <w:bookmarkStart w:id="2" w:name="_Hlk204856061"/>
      <w:bookmarkStart w:id="3" w:name="_Hlk78820161"/>
      <w:r w:rsidRPr="0046338E">
        <w:rPr>
          <w:rFonts w:ascii="Verdana" w:eastAsia="Calibri" w:hAnsi="Verdana" w:cs="Arial"/>
        </w:rPr>
        <w:t>De manera preliminar, cabe precisar que el presupuesto de una entidad estatal constituye el conjunto de recursos financieros públicos cuya distribución estratégica permite materializar las funciones legales asignadas a cada organismo del Estado</w:t>
      </w:r>
      <w:r w:rsidRPr="00BC1770">
        <w:rPr>
          <w:rFonts w:ascii="Verdana" w:eastAsia="Times New Roman" w:hAnsi="Verdana" w:cs="Arial"/>
          <w:color w:val="1A1A1A" w:themeColor="background1" w:themeShade="1A"/>
          <w:lang w:val="es-ES" w:eastAsia="es-ES_tradnl"/>
        </w:rPr>
        <w:t xml:space="preserve">. Para la debida asignación y distribución de los recursos públicos, las Entidades deben cumplir los procedimientos señalados en las normas para su correcta ejecución, observando la regulación presupuestal, donde se establecen diferentes requisitos que comportan deberes ineludibles que tienen como finalidad el control del gasto. Una forma de ejecutar el presupuesto consiste en la celebración de contratos estatales, con la finalidad de adquirir o ejecutar bienes, obras o servicios requeridos para satisfacer las necesidades de las Entidades Estatales. </w:t>
      </w:r>
    </w:p>
    <w:p w14:paraId="5D94FEB5" w14:textId="77777777" w:rsidR="00E73A7B" w:rsidRPr="00BC1770" w:rsidRDefault="00E73A7B" w:rsidP="00E73A7B">
      <w:pPr>
        <w:spacing w:after="0" w:line="276" w:lineRule="auto"/>
        <w:ind w:firstLine="708"/>
        <w:jc w:val="both"/>
        <w:rPr>
          <w:rFonts w:ascii="Verdana" w:eastAsia="Calibri" w:hAnsi="Verdana" w:cs="Arial"/>
          <w:bCs/>
          <w:lang w:val="es-ES"/>
        </w:rPr>
      </w:pPr>
      <w:r w:rsidRPr="00BC1770">
        <w:rPr>
          <w:rFonts w:ascii="Verdana" w:eastAsia="Calibri" w:hAnsi="Verdana" w:cs="Arial"/>
          <w:bCs/>
          <w:lang w:val="es-ES"/>
        </w:rPr>
        <w:t>En desarrollo de lo anterior, los artículos 345, 346 y 347 de la Constitución Política establece los principios esenciales que rigen el presupuesto público y que gobiernan el régimen contenido en el Estatuto Orgánico del Presupuesto –EOP–</w:t>
      </w:r>
      <w:r w:rsidRPr="00BC1770">
        <w:rPr>
          <w:rStyle w:val="Refdenotaalpie"/>
          <w:rFonts w:ascii="Verdana" w:eastAsia="Calibri" w:hAnsi="Verdana" w:cs="Arial"/>
          <w:lang w:val="es-ES"/>
        </w:rPr>
        <w:footnoteReference w:id="2"/>
      </w:r>
      <w:r w:rsidRPr="00BC1770">
        <w:rPr>
          <w:rFonts w:ascii="Verdana" w:eastAsia="Calibri" w:hAnsi="Verdana" w:cs="Arial"/>
          <w:bCs/>
          <w:lang w:val="es-ES"/>
        </w:rPr>
        <w:t xml:space="preserve">. Entre estos presupuestos esenciales, la Corte Constitucional ha explicado que la </w:t>
      </w:r>
      <w:r w:rsidRPr="00BC1770">
        <w:rPr>
          <w:rFonts w:ascii="Verdana" w:eastAsia="Calibri" w:hAnsi="Verdana" w:cs="Arial"/>
          <w:bCs/>
          <w:i/>
          <w:iCs/>
          <w:lang w:val="es-ES"/>
        </w:rPr>
        <w:t xml:space="preserve">disponibilidad presupuestal </w:t>
      </w:r>
      <w:r w:rsidRPr="00BC1770">
        <w:rPr>
          <w:rFonts w:ascii="Verdana" w:eastAsia="Calibri" w:hAnsi="Verdana" w:cs="Arial"/>
          <w:bCs/>
          <w:lang w:val="es-ES"/>
        </w:rPr>
        <w:t xml:space="preserve">constituye un instrumento protector del principio constitucional de la legalidad del gasto público, al respecto señaló que: </w:t>
      </w:r>
    </w:p>
    <w:p w14:paraId="37FC5BB1" w14:textId="77777777" w:rsidR="00E73A7B" w:rsidRPr="00FB1B6B" w:rsidRDefault="00E73A7B" w:rsidP="00E73A7B">
      <w:pPr>
        <w:spacing w:after="0" w:line="276" w:lineRule="auto"/>
        <w:ind w:left="709" w:right="709"/>
        <w:jc w:val="both"/>
        <w:rPr>
          <w:rFonts w:ascii="Verdana" w:eastAsia="Calibri" w:hAnsi="Verdana" w:cs="Arial"/>
          <w:lang w:val="es-ES"/>
        </w:rPr>
      </w:pPr>
    </w:p>
    <w:p w14:paraId="67566B64" w14:textId="77777777" w:rsidR="00E73A7B" w:rsidRPr="00FB1B6B" w:rsidRDefault="00E73A7B" w:rsidP="00E73A7B">
      <w:pPr>
        <w:spacing w:after="0" w:line="240" w:lineRule="auto"/>
        <w:ind w:left="709" w:right="709"/>
        <w:jc w:val="both"/>
        <w:rPr>
          <w:rFonts w:ascii="Verdana" w:eastAsia="Calibri" w:hAnsi="Verdana" w:cs="Arial"/>
          <w:sz w:val="20"/>
          <w:szCs w:val="20"/>
          <w:lang w:val="es-ES"/>
        </w:rPr>
      </w:pPr>
      <w:r w:rsidRPr="00FB1B6B">
        <w:rPr>
          <w:rFonts w:ascii="Verdana" w:eastAsia="Calibri" w:hAnsi="Verdana" w:cs="Arial"/>
          <w:sz w:val="20"/>
          <w:szCs w:val="20"/>
          <w:lang w:val="es-ES"/>
        </w:rPr>
        <w:t>“[e]n relación con la exigencia de disponibilidad presupuestal, ella hace parte del principio de legalidad del gasto público, estableciendo en los artículos 345, 346 y 347 de la Constitución Política, […] la disponibilidad se concibe como un instrumento mediante el cual se busca prevenir o evitar que el gasto sea realizado por encima del monto máximo autorizado por la correspondiente ley anual del presupuesto durante su ejecución. […]</w:t>
      </w:r>
      <w:r w:rsidRPr="00FB1B6B">
        <w:rPr>
          <w:rFonts w:ascii="Verdana" w:eastAsia="Calibri" w:hAnsi="Verdana" w:cs="Arial"/>
          <w:i/>
          <w:sz w:val="20"/>
          <w:szCs w:val="20"/>
          <w:lang w:val="es-ES"/>
        </w:rPr>
        <w:t>”</w:t>
      </w:r>
      <w:r w:rsidRPr="00FB1B6B">
        <w:rPr>
          <w:rStyle w:val="Refdenotaalpie"/>
          <w:rFonts w:ascii="Verdana" w:eastAsia="Calibri" w:hAnsi="Verdana" w:cs="Arial"/>
          <w:sz w:val="20"/>
          <w:szCs w:val="20"/>
          <w:lang w:val="es-ES"/>
        </w:rPr>
        <w:footnoteReference w:id="3"/>
      </w:r>
      <w:r w:rsidRPr="00FB1B6B">
        <w:rPr>
          <w:rFonts w:ascii="Verdana" w:eastAsia="Calibri" w:hAnsi="Verdana" w:cs="Arial"/>
          <w:sz w:val="20"/>
          <w:szCs w:val="20"/>
          <w:lang w:val="es-ES"/>
        </w:rPr>
        <w:t>.</w:t>
      </w:r>
    </w:p>
    <w:p w14:paraId="7962D037" w14:textId="77777777" w:rsidR="00E73A7B" w:rsidRPr="00FB1B6B" w:rsidRDefault="00E73A7B" w:rsidP="00FB1B6B">
      <w:pPr>
        <w:spacing w:after="0" w:line="276" w:lineRule="auto"/>
        <w:ind w:left="709" w:right="709"/>
        <w:jc w:val="both"/>
        <w:rPr>
          <w:rFonts w:ascii="Verdana" w:eastAsia="Calibri" w:hAnsi="Verdana" w:cs="Arial"/>
          <w:lang w:val="es-ES"/>
        </w:rPr>
      </w:pPr>
    </w:p>
    <w:p w14:paraId="5EDAB59B" w14:textId="77777777" w:rsidR="00E73A7B" w:rsidRPr="00BC1770" w:rsidRDefault="00E73A7B" w:rsidP="00E73A7B">
      <w:pPr>
        <w:spacing w:after="0" w:line="276" w:lineRule="auto"/>
        <w:ind w:firstLine="708"/>
        <w:jc w:val="both"/>
        <w:rPr>
          <w:rFonts w:ascii="Verdana" w:eastAsia="Calibri" w:hAnsi="Verdana" w:cs="Arial"/>
          <w:lang w:val="es-ES"/>
        </w:rPr>
      </w:pPr>
      <w:r w:rsidRPr="00BC1770">
        <w:rPr>
          <w:rFonts w:ascii="Verdana" w:eastAsia="Calibri" w:hAnsi="Verdana" w:cs="Arial"/>
          <w:bCs/>
          <w:lang w:val="es-ES"/>
        </w:rPr>
        <w:lastRenderedPageBreak/>
        <w:t xml:space="preserve">De esta forma, según el marco jurídico y la interpretación realizada por la jurisprudencia constitucional, las entidades del Estado tienen el </w:t>
      </w:r>
      <w:r w:rsidRPr="00BC1770">
        <w:rPr>
          <w:rFonts w:ascii="Verdana" w:eastAsia="Calibri" w:hAnsi="Verdana" w:cs="Arial"/>
          <w:bCs/>
          <w:i/>
          <w:iCs/>
          <w:lang w:val="es-ES"/>
        </w:rPr>
        <w:t>deber</w:t>
      </w:r>
      <w:r w:rsidRPr="00BC1770">
        <w:rPr>
          <w:rFonts w:ascii="Verdana" w:eastAsia="Calibri" w:hAnsi="Verdana" w:cs="Arial"/>
          <w:bCs/>
          <w:lang w:val="es-ES"/>
        </w:rPr>
        <w:t xml:space="preserve"> de contar con la disponibilidad de recursos para asumir gastos u obligaciones. Esta obligación es una expresión del principio de legalidad del gasto público que se enmarca en el mandato constitucional de la legalidad de las actuaciones públicas y que permea todo el régimen regulado por el</w:t>
      </w:r>
      <w:r w:rsidRPr="00BC1770">
        <w:rPr>
          <w:rFonts w:ascii="Verdana" w:eastAsia="Calibri" w:hAnsi="Verdana" w:cs="Arial"/>
          <w:lang w:val="es-ES"/>
        </w:rPr>
        <w:t xml:space="preserve"> Estatuto Orgánico del Presupuesto</w:t>
      </w:r>
      <w:r w:rsidRPr="00BC1770">
        <w:rPr>
          <w:rFonts w:ascii="Verdana" w:eastAsia="Calibri" w:hAnsi="Verdana" w:cs="Arial"/>
          <w:bCs/>
          <w:lang w:val="es-ES"/>
        </w:rPr>
        <w:t xml:space="preserve">. En materia contractual, su cumplimiento se refleja necesariamente mediante la expedición del </w:t>
      </w:r>
      <w:r w:rsidRPr="00BC1770">
        <w:rPr>
          <w:rFonts w:ascii="Verdana" w:eastAsia="Calibri" w:hAnsi="Verdana" w:cs="Arial"/>
          <w:lang w:val="es-ES"/>
        </w:rPr>
        <w:t xml:space="preserve">Certificado de Disponibilidad Presupuestal </w:t>
      </w:r>
      <w:r w:rsidRPr="00BC1770">
        <w:rPr>
          <w:rFonts w:ascii="Verdana" w:eastAsia="Times New Roman" w:hAnsi="Verdana" w:cs="Arial"/>
          <w:color w:val="1A1A1A" w:themeColor="background1" w:themeShade="1A"/>
          <w:lang w:val="es-ES" w:eastAsia="es-ES_tradnl"/>
        </w:rPr>
        <w:t>(CDP)</w:t>
      </w:r>
      <w:r w:rsidRPr="00BC1770">
        <w:rPr>
          <w:rFonts w:ascii="Verdana" w:eastAsia="Calibri" w:hAnsi="Verdana" w:cs="Arial"/>
          <w:lang w:val="es-ES"/>
        </w:rPr>
        <w:t xml:space="preserve"> de forma </w:t>
      </w:r>
      <w:r w:rsidRPr="00BC1770">
        <w:rPr>
          <w:rFonts w:ascii="Verdana" w:eastAsia="Calibri" w:hAnsi="Verdana" w:cs="Arial"/>
          <w:i/>
          <w:iCs/>
          <w:lang w:val="es-ES"/>
        </w:rPr>
        <w:t>previa</w:t>
      </w:r>
      <w:r w:rsidRPr="00BC1770">
        <w:rPr>
          <w:rFonts w:ascii="Verdana" w:eastAsia="Calibri" w:hAnsi="Verdana" w:cs="Arial"/>
          <w:lang w:val="es-ES"/>
        </w:rPr>
        <w:t xml:space="preserve"> a que la entidad asuma obligaciones o compromisos de éste tipo, como una garantía de la existencia de recursos suficientes para atender los gastos que serán asumidos por el Estado durante la ejecución.</w:t>
      </w:r>
    </w:p>
    <w:p w14:paraId="0775DD3E" w14:textId="77777777" w:rsidR="00E73A7B" w:rsidRPr="00BC1770" w:rsidRDefault="00E73A7B" w:rsidP="00E73A7B">
      <w:pPr>
        <w:spacing w:before="120" w:after="0" w:line="276" w:lineRule="auto"/>
        <w:ind w:firstLine="709"/>
        <w:jc w:val="both"/>
        <w:rPr>
          <w:rFonts w:ascii="Verdana" w:eastAsia="Calibri" w:hAnsi="Verdana" w:cs="Arial"/>
          <w:bCs/>
          <w:lang w:val="es-ES" w:eastAsia="es-ES_tradnl"/>
        </w:rPr>
      </w:pPr>
      <w:r w:rsidRPr="00BC1770">
        <w:rPr>
          <w:rFonts w:ascii="Verdana" w:eastAsia="Calibri" w:hAnsi="Verdana" w:cs="Arial"/>
          <w:bCs/>
          <w:lang w:val="es-ES" w:eastAsia="es-ES_tradnl"/>
        </w:rPr>
        <w:t xml:space="preserve">El Consejo de Estado se ha referido a las normas que regulan la </w:t>
      </w:r>
      <w:r w:rsidRPr="00BC1770">
        <w:rPr>
          <w:rFonts w:ascii="Verdana" w:eastAsia="Calibri" w:hAnsi="Verdana" w:cs="Arial"/>
          <w:bCs/>
          <w:i/>
          <w:iCs/>
          <w:lang w:val="es-ES" w:eastAsia="es-ES_tradnl"/>
        </w:rPr>
        <w:t xml:space="preserve">disponibilidad </w:t>
      </w:r>
      <w:r w:rsidRPr="00BC1770">
        <w:rPr>
          <w:rFonts w:ascii="Verdana" w:eastAsia="Calibri" w:hAnsi="Verdana" w:cs="Arial"/>
          <w:bCs/>
          <w:lang w:val="es-ES" w:eastAsia="es-ES_tradnl"/>
        </w:rPr>
        <w:t xml:space="preserve">y el </w:t>
      </w:r>
      <w:r w:rsidRPr="00BC1770">
        <w:rPr>
          <w:rFonts w:ascii="Verdana" w:eastAsia="Calibri" w:hAnsi="Verdana" w:cs="Arial"/>
          <w:bCs/>
          <w:i/>
          <w:iCs/>
          <w:lang w:val="es-ES" w:eastAsia="es-ES_tradnl"/>
        </w:rPr>
        <w:t>registro</w:t>
      </w:r>
      <w:r w:rsidRPr="00BC1770">
        <w:rPr>
          <w:rFonts w:ascii="Verdana" w:eastAsia="Calibri" w:hAnsi="Verdana" w:cs="Arial"/>
          <w:bCs/>
          <w:lang w:val="es-ES" w:eastAsia="es-ES_tradnl"/>
        </w:rPr>
        <w:t xml:space="preserve"> presupuestal, junto con la autorización para comprometer vigencias futuras de carácter ordinario y excepcional. De acuerdo con la alta corporación, la regulación de estos elementos presupuestales se soporta en dos grandes cuerpos normativos:</w:t>
      </w:r>
    </w:p>
    <w:p w14:paraId="4FB55682" w14:textId="77777777" w:rsidR="00E73A7B" w:rsidRPr="00BC1770" w:rsidRDefault="00E73A7B" w:rsidP="00E73A7B">
      <w:pPr>
        <w:spacing w:after="0" w:line="276" w:lineRule="auto"/>
        <w:ind w:firstLine="709"/>
        <w:jc w:val="both"/>
        <w:rPr>
          <w:rFonts w:ascii="Verdana" w:eastAsia="Calibri" w:hAnsi="Verdana" w:cs="Arial"/>
          <w:bCs/>
          <w:lang w:val="es-ES" w:eastAsia="es-ES_tradnl"/>
        </w:rPr>
      </w:pPr>
    </w:p>
    <w:p w14:paraId="7AC4A1E6" w14:textId="77777777" w:rsidR="00E73A7B" w:rsidRPr="00FB1B6B" w:rsidRDefault="00E73A7B" w:rsidP="00E73A7B">
      <w:pPr>
        <w:spacing w:after="0" w:line="240" w:lineRule="auto"/>
        <w:ind w:left="709" w:right="709"/>
        <w:jc w:val="both"/>
        <w:rPr>
          <w:rFonts w:ascii="Verdana" w:eastAsia="Arial MT" w:hAnsi="Verdana" w:cs="Arial"/>
          <w:sz w:val="20"/>
          <w:szCs w:val="20"/>
          <w:lang w:val="es-ES"/>
        </w:rPr>
      </w:pPr>
      <w:r w:rsidRPr="00FB1B6B">
        <w:rPr>
          <w:rFonts w:ascii="Verdana" w:eastAsia="Arial MT" w:hAnsi="Verdana" w:cs="Arial"/>
          <w:sz w:val="20"/>
          <w:szCs w:val="20"/>
          <w:lang w:val="es-ES"/>
        </w:rPr>
        <w:t xml:space="preserve">“[…] i) normativa presupuestal prevista en la Ley 80 de 1993 y </w:t>
      </w:r>
      <w:proofErr w:type="spellStart"/>
      <w:r w:rsidRPr="00FB1B6B">
        <w:rPr>
          <w:rFonts w:ascii="Verdana" w:eastAsia="Arial MT" w:hAnsi="Verdana" w:cs="Arial"/>
          <w:sz w:val="20"/>
          <w:szCs w:val="20"/>
          <w:lang w:val="es-ES"/>
        </w:rPr>
        <w:t>ii</w:t>
      </w:r>
      <w:proofErr w:type="spellEnd"/>
      <w:r w:rsidRPr="00FB1B6B">
        <w:rPr>
          <w:rFonts w:ascii="Verdana" w:eastAsia="Arial MT" w:hAnsi="Verdana" w:cs="Arial"/>
          <w:sz w:val="20"/>
          <w:szCs w:val="20"/>
          <w:lang w:val="es-ES"/>
        </w:rPr>
        <w:t>) normativa presupuestal especial contenida en el Estatuto Orgánico de Presupuesto, compuesto, a su vez, por varias normas: a) Decreto 111 de 1996 -que compiló las Leyes 38 de 1989, 179 de 1994 y 225 de 1995-; b) Decreto 115 de 1996, por el cual se establecieron normas sobre la elaboración, conformación y ejecución de los presupuestos de las Empresas Industriales y Comerciales del Estado y de las Sociedades de Economía Mixta sujetas al régimen de aquéllas dedicadas a actividades financieras; c) Ley 819 de 2003, que modificó la Ley 179 de 1994; y d) Ley 1483 de 2011, que autorizo las vigencias futuras excepcionales en las entidades territoriales”</w:t>
      </w:r>
      <w:r w:rsidRPr="00FB1B6B">
        <w:rPr>
          <w:rStyle w:val="Refdenotaalpie"/>
          <w:rFonts w:ascii="Verdana" w:eastAsia="Arial MT" w:hAnsi="Verdana" w:cs="Arial"/>
          <w:sz w:val="20"/>
          <w:szCs w:val="20"/>
          <w:lang w:val="es-ES"/>
        </w:rPr>
        <w:footnoteReference w:id="4"/>
      </w:r>
      <w:r w:rsidRPr="00FB1B6B">
        <w:rPr>
          <w:rFonts w:ascii="Verdana" w:eastAsia="Arial MT" w:hAnsi="Verdana" w:cs="Arial"/>
          <w:sz w:val="20"/>
          <w:szCs w:val="20"/>
          <w:lang w:val="es-ES"/>
        </w:rPr>
        <w:t>.</w:t>
      </w:r>
    </w:p>
    <w:p w14:paraId="6483EB3D" w14:textId="77777777" w:rsidR="00E73A7B" w:rsidRPr="00BC1770" w:rsidRDefault="00E73A7B" w:rsidP="00E73A7B">
      <w:pPr>
        <w:spacing w:after="0" w:line="276" w:lineRule="auto"/>
        <w:jc w:val="both"/>
        <w:rPr>
          <w:rFonts w:ascii="Verdana" w:eastAsia="Calibri" w:hAnsi="Verdana" w:cs="Arial"/>
          <w:bCs/>
          <w:lang w:val="es-ES" w:eastAsia="es-ES_tradnl"/>
        </w:rPr>
      </w:pPr>
    </w:p>
    <w:p w14:paraId="33E47893" w14:textId="77777777" w:rsidR="00E73A7B" w:rsidRPr="00BC1770" w:rsidRDefault="00E73A7B" w:rsidP="00E73A7B">
      <w:pPr>
        <w:spacing w:after="0" w:line="276" w:lineRule="auto"/>
        <w:ind w:firstLine="708"/>
        <w:jc w:val="both"/>
        <w:rPr>
          <w:rFonts w:ascii="Verdana" w:eastAsia="Times New Roman" w:hAnsi="Verdana" w:cs="Arial"/>
          <w:color w:val="1A1A1A" w:themeColor="background1" w:themeShade="1A"/>
          <w:lang w:val="es-ES" w:eastAsia="es-ES_tradnl"/>
        </w:rPr>
      </w:pPr>
      <w:r w:rsidRPr="00BC1770">
        <w:rPr>
          <w:rFonts w:ascii="Verdana" w:eastAsia="Calibri" w:hAnsi="Verdana" w:cs="Arial"/>
          <w:lang w:val="es-ES"/>
        </w:rPr>
        <w:t xml:space="preserve">Específicamente, el artículo 25 de </w:t>
      </w:r>
      <w:r w:rsidRPr="00BC1770">
        <w:rPr>
          <w:rFonts w:ascii="Verdana" w:eastAsia="Times New Roman" w:hAnsi="Verdana" w:cs="Arial"/>
          <w:color w:val="1A1A1A" w:themeColor="background1" w:themeShade="1A"/>
          <w:lang w:val="es-ES" w:eastAsia="es-ES_tradnl"/>
        </w:rPr>
        <w:t>la Ley 80 de 1993 estableció el régimen presupuestal en la contratación estatal. En desarrollo del principio de economía, el Estatuto impone las siguientes reglas:</w:t>
      </w:r>
    </w:p>
    <w:p w14:paraId="5EF26B14" w14:textId="77777777" w:rsidR="00E73A7B" w:rsidRPr="00BC1770" w:rsidRDefault="00E73A7B" w:rsidP="00E73A7B">
      <w:pPr>
        <w:spacing w:after="0" w:line="276" w:lineRule="auto"/>
        <w:ind w:firstLine="708"/>
        <w:jc w:val="both"/>
        <w:rPr>
          <w:rFonts w:ascii="Verdana" w:eastAsia="Calibri" w:hAnsi="Verdana" w:cs="Arial"/>
          <w:bCs/>
          <w:lang w:val="es-ES" w:eastAsia="es-ES_tradnl"/>
        </w:rPr>
      </w:pPr>
    </w:p>
    <w:p w14:paraId="1502C9A4"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r w:rsidRPr="00FB1B6B">
        <w:rPr>
          <w:rFonts w:ascii="Verdana" w:eastAsia="Calibri" w:hAnsi="Verdana" w:cs="Arial"/>
          <w:sz w:val="20"/>
          <w:szCs w:val="20"/>
          <w:lang w:val="es-ES" w:eastAsia="es-ES_tradnl"/>
        </w:rPr>
        <w:t xml:space="preserve">“6o. Las entidades estatales </w:t>
      </w:r>
      <w:r w:rsidRPr="00FB1B6B">
        <w:rPr>
          <w:rFonts w:ascii="Verdana" w:eastAsia="Calibri" w:hAnsi="Verdana" w:cs="Arial"/>
          <w:b/>
          <w:sz w:val="20"/>
          <w:szCs w:val="20"/>
          <w:lang w:val="es-ES" w:eastAsia="es-ES_tradnl"/>
        </w:rPr>
        <w:t>abrirán licitaciones e iniciarán procesos de suscripción de contratos, cuando existan las respectivas partidas o disponibilidades presupuestales</w:t>
      </w:r>
      <w:r w:rsidRPr="00FB1B6B">
        <w:rPr>
          <w:rFonts w:ascii="Verdana" w:eastAsia="Calibri" w:hAnsi="Verdana" w:cs="Arial"/>
          <w:sz w:val="20"/>
          <w:szCs w:val="20"/>
          <w:lang w:val="es-ES" w:eastAsia="es-ES_tradnl"/>
        </w:rPr>
        <w:t>. </w:t>
      </w:r>
    </w:p>
    <w:p w14:paraId="26FE5738"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p>
    <w:p w14:paraId="0664D37E"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r w:rsidRPr="00FB1B6B">
        <w:rPr>
          <w:rFonts w:ascii="Verdana" w:eastAsia="Calibri" w:hAnsi="Verdana" w:cs="Arial"/>
          <w:sz w:val="20"/>
          <w:szCs w:val="20"/>
          <w:lang w:val="es-ES" w:eastAsia="es-ES_tradnl"/>
        </w:rPr>
        <w:lastRenderedPageBreak/>
        <w:t>7o. La conveniencia o inconveniencia del objeto a contratar y las autorizaciones y aprobaciones para ello, se analizarán o impartirán con antelación al inicio del proceso de selección del contratista o al de la firma del contrato, según el caso.</w:t>
      </w:r>
    </w:p>
    <w:p w14:paraId="65123B93"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p>
    <w:p w14:paraId="07845617"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r w:rsidRPr="00FB1B6B">
        <w:rPr>
          <w:rFonts w:ascii="Verdana" w:eastAsia="Calibri" w:hAnsi="Verdana" w:cs="Arial"/>
          <w:sz w:val="20"/>
          <w:szCs w:val="20"/>
          <w:lang w:val="es-ES" w:eastAsia="es-ES_tradnl"/>
        </w:rPr>
        <w:t>[…]</w:t>
      </w:r>
    </w:p>
    <w:p w14:paraId="7AE7621B"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p>
    <w:p w14:paraId="19AB9707"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r w:rsidRPr="00FB1B6B">
        <w:rPr>
          <w:rFonts w:ascii="Verdana" w:eastAsia="Calibri" w:hAnsi="Verdana" w:cs="Arial"/>
          <w:sz w:val="20"/>
          <w:szCs w:val="20"/>
          <w:lang w:val="es-ES"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66CDACB3"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p>
    <w:p w14:paraId="7B6741F7"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r w:rsidRPr="00FB1B6B">
        <w:rPr>
          <w:rFonts w:ascii="Verdana" w:eastAsia="Calibri" w:hAnsi="Verdana" w:cs="Arial"/>
          <w:sz w:val="20"/>
          <w:szCs w:val="20"/>
          <w:lang w:val="es-ES" w:eastAsia="es-ES_tradnl"/>
        </w:rPr>
        <w:t>[…]</w:t>
      </w:r>
    </w:p>
    <w:p w14:paraId="435A92FF" w14:textId="77777777" w:rsidR="00E73A7B" w:rsidRPr="00FB1B6B" w:rsidRDefault="00E73A7B" w:rsidP="00E73A7B">
      <w:pPr>
        <w:spacing w:after="0" w:line="240" w:lineRule="auto"/>
        <w:ind w:left="709" w:right="709"/>
        <w:jc w:val="both"/>
        <w:rPr>
          <w:rFonts w:ascii="Verdana" w:eastAsia="Calibri" w:hAnsi="Verdana" w:cs="Arial"/>
          <w:sz w:val="20"/>
          <w:szCs w:val="20"/>
          <w:lang w:val="es-ES" w:eastAsia="es-ES_tradnl"/>
        </w:rPr>
      </w:pPr>
    </w:p>
    <w:p w14:paraId="04C61AA1" w14:textId="77777777" w:rsidR="00E73A7B" w:rsidRPr="00FB1B6B" w:rsidRDefault="00E73A7B" w:rsidP="00E73A7B">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EF84BBC" w14:textId="77777777" w:rsidR="00E73A7B" w:rsidRPr="00FB1B6B" w:rsidRDefault="00E73A7B" w:rsidP="00E73A7B">
      <w:pPr>
        <w:spacing w:after="0" w:line="240" w:lineRule="auto"/>
        <w:ind w:left="709" w:right="709"/>
        <w:jc w:val="both"/>
        <w:rPr>
          <w:rFonts w:ascii="Verdana" w:eastAsia="Times New Roman" w:hAnsi="Verdana" w:cs="Arial"/>
          <w:sz w:val="20"/>
          <w:szCs w:val="20"/>
          <w:lang w:val="es-ES" w:eastAsia="es-MX"/>
        </w:rPr>
      </w:pPr>
    </w:p>
    <w:p w14:paraId="567E3C71" w14:textId="77777777" w:rsidR="00E73A7B" w:rsidRPr="00FB1B6B" w:rsidRDefault="00E73A7B" w:rsidP="00E73A7B">
      <w:pPr>
        <w:spacing w:after="0" w:line="240" w:lineRule="auto"/>
        <w:ind w:left="709" w:right="709"/>
        <w:jc w:val="both"/>
        <w:rPr>
          <w:rFonts w:ascii="Verdana" w:eastAsia="Times New Roman" w:hAnsi="Verdana" w:cs="Arial"/>
          <w:sz w:val="20"/>
          <w:szCs w:val="20"/>
          <w:lang w:eastAsia="es-MX"/>
        </w:rPr>
      </w:pPr>
      <w:r w:rsidRPr="00FB1B6B">
        <w:rPr>
          <w:rFonts w:ascii="Verdana" w:eastAsia="Times New Roman" w:hAnsi="Verdana" w:cs="Arial"/>
          <w:sz w:val="20"/>
          <w:szCs w:val="20"/>
          <w:lang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FB1B6B">
        <w:rPr>
          <w:rStyle w:val="Refdenotaalpie"/>
          <w:rFonts w:ascii="Verdana" w:eastAsia="Times New Roman" w:hAnsi="Verdana" w:cs="Arial"/>
          <w:sz w:val="20"/>
          <w:szCs w:val="20"/>
          <w:lang w:eastAsia="es-MX"/>
        </w:rPr>
        <w:footnoteReference w:id="5"/>
      </w:r>
      <w:r w:rsidRPr="00FB1B6B">
        <w:rPr>
          <w:rFonts w:ascii="Verdana" w:eastAsia="Times New Roman" w:hAnsi="Verdana" w:cs="Arial"/>
          <w:sz w:val="20"/>
          <w:szCs w:val="20"/>
          <w:lang w:eastAsia="es-MX"/>
        </w:rPr>
        <w:t>. [Énfasis fuera del texto original]</w:t>
      </w:r>
    </w:p>
    <w:p w14:paraId="43E1B063" w14:textId="77777777" w:rsidR="00E73A7B" w:rsidRPr="00BC1770" w:rsidRDefault="00E73A7B" w:rsidP="00E73A7B">
      <w:pPr>
        <w:spacing w:after="0" w:line="276" w:lineRule="auto"/>
        <w:ind w:firstLine="708"/>
        <w:jc w:val="both"/>
        <w:rPr>
          <w:rFonts w:ascii="Verdana" w:eastAsia="Calibri" w:hAnsi="Verdana" w:cs="Arial"/>
          <w:lang w:val="es-ES"/>
        </w:rPr>
      </w:pPr>
    </w:p>
    <w:p w14:paraId="4438B10A" w14:textId="6808363F" w:rsidR="00E73A7B" w:rsidRPr="00BC1770" w:rsidRDefault="00E73A7B" w:rsidP="00E73A7B">
      <w:pPr>
        <w:spacing w:after="120" w:line="276" w:lineRule="auto"/>
        <w:ind w:firstLine="708"/>
        <w:jc w:val="both"/>
        <w:rPr>
          <w:rFonts w:ascii="Verdana" w:eastAsia="Times New Roman" w:hAnsi="Verdana" w:cs="Arial"/>
          <w:lang w:val="es-ES" w:eastAsia="es-MX"/>
        </w:rPr>
      </w:pPr>
      <w:r w:rsidRPr="00BC1770">
        <w:rPr>
          <w:rFonts w:ascii="Verdana" w:eastAsia="Times New Roman" w:hAnsi="Verdana" w:cs="Arial"/>
          <w:lang w:val="es-ES" w:eastAsia="es-MX"/>
        </w:rPr>
        <w:t xml:space="preserve">Como se observa, la norma establece de manera expresa el momento o la oportunidad en la que las entidades deben expedir el certificado de disponibilidad presupuestal cuando adelanten procesos de contratación. </w:t>
      </w:r>
      <w:r w:rsidR="0077605F">
        <w:rPr>
          <w:rFonts w:ascii="Verdana" w:eastAsia="Times New Roman" w:hAnsi="Verdana" w:cs="Arial"/>
          <w:lang w:val="es-ES" w:eastAsia="es-MX"/>
        </w:rPr>
        <w:t>Así, p</w:t>
      </w:r>
      <w:r w:rsidR="0077605F" w:rsidRPr="00BC1770">
        <w:rPr>
          <w:rFonts w:ascii="Verdana" w:eastAsia="Times New Roman" w:hAnsi="Verdana" w:cs="Arial"/>
          <w:lang w:val="es-ES" w:eastAsia="es-MX"/>
        </w:rPr>
        <w:t>or</w:t>
      </w:r>
      <w:r w:rsidRPr="00BC1770">
        <w:rPr>
          <w:rFonts w:ascii="Verdana" w:eastAsia="Times New Roman" w:hAnsi="Verdana" w:cs="Arial"/>
          <w:lang w:val="es-ES" w:eastAsia="es-MX"/>
        </w:rPr>
        <w:t xml:space="preserve"> expresa disposición del legislador, </w:t>
      </w:r>
      <w:r w:rsidR="00A76017">
        <w:rPr>
          <w:rFonts w:ascii="Verdana" w:eastAsia="Times New Roman" w:hAnsi="Verdana" w:cs="Arial"/>
          <w:lang w:val="es-ES" w:eastAsia="es-MX"/>
        </w:rPr>
        <w:t xml:space="preserve">las Entidades Estatales </w:t>
      </w:r>
      <w:r w:rsidRPr="00BC1770">
        <w:rPr>
          <w:rFonts w:ascii="Verdana" w:eastAsia="Times New Roman" w:hAnsi="Verdana" w:cs="Arial"/>
          <w:lang w:val="es-ES" w:eastAsia="es-MX"/>
        </w:rPr>
        <w:t xml:space="preserve">deben contar con este certificado en una fecha </w:t>
      </w:r>
      <w:r w:rsidRPr="00BC1770">
        <w:rPr>
          <w:rFonts w:ascii="Verdana" w:eastAsia="Times New Roman" w:hAnsi="Verdana" w:cs="Arial"/>
          <w:i/>
          <w:iCs/>
          <w:lang w:val="es-ES" w:eastAsia="es-MX"/>
        </w:rPr>
        <w:t>previa</w:t>
      </w:r>
      <w:r w:rsidRPr="00BC1770">
        <w:rPr>
          <w:rFonts w:ascii="Verdana" w:eastAsia="Times New Roman" w:hAnsi="Verdana" w:cs="Arial"/>
          <w:lang w:val="es-ES" w:eastAsia="es-MX"/>
        </w:rPr>
        <w:t xml:space="preserve"> al momento en que inicia el proceso de selección del contratista. En concordancia con la citada disposición, la Ley 1882 de 2018, que modificó algunas disposiciones del </w:t>
      </w:r>
      <w:r w:rsidRPr="00BC1770">
        <w:rPr>
          <w:rFonts w:ascii="Verdana" w:eastAsia="Calibri" w:hAnsi="Verdana" w:cs="Arial"/>
          <w:bCs/>
          <w:lang w:val="es-ES" w:eastAsia="es-ES_tradnl"/>
        </w:rPr>
        <w:t xml:space="preserve">EGCAP, entre ellas, la adición al parágrafo del artículo 8 de la Ley 1150 de 2007, establece que “[…] </w:t>
      </w:r>
      <w:r w:rsidRPr="00BC1770">
        <w:rPr>
          <w:rFonts w:ascii="Verdana" w:eastAsia="Calibri" w:hAnsi="Verdana" w:cs="Arial"/>
          <w:bCs/>
          <w:i/>
          <w:iCs/>
          <w:lang w:val="es-ES" w:eastAsia="es-ES_tradnl"/>
        </w:rPr>
        <w:t>no es obligatorio contar con disponibilidad presupuestal para realizar la publicación del proyecto de pliego de condiciones</w:t>
      </w:r>
      <w:r w:rsidRPr="00BC1770">
        <w:rPr>
          <w:rFonts w:ascii="Verdana" w:eastAsia="Times New Roman" w:hAnsi="Verdana" w:cs="Arial"/>
          <w:lang w:val="es-ES" w:eastAsia="es-MX"/>
        </w:rPr>
        <w:t xml:space="preserve">”. </w:t>
      </w:r>
    </w:p>
    <w:p w14:paraId="4DEC95C3" w14:textId="77777777" w:rsidR="00E73A7B" w:rsidRPr="00BC1770" w:rsidRDefault="00E73A7B" w:rsidP="00E73A7B">
      <w:pPr>
        <w:spacing w:after="120" w:line="276" w:lineRule="auto"/>
        <w:ind w:firstLine="709"/>
        <w:jc w:val="both"/>
        <w:rPr>
          <w:rFonts w:ascii="Verdana" w:eastAsia="Times New Roman" w:hAnsi="Verdana" w:cs="Arial"/>
          <w:lang w:val="es-ES" w:eastAsia="es-MX"/>
        </w:rPr>
      </w:pPr>
      <w:r w:rsidRPr="00BC1770">
        <w:rPr>
          <w:rFonts w:ascii="Verdana" w:eastAsia="Times New Roman" w:hAnsi="Verdana" w:cs="Arial"/>
          <w:lang w:val="es-ES" w:eastAsia="es-MX"/>
        </w:rPr>
        <w:t xml:space="preserve">En ese orden, la norma precisa que, en procesos competitivos, el certificado de disponibilidad presupuestal debe ser expedido por la entidad contratante </w:t>
      </w:r>
      <w:r w:rsidRPr="00BC1770">
        <w:rPr>
          <w:rFonts w:ascii="Verdana" w:eastAsia="Times New Roman" w:hAnsi="Verdana" w:cs="Arial"/>
          <w:i/>
          <w:iCs/>
          <w:lang w:val="es-ES" w:eastAsia="es-MX"/>
        </w:rPr>
        <w:t>antes</w:t>
      </w:r>
      <w:r w:rsidRPr="00BC1770">
        <w:rPr>
          <w:rFonts w:ascii="Verdana" w:eastAsia="Times New Roman" w:hAnsi="Verdana" w:cs="Arial"/>
          <w:lang w:val="es-ES" w:eastAsia="es-MX"/>
        </w:rPr>
        <w:t xml:space="preserve"> de que inicie formalmente la etapa de selección del </w:t>
      </w:r>
      <w:r w:rsidRPr="00BC1770">
        <w:rPr>
          <w:rFonts w:ascii="Verdana" w:eastAsia="Times New Roman" w:hAnsi="Verdana" w:cs="Arial"/>
          <w:lang w:val="es-ES" w:eastAsia="es-MX"/>
        </w:rPr>
        <w:lastRenderedPageBreak/>
        <w:t>contratista, es decir, previo a la expedición y publicación del acto administrativo de apertura del proceso. De esta manera, no es obligatorio contar con el certificado en las etapas preparatorias del proceso de selección, como al momento de publicación del aviso de convocatoria pública, en la publicación de los estudios previos o del proyecto de pliego de condiciones en los procesos licitatorios. No obstante, si la entidad contratante puede expedir el certificado de disponibilidad presupuestal con anterioridad a la expedición del acto de apertura, estará actuando dentro del marco legal existente.</w:t>
      </w:r>
    </w:p>
    <w:p w14:paraId="083A3E79" w14:textId="77777777" w:rsidR="00E73A7B" w:rsidRPr="00BC1770" w:rsidRDefault="00E73A7B" w:rsidP="00E73A7B">
      <w:pPr>
        <w:spacing w:after="120" w:line="276" w:lineRule="auto"/>
        <w:ind w:firstLine="709"/>
        <w:jc w:val="both"/>
        <w:rPr>
          <w:rFonts w:ascii="Verdana" w:eastAsia="Times New Roman" w:hAnsi="Verdana" w:cs="Arial"/>
          <w:lang w:val="es-ES" w:eastAsia="es-MX"/>
        </w:rPr>
      </w:pPr>
      <w:r w:rsidRPr="00BC1770">
        <w:rPr>
          <w:rFonts w:ascii="Verdana" w:eastAsia="Times New Roman" w:hAnsi="Verdana" w:cs="Arial"/>
          <w:lang w:val="es-ES" w:eastAsia="es-MX"/>
        </w:rPr>
        <w:t>En consecuencia, según el numeral 6 del artículo 25 de la Ley 80 de 1993, las Entidades Estatales deben expedir el certificado de disponibilidad presupuestal con anterioridad al inicio del proceso de selección. Esta regla aplica según la modalidad de selección de la siguiente forma:</w:t>
      </w:r>
    </w:p>
    <w:p w14:paraId="3D7B5943" w14:textId="77777777" w:rsidR="00E73A7B" w:rsidRPr="00BC1770" w:rsidRDefault="00E73A7B" w:rsidP="00E73A7B">
      <w:pPr>
        <w:pStyle w:val="Prrafodelista"/>
        <w:numPr>
          <w:ilvl w:val="0"/>
          <w:numId w:val="18"/>
        </w:numPr>
        <w:spacing w:after="120" w:line="276" w:lineRule="auto"/>
        <w:ind w:left="1134" w:hanging="425"/>
        <w:jc w:val="both"/>
        <w:rPr>
          <w:rFonts w:ascii="Verdana" w:eastAsia="Times New Roman" w:hAnsi="Verdana" w:cs="Arial"/>
          <w:lang w:eastAsia="es-MX"/>
        </w:rPr>
      </w:pPr>
      <w:r w:rsidRPr="00BC1770">
        <w:rPr>
          <w:rFonts w:ascii="Verdana" w:eastAsia="Times New Roman" w:hAnsi="Verdana" w:cs="Arial"/>
          <w:lang w:eastAsia="es-MX"/>
        </w:rPr>
        <w:t>En los procesos de licitación pública, selección abreviada y concurso de méritos, las entidades deben contar con el CDP antes de la expedición del acto administrativo de apertura formal del proceso</w:t>
      </w:r>
    </w:p>
    <w:p w14:paraId="401C26BF" w14:textId="77777777" w:rsidR="00E73A7B" w:rsidRPr="00BC1770" w:rsidRDefault="00E73A7B" w:rsidP="00E73A7B">
      <w:pPr>
        <w:pStyle w:val="Prrafodelista"/>
        <w:numPr>
          <w:ilvl w:val="0"/>
          <w:numId w:val="18"/>
        </w:numPr>
        <w:spacing w:after="120" w:line="276" w:lineRule="auto"/>
        <w:ind w:left="1134" w:hanging="425"/>
        <w:jc w:val="both"/>
        <w:rPr>
          <w:rFonts w:ascii="Verdana" w:eastAsia="Times New Roman" w:hAnsi="Verdana" w:cs="Arial"/>
          <w:lang w:eastAsia="es-MX"/>
        </w:rPr>
      </w:pPr>
      <w:r w:rsidRPr="00BC1770">
        <w:rPr>
          <w:rFonts w:ascii="Verdana" w:eastAsia="Times New Roman" w:hAnsi="Verdana" w:cs="Arial"/>
          <w:lang w:eastAsia="es-MX"/>
        </w:rPr>
        <w:t xml:space="preserve">En los procesos de mínima cuantía deben contar con el CDP al momento de la invitación pública </w:t>
      </w:r>
    </w:p>
    <w:p w14:paraId="13074B33" w14:textId="77777777" w:rsidR="00E73A7B" w:rsidRPr="00BC1770" w:rsidRDefault="00E73A7B" w:rsidP="00E73A7B">
      <w:pPr>
        <w:pStyle w:val="Prrafodelista"/>
        <w:numPr>
          <w:ilvl w:val="0"/>
          <w:numId w:val="18"/>
        </w:numPr>
        <w:spacing w:after="120" w:line="276" w:lineRule="auto"/>
        <w:ind w:left="1134" w:hanging="425"/>
        <w:jc w:val="both"/>
        <w:rPr>
          <w:rFonts w:ascii="Verdana" w:eastAsia="Times New Roman" w:hAnsi="Verdana" w:cs="Arial"/>
          <w:lang w:eastAsia="es-MX"/>
        </w:rPr>
      </w:pPr>
      <w:r w:rsidRPr="00BC1770">
        <w:rPr>
          <w:rFonts w:ascii="Verdana" w:eastAsia="Times New Roman" w:hAnsi="Verdana" w:cs="Arial"/>
          <w:lang w:eastAsia="es-MX"/>
        </w:rPr>
        <w:t>En la contratación directa, deben contar con el CDP al momento en que inicia el proceso de negociación con el futuro contratista</w:t>
      </w:r>
      <w:r w:rsidRPr="00BC1770">
        <w:rPr>
          <w:rStyle w:val="Refdenotaalpie"/>
          <w:rFonts w:ascii="Verdana" w:hAnsi="Verdana" w:cs="Arial"/>
          <w:lang w:eastAsia="es-MX"/>
        </w:rPr>
        <w:t xml:space="preserve"> </w:t>
      </w:r>
      <w:r w:rsidRPr="00BC1770">
        <w:rPr>
          <w:rStyle w:val="Refdenotaalpie"/>
          <w:rFonts w:ascii="Verdana" w:hAnsi="Verdana" w:cs="Arial"/>
          <w:lang w:eastAsia="es-MX"/>
        </w:rPr>
        <w:footnoteReference w:id="6"/>
      </w:r>
      <w:r w:rsidRPr="00BC1770">
        <w:rPr>
          <w:rFonts w:ascii="Verdana" w:eastAsia="Times New Roman" w:hAnsi="Verdana" w:cs="Arial"/>
          <w:lang w:eastAsia="es-MX"/>
        </w:rPr>
        <w:t>, pues la norma señala que “iniciarán los procesos” cuando existan las respectivas disponibilidades presupuestales.</w:t>
      </w:r>
    </w:p>
    <w:p w14:paraId="19DCA6E4" w14:textId="77777777" w:rsidR="00E73A7B" w:rsidRPr="00BC1770" w:rsidRDefault="00E73A7B" w:rsidP="00E73A7B">
      <w:pPr>
        <w:spacing w:after="120" w:line="276" w:lineRule="auto"/>
        <w:ind w:firstLine="709"/>
        <w:jc w:val="both"/>
        <w:rPr>
          <w:rFonts w:ascii="Verdana" w:eastAsia="Times New Roman" w:hAnsi="Verdana" w:cs="Arial"/>
          <w:lang w:val="es-ES" w:eastAsia="es-MX"/>
        </w:rPr>
      </w:pPr>
      <w:r w:rsidRPr="00BC1770">
        <w:rPr>
          <w:rFonts w:ascii="Verdana" w:eastAsia="Times New Roman" w:hAnsi="Verdana" w:cs="Arial"/>
          <w:lang w:val="es-ES" w:eastAsia="es-MX"/>
        </w:rPr>
        <w:t xml:space="preserve">Este mandato de la </w:t>
      </w:r>
      <w:r>
        <w:rPr>
          <w:rFonts w:ascii="Verdana" w:eastAsia="Times New Roman" w:hAnsi="Verdana" w:cs="Arial"/>
          <w:lang w:val="es-ES" w:eastAsia="es-MX"/>
        </w:rPr>
        <w:t>L</w:t>
      </w:r>
      <w:r w:rsidRPr="00BC1770">
        <w:rPr>
          <w:rFonts w:ascii="Verdana" w:eastAsia="Times New Roman" w:hAnsi="Verdana" w:cs="Arial"/>
          <w:lang w:val="es-ES" w:eastAsia="es-MX"/>
        </w:rPr>
        <w:t>ey 80 de 1993 está en consonancia con el principio constitucional de legalidad del gasto público, el cual acarrea la obligación de contar con disponibilidad presupuestal antes de asumir un gasto o una obligación. Adicionalmente, es una manifestación del principio de economía porque obliga a las entidades contratantes a que verifiquen administrativamente que cuentan con los recursos necesarios para cumplir los compromisos que asuman en la relación negocial, antes de celebrar el contrato, e incluso, antes de expedir los actos administrativos derivados de su actividad contractual.</w:t>
      </w:r>
    </w:p>
    <w:p w14:paraId="40FB379E" w14:textId="28CFA162" w:rsidR="00E73A7B" w:rsidRPr="00BC1770" w:rsidRDefault="00E73A7B" w:rsidP="00A76017">
      <w:pPr>
        <w:spacing w:after="0" w:line="276" w:lineRule="auto"/>
        <w:ind w:firstLine="709"/>
        <w:jc w:val="both"/>
        <w:rPr>
          <w:rFonts w:ascii="Verdana" w:eastAsia="Times New Roman" w:hAnsi="Verdana" w:cs="Arial"/>
          <w:color w:val="1A1A1A" w:themeColor="background1" w:themeShade="1A"/>
          <w:lang w:val="es-ES" w:eastAsia="es-ES_tradnl"/>
        </w:rPr>
      </w:pPr>
      <w:r w:rsidRPr="00BC1770">
        <w:rPr>
          <w:rFonts w:ascii="Verdana" w:eastAsia="Times New Roman" w:hAnsi="Verdana" w:cs="Arial"/>
          <w:lang w:val="es-ES" w:eastAsia="es-MX"/>
        </w:rPr>
        <w:t>E</w:t>
      </w:r>
      <w:r w:rsidRPr="00BC1770">
        <w:rPr>
          <w:rFonts w:ascii="Verdana" w:eastAsia="Times New Roman" w:hAnsi="Verdana" w:cs="Arial"/>
          <w:color w:val="1A1A1A" w:themeColor="background1" w:themeShade="1A"/>
          <w:lang w:val="es-ES" w:eastAsia="es-ES_tradnl"/>
        </w:rPr>
        <w:t xml:space="preserve">n armonía con el numeral 6° del artículo 25 de la Ley 80 de 1993, el artículo 71 del Decreto 111 de 1996 –Estatuto Orgánico del Presupuesto– trata del deber de contar con el Certificado de Disponibilidad Presupuestal como garantía de que existen los recursos necesarios para abrir procedimientos de </w:t>
      </w:r>
      <w:r w:rsidRPr="00BC1770">
        <w:rPr>
          <w:rFonts w:ascii="Verdana" w:eastAsia="Times New Roman" w:hAnsi="Verdana" w:cs="Arial"/>
          <w:color w:val="1A1A1A" w:themeColor="background1" w:themeShade="1A"/>
          <w:lang w:val="es-ES" w:eastAsia="es-ES_tradnl"/>
        </w:rPr>
        <w:lastRenderedPageBreak/>
        <w:t xml:space="preserve">selección e iniciar procesos de suscripción de contratos. En efecto, la norma señala que: </w:t>
      </w:r>
    </w:p>
    <w:p w14:paraId="406F0611" w14:textId="77777777" w:rsidR="00A76017" w:rsidRPr="00BC1770" w:rsidRDefault="00A76017" w:rsidP="00FB1B6B">
      <w:pPr>
        <w:spacing w:after="0" w:line="276" w:lineRule="auto"/>
        <w:ind w:firstLine="709"/>
        <w:jc w:val="both"/>
        <w:rPr>
          <w:rFonts w:ascii="Verdana" w:eastAsia="Times New Roman" w:hAnsi="Verdana" w:cs="Arial"/>
          <w:color w:val="1A1A1A" w:themeColor="background1" w:themeShade="1A"/>
          <w:lang w:val="es-ES" w:eastAsia="es-ES_tradnl"/>
        </w:rPr>
      </w:pPr>
    </w:p>
    <w:p w14:paraId="00918A7C" w14:textId="2177937A" w:rsidR="00E73A7B" w:rsidRDefault="00E73A7B" w:rsidP="00A76017">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 xml:space="preserve">“Todos los actos administrativos que afecten las apropiaciones presupuestales </w:t>
      </w:r>
      <w:r w:rsidRPr="00FB1B6B">
        <w:rPr>
          <w:rFonts w:ascii="Verdana" w:eastAsia="Times New Roman" w:hAnsi="Verdana" w:cs="Arial"/>
          <w:i/>
          <w:sz w:val="20"/>
          <w:szCs w:val="20"/>
          <w:u w:val="single"/>
          <w:lang w:val="es-ES" w:eastAsia="es-MX"/>
        </w:rPr>
        <w:t>deberán contar con certificados de disponibilidad previos</w:t>
      </w:r>
      <w:r w:rsidRPr="00FB1B6B">
        <w:rPr>
          <w:rFonts w:ascii="Verdana" w:eastAsia="Times New Roman" w:hAnsi="Verdana" w:cs="Arial"/>
          <w:sz w:val="20"/>
          <w:szCs w:val="20"/>
          <w:lang w:val="es-ES" w:eastAsia="es-MX"/>
        </w:rPr>
        <w:t xml:space="preserve"> que garanticen la existencia de apropiación suficiente para atender estos gastos.  </w:t>
      </w:r>
    </w:p>
    <w:p w14:paraId="03617528" w14:textId="77777777" w:rsidR="00A76017" w:rsidRPr="00FB1B6B" w:rsidRDefault="00A76017" w:rsidP="00FB1B6B">
      <w:pPr>
        <w:spacing w:after="0" w:line="240" w:lineRule="auto"/>
        <w:ind w:left="709" w:right="709"/>
        <w:jc w:val="both"/>
        <w:rPr>
          <w:rFonts w:ascii="Verdana" w:eastAsia="Times New Roman" w:hAnsi="Verdana" w:cs="Arial"/>
          <w:sz w:val="20"/>
          <w:szCs w:val="20"/>
          <w:lang w:val="es-ES" w:eastAsia="es-MX"/>
        </w:rPr>
      </w:pPr>
    </w:p>
    <w:p w14:paraId="6A7A619B" w14:textId="4CD83E19" w:rsidR="00E73A7B" w:rsidRDefault="00E73A7B" w:rsidP="00A76017">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Igualmente, estos compromisos deberán contar con registro presupuestal para que los recursos con él financiados no sean desviados a ningún otro fin. En este registro se deberá indicar claramente el valor y el plazo de las prestaciones a las que haya lugar. Esta operación es un requisito de perfeccionamiento de estos actos administrativos.  </w:t>
      </w:r>
    </w:p>
    <w:p w14:paraId="1ED31243" w14:textId="77777777" w:rsidR="00A76017" w:rsidRPr="00FB1B6B" w:rsidRDefault="00A76017" w:rsidP="00FB1B6B">
      <w:pPr>
        <w:spacing w:after="0" w:line="240" w:lineRule="auto"/>
        <w:ind w:left="709" w:right="709"/>
        <w:jc w:val="both"/>
        <w:rPr>
          <w:rFonts w:ascii="Verdana" w:eastAsia="Times New Roman" w:hAnsi="Verdana" w:cs="Arial"/>
          <w:sz w:val="20"/>
          <w:szCs w:val="20"/>
          <w:lang w:val="es-ES" w:eastAsia="es-MX"/>
        </w:rPr>
      </w:pPr>
    </w:p>
    <w:p w14:paraId="490428A6" w14:textId="0BF9A933" w:rsidR="00A76017" w:rsidRDefault="00E73A7B" w:rsidP="00A76017">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 xml:space="preserve">En consecuencia, </w:t>
      </w:r>
      <w:r w:rsidRPr="00FB1B6B">
        <w:rPr>
          <w:rFonts w:ascii="Verdana" w:eastAsia="Times New Roman" w:hAnsi="Verdana" w:cs="Arial"/>
          <w:i/>
          <w:sz w:val="20"/>
          <w:szCs w:val="20"/>
          <w:u w:val="single"/>
          <w:lang w:val="es-ES" w:eastAsia="es-MX"/>
        </w:rPr>
        <w:t>ninguna autoridad podrá contraer obligaciones sobre apropiaciones inexistentes</w:t>
      </w:r>
      <w:r w:rsidRPr="00FB1B6B">
        <w:rPr>
          <w:rFonts w:ascii="Verdana" w:eastAsia="Times New Roman" w:hAnsi="Verdana" w:cs="Arial"/>
          <w:sz w:val="20"/>
          <w:szCs w:val="20"/>
          <w:lang w:val="es-ES" w:eastAsia="es-MX"/>
        </w:rPr>
        <w:t>, o en exceso del saldo disponible, o sin la autorización previa del CONFIS o por quien éste delegue, para comprometer vigencias futuras y la adquisición de compromisos con cargo a los recursos del crédito autorizados.  </w:t>
      </w:r>
    </w:p>
    <w:p w14:paraId="4F735402" w14:textId="77777777" w:rsidR="00A76017" w:rsidRPr="00FB1B6B" w:rsidRDefault="00A76017" w:rsidP="00FB1B6B">
      <w:pPr>
        <w:spacing w:after="0" w:line="240" w:lineRule="auto"/>
        <w:ind w:left="709" w:right="709"/>
        <w:jc w:val="both"/>
        <w:rPr>
          <w:rFonts w:ascii="Verdana" w:eastAsia="Times New Roman" w:hAnsi="Verdana" w:cs="Arial"/>
          <w:sz w:val="20"/>
          <w:szCs w:val="20"/>
          <w:lang w:val="es-ES" w:eastAsia="es-MX"/>
        </w:rPr>
      </w:pPr>
    </w:p>
    <w:p w14:paraId="25D5F090" w14:textId="77777777" w:rsidR="00E73A7B" w:rsidRPr="00FB1B6B" w:rsidRDefault="00E73A7B" w:rsidP="00FB1B6B">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  </w:t>
      </w:r>
    </w:p>
    <w:p w14:paraId="1779F331" w14:textId="77777777" w:rsidR="00A76017" w:rsidRDefault="00A76017" w:rsidP="00A76017">
      <w:pPr>
        <w:spacing w:after="0" w:line="240" w:lineRule="auto"/>
        <w:ind w:left="709" w:right="709"/>
        <w:jc w:val="both"/>
        <w:rPr>
          <w:rFonts w:ascii="Verdana" w:eastAsia="Times New Roman" w:hAnsi="Verdana" w:cs="Arial"/>
          <w:sz w:val="20"/>
          <w:szCs w:val="20"/>
          <w:lang w:val="es-ES" w:eastAsia="es-MX"/>
        </w:rPr>
      </w:pPr>
    </w:p>
    <w:p w14:paraId="1B7A8461" w14:textId="166ABA4E" w:rsidR="00E73A7B" w:rsidRPr="00FB1B6B" w:rsidRDefault="00E73A7B" w:rsidP="00E73A7B">
      <w:pPr>
        <w:spacing w:after="0" w:line="240" w:lineRule="auto"/>
        <w:ind w:left="709" w:right="709"/>
        <w:jc w:val="both"/>
        <w:rPr>
          <w:rFonts w:ascii="Verdana" w:eastAsia="Times New Roman" w:hAnsi="Verdana" w:cs="Arial"/>
          <w:sz w:val="20"/>
          <w:szCs w:val="20"/>
          <w:lang w:val="es-ES" w:eastAsia="es-MX"/>
        </w:rPr>
      </w:pPr>
      <w:r w:rsidRPr="00FB1B6B">
        <w:rPr>
          <w:rFonts w:ascii="Verdana" w:eastAsia="Times New Roman" w:hAnsi="Verdana" w:cs="Arial"/>
          <w:sz w:val="20"/>
          <w:szCs w:val="20"/>
          <w:lang w:val="es-ES" w:eastAsia="es-MX"/>
        </w:rPr>
        <w:t>Cualquier compromiso que se adquiera con violación de estos preceptos creará responsabilidad personal y pecuniaria a cargo de quien asuma estas obligaciones (Ley 38 de 1989, art. 86, Ley 179 de 1994, art. 49)” [Énfasis fuera del texto original].</w:t>
      </w:r>
    </w:p>
    <w:p w14:paraId="46353C54" w14:textId="77777777" w:rsidR="00E73A7B" w:rsidRPr="00BC1770" w:rsidRDefault="00E73A7B" w:rsidP="00E73A7B">
      <w:pPr>
        <w:spacing w:after="0" w:line="276" w:lineRule="auto"/>
        <w:jc w:val="both"/>
        <w:rPr>
          <w:rFonts w:ascii="Verdana" w:eastAsia="Century Gothic" w:hAnsi="Verdana" w:cs="Century Gothic"/>
          <w:lang w:val="es-ES"/>
        </w:rPr>
      </w:pPr>
    </w:p>
    <w:p w14:paraId="03583A1C" w14:textId="77777777" w:rsidR="00E73A7B" w:rsidRPr="00BC1770" w:rsidRDefault="00E73A7B" w:rsidP="00E73A7B">
      <w:pPr>
        <w:spacing w:after="0" w:line="276" w:lineRule="auto"/>
        <w:ind w:firstLine="708"/>
        <w:jc w:val="both"/>
        <w:rPr>
          <w:rFonts w:ascii="Verdana" w:eastAsia="Times New Roman" w:hAnsi="Verdana" w:cs="Arial"/>
          <w:color w:val="1A1A1A" w:themeColor="background1" w:themeShade="1A"/>
          <w:lang w:val="es-ES" w:eastAsia="es-ES_tradnl"/>
        </w:rPr>
      </w:pPr>
      <w:r w:rsidRPr="00BC1770">
        <w:rPr>
          <w:rFonts w:ascii="Verdana" w:eastAsia="Times New Roman" w:hAnsi="Verdana" w:cs="Arial"/>
          <w:color w:val="1A1A1A" w:themeColor="background1" w:themeShade="1A"/>
          <w:lang w:val="es-ES" w:eastAsia="es-ES_tradnl"/>
        </w:rPr>
        <w:t>En concordancia con lo anterior, el Consejo de Estado expresó respecto de la disponibilidad y el compromiso presupuestal, que:</w:t>
      </w:r>
    </w:p>
    <w:p w14:paraId="6ABA049C" w14:textId="77777777" w:rsidR="00E73A7B" w:rsidRPr="00BC1770" w:rsidRDefault="00E73A7B" w:rsidP="00FB1B6B">
      <w:pPr>
        <w:pStyle w:val="Prrafodelista"/>
        <w:spacing w:after="0" w:line="276" w:lineRule="auto"/>
        <w:ind w:left="0"/>
        <w:jc w:val="both"/>
        <w:rPr>
          <w:rFonts w:ascii="Verdana" w:eastAsia="Times New Roman" w:hAnsi="Verdana" w:cs="Arial"/>
          <w:color w:val="1A1A1A" w:themeColor="background1" w:themeShade="1A"/>
          <w:lang w:eastAsia="es-ES_tradnl"/>
        </w:rPr>
      </w:pPr>
    </w:p>
    <w:p w14:paraId="7D4FB69A" w14:textId="77777777" w:rsidR="00E73A7B" w:rsidRPr="00FB1B6B" w:rsidRDefault="00E73A7B" w:rsidP="00E73A7B">
      <w:pPr>
        <w:pStyle w:val="Prrafodelista"/>
        <w:spacing w:after="0" w:line="240" w:lineRule="auto"/>
        <w:ind w:left="709" w:right="709"/>
        <w:jc w:val="both"/>
        <w:rPr>
          <w:rFonts w:ascii="Verdana" w:eastAsia="Times New Roman" w:hAnsi="Verdana" w:cs="Arial"/>
          <w:color w:val="000000" w:themeColor="text1"/>
          <w:sz w:val="20"/>
          <w:szCs w:val="20"/>
          <w:lang w:eastAsia="es-ES_tradnl"/>
        </w:rPr>
      </w:pPr>
      <w:r w:rsidRPr="00FB1B6B">
        <w:rPr>
          <w:rFonts w:ascii="Verdana" w:eastAsia="Times New Roman" w:hAnsi="Verdana" w:cs="Arial"/>
          <w:color w:val="000000" w:themeColor="text1"/>
          <w:sz w:val="20"/>
          <w:szCs w:val="20"/>
          <w:lang w:eastAsia="es-ES_tradnl"/>
        </w:rPr>
        <w:t>“En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w:t>
      </w:r>
      <w:r w:rsidRPr="00FB1B6B">
        <w:rPr>
          <w:rFonts w:ascii="Verdana" w:eastAsia="Times New Roman" w:hAnsi="Verdana" w:cs="Arial"/>
          <w:color w:val="000000" w:themeColor="text1"/>
          <w:spacing w:val="-3"/>
          <w:sz w:val="20"/>
          <w:szCs w:val="20"/>
          <w:lang w:eastAsia="es-ES_tradnl"/>
        </w:rPr>
        <w:t xml:space="preserve"> </w:t>
      </w:r>
      <w:r w:rsidRPr="00FB1B6B">
        <w:rPr>
          <w:rFonts w:ascii="Verdana" w:eastAsia="Times New Roman" w:hAnsi="Verdana" w:cs="Arial"/>
          <w:color w:val="000000" w:themeColor="text1"/>
          <w:sz w:val="20"/>
          <w:szCs w:val="20"/>
          <w:lang w:eastAsia="es-ES_tradnl"/>
        </w:rPr>
        <w:t>partes.</w:t>
      </w:r>
    </w:p>
    <w:p w14:paraId="761D1B4B" w14:textId="77777777" w:rsidR="00E73A7B" w:rsidRPr="00FB1B6B" w:rsidRDefault="00E73A7B" w:rsidP="00E73A7B">
      <w:pPr>
        <w:pStyle w:val="Prrafodelista"/>
        <w:spacing w:after="0" w:line="240" w:lineRule="auto"/>
        <w:ind w:left="709" w:right="709"/>
        <w:jc w:val="both"/>
        <w:rPr>
          <w:rFonts w:ascii="Verdana" w:eastAsia="Times New Roman" w:hAnsi="Verdana" w:cs="Arial"/>
          <w:color w:val="000000" w:themeColor="text1"/>
          <w:sz w:val="20"/>
          <w:szCs w:val="20"/>
          <w:lang w:eastAsia="es-ES_tradnl"/>
        </w:rPr>
      </w:pPr>
    </w:p>
    <w:p w14:paraId="55ACF512" w14:textId="77777777" w:rsidR="00E73A7B" w:rsidRPr="00FB1B6B" w:rsidRDefault="00E73A7B" w:rsidP="00E73A7B">
      <w:pPr>
        <w:pStyle w:val="Prrafodelista"/>
        <w:spacing w:after="0" w:line="240" w:lineRule="auto"/>
        <w:ind w:left="709" w:right="709"/>
        <w:rPr>
          <w:rFonts w:ascii="Verdana" w:eastAsia="Times New Roman" w:hAnsi="Verdana" w:cs="Arial"/>
          <w:color w:val="000000" w:themeColor="text1"/>
          <w:sz w:val="20"/>
          <w:szCs w:val="20"/>
          <w:lang w:eastAsia="es-ES_tradnl"/>
        </w:rPr>
      </w:pPr>
      <w:r w:rsidRPr="00FB1B6B">
        <w:rPr>
          <w:rFonts w:ascii="Verdana" w:eastAsia="Times New Roman" w:hAnsi="Verdana" w:cs="Arial"/>
          <w:sz w:val="20"/>
          <w:szCs w:val="20"/>
          <w:lang w:eastAsia="es-ES_tradnl"/>
        </w:rPr>
        <w:t>[…]</w:t>
      </w:r>
    </w:p>
    <w:p w14:paraId="674291DF" w14:textId="77777777" w:rsidR="00E73A7B" w:rsidRPr="00FB1B6B" w:rsidRDefault="00E73A7B" w:rsidP="00E73A7B">
      <w:pPr>
        <w:pStyle w:val="Prrafodelista"/>
        <w:spacing w:after="0" w:line="240" w:lineRule="auto"/>
        <w:ind w:left="709" w:right="709"/>
        <w:jc w:val="both"/>
        <w:rPr>
          <w:rFonts w:ascii="Verdana" w:eastAsia="Times New Roman" w:hAnsi="Verdana" w:cs="Arial"/>
          <w:color w:val="000000" w:themeColor="text1"/>
          <w:sz w:val="20"/>
          <w:szCs w:val="20"/>
          <w:lang w:eastAsia="es-ES_tradnl"/>
        </w:rPr>
      </w:pPr>
    </w:p>
    <w:p w14:paraId="7FE30C26" w14:textId="77777777" w:rsidR="00E73A7B" w:rsidRPr="00FB1B6B" w:rsidRDefault="00E73A7B" w:rsidP="00E73A7B">
      <w:pPr>
        <w:pStyle w:val="Prrafodelista"/>
        <w:spacing w:after="0" w:line="240" w:lineRule="auto"/>
        <w:ind w:left="709" w:right="709"/>
        <w:jc w:val="both"/>
        <w:rPr>
          <w:rFonts w:ascii="Verdana" w:eastAsia="Times New Roman" w:hAnsi="Verdana" w:cs="Arial"/>
          <w:color w:val="000000" w:themeColor="text1"/>
          <w:sz w:val="20"/>
          <w:szCs w:val="20"/>
          <w:lang w:eastAsia="es-ES_tradnl"/>
        </w:rPr>
      </w:pPr>
      <w:r w:rsidRPr="00FB1B6B">
        <w:rPr>
          <w:rFonts w:ascii="Verdana" w:eastAsia="Times New Roman" w:hAnsi="Verdana" w:cs="Arial"/>
          <w:color w:val="000000" w:themeColor="text1"/>
          <w:sz w:val="20"/>
          <w:szCs w:val="20"/>
          <w:lang w:eastAsia="es-ES_tradnl"/>
        </w:rPr>
        <w:t>Conviene recordarse que el certificado de disponibilidad presupuestal, en el terreno de lo contratos estatales sometidos al imperio de la Ley 80, no corresponde a un requisito de perfeccionamiento del negocio jurídico, pues su exigencia se circunscribe a una etapa previa a su ocurrencia, esto es, debe obtenerse con anterioridad a la apertura al procedimiento de selección que habrá de dar origen a la relación contractual. Lo mismo puede decirse del registro presupuestal en el ámbito de cobertura del Estatuto de Contratación Estatal, habida consideración de que su implementación constituye una exigencia para la ejecución del contrato y no para su</w:t>
      </w:r>
      <w:r w:rsidRPr="00FB1B6B">
        <w:rPr>
          <w:rFonts w:ascii="Verdana" w:eastAsia="Times New Roman" w:hAnsi="Verdana" w:cs="Arial"/>
          <w:color w:val="000000" w:themeColor="text1"/>
          <w:spacing w:val="-19"/>
          <w:sz w:val="20"/>
          <w:szCs w:val="20"/>
          <w:lang w:eastAsia="es-ES_tradnl"/>
        </w:rPr>
        <w:t xml:space="preserve"> </w:t>
      </w:r>
      <w:r w:rsidRPr="00FB1B6B">
        <w:rPr>
          <w:rFonts w:ascii="Verdana" w:eastAsia="Times New Roman" w:hAnsi="Verdana" w:cs="Arial"/>
          <w:color w:val="000000" w:themeColor="text1"/>
          <w:sz w:val="20"/>
          <w:szCs w:val="20"/>
          <w:lang w:eastAsia="es-ES_tradnl"/>
        </w:rPr>
        <w:t>existencia”</w:t>
      </w:r>
      <w:r w:rsidRPr="00FB1B6B">
        <w:rPr>
          <w:rFonts w:ascii="Verdana" w:hAnsi="Verdana"/>
          <w:sz w:val="20"/>
          <w:szCs w:val="20"/>
          <w:vertAlign w:val="superscript"/>
          <w:lang w:eastAsia="es-ES_tradnl"/>
        </w:rPr>
        <w:footnoteReference w:id="7"/>
      </w:r>
      <w:r w:rsidRPr="00FB1B6B">
        <w:rPr>
          <w:rFonts w:ascii="Verdana" w:eastAsia="Times New Roman" w:hAnsi="Verdana" w:cs="Arial"/>
          <w:color w:val="000000" w:themeColor="text1"/>
          <w:sz w:val="20"/>
          <w:szCs w:val="20"/>
          <w:lang w:eastAsia="es-ES_tradnl"/>
        </w:rPr>
        <w:t>.</w:t>
      </w:r>
    </w:p>
    <w:p w14:paraId="4455FC79" w14:textId="77777777" w:rsidR="00E73A7B" w:rsidRPr="00BC1770" w:rsidRDefault="00E73A7B" w:rsidP="00E73A7B">
      <w:pPr>
        <w:spacing w:after="0" w:line="276" w:lineRule="auto"/>
        <w:ind w:firstLine="708"/>
        <w:jc w:val="both"/>
        <w:rPr>
          <w:rFonts w:ascii="Verdana" w:eastAsia="Century Gothic" w:hAnsi="Verdana" w:cs="Century Gothic"/>
          <w:lang w:val="es-ES"/>
        </w:rPr>
      </w:pPr>
    </w:p>
    <w:p w14:paraId="31C392BD" w14:textId="03DCBE22" w:rsidR="00E73A7B" w:rsidRPr="00BC1770" w:rsidRDefault="00E73A7B" w:rsidP="00E73A7B">
      <w:pPr>
        <w:spacing w:after="0" w:line="276" w:lineRule="auto"/>
        <w:ind w:firstLine="708"/>
        <w:jc w:val="both"/>
        <w:rPr>
          <w:rFonts w:ascii="Verdana" w:eastAsia="Century Gothic" w:hAnsi="Verdana" w:cs="Century Gothic"/>
          <w:lang w:val="es-ES"/>
        </w:rPr>
      </w:pPr>
      <w:r w:rsidRPr="00BC1770">
        <w:rPr>
          <w:rFonts w:ascii="Verdana" w:eastAsia="Century Gothic" w:hAnsi="Verdana" w:cs="Century Gothic"/>
          <w:lang w:val="es-ES"/>
        </w:rPr>
        <w:t xml:space="preserve">De acuerdo con lo expuesto, esta Agencia ha sostenido la postura de que la expedición del certificado de disponibilidad presupuestal se debe realizar con anterioridad al momento de apertura del proceso de selección o previo </w:t>
      </w:r>
      <w:r w:rsidRPr="00BC1770">
        <w:rPr>
          <w:rFonts w:ascii="Verdana" w:eastAsia="Times New Roman" w:hAnsi="Verdana" w:cs="Arial"/>
          <w:lang w:val="es-ES" w:eastAsia="es-MX"/>
        </w:rPr>
        <w:t>a iniciar el proceso de negociación con el futuro contratista</w:t>
      </w:r>
      <w:r w:rsidRPr="00BC1770">
        <w:rPr>
          <w:rFonts w:ascii="Verdana" w:eastAsia="Century Gothic" w:hAnsi="Verdana" w:cs="Century Gothic"/>
          <w:lang w:val="es-ES"/>
        </w:rPr>
        <w:t xml:space="preserve"> en el caso de la contratación directa. Lo anterior, con el fin de que los recursos del Estado se administren con responsabilidad y evitar que se adelanten procesos sin contar con los recursos necesarios para ejecutar el contrato. Esta regla es, entonces, procedente independientemente de que en el contrato a suscribir existan cláusulas con obligaciones sujetas al cumplimiento de una condición futura e incierta.  </w:t>
      </w:r>
    </w:p>
    <w:p w14:paraId="74F82C14" w14:textId="627167A9" w:rsidR="00E73A7B" w:rsidRDefault="00E73A7B" w:rsidP="00FB1B6B">
      <w:pPr>
        <w:spacing w:before="120" w:after="120" w:line="276" w:lineRule="auto"/>
        <w:ind w:firstLine="709"/>
        <w:jc w:val="both"/>
        <w:rPr>
          <w:rFonts w:ascii="Verdana" w:eastAsia="Calibri" w:hAnsi="Verdana" w:cs="Arial"/>
          <w:bCs/>
          <w:color w:val="000000"/>
        </w:rPr>
      </w:pPr>
      <w:r w:rsidRPr="00BC1770">
        <w:rPr>
          <w:rFonts w:ascii="Verdana" w:eastAsia="Times New Roman" w:hAnsi="Verdana" w:cs="Arial"/>
          <w:lang w:val="es-ES" w:eastAsia="es-MX"/>
        </w:rPr>
        <w:t xml:space="preserve">Además del principio de legalidad del gasto público y el de economía, la obligación de expedir y contar con disponibilidad presupuestal en la actividad contractual al momento de iniciar el proceso de selección del contratista tiene cimiento en el deber de planeación y el principio de buena fe que vincula a las entidades. A través del certificado de disponibilidad presupuestal, la entidad garantiza que cuenta con recursos suficientes dentro de su presupuesto para </w:t>
      </w:r>
      <w:r w:rsidRPr="00BC1770">
        <w:rPr>
          <w:rFonts w:ascii="Verdana" w:hAnsi="Verdana"/>
          <w:lang w:val="es-ES"/>
        </w:rPr>
        <w:t>atender la prestación económica que se derivará del</w:t>
      </w:r>
      <w:r w:rsidRPr="00BC1770">
        <w:rPr>
          <w:rFonts w:ascii="Verdana" w:hAnsi="Verdana"/>
          <w:spacing w:val="51"/>
          <w:lang w:val="es-ES"/>
        </w:rPr>
        <w:t xml:space="preserve"> </w:t>
      </w:r>
      <w:r w:rsidRPr="00BC1770">
        <w:rPr>
          <w:rFonts w:ascii="Verdana" w:hAnsi="Verdana"/>
          <w:lang w:val="es-ES"/>
        </w:rPr>
        <w:t>contrato</w:t>
      </w:r>
      <w:r w:rsidRPr="00BC1770">
        <w:rPr>
          <w:rStyle w:val="Refdenotaalpie"/>
          <w:rFonts w:ascii="Verdana" w:hAnsi="Verdana" w:cs="Arial"/>
          <w:lang w:val="es-ES" w:eastAsia="es-MX"/>
        </w:rPr>
        <w:t xml:space="preserve"> </w:t>
      </w:r>
      <w:r w:rsidRPr="00BC1770">
        <w:rPr>
          <w:rStyle w:val="Refdenotaalpie"/>
          <w:rFonts w:ascii="Verdana" w:hAnsi="Verdana" w:cs="Arial"/>
          <w:lang w:val="es-ES" w:eastAsia="es-MX"/>
        </w:rPr>
        <w:footnoteReference w:id="8"/>
      </w:r>
      <w:r w:rsidRPr="00BC1770">
        <w:rPr>
          <w:rFonts w:ascii="Verdana" w:eastAsia="Times New Roman" w:hAnsi="Verdana" w:cs="Arial"/>
          <w:lang w:val="es-ES" w:eastAsia="es-MX"/>
        </w:rPr>
        <w:t xml:space="preserve">. Al mismo tiempo, otorga garantía a sus futuros contratista en relación con el respaldo económico para pagar las obligaciones que adquiere, aunque su cumplimiento se encuentre sujeto a una condición. </w:t>
      </w:r>
    </w:p>
    <w:p w14:paraId="6497B067" w14:textId="19AE8FAA" w:rsidR="00BD5F24" w:rsidRPr="005055D5" w:rsidRDefault="00E73A7B" w:rsidP="00E73A7B">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 xml:space="preserve">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w:t>
      </w:r>
      <w:r w:rsidRPr="005055D5">
        <w:rPr>
          <w:rFonts w:ascii="Verdana" w:eastAsia="Calibri" w:hAnsi="Verdana" w:cs="Arial"/>
          <w:bCs/>
          <w:color w:val="000000"/>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9E69355" w14:textId="55846D68" w:rsidR="00BD5F24" w:rsidRDefault="00E73A7B" w:rsidP="00E73A7B">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A1A6505" w14:textId="77777777" w:rsidR="00E73A7B" w:rsidRPr="00742A56" w:rsidRDefault="00E73A7B" w:rsidP="00E73A7B">
      <w:pPr>
        <w:spacing w:after="0" w:line="276" w:lineRule="auto"/>
        <w:jc w:val="both"/>
        <w:rPr>
          <w:rFonts w:ascii="Verdana" w:hAnsi="Verdana" w:cs="Arial"/>
          <w:bCs/>
          <w:color w:val="000000" w:themeColor="text1"/>
        </w:rPr>
      </w:pPr>
    </w:p>
    <w:bookmarkEnd w:id="2"/>
    <w:bookmarkEnd w:id="3"/>
    <w:p w14:paraId="11A25560" w14:textId="77777777" w:rsidR="00E73A7B" w:rsidRPr="00115E3D" w:rsidRDefault="00E73A7B" w:rsidP="00F713C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1BB1EE36" w14:textId="77777777" w:rsidR="00E73A7B" w:rsidRPr="00115E3D" w:rsidRDefault="00E73A7B" w:rsidP="00E73A7B">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73A7B" w:rsidRPr="00115E3D" w14:paraId="282B20CF" w14:textId="77777777" w:rsidTr="006B31F8">
        <w:trPr>
          <w:trHeight w:val="335"/>
        </w:trPr>
        <w:tc>
          <w:tcPr>
            <w:tcW w:w="8647" w:type="dxa"/>
          </w:tcPr>
          <w:p w14:paraId="140C5926" w14:textId="77777777" w:rsidR="00E73A7B" w:rsidRPr="00BC1770" w:rsidRDefault="00E73A7B" w:rsidP="00FB1B6B">
            <w:pPr>
              <w:pStyle w:val="Prrafodelista"/>
              <w:widowControl w:val="0"/>
              <w:numPr>
                <w:ilvl w:val="0"/>
                <w:numId w:val="17"/>
              </w:numPr>
              <w:autoSpaceDE w:val="0"/>
              <w:autoSpaceDN w:val="0"/>
              <w:spacing w:line="276" w:lineRule="auto"/>
              <w:contextualSpacing w:val="0"/>
              <w:jc w:val="both"/>
              <w:rPr>
                <w:rFonts w:ascii="Verdana" w:hAnsi="Verdana" w:cs="Arial"/>
              </w:rPr>
            </w:pPr>
            <w:r w:rsidRPr="00BC1770">
              <w:rPr>
                <w:rFonts w:ascii="Verdana" w:hAnsi="Verdana" w:cs="Arial"/>
              </w:rPr>
              <w:t>Ley 80 de 1993: Artículos 25 y 40.</w:t>
            </w:r>
          </w:p>
          <w:p w14:paraId="38C4BDE1" w14:textId="77777777" w:rsidR="00E73A7B" w:rsidRPr="00BC1770" w:rsidRDefault="00E73A7B" w:rsidP="00FB1B6B">
            <w:pPr>
              <w:pStyle w:val="Prrafodelista"/>
              <w:widowControl w:val="0"/>
              <w:numPr>
                <w:ilvl w:val="0"/>
                <w:numId w:val="17"/>
              </w:numPr>
              <w:autoSpaceDE w:val="0"/>
              <w:autoSpaceDN w:val="0"/>
              <w:spacing w:line="276" w:lineRule="auto"/>
              <w:contextualSpacing w:val="0"/>
              <w:jc w:val="both"/>
              <w:rPr>
                <w:rFonts w:ascii="Verdana" w:hAnsi="Verdana" w:cs="Arial"/>
              </w:rPr>
            </w:pPr>
            <w:r w:rsidRPr="00BC1770">
              <w:rPr>
                <w:rFonts w:ascii="Verdana" w:hAnsi="Verdana" w:cs="Arial"/>
              </w:rPr>
              <w:t>Decreto 1082 de 2015: Artículo 2.2.1.2.1.4.9.</w:t>
            </w:r>
          </w:p>
          <w:p w14:paraId="6EB5279E" w14:textId="77777777" w:rsidR="00E73A7B" w:rsidRPr="00BC1770" w:rsidRDefault="00E73A7B" w:rsidP="00FB1B6B">
            <w:pPr>
              <w:pStyle w:val="Prrafodelista"/>
              <w:widowControl w:val="0"/>
              <w:numPr>
                <w:ilvl w:val="0"/>
                <w:numId w:val="17"/>
              </w:numPr>
              <w:autoSpaceDE w:val="0"/>
              <w:autoSpaceDN w:val="0"/>
              <w:spacing w:line="276" w:lineRule="auto"/>
              <w:contextualSpacing w:val="0"/>
              <w:jc w:val="both"/>
              <w:rPr>
                <w:rFonts w:ascii="Verdana" w:hAnsi="Verdana" w:cs="Arial"/>
              </w:rPr>
            </w:pPr>
            <w:r w:rsidRPr="00BC1770">
              <w:rPr>
                <w:rFonts w:ascii="Verdana" w:hAnsi="Verdana" w:cs="Arial"/>
              </w:rPr>
              <w:t>Decreto 111 de 1996: artículo 71.</w:t>
            </w:r>
          </w:p>
          <w:p w14:paraId="36BDD228" w14:textId="77777777" w:rsidR="00E73A7B" w:rsidRDefault="00E73A7B" w:rsidP="00FB1B6B">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BC1770">
              <w:rPr>
                <w:rFonts w:ascii="Verdana" w:hAnsi="Verdana" w:cs="Arial"/>
              </w:rPr>
              <w:t>Código Civil, artículo 27.</w:t>
            </w:r>
          </w:p>
          <w:p w14:paraId="3AA6C1BC" w14:textId="7C3AEAE9" w:rsidR="00BD5F24" w:rsidRPr="00134D45" w:rsidRDefault="00E73A7B" w:rsidP="00FB1B6B">
            <w:pPr>
              <w:pStyle w:val="Prrafodelista"/>
              <w:widowControl w:val="0"/>
              <w:numPr>
                <w:ilvl w:val="0"/>
                <w:numId w:val="17"/>
              </w:numPr>
              <w:autoSpaceDE w:val="0"/>
              <w:autoSpaceDN w:val="0"/>
              <w:spacing w:line="276" w:lineRule="auto"/>
              <w:jc w:val="both"/>
              <w:rPr>
                <w:rFonts w:ascii="Verdana" w:hAnsi="Verdana" w:cs="Arial"/>
              </w:rPr>
            </w:pPr>
            <w:r w:rsidRPr="00134D45">
              <w:rPr>
                <w:rFonts w:ascii="Verdana" w:hAnsi="Verdana" w:cs="Arial"/>
              </w:rPr>
              <w:t>CORTE CONSTITUCIONAL. Sentencia C-073 de 1993. M.P. Alejandro Martínez Caballero.</w:t>
            </w:r>
          </w:p>
          <w:p w14:paraId="4CE4BF18" w14:textId="77777777" w:rsidR="00CF272D" w:rsidRPr="005D2425" w:rsidRDefault="00CF272D" w:rsidP="00CF272D">
            <w:pPr>
              <w:pStyle w:val="Prrafodelista"/>
              <w:widowControl w:val="0"/>
              <w:numPr>
                <w:ilvl w:val="0"/>
                <w:numId w:val="17"/>
              </w:numPr>
              <w:autoSpaceDE w:val="0"/>
              <w:autoSpaceDN w:val="0"/>
              <w:spacing w:line="276" w:lineRule="auto"/>
              <w:jc w:val="both"/>
              <w:rPr>
                <w:rFonts w:ascii="Verdana" w:hAnsi="Verdana" w:cs="Arial"/>
              </w:rPr>
            </w:pPr>
            <w:r w:rsidRPr="005D2425">
              <w:rPr>
                <w:rFonts w:ascii="Verdana" w:hAnsi="Verdana" w:cs="Arial"/>
              </w:rPr>
              <w:t xml:space="preserve">CORTE CONSTITUCIONAL. Sentencia C-018 de 1996: https://www.corteconstitucional.gov.co/relatoria/1996/C-018-96.htm </w:t>
            </w:r>
          </w:p>
          <w:p w14:paraId="0B0E9D11" w14:textId="703C1B00" w:rsidR="00E73A7B" w:rsidRPr="00134D45" w:rsidRDefault="00E73A7B" w:rsidP="00FB1B6B">
            <w:pPr>
              <w:pStyle w:val="Prrafodelista"/>
              <w:widowControl w:val="0"/>
              <w:numPr>
                <w:ilvl w:val="0"/>
                <w:numId w:val="17"/>
              </w:numPr>
              <w:autoSpaceDE w:val="0"/>
              <w:autoSpaceDN w:val="0"/>
              <w:spacing w:line="276" w:lineRule="auto"/>
              <w:jc w:val="both"/>
              <w:rPr>
                <w:rFonts w:ascii="Verdana" w:hAnsi="Verdana" w:cs="Arial"/>
              </w:rPr>
            </w:pPr>
            <w:r w:rsidRPr="00134D45">
              <w:rPr>
                <w:rFonts w:ascii="Verdana" w:hAnsi="Verdana" w:cs="Arial"/>
              </w:rPr>
              <w:t xml:space="preserve">CONSEJO DE ESTADO. Sección Tercera. Sentencia del 12 de Agosto de 2014. </w:t>
            </w:r>
            <w:proofErr w:type="spellStart"/>
            <w:r w:rsidRPr="00134D45">
              <w:rPr>
                <w:rFonts w:ascii="Verdana" w:hAnsi="Verdana" w:cs="Arial"/>
              </w:rPr>
              <w:t>Exp</w:t>
            </w:r>
            <w:proofErr w:type="spellEnd"/>
            <w:r w:rsidRPr="00134D45">
              <w:rPr>
                <w:rFonts w:ascii="Verdana" w:hAnsi="Verdana" w:cs="Arial"/>
              </w:rPr>
              <w:t>. 28565. C.P. ENRIQUE GIL BOTERO</w:t>
            </w:r>
          </w:p>
          <w:p w14:paraId="4AAC3F0F" w14:textId="77777777" w:rsidR="00E73A7B" w:rsidRPr="00134D45" w:rsidRDefault="00E73A7B" w:rsidP="00FB1B6B">
            <w:pPr>
              <w:pStyle w:val="Prrafodelista"/>
              <w:widowControl w:val="0"/>
              <w:numPr>
                <w:ilvl w:val="0"/>
                <w:numId w:val="17"/>
              </w:numPr>
              <w:autoSpaceDE w:val="0"/>
              <w:autoSpaceDN w:val="0"/>
              <w:spacing w:line="276" w:lineRule="auto"/>
              <w:jc w:val="both"/>
              <w:rPr>
                <w:rFonts w:ascii="Verdana" w:hAnsi="Verdana" w:cs="Arial"/>
              </w:rPr>
            </w:pPr>
            <w:r w:rsidRPr="00134D45">
              <w:rPr>
                <w:rFonts w:ascii="Verdana" w:hAnsi="Verdana" w:cs="Arial"/>
              </w:rPr>
              <w:t>CONSEJO DE ESTADO. Sección Tercera. Sentencia del 12 de Agosto de 2014. Radicado 28565: https://servicios.consejodeestado.gov.co/WebRelatoria/ce/index.xhtml</w:t>
            </w:r>
          </w:p>
          <w:p w14:paraId="73CA04E8" w14:textId="7561A3A6" w:rsidR="00E73A7B" w:rsidRPr="00BD5F24" w:rsidRDefault="00E73A7B" w:rsidP="00FB1B6B">
            <w:pPr>
              <w:pStyle w:val="Prrafodelista"/>
              <w:widowControl w:val="0"/>
              <w:numPr>
                <w:ilvl w:val="0"/>
                <w:numId w:val="17"/>
              </w:numPr>
              <w:autoSpaceDE w:val="0"/>
              <w:autoSpaceDN w:val="0"/>
              <w:spacing w:line="276" w:lineRule="auto"/>
              <w:jc w:val="both"/>
              <w:rPr>
                <w:rFonts w:ascii="Verdana" w:hAnsi="Verdana" w:cs="Arial"/>
              </w:rPr>
            </w:pPr>
            <w:r w:rsidRPr="00134D45">
              <w:rPr>
                <w:rFonts w:ascii="Verdana" w:hAnsi="Verdana" w:cs="Arial"/>
              </w:rPr>
              <w:t xml:space="preserve">CONSEJO DE ESTADO. Sección Tercera. Subsección A. Sentencia del del 24 de febrero de 2016. </w:t>
            </w:r>
            <w:proofErr w:type="spellStart"/>
            <w:r w:rsidRPr="00134D45">
              <w:rPr>
                <w:rFonts w:ascii="Verdana" w:hAnsi="Verdana" w:cs="Arial"/>
              </w:rPr>
              <w:t>Exp</w:t>
            </w:r>
            <w:proofErr w:type="spellEnd"/>
            <w:r w:rsidRPr="00134D45">
              <w:rPr>
                <w:rFonts w:ascii="Verdana" w:hAnsi="Verdana" w:cs="Arial"/>
              </w:rPr>
              <w:t>. 46.185. C.P. Marta Nubia Velásquez Rico.</w:t>
            </w:r>
          </w:p>
        </w:tc>
      </w:tr>
    </w:tbl>
    <w:p w14:paraId="432EDB9E" w14:textId="77777777" w:rsidR="00BD5F24" w:rsidRPr="00115E3D" w:rsidRDefault="00BD5F24" w:rsidP="00E73A7B">
      <w:pPr>
        <w:widowControl w:val="0"/>
        <w:autoSpaceDE w:val="0"/>
        <w:autoSpaceDN w:val="0"/>
        <w:spacing w:after="0" w:line="276" w:lineRule="auto"/>
        <w:jc w:val="both"/>
        <w:rPr>
          <w:rFonts w:ascii="Verdana" w:hAnsi="Verdana" w:cs="Arial"/>
          <w:color w:val="000000" w:themeColor="text1"/>
        </w:rPr>
      </w:pPr>
    </w:p>
    <w:p w14:paraId="3A139CA8" w14:textId="77777777" w:rsidR="00E73A7B" w:rsidRPr="00115E3D" w:rsidRDefault="00E73A7B" w:rsidP="00F713C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1D6D9FD7" w14:textId="77777777" w:rsidR="00E73A7B" w:rsidRPr="00115E3D" w:rsidRDefault="00E73A7B" w:rsidP="00E73A7B">
      <w:pPr>
        <w:widowControl w:val="0"/>
        <w:autoSpaceDE w:val="0"/>
        <w:autoSpaceDN w:val="0"/>
        <w:spacing w:after="0" w:line="276" w:lineRule="auto"/>
        <w:jc w:val="both"/>
        <w:rPr>
          <w:rFonts w:ascii="Verdana" w:hAnsi="Verdana" w:cs="Arial"/>
          <w:color w:val="000000" w:themeColor="text1"/>
        </w:rPr>
      </w:pPr>
    </w:p>
    <w:p w14:paraId="39255E74" w14:textId="08087453" w:rsidR="00E73A7B" w:rsidRPr="00BD5F24" w:rsidRDefault="00E73A7B" w:rsidP="00E73A7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BC1770">
        <w:rPr>
          <w:rStyle w:val="normaltextrun"/>
          <w:rFonts w:ascii="Verdana" w:hAnsi="Verdana" w:cs="Arial"/>
          <w:color w:val="000000" w:themeColor="text1"/>
          <w:shd w:val="clear" w:color="auto" w:fill="FFFFFF"/>
          <w:lang w:val="es-ES"/>
        </w:rPr>
        <w:t xml:space="preserve">La Agencia Nacional de Contratación Pública – Colombia Compra Eficiente se ha pronunciado </w:t>
      </w:r>
      <w:r w:rsidRPr="00BC1770">
        <w:rPr>
          <w:rFonts w:ascii="Verdana" w:hAnsi="Verdana"/>
          <w:lang w:val="es-ES"/>
        </w:rPr>
        <w:t xml:space="preserve">sobre </w:t>
      </w:r>
      <w:r>
        <w:rPr>
          <w:rFonts w:ascii="Verdana" w:hAnsi="Verdana"/>
          <w:lang w:val="es-ES"/>
        </w:rPr>
        <w:t xml:space="preserve">la obligatoriedad del </w:t>
      </w:r>
      <w:r w:rsidRPr="00BC1770">
        <w:rPr>
          <w:rFonts w:ascii="Verdana" w:hAnsi="Verdana"/>
          <w:lang w:val="es-ES"/>
        </w:rPr>
        <w:t>certificado de disponibilidad presupuestal en los conceptos C-676 del 21 de noviembre</w:t>
      </w:r>
      <w:r w:rsidRPr="00BC1770">
        <w:rPr>
          <w:rFonts w:ascii="Verdana" w:hAnsi="Verdana"/>
          <w:spacing w:val="80"/>
          <w:lang w:val="es-ES"/>
        </w:rPr>
        <w:t xml:space="preserve"> </w:t>
      </w:r>
      <w:r w:rsidRPr="00BC1770">
        <w:rPr>
          <w:rFonts w:ascii="Verdana" w:hAnsi="Verdana"/>
          <w:lang w:val="es-ES"/>
        </w:rPr>
        <w:t>2020, C-552 del 1 de agosto de 2022, C-090</w:t>
      </w:r>
      <w:r w:rsidRPr="00BC1770">
        <w:rPr>
          <w:rFonts w:ascii="Verdana" w:hAnsi="Verdana"/>
          <w:spacing w:val="-16"/>
          <w:lang w:val="es-ES"/>
        </w:rPr>
        <w:t xml:space="preserve"> </w:t>
      </w:r>
      <w:r w:rsidRPr="00BC1770">
        <w:rPr>
          <w:rFonts w:ascii="Verdana" w:hAnsi="Verdana"/>
          <w:lang w:val="es-ES"/>
        </w:rPr>
        <w:t>del</w:t>
      </w:r>
      <w:r w:rsidRPr="00BC1770">
        <w:rPr>
          <w:rFonts w:ascii="Verdana" w:hAnsi="Verdana"/>
          <w:spacing w:val="-17"/>
          <w:lang w:val="es-ES"/>
        </w:rPr>
        <w:t xml:space="preserve"> </w:t>
      </w:r>
      <w:r w:rsidRPr="00BC1770">
        <w:rPr>
          <w:rFonts w:ascii="Verdana" w:hAnsi="Verdana"/>
          <w:lang w:val="es-ES"/>
        </w:rPr>
        <w:t>12</w:t>
      </w:r>
      <w:r w:rsidRPr="00BC1770">
        <w:rPr>
          <w:rFonts w:ascii="Verdana" w:hAnsi="Verdana"/>
          <w:spacing w:val="-17"/>
          <w:lang w:val="es-ES"/>
        </w:rPr>
        <w:t xml:space="preserve"> </w:t>
      </w:r>
      <w:r w:rsidRPr="00BC1770">
        <w:rPr>
          <w:rFonts w:ascii="Verdana" w:hAnsi="Verdana"/>
          <w:lang w:val="es-ES"/>
        </w:rPr>
        <w:t>de</w:t>
      </w:r>
      <w:r w:rsidRPr="00BC1770">
        <w:rPr>
          <w:rFonts w:ascii="Verdana" w:hAnsi="Verdana"/>
          <w:spacing w:val="-17"/>
          <w:lang w:val="es-ES"/>
        </w:rPr>
        <w:t xml:space="preserve"> </w:t>
      </w:r>
      <w:r w:rsidRPr="00BC1770">
        <w:rPr>
          <w:rFonts w:ascii="Verdana" w:hAnsi="Verdana"/>
          <w:lang w:val="es-ES"/>
        </w:rPr>
        <w:t xml:space="preserve">junio de 2024, </w:t>
      </w:r>
      <w:r w:rsidRPr="00BC1770">
        <w:rPr>
          <w:rFonts w:ascii="Verdana" w:eastAsia="Aptos" w:hAnsi="Verdana" w:cs="Arial"/>
          <w:shd w:val="clear" w:color="auto" w:fill="FFFFFF"/>
          <w:lang w:val="es-ES"/>
        </w:rPr>
        <w:t>C-552 del 01 de agosto de 2022, C-252 del 15 de agosto de 2024, C-641 del 11 de octubre de 2024, C-691 del 14 de noviembre de 2024</w:t>
      </w:r>
      <w:r>
        <w:rPr>
          <w:rFonts w:ascii="Verdana" w:hAnsi="Verdana" w:cs="Arial"/>
          <w:color w:val="000000" w:themeColor="text1"/>
          <w:shd w:val="clear" w:color="auto" w:fill="FFFFFF"/>
          <w:lang w:val="es-ES"/>
        </w:rPr>
        <w:t xml:space="preserve"> y C-566 del 19 de junio de 2026,</w:t>
      </w:r>
      <w:r w:rsidRPr="00BC1770">
        <w:rPr>
          <w:rFonts w:ascii="Verdana" w:hAnsi="Verdana" w:cs="Arial"/>
          <w:color w:val="000000" w:themeColor="text1"/>
          <w:shd w:val="clear" w:color="auto" w:fill="FFFFFF"/>
          <w:lang w:val="es-ES"/>
        </w:rPr>
        <w:t xml:space="preserve"> entre otros</w:t>
      </w:r>
      <w:r>
        <w:rPr>
          <w:rFonts w:ascii="Verdana" w:hAnsi="Verdana" w:cs="Arial"/>
          <w:color w:val="000000" w:themeColor="text1"/>
          <w:shd w:val="clear" w:color="auto" w:fill="FFFFFF"/>
          <w:lang w:val="es-ES"/>
        </w:rPr>
        <w:t>.</w:t>
      </w:r>
      <w:r w:rsidR="00BD5F24">
        <w:rPr>
          <w:rFonts w:ascii="Verdana" w:hAnsi="Verdana" w:cs="Arial"/>
          <w:color w:val="000000" w:themeColor="text1"/>
          <w:shd w:val="clear" w:color="auto" w:fill="FFFFFF"/>
          <w:lang w:val="es-ES"/>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2" w:history="1">
        <w:r w:rsidRPr="00CF272D">
          <w:rPr>
            <w:rStyle w:val="Hipervnculo"/>
            <w:rFonts w:ascii="Verdana" w:hAnsi="Verdana" w:cs="Arial"/>
            <w:shd w:val="clear" w:color="auto" w:fill="FFFFFF"/>
            <w:lang w:val="es-ES"/>
          </w:rPr>
          <w:t>https://relatoria.colombiacompra.gov.co/busqueda/conceptos</w:t>
        </w:r>
      </w:hyperlink>
    </w:p>
    <w:p w14:paraId="69A56007" w14:textId="77777777" w:rsidR="00E73A7B" w:rsidRPr="00115E3D" w:rsidRDefault="00E73A7B" w:rsidP="00E73A7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0861EF39" w14:textId="77777777" w:rsidR="00E73A7B" w:rsidRDefault="00E73A7B" w:rsidP="00FB1B6B">
      <w:pPr>
        <w:spacing w:after="0" w:line="276" w:lineRule="auto"/>
        <w:jc w:val="both"/>
        <w:rPr>
          <w:rStyle w:val="Hipervnculo"/>
          <w:rFonts w:ascii="Verdana" w:hAnsi="Verdana"/>
        </w:rPr>
      </w:pPr>
      <w:r w:rsidRPr="00F713CF">
        <w:rPr>
          <w:rFonts w:ascii="Verdana" w:hAnsi="Verdana"/>
        </w:rPr>
        <w:t xml:space="preserve">La sostenibilidad no es una opción, es una obligación.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CF272D">
          <w:rPr>
            <w:rStyle w:val="Hipervnculo"/>
            <w:rFonts w:ascii="Verdana" w:hAnsi="Verdana"/>
          </w:rPr>
          <w:t>https://formacionvirtual.colombiacompra.gov.co/mod/page/view.php?id=3718</w:t>
        </w:r>
      </w:hyperlink>
    </w:p>
    <w:p w14:paraId="1DAA8D2F" w14:textId="77777777" w:rsidR="00BD5F24" w:rsidRPr="009A385A" w:rsidRDefault="00BD5F24" w:rsidP="00FB1B6B">
      <w:pPr>
        <w:spacing w:after="0" w:line="276" w:lineRule="auto"/>
        <w:jc w:val="both"/>
        <w:rPr>
          <w:rFonts w:ascii="Verdana" w:hAnsi="Verdana"/>
        </w:rPr>
      </w:pPr>
    </w:p>
    <w:p w14:paraId="302308CB" w14:textId="77777777" w:rsidR="00E73A7B" w:rsidRDefault="00E73A7B" w:rsidP="00FB1B6B">
      <w:pPr>
        <w:spacing w:after="0" w:line="276" w:lineRule="auto"/>
        <w:jc w:val="both"/>
        <w:rPr>
          <w:rStyle w:val="Hipervnculo"/>
          <w:rFonts w:ascii="Verdana" w:hAnsi="Verdana"/>
        </w:rPr>
      </w:pPr>
      <w:r w:rsidRPr="00F713CF">
        <w:rPr>
          <w:rFonts w:ascii="Verdana" w:hAnsi="Verdana"/>
        </w:rPr>
        <w:t xml:space="preserve">De otro lado, te contamos que esta Agencia ha 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CF272D">
        <w:rPr>
          <w:rFonts w:ascii="Verdana" w:hAnsi="Verdana"/>
        </w:rPr>
        <w:t xml:space="preserve">Consulta y descarga los documentos aquí: </w:t>
      </w:r>
      <w:hyperlink r:id="rId14" w:tgtFrame="_new" w:history="1">
        <w:r w:rsidRPr="00CF272D">
          <w:rPr>
            <w:rStyle w:val="Hipervnculo"/>
            <w:rFonts w:ascii="Verdana" w:hAnsi="Verdana"/>
          </w:rPr>
          <w:t>https://www.colombiacompra.gov.co/normativa-y-relatoria/documentos-tipo</w:t>
        </w:r>
      </w:hyperlink>
    </w:p>
    <w:p w14:paraId="47C8AACA" w14:textId="77777777" w:rsidR="00BD5F24" w:rsidRDefault="00BD5F24" w:rsidP="00FB1B6B">
      <w:pPr>
        <w:spacing w:after="0" w:line="276" w:lineRule="auto"/>
        <w:jc w:val="both"/>
        <w:rPr>
          <w:rFonts w:ascii="Verdana" w:hAnsi="Verdana"/>
        </w:rPr>
      </w:pPr>
    </w:p>
    <w:p w14:paraId="3AC4BE39" w14:textId="77777777" w:rsidR="00BD5F24" w:rsidRDefault="00E73A7B" w:rsidP="00FB1B6B">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p>
    <w:p w14:paraId="4236F44B" w14:textId="77777777" w:rsidR="00BD5F24" w:rsidRDefault="00BD5F24" w:rsidP="00FB1B6B">
      <w:pPr>
        <w:spacing w:after="0" w:line="276" w:lineRule="auto"/>
        <w:jc w:val="both"/>
        <w:rPr>
          <w:rFonts w:ascii="Verdana" w:hAnsi="Verdana"/>
        </w:rPr>
      </w:pPr>
    </w:p>
    <w:p w14:paraId="4B15183B" w14:textId="28C254AB" w:rsidR="00E73A7B" w:rsidRPr="009A385A" w:rsidRDefault="00E73A7B" w:rsidP="00FB1B6B">
      <w:pPr>
        <w:spacing w:after="0" w:line="276" w:lineRule="auto"/>
        <w:jc w:val="both"/>
        <w:rPr>
          <w:rFonts w:ascii="Verdana" w:hAnsi="Verdana"/>
        </w:rPr>
      </w:pPr>
      <w:r w:rsidRPr="00CF272D">
        <w:rPr>
          <w:rFonts w:ascii="Verdana" w:hAnsi="Verdana"/>
        </w:rPr>
        <w:t>Además se incluyeron lineamientos que orientan la implementación de los criterios ambientales y sociales incluidos en los documentos tipo: Consulta la guía aquí:</w:t>
      </w:r>
      <w:r w:rsidRPr="00CF272D">
        <w:rPr>
          <w:rFonts w:ascii="Verdana" w:hAnsi="Verdana"/>
        </w:rPr>
        <w:br/>
      </w:r>
      <w:hyperlink r:id="rId15" w:tgtFrame="_new" w:history="1">
        <w:r w:rsidRPr="00CF272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34F6A07" w14:textId="77777777" w:rsidR="00E73A7B" w:rsidRPr="00115E3D" w:rsidRDefault="00E73A7B" w:rsidP="00FB1B6B">
      <w:pPr>
        <w:spacing w:after="0" w:line="276"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18A332D0" w14:textId="77777777" w:rsidR="00E73A7B" w:rsidRPr="00115E3D" w:rsidRDefault="00E73A7B" w:rsidP="00FB1B6B">
      <w:pPr>
        <w:spacing w:after="0" w:line="276" w:lineRule="auto"/>
        <w:jc w:val="both"/>
        <w:rPr>
          <w:rFonts w:ascii="Verdana" w:hAnsi="Verdana"/>
          <w:color w:val="000000" w:themeColor="text1"/>
        </w:rPr>
      </w:pPr>
    </w:p>
    <w:p w14:paraId="47E105BE" w14:textId="5146C8B9" w:rsidR="00E73A7B" w:rsidRPr="00115E3D" w:rsidRDefault="00E73A7B" w:rsidP="00FB1B6B">
      <w:pPr>
        <w:spacing w:after="0" w:line="276"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1EA63300" w14:textId="77777777" w:rsidR="00E73A7B" w:rsidRPr="00115E3D" w:rsidRDefault="00E73A7B" w:rsidP="00FB1B6B">
      <w:pPr>
        <w:spacing w:after="0" w:line="276"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68FF4CD5" w14:textId="77777777" w:rsidR="00E73A7B" w:rsidRPr="00115E3D" w:rsidRDefault="00E73A7B" w:rsidP="00FB1B6B">
      <w:pPr>
        <w:spacing w:after="0" w:line="276"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B721CF2" w14:textId="77777777" w:rsidR="00BD5F24" w:rsidRDefault="00BD5F24" w:rsidP="00E73A7B">
      <w:pPr>
        <w:widowControl w:val="0"/>
        <w:autoSpaceDE w:val="0"/>
        <w:autoSpaceDN w:val="0"/>
        <w:spacing w:after="0" w:line="276" w:lineRule="auto"/>
        <w:jc w:val="both"/>
        <w:rPr>
          <w:rFonts w:ascii="Verdana" w:hAnsi="Verdana" w:cs="Arial"/>
          <w:color w:val="000000" w:themeColor="text1"/>
        </w:rPr>
      </w:pPr>
    </w:p>
    <w:p w14:paraId="40CEDFE0" w14:textId="1C1BA547" w:rsidR="00E73A7B" w:rsidRPr="00115E3D" w:rsidRDefault="00E73A7B" w:rsidP="00E73A7B">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B6F71A9" w14:textId="77777777" w:rsidR="00E73A7B" w:rsidRPr="00115E3D" w:rsidRDefault="00E73A7B" w:rsidP="00E73A7B">
      <w:pPr>
        <w:widowControl w:val="0"/>
        <w:autoSpaceDE w:val="0"/>
        <w:autoSpaceDN w:val="0"/>
        <w:spacing w:after="0" w:line="276" w:lineRule="auto"/>
        <w:jc w:val="both"/>
        <w:rPr>
          <w:rFonts w:ascii="Verdana" w:hAnsi="Verdana" w:cs="Arial"/>
          <w:color w:val="000000" w:themeColor="text1"/>
        </w:rPr>
      </w:pPr>
    </w:p>
    <w:p w14:paraId="5D683FB4" w14:textId="77777777" w:rsidR="00E73A7B" w:rsidRPr="00115E3D" w:rsidRDefault="00E73A7B" w:rsidP="00FB1B6B">
      <w:pPr>
        <w:spacing w:after="0" w:line="276"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4BC9F627" w14:textId="77777777" w:rsidR="006F626B" w:rsidRDefault="006F626B" w:rsidP="00BD5F24">
      <w:pPr>
        <w:spacing w:line="276" w:lineRule="auto"/>
        <w:jc w:val="center"/>
        <w:rPr>
          <w:noProof/>
        </w:rPr>
      </w:pPr>
    </w:p>
    <w:p w14:paraId="5D9F0C75" w14:textId="51431AD4" w:rsidR="006F626B" w:rsidRDefault="006F626B" w:rsidP="00BD5F24">
      <w:pPr>
        <w:spacing w:line="276" w:lineRule="auto"/>
        <w:jc w:val="center"/>
        <w:rPr>
          <w:noProof/>
          <w:color w:val="000000" w:themeColor="text1"/>
          <w:lang w:val="es-ES_tradnl" w:eastAsia="es-CO"/>
        </w:rPr>
      </w:pPr>
      <w:r>
        <w:rPr>
          <w:noProof/>
        </w:rPr>
        <w:drawing>
          <wp:inline distT="0" distB="0" distL="0" distR="0" wp14:anchorId="27E63D6B" wp14:editId="484D8F2B">
            <wp:extent cx="3869055" cy="1660918"/>
            <wp:effectExtent l="0" t="0" r="0" b="0"/>
            <wp:docPr id="160988603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77876" cy="1664705"/>
                    </a:xfrm>
                    <a:prstGeom prst="rect">
                      <a:avLst/>
                    </a:prstGeom>
                    <a:noFill/>
                    <a:ln>
                      <a:noFill/>
                    </a:ln>
                  </pic:spPr>
                </pic:pic>
              </a:graphicData>
            </a:graphic>
          </wp:inline>
        </w:drawing>
      </w:r>
    </w:p>
    <w:p w14:paraId="5B96CEAE" w14:textId="77777777" w:rsidR="006F626B" w:rsidRDefault="006F626B" w:rsidP="00BD5F24">
      <w:pPr>
        <w:spacing w:line="276" w:lineRule="auto"/>
        <w:jc w:val="center"/>
        <w:rPr>
          <w:noProof/>
          <w:color w:val="000000" w:themeColor="text1"/>
          <w:lang w:val="es-ES_tradnl" w:eastAsia="es-CO"/>
        </w:rPr>
      </w:pPr>
    </w:p>
    <w:p w14:paraId="3080C401" w14:textId="39ADCCCE" w:rsidR="00E73A7B" w:rsidRDefault="00E73A7B" w:rsidP="00BD5F24">
      <w:pPr>
        <w:spacing w:line="276" w:lineRule="auto"/>
        <w:jc w:val="center"/>
        <w:rPr>
          <w:noProof/>
          <w:color w:val="000000" w:themeColor="text1"/>
          <w:lang w:val="es-ES_tradnl" w:eastAsia="es-CO"/>
        </w:rPr>
      </w:pPr>
      <w:r>
        <w:rPr>
          <w:noProof/>
          <w:color w:val="000000" w:themeColor="text1"/>
          <w:lang w:val="es-ES_tradnl"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73A7B" w:rsidRPr="00115E3D" w14:paraId="24684362" w14:textId="77777777" w:rsidTr="006B31F8">
        <w:trPr>
          <w:trHeight w:val="315"/>
        </w:trPr>
        <w:tc>
          <w:tcPr>
            <w:tcW w:w="893" w:type="dxa"/>
            <w:vAlign w:val="center"/>
            <w:hideMark/>
          </w:tcPr>
          <w:p w14:paraId="56EC1D93" w14:textId="77777777" w:rsidR="00E73A7B" w:rsidRPr="00115E3D" w:rsidRDefault="00E73A7B" w:rsidP="006B31F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37679F" w14:textId="77777777" w:rsidR="00E73A7B" w:rsidRPr="00115E3D" w:rsidRDefault="00E73A7B" w:rsidP="006B31F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578F02B8" w14:textId="77777777" w:rsidR="00E73A7B" w:rsidRPr="00115E3D" w:rsidRDefault="00E73A7B" w:rsidP="006B31F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E73A7B" w:rsidRPr="00115E3D" w14:paraId="40EE82E5" w14:textId="77777777" w:rsidTr="006B31F8">
        <w:trPr>
          <w:trHeight w:val="330"/>
        </w:trPr>
        <w:tc>
          <w:tcPr>
            <w:tcW w:w="893" w:type="dxa"/>
            <w:vAlign w:val="center"/>
            <w:hideMark/>
          </w:tcPr>
          <w:p w14:paraId="4EEDC7B7" w14:textId="77777777" w:rsidR="00E73A7B" w:rsidRPr="00115E3D" w:rsidRDefault="00E73A7B" w:rsidP="006B31F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3138B67" w14:textId="77777777" w:rsidR="00E73A7B" w:rsidRPr="00B37171" w:rsidRDefault="00E73A7B" w:rsidP="006B31F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6FD7B2AD" w14:textId="77777777" w:rsidR="00E73A7B" w:rsidRPr="00115E3D" w:rsidRDefault="00E73A7B" w:rsidP="006B31F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E73A7B" w:rsidRPr="00115E3D" w14:paraId="519A2D75" w14:textId="77777777" w:rsidTr="006B31F8">
        <w:trPr>
          <w:trHeight w:val="300"/>
        </w:trPr>
        <w:tc>
          <w:tcPr>
            <w:tcW w:w="893" w:type="dxa"/>
            <w:vAlign w:val="center"/>
          </w:tcPr>
          <w:p w14:paraId="19206256" w14:textId="77777777" w:rsidR="00E73A7B" w:rsidRPr="00115E3D" w:rsidRDefault="00E73A7B" w:rsidP="006B31F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693A3D" w14:textId="77777777" w:rsidR="00E73A7B" w:rsidRPr="00115E3D" w:rsidRDefault="00E73A7B" w:rsidP="006B31F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01EBE418" w14:textId="77777777" w:rsidR="00E73A7B" w:rsidRPr="00115E3D" w:rsidRDefault="00E73A7B" w:rsidP="006B31F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22CEB8F3" w14:textId="77777777" w:rsidR="00E73A7B" w:rsidRDefault="00E73A7B" w:rsidP="00E73A7B"/>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E348B2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0F805" w14:textId="77777777" w:rsidR="007670F4" w:rsidRDefault="007670F4" w:rsidP="004A1847">
      <w:pPr>
        <w:spacing w:after="0" w:line="240" w:lineRule="auto"/>
      </w:pPr>
      <w:r>
        <w:separator/>
      </w:r>
    </w:p>
  </w:endnote>
  <w:endnote w:type="continuationSeparator" w:id="0">
    <w:p w14:paraId="717B0339" w14:textId="77777777" w:rsidR="007670F4" w:rsidRDefault="007670F4" w:rsidP="004A1847">
      <w:pPr>
        <w:spacing w:after="0" w:line="240" w:lineRule="auto"/>
      </w:pPr>
      <w:r>
        <w:continuationSeparator/>
      </w:r>
    </w:p>
  </w:endnote>
  <w:endnote w:type="continuationNotice" w:id="1">
    <w:p w14:paraId="48A5037F" w14:textId="77777777" w:rsidR="007670F4" w:rsidRDefault="007670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altName w:val="Segoe UI"/>
    <w:panose1 w:val="020B0502040204020203"/>
    <w:charset w:val="01"/>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4ED55" w14:textId="77777777" w:rsidR="007670F4" w:rsidRDefault="007670F4" w:rsidP="004A1847">
      <w:pPr>
        <w:spacing w:after="0" w:line="240" w:lineRule="auto"/>
      </w:pPr>
      <w:r>
        <w:separator/>
      </w:r>
    </w:p>
  </w:footnote>
  <w:footnote w:type="continuationSeparator" w:id="0">
    <w:p w14:paraId="6A7373C7" w14:textId="77777777" w:rsidR="007670F4" w:rsidRDefault="007670F4" w:rsidP="004A1847">
      <w:pPr>
        <w:spacing w:after="0" w:line="240" w:lineRule="auto"/>
      </w:pPr>
      <w:r>
        <w:continuationSeparator/>
      </w:r>
    </w:p>
  </w:footnote>
  <w:footnote w:type="continuationNotice" w:id="1">
    <w:p w14:paraId="72AB6BB4" w14:textId="77777777" w:rsidR="007670F4" w:rsidRDefault="007670F4">
      <w:pPr>
        <w:spacing w:after="0" w:line="240" w:lineRule="auto"/>
      </w:pPr>
    </w:p>
  </w:footnote>
  <w:footnote w:id="2">
    <w:p w14:paraId="65029A43" w14:textId="77777777" w:rsidR="00E73A7B" w:rsidRPr="00FB1B6B" w:rsidRDefault="00E73A7B" w:rsidP="00FB1B6B">
      <w:pPr>
        <w:pStyle w:val="Textonotapie"/>
        <w:ind w:firstLine="709"/>
        <w:jc w:val="both"/>
        <w:rPr>
          <w:rFonts w:ascii="Verdana" w:hAnsi="Verdana"/>
          <w:sz w:val="14"/>
          <w:szCs w:val="14"/>
        </w:rPr>
      </w:pPr>
      <w:r w:rsidRPr="00FB1B6B">
        <w:rPr>
          <w:rStyle w:val="Refdenotaalpie"/>
          <w:rFonts w:ascii="Verdana" w:hAnsi="Verdana"/>
          <w:sz w:val="14"/>
          <w:szCs w:val="14"/>
        </w:rPr>
        <w:footnoteRef/>
      </w:r>
      <w:r w:rsidRPr="00FB1B6B">
        <w:rPr>
          <w:rFonts w:ascii="Verdana" w:hAnsi="Verdana"/>
          <w:sz w:val="14"/>
          <w:szCs w:val="14"/>
        </w:rPr>
        <w:t xml:space="preserve"> Las leyes Ley 38 de 1989, 179 de 1994 y 225 de 1995 fueron expedidas en desarrollo del artículo 352 constitucional. Estas fueron luego compiladas en el Decreto 111 de 1996, conocido como el Estatuto Orgánico de Presupuesto. </w:t>
      </w:r>
    </w:p>
  </w:footnote>
  <w:footnote w:id="3">
    <w:p w14:paraId="2FE4EBFC" w14:textId="77777777" w:rsidR="00E73A7B" w:rsidRPr="00FB1B6B" w:rsidRDefault="00E73A7B" w:rsidP="00FB1B6B">
      <w:pPr>
        <w:pStyle w:val="Textonotapie"/>
        <w:ind w:firstLine="709"/>
        <w:jc w:val="both"/>
        <w:rPr>
          <w:rFonts w:ascii="Verdana" w:hAnsi="Verdana"/>
          <w:sz w:val="14"/>
          <w:szCs w:val="14"/>
          <w:lang w:val="es-ES"/>
        </w:rPr>
      </w:pPr>
      <w:r w:rsidRPr="00FB1B6B">
        <w:rPr>
          <w:rStyle w:val="Refdenotaalpie"/>
          <w:rFonts w:ascii="Verdana" w:hAnsi="Verdana"/>
          <w:sz w:val="14"/>
          <w:szCs w:val="14"/>
        </w:rPr>
        <w:footnoteRef/>
      </w:r>
      <w:r w:rsidRPr="00FB1B6B">
        <w:rPr>
          <w:rFonts w:ascii="Verdana" w:hAnsi="Verdana"/>
          <w:sz w:val="14"/>
          <w:szCs w:val="14"/>
          <w:lang w:val="pt-BR"/>
        </w:rPr>
        <w:t xml:space="preserve"> CORTE CONSTITUCIONAL. Sentencia C-073 de 1993. </w:t>
      </w:r>
      <w:r w:rsidRPr="00FB1B6B">
        <w:rPr>
          <w:rFonts w:ascii="Verdana" w:hAnsi="Verdana"/>
          <w:sz w:val="14"/>
          <w:szCs w:val="14"/>
        </w:rPr>
        <w:t>M.P. Alejandro Martínez Caballero.</w:t>
      </w:r>
    </w:p>
  </w:footnote>
  <w:footnote w:id="4">
    <w:p w14:paraId="6EFD0B2C" w14:textId="37591C61" w:rsidR="00E73A7B" w:rsidRPr="00FB1B6B" w:rsidRDefault="00E73A7B" w:rsidP="00FB1B6B">
      <w:pPr>
        <w:pStyle w:val="Textonotapie"/>
        <w:ind w:firstLine="709"/>
        <w:rPr>
          <w:rFonts w:ascii="Verdana" w:hAnsi="Verdana"/>
          <w:sz w:val="14"/>
          <w:szCs w:val="14"/>
          <w:lang w:val="es-ES"/>
        </w:rPr>
      </w:pPr>
      <w:r w:rsidRPr="00FB1B6B">
        <w:rPr>
          <w:rStyle w:val="Refdenotaalpie"/>
          <w:rFonts w:ascii="Verdana" w:hAnsi="Verdana"/>
          <w:sz w:val="14"/>
          <w:szCs w:val="14"/>
        </w:rPr>
        <w:footnoteRef/>
      </w:r>
      <w:r w:rsidRPr="00FB1B6B">
        <w:rPr>
          <w:rFonts w:ascii="Verdana" w:hAnsi="Verdana"/>
          <w:sz w:val="14"/>
          <w:szCs w:val="14"/>
        </w:rPr>
        <w:t xml:space="preserve"> CONSEJO DE ESTADO. Sección Tercera. Sentencia del 12 de Agosto de 2014. Exp. 28565. C.P. ENRIQUE GIL BOTERO</w:t>
      </w:r>
      <w:r w:rsidR="00CF272D">
        <w:rPr>
          <w:rFonts w:ascii="Verdana" w:hAnsi="Verdana"/>
          <w:sz w:val="14"/>
          <w:szCs w:val="14"/>
          <w:lang w:val="es-ES"/>
        </w:rPr>
        <w:t>.</w:t>
      </w:r>
    </w:p>
  </w:footnote>
  <w:footnote w:id="5">
    <w:p w14:paraId="7CA28580" w14:textId="77777777" w:rsidR="00E73A7B" w:rsidRPr="00FB1B6B" w:rsidRDefault="00E73A7B" w:rsidP="00FB1B6B">
      <w:pPr>
        <w:pStyle w:val="Textonotapie"/>
        <w:ind w:firstLine="709"/>
        <w:rPr>
          <w:rFonts w:ascii="Verdana" w:hAnsi="Verdana"/>
          <w:sz w:val="14"/>
          <w:szCs w:val="14"/>
          <w:lang w:val="es-ES"/>
        </w:rPr>
      </w:pPr>
      <w:r w:rsidRPr="00FB1B6B">
        <w:rPr>
          <w:rFonts w:ascii="Verdana" w:hAnsi="Verdana"/>
          <w:sz w:val="14"/>
          <w:szCs w:val="14"/>
          <w:vertAlign w:val="superscript"/>
        </w:rPr>
        <w:footnoteRef/>
      </w:r>
      <w:r w:rsidRPr="00FB1B6B">
        <w:rPr>
          <w:rFonts w:ascii="Verdana" w:hAnsi="Verdana"/>
          <w:sz w:val="14"/>
          <w:szCs w:val="14"/>
        </w:rPr>
        <w:t xml:space="preserve"> Ley 80 de 1993, artículo 25.</w:t>
      </w:r>
    </w:p>
  </w:footnote>
  <w:footnote w:id="6">
    <w:p w14:paraId="01E87CB6" w14:textId="77777777" w:rsidR="00E73A7B" w:rsidRPr="00FB1B6B" w:rsidRDefault="00E73A7B" w:rsidP="00FB1B6B">
      <w:pPr>
        <w:pStyle w:val="Textonotapie"/>
        <w:ind w:firstLine="709"/>
        <w:jc w:val="both"/>
        <w:rPr>
          <w:rFonts w:ascii="Verdana" w:hAnsi="Verdana"/>
          <w:sz w:val="14"/>
          <w:szCs w:val="14"/>
        </w:rPr>
      </w:pPr>
      <w:r w:rsidRPr="00FB1B6B">
        <w:rPr>
          <w:rStyle w:val="Refdenotaalpie"/>
          <w:rFonts w:ascii="Verdana" w:hAnsi="Verdana"/>
          <w:sz w:val="14"/>
          <w:szCs w:val="14"/>
        </w:rPr>
        <w:footnoteRef/>
      </w:r>
      <w:r w:rsidRPr="00FB1B6B">
        <w:rPr>
          <w:rFonts w:ascii="Verdana" w:hAnsi="Verdana"/>
          <w:sz w:val="14"/>
          <w:szCs w:val="14"/>
        </w:rPr>
        <w:t xml:space="preserve"> </w:t>
      </w:r>
      <w:r w:rsidRPr="00FB1B6B">
        <w:rPr>
          <w:rFonts w:ascii="Verdana" w:hAnsi="Verdana"/>
          <w:sz w:val="14"/>
          <w:szCs w:val="14"/>
          <w:lang w:val="es-CO"/>
        </w:rPr>
        <w:t xml:space="preserve">CONSEJO DE ESTADO. Sección Tercera. Sentencia del 12 de Agosto de 2014. Radicado 28565: </w:t>
      </w:r>
      <w:hyperlink r:id="rId1" w:history="1">
        <w:r w:rsidRPr="00FB1B6B">
          <w:rPr>
            <w:rStyle w:val="Hipervnculo"/>
            <w:rFonts w:ascii="Verdana" w:hAnsi="Verdana"/>
            <w:sz w:val="14"/>
            <w:szCs w:val="14"/>
            <w:lang w:val="es-CO"/>
          </w:rPr>
          <w:t>https://servicios.consejodeestado.gov.co/WebRelatoria/ce/index.xhtml</w:t>
        </w:r>
      </w:hyperlink>
      <w:r w:rsidRPr="00FB1B6B">
        <w:rPr>
          <w:rFonts w:ascii="Verdana" w:hAnsi="Verdana"/>
          <w:sz w:val="14"/>
          <w:szCs w:val="14"/>
          <w:lang w:val="es-CO"/>
        </w:rPr>
        <w:t xml:space="preserve"> </w:t>
      </w:r>
    </w:p>
  </w:footnote>
  <w:footnote w:id="7">
    <w:p w14:paraId="0BF70974" w14:textId="4DDBB7EA" w:rsidR="00E73A7B" w:rsidRPr="00FB1B6B" w:rsidRDefault="00E73A7B" w:rsidP="00FB1B6B">
      <w:pPr>
        <w:pStyle w:val="Textonotapie"/>
        <w:ind w:firstLine="709"/>
        <w:jc w:val="both"/>
        <w:rPr>
          <w:rFonts w:ascii="Verdana" w:hAnsi="Verdana"/>
          <w:sz w:val="14"/>
          <w:szCs w:val="14"/>
          <w:lang w:val="es-CO"/>
        </w:rPr>
      </w:pPr>
      <w:r w:rsidRPr="00FB1B6B">
        <w:rPr>
          <w:rStyle w:val="Refdenotaalpie"/>
          <w:rFonts w:ascii="Verdana" w:hAnsi="Verdana"/>
          <w:sz w:val="14"/>
          <w:szCs w:val="14"/>
        </w:rPr>
        <w:footnoteRef/>
      </w:r>
      <w:r w:rsidRPr="00FB1B6B">
        <w:rPr>
          <w:rFonts w:ascii="Verdana" w:hAnsi="Verdana"/>
          <w:sz w:val="14"/>
          <w:szCs w:val="14"/>
        </w:rPr>
        <w:t xml:space="preserve"> </w:t>
      </w:r>
      <w:r w:rsidRPr="00FB1B6B">
        <w:rPr>
          <w:rFonts w:ascii="Verdana" w:hAnsi="Verdana" w:cs="Arial"/>
          <w:color w:val="1A1A1A" w:themeColor="background1" w:themeShade="1A"/>
          <w:sz w:val="14"/>
          <w:szCs w:val="14"/>
        </w:rPr>
        <w:t>CONSEJO DE ESTADO. Sección Tercera. Subsección A. Sentencia del del 24 de febrero de 2016. Exp. 46.185. C.P. Marta Nubia Velásquez Rico.</w:t>
      </w:r>
    </w:p>
  </w:footnote>
  <w:footnote w:id="8">
    <w:p w14:paraId="68A31E64" w14:textId="03FFCDD9" w:rsidR="00E73A7B" w:rsidRPr="00FB1B6B" w:rsidRDefault="00E73A7B" w:rsidP="00FB1B6B">
      <w:pPr>
        <w:pStyle w:val="Textonotapie"/>
        <w:ind w:firstLine="709"/>
        <w:jc w:val="both"/>
        <w:rPr>
          <w:rFonts w:ascii="Verdana" w:hAnsi="Verdana"/>
          <w:sz w:val="14"/>
          <w:szCs w:val="14"/>
          <w:lang w:val="es-CO"/>
        </w:rPr>
      </w:pPr>
      <w:r w:rsidRPr="00FB1B6B">
        <w:rPr>
          <w:rStyle w:val="Refdenotaalpie"/>
          <w:rFonts w:ascii="Verdana" w:hAnsi="Verdana"/>
          <w:sz w:val="14"/>
          <w:szCs w:val="14"/>
        </w:rPr>
        <w:footnoteRef/>
      </w:r>
      <w:r w:rsidRPr="00FB1B6B">
        <w:rPr>
          <w:rFonts w:ascii="Verdana" w:hAnsi="Verdana"/>
          <w:sz w:val="14"/>
          <w:szCs w:val="14"/>
        </w:rPr>
        <w:t xml:space="preserve"> CORTE CONSTITUCIONAL. Sentencia C-018 de 1996: </w:t>
      </w:r>
      <w:hyperlink r:id="rId2" w:history="1">
        <w:r w:rsidRPr="00FB1B6B">
          <w:rPr>
            <w:rStyle w:val="Hipervnculo"/>
            <w:rFonts w:ascii="Verdana" w:hAnsi="Verdana"/>
            <w:sz w:val="14"/>
            <w:szCs w:val="14"/>
          </w:rPr>
          <w:t>https://www.corteconstitucional.gov.co/relatoria/1996/C-018-96.htm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D070833"/>
    <w:multiLevelType w:val="hybridMultilevel"/>
    <w:tmpl w:val="DC7C2C48"/>
    <w:lvl w:ilvl="0" w:tplc="77DA7758">
      <w:start w:val="1"/>
      <w:numFmt w:val="lowerRoman"/>
      <w:lvlText w:val="(%1)"/>
      <w:lvlJc w:val="left"/>
      <w:pPr>
        <w:ind w:left="1789" w:hanging="108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4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4118"/>
    <w:rsid w:val="0030657A"/>
    <w:rsid w:val="00322A85"/>
    <w:rsid w:val="00324168"/>
    <w:rsid w:val="00330834"/>
    <w:rsid w:val="003448F4"/>
    <w:rsid w:val="003568E0"/>
    <w:rsid w:val="00374F5E"/>
    <w:rsid w:val="00377E3E"/>
    <w:rsid w:val="003A779E"/>
    <w:rsid w:val="003D0F4D"/>
    <w:rsid w:val="003D5B0D"/>
    <w:rsid w:val="003E0499"/>
    <w:rsid w:val="003E4F80"/>
    <w:rsid w:val="003E6439"/>
    <w:rsid w:val="003F3941"/>
    <w:rsid w:val="003F5EF6"/>
    <w:rsid w:val="00406575"/>
    <w:rsid w:val="00414C74"/>
    <w:rsid w:val="0042722E"/>
    <w:rsid w:val="0044528D"/>
    <w:rsid w:val="00466E39"/>
    <w:rsid w:val="00494BCA"/>
    <w:rsid w:val="004A1847"/>
    <w:rsid w:val="004A305D"/>
    <w:rsid w:val="004F21C4"/>
    <w:rsid w:val="004F685F"/>
    <w:rsid w:val="005566E8"/>
    <w:rsid w:val="00574867"/>
    <w:rsid w:val="00591460"/>
    <w:rsid w:val="005A65E0"/>
    <w:rsid w:val="005B3A10"/>
    <w:rsid w:val="005C3777"/>
    <w:rsid w:val="005C5CDC"/>
    <w:rsid w:val="005D2425"/>
    <w:rsid w:val="005D476C"/>
    <w:rsid w:val="006200BF"/>
    <w:rsid w:val="006219F8"/>
    <w:rsid w:val="006302F7"/>
    <w:rsid w:val="00646B9F"/>
    <w:rsid w:val="00665D70"/>
    <w:rsid w:val="006900D9"/>
    <w:rsid w:val="006F626B"/>
    <w:rsid w:val="00706C16"/>
    <w:rsid w:val="007340C3"/>
    <w:rsid w:val="00751FC4"/>
    <w:rsid w:val="0075235A"/>
    <w:rsid w:val="00756841"/>
    <w:rsid w:val="007649AB"/>
    <w:rsid w:val="007670F4"/>
    <w:rsid w:val="00771D0C"/>
    <w:rsid w:val="0077605F"/>
    <w:rsid w:val="007833AC"/>
    <w:rsid w:val="007B268C"/>
    <w:rsid w:val="007B7171"/>
    <w:rsid w:val="007C0C0F"/>
    <w:rsid w:val="007C3DC2"/>
    <w:rsid w:val="007E5497"/>
    <w:rsid w:val="00806F5F"/>
    <w:rsid w:val="008118BD"/>
    <w:rsid w:val="00820278"/>
    <w:rsid w:val="008258C9"/>
    <w:rsid w:val="00844AE9"/>
    <w:rsid w:val="00867F95"/>
    <w:rsid w:val="008843B6"/>
    <w:rsid w:val="00891928"/>
    <w:rsid w:val="008950E7"/>
    <w:rsid w:val="008A446D"/>
    <w:rsid w:val="008B25F1"/>
    <w:rsid w:val="008D180B"/>
    <w:rsid w:val="008F0EA7"/>
    <w:rsid w:val="00922143"/>
    <w:rsid w:val="00923EEF"/>
    <w:rsid w:val="009419F9"/>
    <w:rsid w:val="0095685E"/>
    <w:rsid w:val="00961B09"/>
    <w:rsid w:val="00965334"/>
    <w:rsid w:val="0097093E"/>
    <w:rsid w:val="009A0DFA"/>
    <w:rsid w:val="009A1C6F"/>
    <w:rsid w:val="009B2D26"/>
    <w:rsid w:val="009C71FA"/>
    <w:rsid w:val="009C72E7"/>
    <w:rsid w:val="009C7F7E"/>
    <w:rsid w:val="009D23A0"/>
    <w:rsid w:val="009D3058"/>
    <w:rsid w:val="009F3A13"/>
    <w:rsid w:val="00A122D3"/>
    <w:rsid w:val="00A14468"/>
    <w:rsid w:val="00A17F13"/>
    <w:rsid w:val="00A20739"/>
    <w:rsid w:val="00A23AF9"/>
    <w:rsid w:val="00A33C78"/>
    <w:rsid w:val="00A76017"/>
    <w:rsid w:val="00AB0ADB"/>
    <w:rsid w:val="00B00C0E"/>
    <w:rsid w:val="00B01B1A"/>
    <w:rsid w:val="00B0381D"/>
    <w:rsid w:val="00B44A47"/>
    <w:rsid w:val="00B72CD3"/>
    <w:rsid w:val="00B72FFF"/>
    <w:rsid w:val="00BC3D36"/>
    <w:rsid w:val="00BD1F0E"/>
    <w:rsid w:val="00BD54A6"/>
    <w:rsid w:val="00BD5F24"/>
    <w:rsid w:val="00BD7F72"/>
    <w:rsid w:val="00BF7425"/>
    <w:rsid w:val="00C04FB3"/>
    <w:rsid w:val="00C11D8B"/>
    <w:rsid w:val="00C15139"/>
    <w:rsid w:val="00C330EB"/>
    <w:rsid w:val="00C50D69"/>
    <w:rsid w:val="00C5365C"/>
    <w:rsid w:val="00C754BE"/>
    <w:rsid w:val="00C76B1C"/>
    <w:rsid w:val="00C925AC"/>
    <w:rsid w:val="00CB2247"/>
    <w:rsid w:val="00CB6357"/>
    <w:rsid w:val="00CC1B26"/>
    <w:rsid w:val="00CF272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3A7B"/>
    <w:rsid w:val="00E75C92"/>
    <w:rsid w:val="00E771DC"/>
    <w:rsid w:val="00E8772A"/>
    <w:rsid w:val="00E90F6B"/>
    <w:rsid w:val="00E92C27"/>
    <w:rsid w:val="00EA0E3D"/>
    <w:rsid w:val="00EC38A7"/>
    <w:rsid w:val="00EE1AA8"/>
    <w:rsid w:val="00F00FC9"/>
    <w:rsid w:val="00F23FEA"/>
    <w:rsid w:val="00F31EDC"/>
    <w:rsid w:val="00F462B3"/>
    <w:rsid w:val="00F5664F"/>
    <w:rsid w:val="00F666C4"/>
    <w:rsid w:val="00F713CF"/>
    <w:rsid w:val="00F76AFC"/>
    <w:rsid w:val="00FA47C0"/>
    <w:rsid w:val="00FB1B6B"/>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73A7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73A7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laudiar.hernandez@agencialogistic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rteconstitucional.gov.co/relatoria/1996/C-018-96.htm" TargetMode="External"/><Relationship Id="rId1" Type="http://schemas.openxmlformats.org/officeDocument/2006/relationships/hyperlink" Target="https://servicios.consejodeestado.gov.co/WebRelatoria/ce/index.x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195363A-0269-41AB-805A-25FBBD0C03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14</Pages>
  <Words>4121</Words>
  <Characters>22668</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3</cp:revision>
  <cp:lastPrinted>2023-01-10T21:18:00Z</cp:lastPrinted>
  <dcterms:created xsi:type="dcterms:W3CDTF">2026-04-16T16:06:00Z</dcterms:created>
  <dcterms:modified xsi:type="dcterms:W3CDTF">2026-04-16T23:10:00Z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