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0BC94" w14:textId="77777777" w:rsidR="00481562" w:rsidRDefault="00481562" w:rsidP="00481562">
      <w:pPr>
        <w:spacing w:after="0"/>
        <w:rPr>
          <w:rFonts w:ascii="Verdana" w:hAnsi="Verdana" w:cs="Arial"/>
          <w:b/>
          <w:color w:val="000000" w:themeColor="text1"/>
          <w:lang w:val="es-ES_tradnl"/>
        </w:rPr>
      </w:pPr>
      <w:bookmarkStart w:id="0" w:name="_Hlk143780582"/>
    </w:p>
    <w:p w14:paraId="06CF2DC5" w14:textId="77777777" w:rsidR="00481562" w:rsidRDefault="00481562" w:rsidP="00481562">
      <w:pPr>
        <w:spacing w:after="0"/>
        <w:contextualSpacing/>
        <w:jc w:val="both"/>
        <w:rPr>
          <w:rFonts w:ascii="Verdana" w:eastAsia="Calibri" w:hAnsi="Verdana" w:cs="Arial"/>
          <w:b/>
          <w:bCs/>
          <w:lang w:val="es-ES" w:eastAsia="es-ES"/>
        </w:rPr>
      </w:pPr>
      <w:r w:rsidRPr="009C44A9">
        <w:rPr>
          <w:rFonts w:ascii="Verdana" w:eastAsia="Calibri" w:hAnsi="Verdana" w:cs="Arial"/>
          <w:b/>
          <w:bCs/>
          <w:lang w:val="es-ES" w:eastAsia="es-ES"/>
        </w:rPr>
        <w:t>LEY DE GARANTÍAS– Requisitos de perfeccionamiento y ejecución</w:t>
      </w:r>
    </w:p>
    <w:p w14:paraId="551B944A" w14:textId="77777777" w:rsidR="00481562" w:rsidRPr="00782836" w:rsidRDefault="00481562" w:rsidP="00481562">
      <w:pPr>
        <w:spacing w:after="0"/>
        <w:contextualSpacing/>
        <w:jc w:val="both"/>
        <w:rPr>
          <w:rFonts w:ascii="Verdana" w:eastAsia="Calibri" w:hAnsi="Verdana" w:cs="Arial"/>
          <w:b/>
          <w:bCs/>
          <w:lang w:val="es-ES" w:eastAsia="es-ES"/>
        </w:rPr>
      </w:pPr>
    </w:p>
    <w:p w14:paraId="1E14BDCA" w14:textId="77777777" w:rsidR="00481562" w:rsidRDefault="00481562" w:rsidP="00481562">
      <w:pPr>
        <w:spacing w:after="0" w:line="240" w:lineRule="auto"/>
        <w:jc w:val="both"/>
        <w:rPr>
          <w:rFonts w:ascii="Verdana" w:eastAsia="Times New Roman" w:hAnsi="Verdana" w:cs="Arial"/>
          <w:sz w:val="20"/>
          <w:szCs w:val="20"/>
          <w:lang w:val="es-ES" w:eastAsia="es-CO"/>
        </w:rPr>
      </w:pPr>
      <w:r w:rsidRPr="00816FE1">
        <w:rPr>
          <w:rFonts w:ascii="Verdana" w:eastAsia="Times New Roman" w:hAnsi="Verdana" w:cs="Arial"/>
          <w:sz w:val="20"/>
          <w:szCs w:val="20"/>
          <w:lang w:val="es-ES" w:eastAsia="es-CO"/>
        </w:rPr>
        <w:t>La Ley 996 de 2005 también conocida como Ley de Garantías Electorales establece dos restricciones en particular la contratación estatal. Por un lado, el artículo 33 de la Ley 996 de 2005 prohíbe la contratación directa por parte de todos los entes del Estado durante los cuatro (4) meses anteriores a la elección presidencial, salvo lo referente con la defensa y seguridad del Estado, los contratos de crédito público, aquellos necesarios para atender emergencias educativas, sanitarias o desastres, así como, los destinados a la reconstrucción de vías, puentes, carreteras e infraestructura energética y de comunicaciones cuando estas hayan sido afectadas por atentados, acciones terroristas, desastres naturales o eventos de fuerza mayor, y los que deban celebrar las entidades sanitarias y hospitalarias. De otra parte, el parágrafo del artículo 38 de la Ley 996 de 2005 consagra una restricción aplicable a cualquier tipo de contienda electoral, en virtud de la cual se prohíbe a los gobernadores, alcaldes municipales o distritales, secretarios, gerentes y directores de entidades descentralizadas del orden municipal, departamental o distrital, celebrar convenios interadministrativos para la ejecución de recursos públicos, así como participar, promover o destinar recursos públicos de las entidades a su cargo o de aquellas en las que intervengan como miembros de juntas directivas a reuniones de carácter proselitista.</w:t>
      </w:r>
    </w:p>
    <w:p w14:paraId="1CC1BF3C" w14:textId="77777777" w:rsidR="00481562" w:rsidRPr="009233BB" w:rsidRDefault="00481562" w:rsidP="00481562">
      <w:pPr>
        <w:spacing w:after="0" w:line="240" w:lineRule="auto"/>
        <w:jc w:val="both"/>
        <w:rPr>
          <w:rFonts w:ascii="Calibri" w:eastAsia="Calibri" w:hAnsi="Calibri" w:cs="Times New Roman"/>
          <w:color w:val="ED7D31" w:themeColor="accent2"/>
          <w:lang w:val="es-ES"/>
        </w:rPr>
      </w:pPr>
    </w:p>
    <w:p w14:paraId="4FD213E6" w14:textId="77777777" w:rsidR="00481562" w:rsidRPr="00782836" w:rsidRDefault="00481562" w:rsidP="00481562">
      <w:pPr>
        <w:contextualSpacing/>
        <w:jc w:val="both"/>
        <w:rPr>
          <w:rFonts w:ascii="Verdana" w:eastAsia="Calibri" w:hAnsi="Verdana" w:cs="Arial"/>
          <w:b/>
          <w:bCs/>
          <w:lang w:val="es-ES" w:eastAsia="es-ES"/>
        </w:rPr>
      </w:pPr>
      <w:r w:rsidRPr="00782836">
        <w:rPr>
          <w:rFonts w:ascii="Verdana" w:eastAsia="Calibri" w:hAnsi="Verdana" w:cs="Arial"/>
          <w:b/>
          <w:bCs/>
          <w:lang w:val="es-ES" w:eastAsia="es-ES"/>
        </w:rPr>
        <w:t>LEY DE GARANTÍAS ELECTORALES ‒ Restricciones ‒ Contratación ‒ Tipos de elección</w:t>
      </w:r>
    </w:p>
    <w:p w14:paraId="495233BF" w14:textId="77777777" w:rsidR="00481562" w:rsidRPr="00782836" w:rsidRDefault="00481562" w:rsidP="00481562">
      <w:pPr>
        <w:spacing w:after="0" w:line="240" w:lineRule="auto"/>
        <w:jc w:val="both"/>
        <w:rPr>
          <w:rFonts w:ascii="Verdana" w:eastAsia="Calibri" w:hAnsi="Verdana" w:cs="Arial"/>
          <w:b/>
          <w:bCs/>
          <w:lang w:val="es-ES" w:eastAsia="es-ES"/>
        </w:rPr>
      </w:pPr>
    </w:p>
    <w:p w14:paraId="71981461" w14:textId="77777777" w:rsidR="00481562" w:rsidRPr="00782836" w:rsidRDefault="00481562" w:rsidP="00481562">
      <w:pPr>
        <w:spacing w:after="0" w:line="240" w:lineRule="auto"/>
        <w:jc w:val="both"/>
        <w:rPr>
          <w:rFonts w:ascii="Verdana" w:eastAsia="Arial" w:hAnsi="Verdana" w:cs="Arial"/>
          <w:sz w:val="20"/>
          <w:szCs w:val="20"/>
          <w:lang w:val="es-ES" w:eastAsia="es-ES" w:bidi="es-ES"/>
        </w:rPr>
      </w:pPr>
      <w:r w:rsidRPr="00782836">
        <w:rPr>
          <w:rFonts w:ascii="Verdana" w:eastAsia="Arial" w:hAnsi="Verdana" w:cs="Arial"/>
          <w:sz w:val="20"/>
          <w:szCs w:val="20"/>
          <w:lang w:val="es-ES" w:eastAsia="es-ES" w:bidi="es-ES"/>
        </w:rPr>
        <w:t xml:space="preserve">(…) De conformidad con lo anterior, la Ley 996 de 2005 establece dos (2) tipos de restricciones en materia de contratación, las cuales coinciden parcialmente. </w:t>
      </w:r>
      <w:r w:rsidRPr="00782836">
        <w:rPr>
          <w:rFonts w:ascii="Verdana" w:eastAsia="Arial" w:hAnsi="Verdana" w:cs="Arial"/>
          <w:i/>
          <w:sz w:val="20"/>
          <w:szCs w:val="20"/>
          <w:lang w:val="es-ES" w:eastAsia="es-ES" w:bidi="es-ES"/>
        </w:rPr>
        <w:t>En primer lugar</w:t>
      </w:r>
      <w:r w:rsidRPr="00782836">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782836">
        <w:rPr>
          <w:rFonts w:ascii="Verdana" w:eastAsia="Arial" w:hAnsi="Verdana" w:cs="Arial"/>
          <w:i/>
          <w:sz w:val="20"/>
          <w:szCs w:val="20"/>
          <w:lang w:val="es-ES" w:eastAsia="es-ES" w:bidi="es-ES"/>
        </w:rPr>
        <w:t>En segundo lugar</w:t>
      </w:r>
      <w:r w:rsidRPr="00782836">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252BFF3" w14:textId="77777777" w:rsidR="00481562" w:rsidRPr="009233BB" w:rsidRDefault="00481562" w:rsidP="00481562">
      <w:pPr>
        <w:spacing w:after="0" w:line="240" w:lineRule="auto"/>
        <w:jc w:val="both"/>
        <w:rPr>
          <w:rFonts w:ascii="Verdana" w:eastAsia="Geomanist Light" w:hAnsi="Verdana" w:cs="Arial"/>
          <w:b/>
          <w:bCs/>
          <w:color w:val="ED7D31" w:themeColor="accent2"/>
          <w:lang w:val="es-ES"/>
        </w:rPr>
      </w:pPr>
    </w:p>
    <w:p w14:paraId="6B9AD113" w14:textId="77777777" w:rsidR="00481562" w:rsidRPr="003D4410" w:rsidRDefault="00481562" w:rsidP="00481562">
      <w:pPr>
        <w:spacing w:after="0" w:line="240" w:lineRule="auto"/>
        <w:jc w:val="both"/>
        <w:rPr>
          <w:rFonts w:ascii="Verdana" w:eastAsia="Calibri" w:hAnsi="Verdana" w:cs="Arial"/>
          <w:b/>
          <w:bCs/>
          <w:lang w:val="es-ES" w:eastAsia="es-ES"/>
        </w:rPr>
      </w:pPr>
      <w:r w:rsidRPr="003D4410">
        <w:rPr>
          <w:rFonts w:ascii="Verdana" w:eastAsia="Calibri" w:hAnsi="Verdana" w:cs="Arial"/>
          <w:b/>
          <w:bCs/>
          <w:lang w:val="es-ES" w:eastAsia="es-ES"/>
        </w:rPr>
        <w:t xml:space="preserve">LEY DE GARANTÍAS ELECTORALES ‒ Artículo 33 </w:t>
      </w:r>
    </w:p>
    <w:p w14:paraId="2D53B339" w14:textId="77777777" w:rsidR="00481562" w:rsidRPr="003D4410" w:rsidRDefault="00481562" w:rsidP="00481562">
      <w:pPr>
        <w:spacing w:after="0" w:line="240" w:lineRule="auto"/>
        <w:jc w:val="both"/>
        <w:rPr>
          <w:rFonts w:ascii="Verdana" w:eastAsia="Calibri" w:hAnsi="Verdana" w:cs="Arial"/>
          <w:b/>
          <w:bCs/>
          <w:lang w:val="es-ES" w:eastAsia="es-ES"/>
        </w:rPr>
      </w:pPr>
    </w:p>
    <w:p w14:paraId="7F0F6C24" w14:textId="77777777" w:rsidR="00481562" w:rsidRPr="003D4410" w:rsidRDefault="00481562" w:rsidP="00481562">
      <w:pPr>
        <w:spacing w:after="0" w:line="240" w:lineRule="auto"/>
        <w:jc w:val="both"/>
        <w:rPr>
          <w:rFonts w:ascii="Verdana" w:eastAsia="Calibri" w:hAnsi="Verdana" w:cs="Arial"/>
          <w:sz w:val="20"/>
          <w:szCs w:val="20"/>
          <w:lang w:val="es-ES"/>
        </w:rPr>
      </w:pPr>
      <w:r w:rsidRPr="003D4410">
        <w:rPr>
          <w:rFonts w:ascii="Verdana" w:eastAsia="Calibri" w:hAnsi="Verdana" w:cs="Arial"/>
          <w:sz w:val="20"/>
          <w:szCs w:val="20"/>
          <w:lang w:val="es-ES"/>
        </w:rPr>
        <w:t xml:space="preserve">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w:t>
      </w:r>
      <w:r w:rsidRPr="003D4410">
        <w:rPr>
          <w:rFonts w:ascii="Verdana" w:eastAsia="Calibri" w:hAnsi="Verdana" w:cs="Arial"/>
          <w:sz w:val="20"/>
          <w:szCs w:val="20"/>
          <w:lang w:val="es-ES"/>
        </w:rPr>
        <w:lastRenderedPageBreak/>
        <w:t>carreteras, infraestructura energética y de comunicaciones, en caso de que hayan sido objeto de atentados, acciones terroristas, desastres naturales o casos de fuerza mayor, y los que deban realizar las entidades sanitarias y hospitalarias.</w:t>
      </w:r>
    </w:p>
    <w:p w14:paraId="0DB4AA80" w14:textId="77777777" w:rsidR="00481562" w:rsidRPr="003D4410" w:rsidRDefault="00481562" w:rsidP="00481562">
      <w:pPr>
        <w:spacing w:after="0" w:line="240" w:lineRule="auto"/>
        <w:jc w:val="both"/>
        <w:rPr>
          <w:rFonts w:ascii="Verdana" w:eastAsia="Calibri" w:hAnsi="Verdana" w:cs="Arial"/>
          <w:sz w:val="20"/>
          <w:szCs w:val="20"/>
          <w:lang w:val="es-ES"/>
        </w:rPr>
      </w:pPr>
    </w:p>
    <w:p w14:paraId="66FDA912" w14:textId="77777777" w:rsidR="00481562" w:rsidRPr="003D4410" w:rsidRDefault="00481562" w:rsidP="00481562">
      <w:pPr>
        <w:contextualSpacing/>
        <w:jc w:val="both"/>
        <w:rPr>
          <w:rFonts w:ascii="Verdana" w:eastAsia="Calibri" w:hAnsi="Verdana" w:cs="Arial"/>
          <w:b/>
          <w:bCs/>
          <w:lang w:val="es-ES" w:eastAsia="es-ES"/>
        </w:rPr>
      </w:pPr>
      <w:r w:rsidRPr="003D4410">
        <w:rPr>
          <w:rFonts w:ascii="Verdana" w:eastAsia="Calibri" w:hAnsi="Verdana" w:cs="Arial"/>
          <w:b/>
          <w:bCs/>
          <w:lang w:val="es-ES" w:eastAsia="es-ES"/>
        </w:rPr>
        <w:t>LEY DE GARANTÍAS ELECTORALES ‒ Artículo 38 ‒ Parágrafo</w:t>
      </w:r>
    </w:p>
    <w:p w14:paraId="2C4BF6B3" w14:textId="77777777" w:rsidR="00481562" w:rsidRPr="003D4410" w:rsidRDefault="00481562" w:rsidP="00481562">
      <w:pPr>
        <w:spacing w:line="240" w:lineRule="auto"/>
        <w:contextualSpacing/>
        <w:jc w:val="both"/>
        <w:rPr>
          <w:rFonts w:ascii="Verdana" w:eastAsia="Calibri" w:hAnsi="Verdana" w:cs="Arial"/>
          <w:b/>
          <w:bCs/>
          <w:sz w:val="20"/>
          <w:szCs w:val="20"/>
          <w:lang w:val="es-ES" w:eastAsia="es-ES"/>
        </w:rPr>
      </w:pPr>
    </w:p>
    <w:p w14:paraId="7943FEBA" w14:textId="77777777" w:rsidR="00481562" w:rsidRDefault="00481562" w:rsidP="00481562">
      <w:pPr>
        <w:spacing w:after="0" w:line="240" w:lineRule="auto"/>
        <w:contextualSpacing/>
        <w:jc w:val="both"/>
        <w:rPr>
          <w:rFonts w:ascii="Verdana" w:eastAsia="Times New Roman" w:hAnsi="Verdana" w:cs="Arial"/>
          <w:sz w:val="20"/>
          <w:szCs w:val="20"/>
          <w:lang w:val="es-ES"/>
        </w:rPr>
      </w:pPr>
      <w:r w:rsidRPr="003D4410">
        <w:rPr>
          <w:rFonts w:ascii="Verdana" w:eastAsia="Times New Roman" w:hAnsi="Verdana" w:cs="Arial"/>
          <w:sz w:val="20"/>
          <w:szCs w:val="20"/>
          <w:lang w:val="es-ES"/>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40900D45" w14:textId="77777777" w:rsidR="00481562" w:rsidRDefault="00481562" w:rsidP="00481562">
      <w:pPr>
        <w:spacing w:after="0" w:line="240" w:lineRule="auto"/>
        <w:contextualSpacing/>
        <w:jc w:val="both"/>
        <w:rPr>
          <w:rFonts w:ascii="Verdana" w:eastAsia="Times New Roman" w:hAnsi="Verdana" w:cs="Arial"/>
          <w:sz w:val="20"/>
          <w:szCs w:val="20"/>
          <w:lang w:val="es-ES"/>
        </w:rPr>
      </w:pPr>
    </w:p>
    <w:p w14:paraId="7159F8E3" w14:textId="77777777" w:rsidR="00481562" w:rsidRPr="00B6113F" w:rsidRDefault="00481562" w:rsidP="00481562">
      <w:pPr>
        <w:spacing w:after="0" w:line="240" w:lineRule="auto"/>
        <w:contextualSpacing/>
        <w:jc w:val="both"/>
        <w:rPr>
          <w:rFonts w:ascii="Verdana" w:eastAsia="Calibri" w:hAnsi="Verdana" w:cs="Arial"/>
          <w:b/>
          <w:bCs/>
          <w:lang w:val="es-ES" w:eastAsia="es-ES"/>
        </w:rPr>
      </w:pPr>
      <w:r w:rsidRPr="00B6113F">
        <w:rPr>
          <w:rFonts w:ascii="Verdana" w:eastAsia="Calibri" w:hAnsi="Verdana" w:cs="Arial"/>
          <w:b/>
          <w:bCs/>
          <w:lang w:val="es-ES" w:eastAsia="es-ES"/>
        </w:rPr>
        <w:t>LEY DE GARANTÍAS ELECTORALES ─ Prohibición ‒ Contratación directa ‒ Alcance</w:t>
      </w:r>
    </w:p>
    <w:p w14:paraId="23AE2117" w14:textId="77777777" w:rsidR="00481562" w:rsidRPr="009233BB" w:rsidRDefault="00481562" w:rsidP="00481562">
      <w:pPr>
        <w:spacing w:after="0" w:line="240" w:lineRule="auto"/>
        <w:jc w:val="both"/>
        <w:rPr>
          <w:rFonts w:ascii="Verdana" w:eastAsia="Arial" w:hAnsi="Verdana" w:cs="Arial"/>
          <w:color w:val="ED7D31" w:themeColor="accent2"/>
          <w:sz w:val="18"/>
          <w:szCs w:val="18"/>
          <w:lang w:val="es-ES" w:eastAsia="es-ES" w:bidi="es-ES"/>
        </w:rPr>
      </w:pPr>
    </w:p>
    <w:p w14:paraId="6A38364F" w14:textId="77777777" w:rsidR="00481562" w:rsidRDefault="00481562" w:rsidP="00481562">
      <w:pPr>
        <w:spacing w:line="240" w:lineRule="auto"/>
        <w:contextualSpacing/>
        <w:jc w:val="both"/>
        <w:rPr>
          <w:rFonts w:ascii="Verdana" w:eastAsia="Calibri" w:hAnsi="Verdana" w:cs="Arial"/>
          <w:sz w:val="20"/>
          <w:szCs w:val="20"/>
          <w:lang w:val="es-ES" w:eastAsia="es-ES"/>
        </w:rPr>
      </w:pPr>
      <w:r w:rsidRPr="005E492A">
        <w:rPr>
          <w:rFonts w:ascii="Verdana" w:eastAsia="Calibri" w:hAnsi="Verdana" w:cs="Arial"/>
          <w:sz w:val="20"/>
          <w:szCs w:val="20"/>
          <w:lang w:val="es-ES" w:eastAsia="es-ES"/>
        </w:rPr>
        <w:t xml:space="preserve">El ordenamiento jurídico dispone que la modalidad aplicable para la celebración de convenios interadministrativos es la contratación directa, conforme expresamente lo dispone el artículo 2.2.1.2.1.4.4. del Decreto 1082 de 2015. Esto resulta particularmente relevante para el particular, ya que, si bien los convenios interadministrativos a título gratuito no se encuentran cobijados por la restricción del parágrafo del artículo 38 de la Ley 996 de 2005, por el hecho de no contemplar la ejecución de recursos públicos, si pueden estar cobijados por la prohibición a la contratación directa establecida por el artículo 33 de la Ley 996 de 2005.  </w:t>
      </w:r>
    </w:p>
    <w:p w14:paraId="0988756E" w14:textId="77777777" w:rsidR="00481562" w:rsidRPr="005E492A" w:rsidRDefault="00481562" w:rsidP="00481562">
      <w:pPr>
        <w:spacing w:line="240" w:lineRule="auto"/>
        <w:contextualSpacing/>
        <w:jc w:val="both"/>
        <w:rPr>
          <w:rFonts w:ascii="Verdana" w:eastAsia="Calibri" w:hAnsi="Verdana" w:cs="Arial"/>
          <w:sz w:val="20"/>
          <w:szCs w:val="20"/>
          <w:lang w:val="es-ES" w:eastAsia="es-ES"/>
        </w:rPr>
      </w:pPr>
    </w:p>
    <w:p w14:paraId="530DB2AF" w14:textId="77777777" w:rsidR="00481562" w:rsidRDefault="00481562" w:rsidP="00481562">
      <w:pPr>
        <w:spacing w:after="0" w:line="240" w:lineRule="auto"/>
        <w:contextualSpacing/>
        <w:jc w:val="both"/>
        <w:rPr>
          <w:rFonts w:ascii="Verdana" w:eastAsia="Calibri" w:hAnsi="Verdana" w:cs="Arial"/>
          <w:b/>
          <w:bCs/>
          <w:lang w:val="es-ES" w:eastAsia="es-ES"/>
        </w:rPr>
      </w:pPr>
      <w:r w:rsidRPr="005E492A">
        <w:rPr>
          <w:rFonts w:ascii="Verdana" w:eastAsia="Calibri" w:hAnsi="Verdana" w:cs="Arial"/>
          <w:b/>
          <w:bCs/>
          <w:lang w:val="es-ES" w:eastAsia="es-ES"/>
        </w:rPr>
        <w:t xml:space="preserve">LEY DE GARANTÍAS ELECTORALES ─ Excepciones – Convenios a título gratuito  </w:t>
      </w:r>
    </w:p>
    <w:p w14:paraId="4F8CC67B" w14:textId="77777777" w:rsidR="00481562" w:rsidRPr="005E492A" w:rsidRDefault="00481562" w:rsidP="00481562">
      <w:pPr>
        <w:spacing w:after="0" w:line="240" w:lineRule="auto"/>
        <w:contextualSpacing/>
        <w:jc w:val="both"/>
        <w:rPr>
          <w:rFonts w:ascii="Verdana" w:eastAsia="Calibri" w:hAnsi="Verdana" w:cs="Arial"/>
          <w:b/>
          <w:bCs/>
          <w:lang w:val="es-ES" w:eastAsia="es-ES"/>
        </w:rPr>
      </w:pPr>
    </w:p>
    <w:p w14:paraId="66A72D87" w14:textId="77777777" w:rsidR="00481562" w:rsidRPr="00F32723" w:rsidRDefault="00481562" w:rsidP="00481562">
      <w:pPr>
        <w:spacing w:after="0" w:line="240" w:lineRule="auto"/>
        <w:contextualSpacing/>
        <w:jc w:val="both"/>
        <w:rPr>
          <w:rFonts w:ascii="Verdana" w:eastAsia="Times New Roman" w:hAnsi="Verdana" w:cs="Arial"/>
          <w:sz w:val="20"/>
          <w:szCs w:val="20"/>
          <w:lang w:val="es-ES"/>
        </w:rPr>
      </w:pPr>
      <w:r w:rsidRPr="00F32723">
        <w:rPr>
          <w:rFonts w:ascii="Verdana" w:eastAsia="Times New Roman" w:hAnsi="Verdana" w:cs="Arial"/>
          <w:sz w:val="20"/>
          <w:szCs w:val="20"/>
          <w:lang w:val="es-ES"/>
        </w:rPr>
        <w:t xml:space="preserve">En atención a esto, si bien, en principio, resulta viable celebrar de manera directa un convenio interadministrativo a título gratuito en vigencia de la restricción del artículo 38, esto no resulta válido cuando esté en vigencia la prohibición del artículo 33, ya que esta aplica de manera de manera general a la contratación directa y no contempla excepciones para convenio a título gratuito. En ese orden, una vez entrada en vigor la restricción del artículo 33 de la Ley 996 de 2005, solo resulta jurídicamente viable celebrar convenios interadministrativos a título gratuito, si respecto de estos se configura alguna de las excepciones establecidas en dicha disposición.   </w:t>
      </w:r>
    </w:p>
    <w:p w14:paraId="368A93DF" w14:textId="77777777" w:rsidR="00481562" w:rsidRPr="003D4410" w:rsidRDefault="00481562" w:rsidP="00481562">
      <w:pPr>
        <w:spacing w:after="0" w:line="240" w:lineRule="auto"/>
        <w:contextualSpacing/>
        <w:jc w:val="both"/>
        <w:rPr>
          <w:rFonts w:ascii="Verdana" w:eastAsia="Calibri" w:hAnsi="Verdana" w:cs="Arial"/>
          <w:b/>
          <w:bCs/>
          <w:sz w:val="20"/>
          <w:szCs w:val="20"/>
          <w:lang w:eastAsia="es-ES"/>
        </w:rPr>
      </w:pPr>
    </w:p>
    <w:p w14:paraId="7D57A734" w14:textId="77777777" w:rsidR="00481562" w:rsidRPr="003D4410" w:rsidRDefault="00481562" w:rsidP="00481562">
      <w:pPr>
        <w:spacing w:after="0" w:line="240" w:lineRule="auto"/>
        <w:contextualSpacing/>
        <w:jc w:val="both"/>
        <w:rPr>
          <w:rFonts w:ascii="Verdana" w:eastAsia="Calibri" w:hAnsi="Verdana" w:cs="Arial"/>
          <w:b/>
          <w:bCs/>
          <w:sz w:val="20"/>
          <w:szCs w:val="20"/>
          <w:lang w:val="es-ES" w:eastAsia="es-ES"/>
        </w:rPr>
      </w:pPr>
    </w:p>
    <w:p w14:paraId="26B663E3" w14:textId="77777777" w:rsidR="00481562" w:rsidRDefault="00481562" w:rsidP="00481562">
      <w:pPr>
        <w:spacing w:after="0"/>
        <w:rPr>
          <w:rFonts w:ascii="Verdana" w:eastAsia="Verdana" w:hAnsi="Verdana" w:cs="Verdana"/>
        </w:rPr>
      </w:pPr>
    </w:p>
    <w:p w14:paraId="3E22C7D1" w14:textId="77777777" w:rsidR="00481562" w:rsidRDefault="00481562" w:rsidP="00481562">
      <w:pPr>
        <w:spacing w:after="0"/>
        <w:rPr>
          <w:rFonts w:ascii="Verdana" w:eastAsia="Verdana" w:hAnsi="Verdana" w:cs="Verdana"/>
        </w:rPr>
      </w:pPr>
    </w:p>
    <w:p w14:paraId="57587A49" w14:textId="77777777" w:rsidR="00481562" w:rsidRDefault="00481562" w:rsidP="00481562">
      <w:pPr>
        <w:spacing w:after="0"/>
        <w:rPr>
          <w:rFonts w:ascii="Verdana" w:eastAsia="Verdana" w:hAnsi="Verdana" w:cs="Verdana"/>
        </w:rPr>
      </w:pPr>
    </w:p>
    <w:p w14:paraId="785828CB" w14:textId="77777777" w:rsidR="00481562" w:rsidRDefault="00481562" w:rsidP="00481562">
      <w:pPr>
        <w:spacing w:after="0"/>
        <w:rPr>
          <w:rFonts w:ascii="Verdana" w:eastAsia="Verdana" w:hAnsi="Verdana" w:cs="Verdana"/>
        </w:rPr>
      </w:pPr>
    </w:p>
    <w:p w14:paraId="6921F1A0" w14:textId="77777777" w:rsidR="00481562" w:rsidRDefault="00481562" w:rsidP="00481562">
      <w:pPr>
        <w:spacing w:after="0"/>
        <w:rPr>
          <w:rFonts w:ascii="Verdana" w:eastAsia="Verdana" w:hAnsi="Verdana" w:cs="Verdana"/>
        </w:rPr>
      </w:pPr>
    </w:p>
    <w:p w14:paraId="563F66F5" w14:textId="77777777" w:rsidR="00481562" w:rsidRDefault="00481562" w:rsidP="00481562">
      <w:pPr>
        <w:spacing w:after="0"/>
        <w:rPr>
          <w:rFonts w:ascii="Verdana" w:eastAsia="Verdana" w:hAnsi="Verdana" w:cs="Verdana"/>
        </w:rPr>
      </w:pPr>
    </w:p>
    <w:p w14:paraId="595DAB0E" w14:textId="77777777" w:rsidR="00481562" w:rsidRDefault="00481562" w:rsidP="00481562">
      <w:pPr>
        <w:spacing w:after="0"/>
        <w:rPr>
          <w:rFonts w:ascii="Verdana" w:eastAsia="Verdana" w:hAnsi="Verdana" w:cs="Verdana"/>
        </w:rPr>
      </w:pPr>
    </w:p>
    <w:p w14:paraId="109928A6" w14:textId="2278820F" w:rsidR="00481562" w:rsidRPr="00814970" w:rsidRDefault="00814970" w:rsidP="00481562">
      <w:pPr>
        <w:spacing w:after="0"/>
        <w:rPr>
          <w:rFonts w:ascii="Verdana" w:hAnsi="Verdana"/>
          <w:lang w:val="es-ES"/>
        </w:rPr>
      </w:pPr>
      <w:r w:rsidRPr="00814970">
        <w:rPr>
          <w:rFonts w:ascii="Verdana" w:hAnsi="Verdana"/>
        </w:rPr>
        <w:t>Bogotá D.C., 15 Abril 2026</w:t>
      </w:r>
    </w:p>
    <w:p w14:paraId="04A7B543" w14:textId="5DEB9EB7" w:rsidR="004F4B0B" w:rsidRDefault="004F4B0B" w:rsidP="00481562">
      <w:pPr>
        <w:spacing w:after="0"/>
        <w:rPr>
          <w:rFonts w:ascii="Verdana" w:hAnsi="Verdana"/>
          <w:color w:val="ED7D31" w:themeColor="accent2"/>
          <w:lang w:val="es-ES"/>
        </w:rPr>
      </w:pPr>
      <w:r>
        <w:rPr>
          <w:rFonts w:ascii="Verdana" w:hAnsi="Verdana"/>
          <w:color w:val="ED7D31" w:themeColor="accent2"/>
          <w:lang w:val="es-ES"/>
        </w:rPr>
        <w:t xml:space="preserve">                                                              </w:t>
      </w:r>
      <w:r w:rsidRPr="004F4B0B">
        <w:rPr>
          <w:rFonts w:ascii="Verdana" w:hAnsi="Verdana"/>
          <w:noProof/>
          <w:color w:val="ED7D31" w:themeColor="accent2"/>
          <w:lang w:val="es-ES"/>
        </w:rPr>
        <w:drawing>
          <wp:inline distT="0" distB="0" distL="0" distR="0" wp14:anchorId="4A973B2E" wp14:editId="1C425CA8">
            <wp:extent cx="2269612" cy="628650"/>
            <wp:effectExtent l="0" t="0" r="0" b="0"/>
            <wp:docPr id="11318517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02824" cy="637849"/>
                    </a:xfrm>
                    <a:prstGeom prst="rect">
                      <a:avLst/>
                    </a:prstGeom>
                    <a:noFill/>
                    <a:ln>
                      <a:noFill/>
                    </a:ln>
                  </pic:spPr>
                </pic:pic>
              </a:graphicData>
            </a:graphic>
          </wp:inline>
        </w:drawing>
      </w:r>
    </w:p>
    <w:p w14:paraId="549197B1" w14:textId="77777777" w:rsidR="004F4B0B" w:rsidRPr="006733BD" w:rsidRDefault="004F4B0B" w:rsidP="00481562">
      <w:pPr>
        <w:spacing w:after="0"/>
        <w:rPr>
          <w:rFonts w:ascii="Verdana" w:hAnsi="Verdana"/>
          <w:color w:val="ED7D31" w:themeColor="accent2"/>
          <w:lang w:val="es-ES"/>
        </w:rPr>
      </w:pPr>
    </w:p>
    <w:p w14:paraId="5EB926DE" w14:textId="77777777" w:rsidR="00481562" w:rsidRDefault="00481562" w:rsidP="00481562">
      <w:pPr>
        <w:spacing w:after="0" w:line="240" w:lineRule="auto"/>
        <w:rPr>
          <w:rFonts w:ascii="Verdana" w:eastAsia="Calibri" w:hAnsi="Verdana" w:cs="Arial"/>
          <w:lang w:val="es-ES" w:eastAsia="es-ES"/>
        </w:rPr>
      </w:pPr>
      <w:r w:rsidRPr="00801A0F">
        <w:rPr>
          <w:rFonts w:ascii="Verdana" w:eastAsia="Calibri" w:hAnsi="Verdana" w:cs="Arial"/>
          <w:lang w:val="es-ES" w:eastAsia="es-ES"/>
        </w:rPr>
        <w:t>Señor</w:t>
      </w:r>
    </w:p>
    <w:p w14:paraId="00150631" w14:textId="77777777" w:rsidR="00481562" w:rsidRDefault="00481562" w:rsidP="00481562">
      <w:pPr>
        <w:spacing w:after="0" w:line="240" w:lineRule="auto"/>
        <w:rPr>
          <w:rFonts w:ascii="Verdana" w:eastAsia="Calibri" w:hAnsi="Verdana" w:cs="Arial"/>
          <w:b/>
          <w:bCs/>
          <w:lang w:val="es-ES" w:eastAsia="es-ES"/>
        </w:rPr>
      </w:pPr>
      <w:r w:rsidRPr="00E96366">
        <w:rPr>
          <w:rFonts w:ascii="Verdana" w:eastAsia="Calibri" w:hAnsi="Verdana" w:cs="Arial"/>
          <w:b/>
          <w:bCs/>
          <w:lang w:val="es-ES" w:eastAsia="es-ES"/>
        </w:rPr>
        <w:t>Peticionario Anónimo</w:t>
      </w:r>
    </w:p>
    <w:p w14:paraId="419B3CB9" w14:textId="77777777" w:rsidR="00481562" w:rsidRDefault="00481562" w:rsidP="00481562">
      <w:pPr>
        <w:spacing w:after="0" w:line="240" w:lineRule="auto"/>
        <w:rPr>
          <w:rFonts w:ascii="Verdana" w:eastAsia="Times New Roman" w:hAnsi="Verdana" w:cs="Calibri"/>
          <w:lang w:eastAsia="es-CO"/>
        </w:rPr>
      </w:pPr>
      <w:hyperlink r:id="rId11" w:history="1">
        <w:r w:rsidRPr="005B1EA4">
          <w:rPr>
            <w:rStyle w:val="Hipervnculo"/>
            <w:rFonts w:ascii="Verdana" w:eastAsia="Times New Roman" w:hAnsi="Verdana" w:cs="Calibri"/>
            <w:lang w:eastAsia="es-CO"/>
          </w:rPr>
          <w:t>elasquitar23@hotmail.com</w:t>
        </w:r>
      </w:hyperlink>
    </w:p>
    <w:p w14:paraId="7B756484" w14:textId="77777777" w:rsidR="00481562" w:rsidRPr="005B1EA4" w:rsidRDefault="00481562" w:rsidP="00481562">
      <w:pPr>
        <w:spacing w:after="0" w:line="240" w:lineRule="auto"/>
        <w:rPr>
          <w:rFonts w:ascii="Verdana" w:eastAsia="Times New Roman" w:hAnsi="Verdana" w:cs="Calibri"/>
          <w:lang w:eastAsia="es-CO"/>
        </w:rPr>
      </w:pPr>
      <w:r>
        <w:rPr>
          <w:rFonts w:ascii="Verdana" w:eastAsia="Times New Roman" w:hAnsi="Verdana" w:cs="Calibri"/>
          <w:lang w:eastAsia="es-CO"/>
        </w:rPr>
        <w:t>Ciudad</w:t>
      </w:r>
    </w:p>
    <w:p w14:paraId="619E053A" w14:textId="77777777" w:rsidR="00481562" w:rsidRPr="00E96366" w:rsidRDefault="00481562" w:rsidP="00481562">
      <w:pPr>
        <w:spacing w:after="0" w:line="240" w:lineRule="auto"/>
        <w:rPr>
          <w:rFonts w:ascii="Verdana" w:eastAsia="Calibri" w:hAnsi="Verdana" w:cs="Arial"/>
          <w:b/>
          <w:bCs/>
          <w:lang w:val="es-ES" w:eastAsia="es-ES"/>
        </w:rPr>
      </w:pPr>
    </w:p>
    <w:p w14:paraId="56499439" w14:textId="77777777" w:rsidR="00481562" w:rsidRPr="006733BD" w:rsidRDefault="00481562" w:rsidP="00481562">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481562" w:rsidRPr="006733BD" w14:paraId="64F0E25F" w14:textId="77777777" w:rsidTr="006678BC">
        <w:trPr>
          <w:trHeight w:val="300"/>
        </w:trPr>
        <w:tc>
          <w:tcPr>
            <w:tcW w:w="2410" w:type="dxa"/>
          </w:tcPr>
          <w:p w14:paraId="5FC844A4" w14:textId="77777777" w:rsidR="00481562" w:rsidRPr="00A54BCB" w:rsidRDefault="00481562" w:rsidP="006678BC">
            <w:pPr>
              <w:ind w:left="-142"/>
              <w:jc w:val="both"/>
              <w:rPr>
                <w:rFonts w:ascii="Verdana" w:eastAsia="Calibri" w:hAnsi="Verdana" w:cs="Arial"/>
                <w:b/>
                <w:bCs/>
                <w:lang w:val="es-ES" w:eastAsia="es-ES_tradnl"/>
              </w:rPr>
            </w:pPr>
          </w:p>
        </w:tc>
        <w:tc>
          <w:tcPr>
            <w:tcW w:w="6100" w:type="dxa"/>
          </w:tcPr>
          <w:p w14:paraId="20FE4409" w14:textId="77777777" w:rsidR="00481562" w:rsidRPr="00A54BCB" w:rsidRDefault="00481562" w:rsidP="006678BC">
            <w:pPr>
              <w:ind w:left="3"/>
              <w:jc w:val="both"/>
              <w:rPr>
                <w:rFonts w:ascii="Verdana" w:eastAsia="Calibri" w:hAnsi="Verdana" w:cs="Arial"/>
                <w:b/>
                <w:bCs/>
                <w:lang w:val="es-ES" w:eastAsia="es-ES"/>
              </w:rPr>
            </w:pPr>
            <w:r w:rsidRPr="00A54BCB">
              <w:rPr>
                <w:rFonts w:ascii="Verdana" w:eastAsia="Calibri" w:hAnsi="Verdana" w:cs="Arial"/>
                <w:b/>
                <w:bCs/>
                <w:lang w:val="es-ES" w:eastAsia="es-ES"/>
              </w:rPr>
              <w:t>Concepto C-</w:t>
            </w:r>
            <w:r>
              <w:rPr>
                <w:rFonts w:ascii="Verdana" w:eastAsia="Calibri" w:hAnsi="Verdana" w:cs="Arial"/>
                <w:b/>
                <w:bCs/>
                <w:lang w:val="es-ES" w:eastAsia="es-ES"/>
              </w:rPr>
              <w:t>362</w:t>
            </w:r>
            <w:r w:rsidRPr="00A54BCB">
              <w:rPr>
                <w:rFonts w:ascii="Verdana" w:eastAsia="Calibri" w:hAnsi="Verdana" w:cs="Arial"/>
                <w:b/>
                <w:bCs/>
                <w:lang w:val="es-ES" w:eastAsia="es-ES"/>
              </w:rPr>
              <w:t xml:space="preserve"> de 202</w:t>
            </w:r>
            <w:r>
              <w:rPr>
                <w:rFonts w:ascii="Verdana" w:eastAsia="Calibri" w:hAnsi="Verdana" w:cs="Arial"/>
                <w:b/>
                <w:bCs/>
                <w:lang w:val="es-ES" w:eastAsia="es-ES"/>
              </w:rPr>
              <w:t>6</w:t>
            </w:r>
          </w:p>
          <w:p w14:paraId="5584DBCB" w14:textId="77777777" w:rsidR="00481562" w:rsidRPr="00A54BCB" w:rsidRDefault="00481562" w:rsidP="006678BC">
            <w:pPr>
              <w:ind w:left="3"/>
              <w:jc w:val="both"/>
              <w:rPr>
                <w:rFonts w:ascii="Verdana" w:eastAsia="Calibri" w:hAnsi="Verdana" w:cs="Arial"/>
                <w:b/>
                <w:bCs/>
                <w:lang w:val="es-ES" w:eastAsia="es-ES"/>
              </w:rPr>
            </w:pPr>
          </w:p>
        </w:tc>
      </w:tr>
      <w:tr w:rsidR="00481562" w:rsidRPr="006733BD" w14:paraId="49E302A8" w14:textId="77777777" w:rsidTr="006678BC">
        <w:trPr>
          <w:trHeight w:val="300"/>
        </w:trPr>
        <w:tc>
          <w:tcPr>
            <w:tcW w:w="2410" w:type="dxa"/>
          </w:tcPr>
          <w:p w14:paraId="0829385F" w14:textId="77777777" w:rsidR="00481562" w:rsidRPr="006733BD" w:rsidRDefault="00481562" w:rsidP="006678BC">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tcPr>
          <w:p w14:paraId="30645088" w14:textId="77777777" w:rsidR="00481562" w:rsidRDefault="00481562" w:rsidP="006678BC">
            <w:pPr>
              <w:spacing w:line="276" w:lineRule="auto"/>
              <w:jc w:val="both"/>
              <w:rPr>
                <w:rFonts w:ascii="Verdana" w:eastAsia="Calibri" w:hAnsi="Verdana" w:cs="Arial"/>
                <w:lang w:val="es-MX"/>
              </w:rPr>
            </w:pPr>
            <w:r w:rsidRPr="00E631A9">
              <w:rPr>
                <w:rFonts w:ascii="Verdana" w:eastAsia="Calibri" w:hAnsi="Verdana" w:cs="Arial"/>
                <w:lang w:val="es-ES" w:eastAsia="es-ES"/>
              </w:rPr>
              <w:t>LEY DE GARANTÍAS ELECTORALES ─ Definición ─ Finalidad ─ Restricciones ─ Destinatarios / LEY DE GARANTÍAS ELECTORALES ─ Prohibición ─ Contratación Directa ─ Alcance ─ Excepciones / LEY DE GARANTÍAS ELECTORALES ─ Prohibición ─</w:t>
            </w:r>
            <w:r>
              <w:rPr>
                <w:rFonts w:ascii="Verdana" w:eastAsia="Calibri" w:hAnsi="Verdana" w:cs="Arial"/>
                <w:lang w:val="es-ES" w:eastAsia="es-ES"/>
              </w:rPr>
              <w:t xml:space="preserve"> Convenios interadministrativos</w:t>
            </w:r>
            <w:r w:rsidRPr="00784FB9">
              <w:rPr>
                <w:rFonts w:ascii="Verdana" w:eastAsia="Calibri" w:hAnsi="Verdana" w:cs="Arial"/>
                <w:lang w:val="es-ES" w:eastAsia="es-ES"/>
              </w:rPr>
              <w:t xml:space="preserve"> </w:t>
            </w:r>
            <w:r w:rsidRPr="00E631A9">
              <w:rPr>
                <w:rFonts w:ascii="Verdana" w:eastAsia="Calibri" w:hAnsi="Verdana" w:cs="Arial"/>
                <w:lang w:val="es-ES" w:eastAsia="es-ES"/>
              </w:rPr>
              <w:t>─</w:t>
            </w:r>
            <w:r>
              <w:rPr>
                <w:rFonts w:ascii="Verdana" w:eastAsia="Calibri" w:hAnsi="Verdana" w:cs="Arial"/>
                <w:lang w:val="es-ES" w:eastAsia="es-ES"/>
              </w:rPr>
              <w:t xml:space="preserve"> </w:t>
            </w:r>
            <w:r>
              <w:rPr>
                <w:rFonts w:ascii="Verdana" w:eastAsia="Calibri" w:hAnsi="Verdana" w:cs="Arial"/>
                <w:lang w:val="es-MX"/>
              </w:rPr>
              <w:t xml:space="preserve">Excepciones – Convenios a título gratuito </w:t>
            </w:r>
          </w:p>
          <w:p w14:paraId="137237D8" w14:textId="77777777" w:rsidR="00481562" w:rsidRPr="00B21846" w:rsidRDefault="00481562" w:rsidP="006678BC">
            <w:pPr>
              <w:spacing w:line="276" w:lineRule="auto"/>
              <w:jc w:val="both"/>
              <w:rPr>
                <w:rFonts w:ascii="Verdana" w:eastAsia="Calibri" w:hAnsi="Verdana" w:cs="Arial"/>
                <w:lang w:val="es-ES" w:eastAsia="es-ES"/>
              </w:rPr>
            </w:pPr>
          </w:p>
          <w:p w14:paraId="1FD5030E" w14:textId="77777777" w:rsidR="00481562" w:rsidRPr="008F679F" w:rsidRDefault="00481562" w:rsidP="006678BC">
            <w:pPr>
              <w:tabs>
                <w:tab w:val="left" w:pos="3374"/>
              </w:tabs>
              <w:jc w:val="both"/>
              <w:rPr>
                <w:rFonts w:ascii="Verdana" w:eastAsia="Calibri" w:hAnsi="Verdana" w:cs="Arial"/>
                <w:color w:val="ED7D31" w:themeColor="accent2"/>
                <w:lang w:val="es-ES"/>
              </w:rPr>
            </w:pPr>
          </w:p>
        </w:tc>
      </w:tr>
      <w:tr w:rsidR="00481562" w:rsidRPr="00C5490E" w14:paraId="7D2CD77D" w14:textId="77777777" w:rsidTr="006678BC">
        <w:tc>
          <w:tcPr>
            <w:tcW w:w="2410" w:type="dxa"/>
          </w:tcPr>
          <w:p w14:paraId="24E9C751" w14:textId="77777777" w:rsidR="00481562" w:rsidRPr="006733BD" w:rsidRDefault="00481562" w:rsidP="006678BC">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100" w:type="dxa"/>
          </w:tcPr>
          <w:p w14:paraId="37903190" w14:textId="77777777" w:rsidR="00481562" w:rsidRPr="00B21846" w:rsidRDefault="00481562" w:rsidP="006678BC">
            <w:pPr>
              <w:ind w:left="3"/>
              <w:jc w:val="both"/>
              <w:rPr>
                <w:rFonts w:ascii="Verdana" w:hAnsi="Verdana"/>
                <w:lang w:val="es-ES"/>
              </w:rPr>
            </w:pPr>
            <w:r w:rsidRPr="00C5490E">
              <w:rPr>
                <w:rFonts w:ascii="Verdana" w:eastAsia="Calibri" w:hAnsi="Verdana" w:cs="Arial"/>
                <w:lang w:val="es-ES" w:eastAsia="es-ES"/>
              </w:rPr>
              <w:t xml:space="preserve">Respuesta a consulta con radicado No. </w:t>
            </w:r>
            <w:r>
              <w:rPr>
                <w:rFonts w:ascii="Verdana" w:hAnsi="Verdana" w:cs="Calibri"/>
                <w:color w:val="000000"/>
              </w:rPr>
              <w:t>1_2026_03_05_003074</w:t>
            </w:r>
          </w:p>
          <w:p w14:paraId="31CA3190" w14:textId="77777777" w:rsidR="00481562" w:rsidRPr="00E7030A" w:rsidRDefault="00481562" w:rsidP="006678BC">
            <w:pPr>
              <w:jc w:val="both"/>
              <w:rPr>
                <w:rFonts w:ascii="Verdana" w:hAnsi="Verdana"/>
                <w:lang w:val="es-ES"/>
              </w:rPr>
            </w:pPr>
          </w:p>
          <w:p w14:paraId="34DC2965" w14:textId="77777777" w:rsidR="00481562" w:rsidRPr="00C5490E" w:rsidRDefault="00481562" w:rsidP="006678BC">
            <w:pPr>
              <w:ind w:left="3"/>
              <w:jc w:val="both"/>
              <w:rPr>
                <w:rFonts w:ascii="Verdana" w:hAnsi="Verdana"/>
                <w:lang w:val="es-ES"/>
              </w:rPr>
            </w:pPr>
          </w:p>
        </w:tc>
      </w:tr>
    </w:tbl>
    <w:p w14:paraId="3C53C169" w14:textId="77777777" w:rsidR="00481562" w:rsidRPr="00C5490E" w:rsidRDefault="00481562" w:rsidP="00481562">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w:t>
      </w:r>
      <w:r>
        <w:rPr>
          <w:rFonts w:ascii="Verdana" w:eastAsia="Calibri" w:hAnsi="Verdana" w:cs="Arial"/>
          <w:lang w:val="es-ES" w:eastAsia="es-ES"/>
        </w:rPr>
        <w:t>es</w:t>
      </w:r>
      <w:r w:rsidRPr="00C5490E">
        <w:rPr>
          <w:rFonts w:ascii="Verdana" w:eastAsia="Calibri" w:hAnsi="Verdana" w:cs="Arial"/>
          <w:lang w:val="es-ES" w:eastAsia="es-ES"/>
        </w:rPr>
        <w:t>,</w:t>
      </w:r>
    </w:p>
    <w:p w14:paraId="742F9B4E" w14:textId="77777777" w:rsidR="00481562" w:rsidRPr="00C5490E" w:rsidRDefault="00481562" w:rsidP="00481562">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6165E816" w14:textId="77777777" w:rsidR="00481562" w:rsidRDefault="00481562" w:rsidP="00481562">
      <w:pPr>
        <w:spacing w:after="0" w:line="276" w:lineRule="auto"/>
        <w:jc w:val="both"/>
        <w:rPr>
          <w:rFonts w:ascii="Verdana" w:eastAsia="Calibri" w:hAnsi="Verdana" w:cs="Arial"/>
          <w:lang w:val="es-ES" w:eastAsia="es-ES"/>
        </w:rPr>
      </w:pPr>
      <w:r w:rsidRPr="00852F26">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Pr>
          <w:rFonts w:ascii="Verdana" w:eastAsia="Calibri" w:hAnsi="Verdana" w:cs="Arial"/>
          <w:lang w:val="es-ES" w:eastAsia="es-ES"/>
        </w:rPr>
        <w:t>5</w:t>
      </w:r>
      <w:r w:rsidRPr="00852F26">
        <w:rPr>
          <w:rFonts w:ascii="Verdana" w:eastAsia="Calibri" w:hAnsi="Verdana" w:cs="Arial"/>
          <w:lang w:val="es-ES" w:eastAsia="es-ES"/>
        </w:rPr>
        <w:t xml:space="preserve"> de </w:t>
      </w:r>
      <w:r>
        <w:rPr>
          <w:rFonts w:ascii="Verdana" w:eastAsia="Calibri" w:hAnsi="Verdana" w:cs="Arial"/>
          <w:lang w:val="es-ES" w:eastAsia="es-ES"/>
        </w:rPr>
        <w:t>Marzo</w:t>
      </w:r>
      <w:r w:rsidRPr="00852F26">
        <w:rPr>
          <w:rFonts w:ascii="Verdana" w:eastAsia="Calibri" w:hAnsi="Verdana" w:cs="Arial"/>
          <w:lang w:val="es-ES" w:eastAsia="es-ES"/>
        </w:rPr>
        <w:t xml:space="preserve"> de 2026, en la cual manifiesta lo siguiente:</w:t>
      </w:r>
    </w:p>
    <w:p w14:paraId="1D856B70" w14:textId="77777777" w:rsidR="00481562" w:rsidRPr="007C62E7" w:rsidRDefault="00481562" w:rsidP="00481562">
      <w:pPr>
        <w:spacing w:after="0" w:line="276" w:lineRule="auto"/>
        <w:jc w:val="both"/>
        <w:rPr>
          <w:rFonts w:ascii="Verdana" w:eastAsia="Calibri" w:hAnsi="Verdana" w:cs="Arial"/>
          <w:lang w:val="es-ES" w:eastAsia="es-ES"/>
        </w:rPr>
      </w:pPr>
    </w:p>
    <w:p w14:paraId="22775A31" w14:textId="77777777" w:rsidR="00481562" w:rsidRPr="00210689" w:rsidRDefault="00481562" w:rsidP="00481562">
      <w:pPr>
        <w:spacing w:after="0" w:line="300" w:lineRule="auto"/>
        <w:ind w:left="737" w:right="737"/>
        <w:jc w:val="both"/>
        <w:rPr>
          <w:rFonts w:ascii="Verdana" w:eastAsia="Century Gothic" w:hAnsi="Verdana" w:cs="Century Gothic"/>
          <w:i/>
          <w:iCs/>
          <w:sz w:val="20"/>
          <w:szCs w:val="20"/>
          <w:lang w:val="es-ES"/>
        </w:rPr>
      </w:pPr>
      <w:r>
        <w:rPr>
          <w:rFonts w:ascii="Verdana" w:eastAsia="Century Gothic" w:hAnsi="Verdana" w:cs="Century Gothic"/>
          <w:i/>
          <w:iCs/>
          <w:sz w:val="20"/>
          <w:szCs w:val="20"/>
          <w:lang w:val="es-ES"/>
        </w:rPr>
        <w:t>“</w:t>
      </w:r>
      <w:r w:rsidRPr="00210689">
        <w:rPr>
          <w:rFonts w:ascii="Verdana" w:eastAsia="Century Gothic" w:hAnsi="Verdana" w:cs="Century Gothic"/>
          <w:i/>
          <w:iCs/>
          <w:sz w:val="20"/>
          <w:szCs w:val="20"/>
          <w:lang w:val="es-ES"/>
        </w:rPr>
        <w:t>UNA ENTIDAD ESTATAL PUEDE SUSCRIBIR UN CONVENIO INTERADMNISTRATIVO A TITULO GRATUITO EN EL PERIODO RESTRICCION</w:t>
      </w:r>
      <w:r>
        <w:rPr>
          <w:rFonts w:ascii="Verdana" w:eastAsia="Century Gothic" w:hAnsi="Verdana" w:cs="Century Gothic"/>
          <w:i/>
          <w:iCs/>
          <w:sz w:val="20"/>
          <w:szCs w:val="20"/>
          <w:lang w:val="es-ES"/>
        </w:rPr>
        <w:t xml:space="preserve"> </w:t>
      </w:r>
      <w:r w:rsidRPr="00210689">
        <w:rPr>
          <w:rFonts w:ascii="Verdana" w:eastAsia="Century Gothic" w:hAnsi="Verdana" w:cs="Century Gothic"/>
          <w:i/>
          <w:iCs/>
          <w:sz w:val="20"/>
          <w:szCs w:val="20"/>
          <w:lang w:val="es-ES"/>
        </w:rPr>
        <w:t xml:space="preserve">ELECCIONES PRESIDENCIALES </w:t>
      </w:r>
      <w:proofErr w:type="gramStart"/>
      <w:r w:rsidRPr="00210689">
        <w:rPr>
          <w:rFonts w:ascii="Verdana" w:eastAsia="Century Gothic" w:hAnsi="Verdana" w:cs="Century Gothic"/>
          <w:i/>
          <w:iCs/>
          <w:sz w:val="20"/>
          <w:szCs w:val="20"/>
          <w:lang w:val="es-ES"/>
        </w:rPr>
        <w:t>DE ACUERDO A</w:t>
      </w:r>
      <w:proofErr w:type="gramEnd"/>
      <w:r w:rsidRPr="00210689">
        <w:rPr>
          <w:rFonts w:ascii="Verdana" w:eastAsia="Century Gothic" w:hAnsi="Verdana" w:cs="Century Gothic"/>
          <w:i/>
          <w:iCs/>
          <w:sz w:val="20"/>
          <w:szCs w:val="20"/>
          <w:lang w:val="es-ES"/>
        </w:rPr>
        <w:t xml:space="preserve"> LO ESTABELCIDO EN EL ARTICULO 33 DE LA LEY 996 DEL 2005.</w:t>
      </w:r>
      <w:r>
        <w:rPr>
          <w:rFonts w:ascii="Verdana" w:eastAsia="Century Gothic" w:hAnsi="Verdana" w:cs="Century Gothic"/>
          <w:i/>
          <w:iCs/>
          <w:sz w:val="20"/>
          <w:szCs w:val="20"/>
          <w:lang w:val="es-ES"/>
        </w:rPr>
        <w:t>”</w:t>
      </w:r>
    </w:p>
    <w:p w14:paraId="57CBCD9C" w14:textId="77777777" w:rsidR="00481562" w:rsidRDefault="00481562" w:rsidP="00481562">
      <w:pPr>
        <w:spacing w:after="120" w:line="276" w:lineRule="auto"/>
        <w:jc w:val="both"/>
        <w:rPr>
          <w:rFonts w:ascii="Verdana" w:eastAsia="Calibri" w:hAnsi="Verdana" w:cs="Arial"/>
          <w:lang w:val="es-ES" w:eastAsia="es-ES"/>
        </w:rPr>
      </w:pPr>
    </w:p>
    <w:p w14:paraId="409BC246" w14:textId="77777777" w:rsidR="00481562" w:rsidRPr="00CD496A" w:rsidRDefault="00481562" w:rsidP="00481562">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3278C0C9" w14:textId="77777777" w:rsidR="00481562" w:rsidRPr="00CD496A" w:rsidRDefault="00481562" w:rsidP="00481562">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el</w:t>
      </w:r>
      <w:r w:rsidRPr="00CD496A">
        <w:rPr>
          <w:rFonts w:ascii="Verdana" w:eastAsia="Calibri" w:hAnsi="Verdana" w:cs="Arial"/>
          <w:lang w:val="es-ES" w:eastAsia="es-ES"/>
        </w:rPr>
        <w:t xml:space="preserve"> problema jurídico de su consulta. </w:t>
      </w:r>
    </w:p>
    <w:p w14:paraId="5D88B230" w14:textId="77777777" w:rsidR="00481562" w:rsidRPr="00CD496A" w:rsidRDefault="00481562" w:rsidP="00481562">
      <w:pPr>
        <w:spacing w:after="0" w:line="276" w:lineRule="auto"/>
        <w:jc w:val="both"/>
        <w:rPr>
          <w:rFonts w:ascii="Verdana" w:eastAsia="Calibri" w:hAnsi="Verdana" w:cs="Arial"/>
          <w:lang w:val="es-ES" w:eastAsia="es-ES"/>
        </w:rPr>
      </w:pPr>
    </w:p>
    <w:p w14:paraId="6028CD1A" w14:textId="77777777" w:rsidR="00481562" w:rsidRDefault="00481562" w:rsidP="00481562">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w:t>
      </w:r>
      <w:r>
        <w:rPr>
          <w:rFonts w:ascii="Verdana" w:eastAsia="Century Gothic" w:hAnsi="Verdana" w:cs="Century Gothic"/>
          <w:b/>
          <w:lang w:val="es-ES"/>
        </w:rPr>
        <w:t xml:space="preserve">s </w:t>
      </w:r>
      <w:r w:rsidRPr="00CD496A">
        <w:rPr>
          <w:rFonts w:ascii="Verdana" w:eastAsia="Century Gothic" w:hAnsi="Verdana" w:cs="Century Gothic"/>
          <w:b/>
          <w:lang w:val="es-ES"/>
        </w:rPr>
        <w:t>planteado</w:t>
      </w:r>
      <w:r>
        <w:rPr>
          <w:rFonts w:ascii="Verdana" w:eastAsia="Century Gothic" w:hAnsi="Verdana" w:cs="Century Gothic"/>
          <w:b/>
          <w:lang w:val="es-ES"/>
        </w:rPr>
        <w:t>s</w:t>
      </w:r>
      <w:r w:rsidRPr="00CD496A">
        <w:rPr>
          <w:rFonts w:ascii="Verdana" w:eastAsia="Century Gothic" w:hAnsi="Verdana" w:cs="Century Gothic"/>
          <w:b/>
          <w:lang w:val="es-ES"/>
        </w:rPr>
        <w:t>:</w:t>
      </w:r>
    </w:p>
    <w:p w14:paraId="18514D58" w14:textId="77777777" w:rsidR="00481562" w:rsidRPr="00884371" w:rsidRDefault="00481562" w:rsidP="00481562">
      <w:pPr>
        <w:tabs>
          <w:tab w:val="left" w:pos="142"/>
          <w:tab w:val="left" w:pos="284"/>
        </w:tabs>
        <w:spacing w:after="0" w:line="276" w:lineRule="auto"/>
        <w:contextualSpacing/>
        <w:jc w:val="both"/>
        <w:rPr>
          <w:rFonts w:ascii="Verdana" w:eastAsia="Century Gothic" w:hAnsi="Verdana" w:cs="Century Gothic"/>
          <w:b/>
          <w:lang w:val="es-ES"/>
        </w:rPr>
      </w:pPr>
    </w:p>
    <w:p w14:paraId="0210D5DB" w14:textId="77777777" w:rsidR="00481562" w:rsidRDefault="00481562" w:rsidP="00481562">
      <w:pPr>
        <w:spacing w:after="0" w:line="276" w:lineRule="auto"/>
        <w:jc w:val="both"/>
        <w:rPr>
          <w:rFonts w:ascii="Verdana" w:eastAsia="Century Gothic" w:hAnsi="Verdana" w:cs="Century Gothic"/>
        </w:rPr>
      </w:pPr>
      <w:r>
        <w:rPr>
          <w:rFonts w:ascii="Verdana" w:eastAsia="Century Gothic" w:hAnsi="Verdana" w:cs="Century Gothic"/>
        </w:rPr>
        <w:t>De acuerdo con el contenido de su solicitud, esta Agencia resolverá el siguiente problema jurídicos: i)</w:t>
      </w:r>
      <w:r w:rsidRPr="004E5F4D">
        <w:rPr>
          <w:rFonts w:ascii="Verdana" w:eastAsia="Century Gothic" w:hAnsi="Verdana" w:cs="Century Gothic"/>
        </w:rPr>
        <w:t xml:space="preserve"> </w:t>
      </w:r>
      <w:r w:rsidRPr="00220B45">
        <w:rPr>
          <w:rFonts w:ascii="Verdana" w:eastAsia="Century Gothic" w:hAnsi="Verdana" w:cs="Century Gothic"/>
        </w:rPr>
        <w:t>¿Es jurídicamente viable que una entidad estatal suscriba un convenio interadministrativo a título gratuito durante el periodo de restricción previo a las elecciones presidenciales, conforme a lo dispuesto en el artículo 33 de la Ley 996 de 2005?</w:t>
      </w:r>
    </w:p>
    <w:p w14:paraId="5AE8DE77" w14:textId="77777777" w:rsidR="00481562" w:rsidRDefault="00481562" w:rsidP="00481562">
      <w:pPr>
        <w:spacing w:after="0" w:line="276" w:lineRule="auto"/>
        <w:jc w:val="both"/>
        <w:rPr>
          <w:rFonts w:ascii="Verdana" w:eastAsia="Century Gothic" w:hAnsi="Verdana" w:cs="Century Gothic"/>
        </w:rPr>
      </w:pPr>
    </w:p>
    <w:p w14:paraId="32AB6602" w14:textId="77777777" w:rsidR="00481562" w:rsidRPr="006733BD" w:rsidRDefault="00481562" w:rsidP="00481562">
      <w:pPr>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t>2. Respuesta:</w:t>
      </w:r>
    </w:p>
    <w:p w14:paraId="74751EFC" w14:textId="77777777" w:rsidR="00481562" w:rsidRPr="006733BD" w:rsidRDefault="00481562" w:rsidP="00481562">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81562" w:rsidRPr="006733BD" w14:paraId="33703843" w14:textId="77777777" w:rsidTr="006678BC">
        <w:tc>
          <w:tcPr>
            <w:tcW w:w="8828" w:type="dxa"/>
          </w:tcPr>
          <w:p w14:paraId="4C329598" w14:textId="77777777" w:rsidR="00481562" w:rsidRDefault="00481562" w:rsidP="006678BC">
            <w:pPr>
              <w:spacing w:before="120" w:after="120" w:line="276" w:lineRule="auto"/>
              <w:jc w:val="both"/>
              <w:rPr>
                <w:rFonts w:ascii="Verdana" w:eastAsia="Arial" w:hAnsi="Verdana" w:cs="Arial"/>
                <w:lang w:eastAsia="es-ES" w:bidi="es-ES"/>
              </w:rPr>
            </w:pPr>
            <w:r>
              <w:rPr>
                <w:rFonts w:ascii="Verdana" w:eastAsia="Calibri" w:hAnsi="Verdana" w:cs="Arial"/>
              </w:rPr>
              <w:t>L</w:t>
            </w:r>
            <w:r w:rsidRPr="00E7122C">
              <w:rPr>
                <w:rFonts w:ascii="Verdana" w:eastAsia="Calibri" w:hAnsi="Verdana" w:cs="Arial"/>
              </w:rPr>
              <w:t>a Ley 996 de 2005</w:t>
            </w:r>
            <w:r>
              <w:rPr>
                <w:rFonts w:ascii="Verdana" w:eastAsia="Calibri" w:hAnsi="Verdana" w:cs="Arial"/>
              </w:rPr>
              <w:t xml:space="preserve"> también conocida como </w:t>
            </w:r>
            <w:r w:rsidRPr="005148BF">
              <w:rPr>
                <w:rFonts w:ascii="Verdana" w:eastAsia="Century Gothic" w:hAnsi="Verdana" w:cs="Century Gothic"/>
              </w:rPr>
              <w:t>Ley de Garantías Electorales</w:t>
            </w:r>
            <w:r w:rsidRPr="00E7122C">
              <w:rPr>
                <w:rFonts w:ascii="Verdana" w:eastAsia="Calibri" w:hAnsi="Verdana" w:cs="Arial"/>
              </w:rPr>
              <w:t xml:space="preserve"> establece </w:t>
            </w:r>
            <w:r>
              <w:rPr>
                <w:rFonts w:ascii="Verdana" w:eastAsia="Calibri" w:hAnsi="Verdana" w:cs="Arial"/>
              </w:rPr>
              <w:t xml:space="preserve">dos </w:t>
            </w:r>
            <w:r w:rsidRPr="00E7122C">
              <w:rPr>
                <w:rFonts w:ascii="Verdana" w:eastAsia="Calibri" w:hAnsi="Verdana" w:cs="Arial"/>
              </w:rPr>
              <w:t xml:space="preserve">restricciones </w:t>
            </w:r>
            <w:r>
              <w:rPr>
                <w:rFonts w:ascii="Verdana" w:eastAsia="Calibri" w:hAnsi="Verdana" w:cs="Arial"/>
              </w:rPr>
              <w:t>en particular</w:t>
            </w:r>
            <w:r w:rsidRPr="00E7122C">
              <w:rPr>
                <w:rFonts w:ascii="Verdana" w:eastAsia="Calibri" w:hAnsi="Verdana" w:cs="Arial"/>
              </w:rPr>
              <w:t xml:space="preserve"> la </w:t>
            </w:r>
            <w:r w:rsidRPr="00215BCE">
              <w:rPr>
                <w:rFonts w:ascii="Verdana" w:eastAsia="Calibri" w:hAnsi="Verdana" w:cs="Arial"/>
              </w:rPr>
              <w:t>contratación estatal.</w:t>
            </w:r>
            <w:r>
              <w:rPr>
                <w:rFonts w:ascii="Verdana" w:eastAsia="Calibri" w:hAnsi="Verdana" w:cs="Arial"/>
              </w:rPr>
              <w:t xml:space="preserve"> </w:t>
            </w:r>
            <w:r>
              <w:rPr>
                <w:rFonts w:ascii="Verdana" w:eastAsia="Calibri" w:hAnsi="Verdana" w:cs="Arial"/>
                <w:lang w:val="es-ES"/>
              </w:rPr>
              <w:t>Por un lado</w:t>
            </w:r>
            <w:r w:rsidRPr="00215BCE">
              <w:rPr>
                <w:rFonts w:ascii="Verdana" w:eastAsia="Calibri" w:hAnsi="Verdana" w:cs="Arial"/>
                <w:lang w:val="es-ES"/>
              </w:rPr>
              <w:t xml:space="preserve">, </w:t>
            </w:r>
            <w:r w:rsidRPr="00215BCE">
              <w:rPr>
                <w:rFonts w:ascii="Verdana" w:eastAsia="Calibri" w:hAnsi="Verdana" w:cs="Arial"/>
              </w:rPr>
              <w:t xml:space="preserve">el artículo 33 de la Ley 996 de 2005 prohíbe la contratación directa por parte de todos los entes del Estado durante los cuatro (4) meses anteriores a la elección presidencial, salvo lo referente con la defensa y seguridad del Estado, los contratos de crédito público, aquellos necesarios para atender emergencias educativas, sanitarias o desastres, así como, los destinados a la reconstrucción de vías, puentes, carreteras e infraestructura energética y de comunicaciones cuando estas hayan sido afectadas por atentados, acciones terroristas, </w:t>
            </w:r>
            <w:r w:rsidRPr="00215BCE">
              <w:rPr>
                <w:rFonts w:ascii="Verdana" w:eastAsia="Calibri" w:hAnsi="Verdana" w:cs="Arial"/>
              </w:rPr>
              <w:lastRenderedPageBreak/>
              <w:t>desastres naturales o eventos de fuerza mayor, y los que deban celebrar las entidades sanitarias y hospitalarias.</w:t>
            </w:r>
            <w:r>
              <w:rPr>
                <w:rFonts w:ascii="Verdana" w:eastAsia="Calibri" w:hAnsi="Verdana" w:cs="Arial"/>
                <w:lang w:val="es-ES"/>
              </w:rPr>
              <w:t xml:space="preserve"> De otra parte</w:t>
            </w:r>
            <w:r w:rsidRPr="00215BCE">
              <w:rPr>
                <w:rFonts w:ascii="Verdana" w:eastAsia="Arial" w:hAnsi="Verdana" w:cs="Arial"/>
                <w:lang w:eastAsia="es-ES" w:bidi="es-ES"/>
              </w:rPr>
              <w:t>, el parágrafo del artículo 38 de la Ley 996 de 2005 consagra una restricción aplicable a cualquier tipo de contienda electoral, en virtud de la cual se prohíbe a los gobernadores, alcaldes municipales o distritales, secretarios, gerentes y directores de entidades descentralizadas del orden municipal, departamental o distrital, celebrar convenios interadministrativos para la ejecución de recursos públicos, así como participar, promover o destinar recursos públicos de las entidades a su cargo o de aquellas en las que intervengan como miembros de juntas directivas a reuniones de carácter proselitista.</w:t>
            </w:r>
          </w:p>
          <w:p w14:paraId="4BA1BF5C" w14:textId="77777777" w:rsidR="00481562" w:rsidRDefault="00481562" w:rsidP="006678BC">
            <w:pPr>
              <w:spacing w:before="120" w:after="120" w:line="276" w:lineRule="auto"/>
              <w:ind w:firstLine="708"/>
              <w:jc w:val="both"/>
              <w:rPr>
                <w:rFonts w:ascii="Verdana" w:eastAsia="Arial" w:hAnsi="Verdana" w:cs="Arial"/>
                <w:lang w:eastAsia="es-ES" w:bidi="es-ES"/>
              </w:rPr>
            </w:pPr>
            <w:r>
              <w:rPr>
                <w:rFonts w:ascii="Verdana" w:eastAsia="Arial" w:hAnsi="Verdana" w:cs="Arial"/>
                <w:lang w:eastAsia="es-ES" w:bidi="es-ES"/>
              </w:rPr>
              <w:t xml:space="preserve">De esta manera, es importante tener en cuenta que, el ámbito temporal de las restricciones establecidas en </w:t>
            </w:r>
            <w:proofErr w:type="gramStart"/>
            <w:r>
              <w:rPr>
                <w:rFonts w:ascii="Verdana" w:eastAsia="Arial" w:hAnsi="Verdana" w:cs="Arial"/>
                <w:lang w:eastAsia="es-ES" w:bidi="es-ES"/>
              </w:rPr>
              <w:t>la  Ley</w:t>
            </w:r>
            <w:proofErr w:type="gramEnd"/>
            <w:r>
              <w:rPr>
                <w:rFonts w:ascii="Verdana" w:eastAsia="Arial" w:hAnsi="Verdana" w:cs="Arial"/>
                <w:lang w:eastAsia="es-ES" w:bidi="es-ES"/>
              </w:rPr>
              <w:t xml:space="preserve"> de Garantías Electorales en materia de contratación estatal siempre es el mismo en periodos preelectorales de las elecciones presidenciales, ya que rigen ambas restricciones durante los 4 meses previos a los comicios. Sin embargo, tratándose de como elecciones parlamentarias o mandatarios locales, rige la restricción del parágrafo del artículo 38. En atención a esto, cuando el calendario electoral contempla elecciones parlamentarias, seguidas de elecciones presidenciales, como en el 2026, las restricciones entran a regir en momentos distintos. Es por esto por lo que, en el escenario actual y reciente, mientras que la restricción del artículo 38 comenzó a regir desde el pasado 8 de noviembre de 2025, la del artículo 33 solo entra regir a partir del 31 de enero de 2026, extendiéndose ambas hasta el 31 de mayo de 2026 o hasta el 21 de junio de 2026, en caso de requerirse segunda vuelta en la contienda presidencial.     </w:t>
            </w:r>
          </w:p>
          <w:p w14:paraId="17370FC8" w14:textId="77777777" w:rsidR="00481562" w:rsidRDefault="00481562" w:rsidP="006678BC">
            <w:pPr>
              <w:spacing w:before="120" w:after="120" w:line="276" w:lineRule="auto"/>
              <w:ind w:firstLine="708"/>
              <w:jc w:val="both"/>
              <w:rPr>
                <w:rFonts w:ascii="Verdana" w:eastAsia="Times New Roman" w:hAnsi="Verdana" w:cs="Arial"/>
                <w:lang w:eastAsia="es-CO"/>
              </w:rPr>
            </w:pPr>
            <w:r w:rsidRPr="00FE74C4">
              <w:rPr>
                <w:rFonts w:ascii="Verdana" w:eastAsia="Times New Roman" w:hAnsi="Verdana" w:cs="Arial"/>
                <w:bCs/>
                <w:lang w:eastAsia="es-CO"/>
              </w:rPr>
              <w:t>Precisado lo anterior, para dar respuesta al problema jurídico planteado,</w:t>
            </w:r>
            <w:r>
              <w:rPr>
                <w:rFonts w:ascii="Verdana" w:eastAsia="Times New Roman" w:hAnsi="Verdana" w:cs="Arial"/>
                <w:bCs/>
                <w:lang w:eastAsia="es-CO"/>
              </w:rPr>
              <w:t xml:space="preserve"> </w:t>
            </w:r>
            <w:r w:rsidRPr="00215BCE">
              <w:rPr>
                <w:rFonts w:ascii="Verdana" w:eastAsia="Times New Roman" w:hAnsi="Verdana" w:cs="Arial"/>
                <w:bCs/>
                <w:lang w:eastAsia="es-CO"/>
              </w:rPr>
              <w:t>es importante tener en cuenta</w:t>
            </w:r>
            <w:r>
              <w:rPr>
                <w:rFonts w:ascii="Verdana" w:eastAsia="Times New Roman" w:hAnsi="Verdana" w:cs="Arial"/>
                <w:bCs/>
                <w:lang w:eastAsia="es-CO"/>
              </w:rPr>
              <w:t xml:space="preserve"> que, conforme explica </w:t>
            </w:r>
            <w:r w:rsidRPr="00215BCE">
              <w:rPr>
                <w:rFonts w:ascii="Verdana" w:eastAsia="Times New Roman" w:hAnsi="Verdana" w:cs="Arial"/>
                <w:bCs/>
                <w:lang w:eastAsia="es-CO"/>
              </w:rPr>
              <w:t>la</w:t>
            </w:r>
            <w:r w:rsidRPr="00215BCE">
              <w:rPr>
                <w:rFonts w:ascii="Verdana" w:hAnsi="Verdana" w:cs="Arial"/>
                <w:lang w:val="es-ES_tradnl"/>
              </w:rPr>
              <w:t xml:space="preserve"> Circular Externa No. 006 de 2025</w:t>
            </w:r>
            <w:r>
              <w:rPr>
                <w:rFonts w:ascii="Verdana" w:hAnsi="Verdana" w:cs="Arial"/>
                <w:lang w:val="es-ES_tradnl"/>
              </w:rPr>
              <w:t>,</w:t>
            </w:r>
            <w:r w:rsidRPr="00215BCE">
              <w:rPr>
                <w:rFonts w:ascii="Verdana" w:hAnsi="Verdana" w:cs="Arial"/>
                <w:lang w:val="es-ES_tradnl"/>
              </w:rPr>
              <w:t xml:space="preserve"> expedida por la ANCP-CCE, en sus literales </w:t>
            </w:r>
            <w:proofErr w:type="spellStart"/>
            <w:r w:rsidRPr="00215BCE">
              <w:rPr>
                <w:rFonts w:ascii="Verdana" w:hAnsi="Verdana" w:cs="Arial"/>
                <w:lang w:val="es-ES_tradnl"/>
              </w:rPr>
              <w:t>ii</w:t>
            </w:r>
            <w:proofErr w:type="spellEnd"/>
            <w:r w:rsidRPr="00215BCE">
              <w:rPr>
                <w:rFonts w:ascii="Verdana" w:hAnsi="Verdana" w:cs="Arial"/>
                <w:lang w:val="es-ES_tradnl"/>
              </w:rPr>
              <w:t xml:space="preserve">) y </w:t>
            </w:r>
            <w:proofErr w:type="spellStart"/>
            <w:r w:rsidRPr="00215BCE">
              <w:rPr>
                <w:rFonts w:ascii="Verdana" w:hAnsi="Verdana" w:cs="Arial"/>
                <w:lang w:val="es-ES_tradnl"/>
              </w:rPr>
              <w:t>iv</w:t>
            </w:r>
            <w:proofErr w:type="spellEnd"/>
            <w:r w:rsidRPr="00215BCE">
              <w:rPr>
                <w:rFonts w:ascii="Verdana" w:hAnsi="Verdana" w:cs="Arial"/>
                <w:lang w:val="es-ES_tradnl"/>
              </w:rPr>
              <w:t xml:space="preserve">) del numeral 2, el parágrafo del artículo 38 de la Ley 996 de 2005 cobija expresamente a los </w:t>
            </w:r>
            <w:r w:rsidRPr="00215BCE">
              <w:rPr>
                <w:rFonts w:ascii="Verdana" w:hAnsi="Verdana" w:cs="Arial"/>
                <w:i/>
                <w:iCs/>
                <w:lang w:val="es-ES_tradnl"/>
              </w:rPr>
              <w:t xml:space="preserve">convenios interadministrativos </w:t>
            </w:r>
            <w:r w:rsidRPr="00215BCE">
              <w:rPr>
                <w:rFonts w:ascii="Verdana" w:hAnsi="Verdana" w:cs="Arial"/>
                <w:lang w:val="es-ES_tradnl"/>
              </w:rPr>
              <w:t xml:space="preserve">en los que se contemple la ejecución de recursos públicos. </w:t>
            </w:r>
            <w:r w:rsidRPr="00215BCE">
              <w:rPr>
                <w:rFonts w:ascii="Verdana" w:eastAsia="Times New Roman" w:hAnsi="Verdana" w:cs="Arial"/>
                <w:lang w:eastAsia="es-CO"/>
              </w:rPr>
              <w:t xml:space="preserve">Esto significa que la prohibición no resulta aplicable a </w:t>
            </w:r>
            <w:r w:rsidRPr="00215BCE">
              <w:rPr>
                <w:rFonts w:ascii="Verdana" w:eastAsia="Times New Roman" w:hAnsi="Verdana" w:cs="Arial"/>
                <w:i/>
                <w:iCs/>
                <w:lang w:eastAsia="es-CO"/>
              </w:rPr>
              <w:t>convenios interadministrativos a título gratuito,</w:t>
            </w:r>
            <w:r w:rsidRPr="00215BCE">
              <w:rPr>
                <w:rFonts w:ascii="Verdana" w:eastAsia="Times New Roman" w:hAnsi="Verdana" w:cs="Arial"/>
                <w:lang w:eastAsia="es-CO"/>
              </w:rPr>
              <w:t xml:space="preserve"> los cuales pueden celebrarse válidamente durante la vigencia de la mencionada restricción. </w:t>
            </w:r>
          </w:p>
          <w:p w14:paraId="36651997" w14:textId="77777777" w:rsidR="00481562" w:rsidRDefault="00481562" w:rsidP="006678BC">
            <w:pPr>
              <w:spacing w:before="120" w:after="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Sin perjuicio de lo anterior, es importante acotar que, la modalidad aplicable para la celebración de convenios interadministrativos es la contratación directa. En ese sentido, si bien los convenios interadministrativos que no contemplen la ejecución de recursos públicos no se encuentran cobijados por la restricción del parágrafo del artículo 38 de la Ley 996 de 2005, </w:t>
            </w:r>
            <w:r>
              <w:rPr>
                <w:rFonts w:ascii="Verdana" w:eastAsia="Times New Roman" w:hAnsi="Verdana" w:cs="Arial"/>
                <w:lang w:eastAsia="es-CO"/>
              </w:rPr>
              <w:lastRenderedPageBreak/>
              <w:t xml:space="preserve">si pueden estar cobijados por la prohibición a la contratación directa establecida por el artículo 33 de la Ley 996 de 2005. De esta manera, es posible afirmar que, en principio, resulta viable celebrar de manera directa un </w:t>
            </w:r>
            <w:r w:rsidRPr="00BD4175">
              <w:rPr>
                <w:rFonts w:ascii="Verdana" w:eastAsia="Times New Roman" w:hAnsi="Verdana" w:cs="Arial"/>
                <w:i/>
                <w:iCs/>
                <w:lang w:eastAsia="es-CO"/>
              </w:rPr>
              <w:t xml:space="preserve">convenio interadministrativo a </w:t>
            </w:r>
            <w:proofErr w:type="spellStart"/>
            <w:r w:rsidRPr="00BD4175">
              <w:rPr>
                <w:rFonts w:ascii="Verdana" w:eastAsia="Times New Roman" w:hAnsi="Verdana" w:cs="Arial"/>
                <w:i/>
                <w:iCs/>
                <w:lang w:eastAsia="es-CO"/>
              </w:rPr>
              <w:t>titulo</w:t>
            </w:r>
            <w:proofErr w:type="spellEnd"/>
            <w:r w:rsidRPr="00BD4175">
              <w:rPr>
                <w:rFonts w:ascii="Verdana" w:eastAsia="Times New Roman" w:hAnsi="Verdana" w:cs="Arial"/>
                <w:i/>
                <w:iCs/>
                <w:lang w:eastAsia="es-CO"/>
              </w:rPr>
              <w:t xml:space="preserve"> gratuito </w:t>
            </w:r>
            <w:r>
              <w:rPr>
                <w:rFonts w:ascii="Verdana" w:eastAsia="Times New Roman" w:hAnsi="Verdana" w:cs="Arial"/>
                <w:lang w:eastAsia="es-CO"/>
              </w:rPr>
              <w:t xml:space="preserve">en vigencia de la restricción del artículo 38, más no en vigencia de la restricción del artículo 33, salvo que se configure alguna de las excepciones establecidas por este último artículo. </w:t>
            </w:r>
          </w:p>
          <w:p w14:paraId="5F937698" w14:textId="77777777" w:rsidR="00481562" w:rsidRPr="00215BCE" w:rsidRDefault="00481562" w:rsidP="006678BC">
            <w:pPr>
              <w:spacing w:before="120" w:after="120" w:line="276" w:lineRule="auto"/>
              <w:ind w:firstLine="708"/>
              <w:jc w:val="both"/>
              <w:rPr>
                <w:rFonts w:ascii="Verdana" w:eastAsia="Calibri" w:hAnsi="Verdana" w:cs="Times New Roman"/>
                <w:lang w:val="es-ES"/>
              </w:rPr>
            </w:pPr>
            <w:r>
              <w:rPr>
                <w:rFonts w:ascii="Verdana" w:eastAsia="Times New Roman" w:hAnsi="Verdana" w:cs="Arial"/>
                <w:lang w:eastAsia="es-CO"/>
              </w:rPr>
              <w:t xml:space="preserve">  </w:t>
            </w:r>
            <w:r w:rsidRPr="00215BCE">
              <w:rPr>
                <w:rFonts w:ascii="Verdana" w:eastAsia="Calibri" w:hAnsi="Verdana" w:cs="Arial"/>
                <w:bCs/>
              </w:rPr>
              <w:t>Finalmente</w:t>
            </w:r>
            <w:r w:rsidRPr="00215BCE">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215BCE">
              <w:rPr>
                <w:rFonts w:ascii="Verdana" w:hAnsi="Verdana"/>
              </w:rPr>
              <w:t xml:space="preserve"> </w:t>
            </w:r>
          </w:p>
          <w:p w14:paraId="37397CA9" w14:textId="77777777" w:rsidR="00481562" w:rsidRPr="006F5750" w:rsidRDefault="00481562" w:rsidP="006678BC">
            <w:pPr>
              <w:spacing w:after="120" w:line="276" w:lineRule="auto"/>
              <w:jc w:val="both"/>
              <w:rPr>
                <w:rFonts w:ascii="Verdana" w:eastAsia="Calibri" w:hAnsi="Verdana" w:cs="Arial"/>
              </w:rPr>
            </w:pPr>
            <w:r w:rsidRPr="005B26C9">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732B2626" w14:textId="77777777" w:rsidR="00481562" w:rsidRDefault="00481562" w:rsidP="00481562">
      <w:pPr>
        <w:tabs>
          <w:tab w:val="left" w:pos="142"/>
          <w:tab w:val="left" w:pos="284"/>
        </w:tabs>
        <w:spacing w:after="0" w:line="276" w:lineRule="auto"/>
        <w:jc w:val="both"/>
        <w:rPr>
          <w:rFonts w:ascii="Verdana" w:eastAsia="Century Gothic" w:hAnsi="Verdana" w:cs="Century Gothic"/>
          <w:b/>
          <w:bCs/>
        </w:rPr>
      </w:pPr>
    </w:p>
    <w:p w14:paraId="59636867" w14:textId="77777777" w:rsidR="00481562" w:rsidRPr="00416686" w:rsidRDefault="00481562" w:rsidP="00481562">
      <w:pPr>
        <w:tabs>
          <w:tab w:val="left" w:pos="142"/>
          <w:tab w:val="left" w:pos="284"/>
        </w:tabs>
        <w:spacing w:after="0" w:line="276" w:lineRule="auto"/>
        <w:jc w:val="both"/>
        <w:rPr>
          <w:rFonts w:ascii="Verdana" w:eastAsia="Century Gothic" w:hAnsi="Verdana" w:cs="Century Gothic"/>
          <w:b/>
          <w:bCs/>
        </w:rPr>
      </w:pPr>
    </w:p>
    <w:p w14:paraId="55A92723" w14:textId="77777777" w:rsidR="00481562" w:rsidRPr="00B41D66" w:rsidRDefault="00481562" w:rsidP="00481562">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p>
    <w:p w14:paraId="554F3CE2" w14:textId="77777777" w:rsidR="00481562" w:rsidRDefault="00481562" w:rsidP="00481562">
      <w:pPr>
        <w:tabs>
          <w:tab w:val="left" w:pos="142"/>
          <w:tab w:val="left" w:pos="284"/>
        </w:tabs>
        <w:spacing w:after="0" w:line="276" w:lineRule="auto"/>
        <w:jc w:val="both"/>
        <w:rPr>
          <w:rFonts w:ascii="Verdana" w:hAnsi="Verdana" w:cs="Arial"/>
          <w:color w:val="000000" w:themeColor="text1"/>
          <w:lang w:val="es-ES_tradnl"/>
        </w:rPr>
      </w:pPr>
    </w:p>
    <w:p w14:paraId="5BDF9BC4" w14:textId="77777777" w:rsidR="00481562" w:rsidRDefault="00481562" w:rsidP="00481562">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p>
    <w:p w14:paraId="2C679D19" w14:textId="77777777" w:rsidR="00481562" w:rsidRDefault="00481562" w:rsidP="00481562">
      <w:pPr>
        <w:spacing w:after="0" w:line="276" w:lineRule="auto"/>
        <w:jc w:val="both"/>
        <w:rPr>
          <w:rFonts w:ascii="Verdana" w:eastAsia="Calibri" w:hAnsi="Verdana" w:cs="Arial"/>
          <w:lang w:val="es-ES"/>
        </w:rPr>
      </w:pPr>
    </w:p>
    <w:p w14:paraId="1E029B54" w14:textId="77777777" w:rsidR="00481562" w:rsidRPr="005416E7" w:rsidRDefault="00481562" w:rsidP="00481562">
      <w:pPr>
        <w:tabs>
          <w:tab w:val="left" w:pos="426"/>
        </w:tabs>
        <w:spacing w:after="120" w:line="276" w:lineRule="auto"/>
        <w:jc w:val="both"/>
        <w:rPr>
          <w:rFonts w:ascii="Verdana" w:eastAsia="Verdana" w:hAnsi="Verdana" w:cs="Verdana"/>
          <w:color w:val="ED7D31" w:themeColor="accent2"/>
          <w:lang w:val="es-ES"/>
        </w:rPr>
      </w:pPr>
      <w:bookmarkStart w:id="1" w:name="_Hlk102983874"/>
      <w:bookmarkStart w:id="2" w:name="_Hlk102388095"/>
      <w:r w:rsidRPr="005416E7">
        <w:rPr>
          <w:rFonts w:ascii="Verdana" w:eastAsia="Calibri" w:hAnsi="Verdana" w:cs="Arial"/>
          <w:lang w:val="es-ES"/>
        </w:rPr>
        <w:t>i)</w:t>
      </w:r>
      <w:r w:rsidRPr="005416E7">
        <w:rPr>
          <w:rFonts w:ascii="Verdana" w:eastAsia="Verdana" w:hAnsi="Verdana" w:cs="Verdana"/>
          <w:lang w:val="es-ES"/>
        </w:rPr>
        <w:t xml:space="preserve"> </w:t>
      </w:r>
      <w:r w:rsidRPr="005416E7">
        <w:rPr>
          <w:rFonts w:ascii="Verdana" w:eastAsia="Calibri" w:hAnsi="Verdana" w:cs="Arial"/>
          <w:lang w:val="es-ES"/>
        </w:rPr>
        <w:t>El ordenamiento jurídico colombiano contempla medidas para evitar la obtención de beneficios personales en asuntos propios de la administración pública</w:t>
      </w:r>
      <w:r w:rsidRPr="005416E7">
        <w:rPr>
          <w:rFonts w:ascii="Verdana" w:eastAsia="Calibri" w:hAnsi="Verdana" w:cs="Arial"/>
          <w:i/>
          <w:lang w:val="es-ES"/>
        </w:rPr>
        <w:t xml:space="preserve">. </w:t>
      </w:r>
      <w:r w:rsidRPr="005416E7">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5416E7">
        <w:rPr>
          <w:rFonts w:ascii="Verdana" w:hAnsi="Verdana"/>
          <w:vertAlign w:val="superscript"/>
          <w:lang w:val="es-ES"/>
        </w:rPr>
        <w:footnoteReference w:id="1"/>
      </w:r>
      <w:r w:rsidRPr="005416E7">
        <w:rPr>
          <w:rFonts w:ascii="Verdana" w:eastAsia="Calibri" w:hAnsi="Verdana" w:cs="Arial"/>
          <w:lang w:val="es-ES"/>
        </w:rPr>
        <w:t>.</w:t>
      </w:r>
    </w:p>
    <w:p w14:paraId="650DB7C9" w14:textId="77777777" w:rsidR="00481562" w:rsidRPr="005416E7" w:rsidRDefault="00481562" w:rsidP="00481562">
      <w:pPr>
        <w:tabs>
          <w:tab w:val="left" w:pos="426"/>
        </w:tabs>
        <w:spacing w:after="120" w:line="276" w:lineRule="auto"/>
        <w:ind w:firstLine="709"/>
        <w:jc w:val="both"/>
        <w:rPr>
          <w:rFonts w:ascii="Verdana" w:eastAsia="Calibri" w:hAnsi="Verdana" w:cs="Arial"/>
          <w:lang w:val="es-ES"/>
        </w:rPr>
      </w:pPr>
      <w:r w:rsidRPr="005416E7">
        <w:rPr>
          <w:rFonts w:ascii="Verdana" w:eastAsia="Times New Roman" w:hAnsi="Verdana" w:cs="Arial"/>
          <w:lang w:val="es-ES" w:eastAsia="es-CO"/>
        </w:rPr>
        <w:lastRenderedPageBreak/>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416E7">
        <w:rPr>
          <w:rFonts w:ascii="Verdana" w:eastAsia="Times New Roman" w:hAnsi="Verdana" w:cs="Arial"/>
          <w:vertAlign w:val="superscript"/>
          <w:lang w:val="es-ES" w:eastAsia="es-CO"/>
        </w:rPr>
        <w:footnoteReference w:id="2"/>
      </w:r>
      <w:r w:rsidRPr="005416E7">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5416E7">
        <w:rPr>
          <w:rFonts w:ascii="Verdana" w:eastAsia="Calibri" w:hAnsi="Verdana" w:cs="Arial"/>
          <w:lang w:val="es-ES"/>
        </w:rPr>
        <w:t xml:space="preserve"> </w:t>
      </w:r>
    </w:p>
    <w:p w14:paraId="5A5084CB" w14:textId="77777777" w:rsidR="00481562" w:rsidRPr="005416E7" w:rsidRDefault="00481562" w:rsidP="00481562">
      <w:pPr>
        <w:tabs>
          <w:tab w:val="left" w:pos="426"/>
        </w:tabs>
        <w:spacing w:after="0" w:line="276" w:lineRule="auto"/>
        <w:ind w:firstLine="709"/>
        <w:jc w:val="both"/>
        <w:rPr>
          <w:rFonts w:ascii="Verdana" w:eastAsia="Calibri" w:hAnsi="Verdana" w:cs="Arial"/>
          <w:lang w:val="es-ES"/>
        </w:rPr>
      </w:pPr>
      <w:r w:rsidRPr="005416E7">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5E03335D" w14:textId="77777777" w:rsidR="00481562" w:rsidRPr="005416E7" w:rsidRDefault="00481562" w:rsidP="00481562">
      <w:pPr>
        <w:spacing w:after="0" w:line="276" w:lineRule="auto"/>
        <w:ind w:right="709"/>
        <w:jc w:val="both"/>
        <w:rPr>
          <w:rFonts w:ascii="Verdana" w:eastAsia="Times New Roman" w:hAnsi="Verdana" w:cs="Arial"/>
          <w:lang w:val="es-ES" w:eastAsia="es-CO"/>
        </w:rPr>
      </w:pPr>
    </w:p>
    <w:p w14:paraId="3BD66BE6" w14:textId="77777777" w:rsidR="00481562" w:rsidRPr="005416E7" w:rsidRDefault="00481562" w:rsidP="00481562">
      <w:pPr>
        <w:spacing w:after="0" w:line="240" w:lineRule="auto"/>
        <w:ind w:left="709" w:right="709"/>
        <w:contextualSpacing/>
        <w:jc w:val="both"/>
        <w:rPr>
          <w:rFonts w:ascii="Verdana" w:eastAsia="Times New Roman" w:hAnsi="Verdana" w:cs="Arial"/>
          <w:sz w:val="20"/>
          <w:szCs w:val="20"/>
          <w:lang w:val="es-ES" w:eastAsia="es-CO"/>
        </w:rPr>
      </w:pPr>
      <w:r w:rsidRPr="005416E7">
        <w:rPr>
          <w:rFonts w:ascii="Verdana" w:eastAsia="Times New Roman" w:hAnsi="Verdana" w:cs="Arial"/>
          <w:sz w:val="20"/>
          <w:szCs w:val="20"/>
          <w:lang w:val="es-ES" w:eastAsia="es-CO"/>
        </w:rPr>
        <w:t xml:space="preserve">“(…) la definición de reglas claras que permitan acceder a los canales de expresión democrática de manera efectiva e igualitaria. El objetivo de una ley de garantías es definir esas reglas (…) </w:t>
      </w:r>
    </w:p>
    <w:p w14:paraId="2BF62CB9" w14:textId="77777777" w:rsidR="00481562" w:rsidRPr="005416E7" w:rsidRDefault="00481562" w:rsidP="00481562">
      <w:pPr>
        <w:spacing w:after="0" w:line="240" w:lineRule="auto"/>
        <w:ind w:left="709" w:right="709"/>
        <w:contextualSpacing/>
        <w:jc w:val="both"/>
        <w:rPr>
          <w:rFonts w:ascii="Verdana" w:eastAsia="Times New Roman" w:hAnsi="Verdana" w:cs="Arial"/>
          <w:sz w:val="20"/>
          <w:szCs w:val="20"/>
          <w:lang w:val="es-ES" w:eastAsia="es-CO"/>
        </w:rPr>
      </w:pPr>
    </w:p>
    <w:p w14:paraId="1E1E8AB4" w14:textId="77777777" w:rsidR="00481562" w:rsidRPr="005416E7" w:rsidRDefault="00481562" w:rsidP="00481562">
      <w:pPr>
        <w:spacing w:after="0" w:line="240" w:lineRule="auto"/>
        <w:ind w:left="709" w:right="709"/>
        <w:contextualSpacing/>
        <w:jc w:val="both"/>
        <w:rPr>
          <w:rFonts w:ascii="Verdana" w:eastAsia="Times New Roman" w:hAnsi="Verdana" w:cs="Arial"/>
          <w:sz w:val="20"/>
          <w:szCs w:val="20"/>
          <w:lang w:val="es-ES" w:eastAsia="es-CO"/>
        </w:rPr>
      </w:pPr>
      <w:r w:rsidRPr="005416E7">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5416E7">
        <w:rPr>
          <w:rFonts w:ascii="Verdana" w:eastAsia="Calibri" w:hAnsi="Verdana" w:cs="Arial"/>
          <w:sz w:val="20"/>
          <w:szCs w:val="20"/>
          <w:vertAlign w:val="superscript"/>
          <w:lang w:val="es-ES"/>
        </w:rPr>
        <w:footnoteReference w:id="3"/>
      </w:r>
    </w:p>
    <w:p w14:paraId="14BBD889" w14:textId="77777777" w:rsidR="00481562" w:rsidRPr="005416E7" w:rsidRDefault="00481562" w:rsidP="00481562">
      <w:pPr>
        <w:spacing w:after="0" w:line="276" w:lineRule="auto"/>
        <w:ind w:firstLine="709"/>
        <w:jc w:val="both"/>
        <w:rPr>
          <w:rFonts w:ascii="Verdana" w:eastAsia="Times New Roman" w:hAnsi="Verdana" w:cs="Arial"/>
          <w:color w:val="4472C4" w:themeColor="accent1"/>
          <w:lang w:val="es-ES" w:eastAsia="es-CO"/>
        </w:rPr>
      </w:pPr>
    </w:p>
    <w:p w14:paraId="056EBBA4" w14:textId="77777777" w:rsidR="00481562" w:rsidRPr="005416E7" w:rsidRDefault="00481562" w:rsidP="00481562">
      <w:pPr>
        <w:spacing w:after="0" w:line="276" w:lineRule="auto"/>
        <w:ind w:firstLine="709"/>
        <w:jc w:val="both"/>
        <w:rPr>
          <w:rFonts w:ascii="Verdana" w:eastAsia="Times New Roman" w:hAnsi="Verdana" w:cs="Arial"/>
          <w:lang w:val="es-ES" w:eastAsia="es-CO"/>
        </w:rPr>
      </w:pPr>
      <w:r w:rsidRPr="005416E7">
        <w:rPr>
          <w:rFonts w:ascii="Verdana" w:eastAsia="Times New Roman" w:hAnsi="Verdana" w:cs="Arial"/>
          <w:lang w:val="es-ES" w:eastAsia="es-CO"/>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w:t>
      </w:r>
      <w:r w:rsidRPr="005416E7">
        <w:rPr>
          <w:rFonts w:ascii="Verdana" w:eastAsia="Times New Roman" w:hAnsi="Verdana" w:cs="Arial"/>
          <w:lang w:val="es-ES" w:eastAsia="es-CO"/>
        </w:rPr>
        <w:lastRenderedPageBreak/>
        <w:t>normas prohibitivas, deben interpretarse restrictivamente. En efecto, la Sala de Consulta y Servicio Civil del Consejo de Estado, precisó:</w:t>
      </w:r>
    </w:p>
    <w:p w14:paraId="04213B14" w14:textId="77777777" w:rsidR="00481562" w:rsidRPr="005416E7" w:rsidRDefault="00481562" w:rsidP="00481562">
      <w:pPr>
        <w:spacing w:after="0" w:line="276" w:lineRule="auto"/>
        <w:ind w:firstLine="709"/>
        <w:jc w:val="both"/>
        <w:rPr>
          <w:rFonts w:ascii="Verdana" w:eastAsia="Times New Roman" w:hAnsi="Verdana" w:cs="Arial"/>
          <w:color w:val="4472C4" w:themeColor="accent1"/>
          <w:lang w:val="es-ES" w:eastAsia="es-CO"/>
        </w:rPr>
      </w:pPr>
    </w:p>
    <w:p w14:paraId="09E42019" w14:textId="77777777" w:rsidR="00481562" w:rsidRPr="005416E7" w:rsidRDefault="00481562" w:rsidP="00481562">
      <w:pPr>
        <w:spacing w:after="0" w:line="240" w:lineRule="auto"/>
        <w:ind w:left="709" w:right="709"/>
        <w:jc w:val="both"/>
        <w:rPr>
          <w:rFonts w:ascii="Verdana" w:eastAsia="Times New Roman" w:hAnsi="Verdana" w:cs="Arial"/>
          <w:sz w:val="20"/>
          <w:szCs w:val="20"/>
          <w:lang w:val="es-ES" w:eastAsia="es-CO"/>
        </w:rPr>
      </w:pPr>
      <w:r w:rsidRPr="005416E7">
        <w:rPr>
          <w:rFonts w:ascii="Verdana" w:eastAsia="Times New Roman" w:hAnsi="Verdana" w:cs="Arial"/>
          <w:color w:val="4472C4" w:themeColor="accent1"/>
          <w:sz w:val="20"/>
          <w:szCs w:val="20"/>
          <w:lang w:val="es-ES" w:eastAsia="es-CO"/>
        </w:rPr>
        <w:t>“</w:t>
      </w:r>
      <w:r w:rsidRPr="005416E7">
        <w:rPr>
          <w:rFonts w:ascii="Verdana" w:eastAsia="Times New Roman" w:hAnsi="Verdana" w:cs="Arial"/>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FB00A8B" w14:textId="77777777" w:rsidR="00481562" w:rsidRDefault="00481562" w:rsidP="00481562">
      <w:pPr>
        <w:spacing w:after="0" w:line="240" w:lineRule="auto"/>
        <w:ind w:left="709" w:right="709"/>
        <w:jc w:val="both"/>
        <w:rPr>
          <w:rFonts w:ascii="Verdana" w:eastAsia="Times New Roman" w:hAnsi="Verdana" w:cs="Arial"/>
          <w:sz w:val="20"/>
          <w:szCs w:val="20"/>
          <w:lang w:val="es-ES" w:eastAsia="es-CO"/>
        </w:rPr>
      </w:pPr>
    </w:p>
    <w:p w14:paraId="6F913775" w14:textId="77777777" w:rsidR="00481562" w:rsidRPr="005416E7" w:rsidRDefault="00481562" w:rsidP="00481562">
      <w:pPr>
        <w:spacing w:after="0" w:line="240" w:lineRule="auto"/>
        <w:ind w:left="709" w:right="709"/>
        <w:jc w:val="both"/>
        <w:rPr>
          <w:rFonts w:ascii="Verdana" w:eastAsia="Times New Roman" w:hAnsi="Verdana" w:cs="Arial"/>
          <w:sz w:val="20"/>
          <w:szCs w:val="20"/>
          <w:lang w:val="es-ES" w:eastAsia="es-CO"/>
        </w:rPr>
      </w:pPr>
      <w:r w:rsidRPr="005416E7">
        <w:rPr>
          <w:rFonts w:ascii="Verdana" w:eastAsia="Times New Roman" w:hAnsi="Verdana" w:cs="Arial"/>
          <w:sz w:val="20"/>
          <w:szCs w:val="20"/>
          <w:lang w:val="es-ES" w:eastAsia="es-CO"/>
        </w:rPr>
        <w:t>La jurisprudencia de la Corte Constitucional</w:t>
      </w:r>
      <w:r w:rsidRPr="005416E7">
        <w:rPr>
          <w:rFonts w:ascii="Verdana" w:eastAsia="Times New Roman" w:hAnsi="Verdana" w:cs="Arial"/>
          <w:sz w:val="20"/>
          <w:szCs w:val="20"/>
          <w:vertAlign w:val="superscript"/>
          <w:lang w:val="es-ES" w:eastAsia="es-CO"/>
        </w:rPr>
        <w:footnoteReference w:id="4"/>
      </w:r>
      <w:r w:rsidRPr="005416E7">
        <w:rPr>
          <w:rFonts w:ascii="Verdana" w:eastAsia="Times New Roman" w:hAnsi="Verdana" w:cs="Arial"/>
          <w:sz w:val="20"/>
          <w:szCs w:val="20"/>
          <w:lang w:val="es-ES" w:eastAsia="es-CO"/>
        </w:rPr>
        <w:t> y del Consejo de Estado</w:t>
      </w:r>
      <w:r w:rsidRPr="005416E7">
        <w:rPr>
          <w:rFonts w:ascii="Verdana" w:eastAsia="Times New Roman" w:hAnsi="Verdana" w:cs="Arial"/>
          <w:sz w:val="20"/>
          <w:szCs w:val="20"/>
          <w:vertAlign w:val="superscript"/>
          <w:lang w:val="es-ES" w:eastAsia="es-CO"/>
        </w:rPr>
        <w:footnoteReference w:id="5"/>
      </w:r>
      <w:r w:rsidRPr="005416E7">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5416E7">
        <w:rPr>
          <w:rFonts w:ascii="Verdana" w:eastAsia="Times New Roman" w:hAnsi="Verdana" w:cs="Arial"/>
          <w:sz w:val="20"/>
          <w:szCs w:val="20"/>
          <w:vertAlign w:val="superscript"/>
          <w:lang w:val="es-ES" w:eastAsia="es-CO"/>
        </w:rPr>
        <w:footnoteReference w:id="6"/>
      </w:r>
      <w:r w:rsidRPr="005416E7">
        <w:rPr>
          <w:rFonts w:ascii="Verdana" w:eastAsia="Times New Roman" w:hAnsi="Verdana" w:cs="Arial"/>
          <w:sz w:val="20"/>
          <w:szCs w:val="20"/>
          <w:lang w:val="es-ES" w:eastAsia="es-CO"/>
        </w:rPr>
        <w:t>.</w:t>
      </w:r>
    </w:p>
    <w:p w14:paraId="31096FDA" w14:textId="77777777" w:rsidR="00481562" w:rsidRPr="005416E7" w:rsidRDefault="00481562" w:rsidP="00481562">
      <w:pPr>
        <w:spacing w:after="0" w:line="276" w:lineRule="auto"/>
        <w:jc w:val="both"/>
        <w:rPr>
          <w:rFonts w:ascii="Verdana" w:eastAsia="Calibri" w:hAnsi="Verdana" w:cs="Arial"/>
          <w:bCs/>
          <w:lang w:val="es-ES"/>
        </w:rPr>
      </w:pPr>
    </w:p>
    <w:p w14:paraId="5214CAD9" w14:textId="77777777" w:rsidR="00481562" w:rsidRPr="005416E7" w:rsidRDefault="00481562" w:rsidP="00481562">
      <w:pPr>
        <w:spacing w:after="0" w:line="276" w:lineRule="auto"/>
        <w:ind w:firstLine="709"/>
        <w:jc w:val="both"/>
        <w:rPr>
          <w:rFonts w:ascii="Verdana" w:eastAsia="Arial" w:hAnsi="Verdana" w:cs="Arial"/>
          <w:lang w:val="es-ES" w:eastAsia="es-ES" w:bidi="es-ES"/>
        </w:rPr>
      </w:pPr>
      <w:r w:rsidRPr="005416E7">
        <w:rPr>
          <w:rFonts w:ascii="Verdana" w:eastAsia="Times New Roman" w:hAnsi="Verdana" w:cs="Arial"/>
          <w:lang w:val="es-ES" w:eastAsia="es-CO"/>
        </w:rPr>
        <w:t>De</w:t>
      </w:r>
      <w:r w:rsidRPr="005416E7">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02B6B9B5" w14:textId="77777777" w:rsidR="00481562" w:rsidRPr="005416E7" w:rsidRDefault="00481562" w:rsidP="00481562">
      <w:pPr>
        <w:spacing w:after="0" w:line="276" w:lineRule="auto"/>
        <w:ind w:firstLine="709"/>
        <w:jc w:val="both"/>
        <w:rPr>
          <w:rFonts w:ascii="Verdana" w:eastAsia="Arial" w:hAnsi="Verdana" w:cs="Arial"/>
          <w:color w:val="4472C4" w:themeColor="accent1"/>
          <w:lang w:val="es-ES" w:eastAsia="es-ES" w:bidi="es-ES"/>
        </w:rPr>
      </w:pPr>
    </w:p>
    <w:p w14:paraId="36FF042F" w14:textId="77777777" w:rsidR="00481562" w:rsidRPr="005416E7" w:rsidRDefault="00481562" w:rsidP="00481562">
      <w:pPr>
        <w:spacing w:after="120" w:line="276" w:lineRule="auto"/>
        <w:jc w:val="both"/>
        <w:rPr>
          <w:rFonts w:ascii="Verdana" w:eastAsia="Arial" w:hAnsi="Verdana" w:cs="Arial"/>
          <w:lang w:val="es-ES" w:eastAsia="es-ES" w:bidi="es-ES"/>
        </w:rPr>
      </w:pPr>
      <w:proofErr w:type="spellStart"/>
      <w:r w:rsidRPr="005416E7">
        <w:rPr>
          <w:rFonts w:ascii="Verdana" w:eastAsia="Arial" w:hAnsi="Verdana" w:cs="Arial"/>
          <w:lang w:val="es-ES" w:eastAsia="es-ES" w:bidi="es-ES"/>
        </w:rPr>
        <w:t>ii</w:t>
      </w:r>
      <w:proofErr w:type="spellEnd"/>
      <w:r w:rsidRPr="005416E7">
        <w:rPr>
          <w:rFonts w:ascii="Verdana" w:eastAsia="Arial" w:hAnsi="Verdana" w:cs="Arial"/>
          <w:lang w:val="es-ES" w:eastAsia="es-ES" w:bidi="es-ES"/>
        </w:rPr>
        <w:t xml:space="preserve">) Las restricciones consagradas en la Ley de Garantías se dirigen a dos (2) tipos de campañas electorales diferenciadas: las presidenciales y las que se adelanten </w:t>
      </w:r>
      <w:r w:rsidRPr="005416E7">
        <w:rPr>
          <w:rFonts w:ascii="Verdana" w:eastAsia="Arial" w:hAnsi="Verdana" w:cs="Arial"/>
          <w:lang w:val="es-ES" w:eastAsia="es-ES" w:bidi="es-ES"/>
        </w:rPr>
        <w:lastRenderedPageBreak/>
        <w:t>para la elección de los demás cargos de elección popular, tanto a nivel nacional como territorial.</w:t>
      </w:r>
    </w:p>
    <w:p w14:paraId="70505817" w14:textId="77777777" w:rsidR="00481562" w:rsidRPr="005416E7" w:rsidRDefault="00481562" w:rsidP="00481562">
      <w:pPr>
        <w:spacing w:after="120" w:line="276" w:lineRule="auto"/>
        <w:ind w:firstLine="708"/>
        <w:jc w:val="both"/>
        <w:rPr>
          <w:rFonts w:ascii="Verdana" w:eastAsia="Calibri" w:hAnsi="Verdana" w:cs="Arial"/>
          <w:lang w:val="es-ES"/>
        </w:rPr>
      </w:pPr>
      <w:r w:rsidRPr="005416E7">
        <w:rPr>
          <w:rFonts w:ascii="Verdana" w:eastAsia="Calibri" w:hAnsi="Verdana" w:cs="Arial"/>
          <w:lang w:val="es-ES"/>
        </w:rPr>
        <w:t xml:space="preserve">Por un lado, el </w:t>
      </w:r>
      <w:r w:rsidRPr="005416E7">
        <w:rPr>
          <w:rFonts w:ascii="Verdana" w:eastAsia="Calibri" w:hAnsi="Verdana" w:cs="Arial"/>
          <w:i/>
          <w:iCs/>
          <w:lang w:val="es-ES"/>
        </w:rPr>
        <w:t xml:space="preserve">artículo 33 </w:t>
      </w:r>
      <w:r w:rsidRPr="005416E7">
        <w:rPr>
          <w:rFonts w:ascii="Verdana" w:eastAsia="Calibri" w:hAnsi="Verdana" w:cs="Arial"/>
          <w:lang w:val="es-ES"/>
        </w:rPr>
        <w:t xml:space="preserve">de la Ley 996 de 2005 prohíbe “(…) la contratación directa por parte de </w:t>
      </w:r>
      <w:r w:rsidRPr="005416E7">
        <w:rPr>
          <w:rFonts w:ascii="Verdana" w:eastAsia="Calibri" w:hAnsi="Verdana" w:cs="Arial"/>
          <w:i/>
          <w:iCs/>
          <w:lang w:val="es-ES"/>
        </w:rPr>
        <w:t>todos los entes del Estado</w:t>
      </w:r>
      <w:r w:rsidRPr="005416E7">
        <w:rPr>
          <w:rFonts w:ascii="Verdana" w:eastAsia="Calibri" w:hAnsi="Verdana" w:cs="Arial"/>
          <w:lang w:val="es-ES"/>
        </w:rPr>
        <w:t xml:space="preserve">” durante los cuatro (4) meses anteriores a las </w:t>
      </w:r>
      <w:r w:rsidRPr="005416E7">
        <w:rPr>
          <w:rFonts w:ascii="Verdana" w:eastAsia="Calibri" w:hAnsi="Verdana" w:cs="Arial"/>
          <w:i/>
          <w:iCs/>
          <w:lang w:val="es-ES"/>
        </w:rPr>
        <w:t>elecciones presidenciales</w:t>
      </w:r>
      <w:r w:rsidRPr="005416E7">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5416E7">
        <w:rPr>
          <w:rFonts w:ascii="Verdana" w:eastAsia="Calibri" w:hAnsi="Verdana" w:cs="Arial"/>
          <w:vertAlign w:val="superscript"/>
          <w:lang w:val="es-ES"/>
        </w:rPr>
        <w:footnoteReference w:id="7"/>
      </w:r>
      <w:r w:rsidRPr="005416E7">
        <w:rPr>
          <w:rFonts w:ascii="Verdana" w:eastAsia="Calibri" w:hAnsi="Verdana" w:cs="Arial"/>
          <w:lang w:val="es-ES"/>
        </w:rPr>
        <w:t>.</w:t>
      </w:r>
    </w:p>
    <w:p w14:paraId="5550531B" w14:textId="77777777" w:rsidR="00481562" w:rsidRPr="005416E7" w:rsidRDefault="00481562" w:rsidP="00481562">
      <w:pPr>
        <w:widowControl w:val="0"/>
        <w:autoSpaceDE w:val="0"/>
        <w:autoSpaceDN w:val="0"/>
        <w:spacing w:after="120" w:line="276" w:lineRule="auto"/>
        <w:ind w:right="113" w:firstLine="709"/>
        <w:jc w:val="both"/>
        <w:rPr>
          <w:rFonts w:ascii="Verdana" w:eastAsia="Arial" w:hAnsi="Verdana" w:cs="Arial"/>
          <w:lang w:val="es-ES" w:eastAsia="es-ES" w:bidi="es-ES"/>
        </w:rPr>
      </w:pPr>
      <w:r w:rsidRPr="005416E7">
        <w:rPr>
          <w:rFonts w:ascii="Verdana" w:eastAsia="Calibri" w:hAnsi="Verdana" w:cs="Arial"/>
          <w:lang w:val="es-ES"/>
        </w:rPr>
        <w:t xml:space="preserve">Por otro lado, </w:t>
      </w:r>
      <w:r w:rsidRPr="005416E7">
        <w:rPr>
          <w:rFonts w:ascii="Verdana" w:eastAsia="Calibri" w:hAnsi="Verdana" w:cs="Arial"/>
          <w:i/>
          <w:iCs/>
          <w:lang w:val="es-ES"/>
        </w:rPr>
        <w:t xml:space="preserve">el parágrafo del artículo 38 </w:t>
      </w:r>
      <w:r w:rsidRPr="005416E7">
        <w:rPr>
          <w:rFonts w:ascii="Verdana" w:eastAsia="Calibri" w:hAnsi="Verdana" w:cs="Arial"/>
          <w:lang w:val="es-ES"/>
        </w:rPr>
        <w:t xml:space="preserve">de la Ley 996 de 2005 prevé una restricción, aplicable respecto de </w:t>
      </w:r>
      <w:r w:rsidRPr="005416E7">
        <w:rPr>
          <w:rFonts w:ascii="Verdana" w:eastAsia="Calibri" w:hAnsi="Verdana" w:cs="Arial"/>
          <w:i/>
          <w:iCs/>
          <w:lang w:val="es-ES"/>
        </w:rPr>
        <w:t>cualquier tipo de contienda electoral</w:t>
      </w:r>
      <w:r w:rsidRPr="005416E7">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416E7">
        <w:rPr>
          <w:rFonts w:ascii="Verdana" w:eastAsia="Calibri" w:hAnsi="Verdana" w:cs="Arial"/>
          <w:vertAlign w:val="superscript"/>
          <w:lang w:val="es-ES"/>
        </w:rPr>
        <w:footnoteReference w:id="8"/>
      </w:r>
      <w:r w:rsidRPr="005416E7">
        <w:rPr>
          <w:rFonts w:ascii="Verdana" w:eastAsia="Calibri" w:hAnsi="Verdana" w:cs="Arial"/>
          <w:lang w:val="es-ES"/>
        </w:rPr>
        <w:t>.</w:t>
      </w:r>
      <w:r w:rsidRPr="005416E7">
        <w:rPr>
          <w:rFonts w:ascii="Verdana" w:eastAsia="Arial" w:hAnsi="Verdana" w:cs="Arial"/>
          <w:lang w:val="es-ES" w:eastAsia="es-ES" w:bidi="es-ES"/>
        </w:rPr>
        <w:t xml:space="preserve"> </w:t>
      </w:r>
    </w:p>
    <w:p w14:paraId="05910A41" w14:textId="77777777" w:rsidR="00481562" w:rsidRPr="005416E7" w:rsidRDefault="00481562" w:rsidP="00481562">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5416E7">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2843121E" w14:textId="77777777" w:rsidR="00481562" w:rsidRPr="005416E7" w:rsidRDefault="00481562" w:rsidP="00481562">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01ACCB6" w14:textId="77777777" w:rsidR="00481562" w:rsidRPr="005416E7" w:rsidRDefault="00481562" w:rsidP="00481562">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5416E7">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w:t>
      </w:r>
      <w:r w:rsidRPr="005416E7">
        <w:rPr>
          <w:rFonts w:ascii="Verdana" w:eastAsia="Arial" w:hAnsi="Verdana" w:cs="Arial"/>
          <w:sz w:val="20"/>
          <w:szCs w:val="20"/>
          <w:lang w:val="es-ES" w:eastAsia="es-ES" w:bidi="es-ES"/>
        </w:rPr>
        <w:lastRenderedPageBreak/>
        <w:t>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5416E7">
        <w:rPr>
          <w:rFonts w:ascii="Verdana" w:eastAsia="Arial" w:hAnsi="Verdana" w:cs="Arial"/>
          <w:sz w:val="20"/>
          <w:szCs w:val="20"/>
          <w:vertAlign w:val="superscript"/>
          <w:lang w:val="es-ES" w:eastAsia="es-ES" w:bidi="es-ES"/>
        </w:rPr>
        <w:footnoteReference w:id="9"/>
      </w:r>
    </w:p>
    <w:p w14:paraId="0F2C245B" w14:textId="77777777" w:rsidR="00481562" w:rsidRPr="005416E7" w:rsidRDefault="00481562" w:rsidP="00481562">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2B7B806A" w14:textId="77777777" w:rsidR="00481562" w:rsidRDefault="00481562" w:rsidP="00481562">
      <w:pPr>
        <w:spacing w:after="120" w:line="276" w:lineRule="auto"/>
        <w:ind w:firstLine="709"/>
        <w:jc w:val="both"/>
        <w:rPr>
          <w:rFonts w:ascii="Verdana" w:eastAsia="Arial" w:hAnsi="Verdana" w:cs="Arial"/>
          <w:lang w:val="es-ES" w:eastAsia="es-ES" w:bidi="es-ES"/>
        </w:rPr>
      </w:pPr>
      <w:r w:rsidRPr="005416E7">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3BFA35AE" w14:textId="77777777" w:rsidR="00481562" w:rsidRDefault="00481562" w:rsidP="00481562">
      <w:pPr>
        <w:spacing w:after="0" w:line="276" w:lineRule="auto"/>
        <w:ind w:firstLine="709"/>
        <w:jc w:val="both"/>
        <w:rPr>
          <w:rFonts w:ascii="Verdana" w:eastAsia="Arial" w:hAnsi="Verdana" w:cs="Arial"/>
          <w:lang w:val="es-ES" w:eastAsia="es-ES" w:bidi="es-ES"/>
        </w:rPr>
      </w:pPr>
      <w:r>
        <w:rPr>
          <w:rFonts w:ascii="Verdana" w:eastAsia="Arial" w:hAnsi="Verdana" w:cs="Arial"/>
          <w:lang w:eastAsia="es-ES" w:bidi="es-ES"/>
        </w:rPr>
        <w:t xml:space="preserve">De esta manera, el ámbito temporal de las restricciones establecidas en la Ley de Garantías Electorales en materia de contratación estatal siempre es el mismo en periodos preelectorales de las elecciones presidenciales, ya que rigen ambas restricciones durante los 4 meses previos a los comicios. Sin embargo, tratándose de como elecciones parlamentarias o mandatarios locales, rige la restricción del parágrafo del artículo 38. En atención a esto, cuando el calendario electoral contempla elecciones parlamentarias, seguidas de elecciones presidenciales, como en el 2026, las restricciones entran a regir en momentos distintos. Es por esto por lo que, en el escenario actual y reciente, mientras que la restricción del artículo 38 comenzó a regir desde el pasado 8 de noviembre de 2025, la del artículo 33 solo entra regir a partir del 31 de enero de 2026, extendiéndose ambas hasta el 31 de mayo de 2026 o hasta el 21 de junio de 2026, en caso de requerirse segunda vuelta en la contienda presidencial.    </w:t>
      </w:r>
    </w:p>
    <w:p w14:paraId="08EA1F84" w14:textId="77777777" w:rsidR="00481562" w:rsidRPr="005416E7" w:rsidRDefault="00481562" w:rsidP="00481562">
      <w:pPr>
        <w:spacing w:after="0" w:line="276" w:lineRule="auto"/>
        <w:ind w:firstLine="709"/>
        <w:jc w:val="both"/>
        <w:rPr>
          <w:rFonts w:ascii="Verdana" w:eastAsia="Arial" w:hAnsi="Verdana" w:cs="Arial"/>
          <w:lang w:val="es-ES" w:eastAsia="es-ES" w:bidi="es-ES"/>
        </w:rPr>
      </w:pPr>
    </w:p>
    <w:p w14:paraId="18C7D37D" w14:textId="77777777" w:rsidR="00481562" w:rsidRPr="005416E7" w:rsidRDefault="00481562" w:rsidP="00481562">
      <w:pPr>
        <w:spacing w:after="0" w:line="276" w:lineRule="auto"/>
        <w:jc w:val="both"/>
        <w:rPr>
          <w:rFonts w:ascii="Verdana" w:eastAsia="Times New Roman" w:hAnsi="Verdana" w:cs="Arial"/>
          <w:lang w:val="es-MX" w:eastAsia="x-none"/>
        </w:rPr>
      </w:pPr>
      <w:proofErr w:type="spellStart"/>
      <w:r w:rsidRPr="005416E7">
        <w:rPr>
          <w:rFonts w:ascii="Verdana" w:eastAsia="Calibri" w:hAnsi="Verdana" w:cs="Arial"/>
          <w:lang w:val="es-ES"/>
        </w:rPr>
        <w:t>iii</w:t>
      </w:r>
      <w:proofErr w:type="spellEnd"/>
      <w:r w:rsidRPr="005416E7">
        <w:rPr>
          <w:rFonts w:ascii="Verdana" w:eastAsia="Calibri" w:hAnsi="Verdana" w:cs="Arial"/>
          <w:lang w:val="es-ES"/>
        </w:rPr>
        <w:t>) Para responder el problema jurídico planteado anteriormente,</w:t>
      </w:r>
      <w:r w:rsidRPr="005416E7">
        <w:rPr>
          <w:rFonts w:ascii="Verdana" w:eastAsia="Calibri" w:hAnsi="Verdana" w:cs="Arial"/>
          <w:lang w:val="es-ES" w:eastAsia="es-ES" w:bidi="es-ES"/>
        </w:rPr>
        <w:t xml:space="preserve"> es necesario hacer énfasis en el alcance que tiene la prohibición establecida en el parágrafo del artículo 38 de la Ley 996 de 2005. La mencionada norma dispone que “Los </w:t>
      </w:r>
      <w:r w:rsidRPr="005416E7">
        <w:rPr>
          <w:rFonts w:ascii="Verdana" w:eastAsia="Calibri" w:hAnsi="Verdana" w:cs="Arial"/>
          <w:lang w:val="es-ES" w:eastAsia="es-ES" w:bidi="es-ES"/>
        </w:rPr>
        <w:lastRenderedPageBreak/>
        <w:t xml:space="preserve">Gobernadores, Alcaldes, Municipales y/o Distritales, Secretarios, Gerentes y directores de Entidades Descentralizadas del Orden Municipal Departamental o Distrital, dentro de los (4) meses anteriores a las elecciones, no podrán celebrar </w:t>
      </w:r>
      <w:r w:rsidRPr="005416E7">
        <w:rPr>
          <w:rFonts w:ascii="Verdana" w:eastAsia="Calibri" w:hAnsi="Verdana" w:cs="Arial"/>
          <w:i/>
          <w:iCs/>
          <w:lang w:val="es-ES" w:eastAsia="es-ES" w:bidi="es-ES"/>
        </w:rPr>
        <w:t xml:space="preserve">convenios interadministrativos </w:t>
      </w:r>
      <w:r w:rsidRPr="005416E7">
        <w:rPr>
          <w:rFonts w:ascii="Verdana" w:eastAsia="Calibri" w:hAnsi="Verdana" w:cs="Arial"/>
          <w:lang w:val="es-ES" w:eastAsia="es-ES" w:bidi="es-ES"/>
        </w:rPr>
        <w:t xml:space="preserve">para la ejecución de recursos públicos”. </w:t>
      </w:r>
      <w:r w:rsidRPr="005416E7">
        <w:rPr>
          <w:rFonts w:ascii="Verdana" w:eastAsia="Times New Roman" w:hAnsi="Verdana" w:cs="Arial"/>
          <w:lang w:val="es-MX" w:eastAsia="x-none"/>
        </w:rPr>
        <w:t>(Énfasis fuera del texto original)</w:t>
      </w:r>
    </w:p>
    <w:p w14:paraId="45090F4B" w14:textId="77777777" w:rsidR="00481562" w:rsidRDefault="00481562" w:rsidP="00481562">
      <w:pPr>
        <w:spacing w:after="0" w:line="276" w:lineRule="auto"/>
        <w:ind w:left="709" w:right="709"/>
        <w:jc w:val="both"/>
        <w:rPr>
          <w:rFonts w:ascii="Verdana" w:eastAsia="Times New Roman" w:hAnsi="Verdana" w:cs="Arial"/>
          <w:sz w:val="20"/>
          <w:szCs w:val="20"/>
          <w:lang w:val="es-ES" w:eastAsia="es-ES"/>
        </w:rPr>
      </w:pPr>
    </w:p>
    <w:p w14:paraId="079C8285" w14:textId="77777777" w:rsidR="00481562" w:rsidRPr="005416E7" w:rsidRDefault="00481562" w:rsidP="00481562">
      <w:pPr>
        <w:spacing w:after="0" w:line="240" w:lineRule="auto"/>
        <w:ind w:left="709" w:right="709"/>
        <w:jc w:val="both"/>
        <w:rPr>
          <w:rFonts w:ascii="Verdana" w:hAnsi="Verdana" w:cs="Arial"/>
          <w:sz w:val="20"/>
          <w:szCs w:val="20"/>
          <w:lang w:eastAsia="es-ES"/>
        </w:rPr>
      </w:pPr>
      <w:r w:rsidRPr="005416E7">
        <w:rPr>
          <w:rFonts w:ascii="Verdana" w:eastAsia="Times New Roman" w:hAnsi="Verdana" w:cs="Arial"/>
          <w:sz w:val="20"/>
          <w:szCs w:val="20"/>
          <w:lang w:val="es-ES" w:eastAsia="es-ES"/>
        </w:rPr>
        <w:t xml:space="preserve">Para tales efectos, debe precisarse que </w:t>
      </w:r>
      <w:r w:rsidRPr="005416E7">
        <w:rPr>
          <w:rFonts w:ascii="Verdana" w:eastAsia="Times New Roman" w:hAnsi="Verdana" w:cs="Arial"/>
          <w:color w:val="000000" w:themeColor="text1"/>
          <w:sz w:val="20"/>
          <w:szCs w:val="20"/>
          <w:lang w:val="es-ES" w:eastAsia="es-CO"/>
        </w:rPr>
        <w:t xml:space="preserve">los convenios interadministrativos están determinados por un criterio orgánico, pues es necesario que los extremos de la relación contractual sean entidades públicas, </w:t>
      </w:r>
      <w:r w:rsidRPr="005416E7">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5416E7">
        <w:rPr>
          <w:rFonts w:ascii="Verdana" w:hAnsi="Verdana" w:cs="Arial"/>
          <w:sz w:val="20"/>
          <w:szCs w:val="20"/>
          <w:vertAlign w:val="superscript"/>
          <w:lang w:eastAsia="es-ES"/>
        </w:rPr>
        <w:footnoteReference w:id="10"/>
      </w:r>
      <w:r w:rsidRPr="005416E7">
        <w:rPr>
          <w:rFonts w:ascii="Verdana" w:hAnsi="Verdana" w:cs="Arial"/>
          <w:sz w:val="20"/>
          <w:szCs w:val="20"/>
          <w:lang w:eastAsia="es-ES"/>
        </w:rPr>
        <w:t>.</w:t>
      </w:r>
    </w:p>
    <w:p w14:paraId="1A47ECBB" w14:textId="77777777" w:rsidR="00481562" w:rsidRDefault="00481562" w:rsidP="00481562">
      <w:pPr>
        <w:spacing w:after="0" w:line="276" w:lineRule="auto"/>
        <w:ind w:firstLine="709"/>
        <w:jc w:val="both"/>
        <w:rPr>
          <w:rFonts w:ascii="Verdana" w:hAnsi="Verdana" w:cs="Arial"/>
          <w:color w:val="000000" w:themeColor="text1"/>
          <w:lang w:val="es-ES_tradnl"/>
        </w:rPr>
      </w:pPr>
    </w:p>
    <w:p w14:paraId="54516F30" w14:textId="77777777" w:rsidR="00481562" w:rsidRPr="005416E7" w:rsidRDefault="00481562" w:rsidP="00481562">
      <w:pPr>
        <w:spacing w:after="120" w:line="276" w:lineRule="auto"/>
        <w:ind w:firstLine="709"/>
        <w:jc w:val="both"/>
        <w:rPr>
          <w:rFonts w:ascii="Verdana" w:hAnsi="Verdana" w:cs="Arial"/>
          <w:color w:val="000000" w:themeColor="text1"/>
          <w:lang w:val="es-ES_tradnl"/>
        </w:rPr>
      </w:pPr>
      <w:r w:rsidRPr="005416E7">
        <w:rPr>
          <w:rFonts w:ascii="Verdana" w:hAnsi="Verdana" w:cs="Arial"/>
          <w:color w:val="000000" w:themeColor="text1"/>
          <w:lang w:val="es-ES_tradnl"/>
        </w:rPr>
        <w:t>Si bien los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convenio interadministrativo.</w:t>
      </w:r>
    </w:p>
    <w:p w14:paraId="5323798D" w14:textId="77777777" w:rsidR="00481562" w:rsidRPr="005416E7" w:rsidRDefault="00481562" w:rsidP="00481562">
      <w:pPr>
        <w:spacing w:before="120" w:after="0" w:line="276" w:lineRule="auto"/>
        <w:ind w:firstLine="708"/>
        <w:jc w:val="both"/>
        <w:rPr>
          <w:rFonts w:ascii="Verdana" w:hAnsi="Verdana" w:cs="Arial"/>
          <w:lang w:val="es-ES_tradnl"/>
        </w:rPr>
      </w:pPr>
      <w:r w:rsidRPr="005416E7">
        <w:rPr>
          <w:rFonts w:ascii="Verdana" w:hAnsi="Verdana" w:cs="Arial"/>
          <w:lang w:val="es-ES"/>
        </w:rPr>
        <w:t>Un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5416E7">
        <w:rPr>
          <w:rFonts w:ascii="Verdana" w:hAnsi="Verdana" w:cs="Arial"/>
          <w:vertAlign w:val="superscript"/>
          <w:lang w:val="es-ES"/>
        </w:rPr>
        <w:footnoteReference w:id="11"/>
      </w:r>
      <w:r w:rsidRPr="005416E7">
        <w:rPr>
          <w:rFonts w:ascii="Verdana" w:hAnsi="Verdana" w:cs="Arial"/>
          <w:lang w:val="es-ES"/>
        </w:rPr>
        <w:t xml:space="preserve">. </w:t>
      </w:r>
    </w:p>
    <w:p w14:paraId="12FAEC65" w14:textId="77777777" w:rsidR="00481562" w:rsidRPr="005416E7" w:rsidRDefault="00481562" w:rsidP="00481562">
      <w:pPr>
        <w:spacing w:before="120" w:after="0" w:line="276" w:lineRule="auto"/>
        <w:ind w:firstLine="708"/>
        <w:jc w:val="both"/>
        <w:rPr>
          <w:rFonts w:ascii="Verdana" w:hAnsi="Verdana" w:cs="Arial"/>
          <w:lang w:val="es-ES"/>
        </w:rPr>
      </w:pPr>
      <w:r w:rsidRPr="005416E7">
        <w:rPr>
          <w:rFonts w:ascii="Verdana" w:hAnsi="Verdana" w:cs="Arial"/>
          <w:lang w:val="es-ES"/>
        </w:rPr>
        <w:t>De igual manera, es necesario tener en cuenta que para que un convenio interadministrativo exista debe cumplir con los siguientes elementos: acuerdo sobre el objeto y la contraprestación y que conste por escrito</w:t>
      </w:r>
      <w:r w:rsidRPr="005416E7">
        <w:rPr>
          <w:rFonts w:ascii="Verdana" w:hAnsi="Verdana" w:cs="Arial"/>
          <w:vertAlign w:val="superscript"/>
          <w:lang w:val="es-ES"/>
        </w:rPr>
        <w:footnoteReference w:id="12"/>
      </w:r>
      <w:r w:rsidRPr="005416E7">
        <w:rPr>
          <w:rFonts w:ascii="Verdana" w:hAnsi="Verdana" w:cs="Arial"/>
          <w:lang w:val="es-ES"/>
        </w:rPr>
        <w:t xml:space="preserve">. Entonces, si </w:t>
      </w:r>
      <w:r w:rsidRPr="005416E7">
        <w:rPr>
          <w:rFonts w:ascii="Verdana" w:hAnsi="Verdana" w:cs="Arial"/>
          <w:lang w:val="es-ES"/>
        </w:rPr>
        <w:lastRenderedPageBreak/>
        <w:t>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3F4B8DD2" w14:textId="77777777" w:rsidR="00481562" w:rsidRPr="005416E7" w:rsidRDefault="00481562" w:rsidP="00481562">
      <w:pPr>
        <w:spacing w:before="120" w:after="0" w:line="276" w:lineRule="auto"/>
        <w:ind w:firstLine="708"/>
        <w:jc w:val="both"/>
        <w:rPr>
          <w:rFonts w:ascii="Verdana" w:eastAsia="Times New Roman" w:hAnsi="Verdana" w:cs="Arial"/>
          <w:lang w:val="es-MX" w:eastAsia="es-CO"/>
        </w:rPr>
      </w:pPr>
      <w:r w:rsidRPr="005416E7">
        <w:rPr>
          <w:rFonts w:ascii="Verdana" w:eastAsia="Arial" w:hAnsi="Verdana" w:cs="Arial"/>
          <w:lang w:val="es-MX" w:eastAsia="es-ES" w:bidi="es-ES"/>
        </w:rPr>
        <w:t>De esta manera, se</w:t>
      </w:r>
      <w:r w:rsidRPr="005416E7">
        <w:rPr>
          <w:rFonts w:ascii="Verdana" w:eastAsia="Times New Roman" w:hAnsi="Verdana" w:cs="Arial"/>
          <w:lang w:eastAsia="es-CO"/>
        </w:rPr>
        <w:t xml:space="preserve"> observa entonces que </w:t>
      </w:r>
      <w:r w:rsidRPr="005416E7">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5416E7">
        <w:rPr>
          <w:rFonts w:ascii="Verdana" w:eastAsia="Times New Roman" w:hAnsi="Verdana" w:cs="Arial"/>
          <w:i/>
          <w:iCs/>
          <w:lang w:val="es-MX" w:eastAsia="es-CO"/>
        </w:rPr>
        <w:t>convenios interadministrativos</w:t>
      </w:r>
      <w:r w:rsidRPr="005416E7">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5416E7">
        <w:rPr>
          <w:rFonts w:ascii="Verdana" w:eastAsia="Times New Roman" w:hAnsi="Verdana" w:cs="Arial"/>
          <w:i/>
          <w:lang w:val="es-MX" w:eastAsia="es-CO"/>
        </w:rPr>
        <w:t>ibidem</w:t>
      </w:r>
      <w:r w:rsidRPr="005416E7">
        <w:rPr>
          <w:rFonts w:ascii="Verdana" w:eastAsia="Times New Roman" w:hAnsi="Verdana" w:cs="Arial"/>
          <w:lang w:val="es-MX" w:eastAsia="es-CO"/>
        </w:rPr>
        <w:t xml:space="preserve">, no podrá celebrar tales </w:t>
      </w:r>
      <w:r w:rsidRPr="005416E7">
        <w:rPr>
          <w:rFonts w:ascii="Verdana" w:eastAsia="Times New Roman" w:hAnsi="Verdana" w:cs="Arial"/>
          <w:i/>
          <w:iCs/>
          <w:lang w:val="es-MX" w:eastAsia="es-CO"/>
        </w:rPr>
        <w:t>convenios</w:t>
      </w:r>
      <w:r w:rsidRPr="005416E7">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508C94CB" w14:textId="77777777" w:rsidR="00481562" w:rsidRPr="005416E7" w:rsidRDefault="00481562" w:rsidP="00481562">
      <w:pPr>
        <w:spacing w:before="120" w:after="0" w:line="276" w:lineRule="auto"/>
        <w:ind w:firstLine="708"/>
        <w:jc w:val="both"/>
        <w:rPr>
          <w:rFonts w:ascii="Verdana" w:eastAsia="Times New Roman" w:hAnsi="Verdana" w:cs="Arial"/>
          <w:i/>
          <w:iCs/>
          <w:lang w:eastAsia="es-CO"/>
        </w:rPr>
      </w:pPr>
      <w:r w:rsidRPr="005416E7">
        <w:rPr>
          <w:rFonts w:ascii="Verdana" w:hAnsi="Verdana" w:cs="Arial"/>
          <w:lang w:val="es-ES_tradnl"/>
        </w:rPr>
        <w:t xml:space="preserve">Ahora bien, con respecto al alcance de la prohibición en mención, la Circular Externa No. 006 de 2025 expedida por la ANCP-CCE, en sus literales </w:t>
      </w:r>
      <w:proofErr w:type="spellStart"/>
      <w:r w:rsidRPr="005416E7">
        <w:rPr>
          <w:rFonts w:ascii="Verdana" w:hAnsi="Verdana" w:cs="Arial"/>
          <w:lang w:val="es-ES_tradnl"/>
        </w:rPr>
        <w:t>ii</w:t>
      </w:r>
      <w:proofErr w:type="spellEnd"/>
      <w:r w:rsidRPr="005416E7">
        <w:rPr>
          <w:rFonts w:ascii="Verdana" w:hAnsi="Verdana" w:cs="Arial"/>
          <w:lang w:val="es-ES_tradnl"/>
        </w:rPr>
        <w:t xml:space="preserve">) y </w:t>
      </w:r>
      <w:proofErr w:type="spellStart"/>
      <w:r w:rsidRPr="005416E7">
        <w:rPr>
          <w:rFonts w:ascii="Verdana" w:hAnsi="Verdana" w:cs="Arial"/>
          <w:lang w:val="es-ES_tradnl"/>
        </w:rPr>
        <w:t>iv</w:t>
      </w:r>
      <w:proofErr w:type="spellEnd"/>
      <w:r w:rsidRPr="005416E7">
        <w:rPr>
          <w:rFonts w:ascii="Verdana" w:hAnsi="Verdana" w:cs="Arial"/>
          <w:lang w:val="es-ES_tradnl"/>
        </w:rPr>
        <w:t xml:space="preserve">) del numeral 2, indica que el parágrafo del artículo 38 de la Ley 996 de 2005 cobija expresamente a los </w:t>
      </w:r>
      <w:r w:rsidRPr="005416E7">
        <w:rPr>
          <w:rFonts w:ascii="Verdana" w:hAnsi="Verdana" w:cs="Arial"/>
          <w:i/>
          <w:iCs/>
          <w:lang w:val="es-ES_tradnl"/>
        </w:rPr>
        <w:t xml:space="preserve">convenios interadministrativos </w:t>
      </w:r>
      <w:r w:rsidRPr="005416E7">
        <w:rPr>
          <w:rFonts w:ascii="Verdana" w:hAnsi="Verdana" w:cs="Arial"/>
          <w:lang w:val="es-ES_tradnl"/>
        </w:rPr>
        <w:t xml:space="preserve">en los que se contemple la ejecución de recursos públicos. Además, precisa que el parágrafo referido no estableció ningún supuesto que exceptúe la aplicación de dicha prohibición, por lo que, la restricción referida a la celebración de </w:t>
      </w:r>
      <w:r w:rsidRPr="005416E7">
        <w:rPr>
          <w:rFonts w:ascii="Verdana" w:hAnsi="Verdana" w:cs="Arial"/>
          <w:i/>
          <w:iCs/>
          <w:lang w:val="es-ES_tradnl"/>
        </w:rPr>
        <w:t xml:space="preserve">convenios interadministrativos </w:t>
      </w:r>
      <w:r w:rsidRPr="005416E7">
        <w:rPr>
          <w:rFonts w:ascii="Verdana" w:hAnsi="Verdana" w:cs="Arial"/>
          <w:lang w:val="es-ES_tradnl"/>
        </w:rPr>
        <w:t xml:space="preserve">aplicará a los sujetos allí celebrados </w:t>
      </w:r>
      <w:r w:rsidRPr="005416E7">
        <w:rPr>
          <w:rFonts w:ascii="Verdana" w:eastAsia="Times New Roman" w:hAnsi="Verdana" w:cs="Arial"/>
          <w:i/>
          <w:iCs/>
          <w:lang w:eastAsia="es-CO"/>
        </w:rPr>
        <w:t>“aunque se configure alguno de los supuestos de excepción que señaló el inciso final del artículo 33”.</w:t>
      </w:r>
    </w:p>
    <w:p w14:paraId="3C3511FA" w14:textId="77777777" w:rsidR="00481562" w:rsidRPr="005416E7" w:rsidRDefault="00481562" w:rsidP="00481562">
      <w:pPr>
        <w:spacing w:before="120" w:after="0" w:line="276" w:lineRule="auto"/>
        <w:ind w:firstLine="708"/>
        <w:jc w:val="both"/>
        <w:rPr>
          <w:rFonts w:ascii="Verdana" w:eastAsia="Times New Roman" w:hAnsi="Verdana" w:cs="Arial"/>
          <w:lang w:eastAsia="es-CO"/>
        </w:rPr>
      </w:pPr>
      <w:r w:rsidRPr="005416E7">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5416E7">
        <w:rPr>
          <w:rFonts w:ascii="Verdana" w:eastAsia="Times New Roman" w:hAnsi="Verdana" w:cs="Arial"/>
          <w:i/>
          <w:iCs/>
          <w:lang w:eastAsia="es-CO"/>
        </w:rPr>
        <w:t>convenios interadministrativos</w:t>
      </w:r>
      <w:r w:rsidRPr="005416E7">
        <w:rPr>
          <w:rFonts w:ascii="Verdana" w:eastAsia="Times New Roman" w:hAnsi="Verdana" w:cs="Arial"/>
          <w:lang w:eastAsia="es-CO"/>
        </w:rPr>
        <w:t xml:space="preserve"> en los que se contemple la </w:t>
      </w:r>
      <w:r w:rsidRPr="005416E7">
        <w:rPr>
          <w:rFonts w:ascii="Verdana" w:eastAsia="Times New Roman" w:hAnsi="Verdana" w:cs="Arial"/>
          <w:i/>
          <w:iCs/>
          <w:lang w:eastAsia="es-CO"/>
        </w:rPr>
        <w:t>ejecución de recursos públicos</w:t>
      </w:r>
      <w:r w:rsidRPr="005416E7">
        <w:rPr>
          <w:rFonts w:ascii="Verdana" w:eastAsia="Times New Roman" w:hAnsi="Verdana" w:cs="Arial"/>
          <w:lang w:eastAsia="es-CO"/>
        </w:rPr>
        <w:t xml:space="preserve">. Esto significa que la prohibición no resulta aplicable a </w:t>
      </w:r>
      <w:r w:rsidRPr="005416E7">
        <w:rPr>
          <w:rFonts w:ascii="Verdana" w:eastAsia="Times New Roman" w:hAnsi="Verdana" w:cs="Arial"/>
          <w:i/>
          <w:iCs/>
          <w:lang w:eastAsia="es-CO"/>
        </w:rPr>
        <w:t>convenios interadministrativos a título gratuito,</w:t>
      </w:r>
      <w:r w:rsidRPr="005416E7">
        <w:rPr>
          <w:rFonts w:ascii="Verdana" w:eastAsia="Times New Roman" w:hAnsi="Verdana" w:cs="Arial"/>
          <w:lang w:eastAsia="es-CO"/>
        </w:rPr>
        <w:t xml:space="preserve"> los cuales pueden celebrarse válidamente durante la vigencia de la mencionada restricción. </w:t>
      </w:r>
    </w:p>
    <w:p w14:paraId="5AFF82AE" w14:textId="77777777" w:rsidR="00481562" w:rsidRPr="005416E7" w:rsidRDefault="00481562" w:rsidP="00481562">
      <w:pPr>
        <w:spacing w:before="120" w:after="0" w:line="276" w:lineRule="auto"/>
        <w:ind w:firstLine="708"/>
        <w:jc w:val="both"/>
        <w:rPr>
          <w:rFonts w:ascii="Verdana" w:eastAsia="Times New Roman" w:hAnsi="Verdana" w:cs="Arial"/>
          <w:lang w:eastAsia="es-CO"/>
        </w:rPr>
      </w:pPr>
      <w:r w:rsidRPr="005416E7">
        <w:rPr>
          <w:rFonts w:ascii="Verdana" w:eastAsia="Times New Roman" w:hAnsi="Verdana" w:cs="Arial"/>
          <w:lang w:eastAsia="es-CO"/>
        </w:rPr>
        <w:t xml:space="preserve">Por lo tanto, conforme a lo dispuesto en la Circular referida, si se suscriben </w:t>
      </w:r>
      <w:r w:rsidRPr="005416E7">
        <w:rPr>
          <w:rFonts w:ascii="Verdana" w:eastAsia="Times New Roman" w:hAnsi="Verdana" w:cs="Arial"/>
          <w:i/>
          <w:iCs/>
          <w:lang w:eastAsia="es-CO"/>
        </w:rPr>
        <w:t>convenios interadministrativos para la ejecución de recursos públicos</w:t>
      </w:r>
      <w:r w:rsidRPr="005416E7">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5416E7">
        <w:rPr>
          <w:rFonts w:ascii="Verdana" w:eastAsia="Times New Roman" w:hAnsi="Verdana" w:cs="Arial"/>
          <w:i/>
          <w:iCs/>
          <w:lang w:eastAsia="es-CO"/>
        </w:rPr>
        <w:t>ibidem</w:t>
      </w:r>
      <w:r w:rsidRPr="005416E7">
        <w:rPr>
          <w:rFonts w:ascii="Verdana" w:eastAsia="Times New Roman" w:hAnsi="Verdana" w:cs="Arial"/>
          <w:lang w:eastAsia="es-CO"/>
        </w:rPr>
        <w:t>, independientemente de que se configure alguno de los supuestos de excepción que señaló el inciso final del artículo 33, es decir, que se trate de:</w:t>
      </w:r>
      <w:r w:rsidRPr="005416E7">
        <w:rPr>
          <w:rFonts w:ascii="Verdana" w:hAnsi="Verdana" w:cs="Arial"/>
          <w:bCs/>
          <w:lang w:val="es-MX" w:eastAsia="x-none"/>
        </w:rPr>
        <w:t xml:space="preserve"> i) la defensa y seguridad del Estado; </w:t>
      </w:r>
      <w:proofErr w:type="spellStart"/>
      <w:r w:rsidRPr="005416E7">
        <w:rPr>
          <w:rFonts w:ascii="Verdana" w:hAnsi="Verdana" w:cs="Arial"/>
          <w:bCs/>
          <w:lang w:val="es-MX" w:eastAsia="x-none"/>
        </w:rPr>
        <w:t>ii</w:t>
      </w:r>
      <w:proofErr w:type="spellEnd"/>
      <w:r w:rsidRPr="005416E7">
        <w:rPr>
          <w:rFonts w:ascii="Verdana" w:hAnsi="Verdana" w:cs="Arial"/>
          <w:bCs/>
          <w:lang w:val="es-MX" w:eastAsia="x-none"/>
        </w:rPr>
        <w:t xml:space="preserve">) los contratos de crédito público; </w:t>
      </w:r>
      <w:proofErr w:type="spellStart"/>
      <w:r w:rsidRPr="005416E7">
        <w:rPr>
          <w:rFonts w:ascii="Verdana" w:hAnsi="Verdana" w:cs="Arial"/>
          <w:bCs/>
          <w:lang w:val="es-MX" w:eastAsia="x-none"/>
        </w:rPr>
        <w:t>iii</w:t>
      </w:r>
      <w:proofErr w:type="spellEnd"/>
      <w:r w:rsidRPr="005416E7">
        <w:rPr>
          <w:rFonts w:ascii="Verdana" w:hAnsi="Verdana" w:cs="Arial"/>
          <w:bCs/>
          <w:lang w:val="es-MX" w:eastAsia="x-none"/>
        </w:rPr>
        <w:t xml:space="preserve">) los requeridos para cubrir las emergencias educativas, sanitarias y desastres; </w:t>
      </w:r>
      <w:proofErr w:type="spellStart"/>
      <w:r w:rsidRPr="005416E7">
        <w:rPr>
          <w:rFonts w:ascii="Verdana" w:hAnsi="Verdana" w:cs="Arial"/>
          <w:bCs/>
          <w:lang w:val="es-MX" w:eastAsia="x-none"/>
        </w:rPr>
        <w:t>iv</w:t>
      </w:r>
      <w:proofErr w:type="spellEnd"/>
      <w:r w:rsidRPr="005416E7">
        <w:rPr>
          <w:rFonts w:ascii="Verdana" w:hAnsi="Verdana" w:cs="Arial"/>
          <w:bCs/>
          <w:lang w:val="es-MX" w:eastAsia="x-none"/>
        </w:rPr>
        <w:t xml:space="preserve">) los utilizados para la reconstrucción de vías, puentes, carreteras, </w:t>
      </w:r>
      <w:r w:rsidRPr="005416E7">
        <w:rPr>
          <w:rFonts w:ascii="Verdana" w:hAnsi="Verdana" w:cs="Arial"/>
          <w:bCs/>
          <w:lang w:val="es-MX" w:eastAsia="x-none"/>
        </w:rPr>
        <w:lastRenderedPageBreak/>
        <w:t>infraestructura energética y de comunicaciones, en caso de que hayan sido objeto de atentados, acciones terroristas, desastres naturales o casos de fuerza mayor; y, v) los que deban realizar las entidades sanitarias y hospitalarias.</w:t>
      </w:r>
      <w:r w:rsidRPr="005416E7">
        <w:rPr>
          <w:rFonts w:ascii="Verdana" w:hAnsi="Verdana" w:cs="Arial"/>
          <w:bCs/>
          <w:lang w:val="es-MX" w:eastAsia="es-CO"/>
        </w:rPr>
        <w:t xml:space="preserve"> </w:t>
      </w:r>
      <w:r w:rsidRPr="005416E7">
        <w:rPr>
          <w:rFonts w:ascii="Verdana" w:eastAsia="Times New Roman" w:hAnsi="Verdana" w:cs="Arial"/>
          <w:lang w:eastAsia="es-CO"/>
        </w:rPr>
        <w:t xml:space="preserve">  </w:t>
      </w:r>
    </w:p>
    <w:p w14:paraId="17452568" w14:textId="77777777" w:rsidR="00481562" w:rsidRPr="005416E7" w:rsidRDefault="00481562" w:rsidP="00481562">
      <w:pPr>
        <w:spacing w:before="120" w:after="0" w:line="276" w:lineRule="auto"/>
        <w:ind w:firstLine="708"/>
        <w:jc w:val="both"/>
        <w:rPr>
          <w:rFonts w:ascii="Verdana" w:eastAsia="Times New Roman" w:hAnsi="Verdana" w:cs="Arial"/>
          <w:lang w:eastAsia="es-CO"/>
        </w:rPr>
      </w:pPr>
      <w:r w:rsidRPr="005416E7">
        <w:rPr>
          <w:rFonts w:ascii="Verdana" w:eastAsia="Times New Roman" w:hAnsi="Verdana" w:cs="Arial"/>
          <w:lang w:eastAsia="es-CO"/>
        </w:rPr>
        <w:t xml:space="preserve">En este punto, teniendo en cuenta lo señalado en el contenido de su petición, vale la pena destacar que, </w:t>
      </w:r>
      <w:r w:rsidRPr="005416E7">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5416E7">
        <w:rPr>
          <w:rFonts w:ascii="Verdana" w:hAnsi="Verdana" w:cs="Arial"/>
        </w:rPr>
        <w:t>numeral 16.2 de la Circular Externa Única de 2022 expedida por la Agencia Nacional de Contratación Pública -Colombia Compra Eficiente-, concretamente, respecto de los siguientes apartes normativos</w:t>
      </w:r>
      <w:r w:rsidRPr="005416E7">
        <w:rPr>
          <w:rFonts w:ascii="Verdana" w:hAnsi="Verdana" w:cs="Arial"/>
          <w:vertAlign w:val="superscript"/>
        </w:rPr>
        <w:footnoteReference w:id="13"/>
      </w:r>
      <w:r w:rsidRPr="005416E7">
        <w:rPr>
          <w:rFonts w:ascii="Verdana" w:hAnsi="Verdana" w:cs="Arial"/>
        </w:rPr>
        <w:t xml:space="preserve">: </w:t>
      </w:r>
    </w:p>
    <w:p w14:paraId="52B8B23D" w14:textId="77777777" w:rsidR="00481562" w:rsidRDefault="00481562" w:rsidP="00481562">
      <w:pPr>
        <w:spacing w:after="0" w:line="240" w:lineRule="auto"/>
        <w:ind w:left="709" w:right="709"/>
        <w:jc w:val="both"/>
        <w:rPr>
          <w:rFonts w:ascii="Verdana" w:hAnsi="Verdana" w:cs="Arial"/>
          <w:sz w:val="20"/>
          <w:szCs w:val="20"/>
          <w:lang w:val="es-MX"/>
        </w:rPr>
      </w:pPr>
    </w:p>
    <w:p w14:paraId="129AB57D" w14:textId="77777777" w:rsidR="00481562" w:rsidRPr="005416E7" w:rsidRDefault="00481562" w:rsidP="00481562">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5416E7">
        <w:rPr>
          <w:rFonts w:ascii="Verdana" w:hAnsi="Verdana" w:cs="Arial"/>
          <w:sz w:val="20"/>
          <w:szCs w:val="20"/>
          <w:lang w:val="es-MX"/>
        </w:rPr>
        <w:t>i)</w:t>
      </w:r>
      <w:r w:rsidRPr="005416E7">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54314264" w14:textId="77777777" w:rsidR="00481562" w:rsidRPr="005416E7" w:rsidRDefault="00481562" w:rsidP="00481562">
      <w:pPr>
        <w:spacing w:after="0" w:line="240" w:lineRule="auto"/>
        <w:ind w:left="709" w:right="709"/>
        <w:jc w:val="both"/>
        <w:rPr>
          <w:rFonts w:ascii="Verdana" w:hAnsi="Verdana" w:cs="Arial"/>
          <w:sz w:val="20"/>
          <w:szCs w:val="20"/>
        </w:rPr>
      </w:pPr>
    </w:p>
    <w:p w14:paraId="00CCE933" w14:textId="77777777" w:rsidR="00481562" w:rsidRPr="005416E7" w:rsidRDefault="00481562" w:rsidP="00481562">
      <w:pPr>
        <w:spacing w:after="0" w:line="240" w:lineRule="auto"/>
        <w:ind w:left="709" w:right="709"/>
        <w:jc w:val="both"/>
        <w:rPr>
          <w:rFonts w:ascii="Verdana" w:hAnsi="Verdana" w:cs="Arial"/>
          <w:sz w:val="20"/>
          <w:szCs w:val="20"/>
        </w:rPr>
      </w:pPr>
      <w:proofErr w:type="spellStart"/>
      <w:r w:rsidRPr="005416E7">
        <w:rPr>
          <w:rFonts w:ascii="Verdana" w:hAnsi="Verdana" w:cs="Arial"/>
          <w:sz w:val="20"/>
          <w:szCs w:val="20"/>
        </w:rPr>
        <w:t>ii</w:t>
      </w:r>
      <w:proofErr w:type="spellEnd"/>
      <w:r w:rsidRPr="005416E7">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01AE819" w14:textId="77777777" w:rsidR="00481562" w:rsidRPr="005416E7" w:rsidRDefault="00481562" w:rsidP="00481562">
      <w:pPr>
        <w:spacing w:after="0" w:line="276" w:lineRule="auto"/>
        <w:ind w:left="709" w:right="709"/>
        <w:jc w:val="both"/>
        <w:rPr>
          <w:rFonts w:ascii="Verdana" w:hAnsi="Verdana" w:cs="Arial"/>
        </w:rPr>
      </w:pPr>
    </w:p>
    <w:p w14:paraId="3346E51F" w14:textId="77777777" w:rsidR="00481562" w:rsidRPr="005416E7" w:rsidRDefault="00481562" w:rsidP="00481562">
      <w:pPr>
        <w:spacing w:after="120" w:line="276" w:lineRule="auto"/>
        <w:ind w:firstLine="709"/>
        <w:jc w:val="both"/>
        <w:rPr>
          <w:rFonts w:ascii="Verdana" w:eastAsia="Arial" w:hAnsi="Verdana" w:cs="Arial"/>
          <w:i/>
          <w:iCs/>
          <w:lang w:eastAsia="es-ES" w:bidi="es-ES"/>
        </w:rPr>
      </w:pPr>
      <w:r w:rsidRPr="005416E7">
        <w:rPr>
          <w:rFonts w:ascii="Verdana" w:eastAsia="Arial" w:hAnsi="Verdana" w:cs="Arial"/>
          <w:lang w:val="es-MX" w:eastAsia="es-ES" w:bidi="es-ES"/>
        </w:rPr>
        <w:t xml:space="preserve">De conformidad con los argumentos de dicha providencia, se parte de la distinción entre los conceptos </w:t>
      </w:r>
      <w:r w:rsidRPr="005416E7">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5416E7">
        <w:rPr>
          <w:rFonts w:ascii="Verdana" w:hAnsi="Verdana"/>
          <w:sz w:val="24"/>
          <w:szCs w:val="24"/>
          <w:lang w:eastAsia="es-CO"/>
        </w:rPr>
        <w:t xml:space="preserve"> </w:t>
      </w:r>
      <w:r w:rsidRPr="005416E7">
        <w:rPr>
          <w:rFonts w:ascii="Verdana" w:eastAsia="Arial" w:hAnsi="Verdana" w:cs="Arial"/>
          <w:lang w:eastAsia="es-ES" w:bidi="es-ES"/>
        </w:rPr>
        <w:t xml:space="preserve">En este sentido, en relación con el parágrafo del artículo 38 de la Ley 996 de 2005 concluyó que </w:t>
      </w:r>
      <w:r w:rsidRPr="005416E7">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5416E7">
        <w:rPr>
          <w:rFonts w:ascii="Verdana" w:eastAsia="Arial" w:hAnsi="Verdana" w:cs="Arial"/>
          <w:lang w:eastAsia="es-ES" w:bidi="es-ES"/>
        </w:rPr>
        <w:t xml:space="preserve">Por tal motivo, para efectos de decretar la medida de suspensión provisional de los apartes señalados del numeral 16.2 de la Circular Externa </w:t>
      </w:r>
      <w:r w:rsidRPr="005416E7">
        <w:rPr>
          <w:rFonts w:ascii="Verdana" w:eastAsia="Arial" w:hAnsi="Verdana" w:cs="Arial"/>
          <w:lang w:eastAsia="es-ES" w:bidi="es-ES"/>
        </w:rPr>
        <w:lastRenderedPageBreak/>
        <w:t xml:space="preserve">Única, argumentó que </w:t>
      </w:r>
      <w:r w:rsidRPr="005416E7">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1D093A1" w14:textId="77777777" w:rsidR="00481562" w:rsidRPr="005416E7" w:rsidRDefault="00481562" w:rsidP="00481562">
      <w:pPr>
        <w:spacing w:after="120" w:line="276" w:lineRule="auto"/>
        <w:ind w:firstLine="709"/>
        <w:jc w:val="both"/>
        <w:rPr>
          <w:rFonts w:ascii="Verdana" w:eastAsia="Arial" w:hAnsi="Verdana" w:cs="Arial"/>
          <w:lang w:eastAsia="es-ES" w:bidi="es-ES"/>
        </w:rPr>
      </w:pPr>
      <w:r w:rsidRPr="005416E7">
        <w:rPr>
          <w:rFonts w:ascii="Verdana" w:eastAsia="Arial" w:hAnsi="Verdana" w:cs="Arial"/>
          <w:lang w:eastAsia="es-ES" w:bidi="es-ES"/>
        </w:rPr>
        <w:t>De igual manera, mediante auto del 6 de noviembre de 2025, el Consejo de Estado, Subsección A de la Sección Tercera, decretó</w:t>
      </w:r>
      <w:r w:rsidRPr="005416E7">
        <w:rPr>
          <w:rFonts w:ascii="Verdana" w:eastAsia="Arial" w:hAnsi="Verdana" w:cs="Arial"/>
          <w:b/>
          <w:bCs/>
          <w:lang w:eastAsia="es-ES" w:bidi="es-ES"/>
        </w:rPr>
        <w:t xml:space="preserve"> </w:t>
      </w:r>
      <w:r w:rsidRPr="005416E7">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5416E7">
        <w:rPr>
          <w:rFonts w:ascii="Verdana" w:eastAsia="Arial" w:hAnsi="Verdana" w:cs="Arial"/>
          <w:vertAlign w:val="superscript"/>
          <w:lang w:eastAsia="es-ES" w:bidi="es-ES"/>
        </w:rPr>
        <w:footnoteReference w:id="14"/>
      </w:r>
      <w:r w:rsidRPr="005416E7">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79BC5842" w14:textId="77777777" w:rsidR="00481562" w:rsidRPr="005416E7" w:rsidRDefault="00481562" w:rsidP="00481562">
      <w:pPr>
        <w:spacing w:after="120" w:line="276" w:lineRule="auto"/>
        <w:ind w:firstLine="709"/>
        <w:jc w:val="both"/>
        <w:rPr>
          <w:rFonts w:ascii="Verdana" w:eastAsia="Times New Roman" w:hAnsi="Verdana" w:cs="Times New Roman"/>
          <w:lang w:eastAsia="es-ES"/>
        </w:rPr>
      </w:pPr>
      <w:r w:rsidRPr="005416E7">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5416E7">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4992D4D6" w14:textId="77777777" w:rsidR="00481562" w:rsidRPr="005416E7" w:rsidRDefault="00481562" w:rsidP="00481562">
      <w:pPr>
        <w:spacing w:after="120" w:line="276" w:lineRule="auto"/>
        <w:ind w:firstLine="709"/>
        <w:jc w:val="both"/>
        <w:rPr>
          <w:rFonts w:ascii="Verdana" w:eastAsia="Times New Roman" w:hAnsi="Verdana" w:cs="Times New Roman"/>
          <w:lang w:eastAsia="es-ES"/>
        </w:rPr>
      </w:pPr>
      <w:r w:rsidRPr="005416E7">
        <w:rPr>
          <w:rFonts w:ascii="Verdana" w:eastAsia="Times New Roman" w:hAnsi="Verdana" w:cs="Times New Roman"/>
          <w:lang w:eastAsia="es-ES"/>
        </w:rPr>
        <w:t xml:space="preserve">La anterior decisión se adoptó al considerar que la Agencia excedió su competencia material al incluir contratos en una restricción que la Ley de </w:t>
      </w:r>
      <w:r w:rsidRPr="005416E7">
        <w:rPr>
          <w:rFonts w:ascii="Verdana" w:eastAsia="Times New Roman" w:hAnsi="Verdana" w:cs="Times New Roman"/>
          <w:lang w:eastAsia="es-ES"/>
        </w:rPr>
        <w:lastRenderedPageBreak/>
        <w:t>Garantías Electorales solo previó para convenios, cuando no es posible aplicar por analogía o extensión una norma que establece prohibiciones</w:t>
      </w:r>
      <w:r w:rsidRPr="005416E7">
        <w:rPr>
          <w:rStyle w:val="Refdenotaalpie"/>
          <w:rFonts w:ascii="Verdana" w:eastAsia="Times New Roman" w:hAnsi="Verdana" w:cs="Times New Roman"/>
          <w:lang w:eastAsia="es-ES"/>
        </w:rPr>
        <w:footnoteReference w:id="15"/>
      </w:r>
      <w:r w:rsidRPr="005416E7">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r>
        <w:rPr>
          <w:rFonts w:ascii="Verdana" w:eastAsia="Times New Roman" w:hAnsi="Verdana" w:cs="Times New Roman"/>
          <w:lang w:eastAsia="es-ES"/>
        </w:rPr>
        <w:t xml:space="preserve"> </w:t>
      </w:r>
      <w:r w:rsidRPr="005416E7">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20FBEF22" w14:textId="77777777" w:rsidR="00481562" w:rsidRDefault="00481562" w:rsidP="00481562">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A</w:t>
      </w:r>
      <w:r w:rsidRPr="005416E7">
        <w:rPr>
          <w:rFonts w:ascii="Verdana" w:eastAsia="Times New Roman" w:hAnsi="Verdana" w:cs="Arial"/>
          <w:lang w:eastAsia="es-CO"/>
        </w:rPr>
        <w:t xml:space="preserve">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5416E7">
        <w:rPr>
          <w:rFonts w:ascii="Verdana" w:eastAsia="Times New Roman" w:hAnsi="Verdana" w:cs="Arial"/>
          <w:i/>
          <w:iCs/>
          <w:lang w:eastAsia="es-CO"/>
        </w:rPr>
        <w:t>contratos interadministrativos</w:t>
      </w:r>
      <w:r w:rsidRPr="005416E7">
        <w:rPr>
          <w:rFonts w:ascii="Verdana" w:eastAsia="Times New Roman" w:hAnsi="Verdana" w:cs="Arial"/>
          <w:lang w:eastAsia="es-CO"/>
        </w:rPr>
        <w:t>, esta prohibición solo aplicaría a los convenios interadministrativos que impliquen la ejecución de recursos públicos</w:t>
      </w:r>
      <w:r w:rsidRPr="005416E7">
        <w:rPr>
          <w:rStyle w:val="Refdenotaalpie"/>
          <w:rFonts w:ascii="Verdana" w:eastAsia="Times New Roman" w:hAnsi="Verdana" w:cs="Arial"/>
          <w:lang w:eastAsia="es-CO"/>
        </w:rPr>
        <w:footnoteReference w:id="16"/>
      </w:r>
      <w:r w:rsidRPr="005416E7">
        <w:rPr>
          <w:rFonts w:ascii="Verdana" w:eastAsia="Times New Roman" w:hAnsi="Verdana" w:cs="Arial"/>
          <w:lang w:eastAsia="es-CO"/>
        </w:rPr>
        <w:t>.</w:t>
      </w:r>
    </w:p>
    <w:p w14:paraId="7C11B993" w14:textId="77777777" w:rsidR="00481562" w:rsidRDefault="00481562" w:rsidP="00481562">
      <w:pPr>
        <w:spacing w:before="120" w:after="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Con todo, en aras de responder de manera precisa al objeto de la consulta, es necesario tener en cuenta que, el ordenamiento jurídico dispone que la modalidad aplicable para la celebración de convenios interadministrativos es la contratación directa, conforme expresamente lo dispone el artículo </w:t>
      </w:r>
      <w:r w:rsidRPr="00C53B15">
        <w:rPr>
          <w:rFonts w:ascii="Verdana" w:eastAsia="Times New Roman" w:hAnsi="Verdana" w:cs="Arial"/>
          <w:lang w:eastAsia="es-CO"/>
        </w:rPr>
        <w:t>2.2.1.2.1.4.4.</w:t>
      </w:r>
      <w:r>
        <w:rPr>
          <w:rFonts w:ascii="Verdana" w:eastAsia="Times New Roman" w:hAnsi="Verdana" w:cs="Arial"/>
          <w:lang w:eastAsia="es-CO"/>
        </w:rPr>
        <w:t xml:space="preserve"> del Decreto 1082 de 2015</w:t>
      </w:r>
      <w:r>
        <w:rPr>
          <w:rStyle w:val="Refdenotaalpie"/>
          <w:rFonts w:ascii="Verdana" w:eastAsia="Times New Roman" w:hAnsi="Verdana" w:cs="Arial"/>
          <w:lang w:eastAsia="es-CO"/>
        </w:rPr>
        <w:footnoteReference w:id="17"/>
      </w:r>
      <w:r>
        <w:rPr>
          <w:rFonts w:ascii="Verdana" w:eastAsia="Times New Roman" w:hAnsi="Verdana" w:cs="Arial"/>
          <w:lang w:eastAsia="es-CO"/>
        </w:rPr>
        <w:t xml:space="preserve">. Esto resulta particularmente </w:t>
      </w:r>
      <w:r>
        <w:rPr>
          <w:rFonts w:ascii="Verdana" w:eastAsia="Times New Roman" w:hAnsi="Verdana" w:cs="Arial"/>
          <w:lang w:eastAsia="es-CO"/>
        </w:rPr>
        <w:lastRenderedPageBreak/>
        <w:t xml:space="preserve">relevante para el particular, ya que, si bien los </w:t>
      </w:r>
      <w:r w:rsidRPr="00BD4175">
        <w:rPr>
          <w:rFonts w:ascii="Verdana" w:eastAsia="Times New Roman" w:hAnsi="Verdana" w:cs="Arial"/>
          <w:i/>
          <w:iCs/>
          <w:lang w:eastAsia="es-CO"/>
        </w:rPr>
        <w:t xml:space="preserve">convenios interadministrativos a </w:t>
      </w:r>
      <w:r w:rsidRPr="005259F2">
        <w:rPr>
          <w:rFonts w:ascii="Verdana" w:eastAsia="Times New Roman" w:hAnsi="Verdana" w:cs="Arial"/>
          <w:i/>
          <w:iCs/>
          <w:lang w:eastAsia="es-CO"/>
        </w:rPr>
        <w:t>título</w:t>
      </w:r>
      <w:r w:rsidRPr="00BD4175">
        <w:rPr>
          <w:rFonts w:ascii="Verdana" w:eastAsia="Times New Roman" w:hAnsi="Verdana" w:cs="Arial"/>
          <w:i/>
          <w:iCs/>
          <w:lang w:eastAsia="es-CO"/>
        </w:rPr>
        <w:t xml:space="preserve"> gratuito</w:t>
      </w:r>
      <w:r>
        <w:rPr>
          <w:rFonts w:ascii="Verdana" w:eastAsia="Times New Roman" w:hAnsi="Verdana" w:cs="Arial"/>
          <w:lang w:eastAsia="es-CO"/>
        </w:rPr>
        <w:t xml:space="preserve"> no se encuentran cobijados por la restricción del parágrafo del artículo 38 de la Ley 996 de 2005, por el hecho de no contemplar la ejecución de recursos públicos, si pueden estar cobijados por la prohibición a la contratación directa establecida por el artículo 33 de la Ley 996 de 2005. </w:t>
      </w:r>
    </w:p>
    <w:p w14:paraId="4F092E84" w14:textId="77777777" w:rsidR="00481562" w:rsidRDefault="00481562" w:rsidP="00481562">
      <w:pPr>
        <w:spacing w:before="120" w:after="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En atención a esto, si bien, en principio, resulta viable celebrar de manera directa un </w:t>
      </w:r>
      <w:r w:rsidRPr="00D76834">
        <w:rPr>
          <w:rFonts w:ascii="Verdana" w:eastAsia="Times New Roman" w:hAnsi="Verdana" w:cs="Arial"/>
          <w:i/>
          <w:iCs/>
          <w:lang w:eastAsia="es-CO"/>
        </w:rPr>
        <w:t xml:space="preserve">convenio interadministrativo a título gratuito </w:t>
      </w:r>
      <w:r>
        <w:rPr>
          <w:rFonts w:ascii="Verdana" w:eastAsia="Times New Roman" w:hAnsi="Verdana" w:cs="Arial"/>
          <w:lang w:eastAsia="es-CO"/>
        </w:rPr>
        <w:t xml:space="preserve">en vigencia de la restricción del artículo 38, esto no resulta válido cuando esté en vigencia la prohibición del artículo 33, ya que esta aplica de manera de manera general a la contratación directa y no contempla excepciones para convenio a </w:t>
      </w:r>
      <w:proofErr w:type="spellStart"/>
      <w:r>
        <w:rPr>
          <w:rFonts w:ascii="Verdana" w:eastAsia="Times New Roman" w:hAnsi="Verdana" w:cs="Arial"/>
          <w:lang w:eastAsia="es-CO"/>
        </w:rPr>
        <w:t>titulo</w:t>
      </w:r>
      <w:proofErr w:type="spellEnd"/>
      <w:r>
        <w:rPr>
          <w:rFonts w:ascii="Verdana" w:eastAsia="Times New Roman" w:hAnsi="Verdana" w:cs="Arial"/>
          <w:lang w:eastAsia="es-CO"/>
        </w:rPr>
        <w:t xml:space="preserve"> gratuito. En ese orden, una vez entrada en vigor la restricción del artículo 33 de la Ley 996 de 2005, solo resulta jurídicamente viable celebrar </w:t>
      </w:r>
      <w:r w:rsidRPr="00BD4175">
        <w:rPr>
          <w:rFonts w:ascii="Verdana" w:eastAsia="Times New Roman" w:hAnsi="Verdana" w:cs="Arial"/>
          <w:i/>
          <w:iCs/>
          <w:lang w:eastAsia="es-CO"/>
        </w:rPr>
        <w:t>convenios interadministrativos a título gratuito</w:t>
      </w:r>
      <w:r>
        <w:rPr>
          <w:rFonts w:ascii="Verdana" w:eastAsia="Times New Roman" w:hAnsi="Verdana" w:cs="Arial"/>
          <w:lang w:eastAsia="es-CO"/>
        </w:rPr>
        <w:t xml:space="preserve">, si respecto de estos se configura alguna de las excepciones establecidas en dicha disposición.  </w:t>
      </w:r>
    </w:p>
    <w:p w14:paraId="2E4A705F" w14:textId="77777777" w:rsidR="00481562" w:rsidRDefault="00481562" w:rsidP="00481562">
      <w:pPr>
        <w:spacing w:after="0" w:line="276" w:lineRule="auto"/>
        <w:ind w:firstLine="709"/>
        <w:jc w:val="both"/>
        <w:rPr>
          <w:rFonts w:ascii="Verdana" w:eastAsia="Times New Roman" w:hAnsi="Verdana" w:cs="Times New Roman"/>
          <w:lang w:eastAsia="es-ES"/>
        </w:rPr>
      </w:pPr>
      <w:r w:rsidRPr="005416E7">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5416E7">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78C5ADFF" w14:textId="77777777" w:rsidR="00481562" w:rsidRDefault="00481562" w:rsidP="00481562">
      <w:pPr>
        <w:spacing w:after="0" w:line="276" w:lineRule="auto"/>
        <w:ind w:firstLine="709"/>
        <w:jc w:val="both"/>
        <w:rPr>
          <w:rFonts w:ascii="Verdana" w:eastAsia="Times New Roman" w:hAnsi="Verdana" w:cs="Times New Roman"/>
          <w:lang w:eastAsia="es-ES"/>
        </w:rPr>
      </w:pPr>
    </w:p>
    <w:p w14:paraId="52B10666" w14:textId="77777777" w:rsidR="00481562" w:rsidRDefault="00481562" w:rsidP="00481562">
      <w:pPr>
        <w:spacing w:after="0" w:line="276" w:lineRule="auto"/>
        <w:ind w:firstLine="709"/>
        <w:jc w:val="both"/>
        <w:rPr>
          <w:rFonts w:ascii="Verdana" w:eastAsia="Times New Roman" w:hAnsi="Verdana" w:cs="Times New Roman"/>
          <w:lang w:eastAsia="es-ES"/>
        </w:rPr>
      </w:pPr>
    </w:p>
    <w:p w14:paraId="6C4F4D25" w14:textId="77777777" w:rsidR="00481562" w:rsidRDefault="00481562" w:rsidP="00481562">
      <w:pPr>
        <w:spacing w:after="0" w:line="276" w:lineRule="auto"/>
        <w:ind w:firstLine="709"/>
        <w:jc w:val="both"/>
        <w:rPr>
          <w:rFonts w:ascii="Verdana" w:eastAsia="Times New Roman" w:hAnsi="Verdana" w:cs="Times New Roman"/>
          <w:lang w:eastAsia="es-ES"/>
        </w:rPr>
      </w:pPr>
    </w:p>
    <w:p w14:paraId="394F7955" w14:textId="77777777" w:rsidR="00481562" w:rsidRDefault="00481562" w:rsidP="00481562">
      <w:pPr>
        <w:spacing w:after="0" w:line="276" w:lineRule="auto"/>
        <w:ind w:firstLine="709"/>
        <w:jc w:val="both"/>
        <w:rPr>
          <w:rFonts w:ascii="Verdana" w:eastAsia="Times New Roman" w:hAnsi="Verdana" w:cs="Times New Roman"/>
          <w:lang w:eastAsia="es-ES"/>
        </w:rPr>
      </w:pPr>
    </w:p>
    <w:p w14:paraId="38EE7324" w14:textId="77777777" w:rsidR="00481562" w:rsidRDefault="00481562" w:rsidP="00481562">
      <w:pPr>
        <w:spacing w:after="0" w:line="276" w:lineRule="auto"/>
        <w:ind w:firstLine="709"/>
        <w:jc w:val="both"/>
        <w:rPr>
          <w:rFonts w:ascii="Verdana" w:eastAsia="Times New Roman" w:hAnsi="Verdana" w:cs="Times New Roman"/>
          <w:lang w:eastAsia="es-ES"/>
        </w:rPr>
      </w:pPr>
    </w:p>
    <w:p w14:paraId="2EC40DF0" w14:textId="77777777" w:rsidR="00481562" w:rsidRDefault="00481562" w:rsidP="00481562">
      <w:pPr>
        <w:spacing w:after="0" w:line="276" w:lineRule="auto"/>
        <w:ind w:firstLine="709"/>
        <w:jc w:val="both"/>
        <w:rPr>
          <w:rFonts w:ascii="Verdana" w:eastAsia="Times New Roman" w:hAnsi="Verdana" w:cs="Times New Roman"/>
          <w:lang w:eastAsia="es-ES"/>
        </w:rPr>
      </w:pPr>
    </w:p>
    <w:p w14:paraId="32576C35" w14:textId="77777777" w:rsidR="00481562" w:rsidRDefault="00481562" w:rsidP="00481562">
      <w:pPr>
        <w:spacing w:after="0" w:line="276" w:lineRule="auto"/>
        <w:ind w:firstLine="709"/>
        <w:jc w:val="both"/>
        <w:rPr>
          <w:rFonts w:ascii="Verdana" w:eastAsia="Times New Roman" w:hAnsi="Verdana" w:cs="Times New Roman"/>
          <w:lang w:eastAsia="es-ES"/>
        </w:rPr>
      </w:pPr>
    </w:p>
    <w:p w14:paraId="5EDEF3AF" w14:textId="77777777" w:rsidR="00481562" w:rsidRDefault="00481562" w:rsidP="00481562">
      <w:pPr>
        <w:spacing w:after="0" w:line="276" w:lineRule="auto"/>
        <w:ind w:firstLine="709"/>
        <w:jc w:val="both"/>
        <w:rPr>
          <w:rFonts w:ascii="Verdana" w:eastAsia="Times New Roman" w:hAnsi="Verdana" w:cs="Times New Roman"/>
          <w:lang w:eastAsia="es-ES"/>
        </w:rPr>
      </w:pPr>
    </w:p>
    <w:p w14:paraId="2A3776E3" w14:textId="77777777" w:rsidR="00481562" w:rsidRPr="00230FF9" w:rsidRDefault="00481562" w:rsidP="00481562">
      <w:pPr>
        <w:spacing w:after="0" w:line="276" w:lineRule="auto"/>
        <w:ind w:firstLine="709"/>
        <w:jc w:val="both"/>
        <w:rPr>
          <w:rFonts w:ascii="Verdana" w:eastAsia="Times New Roman" w:hAnsi="Verdana" w:cs="Times New Roman"/>
          <w:lang w:eastAsia="es-ES"/>
        </w:rPr>
      </w:pPr>
    </w:p>
    <w:p w14:paraId="2CD8B50A" w14:textId="77777777" w:rsidR="00481562" w:rsidRDefault="00481562" w:rsidP="00481562">
      <w:pPr>
        <w:spacing w:after="0" w:line="276" w:lineRule="auto"/>
        <w:jc w:val="both"/>
        <w:rPr>
          <w:rFonts w:ascii="Verdana" w:eastAsia="Century Gothic" w:hAnsi="Verdana" w:cs="Century Gothic"/>
          <w:b/>
          <w:lang w:val="es-ES"/>
        </w:rPr>
      </w:pPr>
      <w:r w:rsidRPr="00144EB3">
        <w:rPr>
          <w:rFonts w:ascii="Verdana" w:eastAsia="Century Gothic" w:hAnsi="Verdana" w:cs="Century Gothic"/>
          <w:b/>
          <w:lang w:val="es-ES"/>
        </w:rPr>
        <w:t>4. Referencias normativas, jurisprudenciales y otras fuentes:</w:t>
      </w:r>
    </w:p>
    <w:p w14:paraId="10A5FA8E" w14:textId="77777777" w:rsidR="00481562" w:rsidRPr="00144EB3" w:rsidRDefault="00481562" w:rsidP="00481562">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81562" w:rsidRPr="00144EB3" w14:paraId="609E6CD9" w14:textId="77777777" w:rsidTr="006678BC">
        <w:trPr>
          <w:trHeight w:val="2683"/>
        </w:trPr>
        <w:tc>
          <w:tcPr>
            <w:tcW w:w="8647" w:type="dxa"/>
          </w:tcPr>
          <w:p w14:paraId="4A89DCB9" w14:textId="77777777" w:rsidR="00481562" w:rsidRPr="00F72EC9" w:rsidRDefault="00481562" w:rsidP="00481562">
            <w:pPr>
              <w:widowControl w:val="0"/>
              <w:numPr>
                <w:ilvl w:val="0"/>
                <w:numId w:val="16"/>
              </w:numPr>
              <w:autoSpaceDE w:val="0"/>
              <w:autoSpaceDN w:val="0"/>
              <w:spacing w:after="160" w:line="276" w:lineRule="auto"/>
              <w:ind w:left="714" w:hanging="357"/>
              <w:jc w:val="both"/>
              <w:rPr>
                <w:rFonts w:ascii="Verdana" w:eastAsia="Arial MT" w:hAnsi="Verdana" w:cs="Arial"/>
                <w:lang w:val="es-ES" w:eastAsia="es-ES" w:bidi="es-ES"/>
              </w:rPr>
            </w:pPr>
            <w:r w:rsidRPr="00F72EC9">
              <w:rPr>
                <w:rFonts w:ascii="Verdana" w:eastAsia="Arial MT" w:hAnsi="Verdana" w:cs="Arial"/>
                <w:lang w:val="es-ES" w:eastAsia="es-ES" w:bidi="es-ES"/>
              </w:rPr>
              <w:t>Constitución Política de Colombia. Artículo 127.</w:t>
            </w:r>
          </w:p>
          <w:p w14:paraId="25E57575" w14:textId="77777777" w:rsidR="00481562" w:rsidRPr="00F72EC9" w:rsidRDefault="00481562" w:rsidP="00481562">
            <w:pPr>
              <w:widowControl w:val="0"/>
              <w:numPr>
                <w:ilvl w:val="0"/>
                <w:numId w:val="16"/>
              </w:numPr>
              <w:autoSpaceDE w:val="0"/>
              <w:autoSpaceDN w:val="0"/>
              <w:spacing w:after="160" w:line="276" w:lineRule="auto"/>
              <w:ind w:left="714" w:hanging="357"/>
              <w:jc w:val="both"/>
              <w:rPr>
                <w:rFonts w:ascii="Verdana" w:eastAsia="Arial MT" w:hAnsi="Verdana" w:cs="Arial"/>
                <w:lang w:val="es-ES" w:eastAsia="es-ES" w:bidi="es-ES"/>
              </w:rPr>
            </w:pPr>
            <w:r w:rsidRPr="00F72EC9">
              <w:rPr>
                <w:rFonts w:ascii="Verdana" w:eastAsia="Arial MT" w:hAnsi="Verdana" w:cs="Arial"/>
                <w:bCs/>
                <w:lang w:val="es-ES" w:eastAsia="es-ES" w:bidi="es-ES"/>
              </w:rPr>
              <w:t>Ley 996 de 2005. Artículos 33 y 38.</w:t>
            </w:r>
          </w:p>
          <w:p w14:paraId="6ED7D195" w14:textId="77777777" w:rsidR="00481562" w:rsidRPr="00F72EC9" w:rsidRDefault="00481562" w:rsidP="00481562">
            <w:pPr>
              <w:widowControl w:val="0"/>
              <w:numPr>
                <w:ilvl w:val="0"/>
                <w:numId w:val="16"/>
              </w:numPr>
              <w:autoSpaceDE w:val="0"/>
              <w:autoSpaceDN w:val="0"/>
              <w:spacing w:after="160" w:line="276" w:lineRule="auto"/>
              <w:ind w:left="714" w:hanging="357"/>
              <w:jc w:val="both"/>
              <w:rPr>
                <w:rFonts w:ascii="Verdana" w:eastAsia="Arial MT" w:hAnsi="Verdana" w:cs="Arial"/>
                <w:lang w:val="es-ES" w:eastAsia="es-ES" w:bidi="es-ES"/>
              </w:rPr>
            </w:pPr>
            <w:r w:rsidRPr="00F72EC9">
              <w:rPr>
                <w:rFonts w:ascii="Verdana" w:eastAsia="Times New Roman" w:hAnsi="Verdana" w:cs="Times New Roman"/>
                <w:lang w:val="es-ES" w:eastAsia="es-MX"/>
              </w:rPr>
              <w:t xml:space="preserve">Ley 1150 de 2007. </w:t>
            </w:r>
            <w:r w:rsidRPr="00F72EC9">
              <w:rPr>
                <w:rFonts w:ascii="Verdana" w:eastAsia="Arial MT" w:hAnsi="Verdana" w:cs="Arial"/>
                <w:lang w:val="es-ES" w:eastAsia="es-ES" w:bidi="es-ES"/>
              </w:rPr>
              <w:t xml:space="preserve">Artículo 2, numeral 4. </w:t>
            </w:r>
          </w:p>
          <w:p w14:paraId="6890374A" w14:textId="77777777" w:rsidR="00481562" w:rsidRPr="00F72EC9" w:rsidRDefault="00481562" w:rsidP="00481562">
            <w:pPr>
              <w:widowControl w:val="0"/>
              <w:numPr>
                <w:ilvl w:val="0"/>
                <w:numId w:val="16"/>
              </w:numPr>
              <w:autoSpaceDE w:val="0"/>
              <w:autoSpaceDN w:val="0"/>
              <w:spacing w:after="160" w:line="276" w:lineRule="auto"/>
              <w:ind w:left="714" w:hanging="357"/>
              <w:jc w:val="both"/>
              <w:rPr>
                <w:rFonts w:ascii="Verdana" w:eastAsia="Arial MT" w:hAnsi="Verdana" w:cs="Arial"/>
                <w:lang w:val="es-ES" w:eastAsia="es-ES" w:bidi="es-ES"/>
              </w:rPr>
            </w:pPr>
            <w:r w:rsidRPr="00F72EC9">
              <w:rPr>
                <w:rFonts w:ascii="Verdana" w:eastAsia="Times New Roman" w:hAnsi="Verdana" w:cs="Times New Roman"/>
                <w:lang w:eastAsia="es-ES"/>
              </w:rPr>
              <w:t>Ley 1437 de 2011. Artículo 28.</w:t>
            </w:r>
          </w:p>
          <w:p w14:paraId="7FA5FCF4" w14:textId="77777777" w:rsidR="00481562" w:rsidRPr="00F72EC9" w:rsidRDefault="00481562" w:rsidP="00481562">
            <w:pPr>
              <w:widowControl w:val="0"/>
              <w:numPr>
                <w:ilvl w:val="0"/>
                <w:numId w:val="16"/>
              </w:numPr>
              <w:autoSpaceDE w:val="0"/>
              <w:autoSpaceDN w:val="0"/>
              <w:spacing w:after="160" w:line="276" w:lineRule="auto"/>
              <w:ind w:left="714" w:hanging="357"/>
              <w:jc w:val="both"/>
              <w:rPr>
                <w:rFonts w:ascii="Verdana" w:eastAsia="Arial MT" w:hAnsi="Verdana" w:cs="Arial"/>
                <w:lang w:val="es-ES" w:eastAsia="es-ES" w:bidi="es-ES"/>
              </w:rPr>
            </w:pPr>
            <w:r w:rsidRPr="00F72EC9">
              <w:rPr>
                <w:rFonts w:ascii="Verdana" w:eastAsia="Arial MT" w:hAnsi="Verdana" w:cs="Arial"/>
                <w:lang w:val="es-ES" w:eastAsia="es-ES" w:bidi="es-ES"/>
              </w:rPr>
              <w:t>Corte Constitucional. Sentencia C- 1153 de 2005. M.P. Marco Gerardo Monroy Cabra.</w:t>
            </w:r>
          </w:p>
          <w:p w14:paraId="1DE60C23" w14:textId="77777777" w:rsidR="00481562" w:rsidRDefault="00481562" w:rsidP="00481562">
            <w:pPr>
              <w:widowControl w:val="0"/>
              <w:numPr>
                <w:ilvl w:val="0"/>
                <w:numId w:val="16"/>
              </w:numPr>
              <w:autoSpaceDE w:val="0"/>
              <w:autoSpaceDN w:val="0"/>
              <w:spacing w:after="160" w:line="276" w:lineRule="auto"/>
              <w:ind w:left="714" w:hanging="357"/>
              <w:jc w:val="both"/>
              <w:rPr>
                <w:rFonts w:ascii="Verdana" w:eastAsia="Arial MT" w:hAnsi="Verdana" w:cs="Arial"/>
                <w:lang w:val="es-ES" w:eastAsia="es-ES" w:bidi="es-ES"/>
              </w:rPr>
            </w:pPr>
            <w:r w:rsidRPr="00F72EC9">
              <w:rPr>
                <w:rFonts w:ascii="Verdana" w:eastAsia="Arial MT" w:hAnsi="Verdana" w:cs="Arial"/>
                <w:lang w:val="es-ES" w:eastAsia="es-ES" w:bidi="es-ES"/>
              </w:rPr>
              <w:t xml:space="preserve">Consejo de Estado. Sala de lo Contencioso Administrativo. Sección Primera. Sentencia del 3 de marzo de 2005, </w:t>
            </w:r>
            <w:proofErr w:type="spellStart"/>
            <w:r w:rsidRPr="00F72EC9">
              <w:rPr>
                <w:rFonts w:ascii="Verdana" w:eastAsia="Arial MT" w:hAnsi="Verdana" w:cs="Arial"/>
                <w:lang w:val="es-ES" w:eastAsia="es-ES" w:bidi="es-ES"/>
              </w:rPr>
              <w:t>Exp</w:t>
            </w:r>
            <w:proofErr w:type="spellEnd"/>
            <w:r w:rsidRPr="00F72EC9">
              <w:rPr>
                <w:rFonts w:ascii="Verdana" w:eastAsia="Arial MT" w:hAnsi="Verdana" w:cs="Arial"/>
                <w:lang w:val="es-ES" w:eastAsia="es-ES" w:bidi="es-ES"/>
              </w:rPr>
              <w:t>. 2004-00823-01(PI).</w:t>
            </w:r>
          </w:p>
          <w:p w14:paraId="1D6C58FC" w14:textId="77777777" w:rsidR="00481562" w:rsidRPr="004746CB" w:rsidRDefault="00481562" w:rsidP="00481562">
            <w:pPr>
              <w:widowControl w:val="0"/>
              <w:numPr>
                <w:ilvl w:val="0"/>
                <w:numId w:val="16"/>
              </w:numPr>
              <w:autoSpaceDE w:val="0"/>
              <w:autoSpaceDN w:val="0"/>
              <w:spacing w:line="276" w:lineRule="auto"/>
              <w:jc w:val="both"/>
              <w:rPr>
                <w:rFonts w:ascii="Verdana" w:eastAsia="Arial MT" w:hAnsi="Verdana" w:cs="Arial"/>
                <w:color w:val="ED7D31" w:themeColor="accent2"/>
                <w:lang w:eastAsia="es-ES" w:bidi="es-ES"/>
              </w:rPr>
            </w:pPr>
            <w:r w:rsidRPr="009D57B7">
              <w:rPr>
                <w:rFonts w:ascii="Verdana" w:eastAsia="Arial MT" w:hAnsi="Verdana" w:cs="Arial"/>
                <w:lang w:val="es-ES" w:eastAsia="es-ES" w:bidi="es-ES"/>
              </w:rPr>
              <w:t>Consejo de Estado, Sala de Consulta y Servicio Civil, Concepto de fecha 24 de julio de 2013, Rad. 2166, C. P. Álvaro Namén Vargas</w:t>
            </w:r>
          </w:p>
        </w:tc>
      </w:tr>
    </w:tbl>
    <w:p w14:paraId="38C2AE9A" w14:textId="77777777" w:rsidR="00481562" w:rsidRPr="00144EB3" w:rsidRDefault="00481562" w:rsidP="00481562">
      <w:pPr>
        <w:widowControl w:val="0"/>
        <w:autoSpaceDE w:val="0"/>
        <w:autoSpaceDN w:val="0"/>
        <w:spacing w:after="0" w:line="276" w:lineRule="auto"/>
        <w:jc w:val="both"/>
        <w:rPr>
          <w:rFonts w:ascii="Verdana" w:hAnsi="Verdana" w:cs="Arial"/>
          <w:color w:val="ED7D31" w:themeColor="accent2"/>
          <w:lang w:val="es-ES"/>
        </w:rPr>
      </w:pPr>
    </w:p>
    <w:p w14:paraId="1FB127C2" w14:textId="77777777" w:rsidR="00481562" w:rsidRPr="00144EB3" w:rsidRDefault="00481562" w:rsidP="00481562">
      <w:pPr>
        <w:spacing w:after="0" w:line="276" w:lineRule="auto"/>
        <w:jc w:val="both"/>
        <w:rPr>
          <w:rFonts w:ascii="Verdana" w:eastAsia="Aptos" w:hAnsi="Verdana" w:cs="Arial"/>
          <w:b/>
          <w:bCs/>
          <w:shd w:val="clear" w:color="auto" w:fill="FFFFFF"/>
        </w:rPr>
      </w:pPr>
    </w:p>
    <w:p w14:paraId="6A4F00D6" w14:textId="77777777" w:rsidR="00481562" w:rsidRDefault="00481562" w:rsidP="00481562">
      <w:pPr>
        <w:spacing w:after="0" w:line="276" w:lineRule="auto"/>
        <w:jc w:val="both"/>
        <w:rPr>
          <w:rFonts w:ascii="Verdana" w:eastAsia="Aptos" w:hAnsi="Verdana" w:cs="Arial"/>
          <w:b/>
          <w:bCs/>
          <w:shd w:val="clear" w:color="auto" w:fill="FFFFFF"/>
        </w:rPr>
      </w:pPr>
      <w:r w:rsidRPr="00144EB3">
        <w:rPr>
          <w:rFonts w:ascii="Verdana" w:eastAsia="Aptos" w:hAnsi="Verdana" w:cs="Arial"/>
          <w:b/>
          <w:bCs/>
          <w:shd w:val="clear" w:color="auto" w:fill="FFFFFF"/>
        </w:rPr>
        <w:t xml:space="preserve">5. Doctrina de la Agencia Nacional de Contratación Pública: </w:t>
      </w:r>
    </w:p>
    <w:p w14:paraId="73DFF6E4" w14:textId="77777777" w:rsidR="00481562" w:rsidRPr="00144EB3" w:rsidRDefault="00481562" w:rsidP="00481562">
      <w:pPr>
        <w:spacing w:after="0" w:line="276" w:lineRule="auto"/>
        <w:jc w:val="both"/>
        <w:rPr>
          <w:rFonts w:ascii="Verdana" w:eastAsia="Aptos" w:hAnsi="Verdana" w:cs="Arial"/>
          <w:b/>
          <w:bCs/>
          <w:shd w:val="clear" w:color="auto" w:fill="FFFFFF"/>
        </w:rPr>
      </w:pPr>
    </w:p>
    <w:p w14:paraId="720F9145" w14:textId="77777777" w:rsidR="00481562" w:rsidRPr="009233BB" w:rsidRDefault="00481562" w:rsidP="00481562">
      <w:pPr>
        <w:spacing w:after="0" w:line="276" w:lineRule="auto"/>
        <w:jc w:val="both"/>
        <w:rPr>
          <w:rFonts w:ascii="Verdana" w:hAnsi="Verdana"/>
          <w:color w:val="ED7D31" w:themeColor="accent2"/>
          <w:lang w:val="es-ES"/>
        </w:rPr>
      </w:pPr>
      <w:r w:rsidRPr="00351A60">
        <w:rPr>
          <w:rFonts w:ascii="Verdana" w:eastAsia="Calibri" w:hAnsi="Verdana" w:cs="Arial"/>
          <w:lang w:val="es-ES"/>
        </w:rPr>
        <w:t xml:space="preserve">La Agencia Nacional de Contratación Pública – Colombia Compra Eficiente se ha referido </w:t>
      </w:r>
      <w:r w:rsidRPr="00351A60">
        <w:rPr>
          <w:rFonts w:ascii="Verdana" w:hAnsi="Verdana" w:cs="Arial"/>
          <w:shd w:val="clear" w:color="auto" w:fill="FFFFFF"/>
          <w:lang w:val="es-ES"/>
        </w:rPr>
        <w:t xml:space="preserve">sobre la Ley de Garantías Electorales en los conceptos con radicado </w:t>
      </w:r>
      <w:r>
        <w:rPr>
          <w:rFonts w:ascii="Verdana" w:eastAsia="Calibri" w:hAnsi="Verdana" w:cs="Arial"/>
          <w:lang w:val="es-ES_tradnl" w:eastAsia="es-ES_tradnl"/>
        </w:rPr>
        <w:t xml:space="preserve">número </w:t>
      </w:r>
      <w:r w:rsidRPr="009375B1">
        <w:rPr>
          <w:rFonts w:ascii="Verdana" w:eastAsia="Calibri" w:hAnsi="Verdana" w:cs="Arial"/>
          <w:lang w:val="es-ES_tradnl" w:eastAsia="es-ES_tradnl"/>
        </w:rPr>
        <w:t>C-576 del 25 de septiembre de 2022, C-588 del 21 de septiembre de 2022, C-682 del 19 de octubre de 2022, C-717 del 31 de octubre de 2022, C-718 del 31 de octubre de 2022, C-729 del 28 de noviembre de 2022, C-730 del 3 de noviembre de 2022, C-740 del 31 de octubre de 2022, C-940 del 29 de diciembre de 2022, C-971 del 28 de febrero de 2023, C-972 del 8 de febrero de 2023</w:t>
      </w:r>
      <w:r>
        <w:rPr>
          <w:rFonts w:ascii="Verdana" w:eastAsia="Calibri" w:hAnsi="Verdana" w:cs="Arial"/>
          <w:lang w:val="es-ES_tradnl" w:eastAsia="es-ES_tradnl"/>
        </w:rPr>
        <w:t xml:space="preserve">, </w:t>
      </w:r>
      <w:r w:rsidRPr="009375B1">
        <w:rPr>
          <w:rFonts w:ascii="Verdana" w:eastAsia="Calibri" w:hAnsi="Verdana" w:cs="Arial"/>
          <w:lang w:val="es-ES_tradnl" w:eastAsia="es-ES_tradnl"/>
        </w:rPr>
        <w:t>C-068 del 9 de marzo de 2023</w:t>
      </w:r>
      <w:r>
        <w:rPr>
          <w:rFonts w:ascii="Verdana" w:eastAsia="Calibri" w:hAnsi="Verdana" w:cs="Arial"/>
          <w:lang w:val="es-ES_tradnl" w:eastAsia="es-ES_tradnl"/>
        </w:rPr>
        <w:t xml:space="preserve">, </w:t>
      </w:r>
      <w:r w:rsidRPr="009375B1">
        <w:rPr>
          <w:rFonts w:ascii="Verdana" w:eastAsia="Calibri" w:hAnsi="Verdana" w:cs="Arial"/>
          <w:lang w:val="es-ES_tradnl" w:eastAsia="es-ES_tradnl"/>
        </w:rPr>
        <w:t>C-40 del 22 de marzo de 2023</w:t>
      </w:r>
      <w:r>
        <w:rPr>
          <w:rFonts w:ascii="Verdana" w:eastAsia="Calibri" w:hAnsi="Verdana" w:cs="Arial"/>
          <w:lang w:val="es-ES_tradnl" w:eastAsia="es-ES_tradnl"/>
        </w:rPr>
        <w:t>, C-317 del 25 de abril de 2025</w:t>
      </w:r>
      <w:r>
        <w:rPr>
          <w:rFonts w:ascii="Verdana" w:eastAsia="Calibri" w:hAnsi="Verdana" w:cs="Arial"/>
          <w:lang w:val="es-ES_tradnl" w:eastAsia="es-ES"/>
        </w:rPr>
        <w:t>, C-1675 del 23 de diciembre de 2025, C-1739 del 23 de diciembre de 2025 y C-1775 del 31 de diciembre de 2025, entre otros.</w:t>
      </w:r>
      <w:r>
        <w:rPr>
          <w:rFonts w:ascii="Verdana" w:hAnsi="Verdana" w:cs="Arial"/>
          <w:shd w:val="clear" w:color="auto" w:fill="FFFFFF"/>
          <w:lang w:val="es-ES"/>
        </w:rPr>
        <w:t xml:space="preserve"> </w:t>
      </w:r>
      <w:r w:rsidRPr="00B8716D">
        <w:rPr>
          <w:rFonts w:ascii="Verdana" w:hAnsi="Verdana" w:cs="Arial"/>
          <w:shd w:val="clear" w:color="auto" w:fill="FFFFFF"/>
          <w:lang w:val="es-ES"/>
        </w:rPr>
        <w:t>Estos</w:t>
      </w:r>
      <w:r w:rsidRPr="00B8716D">
        <w:rPr>
          <w:rFonts w:ascii="Verdana" w:hAnsi="Verdana"/>
          <w:lang w:val="es-ES"/>
        </w:rPr>
        <w:t xml:space="preserve"> y otros se encuentran disponibles para consulta en el Sistema de relatoría de la Agencia, al cual se puede acceder a través del siguiente enlace:</w:t>
      </w:r>
      <w:r w:rsidRPr="00B8716D">
        <w:rPr>
          <w:rFonts w:ascii="Verdana" w:hAnsi="Verdana" w:cs="Arial"/>
          <w:shd w:val="clear" w:color="auto" w:fill="FFFFFF"/>
          <w:lang w:val="es-ES"/>
        </w:rPr>
        <w:t xml:space="preserve"> </w:t>
      </w:r>
      <w:hyperlink r:id="rId12" w:history="1">
        <w:r w:rsidRPr="00B8716D">
          <w:rPr>
            <w:rStyle w:val="Hipervnculo"/>
            <w:rFonts w:ascii="Verdana" w:hAnsi="Verdana" w:cs="Arial"/>
            <w:shd w:val="clear" w:color="auto" w:fill="FFFFFF"/>
            <w:lang w:val="es-ES"/>
          </w:rPr>
          <w:t>https://relatoria.colombiacompra.gov.co/busqueda/conceptos</w:t>
        </w:r>
      </w:hyperlink>
    </w:p>
    <w:p w14:paraId="5A44FB6D" w14:textId="77777777" w:rsidR="00481562" w:rsidRPr="00210CE9" w:rsidRDefault="00481562" w:rsidP="00481562">
      <w:pPr>
        <w:spacing w:after="0" w:line="276" w:lineRule="auto"/>
        <w:jc w:val="both"/>
        <w:rPr>
          <w:rFonts w:ascii="Verdana" w:eastAsia="Aptos" w:hAnsi="Verdana" w:cs="Arial"/>
          <w:b/>
          <w:bCs/>
          <w:shd w:val="clear" w:color="auto" w:fill="FFFFFF"/>
          <w:lang w:val="es-ES"/>
        </w:rPr>
      </w:pPr>
    </w:p>
    <w:p w14:paraId="236E6C13" w14:textId="77777777" w:rsidR="00481562" w:rsidRPr="00144EB3" w:rsidRDefault="00481562" w:rsidP="00481562">
      <w:pPr>
        <w:spacing w:after="0" w:line="240"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xml:space="preserve">, una herramienta clave para fortalecer las capacidades de todos los compradores públicos, proveedores, servidores públicos v para generar </w:t>
      </w:r>
      <w:r w:rsidRPr="00144EB3">
        <w:rPr>
          <w:rFonts w:ascii="Verdana" w:eastAsia="Calibri" w:hAnsi="Verdana" w:cs="Arial"/>
        </w:rPr>
        <w:lastRenderedPageBreak/>
        <w:t>mayor valor público. Accede al curso y aprende como implementar criterios sociales y ambientales en las diferentes etapas del proceso de contratación:</w:t>
      </w:r>
      <w:r w:rsidRPr="00144EB3">
        <w:rPr>
          <w:rFonts w:ascii="Verdana" w:eastAsia="Calibri" w:hAnsi="Verdana" w:cs="Arial"/>
        </w:rPr>
        <w:br/>
      </w:r>
      <w:hyperlink r:id="rId13" w:tgtFrame="_new" w:history="1">
        <w:r w:rsidRPr="00144EB3">
          <w:rPr>
            <w:rFonts w:ascii="Verdana" w:eastAsia="Calibri" w:hAnsi="Verdana" w:cs="Arial"/>
            <w:color w:val="0000FF"/>
            <w:u w:val="single"/>
          </w:rPr>
          <w:t>https://formacionvirtual.colombiacompra.gov.co/mod/page/view.php?id=3718</w:t>
        </w:r>
      </w:hyperlink>
    </w:p>
    <w:p w14:paraId="5E34E8D2" w14:textId="77777777" w:rsidR="00481562" w:rsidRDefault="00481562" w:rsidP="00481562">
      <w:pPr>
        <w:spacing w:after="0" w:line="240" w:lineRule="auto"/>
        <w:jc w:val="both"/>
        <w:rPr>
          <w:rFonts w:ascii="Verdana" w:eastAsia="Calibri" w:hAnsi="Verdana" w:cs="Arial"/>
        </w:rPr>
      </w:pPr>
    </w:p>
    <w:p w14:paraId="2ED4AAEA" w14:textId="77777777" w:rsidR="00481562" w:rsidRPr="00144EB3" w:rsidRDefault="00481562" w:rsidP="00481562">
      <w:pPr>
        <w:spacing w:after="0" w:line="240"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44EB3">
          <w:rPr>
            <w:rFonts w:ascii="Verdana" w:eastAsia="Calibri" w:hAnsi="Verdana" w:cs="Arial"/>
            <w:color w:val="0000FF"/>
            <w:u w:val="single"/>
          </w:rPr>
          <w:t>https://www.colombiacompra.gov.co/normativa-y-relatoria/documentos-tipo</w:t>
        </w:r>
      </w:hyperlink>
    </w:p>
    <w:p w14:paraId="2FAD98B1" w14:textId="77777777" w:rsidR="00481562" w:rsidRPr="00144EB3" w:rsidRDefault="00481562" w:rsidP="00481562">
      <w:pPr>
        <w:spacing w:after="0" w:line="240" w:lineRule="auto"/>
        <w:jc w:val="both"/>
        <w:rPr>
          <w:rFonts w:ascii="Verdana" w:eastAsia="Calibri" w:hAnsi="Verdana" w:cs="Arial"/>
        </w:rPr>
      </w:pPr>
    </w:p>
    <w:p w14:paraId="31C7954B" w14:textId="77777777" w:rsidR="00481562" w:rsidRPr="00144EB3" w:rsidRDefault="00481562" w:rsidP="00481562">
      <w:pPr>
        <w:spacing w:after="0" w:line="240"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5"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50B733AA" w14:textId="77777777" w:rsidR="00481562" w:rsidRPr="00144EB3" w:rsidRDefault="00481562" w:rsidP="00481562">
      <w:pPr>
        <w:spacing w:after="0" w:line="240"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1F45DD4C" w14:textId="77777777" w:rsidR="00481562" w:rsidRPr="00144EB3" w:rsidRDefault="00481562" w:rsidP="00481562">
      <w:pPr>
        <w:spacing w:after="0" w:line="240" w:lineRule="auto"/>
        <w:jc w:val="both"/>
        <w:rPr>
          <w:rFonts w:ascii="Verdana" w:eastAsia="Calibri" w:hAnsi="Verdana" w:cs="Arial"/>
          <w:shd w:val="clear" w:color="auto" w:fill="FFFFFF"/>
        </w:rPr>
      </w:pPr>
    </w:p>
    <w:p w14:paraId="56476C99" w14:textId="77777777" w:rsidR="00481562" w:rsidRPr="00144EB3" w:rsidRDefault="00481562" w:rsidP="00481562">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0D1E0812" w14:textId="77777777" w:rsidR="00481562" w:rsidRPr="00144EB3" w:rsidRDefault="00481562" w:rsidP="00481562">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54284FE3" w14:textId="77777777" w:rsidR="00481562" w:rsidRPr="00144EB3" w:rsidRDefault="00481562" w:rsidP="00481562">
      <w:pPr>
        <w:spacing w:after="0" w:line="240"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298D9DE5" w14:textId="77777777" w:rsidR="00481562" w:rsidRPr="00144EB3" w:rsidRDefault="00481562" w:rsidP="00481562">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38EF1948" w14:textId="77777777" w:rsidR="00481562" w:rsidRPr="00144EB3" w:rsidRDefault="00481562" w:rsidP="00481562">
      <w:pPr>
        <w:widowControl w:val="0"/>
        <w:autoSpaceDE w:val="0"/>
        <w:autoSpaceDN w:val="0"/>
        <w:spacing w:after="0" w:line="240" w:lineRule="auto"/>
        <w:jc w:val="both"/>
        <w:rPr>
          <w:rFonts w:ascii="Verdana" w:eastAsia="Calibri" w:hAnsi="Verdana" w:cs="Arial"/>
          <w:lang w:val="es-ES"/>
        </w:rPr>
      </w:pPr>
    </w:p>
    <w:p w14:paraId="47A9B6BF" w14:textId="77777777" w:rsidR="00481562" w:rsidRPr="00144EB3" w:rsidRDefault="00481562" w:rsidP="00481562">
      <w:pPr>
        <w:widowControl w:val="0"/>
        <w:autoSpaceDE w:val="0"/>
        <w:autoSpaceDN w:val="0"/>
        <w:spacing w:after="0" w:line="240"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4D4A430" w14:textId="77777777" w:rsidR="00481562" w:rsidRPr="00144EB3" w:rsidRDefault="00481562" w:rsidP="00481562">
      <w:pPr>
        <w:spacing w:after="0" w:line="240" w:lineRule="auto"/>
        <w:jc w:val="both"/>
        <w:rPr>
          <w:rFonts w:ascii="Verdana" w:eastAsia="Verdana" w:hAnsi="Verdana" w:cs="Verdana"/>
        </w:rPr>
      </w:pPr>
    </w:p>
    <w:p w14:paraId="7CABA75E" w14:textId="77777777" w:rsidR="00481562" w:rsidRPr="00144EB3" w:rsidRDefault="00481562" w:rsidP="00481562">
      <w:pPr>
        <w:spacing w:after="0" w:line="240"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6"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6040AA7F" w14:textId="77777777" w:rsidR="00481562" w:rsidRPr="00144EB3" w:rsidRDefault="00481562" w:rsidP="00481562">
      <w:pPr>
        <w:spacing w:after="0" w:line="240" w:lineRule="auto"/>
        <w:rPr>
          <w:rFonts w:ascii="Verdana" w:eastAsia="Verdana" w:hAnsi="Verdana" w:cs="Verdana"/>
        </w:rPr>
      </w:pPr>
    </w:p>
    <w:p w14:paraId="2BD9B2F7" w14:textId="77777777" w:rsidR="00481562" w:rsidRPr="00144EB3" w:rsidRDefault="00481562" w:rsidP="00481562">
      <w:pPr>
        <w:spacing w:after="0" w:line="240" w:lineRule="auto"/>
        <w:jc w:val="both"/>
        <w:rPr>
          <w:rFonts w:ascii="Verdana" w:eastAsia="Verdana" w:hAnsi="Verdana" w:cs="Verdana"/>
          <w:lang w:val="es-MX"/>
        </w:rPr>
      </w:pPr>
      <w:r w:rsidRPr="00144EB3">
        <w:rPr>
          <w:rFonts w:ascii="Verdana" w:eastAsia="Verdana" w:hAnsi="Verdana" w:cs="Verdana"/>
          <w:lang w:val="es-MX"/>
        </w:rPr>
        <w:t>Cordialmente,</w:t>
      </w:r>
    </w:p>
    <w:p w14:paraId="59B365A0" w14:textId="59AB536C" w:rsidR="00481562" w:rsidRPr="00182F6A" w:rsidRDefault="00481562" w:rsidP="00481562">
      <w:pPr>
        <w:spacing w:after="120" w:line="276" w:lineRule="auto"/>
        <w:contextualSpacing/>
        <w:jc w:val="both"/>
        <w:rPr>
          <w:rFonts w:ascii="Verdana" w:eastAsia="Aptos" w:hAnsi="Verdana" w:cs="Arial"/>
          <w:shd w:val="clear" w:color="auto" w:fill="FFFFFF"/>
          <w:lang w:val="es-ES"/>
        </w:rPr>
      </w:pPr>
    </w:p>
    <w:p w14:paraId="524E984B" w14:textId="77777777" w:rsidR="00481562" w:rsidRPr="00182F6A" w:rsidRDefault="00481562" w:rsidP="00481562">
      <w:pPr>
        <w:spacing w:after="120" w:line="276" w:lineRule="auto"/>
        <w:contextualSpacing/>
        <w:jc w:val="both"/>
        <w:rPr>
          <w:rFonts w:ascii="Verdana" w:eastAsia="Aptos" w:hAnsi="Verdana" w:cs="Arial"/>
          <w:shd w:val="clear" w:color="auto" w:fill="FFFFFF"/>
          <w:lang w:val="es-ES"/>
        </w:rPr>
      </w:pPr>
    </w:p>
    <w:p w14:paraId="2C35680A" w14:textId="77777777" w:rsidR="00481562" w:rsidRPr="00182F6A" w:rsidRDefault="00481562" w:rsidP="00481562">
      <w:pPr>
        <w:spacing w:after="120" w:line="276" w:lineRule="auto"/>
        <w:contextualSpacing/>
        <w:jc w:val="both"/>
        <w:rPr>
          <w:rFonts w:ascii="Verdana" w:eastAsia="Aptos" w:hAnsi="Verdana" w:cs="Arial"/>
          <w:shd w:val="clear" w:color="auto" w:fill="FFFFFF"/>
          <w:lang w:val="es-ES"/>
        </w:rPr>
      </w:pPr>
    </w:p>
    <w:p w14:paraId="17E5059A" w14:textId="77777777" w:rsidR="00481562" w:rsidRPr="00182F6A" w:rsidRDefault="00481562" w:rsidP="00481562">
      <w:pPr>
        <w:spacing w:after="120" w:line="276" w:lineRule="auto"/>
        <w:contextualSpacing/>
        <w:jc w:val="both"/>
        <w:rPr>
          <w:rFonts w:ascii="Verdana" w:eastAsia="Aptos" w:hAnsi="Verdana" w:cs="Arial"/>
          <w:shd w:val="clear" w:color="auto" w:fill="FFFFFF"/>
          <w:lang w:val="es-ES"/>
        </w:rPr>
      </w:pPr>
    </w:p>
    <w:p w14:paraId="4814A0BD" w14:textId="4D67560F" w:rsidR="00481562" w:rsidRDefault="00647BA2" w:rsidP="00481562">
      <w:pPr>
        <w:spacing w:after="0" w:line="276" w:lineRule="auto"/>
        <w:jc w:val="center"/>
        <w:rPr>
          <w:rFonts w:ascii="Verdana" w:hAnsi="Verdana" w:cs="Arial"/>
          <w:lang w:val="es-ES" w:eastAsia="es-CO"/>
        </w:rPr>
      </w:pPr>
      <w:r w:rsidRPr="002C3AD6">
        <w:rPr>
          <w:rFonts w:ascii="Century Gothic" w:hAnsi="Century Gothic"/>
          <w:noProof/>
        </w:rPr>
        <w:drawing>
          <wp:inline distT="0" distB="0" distL="0" distR="0" wp14:anchorId="105D514C" wp14:editId="5567D628">
            <wp:extent cx="2771775" cy="1028916"/>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2794414" cy="1037320"/>
                    </a:xfrm>
                    <a:prstGeom prst="rect">
                      <a:avLst/>
                    </a:prstGeom>
                  </pic:spPr>
                </pic:pic>
              </a:graphicData>
            </a:graphic>
          </wp:inline>
        </w:drawing>
      </w:r>
    </w:p>
    <w:p w14:paraId="5A674A8D" w14:textId="77777777" w:rsidR="00481562" w:rsidRPr="008278B1" w:rsidRDefault="00481562" w:rsidP="00481562">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81562" w:rsidRPr="008278B1" w14:paraId="221B63C2" w14:textId="77777777" w:rsidTr="006678BC">
        <w:trPr>
          <w:trHeight w:val="315"/>
        </w:trPr>
        <w:tc>
          <w:tcPr>
            <w:tcW w:w="893" w:type="dxa"/>
            <w:vAlign w:val="center"/>
            <w:hideMark/>
          </w:tcPr>
          <w:p w14:paraId="47A3DF89" w14:textId="77777777" w:rsidR="00481562" w:rsidRPr="008278B1" w:rsidRDefault="00481562" w:rsidP="006678BC">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4C35C37" w14:textId="77777777" w:rsidR="00481562" w:rsidRPr="00860461" w:rsidRDefault="00481562" w:rsidP="006678BC">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05B594D5" w14:textId="77777777" w:rsidR="00481562" w:rsidRPr="00860461" w:rsidRDefault="00481562" w:rsidP="006678BC">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481562" w:rsidRPr="00F84F36" w14:paraId="1DE038EC" w14:textId="77777777" w:rsidTr="006678BC">
        <w:trPr>
          <w:trHeight w:val="330"/>
        </w:trPr>
        <w:tc>
          <w:tcPr>
            <w:tcW w:w="893" w:type="dxa"/>
            <w:vAlign w:val="center"/>
            <w:hideMark/>
          </w:tcPr>
          <w:p w14:paraId="0FCEBBAF" w14:textId="77777777" w:rsidR="00481562" w:rsidRPr="0025661F" w:rsidRDefault="00481562" w:rsidP="006678BC">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902D084" w14:textId="77777777" w:rsidR="00481562" w:rsidRPr="00D62D2E" w:rsidRDefault="00481562" w:rsidP="006678BC">
            <w:pPr>
              <w:rPr>
                <w:rFonts w:ascii="Verdana" w:eastAsia="Times New Roman" w:hAnsi="Verdana" w:cs="Arial"/>
                <w:color w:val="000000" w:themeColor="text1"/>
                <w:sz w:val="16"/>
                <w:szCs w:val="16"/>
                <w:lang w:eastAsia="es-ES"/>
              </w:rPr>
            </w:pPr>
            <w:r>
              <w:rPr>
                <w:rFonts w:ascii="Verdana" w:eastAsia="Times New Roman" w:hAnsi="Verdana" w:cs="Arial"/>
                <w:color w:val="000000" w:themeColor="text1"/>
                <w:sz w:val="16"/>
                <w:szCs w:val="16"/>
                <w:lang w:eastAsia="es-ES"/>
              </w:rPr>
              <w:t>Juan David Cardenas Cabeza</w:t>
            </w:r>
          </w:p>
          <w:p w14:paraId="4C06044F" w14:textId="77777777" w:rsidR="00481562" w:rsidRPr="0025661F" w:rsidRDefault="00481562" w:rsidP="006678BC">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481562" w:rsidRPr="00F84F36" w14:paraId="042A7DBC" w14:textId="77777777" w:rsidTr="006678BC">
        <w:trPr>
          <w:trHeight w:val="300"/>
        </w:trPr>
        <w:tc>
          <w:tcPr>
            <w:tcW w:w="893" w:type="dxa"/>
            <w:vAlign w:val="center"/>
          </w:tcPr>
          <w:p w14:paraId="3DF470A1" w14:textId="77777777" w:rsidR="00481562" w:rsidRPr="008278B1" w:rsidRDefault="00481562" w:rsidP="006678BC">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591A17C" w14:textId="77777777" w:rsidR="00481562" w:rsidRPr="008278B1" w:rsidRDefault="00481562" w:rsidP="006678BC">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1EECF973" w14:textId="77777777" w:rsidR="00481562" w:rsidRPr="008278B1" w:rsidRDefault="00481562" w:rsidP="006678BC">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bookmarkEnd w:id="0"/>
    </w:tbl>
    <w:p w14:paraId="6D263750" w14:textId="143BEACC" w:rsidR="00481562" w:rsidRPr="00FD3EC3" w:rsidRDefault="00481562" w:rsidP="00481562">
      <w:pPr>
        <w:spacing w:after="0"/>
        <w:rPr>
          <w:rFonts w:ascii="Verdana" w:eastAsia="Verdana" w:hAnsi="Verdana" w:cs="Verdana"/>
          <w:lang w:val="es-ES"/>
        </w:rPr>
      </w:pPr>
    </w:p>
    <w:p w14:paraId="0F293BF4" w14:textId="73714AFD" w:rsidR="00127233" w:rsidRPr="00EF033E" w:rsidRDefault="00127233" w:rsidP="00EF033E"/>
    <w:sectPr w:rsidR="00127233" w:rsidRPr="00EF033E"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89F1AD" w14:textId="77777777" w:rsidR="00416EDB" w:rsidRDefault="00416EDB" w:rsidP="004A1847">
      <w:pPr>
        <w:spacing w:after="0" w:line="240" w:lineRule="auto"/>
      </w:pPr>
      <w:r>
        <w:separator/>
      </w:r>
    </w:p>
  </w:endnote>
  <w:endnote w:type="continuationSeparator" w:id="0">
    <w:p w14:paraId="78D3E481" w14:textId="77777777" w:rsidR="00416EDB" w:rsidRDefault="00416ED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72661A" w14:textId="77777777" w:rsidR="00416EDB" w:rsidRDefault="00416EDB" w:rsidP="004A1847">
      <w:pPr>
        <w:spacing w:after="0" w:line="240" w:lineRule="auto"/>
      </w:pPr>
      <w:r>
        <w:separator/>
      </w:r>
    </w:p>
  </w:footnote>
  <w:footnote w:type="continuationSeparator" w:id="0">
    <w:p w14:paraId="4EFB70FE" w14:textId="77777777" w:rsidR="00416EDB" w:rsidRDefault="00416EDB" w:rsidP="004A1847">
      <w:pPr>
        <w:spacing w:after="0" w:line="240" w:lineRule="auto"/>
      </w:pPr>
      <w:r>
        <w:continuationSeparator/>
      </w:r>
    </w:p>
  </w:footnote>
  <w:footnote w:id="1">
    <w:p w14:paraId="50529134" w14:textId="77777777" w:rsidR="00481562" w:rsidRPr="00C53B15" w:rsidRDefault="00481562" w:rsidP="00481562">
      <w:pPr>
        <w:pStyle w:val="Textonotapie"/>
        <w:ind w:firstLine="709"/>
        <w:contextualSpacing/>
        <w:jc w:val="both"/>
        <w:rPr>
          <w:rFonts w:ascii="Verdana"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A99472B" w14:textId="77777777" w:rsidR="00481562" w:rsidRPr="00C53B15" w:rsidRDefault="00481562" w:rsidP="00481562">
      <w:pPr>
        <w:pStyle w:val="Textonotapie"/>
        <w:ind w:firstLine="709"/>
        <w:contextualSpacing/>
        <w:jc w:val="both"/>
        <w:rPr>
          <w:rFonts w:ascii="Verdana" w:hAnsi="Verdana" w:cs="Arial"/>
          <w:sz w:val="16"/>
          <w:szCs w:val="16"/>
        </w:rPr>
      </w:pPr>
      <w:r w:rsidRPr="00C53B1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354BF6D7" w14:textId="77777777" w:rsidR="00481562" w:rsidRPr="00C53B15" w:rsidRDefault="00481562" w:rsidP="00481562">
      <w:pPr>
        <w:pStyle w:val="Textonotapie"/>
        <w:ind w:firstLine="709"/>
        <w:contextualSpacing/>
        <w:jc w:val="both"/>
        <w:rPr>
          <w:rFonts w:ascii="Verdana"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Gaceta del Congreso de la República No. 71 del 2005.</w:t>
      </w:r>
    </w:p>
  </w:footnote>
  <w:footnote w:id="3">
    <w:p w14:paraId="3E49751D" w14:textId="77777777" w:rsidR="00481562" w:rsidRPr="00C53B15" w:rsidRDefault="00481562" w:rsidP="00481562">
      <w:pPr>
        <w:pStyle w:val="Textonotapie"/>
        <w:ind w:firstLine="709"/>
        <w:contextualSpacing/>
        <w:jc w:val="both"/>
        <w:rPr>
          <w:rFonts w:ascii="Verdana" w:hAnsi="Verdana" w:cs="Arial"/>
          <w:sz w:val="16"/>
          <w:szCs w:val="16"/>
          <w:lang w:val="pt-BR"/>
        </w:rPr>
      </w:pPr>
      <w:r w:rsidRPr="00C53B15">
        <w:rPr>
          <w:rStyle w:val="Refdenotaalpie"/>
          <w:rFonts w:ascii="Verdana" w:hAnsi="Verdana" w:cs="Arial"/>
          <w:sz w:val="16"/>
          <w:szCs w:val="16"/>
        </w:rPr>
        <w:footnoteRef/>
      </w:r>
      <w:r w:rsidRPr="00C53B15">
        <w:rPr>
          <w:rFonts w:ascii="Verdana" w:hAnsi="Verdana" w:cs="Arial"/>
          <w:sz w:val="16"/>
          <w:szCs w:val="16"/>
          <w:lang w:val="pt-BR"/>
        </w:rPr>
        <w:t xml:space="preserve"> Corte Constitucional, Sentencia C- 1153 de 2005, M.P. Marco Gerardo Monroy Cabra.</w:t>
      </w:r>
    </w:p>
  </w:footnote>
  <w:footnote w:id="4">
    <w:p w14:paraId="231EBFAA" w14:textId="77777777" w:rsidR="00481562" w:rsidRPr="00C53B15" w:rsidRDefault="00481562" w:rsidP="00481562">
      <w:pPr>
        <w:pStyle w:val="Textonotapie"/>
        <w:ind w:firstLine="709"/>
        <w:contextualSpacing/>
        <w:jc w:val="both"/>
        <w:rPr>
          <w:rFonts w:ascii="Verdana" w:hAnsi="Verdana" w:cs="Arial"/>
          <w:sz w:val="16"/>
          <w:szCs w:val="16"/>
          <w:lang w:val="pt-BR"/>
        </w:rPr>
      </w:pPr>
      <w:r w:rsidRPr="00C53B15">
        <w:rPr>
          <w:rStyle w:val="Refdenotaalpie"/>
          <w:rFonts w:ascii="Verdana" w:hAnsi="Verdana" w:cs="Arial"/>
          <w:sz w:val="16"/>
          <w:szCs w:val="16"/>
        </w:rPr>
        <w:footnoteRef/>
      </w:r>
      <w:r w:rsidRPr="00C53B15">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6DABA656" w14:textId="77777777" w:rsidR="00481562" w:rsidRPr="00C53B15" w:rsidRDefault="00481562" w:rsidP="00481562">
      <w:pPr>
        <w:pStyle w:val="Textonotapie"/>
        <w:ind w:firstLine="709"/>
        <w:contextualSpacing/>
        <w:jc w:val="both"/>
        <w:rPr>
          <w:rFonts w:ascii="Verdana" w:hAnsi="Verdana" w:cs="Arial"/>
          <w:sz w:val="16"/>
          <w:szCs w:val="16"/>
          <w:lang w:val="es-CO"/>
        </w:rPr>
      </w:pPr>
      <w:r w:rsidRPr="00C53B15">
        <w:rPr>
          <w:rStyle w:val="Refdenotaalpie"/>
          <w:rFonts w:ascii="Verdana" w:hAnsi="Verdana" w:cs="Arial"/>
          <w:sz w:val="16"/>
          <w:szCs w:val="16"/>
        </w:rPr>
        <w:footnoteRef/>
      </w:r>
      <w:r w:rsidRPr="00C53B1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6D191951" w14:textId="77777777" w:rsidR="00481562" w:rsidRPr="00C53B15" w:rsidRDefault="00481562" w:rsidP="00481562">
      <w:pPr>
        <w:pStyle w:val="Textonotapie"/>
        <w:ind w:firstLine="708"/>
        <w:contextualSpacing/>
        <w:jc w:val="both"/>
        <w:rPr>
          <w:rFonts w:ascii="Verdana"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Consejo de Estado, Sala de Consulta y Servicio Civil de fecha 24 de julio de 2013, Rad. 2166, C. P. Álvaro Namén Vargas.  </w:t>
      </w:r>
    </w:p>
  </w:footnote>
  <w:footnote w:id="7">
    <w:p w14:paraId="76ED1DCD" w14:textId="77777777" w:rsidR="00481562" w:rsidRPr="00C53B15" w:rsidRDefault="00481562" w:rsidP="00481562">
      <w:pPr>
        <w:spacing w:after="0" w:line="240" w:lineRule="auto"/>
        <w:ind w:firstLine="709"/>
        <w:contextualSpacing/>
        <w:jc w:val="both"/>
        <w:rPr>
          <w:rFonts w:ascii="Verdana" w:eastAsia="Times New Roman"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w:t>
      </w:r>
      <w:r w:rsidRPr="00C53B15">
        <w:rPr>
          <w:rFonts w:ascii="Verdana" w:eastAsia="Calibri" w:hAnsi="Verdana" w:cs="Arial"/>
          <w:color w:val="000000"/>
          <w:sz w:val="16"/>
          <w:szCs w:val="16"/>
        </w:rPr>
        <w:t>“</w:t>
      </w:r>
      <w:r w:rsidRPr="00C53B15">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019D388A" w14:textId="77777777" w:rsidR="00481562" w:rsidRPr="00C53B15" w:rsidRDefault="00481562" w:rsidP="00481562">
      <w:pPr>
        <w:spacing w:after="0" w:line="240" w:lineRule="auto"/>
        <w:ind w:firstLine="709"/>
        <w:contextualSpacing/>
        <w:jc w:val="both"/>
        <w:rPr>
          <w:rFonts w:ascii="Verdana" w:eastAsia="Times New Roman" w:hAnsi="Verdana" w:cs="Arial"/>
          <w:sz w:val="16"/>
          <w:szCs w:val="16"/>
        </w:rPr>
      </w:pPr>
      <w:r w:rsidRPr="00C53B15">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53B15">
        <w:rPr>
          <w:rFonts w:ascii="Verdana" w:eastAsia="Calibri" w:hAnsi="Verdana" w:cs="Arial"/>
          <w:color w:val="000000"/>
          <w:sz w:val="16"/>
          <w:szCs w:val="16"/>
        </w:rPr>
        <w:t>”</w:t>
      </w:r>
      <w:r w:rsidRPr="00C53B15">
        <w:rPr>
          <w:rFonts w:ascii="Verdana" w:eastAsia="Times New Roman" w:hAnsi="Verdana" w:cs="Arial"/>
          <w:sz w:val="16"/>
          <w:szCs w:val="16"/>
        </w:rPr>
        <w:t>.</w:t>
      </w:r>
    </w:p>
  </w:footnote>
  <w:footnote w:id="8">
    <w:p w14:paraId="078EAB60" w14:textId="77777777" w:rsidR="00481562" w:rsidRPr="00C53B15" w:rsidRDefault="00481562" w:rsidP="00481562">
      <w:pPr>
        <w:pStyle w:val="NormalWeb"/>
        <w:spacing w:before="0" w:beforeAutospacing="0" w:after="0" w:afterAutospacing="0"/>
        <w:ind w:firstLine="709"/>
        <w:contextualSpacing/>
        <w:jc w:val="both"/>
        <w:rPr>
          <w:rFonts w:ascii="Verdana" w:hAnsi="Verdana" w:cs="Arial"/>
          <w:sz w:val="16"/>
          <w:szCs w:val="16"/>
          <w:lang w:val="es-MX"/>
        </w:rPr>
      </w:pPr>
      <w:r w:rsidRPr="00C53B15">
        <w:rPr>
          <w:rStyle w:val="Refdenotaalpie"/>
          <w:rFonts w:ascii="Verdana" w:hAnsi="Verdana" w:cs="Arial"/>
          <w:sz w:val="16"/>
          <w:szCs w:val="16"/>
        </w:rPr>
        <w:footnoteRef/>
      </w:r>
      <w:r w:rsidRPr="00C53B15">
        <w:rPr>
          <w:rFonts w:ascii="Verdana" w:hAnsi="Verdana" w:cs="Arial"/>
          <w:sz w:val="16"/>
          <w:szCs w:val="16"/>
        </w:rPr>
        <w:t xml:space="preserve"> </w:t>
      </w:r>
      <w:r w:rsidRPr="00C53B15">
        <w:rPr>
          <w:rFonts w:ascii="Verdana" w:eastAsia="Calibri" w:hAnsi="Verdana" w:cs="Arial"/>
          <w:color w:val="000000"/>
          <w:sz w:val="16"/>
          <w:szCs w:val="16"/>
        </w:rPr>
        <w:t>“</w:t>
      </w:r>
      <w:r w:rsidRPr="00C53B15">
        <w:rPr>
          <w:rFonts w:ascii="Verdana" w:hAnsi="Verdana" w:cs="Arial"/>
          <w:sz w:val="16"/>
          <w:szCs w:val="16"/>
          <w:lang w:val="es-MX"/>
        </w:rPr>
        <w:t>Artículo 38. Prohibiciones para los servidores públicos. A los empleados del Estado les está prohibido: (…)</w:t>
      </w:r>
    </w:p>
    <w:p w14:paraId="07513FEC" w14:textId="77777777" w:rsidR="00481562" w:rsidRPr="00C53B15" w:rsidRDefault="00481562" w:rsidP="00481562">
      <w:pPr>
        <w:pStyle w:val="NormalWeb"/>
        <w:spacing w:before="0" w:beforeAutospacing="0" w:after="0" w:afterAutospacing="0"/>
        <w:ind w:firstLine="709"/>
        <w:contextualSpacing/>
        <w:jc w:val="both"/>
        <w:rPr>
          <w:rFonts w:ascii="Verdana" w:hAnsi="Verdana" w:cs="Arial"/>
          <w:sz w:val="16"/>
          <w:szCs w:val="16"/>
          <w:lang w:val="es-MX"/>
        </w:rPr>
      </w:pPr>
      <w:r w:rsidRPr="00C53B15">
        <w:rPr>
          <w:rStyle w:val="baj"/>
          <w:rFonts w:ascii="Verdana" w:hAnsi="Verdana" w:cs="Arial"/>
          <w:sz w:val="16"/>
          <w:szCs w:val="16"/>
          <w:lang w:val="es-MX"/>
        </w:rPr>
        <w:t>Parágrafo.</w:t>
      </w:r>
      <w:r w:rsidRPr="00C53B15">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3B15">
        <w:rPr>
          <w:rFonts w:ascii="Verdana" w:eastAsia="Calibri" w:hAnsi="Verdana" w:cs="Arial"/>
          <w:color w:val="000000"/>
          <w:sz w:val="16"/>
          <w:szCs w:val="16"/>
        </w:rPr>
        <w:t>”</w:t>
      </w:r>
      <w:r w:rsidRPr="00C53B15">
        <w:rPr>
          <w:rFonts w:ascii="Verdana" w:hAnsi="Verdana" w:cs="Arial"/>
          <w:sz w:val="16"/>
          <w:szCs w:val="16"/>
          <w:lang w:val="es-MX"/>
        </w:rPr>
        <w:t>.</w:t>
      </w:r>
    </w:p>
    <w:p w14:paraId="530DE8A2" w14:textId="77777777" w:rsidR="00481562" w:rsidRPr="00C53B15" w:rsidRDefault="00481562" w:rsidP="00481562">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57A27145" w14:textId="77777777" w:rsidR="00481562" w:rsidRPr="00C53B15" w:rsidRDefault="00481562" w:rsidP="00481562">
      <w:pPr>
        <w:spacing w:after="0" w:line="240" w:lineRule="auto"/>
        <w:ind w:left="100" w:right="244" w:firstLine="709"/>
        <w:contextualSpacing/>
        <w:jc w:val="both"/>
        <w:rPr>
          <w:rFonts w:ascii="Verdana" w:hAnsi="Verdana" w:cs="Arial"/>
          <w:sz w:val="16"/>
          <w:szCs w:val="16"/>
          <w:lang w:val="es-ES"/>
        </w:rPr>
      </w:pPr>
      <w:r w:rsidRPr="00C53B15">
        <w:rPr>
          <w:rStyle w:val="Refdenotaalpie"/>
          <w:rFonts w:ascii="Verdana" w:hAnsi="Verdana" w:cs="Arial"/>
          <w:sz w:val="16"/>
          <w:szCs w:val="16"/>
        </w:rPr>
        <w:footnoteRef/>
      </w:r>
      <w:r w:rsidRPr="00C53B15">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0DE04121" w14:textId="77777777" w:rsidR="00481562" w:rsidRPr="00C53B15" w:rsidRDefault="00481562" w:rsidP="00481562">
      <w:pPr>
        <w:pStyle w:val="Textonotapie"/>
        <w:ind w:firstLine="709"/>
        <w:contextualSpacing/>
        <w:jc w:val="both"/>
        <w:rPr>
          <w:rFonts w:ascii="Verdana" w:hAnsi="Verdana" w:cs="Arial"/>
          <w:sz w:val="16"/>
          <w:szCs w:val="16"/>
        </w:rPr>
      </w:pPr>
      <w:r w:rsidRPr="00C53B15">
        <w:rPr>
          <w:rStyle w:val="Refdenotaalpie"/>
          <w:rFonts w:ascii="Verdana" w:hAnsi="Verdana"/>
          <w:sz w:val="16"/>
          <w:szCs w:val="16"/>
        </w:rPr>
        <w:footnoteRef/>
      </w:r>
      <w:r w:rsidRPr="00C53B15">
        <w:rPr>
          <w:rFonts w:ascii="Verdana" w:hAnsi="Verdana"/>
          <w:sz w:val="16"/>
          <w:szCs w:val="16"/>
        </w:rPr>
        <w:t xml:space="preserve"> </w:t>
      </w:r>
      <w:r w:rsidRPr="00C53B15">
        <w:rPr>
          <w:rFonts w:ascii="Verdana" w:hAnsi="Verdana" w:cs="Arial"/>
          <w:sz w:val="16"/>
          <w:szCs w:val="16"/>
        </w:rPr>
        <w:t>Consejo de Estado -Sección Tercera-. Sentencia del 21 de febrero de 2025. Radicación Número: 68.280. CP: José Roberto Sáchica Méndez.</w:t>
      </w:r>
    </w:p>
  </w:footnote>
  <w:footnote w:id="11">
    <w:p w14:paraId="6F2F5964" w14:textId="77777777" w:rsidR="00481562" w:rsidRPr="00C53B15" w:rsidRDefault="00481562" w:rsidP="00481562">
      <w:pPr>
        <w:pStyle w:val="Textonotapie"/>
        <w:ind w:firstLine="709"/>
        <w:contextualSpacing/>
        <w:jc w:val="both"/>
        <w:rPr>
          <w:rFonts w:ascii="Verdana" w:hAnsi="Verdana" w:cs="Arial"/>
          <w:sz w:val="16"/>
          <w:szCs w:val="16"/>
        </w:rPr>
      </w:pPr>
      <w:r w:rsidRPr="00C53B15">
        <w:rPr>
          <w:rFonts w:ascii="Verdana" w:hAnsi="Verdana"/>
          <w:sz w:val="16"/>
          <w:szCs w:val="16"/>
          <w:vertAlign w:val="superscript"/>
        </w:rPr>
        <w:footnoteRef/>
      </w:r>
      <w:r w:rsidRPr="00C53B15">
        <w:rPr>
          <w:rFonts w:ascii="Verdana" w:hAnsi="Verdana"/>
          <w:sz w:val="16"/>
          <w:szCs w:val="16"/>
          <w:vertAlign w:val="superscript"/>
        </w:rPr>
        <w:t xml:space="preserve"> </w:t>
      </w:r>
      <w:r w:rsidRPr="00C53B15">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12">
    <w:p w14:paraId="06853955" w14:textId="77777777" w:rsidR="00481562" w:rsidRPr="00C53B15" w:rsidRDefault="00481562" w:rsidP="00481562">
      <w:pPr>
        <w:pStyle w:val="Textonotapie"/>
        <w:ind w:firstLine="709"/>
        <w:contextualSpacing/>
        <w:jc w:val="both"/>
        <w:rPr>
          <w:rFonts w:ascii="Verdana" w:hAnsi="Verdana" w:cs="Arial"/>
          <w:sz w:val="16"/>
          <w:szCs w:val="16"/>
        </w:rPr>
      </w:pPr>
      <w:r w:rsidRPr="00C53B15">
        <w:rPr>
          <w:rFonts w:ascii="Verdana" w:hAnsi="Verdana"/>
          <w:sz w:val="16"/>
          <w:szCs w:val="16"/>
          <w:vertAlign w:val="superscript"/>
        </w:rPr>
        <w:footnoteRef/>
      </w:r>
      <w:r w:rsidRPr="00C53B15">
        <w:rPr>
          <w:rFonts w:ascii="Verdana" w:hAnsi="Verdana" w:cs="Arial"/>
          <w:sz w:val="16"/>
          <w:szCs w:val="16"/>
          <w:vertAlign w:val="superscript"/>
        </w:rPr>
        <w:t xml:space="preserve"> </w:t>
      </w:r>
      <w:r w:rsidRPr="00C53B15">
        <w:rPr>
          <w:rFonts w:ascii="Verdana" w:hAnsi="Verdana" w:cs="Arial"/>
          <w:sz w:val="16"/>
          <w:szCs w:val="16"/>
        </w:rPr>
        <w:t>Ley 80 de 1993: “Artículo 41. Del perfeccionamiento del contrato. Los contratos del Estado se perfeccionan cuando se logre acuerdo sobre el objeto y la contraprestación y éste se eleve a escrito (…)”.</w:t>
      </w:r>
    </w:p>
  </w:footnote>
  <w:footnote w:id="13">
    <w:p w14:paraId="3FF529DA" w14:textId="77777777" w:rsidR="00481562" w:rsidRPr="00C53B15" w:rsidRDefault="00481562" w:rsidP="00481562">
      <w:pPr>
        <w:pStyle w:val="Textonotapie"/>
        <w:ind w:left="851" w:hanging="142"/>
        <w:contextualSpacing/>
        <w:jc w:val="both"/>
        <w:rPr>
          <w:rFonts w:ascii="Verdana" w:hAnsi="Verdana"/>
          <w:sz w:val="16"/>
          <w:szCs w:val="16"/>
          <w:lang w:val="es-CO"/>
        </w:rPr>
      </w:pPr>
      <w:r w:rsidRPr="00C53B15">
        <w:rPr>
          <w:rStyle w:val="Refdenotaalpie"/>
          <w:rFonts w:ascii="Verdana" w:hAnsi="Verdana"/>
          <w:sz w:val="16"/>
          <w:szCs w:val="16"/>
        </w:rPr>
        <w:footnoteRef/>
      </w:r>
      <w:r w:rsidRPr="00C53B15">
        <w:rPr>
          <w:rFonts w:ascii="Verdana" w:hAnsi="Verdana"/>
          <w:sz w:val="16"/>
          <w:szCs w:val="16"/>
          <w:lang w:val="es-CO"/>
        </w:rPr>
        <w:t xml:space="preserve"> Consejo de Estado, Sección Tercera. Auto del 4 de octubre de 2024. Exp. 70.313. C.P: Fredy Ibarra Martínez.</w:t>
      </w:r>
    </w:p>
  </w:footnote>
  <w:footnote w:id="14">
    <w:p w14:paraId="3B535DF9" w14:textId="77777777" w:rsidR="00481562" w:rsidRPr="00C53B15" w:rsidRDefault="00481562" w:rsidP="00481562">
      <w:pPr>
        <w:pStyle w:val="Textonotapie"/>
        <w:ind w:firstLine="709"/>
        <w:contextualSpacing/>
        <w:jc w:val="both"/>
        <w:rPr>
          <w:rFonts w:ascii="Verdana" w:hAnsi="Verdana"/>
          <w:sz w:val="16"/>
          <w:szCs w:val="16"/>
          <w:lang w:val="es-CO"/>
        </w:rPr>
      </w:pPr>
      <w:r w:rsidRPr="00C53B15">
        <w:rPr>
          <w:rStyle w:val="Refdenotaalpie"/>
          <w:rFonts w:ascii="Verdana" w:hAnsi="Verdana"/>
          <w:sz w:val="16"/>
          <w:szCs w:val="16"/>
        </w:rPr>
        <w:footnoteRef/>
      </w:r>
      <w:r w:rsidRPr="00C53B15">
        <w:rPr>
          <w:rFonts w:ascii="Verdana" w:hAnsi="Verdana"/>
          <w:sz w:val="16"/>
          <w:szCs w:val="16"/>
        </w:rPr>
        <w:t xml:space="preserve"> La parte resolutiva del auto dispone lo siguiente; “</w:t>
      </w:r>
      <w:r w:rsidRPr="00C53B15">
        <w:rPr>
          <w:rFonts w:ascii="Verdana" w:hAnsi="Verdana"/>
          <w:bCs/>
          <w:sz w:val="16"/>
          <w:szCs w:val="16"/>
          <w:lang w:val="es-CO"/>
        </w:rPr>
        <w:t>PRIMERO: DECRETAR la suspensión provisional de los apartes cuestionados del inciso segundo del numeral 16.2 de la Circular Externa</w:t>
      </w:r>
      <w:r w:rsidRPr="00C53B15">
        <w:rPr>
          <w:rFonts w:ascii="Verdana" w:hAnsi="Verdana"/>
          <w:sz w:val="16"/>
          <w:szCs w:val="16"/>
          <w:lang w:val="es-CO"/>
        </w:rPr>
        <w:t xml:space="preserve"> única, versión 3 del 27 de diciembre de 2023, expedida por la Agencia Nacional de Contratación Pública – Colombia Compra Eficiente, según el cual </w:t>
      </w:r>
      <w:r w:rsidRPr="00C53B15">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C53B15">
        <w:rPr>
          <w:rFonts w:ascii="Verdana" w:hAnsi="Verdana"/>
          <w:sz w:val="16"/>
          <w:szCs w:val="16"/>
          <w:lang w:val="es-CO"/>
        </w:rPr>
        <w:t xml:space="preserve">, por las razones expuestas en precedencia. </w:t>
      </w:r>
    </w:p>
    <w:p w14:paraId="0848E1C4" w14:textId="77777777" w:rsidR="00481562" w:rsidRPr="00C53B15" w:rsidRDefault="00481562" w:rsidP="00481562">
      <w:pPr>
        <w:pStyle w:val="Textonotapie"/>
        <w:ind w:firstLine="709"/>
        <w:contextualSpacing/>
        <w:jc w:val="both"/>
        <w:rPr>
          <w:rFonts w:ascii="Verdana" w:hAnsi="Verdana"/>
          <w:sz w:val="16"/>
          <w:szCs w:val="16"/>
          <w:lang w:val="es-CO"/>
        </w:rPr>
      </w:pPr>
      <w:r w:rsidRPr="00C53B15">
        <w:rPr>
          <w:rFonts w:ascii="Verdana" w:hAnsi="Verdana"/>
          <w:bCs/>
          <w:sz w:val="16"/>
          <w:szCs w:val="16"/>
          <w:lang w:val="es-CO"/>
        </w:rPr>
        <w:t>SEGUNDO: DECRETAR</w:t>
      </w:r>
      <w:r w:rsidRPr="00C53B15">
        <w:rPr>
          <w:rFonts w:ascii="Verdana" w:hAnsi="Verdana"/>
          <w:b/>
          <w:sz w:val="16"/>
          <w:szCs w:val="16"/>
          <w:lang w:val="es-CO"/>
        </w:rPr>
        <w:t xml:space="preserve"> </w:t>
      </w:r>
      <w:r w:rsidRPr="00C53B15">
        <w:rPr>
          <w:rFonts w:ascii="Verdana" w:hAnsi="Verdana"/>
          <w:sz w:val="16"/>
          <w:szCs w:val="16"/>
          <w:lang w:val="es-CO"/>
        </w:rPr>
        <w:t>la suspensión provisional de la expresión “</w:t>
      </w:r>
      <w:r w:rsidRPr="00C53B15">
        <w:rPr>
          <w:rFonts w:ascii="Verdana" w:hAnsi="Verdana"/>
          <w:i/>
          <w:sz w:val="16"/>
          <w:szCs w:val="16"/>
          <w:lang w:val="es-CO"/>
        </w:rPr>
        <w:t>contratos</w:t>
      </w:r>
      <w:r w:rsidRPr="00C53B15">
        <w:rPr>
          <w:rFonts w:ascii="Verdana" w:hAnsi="Verdana"/>
          <w:sz w:val="16"/>
          <w:szCs w:val="16"/>
          <w:lang w:val="es-CO"/>
        </w:rPr>
        <w:t xml:space="preserve">” y del párrafo </w:t>
      </w:r>
      <w:r w:rsidRPr="00C53B15">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C53B15">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15">
    <w:p w14:paraId="6F09DA8A" w14:textId="77777777" w:rsidR="00481562" w:rsidRPr="00C53B15" w:rsidRDefault="00481562" w:rsidP="00481562">
      <w:pPr>
        <w:spacing w:after="0" w:line="240" w:lineRule="auto"/>
        <w:ind w:firstLine="709"/>
        <w:contextualSpacing/>
        <w:jc w:val="both"/>
        <w:rPr>
          <w:rFonts w:ascii="Verdana" w:eastAsia="Times New Roman" w:hAnsi="Verdana" w:cs="Times New Roman"/>
          <w:sz w:val="16"/>
          <w:szCs w:val="16"/>
          <w:lang w:eastAsia="es-ES"/>
        </w:rPr>
      </w:pPr>
      <w:r w:rsidRPr="00C53B15">
        <w:rPr>
          <w:rStyle w:val="Refdenotaalpie"/>
          <w:rFonts w:ascii="Verdana" w:hAnsi="Verdana"/>
          <w:sz w:val="16"/>
          <w:szCs w:val="16"/>
        </w:rPr>
        <w:footnoteRef/>
      </w:r>
      <w:r w:rsidRPr="00C53B15">
        <w:rPr>
          <w:rFonts w:ascii="Verdana" w:hAnsi="Verdana"/>
          <w:sz w:val="16"/>
          <w:szCs w:val="16"/>
        </w:rPr>
        <w:t xml:space="preserve"> </w:t>
      </w:r>
      <w:r w:rsidRPr="00C53B15">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C53B15">
        <w:rPr>
          <w:rFonts w:ascii="Verdana" w:hAnsi="Verdana"/>
          <w:sz w:val="16"/>
          <w:szCs w:val="16"/>
        </w:rPr>
        <w:t xml:space="preserve">La parte de la providencia señala: </w:t>
      </w:r>
      <w:r w:rsidRPr="00C53B15">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16">
    <w:p w14:paraId="6811E521" w14:textId="77777777" w:rsidR="00481562" w:rsidRPr="00C53B15" w:rsidRDefault="00481562" w:rsidP="00481562">
      <w:pPr>
        <w:pStyle w:val="Textonotapie"/>
        <w:ind w:firstLine="709"/>
        <w:jc w:val="both"/>
        <w:rPr>
          <w:rFonts w:ascii="Verdana" w:hAnsi="Verdana"/>
          <w:sz w:val="16"/>
          <w:szCs w:val="16"/>
          <w:lang w:val="es-CO"/>
        </w:rPr>
      </w:pPr>
      <w:r w:rsidRPr="00C53B15">
        <w:rPr>
          <w:rStyle w:val="Refdenotaalpie"/>
          <w:rFonts w:ascii="Verdana" w:hAnsi="Verdana"/>
          <w:sz w:val="16"/>
          <w:szCs w:val="16"/>
        </w:rPr>
        <w:footnoteRef/>
      </w:r>
      <w:r w:rsidRPr="00C53B15">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17">
    <w:p w14:paraId="11900CB7" w14:textId="77777777" w:rsidR="00481562" w:rsidRPr="00BD4175" w:rsidRDefault="00481562" w:rsidP="00481562">
      <w:pPr>
        <w:pStyle w:val="Textonotapie"/>
        <w:ind w:firstLine="708"/>
        <w:jc w:val="both"/>
        <w:rPr>
          <w:rFonts w:ascii="Verdana" w:hAnsi="Verdana"/>
          <w:sz w:val="16"/>
          <w:szCs w:val="16"/>
        </w:rPr>
      </w:pPr>
      <w:r w:rsidRPr="00BD4175">
        <w:rPr>
          <w:rStyle w:val="Refdenotaalpie"/>
          <w:rFonts w:ascii="Verdana" w:hAnsi="Verdana"/>
          <w:sz w:val="16"/>
          <w:szCs w:val="16"/>
        </w:rPr>
        <w:footnoteRef/>
      </w:r>
      <w:r w:rsidRPr="00BD4175">
        <w:rPr>
          <w:rFonts w:ascii="Verdana" w:hAnsi="Verdana"/>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5E448745" w14:textId="77777777" w:rsidR="00481562" w:rsidRPr="00BD4175" w:rsidRDefault="00481562" w:rsidP="00481562">
      <w:pPr>
        <w:pStyle w:val="Textonotapie"/>
        <w:ind w:firstLine="708"/>
        <w:jc w:val="both"/>
        <w:rPr>
          <w:rFonts w:ascii="Verdana" w:hAnsi="Verdana"/>
          <w:sz w:val="16"/>
          <w:szCs w:val="16"/>
        </w:rPr>
      </w:pPr>
      <w:r w:rsidRPr="00BD4175">
        <w:rPr>
          <w:rFonts w:ascii="Verdana" w:hAnsi="Verdana"/>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r>
        <w:rPr>
          <w:rFonts w:ascii="Verdana" w:hAnsi="Verdana"/>
          <w:sz w:val="16"/>
          <w:szCs w:val="16"/>
        </w:rPr>
        <w:t>”</w:t>
      </w:r>
      <w:r w:rsidRPr="00BD4175">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1EBD8117"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81A8A056"/>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4DF8"/>
    <w:rsid w:val="00082362"/>
    <w:rsid w:val="000A683E"/>
    <w:rsid w:val="000B19B9"/>
    <w:rsid w:val="000D0334"/>
    <w:rsid w:val="000D5DA7"/>
    <w:rsid w:val="000F6486"/>
    <w:rsid w:val="00116940"/>
    <w:rsid w:val="00125105"/>
    <w:rsid w:val="00127233"/>
    <w:rsid w:val="0015699B"/>
    <w:rsid w:val="001A33BF"/>
    <w:rsid w:val="001E4177"/>
    <w:rsid w:val="001F0B24"/>
    <w:rsid w:val="001F45E0"/>
    <w:rsid w:val="001F7DC6"/>
    <w:rsid w:val="002005A3"/>
    <w:rsid w:val="0022400B"/>
    <w:rsid w:val="002421BB"/>
    <w:rsid w:val="0025796E"/>
    <w:rsid w:val="002707A2"/>
    <w:rsid w:val="002951A0"/>
    <w:rsid w:val="002962BC"/>
    <w:rsid w:val="002A093D"/>
    <w:rsid w:val="002A0DD0"/>
    <w:rsid w:val="002A49AC"/>
    <w:rsid w:val="002A64FD"/>
    <w:rsid w:val="002C7A84"/>
    <w:rsid w:val="002D7AD6"/>
    <w:rsid w:val="002E2BF8"/>
    <w:rsid w:val="002E4FD9"/>
    <w:rsid w:val="0030657A"/>
    <w:rsid w:val="00322A85"/>
    <w:rsid w:val="00322ED2"/>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16EDB"/>
    <w:rsid w:val="0042722E"/>
    <w:rsid w:val="0044528D"/>
    <w:rsid w:val="00466E39"/>
    <w:rsid w:val="00481562"/>
    <w:rsid w:val="004A1847"/>
    <w:rsid w:val="004A305D"/>
    <w:rsid w:val="004F21C4"/>
    <w:rsid w:val="004F4B0B"/>
    <w:rsid w:val="004F685F"/>
    <w:rsid w:val="005566E8"/>
    <w:rsid w:val="00574867"/>
    <w:rsid w:val="00591460"/>
    <w:rsid w:val="005A65E0"/>
    <w:rsid w:val="005C3777"/>
    <w:rsid w:val="005C5CDC"/>
    <w:rsid w:val="005D476C"/>
    <w:rsid w:val="005D554F"/>
    <w:rsid w:val="006200BF"/>
    <w:rsid w:val="006219F8"/>
    <w:rsid w:val="006302F7"/>
    <w:rsid w:val="00646B9F"/>
    <w:rsid w:val="00647BA2"/>
    <w:rsid w:val="00665D70"/>
    <w:rsid w:val="006900D9"/>
    <w:rsid w:val="00706C16"/>
    <w:rsid w:val="007340C3"/>
    <w:rsid w:val="0075235A"/>
    <w:rsid w:val="00756841"/>
    <w:rsid w:val="007649AB"/>
    <w:rsid w:val="00771D0C"/>
    <w:rsid w:val="007833AC"/>
    <w:rsid w:val="007904D2"/>
    <w:rsid w:val="007B268C"/>
    <w:rsid w:val="007B7171"/>
    <w:rsid w:val="007C0C0F"/>
    <w:rsid w:val="007C3DC2"/>
    <w:rsid w:val="007E5497"/>
    <w:rsid w:val="00806F5F"/>
    <w:rsid w:val="00814970"/>
    <w:rsid w:val="00820278"/>
    <w:rsid w:val="00820514"/>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A0F28"/>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033E"/>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81562"/>
    <w:pPr>
      <w:spacing w:line="240" w:lineRule="exact"/>
    </w:pPr>
    <w:rPr>
      <w:vertAlign w:val="superscript"/>
    </w:rPr>
  </w:style>
  <w:style w:type="character" w:customStyle="1" w:styleId="baj">
    <w:name w:val="b_aj"/>
    <w:basedOn w:val="Fuentedeprrafopredeter"/>
    <w:rsid w:val="00481562"/>
  </w:style>
  <w:style w:type="character" w:customStyle="1" w:styleId="NormalWebCar">
    <w:name w:val="Normal (Web) Car"/>
    <w:link w:val="NormalWeb"/>
    <w:uiPriority w:val="99"/>
    <w:locked/>
    <w:rsid w:val="00481562"/>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lasquitar23@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A474D476014E104C943ED5E0AA09077C" ma:contentTypeVersion="3" ma:contentTypeDescription="Crear nuevo documento." ma:contentTypeScope="" ma:versionID="5aee4673a6af19db486efc01e2470a0b">
  <xsd:schema xmlns:xsd="http://www.w3.org/2001/XMLSchema" xmlns:xs="http://www.w3.org/2001/XMLSchema" xmlns:p="http://schemas.microsoft.com/office/2006/metadata/properties" xmlns:ns2="fb02ccb1-9bfe-43f1-9075-a12505bf7b0f" targetNamespace="http://schemas.microsoft.com/office/2006/metadata/properties" ma:root="true" ma:fieldsID="81b93032960c52a90666a46829b59c5a" ns2:_="">
    <xsd:import namespace="fb02ccb1-9bfe-43f1-9075-a12505bf7b0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02ccb1-9bfe-43f1-9075-a12505bf7b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C9DF94E-F7A7-4002-A94A-D71D6FA4EF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02ccb1-9bfe-43f1-9075-a12505bf7b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19</Pages>
  <Words>6365</Words>
  <Characters>35008</Characters>
  <Application>Microsoft Office Word</Application>
  <DocSecurity>0</DocSecurity>
  <Lines>291</Lines>
  <Paragraphs>82</Paragraphs>
  <ScaleCrop>false</ScaleCrop>
  <Company/>
  <LinksUpToDate>false</LinksUpToDate>
  <CharactersWithSpaces>41291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8</cp:revision>
  <cp:lastPrinted>2023-01-10T21:18:00Z</cp:lastPrinted>
  <dcterms:created xsi:type="dcterms:W3CDTF">2026-04-15T14:41:00Z</dcterms:created>
  <dcterms:modified xsi:type="dcterms:W3CDTF">2026-04-29T20:25:00Z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0x010100A474D476014E104C943ED5E0AA09077C</vt:lpwstr>
  </property>
  <property fmtid="{D5CDD505-2E9C-101B-9397-08002B2CF9AE}" pid="3" name="MediaServiceImageTags">
    <vt:lpwstr/>
  </property>
</Properties>
</file>