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D834F" w14:textId="77777777" w:rsidR="00B13009" w:rsidRDefault="00B13009" w:rsidP="30821638">
      <w:pPr>
        <w:spacing w:after="0"/>
        <w:rPr>
          <w:rFonts w:ascii="Verdana" w:eastAsia="Verdana" w:hAnsi="Verdana" w:cs="Verdana"/>
        </w:rPr>
      </w:pPr>
      <w:bookmarkStart w:id="0" w:name="_Hlk143780582"/>
    </w:p>
    <w:p w14:paraId="642B43B7" w14:textId="77777777" w:rsidR="00A83988" w:rsidRDefault="00A83988" w:rsidP="00A83988">
      <w:pPr>
        <w:jc w:val="both"/>
        <w:rPr>
          <w:rFonts w:ascii="Verdana" w:hAnsi="Verdana" w:cs="Arial"/>
          <w:b/>
          <w:color w:val="000000" w:themeColor="text1"/>
          <w:lang w:val="es-ES_tradnl"/>
        </w:rPr>
      </w:pPr>
      <w:r w:rsidRPr="00870388">
        <w:rPr>
          <w:rFonts w:ascii="Verdana" w:hAnsi="Verdana" w:cs="Arial"/>
          <w:b/>
          <w:color w:val="000000" w:themeColor="text1"/>
          <w:lang w:val="es-ES_tradnl"/>
        </w:rPr>
        <w:t xml:space="preserve">LEY DE GARANTÍAS ELECTORALES ‒ Finalidad </w:t>
      </w:r>
    </w:p>
    <w:p w14:paraId="12A661D8" w14:textId="77777777" w:rsidR="00A83988" w:rsidRPr="00870388" w:rsidRDefault="00A83988" w:rsidP="00A83988">
      <w:pPr>
        <w:jc w:val="both"/>
        <w:rPr>
          <w:rFonts w:ascii="Verdana" w:hAnsi="Verdana" w:cs="Arial"/>
          <w:b/>
          <w:color w:val="000000" w:themeColor="text1"/>
          <w:lang w:val="es-ES_tradnl"/>
        </w:rPr>
      </w:pPr>
    </w:p>
    <w:p w14:paraId="6AD19D8B" w14:textId="77777777" w:rsidR="00A83988" w:rsidRPr="00501AFD" w:rsidRDefault="00A83988" w:rsidP="00A83988">
      <w:pPr>
        <w:jc w:val="both"/>
        <w:rPr>
          <w:rFonts w:ascii="Verdana" w:hAnsi="Verdana" w:cs="Arial"/>
          <w:bCs/>
          <w:color w:val="000000" w:themeColor="text1"/>
          <w:sz w:val="20"/>
          <w:szCs w:val="20"/>
          <w:lang w:val="es-ES_tradnl"/>
        </w:rPr>
      </w:pPr>
      <w:r w:rsidRPr="00501AFD">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06B25543" w14:textId="77777777" w:rsidR="009B40F7" w:rsidRDefault="009B40F7" w:rsidP="00A83988">
      <w:pPr>
        <w:jc w:val="both"/>
        <w:rPr>
          <w:rFonts w:ascii="Verdana" w:hAnsi="Verdana" w:cs="Arial"/>
          <w:b/>
          <w:color w:val="000000" w:themeColor="text1"/>
          <w:lang w:val="es-ES_tradnl"/>
        </w:rPr>
      </w:pPr>
    </w:p>
    <w:p w14:paraId="0695C414" w14:textId="5F061076" w:rsidR="00A83988" w:rsidRDefault="00A83988" w:rsidP="00A83988">
      <w:pPr>
        <w:jc w:val="both"/>
        <w:rPr>
          <w:rFonts w:ascii="Verdana" w:hAnsi="Verdana" w:cs="Arial"/>
          <w:b/>
          <w:color w:val="000000" w:themeColor="text1"/>
          <w:lang w:val="es-ES_tradnl"/>
        </w:rPr>
      </w:pPr>
      <w:r w:rsidRPr="00870388">
        <w:rPr>
          <w:rFonts w:ascii="Verdana" w:hAnsi="Verdana" w:cs="Arial"/>
          <w:b/>
          <w:color w:val="000000" w:themeColor="text1"/>
          <w:lang w:val="es-ES_tradnl"/>
        </w:rPr>
        <w:t xml:space="preserve">LEY DE GARANTÍAS ELECTORALES ‒ Tipos de restricciones </w:t>
      </w:r>
    </w:p>
    <w:p w14:paraId="3A8FDA01" w14:textId="77777777" w:rsidR="00A83988" w:rsidRPr="00501AFD" w:rsidRDefault="00A83988" w:rsidP="00A83988">
      <w:pPr>
        <w:jc w:val="both"/>
        <w:rPr>
          <w:rFonts w:ascii="Verdana" w:eastAsia="Times New Roman" w:hAnsi="Verdana" w:cs="Arial"/>
          <w:sz w:val="20"/>
          <w:szCs w:val="20"/>
          <w:lang w:val="es-ES"/>
        </w:rPr>
      </w:pPr>
      <w:r w:rsidRPr="00501AFD">
        <w:rPr>
          <w:rFonts w:ascii="Verdana" w:eastAsia="Times New Roman" w:hAnsi="Verdana" w:cs="Arial"/>
          <w:sz w:val="20"/>
          <w:szCs w:val="20"/>
          <w:lang w:val="es-ES"/>
        </w:rPr>
        <w:t>En consecuencia, las restricciones a la contratación directa contenidas en la Ley de Garantías Electorales son aplicables a entidades descentralizadas como las sociedades de economía mixta, a las que hace referencia en su consulta.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3BAB2EAE" w14:textId="77777777" w:rsidR="00A83988" w:rsidRDefault="00A83988" w:rsidP="00A83988">
      <w:pPr>
        <w:spacing w:after="0" w:line="240" w:lineRule="auto"/>
        <w:rPr>
          <w:rFonts w:ascii="Verdana" w:hAnsi="Verdana"/>
        </w:rPr>
      </w:pPr>
    </w:p>
    <w:p w14:paraId="4D2DEAD7" w14:textId="07A11F04" w:rsidR="00A83988" w:rsidRPr="00FB7DC7" w:rsidRDefault="00FB7DC7" w:rsidP="00A83988">
      <w:pPr>
        <w:spacing w:after="0" w:line="240" w:lineRule="auto"/>
        <w:rPr>
          <w:rFonts w:ascii="Verdana" w:hAnsi="Verdana"/>
          <w:b/>
        </w:rPr>
      </w:pPr>
      <w:r w:rsidRPr="00FB7DC7">
        <w:rPr>
          <w:rFonts w:ascii="Verdana" w:hAnsi="Verdana" w:cs="Arial"/>
          <w:b/>
          <w:color w:val="000000" w:themeColor="text1"/>
          <w:lang w:val="es-ES_tradnl"/>
        </w:rPr>
        <w:t>LEY DE GARANTÍAS ELECTORALES – Contratación directa - Sociedades de economía mixta</w:t>
      </w:r>
    </w:p>
    <w:p w14:paraId="2668D04E" w14:textId="77777777" w:rsidR="00FB7DC7" w:rsidRDefault="00FB7DC7" w:rsidP="00B2629D">
      <w:pPr>
        <w:spacing w:after="0" w:line="240" w:lineRule="auto"/>
        <w:rPr>
          <w:rFonts w:ascii="Verdana" w:hAnsi="Verdana"/>
        </w:rPr>
      </w:pPr>
    </w:p>
    <w:p w14:paraId="56253EDE" w14:textId="77777777" w:rsidR="00B2629D" w:rsidRPr="00B2629D" w:rsidRDefault="00B2629D" w:rsidP="00B2629D">
      <w:pPr>
        <w:spacing w:after="120" w:line="276" w:lineRule="auto"/>
        <w:jc w:val="both"/>
        <w:rPr>
          <w:rFonts w:ascii="Verdana" w:eastAsia="Century Gothic" w:hAnsi="Verdana" w:cs="Century Gothic"/>
          <w:sz w:val="20"/>
          <w:szCs w:val="20"/>
        </w:rPr>
      </w:pPr>
      <w:r w:rsidRPr="00B2629D">
        <w:rPr>
          <w:rFonts w:ascii="Verdana" w:eastAsia="Century Gothic" w:hAnsi="Verdana" w:cs="Century Gothic"/>
          <w:sz w:val="20"/>
          <w:szCs w:val="20"/>
        </w:rPr>
        <w:t>El artículo 33 de la Ley 996 de 2005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se refiere a cualquier sistema de selección o procedimiento de contratación utilizado por las entidades estatales que no incluya la convocatoria pública en alguna de sus etapas, ni permita la participación de una pluralidad de oferentes.</w:t>
      </w:r>
    </w:p>
    <w:p w14:paraId="01058615" w14:textId="77777777" w:rsidR="00B13009" w:rsidRDefault="00B13009">
      <w:pPr>
        <w:rPr>
          <w:rFonts w:ascii="Verdana" w:eastAsia="Verdana" w:hAnsi="Verdana" w:cs="Verdana"/>
        </w:rPr>
      </w:pPr>
      <w:r>
        <w:rPr>
          <w:rFonts w:ascii="Verdana" w:eastAsia="Verdana" w:hAnsi="Verdana" w:cs="Verdana"/>
        </w:rPr>
        <w:br w:type="page"/>
      </w:r>
    </w:p>
    <w:p w14:paraId="014CBDDE" w14:textId="6CF7549E" w:rsidR="007F3056" w:rsidRDefault="00C15139" w:rsidP="30821638">
      <w:pPr>
        <w:spacing w:after="0"/>
        <w:rPr>
          <w:rFonts w:ascii="Verdana" w:eastAsia="Verdana" w:hAnsi="Verdana" w:cs="Verdana"/>
        </w:rPr>
      </w:pPr>
      <w:r w:rsidRPr="30821638">
        <w:rPr>
          <w:rFonts w:ascii="Verdana" w:eastAsia="Verdana" w:hAnsi="Verdana" w:cs="Verdana"/>
        </w:rPr>
        <w:lastRenderedPageBreak/>
        <w:t xml:space="preserve">Bogotá D.C., </w:t>
      </w:r>
      <w:r w:rsidR="000348FE">
        <w:rPr>
          <w:rFonts w:ascii="Verdana" w:eastAsia="Verdana" w:hAnsi="Verdana" w:cs="Verdana"/>
        </w:rPr>
        <w:t>20 abril 2026</w:t>
      </w:r>
    </w:p>
    <w:p w14:paraId="7FCB155B" w14:textId="76339112" w:rsidR="007F3056" w:rsidRDefault="000348FE" w:rsidP="30821638">
      <w:pPr>
        <w:spacing w:after="0"/>
        <w:rPr>
          <w:rFonts w:ascii="Verdana" w:eastAsia="Verdana" w:hAnsi="Verdana" w:cs="Verdana"/>
        </w:rPr>
      </w:pPr>
      <w:r w:rsidRPr="000348FE">
        <w:rPr>
          <w:rFonts w:ascii="Verdana" w:eastAsia="Calibri" w:hAnsi="Verdana" w:cs="Arial"/>
          <w:noProof/>
          <w:lang w:eastAsia="es-ES"/>
        </w:rPr>
        <w:drawing>
          <wp:anchor distT="0" distB="0" distL="114300" distR="114300" simplePos="0" relativeHeight="251660288" behindDoc="1" locked="0" layoutInCell="1" allowOverlap="1" wp14:anchorId="6FBE8841" wp14:editId="6658A37B">
            <wp:simplePos x="0" y="0"/>
            <wp:positionH relativeFrom="column">
              <wp:posOffset>3274745</wp:posOffset>
            </wp:positionH>
            <wp:positionV relativeFrom="paragraph">
              <wp:posOffset>150495</wp:posOffset>
            </wp:positionV>
            <wp:extent cx="2192020" cy="719455"/>
            <wp:effectExtent l="0" t="0" r="0" b="4445"/>
            <wp:wrapTight wrapText="bothSides">
              <wp:wrapPolygon edited="0">
                <wp:start x="0" y="0"/>
                <wp:lineTo x="0" y="21162"/>
                <wp:lineTo x="21400" y="21162"/>
                <wp:lineTo x="21400" y="0"/>
                <wp:lineTo x="0" y="0"/>
              </wp:wrapPolygon>
            </wp:wrapTight>
            <wp:docPr id="20648829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202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74171B" w14:textId="6DF2B87B" w:rsidR="00780C4B" w:rsidRPr="00631045" w:rsidRDefault="00780C4B" w:rsidP="00780C4B">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Pr>
          <w:rFonts w:ascii="Verdana" w:eastAsia="Calibri" w:hAnsi="Verdana" w:cs="Arial"/>
          <w:lang w:eastAsia="es-ES"/>
        </w:rPr>
        <w:t>a</w:t>
      </w:r>
      <w:r w:rsidRPr="00631045">
        <w:rPr>
          <w:rFonts w:ascii="Verdana" w:eastAsia="Calibri" w:hAnsi="Verdana" w:cs="Arial"/>
          <w:lang w:eastAsia="es-ES"/>
        </w:rPr>
        <w:tab/>
      </w:r>
    </w:p>
    <w:p w14:paraId="49A593F0" w14:textId="76B41917" w:rsidR="00780C4B" w:rsidRDefault="00B70908" w:rsidP="00B70908">
      <w:pPr>
        <w:spacing w:after="0" w:line="240" w:lineRule="auto"/>
        <w:rPr>
          <w:rFonts w:ascii="Verdana" w:eastAsia="Calibri" w:hAnsi="Verdana" w:cs="Arial"/>
          <w:b/>
          <w:bCs/>
          <w:lang w:eastAsia="es-ES"/>
        </w:rPr>
      </w:pPr>
      <w:r>
        <w:rPr>
          <w:rFonts w:ascii="Verdana" w:eastAsia="Calibri" w:hAnsi="Verdana" w:cs="Arial"/>
          <w:b/>
          <w:bCs/>
          <w:lang w:eastAsia="es-ES"/>
        </w:rPr>
        <w:t>María Fernanda León Linares</w:t>
      </w:r>
    </w:p>
    <w:p w14:paraId="7A570277" w14:textId="63BC4276" w:rsidR="00B70908" w:rsidRPr="006B129D" w:rsidRDefault="005A6B4A" w:rsidP="00B70908">
      <w:pPr>
        <w:spacing w:after="0" w:line="240" w:lineRule="auto"/>
        <w:rPr>
          <w:rFonts w:ascii="Verdana" w:eastAsia="Calibri" w:hAnsi="Verdana" w:cs="Arial"/>
          <w:lang w:eastAsia="es-ES"/>
        </w:rPr>
      </w:pPr>
      <w:hyperlink r:id="rId12" w:history="1">
        <w:r w:rsidRPr="006B129D">
          <w:rPr>
            <w:rStyle w:val="Hipervnculo"/>
            <w:rFonts w:ascii="Verdana" w:eastAsia="Calibri" w:hAnsi="Verdana" w:cs="Arial"/>
            <w:lang w:eastAsia="es-ES"/>
          </w:rPr>
          <w:t>Mfleon26@gmail.com</w:t>
        </w:r>
      </w:hyperlink>
      <w:r w:rsidRPr="006B129D">
        <w:rPr>
          <w:rFonts w:ascii="Verdana" w:eastAsia="Calibri" w:hAnsi="Verdana" w:cs="Arial"/>
          <w:lang w:eastAsia="es-ES"/>
        </w:rPr>
        <w:t xml:space="preserve"> </w:t>
      </w:r>
    </w:p>
    <w:p w14:paraId="75A5E276" w14:textId="2B12ABDC" w:rsidR="005A6B4A" w:rsidRPr="006B129D" w:rsidRDefault="005A6B4A" w:rsidP="00B70908">
      <w:pPr>
        <w:spacing w:after="0" w:line="240" w:lineRule="auto"/>
        <w:rPr>
          <w:rFonts w:ascii="Verdana" w:hAnsi="Verdana"/>
        </w:rPr>
      </w:pPr>
      <w:r w:rsidRPr="006B129D">
        <w:rPr>
          <w:rFonts w:ascii="Verdana" w:eastAsia="Calibri" w:hAnsi="Verdana" w:cs="Arial"/>
          <w:lang w:eastAsia="es-ES"/>
        </w:rPr>
        <w:t xml:space="preserve">San Martín, </w:t>
      </w:r>
      <w:r w:rsidR="006B129D" w:rsidRPr="006B129D">
        <w:rPr>
          <w:rFonts w:ascii="Verdana" w:eastAsia="Calibri" w:hAnsi="Verdana" w:cs="Arial"/>
          <w:lang w:eastAsia="es-ES"/>
        </w:rPr>
        <w:t xml:space="preserve">Meta </w:t>
      </w:r>
    </w:p>
    <w:p w14:paraId="70293FD1" w14:textId="77777777" w:rsidR="00780C4B" w:rsidRPr="00FE3DEC" w:rsidRDefault="00780C4B" w:rsidP="00780C4B">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780C4B" w:rsidRPr="00593A5F" w14:paraId="01CD0F72" w14:textId="77777777" w:rsidTr="00033FA8">
        <w:trPr>
          <w:trHeight w:val="273"/>
        </w:trPr>
        <w:tc>
          <w:tcPr>
            <w:tcW w:w="2295" w:type="dxa"/>
          </w:tcPr>
          <w:p w14:paraId="798228C3" w14:textId="77777777" w:rsidR="00780C4B" w:rsidRPr="00E5644F" w:rsidRDefault="00780C4B" w:rsidP="00033FA8">
            <w:pPr>
              <w:jc w:val="both"/>
              <w:rPr>
                <w:rFonts w:ascii="Verdana" w:eastAsia="Calibri" w:hAnsi="Verdana" w:cs="Arial"/>
                <w:b/>
                <w:bCs/>
                <w:color w:val="7030A0"/>
                <w:lang w:val="es-ES_tradnl" w:eastAsia="es-ES_tradnl"/>
              </w:rPr>
            </w:pPr>
          </w:p>
        </w:tc>
        <w:tc>
          <w:tcPr>
            <w:tcW w:w="6481" w:type="dxa"/>
            <w:gridSpan w:val="2"/>
          </w:tcPr>
          <w:p w14:paraId="1162BA27" w14:textId="36365322" w:rsidR="00780C4B" w:rsidRPr="001773DA" w:rsidRDefault="00780C4B" w:rsidP="00033FA8">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sidR="00EB5AF2">
              <w:rPr>
                <w:rFonts w:ascii="Verdana" w:eastAsia="Calibri" w:hAnsi="Verdana" w:cs="Arial"/>
                <w:b/>
                <w:bCs/>
                <w:lang w:val="es-ES" w:eastAsia="es-ES"/>
              </w:rPr>
              <w:t>363</w:t>
            </w:r>
            <w:r w:rsidRPr="001773DA">
              <w:rPr>
                <w:rFonts w:ascii="Verdana" w:eastAsia="Calibri" w:hAnsi="Verdana" w:cs="Arial"/>
                <w:b/>
                <w:bCs/>
                <w:lang w:val="es-ES" w:eastAsia="es-ES"/>
              </w:rPr>
              <w:t xml:space="preserve"> de 202</w:t>
            </w:r>
            <w:r w:rsidR="00EB5AF2">
              <w:rPr>
                <w:rFonts w:ascii="Verdana" w:eastAsia="Calibri" w:hAnsi="Verdana" w:cs="Arial"/>
                <w:b/>
                <w:bCs/>
                <w:lang w:val="es-ES" w:eastAsia="es-ES"/>
              </w:rPr>
              <w:t>6</w:t>
            </w:r>
          </w:p>
          <w:p w14:paraId="138C20A5" w14:textId="77777777" w:rsidR="00780C4B" w:rsidRPr="001773DA" w:rsidRDefault="00780C4B" w:rsidP="00033FA8">
            <w:pPr>
              <w:jc w:val="both"/>
              <w:rPr>
                <w:rFonts w:ascii="Verdana" w:eastAsia="Calibri" w:hAnsi="Verdana" w:cs="Arial"/>
                <w:b/>
                <w:bCs/>
                <w:color w:val="7030A0"/>
                <w:lang w:val="es-ES" w:eastAsia="es-ES"/>
              </w:rPr>
            </w:pPr>
          </w:p>
        </w:tc>
      </w:tr>
      <w:tr w:rsidR="00780C4B" w:rsidRPr="00280D79" w14:paraId="3A6B7F50" w14:textId="77777777" w:rsidTr="00033FA8">
        <w:trPr>
          <w:trHeight w:val="1086"/>
        </w:trPr>
        <w:tc>
          <w:tcPr>
            <w:tcW w:w="2295" w:type="dxa"/>
          </w:tcPr>
          <w:p w14:paraId="32D6300D" w14:textId="77777777" w:rsidR="00780C4B" w:rsidRPr="00593A5F" w:rsidRDefault="00780C4B" w:rsidP="00033FA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5DFE3FEF" w14:textId="2F1907A7" w:rsidR="00780C4B" w:rsidRDefault="00780C4B" w:rsidP="00033FA8">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w:t>
            </w:r>
            <w:r w:rsidRPr="001D2E34">
              <w:rPr>
                <w:rFonts w:ascii="Verdana" w:hAnsi="Verdana" w:cs="Arial"/>
                <w:bCs/>
                <w:color w:val="000000" w:themeColor="text1"/>
                <w:lang w:val="es-ES_tradnl"/>
              </w:rPr>
              <w:t xml:space="preserve">‒ Tipos de </w:t>
            </w:r>
            <w:r w:rsidR="006D4C4F" w:rsidRPr="001D2E34">
              <w:rPr>
                <w:rFonts w:ascii="Verdana" w:hAnsi="Verdana" w:cs="Arial"/>
                <w:bCs/>
                <w:color w:val="000000" w:themeColor="text1"/>
                <w:lang w:val="es-ES_tradnl"/>
              </w:rPr>
              <w:t xml:space="preserve">restricciones </w:t>
            </w:r>
            <w:r w:rsidR="006D4C4F">
              <w:rPr>
                <w:rFonts w:ascii="Verdana" w:hAnsi="Verdana" w:cs="Arial"/>
                <w:bCs/>
                <w:color w:val="000000" w:themeColor="text1"/>
                <w:lang w:val="es-ES_tradnl"/>
              </w:rPr>
              <w:t>/</w:t>
            </w:r>
            <w:r w:rsidR="00A37715">
              <w:rPr>
                <w:rFonts w:ascii="Verdana" w:hAnsi="Verdana" w:cs="Arial"/>
                <w:bCs/>
                <w:color w:val="000000" w:themeColor="text1"/>
                <w:lang w:val="es-ES_tradnl"/>
              </w:rPr>
              <w:t xml:space="preserve"> LEY DE GARANTÍAS ELECTORALES – Contratación directa </w:t>
            </w:r>
            <w:r w:rsidR="00FB7DC7">
              <w:rPr>
                <w:rFonts w:ascii="Verdana" w:hAnsi="Verdana" w:cs="Arial"/>
                <w:bCs/>
                <w:color w:val="000000" w:themeColor="text1"/>
                <w:lang w:val="es-ES_tradnl"/>
              </w:rPr>
              <w:t xml:space="preserve">- </w:t>
            </w:r>
            <w:r w:rsidR="00FB7DC7" w:rsidRPr="001D2E34">
              <w:rPr>
                <w:rFonts w:ascii="Verdana" w:hAnsi="Verdana" w:cs="Arial"/>
                <w:bCs/>
                <w:color w:val="000000" w:themeColor="text1"/>
                <w:lang w:val="es-ES_tradnl"/>
              </w:rPr>
              <w:t>Sociedades</w:t>
            </w:r>
            <w:r w:rsidRPr="001D2E34">
              <w:rPr>
                <w:rFonts w:ascii="Verdana" w:hAnsi="Verdana" w:cs="Arial"/>
                <w:bCs/>
                <w:color w:val="000000" w:themeColor="text1"/>
                <w:lang w:val="es-ES_tradnl"/>
              </w:rPr>
              <w:t xml:space="preserve"> de economía mixta</w:t>
            </w:r>
          </w:p>
          <w:p w14:paraId="7DE7A32A" w14:textId="027DAF61" w:rsidR="00780C4B" w:rsidRPr="001773DA" w:rsidRDefault="00780C4B" w:rsidP="00033FA8">
            <w:pPr>
              <w:jc w:val="both"/>
              <w:rPr>
                <w:rFonts w:ascii="Verdana" w:eastAsia="Calibri" w:hAnsi="Verdana" w:cs="Arial"/>
                <w:b/>
                <w:lang w:val="es-ES" w:eastAsia="es-ES"/>
              </w:rPr>
            </w:pPr>
          </w:p>
        </w:tc>
      </w:tr>
      <w:tr w:rsidR="00780C4B" w:rsidRPr="00593A5F" w14:paraId="6B363947" w14:textId="77777777" w:rsidTr="00033FA8">
        <w:trPr>
          <w:trHeight w:val="545"/>
        </w:trPr>
        <w:tc>
          <w:tcPr>
            <w:tcW w:w="2295" w:type="dxa"/>
          </w:tcPr>
          <w:p w14:paraId="4900000C" w14:textId="77777777" w:rsidR="00780C4B" w:rsidRPr="006730E9" w:rsidRDefault="00780C4B" w:rsidP="00033FA8">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4E7CBAAB" w14:textId="1D760B6E" w:rsidR="00B70908" w:rsidRPr="00B70908" w:rsidRDefault="00780C4B" w:rsidP="00B70908">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B70908">
              <w:rPr>
                <w:rFonts w:ascii="Verdana" w:hAnsi="Verdana" w:cs="Calibri"/>
              </w:rPr>
              <w:t>1_2026_03_05_003075</w:t>
            </w:r>
          </w:p>
          <w:p w14:paraId="200E99FD" w14:textId="38AFC554" w:rsidR="00780C4B" w:rsidRPr="006730E9" w:rsidRDefault="00780C4B" w:rsidP="00B70908">
            <w:pPr>
              <w:jc w:val="both"/>
              <w:rPr>
                <w:rFonts w:ascii="Verdana" w:eastAsia="Calibri" w:hAnsi="Verdana" w:cs="Arial"/>
                <w:lang w:val="es-ES_tradnl" w:eastAsia="es-ES_tradnl"/>
              </w:rPr>
            </w:pPr>
          </w:p>
        </w:tc>
      </w:tr>
      <w:tr w:rsidR="00780C4B" w:rsidRPr="00DB23D2" w14:paraId="2EC041B2" w14:textId="77777777" w:rsidTr="00033FA8">
        <w:trPr>
          <w:gridAfter w:val="1"/>
          <w:wAfter w:w="319" w:type="dxa"/>
          <w:trHeight w:val="242"/>
        </w:trPr>
        <w:tc>
          <w:tcPr>
            <w:tcW w:w="8457" w:type="dxa"/>
            <w:gridSpan w:val="2"/>
          </w:tcPr>
          <w:p w14:paraId="1A4045BE" w14:textId="77777777" w:rsidR="00780C4B" w:rsidRPr="00DB23D2" w:rsidRDefault="00780C4B" w:rsidP="00033FA8">
            <w:pPr>
              <w:spacing w:line="276" w:lineRule="auto"/>
              <w:jc w:val="both"/>
              <w:rPr>
                <w:rFonts w:ascii="Verdana" w:eastAsia="Calibri" w:hAnsi="Verdana" w:cs="Arial"/>
                <w:lang w:val="es-ES_tradnl" w:eastAsia="es-ES"/>
              </w:rPr>
            </w:pPr>
          </w:p>
        </w:tc>
      </w:tr>
    </w:tbl>
    <w:p w14:paraId="20A521EF" w14:textId="48F75932" w:rsidR="00780C4B" w:rsidRPr="006730E9" w:rsidRDefault="00780C4B" w:rsidP="00780C4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señora </w:t>
      </w:r>
      <w:r w:rsidR="0048719F">
        <w:rPr>
          <w:rFonts w:ascii="Verdana" w:eastAsia="Calibri" w:hAnsi="Verdana" w:cs="Arial"/>
          <w:lang w:val="es-ES" w:eastAsia="es-ES"/>
        </w:rPr>
        <w:t>León</w:t>
      </w:r>
      <w:r>
        <w:rPr>
          <w:rFonts w:ascii="Verdana" w:eastAsia="Calibri" w:hAnsi="Verdana" w:cs="Arial"/>
          <w:lang w:val="es-ES" w:eastAsia="es-ES"/>
        </w:rPr>
        <w:t>;</w:t>
      </w:r>
    </w:p>
    <w:p w14:paraId="7A13803F" w14:textId="77777777" w:rsidR="00780C4B" w:rsidRDefault="00780C4B" w:rsidP="00780C4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92BFA74" w14:textId="678E7B79" w:rsidR="00780C4B" w:rsidRPr="006730E9" w:rsidRDefault="00780C4B" w:rsidP="00780C4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sidR="0048719F">
        <w:rPr>
          <w:rFonts w:ascii="Verdana" w:eastAsia="Calibri" w:hAnsi="Verdana" w:cs="Arial"/>
          <w:lang w:val="es-ES" w:eastAsia="es-ES"/>
        </w:rPr>
        <w:t>05</w:t>
      </w:r>
      <w:r w:rsidRPr="00E72E05">
        <w:rPr>
          <w:rFonts w:ascii="Verdana" w:eastAsia="Calibri" w:hAnsi="Verdana" w:cs="Arial"/>
          <w:lang w:val="es-ES" w:eastAsia="es-ES"/>
        </w:rPr>
        <w:t xml:space="preserve"> de </w:t>
      </w:r>
      <w:r w:rsidR="0048719F">
        <w:rPr>
          <w:rFonts w:ascii="Verdana" w:eastAsia="Calibri" w:hAnsi="Verdana" w:cs="Arial"/>
          <w:lang w:val="es-ES" w:eastAsia="es-ES"/>
        </w:rPr>
        <w:t>marzo</w:t>
      </w:r>
      <w:r w:rsidRPr="00E72E05">
        <w:rPr>
          <w:rFonts w:ascii="Verdana" w:eastAsia="Calibri" w:hAnsi="Verdana" w:cs="Arial"/>
          <w:lang w:val="es-ES" w:eastAsia="es-ES"/>
        </w:rPr>
        <w:t xml:space="preserve"> de 202</w:t>
      </w:r>
      <w:r w:rsidR="0048719F">
        <w:rPr>
          <w:rFonts w:ascii="Verdana" w:eastAsia="Calibri" w:hAnsi="Verdana" w:cs="Arial"/>
          <w:lang w:val="es-ES" w:eastAsia="es-ES"/>
        </w:rPr>
        <w:t>6</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73420DE" w14:textId="77777777" w:rsidR="00780C4B" w:rsidRPr="001773DA" w:rsidRDefault="00780C4B" w:rsidP="00780C4B">
      <w:pPr>
        <w:spacing w:after="0" w:line="276" w:lineRule="auto"/>
        <w:ind w:left="709" w:right="474"/>
        <w:jc w:val="both"/>
        <w:rPr>
          <w:rFonts w:ascii="Verdana" w:hAnsi="Verdana" w:cs="Arial"/>
          <w:i/>
          <w:iCs/>
          <w:sz w:val="20"/>
          <w:szCs w:val="20"/>
          <w:shd w:val="clear" w:color="auto" w:fill="FFFFFF"/>
        </w:rPr>
      </w:pPr>
      <w:bookmarkStart w:id="1" w:name="_Hlk95313578"/>
    </w:p>
    <w:bookmarkEnd w:id="1"/>
    <w:p w14:paraId="1468C46D" w14:textId="174EE262" w:rsidR="00C15139" w:rsidRPr="00C173A6" w:rsidRDefault="00780C4B" w:rsidP="0048719F">
      <w:pPr>
        <w:tabs>
          <w:tab w:val="left" w:pos="142"/>
          <w:tab w:val="left" w:pos="567"/>
        </w:tabs>
        <w:spacing w:after="0" w:line="240" w:lineRule="auto"/>
        <w:ind w:left="709" w:right="709"/>
        <w:jc w:val="both"/>
        <w:rPr>
          <w:rFonts w:ascii="Verdana" w:eastAsia="Century Gothic" w:hAnsi="Verdana" w:cs="Century Gothic"/>
          <w:i/>
          <w:iCs/>
          <w:sz w:val="21"/>
          <w:szCs w:val="21"/>
        </w:rPr>
      </w:pPr>
      <w:r w:rsidRPr="00C173A6">
        <w:rPr>
          <w:rFonts w:ascii="Verdana" w:eastAsia="Century Gothic" w:hAnsi="Verdana" w:cs="Century Gothic"/>
          <w:i/>
          <w:iCs/>
          <w:sz w:val="21"/>
          <w:szCs w:val="21"/>
        </w:rPr>
        <w:t>“</w:t>
      </w:r>
      <w:r w:rsidR="00D06EB5" w:rsidRPr="00C173A6">
        <w:rPr>
          <w:rFonts w:ascii="Verdana" w:eastAsia="Century Gothic" w:hAnsi="Verdana" w:cs="Century Gothic"/>
          <w:i/>
          <w:iCs/>
          <w:sz w:val="21"/>
          <w:szCs w:val="21"/>
        </w:rPr>
        <w:t>Solicito amablemente se emita concepto jurídico respecto de la posibilidad</w:t>
      </w:r>
      <w:r w:rsidR="00FE3B35" w:rsidRPr="00C173A6">
        <w:rPr>
          <w:rFonts w:ascii="Verdana" w:eastAsia="Century Gothic" w:hAnsi="Verdana" w:cs="Century Gothic"/>
          <w:i/>
          <w:iCs/>
          <w:sz w:val="21"/>
          <w:szCs w:val="21"/>
        </w:rPr>
        <w:t xml:space="preserve"> de realizar contratación directa durante la vigencia de la Ley de Garantías Electorales por parte de una empresa de economía mixta, en la cual el porcentaje de participación </w:t>
      </w:r>
      <w:r w:rsidR="003820DE" w:rsidRPr="00C173A6">
        <w:rPr>
          <w:rFonts w:ascii="Verdana" w:eastAsia="Century Gothic" w:hAnsi="Verdana" w:cs="Century Gothic"/>
          <w:i/>
          <w:iCs/>
          <w:sz w:val="21"/>
          <w:szCs w:val="21"/>
        </w:rPr>
        <w:t>accionaria del sector público corresponde al 50,5%</w:t>
      </w:r>
      <w:r w:rsidR="0004490C" w:rsidRPr="00C173A6">
        <w:rPr>
          <w:rFonts w:ascii="Verdana" w:eastAsia="Century Gothic" w:hAnsi="Verdana" w:cs="Century Gothic"/>
          <w:i/>
          <w:iCs/>
          <w:sz w:val="21"/>
          <w:szCs w:val="21"/>
        </w:rPr>
        <w:t>.</w:t>
      </w:r>
    </w:p>
    <w:p w14:paraId="16141107" w14:textId="77777777" w:rsidR="004E63DD" w:rsidRPr="00C173A6" w:rsidRDefault="004E63DD" w:rsidP="0048719F">
      <w:pPr>
        <w:tabs>
          <w:tab w:val="left" w:pos="142"/>
          <w:tab w:val="left" w:pos="567"/>
        </w:tabs>
        <w:spacing w:after="0" w:line="240" w:lineRule="auto"/>
        <w:ind w:left="709" w:right="709"/>
        <w:jc w:val="both"/>
        <w:rPr>
          <w:rFonts w:ascii="Verdana" w:eastAsia="Century Gothic" w:hAnsi="Verdana" w:cs="Century Gothic"/>
          <w:i/>
          <w:iCs/>
          <w:sz w:val="21"/>
          <w:szCs w:val="21"/>
        </w:rPr>
      </w:pPr>
    </w:p>
    <w:p w14:paraId="2F1EDBAD" w14:textId="16877F98" w:rsidR="0004490C" w:rsidRPr="00C173A6" w:rsidRDefault="0004490C" w:rsidP="0048719F">
      <w:pPr>
        <w:tabs>
          <w:tab w:val="left" w:pos="142"/>
          <w:tab w:val="left" w:pos="567"/>
        </w:tabs>
        <w:spacing w:after="0" w:line="240" w:lineRule="auto"/>
        <w:ind w:left="709" w:right="709"/>
        <w:jc w:val="both"/>
        <w:rPr>
          <w:rFonts w:ascii="Verdana" w:eastAsia="Century Gothic" w:hAnsi="Verdana" w:cs="Century Gothic"/>
          <w:i/>
          <w:iCs/>
          <w:sz w:val="21"/>
          <w:szCs w:val="21"/>
        </w:rPr>
      </w:pPr>
      <w:r w:rsidRPr="00C173A6">
        <w:rPr>
          <w:rFonts w:ascii="Verdana" w:eastAsia="Century Gothic" w:hAnsi="Verdana" w:cs="Century Gothic"/>
          <w:i/>
          <w:iCs/>
          <w:sz w:val="21"/>
          <w:szCs w:val="21"/>
        </w:rPr>
        <w:t xml:space="preserve">En particular, se requiere claridad sobre si, teniendo en cuenta dicha participación mayoritaria del sector público, la entidad se encuentra sometida a las restricciones establecidas en la Ley </w:t>
      </w:r>
      <w:r w:rsidR="001E596B" w:rsidRPr="00C173A6">
        <w:rPr>
          <w:rFonts w:ascii="Verdana" w:eastAsia="Century Gothic" w:hAnsi="Verdana" w:cs="Century Gothic"/>
          <w:i/>
          <w:iCs/>
          <w:sz w:val="21"/>
          <w:szCs w:val="21"/>
        </w:rPr>
        <w:t>de Garantías en materia de contratación directa, o si, por el contrario</w:t>
      </w:r>
      <w:r w:rsidR="00D00179" w:rsidRPr="00C173A6">
        <w:rPr>
          <w:rFonts w:ascii="Verdana" w:eastAsia="Century Gothic" w:hAnsi="Verdana" w:cs="Century Gothic"/>
          <w:i/>
          <w:iCs/>
          <w:sz w:val="21"/>
          <w:szCs w:val="21"/>
        </w:rPr>
        <w:t xml:space="preserve">, en atención a su naturaleza </w:t>
      </w:r>
      <w:r w:rsidR="00A256B8" w:rsidRPr="00C173A6">
        <w:rPr>
          <w:rFonts w:ascii="Verdana" w:eastAsia="Century Gothic" w:hAnsi="Verdana" w:cs="Century Gothic"/>
          <w:i/>
          <w:iCs/>
          <w:sz w:val="21"/>
          <w:szCs w:val="21"/>
        </w:rPr>
        <w:t xml:space="preserve">jurídica y al régimen de contratación que le resulte aplicable, podría continuar adelantando este tipo de procesos contractuales. </w:t>
      </w:r>
    </w:p>
    <w:p w14:paraId="502DDB3A" w14:textId="77777777" w:rsidR="004E63DD" w:rsidRPr="00C173A6" w:rsidRDefault="004E63DD" w:rsidP="0048719F">
      <w:pPr>
        <w:tabs>
          <w:tab w:val="left" w:pos="142"/>
          <w:tab w:val="left" w:pos="567"/>
        </w:tabs>
        <w:spacing w:after="0" w:line="240" w:lineRule="auto"/>
        <w:ind w:left="709" w:right="709"/>
        <w:jc w:val="both"/>
        <w:rPr>
          <w:rFonts w:ascii="Verdana" w:eastAsia="Century Gothic" w:hAnsi="Verdana" w:cs="Century Gothic"/>
          <w:i/>
          <w:iCs/>
          <w:sz w:val="21"/>
          <w:szCs w:val="21"/>
        </w:rPr>
      </w:pPr>
    </w:p>
    <w:p w14:paraId="37A82C2E" w14:textId="69CA2BB7" w:rsidR="00A256B8" w:rsidRDefault="00A256B8" w:rsidP="0048719F">
      <w:pPr>
        <w:tabs>
          <w:tab w:val="left" w:pos="142"/>
          <w:tab w:val="left" w:pos="567"/>
        </w:tabs>
        <w:spacing w:after="0" w:line="240" w:lineRule="auto"/>
        <w:ind w:left="709" w:right="709"/>
        <w:jc w:val="both"/>
        <w:rPr>
          <w:rFonts w:ascii="Verdana" w:eastAsia="Century Gothic" w:hAnsi="Verdana" w:cs="Century Gothic"/>
          <w:i/>
          <w:iCs/>
          <w:sz w:val="21"/>
          <w:szCs w:val="21"/>
        </w:rPr>
      </w:pPr>
      <w:r w:rsidRPr="00C173A6">
        <w:rPr>
          <w:rFonts w:ascii="Verdana" w:eastAsia="Century Gothic" w:hAnsi="Verdana" w:cs="Century Gothic"/>
          <w:i/>
          <w:iCs/>
          <w:sz w:val="21"/>
          <w:szCs w:val="21"/>
        </w:rPr>
        <w:t>Así mismo</w:t>
      </w:r>
      <w:r w:rsidR="00652799" w:rsidRPr="00C173A6">
        <w:rPr>
          <w:rFonts w:ascii="Verdana" w:eastAsia="Century Gothic" w:hAnsi="Verdana" w:cs="Century Gothic"/>
          <w:i/>
          <w:iCs/>
          <w:sz w:val="21"/>
          <w:szCs w:val="21"/>
        </w:rPr>
        <w:t>, se solicita indicar el fundamen</w:t>
      </w:r>
      <w:r w:rsidR="00A9391E" w:rsidRPr="00C173A6">
        <w:rPr>
          <w:rFonts w:ascii="Verdana" w:eastAsia="Century Gothic" w:hAnsi="Verdana" w:cs="Century Gothic"/>
          <w:i/>
          <w:iCs/>
          <w:sz w:val="21"/>
          <w:szCs w:val="21"/>
        </w:rPr>
        <w:t xml:space="preserve">to </w:t>
      </w:r>
      <w:r w:rsidR="004E63DD" w:rsidRPr="00C173A6">
        <w:rPr>
          <w:rFonts w:ascii="Verdana" w:eastAsia="Century Gothic" w:hAnsi="Verdana" w:cs="Century Gothic"/>
          <w:i/>
          <w:iCs/>
          <w:sz w:val="21"/>
          <w:szCs w:val="21"/>
        </w:rPr>
        <w:t>normativo, jurisprudencial o doctrinal que r</w:t>
      </w:r>
      <w:r w:rsidR="00C173A6" w:rsidRPr="00C173A6">
        <w:rPr>
          <w:rFonts w:ascii="Verdana" w:eastAsia="Century Gothic" w:hAnsi="Verdana" w:cs="Century Gothic"/>
          <w:i/>
          <w:iCs/>
          <w:sz w:val="21"/>
          <w:szCs w:val="21"/>
        </w:rPr>
        <w:t>espalde la interpretación adoptada, así como las eventuales condiciones o excepciones que deban observarse en caso de resultar procedente la contratación directa en el período”</w:t>
      </w:r>
    </w:p>
    <w:p w14:paraId="5A26261F" w14:textId="77777777" w:rsidR="00C173A6" w:rsidRDefault="00C173A6" w:rsidP="0048719F">
      <w:pPr>
        <w:tabs>
          <w:tab w:val="left" w:pos="142"/>
          <w:tab w:val="left" w:pos="567"/>
        </w:tabs>
        <w:spacing w:after="0" w:line="240" w:lineRule="auto"/>
        <w:ind w:left="709" w:right="709"/>
        <w:jc w:val="both"/>
        <w:rPr>
          <w:rFonts w:ascii="Verdana" w:eastAsia="Century Gothic" w:hAnsi="Verdana" w:cs="Century Gothic"/>
          <w:i/>
          <w:iCs/>
          <w:sz w:val="21"/>
          <w:szCs w:val="21"/>
        </w:rPr>
      </w:pPr>
    </w:p>
    <w:p w14:paraId="136EEB98" w14:textId="77777777" w:rsidR="00CA7908" w:rsidRPr="00AA3B9F" w:rsidRDefault="00CA7908" w:rsidP="00CA7908">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150EAA1" w14:textId="77777777" w:rsidR="00CA7908" w:rsidRPr="00AA3B9F" w:rsidRDefault="00CA7908" w:rsidP="00CA7908">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3845F61C" w14:textId="77777777" w:rsidR="00CA7908" w:rsidRDefault="00CA7908" w:rsidP="00CA790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6EFF5EEB" w14:textId="77777777" w:rsidR="00CA7908" w:rsidRDefault="00CA7908" w:rsidP="00CA790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5E959E7" w14:textId="77777777" w:rsidR="00CA7908" w:rsidRDefault="00CA7908" w:rsidP="00CA7908">
      <w:pPr>
        <w:pStyle w:val="Prrafodelista"/>
        <w:tabs>
          <w:tab w:val="left" w:pos="142"/>
          <w:tab w:val="left" w:pos="284"/>
        </w:tabs>
        <w:spacing w:after="0" w:line="276" w:lineRule="auto"/>
        <w:ind w:left="0"/>
        <w:jc w:val="both"/>
        <w:rPr>
          <w:rFonts w:ascii="Verdana" w:eastAsia="Century Gothic" w:hAnsi="Verdana" w:cs="Century Gothic"/>
          <w:b/>
          <w:bCs/>
        </w:rPr>
      </w:pPr>
    </w:p>
    <w:p w14:paraId="3277A29C" w14:textId="77777777" w:rsidR="003901C9" w:rsidRDefault="00CA7908" w:rsidP="00CA7908">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r>
        <w:rPr>
          <w:rFonts w:ascii="Verdana" w:eastAsia="Calibri" w:hAnsi="Verdana" w:cs="Arial"/>
          <w:lang w:eastAsia="es-ES"/>
        </w:rPr>
        <w:t xml:space="preserve"> </w:t>
      </w:r>
      <w:r w:rsidRPr="005649AA">
        <w:rPr>
          <w:rFonts w:ascii="Verdana" w:eastAsia="Century Gothic" w:hAnsi="Verdana" w:cs="Century Gothic"/>
        </w:rPr>
        <w:t xml:space="preserve">¿Las restricciones contenidas en la Ley de Garantías Electorales en materia de </w:t>
      </w:r>
      <w:r>
        <w:rPr>
          <w:rFonts w:ascii="Verdana" w:eastAsia="Century Gothic" w:hAnsi="Verdana" w:cs="Century Gothic"/>
        </w:rPr>
        <w:t xml:space="preserve">contratación directa </w:t>
      </w:r>
      <w:r w:rsidRPr="005649AA">
        <w:rPr>
          <w:rFonts w:ascii="Verdana" w:eastAsia="Century Gothic" w:hAnsi="Verdana" w:cs="Century Gothic"/>
        </w:rPr>
        <w:t xml:space="preserve">son aplicables a </w:t>
      </w:r>
      <w:r>
        <w:rPr>
          <w:rFonts w:ascii="Verdana" w:eastAsia="Century Gothic" w:hAnsi="Verdana" w:cs="Century Gothic"/>
        </w:rPr>
        <w:t>una sociedad de economía mixta</w:t>
      </w:r>
      <w:r w:rsidRPr="005649AA">
        <w:rPr>
          <w:rFonts w:ascii="Verdana" w:eastAsia="Century Gothic" w:hAnsi="Verdana" w:cs="Century Gothic"/>
        </w:rPr>
        <w:t>?</w:t>
      </w:r>
      <w:r>
        <w:rPr>
          <w:rFonts w:ascii="Verdana" w:eastAsia="Calibri" w:hAnsi="Verdana" w:cs="Arial"/>
          <w:lang w:eastAsia="es-ES"/>
        </w:rPr>
        <w:t xml:space="preserve">  </w:t>
      </w:r>
      <w:r>
        <w:rPr>
          <w:rFonts w:ascii="Verdana" w:eastAsia="Century Gothic" w:hAnsi="Verdana" w:cs="Century Gothic"/>
        </w:rPr>
        <w:t xml:space="preserve">   </w:t>
      </w:r>
    </w:p>
    <w:p w14:paraId="26264885" w14:textId="77777777" w:rsidR="003901C9" w:rsidRDefault="003901C9" w:rsidP="00CA7908">
      <w:pPr>
        <w:spacing w:after="0" w:line="276" w:lineRule="auto"/>
        <w:jc w:val="both"/>
        <w:rPr>
          <w:rFonts w:ascii="Verdana" w:eastAsia="Century Gothic" w:hAnsi="Verdana" w:cs="Century Gothic"/>
        </w:rPr>
      </w:pPr>
    </w:p>
    <w:p w14:paraId="3A2BDAF0" w14:textId="77777777" w:rsidR="003901C9" w:rsidRPr="00D34C60" w:rsidRDefault="003901C9" w:rsidP="00CA7908">
      <w:pPr>
        <w:spacing w:after="0" w:line="276" w:lineRule="auto"/>
        <w:jc w:val="both"/>
        <w:rPr>
          <w:rFonts w:ascii="Verdana" w:eastAsia="Century Gothic" w:hAnsi="Verdana" w:cs="Century Gothic"/>
          <w:b/>
          <w:bCs/>
        </w:rPr>
      </w:pPr>
      <w:r w:rsidRPr="00D34C60">
        <w:rPr>
          <w:rFonts w:ascii="Verdana" w:eastAsia="Century Gothic" w:hAnsi="Verdana" w:cs="Century Gothic"/>
          <w:b/>
          <w:bCs/>
        </w:rPr>
        <w:t xml:space="preserve">2. Respuesta: </w:t>
      </w:r>
    </w:p>
    <w:p w14:paraId="6D133681" w14:textId="77777777" w:rsidR="003901C9" w:rsidRDefault="003901C9" w:rsidP="00CA7908">
      <w:pPr>
        <w:spacing w:after="0" w:line="276" w:lineRule="auto"/>
        <w:jc w:val="both"/>
        <w:rPr>
          <w:rFonts w:ascii="Verdana" w:eastAsia="Century Gothic" w:hAnsi="Verdana" w:cs="Century Gothic"/>
        </w:rPr>
      </w:pPr>
    </w:p>
    <w:p w14:paraId="0CAB5554" w14:textId="77777777" w:rsidR="00E823F9" w:rsidRDefault="003901C9" w:rsidP="00D34C6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309AB6FC">
        <w:rPr>
          <w:rFonts w:ascii="Verdana" w:eastAsia="Century Gothic" w:hAnsi="Verdana" w:cs="Century Gothic"/>
        </w:rPr>
        <w:t xml:space="preserve">En relación con las prohibiciones consagradas en la Ley </w:t>
      </w:r>
      <w:r w:rsidR="00E823F9" w:rsidRPr="309AB6FC">
        <w:rPr>
          <w:rFonts w:ascii="Verdana" w:eastAsia="Century Gothic" w:hAnsi="Verdana" w:cs="Century Gothic"/>
        </w:rPr>
        <w:t>de Garantías Electorales en materia de contratación estatal debe señalarse que:</w:t>
      </w:r>
    </w:p>
    <w:p w14:paraId="42AE5D67" w14:textId="77777777" w:rsidR="00F43A9A" w:rsidRDefault="00E823F9" w:rsidP="00D34C6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El artículo 33 de la Ley </w:t>
      </w:r>
      <w:r w:rsidR="006B28BD">
        <w:rPr>
          <w:rFonts w:ascii="Verdana" w:eastAsia="Century Gothic" w:hAnsi="Verdana" w:cs="Century Gothic"/>
        </w:rPr>
        <w:t xml:space="preserve">996 de 2005 prohíbe la contratación directa </w:t>
      </w:r>
      <w:r w:rsidR="00A2319E">
        <w:rPr>
          <w:rFonts w:ascii="Verdana" w:eastAsia="Century Gothic" w:hAnsi="Verdana" w:cs="Century Gothic"/>
        </w:rPr>
        <w:t xml:space="preserve">por parte de todos los Entes Estatales durante los cuatro (4) meses anteriores a las elecciones presidenciales y dispone </w:t>
      </w:r>
      <w:r w:rsidR="00A72D2B">
        <w:rPr>
          <w:rFonts w:ascii="Verdana" w:eastAsia="Century Gothic" w:hAnsi="Verdana" w:cs="Century Gothic"/>
        </w:rPr>
        <w:t>las excepciones a dicha prohibición</w:t>
      </w:r>
      <w:r w:rsidR="000169BD">
        <w:rPr>
          <w:rFonts w:ascii="Verdana" w:eastAsia="Century Gothic" w:hAnsi="Verdana" w:cs="Century Gothic"/>
        </w:rPr>
        <w:t>. Así, su ámbito de prohibición está delimitado por la expresión “queda prohibida la contratación directa”</w:t>
      </w:r>
      <w:r w:rsidR="006729BA">
        <w:rPr>
          <w:rFonts w:ascii="Verdana" w:eastAsia="Century Gothic" w:hAnsi="Verdana" w:cs="Century Gothic"/>
        </w:rPr>
        <w:t xml:space="preserve"> y para </w:t>
      </w:r>
      <w:r w:rsidR="00B07732">
        <w:rPr>
          <w:rFonts w:ascii="Verdana" w:eastAsia="Century Gothic" w:hAnsi="Verdana" w:cs="Century Gothic"/>
        </w:rPr>
        <w:t xml:space="preserve">los efectos de la Ley de Garantías Electorales y, en particular, para la prohibición </w:t>
      </w:r>
      <w:r w:rsidR="00CD434E">
        <w:rPr>
          <w:rFonts w:ascii="Verdana" w:eastAsia="Century Gothic" w:hAnsi="Verdana" w:cs="Century Gothic"/>
        </w:rPr>
        <w:t>o restricción temporal contenida en su artículo 33, “contratación directa”</w:t>
      </w:r>
      <w:r w:rsidR="00F43A9A">
        <w:rPr>
          <w:rFonts w:ascii="Verdana" w:eastAsia="Century Gothic" w:hAnsi="Verdana" w:cs="Century Gothic"/>
        </w:rPr>
        <w:t xml:space="preserve"> se refiere a cualquier sistema de selección o procedimiento de contratación utilizado por las entidades estatales que no incluya la convocatoria pública en alguna de sus etapas, ni permita la participación de una pluralidad de oferentes.</w:t>
      </w:r>
    </w:p>
    <w:p w14:paraId="7B794277" w14:textId="056507FF" w:rsidR="00DF6EF8" w:rsidRDefault="00DF6EF8" w:rsidP="00D34C6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Por su parte, los destinatarios de la prohibición están expresamente señalados como “todos los entes del Estado”, expresión que contempla a los diferentes organismos o entidades </w:t>
      </w:r>
      <w:r w:rsidR="00C67752">
        <w:rPr>
          <w:rFonts w:ascii="Verdana" w:eastAsia="Century Gothic" w:hAnsi="Verdana" w:cs="Century Gothic"/>
        </w:rPr>
        <w:t>autorizadas por la ley para suscribir los contratos. En efecto</w:t>
      </w:r>
      <w:r w:rsidR="00391B01">
        <w:rPr>
          <w:rFonts w:ascii="Verdana" w:eastAsia="Century Gothic" w:hAnsi="Verdana" w:cs="Century Gothic"/>
        </w:rPr>
        <w:t xml:space="preserve">, </w:t>
      </w:r>
      <w:r w:rsidR="00292D6C">
        <w:rPr>
          <w:rFonts w:ascii="Verdana" w:eastAsia="Century Gothic" w:hAnsi="Verdana" w:cs="Century Gothic"/>
        </w:rPr>
        <w:t>tal como lo ha sostenido el Consejo de Estado, el vocablo “todos”</w:t>
      </w:r>
      <w:r w:rsidR="00C67752">
        <w:rPr>
          <w:rFonts w:ascii="Verdana" w:eastAsia="Century Gothic" w:hAnsi="Verdana" w:cs="Century Gothic"/>
        </w:rPr>
        <w:t xml:space="preserve"> </w:t>
      </w:r>
      <w:r w:rsidR="00292D6C">
        <w:rPr>
          <w:rFonts w:ascii="Verdana" w:eastAsia="Century Gothic" w:hAnsi="Verdana" w:cs="Century Gothic"/>
        </w:rPr>
        <w:t>utilizado por el legislador comprende a la totalidad</w:t>
      </w:r>
      <w:r w:rsidR="00136CDD">
        <w:rPr>
          <w:rFonts w:ascii="Verdana" w:eastAsia="Century Gothic" w:hAnsi="Verdana" w:cs="Century Gothic"/>
        </w:rPr>
        <w:t xml:space="preserve"> </w:t>
      </w:r>
      <w:r w:rsidR="007A7483">
        <w:rPr>
          <w:rFonts w:ascii="Verdana" w:eastAsia="Century Gothic" w:hAnsi="Verdana" w:cs="Century Gothic"/>
        </w:rPr>
        <w:t xml:space="preserve">de los entes del Estado, sin distinción </w:t>
      </w:r>
      <w:r w:rsidR="006123F6">
        <w:rPr>
          <w:rFonts w:ascii="Verdana" w:eastAsia="Century Gothic" w:hAnsi="Verdana" w:cs="Century Gothic"/>
        </w:rPr>
        <w:t>del régimen jurídico, forma de organización o naturaleza, su pertenencia a una u otra rama del poder público o su autonomía</w:t>
      </w:r>
      <w:r w:rsidR="00546681">
        <w:rPr>
          <w:rFonts w:ascii="Verdana" w:eastAsia="Century Gothic" w:hAnsi="Verdana" w:cs="Century Gothic"/>
        </w:rPr>
        <w:t xml:space="preserve">, e incluso si las entidades estatales tienen régimen especial de contratación y </w:t>
      </w:r>
      <w:r w:rsidR="003B0FBA">
        <w:rPr>
          <w:rFonts w:ascii="Verdana" w:eastAsia="Century Gothic" w:hAnsi="Verdana" w:cs="Century Gothic"/>
        </w:rPr>
        <w:t>están exceptuadas</w:t>
      </w:r>
      <w:r w:rsidR="00511811">
        <w:rPr>
          <w:rFonts w:ascii="Verdana" w:eastAsia="Century Gothic" w:hAnsi="Verdana" w:cs="Century Gothic"/>
        </w:rPr>
        <w:t xml:space="preserve"> del ámbito de aplicación del Estatuto General de Contratación de la Administración Pública. </w:t>
      </w:r>
    </w:p>
    <w:p w14:paraId="64906604" w14:textId="21394247" w:rsidR="00D34C60" w:rsidRDefault="00BE6F54" w:rsidP="00D34C6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En consecuencia, las restricciones a la contratación contenidas en la Ley de Garantías Electorales son aplicables a entidades descentralizadas como las sociedades de economía mixta</w:t>
      </w:r>
      <w:r w:rsidR="00962180">
        <w:rPr>
          <w:rFonts w:ascii="Verdana" w:eastAsia="Century Gothic" w:hAnsi="Verdana" w:cs="Century Gothic"/>
        </w:rPr>
        <w:t>. Por lo tanto, la celebración de cualquier contrato de forma directa, esto es, sin que exista un proceso abierto y competitivo, también se encuentra restringida para este tipo de entidades, sin perjuicio de las excep</w:t>
      </w:r>
      <w:r w:rsidR="00AB0C02">
        <w:rPr>
          <w:rFonts w:ascii="Verdana" w:eastAsia="Century Gothic" w:hAnsi="Verdana" w:cs="Century Gothic"/>
        </w:rPr>
        <w:t>ciones</w:t>
      </w:r>
      <w:r w:rsidR="001E3EA2">
        <w:rPr>
          <w:rFonts w:ascii="Verdana" w:eastAsia="Century Gothic" w:hAnsi="Verdana" w:cs="Century Gothic"/>
        </w:rPr>
        <w:t xml:space="preserve"> expresamente previstas en el inciso final del artículo 33 de dicha norma. </w:t>
      </w:r>
    </w:p>
    <w:p w14:paraId="336E8136" w14:textId="0CB3A66B" w:rsidR="00741ED5" w:rsidRDefault="001E3EA2" w:rsidP="00741ED5">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En ese sentido, debe señalarse que</w:t>
      </w:r>
      <w:r w:rsidR="00741ED5">
        <w:rPr>
          <w:rFonts w:ascii="Verdana" w:eastAsia="Century Gothic" w:hAnsi="Verdana" w:cs="Century Gothic"/>
        </w:rPr>
        <w:t>, para las elecciones presidenciales el Consejo Nacional Electoral mediante Resolución No. 2580 del 5 de marzo de 2025 fijo el calendario electoral para las elecciones de Presidente y Vicepresidente de la República</w:t>
      </w:r>
      <w:r w:rsidR="00A71D5B">
        <w:rPr>
          <w:rFonts w:ascii="Verdana" w:eastAsia="Century Gothic" w:hAnsi="Verdana" w:cs="Century Gothic"/>
        </w:rPr>
        <w:t xml:space="preserve"> en </w:t>
      </w:r>
      <w:r w:rsidR="0082044B">
        <w:rPr>
          <w:rFonts w:ascii="Verdana" w:eastAsia="Century Gothic" w:hAnsi="Verdana" w:cs="Century Gothic"/>
        </w:rPr>
        <w:t>primera vuelta</w:t>
      </w:r>
      <w:r w:rsidR="00A71D5B">
        <w:rPr>
          <w:rFonts w:ascii="Verdana" w:eastAsia="Century Gothic" w:hAnsi="Verdana" w:cs="Century Gothic"/>
        </w:rPr>
        <w:t xml:space="preserve"> que se celebraran el 31 de mayo de 2026, por lo que las restricciones a aplicar son las del artículo 33 de la Ley 996 de 2005</w:t>
      </w:r>
      <w:r w:rsidR="0018077E">
        <w:rPr>
          <w:rFonts w:ascii="Verdana" w:eastAsia="Century Gothic" w:hAnsi="Verdana" w:cs="Century Gothic"/>
        </w:rPr>
        <w:t xml:space="preserve">, que dispone que dentro de los cuatro (4) meses anteriores </w:t>
      </w:r>
      <w:r w:rsidR="002676BD">
        <w:rPr>
          <w:rFonts w:ascii="Verdana" w:eastAsia="Century Gothic" w:hAnsi="Verdana" w:cs="Century Gothic"/>
        </w:rPr>
        <w:t xml:space="preserve">a la elección presidencial, es decir, desde el </w:t>
      </w:r>
      <w:r w:rsidR="00C7214D">
        <w:rPr>
          <w:rFonts w:ascii="Verdana" w:eastAsia="Century Gothic" w:hAnsi="Verdana" w:cs="Century Gothic"/>
        </w:rPr>
        <w:t xml:space="preserve">31 de enero y hasta el momento de la celebración de la segunda vuelta, si fuere el caso, queda prohibida la contratación directa por parte de todos los entes del Estado. </w:t>
      </w:r>
    </w:p>
    <w:p w14:paraId="746172E2" w14:textId="77777777" w:rsidR="00C13640" w:rsidRDefault="00DD2B9B" w:rsidP="00C1364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Para las elecciones al Congreso de la República que </w:t>
      </w:r>
      <w:r w:rsidR="003D4445">
        <w:rPr>
          <w:rFonts w:ascii="Verdana" w:eastAsia="Century Gothic" w:hAnsi="Verdana" w:cs="Century Gothic"/>
        </w:rPr>
        <w:t xml:space="preserve">fueron el 8 de marzo de 2026, según el calendario electoral fijado por el Consejo Nacional Electoral </w:t>
      </w:r>
      <w:r w:rsidR="00852C66">
        <w:rPr>
          <w:rFonts w:ascii="Verdana" w:eastAsia="Century Gothic" w:hAnsi="Verdana" w:cs="Century Gothic"/>
        </w:rPr>
        <w:t xml:space="preserve">mediante Resolución </w:t>
      </w:r>
      <w:r w:rsidR="00D15558">
        <w:rPr>
          <w:rFonts w:ascii="Verdana" w:eastAsia="Century Gothic" w:hAnsi="Verdana" w:cs="Century Gothic"/>
        </w:rPr>
        <w:t>No. 2581 del 5 de marzo de 2025, de acuerdo con el artículo 38 de la Ley 996 de 2005</w:t>
      </w:r>
      <w:r w:rsidR="0038348B">
        <w:rPr>
          <w:rFonts w:ascii="Verdana" w:eastAsia="Century Gothic" w:hAnsi="Verdana" w:cs="Century Gothic"/>
        </w:rPr>
        <w:t xml:space="preserve">, por lo cual la anterior restricción inició el 8 de noviembre de 2025, es decir, cuatro (4) meses antes de la fecha de las elecciones. </w:t>
      </w:r>
    </w:p>
    <w:p w14:paraId="14BF1D67" w14:textId="39D67C0B" w:rsidR="00CD2919" w:rsidRDefault="00801376" w:rsidP="00C1364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Dentro de ese marco, corresponde a la entidad pública, en ejercicio de su competencia y previa valoración </w:t>
      </w:r>
      <w:r w:rsidR="000B3871">
        <w:rPr>
          <w:rFonts w:ascii="Verdana" w:eastAsia="Century Gothic" w:hAnsi="Verdana" w:cs="Century Gothic"/>
        </w:rPr>
        <w:t xml:space="preserve">de los elementos facticos y jurídicos, así como de las disposiciones legales mencionadas, determinar su gestión contractual durante la aplicación de las restricciones de la Ley de </w:t>
      </w:r>
      <w:r w:rsidR="00832006">
        <w:rPr>
          <w:rFonts w:ascii="Verdana" w:eastAsia="Century Gothic" w:hAnsi="Verdana" w:cs="Century Gothic"/>
        </w:rPr>
        <w:t>Garantías Electorales. Al tratarse de un análisis que debe realizarse en el procedimiento contractual especifico, la Agencia no puede definir un criterio universal y absoluto por vía consultiva, sino que brinda elementos de carácter general para que los partícipes del sistema de compras</w:t>
      </w:r>
      <w:r w:rsidR="004D1422">
        <w:rPr>
          <w:rFonts w:ascii="Verdana" w:eastAsia="Century Gothic" w:hAnsi="Verdana" w:cs="Century Gothic"/>
        </w:rPr>
        <w:t xml:space="preserve"> y contratación </w:t>
      </w:r>
      <w:r w:rsidR="00832006">
        <w:rPr>
          <w:rFonts w:ascii="Verdana" w:eastAsia="Century Gothic" w:hAnsi="Verdana" w:cs="Century Gothic"/>
        </w:rPr>
        <w:t>pública</w:t>
      </w:r>
      <w:r w:rsidR="004D1422">
        <w:rPr>
          <w:rFonts w:ascii="Verdana" w:eastAsia="Century Gothic" w:hAnsi="Verdana" w:cs="Century Gothic"/>
        </w:rPr>
        <w:t xml:space="preserve"> </w:t>
      </w:r>
      <w:r w:rsidR="00CD2919">
        <w:rPr>
          <w:rFonts w:ascii="Verdana" w:eastAsia="Century Gothic" w:hAnsi="Verdana" w:cs="Century Gothic"/>
        </w:rPr>
        <w:t xml:space="preserve">adopten la decisión que corresponda, lo cual es acorde con el principio de juridicidad. Así, cada Entidad definirá la forma de adelantar su gestión contractual, sin que sea atribución de Colombia Compra Eficiente validar sus actuaciones. </w:t>
      </w:r>
    </w:p>
    <w:p w14:paraId="25430F08" w14:textId="0591CE4D" w:rsidR="003901C9" w:rsidRDefault="000A3223" w:rsidP="00F1002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Finalmente, debe </w:t>
      </w:r>
      <w:r w:rsidR="00D84B2D">
        <w:rPr>
          <w:rFonts w:ascii="Verdana" w:eastAsia="Century Gothic" w:hAnsi="Verdana" w:cs="Century Gothic"/>
        </w:rPr>
        <w:t>advertirse que el análisis en torno a un proceso de contratación especifico debe ser realizado por quienes tengan el interés en ello.</w:t>
      </w:r>
      <w:r w:rsidR="00C026AB">
        <w:rPr>
          <w:rFonts w:ascii="Verdana" w:eastAsia="Century Gothic" w:hAnsi="Verdana" w:cs="Century Gothic"/>
        </w:rPr>
        <w:t xml:space="preserve"> </w:t>
      </w:r>
      <w:r w:rsidR="001C7F79">
        <w:rPr>
          <w:rFonts w:ascii="Verdana" w:eastAsia="Century Gothic" w:hAnsi="Verdana" w:cs="Century Gothic"/>
        </w:rPr>
        <w:t>De esta forma, las afirmaciones aquí realizadas no pueden ser interpretadas como juicios de valor sobre circunstancias</w:t>
      </w:r>
      <w:r w:rsidR="002057A7">
        <w:rPr>
          <w:rFonts w:ascii="Verdana" w:eastAsia="Century Gothic" w:hAnsi="Verdana" w:cs="Century Gothic"/>
        </w:rPr>
        <w:t xml:space="preserve">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 </w:t>
      </w:r>
    </w:p>
    <w:p w14:paraId="1592530C" w14:textId="77777777" w:rsidR="00523A56" w:rsidRDefault="00523A56" w:rsidP="00F1002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p>
    <w:p w14:paraId="7E662404" w14:textId="2F80B885" w:rsidR="00523A56" w:rsidRDefault="00523A56" w:rsidP="00F1002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77BD4B77" w14:textId="77777777" w:rsidR="003901C9" w:rsidRPr="00523A56" w:rsidRDefault="003901C9" w:rsidP="00CA7908">
      <w:pPr>
        <w:spacing w:after="0" w:line="276" w:lineRule="auto"/>
        <w:jc w:val="both"/>
        <w:rPr>
          <w:rFonts w:ascii="Verdana" w:eastAsia="Century Gothic" w:hAnsi="Verdana" w:cs="Century Gothic"/>
          <w:lang w:val="es-ES"/>
        </w:rPr>
      </w:pPr>
    </w:p>
    <w:p w14:paraId="3EA93DA1" w14:textId="2C9E6483" w:rsidR="003901C9" w:rsidRPr="00F10021" w:rsidRDefault="00F10021" w:rsidP="00CA7908">
      <w:pPr>
        <w:spacing w:after="0" w:line="276" w:lineRule="auto"/>
        <w:jc w:val="both"/>
        <w:rPr>
          <w:rFonts w:ascii="Verdana" w:eastAsia="Century Gothic" w:hAnsi="Verdana" w:cs="Century Gothic"/>
          <w:b/>
          <w:bCs/>
        </w:rPr>
      </w:pPr>
      <w:r w:rsidRPr="00F10021">
        <w:rPr>
          <w:rFonts w:ascii="Verdana" w:eastAsia="Century Gothic" w:hAnsi="Verdana" w:cs="Century Gothic"/>
          <w:b/>
          <w:bCs/>
        </w:rPr>
        <w:t xml:space="preserve">3. Razones de la respuesta: </w:t>
      </w:r>
    </w:p>
    <w:p w14:paraId="5BDB2673" w14:textId="77777777" w:rsidR="00F10021" w:rsidRDefault="00F10021" w:rsidP="00CA7908">
      <w:pPr>
        <w:spacing w:after="0" w:line="276" w:lineRule="auto"/>
        <w:jc w:val="both"/>
        <w:rPr>
          <w:rFonts w:ascii="Verdana" w:eastAsia="Century Gothic" w:hAnsi="Verdana" w:cs="Century Gothic"/>
        </w:rPr>
      </w:pPr>
    </w:p>
    <w:p w14:paraId="35091FA0" w14:textId="137BEC13" w:rsidR="00F10021" w:rsidRDefault="00F10021" w:rsidP="00CA7908">
      <w:pPr>
        <w:spacing w:after="0" w:line="276" w:lineRule="auto"/>
        <w:jc w:val="both"/>
        <w:rPr>
          <w:rFonts w:ascii="Verdana" w:eastAsia="Century Gothic" w:hAnsi="Verdana" w:cs="Century Gothic"/>
        </w:rPr>
      </w:pPr>
      <w:r>
        <w:rPr>
          <w:rFonts w:ascii="Verdana" w:eastAsia="Century Gothic" w:hAnsi="Verdana" w:cs="Century Gothic"/>
        </w:rPr>
        <w:t xml:space="preserve">Lo anterior se </w:t>
      </w:r>
      <w:r w:rsidR="00BA3EED">
        <w:rPr>
          <w:rFonts w:ascii="Verdana" w:eastAsia="Century Gothic" w:hAnsi="Verdana" w:cs="Century Gothic"/>
        </w:rPr>
        <w:t>sustenta</w:t>
      </w:r>
      <w:r>
        <w:rPr>
          <w:rFonts w:ascii="Verdana" w:eastAsia="Century Gothic" w:hAnsi="Verdana" w:cs="Century Gothic"/>
        </w:rPr>
        <w:t xml:space="preserve"> en las siguientes consideraciones: </w:t>
      </w:r>
    </w:p>
    <w:p w14:paraId="1C39C11A" w14:textId="77777777" w:rsidR="00BA3EED" w:rsidRDefault="00BA3EED" w:rsidP="00CA7908">
      <w:pPr>
        <w:spacing w:after="0" w:line="276" w:lineRule="auto"/>
        <w:jc w:val="both"/>
        <w:rPr>
          <w:rFonts w:ascii="Verdana" w:eastAsia="Century Gothic" w:hAnsi="Verdana" w:cs="Century Gothic"/>
        </w:rPr>
      </w:pPr>
    </w:p>
    <w:p w14:paraId="3565D056" w14:textId="21D5EE19" w:rsidR="00BA3EED" w:rsidRDefault="00D43B72" w:rsidP="00251E66">
      <w:pPr>
        <w:spacing w:after="120" w:line="276" w:lineRule="auto"/>
        <w:ind w:firstLine="709"/>
        <w:jc w:val="both"/>
        <w:rPr>
          <w:rFonts w:ascii="Verdana" w:eastAsia="Century Gothic" w:hAnsi="Verdana" w:cs="Century Gothic"/>
        </w:rPr>
      </w:pPr>
      <w:r>
        <w:rPr>
          <w:rFonts w:ascii="Verdana" w:eastAsia="Century Gothic" w:hAnsi="Verdana" w:cs="Century Gothic"/>
        </w:rPr>
        <w:t xml:space="preserve">En nuestro ordenamiento jurídico, el artículo 97 de la Ley 489 de 1998 define las sociedades de economía mixta </w:t>
      </w:r>
      <w:r w:rsidR="007B69C5">
        <w:rPr>
          <w:rFonts w:ascii="Verdana" w:eastAsia="Century Gothic" w:hAnsi="Verdana" w:cs="Century Gothic"/>
        </w:rPr>
        <w:t>c</w:t>
      </w:r>
      <w:r w:rsidR="007A2787">
        <w:rPr>
          <w:rFonts w:ascii="Verdana" w:eastAsia="Century Gothic" w:hAnsi="Verdana" w:cs="Century Gothic"/>
        </w:rPr>
        <w:t xml:space="preserve">omo organismos autorizados </w:t>
      </w:r>
      <w:r w:rsidR="00463C88">
        <w:rPr>
          <w:rFonts w:ascii="Verdana" w:eastAsia="Century Gothic" w:hAnsi="Verdana" w:cs="Century Gothic"/>
        </w:rPr>
        <w:t>por la ley, constituidos como sociedad</w:t>
      </w:r>
      <w:r w:rsidR="00E1354D">
        <w:rPr>
          <w:rFonts w:ascii="Verdana" w:eastAsia="Century Gothic" w:hAnsi="Verdana" w:cs="Century Gothic"/>
        </w:rPr>
        <w:t>es comerciales, con aportes de capital público y privado, que desarrollan actividades de naturaleza industrial o comercial conforme</w:t>
      </w:r>
      <w:r w:rsidR="00B33A5C">
        <w:rPr>
          <w:rFonts w:ascii="Verdana" w:eastAsia="Century Gothic" w:hAnsi="Verdana" w:cs="Century Gothic"/>
        </w:rPr>
        <w:t xml:space="preserve"> a las reglas del derecho privado, salvo las excepciones que consagra la ley. </w:t>
      </w:r>
    </w:p>
    <w:p w14:paraId="792D9425" w14:textId="0608B72F" w:rsidR="00B33A5C" w:rsidRDefault="00E059DA" w:rsidP="00251E66">
      <w:pPr>
        <w:spacing w:after="120" w:line="276" w:lineRule="auto"/>
        <w:ind w:firstLine="709"/>
        <w:jc w:val="both"/>
        <w:rPr>
          <w:rFonts w:ascii="Verdana" w:eastAsia="Century Gothic" w:hAnsi="Verdana" w:cs="Century Gothic"/>
        </w:rPr>
      </w:pPr>
      <w:r>
        <w:rPr>
          <w:rFonts w:ascii="Verdana" w:eastAsia="Century Gothic" w:hAnsi="Verdana" w:cs="Century Gothic"/>
        </w:rPr>
        <w:t>E</w:t>
      </w:r>
      <w:r w:rsidR="00B33A5C">
        <w:rPr>
          <w:rFonts w:ascii="Verdana" w:eastAsia="Century Gothic" w:hAnsi="Verdana" w:cs="Century Gothic"/>
        </w:rPr>
        <w:t>n ese sentido, la misma ley, en los artículos 38 y 68, clasifica a las sociedades de economía mixta como entidades descentralizadas por servicios, con personería jurídica</w:t>
      </w:r>
      <w:r w:rsidR="00A0795F">
        <w:rPr>
          <w:rFonts w:ascii="Verdana" w:eastAsia="Century Gothic" w:hAnsi="Verdana" w:cs="Century Gothic"/>
        </w:rPr>
        <w:t xml:space="preserve">, autonomía </w:t>
      </w:r>
      <w:r w:rsidR="00B85FD3">
        <w:rPr>
          <w:rFonts w:ascii="Verdana" w:eastAsia="Century Gothic" w:hAnsi="Verdana" w:cs="Century Gothic"/>
        </w:rPr>
        <w:t>administrativa y patrimonio propio</w:t>
      </w:r>
      <w:r w:rsidR="00B85FD3">
        <w:rPr>
          <w:rStyle w:val="Refdenotaalpie"/>
          <w:rFonts w:ascii="Verdana" w:eastAsia="Century Gothic" w:hAnsi="Verdana" w:cs="Century Gothic"/>
        </w:rPr>
        <w:footnoteReference w:id="1"/>
      </w:r>
      <w:r w:rsidR="00C82472">
        <w:rPr>
          <w:rFonts w:ascii="Verdana" w:eastAsia="Century Gothic" w:hAnsi="Verdana" w:cs="Century Gothic"/>
        </w:rPr>
        <w:t xml:space="preserve">, que </w:t>
      </w:r>
      <w:r w:rsidR="00871994">
        <w:rPr>
          <w:rFonts w:ascii="Verdana" w:eastAsia="Century Gothic" w:hAnsi="Verdana" w:cs="Century Gothic"/>
        </w:rPr>
        <w:t>pueden ser del orden nacional, departamental o municipal, según su órgano de creación</w:t>
      </w:r>
      <w:r w:rsidR="00871994">
        <w:rPr>
          <w:rStyle w:val="Refdenotaalpie"/>
          <w:rFonts w:ascii="Verdana" w:eastAsia="Century Gothic" w:hAnsi="Verdana" w:cs="Century Gothic"/>
        </w:rPr>
        <w:footnoteReference w:id="2"/>
      </w:r>
      <w:r w:rsidR="00251E66">
        <w:rPr>
          <w:rFonts w:ascii="Verdana" w:eastAsia="Century Gothic" w:hAnsi="Verdana" w:cs="Century Gothic"/>
        </w:rPr>
        <w:t xml:space="preserve">. Al respecto, la Corte Constitucional, en sentencias C-736 del 19 de septiembre de 2007, </w:t>
      </w:r>
      <w:r w:rsidR="004A547D">
        <w:rPr>
          <w:rFonts w:ascii="Verdana" w:eastAsia="Century Gothic" w:hAnsi="Verdana" w:cs="Century Gothic"/>
        </w:rPr>
        <w:t>C-118 del 14 de noviembre de 2018 y C-306 del 10 de julio de 2019, ha considerado que las sociedades estudi</w:t>
      </w:r>
      <w:r w:rsidR="007F5B2A">
        <w:rPr>
          <w:rFonts w:ascii="Verdana" w:eastAsia="Century Gothic" w:hAnsi="Verdana" w:cs="Century Gothic"/>
        </w:rPr>
        <w:t xml:space="preserve">adas, desde una perspectiva constitucional, se caracterizan por lo siguientes aspectos: i) pertenecen a la rama ejecutiva del poder </w:t>
      </w:r>
      <w:r w:rsidR="000C071C">
        <w:rPr>
          <w:rFonts w:ascii="Verdana" w:eastAsia="Century Gothic" w:hAnsi="Verdana" w:cs="Century Gothic"/>
        </w:rPr>
        <w:t>público, como</w:t>
      </w:r>
      <w:r w:rsidR="00684921">
        <w:rPr>
          <w:rFonts w:ascii="Verdana" w:eastAsia="Century Gothic" w:hAnsi="Verdana" w:cs="Century Gothic"/>
        </w:rPr>
        <w:t xml:space="preserve"> manifestación de la descentralización por servicios. </w:t>
      </w:r>
      <w:r w:rsidR="00C44F63">
        <w:rPr>
          <w:rFonts w:ascii="Verdana" w:eastAsia="Century Gothic" w:hAnsi="Verdana" w:cs="Century Gothic"/>
        </w:rPr>
        <w:t>Así</w:t>
      </w:r>
      <w:r w:rsidR="00684921">
        <w:rPr>
          <w:rFonts w:ascii="Verdana" w:eastAsia="Century Gothic" w:hAnsi="Verdana" w:cs="Century Gothic"/>
        </w:rPr>
        <w:t xml:space="preserve"> </w:t>
      </w:r>
      <w:r w:rsidR="00C44F63">
        <w:rPr>
          <w:rFonts w:ascii="Verdana" w:eastAsia="Century Gothic" w:hAnsi="Verdana" w:cs="Century Gothic"/>
        </w:rPr>
        <w:t>mismo, ii) están sujetas al control fiscal</w:t>
      </w:r>
      <w:r w:rsidR="00463BAD">
        <w:rPr>
          <w:rFonts w:ascii="Verdana" w:eastAsia="Century Gothic" w:hAnsi="Verdana" w:cs="Century Gothic"/>
        </w:rPr>
        <w:t>, financier</w:t>
      </w:r>
      <w:r w:rsidR="007E200F">
        <w:rPr>
          <w:rFonts w:ascii="Verdana" w:eastAsia="Century Gothic" w:hAnsi="Verdana" w:cs="Century Gothic"/>
        </w:rPr>
        <w:t>o, de gestión y de resultados en cabeza de la Contraloría General de la República</w:t>
      </w:r>
      <w:r w:rsidR="00A40510">
        <w:rPr>
          <w:rFonts w:ascii="Verdana" w:eastAsia="Century Gothic" w:hAnsi="Verdana" w:cs="Century Gothic"/>
        </w:rPr>
        <w:t>. Por otra parte, iii) se someten al control político, que ejerce directamente el Congreso de la República</w:t>
      </w:r>
      <w:r w:rsidR="00AC7773">
        <w:rPr>
          <w:rFonts w:ascii="Verdana" w:eastAsia="Century Gothic" w:hAnsi="Verdana" w:cs="Century Gothic"/>
        </w:rPr>
        <w:t xml:space="preserve">. Además, </w:t>
      </w:r>
      <w:proofErr w:type="spellStart"/>
      <w:r w:rsidR="00AC7773">
        <w:rPr>
          <w:rFonts w:ascii="Verdana" w:eastAsia="Century Gothic" w:hAnsi="Verdana" w:cs="Century Gothic"/>
        </w:rPr>
        <w:t>iv</w:t>
      </w:r>
      <w:proofErr w:type="spellEnd"/>
      <w:r w:rsidR="00AC7773">
        <w:rPr>
          <w:rFonts w:ascii="Verdana" w:eastAsia="Century Gothic" w:hAnsi="Verdana" w:cs="Century Gothic"/>
        </w:rPr>
        <w:t xml:space="preserve">) en el caso de las sociedades de economía mixta del orden nacional, le corresponde al Congreso de la República su creación o autorización </w:t>
      </w:r>
      <w:r w:rsidR="00BB326F">
        <w:rPr>
          <w:rFonts w:ascii="Verdana" w:eastAsia="Century Gothic" w:hAnsi="Verdana" w:cs="Century Gothic"/>
        </w:rPr>
        <w:t>mediante</w:t>
      </w:r>
      <w:r w:rsidR="00226413">
        <w:rPr>
          <w:rFonts w:ascii="Verdana" w:eastAsia="Century Gothic" w:hAnsi="Verdana" w:cs="Century Gothic"/>
        </w:rPr>
        <w:t xml:space="preserve"> ley. em cambio, v) en el caso de los órdenes departamental y municipal, esta misma facultad se les reconoce a las asambleas y consejos. Adicionalmente, vi) </w:t>
      </w:r>
      <w:r w:rsidR="00E105CE">
        <w:rPr>
          <w:rFonts w:ascii="Verdana" w:eastAsia="Century Gothic" w:hAnsi="Verdana" w:cs="Century Gothic"/>
        </w:rPr>
        <w:t xml:space="preserve">a todas las sociedades de economía mixta les son aplicables las inhabilidades para la integración de órganos directivos </w:t>
      </w:r>
      <w:r w:rsidR="0018000A">
        <w:rPr>
          <w:rFonts w:ascii="Verdana" w:eastAsia="Century Gothic" w:hAnsi="Verdana" w:cs="Century Gothic"/>
        </w:rPr>
        <w:t>a que aluden los artículos 180</w:t>
      </w:r>
      <w:r w:rsidR="007D55EA">
        <w:rPr>
          <w:rFonts w:ascii="Verdana" w:eastAsia="Century Gothic" w:hAnsi="Verdana" w:cs="Century Gothic"/>
        </w:rPr>
        <w:t xml:space="preserve">-3, 292 y 323 de la </w:t>
      </w:r>
      <w:r w:rsidR="005363FB">
        <w:rPr>
          <w:rFonts w:ascii="Verdana" w:eastAsia="Century Gothic" w:hAnsi="Verdana" w:cs="Century Gothic"/>
        </w:rPr>
        <w:t>Constitución Política</w:t>
      </w:r>
      <w:r w:rsidR="008C2627">
        <w:rPr>
          <w:rFonts w:ascii="Verdana" w:eastAsia="Century Gothic" w:hAnsi="Verdana" w:cs="Century Gothic"/>
        </w:rPr>
        <w:t xml:space="preserve">, a lo anterior, debe agregarse que, vii) en materia presupuestal, las sociedades de economía mixta quedan sujetas a las reglas de la ley </w:t>
      </w:r>
      <w:r w:rsidR="007710BF">
        <w:rPr>
          <w:rFonts w:ascii="Verdana" w:eastAsia="Century Gothic" w:hAnsi="Verdana" w:cs="Century Gothic"/>
        </w:rPr>
        <w:t xml:space="preserve">orgánica </w:t>
      </w:r>
      <w:r w:rsidR="00F13267">
        <w:rPr>
          <w:rFonts w:ascii="Verdana" w:eastAsia="Century Gothic" w:hAnsi="Verdana" w:cs="Century Gothic"/>
        </w:rPr>
        <w:t>de presupuesto. De otro lado, viii) en materia contable</w:t>
      </w:r>
      <w:r w:rsidR="009A2F2A">
        <w:rPr>
          <w:rFonts w:ascii="Verdana" w:eastAsia="Century Gothic" w:hAnsi="Verdana" w:cs="Century Gothic"/>
        </w:rPr>
        <w:t>, quedan vinculadas a las reglas de contabilidad oficial</w:t>
      </w:r>
      <w:r w:rsidR="00112FBE">
        <w:rPr>
          <w:rFonts w:ascii="Verdana" w:eastAsia="Century Gothic" w:hAnsi="Verdana" w:cs="Century Gothic"/>
        </w:rPr>
        <w:t xml:space="preserve">. Además, </w:t>
      </w:r>
      <w:proofErr w:type="spellStart"/>
      <w:r w:rsidR="00112FBE">
        <w:rPr>
          <w:rFonts w:ascii="Verdana" w:eastAsia="Century Gothic" w:hAnsi="Verdana" w:cs="Century Gothic"/>
        </w:rPr>
        <w:t>ix</w:t>
      </w:r>
      <w:proofErr w:type="spellEnd"/>
      <w:r w:rsidR="00112FBE">
        <w:rPr>
          <w:rFonts w:ascii="Verdana" w:eastAsia="Century Gothic" w:hAnsi="Verdana" w:cs="Century Gothic"/>
        </w:rPr>
        <w:t xml:space="preserve">) se rigen por el derecho privado, en virtud de la naturaleza de las actividades que desarrollan. </w:t>
      </w:r>
    </w:p>
    <w:p w14:paraId="04BAE71C" w14:textId="44CD48FF" w:rsidR="00E47B20" w:rsidRDefault="00E47B20" w:rsidP="00251E66">
      <w:pPr>
        <w:spacing w:after="120" w:line="276" w:lineRule="auto"/>
        <w:ind w:firstLine="709"/>
        <w:jc w:val="both"/>
        <w:rPr>
          <w:rFonts w:ascii="Verdana" w:eastAsia="Century Gothic" w:hAnsi="Verdana" w:cs="Century Gothic"/>
        </w:rPr>
      </w:pPr>
      <w:r>
        <w:rPr>
          <w:rFonts w:ascii="Verdana" w:eastAsia="Century Gothic" w:hAnsi="Verdana" w:cs="Century Gothic"/>
        </w:rPr>
        <w:t xml:space="preserve">Sin embargo, este Alto Tribunal, en sentencia </w:t>
      </w:r>
      <w:r w:rsidR="00494496">
        <w:rPr>
          <w:rFonts w:ascii="Verdana" w:eastAsia="Century Gothic" w:hAnsi="Verdana" w:cs="Century Gothic"/>
        </w:rPr>
        <w:t>C-529 del 12 de julio de 2006, hizo énfasis en que, a pesar del sometimiento</w:t>
      </w:r>
      <w:r w:rsidR="00101C99">
        <w:rPr>
          <w:rFonts w:ascii="Verdana" w:eastAsia="Century Gothic" w:hAnsi="Verdana" w:cs="Century Gothic"/>
        </w:rPr>
        <w:t xml:space="preserve"> al régimen jurídico de derecho privado para el desarrollo de sus actividades</w:t>
      </w:r>
      <w:r w:rsidR="00BE4739">
        <w:rPr>
          <w:rFonts w:ascii="Verdana" w:eastAsia="Century Gothic" w:hAnsi="Verdana" w:cs="Century Gothic"/>
        </w:rPr>
        <w:t xml:space="preserve">, las sociedades de economía mixta </w:t>
      </w:r>
      <w:r w:rsidR="00C25CDB">
        <w:rPr>
          <w:rFonts w:ascii="Verdana" w:eastAsia="Century Gothic" w:hAnsi="Verdana" w:cs="Century Gothic"/>
        </w:rPr>
        <w:t>no pierden su carácter de expresión organizacional de la actividad estatal</w:t>
      </w:r>
      <w:r w:rsidR="00C25CDB">
        <w:rPr>
          <w:rStyle w:val="Refdenotaalpie"/>
          <w:rFonts w:ascii="Verdana" w:eastAsia="Century Gothic" w:hAnsi="Verdana" w:cs="Century Gothic"/>
        </w:rPr>
        <w:footnoteReference w:id="3"/>
      </w:r>
      <w:r w:rsidR="002E75C8">
        <w:rPr>
          <w:rFonts w:ascii="Verdana" w:eastAsia="Century Gothic" w:hAnsi="Verdana" w:cs="Century Gothic"/>
        </w:rPr>
        <w:t>, mas precisamente de la función administrativa</w:t>
      </w:r>
      <w:r w:rsidR="002E75C8">
        <w:rPr>
          <w:rStyle w:val="Refdenotaalpie"/>
          <w:rFonts w:ascii="Verdana" w:eastAsia="Century Gothic" w:hAnsi="Verdana" w:cs="Century Gothic"/>
        </w:rPr>
        <w:footnoteReference w:id="4"/>
      </w:r>
      <w:r w:rsidR="00732E50">
        <w:rPr>
          <w:rFonts w:ascii="Verdana" w:eastAsia="Century Gothic" w:hAnsi="Verdana" w:cs="Century Gothic"/>
        </w:rPr>
        <w:t xml:space="preserve">, en virtud del </w:t>
      </w:r>
      <w:r w:rsidR="00DE7761">
        <w:rPr>
          <w:rFonts w:ascii="Verdana" w:eastAsia="Century Gothic" w:hAnsi="Verdana" w:cs="Century Gothic"/>
        </w:rPr>
        <w:t>aporte público en la constitución del capital social y la consiguiente</w:t>
      </w:r>
      <w:r w:rsidR="004C0D8A">
        <w:rPr>
          <w:rFonts w:ascii="Verdana" w:eastAsia="Century Gothic" w:hAnsi="Verdana" w:cs="Century Gothic"/>
        </w:rPr>
        <w:t xml:space="preserve"> pertenencia a la administración pública, en la condición de entidades descentralizadas. </w:t>
      </w:r>
    </w:p>
    <w:p w14:paraId="5D52E721" w14:textId="76D92C18" w:rsidR="004C0D8A" w:rsidRDefault="004C0D8A" w:rsidP="00251E66">
      <w:pPr>
        <w:spacing w:after="120" w:line="276" w:lineRule="auto"/>
        <w:ind w:firstLine="709"/>
        <w:jc w:val="both"/>
        <w:rPr>
          <w:rFonts w:ascii="Verdana" w:eastAsia="Century Gothic" w:hAnsi="Verdana" w:cs="Century Gothic"/>
        </w:rPr>
      </w:pPr>
      <w:r>
        <w:rPr>
          <w:rFonts w:ascii="Verdana" w:eastAsia="Century Gothic" w:hAnsi="Verdana" w:cs="Century Gothic"/>
        </w:rPr>
        <w:t xml:space="preserve">Así las cosas, resulta importante resaltar que, en nuestro ordenamiento jurídico, las sociedades de economía mixta están sometidas a un régimen jurídico compuesto por un conjunto normativo de derecho publico y de derecho privado. El primero, derivado </w:t>
      </w:r>
      <w:r w:rsidR="009D0263">
        <w:rPr>
          <w:rFonts w:ascii="Verdana" w:eastAsia="Century Gothic" w:hAnsi="Verdana" w:cs="Century Gothic"/>
        </w:rPr>
        <w:t>directamente de la Constitución Política y referido a aspecto</w:t>
      </w:r>
      <w:r w:rsidR="005F64A7">
        <w:rPr>
          <w:rFonts w:ascii="Verdana" w:eastAsia="Century Gothic" w:hAnsi="Verdana" w:cs="Century Gothic"/>
        </w:rPr>
        <w:t xml:space="preserve">s como su creación, autorización, organización y funcionamiento internos. </w:t>
      </w:r>
      <w:r w:rsidR="00FC192C">
        <w:rPr>
          <w:rFonts w:ascii="Verdana" w:eastAsia="Century Gothic" w:hAnsi="Verdana" w:cs="Century Gothic"/>
        </w:rPr>
        <w:t xml:space="preserve">Y el segundo destinado a regir el desarrollo de la actividad económica de cada sociedad. Ahora bien, también </w:t>
      </w:r>
      <w:r w:rsidR="00531981">
        <w:rPr>
          <w:rFonts w:ascii="Verdana" w:eastAsia="Century Gothic" w:hAnsi="Verdana" w:cs="Century Gothic"/>
        </w:rPr>
        <w:t>resulta importante señalar que el artículo 14 de la Ley 1150</w:t>
      </w:r>
      <w:r w:rsidR="00CE3B10">
        <w:rPr>
          <w:rFonts w:ascii="Verdana" w:eastAsia="Century Gothic" w:hAnsi="Verdana" w:cs="Century Gothic"/>
        </w:rPr>
        <w:t xml:space="preserve"> de 2007</w:t>
      </w:r>
      <w:r w:rsidR="006446F3">
        <w:rPr>
          <w:rFonts w:ascii="Verdana" w:eastAsia="Century Gothic" w:hAnsi="Verdana" w:cs="Century Gothic"/>
        </w:rPr>
        <w:t xml:space="preserve"> – modificado por el artículo 93 de la Ley 1474 de 2011</w:t>
      </w:r>
      <w:r w:rsidR="006738D5">
        <w:rPr>
          <w:rFonts w:ascii="Verdana" w:eastAsia="Century Gothic" w:hAnsi="Verdana" w:cs="Century Gothic"/>
        </w:rPr>
        <w:t>- establece</w:t>
      </w:r>
      <w:r w:rsidR="006446F3">
        <w:rPr>
          <w:rFonts w:ascii="Verdana" w:eastAsia="Century Gothic" w:hAnsi="Verdana" w:cs="Century Gothic"/>
        </w:rPr>
        <w:t xml:space="preserve"> el </w:t>
      </w:r>
      <w:r w:rsidR="001340E0">
        <w:rPr>
          <w:rFonts w:ascii="Verdana" w:eastAsia="Century Gothic" w:hAnsi="Verdana" w:cs="Century Gothic"/>
        </w:rPr>
        <w:t xml:space="preserve">régimen contractual de las sociedades de economía mixta, en las que el Estado tenga participación superior al cincuenta por ciento, señalando que: </w:t>
      </w:r>
    </w:p>
    <w:p w14:paraId="24860A23" w14:textId="77777777" w:rsidR="00641267" w:rsidRPr="00641267" w:rsidRDefault="000351B6" w:rsidP="00641267">
      <w:pPr>
        <w:spacing w:after="0" w:line="240" w:lineRule="auto"/>
        <w:ind w:left="709" w:right="709"/>
        <w:jc w:val="both"/>
        <w:textAlignment w:val="baseline"/>
        <w:rPr>
          <w:rFonts w:ascii="Verdana" w:eastAsia="Times New Roman" w:hAnsi="Verdana" w:cs="Arial"/>
          <w:sz w:val="21"/>
          <w:szCs w:val="21"/>
          <w:lang w:val="es-ES_tradnl" w:eastAsia="es-MX"/>
        </w:rPr>
      </w:pPr>
      <w:r w:rsidRPr="00641267">
        <w:rPr>
          <w:rFonts w:ascii="Verdana" w:eastAsia="Century Gothic" w:hAnsi="Verdana" w:cs="Century Gothic"/>
          <w:sz w:val="21"/>
          <w:szCs w:val="21"/>
        </w:rPr>
        <w:t xml:space="preserve">Artículo 14. </w:t>
      </w:r>
      <w:r w:rsidR="00641267" w:rsidRPr="00641267">
        <w:rPr>
          <w:rFonts w:ascii="Verdana" w:eastAsia="Times New Roman" w:hAnsi="Verdana" w:cs="Arial"/>
          <w:sz w:val="21"/>
          <w:szCs w:val="21"/>
          <w:lang w:val="es-ES_tradnl" w:eastAsia="es-MX"/>
        </w:rPr>
        <w:t>DEL RÉGIMEN CONTRACTUAL DE LAS EMPRESAS INDUSTRIALES Y COMERCIALES DEL ESTADO, LAS SOCIEDADES DE ECONOMÍA MIXTA, SUS FILIALES Y EMPRESAS CON PARTICIPACIÓN MAYORITARIA DEL ESTADO. &lt;Artículo modificado por el artículo 93 de la Ley 1474 de 2011. El nuevo texto es el siguiente:&gt;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59A085BD" w14:textId="453FB42F" w:rsidR="000351B6" w:rsidRDefault="000351B6" w:rsidP="00641267">
      <w:pPr>
        <w:spacing w:after="120" w:line="240" w:lineRule="auto"/>
        <w:ind w:left="709" w:right="709"/>
        <w:jc w:val="both"/>
        <w:rPr>
          <w:rFonts w:ascii="Verdana" w:eastAsia="Century Gothic" w:hAnsi="Verdana" w:cs="Century Gothic"/>
          <w:lang w:val="es-ES_tradnl"/>
        </w:rPr>
      </w:pPr>
    </w:p>
    <w:p w14:paraId="51DC4EC9" w14:textId="7C6F05AC" w:rsidR="00376FDC" w:rsidRDefault="00376FDC" w:rsidP="309AB6FC">
      <w:pPr>
        <w:spacing w:after="120" w:line="276" w:lineRule="auto"/>
        <w:ind w:firstLine="709"/>
        <w:jc w:val="both"/>
        <w:rPr>
          <w:rFonts w:ascii="Verdana" w:eastAsia="Century Gothic" w:hAnsi="Verdana" w:cs="Century Gothic"/>
          <w:lang w:val="es-ES"/>
        </w:rPr>
      </w:pPr>
      <w:r w:rsidRPr="309AB6FC">
        <w:rPr>
          <w:rFonts w:ascii="Verdana" w:eastAsia="Century Gothic" w:hAnsi="Verdana" w:cs="Century Gothic"/>
          <w:lang w:val="es-ES"/>
        </w:rPr>
        <w:t xml:space="preserve">Teniendo en cuenta el contexto anterior, atendiendo a que la consulta esta relacionada con el alcance de las prohibiciones en materia contractual establecidas en la Ley 996 de 2005 – Ley </w:t>
      </w:r>
      <w:r w:rsidR="00506CDF" w:rsidRPr="309AB6FC">
        <w:rPr>
          <w:rFonts w:ascii="Verdana" w:eastAsia="Century Gothic" w:hAnsi="Verdana" w:cs="Century Gothic"/>
          <w:lang w:val="es-ES"/>
        </w:rPr>
        <w:t xml:space="preserve">Garantías Electorales – a continuación, se analizará el alcance de las restricciones establecidas en el artículo 33 y el parágrafo del artículo 38. </w:t>
      </w:r>
    </w:p>
    <w:p w14:paraId="280AE40C" w14:textId="2040F44F" w:rsidR="00E97EA0" w:rsidRDefault="00E97EA0" w:rsidP="00E97EA0">
      <w:pPr>
        <w:spacing w:after="120" w:line="276" w:lineRule="auto"/>
        <w:ind w:firstLine="709"/>
        <w:jc w:val="both"/>
        <w:rPr>
          <w:rFonts w:ascii="Verdana" w:eastAsia="Century Gothic" w:hAnsi="Verdana" w:cs="Century Gothic"/>
          <w:lang w:val="es-ES_tradnl"/>
        </w:rPr>
      </w:pPr>
      <w:r>
        <w:rPr>
          <w:rFonts w:ascii="Verdana" w:eastAsia="Century Gothic" w:hAnsi="Verdana" w:cs="Century Gothic"/>
          <w:lang w:val="es-ES_tradnl"/>
        </w:rPr>
        <w:t xml:space="preserve">Para empezar, la Ley 996 de 2005, conocida </w:t>
      </w:r>
      <w:r w:rsidR="00FB4673">
        <w:rPr>
          <w:rFonts w:ascii="Verdana" w:eastAsia="Century Gothic" w:hAnsi="Verdana" w:cs="Century Gothic"/>
          <w:lang w:val="es-ES_tradnl"/>
        </w:rPr>
        <w:t>como la “Ley de Garantías Electorales”</w:t>
      </w:r>
      <w:r w:rsidR="00A14B61">
        <w:rPr>
          <w:rFonts w:ascii="Verdana" w:eastAsia="Century Gothic" w:hAnsi="Verdana" w:cs="Century Gothic"/>
          <w:lang w:val="es-ES_tradnl"/>
        </w:rPr>
        <w:t xml:space="preserve">, se suma al andamiaje de orden constitucional y legal que se ha ocupado de evitar la injerencia </w:t>
      </w:r>
      <w:r w:rsidR="00A51E68">
        <w:rPr>
          <w:rFonts w:ascii="Verdana" w:eastAsia="Century Gothic" w:hAnsi="Verdana" w:cs="Century Gothic"/>
          <w:lang w:val="es-ES_tradnl"/>
        </w:rPr>
        <w:t>inadecuada en intereses particulares en el ejercicio de la función pública. esta Ley tiene como propósito evitar cualquier tipo de arbitrariedad, de ventaja injustificada, de uno irregular de los recursos del Estado en las campañas o falta de garantías en la elección presidencial</w:t>
      </w:r>
      <w:r w:rsidR="00A51E68">
        <w:rPr>
          <w:rStyle w:val="Refdenotaalpie"/>
          <w:rFonts w:ascii="Verdana" w:eastAsia="Century Gothic" w:hAnsi="Verdana" w:cs="Century Gothic"/>
          <w:lang w:val="es-ES_tradnl"/>
        </w:rPr>
        <w:footnoteReference w:id="5"/>
      </w:r>
      <w:r w:rsidR="00212853">
        <w:rPr>
          <w:rFonts w:ascii="Verdana" w:eastAsia="Century Gothic" w:hAnsi="Verdana" w:cs="Century Gothic"/>
          <w:lang w:val="es-ES_tradnl"/>
        </w:rPr>
        <w:t xml:space="preserve">. En esta medida, introduce limitaciones para realizar nombramientos, postulaciones, contrataciones o cualquier otro tipo de actividad que implique </w:t>
      </w:r>
      <w:r w:rsidR="003131CC">
        <w:rPr>
          <w:rFonts w:ascii="Verdana" w:eastAsia="Century Gothic" w:hAnsi="Verdana" w:cs="Century Gothic"/>
          <w:lang w:val="es-ES_tradnl"/>
        </w:rPr>
        <w:t xml:space="preserve">destinación </w:t>
      </w:r>
      <w:r w:rsidR="00994B05">
        <w:rPr>
          <w:rFonts w:ascii="Verdana" w:eastAsia="Century Gothic" w:hAnsi="Verdana" w:cs="Century Gothic"/>
          <w:lang w:val="es-ES_tradnl"/>
        </w:rPr>
        <w:t xml:space="preserve">de recursos públicos bajo el devenir propio de las Entidades Estatales. </w:t>
      </w:r>
    </w:p>
    <w:p w14:paraId="6B0D60F9" w14:textId="5E9B73FD" w:rsidR="00994B05" w:rsidRDefault="00994B05" w:rsidP="00E97EA0">
      <w:pPr>
        <w:spacing w:after="120" w:line="276" w:lineRule="auto"/>
        <w:ind w:firstLine="709"/>
        <w:jc w:val="both"/>
        <w:rPr>
          <w:rFonts w:ascii="Verdana" w:eastAsia="Century Gothic" w:hAnsi="Verdana" w:cs="Century Gothic"/>
          <w:lang w:val="es-ES_tradnl"/>
        </w:rPr>
      </w:pPr>
      <w:r>
        <w:rPr>
          <w:rFonts w:ascii="Verdana" w:eastAsia="Century Gothic" w:hAnsi="Verdana" w:cs="Century Gothic"/>
          <w:lang w:val="es-ES_tradnl"/>
        </w:rPr>
        <w:t>En armonía con lo anterior</w:t>
      </w:r>
      <w:r w:rsidR="00307D79">
        <w:rPr>
          <w:rFonts w:ascii="Verdana" w:eastAsia="Century Gothic" w:hAnsi="Verdana" w:cs="Century Gothic"/>
          <w:lang w:val="es-ES_tradnl"/>
        </w:rPr>
        <w:t xml:space="preserve">, la Corte Constitucional ha abordado la definición de la Ley de Garantías Electorales. De esta manera, explica que tiene como </w:t>
      </w:r>
      <w:r w:rsidR="0020196E">
        <w:rPr>
          <w:rFonts w:ascii="Verdana" w:eastAsia="Century Gothic" w:hAnsi="Verdana" w:cs="Century Gothic"/>
          <w:lang w:val="es-ES_tradnl"/>
        </w:rPr>
        <w:t xml:space="preserve">propósito: </w:t>
      </w:r>
    </w:p>
    <w:p w14:paraId="435B85FB" w14:textId="77777777" w:rsidR="001D66C2" w:rsidRPr="001D66C2" w:rsidRDefault="001D66C2" w:rsidP="001D66C2">
      <w:pPr>
        <w:spacing w:after="0" w:line="240" w:lineRule="auto"/>
        <w:ind w:left="709" w:right="709"/>
        <w:contextualSpacing/>
        <w:jc w:val="both"/>
        <w:rPr>
          <w:rFonts w:ascii="Verdana" w:eastAsia="Times New Roman" w:hAnsi="Verdana" w:cs="Arial"/>
          <w:sz w:val="21"/>
          <w:szCs w:val="21"/>
          <w:lang w:val="es-MX" w:eastAsia="es-CO"/>
        </w:rPr>
      </w:pPr>
      <w:r w:rsidRPr="001D66C2">
        <w:rPr>
          <w:rFonts w:ascii="Verdana" w:eastAsia="Times New Roman" w:hAnsi="Verdana" w:cs="Arial"/>
          <w:sz w:val="21"/>
          <w:szCs w:val="21"/>
          <w:lang w:val="es-ES" w:eastAsia="es-CO"/>
        </w:rPr>
        <w:t xml:space="preserve">“[…] </w:t>
      </w:r>
      <w:r w:rsidRPr="001D66C2">
        <w:rPr>
          <w:rFonts w:ascii="Verdana" w:eastAsia="Times New Roman" w:hAnsi="Verdana" w:cs="Arial"/>
          <w:sz w:val="21"/>
          <w:szCs w:val="21"/>
          <w:lang w:val="es-MX" w:eastAsia="es-CO"/>
        </w:rPr>
        <w:t>la definición de reglas claras que permitan acceder a los canales de expresión democrática de manera efectiva e igualitaria. El objetivo de una ley de garantías es definir esas reglas.</w:t>
      </w:r>
    </w:p>
    <w:p w14:paraId="292FD4B0" w14:textId="77777777" w:rsidR="001D66C2" w:rsidRPr="001D66C2" w:rsidRDefault="001D66C2" w:rsidP="001D66C2">
      <w:pPr>
        <w:spacing w:after="0" w:line="240" w:lineRule="auto"/>
        <w:ind w:left="709" w:right="709"/>
        <w:contextualSpacing/>
        <w:jc w:val="both"/>
        <w:rPr>
          <w:rFonts w:ascii="Verdana" w:eastAsia="Times New Roman" w:hAnsi="Verdana" w:cs="Arial"/>
          <w:sz w:val="21"/>
          <w:szCs w:val="21"/>
          <w:lang w:val="es-MX" w:eastAsia="es-CO"/>
        </w:rPr>
      </w:pPr>
    </w:p>
    <w:p w14:paraId="2AFF29FF" w14:textId="77777777" w:rsidR="001D66C2" w:rsidRPr="001D66C2" w:rsidRDefault="001D66C2" w:rsidP="001D66C2">
      <w:pPr>
        <w:spacing w:after="0" w:line="240" w:lineRule="auto"/>
        <w:ind w:left="709" w:right="709"/>
        <w:contextualSpacing/>
        <w:jc w:val="both"/>
        <w:rPr>
          <w:rFonts w:ascii="Verdana" w:eastAsia="Times New Roman" w:hAnsi="Verdana" w:cs="Arial"/>
          <w:sz w:val="21"/>
          <w:szCs w:val="21"/>
          <w:lang w:val="es-MX" w:eastAsia="es-CO"/>
        </w:rPr>
      </w:pPr>
      <w:r w:rsidRPr="001D66C2">
        <w:rPr>
          <w:rFonts w:ascii="Verdana" w:eastAsia="Times New Roman" w:hAnsi="Verdana" w:cs="Arial"/>
          <w:sz w:val="21"/>
          <w:szCs w:val="21"/>
          <w:lang w:val="es-MX" w:eastAsia="es-CO"/>
        </w:rPr>
        <w:t xml:space="preserve">[…] </w:t>
      </w:r>
    </w:p>
    <w:p w14:paraId="19FAEF1C" w14:textId="77777777" w:rsidR="001D66C2" w:rsidRPr="001D66C2" w:rsidRDefault="001D66C2" w:rsidP="001D66C2">
      <w:pPr>
        <w:spacing w:after="0" w:line="240" w:lineRule="auto"/>
        <w:ind w:left="709" w:right="709"/>
        <w:contextualSpacing/>
        <w:jc w:val="both"/>
        <w:rPr>
          <w:rFonts w:ascii="Verdana" w:eastAsia="Times New Roman" w:hAnsi="Verdana" w:cs="Arial"/>
          <w:sz w:val="21"/>
          <w:szCs w:val="21"/>
          <w:lang w:val="es-MX" w:eastAsia="es-CO"/>
        </w:rPr>
      </w:pPr>
    </w:p>
    <w:p w14:paraId="63911F18" w14:textId="050B6CE9" w:rsidR="0020196E" w:rsidRDefault="001D66C2" w:rsidP="001D66C2">
      <w:pPr>
        <w:spacing w:after="0" w:line="240" w:lineRule="auto"/>
        <w:ind w:left="709" w:right="709"/>
        <w:jc w:val="both"/>
        <w:rPr>
          <w:rFonts w:ascii="Verdana" w:eastAsia="Times New Roman" w:hAnsi="Verdana" w:cs="Arial"/>
          <w:sz w:val="21"/>
          <w:szCs w:val="21"/>
          <w:lang w:val="es-MX" w:eastAsia="es-CO"/>
        </w:rPr>
      </w:pPr>
      <w:r w:rsidRPr="001D66C2">
        <w:rPr>
          <w:rFonts w:ascii="Verdana" w:eastAsia="Times New Roman" w:hAnsi="Verdana" w:cs="Arial"/>
          <w:sz w:val="21"/>
          <w:szCs w:val="21"/>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Style w:val="Refdenotaalpie"/>
          <w:rFonts w:ascii="Verdana" w:eastAsia="Times New Roman" w:hAnsi="Verdana" w:cs="Arial"/>
          <w:sz w:val="21"/>
          <w:szCs w:val="21"/>
          <w:lang w:val="es-MX" w:eastAsia="es-CO"/>
        </w:rPr>
        <w:footnoteReference w:id="6"/>
      </w:r>
      <w:r w:rsidR="006D5164">
        <w:rPr>
          <w:rFonts w:ascii="Verdana" w:eastAsia="Times New Roman" w:hAnsi="Verdana" w:cs="Arial"/>
          <w:sz w:val="21"/>
          <w:szCs w:val="21"/>
          <w:lang w:val="es-MX" w:eastAsia="es-CO"/>
        </w:rPr>
        <w:t>.</w:t>
      </w:r>
    </w:p>
    <w:p w14:paraId="4E3AF136" w14:textId="77777777" w:rsidR="00C37C11" w:rsidRDefault="00C37C11" w:rsidP="001D66C2">
      <w:pPr>
        <w:spacing w:after="0" w:line="240" w:lineRule="auto"/>
        <w:ind w:left="709" w:right="709"/>
        <w:jc w:val="both"/>
        <w:rPr>
          <w:rFonts w:ascii="Verdana" w:eastAsia="Times New Roman" w:hAnsi="Verdana" w:cs="Arial"/>
          <w:sz w:val="21"/>
          <w:szCs w:val="21"/>
          <w:lang w:val="es-MX" w:eastAsia="es-CO"/>
        </w:rPr>
      </w:pPr>
    </w:p>
    <w:p w14:paraId="4F71809F" w14:textId="77777777" w:rsidR="00C37C11" w:rsidRDefault="00C37C11" w:rsidP="00C37C11">
      <w:pPr>
        <w:spacing w:after="120" w:line="276" w:lineRule="auto"/>
        <w:ind w:firstLine="709"/>
        <w:jc w:val="both"/>
        <w:rPr>
          <w:rFonts w:ascii="Verdana" w:eastAsia="Times New Roman" w:hAnsi="Verdana" w:cs="Arial"/>
          <w:lang w:val="es-MX" w:eastAsia="es-CO"/>
        </w:rPr>
      </w:pPr>
    </w:p>
    <w:p w14:paraId="510947B3" w14:textId="00185D2C" w:rsidR="00C37C11" w:rsidRDefault="00C37C11" w:rsidP="00C37C11">
      <w:pPr>
        <w:spacing w:after="12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t xml:space="preserve">En ese </w:t>
      </w:r>
      <w:r w:rsidR="00EC3A86">
        <w:rPr>
          <w:rFonts w:ascii="Verdana" w:eastAsia="Times New Roman" w:hAnsi="Verdana" w:cs="Arial"/>
          <w:lang w:val="es-MX" w:eastAsia="es-CO"/>
        </w:rPr>
        <w:t>contexto</w:t>
      </w:r>
      <w:r>
        <w:rPr>
          <w:rFonts w:ascii="Verdana" w:eastAsia="Times New Roman" w:hAnsi="Verdana" w:cs="Arial"/>
          <w:lang w:val="es-MX" w:eastAsia="es-CO"/>
        </w:rPr>
        <w:t xml:space="preserve">, la Ley de </w:t>
      </w:r>
      <w:r w:rsidR="00EC3A86">
        <w:rPr>
          <w:rFonts w:ascii="Verdana" w:eastAsia="Times New Roman" w:hAnsi="Verdana" w:cs="Arial"/>
          <w:lang w:val="es-MX" w:eastAsia="es-CO"/>
        </w:rPr>
        <w:t>Garantías Electorales establece como marco jurídico para el desarrollo de las elecciones, procurando condiciones de igualdad y transparencia para los aspirantes. Paralelamente, se incluye</w:t>
      </w:r>
      <w:r w:rsidR="005C76AF">
        <w:rPr>
          <w:rFonts w:ascii="Verdana" w:eastAsia="Times New Roman" w:hAnsi="Verdana" w:cs="Arial"/>
          <w:lang w:val="es-MX" w:eastAsia="es-CO"/>
        </w:rPr>
        <w:t xml:space="preserve">n </w:t>
      </w:r>
      <w:r w:rsidR="00BE7498">
        <w:rPr>
          <w:rFonts w:ascii="Verdana" w:eastAsia="Times New Roman" w:hAnsi="Verdana" w:cs="Arial"/>
          <w:lang w:val="es-MX" w:eastAsia="es-CO"/>
        </w:rPr>
        <w:t>restricciones en las actuaciones de los servidores públi</w:t>
      </w:r>
      <w:r w:rsidR="001F25C0">
        <w:rPr>
          <w:rFonts w:ascii="Verdana" w:eastAsia="Times New Roman" w:hAnsi="Verdana" w:cs="Arial"/>
          <w:lang w:val="es-MX" w:eastAsia="es-CO"/>
        </w:rPr>
        <w:t>cos, evitando interferencias en la contienda electoral, así como la posible desviación de recursos públicos en aspiraciones electorales</w:t>
      </w:r>
      <w:r w:rsidR="000151CF">
        <w:rPr>
          <w:rFonts w:ascii="Verdana" w:eastAsia="Times New Roman" w:hAnsi="Verdana" w:cs="Arial"/>
          <w:lang w:val="es-MX" w:eastAsia="es-CO"/>
        </w:rPr>
        <w:t>. Por ello, varias de las disposiciones de la Ley 996 de 2005, al contener normar prohibitivas, no admiten una interpretación amplia, sino que deben interpretarse restrictivamente</w:t>
      </w:r>
      <w:r w:rsidR="003C092D">
        <w:rPr>
          <w:rFonts w:ascii="Verdana" w:eastAsia="Times New Roman" w:hAnsi="Verdana" w:cs="Arial"/>
          <w:lang w:val="es-MX" w:eastAsia="es-CO"/>
        </w:rPr>
        <w:t>. en ef</w:t>
      </w:r>
      <w:r w:rsidR="00CB5A88">
        <w:rPr>
          <w:rFonts w:ascii="Verdana" w:eastAsia="Times New Roman" w:hAnsi="Verdana" w:cs="Arial"/>
          <w:lang w:val="es-MX" w:eastAsia="es-CO"/>
        </w:rPr>
        <w:t xml:space="preserve">ecto, la Sala de Consulta y Servicio Civil del Consejo de Estado precisó: </w:t>
      </w:r>
    </w:p>
    <w:p w14:paraId="400CF00D" w14:textId="77777777" w:rsidR="00CB5A88" w:rsidRDefault="00CB5A88" w:rsidP="00C37C11">
      <w:pPr>
        <w:spacing w:after="120" w:line="276" w:lineRule="auto"/>
        <w:ind w:firstLine="709"/>
        <w:jc w:val="both"/>
        <w:rPr>
          <w:rFonts w:ascii="Verdana" w:eastAsia="Times New Roman" w:hAnsi="Verdana" w:cs="Arial"/>
          <w:lang w:val="es-MX" w:eastAsia="es-CO"/>
        </w:rPr>
      </w:pPr>
    </w:p>
    <w:p w14:paraId="6994E0C5" w14:textId="77777777" w:rsidR="00711D67" w:rsidRPr="00711D67" w:rsidRDefault="00711D67" w:rsidP="00711D67">
      <w:pPr>
        <w:spacing w:after="0" w:line="240" w:lineRule="auto"/>
        <w:ind w:left="709" w:right="709"/>
        <w:contextualSpacing/>
        <w:jc w:val="both"/>
        <w:rPr>
          <w:rFonts w:ascii="Verdana" w:eastAsia="Times New Roman" w:hAnsi="Verdana" w:cs="Arial"/>
          <w:sz w:val="21"/>
          <w:szCs w:val="21"/>
          <w:lang w:val="es-MX" w:eastAsia="es-CO"/>
        </w:rPr>
      </w:pPr>
      <w:r w:rsidRPr="00711D67">
        <w:rPr>
          <w:rFonts w:ascii="Verdana" w:eastAsia="Times New Roman" w:hAnsi="Verdana" w:cs="Arial"/>
          <w:sz w:val="21"/>
          <w:szCs w:val="21"/>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F7FC6C0" w14:textId="77777777" w:rsidR="00711D67" w:rsidRPr="00711D67" w:rsidRDefault="00711D67" w:rsidP="00711D67">
      <w:pPr>
        <w:spacing w:after="0" w:line="240" w:lineRule="auto"/>
        <w:ind w:left="709" w:right="709"/>
        <w:contextualSpacing/>
        <w:jc w:val="both"/>
        <w:rPr>
          <w:rFonts w:ascii="Verdana" w:eastAsia="Times New Roman" w:hAnsi="Verdana" w:cs="Arial"/>
          <w:sz w:val="21"/>
          <w:szCs w:val="21"/>
          <w:lang w:val="es-MX" w:eastAsia="es-CO"/>
        </w:rPr>
      </w:pPr>
    </w:p>
    <w:p w14:paraId="08961853" w14:textId="1BF3ACCA" w:rsidR="00CB5A88" w:rsidRDefault="00711D67" w:rsidP="00711D67">
      <w:pPr>
        <w:spacing w:after="0" w:line="240" w:lineRule="auto"/>
        <w:ind w:left="709" w:right="709"/>
        <w:jc w:val="both"/>
        <w:rPr>
          <w:rFonts w:ascii="Verdana" w:eastAsia="Times New Roman" w:hAnsi="Verdana" w:cs="Arial"/>
          <w:sz w:val="21"/>
          <w:szCs w:val="21"/>
          <w:lang w:val="es-MX" w:eastAsia="es-CO"/>
        </w:rPr>
      </w:pPr>
      <w:r w:rsidRPr="00711D67">
        <w:rPr>
          <w:rFonts w:ascii="Verdana" w:eastAsia="Times New Roman" w:hAnsi="Verdana" w:cs="Arial"/>
          <w:sz w:val="21"/>
          <w:szCs w:val="21"/>
          <w:lang w:val="es-MX" w:eastAsia="es-CO"/>
        </w:rPr>
        <w:t>La jurisprudencia de la Corte Constitucional</w:t>
      </w:r>
      <w:r w:rsidRPr="00711D67">
        <w:rPr>
          <w:rFonts w:ascii="Verdana" w:eastAsia="Times New Roman" w:hAnsi="Verdana" w:cs="Arial"/>
          <w:sz w:val="21"/>
          <w:szCs w:val="21"/>
          <w:vertAlign w:val="superscript"/>
          <w:lang w:val="es-MX" w:eastAsia="es-CO"/>
        </w:rPr>
        <w:footnoteReference w:id="7"/>
      </w:r>
      <w:r w:rsidRPr="00711D67">
        <w:rPr>
          <w:rFonts w:ascii="Verdana" w:eastAsia="Times New Roman" w:hAnsi="Verdana" w:cs="Arial"/>
          <w:sz w:val="21"/>
          <w:szCs w:val="21"/>
          <w:lang w:val="es-MX" w:eastAsia="es-CO"/>
        </w:rPr>
        <w:t> y del Consejo de Estado</w:t>
      </w:r>
      <w:r w:rsidRPr="00711D67">
        <w:rPr>
          <w:rFonts w:ascii="Verdana" w:eastAsia="Times New Roman" w:hAnsi="Verdana" w:cs="Arial"/>
          <w:sz w:val="21"/>
          <w:szCs w:val="21"/>
          <w:vertAlign w:val="superscript"/>
          <w:lang w:val="es-MX" w:eastAsia="es-CO"/>
        </w:rPr>
        <w:footnoteReference w:id="8"/>
      </w:r>
      <w:r w:rsidRPr="00711D67">
        <w:rPr>
          <w:rFonts w:ascii="Verdana" w:eastAsia="Times New Roman" w:hAnsi="Verdana" w:cs="Arial"/>
          <w:sz w:val="21"/>
          <w:szCs w:val="21"/>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Style w:val="Refdenotaalpie"/>
          <w:rFonts w:ascii="Verdana" w:eastAsia="Times New Roman" w:hAnsi="Verdana" w:cs="Arial"/>
          <w:sz w:val="21"/>
          <w:szCs w:val="21"/>
          <w:lang w:val="es-MX" w:eastAsia="es-CO"/>
        </w:rPr>
        <w:footnoteReference w:id="9"/>
      </w:r>
      <w:r w:rsidR="00AF265F">
        <w:rPr>
          <w:rFonts w:ascii="Verdana" w:eastAsia="Times New Roman" w:hAnsi="Verdana" w:cs="Arial"/>
          <w:sz w:val="21"/>
          <w:szCs w:val="21"/>
          <w:lang w:val="es-MX" w:eastAsia="es-CO"/>
        </w:rPr>
        <w:t>.</w:t>
      </w:r>
    </w:p>
    <w:p w14:paraId="07C82383" w14:textId="77777777" w:rsidR="00AF265F" w:rsidRDefault="00AF265F" w:rsidP="00711D67">
      <w:pPr>
        <w:spacing w:after="0" w:line="240" w:lineRule="auto"/>
        <w:ind w:left="709" w:right="709"/>
        <w:jc w:val="both"/>
        <w:rPr>
          <w:rFonts w:ascii="Verdana" w:eastAsia="Times New Roman" w:hAnsi="Verdana" w:cs="Arial"/>
          <w:sz w:val="21"/>
          <w:szCs w:val="21"/>
          <w:lang w:val="es-MX" w:eastAsia="es-CO"/>
        </w:rPr>
      </w:pPr>
    </w:p>
    <w:p w14:paraId="629D5D4F" w14:textId="77777777" w:rsidR="00DB0664" w:rsidRPr="00E2397D" w:rsidRDefault="00DB0664" w:rsidP="00DB0664">
      <w:pPr>
        <w:spacing w:after="0" w:line="276" w:lineRule="auto"/>
        <w:jc w:val="both"/>
        <w:rPr>
          <w:rFonts w:ascii="Verdana" w:eastAsia="Calibri" w:hAnsi="Verdana" w:cs="Arial"/>
          <w:bCs/>
          <w:lang w:val="es-ES_tradnl"/>
        </w:rPr>
      </w:pPr>
    </w:p>
    <w:p w14:paraId="4A117CE9" w14:textId="77777777" w:rsidR="00DB0664" w:rsidRDefault="00DB0664" w:rsidP="00DB0664">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22B1759" w14:textId="77777777" w:rsidR="002B7A05" w:rsidRDefault="002B7A05" w:rsidP="002B7A05">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25E58BA6" w14:textId="77777777" w:rsidR="002B7A05" w:rsidRDefault="002B7A05" w:rsidP="00DB0664">
      <w:pPr>
        <w:spacing w:after="120" w:line="276" w:lineRule="auto"/>
        <w:ind w:firstLine="709"/>
        <w:jc w:val="both"/>
        <w:rPr>
          <w:rFonts w:ascii="Verdana" w:eastAsia="Arial" w:hAnsi="Verdana" w:cs="Arial"/>
          <w:lang w:val="es-ES" w:eastAsia="es-ES" w:bidi="es-ES"/>
        </w:rPr>
      </w:pPr>
    </w:p>
    <w:p w14:paraId="711C2E62" w14:textId="77777777" w:rsidR="00814493" w:rsidRPr="00814493" w:rsidRDefault="00814493" w:rsidP="00814493">
      <w:pPr>
        <w:pStyle w:val="Prrafodelista"/>
        <w:numPr>
          <w:ilvl w:val="0"/>
          <w:numId w:val="17"/>
        </w:numPr>
        <w:spacing w:after="0" w:line="240" w:lineRule="auto"/>
        <w:ind w:left="709" w:right="709" w:firstLine="0"/>
        <w:contextualSpacing w:val="0"/>
        <w:jc w:val="both"/>
        <w:rPr>
          <w:rFonts w:ascii="Verdana" w:eastAsia="Arial" w:hAnsi="Verdana" w:cs="Arial"/>
          <w:i/>
          <w:sz w:val="21"/>
          <w:szCs w:val="21"/>
          <w:lang w:eastAsia="es-ES" w:bidi="es-ES"/>
        </w:rPr>
      </w:pPr>
      <w:r w:rsidRPr="00814493">
        <w:rPr>
          <w:rFonts w:ascii="Verdana" w:eastAsia="Arial" w:hAnsi="Verdana" w:cs="Arial"/>
          <w:i/>
          <w:sz w:val="21"/>
          <w:szCs w:val="21"/>
          <w:lang w:eastAsia="es-ES" w:bidi="es-ES"/>
        </w:rPr>
        <w:t xml:space="preserve">Restricciones frente a elecciones presidenciales </w:t>
      </w:r>
    </w:p>
    <w:p w14:paraId="612C6B92" w14:textId="77777777" w:rsidR="00814493" w:rsidRPr="00814493" w:rsidRDefault="00814493" w:rsidP="00814493">
      <w:pPr>
        <w:pStyle w:val="Prrafodelista"/>
        <w:spacing w:after="0" w:line="240" w:lineRule="auto"/>
        <w:ind w:left="709" w:right="709"/>
        <w:contextualSpacing w:val="0"/>
        <w:jc w:val="both"/>
        <w:rPr>
          <w:rFonts w:ascii="Verdana" w:eastAsia="Arial" w:hAnsi="Verdana" w:cs="Arial"/>
          <w:sz w:val="21"/>
          <w:szCs w:val="21"/>
          <w:lang w:eastAsia="es-ES" w:bidi="es-ES"/>
        </w:rPr>
      </w:pPr>
    </w:p>
    <w:p w14:paraId="0027B78E" w14:textId="77777777" w:rsidR="00814493" w:rsidRPr="00814493" w:rsidRDefault="00814493" w:rsidP="00814493">
      <w:pPr>
        <w:spacing w:after="0" w:line="240" w:lineRule="auto"/>
        <w:ind w:left="709" w:right="709"/>
        <w:jc w:val="both"/>
        <w:rPr>
          <w:rFonts w:ascii="Verdana" w:eastAsia="Times New Roman" w:hAnsi="Verdana" w:cs="Open Sans"/>
          <w:sz w:val="21"/>
          <w:szCs w:val="21"/>
          <w:lang w:eastAsia="es-CO"/>
        </w:rPr>
      </w:pPr>
      <w:bookmarkStart w:id="2" w:name="33"/>
      <w:r w:rsidRPr="00814493">
        <w:rPr>
          <w:rFonts w:ascii="Verdana" w:eastAsia="Times New Roman" w:hAnsi="Verdana" w:cs="Open Sans"/>
          <w:b/>
          <w:bCs/>
          <w:sz w:val="21"/>
          <w:szCs w:val="21"/>
          <w:lang w:eastAsia="es-CO"/>
        </w:rPr>
        <w:t>“ARTÍCULO 33. RESTRICCIONES A LA CONTRATACIÓN PÚBLICA.</w:t>
      </w:r>
      <w:bookmarkEnd w:id="2"/>
      <w:r w:rsidRPr="00814493">
        <w:rPr>
          <w:rFonts w:ascii="Verdana" w:eastAsia="Times New Roman" w:hAnsi="Verdana" w:cs="Open Sans"/>
          <w:sz w:val="21"/>
          <w:szCs w:val="21"/>
          <w:lang w:eastAsia="es-CO"/>
        </w:rPr>
        <w:t>  Durante los cuatro (4) meses anteriores a la elección presidencial y hasta la realización de la elección en la segunda vuelta, si fuere el caso, queda prohibida la contratación directa por parte de todos los entes del Estado.</w:t>
      </w:r>
    </w:p>
    <w:p w14:paraId="0EB96B33" w14:textId="77777777" w:rsidR="00814493" w:rsidRPr="00814493" w:rsidRDefault="00814493" w:rsidP="00814493">
      <w:pPr>
        <w:spacing w:after="0" w:line="240" w:lineRule="auto"/>
        <w:ind w:left="709" w:right="709"/>
        <w:jc w:val="both"/>
        <w:rPr>
          <w:rFonts w:ascii="Verdana" w:eastAsia="Times New Roman" w:hAnsi="Verdana" w:cs="Open Sans"/>
          <w:sz w:val="21"/>
          <w:szCs w:val="21"/>
          <w:lang w:eastAsia="es-CO"/>
        </w:rPr>
      </w:pPr>
    </w:p>
    <w:p w14:paraId="7A52483C" w14:textId="77777777" w:rsidR="00814493" w:rsidRPr="00814493" w:rsidRDefault="00814493" w:rsidP="00814493">
      <w:pPr>
        <w:spacing w:after="0" w:line="240" w:lineRule="auto"/>
        <w:ind w:left="709" w:right="709"/>
        <w:jc w:val="both"/>
        <w:rPr>
          <w:rFonts w:ascii="Verdana" w:eastAsia="Times New Roman" w:hAnsi="Verdana" w:cs="Open Sans"/>
          <w:sz w:val="21"/>
          <w:szCs w:val="21"/>
          <w:lang w:eastAsia="es-CO"/>
        </w:rPr>
      </w:pPr>
      <w:r w:rsidRPr="00814493">
        <w:rPr>
          <w:rFonts w:ascii="Verdana" w:eastAsia="Times New Roman" w:hAnsi="Verdana" w:cs="Open Sans"/>
          <w:sz w:val="21"/>
          <w:szCs w:val="21"/>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6F33696" w14:textId="77777777" w:rsidR="002B7A05" w:rsidRDefault="002B7A05" w:rsidP="00814493">
      <w:pPr>
        <w:spacing w:after="0" w:line="240" w:lineRule="auto"/>
        <w:ind w:left="709" w:right="709"/>
        <w:jc w:val="both"/>
        <w:rPr>
          <w:rFonts w:ascii="Verdana" w:eastAsia="Arial" w:hAnsi="Verdana" w:cs="Arial"/>
          <w:sz w:val="21"/>
          <w:szCs w:val="21"/>
          <w:lang w:eastAsia="es-ES" w:bidi="es-ES"/>
        </w:rPr>
      </w:pPr>
    </w:p>
    <w:p w14:paraId="7471385F" w14:textId="783A729E" w:rsidR="00795151" w:rsidRDefault="00795151" w:rsidP="00795151">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10"/>
      </w:r>
      <w:r w:rsidR="00531404">
        <w:rPr>
          <w:rFonts w:ascii="Verdana" w:eastAsia="Times New Roman" w:hAnsi="Verdana" w:cs="Open Sans"/>
          <w:lang w:eastAsia="es-CO"/>
        </w:rPr>
        <w:t>.</w:t>
      </w:r>
    </w:p>
    <w:p w14:paraId="5FD415FD" w14:textId="77777777" w:rsidR="00100BBF" w:rsidRDefault="00100BBF" w:rsidP="00100BBF">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665C81F8" w14:textId="77777777" w:rsidR="00100BBF" w:rsidRDefault="00100BBF" w:rsidP="00100BBF">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05F2F8FD" w14:textId="77777777" w:rsidR="00100BBF" w:rsidRDefault="00100BBF" w:rsidP="00100BBF">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5546B8FB" w14:textId="77777777" w:rsidR="00100BBF" w:rsidRDefault="00100BBF" w:rsidP="00100BBF">
      <w:pPr>
        <w:spacing w:after="0" w:line="276" w:lineRule="auto"/>
        <w:ind w:firstLine="709"/>
        <w:jc w:val="both"/>
        <w:rPr>
          <w:rFonts w:ascii="Verdana" w:eastAsia="Times New Roman" w:hAnsi="Verdana" w:cs="Arial"/>
          <w:lang w:val="es-ES"/>
        </w:rPr>
      </w:pPr>
      <w:r w:rsidRPr="00C40D52">
        <w:rPr>
          <w:rFonts w:ascii="Verdana" w:eastAsia="Times New Roman" w:hAnsi="Verdana" w:cs="Arial"/>
          <w:lang w:val="es-ES"/>
        </w:rPr>
        <w:t xml:space="preserve">En consecuencia, las restricciones a la contratación </w:t>
      </w:r>
      <w:r>
        <w:rPr>
          <w:rFonts w:ascii="Verdana" w:eastAsia="Times New Roman" w:hAnsi="Verdana" w:cs="Arial"/>
          <w:lang w:val="es-ES"/>
        </w:rPr>
        <w:t xml:space="preserve">directa </w:t>
      </w:r>
      <w:r w:rsidRPr="00C40D52">
        <w:rPr>
          <w:rFonts w:ascii="Verdana" w:eastAsia="Times New Roman" w:hAnsi="Verdana" w:cs="Arial"/>
          <w:lang w:val="es-ES"/>
        </w:rPr>
        <w:t>contenidas en la Ley de Garantías Electorales son aplicables a entidades descentralizadas como las sociedades de economía mixta</w:t>
      </w:r>
      <w:r>
        <w:rPr>
          <w:rFonts w:ascii="Verdana" w:eastAsia="Times New Roman" w:hAnsi="Verdana" w:cs="Arial"/>
          <w:lang w:val="es-ES"/>
        </w:rPr>
        <w:t>, a las que hace referencia en su consulta</w:t>
      </w:r>
      <w:r w:rsidRPr="00C40D52">
        <w:rPr>
          <w:rFonts w:ascii="Verdana" w:eastAsia="Times New Roman" w:hAnsi="Verdana" w:cs="Arial"/>
          <w:lang w:val="es-ES"/>
        </w:rPr>
        <w:t>.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048B312D" w14:textId="77777777" w:rsidR="00531404" w:rsidRDefault="00531404" w:rsidP="00795151">
      <w:pPr>
        <w:spacing w:after="120" w:line="276" w:lineRule="auto"/>
        <w:ind w:firstLine="709"/>
        <w:jc w:val="both"/>
        <w:rPr>
          <w:rFonts w:ascii="Verdana" w:eastAsia="Arial" w:hAnsi="Verdana" w:cs="Arial"/>
          <w:sz w:val="21"/>
          <w:szCs w:val="21"/>
          <w:lang w:val="es-ES" w:eastAsia="es-ES" w:bidi="es-ES"/>
        </w:rPr>
      </w:pPr>
    </w:p>
    <w:p w14:paraId="62293091" w14:textId="77777777" w:rsidR="006252EB" w:rsidRPr="006252EB" w:rsidRDefault="006252EB" w:rsidP="006252EB">
      <w:pPr>
        <w:pStyle w:val="Prrafodelista"/>
        <w:numPr>
          <w:ilvl w:val="0"/>
          <w:numId w:val="17"/>
        </w:numPr>
        <w:spacing w:after="0" w:line="240" w:lineRule="auto"/>
        <w:ind w:left="709" w:right="709" w:firstLine="0"/>
        <w:contextualSpacing w:val="0"/>
        <w:jc w:val="both"/>
        <w:rPr>
          <w:rFonts w:ascii="Verdana" w:eastAsia="Times New Roman" w:hAnsi="Verdana" w:cs="Open Sans"/>
          <w:i/>
          <w:sz w:val="21"/>
          <w:szCs w:val="21"/>
          <w:lang w:eastAsia="es-CO"/>
        </w:rPr>
      </w:pPr>
      <w:r w:rsidRPr="006252EB">
        <w:rPr>
          <w:rFonts w:ascii="Verdana" w:eastAsia="Times New Roman" w:hAnsi="Verdana" w:cs="Open Sans"/>
          <w:i/>
          <w:sz w:val="21"/>
          <w:szCs w:val="21"/>
          <w:lang w:eastAsia="es-CO"/>
        </w:rPr>
        <w:t xml:space="preserve">Restricciones frente a las demás elecciones </w:t>
      </w:r>
    </w:p>
    <w:p w14:paraId="61391E5D" w14:textId="77777777" w:rsidR="006252EB" w:rsidRDefault="006252EB" w:rsidP="006252EB">
      <w:pPr>
        <w:spacing w:after="0" w:line="276" w:lineRule="auto"/>
        <w:jc w:val="both"/>
        <w:rPr>
          <w:rFonts w:ascii="Verdana" w:eastAsia="Times New Roman" w:hAnsi="Verdana" w:cs="Open Sans"/>
          <w:lang w:eastAsia="es-CO"/>
        </w:rPr>
      </w:pPr>
    </w:p>
    <w:p w14:paraId="674EC101" w14:textId="77777777" w:rsidR="006252EB" w:rsidRPr="00D61E29" w:rsidRDefault="006252EB" w:rsidP="006252EB">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534F40CB" w14:textId="77777777" w:rsidR="006252EB" w:rsidRDefault="006252EB" w:rsidP="006252EB">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22758823" w14:textId="77777777" w:rsidR="006252EB" w:rsidRPr="000B5122" w:rsidRDefault="006252EB" w:rsidP="006252EB">
      <w:pPr>
        <w:pStyle w:val="NormalWeb"/>
        <w:spacing w:before="0" w:beforeAutospacing="0" w:after="0" w:afterAutospacing="0"/>
        <w:ind w:left="709" w:right="709"/>
        <w:jc w:val="both"/>
        <w:rPr>
          <w:rFonts w:ascii="Verdana" w:hAnsi="Verdana" w:cs="Open Sans"/>
          <w:sz w:val="21"/>
          <w:szCs w:val="21"/>
        </w:rPr>
      </w:pPr>
      <w:r w:rsidRPr="000B5122">
        <w:rPr>
          <w:rStyle w:val="baj"/>
          <w:rFonts w:ascii="Verdana" w:hAnsi="Verdana" w:cs="Open Sans"/>
          <w:b/>
          <w:bCs/>
          <w:sz w:val="21"/>
          <w:szCs w:val="21"/>
        </w:rPr>
        <w:t>“PARÁGRAFO.</w:t>
      </w:r>
      <w:r w:rsidRPr="000B5122">
        <w:rPr>
          <w:rFonts w:ascii="Verdana" w:hAnsi="Verdana" w:cs="Open Sans"/>
          <w:sz w:val="21"/>
          <w:szCs w:val="21"/>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11F458C5" w14:textId="77777777" w:rsidR="006252EB" w:rsidRPr="000B5122" w:rsidRDefault="006252EB" w:rsidP="006252EB">
      <w:pPr>
        <w:pStyle w:val="NormalWeb"/>
        <w:spacing w:before="0" w:beforeAutospacing="0" w:after="0" w:afterAutospacing="0"/>
        <w:ind w:left="709" w:right="709"/>
        <w:jc w:val="both"/>
        <w:rPr>
          <w:rFonts w:ascii="Verdana" w:hAnsi="Verdana" w:cs="Open Sans"/>
          <w:sz w:val="21"/>
          <w:szCs w:val="21"/>
        </w:rPr>
      </w:pPr>
    </w:p>
    <w:p w14:paraId="65FE3DEE" w14:textId="77777777" w:rsidR="006252EB" w:rsidRPr="000B5122" w:rsidRDefault="006252EB" w:rsidP="006252EB">
      <w:pPr>
        <w:pStyle w:val="NormalWeb"/>
        <w:spacing w:before="0" w:beforeAutospacing="0" w:after="0" w:afterAutospacing="0"/>
        <w:ind w:left="709" w:right="709"/>
        <w:jc w:val="both"/>
        <w:rPr>
          <w:rFonts w:ascii="Verdana" w:hAnsi="Verdana" w:cs="Open Sans"/>
          <w:sz w:val="21"/>
          <w:szCs w:val="21"/>
        </w:rPr>
      </w:pPr>
      <w:r w:rsidRPr="000B5122">
        <w:rPr>
          <w:rFonts w:ascii="Verdana" w:hAnsi="Verdana" w:cs="Open Sans"/>
          <w:sz w:val="21"/>
          <w:szCs w:val="21"/>
        </w:rPr>
        <w:t xml:space="preserve">Tampoco podrán inaugurar obras públicas o </w:t>
      </w:r>
      <w:proofErr w:type="gramStart"/>
      <w:r w:rsidRPr="000B5122">
        <w:rPr>
          <w:rFonts w:ascii="Verdana" w:hAnsi="Verdana" w:cs="Open Sans"/>
          <w:sz w:val="21"/>
          <w:szCs w:val="21"/>
        </w:rPr>
        <w:t>dar inicio a</w:t>
      </w:r>
      <w:proofErr w:type="gramEnd"/>
      <w:r w:rsidRPr="000B5122">
        <w:rPr>
          <w:rFonts w:ascii="Verdana" w:hAnsi="Verdana" w:cs="Open Sans"/>
          <w:sz w:val="21"/>
          <w:szCs w:val="21"/>
        </w:rPr>
        <w:t xml:space="preserve">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659AAE6C" w14:textId="77777777" w:rsidR="006252EB" w:rsidRDefault="006252EB" w:rsidP="006252EB">
      <w:pPr>
        <w:pStyle w:val="NormalWeb"/>
        <w:spacing w:before="0" w:beforeAutospacing="0" w:after="0" w:afterAutospacing="0"/>
        <w:ind w:left="709" w:right="709"/>
        <w:jc w:val="both"/>
        <w:rPr>
          <w:rFonts w:ascii="Verdana" w:hAnsi="Verdana" w:cs="Open Sans"/>
          <w:sz w:val="20"/>
          <w:szCs w:val="20"/>
        </w:rPr>
      </w:pPr>
    </w:p>
    <w:p w14:paraId="7A2252B4" w14:textId="77777777" w:rsidR="006252EB" w:rsidRPr="000B5122" w:rsidRDefault="006252EB" w:rsidP="006252EB">
      <w:pPr>
        <w:pStyle w:val="NormalWeb"/>
        <w:spacing w:before="0" w:beforeAutospacing="0" w:after="0" w:afterAutospacing="0"/>
        <w:ind w:left="709" w:right="709"/>
        <w:jc w:val="both"/>
        <w:rPr>
          <w:rFonts w:ascii="Verdana" w:hAnsi="Verdana" w:cs="Open Sans"/>
          <w:sz w:val="21"/>
          <w:szCs w:val="21"/>
        </w:rPr>
      </w:pPr>
      <w:r w:rsidRPr="000B5122">
        <w:rPr>
          <w:rFonts w:ascii="Verdana" w:hAnsi="Verdana" w:cs="Open Sans"/>
          <w:sz w:val="21"/>
          <w:szCs w:val="21"/>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11CBABB2" w14:textId="77777777" w:rsidR="006252EB" w:rsidRPr="000B5122" w:rsidRDefault="006252EB" w:rsidP="006252EB">
      <w:pPr>
        <w:pStyle w:val="NormalWeb"/>
        <w:spacing w:before="0" w:beforeAutospacing="0" w:after="0" w:afterAutospacing="0"/>
        <w:ind w:left="709" w:right="709"/>
        <w:jc w:val="both"/>
        <w:rPr>
          <w:rFonts w:ascii="Verdana" w:hAnsi="Verdana" w:cs="Open Sans"/>
          <w:sz w:val="21"/>
          <w:szCs w:val="21"/>
        </w:rPr>
      </w:pPr>
    </w:p>
    <w:p w14:paraId="4D867925" w14:textId="77777777" w:rsidR="006252EB" w:rsidRPr="000B5122" w:rsidRDefault="006252EB" w:rsidP="006252EB">
      <w:pPr>
        <w:pStyle w:val="NormalWeb"/>
        <w:spacing w:before="0" w:beforeAutospacing="0" w:after="0" w:afterAutospacing="0"/>
        <w:ind w:left="709" w:right="709"/>
        <w:jc w:val="both"/>
        <w:rPr>
          <w:rFonts w:ascii="Verdana" w:hAnsi="Verdana" w:cs="Open Sans"/>
          <w:sz w:val="21"/>
          <w:szCs w:val="21"/>
        </w:rPr>
      </w:pPr>
      <w:r w:rsidRPr="000B5122">
        <w:rPr>
          <w:rFonts w:ascii="Verdana" w:hAnsi="Verdana" w:cs="Open Sans"/>
          <w:sz w:val="21"/>
          <w:szCs w:val="21"/>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68D8D9D2" w14:textId="77777777" w:rsidR="006252EB" w:rsidRPr="006252EB" w:rsidRDefault="006252EB" w:rsidP="00795151">
      <w:pPr>
        <w:spacing w:after="120" w:line="276" w:lineRule="auto"/>
        <w:ind w:firstLine="709"/>
        <w:jc w:val="both"/>
        <w:rPr>
          <w:rFonts w:ascii="Verdana" w:eastAsia="Arial" w:hAnsi="Verdana" w:cs="Arial"/>
          <w:sz w:val="21"/>
          <w:szCs w:val="21"/>
          <w:lang w:eastAsia="es-ES" w:bidi="es-ES"/>
        </w:rPr>
      </w:pPr>
    </w:p>
    <w:p w14:paraId="7F6DB20A" w14:textId="77777777" w:rsidR="009F0A3A" w:rsidRPr="00775AB1" w:rsidRDefault="009F0A3A" w:rsidP="009F0A3A">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3"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3"/>
    </w:p>
    <w:p w14:paraId="2E5420D8" w14:textId="77777777" w:rsidR="009F0A3A" w:rsidRPr="00D61E29" w:rsidRDefault="009F0A3A" w:rsidP="009F0A3A">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6C7CD801" w14:textId="77777777" w:rsidR="009F0A3A" w:rsidRPr="00D61E29" w:rsidRDefault="009F0A3A" w:rsidP="009F0A3A">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B27D3B7" w14:textId="27402F16" w:rsidR="00AF265F" w:rsidRDefault="009F0A3A" w:rsidP="009F0A3A">
      <w:pPr>
        <w:spacing w:after="0" w:line="240" w:lineRule="auto"/>
        <w:ind w:left="709" w:right="709"/>
        <w:jc w:val="both"/>
        <w:rPr>
          <w:rFonts w:ascii="Verdana" w:eastAsia="Arial" w:hAnsi="Verdana" w:cs="Arial"/>
          <w:sz w:val="21"/>
          <w:szCs w:val="21"/>
          <w:lang w:eastAsia="es-ES" w:bidi="es-ES"/>
        </w:rPr>
      </w:pPr>
      <w:r w:rsidRPr="009F0A3A">
        <w:rPr>
          <w:rFonts w:ascii="Verdana" w:eastAsia="Arial" w:hAnsi="Verdana" w:cs="Arial"/>
          <w:sz w:val="21"/>
          <w:szCs w:val="21"/>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Pr>
          <w:rStyle w:val="Refdenotaalpie"/>
          <w:rFonts w:ascii="Verdana" w:eastAsia="Arial" w:hAnsi="Verdana" w:cs="Arial"/>
          <w:sz w:val="21"/>
          <w:szCs w:val="21"/>
          <w:lang w:eastAsia="es-ES" w:bidi="es-ES"/>
        </w:rPr>
        <w:footnoteReference w:id="11"/>
      </w:r>
      <w:r w:rsidRPr="009F0A3A">
        <w:rPr>
          <w:rFonts w:ascii="Verdana" w:eastAsia="Arial" w:hAnsi="Verdana" w:cs="Arial"/>
          <w:sz w:val="21"/>
          <w:szCs w:val="21"/>
          <w:lang w:eastAsia="es-ES" w:bidi="es-ES"/>
        </w:rPr>
        <w:t>.</w:t>
      </w:r>
    </w:p>
    <w:p w14:paraId="2C908DB7" w14:textId="77777777" w:rsidR="00462419" w:rsidRDefault="00462419" w:rsidP="009F0A3A">
      <w:pPr>
        <w:spacing w:after="0" w:line="240" w:lineRule="auto"/>
        <w:ind w:left="709" w:right="709"/>
        <w:jc w:val="both"/>
        <w:rPr>
          <w:rFonts w:ascii="Verdana" w:eastAsia="Arial" w:hAnsi="Verdana" w:cs="Arial"/>
          <w:sz w:val="21"/>
          <w:szCs w:val="21"/>
          <w:lang w:eastAsia="es-ES" w:bidi="es-ES"/>
        </w:rPr>
      </w:pPr>
    </w:p>
    <w:p w14:paraId="41E09809" w14:textId="77777777" w:rsidR="00EA73F5" w:rsidRPr="00947721" w:rsidRDefault="00EA73F5" w:rsidP="00EA73F5">
      <w:pPr>
        <w:autoSpaceDE w:val="0"/>
        <w:autoSpaceDN w:val="0"/>
        <w:adjustRightInd w:val="0"/>
        <w:spacing w:after="120" w:line="276" w:lineRule="auto"/>
        <w:ind w:firstLine="709"/>
        <w:jc w:val="both"/>
        <w:rPr>
          <w:rFonts w:ascii="Verdana" w:hAnsi="Verdana" w:cs="BCDHEE+Verdana"/>
          <w:color w:val="000000"/>
        </w:rPr>
      </w:pPr>
      <w:r w:rsidRPr="00947721">
        <w:rPr>
          <w:rFonts w:ascii="Verdana" w:hAnsi="Verdana" w:cs="BCDHEE+Verdana"/>
          <w:color w:val="000000"/>
        </w:rPr>
        <w:t xml:space="preserve">Finalmente, sobre las fechas en que aplica la Ley de </w:t>
      </w:r>
      <w:r>
        <w:rPr>
          <w:rFonts w:ascii="Verdana" w:hAnsi="Verdana" w:cs="BCDHEE+Verdana"/>
          <w:color w:val="000000"/>
        </w:rPr>
        <w:t>G</w:t>
      </w:r>
      <w:r w:rsidRPr="00F44D6F">
        <w:rPr>
          <w:rFonts w:ascii="Verdana" w:hAnsi="Verdana" w:cs="BCDHEE+Verdana"/>
          <w:color w:val="000000"/>
        </w:rPr>
        <w:t>arantías</w:t>
      </w:r>
      <w:r>
        <w:rPr>
          <w:rFonts w:ascii="Verdana" w:hAnsi="Verdana" w:cs="BCDHEE+Verdana"/>
          <w:color w:val="000000"/>
        </w:rPr>
        <w:t xml:space="preserve"> Electorales</w:t>
      </w:r>
      <w:r w:rsidRPr="00947721">
        <w:rPr>
          <w:rFonts w:ascii="Verdana" w:hAnsi="Verdana" w:cs="BCDHEE+Verdana"/>
          <w:color w:val="000000"/>
        </w:rPr>
        <w:t>,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60356FE7" w14:textId="77777777" w:rsidR="00EA73F5" w:rsidRPr="005D7599" w:rsidRDefault="00EA73F5" w:rsidP="00EA73F5">
      <w:pPr>
        <w:spacing w:after="120" w:line="276" w:lineRule="auto"/>
        <w:ind w:firstLine="709"/>
        <w:jc w:val="both"/>
        <w:rPr>
          <w:rFonts w:ascii="Verdana" w:eastAsia="Times New Roman" w:hAnsi="Verdana" w:cs="Arial"/>
          <w:bCs/>
          <w:lang w:val="es-ES" w:eastAsia="es-CO"/>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122AC1">
        <w:rPr>
          <w:rFonts w:ascii="Verdana" w:hAnsi="Verdana" w:cs="BCDHEE+Verdana"/>
          <w:color w:val="000000"/>
        </w:rPr>
        <w:t>.</w:t>
      </w:r>
    </w:p>
    <w:p w14:paraId="5757CADC" w14:textId="3CE66569" w:rsidR="00EA73F5" w:rsidRPr="00DE19C3" w:rsidRDefault="00EA73F5" w:rsidP="00DE19C3">
      <w:pPr>
        <w:widowControl w:val="0"/>
        <w:autoSpaceDE w:val="0"/>
        <w:autoSpaceDN w:val="0"/>
        <w:spacing w:after="120" w:line="276" w:lineRule="auto"/>
        <w:ind w:firstLine="709"/>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E0E4033" w14:textId="77777777" w:rsidR="00EA73F5" w:rsidRPr="004F7B86" w:rsidRDefault="00EA73F5" w:rsidP="00EA73F5">
      <w:pPr>
        <w:spacing w:after="120" w:line="276" w:lineRule="auto"/>
        <w:ind w:firstLine="709"/>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3C1BC0B" w14:textId="77777777" w:rsidR="00EA73F5" w:rsidRDefault="00EA73F5" w:rsidP="00EA73F5">
      <w:pPr>
        <w:spacing w:after="120"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0FD2E8F9" w14:textId="77777777" w:rsidR="00DE19C3" w:rsidRDefault="00DE19C3" w:rsidP="00DE19C3">
      <w:pPr>
        <w:spacing w:after="0" w:line="276" w:lineRule="auto"/>
        <w:ind w:firstLine="709"/>
        <w:jc w:val="both"/>
        <w:rPr>
          <w:rFonts w:ascii="Verdana" w:eastAsia="Calibri" w:hAnsi="Verdana" w:cs="Times New Roman"/>
          <w:lang w:val="es-ES"/>
        </w:rPr>
      </w:pPr>
    </w:p>
    <w:p w14:paraId="4A3DC21D" w14:textId="12E269E6" w:rsidR="00CB0B41" w:rsidRPr="00CB0B41" w:rsidRDefault="00DE19C3" w:rsidP="00CB0B41">
      <w:pPr>
        <w:spacing w:after="120" w:line="276" w:lineRule="auto"/>
        <w:jc w:val="both"/>
        <w:rPr>
          <w:rFonts w:ascii="Verdana" w:eastAsia="Century Gothic" w:hAnsi="Verdana" w:cs="Century Gothic"/>
          <w:b/>
          <w:bCs/>
          <w:lang w:val="es-ES"/>
        </w:rPr>
      </w:pPr>
      <w:r w:rsidRPr="00DE19C3">
        <w:rPr>
          <w:rFonts w:ascii="Verdana" w:eastAsia="Century Gothic" w:hAnsi="Verdana" w:cs="Century Gothic"/>
          <w:b/>
          <w:bCs/>
          <w:lang w:val="es-ES"/>
        </w:rPr>
        <w:t xml:space="preserve"> 4. Referencias </w:t>
      </w:r>
      <w:r>
        <w:rPr>
          <w:rFonts w:ascii="Verdana" w:eastAsia="Century Gothic" w:hAnsi="Verdana" w:cs="Century Gothic"/>
          <w:b/>
          <w:bCs/>
          <w:lang w:val="es-ES"/>
        </w:rPr>
        <w:t xml:space="preserve">normativas, jurisprudenciales y otras fuentes: </w:t>
      </w:r>
    </w:p>
    <w:tbl>
      <w:tblPr>
        <w:tblStyle w:val="Tablaconcuadrcula"/>
        <w:tblW w:w="8222"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222"/>
      </w:tblGrid>
      <w:tr w:rsidR="00CB0B41" w:rsidRPr="00593A5F" w14:paraId="78458A9F" w14:textId="77777777" w:rsidTr="00C70E87">
        <w:trPr>
          <w:trHeight w:val="867"/>
        </w:trPr>
        <w:tc>
          <w:tcPr>
            <w:tcW w:w="8222" w:type="dxa"/>
          </w:tcPr>
          <w:p w14:paraId="3E4CA329" w14:textId="77777777" w:rsidR="00CB0B41" w:rsidRPr="001D2E34" w:rsidRDefault="00CB0B41" w:rsidP="00CB0B41">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Ley 489 de 1998: artículo 97.</w:t>
            </w:r>
          </w:p>
          <w:p w14:paraId="1D1C2075" w14:textId="77777777" w:rsidR="00CB0B41" w:rsidRPr="00B3605D" w:rsidRDefault="00CB0B41" w:rsidP="00CB0B41">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5B15E3B2" w14:textId="77777777" w:rsidR="00CB0B41" w:rsidRPr="00274DBA" w:rsidRDefault="00CB0B41" w:rsidP="00CB0B41">
            <w:pPr>
              <w:widowControl w:val="0"/>
              <w:numPr>
                <w:ilvl w:val="0"/>
                <w:numId w:val="18"/>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71CD1088" w14:textId="77777777" w:rsidR="00CB0B41" w:rsidRDefault="00CB0B41" w:rsidP="00CB0B41">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Namén Vargas.  </w:t>
            </w:r>
          </w:p>
          <w:p w14:paraId="63002EAF" w14:textId="77777777" w:rsidR="00CB0B41" w:rsidRPr="000B3E8C" w:rsidRDefault="00CB0B41" w:rsidP="00CB0B41">
            <w:pPr>
              <w:pStyle w:val="Prrafodelista"/>
              <w:widowControl w:val="0"/>
              <w:numPr>
                <w:ilvl w:val="0"/>
                <w:numId w:val="18"/>
              </w:numPr>
              <w:autoSpaceDE w:val="0"/>
              <w:autoSpaceDN w:val="0"/>
              <w:spacing w:line="276" w:lineRule="auto"/>
              <w:contextualSpacing w:val="0"/>
              <w:jc w:val="both"/>
              <w:rPr>
                <w:rFonts w:ascii="Verdana" w:eastAsia="Calibri" w:hAnsi="Verdana" w:cs="Arial"/>
                <w:color w:val="000000" w:themeColor="text1"/>
              </w:rPr>
            </w:pPr>
            <w:r w:rsidRPr="0060146E">
              <w:rPr>
                <w:rFonts w:ascii="Verdana" w:hAnsi="Verdana"/>
              </w:rPr>
              <w:t>Consejo de Estado. Sala de Consulta y Servicio Civil. Concepto del 12 de junio de 2018. Exp. 2371. C.P. Oscar Darío Amaya Navas</w:t>
            </w:r>
            <w:r>
              <w:rPr>
                <w:rFonts w:ascii="Verdana" w:eastAsia="Calibri" w:hAnsi="Verdana" w:cs="Arial"/>
              </w:rPr>
              <w:t>.</w:t>
            </w:r>
          </w:p>
          <w:p w14:paraId="190BE464" w14:textId="77777777" w:rsidR="00CB0B41" w:rsidRPr="00332677" w:rsidRDefault="00CB0B41" w:rsidP="00F012E2">
            <w:pPr>
              <w:pStyle w:val="Prrafodelista"/>
              <w:widowControl w:val="0"/>
              <w:autoSpaceDE w:val="0"/>
              <w:autoSpaceDN w:val="0"/>
              <w:jc w:val="both"/>
              <w:rPr>
                <w:rFonts w:ascii="Verdana" w:hAnsi="Verdana" w:cs="Arial"/>
              </w:rPr>
            </w:pPr>
          </w:p>
        </w:tc>
      </w:tr>
    </w:tbl>
    <w:p w14:paraId="1ABDA0C6" w14:textId="77777777" w:rsidR="00DE19C3" w:rsidRPr="00DE19C3" w:rsidRDefault="00DE19C3" w:rsidP="00DE19C3">
      <w:pPr>
        <w:spacing w:after="120" w:line="276" w:lineRule="auto"/>
        <w:jc w:val="both"/>
        <w:rPr>
          <w:rFonts w:ascii="Verdana" w:eastAsia="Century Gothic" w:hAnsi="Verdana" w:cs="Century Gothic"/>
          <w:b/>
          <w:bCs/>
        </w:rPr>
      </w:pPr>
    </w:p>
    <w:p w14:paraId="725650A6" w14:textId="0B11E17F" w:rsidR="00F10021" w:rsidRPr="00EB780E" w:rsidRDefault="00CB0B41" w:rsidP="00CA7908">
      <w:pPr>
        <w:spacing w:after="0" w:line="276" w:lineRule="auto"/>
        <w:jc w:val="both"/>
        <w:rPr>
          <w:rFonts w:ascii="Verdana" w:eastAsia="Century Gothic" w:hAnsi="Verdana" w:cs="Century Gothic"/>
          <w:b/>
          <w:bCs/>
        </w:rPr>
      </w:pPr>
      <w:r w:rsidRPr="00EB780E">
        <w:rPr>
          <w:rFonts w:ascii="Verdana" w:eastAsia="Century Gothic" w:hAnsi="Verdana" w:cs="Century Gothic"/>
          <w:b/>
          <w:bCs/>
        </w:rPr>
        <w:t xml:space="preserve">5. Doctrina de la Agencia Nacional de Contratación Pública: </w:t>
      </w:r>
    </w:p>
    <w:p w14:paraId="6F93C532" w14:textId="77777777" w:rsidR="00CB0B41" w:rsidRDefault="00CB0B41" w:rsidP="00CA7908">
      <w:pPr>
        <w:spacing w:after="0" w:line="276" w:lineRule="auto"/>
        <w:jc w:val="both"/>
        <w:rPr>
          <w:rFonts w:ascii="Verdana" w:eastAsia="Century Gothic" w:hAnsi="Verdana" w:cs="Century Gothic"/>
        </w:rPr>
      </w:pPr>
    </w:p>
    <w:p w14:paraId="30ADAA99" w14:textId="77777777" w:rsidR="0032241A" w:rsidRPr="002A22D8" w:rsidRDefault="0032241A" w:rsidP="0032241A">
      <w:pPr>
        <w:widowControl w:val="0"/>
        <w:autoSpaceDE w:val="0"/>
        <w:autoSpaceDN w:val="0"/>
        <w:spacing w:after="0" w:line="276" w:lineRule="auto"/>
        <w:jc w:val="both"/>
        <w:rPr>
          <w:rFonts w:ascii="Verdana" w:hAnsi="Verdana" w:cs="Arial"/>
          <w:bCs/>
          <w:shd w:val="clear" w:color="auto" w:fill="FFFFFF"/>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Pr>
          <w:rFonts w:ascii="Verdana" w:eastAsia="Calibri" w:hAnsi="Verdana" w:cs="Arial"/>
          <w:lang w:val="es-ES_tradnl" w:eastAsia="es-ES_tradnl"/>
        </w:rPr>
        <w:t xml:space="preserve"> y C-1560 del 04 de diciembre de 2025,</w:t>
      </w:r>
      <w:r w:rsidRPr="00B60BC4">
        <w:rPr>
          <w:rFonts w:ascii="Verdana" w:eastAsia="Calibri" w:hAnsi="Verdana" w:cs="Arial"/>
          <w:lang w:val="es-ES_tradnl" w:eastAsia="es-ES_tradnl"/>
        </w:rPr>
        <w:t xml:space="preserve"> 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17681EE" w14:textId="77777777" w:rsidR="0032241A" w:rsidRPr="0065720B" w:rsidRDefault="0032241A" w:rsidP="0032241A">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0A6352D8" w14:textId="77777777" w:rsidR="0032241A" w:rsidRPr="00505CD6" w:rsidRDefault="0032241A" w:rsidP="0032241A">
      <w:pPr>
        <w:widowControl w:val="0"/>
        <w:autoSpaceDE w:val="0"/>
        <w:autoSpaceDN w:val="0"/>
        <w:spacing w:after="0" w:line="276" w:lineRule="auto"/>
        <w:jc w:val="both"/>
        <w:rPr>
          <w:rFonts w:ascii="Verdana" w:hAnsi="Verdana" w:cs="Arial"/>
          <w:color w:val="000000" w:themeColor="text1"/>
          <w:shd w:val="clear" w:color="auto" w:fill="FFFFFF"/>
        </w:rPr>
      </w:pPr>
    </w:p>
    <w:p w14:paraId="7ED9B1CC" w14:textId="77777777" w:rsidR="002775FB" w:rsidRPr="009A385A" w:rsidRDefault="002775FB" w:rsidP="002775FB">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0086D3A1" w14:textId="77777777" w:rsidR="002775FB" w:rsidRDefault="002775FB" w:rsidP="002775FB">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4F7165FC" w14:textId="77777777" w:rsidR="002775FB" w:rsidRPr="00C25CDD" w:rsidRDefault="002775FB" w:rsidP="002775FB">
      <w:pPr>
        <w:spacing w:after="0" w:line="276" w:lineRule="auto"/>
        <w:jc w:val="both"/>
        <w:rPr>
          <w:rFonts w:ascii="Verdana" w:hAnsi="Verdana"/>
        </w:rPr>
      </w:pPr>
    </w:p>
    <w:p w14:paraId="4C624B9D" w14:textId="77777777" w:rsidR="002775FB" w:rsidRDefault="002775FB" w:rsidP="002775FB">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1FBADE2" w14:textId="77777777" w:rsidR="002775FB" w:rsidRPr="00605E0D" w:rsidRDefault="002775FB" w:rsidP="002775FB">
      <w:pPr>
        <w:spacing w:after="0" w:line="276" w:lineRule="auto"/>
        <w:jc w:val="both"/>
        <w:rPr>
          <w:rFonts w:ascii="Verdana" w:hAnsi="Verdana"/>
        </w:rPr>
      </w:pPr>
      <w:r w:rsidRPr="00284526">
        <w:rPr>
          <w:rFonts w:ascii="Verdana" w:hAnsi="Verdana" w:cs="Arial"/>
          <w:shd w:val="clear" w:color="auto" w:fill="FFFFFF"/>
        </w:rPr>
        <w:t xml:space="preserve">Por último, lo invitamos a seguirnos en las redes sociales en las cuales se difunde información institucional: </w:t>
      </w:r>
    </w:p>
    <w:p w14:paraId="5F4AADDC" w14:textId="77777777" w:rsidR="002775FB" w:rsidRPr="00284526" w:rsidRDefault="002775FB" w:rsidP="002775FB">
      <w:pPr>
        <w:spacing w:after="0" w:line="276" w:lineRule="auto"/>
        <w:jc w:val="both"/>
        <w:rPr>
          <w:rFonts w:ascii="Verdana" w:hAnsi="Verdana" w:cs="Arial"/>
          <w:shd w:val="clear" w:color="auto" w:fill="FFFFFF"/>
        </w:rPr>
      </w:pPr>
    </w:p>
    <w:p w14:paraId="4EFCCD61" w14:textId="77777777" w:rsidR="002775FB" w:rsidRPr="00284526" w:rsidRDefault="002775FB" w:rsidP="002775FB">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535FD0C3" w14:textId="77777777" w:rsidR="002775FB" w:rsidRPr="00284526" w:rsidRDefault="002775FB" w:rsidP="002775FB">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proofErr w:type="spellStart"/>
      <w:r w:rsidRPr="00284526">
        <w:rPr>
          <w:rStyle w:val="Hipervnculo"/>
          <w:rFonts w:ascii="Verdana" w:hAnsi="Verdana"/>
          <w:lang w:val="es-ES"/>
        </w:rPr>
        <w:t>ColombiaCompraEficiente</w:t>
      </w:r>
      <w:proofErr w:type="spellEnd"/>
    </w:p>
    <w:p w14:paraId="1DD8B078" w14:textId="77777777" w:rsidR="002775FB" w:rsidRPr="00284526" w:rsidRDefault="002775FB" w:rsidP="002775FB">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1CF6A717" w14:textId="77777777" w:rsidR="002775FB" w:rsidRPr="00284526" w:rsidRDefault="002775FB" w:rsidP="002775FB">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3D74D960" w14:textId="77777777" w:rsidR="002775FB" w:rsidRPr="00284526" w:rsidRDefault="002775FB" w:rsidP="002775FB">
      <w:pPr>
        <w:widowControl w:val="0"/>
        <w:autoSpaceDE w:val="0"/>
        <w:autoSpaceDN w:val="0"/>
        <w:spacing w:after="0" w:line="276" w:lineRule="auto"/>
        <w:jc w:val="both"/>
        <w:rPr>
          <w:rFonts w:ascii="Verdana" w:hAnsi="Verdana" w:cs="Arial"/>
          <w:lang w:val="es-ES"/>
        </w:rPr>
      </w:pPr>
    </w:p>
    <w:p w14:paraId="46C3FE4F" w14:textId="77777777" w:rsidR="002775FB" w:rsidRPr="00284526" w:rsidRDefault="002775FB" w:rsidP="002775FB">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7FFECA5" w14:textId="77777777" w:rsidR="002775FB" w:rsidRPr="00116940" w:rsidRDefault="002775FB" w:rsidP="002775FB">
      <w:pPr>
        <w:spacing w:after="0" w:line="276" w:lineRule="auto"/>
        <w:jc w:val="both"/>
        <w:rPr>
          <w:rFonts w:ascii="Verdana" w:eastAsia="Verdana" w:hAnsi="Verdana" w:cs="Verdana"/>
        </w:rPr>
      </w:pPr>
    </w:p>
    <w:p w14:paraId="60266EE0" w14:textId="77777777" w:rsidR="002775FB" w:rsidRPr="00116940" w:rsidRDefault="002775FB" w:rsidP="002775FB">
      <w:pPr>
        <w:spacing w:after="0" w:line="276" w:lineRule="auto"/>
        <w:rPr>
          <w:rFonts w:ascii="Verdana" w:eastAsia="Verdana" w:hAnsi="Verdana" w:cs="Verdana"/>
        </w:rPr>
      </w:pPr>
      <w:r w:rsidRPr="30821638">
        <w:rPr>
          <w:rFonts w:ascii="Verdana" w:eastAsia="Verdana" w:hAnsi="Verdana" w:cs="Verdana"/>
        </w:rPr>
        <w:t>Evalúa el servicio que ofrece la Agencia por el canal de atención de PQRSD en el siguiente enlace</w:t>
      </w:r>
      <w:r w:rsidRPr="00C25CDD">
        <w:rPr>
          <w:rFonts w:ascii="Verdana" w:eastAsia="Verdana" w:hAnsi="Verdana" w:cs="Verdana"/>
        </w:rPr>
        <w:t>:</w:t>
      </w:r>
      <w:r>
        <w:rPr>
          <w:rFonts w:ascii="Verdana" w:eastAsia="Verdana" w:hAnsi="Verdana" w:cs="Verdana"/>
        </w:rPr>
        <w:t xml:space="preserve"> </w:t>
      </w:r>
      <w:hyperlink r:id="rId17" w:history="1">
        <w:r w:rsidRPr="00C25CDD">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3D7867A9" w14:textId="77777777" w:rsidR="002775FB" w:rsidRPr="00116940" w:rsidRDefault="002775FB" w:rsidP="002775FB">
      <w:pPr>
        <w:spacing w:after="0" w:line="276" w:lineRule="auto"/>
        <w:rPr>
          <w:rFonts w:ascii="Verdana" w:eastAsia="Verdana" w:hAnsi="Verdana" w:cs="Verdana"/>
        </w:rPr>
      </w:pPr>
    </w:p>
    <w:p w14:paraId="4F2D8188" w14:textId="25206BB7" w:rsidR="002775FB" w:rsidRDefault="000348FE" w:rsidP="002775FB">
      <w:pPr>
        <w:spacing w:after="0" w:line="276" w:lineRule="auto"/>
        <w:jc w:val="both"/>
        <w:rPr>
          <w:rFonts w:ascii="Verdana" w:eastAsia="Verdana" w:hAnsi="Verdana" w:cs="Verdana"/>
          <w:lang w:val="es-MX"/>
        </w:rPr>
      </w:pPr>
      <w:r w:rsidRPr="005E2DFA">
        <w:rPr>
          <w:rFonts w:ascii="Verdana" w:hAnsi="Verdana" w:cs="Arial"/>
          <w:noProof/>
          <w:color w:val="000000"/>
          <w:lang w:val="es-MX" w:eastAsia="es-CO"/>
        </w:rPr>
        <w:drawing>
          <wp:anchor distT="0" distB="0" distL="114300" distR="114300" simplePos="0" relativeHeight="251661312" behindDoc="1" locked="0" layoutInCell="1" allowOverlap="1" wp14:anchorId="7097D2C0" wp14:editId="5C4AC3BB">
            <wp:simplePos x="0" y="0"/>
            <wp:positionH relativeFrom="column">
              <wp:posOffset>1474930</wp:posOffset>
            </wp:positionH>
            <wp:positionV relativeFrom="paragraph">
              <wp:posOffset>124460</wp:posOffset>
            </wp:positionV>
            <wp:extent cx="2677795" cy="1043940"/>
            <wp:effectExtent l="0" t="0" r="8255" b="3810"/>
            <wp:wrapTight wrapText="bothSides">
              <wp:wrapPolygon edited="0">
                <wp:start x="0" y="0"/>
                <wp:lineTo x="0" y="21285"/>
                <wp:lineTo x="21513" y="21285"/>
                <wp:lineTo x="21513" y="0"/>
                <wp:lineTo x="0" y="0"/>
              </wp:wrapPolygon>
            </wp:wrapTight>
            <wp:docPr id="521880493"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880493" name="Imagen 2"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77795" cy="1043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75FB" w:rsidRPr="30821638">
        <w:rPr>
          <w:rFonts w:ascii="Verdana" w:eastAsia="Verdana" w:hAnsi="Verdana" w:cs="Verdana"/>
          <w:lang w:val="es-MX"/>
        </w:rPr>
        <w:t>Cordialmente,</w:t>
      </w:r>
      <w:r w:rsidR="002775FB">
        <w:rPr>
          <w:rFonts w:ascii="Verdana" w:eastAsia="Verdana" w:hAnsi="Verdana" w:cs="Verdana"/>
          <w:lang w:val="es-MX"/>
        </w:rPr>
        <w:t xml:space="preserve"> </w:t>
      </w:r>
    </w:p>
    <w:p w14:paraId="276D20DD" w14:textId="577E58C5" w:rsidR="00CB0B41" w:rsidRDefault="00CB0B41" w:rsidP="00CA7908">
      <w:pPr>
        <w:spacing w:after="0" w:line="276" w:lineRule="auto"/>
        <w:jc w:val="both"/>
        <w:rPr>
          <w:rFonts w:ascii="Verdana" w:eastAsia="Century Gothic" w:hAnsi="Verdana" w:cs="Century Gothic"/>
        </w:rPr>
      </w:pPr>
    </w:p>
    <w:p w14:paraId="5EA3DB17" w14:textId="31F14366" w:rsidR="003901C9" w:rsidRDefault="003901C9" w:rsidP="00CA7908">
      <w:pPr>
        <w:spacing w:after="0" w:line="276" w:lineRule="auto"/>
        <w:jc w:val="both"/>
        <w:rPr>
          <w:rFonts w:ascii="Verdana" w:eastAsia="Century Gothic" w:hAnsi="Verdana" w:cs="Century Gothic"/>
        </w:rPr>
      </w:pPr>
    </w:p>
    <w:p w14:paraId="0952CB2F" w14:textId="77777777" w:rsidR="003901C9" w:rsidRDefault="003901C9" w:rsidP="00CA7908">
      <w:pPr>
        <w:spacing w:after="0" w:line="276" w:lineRule="auto"/>
        <w:jc w:val="both"/>
        <w:rPr>
          <w:rFonts w:ascii="Verdana" w:eastAsia="Century Gothic" w:hAnsi="Verdana" w:cs="Century Gothic"/>
        </w:rPr>
      </w:pPr>
    </w:p>
    <w:p w14:paraId="446E3266" w14:textId="77777777" w:rsidR="003901C9" w:rsidRDefault="003901C9" w:rsidP="00CA7908">
      <w:pPr>
        <w:spacing w:after="0" w:line="276" w:lineRule="auto"/>
        <w:jc w:val="both"/>
        <w:rPr>
          <w:rFonts w:ascii="Verdana" w:eastAsia="Century Gothic" w:hAnsi="Verdana" w:cs="Century Gothic"/>
        </w:rPr>
      </w:pPr>
    </w:p>
    <w:p w14:paraId="030B5414" w14:textId="77777777" w:rsidR="003901C9" w:rsidRDefault="003901C9" w:rsidP="00CA7908">
      <w:pPr>
        <w:spacing w:after="0" w:line="276" w:lineRule="auto"/>
        <w:jc w:val="both"/>
        <w:rPr>
          <w:rFonts w:ascii="Verdana" w:eastAsia="Century Gothic" w:hAnsi="Verdana" w:cs="Century Gothic"/>
        </w:rPr>
      </w:pPr>
    </w:p>
    <w:p w14:paraId="7846F718" w14:textId="77777777" w:rsidR="00AB677D" w:rsidRDefault="00AB677D" w:rsidP="00AB677D">
      <w:pPr>
        <w:spacing w:after="120" w:line="276" w:lineRule="auto"/>
        <w:contextualSpacing/>
        <w:jc w:val="both"/>
        <w:rPr>
          <w:rFonts w:ascii="Verdana" w:eastAsia="Aptos" w:hAnsi="Verdana" w:cs="Arial"/>
          <w:shd w:val="clear" w:color="auto" w:fill="FFFFFF"/>
          <w:lang w:val="es-ES"/>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AB677D" w:rsidRPr="004C0111" w14:paraId="752E2382" w14:textId="77777777" w:rsidTr="00F012E2">
        <w:trPr>
          <w:trHeight w:val="622"/>
        </w:trPr>
        <w:tc>
          <w:tcPr>
            <w:tcW w:w="893" w:type="dxa"/>
            <w:vAlign w:val="center"/>
            <w:hideMark/>
          </w:tcPr>
          <w:p w14:paraId="55824C6D" w14:textId="77777777" w:rsidR="00AB677D" w:rsidRPr="004C0111" w:rsidRDefault="00AB677D" w:rsidP="00F012E2">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AB677D" w:rsidRPr="004C0111" w14:paraId="334454D4" w14:textId="77777777" w:rsidTr="00F012E2">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02BAE36B" w14:textId="77777777" w:rsidR="00AB677D" w:rsidRPr="004C0111" w:rsidRDefault="00AB677D" w:rsidP="00F012E2">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56B32FF9" w14:textId="77777777" w:rsidR="00AB677D" w:rsidRPr="004C0111" w:rsidRDefault="00AB677D" w:rsidP="00F012E2">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5F770CAD" w14:textId="77777777" w:rsidR="00AB677D" w:rsidRPr="004C0111" w:rsidRDefault="00AB677D" w:rsidP="00F012E2">
            <w:pPr>
              <w:rPr>
                <w:rFonts w:ascii="Verdana" w:eastAsia="Calibri" w:hAnsi="Verdana" w:cs="Arial"/>
                <w:sz w:val="16"/>
                <w:szCs w:val="16"/>
                <w:lang w:val="es-MX"/>
              </w:rPr>
            </w:pPr>
          </w:p>
        </w:tc>
      </w:tr>
      <w:tr w:rsidR="00AB677D" w:rsidRPr="004C0111" w14:paraId="40231B56" w14:textId="77777777" w:rsidTr="00F012E2">
        <w:trPr>
          <w:trHeight w:val="330"/>
        </w:trPr>
        <w:tc>
          <w:tcPr>
            <w:tcW w:w="893" w:type="dxa"/>
            <w:vAlign w:val="center"/>
            <w:hideMark/>
          </w:tcPr>
          <w:p w14:paraId="06152A31" w14:textId="77777777" w:rsidR="00AB677D" w:rsidRPr="004C0111" w:rsidRDefault="00AB677D" w:rsidP="00F012E2">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750045EE" w14:textId="082D25A7" w:rsidR="00AB677D" w:rsidRPr="004C0111" w:rsidRDefault="00AB677D" w:rsidP="00F012E2">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Martha Romero Vargas</w:t>
            </w:r>
          </w:p>
          <w:p w14:paraId="2687BB24" w14:textId="7E477B26" w:rsidR="00AB677D" w:rsidRPr="004C0111" w:rsidRDefault="00AB677D" w:rsidP="00F012E2">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Gestor T1-Grado 15 </w:t>
            </w:r>
            <w:r w:rsidRPr="004C0111">
              <w:rPr>
                <w:rFonts w:ascii="Verdana" w:eastAsia="Times New Roman" w:hAnsi="Verdana" w:cs="Arial"/>
                <w:sz w:val="16"/>
                <w:szCs w:val="16"/>
                <w:lang w:eastAsia="es-CO"/>
              </w:rPr>
              <w:t>de la Subdirección de Gestión Contractual</w:t>
            </w:r>
          </w:p>
        </w:tc>
      </w:tr>
      <w:tr w:rsidR="00AB677D" w:rsidRPr="004C0111" w14:paraId="7395B50A" w14:textId="77777777" w:rsidTr="00F012E2">
        <w:trPr>
          <w:trHeight w:val="77"/>
        </w:trPr>
        <w:tc>
          <w:tcPr>
            <w:tcW w:w="893" w:type="dxa"/>
            <w:vAlign w:val="center"/>
          </w:tcPr>
          <w:p w14:paraId="1DDC821E" w14:textId="77777777" w:rsidR="00AB677D" w:rsidRPr="004C0111" w:rsidRDefault="00AB677D" w:rsidP="00F012E2">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2F788481" w14:textId="77777777" w:rsidR="00AB677D" w:rsidRPr="002F2853" w:rsidRDefault="00AB677D" w:rsidP="00F012E2">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3D8006E8" w14:textId="77777777" w:rsidR="00AB677D" w:rsidRPr="004C0111" w:rsidRDefault="00AB677D" w:rsidP="00F012E2">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7682EC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6DEE99E4" w14:textId="7F595226" w:rsidR="2C4D2425" w:rsidRDefault="2C4D2425" w:rsidP="2C4D2425">
      <w:pPr>
        <w:spacing w:after="0" w:line="240" w:lineRule="auto"/>
        <w:rPr>
          <w:rFonts w:ascii="Verdana" w:eastAsia="Verdana" w:hAnsi="Verdana" w:cs="Verdana"/>
          <w:lang w:eastAsia="es-CO"/>
        </w:rPr>
      </w:pPr>
    </w:p>
    <w:bookmarkEnd w:id="0"/>
    <w:p w14:paraId="57A1B8D4" w14:textId="7CF63106" w:rsidR="2C4D2425" w:rsidRDefault="2C4D2425" w:rsidP="2C4D2425">
      <w:pPr>
        <w:spacing w:after="0" w:line="240" w:lineRule="auto"/>
        <w:rPr>
          <w:rFonts w:ascii="Verdana" w:eastAsia="Verdana" w:hAnsi="Verdana" w:cs="Verdana"/>
          <w:lang w:eastAsia="es-CO"/>
        </w:rPr>
      </w:pPr>
    </w:p>
    <w:sectPr w:rsidR="2C4D2425"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E113C4" w14:textId="77777777" w:rsidR="008152F9" w:rsidRDefault="008152F9" w:rsidP="004A1847">
      <w:pPr>
        <w:spacing w:after="0" w:line="240" w:lineRule="auto"/>
      </w:pPr>
      <w:r>
        <w:separator/>
      </w:r>
    </w:p>
  </w:endnote>
  <w:endnote w:type="continuationSeparator" w:id="0">
    <w:p w14:paraId="7417E3EF" w14:textId="77777777" w:rsidR="008152F9" w:rsidRDefault="008152F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Open Sans">
    <w:charset w:val="00"/>
    <w:family w:val="swiss"/>
    <w:pitch w:val="variable"/>
    <w:sig w:usb0="E00002EF" w:usb1="4000205B" w:usb2="00000028" w:usb3="00000000" w:csb0="0000019F" w:csb1="00000000"/>
  </w:font>
  <w:font w:name="BCDHEE+Verdana">
    <w:altName w:val="Verdana"/>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276385" w14:textId="77777777" w:rsidR="008152F9" w:rsidRDefault="008152F9" w:rsidP="004A1847">
      <w:pPr>
        <w:spacing w:after="0" w:line="240" w:lineRule="auto"/>
      </w:pPr>
      <w:r>
        <w:separator/>
      </w:r>
    </w:p>
  </w:footnote>
  <w:footnote w:type="continuationSeparator" w:id="0">
    <w:p w14:paraId="0D41A11A" w14:textId="77777777" w:rsidR="008152F9" w:rsidRDefault="008152F9" w:rsidP="004A1847">
      <w:pPr>
        <w:spacing w:after="0" w:line="240" w:lineRule="auto"/>
      </w:pPr>
      <w:r>
        <w:continuationSeparator/>
      </w:r>
    </w:p>
  </w:footnote>
  <w:footnote w:id="1">
    <w:p w14:paraId="5AE30B29" w14:textId="10904C14" w:rsidR="00B85FD3" w:rsidRDefault="00B85FD3" w:rsidP="00C82472">
      <w:pPr>
        <w:pStyle w:val="Textonotapie"/>
        <w:jc w:val="both"/>
        <w:rPr>
          <w:rFonts w:ascii="Verdana" w:hAnsi="Verdana" w:cs="Arial"/>
          <w:color w:val="000000" w:themeColor="text1"/>
          <w:sz w:val="16"/>
          <w:szCs w:val="16"/>
        </w:rPr>
      </w:pPr>
      <w:r w:rsidRPr="00C82472">
        <w:rPr>
          <w:rStyle w:val="Refdenotaalpie"/>
          <w:rFonts w:ascii="Verdana" w:hAnsi="Verdana"/>
          <w:sz w:val="16"/>
          <w:szCs w:val="16"/>
        </w:rPr>
        <w:footnoteRef/>
      </w:r>
      <w:r w:rsidRPr="00C82472">
        <w:rPr>
          <w:rFonts w:ascii="Verdana" w:hAnsi="Verdana"/>
          <w:sz w:val="16"/>
          <w:szCs w:val="16"/>
        </w:rPr>
        <w:t xml:space="preserve"> </w:t>
      </w:r>
      <w:r w:rsidR="00C82472" w:rsidRPr="00C82472">
        <w:rPr>
          <w:rFonts w:ascii="Verdana" w:hAnsi="Verdana" w:cs="Arial"/>
          <w:color w:val="000000" w:themeColor="text1"/>
          <w:sz w:val="16"/>
          <w:szCs w:val="16"/>
          <w:lang w:val="es-ES"/>
        </w:rPr>
        <w:t>Ley 489 de 1998, artículo 38, numeral 2, literal f, y artículo 68, numeral 2: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r w:rsidR="00C82472" w:rsidRPr="00C82472">
        <w:rPr>
          <w:rFonts w:ascii="Verdana" w:hAnsi="Verdana" w:cs="Arial"/>
          <w:color w:val="000000" w:themeColor="text1"/>
          <w:sz w:val="16"/>
          <w:szCs w:val="16"/>
        </w:rPr>
        <w:t>  </w:t>
      </w:r>
    </w:p>
    <w:p w14:paraId="3EA1377B" w14:textId="77777777" w:rsidR="00871994" w:rsidRPr="00C82472" w:rsidRDefault="00871994" w:rsidP="00C82472">
      <w:pPr>
        <w:pStyle w:val="Textonotapie"/>
        <w:jc w:val="both"/>
        <w:rPr>
          <w:rFonts w:ascii="Verdana" w:hAnsi="Verdana"/>
          <w:sz w:val="16"/>
          <w:szCs w:val="16"/>
          <w:lang w:val="es-CO"/>
        </w:rPr>
      </w:pPr>
    </w:p>
  </w:footnote>
  <w:footnote w:id="2">
    <w:p w14:paraId="08924494" w14:textId="77777777" w:rsidR="003D4A0F" w:rsidRPr="003D4A0F" w:rsidRDefault="00871994" w:rsidP="003D4A0F">
      <w:pPr>
        <w:spacing w:after="0" w:line="240" w:lineRule="auto"/>
        <w:ind w:firstLine="709"/>
        <w:jc w:val="both"/>
        <w:rPr>
          <w:rFonts w:ascii="Verdana" w:hAnsi="Verdana"/>
          <w:sz w:val="16"/>
          <w:szCs w:val="16"/>
          <w:lang w:val="es-ES"/>
        </w:rPr>
      </w:pPr>
      <w:r w:rsidRPr="003D4A0F">
        <w:rPr>
          <w:rStyle w:val="Refdenotaalpie"/>
          <w:rFonts w:ascii="Verdana" w:hAnsi="Verdana"/>
          <w:sz w:val="16"/>
          <w:szCs w:val="16"/>
        </w:rPr>
        <w:footnoteRef/>
      </w:r>
      <w:r w:rsidRPr="003D4A0F">
        <w:rPr>
          <w:rFonts w:ascii="Verdana" w:hAnsi="Verdana"/>
          <w:sz w:val="16"/>
          <w:szCs w:val="16"/>
        </w:rPr>
        <w:t xml:space="preserve"> </w:t>
      </w:r>
      <w:r w:rsidR="003D4A0F" w:rsidRPr="003D4A0F">
        <w:rPr>
          <w:rFonts w:ascii="Verdana" w:eastAsia="Times New Roman" w:hAnsi="Verdana" w:cs="Arial"/>
          <w:color w:val="000000" w:themeColor="text1"/>
          <w:sz w:val="16"/>
          <w:szCs w:val="16"/>
          <w:lang w:val="es-ES" w:eastAsia="es-MX"/>
        </w:rPr>
        <w:t>Así lo establece la Constitución Política, en el artículo 150, numeral 7, así como en el artículo 300, numeral 7 y en el artículo 313, numeral 6.</w:t>
      </w:r>
    </w:p>
    <w:p w14:paraId="2319F46D" w14:textId="6E5D8CD9" w:rsidR="00871994" w:rsidRPr="003D4A0F" w:rsidRDefault="00871994" w:rsidP="003D4A0F">
      <w:pPr>
        <w:pStyle w:val="Textonotapie"/>
        <w:jc w:val="both"/>
        <w:rPr>
          <w:rFonts w:ascii="Verdana" w:hAnsi="Verdana"/>
          <w:sz w:val="16"/>
          <w:szCs w:val="16"/>
          <w:lang w:val="es-ES"/>
        </w:rPr>
      </w:pPr>
    </w:p>
  </w:footnote>
  <w:footnote w:id="3">
    <w:p w14:paraId="13BF10FF" w14:textId="2BB06B3C" w:rsidR="00C25CDB" w:rsidRDefault="00C25CDB" w:rsidP="002E75C8">
      <w:pPr>
        <w:pStyle w:val="Textonotapie"/>
        <w:jc w:val="both"/>
        <w:rPr>
          <w:rFonts w:ascii="Verdana" w:hAnsi="Verdana" w:cs="Arial"/>
          <w:sz w:val="16"/>
          <w:szCs w:val="16"/>
        </w:rPr>
      </w:pPr>
      <w:r w:rsidRPr="002E75C8">
        <w:rPr>
          <w:rStyle w:val="Refdenotaalpie"/>
          <w:rFonts w:ascii="Verdana" w:hAnsi="Verdana"/>
          <w:sz w:val="16"/>
          <w:szCs w:val="16"/>
        </w:rPr>
        <w:footnoteRef/>
      </w:r>
      <w:r w:rsidRPr="002E75C8">
        <w:rPr>
          <w:rFonts w:ascii="Verdana" w:hAnsi="Verdana"/>
          <w:sz w:val="16"/>
          <w:szCs w:val="16"/>
        </w:rPr>
        <w:t xml:space="preserve"> </w:t>
      </w:r>
      <w:r w:rsidR="002E75C8" w:rsidRPr="002E75C8">
        <w:rPr>
          <w:rFonts w:ascii="Verdana" w:hAnsi="Verdana" w:cs="Arial"/>
          <w:sz w:val="16"/>
          <w:szCs w:val="16"/>
        </w:rPr>
        <w:t xml:space="preserve">Las sociedades de economía mixta son una clara manifestación organizacional de la función administrativa. Al respecto, la doctrina colombiana ha considerado que </w:t>
      </w:r>
      <w:r w:rsidR="002E75C8">
        <w:rPr>
          <w:rFonts w:ascii="Verdana" w:hAnsi="Verdana" w:cs="Arial"/>
          <w:sz w:val="16"/>
          <w:szCs w:val="16"/>
        </w:rPr>
        <w:t>“</w:t>
      </w:r>
      <w:r w:rsidR="002E75C8" w:rsidRPr="002E75C8">
        <w:rPr>
          <w:rFonts w:ascii="Verdana" w:hAnsi="Verdana" w:cs="Arial"/>
          <w:sz w:val="16"/>
          <w:szCs w:val="16"/>
        </w:rPr>
        <w:t>la organización debe ocupar un lugar central en el estudio del derecho administrativo, sobre todo si se tiene en cuenta que lo estructural es consustancial a la actividad administrativa. De hecho, podemos afirmar que se trata de una verdadera dialéctica en la que se presenta una relación de medio a fin, ya que su objeto es precisamente el diseño y puesta en funcionamiento de las maneras o formas de gestión de potestades, atribuciones y competencias administrativas</w:t>
      </w:r>
      <w:r w:rsidR="002E75C8">
        <w:rPr>
          <w:rFonts w:ascii="Verdana" w:hAnsi="Verdana" w:cs="Arial"/>
          <w:sz w:val="16"/>
          <w:szCs w:val="16"/>
        </w:rPr>
        <w:t>”</w:t>
      </w:r>
      <w:r w:rsidR="002E75C8" w:rsidRPr="002E75C8">
        <w:rPr>
          <w:rFonts w:ascii="Verdana" w:hAnsi="Verdana" w:cs="Arial"/>
          <w:sz w:val="16"/>
          <w:szCs w:val="16"/>
        </w:rPr>
        <w:t xml:space="preserve"> (RINCÓN CÓRDOBA, Jorge Iván. Teoría de la organización administrativa en Colombia, Bogotá: Universidad Externado de Colombia, 2019, pp. 31-32).</w:t>
      </w:r>
    </w:p>
    <w:p w14:paraId="60BD037B" w14:textId="77777777" w:rsidR="002E75C8" w:rsidRPr="002E75C8" w:rsidRDefault="002E75C8" w:rsidP="002E75C8">
      <w:pPr>
        <w:pStyle w:val="Textonotapie"/>
        <w:jc w:val="both"/>
        <w:rPr>
          <w:rFonts w:ascii="Verdana" w:hAnsi="Verdana"/>
          <w:sz w:val="16"/>
          <w:szCs w:val="16"/>
          <w:lang w:val="es-CO"/>
        </w:rPr>
      </w:pPr>
    </w:p>
  </w:footnote>
  <w:footnote w:id="4">
    <w:p w14:paraId="52D10420" w14:textId="4E1EDD77" w:rsidR="00C00491" w:rsidRPr="00C00491" w:rsidRDefault="002E75C8" w:rsidP="00732E50">
      <w:pPr>
        <w:pStyle w:val="Textonotapie"/>
        <w:jc w:val="both"/>
        <w:rPr>
          <w:rFonts w:ascii="Verdana" w:hAnsi="Verdana" w:cs="Arial"/>
          <w:sz w:val="16"/>
          <w:szCs w:val="16"/>
        </w:rPr>
      </w:pPr>
      <w:r w:rsidRPr="00732E50">
        <w:rPr>
          <w:rStyle w:val="Refdenotaalpie"/>
          <w:rFonts w:ascii="Verdana" w:hAnsi="Verdana"/>
          <w:sz w:val="16"/>
          <w:szCs w:val="16"/>
        </w:rPr>
        <w:footnoteRef/>
      </w:r>
      <w:r w:rsidRPr="00732E50">
        <w:rPr>
          <w:rFonts w:ascii="Verdana" w:hAnsi="Verdana"/>
          <w:sz w:val="16"/>
          <w:szCs w:val="16"/>
        </w:rPr>
        <w:t xml:space="preserve"> </w:t>
      </w:r>
      <w:r w:rsidR="00732E50" w:rsidRPr="00732E50">
        <w:rPr>
          <w:rFonts w:ascii="Verdana" w:hAnsi="Verdana" w:cs="Arial"/>
          <w:sz w:val="16"/>
          <w:szCs w:val="16"/>
        </w:rPr>
        <w:t>“Una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w:t>
      </w:r>
      <w:r w:rsidR="00C00491">
        <w:rPr>
          <w:rFonts w:ascii="Verdana" w:hAnsi="Verdana" w:cs="Arial"/>
          <w:sz w:val="16"/>
          <w:szCs w:val="16"/>
        </w:rPr>
        <w:t xml:space="preserve"> </w:t>
      </w:r>
      <w:r w:rsidR="00C00491" w:rsidRPr="00C00491">
        <w:rPr>
          <w:rFonts w:ascii="Verdana" w:hAnsi="Verdana" w:cs="Arial"/>
          <w:sz w:val="16"/>
          <w:szCs w:val="16"/>
        </w:rPr>
        <w:t>(MONTAÑA PLATA, Alberto. Fundamentos de derecho administrativo. Bogotá: Universidad Externado de Colombia, 2010, p. 124).</w:t>
      </w:r>
    </w:p>
  </w:footnote>
  <w:footnote w:id="5">
    <w:p w14:paraId="3A434405" w14:textId="77777777" w:rsidR="00212853" w:rsidRPr="00212853" w:rsidRDefault="00A51E68" w:rsidP="00212853">
      <w:pPr>
        <w:pStyle w:val="Textonotapie"/>
        <w:contextualSpacing/>
        <w:jc w:val="both"/>
        <w:rPr>
          <w:rFonts w:ascii="Verdana" w:hAnsi="Verdana" w:cs="Arial"/>
          <w:sz w:val="16"/>
          <w:szCs w:val="16"/>
        </w:rPr>
      </w:pPr>
      <w:r w:rsidRPr="00212853">
        <w:rPr>
          <w:rStyle w:val="Refdenotaalpie"/>
          <w:rFonts w:ascii="Verdana" w:hAnsi="Verdana"/>
          <w:sz w:val="16"/>
          <w:szCs w:val="16"/>
        </w:rPr>
        <w:footnoteRef/>
      </w:r>
      <w:r w:rsidRPr="00212853">
        <w:rPr>
          <w:rFonts w:ascii="Verdana" w:hAnsi="Verdana"/>
          <w:sz w:val="16"/>
          <w:szCs w:val="16"/>
        </w:rPr>
        <w:t xml:space="preserve"> </w:t>
      </w:r>
      <w:r w:rsidR="00212853" w:rsidRPr="00212853">
        <w:rPr>
          <w:rFonts w:ascii="Verdana" w:hAnsi="Verdana" w:cs="Arial"/>
          <w:sz w:val="16"/>
          <w:szCs w:val="16"/>
        </w:rPr>
        <w:t>Gaceta del Congreso de la República No. 71 del 2005.</w:t>
      </w:r>
    </w:p>
    <w:p w14:paraId="49D31888" w14:textId="4195378D" w:rsidR="00A51E68" w:rsidRPr="00212853" w:rsidRDefault="00A51E68">
      <w:pPr>
        <w:pStyle w:val="Textonotapie"/>
      </w:pPr>
    </w:p>
  </w:footnote>
  <w:footnote w:id="6">
    <w:p w14:paraId="7C4552DB" w14:textId="103CF286" w:rsidR="001D66C2" w:rsidRPr="006D5164" w:rsidRDefault="001D66C2">
      <w:pPr>
        <w:pStyle w:val="Textonotapie"/>
        <w:rPr>
          <w:rFonts w:ascii="Verdana" w:hAnsi="Verdana"/>
          <w:sz w:val="16"/>
          <w:szCs w:val="16"/>
          <w:lang w:val="es-CO"/>
        </w:rPr>
      </w:pPr>
      <w:r w:rsidRPr="006D5164">
        <w:rPr>
          <w:rStyle w:val="Refdenotaalpie"/>
          <w:rFonts w:ascii="Verdana" w:hAnsi="Verdana"/>
          <w:sz w:val="16"/>
          <w:szCs w:val="16"/>
        </w:rPr>
        <w:footnoteRef/>
      </w:r>
      <w:r w:rsidRPr="006D5164">
        <w:rPr>
          <w:rFonts w:ascii="Verdana" w:hAnsi="Verdana"/>
          <w:sz w:val="16"/>
          <w:szCs w:val="16"/>
        </w:rPr>
        <w:t xml:space="preserve"> </w:t>
      </w:r>
      <w:r w:rsidR="006D5164" w:rsidRPr="006D5164">
        <w:rPr>
          <w:rFonts w:ascii="Verdana" w:hAnsi="Verdana" w:cs="Arial"/>
          <w:sz w:val="16"/>
          <w:szCs w:val="16"/>
          <w:lang w:val="pt-BR"/>
        </w:rPr>
        <w:t>Corte Constitucional, Sentencia C- 1153 de 2005, M.P. Marco Gerardo Monroy Cabra.</w:t>
      </w:r>
    </w:p>
  </w:footnote>
  <w:footnote w:id="7">
    <w:p w14:paraId="5EFE26D0" w14:textId="77777777" w:rsidR="00711D67" w:rsidRPr="00C05384" w:rsidRDefault="00711D67" w:rsidP="00AF265F">
      <w:pPr>
        <w:pStyle w:val="Textonotapie"/>
        <w:ind w:firstLine="708"/>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8">
    <w:p w14:paraId="5723EC80" w14:textId="77777777" w:rsidR="00711D67" w:rsidRDefault="00711D67" w:rsidP="00711D67">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22ECE197" w14:textId="77777777" w:rsidR="00711D67" w:rsidRPr="00C05384" w:rsidRDefault="00711D67" w:rsidP="00711D67">
      <w:pPr>
        <w:pStyle w:val="Textonotapie"/>
        <w:ind w:firstLine="709"/>
        <w:contextualSpacing/>
        <w:jc w:val="both"/>
        <w:rPr>
          <w:rFonts w:ascii="Verdana" w:hAnsi="Verdana" w:cs="Arial"/>
          <w:sz w:val="16"/>
          <w:szCs w:val="16"/>
          <w:lang w:val="es-CO"/>
        </w:rPr>
      </w:pPr>
    </w:p>
  </w:footnote>
  <w:footnote w:id="9">
    <w:p w14:paraId="4141B53D" w14:textId="77777777" w:rsidR="00AF265F" w:rsidRPr="00AF265F" w:rsidRDefault="00711D67" w:rsidP="00AF265F">
      <w:pPr>
        <w:pStyle w:val="Textonotapie"/>
        <w:ind w:firstLine="708"/>
        <w:contextualSpacing/>
        <w:jc w:val="both"/>
        <w:rPr>
          <w:rFonts w:ascii="Verdana" w:hAnsi="Verdana" w:cs="Arial"/>
          <w:sz w:val="16"/>
          <w:szCs w:val="16"/>
        </w:rPr>
      </w:pPr>
      <w:r w:rsidRPr="00AF265F">
        <w:rPr>
          <w:rStyle w:val="Refdenotaalpie"/>
          <w:rFonts w:ascii="Verdana" w:hAnsi="Verdana"/>
          <w:sz w:val="16"/>
          <w:szCs w:val="16"/>
        </w:rPr>
        <w:footnoteRef/>
      </w:r>
      <w:r w:rsidRPr="00AF265F">
        <w:rPr>
          <w:rFonts w:ascii="Verdana" w:hAnsi="Verdana"/>
          <w:sz w:val="16"/>
          <w:szCs w:val="16"/>
        </w:rPr>
        <w:t xml:space="preserve"> </w:t>
      </w:r>
      <w:r w:rsidR="00AF265F" w:rsidRPr="00AF265F">
        <w:rPr>
          <w:rFonts w:ascii="Verdana" w:hAnsi="Verdana" w:cs="Arial"/>
          <w:sz w:val="16"/>
          <w:szCs w:val="16"/>
        </w:rPr>
        <w:t xml:space="preserve">Consejo de Estado, Sala de Consulta y Servicio Civil de fecha 24 de julio de 2013, Rad. 2166, C. P. Álvaro Namén Vargas.  </w:t>
      </w:r>
    </w:p>
    <w:p w14:paraId="11540A1F" w14:textId="10D2CF69" w:rsidR="00711D67" w:rsidRPr="00AF265F" w:rsidRDefault="00711D67">
      <w:pPr>
        <w:pStyle w:val="Textonotapie"/>
      </w:pPr>
    </w:p>
  </w:footnote>
  <w:footnote w:id="10">
    <w:p w14:paraId="0AD7D141" w14:textId="77777777" w:rsidR="00531404" w:rsidRPr="00531404" w:rsidRDefault="00795151" w:rsidP="00531404">
      <w:pPr>
        <w:pStyle w:val="Textonotapie"/>
        <w:ind w:firstLine="709"/>
        <w:contextualSpacing/>
        <w:jc w:val="both"/>
        <w:rPr>
          <w:rFonts w:ascii="Verdana" w:hAnsi="Verdana"/>
          <w:sz w:val="16"/>
          <w:szCs w:val="16"/>
          <w:lang w:val="es-ES"/>
        </w:rPr>
      </w:pPr>
      <w:r w:rsidRPr="00531404">
        <w:rPr>
          <w:rStyle w:val="Refdenotaalpie"/>
          <w:rFonts w:ascii="Verdana" w:hAnsi="Verdana"/>
          <w:sz w:val="16"/>
          <w:szCs w:val="16"/>
        </w:rPr>
        <w:footnoteRef/>
      </w:r>
      <w:r w:rsidRPr="00531404">
        <w:rPr>
          <w:rFonts w:ascii="Verdana" w:hAnsi="Verdana"/>
          <w:sz w:val="16"/>
          <w:szCs w:val="16"/>
        </w:rPr>
        <w:t xml:space="preserve"> </w:t>
      </w:r>
      <w:r w:rsidR="00531404" w:rsidRPr="00531404">
        <w:rPr>
          <w:rFonts w:ascii="Verdana" w:hAnsi="Verdana"/>
          <w:sz w:val="16"/>
          <w:szCs w:val="16"/>
        </w:rPr>
        <w:t>Consejo de Estado. Sala de Consulta y Servicio Civil. Concepto del 08 de mayo de 2018. Exp. 2.382. C.P. Álvaro Namén Vargas.</w:t>
      </w:r>
    </w:p>
    <w:p w14:paraId="79C8C9A8" w14:textId="14836FAE" w:rsidR="00795151" w:rsidRPr="00795151" w:rsidRDefault="00795151">
      <w:pPr>
        <w:pStyle w:val="Textonotapie"/>
        <w:rPr>
          <w:lang w:val="es-CO"/>
        </w:rPr>
      </w:pPr>
    </w:p>
  </w:footnote>
  <w:footnote w:id="11">
    <w:p w14:paraId="08F8E4C9" w14:textId="77777777" w:rsidR="00462419" w:rsidRPr="00462419" w:rsidRDefault="009F0A3A" w:rsidP="00462419">
      <w:pPr>
        <w:spacing w:after="0" w:line="240" w:lineRule="auto"/>
        <w:ind w:left="100" w:right="244" w:firstLine="709"/>
        <w:contextualSpacing/>
        <w:jc w:val="both"/>
        <w:rPr>
          <w:rFonts w:ascii="Verdana" w:hAnsi="Verdana" w:cs="Arial"/>
          <w:sz w:val="16"/>
          <w:szCs w:val="16"/>
          <w:lang w:val="es-ES"/>
        </w:rPr>
      </w:pPr>
      <w:r w:rsidRPr="00462419">
        <w:rPr>
          <w:rStyle w:val="Refdenotaalpie"/>
          <w:rFonts w:ascii="Verdana" w:hAnsi="Verdana"/>
          <w:sz w:val="16"/>
          <w:szCs w:val="16"/>
        </w:rPr>
        <w:footnoteRef/>
      </w:r>
      <w:r w:rsidRPr="00462419">
        <w:rPr>
          <w:rFonts w:ascii="Verdana" w:hAnsi="Verdana"/>
          <w:sz w:val="16"/>
          <w:szCs w:val="16"/>
        </w:rPr>
        <w:t xml:space="preserve"> </w:t>
      </w:r>
      <w:r w:rsidR="00462419" w:rsidRPr="00462419">
        <w:rPr>
          <w:rFonts w:ascii="Verdana" w:hAnsi="Verdana" w:cs="Arial"/>
          <w:sz w:val="16"/>
          <w:szCs w:val="16"/>
        </w:rPr>
        <w:t>Consejo de Estado. Sala de Consulta y Servicio Civil. Concepto del 17 de febrero de 2015. C.P. William Zambrano Cetina. Radicación No. 11001-03-06-000-2015-00164-00(2269).</w:t>
      </w:r>
    </w:p>
    <w:p w14:paraId="645B390E" w14:textId="4F6D9B8E" w:rsidR="009F0A3A" w:rsidRPr="009F0A3A" w:rsidRDefault="009F0A3A">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pt;height:14.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80713882">
    <w:abstractNumId w:val="0"/>
  </w:num>
  <w:num w:numId="17" w16cid:durableId="100150950">
    <w:abstractNumId w:val="10"/>
  </w:num>
  <w:num w:numId="18" w16cid:durableId="6918023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1CF"/>
    <w:rsid w:val="000169BD"/>
    <w:rsid w:val="00016F78"/>
    <w:rsid w:val="000348FE"/>
    <w:rsid w:val="000351B6"/>
    <w:rsid w:val="0004490C"/>
    <w:rsid w:val="00046945"/>
    <w:rsid w:val="00061B2A"/>
    <w:rsid w:val="00082362"/>
    <w:rsid w:val="000A3223"/>
    <w:rsid w:val="000A683E"/>
    <w:rsid w:val="000B19B9"/>
    <w:rsid w:val="000B3871"/>
    <w:rsid w:val="000B5122"/>
    <w:rsid w:val="000C071C"/>
    <w:rsid w:val="000D0334"/>
    <w:rsid w:val="000D5DA7"/>
    <w:rsid w:val="000F6486"/>
    <w:rsid w:val="00100BBF"/>
    <w:rsid w:val="00101C99"/>
    <w:rsid w:val="00112FBE"/>
    <w:rsid w:val="00116940"/>
    <w:rsid w:val="00125105"/>
    <w:rsid w:val="00127233"/>
    <w:rsid w:val="001340E0"/>
    <w:rsid w:val="00136CDD"/>
    <w:rsid w:val="0015699B"/>
    <w:rsid w:val="0018000A"/>
    <w:rsid w:val="0018077E"/>
    <w:rsid w:val="001A33BF"/>
    <w:rsid w:val="001C7F79"/>
    <w:rsid w:val="001D1CF3"/>
    <w:rsid w:val="001D66C2"/>
    <w:rsid w:val="001E3EA2"/>
    <w:rsid w:val="001E4177"/>
    <w:rsid w:val="001E596B"/>
    <w:rsid w:val="001F0B24"/>
    <w:rsid w:val="001F25C0"/>
    <w:rsid w:val="001F7DC6"/>
    <w:rsid w:val="0020196E"/>
    <w:rsid w:val="002057A7"/>
    <w:rsid w:val="00212853"/>
    <w:rsid w:val="0022400B"/>
    <w:rsid w:val="00226413"/>
    <w:rsid w:val="002421BB"/>
    <w:rsid w:val="00251E66"/>
    <w:rsid w:val="0025796E"/>
    <w:rsid w:val="002676BD"/>
    <w:rsid w:val="002707A2"/>
    <w:rsid w:val="002775FB"/>
    <w:rsid w:val="00292D6C"/>
    <w:rsid w:val="002942FB"/>
    <w:rsid w:val="002951A0"/>
    <w:rsid w:val="002962BC"/>
    <w:rsid w:val="002A093D"/>
    <w:rsid w:val="002A0DD0"/>
    <w:rsid w:val="002A49AC"/>
    <w:rsid w:val="002A64FD"/>
    <w:rsid w:val="002B7A05"/>
    <w:rsid w:val="002C7A84"/>
    <w:rsid w:val="002E2BF8"/>
    <w:rsid w:val="002E4FD9"/>
    <w:rsid w:val="002E75C8"/>
    <w:rsid w:val="002F40E9"/>
    <w:rsid w:val="0030657A"/>
    <w:rsid w:val="00307D79"/>
    <w:rsid w:val="003131CC"/>
    <w:rsid w:val="0032241A"/>
    <w:rsid w:val="00322A85"/>
    <w:rsid w:val="00324168"/>
    <w:rsid w:val="00330834"/>
    <w:rsid w:val="0033548D"/>
    <w:rsid w:val="003448F4"/>
    <w:rsid w:val="00363775"/>
    <w:rsid w:val="00374F5E"/>
    <w:rsid w:val="00376FDC"/>
    <w:rsid w:val="00377E3E"/>
    <w:rsid w:val="003820DE"/>
    <w:rsid w:val="003824DD"/>
    <w:rsid w:val="0038348B"/>
    <w:rsid w:val="003901C9"/>
    <w:rsid w:val="00391B01"/>
    <w:rsid w:val="003A779E"/>
    <w:rsid w:val="003B0FBA"/>
    <w:rsid w:val="003C092D"/>
    <w:rsid w:val="003D0F4D"/>
    <w:rsid w:val="003D4445"/>
    <w:rsid w:val="003D4A0F"/>
    <w:rsid w:val="003D5B0D"/>
    <w:rsid w:val="003E0499"/>
    <w:rsid w:val="003E4F80"/>
    <w:rsid w:val="003E6439"/>
    <w:rsid w:val="003F3941"/>
    <w:rsid w:val="00406575"/>
    <w:rsid w:val="00410CD0"/>
    <w:rsid w:val="00414C74"/>
    <w:rsid w:val="0042722E"/>
    <w:rsid w:val="004329D8"/>
    <w:rsid w:val="0044528D"/>
    <w:rsid w:val="00456795"/>
    <w:rsid w:val="00462419"/>
    <w:rsid w:val="00463BAD"/>
    <w:rsid w:val="00463C88"/>
    <w:rsid w:val="00466E39"/>
    <w:rsid w:val="0048719F"/>
    <w:rsid w:val="00494496"/>
    <w:rsid w:val="004A1847"/>
    <w:rsid w:val="004A305D"/>
    <w:rsid w:val="004A547D"/>
    <w:rsid w:val="004C0D8A"/>
    <w:rsid w:val="004D1422"/>
    <w:rsid w:val="004E63DD"/>
    <w:rsid w:val="004F21C4"/>
    <w:rsid w:val="004F685F"/>
    <w:rsid w:val="00506CDF"/>
    <w:rsid w:val="00511811"/>
    <w:rsid w:val="00523A56"/>
    <w:rsid w:val="00531404"/>
    <w:rsid w:val="00531981"/>
    <w:rsid w:val="005363FB"/>
    <w:rsid w:val="00546681"/>
    <w:rsid w:val="005566E8"/>
    <w:rsid w:val="00563E1A"/>
    <w:rsid w:val="00574867"/>
    <w:rsid w:val="00591460"/>
    <w:rsid w:val="005A65E0"/>
    <w:rsid w:val="005A6B4A"/>
    <w:rsid w:val="005C3777"/>
    <w:rsid w:val="005C5CDC"/>
    <w:rsid w:val="005C76AF"/>
    <w:rsid w:val="005D476C"/>
    <w:rsid w:val="005F64A7"/>
    <w:rsid w:val="00611857"/>
    <w:rsid w:val="006123F6"/>
    <w:rsid w:val="006200BF"/>
    <w:rsid w:val="006219F8"/>
    <w:rsid w:val="006252EB"/>
    <w:rsid w:val="006302F7"/>
    <w:rsid w:val="00641267"/>
    <w:rsid w:val="006446F3"/>
    <w:rsid w:val="00646B9F"/>
    <w:rsid w:val="00652799"/>
    <w:rsid w:val="00665D70"/>
    <w:rsid w:val="006729BA"/>
    <w:rsid w:val="006738D5"/>
    <w:rsid w:val="00677349"/>
    <w:rsid w:val="00684921"/>
    <w:rsid w:val="006900D9"/>
    <w:rsid w:val="006A1720"/>
    <w:rsid w:val="006B129D"/>
    <w:rsid w:val="006B28BD"/>
    <w:rsid w:val="006D4C4F"/>
    <w:rsid w:val="006D5164"/>
    <w:rsid w:val="006E74AC"/>
    <w:rsid w:val="00706C16"/>
    <w:rsid w:val="00711D67"/>
    <w:rsid w:val="007317CE"/>
    <w:rsid w:val="00732E50"/>
    <w:rsid w:val="007340C3"/>
    <w:rsid w:val="00741ED5"/>
    <w:rsid w:val="0075036A"/>
    <w:rsid w:val="0075235A"/>
    <w:rsid w:val="00756841"/>
    <w:rsid w:val="007649AB"/>
    <w:rsid w:val="007710BF"/>
    <w:rsid w:val="00771D0C"/>
    <w:rsid w:val="00780C4B"/>
    <w:rsid w:val="007833AC"/>
    <w:rsid w:val="007854B3"/>
    <w:rsid w:val="00795151"/>
    <w:rsid w:val="007A2787"/>
    <w:rsid w:val="007A2FF4"/>
    <w:rsid w:val="007A7483"/>
    <w:rsid w:val="007B268C"/>
    <w:rsid w:val="007B69C5"/>
    <w:rsid w:val="007B7171"/>
    <w:rsid w:val="007C0C0F"/>
    <w:rsid w:val="007C3DC2"/>
    <w:rsid w:val="007D55EA"/>
    <w:rsid w:val="007E200F"/>
    <w:rsid w:val="007E5497"/>
    <w:rsid w:val="007F3056"/>
    <w:rsid w:val="007F5B2A"/>
    <w:rsid w:val="00801376"/>
    <w:rsid w:val="00806F5F"/>
    <w:rsid w:val="00814493"/>
    <w:rsid w:val="008152F9"/>
    <w:rsid w:val="00820278"/>
    <w:rsid w:val="0082044B"/>
    <w:rsid w:val="008258C9"/>
    <w:rsid w:val="00832006"/>
    <w:rsid w:val="00844AE9"/>
    <w:rsid w:val="00852C66"/>
    <w:rsid w:val="00867F95"/>
    <w:rsid w:val="00871994"/>
    <w:rsid w:val="008843B6"/>
    <w:rsid w:val="00891928"/>
    <w:rsid w:val="008A0752"/>
    <w:rsid w:val="008A446D"/>
    <w:rsid w:val="008B21F4"/>
    <w:rsid w:val="008B25F1"/>
    <w:rsid w:val="008C2627"/>
    <w:rsid w:val="008D180B"/>
    <w:rsid w:val="008F0EA7"/>
    <w:rsid w:val="00900A1B"/>
    <w:rsid w:val="00923EEF"/>
    <w:rsid w:val="009419F9"/>
    <w:rsid w:val="0095685E"/>
    <w:rsid w:val="00961B09"/>
    <w:rsid w:val="00962180"/>
    <w:rsid w:val="00965334"/>
    <w:rsid w:val="0097093E"/>
    <w:rsid w:val="00994B05"/>
    <w:rsid w:val="009A0DFA"/>
    <w:rsid w:val="009A1C6F"/>
    <w:rsid w:val="009A2F2A"/>
    <w:rsid w:val="009B2D26"/>
    <w:rsid w:val="009B40F7"/>
    <w:rsid w:val="009C71FA"/>
    <w:rsid w:val="009C72E7"/>
    <w:rsid w:val="009C7F7E"/>
    <w:rsid w:val="009D0263"/>
    <w:rsid w:val="009D3058"/>
    <w:rsid w:val="009F0A3A"/>
    <w:rsid w:val="009F0C30"/>
    <w:rsid w:val="009F3A13"/>
    <w:rsid w:val="00A0795F"/>
    <w:rsid w:val="00A122D3"/>
    <w:rsid w:val="00A14468"/>
    <w:rsid w:val="00A14B61"/>
    <w:rsid w:val="00A17F13"/>
    <w:rsid w:val="00A20739"/>
    <w:rsid w:val="00A2319E"/>
    <w:rsid w:val="00A23AF9"/>
    <w:rsid w:val="00A256B8"/>
    <w:rsid w:val="00A33C78"/>
    <w:rsid w:val="00A37715"/>
    <w:rsid w:val="00A40510"/>
    <w:rsid w:val="00A4780A"/>
    <w:rsid w:val="00A51E68"/>
    <w:rsid w:val="00A71D5B"/>
    <w:rsid w:val="00A72D2B"/>
    <w:rsid w:val="00A83988"/>
    <w:rsid w:val="00A8772E"/>
    <w:rsid w:val="00A9391E"/>
    <w:rsid w:val="00AB0ADB"/>
    <w:rsid w:val="00AB0C02"/>
    <w:rsid w:val="00AB677D"/>
    <w:rsid w:val="00AC7773"/>
    <w:rsid w:val="00AD2C98"/>
    <w:rsid w:val="00AE41BE"/>
    <w:rsid w:val="00AF265F"/>
    <w:rsid w:val="00B00C0E"/>
    <w:rsid w:val="00B01B1A"/>
    <w:rsid w:val="00B0381D"/>
    <w:rsid w:val="00B07732"/>
    <w:rsid w:val="00B13009"/>
    <w:rsid w:val="00B138B7"/>
    <w:rsid w:val="00B20BAF"/>
    <w:rsid w:val="00B2629D"/>
    <w:rsid w:val="00B33A5C"/>
    <w:rsid w:val="00B44A47"/>
    <w:rsid w:val="00B57EB5"/>
    <w:rsid w:val="00B70908"/>
    <w:rsid w:val="00B72CD3"/>
    <w:rsid w:val="00B72FFF"/>
    <w:rsid w:val="00B85FD3"/>
    <w:rsid w:val="00BA3EED"/>
    <w:rsid w:val="00BB326F"/>
    <w:rsid w:val="00BC3D36"/>
    <w:rsid w:val="00BD54A6"/>
    <w:rsid w:val="00BD7F72"/>
    <w:rsid w:val="00BE4739"/>
    <w:rsid w:val="00BE6F54"/>
    <w:rsid w:val="00BE7498"/>
    <w:rsid w:val="00BF7425"/>
    <w:rsid w:val="00C00491"/>
    <w:rsid w:val="00C026AB"/>
    <w:rsid w:val="00C04FB3"/>
    <w:rsid w:val="00C11D8B"/>
    <w:rsid w:val="00C13640"/>
    <w:rsid w:val="00C15139"/>
    <w:rsid w:val="00C173A6"/>
    <w:rsid w:val="00C25CDB"/>
    <w:rsid w:val="00C330EB"/>
    <w:rsid w:val="00C37C11"/>
    <w:rsid w:val="00C44F63"/>
    <w:rsid w:val="00C50D69"/>
    <w:rsid w:val="00C5365C"/>
    <w:rsid w:val="00C67752"/>
    <w:rsid w:val="00C70E87"/>
    <w:rsid w:val="00C7214D"/>
    <w:rsid w:val="00C754BE"/>
    <w:rsid w:val="00C76B1C"/>
    <w:rsid w:val="00C82472"/>
    <w:rsid w:val="00C925AC"/>
    <w:rsid w:val="00CA7908"/>
    <w:rsid w:val="00CB0B41"/>
    <w:rsid w:val="00CB5A88"/>
    <w:rsid w:val="00CB6357"/>
    <w:rsid w:val="00CC1B26"/>
    <w:rsid w:val="00CD2919"/>
    <w:rsid w:val="00CD434E"/>
    <w:rsid w:val="00CE3B10"/>
    <w:rsid w:val="00D00179"/>
    <w:rsid w:val="00D06EB5"/>
    <w:rsid w:val="00D15558"/>
    <w:rsid w:val="00D34C60"/>
    <w:rsid w:val="00D361FD"/>
    <w:rsid w:val="00D423A2"/>
    <w:rsid w:val="00D43B72"/>
    <w:rsid w:val="00D44E26"/>
    <w:rsid w:val="00D520D8"/>
    <w:rsid w:val="00D63AC2"/>
    <w:rsid w:val="00D7383B"/>
    <w:rsid w:val="00D7788A"/>
    <w:rsid w:val="00D84B2D"/>
    <w:rsid w:val="00DA231B"/>
    <w:rsid w:val="00DB0664"/>
    <w:rsid w:val="00DC39FC"/>
    <w:rsid w:val="00DD2B9B"/>
    <w:rsid w:val="00DE19C3"/>
    <w:rsid w:val="00DE5EE8"/>
    <w:rsid w:val="00DE7761"/>
    <w:rsid w:val="00DF5254"/>
    <w:rsid w:val="00DF6EF8"/>
    <w:rsid w:val="00E02524"/>
    <w:rsid w:val="00E059DA"/>
    <w:rsid w:val="00E105CE"/>
    <w:rsid w:val="00E120B5"/>
    <w:rsid w:val="00E1354D"/>
    <w:rsid w:val="00E16408"/>
    <w:rsid w:val="00E20894"/>
    <w:rsid w:val="00E245AB"/>
    <w:rsid w:val="00E2764C"/>
    <w:rsid w:val="00E27F2E"/>
    <w:rsid w:val="00E356AC"/>
    <w:rsid w:val="00E47B20"/>
    <w:rsid w:val="00E50AFE"/>
    <w:rsid w:val="00E75C92"/>
    <w:rsid w:val="00E771DC"/>
    <w:rsid w:val="00E823F9"/>
    <w:rsid w:val="00E843A3"/>
    <w:rsid w:val="00E8772A"/>
    <w:rsid w:val="00E90F6B"/>
    <w:rsid w:val="00E92C27"/>
    <w:rsid w:val="00E97EA0"/>
    <w:rsid w:val="00EA0E3D"/>
    <w:rsid w:val="00EA73F5"/>
    <w:rsid w:val="00EB5AF2"/>
    <w:rsid w:val="00EB780E"/>
    <w:rsid w:val="00EC38A7"/>
    <w:rsid w:val="00EC3A86"/>
    <w:rsid w:val="00EE1AA8"/>
    <w:rsid w:val="00F10021"/>
    <w:rsid w:val="00F13267"/>
    <w:rsid w:val="00F23FEA"/>
    <w:rsid w:val="00F31EDC"/>
    <w:rsid w:val="00F43A9A"/>
    <w:rsid w:val="00F462B3"/>
    <w:rsid w:val="00F5664F"/>
    <w:rsid w:val="00F62FD4"/>
    <w:rsid w:val="00F666C4"/>
    <w:rsid w:val="00F76AFC"/>
    <w:rsid w:val="00FA47C0"/>
    <w:rsid w:val="00FB4673"/>
    <w:rsid w:val="00FB5DD1"/>
    <w:rsid w:val="00FB7DC7"/>
    <w:rsid w:val="00FC192C"/>
    <w:rsid w:val="00FC2B5D"/>
    <w:rsid w:val="00FE3B35"/>
    <w:rsid w:val="00FF1449"/>
    <w:rsid w:val="00FF7963"/>
    <w:rsid w:val="071B8F93"/>
    <w:rsid w:val="07C73DD1"/>
    <w:rsid w:val="09908A09"/>
    <w:rsid w:val="0EFE6349"/>
    <w:rsid w:val="0FF4CCA8"/>
    <w:rsid w:val="13CFC91B"/>
    <w:rsid w:val="19A2EC2C"/>
    <w:rsid w:val="21779BE6"/>
    <w:rsid w:val="2859CA1B"/>
    <w:rsid w:val="2C4D2425"/>
    <w:rsid w:val="2EE1E026"/>
    <w:rsid w:val="30821638"/>
    <w:rsid w:val="309AB6FC"/>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29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A7908"/>
    <w:rPr>
      <w:rFonts w:ascii="Geomanist Light" w:hAnsi="Geomanist Light"/>
      <w:lang w:val="es-ES"/>
    </w:rPr>
  </w:style>
  <w:style w:type="paragraph" w:customStyle="1" w:styleId="Appelnotedebasde">
    <w:name w:val="Appel note de bas de..."/>
    <w:basedOn w:val="Normal"/>
    <w:link w:val="Refdenotaalpie"/>
    <w:uiPriority w:val="99"/>
    <w:rsid w:val="00711D67"/>
    <w:pPr>
      <w:spacing w:line="240" w:lineRule="exact"/>
    </w:pPr>
    <w:rPr>
      <w:vertAlign w:val="superscript"/>
    </w:rPr>
  </w:style>
  <w:style w:type="character" w:customStyle="1" w:styleId="NormalWebCar">
    <w:name w:val="Normal (Web) Car"/>
    <w:link w:val="NormalWeb"/>
    <w:uiPriority w:val="99"/>
    <w:rsid w:val="006252EB"/>
    <w:rPr>
      <w:rFonts w:ascii="Times New Roman" w:eastAsia="Times New Roman" w:hAnsi="Times New Roman" w:cs="Times New Roman"/>
      <w:sz w:val="24"/>
      <w:szCs w:val="24"/>
      <w:lang w:eastAsia="es-CO"/>
    </w:rPr>
  </w:style>
  <w:style w:type="character" w:customStyle="1" w:styleId="baj">
    <w:name w:val="b_aj"/>
    <w:basedOn w:val="Fuentedeprrafopredeter"/>
    <w:rsid w:val="00625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39605086">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Mfleon26@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1BF741D-E4C2-4D33-A2AF-FB005184B682}">
  <ds:schemaRefs>
    <ds:schemaRef ds:uri="http://schemas.openxmlformats.org/officeDocument/2006/bibliography"/>
  </ds:schemaRefs>
</ds:datastoreItem>
</file>

<file path=customXml/itemProps4.xml><?xml version="1.0" encoding="utf-8"?>
<ds:datastoreItem xmlns:ds="http://schemas.openxmlformats.org/officeDocument/2006/customXml" ds:itemID="{3395ECF8-CAAC-47D7-8C46-757DC8074B3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18</Pages>
  <Words>5776</Words>
  <Characters>31771</Characters>
  <Application>Microsoft Office Word</Application>
  <DocSecurity>0</DocSecurity>
  <Lines>264</Lines>
  <Paragraphs>74</Paragraphs>
  <ScaleCrop>false</ScaleCrop>
  <Company/>
  <LinksUpToDate>false</LinksUpToDate>
  <CharactersWithSpaces>37473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2026-04-27T16:26:00Z</dcterms:created>
  <dcterms:modified xsi:type="dcterms:W3CDTF">2026-04-27T16:26:00Z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