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9D1219" w14:textId="77777777" w:rsidR="008C55D6" w:rsidRPr="008C55D6" w:rsidRDefault="008C55D6" w:rsidP="008C55D6">
      <w:pPr>
        <w:spacing w:after="0" w:line="276" w:lineRule="auto"/>
        <w:jc w:val="both"/>
        <w:rPr>
          <w:rFonts w:ascii="Verdana" w:eastAsia="Calibri" w:hAnsi="Verdana" w:cs="Arial"/>
          <w:b/>
          <w:bCs/>
          <w:lang w:val="es-ES_tradnl"/>
        </w:rPr>
      </w:pPr>
      <w:r w:rsidRPr="008C55D6">
        <w:rPr>
          <w:rFonts w:ascii="Verdana" w:eastAsia="Calibri" w:hAnsi="Verdana" w:cs="Arial"/>
          <w:b/>
          <w:bCs/>
          <w:lang w:val="es-ES_tradnl"/>
        </w:rPr>
        <w:t xml:space="preserve">DOCUMENTOS TIPO – Fundamento normativo – Obligatoriedad </w:t>
      </w:r>
    </w:p>
    <w:p w14:paraId="2BCC2612" w14:textId="77777777" w:rsidR="008C55D6" w:rsidRPr="008C55D6" w:rsidRDefault="008C55D6" w:rsidP="008C55D6">
      <w:pPr>
        <w:spacing w:after="0" w:line="276" w:lineRule="auto"/>
        <w:jc w:val="both"/>
        <w:rPr>
          <w:rFonts w:ascii="Verdana" w:eastAsia="Calibri" w:hAnsi="Verdana" w:cs="Arial"/>
          <w:b/>
          <w:bCs/>
          <w:sz w:val="20"/>
          <w:szCs w:val="20"/>
          <w:lang w:val="es-ES_tradnl"/>
        </w:rPr>
      </w:pPr>
    </w:p>
    <w:p w14:paraId="51DD43F9" w14:textId="77777777" w:rsidR="008C55D6" w:rsidRPr="008C55D6" w:rsidRDefault="008C55D6" w:rsidP="008C55D6">
      <w:pPr>
        <w:tabs>
          <w:tab w:val="left" w:pos="709"/>
        </w:tabs>
        <w:spacing w:after="0" w:line="240" w:lineRule="auto"/>
        <w:jc w:val="both"/>
        <w:rPr>
          <w:rFonts w:ascii="Verdana" w:eastAsia="Calibri" w:hAnsi="Verdana" w:cs="Arial"/>
          <w:sz w:val="20"/>
          <w:szCs w:val="20"/>
          <w:lang w:val="es-ES"/>
        </w:rPr>
      </w:pPr>
      <w:r w:rsidRPr="008C55D6">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30859394" w14:textId="77777777" w:rsidR="008C55D6" w:rsidRPr="008C55D6" w:rsidRDefault="008C55D6" w:rsidP="008C55D6">
      <w:pPr>
        <w:spacing w:after="0" w:line="276" w:lineRule="auto"/>
        <w:jc w:val="both"/>
        <w:rPr>
          <w:rFonts w:ascii="Verdana" w:eastAsia="Calibri" w:hAnsi="Verdana" w:cs="Arial"/>
          <w:b/>
          <w:bCs/>
          <w:lang w:val="es-ES_tradnl"/>
        </w:rPr>
      </w:pPr>
    </w:p>
    <w:p w14:paraId="0F7B72BB" w14:textId="77777777" w:rsidR="008C55D6" w:rsidRPr="008C55D6" w:rsidRDefault="008C55D6" w:rsidP="008C55D6">
      <w:pPr>
        <w:widowControl w:val="0"/>
        <w:autoSpaceDE w:val="0"/>
        <w:autoSpaceDN w:val="0"/>
        <w:spacing w:after="0" w:line="276" w:lineRule="auto"/>
        <w:jc w:val="both"/>
        <w:rPr>
          <w:rFonts w:ascii="Verdana" w:eastAsia="Calibri" w:hAnsi="Verdana" w:cs="Times New Roman"/>
          <w:b/>
          <w:bCs/>
          <w:lang w:val="es-ES"/>
        </w:rPr>
      </w:pPr>
      <w:r w:rsidRPr="008C55D6">
        <w:rPr>
          <w:rFonts w:ascii="Verdana" w:eastAsia="Calibri" w:hAnsi="Verdana" w:cs="Arial"/>
          <w:b/>
          <w:bCs/>
          <w:lang w:val="es-ES_tradnl"/>
        </w:rPr>
        <w:t>SECTOR SOCIAL</w:t>
      </w:r>
      <w:r w:rsidRPr="008C55D6">
        <w:rPr>
          <w:rFonts w:ascii="Verdana" w:eastAsia="Calibri" w:hAnsi="Verdana" w:cs="Times New Roman"/>
          <w:lang w:val="es-ES"/>
        </w:rPr>
        <w:t xml:space="preserve"> </w:t>
      </w:r>
      <w:r w:rsidRPr="008C55D6">
        <w:rPr>
          <w:rFonts w:ascii="Verdana" w:eastAsia="Calibri" w:hAnsi="Verdana" w:cs="Times New Roman"/>
          <w:b/>
          <w:bCs/>
          <w:lang w:val="es-ES"/>
        </w:rPr>
        <w:t>– Documentos tipo – Vigentes</w:t>
      </w:r>
    </w:p>
    <w:p w14:paraId="0DED1ADF" w14:textId="77777777" w:rsidR="008C55D6" w:rsidRPr="008C55D6" w:rsidRDefault="008C55D6" w:rsidP="008C55D6">
      <w:pPr>
        <w:widowControl w:val="0"/>
        <w:autoSpaceDE w:val="0"/>
        <w:autoSpaceDN w:val="0"/>
        <w:spacing w:after="0" w:line="276" w:lineRule="auto"/>
        <w:jc w:val="both"/>
        <w:rPr>
          <w:rFonts w:ascii="Verdana" w:eastAsia="Calibri" w:hAnsi="Verdana" w:cs="Times New Roman"/>
          <w:b/>
          <w:bCs/>
          <w:lang w:val="es-ES"/>
        </w:rPr>
      </w:pPr>
    </w:p>
    <w:p w14:paraId="5C2C938F"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b/>
          <w:bCs/>
          <w:sz w:val="20"/>
          <w:szCs w:val="20"/>
          <w:lang w:val="es-ES"/>
        </w:rPr>
      </w:pPr>
      <w:r w:rsidRPr="008C55D6">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525B7C8" w14:textId="77777777" w:rsidR="008C55D6" w:rsidRPr="008C55D6" w:rsidRDefault="008C55D6" w:rsidP="008C55D6">
      <w:pPr>
        <w:widowControl w:val="0"/>
        <w:autoSpaceDE w:val="0"/>
        <w:autoSpaceDN w:val="0"/>
        <w:spacing w:after="0" w:line="276" w:lineRule="auto"/>
        <w:jc w:val="both"/>
        <w:rPr>
          <w:rFonts w:ascii="Verdana" w:eastAsia="Calibri" w:hAnsi="Verdana" w:cs="Times New Roman"/>
          <w:lang w:val="es-ES"/>
        </w:rPr>
      </w:pPr>
    </w:p>
    <w:p w14:paraId="03083D8A" w14:textId="77777777" w:rsidR="008C55D6" w:rsidRPr="008C55D6" w:rsidRDefault="008C55D6" w:rsidP="008C55D6">
      <w:pPr>
        <w:spacing w:after="0" w:line="276" w:lineRule="auto"/>
        <w:jc w:val="both"/>
        <w:rPr>
          <w:rFonts w:ascii="Verdana" w:eastAsia="Calibri" w:hAnsi="Verdana" w:cs="Times New Roman"/>
          <w:sz w:val="20"/>
          <w:szCs w:val="20"/>
          <w:lang w:val="es-ES"/>
        </w:rPr>
      </w:pPr>
      <w:r w:rsidRPr="008C55D6">
        <w:rPr>
          <w:rFonts w:ascii="Verdana" w:eastAsia="Calibri" w:hAnsi="Verdana" w:cs="Times New Roman"/>
          <w:b/>
          <w:bCs/>
          <w:lang w:val="es-ES"/>
        </w:rPr>
        <w:t xml:space="preserve">DOCUMENTOS TIPO – Aplicación – Matriz de Experiencia </w:t>
      </w:r>
    </w:p>
    <w:p w14:paraId="6E2D8E5A" w14:textId="77777777" w:rsidR="008C55D6" w:rsidRPr="008C55D6" w:rsidRDefault="008C55D6" w:rsidP="008C55D6">
      <w:pPr>
        <w:spacing w:after="0" w:line="240" w:lineRule="auto"/>
        <w:rPr>
          <w:rFonts w:ascii="Verdana" w:eastAsia="Geomanist Light" w:hAnsi="Verdana" w:cs="Arial"/>
          <w:lang w:val="es-MX"/>
        </w:rPr>
      </w:pPr>
    </w:p>
    <w:p w14:paraId="64BB0DE1"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sz w:val="20"/>
          <w:szCs w:val="20"/>
          <w:lang w:val="es-ES"/>
        </w:rPr>
      </w:pPr>
      <w:r w:rsidRPr="008C55D6">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71052D1"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sz w:val="20"/>
          <w:szCs w:val="20"/>
          <w:lang w:val="es-ES"/>
        </w:rPr>
      </w:pPr>
    </w:p>
    <w:p w14:paraId="48461336"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sz w:val="20"/>
          <w:szCs w:val="20"/>
          <w:lang w:val="es-ES"/>
        </w:rPr>
      </w:pPr>
      <w:r w:rsidRPr="008C55D6">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35BDF0D"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sz w:val="20"/>
          <w:szCs w:val="20"/>
          <w:lang w:val="es-ES"/>
        </w:rPr>
      </w:pPr>
    </w:p>
    <w:p w14:paraId="3688C6CC"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b/>
          <w:bCs/>
          <w:lang w:val="es-ES"/>
        </w:rPr>
      </w:pPr>
      <w:r w:rsidRPr="008C55D6">
        <w:rPr>
          <w:rFonts w:ascii="Verdana" w:eastAsia="Calibri" w:hAnsi="Verdana" w:cs="Times New Roman"/>
          <w:b/>
          <w:bCs/>
          <w:lang w:val="es-ES"/>
        </w:rPr>
        <w:t>DOCUMENTOS TIPO – Sector Institucional – Actividad – Suministro e instalación – Alcance</w:t>
      </w:r>
    </w:p>
    <w:p w14:paraId="383F481E" w14:textId="77777777" w:rsidR="008C55D6" w:rsidRPr="008C55D6" w:rsidRDefault="008C55D6" w:rsidP="008C55D6">
      <w:pPr>
        <w:widowControl w:val="0"/>
        <w:autoSpaceDE w:val="0"/>
        <w:autoSpaceDN w:val="0"/>
        <w:spacing w:after="0" w:line="240" w:lineRule="auto"/>
        <w:ind w:left="708" w:hanging="708"/>
        <w:jc w:val="both"/>
        <w:rPr>
          <w:rFonts w:ascii="Verdana" w:eastAsia="Calibri" w:hAnsi="Verdana" w:cs="Times New Roman"/>
          <w:b/>
          <w:bCs/>
          <w:lang w:val="es-ES"/>
        </w:rPr>
      </w:pPr>
    </w:p>
    <w:p w14:paraId="6EBE6FBA" w14:textId="77777777" w:rsidR="008C55D6" w:rsidRPr="008C55D6" w:rsidRDefault="008C55D6" w:rsidP="008C55D6">
      <w:pPr>
        <w:spacing w:after="0" w:line="240" w:lineRule="auto"/>
        <w:jc w:val="both"/>
        <w:rPr>
          <w:rFonts w:ascii="Verdana" w:eastAsia="Aptos" w:hAnsi="Verdana" w:cs="Times New Roman"/>
          <w:kern w:val="2"/>
          <w:sz w:val="20"/>
          <w:szCs w:val="20"/>
          <w:lang w:eastAsia="es-CO"/>
          <w14:ligatures w14:val="standardContextual"/>
        </w:rPr>
      </w:pPr>
      <w:r w:rsidRPr="008C55D6">
        <w:rPr>
          <w:rFonts w:ascii="Verdana" w:eastAsia="Aptos" w:hAnsi="Verdana" w:cs="Times New Roman"/>
          <w:kern w:val="2"/>
          <w:sz w:val="20"/>
          <w:szCs w:val="20"/>
          <w:lang w:eastAsia="es-CO"/>
          <w14:ligatures w14:val="standardContextual"/>
        </w:rPr>
        <w:t xml:space="preserve">(…) las actividades indicadas aplican para los procesos que adelanten las entidades obligadas a utilizar los documentos tipo, cuando correspondan al </w:t>
      </w:r>
      <w:r w:rsidRPr="008C55D6">
        <w:rPr>
          <w:rFonts w:ascii="Verdana" w:eastAsia="Aptos" w:hAnsi="Verdana" w:cs="Times New Roman"/>
          <w:i/>
          <w:iCs/>
          <w:kern w:val="2"/>
          <w:sz w:val="20"/>
          <w:szCs w:val="20"/>
          <w:lang w:eastAsia="es-CO"/>
          <w14:ligatures w14:val="standardContextual"/>
        </w:rPr>
        <w:t>suministro e instalación</w:t>
      </w:r>
      <w:r w:rsidRPr="008C55D6">
        <w:rPr>
          <w:rFonts w:ascii="Verdana" w:eastAsia="Aptos" w:hAnsi="Verdana" w:cs="Times New Roman"/>
          <w:kern w:val="2"/>
          <w:sz w:val="20"/>
          <w:szCs w:val="20"/>
          <w:lang w:eastAsia="es-CO"/>
          <w14:ligatures w14:val="standardContextual"/>
        </w:rPr>
        <w:t xml:space="preserve"> de sistemas de aires acondicionados o sistemas de ventilación o similares sobre </w:t>
      </w:r>
      <w:r w:rsidRPr="008C55D6">
        <w:rPr>
          <w:rFonts w:ascii="Verdana" w:eastAsia="Aptos" w:hAnsi="Verdana" w:cs="Times New Roman"/>
          <w:kern w:val="2"/>
          <w:sz w:val="20"/>
          <w:szCs w:val="20"/>
          <w:lang w:eastAsia="es-CO"/>
          <w14:ligatures w14:val="standardContextual"/>
        </w:rPr>
        <w:lastRenderedPageBreak/>
        <w:t xml:space="preserve">infraestructura de seguridad pública (1.15) o de servicio público (2.14) o de sitios de reclusión (3.15) -según corresponda-. </w:t>
      </w:r>
    </w:p>
    <w:p w14:paraId="1AD121B1" w14:textId="77777777" w:rsidR="008C55D6" w:rsidRPr="008C55D6" w:rsidRDefault="008C55D6" w:rsidP="008C55D6">
      <w:pPr>
        <w:spacing w:after="0" w:line="240" w:lineRule="auto"/>
        <w:jc w:val="both"/>
        <w:rPr>
          <w:rFonts w:ascii="Verdana" w:eastAsia="Aptos" w:hAnsi="Verdana" w:cs="Times New Roman"/>
          <w:kern w:val="2"/>
          <w:sz w:val="20"/>
          <w:szCs w:val="20"/>
          <w:lang w:eastAsia="es-CO"/>
          <w14:ligatures w14:val="standardContextual"/>
        </w:rPr>
      </w:pPr>
    </w:p>
    <w:p w14:paraId="64064529" w14:textId="77777777" w:rsidR="008C55D6" w:rsidRPr="008C55D6" w:rsidRDefault="008C55D6" w:rsidP="008C55D6">
      <w:pPr>
        <w:spacing w:after="0" w:line="240" w:lineRule="auto"/>
        <w:jc w:val="both"/>
        <w:rPr>
          <w:rFonts w:ascii="Verdana" w:eastAsia="Times New Roman" w:hAnsi="Verdana" w:cs="Times New Roman"/>
          <w:color w:val="000000"/>
          <w:sz w:val="20"/>
          <w:szCs w:val="20"/>
          <w:lang w:eastAsia="es-CO"/>
        </w:rPr>
      </w:pPr>
      <w:r w:rsidRPr="008C55D6">
        <w:rPr>
          <w:rFonts w:ascii="Verdana" w:eastAsia="Times New Roman" w:hAnsi="Verdana" w:cs="Times New Roman"/>
          <w:color w:val="000000"/>
          <w:sz w:val="20"/>
          <w:szCs w:val="20"/>
          <w:lang w:eastAsia="es-CO"/>
        </w:rPr>
        <w:t xml:space="preserve">De esta forma, la actividad de suministro está ligada a la actividad de instalación de </w:t>
      </w:r>
      <w:r w:rsidRPr="008C55D6">
        <w:rPr>
          <w:rFonts w:ascii="Verdana" w:eastAsia="Aptos" w:hAnsi="Verdana" w:cs="Times New Roman"/>
          <w:kern w:val="2"/>
          <w:sz w:val="20"/>
          <w:szCs w:val="20"/>
          <w:lang w:eastAsia="es-CO"/>
          <w14:ligatures w14:val="standardContextual"/>
        </w:rPr>
        <w:t>los sistemas de aires acondicionados o sistemas de ventilación o similares sobre infraestructura institucional: seguridad pública, servicio público o sitios de reclusión</w:t>
      </w:r>
      <w:r w:rsidRPr="008C55D6">
        <w:rPr>
          <w:rFonts w:ascii="Verdana" w:eastAsia="Times New Roman" w:hAnsi="Verdana" w:cs="Times New Roman"/>
          <w:color w:val="000000"/>
          <w:sz w:val="20"/>
          <w:szCs w:val="2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8C55D6">
        <w:rPr>
          <w:rFonts w:ascii="Verdana" w:eastAsia="Aptos" w:hAnsi="Verdana" w:cs="Times New Roman"/>
          <w:kern w:val="2"/>
          <w:sz w:val="20"/>
          <w:szCs w:val="20"/>
          <w:lang w:eastAsia="es-CO"/>
          <w14:ligatures w14:val="standardContextual"/>
        </w:rPr>
        <w:t>sistemas de aires acondicionados o sistemas de ventilación o similares sobre infraestructura institucional</w:t>
      </w:r>
      <w:r w:rsidRPr="008C55D6">
        <w:rPr>
          <w:rFonts w:ascii="Verdana" w:eastAsia="Times New Roman" w:hAnsi="Verdana" w:cs="Times New Roman"/>
          <w:color w:val="000000"/>
          <w:sz w:val="20"/>
          <w:szCs w:val="20"/>
          <w:lang w:eastAsia="es-CO"/>
        </w:rPr>
        <w:t>, no tendrá que aplicar los documentos tipo expedidos por esta Agencia en el sector institucional.</w:t>
      </w:r>
    </w:p>
    <w:p w14:paraId="5F982922" w14:textId="77777777" w:rsidR="008C55D6" w:rsidRPr="008C55D6" w:rsidRDefault="008C55D6" w:rsidP="008C55D6">
      <w:pPr>
        <w:spacing w:after="0" w:line="240" w:lineRule="auto"/>
        <w:jc w:val="both"/>
        <w:rPr>
          <w:rFonts w:ascii="Verdana" w:eastAsia="Times New Roman" w:hAnsi="Verdana" w:cs="Times New Roman"/>
          <w:color w:val="000000"/>
          <w:sz w:val="20"/>
          <w:szCs w:val="20"/>
          <w:lang w:eastAsia="es-CO"/>
        </w:rPr>
      </w:pPr>
    </w:p>
    <w:p w14:paraId="6B6EE520" w14:textId="77777777" w:rsidR="008C55D6" w:rsidRPr="008C55D6" w:rsidRDefault="008C55D6" w:rsidP="008C55D6">
      <w:pPr>
        <w:spacing w:after="0" w:line="240" w:lineRule="auto"/>
        <w:jc w:val="both"/>
        <w:rPr>
          <w:rFonts w:ascii="Verdana" w:eastAsia="Calibri" w:hAnsi="Verdana" w:cs="Times New Roman"/>
          <w:b/>
          <w:bCs/>
          <w:lang w:val="es-ES"/>
        </w:rPr>
      </w:pPr>
      <w:r w:rsidRPr="008C55D6">
        <w:rPr>
          <w:rFonts w:ascii="Verdana" w:eastAsia="Calibri" w:hAnsi="Verdana" w:cs="Times New Roman"/>
          <w:b/>
          <w:bCs/>
          <w:lang w:val="es-ES"/>
        </w:rPr>
        <w:t>SECTOR INSTITUCIONAL – Documentos tipo – Mantenimientos – Preventivos – Correctivos – Aires acondicionados – Aplicación</w:t>
      </w:r>
    </w:p>
    <w:p w14:paraId="1858EC6C" w14:textId="77777777" w:rsidR="008C55D6" w:rsidRPr="008C55D6" w:rsidRDefault="008C55D6" w:rsidP="008C55D6">
      <w:pPr>
        <w:spacing w:after="0" w:line="240" w:lineRule="auto"/>
        <w:jc w:val="both"/>
        <w:rPr>
          <w:rFonts w:ascii="Verdana" w:eastAsia="Times New Roman" w:hAnsi="Verdana" w:cs="Times New Roman"/>
          <w:color w:val="000000"/>
          <w:sz w:val="20"/>
          <w:szCs w:val="20"/>
          <w:lang w:eastAsia="es-CO"/>
        </w:rPr>
      </w:pPr>
    </w:p>
    <w:p w14:paraId="26729F03" w14:textId="77777777" w:rsidR="008C55D6" w:rsidRPr="008C55D6" w:rsidRDefault="008C55D6" w:rsidP="008C55D6">
      <w:pPr>
        <w:spacing w:after="0" w:line="240" w:lineRule="auto"/>
        <w:jc w:val="both"/>
        <w:rPr>
          <w:rFonts w:ascii="Verdana" w:eastAsia="Aptos" w:hAnsi="Verdana" w:cs="Times New Roman"/>
          <w:kern w:val="2"/>
          <w:sz w:val="20"/>
          <w:szCs w:val="20"/>
          <w:lang w:eastAsia="es-CO"/>
          <w14:ligatures w14:val="standardContextual"/>
        </w:rPr>
      </w:pPr>
      <w:r w:rsidRPr="008C55D6">
        <w:rPr>
          <w:rFonts w:ascii="Verdana" w:eastAsia="Aptos" w:hAnsi="Verdana" w:cs="Times New Roman"/>
          <w:kern w:val="2"/>
          <w:sz w:val="20"/>
          <w:szCs w:val="20"/>
          <w:lang w:eastAsia="es-CO"/>
          <w14:ligatures w14:val="standardContextual"/>
        </w:rPr>
        <w:t xml:space="preserve">Las actividades 1.15, 2.14 y 3.15 contenidas en la Matriz 1 – Experiencia Sector Institucional, no hacen referencia expresa a actividades de mantenimiento preventivo o correctivo de sistemas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164AFD46" w14:textId="77777777" w:rsidR="008C55D6" w:rsidRPr="008C55D6" w:rsidRDefault="008C55D6" w:rsidP="008C55D6">
      <w:pPr>
        <w:widowControl w:val="0"/>
        <w:autoSpaceDE w:val="0"/>
        <w:autoSpaceDN w:val="0"/>
        <w:spacing w:after="0" w:line="240" w:lineRule="auto"/>
        <w:jc w:val="both"/>
        <w:rPr>
          <w:rFonts w:ascii="Verdana" w:eastAsia="Calibri" w:hAnsi="Verdana" w:cs="Times New Roman"/>
          <w:sz w:val="20"/>
          <w:szCs w:val="20"/>
          <w:highlight w:val="yellow"/>
          <w:lang w:val="es-ES"/>
        </w:rPr>
      </w:pPr>
    </w:p>
    <w:p w14:paraId="55E32F55" w14:textId="77777777" w:rsidR="008C55D6" w:rsidRPr="008C55D6" w:rsidRDefault="008C55D6" w:rsidP="008C55D6">
      <w:pPr>
        <w:spacing w:after="0" w:line="240" w:lineRule="auto"/>
        <w:jc w:val="both"/>
        <w:rPr>
          <w:rFonts w:ascii="Verdana" w:eastAsia="Calibri" w:hAnsi="Verdana" w:cs="Arial"/>
          <w:b/>
          <w:bCs/>
          <w:color w:val="000000"/>
          <w:kern w:val="2"/>
          <w:lang w:val="es-ES_tradnl"/>
          <w14:ligatures w14:val="standardContextual"/>
        </w:rPr>
      </w:pPr>
      <w:r w:rsidRPr="008C55D6">
        <w:rPr>
          <w:rFonts w:ascii="Verdana" w:eastAsia="Calibri" w:hAnsi="Verdana" w:cs="Arial"/>
          <w:b/>
          <w:bCs/>
          <w:color w:val="000000"/>
          <w:kern w:val="2"/>
          <w:lang w:val="es-ES_tradnl"/>
          <w14:ligatures w14:val="standardContextual"/>
        </w:rPr>
        <w:t>INSTALACIÓN – Obra – Contrato mixto – Prestación principal</w:t>
      </w:r>
    </w:p>
    <w:p w14:paraId="079BC5F8" w14:textId="77777777" w:rsidR="008C55D6" w:rsidRPr="008C55D6" w:rsidRDefault="008C55D6" w:rsidP="008C55D6">
      <w:pPr>
        <w:spacing w:after="0" w:line="240" w:lineRule="auto"/>
        <w:jc w:val="both"/>
        <w:rPr>
          <w:rFonts w:ascii="Verdana" w:eastAsia="Calibri" w:hAnsi="Verdana" w:cs="Arial"/>
          <w:b/>
          <w:bCs/>
          <w:color w:val="000000"/>
          <w:kern w:val="2"/>
          <w:sz w:val="20"/>
          <w:szCs w:val="20"/>
          <w:lang w:val="es-ES_tradnl"/>
          <w14:ligatures w14:val="standardContextual"/>
        </w:rPr>
      </w:pPr>
      <w:r w:rsidRPr="008C55D6">
        <w:rPr>
          <w:rFonts w:ascii="Verdana" w:eastAsia="Calibri" w:hAnsi="Verdana" w:cs="Arial"/>
          <w:b/>
          <w:bCs/>
          <w:color w:val="000000"/>
          <w:kern w:val="2"/>
          <w:sz w:val="20"/>
          <w:szCs w:val="20"/>
          <w:lang w:val="es-ES_tradnl"/>
          <w14:ligatures w14:val="standardContextual"/>
        </w:rPr>
        <w:t xml:space="preserve"> </w:t>
      </w:r>
    </w:p>
    <w:p w14:paraId="7E0678C2" w14:textId="77777777" w:rsidR="008C55D6" w:rsidRPr="008C55D6" w:rsidRDefault="008C55D6" w:rsidP="008C55D6">
      <w:pPr>
        <w:spacing w:after="0" w:line="240" w:lineRule="auto"/>
        <w:jc w:val="both"/>
        <w:rPr>
          <w:rFonts w:ascii="Verdana" w:eastAsia="Calibri" w:hAnsi="Verdana" w:cs="Arial"/>
          <w:color w:val="000000"/>
          <w:kern w:val="2"/>
          <w:sz w:val="20"/>
          <w:szCs w:val="20"/>
          <w:lang w:val="es-ES"/>
          <w14:ligatures w14:val="standardContextual"/>
        </w:rPr>
      </w:pPr>
      <w:r w:rsidRPr="6A30190A">
        <w:rPr>
          <w:rFonts w:ascii="Verdana" w:eastAsia="Calibri" w:hAnsi="Verdana" w:cs="Arial"/>
          <w:color w:val="000000"/>
          <w:kern w:val="2"/>
          <w:sz w:val="20"/>
          <w:szCs w:val="20"/>
          <w:lang w:val="es-ES"/>
          <w14:ligatures w14:val="standardContextual"/>
        </w:rPr>
        <w:t xml:space="preserve">La obligación de instalar un bien mueble en un inmueble –convirtiendo a aquel en un inmueble por adhesión o por destinación– </w:t>
      </w:r>
      <w:r w:rsidRPr="6A30190A">
        <w:rPr>
          <w:rFonts w:ascii="Verdana" w:eastAsia="Calibri" w:hAnsi="Verdana" w:cs="Arial"/>
          <w:i/>
          <w:color w:val="000000"/>
          <w:kern w:val="2"/>
          <w:sz w:val="20"/>
          <w:szCs w:val="20"/>
          <w:lang w:val="es-ES"/>
          <w14:ligatures w14:val="standardContextual"/>
        </w:rPr>
        <w:t>no</w:t>
      </w:r>
      <w:r w:rsidRPr="6A30190A">
        <w:rPr>
          <w:rFonts w:ascii="Verdana" w:eastAsia="Calibri" w:hAnsi="Verdana" w:cs="Arial"/>
          <w:color w:val="000000"/>
          <w:kern w:val="2"/>
          <w:sz w:val="20"/>
          <w:szCs w:val="20"/>
          <w:lang w:val="es-ES"/>
          <w14:ligatures w14:val="standardContextual"/>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–para lo cual un criterio puede ser cuál es la prestación que tiene el mayor valor–, </w:t>
      </w:r>
      <w:proofErr w:type="spellStart"/>
      <w:r w:rsidRPr="6A30190A">
        <w:rPr>
          <w:rFonts w:ascii="Verdana" w:eastAsia="Calibri" w:hAnsi="Verdana" w:cs="Arial"/>
          <w:color w:val="000000"/>
          <w:kern w:val="2"/>
          <w:sz w:val="20"/>
          <w:szCs w:val="20"/>
          <w:lang w:val="es-ES"/>
          <w14:ligatures w14:val="standardContextual"/>
        </w:rPr>
        <w:t>ii</w:t>
      </w:r>
      <w:proofErr w:type="spellEnd"/>
      <w:r w:rsidRPr="6A30190A">
        <w:rPr>
          <w:rFonts w:ascii="Verdana" w:eastAsia="Calibri" w:hAnsi="Verdana" w:cs="Arial"/>
          <w:color w:val="000000"/>
          <w:kern w:val="2"/>
          <w:sz w:val="20"/>
          <w:szCs w:val="20"/>
          <w:lang w:val="es-ES"/>
          <w14:ligatures w14:val="standardContextual"/>
        </w:rPr>
        <w:t xml:space="preserve">) la finalidad de las partes y </w:t>
      </w:r>
      <w:proofErr w:type="spellStart"/>
      <w:r w:rsidRPr="6A30190A">
        <w:rPr>
          <w:rFonts w:ascii="Verdana" w:eastAsia="Calibri" w:hAnsi="Verdana" w:cs="Arial"/>
          <w:color w:val="000000"/>
          <w:kern w:val="2"/>
          <w:sz w:val="20"/>
          <w:szCs w:val="20"/>
          <w:lang w:val="es-ES"/>
          <w14:ligatures w14:val="standardContextual"/>
        </w:rPr>
        <w:t>iii</w:t>
      </w:r>
      <w:proofErr w:type="spellEnd"/>
      <w:r w:rsidRPr="6A30190A">
        <w:rPr>
          <w:rFonts w:ascii="Verdana" w:eastAsia="Calibri" w:hAnsi="Verdana" w:cs="Arial"/>
          <w:color w:val="000000"/>
          <w:kern w:val="2"/>
          <w:sz w:val="20"/>
          <w:szCs w:val="20"/>
          <w:lang w:val="es-ES"/>
          <w14:ligatures w14:val="standardContextual"/>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considerando los datos técnicos y económicos del objeto contractual.</w:t>
      </w:r>
    </w:p>
    <w:p w14:paraId="5953971F" w14:textId="77777777" w:rsidR="008C55D6" w:rsidRPr="008C55D6" w:rsidRDefault="008C55D6" w:rsidP="008C55D6">
      <w:pPr>
        <w:spacing w:after="0" w:line="240" w:lineRule="auto"/>
        <w:jc w:val="both"/>
        <w:rPr>
          <w:rFonts w:ascii="Verdana" w:eastAsia="Calibri" w:hAnsi="Verdana" w:cs="Arial"/>
          <w:color w:val="000000"/>
          <w:kern w:val="2"/>
          <w:sz w:val="20"/>
          <w:szCs w:val="20"/>
          <w:lang w:val="es-ES_tradnl"/>
          <w14:ligatures w14:val="standardContextual"/>
        </w:rPr>
      </w:pPr>
    </w:p>
    <w:p w14:paraId="76D968A2" w14:textId="77777777" w:rsidR="008C55D6" w:rsidRPr="008C55D6" w:rsidRDefault="008C55D6" w:rsidP="008C55D6">
      <w:pPr>
        <w:spacing w:after="0" w:line="240" w:lineRule="auto"/>
        <w:jc w:val="both"/>
        <w:rPr>
          <w:rFonts w:ascii="Verdana" w:eastAsia="Calibri" w:hAnsi="Verdana" w:cs="Arial"/>
          <w:b/>
          <w:bCs/>
          <w:color w:val="000000"/>
          <w:kern w:val="2"/>
          <w:lang w:val="es-ES_tradnl"/>
          <w14:ligatures w14:val="standardContextual"/>
        </w:rPr>
      </w:pPr>
      <w:r w:rsidRPr="008C55D6">
        <w:rPr>
          <w:rFonts w:ascii="Verdana" w:eastAsia="Calibri" w:hAnsi="Verdana" w:cs="Arial"/>
          <w:b/>
          <w:bCs/>
          <w:color w:val="000000"/>
          <w:kern w:val="2"/>
          <w:lang w:val="es-ES_tradnl"/>
          <w14:ligatures w14:val="standardContextual"/>
        </w:rPr>
        <w:t>INSTALACIÓN – Obra – Aplicación – Documentos tipo – Sector Institucional</w:t>
      </w:r>
    </w:p>
    <w:p w14:paraId="0D901008" w14:textId="77777777" w:rsidR="008C55D6" w:rsidRPr="008C55D6" w:rsidRDefault="008C55D6" w:rsidP="008C55D6">
      <w:pPr>
        <w:spacing w:after="0" w:line="240" w:lineRule="auto"/>
        <w:jc w:val="both"/>
        <w:rPr>
          <w:rFonts w:ascii="Verdana" w:eastAsia="Calibri" w:hAnsi="Verdana" w:cs="Arial"/>
          <w:color w:val="000000"/>
          <w:kern w:val="2"/>
          <w:sz w:val="20"/>
          <w:szCs w:val="20"/>
          <w:lang w:val="es-ES_tradnl"/>
          <w14:ligatures w14:val="standardContextual"/>
        </w:rPr>
      </w:pPr>
    </w:p>
    <w:p w14:paraId="6AC3BC13" w14:textId="77777777" w:rsidR="008C55D6" w:rsidRPr="008C55D6" w:rsidRDefault="008C55D6" w:rsidP="008C55D6">
      <w:pPr>
        <w:spacing w:after="120" w:line="276" w:lineRule="auto"/>
        <w:jc w:val="both"/>
        <w:rPr>
          <w:rFonts w:ascii="Verdana" w:eastAsia="Times New Roman" w:hAnsi="Verdana" w:cs="Times New Roman"/>
          <w:color w:val="000000"/>
          <w:sz w:val="20"/>
          <w:szCs w:val="20"/>
          <w:lang w:eastAsia="es-CO"/>
        </w:rPr>
      </w:pPr>
      <w:r w:rsidRPr="008C55D6">
        <w:rPr>
          <w:rFonts w:ascii="Verdana" w:eastAsia="Calibri" w:hAnsi="Verdana" w:cs="Arial"/>
          <w:sz w:val="20"/>
          <w:szCs w:val="20"/>
          <w:lang w:val="es-ES" w:eastAsia="es-ES_tradnl"/>
        </w:rPr>
        <w:t xml:space="preserve">En este contexto, </w:t>
      </w:r>
      <w:r w:rsidRPr="008C55D6">
        <w:rPr>
          <w:rFonts w:ascii="Verdana" w:eastAsia="Aptos" w:hAnsi="Verdana" w:cs="Arial"/>
          <w:kern w:val="2"/>
          <w:sz w:val="20"/>
          <w:szCs w:val="20"/>
          <w:lang w:eastAsia="es-ES_tradnl"/>
          <w14:ligatures w14:val="standardContextual"/>
        </w:rPr>
        <w:t xml:space="preserve">no es posible afirmar de manera categórica que el suministro e instalación de </w:t>
      </w:r>
      <w:r w:rsidRPr="008C55D6">
        <w:rPr>
          <w:rFonts w:ascii="Verdana" w:eastAsia="Times New Roman" w:hAnsi="Verdana" w:cs="Times New Roman"/>
          <w:color w:val="000000"/>
          <w:sz w:val="20"/>
          <w:szCs w:val="20"/>
          <w:lang w:eastAsia="es-CO"/>
        </w:rPr>
        <w:t xml:space="preserve">sistemas de aires acondicionadas o sistemas de ventilación o similar sobre </w:t>
      </w:r>
      <w:r w:rsidRPr="008C55D6">
        <w:rPr>
          <w:rFonts w:ascii="Verdana" w:eastAsia="Aptos" w:hAnsi="Verdana" w:cs="Arial"/>
          <w:kern w:val="2"/>
          <w:sz w:val="20"/>
          <w:szCs w:val="20"/>
          <w:lang w:eastAsia="es-ES_tradnl"/>
          <w14:ligatures w14:val="standardContextual"/>
        </w:rPr>
        <w:lastRenderedPageBreak/>
        <w:t xml:space="preserve">un inmueble que tiene la categoría de infraestructura educativa deba clasificarse, en todos los casos, como un contrato de obra pública para efecto de la utilización de los Documentos Tipo </w:t>
      </w:r>
      <w:r w:rsidRPr="008C55D6">
        <w:rPr>
          <w:rFonts w:ascii="Verdana" w:eastAsia="Times New Roman" w:hAnsi="Verdana" w:cs="Times New Roman"/>
          <w:color w:val="000000"/>
          <w:sz w:val="20"/>
          <w:szCs w:val="20"/>
          <w:lang w:eastAsia="es-CO"/>
        </w:rPr>
        <w:t>del Sector Institucional</w:t>
      </w:r>
      <w:r w:rsidRPr="008C55D6">
        <w:rPr>
          <w:rFonts w:ascii="Verdana" w:eastAsia="Aptos" w:hAnsi="Verdana" w:cs="Arial"/>
          <w:kern w:val="2"/>
          <w:sz w:val="20"/>
          <w:szCs w:val="20"/>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72131571"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612A8982" w14:textId="77777777" w:rsidR="008C55D6" w:rsidRPr="008C55D6" w:rsidRDefault="008C55D6" w:rsidP="008C55D6">
      <w:pPr>
        <w:spacing w:after="0" w:line="240" w:lineRule="auto"/>
        <w:jc w:val="both"/>
        <w:rPr>
          <w:rFonts w:ascii="Verdana" w:eastAsia="Calibri" w:hAnsi="Verdana" w:cs="Arial"/>
          <w:sz w:val="20"/>
          <w:szCs w:val="20"/>
          <w:lang w:eastAsia="es-ES_tradnl"/>
        </w:rPr>
      </w:pPr>
      <w:r w:rsidRPr="008C55D6">
        <w:rPr>
          <w:rFonts w:ascii="Verdana" w:eastAsia="Calibri" w:hAnsi="Verdana" w:cs="Arial"/>
          <w:sz w:val="20"/>
          <w:szCs w:val="20"/>
          <w:lang w:eastAsia="es-ES_tradnl"/>
        </w:rPr>
        <w:t>(…)</w:t>
      </w:r>
    </w:p>
    <w:p w14:paraId="37EA2B00"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2D80729F" w14:textId="77777777" w:rsidR="008C55D6" w:rsidRPr="008C55D6" w:rsidRDefault="008C55D6" w:rsidP="008C55D6">
      <w:pPr>
        <w:spacing w:after="0" w:line="240" w:lineRule="auto"/>
        <w:jc w:val="both"/>
        <w:rPr>
          <w:rFonts w:ascii="Verdana" w:eastAsia="Calibri" w:hAnsi="Verdana" w:cs="Arial"/>
          <w:sz w:val="20"/>
          <w:szCs w:val="20"/>
          <w:lang w:eastAsia="es-ES_tradnl"/>
        </w:rPr>
      </w:pPr>
      <w:r w:rsidRPr="008C55D6">
        <w:rPr>
          <w:rFonts w:ascii="Verdana" w:eastAsia="Calibri" w:hAnsi="Verdana" w:cs="Arial"/>
          <w:sz w:val="20"/>
          <w:szCs w:val="20"/>
          <w:lang w:eastAsia="es-ES_tradnl"/>
        </w:rPr>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33BA0C83"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37ED3C3"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338E8EF9"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7F0FA398"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160406D1"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3386387F"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3F323F4C"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5B31450"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421F0266"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3AABEBE1"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7084F4FF"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37B7C7CF"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20791CB4"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614EEA53"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2B805030"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749119B3"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7D93E72D"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2E18B2FE"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49787AE"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443CC3AD"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6A2B96CB"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2544C682"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5A803E1E"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4DBFD63"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6947571"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086A258E"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6B2F6038"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138B47EC" w14:textId="77777777" w:rsidR="008C55D6" w:rsidRPr="008C55D6" w:rsidRDefault="008C55D6" w:rsidP="008C55D6">
      <w:pPr>
        <w:spacing w:after="0" w:line="240" w:lineRule="auto"/>
        <w:jc w:val="both"/>
        <w:rPr>
          <w:rFonts w:ascii="Verdana" w:eastAsia="Calibri" w:hAnsi="Verdana" w:cs="Arial"/>
          <w:sz w:val="20"/>
          <w:szCs w:val="20"/>
          <w:lang w:eastAsia="es-ES_tradnl"/>
        </w:rPr>
      </w:pPr>
    </w:p>
    <w:p w14:paraId="6C15A311" w14:textId="61E46E5F" w:rsidR="008C55D6" w:rsidRDefault="008C55D6" w:rsidP="008C55D6">
      <w:pPr>
        <w:spacing w:after="0" w:line="240" w:lineRule="auto"/>
        <w:rPr>
          <w:rFonts w:ascii="Verdana" w:eastAsia="Aptos" w:hAnsi="Verdana" w:cs="Times New Roman"/>
          <w:kern w:val="2"/>
          <w14:ligatures w14:val="standardContextual"/>
        </w:rPr>
      </w:pPr>
      <w:r w:rsidRPr="008C55D6">
        <w:rPr>
          <w:rFonts w:ascii="Verdana" w:eastAsia="Aptos" w:hAnsi="Verdana" w:cs="Times New Roman"/>
          <w:kern w:val="2"/>
          <w14:ligatures w14:val="standardContextual"/>
        </w:rPr>
        <w:lastRenderedPageBreak/>
        <w:t xml:space="preserve">Bogotá D.C., </w:t>
      </w:r>
      <w:r w:rsidR="00C8269C">
        <w:rPr>
          <w:rFonts w:ascii="Verdana" w:eastAsia="Aptos" w:hAnsi="Verdana" w:cs="Times New Roman"/>
          <w:kern w:val="2"/>
          <w14:ligatures w14:val="standardContextual"/>
        </w:rPr>
        <w:t>08 de abril de 2026</w:t>
      </w:r>
    </w:p>
    <w:p w14:paraId="0CA61742" w14:textId="67BD60EC" w:rsidR="00C8269C" w:rsidRDefault="00C8269C" w:rsidP="008C55D6">
      <w:pPr>
        <w:spacing w:after="0" w:line="240" w:lineRule="auto"/>
        <w:rPr>
          <w:rFonts w:ascii="Verdana" w:eastAsia="Aptos" w:hAnsi="Verdana" w:cs="Times New Roman"/>
          <w:kern w:val="2"/>
          <w14:ligatures w14:val="standardContextual"/>
        </w:rPr>
      </w:pPr>
    </w:p>
    <w:p w14:paraId="02E6A067" w14:textId="76C58136" w:rsidR="00C8269C" w:rsidRPr="008C55D6" w:rsidRDefault="00C8269C" w:rsidP="000029FA">
      <w:pPr>
        <w:spacing w:after="0" w:line="240" w:lineRule="auto"/>
        <w:jc w:val="right"/>
        <w:rPr>
          <w:rFonts w:ascii="Verdana" w:eastAsia="Aptos" w:hAnsi="Verdana" w:cs="Times New Roman"/>
          <w:kern w:val="2"/>
          <w14:ligatures w14:val="standardContextual"/>
        </w:rPr>
      </w:pPr>
    </w:p>
    <w:p w14:paraId="151DAE2D" w14:textId="66A909F7" w:rsidR="008C55D6" w:rsidRPr="008C55D6" w:rsidRDefault="00907469" w:rsidP="008C55D6">
      <w:pPr>
        <w:spacing w:after="0" w:line="240" w:lineRule="auto"/>
        <w:rPr>
          <w:rFonts w:ascii="Verdana" w:eastAsia="Calibri" w:hAnsi="Verdana" w:cs="Arial"/>
          <w:lang w:val="es-ES" w:eastAsia="es-ES"/>
        </w:rPr>
      </w:pPr>
      <w:r w:rsidRPr="00C8269C">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4DBF71B4" wp14:editId="50C6FCE2">
            <wp:simplePos x="0" y="0"/>
            <wp:positionH relativeFrom="column">
              <wp:posOffset>2966720</wp:posOffset>
            </wp:positionH>
            <wp:positionV relativeFrom="paragraph">
              <wp:posOffset>8890</wp:posOffset>
            </wp:positionV>
            <wp:extent cx="2339975" cy="808355"/>
            <wp:effectExtent l="0" t="0" r="3175" b="0"/>
            <wp:wrapSquare wrapText="bothSides"/>
            <wp:docPr id="13203869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386988" name=""/>
                    <pic:cNvPicPr/>
                  </pic:nvPicPr>
                  <pic:blipFill>
                    <a:blip r:embed="rId10">
                      <a:extLst>
                        <a:ext uri="{28A0092B-C50C-407E-A947-70E740481C1C}">
                          <a14:useLocalDpi xmlns:a14="http://schemas.microsoft.com/office/drawing/2010/main" val="0"/>
                        </a:ext>
                      </a:extLst>
                    </a:blip>
                    <a:stretch>
                      <a:fillRect/>
                    </a:stretch>
                  </pic:blipFill>
                  <pic:spPr>
                    <a:xfrm>
                      <a:off x="0" y="0"/>
                      <a:ext cx="2339975" cy="808355"/>
                    </a:xfrm>
                    <a:prstGeom prst="rect">
                      <a:avLst/>
                    </a:prstGeom>
                  </pic:spPr>
                </pic:pic>
              </a:graphicData>
            </a:graphic>
            <wp14:sizeRelH relativeFrom="margin">
              <wp14:pctWidth>0</wp14:pctWidth>
            </wp14:sizeRelH>
            <wp14:sizeRelV relativeFrom="margin">
              <wp14:pctHeight>0</wp14:pctHeight>
            </wp14:sizeRelV>
          </wp:anchor>
        </w:drawing>
      </w:r>
    </w:p>
    <w:p w14:paraId="2EAFB683" w14:textId="79FC7F35" w:rsidR="008C55D6" w:rsidRPr="008C55D6" w:rsidRDefault="008C55D6" w:rsidP="008C55D6">
      <w:pPr>
        <w:spacing w:after="0" w:line="240" w:lineRule="auto"/>
        <w:rPr>
          <w:rFonts w:ascii="Verdana" w:eastAsia="Calibri" w:hAnsi="Verdana" w:cs="Arial"/>
          <w:lang w:val="es-ES" w:eastAsia="es-ES"/>
        </w:rPr>
      </w:pPr>
      <w:r w:rsidRPr="008C55D6">
        <w:rPr>
          <w:rFonts w:ascii="Verdana" w:eastAsia="Calibri" w:hAnsi="Verdana" w:cs="Arial"/>
          <w:lang w:val="es-ES" w:eastAsia="es-ES"/>
        </w:rPr>
        <w:t>Señora</w:t>
      </w:r>
    </w:p>
    <w:p w14:paraId="25F981FA" w14:textId="77777777" w:rsidR="008C55D6" w:rsidRPr="008C55D6" w:rsidRDefault="008C55D6" w:rsidP="008C55D6">
      <w:pPr>
        <w:spacing w:after="0" w:line="240" w:lineRule="auto"/>
        <w:rPr>
          <w:rFonts w:ascii="Verdana" w:eastAsia="Aptos" w:hAnsi="Verdana" w:cs="Times New Roman"/>
          <w:b/>
          <w:bCs/>
          <w:kern w:val="2"/>
          <w14:ligatures w14:val="standardContextual"/>
        </w:rPr>
      </w:pPr>
      <w:r w:rsidRPr="008C55D6">
        <w:rPr>
          <w:rFonts w:ascii="Verdana" w:eastAsia="Aptos" w:hAnsi="Verdana" w:cs="Times New Roman"/>
          <w:b/>
          <w:bCs/>
          <w:kern w:val="2"/>
          <w14:ligatures w14:val="standardContextual"/>
        </w:rPr>
        <w:t>Andrea García</w:t>
      </w:r>
    </w:p>
    <w:p w14:paraId="6FFC2B1C" w14:textId="77777777" w:rsidR="008C55D6" w:rsidRPr="008C55D6" w:rsidRDefault="008C55D6" w:rsidP="008C55D6">
      <w:pPr>
        <w:spacing w:after="0" w:line="240" w:lineRule="auto"/>
        <w:rPr>
          <w:rFonts w:ascii="Verdana" w:eastAsia="Aptos" w:hAnsi="Verdana" w:cs="Times New Roman"/>
          <w:kern w:val="2"/>
          <w14:ligatures w14:val="standardContextual"/>
        </w:rPr>
      </w:pPr>
      <w:hyperlink r:id="rId11" w:history="1">
        <w:r w:rsidRPr="008C55D6">
          <w:rPr>
            <w:rFonts w:ascii="Verdana" w:eastAsia="Aptos" w:hAnsi="Verdana" w:cs="Times New Roman"/>
            <w:color w:val="0000FF"/>
            <w:kern w:val="2"/>
            <w:u w:val="single"/>
            <w14:ligatures w14:val="standardContextual"/>
          </w:rPr>
          <w:t>andreagarcia1781@hotmail.com</w:t>
        </w:r>
      </w:hyperlink>
      <w:r w:rsidRPr="008C55D6">
        <w:rPr>
          <w:rFonts w:ascii="Verdana" w:eastAsia="Aptos" w:hAnsi="Verdana" w:cs="Times New Roman"/>
          <w:kern w:val="2"/>
          <w14:ligatures w14:val="standardContextual"/>
        </w:rPr>
        <w:t xml:space="preserve"> </w:t>
      </w:r>
    </w:p>
    <w:p w14:paraId="380EC277" w14:textId="77777777" w:rsidR="008C55D6" w:rsidRPr="008C55D6" w:rsidRDefault="008C55D6" w:rsidP="008C55D6">
      <w:pPr>
        <w:spacing w:after="0" w:line="240" w:lineRule="auto"/>
        <w:rPr>
          <w:rFonts w:ascii="Verdana" w:eastAsia="Calibri" w:hAnsi="Verdana" w:cs="Arial"/>
          <w:lang w:val="es-ES_tradnl" w:eastAsia="es-ES_tradnl"/>
        </w:rPr>
      </w:pPr>
      <w:r w:rsidRPr="008C55D6">
        <w:rPr>
          <w:rFonts w:ascii="Verdana" w:eastAsia="Calibri" w:hAnsi="Verdana" w:cs="Arial"/>
          <w:lang w:val="es-ES_tradnl" w:eastAsia="es-ES_tradnl"/>
        </w:rPr>
        <w:t xml:space="preserve">Ciudad </w:t>
      </w:r>
    </w:p>
    <w:p w14:paraId="29471B49" w14:textId="77777777" w:rsidR="008C55D6" w:rsidRPr="008C55D6" w:rsidRDefault="008C55D6" w:rsidP="008C55D6">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5958"/>
      </w:tblGrid>
      <w:tr w:rsidR="008C55D6" w:rsidRPr="008C55D6" w14:paraId="0C984880" w14:textId="77777777" w:rsidTr="008A62F8">
        <w:trPr>
          <w:trHeight w:val="229"/>
        </w:trPr>
        <w:tc>
          <w:tcPr>
            <w:tcW w:w="2410" w:type="dxa"/>
          </w:tcPr>
          <w:p w14:paraId="27EE8102" w14:textId="77777777" w:rsidR="008C55D6" w:rsidRPr="008C55D6" w:rsidRDefault="008C55D6" w:rsidP="008C55D6">
            <w:pPr>
              <w:jc w:val="both"/>
              <w:rPr>
                <w:rFonts w:ascii="Verdana" w:eastAsia="Calibri" w:hAnsi="Verdana" w:cs="Arial"/>
                <w:b/>
                <w:bCs/>
                <w:lang w:val="es-ES_tradnl" w:eastAsia="es-ES_tradnl"/>
              </w:rPr>
            </w:pPr>
          </w:p>
        </w:tc>
        <w:tc>
          <w:tcPr>
            <w:tcW w:w="5958" w:type="dxa"/>
          </w:tcPr>
          <w:p w14:paraId="03D7FA21" w14:textId="77777777" w:rsidR="008C55D6" w:rsidRPr="008C55D6" w:rsidRDefault="008C55D6" w:rsidP="008C55D6">
            <w:pPr>
              <w:jc w:val="both"/>
              <w:rPr>
                <w:rFonts w:ascii="Verdana" w:eastAsia="Calibri" w:hAnsi="Verdana" w:cs="Arial"/>
                <w:b/>
                <w:bCs/>
                <w:lang w:val="es-ES" w:eastAsia="es-ES"/>
              </w:rPr>
            </w:pPr>
            <w:r w:rsidRPr="008C55D6">
              <w:rPr>
                <w:rFonts w:ascii="Verdana" w:eastAsia="Calibri" w:hAnsi="Verdana" w:cs="Arial"/>
                <w:b/>
                <w:bCs/>
                <w:lang w:val="es-ES" w:eastAsia="es-ES"/>
              </w:rPr>
              <w:t xml:space="preserve">Concepto </w:t>
            </w:r>
            <w:bookmarkStart w:id="0" w:name="OLE_LINK1"/>
            <w:r w:rsidRPr="008C55D6">
              <w:rPr>
                <w:rFonts w:ascii="Verdana" w:eastAsia="Calibri" w:hAnsi="Verdana" w:cs="Arial"/>
                <w:b/>
                <w:bCs/>
                <w:lang w:val="es-ES" w:eastAsia="es-ES"/>
              </w:rPr>
              <w:t>C-365 de 2026</w:t>
            </w:r>
            <w:bookmarkEnd w:id="0"/>
          </w:p>
          <w:p w14:paraId="0FA373A5" w14:textId="77777777" w:rsidR="008C55D6" w:rsidRPr="008C55D6" w:rsidRDefault="008C55D6" w:rsidP="008C55D6">
            <w:pPr>
              <w:jc w:val="both"/>
              <w:rPr>
                <w:rFonts w:ascii="Verdana" w:eastAsia="Calibri" w:hAnsi="Verdana" w:cs="Arial"/>
                <w:b/>
                <w:bCs/>
                <w:lang w:val="es-ES" w:eastAsia="es-ES"/>
              </w:rPr>
            </w:pPr>
          </w:p>
        </w:tc>
      </w:tr>
      <w:tr w:rsidR="008C55D6" w:rsidRPr="008C55D6" w14:paraId="60EF9DF1" w14:textId="77777777" w:rsidTr="008A62F8">
        <w:trPr>
          <w:trHeight w:val="884"/>
        </w:trPr>
        <w:tc>
          <w:tcPr>
            <w:tcW w:w="2410" w:type="dxa"/>
          </w:tcPr>
          <w:p w14:paraId="49221BE2" w14:textId="77777777" w:rsidR="008C55D6" w:rsidRPr="008C55D6" w:rsidRDefault="008C55D6" w:rsidP="008C55D6">
            <w:pPr>
              <w:jc w:val="both"/>
              <w:rPr>
                <w:rFonts w:ascii="Verdana" w:eastAsia="Calibri" w:hAnsi="Verdana" w:cs="Arial"/>
                <w:lang w:val="es-ES_tradnl" w:eastAsia="es-ES_tradnl"/>
              </w:rPr>
            </w:pPr>
            <w:r w:rsidRPr="008C55D6">
              <w:rPr>
                <w:rFonts w:ascii="Verdana" w:eastAsia="Calibri" w:hAnsi="Verdana" w:cs="Arial"/>
                <w:b/>
                <w:lang w:val="es-ES_tradnl" w:eastAsia="es-ES_tradnl"/>
              </w:rPr>
              <w:t>Temas:</w:t>
            </w:r>
            <w:r w:rsidRPr="008C55D6">
              <w:rPr>
                <w:rFonts w:ascii="Verdana" w:eastAsia="Calibri" w:hAnsi="Verdana" w:cs="Arial"/>
                <w:lang w:val="es-ES_tradnl" w:eastAsia="es-ES_tradnl"/>
              </w:rPr>
              <w:t xml:space="preserve">                   </w:t>
            </w:r>
          </w:p>
        </w:tc>
        <w:tc>
          <w:tcPr>
            <w:tcW w:w="5958" w:type="dxa"/>
          </w:tcPr>
          <w:p w14:paraId="3C948E95" w14:textId="77777777" w:rsidR="008C55D6" w:rsidRPr="008C55D6" w:rsidRDefault="008C55D6" w:rsidP="008C55D6">
            <w:pPr>
              <w:jc w:val="both"/>
              <w:rPr>
                <w:rFonts w:ascii="Verdana" w:eastAsia="Calibri" w:hAnsi="Verdana" w:cs="Times New Roman"/>
                <w:b/>
                <w:bCs/>
                <w:lang w:val="es-ES"/>
              </w:rPr>
            </w:pPr>
            <w:r w:rsidRPr="008C55D6">
              <w:rPr>
                <w:rFonts w:ascii="Verdana" w:eastAsia="Calibri" w:hAnsi="Verdana" w:cs="Arial"/>
                <w:lang w:val="es-ES_tradnl"/>
              </w:rPr>
              <w:t>DOCUMENTOS TIPO – Fundamento normativo – Obligatoriedad / SECTOR SOCIAL</w:t>
            </w:r>
            <w:r w:rsidRPr="008C55D6">
              <w:rPr>
                <w:rFonts w:ascii="Verdana" w:eastAsia="Calibri" w:hAnsi="Verdana" w:cs="Times New Roman"/>
                <w:lang w:val="es-ES"/>
              </w:rPr>
              <w:t xml:space="preserve"> – Documentos tipo – Vigentes / DOCUMENTOS TIPO – Aplicación – Matriz de Experiencia / DOCUMENTOS TIPO – Sector Institucional – Actividad – Suministro e instalación – Alcance / SECTOR INSTITUCIONAL – Documentos tipo – Mantenimientos – Preventivos – Correctivos – Aires acondicionados – Aplicación</w:t>
            </w:r>
            <w:r w:rsidRPr="008C55D6">
              <w:rPr>
                <w:rFonts w:ascii="Verdana" w:eastAsia="Calibri" w:hAnsi="Verdana" w:cs="Times New Roman"/>
                <w:b/>
                <w:bCs/>
                <w:lang w:val="es-ES"/>
              </w:rPr>
              <w:t xml:space="preserve"> </w:t>
            </w:r>
            <w:r w:rsidRPr="00B911CB">
              <w:rPr>
                <w:rFonts w:ascii="Verdana" w:eastAsia="Calibri" w:hAnsi="Verdana" w:cs="Times New Roman"/>
                <w:lang w:val="es-ES"/>
              </w:rPr>
              <w:t>/</w:t>
            </w:r>
            <w:r w:rsidRPr="008C55D6">
              <w:rPr>
                <w:rFonts w:ascii="Verdana" w:eastAsia="Calibri" w:hAnsi="Verdana" w:cs="Times New Roman"/>
                <w:lang w:val="es-ES"/>
              </w:rPr>
              <w:t xml:space="preserve"> </w:t>
            </w:r>
            <w:r w:rsidRPr="008C55D6">
              <w:rPr>
                <w:rFonts w:ascii="Verdana" w:eastAsia="Calibri" w:hAnsi="Verdana" w:cs="Arial"/>
                <w:color w:val="000000"/>
                <w:lang w:val="es-ES_tradnl"/>
              </w:rPr>
              <w:t xml:space="preserve">INSTALACIÓN – Obra – Contrato mixto – Prestación principal / INSTALACIÓN – Obra – Aplicación – Documentos tipo – Sector Institucional </w:t>
            </w:r>
          </w:p>
          <w:p w14:paraId="2A2ED008" w14:textId="77777777" w:rsidR="008C55D6" w:rsidRPr="008C55D6" w:rsidRDefault="008C55D6" w:rsidP="008C55D6">
            <w:pPr>
              <w:jc w:val="both"/>
              <w:rPr>
                <w:rFonts w:ascii="Verdana" w:eastAsia="Calibri" w:hAnsi="Verdana" w:cs="Arial"/>
                <w:bCs/>
                <w:lang w:val="es-ES" w:eastAsia="es-ES"/>
              </w:rPr>
            </w:pPr>
          </w:p>
        </w:tc>
      </w:tr>
      <w:tr w:rsidR="008C55D6" w:rsidRPr="008C55D6" w14:paraId="47828693" w14:textId="77777777" w:rsidTr="008A62F8">
        <w:tc>
          <w:tcPr>
            <w:tcW w:w="2410" w:type="dxa"/>
          </w:tcPr>
          <w:p w14:paraId="638B1AFD" w14:textId="77777777" w:rsidR="008C55D6" w:rsidRPr="008C55D6" w:rsidRDefault="008C55D6" w:rsidP="008C55D6">
            <w:pPr>
              <w:jc w:val="both"/>
              <w:rPr>
                <w:rFonts w:ascii="Verdana" w:eastAsia="Calibri" w:hAnsi="Verdana" w:cs="Arial"/>
                <w:b/>
                <w:lang w:val="es-ES_tradnl" w:eastAsia="es-ES_tradnl"/>
              </w:rPr>
            </w:pPr>
            <w:r w:rsidRPr="008C55D6">
              <w:rPr>
                <w:rFonts w:ascii="Verdana" w:eastAsia="Calibri" w:hAnsi="Verdana" w:cs="Arial"/>
                <w:b/>
                <w:lang w:val="es-ES_tradnl" w:eastAsia="es-ES_tradnl"/>
              </w:rPr>
              <w:t>Radicación:</w:t>
            </w:r>
            <w:r w:rsidRPr="008C55D6">
              <w:rPr>
                <w:rFonts w:ascii="Verdana" w:eastAsia="Calibri" w:hAnsi="Verdana" w:cs="Arial"/>
                <w:lang w:val="es-ES_tradnl" w:eastAsia="es-ES_tradnl"/>
              </w:rPr>
              <w:t xml:space="preserve">               </w:t>
            </w:r>
          </w:p>
        </w:tc>
        <w:tc>
          <w:tcPr>
            <w:tcW w:w="5958" w:type="dxa"/>
          </w:tcPr>
          <w:p w14:paraId="6A974016" w14:textId="11D3AC61" w:rsidR="008C55D6" w:rsidRPr="008C55D6" w:rsidRDefault="008C55D6" w:rsidP="008C55D6">
            <w:pPr>
              <w:ind w:left="3" w:hanging="3"/>
              <w:jc w:val="both"/>
              <w:rPr>
                <w:rFonts w:ascii="Verdana" w:eastAsia="Calibri" w:hAnsi="Verdana" w:cs="Arial"/>
                <w:lang w:val="es-ES_tradnl" w:eastAsia="es-ES_tradnl"/>
              </w:rPr>
            </w:pPr>
            <w:r w:rsidRPr="008C55D6">
              <w:rPr>
                <w:rFonts w:ascii="Verdana" w:eastAsia="Calibri" w:hAnsi="Verdana" w:cs="Arial"/>
                <w:lang w:val="es-ES_tradnl" w:eastAsia="es-ES_tradnl"/>
              </w:rPr>
              <w:t xml:space="preserve">Respuesta a consultas con radicados Nos. 1_2026_03_05_003079 y </w:t>
            </w:r>
            <w:r w:rsidR="00EF241F" w:rsidRPr="00EF241F">
              <w:rPr>
                <w:rFonts w:ascii="Verdana" w:eastAsia="Calibri" w:hAnsi="Verdana" w:cs="Arial"/>
                <w:lang w:val="es-ES_tradnl" w:eastAsia="es-ES_tradnl"/>
              </w:rPr>
              <w:t>1_2026_03_05_003131</w:t>
            </w:r>
          </w:p>
        </w:tc>
      </w:tr>
    </w:tbl>
    <w:p w14:paraId="75719588" w14:textId="58EC1FDC" w:rsidR="008C55D6" w:rsidRPr="008C55D6" w:rsidRDefault="008C55D6" w:rsidP="008C55D6">
      <w:pPr>
        <w:spacing w:after="0" w:line="240" w:lineRule="auto"/>
        <w:jc w:val="both"/>
        <w:rPr>
          <w:rFonts w:ascii="Verdana" w:eastAsia="Calibri" w:hAnsi="Verdana" w:cs="Arial"/>
          <w:lang w:val="es-ES_tradnl" w:eastAsia="es-ES_tradnl"/>
        </w:rPr>
      </w:pPr>
    </w:p>
    <w:p w14:paraId="21828456" w14:textId="77777777" w:rsidR="008C55D6" w:rsidRPr="008C55D6" w:rsidRDefault="008C55D6" w:rsidP="008C55D6">
      <w:pPr>
        <w:spacing w:after="0" w:line="276" w:lineRule="auto"/>
        <w:jc w:val="both"/>
        <w:rPr>
          <w:rFonts w:ascii="Verdana" w:eastAsia="Calibri" w:hAnsi="Verdana" w:cs="Arial"/>
          <w:lang w:val="es-ES" w:eastAsia="es-ES"/>
        </w:rPr>
      </w:pPr>
      <w:r w:rsidRPr="008C55D6">
        <w:rPr>
          <w:rFonts w:ascii="Verdana" w:eastAsia="Calibri" w:hAnsi="Verdana" w:cs="Arial"/>
          <w:lang w:val="es-ES" w:eastAsia="es-ES"/>
        </w:rPr>
        <w:t>Estimada señora</w:t>
      </w:r>
      <w:r w:rsidRPr="008C55D6">
        <w:rPr>
          <w:rFonts w:ascii="Verdana" w:eastAsia="Aptos" w:hAnsi="Verdana" w:cs="Times New Roman"/>
          <w:kern w:val="2"/>
          <w14:ligatures w14:val="standardContextual"/>
        </w:rPr>
        <w:t xml:space="preserve"> García</w:t>
      </w:r>
      <w:r w:rsidRPr="008C55D6">
        <w:rPr>
          <w:rFonts w:ascii="Verdana" w:eastAsia="Calibri" w:hAnsi="Verdana" w:cs="Arial"/>
          <w:lang w:val="es-ES" w:eastAsia="es-ES"/>
        </w:rPr>
        <w:t xml:space="preserve">: </w:t>
      </w:r>
    </w:p>
    <w:p w14:paraId="271B895F" w14:textId="77777777" w:rsidR="008C55D6" w:rsidRPr="008C55D6" w:rsidRDefault="008C55D6" w:rsidP="008C55D6">
      <w:pPr>
        <w:tabs>
          <w:tab w:val="left" w:pos="3768"/>
        </w:tabs>
        <w:spacing w:after="0" w:line="276" w:lineRule="auto"/>
        <w:jc w:val="both"/>
        <w:rPr>
          <w:rFonts w:ascii="Verdana" w:eastAsia="Calibri" w:hAnsi="Verdana" w:cs="Arial"/>
          <w:lang w:val="es-ES" w:eastAsia="es-ES"/>
        </w:rPr>
      </w:pPr>
      <w:r w:rsidRPr="008C55D6">
        <w:rPr>
          <w:rFonts w:ascii="Verdana" w:eastAsia="Calibri" w:hAnsi="Verdana" w:cs="Arial"/>
          <w:lang w:val="es-ES" w:eastAsia="es-ES"/>
        </w:rPr>
        <w:tab/>
      </w:r>
    </w:p>
    <w:p w14:paraId="6671C8D7" w14:textId="77777777" w:rsidR="008C55D6" w:rsidRPr="008C55D6" w:rsidRDefault="008C55D6" w:rsidP="008C55D6">
      <w:pPr>
        <w:spacing w:after="0" w:line="276" w:lineRule="auto"/>
        <w:jc w:val="both"/>
        <w:rPr>
          <w:rFonts w:ascii="Verdana" w:eastAsia="Calibri" w:hAnsi="Verdana" w:cs="Arial"/>
          <w:lang w:val="es-ES" w:eastAsia="es-ES"/>
        </w:rPr>
      </w:pPr>
      <w:r w:rsidRPr="008C55D6">
        <w:rPr>
          <w:rFonts w:ascii="Verdana" w:eastAsia="Calibri" w:hAnsi="Verdana" w:cs="Arial"/>
          <w:lang w:val="es-ES" w:eastAsia="es-ES"/>
        </w:rPr>
        <w:t>En ejercicio de la competencia otorgada por los artículos 3, numeral 5º, y 11, numeral 8º, del Decreto Ley 4170 de 2011,</w:t>
      </w:r>
      <w:r w:rsidRPr="008C55D6">
        <w:rPr>
          <w:rFonts w:ascii="Verdana" w:eastAsia="Arial MT" w:hAnsi="Verdana" w:cs="Arial MT"/>
          <w:lang w:val="es-ES" w:eastAsia="es-ES"/>
        </w:rPr>
        <w:t xml:space="preserve"> </w:t>
      </w:r>
      <w:r w:rsidRPr="008C55D6">
        <w:rPr>
          <w:rFonts w:ascii="Verdana" w:eastAsia="Calibri" w:hAnsi="Verdana" w:cs="Arial"/>
        </w:rPr>
        <w:t xml:space="preserve">así como lo establecido por la </w:t>
      </w:r>
      <w:r w:rsidRPr="008C55D6">
        <w:rPr>
          <w:rFonts w:ascii="Verdana" w:eastAsia="Aptos" w:hAnsi="Verdana" w:cs="Arial"/>
          <w:bCs/>
          <w:kern w:val="2"/>
          <w:lang w:eastAsia="es-ES" w:bidi="es-ES"/>
          <w14:ligatures w14:val="standardContextual"/>
        </w:rPr>
        <w:t>Resolución 469 de 2025 expedida por esta Entidad</w:t>
      </w:r>
      <w:r w:rsidRPr="008C55D6">
        <w:rPr>
          <w:rFonts w:ascii="Verdana" w:eastAsia="Calibri" w:hAnsi="Verdana" w:cs="Arial"/>
        </w:rPr>
        <w:t xml:space="preserve">, </w:t>
      </w:r>
      <w:r w:rsidRPr="008C55D6">
        <w:rPr>
          <w:rFonts w:ascii="Verdana" w:eastAsia="Calibri" w:hAnsi="Verdana" w:cs="Arial"/>
          <w:lang w:val="es-ES" w:eastAsia="es-ES"/>
        </w:rPr>
        <w:t xml:space="preserve">la Agencia Nacional de Contratación Pública – Colombia Compra Eficiente– responde sus solicitudes de consulta del 05 de marzo de 2026, en la cual manifiesta lo siguiente: </w:t>
      </w:r>
    </w:p>
    <w:p w14:paraId="3632DD50" w14:textId="77777777" w:rsidR="008C55D6" w:rsidRPr="008C55D6" w:rsidRDefault="008C55D6" w:rsidP="008C55D6">
      <w:pPr>
        <w:shd w:val="clear" w:color="auto" w:fill="FFFFFF"/>
        <w:spacing w:after="0" w:line="240" w:lineRule="auto"/>
        <w:jc w:val="both"/>
        <w:rPr>
          <w:rFonts w:ascii="Calibri" w:eastAsia="Times New Roman" w:hAnsi="Calibri" w:cs="Calibri"/>
          <w:color w:val="242424"/>
          <w:lang w:eastAsia="es-MX"/>
        </w:rPr>
      </w:pPr>
      <w:r w:rsidRPr="008C55D6">
        <w:rPr>
          <w:rFonts w:ascii="Arial" w:eastAsia="Times New Roman" w:hAnsi="Arial" w:cs="Arial"/>
          <w:color w:val="242424"/>
          <w:sz w:val="24"/>
          <w:szCs w:val="24"/>
          <w:lang w:eastAsia="es-MX"/>
        </w:rPr>
        <w:t> </w:t>
      </w:r>
    </w:p>
    <w:p w14:paraId="58610D8B" w14:textId="77777777" w:rsidR="008C55D6" w:rsidRPr="008C55D6" w:rsidRDefault="008C55D6" w:rsidP="008C55D6">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8C55D6">
        <w:rPr>
          <w:rFonts w:ascii="Verdana" w:eastAsia="Times New Roman" w:hAnsi="Verdana" w:cs="Arial"/>
          <w:color w:val="242424"/>
          <w:sz w:val="20"/>
          <w:szCs w:val="20"/>
          <w:lang w:eastAsia="es-MX"/>
        </w:rPr>
        <w:t>“</w:t>
      </w:r>
      <w:r w:rsidRPr="008C55D6">
        <w:rPr>
          <w:rFonts w:ascii="Verdana" w:eastAsia="Aptos" w:hAnsi="Verdana" w:cs="Times New Roman"/>
          <w:kern w:val="2"/>
          <w:sz w:val="20"/>
          <w:szCs w:val="20"/>
          <w14:ligatures w14:val="standardContextual"/>
        </w:rPr>
        <w:t xml:space="preserve">¿Resulta obligatorio aplicar pliegos tipo en un proceso de contratación cuyo objeto es la prestación del servicio de mantenimiento preventivo y correctivo de equipos de aire acondicionado instalados en las dependencias de una entidad estatal, considerando que dicha actividad corresponde a un servicio de mantenimiento de bienes y no a un contrato de obra pública? </w:t>
      </w:r>
    </w:p>
    <w:p w14:paraId="1E517247" w14:textId="77777777" w:rsidR="008C55D6" w:rsidRPr="008C55D6" w:rsidRDefault="008C55D6" w:rsidP="008C55D6">
      <w:pPr>
        <w:shd w:val="clear" w:color="auto" w:fill="FFFFFF"/>
        <w:spacing w:after="120" w:line="240" w:lineRule="auto"/>
        <w:ind w:left="709" w:right="709"/>
        <w:jc w:val="both"/>
        <w:rPr>
          <w:rFonts w:ascii="Verdana" w:eastAsia="Times New Roman" w:hAnsi="Verdana" w:cs="Arial"/>
          <w:color w:val="242424"/>
          <w:sz w:val="20"/>
          <w:szCs w:val="20"/>
          <w:lang w:eastAsia="es-MX"/>
        </w:rPr>
      </w:pPr>
      <w:r w:rsidRPr="008C55D6">
        <w:rPr>
          <w:rFonts w:ascii="Verdana" w:eastAsia="Aptos" w:hAnsi="Verdana" w:cs="Times New Roman"/>
          <w:kern w:val="2"/>
          <w:sz w:val="20"/>
          <w:szCs w:val="20"/>
          <w14:ligatures w14:val="standardContextual"/>
        </w:rPr>
        <w:lastRenderedPageBreak/>
        <w:t>En ese sentido, se solicita aclarar si para este tipo de procesos contractuales deben aplicarse los pliegos tipo adoptados por el Gobierno Nacional o si la entidad puede estructurar libremente los documentos del proceso conforme a lo dispuesto en la Ley 80 de 1993, la Ley 1150 de 2007 y el Decreto 1082 de 2015.:</w:t>
      </w:r>
      <w:r w:rsidRPr="008C55D6">
        <w:rPr>
          <w:rFonts w:ascii="Verdana" w:eastAsia="Century Gothic" w:hAnsi="Verdana" w:cs="Arial"/>
          <w:sz w:val="20"/>
          <w:szCs w:val="20"/>
          <w:lang w:eastAsia="es-MX"/>
        </w:rPr>
        <w:t xml:space="preserve">”. </w:t>
      </w:r>
    </w:p>
    <w:p w14:paraId="3599CD09" w14:textId="77777777" w:rsidR="008C55D6" w:rsidRPr="008C55D6" w:rsidRDefault="008C55D6" w:rsidP="008C55D6">
      <w:pPr>
        <w:spacing w:after="0" w:line="240" w:lineRule="auto"/>
        <w:ind w:left="709" w:right="709"/>
        <w:jc w:val="both"/>
        <w:rPr>
          <w:rFonts w:ascii="Arial" w:eastAsia="Aptos" w:hAnsi="Arial" w:cs="Arial"/>
          <w:kern w:val="2"/>
          <w:sz w:val="21"/>
          <w:szCs w:val="21"/>
          <w14:ligatures w14:val="standardContextual"/>
        </w:rPr>
      </w:pPr>
    </w:p>
    <w:p w14:paraId="685B916F" w14:textId="77777777" w:rsidR="008C55D6" w:rsidRPr="008C55D6" w:rsidRDefault="008C55D6" w:rsidP="008C55D6">
      <w:pPr>
        <w:spacing w:after="120" w:line="276" w:lineRule="auto"/>
        <w:ind w:firstLine="709"/>
        <w:jc w:val="both"/>
        <w:rPr>
          <w:rFonts w:ascii="Verdana" w:eastAsia="Calibri" w:hAnsi="Verdana" w:cs="Arial"/>
          <w:color w:val="000000"/>
          <w:kern w:val="2"/>
          <w:lang w:val="es-ES" w:eastAsia="es-ES"/>
          <w14:ligatures w14:val="standardContextual"/>
        </w:rPr>
      </w:pPr>
      <w:r w:rsidRPr="008C55D6">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C55D6">
        <w:rPr>
          <w:rFonts w:ascii="Verdana" w:eastAsia="Calibri" w:hAnsi="Verdana" w:cs="Arial"/>
          <w:color w:val="000000"/>
          <w:kern w:val="2"/>
          <w:lang w:val="es-ES_tradnl" w:eastAsia="es-ES_tradnl"/>
          <w14:ligatures w14:val="standardContextual"/>
        </w:rPr>
        <w:tab/>
      </w:r>
    </w:p>
    <w:p w14:paraId="1BE72DE3" w14:textId="77777777" w:rsidR="008C55D6" w:rsidRPr="008C55D6" w:rsidRDefault="008C55D6" w:rsidP="008C55D6">
      <w:pPr>
        <w:spacing w:after="0" w:line="276" w:lineRule="auto"/>
        <w:ind w:firstLine="709"/>
        <w:jc w:val="both"/>
        <w:rPr>
          <w:rFonts w:ascii="Verdana" w:eastAsia="Calibri" w:hAnsi="Verdana" w:cs="Arial"/>
          <w:color w:val="000000"/>
          <w:kern w:val="2"/>
          <w:lang w:val="es-ES" w:eastAsia="es-ES"/>
          <w14:ligatures w14:val="standardContextual"/>
        </w:rPr>
      </w:pPr>
      <w:r w:rsidRPr="008C55D6">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8C55D6">
        <w:rPr>
          <w:rFonts w:ascii="Verdana" w:eastAsia="Calibri" w:hAnsi="Verdana" w:cs="Arial"/>
          <w:color w:val="7030A0"/>
          <w:kern w:val="2"/>
          <w:lang w:val="es-ES" w:eastAsia="es-ES"/>
          <w14:ligatures w14:val="standardContextual"/>
        </w:rPr>
        <w:t xml:space="preserve"> </w:t>
      </w:r>
      <w:r w:rsidRPr="008C55D6">
        <w:rPr>
          <w:rFonts w:ascii="Verdana" w:eastAsia="Calibri" w:hAnsi="Verdana" w:cs="Arial"/>
          <w:color w:val="000000"/>
          <w:kern w:val="2"/>
          <w:lang w:val="es-ES" w:eastAsia="es-ES"/>
          <w14:ligatures w14:val="standardContextual"/>
        </w:rPr>
        <w:t>problema</w:t>
      </w:r>
      <w:r w:rsidRPr="008C55D6">
        <w:rPr>
          <w:rFonts w:ascii="Verdana" w:eastAsia="Calibri" w:hAnsi="Verdana" w:cs="Arial"/>
          <w:color w:val="7030A0"/>
          <w:kern w:val="2"/>
          <w:lang w:val="es-ES" w:eastAsia="es-ES"/>
          <w14:ligatures w14:val="standardContextual"/>
        </w:rPr>
        <w:t xml:space="preserve"> </w:t>
      </w:r>
      <w:r w:rsidRPr="008C55D6">
        <w:rPr>
          <w:rFonts w:ascii="Verdana" w:eastAsia="Calibri" w:hAnsi="Verdana" w:cs="Arial"/>
          <w:color w:val="000000"/>
          <w:kern w:val="2"/>
          <w:lang w:val="es-ES" w:eastAsia="es-ES"/>
          <w14:ligatures w14:val="standardContextual"/>
        </w:rPr>
        <w:t>jurídico</w:t>
      </w:r>
      <w:r w:rsidRPr="008C55D6">
        <w:rPr>
          <w:rFonts w:ascii="Verdana" w:eastAsia="Calibri" w:hAnsi="Verdana" w:cs="Arial"/>
          <w:color w:val="7030A0"/>
          <w:kern w:val="2"/>
          <w:lang w:val="es-ES" w:eastAsia="es-ES"/>
          <w14:ligatures w14:val="standardContextual"/>
        </w:rPr>
        <w:t xml:space="preserve"> </w:t>
      </w:r>
      <w:r w:rsidRPr="008C55D6">
        <w:rPr>
          <w:rFonts w:ascii="Verdana" w:eastAsia="Calibri" w:hAnsi="Verdana" w:cs="Arial"/>
          <w:color w:val="000000"/>
          <w:kern w:val="2"/>
          <w:lang w:val="es-ES" w:eastAsia="es-ES"/>
          <w14:ligatures w14:val="standardContextual"/>
        </w:rPr>
        <w:t xml:space="preserve">de su consulta. </w:t>
      </w:r>
    </w:p>
    <w:p w14:paraId="0ED819C9" w14:textId="77777777" w:rsidR="008C55D6" w:rsidRPr="008C55D6" w:rsidRDefault="008C55D6" w:rsidP="008C55D6">
      <w:pPr>
        <w:spacing w:after="0" w:line="276" w:lineRule="auto"/>
        <w:jc w:val="both"/>
        <w:rPr>
          <w:rFonts w:ascii="Verdana" w:eastAsia="Calibri" w:hAnsi="Verdana" w:cs="Arial"/>
          <w:lang w:val="es-ES" w:eastAsia="es-ES"/>
        </w:rPr>
      </w:pPr>
    </w:p>
    <w:p w14:paraId="1361EFF7" w14:textId="77777777" w:rsidR="008C55D6" w:rsidRPr="008C55D6" w:rsidRDefault="008C55D6" w:rsidP="008C55D6">
      <w:pPr>
        <w:numPr>
          <w:ilvl w:val="0"/>
          <w:numId w:val="17"/>
        </w:numPr>
        <w:tabs>
          <w:tab w:val="left" w:pos="142"/>
          <w:tab w:val="left" w:pos="284"/>
        </w:tabs>
        <w:spacing w:after="0" w:line="276" w:lineRule="auto"/>
        <w:jc w:val="both"/>
        <w:rPr>
          <w:rFonts w:ascii="Verdana" w:eastAsia="Century Gothic" w:hAnsi="Verdana" w:cs="Century Gothic"/>
          <w:b/>
          <w:bCs/>
        </w:rPr>
      </w:pPr>
      <w:r w:rsidRPr="008C55D6">
        <w:rPr>
          <w:rFonts w:ascii="Verdana" w:eastAsia="Century Gothic" w:hAnsi="Verdana" w:cs="Century Gothic"/>
          <w:b/>
          <w:bCs/>
        </w:rPr>
        <w:t>Problema planteado:</w:t>
      </w:r>
    </w:p>
    <w:p w14:paraId="2F3F9632" w14:textId="77777777" w:rsidR="008C55D6" w:rsidRPr="008C55D6" w:rsidRDefault="008C55D6" w:rsidP="008C55D6">
      <w:pPr>
        <w:tabs>
          <w:tab w:val="left" w:pos="426"/>
        </w:tabs>
        <w:spacing w:after="0" w:line="276" w:lineRule="auto"/>
        <w:jc w:val="both"/>
        <w:rPr>
          <w:rFonts w:ascii="Verdana" w:eastAsia="Century Gothic" w:hAnsi="Verdana" w:cs="Century Gothic"/>
          <w:lang w:val="es-ES"/>
        </w:rPr>
      </w:pPr>
    </w:p>
    <w:p w14:paraId="3571D03C" w14:textId="77777777" w:rsidR="008C55D6" w:rsidRPr="008C55D6" w:rsidRDefault="008C55D6" w:rsidP="008C55D6">
      <w:pPr>
        <w:spacing w:after="0" w:line="276" w:lineRule="auto"/>
        <w:jc w:val="both"/>
        <w:rPr>
          <w:rFonts w:ascii="Verdana" w:eastAsia="Calibri" w:hAnsi="Verdana" w:cs="Arial"/>
          <w:bCs/>
          <w:kern w:val="2"/>
          <w:lang w:val="es-ES_tradnl" w:eastAsia="es-ES_tradnl"/>
          <w14:ligatures w14:val="standardContextual"/>
        </w:rPr>
      </w:pPr>
      <w:r w:rsidRPr="008C55D6">
        <w:rPr>
          <w:rFonts w:ascii="Verdana" w:eastAsia="Century Gothic" w:hAnsi="Verdana" w:cs="Century Gothic"/>
        </w:rPr>
        <w:t xml:space="preserve">De acuerdo con el contenido de su solicitud, en relación con los Documentos Tipo del Sector Institucional, esta Agencia resolverá los siguientes problemas jurídicos: i) ¿Cuál es el alcance de la actividad de suministro e instalación contenida en la Matriz 1 – Experiencia Sector Institucional?, </w:t>
      </w:r>
      <w:proofErr w:type="spellStart"/>
      <w:r w:rsidRPr="008C55D6">
        <w:rPr>
          <w:rFonts w:ascii="Verdana" w:eastAsia="Century Gothic" w:hAnsi="Verdana" w:cs="Century Gothic"/>
        </w:rPr>
        <w:t>ii</w:t>
      </w:r>
      <w:proofErr w:type="spellEnd"/>
      <w:r w:rsidRPr="008C55D6">
        <w:rPr>
          <w:rFonts w:ascii="Verdana" w:eastAsia="Century Gothic" w:hAnsi="Verdana" w:cs="Century Gothic"/>
        </w:rPr>
        <w:t xml:space="preserve">) ¿aplica esta actividad para el mantenimiento preventivo y correctivo de aires acondicionados instalados en las dependencias de una entidad? y </w:t>
      </w:r>
      <w:proofErr w:type="spellStart"/>
      <w:r w:rsidRPr="008C55D6">
        <w:rPr>
          <w:rFonts w:ascii="Verdana" w:eastAsia="Century Gothic" w:hAnsi="Verdana" w:cs="Century Gothic"/>
        </w:rPr>
        <w:t>iii</w:t>
      </w:r>
      <w:proofErr w:type="spellEnd"/>
      <w:r w:rsidRPr="008C55D6">
        <w:rPr>
          <w:rFonts w:ascii="Verdana" w:eastAsia="Century Gothic" w:hAnsi="Verdana" w:cs="Century Gothic"/>
        </w:rPr>
        <w:t xml:space="preserve">) </w:t>
      </w:r>
      <w:r w:rsidRPr="008C55D6">
        <w:rPr>
          <w:rFonts w:ascii="Verdana" w:eastAsia="Times New Roman" w:hAnsi="Verdana" w:cs="Times New Roman"/>
          <w:color w:val="000000"/>
          <w:lang w:eastAsia="es-CO"/>
        </w:rPr>
        <w:t>¿Toda instalación de cualquiera de los elementos contenidos en los numerales 1.15, 2.14 y 3.15 de la Matriz 1 – Experiencia, es constitutiva de un contrato de obra pública para efectos de la aplicación de los documentos tipo referidos?</w:t>
      </w:r>
    </w:p>
    <w:p w14:paraId="6A4E5FFE" w14:textId="77777777" w:rsidR="008C55D6" w:rsidRPr="008C55D6" w:rsidRDefault="008C55D6" w:rsidP="008C55D6">
      <w:pPr>
        <w:spacing w:after="0" w:line="276" w:lineRule="auto"/>
        <w:jc w:val="both"/>
        <w:rPr>
          <w:rFonts w:ascii="Verdana" w:eastAsia="Century Gothic" w:hAnsi="Verdana" w:cs="Century Gothic"/>
          <w:lang w:val="es-ES_tradnl"/>
        </w:rPr>
      </w:pPr>
    </w:p>
    <w:p w14:paraId="5BC57714" w14:textId="77777777" w:rsidR="008C55D6" w:rsidRPr="008C55D6" w:rsidRDefault="008C55D6" w:rsidP="008C55D6">
      <w:pPr>
        <w:tabs>
          <w:tab w:val="left" w:pos="142"/>
          <w:tab w:val="left" w:pos="284"/>
        </w:tabs>
        <w:spacing w:after="0" w:line="276" w:lineRule="auto"/>
        <w:contextualSpacing/>
        <w:jc w:val="both"/>
        <w:rPr>
          <w:rFonts w:ascii="Verdana" w:eastAsia="Century Gothic" w:hAnsi="Verdana" w:cs="Century Gothic"/>
          <w:b/>
          <w:bCs/>
          <w:lang w:val="es-ES"/>
        </w:rPr>
      </w:pPr>
      <w:r w:rsidRPr="008C55D6">
        <w:rPr>
          <w:rFonts w:ascii="Verdana" w:eastAsia="Century Gothic" w:hAnsi="Verdana" w:cs="Century Gothic"/>
          <w:b/>
          <w:bCs/>
          <w:lang w:val="es-ES"/>
        </w:rPr>
        <w:lastRenderedPageBreak/>
        <w:t>2. Respuestas:</w:t>
      </w:r>
    </w:p>
    <w:p w14:paraId="41761202" w14:textId="77777777" w:rsidR="008C55D6" w:rsidRPr="008C55D6" w:rsidRDefault="008C55D6" w:rsidP="008C55D6">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55D6" w:rsidRPr="008C55D6" w14:paraId="52AA9EA5" w14:textId="77777777" w:rsidTr="008A62F8">
        <w:trPr>
          <w:trHeight w:val="40"/>
        </w:trPr>
        <w:tc>
          <w:tcPr>
            <w:tcW w:w="8828" w:type="dxa"/>
            <w:tcBorders>
              <w:top w:val="dotted" w:sz="4" w:space="0" w:color="auto"/>
              <w:left w:val="dotted" w:sz="4" w:space="0" w:color="auto"/>
              <w:bottom w:val="dotted" w:sz="4" w:space="0" w:color="auto"/>
              <w:right w:val="dotted" w:sz="4" w:space="0" w:color="auto"/>
            </w:tcBorders>
          </w:tcPr>
          <w:p w14:paraId="699DA519" w14:textId="7835D2AF" w:rsidR="008C55D6" w:rsidRPr="008C55D6" w:rsidRDefault="008C55D6" w:rsidP="008C55D6">
            <w:pPr>
              <w:spacing w:after="120" w:line="276" w:lineRule="auto"/>
              <w:jc w:val="both"/>
              <w:rPr>
                <w:rFonts w:ascii="Verdana" w:eastAsia="Calibri" w:hAnsi="Verdana" w:cs="Times New Roman"/>
                <w:lang w:val="es-ES" w:eastAsia="es-MX"/>
              </w:rPr>
            </w:pPr>
            <w:r w:rsidRPr="008C55D6">
              <w:rPr>
                <w:rFonts w:ascii="Verdana" w:eastAsia="Calibri" w:hAnsi="Verdana" w:cs="Arial"/>
                <w:lang w:val="es-ES"/>
              </w:rPr>
              <w:t xml:space="preserve">i. </w:t>
            </w:r>
            <w:r w:rsidRPr="008C55D6">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corresponda. De acuerdo con el parágrafo segundo de los artículos 17 y 16 de las citadas resoluciones, estos documentos aplican a los procesos contractuales que correspondan a las actividades definidas en la Matriz 1 – Experiencia del Sector Institucional. </w:t>
            </w:r>
          </w:p>
          <w:p w14:paraId="5FD3B022"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Calibri" w:hAnsi="Verdana" w:cs="Times New Roman"/>
                <w:lang w:val="es-ES" w:eastAsia="es-MX"/>
              </w:rPr>
              <w:tab/>
              <w:t xml:space="preserve">La Matriz 1 – Experiencia del Sector Institucional, </w:t>
            </w:r>
            <w:r w:rsidRPr="008C55D6">
              <w:rPr>
                <w:rFonts w:ascii="Verdana" w:eastAsia="Times New Roman" w:hAnsi="Verdana" w:cs="Times New Roman"/>
                <w:color w:val="000000"/>
                <w:lang w:eastAsia="es-CO"/>
              </w:rPr>
              <w:t xml:space="preserve">en la modalidad de licitación pública, selección abreviada de menor cuantía y mínima cuantía dispone de disponen de las actividades 1,15, 2.14 y 3.15 que recaen sobre sistemas de aires acondicionados en ese sector. Estas actividades </w:t>
            </w:r>
            <w:r w:rsidRPr="008C55D6">
              <w:rPr>
                <w:rFonts w:ascii="Verdana" w:eastAsia="Aptos" w:hAnsi="Verdana" w:cs="Times New Roman"/>
                <w:lang w:eastAsia="es-CO"/>
              </w:rPr>
              <w:t xml:space="preserve">aplican para los procesos que adelanten las entidades obligadas a utilizar los documentos tipo, cuando correspondan al </w:t>
            </w:r>
            <w:r w:rsidRPr="008C55D6">
              <w:rPr>
                <w:rFonts w:ascii="Verdana" w:eastAsia="Aptos" w:hAnsi="Verdana" w:cs="Times New Roman"/>
                <w:i/>
                <w:iCs/>
                <w:lang w:eastAsia="es-CO"/>
              </w:rPr>
              <w:t>suministro e instalación</w:t>
            </w:r>
            <w:r w:rsidRPr="008C55D6">
              <w:rPr>
                <w:rFonts w:ascii="Verdana" w:eastAsia="Aptos" w:hAnsi="Verdana" w:cs="Times New Roman"/>
                <w:lang w:eastAsia="es-CO"/>
              </w:rPr>
              <w:t xml:space="preserve"> de sistemas de aires acondicionados o sistemas de ventilación o similares sobre infraestructura de seguridad pública (1.15) o de servicio público (2.14) o de sitios de reclusión (3.15) -según corresponda-. </w:t>
            </w:r>
          </w:p>
          <w:p w14:paraId="5718F273"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ab/>
              <w:t xml:space="preserve">De esta forma, la actividad de suministro está ligada a la actividad de instalación de </w:t>
            </w:r>
            <w:r w:rsidRPr="008C55D6">
              <w:rPr>
                <w:rFonts w:ascii="Verdana" w:eastAsia="Aptos" w:hAnsi="Verdana" w:cs="Times New Roman"/>
                <w:lang w:eastAsia="es-CO"/>
              </w:rPr>
              <w:t>los sistemas de aires acondicionados o sistemas de ventilación o similares sobre infraestructura institucional: seguridad pública, servicio público o sitios de reclusión</w:t>
            </w:r>
            <w:r w:rsidRPr="008C55D6">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8C55D6">
              <w:rPr>
                <w:rFonts w:ascii="Verdana" w:eastAsia="Aptos" w:hAnsi="Verdana" w:cs="Times New Roman"/>
                <w:lang w:eastAsia="es-CO"/>
              </w:rPr>
              <w:t>sistemas de aires acondicionados o sistemas de ventilación o similares sobre infraestructura institucional</w:t>
            </w:r>
            <w:r w:rsidRPr="008C55D6">
              <w:rPr>
                <w:rFonts w:ascii="Verdana" w:eastAsia="Times New Roman" w:hAnsi="Verdana" w:cs="Times New Roman"/>
                <w:color w:val="000000"/>
                <w:lang w:eastAsia="es-CO"/>
              </w:rPr>
              <w:t>, no tendrá que aplicar los documentos tipo expedidos por esta Agencia en el sector institucional.</w:t>
            </w:r>
          </w:p>
          <w:p w14:paraId="731A0768"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ab/>
              <w:t xml:space="preserve">Ahora bien, si el objeto del proceso de selección implica la instalación de </w:t>
            </w:r>
            <w:r w:rsidRPr="008C55D6">
              <w:rPr>
                <w:rFonts w:ascii="Verdana" w:eastAsia="Aptos" w:hAnsi="Verdana" w:cs="Times New Roman"/>
                <w:lang w:eastAsia="es-CO"/>
              </w:rPr>
              <w:t>sistemas de aires acondicionados o sistemas de ventilación o similares sobre infraestructura institucional</w:t>
            </w:r>
            <w:r w:rsidRPr="008C55D6">
              <w:rPr>
                <w:rFonts w:ascii="Verdana" w:eastAsia="Times New Roman" w:hAnsi="Verdana" w:cs="Times New Roman"/>
                <w:color w:val="000000"/>
                <w:lang w:eastAsia="es-CO"/>
              </w:rPr>
              <w:t xml:space="preserve">, se deberán aplicar los documentos tipo del sector institucional expedidos por esta Agencia. En estos casos, la entidad que adelante el proceso también deberá contratar el suministro utilizando los documentos tipo referidos, ya que, como se indicó, las actividades 1.15, 2.14 </w:t>
            </w:r>
            <w:r w:rsidRPr="008C55D6">
              <w:rPr>
                <w:rFonts w:ascii="Verdana" w:eastAsia="Times New Roman" w:hAnsi="Verdana" w:cs="Times New Roman"/>
                <w:color w:val="000000"/>
                <w:lang w:eastAsia="es-CO"/>
              </w:rPr>
              <w:lastRenderedPageBreak/>
              <w:t>y 3.15 contenidas en dichos documentos aplican para el suministro e instalación de los sistemas de aires acondicionados, etc.</w:t>
            </w:r>
          </w:p>
          <w:p w14:paraId="489B149F" w14:textId="77777777" w:rsidR="008C55D6" w:rsidRPr="008C55D6" w:rsidRDefault="008C55D6" w:rsidP="008C55D6">
            <w:pPr>
              <w:spacing w:after="120" w:line="276" w:lineRule="auto"/>
              <w:ind w:firstLine="708"/>
              <w:jc w:val="both"/>
              <w:rPr>
                <w:rFonts w:ascii="Verdana" w:eastAsia="Aptos" w:hAnsi="Verdana" w:cs="Times New Roman"/>
                <w:lang w:eastAsia="es-CO"/>
              </w:rPr>
            </w:pPr>
            <w:r w:rsidRPr="008C55D6">
              <w:rPr>
                <w:rFonts w:ascii="Verdana" w:eastAsia="Aptos" w:hAnsi="Verdana" w:cs="Times New Roman"/>
                <w:lang w:eastAsia="es-CO"/>
              </w:rPr>
              <w:t>Considerando lo anterior, es posible concluir que la actividad de suministro, considerada de manera aislada, no conlleva la obligación de aplicar los Documentos Tipo del sector institucional expedidos por la Agencia. En efecto, el texto señala que la actividad de suministro, por sí sola, no requiere la aplicación de dichos documentos cuando el proceso de selección tiene únicamente por objeto la provisión de estos sistemas sobre infraestructura institucional.</w:t>
            </w:r>
          </w:p>
          <w:p w14:paraId="0072EA90" w14:textId="77777777" w:rsidR="008C55D6" w:rsidRPr="008C55D6" w:rsidRDefault="008C55D6" w:rsidP="008C55D6">
            <w:pPr>
              <w:spacing w:line="276" w:lineRule="auto"/>
              <w:ind w:firstLine="708"/>
              <w:jc w:val="both"/>
              <w:rPr>
                <w:rFonts w:ascii="Verdana" w:eastAsia="Aptos" w:hAnsi="Verdana" w:cs="Times New Roman"/>
                <w:lang w:eastAsia="es-CO"/>
              </w:rPr>
            </w:pPr>
            <w:r w:rsidRPr="008C55D6">
              <w:rPr>
                <w:rFonts w:ascii="Verdana" w:eastAsia="Aptos" w:hAnsi="Verdana" w:cs="Times New Roman"/>
                <w:lang w:eastAsia="es-CO"/>
              </w:rPr>
              <w:t>No obstante, cuando el objeto del proceso de selección incluye la instalación de sistemas de aires acondicionados o de ventilación, sí resulta obligatoria la aplicación de los Documentos Tipo del sector institucional. En estos casos, el suministro se encuentra estrechamente ligado a la instalación, por lo que ambas actividades deben contratarse bajo los mismos documentos tipo, particularmente en lo que respecta a las actividades 1.15, 2.14 y 3.15 contempladas en estos.</w:t>
            </w:r>
          </w:p>
          <w:p w14:paraId="539D3EC6" w14:textId="77777777" w:rsidR="008C55D6" w:rsidRPr="008C55D6" w:rsidRDefault="008C55D6" w:rsidP="008C55D6">
            <w:pPr>
              <w:spacing w:line="276" w:lineRule="auto"/>
              <w:jc w:val="both"/>
              <w:rPr>
                <w:rFonts w:ascii="Verdana" w:eastAsia="Aptos" w:hAnsi="Verdana" w:cs="Times New Roman"/>
                <w:lang w:eastAsia="es-CO"/>
              </w:rPr>
            </w:pPr>
          </w:p>
          <w:p w14:paraId="527E0F11" w14:textId="77777777" w:rsidR="008C55D6" w:rsidRPr="008C55D6" w:rsidRDefault="008C55D6" w:rsidP="008C55D6">
            <w:pPr>
              <w:spacing w:line="276" w:lineRule="auto"/>
              <w:jc w:val="both"/>
              <w:rPr>
                <w:rFonts w:ascii="Verdana" w:eastAsia="Aptos" w:hAnsi="Verdana" w:cs="Times New Roman"/>
                <w:lang w:eastAsia="es-CO"/>
              </w:rPr>
            </w:pPr>
            <w:proofErr w:type="spellStart"/>
            <w:r w:rsidRPr="008C55D6">
              <w:rPr>
                <w:rFonts w:ascii="Verdana" w:eastAsia="Aptos" w:hAnsi="Verdana" w:cs="Times New Roman"/>
                <w:lang w:eastAsia="es-CO"/>
              </w:rPr>
              <w:t>ii</w:t>
            </w:r>
            <w:proofErr w:type="spellEnd"/>
            <w:r w:rsidRPr="008C55D6">
              <w:rPr>
                <w:rFonts w:ascii="Verdana" w:eastAsia="Aptos" w:hAnsi="Verdana" w:cs="Times New Roman"/>
                <w:lang w:eastAsia="es-CO"/>
              </w:rPr>
              <w:t xml:space="preserve">. Las actividades 1.15, 2.14 y 3.15 contenidas en la Matriz 1 – Experiencia Sector Institucional, no hacen referencia expresa a actividades de mantenimiento preventivo o correctivo de sistemas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4914DC03" w14:textId="77777777" w:rsidR="008C55D6" w:rsidRPr="008C55D6" w:rsidRDefault="008C55D6" w:rsidP="008C55D6">
            <w:pPr>
              <w:spacing w:line="276" w:lineRule="auto"/>
              <w:jc w:val="both"/>
              <w:rPr>
                <w:rFonts w:ascii="Verdana" w:eastAsia="Calibri" w:hAnsi="Verdana" w:cs="Arial"/>
                <w:color w:val="000000"/>
                <w:lang w:val="es-ES_tradnl"/>
              </w:rPr>
            </w:pPr>
            <w:r w:rsidRPr="008C55D6">
              <w:rPr>
                <w:rFonts w:ascii="Verdana" w:eastAsia="Times New Roman" w:hAnsi="Verdana" w:cs="Times New Roman"/>
                <w:color w:val="000000"/>
                <w:lang w:eastAsia="es-CO"/>
              </w:rPr>
              <w:tab/>
            </w:r>
          </w:p>
          <w:p w14:paraId="40493AF4" w14:textId="77777777" w:rsidR="008C55D6" w:rsidRPr="008C55D6" w:rsidRDefault="008C55D6" w:rsidP="008C55D6">
            <w:pPr>
              <w:spacing w:after="120" w:line="276" w:lineRule="auto"/>
              <w:jc w:val="both"/>
              <w:rPr>
                <w:rFonts w:ascii="Verdana" w:eastAsia="Calibri" w:hAnsi="Verdana" w:cs="Arial"/>
                <w:lang w:val="es-ES_tradnl"/>
              </w:rPr>
            </w:pPr>
            <w:proofErr w:type="spellStart"/>
            <w:r w:rsidRPr="008C55D6">
              <w:rPr>
                <w:rFonts w:ascii="Verdana" w:eastAsia="Times New Roman" w:hAnsi="Verdana" w:cs="Times New Roman"/>
                <w:color w:val="000000"/>
                <w:lang w:eastAsia="es-CO"/>
              </w:rPr>
              <w:t>ii</w:t>
            </w:r>
            <w:proofErr w:type="spellEnd"/>
            <w:r w:rsidRPr="008C55D6">
              <w:rPr>
                <w:rFonts w:ascii="Verdana" w:eastAsia="Times New Roman" w:hAnsi="Verdana" w:cs="Times New Roman"/>
                <w:color w:val="000000"/>
                <w:lang w:eastAsia="es-CO"/>
              </w:rPr>
              <w:t xml:space="preserve">. Las actividades </w:t>
            </w:r>
            <w:r w:rsidRPr="008C55D6">
              <w:rPr>
                <w:rFonts w:ascii="Verdana" w:eastAsia="Aptos" w:hAnsi="Verdana" w:cs="Times New Roman"/>
                <w:lang w:eastAsia="es-CO"/>
              </w:rPr>
              <w:t xml:space="preserve">1.15, 2.14 y 3.15 </w:t>
            </w:r>
            <w:r w:rsidRPr="008C55D6">
              <w:rPr>
                <w:rFonts w:ascii="Verdana" w:eastAsia="Times New Roman" w:hAnsi="Verdana" w:cs="Times New Roman"/>
                <w:color w:val="000000"/>
                <w:lang w:eastAsia="es-CO"/>
              </w:rPr>
              <w:t xml:space="preserve">contenidas en la Matriz 1 – Experiencia de los Documentos Tipo del Sector Institucional, </w:t>
            </w:r>
            <w:r w:rsidRPr="008C55D6">
              <w:rPr>
                <w:rFonts w:ascii="Verdana" w:eastAsia="Calibri" w:hAnsi="Verdana" w:cs="Arial"/>
                <w:lang w:val="es-ES"/>
              </w:rPr>
              <w:t xml:space="preserve">incluyen la instalación, la cual, como se indicó, es constitutiva del objeto de contrato de obra pública. </w:t>
            </w:r>
          </w:p>
          <w:p w14:paraId="546770A4"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t xml:space="preserve">Sin embargo, esto no quiere decir que </w:t>
            </w:r>
            <w:r w:rsidRPr="008C55D6">
              <w:rPr>
                <w:rFonts w:ascii="Verdana" w:eastAsia="Calibri" w:hAnsi="Verdana" w:cs="Arial"/>
                <w:i/>
                <w:iCs/>
                <w:lang w:val="es-ES_tradnl"/>
              </w:rPr>
              <w:t>toda</w:t>
            </w:r>
            <w:r w:rsidRPr="008C55D6">
              <w:rPr>
                <w:rFonts w:ascii="Verdana" w:eastAsia="Calibri" w:hAnsi="Verdana" w:cs="Arial"/>
                <w:lang w:val="es-ES_tradnl"/>
              </w:rPr>
              <w:t xml:space="preserve"> instalación que se pacte, como obligación a cargo del contratista, permita clasificar el negocio jurídico como un contrato de obra pública. Por ejemplo, para el supuesto de la instalación de equipos de aire acondicionado o mobiliario, ¿cómo se sabe si el contrato es o no uno de obra pública, teniendo en cuenta que el artículo 32, numeral 1, de la Ley 80 de 1993, dispone que la “instalación” de elementos </w:t>
            </w:r>
            <w:r w:rsidRPr="008C55D6">
              <w:rPr>
                <w:rFonts w:ascii="Verdana" w:eastAsia="Calibri" w:hAnsi="Verdana" w:cs="Arial"/>
                <w:lang w:val="es-ES_tradnl"/>
              </w:rPr>
              <w:lastRenderedPageBreak/>
              <w:t xml:space="preserve">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 </w:t>
            </w:r>
          </w:p>
          <w:p w14:paraId="1F5920CB" w14:textId="77777777" w:rsidR="008C55D6" w:rsidRPr="008C55D6" w:rsidRDefault="008C55D6" w:rsidP="008C55D6">
            <w:pPr>
              <w:spacing w:after="120" w:line="276" w:lineRule="auto"/>
              <w:ind w:firstLine="709"/>
              <w:jc w:val="both"/>
              <w:rPr>
                <w:rFonts w:ascii="Verdana" w:eastAsia="Calibri" w:hAnsi="Verdana" w:cs="Arial"/>
                <w:lang w:val="es-ES"/>
              </w:rPr>
            </w:pPr>
            <w:r w:rsidRPr="008C55D6">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8C55D6">
              <w:rPr>
                <w:rFonts w:ascii="Verdana" w:eastAsia="Calibri" w:hAnsi="Verdana" w:cs="Arial"/>
                <w:i/>
                <w:lang w:val="es-ES"/>
              </w:rPr>
              <w:t>no</w:t>
            </w:r>
            <w:r w:rsidRPr="008C55D6">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8C55D6">
              <w:rPr>
                <w:rFonts w:ascii="Verdana" w:eastAsia="Calibri" w:hAnsi="Verdana" w:cs="Arial"/>
                <w:lang w:val="es-ES"/>
              </w:rPr>
              <w:t>ii</w:t>
            </w:r>
            <w:proofErr w:type="spellEnd"/>
            <w:r w:rsidRPr="008C55D6">
              <w:rPr>
                <w:rFonts w:ascii="Verdana" w:eastAsia="Calibri" w:hAnsi="Verdana" w:cs="Arial"/>
                <w:lang w:val="es-ES"/>
              </w:rPr>
              <w:t xml:space="preserve">) la finalidad de las partes y </w:t>
            </w:r>
            <w:proofErr w:type="spellStart"/>
            <w:r w:rsidRPr="008C55D6">
              <w:rPr>
                <w:rFonts w:ascii="Verdana" w:eastAsia="Calibri" w:hAnsi="Verdana" w:cs="Arial"/>
                <w:lang w:val="es-ES"/>
              </w:rPr>
              <w:t>iii</w:t>
            </w:r>
            <w:proofErr w:type="spellEnd"/>
            <w:r w:rsidRPr="008C55D6">
              <w:rPr>
                <w:rFonts w:ascii="Verdana" w:eastAsia="Calibri" w:hAnsi="Verdana" w:cs="Arial"/>
                <w:lang w:val="es-ES"/>
              </w:rPr>
              <w:t>) si se trata de prestaciones mixtas, “que las prestaciones correspondientes que pretendan fusionarse se encuentren directamente vinculadas entre sí, de tal manera que mantengan relaciones de complemento y que permitan predicar su tratamiento solo como una unidad funcional dirigida a la satisfacción de la necesidad de la entidad”. Este es un análisis que, por tanto, debe realizarse en cada caso concreto, considerando los datos técnicos y económicos del objeto contractual.</w:t>
            </w:r>
          </w:p>
          <w:p w14:paraId="394BBDB9" w14:textId="47397183"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Calibri" w:hAnsi="Verdana" w:cs="Arial"/>
                <w:lang w:val="es-ES" w:eastAsia="es-ES_tradnl"/>
              </w:rPr>
              <w:t xml:space="preserve">En este contexto, </w:t>
            </w:r>
            <w:r w:rsidRPr="008C55D6">
              <w:rPr>
                <w:rFonts w:ascii="Verdana" w:eastAsia="Aptos" w:hAnsi="Verdana" w:cs="Arial"/>
                <w:lang w:eastAsia="es-ES_tradnl"/>
              </w:rPr>
              <w:t xml:space="preserve">no es posible afirmar de manera categórica que el suministro e instalación de bienes muebles como </w:t>
            </w:r>
            <w:r w:rsidRPr="008C55D6">
              <w:rPr>
                <w:rFonts w:ascii="Verdana" w:eastAsia="Times New Roman" w:hAnsi="Verdana" w:cs="Times New Roman"/>
                <w:color w:val="000000"/>
                <w:lang w:eastAsia="es-CO"/>
              </w:rPr>
              <w:t xml:space="preserve">mobiliario interno o externo, sistemas de aires acondicionadas o sistemas de ventilación o similar, y equipos especiales o electromecánicos y/o electrónicos y/o maquinarias u otros tipos de equipos sobre </w:t>
            </w:r>
            <w:r w:rsidRPr="008C55D6">
              <w:rPr>
                <w:rFonts w:ascii="Verdana" w:eastAsia="Aptos" w:hAnsi="Verdana" w:cs="Arial"/>
                <w:lang w:eastAsia="es-ES_tradnl"/>
              </w:rPr>
              <w:t xml:space="preserve">un inmueble que tiene la categoría de infraestructura </w:t>
            </w:r>
            <w:r w:rsidR="00DE5154" w:rsidRPr="002F6532">
              <w:rPr>
                <w:rFonts w:ascii="Verdana" w:eastAsia="Aptos" w:hAnsi="Verdana" w:cs="Arial"/>
                <w:lang w:eastAsia="es-ES_tradnl"/>
              </w:rPr>
              <w:t>Institucional</w:t>
            </w:r>
            <w:r w:rsidRPr="008C55D6">
              <w:rPr>
                <w:rFonts w:ascii="Verdana" w:eastAsia="Aptos" w:hAnsi="Verdana" w:cs="Arial"/>
                <w:lang w:eastAsia="es-ES_tradnl"/>
              </w:rPr>
              <w:t xml:space="preserve"> deba clasificarse, en todos los casos, como un contrato de obra pública para efecto de la utilización de los Documentos Tipo </w:t>
            </w:r>
            <w:r w:rsidRPr="008C55D6">
              <w:rPr>
                <w:rFonts w:ascii="Verdana" w:eastAsia="Times New Roman" w:hAnsi="Verdana" w:cs="Times New Roman"/>
                <w:color w:val="000000"/>
                <w:lang w:eastAsia="es-CO"/>
              </w:rPr>
              <w:t>del Sector Institucional</w:t>
            </w:r>
            <w:r w:rsidRPr="008C55D6">
              <w:rPr>
                <w:rFonts w:ascii="Verdana" w:eastAsia="Aptos" w:hAnsi="Verdana" w:cs="Arial"/>
                <w:lang w:eastAsia="es-ES_tradn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29BA41F8"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eastAsia="es-ES_tradnl"/>
              </w:rPr>
              <w:t>Atendiendo a lo señalado por l</w:t>
            </w:r>
            <w:r w:rsidRPr="008C55D6">
              <w:rPr>
                <w:rFonts w:ascii="Verdana" w:eastAsia="Calibri" w:hAnsi="Verdana" w:cs="Arial"/>
                <w:lang w:val="es-ES_tradnl"/>
              </w:rPr>
              <w:t>a Sala de Consulta y Servicio Civil del Consejo de Estado,</w:t>
            </w:r>
            <w:r w:rsidRPr="008C55D6">
              <w:rPr>
                <w:rFonts w:ascii="Verdana" w:eastAsia="Calibri" w:hAnsi="Verdana" w:cs="Times New Roman"/>
                <w:color w:val="000000"/>
              </w:rPr>
              <w:t xml:space="preserve"> adhiriéndose al método de absorción para efectos de </w:t>
            </w:r>
            <w:r w:rsidRPr="008C55D6">
              <w:rPr>
                <w:rFonts w:ascii="Verdana" w:eastAsia="Calibri" w:hAnsi="Verdana" w:cs="Times New Roman"/>
                <w:color w:val="000000"/>
              </w:rPr>
              <w:lastRenderedPageBreak/>
              <w:t>integrar el régimen jurídico aplicable,</w:t>
            </w:r>
            <w:r w:rsidRPr="008C55D6">
              <w:rPr>
                <w:rFonts w:ascii="Verdana" w:eastAsia="Calibri" w:hAnsi="Verdana" w:cs="Arial"/>
                <w:lang w:val="es-ES_tradnl"/>
              </w:rPr>
              <w:t xml:space="preserve"> se considera que en el caso referido es fundamental determinar la prestación principal para establecer dicho </w:t>
            </w:r>
            <w:r w:rsidRPr="008C55D6">
              <w:rPr>
                <w:rFonts w:ascii="Verdana" w:eastAsia="Calibri" w:hAnsi="Verdana" w:cs="Arial"/>
                <w:lang w:eastAsia="es-ES_tradnl"/>
              </w:rPr>
              <w:t>régimen</w:t>
            </w:r>
            <w:r w:rsidRPr="008C55D6">
              <w:rPr>
                <w:rFonts w:ascii="Verdana" w:eastAsia="Calibri" w:hAnsi="Verdana" w:cs="Arial"/>
                <w:lang w:val="es-ES_tradnl"/>
              </w:rPr>
              <w:t>.</w:t>
            </w:r>
            <w:r w:rsidRPr="008C55D6">
              <w:rPr>
                <w:rFonts w:ascii="Verdana" w:eastAsia="Calibri" w:hAnsi="Verdana" w:cs="Arial"/>
                <w:lang w:val="es-ES" w:eastAsia="es-ES_tradnl"/>
              </w:rPr>
              <w:t xml:space="preserve"> </w:t>
            </w:r>
          </w:p>
          <w:p w14:paraId="69817FD0"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 xml:space="preserve">Para tales efectos, la entidad estatal podría determinar </w:t>
            </w:r>
            <w:r w:rsidRPr="008C55D6">
              <w:rPr>
                <w:rFonts w:ascii="Verdana" w:eastAsia="Calibri" w:hAnsi="Verdana" w:cs="Arial"/>
                <w:color w:val="000000"/>
                <w:lang w:val="es-ES_tradnl"/>
              </w:rPr>
              <w:t>el régimen del contrato típico al que pertenece</w:t>
            </w:r>
            <w:r w:rsidRPr="008C55D6">
              <w:rPr>
                <w:rFonts w:ascii="Verdana" w:eastAsia="Calibri" w:hAnsi="Verdana" w:cs="Arial"/>
                <w:lang w:eastAsia="es-ES_tradnl"/>
              </w:rPr>
              <w:t xml:space="preserve"> atendiendo a cuál de las obligaciones - suministro o instalación-,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28113BA9"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382A87DB" w14:textId="77777777" w:rsidR="008C55D6" w:rsidRPr="008C55D6" w:rsidRDefault="008C55D6" w:rsidP="008C55D6">
            <w:pPr>
              <w:spacing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Institucional expedidos por esta Agencia. </w:t>
            </w:r>
          </w:p>
        </w:tc>
      </w:tr>
    </w:tbl>
    <w:p w14:paraId="769501B8" w14:textId="77777777" w:rsidR="008C55D6" w:rsidRPr="008C55D6" w:rsidRDefault="008C55D6" w:rsidP="008C55D6">
      <w:pPr>
        <w:tabs>
          <w:tab w:val="left" w:pos="142"/>
          <w:tab w:val="left" w:pos="284"/>
        </w:tabs>
        <w:spacing w:after="0" w:line="276" w:lineRule="auto"/>
        <w:jc w:val="both"/>
        <w:rPr>
          <w:rFonts w:ascii="Verdana" w:eastAsia="Century Gothic" w:hAnsi="Verdana" w:cs="Century Gothic"/>
          <w:b/>
          <w:bCs/>
          <w:lang w:val="es-ES"/>
        </w:rPr>
      </w:pPr>
    </w:p>
    <w:p w14:paraId="4D6FF19E" w14:textId="77777777" w:rsidR="008C55D6" w:rsidRPr="008C55D6" w:rsidRDefault="008C55D6" w:rsidP="008C55D6">
      <w:pPr>
        <w:tabs>
          <w:tab w:val="left" w:pos="142"/>
          <w:tab w:val="left" w:pos="284"/>
        </w:tabs>
        <w:spacing w:after="0" w:line="276" w:lineRule="auto"/>
        <w:jc w:val="both"/>
        <w:rPr>
          <w:rFonts w:ascii="Verdana" w:eastAsia="Century Gothic" w:hAnsi="Verdana" w:cs="Century Gothic"/>
          <w:b/>
          <w:bCs/>
          <w:lang w:val="es-ES"/>
        </w:rPr>
      </w:pPr>
      <w:r w:rsidRPr="008C55D6">
        <w:rPr>
          <w:rFonts w:ascii="Verdana" w:eastAsia="Century Gothic" w:hAnsi="Verdana" w:cs="Century Gothic"/>
          <w:b/>
          <w:bCs/>
          <w:lang w:val="es-ES"/>
        </w:rPr>
        <w:t>3. Razones de la respuesta:</w:t>
      </w:r>
    </w:p>
    <w:p w14:paraId="5A952B50" w14:textId="77777777" w:rsidR="008C55D6" w:rsidRPr="008C55D6" w:rsidRDefault="008C55D6" w:rsidP="008C55D6">
      <w:pPr>
        <w:spacing w:after="0" w:line="276" w:lineRule="auto"/>
        <w:jc w:val="both"/>
        <w:rPr>
          <w:rFonts w:ascii="Verdana" w:eastAsia="Calibri" w:hAnsi="Verdana" w:cs="Arial"/>
          <w:lang w:val="es-ES"/>
        </w:rPr>
      </w:pPr>
    </w:p>
    <w:p w14:paraId="27AB9200" w14:textId="77777777" w:rsidR="008C55D6" w:rsidRPr="008C55D6" w:rsidRDefault="008C55D6" w:rsidP="008C55D6">
      <w:pPr>
        <w:spacing w:after="0" w:line="276" w:lineRule="auto"/>
        <w:jc w:val="both"/>
        <w:rPr>
          <w:rFonts w:ascii="Verdana" w:eastAsia="Calibri" w:hAnsi="Verdana" w:cs="Arial"/>
          <w:lang w:val="es-ES"/>
        </w:rPr>
      </w:pPr>
      <w:r w:rsidRPr="008C55D6">
        <w:rPr>
          <w:rFonts w:ascii="Verdana" w:eastAsia="Calibri" w:hAnsi="Verdana" w:cs="Arial"/>
          <w:lang w:val="es-ES"/>
        </w:rPr>
        <w:t xml:space="preserve">Lo anterior se sustenta en las siguientes consideraciones: </w:t>
      </w:r>
    </w:p>
    <w:p w14:paraId="7C0CE017" w14:textId="77777777" w:rsidR="008C55D6" w:rsidRPr="008C55D6" w:rsidRDefault="008C55D6" w:rsidP="008C55D6">
      <w:pPr>
        <w:spacing w:after="0" w:line="276" w:lineRule="auto"/>
        <w:jc w:val="both"/>
        <w:rPr>
          <w:rFonts w:ascii="Verdana" w:eastAsia="Calibri" w:hAnsi="Verdana" w:cs="Arial"/>
          <w:lang w:val="es-ES"/>
        </w:rPr>
      </w:pPr>
    </w:p>
    <w:p w14:paraId="14FDC73F" w14:textId="77777777" w:rsidR="008C55D6" w:rsidRPr="008C55D6" w:rsidRDefault="008C55D6" w:rsidP="008C55D6">
      <w:pPr>
        <w:widowControl w:val="0"/>
        <w:autoSpaceDE w:val="0"/>
        <w:autoSpaceDN w:val="0"/>
        <w:spacing w:line="276" w:lineRule="auto"/>
        <w:jc w:val="both"/>
        <w:rPr>
          <w:rFonts w:ascii="Verdana" w:eastAsia="Aptos" w:hAnsi="Verdana" w:cs="Arial"/>
        </w:rPr>
      </w:pPr>
      <w:r w:rsidRPr="008C55D6">
        <w:rPr>
          <w:rFonts w:ascii="Verdana" w:eastAsia="Calibri" w:hAnsi="Verdana" w:cs="Arial"/>
          <w:lang w:val="es-ES"/>
        </w:rPr>
        <w:t xml:space="preserve">i. </w:t>
      </w:r>
      <w:r w:rsidRPr="008C55D6">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6D17D26" w14:textId="77777777" w:rsidR="008C55D6" w:rsidRPr="008C55D6" w:rsidRDefault="008C55D6" w:rsidP="008C55D6">
      <w:pPr>
        <w:spacing w:after="120" w:line="276" w:lineRule="auto"/>
        <w:ind w:firstLine="708"/>
        <w:jc w:val="both"/>
        <w:rPr>
          <w:rFonts w:ascii="Verdana" w:eastAsia="Aptos" w:hAnsi="Verdana" w:cs="Arial"/>
        </w:rPr>
      </w:pPr>
      <w:r w:rsidRPr="008C55D6">
        <w:rPr>
          <w:rFonts w:ascii="Verdana" w:eastAsia="Aptos" w:hAnsi="Verdana" w:cs="Arial"/>
          <w:lang w:val="es-ES"/>
        </w:rPr>
        <w:t xml:space="preserve">Con sustento en esta competencia, esta Agencia expidió diversos grupos de documentos tipo aplicables principalmente a la contratación de obras públicas </w:t>
      </w:r>
      <w:r w:rsidRPr="008C55D6">
        <w:rPr>
          <w:rFonts w:ascii="Verdana" w:eastAsia="Aptos" w:hAnsi="Verdana" w:cs="Arial"/>
          <w:lang w:val="es-ES"/>
        </w:rPr>
        <w:lastRenderedPageBreak/>
        <w:t>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0DBAFCAA"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Aptos" w:hAnsi="Verdana" w:cs="Arial"/>
        </w:rPr>
        <w:t xml:space="preserve">En el sector social, </w:t>
      </w:r>
      <w:r w:rsidRPr="008C55D6">
        <w:rPr>
          <w:rFonts w:ascii="Verdana" w:eastAsia="Calibri" w:hAnsi="Verdana" w:cs="Arial"/>
          <w:lang w:val="es-MX"/>
        </w:rPr>
        <w:t xml:space="preserve">la Agencia Nacional de Contratación Pública – Colombia Compra </w:t>
      </w:r>
      <w:r w:rsidRPr="008C55D6">
        <w:rPr>
          <w:rFonts w:ascii="Verdana" w:eastAsia="Calibri" w:hAnsi="Verdana" w:cs="Arial"/>
        </w:rPr>
        <w:t xml:space="preserve">Eficiente </w:t>
      </w:r>
      <w:r w:rsidRPr="008C55D6">
        <w:rPr>
          <w:rFonts w:ascii="Verdana" w:eastAsia="Times New Roman" w:hAnsi="Verdana" w:cs="Times New Roman"/>
          <w:color w:val="000000"/>
          <w:lang w:eastAsia="es-CO"/>
        </w:rPr>
        <w:t xml:space="preserve">en el segundo semestre del año 2025 adoptó las siguientes Resoluciones para </w:t>
      </w:r>
      <w:r w:rsidRPr="008C55D6">
        <w:rPr>
          <w:rFonts w:ascii="Verdana" w:eastAsia="Times New Roman" w:hAnsi="Verdana" w:cs="Times New Roman"/>
          <w:i/>
          <w:iCs/>
          <w:color w:val="000000"/>
          <w:lang w:eastAsia="es-CO"/>
        </w:rPr>
        <w:t>contratar obra pública</w:t>
      </w:r>
      <w:r w:rsidRPr="008C55D6">
        <w:rPr>
          <w:rFonts w:ascii="Verdana" w:eastAsia="Times New Roman" w:hAnsi="Verdana" w:cs="Times New Roman"/>
          <w:color w:val="000000"/>
          <w:lang w:eastAsia="es-CO"/>
        </w:rPr>
        <w:t xml:space="preserve"> y concurso de méritos:</w:t>
      </w:r>
    </w:p>
    <w:p w14:paraId="597BC1C6"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BC5B5B9"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 xml:space="preserve"> </w:t>
      </w:r>
      <w:proofErr w:type="spellStart"/>
      <w:r w:rsidRPr="008C55D6">
        <w:rPr>
          <w:rFonts w:ascii="Verdana" w:eastAsia="Times New Roman" w:hAnsi="Verdana" w:cs="Times New Roman"/>
          <w:color w:val="000000"/>
          <w:lang w:eastAsia="es-CO"/>
        </w:rPr>
        <w:t>ii</w:t>
      </w:r>
      <w:proofErr w:type="spellEnd"/>
      <w:r w:rsidRPr="008C55D6">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6AD97084"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proofErr w:type="spellStart"/>
      <w:r w:rsidRPr="008C55D6">
        <w:rPr>
          <w:rFonts w:ascii="Verdana" w:eastAsia="Times New Roman" w:hAnsi="Verdana" w:cs="Times New Roman"/>
          <w:color w:val="000000"/>
          <w:lang w:eastAsia="es-CO"/>
        </w:rPr>
        <w:t>iii</w:t>
      </w:r>
      <w:proofErr w:type="spellEnd"/>
      <w:r w:rsidRPr="008C55D6">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32BE70F7"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proofErr w:type="spellStart"/>
      <w:r w:rsidRPr="008C55D6">
        <w:rPr>
          <w:rFonts w:ascii="Verdana" w:eastAsia="Times New Roman" w:hAnsi="Verdana" w:cs="Times New Roman"/>
          <w:color w:val="000000"/>
          <w:lang w:eastAsia="es-CO"/>
        </w:rPr>
        <w:t>iv</w:t>
      </w:r>
      <w:proofErr w:type="spellEnd"/>
      <w:r w:rsidRPr="008C55D6">
        <w:rPr>
          <w:rFonts w:ascii="Verdana" w:eastAsia="Times New Roman" w:hAnsi="Verdana" w:cs="Times New Roman"/>
          <w:color w:val="000000"/>
          <w:lang w:eastAsia="es-CO"/>
        </w:rPr>
        <w:t xml:space="preserve">) Resolución 952 del 15 de diciembre de 2025 “Por la cual se adoptan los documentos tipo para los procesos de selección de concurso de méritos, para </w:t>
      </w:r>
      <w:r w:rsidRPr="008C55D6">
        <w:rPr>
          <w:rFonts w:ascii="Verdana" w:eastAsia="Times New Roman" w:hAnsi="Verdana" w:cs="Times New Roman"/>
          <w:color w:val="000000"/>
          <w:lang w:eastAsia="es-CO"/>
        </w:rPr>
        <w:lastRenderedPageBreak/>
        <w:t>contratar la consultoría de estudios de ingeniería de infraestructura social; que agrupa los sectores de educación, salud, cultura, recreación y deporte, institucional y vivienda”.</w:t>
      </w:r>
    </w:p>
    <w:p w14:paraId="4F0074B1"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8C55D6">
        <w:rPr>
          <w:rFonts w:ascii="Verdana" w:eastAsia="Aptos" w:hAnsi="Verdana" w:cs="Times New Roman"/>
          <w:kern w:val="2"/>
          <w14:ligatures w14:val="standardContextual"/>
        </w:rPr>
        <w:t xml:space="preserve"> </w:t>
      </w:r>
    </w:p>
    <w:p w14:paraId="5F8996A5" w14:textId="77777777" w:rsidR="008C55D6" w:rsidRPr="008C55D6" w:rsidRDefault="008C55D6" w:rsidP="008C55D6">
      <w:pPr>
        <w:spacing w:after="120" w:line="276" w:lineRule="auto"/>
        <w:ind w:firstLine="708"/>
        <w:jc w:val="both"/>
        <w:textAlignment w:val="baseline"/>
        <w:rPr>
          <w:rFonts w:ascii="Verdana" w:eastAsia="Calibri" w:hAnsi="Verdana" w:cs="Arial"/>
        </w:rPr>
      </w:pPr>
      <w:r w:rsidRPr="008C55D6">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8C55D6">
        <w:rPr>
          <w:rFonts w:ascii="Verdana" w:eastAsia="Calibri" w:hAnsi="Verdana" w:cs="Arial"/>
          <w:vertAlign w:val="superscript"/>
        </w:rPr>
        <w:footnoteReference w:id="2"/>
      </w:r>
      <w:r w:rsidRPr="008C55D6">
        <w:rPr>
          <w:rFonts w:ascii="Verdana" w:eastAsia="Calibri" w:hAnsi="Verdana" w:cs="Arial"/>
        </w:rPr>
        <w:t>.</w:t>
      </w:r>
    </w:p>
    <w:p w14:paraId="3C652ACF" w14:textId="77777777" w:rsidR="008C55D6" w:rsidRPr="008C55D6" w:rsidRDefault="008C55D6" w:rsidP="008C55D6">
      <w:pPr>
        <w:widowControl w:val="0"/>
        <w:autoSpaceDE w:val="0"/>
        <w:autoSpaceDN w:val="0"/>
        <w:spacing w:after="120" w:line="276" w:lineRule="auto"/>
        <w:ind w:firstLine="708"/>
        <w:jc w:val="both"/>
        <w:rPr>
          <w:rFonts w:ascii="Verdana" w:eastAsia="Calibri" w:hAnsi="Verdana" w:cs="Times New Roman"/>
          <w:lang w:val="es-ES"/>
        </w:rPr>
      </w:pPr>
      <w:r w:rsidRPr="008C55D6">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8C55D6">
        <w:rPr>
          <w:rFonts w:ascii="Verdana" w:eastAsia="Calibri" w:hAnsi="Verdana" w:cs="Times New Roman"/>
          <w:shd w:val="clear" w:color="auto" w:fill="E8E8E8"/>
          <w:lang w:val="es-ES"/>
        </w:rPr>
        <w:t>–[texto]–,</w:t>
      </w:r>
      <w:r w:rsidRPr="008C55D6">
        <w:rPr>
          <w:rFonts w:ascii="Verdana" w:eastAsia="Calibri" w:hAnsi="Verdana" w:cs="Times New Roman"/>
          <w:lang w:val="es-ES"/>
        </w:rPr>
        <w:t xml:space="preserve"> para lo cual deberán observarse las instrucciones contenidas en los mismos para su diligenciamiento.</w:t>
      </w:r>
    </w:p>
    <w:p w14:paraId="10280C23" w14:textId="77777777" w:rsidR="008C55D6" w:rsidRPr="008C55D6" w:rsidRDefault="008C55D6" w:rsidP="008C55D6">
      <w:pPr>
        <w:widowControl w:val="0"/>
        <w:autoSpaceDE w:val="0"/>
        <w:autoSpaceDN w:val="0"/>
        <w:spacing w:after="120" w:line="276" w:lineRule="auto"/>
        <w:ind w:firstLine="708"/>
        <w:jc w:val="both"/>
        <w:rPr>
          <w:rFonts w:ascii="Verdana" w:eastAsia="Calibri" w:hAnsi="Verdana" w:cs="Times New Roman"/>
          <w:lang w:val="es-ES"/>
        </w:rPr>
      </w:pPr>
      <w:r w:rsidRPr="008C55D6">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B665262" w14:textId="77777777" w:rsidR="008C55D6" w:rsidRPr="008C55D6" w:rsidRDefault="008C55D6" w:rsidP="008C55D6">
      <w:pPr>
        <w:widowControl w:val="0"/>
        <w:autoSpaceDE w:val="0"/>
        <w:autoSpaceDN w:val="0"/>
        <w:spacing w:after="120" w:line="276" w:lineRule="auto"/>
        <w:ind w:firstLine="708"/>
        <w:jc w:val="both"/>
        <w:rPr>
          <w:rFonts w:ascii="Verdana" w:eastAsia="Calibri" w:hAnsi="Verdana" w:cs="Times New Roman"/>
          <w:lang w:val="es-ES"/>
        </w:rPr>
      </w:pPr>
      <w:r w:rsidRPr="008C55D6">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F73783B" w14:textId="77777777" w:rsidR="008C55D6" w:rsidRPr="008C55D6" w:rsidRDefault="008C55D6" w:rsidP="008C55D6">
      <w:pPr>
        <w:widowControl w:val="0"/>
        <w:autoSpaceDE w:val="0"/>
        <w:autoSpaceDN w:val="0"/>
        <w:spacing w:after="120" w:line="276" w:lineRule="auto"/>
        <w:ind w:firstLine="708"/>
        <w:jc w:val="both"/>
        <w:rPr>
          <w:rFonts w:ascii="Verdana" w:eastAsia="Calibri" w:hAnsi="Verdana" w:cs="Times New Roman"/>
          <w:lang w:val="es-ES"/>
        </w:rPr>
      </w:pPr>
      <w:r w:rsidRPr="008C55D6">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BD8483A" w14:textId="77777777" w:rsidR="008C55D6" w:rsidRPr="008C55D6" w:rsidRDefault="008C55D6" w:rsidP="008C55D6">
      <w:pPr>
        <w:widowControl w:val="0"/>
        <w:autoSpaceDE w:val="0"/>
        <w:autoSpaceDN w:val="0"/>
        <w:spacing w:after="120" w:line="276" w:lineRule="auto"/>
        <w:ind w:firstLine="708"/>
        <w:jc w:val="both"/>
        <w:rPr>
          <w:rFonts w:ascii="Verdana" w:eastAsia="Calibri" w:hAnsi="Verdana" w:cs="Times New Roman"/>
          <w:lang w:val="es-ES"/>
        </w:rPr>
      </w:pPr>
      <w:r w:rsidRPr="008C55D6">
        <w:rPr>
          <w:rFonts w:ascii="Verdana" w:eastAsia="Calibri" w:hAnsi="Verdana" w:cs="Times New Roman"/>
          <w:lang w:val="es-ES"/>
        </w:rPr>
        <w:t xml:space="preserve">La Matriz – Experiencia, cumple una doble función: Por un lado, sirve para estandarizar las condiciones de experiencia, conforme al parágrafo 7 del artículo 2 de la Ley 1150 de 2007. De otro lado, dicha matriz permite determinar el </w:t>
      </w:r>
      <w:r w:rsidRPr="008C55D6">
        <w:rPr>
          <w:rFonts w:ascii="Verdana" w:eastAsia="Calibri" w:hAnsi="Verdana" w:cs="Times New Roman"/>
          <w:lang w:val="es-ES"/>
        </w:rPr>
        <w:lastRenderedPageBreak/>
        <w:t>ámbito de aplicación de los documentos tipo respecto de objetos contractuales asociados, ya que son las actividades descritas en esta las que, obligatoriamente, deben contratarse aplicando documentos tipo.</w:t>
      </w:r>
    </w:p>
    <w:p w14:paraId="535795E9" w14:textId="77777777" w:rsidR="008C55D6" w:rsidRPr="008C55D6" w:rsidRDefault="008C55D6" w:rsidP="008C55D6">
      <w:pPr>
        <w:widowControl w:val="0"/>
        <w:autoSpaceDE w:val="0"/>
        <w:autoSpaceDN w:val="0"/>
        <w:spacing w:after="0" w:line="276" w:lineRule="auto"/>
        <w:ind w:firstLine="708"/>
        <w:jc w:val="both"/>
        <w:rPr>
          <w:rFonts w:ascii="Verdana" w:eastAsia="Calibri" w:hAnsi="Verdana" w:cs="Times New Roman"/>
          <w:lang w:val="es-ES"/>
        </w:rPr>
      </w:pPr>
      <w:r w:rsidRPr="008C55D6">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621EF85D" w14:textId="77777777" w:rsidR="008C55D6" w:rsidRPr="008C55D6" w:rsidRDefault="008C55D6" w:rsidP="008C55D6">
      <w:pPr>
        <w:widowControl w:val="0"/>
        <w:autoSpaceDE w:val="0"/>
        <w:autoSpaceDN w:val="0"/>
        <w:spacing w:after="0" w:line="276" w:lineRule="auto"/>
        <w:ind w:firstLine="708"/>
        <w:jc w:val="both"/>
        <w:rPr>
          <w:rFonts w:ascii="Verdana" w:eastAsia="Calibri" w:hAnsi="Verdana" w:cs="Times New Roman"/>
          <w:lang w:val="es-ES"/>
        </w:rPr>
      </w:pPr>
    </w:p>
    <w:p w14:paraId="592AF721" w14:textId="77777777" w:rsidR="008C55D6" w:rsidRPr="008C55D6" w:rsidRDefault="008C55D6" w:rsidP="008C55D6">
      <w:pPr>
        <w:spacing w:after="120" w:line="276" w:lineRule="auto"/>
        <w:jc w:val="both"/>
        <w:rPr>
          <w:rFonts w:ascii="Verdana" w:eastAsia="Calibri" w:hAnsi="Verdana" w:cs="Times New Roman"/>
          <w:lang w:val="es-ES" w:eastAsia="es-MX"/>
        </w:rPr>
      </w:pPr>
      <w:proofErr w:type="spellStart"/>
      <w:r w:rsidRPr="008C55D6">
        <w:rPr>
          <w:rFonts w:ascii="Verdana" w:eastAsia="Calibri" w:hAnsi="Verdana" w:cs="Times New Roman"/>
          <w:lang w:val="es-ES"/>
        </w:rPr>
        <w:t>ii</w:t>
      </w:r>
      <w:proofErr w:type="spellEnd"/>
      <w:r w:rsidRPr="008C55D6">
        <w:rPr>
          <w:rFonts w:ascii="Verdana" w:eastAsia="Calibri" w:hAnsi="Verdana" w:cs="Times New Roman"/>
          <w:lang w:val="es-ES"/>
        </w:rPr>
        <w:t xml:space="preserve">. </w:t>
      </w:r>
      <w:r w:rsidRPr="008C55D6">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corresponda-. De acuerdo con el parágrafo segundo de los artículos 17 y 16 de las citadas resoluciones, estos documentos aplican a los procesos contractuales que correspondan a las actividades definidas en la Matriz 1 – Experiencia del Sector Institucional. </w:t>
      </w:r>
    </w:p>
    <w:p w14:paraId="605783AE" w14:textId="77777777" w:rsidR="008C55D6" w:rsidRPr="008C55D6" w:rsidRDefault="008C55D6" w:rsidP="008C55D6">
      <w:pPr>
        <w:spacing w:after="120" w:line="276" w:lineRule="auto"/>
        <w:jc w:val="both"/>
        <w:rPr>
          <w:rFonts w:ascii="Verdana" w:eastAsia="Arial" w:hAnsi="Verdana" w:cs="Aptos"/>
          <w:lang w:eastAsia="es-ES"/>
        </w:rPr>
      </w:pPr>
      <w:r w:rsidRPr="008C55D6">
        <w:rPr>
          <w:rFonts w:ascii="Verdana" w:eastAsia="Calibri" w:hAnsi="Verdana" w:cs="Times New Roman"/>
          <w:lang w:val="es-ES" w:eastAsia="es-MX"/>
        </w:rPr>
        <w:tab/>
        <w:t xml:space="preserve">La Matriz 1 – Experiencia del Sector Institucional, </w:t>
      </w:r>
      <w:r w:rsidRPr="008C55D6">
        <w:rPr>
          <w:rFonts w:ascii="Verdana" w:eastAsia="Times New Roman" w:hAnsi="Verdana" w:cs="Times New Roman"/>
          <w:color w:val="000000"/>
          <w:lang w:eastAsia="es-CO"/>
        </w:rPr>
        <w:t xml:space="preserve">en la modalidad de licitación pública, selección abreviada de menor cuantía y mínima cuantía dispone de los siguientes cinco (5) tipos de infraestructura: </w:t>
      </w:r>
      <w:r w:rsidRPr="008C55D6">
        <w:rPr>
          <w:rFonts w:ascii="Verdana" w:eastAsia="Arial" w:hAnsi="Verdana" w:cs="Aptos"/>
          <w:kern w:val="2"/>
          <w:lang w:eastAsia="es-ES"/>
          <w14:ligatures w14:val="standardContextual"/>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8C55D6">
        <w:rPr>
          <w:rFonts w:ascii="Verdana" w:eastAsia="Aptos" w:hAnsi="Verdana" w:cs="Arial"/>
          <w:kern w:val="2"/>
          <w14:ligatures w14:val="standardContextual"/>
        </w:rPr>
        <w:t xml:space="preserve">. </w:t>
      </w:r>
      <w:r w:rsidRPr="008C55D6">
        <w:rPr>
          <w:rFonts w:ascii="Verdana" w:eastAsia="Arial" w:hAnsi="Verdana" w:cs="Aptos"/>
          <w:lang w:eastAsia="es-ES"/>
        </w:rPr>
        <w:t xml:space="preserve">Sobre los tipos de obras señaladas, la Matriz 1 – Experiencia contiene una serie de actividades donde la entidad debe encuadrar el objeto del proceso que pretende ejecutar. Estas actividades se relacionan con proyectos de construcción, ampliación, </w:t>
      </w:r>
      <w:r w:rsidRPr="008C55D6">
        <w:rPr>
          <w:rFonts w:ascii="Verdana" w:eastAsia="Arial" w:hAnsi="Verdana" w:cs="Aptos"/>
          <w:lang w:eastAsia="es-ES"/>
        </w:rPr>
        <w:lastRenderedPageBreak/>
        <w:t xml:space="preserve">reconstrucción, adecuación, conservación, intervención, remodelación, mantenimiento, mejoramiento, modificación, optimización, rehabilitación, remodelación, reposición y/o reparación y/o suministro, entre otras actividades, sobre infraestructura institucional. </w:t>
      </w:r>
    </w:p>
    <w:p w14:paraId="18638A1F"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Arial" w:hAnsi="Verdana" w:cs="Aptos"/>
          <w:lang w:eastAsia="es-ES"/>
        </w:rPr>
        <w:tab/>
        <w:t>De esta forma, los tipos de obras señaladas y las actividades previstas en la Matriz 1</w:t>
      </w:r>
      <w:r w:rsidRPr="008C55D6">
        <w:rPr>
          <w:rFonts w:ascii="Verdana" w:eastAsia="Calibri" w:hAnsi="Verdana" w:cs="Times New Roman"/>
          <w:lang w:val="es-ES" w:eastAsia="es-MX"/>
        </w:rPr>
        <w:t xml:space="preserve">– Experiencia del Sector Institucional, </w:t>
      </w:r>
      <w:r w:rsidRPr="008C55D6">
        <w:rPr>
          <w:rFonts w:ascii="Verdana" w:eastAsia="Times New Roman" w:hAnsi="Verdana" w:cs="Times New Roman"/>
          <w:color w:val="000000"/>
          <w:lang w:eastAsia="es-CO"/>
        </w:rPr>
        <w:t>en la modalidad de licitación pública, selección abreviada de menor cuantía y mínima cuantía, recaen sobre infraestructura institucional. Esto es importante para precisar el ámbito de aplicación de los Documentos Tipo de este sector adoptados en de las Resoluciones 539, 540 y 541 de 2025.</w:t>
      </w:r>
    </w:p>
    <w:p w14:paraId="3DB68DEB"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ab/>
        <w:t xml:space="preserve">Concretamente, en su solicitud usted indaga sobre la aplicación de los Documentos Tipo del Sector Institucional para realizar mantenimientos  preventivos y correctivos de aires acondicionados de una entidad pública. De esta forma, resulta pertinente establecer qué actividades de los Documentos Tipo mencionados recaen sobre los aires acondicionados y si estas resultan adecuadas para adelantar el proceso que requiere la entidad. </w:t>
      </w:r>
    </w:p>
    <w:p w14:paraId="1F6F553A" w14:textId="77777777" w:rsidR="008C55D6" w:rsidRPr="008C55D6" w:rsidRDefault="008C55D6" w:rsidP="008C55D6">
      <w:pPr>
        <w:spacing w:after="0" w:line="276" w:lineRule="auto"/>
        <w:ind w:firstLine="708"/>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En este sentido, le indicamos que, revisadas las actividades contenidas en la Matriz 1 – Experiencia de los Documentos Tipo del Sector Institucional, las siguientes recaen sobre sistemas de aires acondicionados en el sector indicado:</w:t>
      </w:r>
    </w:p>
    <w:p w14:paraId="0D255848" w14:textId="77777777" w:rsidR="008C55D6" w:rsidRPr="008C55D6" w:rsidRDefault="008C55D6" w:rsidP="008C55D6">
      <w:pPr>
        <w:spacing w:after="0" w:line="240" w:lineRule="auto"/>
        <w:jc w:val="both"/>
        <w:rPr>
          <w:rFonts w:ascii="Verdana" w:eastAsia="Times New Roman" w:hAnsi="Verdana" w:cs="Times New Roman"/>
          <w:color w:val="000000"/>
          <w:lang w:eastAsia="es-CO"/>
        </w:rPr>
      </w:pPr>
    </w:p>
    <w:p w14:paraId="6CB87D33" w14:textId="77777777" w:rsidR="008C55D6" w:rsidRPr="008C55D6" w:rsidRDefault="008C55D6" w:rsidP="008C55D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C55D6">
        <w:rPr>
          <w:rFonts w:ascii="Verdana" w:eastAsia="Times New Roman" w:hAnsi="Verdana" w:cs="Arial"/>
          <w:color w:val="242424"/>
          <w:sz w:val="21"/>
          <w:szCs w:val="21"/>
          <w:lang w:eastAsia="es-MX"/>
        </w:rPr>
        <w:t>“1.15. PROYECTOS DE SUMINISTRO Y/O INSTALACIÓN DE SISTEMAS DE AIRES ACONDICIONADOS O SISTEMAS DE VENTILACIÓN O SIMILARES PARA INFRAESTRUCTURA DE SEGURIDAD PÚBLICA.</w:t>
      </w:r>
    </w:p>
    <w:p w14:paraId="7CA7EC75" w14:textId="77777777" w:rsidR="008C55D6" w:rsidRPr="008C55D6" w:rsidRDefault="008C55D6" w:rsidP="008C55D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C55D6">
        <w:rPr>
          <w:rFonts w:ascii="Verdana" w:eastAsia="Times New Roman" w:hAnsi="Verdana" w:cs="Arial"/>
          <w:color w:val="242424"/>
          <w:sz w:val="21"/>
          <w:szCs w:val="21"/>
          <w:lang w:eastAsia="es-MX"/>
        </w:rPr>
        <w:t>(…)</w:t>
      </w:r>
    </w:p>
    <w:p w14:paraId="51274A1A" w14:textId="77777777" w:rsidR="008C55D6" w:rsidRPr="008C55D6" w:rsidRDefault="008C55D6" w:rsidP="008C55D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C55D6">
        <w:rPr>
          <w:rFonts w:ascii="Verdana" w:eastAsia="Times New Roman" w:hAnsi="Verdana" w:cs="Arial"/>
          <w:color w:val="242424"/>
          <w:sz w:val="21"/>
          <w:szCs w:val="21"/>
          <w:lang w:eastAsia="es-MX"/>
        </w:rPr>
        <w:t xml:space="preserve">2.14. PROYECTOS DE SUMINISTRO Y/O INSTALACIÓN DE SISTEMAS DE AIRES ACONDICIONADOS O SISTEMAS DE VENTILACIÓN O SIMILARES PARA INFRAESTRUCTURA DE SERVICIO PUBLICO. </w:t>
      </w:r>
    </w:p>
    <w:p w14:paraId="6B529C30" w14:textId="77777777" w:rsidR="008C55D6" w:rsidRPr="008C55D6" w:rsidRDefault="008C55D6" w:rsidP="008C55D6">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8C55D6">
        <w:rPr>
          <w:rFonts w:ascii="Verdana" w:eastAsia="Times New Roman" w:hAnsi="Verdana" w:cs="Arial"/>
          <w:color w:val="242424"/>
          <w:sz w:val="21"/>
          <w:szCs w:val="21"/>
          <w:lang w:eastAsia="es-MX"/>
        </w:rPr>
        <w:t>3.15. PROYECTOS DE SUMINISTRO Y/O INSTALACIÓN DE SISTEMAS DE AIRES ACONDICIONADOS O SISTEMAS DE VENTILACIÓN O SIMILARES PARA INFRAESTRUCTURA INSTITUCIONAL - SITIOS DE RECLUSIÓN”.</w:t>
      </w:r>
    </w:p>
    <w:p w14:paraId="5B3EC7FC" w14:textId="77777777" w:rsidR="008C55D6" w:rsidRPr="008C55D6" w:rsidRDefault="008C55D6" w:rsidP="008C55D6">
      <w:pPr>
        <w:spacing w:after="0" w:line="276" w:lineRule="auto"/>
        <w:jc w:val="both"/>
        <w:rPr>
          <w:rFonts w:ascii="Verdana" w:eastAsia="Times New Roman" w:hAnsi="Verdana" w:cs="Times New Roman"/>
          <w:color w:val="000000"/>
          <w:lang w:eastAsia="es-CO"/>
        </w:rPr>
      </w:pPr>
    </w:p>
    <w:p w14:paraId="128AF3A1" w14:textId="77777777" w:rsidR="008C55D6" w:rsidRPr="008C55D6" w:rsidRDefault="008C55D6" w:rsidP="008C55D6">
      <w:pPr>
        <w:spacing w:after="120" w:line="276" w:lineRule="auto"/>
        <w:jc w:val="both"/>
        <w:rPr>
          <w:rFonts w:ascii="Verdana" w:eastAsia="Aptos" w:hAnsi="Verdana" w:cs="Times New Roman"/>
          <w:kern w:val="2"/>
          <w:lang w:eastAsia="es-CO"/>
          <w14:ligatures w14:val="standardContextual"/>
        </w:rPr>
      </w:pPr>
      <w:r w:rsidRPr="008C55D6">
        <w:rPr>
          <w:rFonts w:ascii="Verdana" w:eastAsia="Aptos" w:hAnsi="Verdana" w:cs="Times New Roman"/>
          <w:kern w:val="2"/>
          <w:lang w:eastAsia="es-CO"/>
          <w14:ligatures w14:val="standardContextual"/>
        </w:rPr>
        <w:t xml:space="preserve">Como se aprecia, las actividades indicadas aplican para los procesos que adelanten las entidades obligadas a utilizar los documentos tipo, cuando correspondan al </w:t>
      </w:r>
      <w:r w:rsidRPr="008C55D6">
        <w:rPr>
          <w:rFonts w:ascii="Verdana" w:eastAsia="Aptos" w:hAnsi="Verdana" w:cs="Times New Roman"/>
          <w:i/>
          <w:iCs/>
          <w:kern w:val="2"/>
          <w:lang w:eastAsia="es-CO"/>
          <w14:ligatures w14:val="standardContextual"/>
        </w:rPr>
        <w:t>suministro e instalación</w:t>
      </w:r>
      <w:r w:rsidRPr="008C55D6">
        <w:rPr>
          <w:rFonts w:ascii="Verdana" w:eastAsia="Aptos" w:hAnsi="Verdana" w:cs="Times New Roman"/>
          <w:kern w:val="2"/>
          <w:lang w:eastAsia="es-CO"/>
          <w14:ligatures w14:val="standardContextual"/>
        </w:rPr>
        <w:t xml:space="preserve"> de sistemas de aires acondicionados o sistemas de ventilación o similares sobre infraestructura de seguridad pública </w:t>
      </w:r>
      <w:r w:rsidRPr="008C55D6">
        <w:rPr>
          <w:rFonts w:ascii="Verdana" w:eastAsia="Aptos" w:hAnsi="Verdana" w:cs="Times New Roman"/>
          <w:kern w:val="2"/>
          <w:lang w:eastAsia="es-CO"/>
          <w14:ligatures w14:val="standardContextual"/>
        </w:rPr>
        <w:lastRenderedPageBreak/>
        <w:t xml:space="preserve">(1.15) o de servicio público (2.14) o de sitios de reclusión (3.15) -según corresponda-. </w:t>
      </w:r>
    </w:p>
    <w:p w14:paraId="77B11C3C"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ab/>
        <w:t xml:space="preserve">De esta forma, la actividad de suministro está ligada a la actividad de instalación de </w:t>
      </w:r>
      <w:r w:rsidRPr="008C55D6">
        <w:rPr>
          <w:rFonts w:ascii="Verdana" w:eastAsia="Aptos" w:hAnsi="Verdana" w:cs="Times New Roman"/>
          <w:kern w:val="2"/>
          <w:lang w:eastAsia="es-CO"/>
          <w14:ligatures w14:val="standardContextual"/>
        </w:rPr>
        <w:t>los sistemas de aires acondicionados o sistemas de ventilación o similares sobre infraestructura institucional: seguridad pública, servicio público o sitios de reclusión</w:t>
      </w:r>
      <w:r w:rsidRPr="008C55D6">
        <w:rPr>
          <w:rFonts w:ascii="Verdana" w:eastAsia="Times New Roman" w:hAnsi="Verdana" w:cs="Times New Roman"/>
          <w:color w:val="000000"/>
          <w:lang w:eastAsia="es-CO"/>
        </w:rPr>
        <w:t xml:space="preserve">. Así, por sí sola, la actividad de suministro no requiere la aplicación de los documentos tipo expedidos por esta Agencia en el sector institucional. Es decir que, si una entidad pretende adelantar un proceso que tenga por objeto el suministro de </w:t>
      </w:r>
      <w:r w:rsidRPr="008C55D6">
        <w:rPr>
          <w:rFonts w:ascii="Verdana" w:eastAsia="Aptos" w:hAnsi="Verdana" w:cs="Times New Roman"/>
          <w:kern w:val="2"/>
          <w:lang w:eastAsia="es-CO"/>
          <w14:ligatures w14:val="standardContextual"/>
        </w:rPr>
        <w:t>sistemas de aires acondicionados o sistemas de ventilación o similares sobre infraestructura institucional</w:t>
      </w:r>
      <w:r w:rsidRPr="008C55D6">
        <w:rPr>
          <w:rFonts w:ascii="Verdana" w:eastAsia="Times New Roman" w:hAnsi="Verdana" w:cs="Times New Roman"/>
          <w:color w:val="000000"/>
          <w:lang w:eastAsia="es-CO"/>
        </w:rPr>
        <w:t>, no tendrá que aplicar los documentos tipo expedidos por esta Agencia en el sector institucional.</w:t>
      </w:r>
    </w:p>
    <w:p w14:paraId="60952534"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r w:rsidRPr="008C55D6">
        <w:rPr>
          <w:rFonts w:ascii="Verdana" w:eastAsia="Times New Roman" w:hAnsi="Verdana" w:cs="Times New Roman"/>
          <w:color w:val="000000"/>
          <w:lang w:eastAsia="es-CO"/>
        </w:rPr>
        <w:tab/>
        <w:t xml:space="preserve">Ahora bien, si el objeto del proceso de selección implica la instalación de </w:t>
      </w:r>
      <w:r w:rsidRPr="008C55D6">
        <w:rPr>
          <w:rFonts w:ascii="Verdana" w:eastAsia="Aptos" w:hAnsi="Verdana" w:cs="Times New Roman"/>
          <w:kern w:val="2"/>
          <w:lang w:eastAsia="es-CO"/>
          <w14:ligatures w14:val="standardContextual"/>
        </w:rPr>
        <w:t>sistemas de aires acondicionados o sistemas de ventilación o similares sobre infraestructura institucional</w:t>
      </w:r>
      <w:r w:rsidRPr="008C55D6">
        <w:rPr>
          <w:rFonts w:ascii="Verdana" w:eastAsia="Times New Roman" w:hAnsi="Verdana" w:cs="Times New Roman"/>
          <w:color w:val="000000"/>
          <w:lang w:eastAsia="es-CO"/>
        </w:rPr>
        <w:t>, se deberán aplicar los documentos tipo del sector institucional expedidos por esta Agencia. En estos casos, la entidad que adelante el proceso también deberá contratar el suministro utilizando los documentos tipo referidos, ya que, como se indicó, las actividades 1.15, 2.14 y 3.15 contenidas en dichos documentos aplican para el suministro e instalación de los sistemas de aires acondicionados, etc.</w:t>
      </w:r>
    </w:p>
    <w:p w14:paraId="54C11C06" w14:textId="77777777" w:rsidR="008C55D6" w:rsidRPr="008C55D6" w:rsidRDefault="008C55D6" w:rsidP="008C55D6">
      <w:pPr>
        <w:spacing w:after="120" w:line="276" w:lineRule="auto"/>
        <w:ind w:firstLine="708"/>
        <w:jc w:val="both"/>
        <w:rPr>
          <w:rFonts w:ascii="Verdana" w:eastAsia="Aptos" w:hAnsi="Verdana" w:cs="Times New Roman"/>
          <w:kern w:val="2"/>
          <w:lang w:eastAsia="es-CO"/>
          <w14:ligatures w14:val="standardContextual"/>
        </w:rPr>
      </w:pPr>
      <w:r w:rsidRPr="008C55D6">
        <w:rPr>
          <w:rFonts w:ascii="Verdana" w:eastAsia="Aptos" w:hAnsi="Verdana" w:cs="Times New Roman"/>
          <w:kern w:val="2"/>
          <w:lang w:eastAsia="es-CO"/>
          <w14:ligatures w14:val="standardContextual"/>
        </w:rPr>
        <w:t>Considerando lo anterior, es posible concluir que la actividad de suministro, considerada de manera aislada, no conlleva la obligación de aplicar los Documentos Tipo del sector institucional expedidos por la Agencia. En efecto, el texto señala que la actividad de suministro, por sí sola, no requiere la aplicación de dichos documentos cuando el proceso de selección tiene únicamente por objeto la provisión de estos sistemas sobre infraestructura institucional.</w:t>
      </w:r>
    </w:p>
    <w:p w14:paraId="0F5CEDBF" w14:textId="77777777" w:rsidR="008C55D6" w:rsidRPr="008C55D6" w:rsidRDefault="008C55D6" w:rsidP="008C55D6">
      <w:pPr>
        <w:spacing w:after="120" w:line="276" w:lineRule="auto"/>
        <w:ind w:firstLine="708"/>
        <w:jc w:val="both"/>
        <w:rPr>
          <w:rFonts w:ascii="Verdana" w:eastAsia="Aptos" w:hAnsi="Verdana" w:cs="Times New Roman"/>
          <w:kern w:val="2"/>
          <w:lang w:eastAsia="es-CO"/>
          <w14:ligatures w14:val="standardContextual"/>
        </w:rPr>
      </w:pPr>
      <w:r w:rsidRPr="008C55D6">
        <w:rPr>
          <w:rFonts w:ascii="Verdana" w:eastAsia="Aptos" w:hAnsi="Verdana" w:cs="Times New Roman"/>
          <w:kern w:val="2"/>
          <w:lang w:eastAsia="es-CO"/>
          <w14:ligatures w14:val="standardContextual"/>
        </w:rPr>
        <w:t>No obstante, cuando el objeto del proceso de selección incluye la instalación de sistemas de aires acondicionados o de ventilación, sí resulta obligatoria la aplicación de los Documentos Tipo del sector institucional. En estos casos, el suministro se encuentra estrechamente ligado a la instalación, por lo que ambas actividades deben contratarse bajo los mismos documentos tipo, particularmente en lo que respecta a las actividades 1.15, 2.14 y 3.15 contempladas en estos.</w:t>
      </w:r>
    </w:p>
    <w:p w14:paraId="7B196A83" w14:textId="77777777" w:rsidR="008C55D6" w:rsidRPr="008C55D6" w:rsidRDefault="008C55D6" w:rsidP="008C55D6">
      <w:pPr>
        <w:spacing w:after="120" w:line="276" w:lineRule="auto"/>
        <w:ind w:firstLine="708"/>
        <w:jc w:val="both"/>
        <w:rPr>
          <w:rFonts w:ascii="Verdana" w:eastAsia="Aptos" w:hAnsi="Verdana" w:cs="Times New Roman"/>
          <w:kern w:val="2"/>
          <w:lang w:eastAsia="es-CO"/>
          <w14:ligatures w14:val="standardContextual"/>
        </w:rPr>
      </w:pPr>
      <w:r w:rsidRPr="008C55D6">
        <w:rPr>
          <w:rFonts w:ascii="Verdana" w:eastAsia="Aptos" w:hAnsi="Verdana" w:cs="Times New Roman"/>
          <w:kern w:val="2"/>
          <w:lang w:eastAsia="es-CO"/>
          <w14:ligatures w14:val="standardContextual"/>
        </w:rPr>
        <w:lastRenderedPageBreak/>
        <w:t xml:space="preserve">Por otra parte, en los párrafos analizados no se hace referencia expresa a actividades de mantenimiento de sistemas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1918114A" w14:textId="77777777" w:rsidR="008C55D6" w:rsidRPr="008C55D6" w:rsidRDefault="008C55D6" w:rsidP="008C55D6">
      <w:pPr>
        <w:spacing w:after="0" w:line="276" w:lineRule="auto"/>
        <w:jc w:val="both"/>
        <w:rPr>
          <w:rFonts w:ascii="Verdana" w:eastAsia="Calibri" w:hAnsi="Verdana" w:cs="Arial"/>
          <w:color w:val="000000"/>
          <w:kern w:val="2"/>
          <w:lang w:val="es-ES_tradnl"/>
          <w14:ligatures w14:val="standardContextual"/>
        </w:rPr>
      </w:pPr>
      <w:r w:rsidRPr="008C55D6">
        <w:rPr>
          <w:rFonts w:ascii="Verdana" w:eastAsia="Times New Roman" w:hAnsi="Verdana" w:cs="Times New Roman"/>
          <w:color w:val="000000"/>
          <w:lang w:eastAsia="es-CO"/>
        </w:rPr>
        <w:tab/>
        <w:t xml:space="preserve">El argumento expuesto en los párrafos precedentes es acorde con los documentos tipo adoptados mediante las Resoluciones 539, 540 y 541 de 2025. En el artículo 1 de cada una de estas resoluciones se establece que estos aplican a </w:t>
      </w:r>
      <w:r w:rsidRPr="008C55D6">
        <w:rPr>
          <w:rFonts w:ascii="Verdana" w:eastAsia="Times New Roman" w:hAnsi="Verdana" w:cs="Times New Roman"/>
          <w:i/>
          <w:iCs/>
          <w:color w:val="000000"/>
          <w:lang w:eastAsia="es-CO"/>
        </w:rPr>
        <w:t>“(…) los procesos de obra pública de infraestructura social”</w:t>
      </w:r>
      <w:r w:rsidRPr="008C55D6">
        <w:rPr>
          <w:rFonts w:ascii="Verdana" w:eastAsia="Times New Roman" w:hAnsi="Verdana" w:cs="Times New Roman"/>
          <w:color w:val="000000"/>
          <w:lang w:eastAsia="es-CO"/>
        </w:rPr>
        <w:t xml:space="preserve"> que se adelanten en cada una de las modalidades que estas acogen. Es decir, que los documentos tipo señalados aplica, para </w:t>
      </w:r>
      <w:r w:rsidRPr="008C55D6">
        <w:rPr>
          <w:rFonts w:ascii="Verdana" w:eastAsia="Calibri" w:hAnsi="Verdana" w:cs="Arial"/>
          <w:color w:val="000000"/>
          <w:kern w:val="2"/>
          <w:lang w:val="es-ES_tradnl"/>
          <w14:ligatures w14:val="standardContextual"/>
        </w:rPr>
        <w:t>los contratos “(…) que celebren las entidades estatales para la construcción, mantenimiento, instalación y, en general, para la realización de cualquier otro trabajo material sobre bienes inmuebles, cualquiera que sea la modalidad de ejecución y pago”</w:t>
      </w:r>
      <w:r w:rsidRPr="008C55D6">
        <w:rPr>
          <w:rFonts w:ascii="Verdana" w:eastAsia="Calibri" w:hAnsi="Verdana" w:cs="Arial"/>
          <w:color w:val="000000"/>
          <w:kern w:val="2"/>
          <w:vertAlign w:val="superscript"/>
          <w:lang w:val="es-ES_tradnl"/>
          <w14:ligatures w14:val="standardContextual"/>
        </w:rPr>
        <w:footnoteReference w:id="3"/>
      </w:r>
      <w:r w:rsidRPr="008C55D6">
        <w:rPr>
          <w:rFonts w:ascii="Verdana" w:eastAsia="Calibri" w:hAnsi="Verdana" w:cs="Arial"/>
          <w:color w:val="000000"/>
          <w:kern w:val="2"/>
          <w:lang w:val="es-ES_tradnl"/>
          <w14:ligatures w14:val="standardContextual"/>
        </w:rPr>
        <w:t xml:space="preserve">. </w:t>
      </w:r>
    </w:p>
    <w:p w14:paraId="4B5BF45C" w14:textId="77777777" w:rsidR="008C55D6" w:rsidRPr="008C55D6" w:rsidRDefault="008C55D6" w:rsidP="008C55D6">
      <w:pPr>
        <w:spacing w:after="0" w:line="276" w:lineRule="auto"/>
        <w:jc w:val="both"/>
        <w:rPr>
          <w:rFonts w:ascii="Verdana" w:eastAsia="Times New Roman" w:hAnsi="Verdana" w:cs="Times New Roman"/>
          <w:color w:val="000000"/>
          <w:lang w:eastAsia="es-CO"/>
        </w:rPr>
      </w:pPr>
    </w:p>
    <w:p w14:paraId="21BA5B45" w14:textId="77777777" w:rsidR="008C55D6" w:rsidRPr="008C55D6" w:rsidRDefault="008C55D6" w:rsidP="008C55D6">
      <w:pPr>
        <w:spacing w:after="120" w:line="276" w:lineRule="auto"/>
        <w:jc w:val="both"/>
        <w:rPr>
          <w:rFonts w:ascii="Verdana" w:eastAsia="Times New Roman" w:hAnsi="Verdana" w:cs="Times New Roman"/>
          <w:color w:val="000000"/>
          <w:lang w:eastAsia="es-CO"/>
        </w:rPr>
      </w:pPr>
      <w:proofErr w:type="spellStart"/>
      <w:r w:rsidRPr="008C55D6">
        <w:rPr>
          <w:rFonts w:ascii="Verdana" w:eastAsia="Times New Roman" w:hAnsi="Verdana" w:cs="Times New Roman"/>
          <w:color w:val="000000"/>
          <w:lang w:eastAsia="es-CO"/>
        </w:rPr>
        <w:t>iii</w:t>
      </w:r>
      <w:proofErr w:type="spellEnd"/>
      <w:r w:rsidRPr="008C55D6">
        <w:rPr>
          <w:rFonts w:ascii="Verdana" w:eastAsia="Times New Roman" w:hAnsi="Verdana" w:cs="Times New Roman"/>
          <w:color w:val="000000"/>
          <w:lang w:eastAsia="es-CO"/>
        </w:rPr>
        <w:t xml:space="preserve">. Sin perjuicio de lo anterior, debe indicarse que para efectos de la aplicación de las actividades 1.15, 2.14 y 3.15 contenidas en la Matriz 1 – Experiencia de los Documentos Tipo del Sector Institucional, la entidad que adelanta el proceso de selección deberá determinar en cada caso, si este se enmarca o no en el ámbito de aplicación de esas actividades. </w:t>
      </w:r>
    </w:p>
    <w:p w14:paraId="054C247C" w14:textId="77777777" w:rsidR="008C55D6" w:rsidRPr="008C55D6" w:rsidRDefault="008C55D6" w:rsidP="008C55D6">
      <w:pPr>
        <w:spacing w:after="120" w:line="276" w:lineRule="auto"/>
        <w:ind w:firstLine="708"/>
        <w:jc w:val="both"/>
        <w:rPr>
          <w:rFonts w:ascii="Verdana" w:eastAsia="Calibri" w:hAnsi="Verdana" w:cs="Arial"/>
          <w:lang w:val="es-ES"/>
        </w:rPr>
      </w:pPr>
      <w:r w:rsidRPr="008C55D6">
        <w:rPr>
          <w:rFonts w:ascii="Verdana" w:eastAsia="Calibri" w:hAnsi="Verdana" w:cs="Arial"/>
          <w:lang w:val="es-ES"/>
        </w:rPr>
        <w:t xml:space="preserve">No obstante, teniendo en cuenta que las actividades señaladas incluyen la instalación, la cual, como se indicó, es constitutiva del objeto de contrato de obra pública, es importante hacer algunas precisiones en torno al alcance de este concepto. Como lo ha indicado la Sala de Consulta y Servicio Civil del Consejo de Estado, dentro del contrato de obra pública se considera incluido “[…], todo trabajo que tiene por objeto, crear, construir, conservar o modificar bienes inmuebles incorporándose a dicho concepto trabajos como la construcción, </w:t>
      </w:r>
      <w:r w:rsidRPr="008C55D6">
        <w:rPr>
          <w:rFonts w:ascii="Verdana" w:eastAsia="Calibri" w:hAnsi="Verdana" w:cs="Arial"/>
          <w:i/>
          <w:lang w:val="es-ES"/>
        </w:rPr>
        <w:t>instalación</w:t>
      </w:r>
      <w:r w:rsidRPr="008C55D6">
        <w:rPr>
          <w:rFonts w:ascii="Verdana" w:eastAsia="Calibri" w:hAnsi="Verdana" w:cs="Arial"/>
          <w:lang w:val="es-ES"/>
        </w:rPr>
        <w:t xml:space="preserve">, conservación, mantenimiento, reparación y demolición de los bienes inmuebles, así como la construcción, </w:t>
      </w:r>
      <w:r w:rsidRPr="008C55D6">
        <w:rPr>
          <w:rFonts w:ascii="Verdana" w:eastAsia="Calibri" w:hAnsi="Verdana" w:cs="Arial"/>
          <w:i/>
          <w:lang w:val="es-ES"/>
        </w:rPr>
        <w:t>instalación</w:t>
      </w:r>
      <w:r w:rsidRPr="008C55D6">
        <w:rPr>
          <w:rFonts w:ascii="Verdana" w:eastAsia="Calibri" w:hAnsi="Verdana" w:cs="Arial"/>
          <w:lang w:val="es-ES"/>
        </w:rPr>
        <w:t xml:space="preserve">, conservación, </w:t>
      </w:r>
      <w:r w:rsidRPr="008C55D6">
        <w:rPr>
          <w:rFonts w:ascii="Verdana" w:eastAsia="Calibri" w:hAnsi="Verdana" w:cs="Arial"/>
          <w:lang w:val="es-ES"/>
        </w:rPr>
        <w:lastRenderedPageBreak/>
        <w:t>mantenimiento, reparación y demolición de aquellos bienes destinados a un servicio público o al uso común”</w:t>
      </w:r>
      <w:r w:rsidRPr="008C55D6">
        <w:rPr>
          <w:rFonts w:ascii="Calibri" w:eastAsia="Calibri" w:hAnsi="Calibri" w:cs="Times New Roman"/>
          <w:vertAlign w:val="superscript"/>
        </w:rPr>
        <w:footnoteReference w:id="4"/>
      </w:r>
      <w:r w:rsidRPr="008C55D6">
        <w:rPr>
          <w:rFonts w:ascii="Verdana" w:eastAsia="Calibri" w:hAnsi="Verdana" w:cs="Arial"/>
          <w:lang w:val="es-ES"/>
        </w:rPr>
        <w:t xml:space="preserve"> (énfasis fuera de texto).</w:t>
      </w:r>
    </w:p>
    <w:p w14:paraId="55206849"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t>Según el Diccionario de la Lengua Española, “instalar” es “Poner o colocar en el lugar debido a alguien o algo”, así como “Colocar en un lugar o edificio los enseres y servicios que en él se hayan de utilizar; como en una fábrica, los conductos de agua, aparatos para la luz, etc.”</w:t>
      </w:r>
      <w:r w:rsidRPr="008C55D6">
        <w:rPr>
          <w:rFonts w:ascii="Calibri" w:eastAsia="Calibri" w:hAnsi="Calibri" w:cs="Times New Roman"/>
          <w:vertAlign w:val="superscript"/>
        </w:rPr>
        <w:footnoteReference w:id="5"/>
      </w:r>
      <w:r w:rsidRPr="008C55D6">
        <w:rPr>
          <w:rFonts w:ascii="Verdana" w:eastAsia="Calibri" w:hAnsi="Verdana" w:cs="Arial"/>
          <w:lang w:val="es-ES_tradnl"/>
        </w:rPr>
        <w:t>. Por tanto, la instalación de cosas –como redes, equipos u otros elementos– en los bienes inmuebles es, en principio, una actividad que ingresa dentro de los contratos de obra celebrados por las entidades estatales, pues comporta la realización de un trabajo material.</w:t>
      </w:r>
    </w:p>
    <w:p w14:paraId="574D9E0C"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t xml:space="preserve">Sin embargo, esto no quiere decir que </w:t>
      </w:r>
      <w:r w:rsidRPr="008C55D6">
        <w:rPr>
          <w:rFonts w:ascii="Verdana" w:eastAsia="Calibri" w:hAnsi="Verdana" w:cs="Arial"/>
          <w:i/>
          <w:iCs/>
          <w:lang w:val="es-ES_tradnl"/>
        </w:rPr>
        <w:t>toda</w:t>
      </w:r>
      <w:r w:rsidRPr="008C55D6">
        <w:rPr>
          <w:rFonts w:ascii="Verdana" w:eastAsia="Calibri" w:hAnsi="Verdana" w:cs="Arial"/>
          <w:lang w:val="es-ES_tradnl"/>
        </w:rPr>
        <w:t xml:space="preserve"> instalación que se pacte, como obligación a cargo del contratista, permita clasificar el negocio jurídico como un contrato de obra pública. Así lo reconoció también la Sala de Consulta y Servicio Civil, indicando que “En la práctica se encuentran contratos para el suministro de equipos que involucran prestaciones adicionales relacionadas con su instalación, servicios de mantenimiento, y de capacitación tendientes a la entrega para la puesta en funcionamiento por parte de la entidad estatal”</w:t>
      </w:r>
      <w:r w:rsidRPr="008C55D6">
        <w:rPr>
          <w:rFonts w:ascii="Verdana" w:eastAsia="Calibri" w:hAnsi="Verdana" w:cs="Times New Roman"/>
          <w:vertAlign w:val="superscript"/>
        </w:rPr>
        <w:footnoteReference w:id="6"/>
      </w:r>
      <w:r w:rsidRPr="008C55D6">
        <w:rPr>
          <w:rFonts w:ascii="Verdana" w:eastAsia="Calibri" w:hAnsi="Verdana" w:cs="Arial"/>
          <w:lang w:val="es-ES_tradnl"/>
        </w:rPr>
        <w:t>, agregando que “En el caso citado, no existe un contrato de compraventa o suministro de bienes muebles, un contrato de obra y un contrato de prestación de servicios. Se trata de un solo contrato con una prestación principal y unas accesorias relacionadas directamente con el primero”</w:t>
      </w:r>
      <w:r w:rsidRPr="008C55D6">
        <w:rPr>
          <w:rFonts w:ascii="Verdana" w:eastAsia="Calibri" w:hAnsi="Verdana" w:cs="Times New Roman"/>
          <w:vertAlign w:val="superscript"/>
        </w:rPr>
        <w:footnoteReference w:id="7"/>
      </w:r>
      <w:r w:rsidRPr="008C55D6">
        <w:rPr>
          <w:rFonts w:ascii="Verdana" w:eastAsia="Calibri" w:hAnsi="Verdana" w:cs="Arial"/>
          <w:lang w:val="es-ES_tradnl"/>
        </w:rPr>
        <w:t>.</w:t>
      </w:r>
    </w:p>
    <w:p w14:paraId="57B510EB"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t xml:space="preserve">En otras palabras, para la Sala, es posible que las entidades públicas, en ejercicio de su autonomía de la voluntad, celebren contratos estatales que involucren prestaciones mixtas, también denominados “contratos mixtos” –modalidad de contratos atípicos–, siempre que “las prestaciones correspondientes que pretendan fusionarse se encuentren directamente vinculadas entre sí, de tal manera que mantengan relaciones de complemento y </w:t>
      </w:r>
      <w:r w:rsidRPr="008C55D6">
        <w:rPr>
          <w:rFonts w:ascii="Verdana" w:eastAsia="Calibri" w:hAnsi="Verdana" w:cs="Arial"/>
          <w:lang w:val="es-ES_tradnl"/>
        </w:rPr>
        <w:lastRenderedPageBreak/>
        <w:t>que permitan predicar su tratamiento solo como una unidad funcional dirigida a la satisfacción de la necesidad de la entidad”</w:t>
      </w:r>
      <w:r w:rsidRPr="008C55D6">
        <w:rPr>
          <w:rFonts w:ascii="Verdana" w:eastAsia="Calibri" w:hAnsi="Verdana" w:cs="Times New Roman"/>
          <w:vertAlign w:val="superscript"/>
        </w:rPr>
        <w:footnoteReference w:id="8"/>
      </w:r>
      <w:r w:rsidRPr="008C55D6">
        <w:rPr>
          <w:rFonts w:ascii="Verdana" w:eastAsia="Calibri" w:hAnsi="Verdana" w:cs="Arial"/>
          <w:lang w:val="es-ES_tradnl"/>
        </w:rPr>
        <w:t xml:space="preserve">. </w:t>
      </w:r>
    </w:p>
    <w:p w14:paraId="5856EA0D"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t xml:space="preserve">La Agencia Nacional de Contratación Pública – Colombia Compra Eficiente comparte la tesis de la Sala de Consulta y Servicio Civil, pues considera que aquella se sustenta en dos argumentos: primero, en que el artículo 32 de la Ley 80 de 1993 no establece un listado taxativo de contratos estatales, sino que afirma que también lo son los “derivados del ejercicio de la autonomía de la voluntad”; y segundo, en que el artículo 40 ratifica lo anterior, al señalar que “Las entidades podrán celebrar los contratos y acuerdos que permitan la autonomía de la voluntad y requieran el cumplimiento de los fines estatales”. En consecuencia, las entidades estatales pueden celebrar contratos atípicos mixtos, respetando los límites del principio de legalidad, una de cuyas expresiones es la tipificación de los contratos estatales. </w:t>
      </w:r>
    </w:p>
    <w:p w14:paraId="195DD708" w14:textId="77777777" w:rsidR="008C55D6" w:rsidRPr="008C55D6" w:rsidRDefault="008C55D6" w:rsidP="008C55D6">
      <w:pPr>
        <w:spacing w:after="120" w:line="276" w:lineRule="auto"/>
        <w:ind w:firstLine="709"/>
        <w:jc w:val="both"/>
        <w:rPr>
          <w:rFonts w:ascii="Verdana" w:eastAsia="Calibri" w:hAnsi="Verdana" w:cs="Arial"/>
        </w:rPr>
      </w:pPr>
      <w:r w:rsidRPr="008C55D6">
        <w:rPr>
          <w:rFonts w:ascii="Verdana" w:eastAsia="Calibri" w:hAnsi="Verdana" w:cs="Arial"/>
          <w:lang w:val="es-ES_tradnl"/>
        </w:rPr>
        <w:t>Expresado de otro modo, cuando el legislador haya establecido el contenido de un contrato, para tipificarlo y predicar, a partir de esta calificación, consecuencias jurídicas como la modalidad de selección aplicable, requisitos habilitantes o gravámenes tributarios, prevalece la caracterización establecida en la ley, en lugar de la definición convencional estipulada entre las partes. Sin embargo, esto no se opone, como se ha dicho, a que las entidades estatales y los particulares celebren contratos que mezclen elementos de distintas tipologías contractuales, como, por ejemplo, el suministro o la compraventa con la instalación, o el diseño con la construcción. En estos casos se perfeccionan contratos mixtos, denominados por la Sala de Consulta y Servicio Civil, “contratos atípicos con tipicidad social”, porque en ellos se “conjugan los elementos de diversos contratos típicos en un solo contrato el cual tomará la denominación de contrato mixto”</w:t>
      </w:r>
      <w:r w:rsidRPr="008C55D6">
        <w:rPr>
          <w:rFonts w:ascii="Calibri" w:eastAsia="Calibri" w:hAnsi="Calibri" w:cs="Times New Roman"/>
          <w:vertAlign w:val="superscript"/>
        </w:rPr>
        <w:footnoteReference w:id="9"/>
      </w:r>
      <w:r w:rsidRPr="008C55D6">
        <w:rPr>
          <w:rFonts w:ascii="Verdana" w:eastAsia="Calibri" w:hAnsi="Verdana" w:cs="Arial"/>
          <w:lang w:val="es-ES_tradnl"/>
        </w:rPr>
        <w:t>.</w:t>
      </w:r>
    </w:p>
    <w:p w14:paraId="400F0D5F"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val="es-ES_tradnl"/>
        </w:rPr>
        <w:lastRenderedPageBreak/>
        <w:t>Esta idea, de cualquier manera, no deja de generar interrogantes en el caso concreto. ¿Cómo se puede determinar en un caso concreto si el contrato es típico o mixto? Por ejemplo, para el supuesto de la instalación de equipos de aire acondicionado o mobiliario, ¿cómo se sabe si el contrato es o no uno de obra pública, teniendo en cuenta que el artículo 32, numeral 1, de la Ley 80 de 1993, dispone que la “instalación” de elementos sobre bienes inmuebles es constitutivo de esta tipología contractual? La Sala de Consulta y Servicio Civil del Consejo de Estado sugiere el siguiente criterio hermenéutico: “Ante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w:t>
      </w:r>
      <w:r w:rsidRPr="008C55D6">
        <w:rPr>
          <w:rFonts w:ascii="Calibri" w:eastAsia="Calibri" w:hAnsi="Calibri" w:cs="Times New Roman"/>
          <w:vertAlign w:val="superscript"/>
        </w:rPr>
        <w:footnoteReference w:id="10"/>
      </w:r>
      <w:r w:rsidRPr="008C55D6">
        <w:rPr>
          <w:rFonts w:ascii="Verdana" w:eastAsia="Calibri" w:hAnsi="Verdana" w:cs="Arial"/>
          <w:lang w:val="es-ES_tradnl"/>
        </w:rPr>
        <w:t xml:space="preserve">. </w:t>
      </w:r>
    </w:p>
    <w:p w14:paraId="1C80C995" w14:textId="77777777" w:rsidR="008C55D6" w:rsidRPr="008C55D6" w:rsidRDefault="008C55D6" w:rsidP="008C55D6">
      <w:pPr>
        <w:spacing w:after="120" w:line="276" w:lineRule="auto"/>
        <w:ind w:firstLine="708"/>
        <w:jc w:val="both"/>
        <w:rPr>
          <w:rFonts w:ascii="Verdana" w:eastAsia="Calibri" w:hAnsi="Verdana" w:cs="Arial"/>
          <w:color w:val="000000"/>
          <w:lang w:val="es-ES_tradnl"/>
        </w:rPr>
      </w:pPr>
      <w:r w:rsidRPr="008C55D6">
        <w:rPr>
          <w:rFonts w:ascii="Verdana" w:eastAsia="Calibri" w:hAnsi="Verdana" w:cs="Arial"/>
          <w:color w:val="000000"/>
          <w:lang w:val="es-ES_tradnl"/>
        </w:rPr>
        <w:t xml:space="preserve">En similar sentido, de acuerdo con la jurisprudencia de la Sala de Casación Civil de la Corte Suprema de Justicia, el régimen contractual de los </w:t>
      </w:r>
      <w:r w:rsidRPr="008C55D6">
        <w:rPr>
          <w:rFonts w:ascii="Verdana" w:eastAsia="Calibri" w:hAnsi="Verdana" w:cs="Arial"/>
          <w:i/>
          <w:iCs/>
          <w:color w:val="000000"/>
          <w:lang w:val="es-ES_tradnl"/>
        </w:rPr>
        <w:t>contratos mixtos</w:t>
      </w:r>
      <w:r w:rsidRPr="008C55D6">
        <w:rPr>
          <w:rFonts w:ascii="Verdana" w:eastAsia="Calibri" w:hAnsi="Verdana" w:cs="Arial"/>
          <w:color w:val="000000"/>
          <w:lang w:val="es-ES_tradnl"/>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w:t>
      </w:r>
      <w:r w:rsidRPr="008C55D6">
        <w:rPr>
          <w:rFonts w:ascii="Calibri" w:eastAsia="Calibri" w:hAnsi="Calibri" w:cs="Times New Roman"/>
          <w:vertAlign w:val="superscript"/>
        </w:rPr>
        <w:footnoteReference w:id="11"/>
      </w:r>
      <w:r w:rsidRPr="008C55D6">
        <w:rPr>
          <w:rFonts w:ascii="Verdana" w:eastAsia="Calibri" w:hAnsi="Verdana" w:cs="Arial"/>
          <w:color w:val="000000"/>
          <w:lang w:val="es-ES_tradnl"/>
        </w:rPr>
        <w:t xml:space="preserve">. </w:t>
      </w:r>
    </w:p>
    <w:p w14:paraId="13C22B54" w14:textId="77777777" w:rsidR="008C55D6" w:rsidRPr="008C55D6" w:rsidRDefault="008C55D6" w:rsidP="008C55D6">
      <w:pPr>
        <w:spacing w:after="0" w:line="276" w:lineRule="auto"/>
        <w:ind w:firstLine="708"/>
        <w:jc w:val="both"/>
        <w:rPr>
          <w:rFonts w:ascii="Verdana" w:eastAsia="Calibri" w:hAnsi="Verdana" w:cs="Arial"/>
          <w:color w:val="000000"/>
          <w:lang w:val="es-ES_tradnl"/>
        </w:rPr>
      </w:pPr>
      <w:r w:rsidRPr="008C55D6">
        <w:rPr>
          <w:rFonts w:ascii="Verdana" w:eastAsia="Calibri" w:hAnsi="Verdana" w:cs="Arial"/>
          <w:color w:val="000000"/>
          <w:lang w:val="es-ES_tradnl"/>
        </w:rPr>
        <w:lastRenderedPageBreak/>
        <w:t>La jurisprudencia citada también explica los métodos de analogía y combinación. El primero alude a que el contrato atípico se rige por las normas que disciplinan la figura contractual típica más parecida. El segundo, por su parte, considera que, si un contrato comprende prestaciones de diferentes tipologías, deben aplicarse las normas correspondientes a cada figura. Para la Corte Suprema de Justicia, los criterios de absorción y combinación se reducen a la analogía</w:t>
      </w:r>
      <w:r w:rsidRPr="008C55D6">
        <w:rPr>
          <w:rFonts w:ascii="Calibri" w:eastAsia="Calibri" w:hAnsi="Calibri" w:cs="Times New Roman"/>
          <w:vertAlign w:val="superscript"/>
        </w:rPr>
        <w:footnoteReference w:id="12"/>
      </w:r>
      <w:r w:rsidRPr="008C55D6">
        <w:rPr>
          <w:rFonts w:ascii="Verdana" w:eastAsia="Calibri" w:hAnsi="Verdana" w:cs="Arial"/>
          <w:color w:val="000000"/>
          <w:lang w:val="es-ES_tradnl"/>
        </w:rPr>
        <w:t>. En todo caso, la doctrina advierte que:</w:t>
      </w:r>
    </w:p>
    <w:p w14:paraId="1B04F2F6" w14:textId="77777777" w:rsidR="008C55D6" w:rsidRPr="008C55D6" w:rsidRDefault="008C55D6" w:rsidP="008C55D6">
      <w:pPr>
        <w:tabs>
          <w:tab w:val="left" w:pos="2208"/>
        </w:tabs>
        <w:spacing w:after="0" w:line="276" w:lineRule="auto"/>
        <w:ind w:firstLine="709"/>
        <w:jc w:val="both"/>
        <w:rPr>
          <w:rFonts w:ascii="Verdana" w:eastAsia="Calibri" w:hAnsi="Verdana" w:cs="Arial"/>
          <w:color w:val="000000"/>
          <w:lang w:val="es-ES_tradnl"/>
        </w:rPr>
      </w:pPr>
      <w:r w:rsidRPr="008C55D6">
        <w:rPr>
          <w:rFonts w:ascii="Verdana" w:eastAsia="Calibri" w:hAnsi="Verdana" w:cs="Arial"/>
          <w:color w:val="000000"/>
          <w:lang w:val="es-ES_tradnl"/>
        </w:rPr>
        <w:tab/>
      </w:r>
    </w:p>
    <w:p w14:paraId="27E978BF" w14:textId="77777777" w:rsidR="008C55D6" w:rsidRPr="008C55D6" w:rsidRDefault="008C55D6" w:rsidP="008C55D6">
      <w:pPr>
        <w:spacing w:after="0" w:line="240" w:lineRule="auto"/>
        <w:ind w:left="709" w:right="709"/>
        <w:jc w:val="both"/>
        <w:rPr>
          <w:rFonts w:ascii="Verdana" w:eastAsia="Calibri" w:hAnsi="Verdana" w:cs="Arial"/>
          <w:color w:val="000000"/>
          <w:sz w:val="20"/>
          <w:szCs w:val="20"/>
        </w:rPr>
      </w:pPr>
      <w:r w:rsidRPr="008C55D6">
        <w:rPr>
          <w:rFonts w:ascii="Verdana" w:eastAsia="Calibri" w:hAnsi="Verdana" w:cs="Arial"/>
          <w:color w:val="000000"/>
          <w:sz w:val="20"/>
          <w:szCs w:val="20"/>
        </w:rPr>
        <w:t>[...] “la afinidad con otros tipos no excluye una relevancia original y autónoma del contrato”. Por tanto, se hace necesario auscultar también el interés y la intención de las partes en el contrato atípico.</w:t>
      </w:r>
      <w:r w:rsidRPr="008C55D6">
        <w:rPr>
          <w:rFonts w:ascii="Verdana" w:eastAsia="Calibri" w:hAnsi="Verdana" w:cs="Arial"/>
          <w:sz w:val="20"/>
          <w:szCs w:val="20"/>
        </w:rPr>
        <w:t xml:space="preserve"> </w:t>
      </w:r>
      <w:r w:rsidRPr="008C55D6">
        <w:rPr>
          <w:rFonts w:ascii="Verdana" w:eastAsia="Calibri" w:hAnsi="Verdana" w:cs="Arial"/>
          <w:color w:val="000000"/>
          <w:sz w:val="20"/>
          <w:szCs w:val="20"/>
        </w:rPr>
        <w:t>En últimas es la autonomía negocial la que da origen a los contratos innominados. La creación de un nuevo tipo contractual no es sino una adecuación progresiva del fenómeno de la autonomía negocial a los intereses específicos de los sujetos. La creación de un nuevo tipo contractual no es sino la adecuación progresiva del fenómeno de la autonomía negocial a los intereses específicos de los sujetos</w:t>
      </w:r>
      <w:r w:rsidRPr="008C55D6">
        <w:rPr>
          <w:rFonts w:ascii="Calibri" w:eastAsia="Calibri" w:hAnsi="Calibri" w:cs="Times New Roman"/>
          <w:vertAlign w:val="superscript"/>
        </w:rPr>
        <w:footnoteReference w:id="13"/>
      </w:r>
      <w:r w:rsidRPr="008C55D6">
        <w:rPr>
          <w:rFonts w:ascii="Verdana" w:eastAsia="Calibri" w:hAnsi="Verdana" w:cs="Arial"/>
          <w:color w:val="000000"/>
          <w:sz w:val="20"/>
          <w:szCs w:val="20"/>
        </w:rPr>
        <w:t>.</w:t>
      </w:r>
    </w:p>
    <w:p w14:paraId="42CA05C3" w14:textId="77777777" w:rsidR="008C55D6" w:rsidRPr="008C55D6" w:rsidRDefault="008C55D6" w:rsidP="008C55D6">
      <w:pPr>
        <w:spacing w:after="0" w:line="240" w:lineRule="auto"/>
        <w:ind w:left="709" w:right="709"/>
        <w:jc w:val="both"/>
        <w:rPr>
          <w:rFonts w:ascii="Verdana" w:eastAsia="Calibri" w:hAnsi="Verdana" w:cs="Arial"/>
          <w:color w:val="000000"/>
          <w:sz w:val="20"/>
          <w:szCs w:val="20"/>
        </w:rPr>
      </w:pPr>
    </w:p>
    <w:p w14:paraId="5B4BE387" w14:textId="77777777" w:rsidR="008C55D6" w:rsidRPr="008C55D6" w:rsidRDefault="008C55D6" w:rsidP="008C55D6">
      <w:pPr>
        <w:spacing w:after="120" w:line="276" w:lineRule="auto"/>
        <w:ind w:firstLine="709"/>
        <w:jc w:val="both"/>
        <w:rPr>
          <w:rFonts w:ascii="Verdana" w:eastAsia="Calibri" w:hAnsi="Verdana" w:cs="Arial"/>
          <w:lang w:val="es-ES"/>
        </w:rPr>
      </w:pPr>
      <w:r w:rsidRPr="008C55D6">
        <w:rPr>
          <w:rFonts w:ascii="Verdana" w:eastAsia="Calibri" w:hAnsi="Verdana" w:cs="Arial"/>
          <w:lang w:val="es-ES"/>
        </w:rPr>
        <w:t xml:space="preserve">Con fundamento en lo anterior, puede decirse que la obligación de instalar un bien mueble en un inmueble –convirtiendo a aquel en un inmueble por adhesión o por destinación– </w:t>
      </w:r>
      <w:r w:rsidRPr="008C55D6">
        <w:rPr>
          <w:rFonts w:ascii="Verdana" w:eastAsia="Calibri" w:hAnsi="Verdana" w:cs="Arial"/>
          <w:i/>
          <w:lang w:val="es-ES"/>
        </w:rPr>
        <w:t>no</w:t>
      </w:r>
      <w:r w:rsidRPr="008C55D6">
        <w:rPr>
          <w:rFonts w:ascii="Verdana" w:eastAsia="Calibri" w:hAnsi="Verdana" w:cs="Arial"/>
          <w:lang w:val="es-ES"/>
        </w:rPr>
        <w:t xml:space="preserve"> es privativa del contrato de obra pública, pues puede estar presente también en un contrato de suministro, de compraventa o en un contrato mixto (atípico). Lo que determinará cuál es la tipología contractual o la existencia del contrato mixto será la valoración de los siguientes elementos: i) la definición de cuál es la prestación principal del contrato, </w:t>
      </w:r>
      <w:proofErr w:type="spellStart"/>
      <w:r w:rsidRPr="008C55D6">
        <w:rPr>
          <w:rFonts w:ascii="Verdana" w:eastAsia="Calibri" w:hAnsi="Verdana" w:cs="Arial"/>
          <w:lang w:val="es-ES"/>
        </w:rPr>
        <w:t>ii</w:t>
      </w:r>
      <w:proofErr w:type="spellEnd"/>
      <w:r w:rsidRPr="008C55D6">
        <w:rPr>
          <w:rFonts w:ascii="Verdana" w:eastAsia="Calibri" w:hAnsi="Verdana" w:cs="Arial"/>
          <w:lang w:val="es-ES"/>
        </w:rPr>
        <w:t xml:space="preserve">) la finalidad de las partes y </w:t>
      </w:r>
      <w:proofErr w:type="spellStart"/>
      <w:r w:rsidRPr="008C55D6">
        <w:rPr>
          <w:rFonts w:ascii="Verdana" w:eastAsia="Calibri" w:hAnsi="Verdana" w:cs="Arial"/>
          <w:lang w:val="es-ES"/>
        </w:rPr>
        <w:t>iii</w:t>
      </w:r>
      <w:proofErr w:type="spellEnd"/>
      <w:r w:rsidRPr="008C55D6">
        <w:rPr>
          <w:rFonts w:ascii="Verdana" w:eastAsia="Calibri" w:hAnsi="Verdana" w:cs="Arial"/>
          <w:lang w:val="es-ES"/>
        </w:rPr>
        <w:t xml:space="preserve">) si se trata de prestaciones mixtas, “que las prestaciones correspondientes que pretendan fusionarse se encuentren directamente vinculadas entre sí, de tal manera que mantengan relaciones de complemento y que permitan predicar su tratamiento solo como una unidad </w:t>
      </w:r>
      <w:r w:rsidRPr="008C55D6">
        <w:rPr>
          <w:rFonts w:ascii="Verdana" w:eastAsia="Calibri" w:hAnsi="Verdana" w:cs="Arial"/>
          <w:lang w:val="es-ES"/>
        </w:rPr>
        <w:lastRenderedPageBreak/>
        <w:t>funcional dirigida a la satisfacción de la necesidad de la entidad”</w:t>
      </w:r>
      <w:r w:rsidRPr="008C55D6">
        <w:rPr>
          <w:rFonts w:ascii="Calibri" w:eastAsia="Calibri" w:hAnsi="Calibri" w:cs="Times New Roman"/>
          <w:vertAlign w:val="superscript"/>
        </w:rPr>
        <w:footnoteReference w:id="14"/>
      </w:r>
      <w:r w:rsidRPr="008C55D6">
        <w:rPr>
          <w:rFonts w:ascii="Verdana" w:eastAsia="Calibri" w:hAnsi="Verdana" w:cs="Arial"/>
          <w:lang w:val="es-ES"/>
        </w:rPr>
        <w:t>. Este es un análisis que, por tanto, debe realizarse en cada caso concreto, considerando los datos técnicos y económicos del objeto contractual.</w:t>
      </w:r>
    </w:p>
    <w:p w14:paraId="09649C25" w14:textId="77777777" w:rsidR="008C55D6" w:rsidRPr="008C55D6" w:rsidRDefault="008C55D6" w:rsidP="008C55D6">
      <w:pPr>
        <w:spacing w:after="120" w:line="276" w:lineRule="auto"/>
        <w:ind w:firstLine="708"/>
        <w:jc w:val="both"/>
        <w:rPr>
          <w:rFonts w:ascii="Verdana" w:eastAsia="Times New Roman" w:hAnsi="Verdana" w:cs="Times New Roman"/>
          <w:color w:val="000000"/>
          <w:lang w:eastAsia="es-CO"/>
        </w:rPr>
      </w:pPr>
      <w:r w:rsidRPr="008C55D6">
        <w:rPr>
          <w:rFonts w:ascii="Verdana" w:eastAsia="Calibri" w:hAnsi="Verdana" w:cs="Arial"/>
          <w:lang w:val="es-ES" w:eastAsia="es-ES_tradnl"/>
        </w:rPr>
        <w:t xml:space="preserve">En este contexto, </w:t>
      </w:r>
      <w:r w:rsidRPr="008C55D6">
        <w:rPr>
          <w:rFonts w:ascii="Verdana" w:eastAsia="Aptos" w:hAnsi="Verdana" w:cs="Arial"/>
          <w:kern w:val="2"/>
          <w:lang w:eastAsia="es-ES_tradnl"/>
          <w14:ligatures w14:val="standardContextual"/>
        </w:rPr>
        <w:t xml:space="preserve">no es posible afirmar de manera categórica que el suministro e instalación de </w:t>
      </w:r>
      <w:r w:rsidRPr="008C55D6">
        <w:rPr>
          <w:rFonts w:ascii="Verdana" w:eastAsia="Times New Roman" w:hAnsi="Verdana" w:cs="Times New Roman"/>
          <w:color w:val="000000"/>
          <w:lang w:eastAsia="es-CO"/>
        </w:rPr>
        <w:t xml:space="preserve">sistemas de aires acondicionadas o sistemas de ventilación o similar sobre </w:t>
      </w:r>
      <w:r w:rsidRPr="008C55D6">
        <w:rPr>
          <w:rFonts w:ascii="Verdana" w:eastAsia="Aptos" w:hAnsi="Verdana" w:cs="Arial"/>
          <w:kern w:val="2"/>
          <w:lang w:eastAsia="es-ES_tradnl"/>
          <w14:ligatures w14:val="standardContextual"/>
        </w:rPr>
        <w:t xml:space="preserve">un inmueble que tiene la categoría de infraestructura educativa deba clasificarse, en todos los casos, como un contrato de obra pública para efecto de la utilización de los Documentos Tipo </w:t>
      </w:r>
      <w:r w:rsidRPr="008C55D6">
        <w:rPr>
          <w:rFonts w:ascii="Verdana" w:eastAsia="Times New Roman" w:hAnsi="Verdana" w:cs="Times New Roman"/>
          <w:color w:val="000000"/>
          <w:lang w:eastAsia="es-CO"/>
        </w:rPr>
        <w:t>del Sector Institucional</w:t>
      </w:r>
      <w:r w:rsidRPr="008C55D6">
        <w:rPr>
          <w:rFonts w:ascii="Verdana" w:eastAsia="Aptos" w:hAnsi="Verdana" w:cs="Arial"/>
          <w:kern w:val="2"/>
          <w:lang w:eastAsia="es-ES_tradnl"/>
          <w14:ligatures w14:val="standardContextual"/>
        </w:rPr>
        <w:t xml:space="preserve">. Para establecer la naturaleza jurídica de este tipo de contratos, la entidad estatal debe analizar las circunstancias particulares de cada caso y considerar los criterios que permitan identificar la prestación principal, la finalidad de las partes y la relación de conexidad de las prestaciones.  </w:t>
      </w:r>
    </w:p>
    <w:p w14:paraId="73C6F2B5" w14:textId="77777777" w:rsidR="008C55D6" w:rsidRPr="008C55D6" w:rsidRDefault="008C55D6" w:rsidP="008C55D6">
      <w:pPr>
        <w:spacing w:after="120" w:line="276" w:lineRule="auto"/>
        <w:ind w:firstLine="709"/>
        <w:jc w:val="both"/>
        <w:rPr>
          <w:rFonts w:ascii="Verdana" w:eastAsia="Calibri" w:hAnsi="Verdana" w:cs="Arial"/>
          <w:lang w:val="es-ES_tradnl"/>
        </w:rPr>
      </w:pPr>
      <w:r w:rsidRPr="008C55D6">
        <w:rPr>
          <w:rFonts w:ascii="Verdana" w:eastAsia="Calibri" w:hAnsi="Verdana" w:cs="Arial"/>
          <w:lang w:eastAsia="es-ES_tradnl"/>
        </w:rPr>
        <w:t>Atendiendo a lo señalado por l</w:t>
      </w:r>
      <w:r w:rsidRPr="008C55D6">
        <w:rPr>
          <w:rFonts w:ascii="Verdana" w:eastAsia="Calibri" w:hAnsi="Verdana" w:cs="Arial"/>
          <w:lang w:val="es-ES_tradnl"/>
        </w:rPr>
        <w:t>a Sala de Consulta y Servicio Civil del Consejo de Estado,</w:t>
      </w:r>
      <w:r w:rsidRPr="008C55D6">
        <w:rPr>
          <w:rFonts w:ascii="Verdana" w:eastAsia="Calibri" w:hAnsi="Verdana" w:cs="Times New Roman"/>
          <w:color w:val="000000"/>
        </w:rPr>
        <w:t xml:space="preserve"> adhiriéndose al método de absorción para efectos de integrar el régimen jurídico aplicable,</w:t>
      </w:r>
      <w:r w:rsidRPr="008C55D6">
        <w:rPr>
          <w:rFonts w:ascii="Verdana" w:eastAsia="Calibri" w:hAnsi="Verdana" w:cs="Arial"/>
          <w:lang w:val="es-ES_tradnl"/>
        </w:rPr>
        <w:t xml:space="preserve"> se considera que en el caso referido es fundamental determinar la prestación principal para establecer dicho </w:t>
      </w:r>
      <w:r w:rsidRPr="008C55D6">
        <w:rPr>
          <w:rFonts w:ascii="Verdana" w:eastAsia="Calibri" w:hAnsi="Verdana" w:cs="Arial"/>
          <w:lang w:eastAsia="es-ES_tradnl"/>
        </w:rPr>
        <w:t>régimen</w:t>
      </w:r>
      <w:r w:rsidRPr="008C55D6">
        <w:rPr>
          <w:rFonts w:ascii="Verdana" w:eastAsia="Calibri" w:hAnsi="Verdana" w:cs="Arial"/>
          <w:lang w:val="es-ES_tradnl"/>
        </w:rPr>
        <w:t xml:space="preserve">, </w:t>
      </w:r>
      <w:r w:rsidRPr="008C55D6">
        <w:rPr>
          <w:rFonts w:ascii="Verdana" w:eastAsia="Calibri" w:hAnsi="Verdana" w:cs="Arial"/>
          <w:lang w:eastAsia="es-ES_tradnl"/>
        </w:rPr>
        <w:t xml:space="preserve">teniendo en cuenta que la tipología contractual </w:t>
      </w:r>
      <w:r w:rsidRPr="008C55D6">
        <w:rPr>
          <w:rFonts w:ascii="Verdana" w:eastAsia="Calibri" w:hAnsi="Verdana" w:cs="Arial"/>
          <w:lang w:val="es-ES" w:eastAsia="es-ES_tradnl"/>
        </w:rPr>
        <w:t xml:space="preserve">es importante para definir aspectos como la modalidad de selección que debe utilizar la entidad y los requisitos habilitantes o ponderables que deben incorporar en el pliego de condiciones para la selección objetiva de la mejor oferta. </w:t>
      </w:r>
    </w:p>
    <w:p w14:paraId="3259FD98"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 xml:space="preserve">Para tales efectos, la entidad estatal podría determinar </w:t>
      </w:r>
      <w:r w:rsidRPr="008C55D6">
        <w:rPr>
          <w:rFonts w:ascii="Verdana" w:eastAsia="Calibri" w:hAnsi="Verdana" w:cs="Arial"/>
          <w:color w:val="000000"/>
          <w:lang w:val="es-ES_tradnl"/>
        </w:rPr>
        <w:t>el régimen del contrato típico al que pertenece</w:t>
      </w:r>
      <w:r w:rsidRPr="008C55D6">
        <w:rPr>
          <w:rFonts w:ascii="Verdana" w:eastAsia="Calibri"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el aire acondicionado. </w:t>
      </w:r>
    </w:p>
    <w:p w14:paraId="41628304"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w:t>
      </w:r>
      <w:r w:rsidRPr="008C55D6">
        <w:rPr>
          <w:rFonts w:ascii="Verdana" w:eastAsia="Calibri" w:hAnsi="Verdana" w:cs="Arial"/>
          <w:lang w:eastAsia="es-ES_tradnl"/>
        </w:rPr>
        <w:lastRenderedPageBreak/>
        <w:t xml:space="preserve">de instalación supera significativamente, más del 50 % del presupuesto, o si dichas actividades constituyen la esencia del negocio jurídico, o confluyen ambos criterios, podría concluirse que se trata de un contrato de obra y no de un simple contrato de suministro o instalación. </w:t>
      </w:r>
    </w:p>
    <w:p w14:paraId="7B48FF46"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En contraste, si las labores de instalación son secundarias o accesorias, en su valor económico o en su complejidad técnica, y el elemento central del negocio jurídico es la entrega de los bienes muebles, la naturaleza del contrato correspondería a la de suministro. Esto podría suceder cuando la instalación se limita a ajustes menores, sin afectar la estructura o funcionamiento del inmueble.</w:t>
      </w:r>
    </w:p>
    <w:p w14:paraId="3A7623EE" w14:textId="77777777" w:rsidR="008C55D6" w:rsidRPr="008C55D6" w:rsidRDefault="008C55D6" w:rsidP="008C55D6">
      <w:pPr>
        <w:spacing w:after="12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En este análisis, es de especial relevancia que la entidad estatal analice escenarios en los cuales, aunque el valor de los bienes objeto de suministro supere el de las actividades de instalación, el alcance de las obras necesarias para adecuar o intervenir el inmueble es tan significativo que la esencia del contrato deja de ser la provisión de los bienes y pasa a ser la ejecución de la obra misma. 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614D32E8" w14:textId="77777777" w:rsidR="008C55D6" w:rsidRPr="008C55D6" w:rsidRDefault="008C55D6" w:rsidP="008C55D6">
      <w:pPr>
        <w:spacing w:after="0" w:line="276" w:lineRule="auto"/>
        <w:ind w:firstLine="709"/>
        <w:jc w:val="both"/>
        <w:rPr>
          <w:rFonts w:ascii="Verdana" w:eastAsia="Calibri" w:hAnsi="Verdana" w:cs="Arial"/>
          <w:lang w:eastAsia="es-ES_tradnl"/>
        </w:rPr>
      </w:pPr>
      <w:r w:rsidRPr="008C55D6">
        <w:rPr>
          <w:rFonts w:ascii="Verdana" w:eastAsia="Calibri" w:hAnsi="Verdana" w:cs="Arial"/>
          <w:lang w:eastAsia="es-ES_tradnl"/>
        </w:rPr>
        <w:t xml:space="preserve">En este contexto, a juicio de esta Agencia, es importante que la entidad realice una valoración integral de las actividades y obligaciones del contrato teniendo en cuenta los distintos criterios expuestos para para determinar el régimen contractual aplicable al contrato y por ende si deben aplicarse o no los Documentos Tipo del Sector Institucional expedidos por esta Agencia. </w:t>
      </w:r>
    </w:p>
    <w:p w14:paraId="69A6D920" w14:textId="77777777" w:rsidR="008C55D6" w:rsidRPr="008C55D6" w:rsidRDefault="008C55D6" w:rsidP="008C55D6">
      <w:pPr>
        <w:spacing w:after="0" w:line="276" w:lineRule="auto"/>
        <w:ind w:firstLine="709"/>
        <w:jc w:val="both"/>
        <w:rPr>
          <w:rFonts w:ascii="Verdana" w:eastAsia="Calibri" w:hAnsi="Verdana" w:cs="Arial"/>
          <w:lang w:eastAsia="es-ES_tradnl"/>
        </w:rPr>
      </w:pPr>
    </w:p>
    <w:p w14:paraId="40E4A194" w14:textId="77777777" w:rsidR="008C55D6" w:rsidRPr="008C55D6" w:rsidRDefault="008C55D6" w:rsidP="008C55D6">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8C55D6">
        <w:rPr>
          <w:rFonts w:ascii="Verdana" w:eastAsia="Calibri" w:hAnsi="Verdana" w:cs="Arial"/>
          <w:lang w:eastAsia="es-ES_tradnl"/>
        </w:rPr>
        <w:t>iv</w:t>
      </w:r>
      <w:proofErr w:type="spellEnd"/>
      <w:r w:rsidRPr="008C55D6">
        <w:rPr>
          <w:rFonts w:ascii="Verdana" w:eastAsia="Calibri" w:hAnsi="Verdana" w:cs="Arial"/>
          <w:lang w:eastAsia="es-ES_tradnl"/>
        </w:rPr>
        <w:t xml:space="preserve">. </w:t>
      </w:r>
      <w:r w:rsidRPr="008C55D6">
        <w:rPr>
          <w:rFonts w:ascii="Verdana" w:eastAsia="Aptos" w:hAnsi="Verdana" w:cs="Aptos"/>
          <w:kern w:val="2"/>
          <w14:ligatures w14:val="standardContextua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w:t>
      </w:r>
      <w:r w:rsidRPr="008C55D6">
        <w:rPr>
          <w:rFonts w:ascii="Verdana" w:eastAsia="Aptos" w:hAnsi="Verdana" w:cs="Aptos"/>
          <w:kern w:val="2"/>
          <w14:ligatures w14:val="standardContextual"/>
        </w:rPr>
        <w:lastRenderedPageBreak/>
        <w:t>indicados en este concepto. Lo anterior sin que pueda apartarse de su aplicación cuando materialmente el objeto a contratar corresponde con alguna actividad de contemplada en dicha matriz.</w:t>
      </w:r>
      <w:r w:rsidRPr="008C55D6">
        <w:rPr>
          <w:rFonts w:ascii="Verdana" w:eastAsia="Times New Roman" w:hAnsi="Verdana" w:cs="Arial"/>
          <w:kern w:val="2"/>
          <w:sz w:val="24"/>
          <w:szCs w:val="24"/>
          <w:shd w:val="clear" w:color="auto" w:fill="FFFFFF"/>
          <w:lang w:val="es-ES_tradnl" w:eastAsia="es-ES_tradnl"/>
          <w14:ligatures w14:val="standardContextual"/>
        </w:rPr>
        <w:t xml:space="preserve"> </w:t>
      </w:r>
    </w:p>
    <w:p w14:paraId="1E177566" w14:textId="77777777" w:rsidR="008C55D6" w:rsidRPr="008C55D6" w:rsidRDefault="008C55D6" w:rsidP="008C55D6">
      <w:pPr>
        <w:spacing w:after="120" w:line="276" w:lineRule="auto"/>
        <w:ind w:firstLine="708"/>
        <w:jc w:val="both"/>
        <w:rPr>
          <w:rFonts w:ascii="Verdana" w:eastAsia="Aptos" w:hAnsi="Verdana" w:cs="Times New Roman"/>
          <w:kern w:val="2"/>
          <w14:ligatures w14:val="standardContextual"/>
        </w:rPr>
      </w:pPr>
      <w:r w:rsidRPr="008C55D6">
        <w:rPr>
          <w:rFonts w:ascii="Verdana" w:eastAsia="Calibri" w:hAnsi="Verdana" w:cs="Arial"/>
          <w:bCs/>
          <w:color w:val="000000"/>
          <w:kern w:val="2"/>
          <w14:ligatures w14:val="standardContextual"/>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4FF7A3D" w14:textId="77777777" w:rsidR="008C55D6" w:rsidRPr="008C55D6" w:rsidRDefault="008C55D6" w:rsidP="008C55D6">
      <w:pPr>
        <w:spacing w:after="0" w:line="276" w:lineRule="auto"/>
        <w:ind w:firstLine="708"/>
        <w:jc w:val="both"/>
        <w:rPr>
          <w:rFonts w:ascii="Verdana" w:eastAsia="Calibri" w:hAnsi="Verdana" w:cs="Arial"/>
          <w:bCs/>
          <w:color w:val="000000"/>
          <w:kern w:val="2"/>
          <w14:ligatures w14:val="standardContextual"/>
        </w:rPr>
      </w:pPr>
      <w:r w:rsidRPr="008C55D6">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80121C4" w14:textId="77777777" w:rsidR="008C55D6" w:rsidRPr="008C55D6" w:rsidRDefault="008C55D6" w:rsidP="008C55D6">
      <w:pPr>
        <w:spacing w:after="0" w:line="276" w:lineRule="auto"/>
        <w:jc w:val="both"/>
        <w:rPr>
          <w:rFonts w:ascii="Verdana" w:eastAsia="Calibri" w:hAnsi="Verdana" w:cs="Arial"/>
          <w:lang w:eastAsia="es-ES_tradnl"/>
        </w:rPr>
      </w:pPr>
    </w:p>
    <w:p w14:paraId="3E795177" w14:textId="77777777" w:rsidR="008C55D6" w:rsidRPr="008C55D6" w:rsidRDefault="008C55D6" w:rsidP="008C55D6">
      <w:pPr>
        <w:tabs>
          <w:tab w:val="left" w:pos="142"/>
          <w:tab w:val="left" w:pos="284"/>
        </w:tabs>
        <w:spacing w:after="0" w:line="276" w:lineRule="auto"/>
        <w:jc w:val="both"/>
        <w:rPr>
          <w:rFonts w:ascii="Verdana" w:eastAsia="Century Gothic" w:hAnsi="Verdana" w:cs="Century Gothic"/>
          <w:b/>
          <w:bCs/>
          <w:lang w:val="es-ES_tradnl"/>
        </w:rPr>
      </w:pPr>
      <w:r w:rsidRPr="008C55D6">
        <w:rPr>
          <w:rFonts w:ascii="Verdana" w:eastAsia="Century Gothic" w:hAnsi="Verdana" w:cs="Century Gothic"/>
          <w:b/>
          <w:bCs/>
          <w:lang w:val="es-ES_tradnl"/>
        </w:rPr>
        <w:t>4. Referencias normativas, jurisprudenciales y otras fuentes:</w:t>
      </w:r>
    </w:p>
    <w:p w14:paraId="4F372656" w14:textId="77777777" w:rsidR="008C55D6" w:rsidRPr="008C55D6" w:rsidRDefault="008C55D6" w:rsidP="008C55D6">
      <w:pPr>
        <w:spacing w:after="0"/>
        <w:ind w:left="-15840"/>
        <w:jc w:val="both"/>
        <w:rPr>
          <w:rFonts w:ascii="Verdana" w:eastAsia="Calibri" w:hAnsi="Verdana" w:cs="Arial"/>
          <w:b/>
          <w:bCs/>
        </w:rPr>
      </w:pPr>
      <w:r w:rsidRPr="008C55D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C55D6" w:rsidRPr="008C55D6" w14:paraId="395B961F" w14:textId="77777777" w:rsidTr="008A62F8">
        <w:trPr>
          <w:trHeight w:val="870"/>
        </w:trPr>
        <w:tc>
          <w:tcPr>
            <w:tcW w:w="8647" w:type="dxa"/>
            <w:tcBorders>
              <w:top w:val="dotted" w:sz="4" w:space="0" w:color="auto"/>
              <w:left w:val="dotted" w:sz="4" w:space="0" w:color="auto"/>
              <w:bottom w:val="dotted" w:sz="4" w:space="0" w:color="auto"/>
              <w:right w:val="dotted" w:sz="4" w:space="0" w:color="auto"/>
            </w:tcBorders>
          </w:tcPr>
          <w:p w14:paraId="11C67E7F" w14:textId="77777777" w:rsidR="008C55D6" w:rsidRPr="008C55D6" w:rsidRDefault="008C55D6" w:rsidP="008C55D6">
            <w:pPr>
              <w:contextualSpacing/>
              <w:jc w:val="both"/>
              <w:rPr>
                <w:rFonts w:ascii="Verdana" w:eastAsia="Calibri" w:hAnsi="Verdana" w:cs="Arial"/>
                <w:bCs/>
              </w:rPr>
            </w:pPr>
          </w:p>
          <w:p w14:paraId="06EF8C08" w14:textId="77777777" w:rsidR="008C55D6" w:rsidRPr="008C55D6" w:rsidRDefault="008C55D6" w:rsidP="008C55D6">
            <w:pPr>
              <w:widowControl w:val="0"/>
              <w:numPr>
                <w:ilvl w:val="0"/>
                <w:numId w:val="16"/>
              </w:numPr>
              <w:autoSpaceDE w:val="0"/>
              <w:autoSpaceDN w:val="0"/>
              <w:spacing w:line="276" w:lineRule="auto"/>
              <w:jc w:val="both"/>
              <w:rPr>
                <w:rFonts w:ascii="Verdana" w:eastAsia="Calibri" w:hAnsi="Verdana" w:cs="Arial"/>
                <w:lang w:val="es-ES_tradnl"/>
              </w:rPr>
            </w:pPr>
            <w:r w:rsidRPr="008C55D6">
              <w:rPr>
                <w:rFonts w:ascii="Verdana" w:eastAsia="Calibri" w:hAnsi="Verdana" w:cs="Arial"/>
                <w:lang w:val="es-ES_tradnl"/>
              </w:rPr>
              <w:t xml:space="preserve">Ley 2022 de 2020, artículo 1. </w:t>
            </w:r>
          </w:p>
          <w:p w14:paraId="2EDBC3BB" w14:textId="77777777" w:rsidR="008C55D6" w:rsidRPr="008C55D6" w:rsidRDefault="008C55D6" w:rsidP="008C55D6">
            <w:pPr>
              <w:widowControl w:val="0"/>
              <w:numPr>
                <w:ilvl w:val="0"/>
                <w:numId w:val="16"/>
              </w:numPr>
              <w:autoSpaceDE w:val="0"/>
              <w:autoSpaceDN w:val="0"/>
              <w:spacing w:line="276" w:lineRule="auto"/>
              <w:jc w:val="both"/>
              <w:rPr>
                <w:rFonts w:ascii="Verdana" w:eastAsia="Calibri" w:hAnsi="Verdana" w:cs="Arial"/>
              </w:rPr>
            </w:pPr>
            <w:r w:rsidRPr="008C55D6">
              <w:rPr>
                <w:rFonts w:ascii="Verdana" w:eastAsia="Calibri" w:hAnsi="Verdana" w:cs="Arial"/>
              </w:rPr>
              <w:t>Ley 1150 de 2007, artículo 2.</w:t>
            </w:r>
          </w:p>
          <w:p w14:paraId="3FF0B8F2" w14:textId="77777777" w:rsidR="008C55D6" w:rsidRPr="008C55D6" w:rsidRDefault="008C55D6" w:rsidP="008C55D6">
            <w:pPr>
              <w:widowControl w:val="0"/>
              <w:numPr>
                <w:ilvl w:val="0"/>
                <w:numId w:val="16"/>
              </w:numPr>
              <w:autoSpaceDE w:val="0"/>
              <w:autoSpaceDN w:val="0"/>
              <w:spacing w:line="276" w:lineRule="auto"/>
              <w:contextualSpacing/>
              <w:jc w:val="both"/>
              <w:rPr>
                <w:rFonts w:ascii="Verdana" w:eastAsia="Calibri" w:hAnsi="Verdana" w:cs="Arial"/>
              </w:rPr>
            </w:pPr>
            <w:r w:rsidRPr="008C55D6">
              <w:rPr>
                <w:rFonts w:ascii="Verdana" w:eastAsia="Calibri" w:hAnsi="Verdana" w:cs="Arial"/>
                <w:lang w:val="es-ES_tradnl"/>
              </w:rPr>
              <w:t xml:space="preserve">Documentos Tipo. Disponibles en: </w:t>
            </w:r>
            <w:hyperlink r:id="rId12" w:history="1">
              <w:r w:rsidRPr="008C55D6">
                <w:rPr>
                  <w:rFonts w:ascii="Verdana" w:eastAsia="Calibri" w:hAnsi="Verdana" w:cs="Arial"/>
                  <w:color w:val="0000FF"/>
                  <w:u w:val="single"/>
                  <w:lang w:val="es-ES_tradnl"/>
                </w:rPr>
                <w:t>https://www.colombiacompra.gov.co/documentos-tipo/documentos-tipo</w:t>
              </w:r>
            </w:hyperlink>
            <w:r w:rsidRPr="008C55D6">
              <w:rPr>
                <w:rFonts w:ascii="Verdana" w:eastAsia="Calibri" w:hAnsi="Verdana" w:cs="Arial"/>
                <w:lang w:val="es-ES_tradnl"/>
              </w:rPr>
              <w:t>.</w:t>
            </w:r>
          </w:p>
          <w:p w14:paraId="10F3F7DB" w14:textId="77777777" w:rsidR="008C55D6" w:rsidRPr="008C55D6" w:rsidRDefault="008C55D6" w:rsidP="008C55D6">
            <w:pPr>
              <w:widowControl w:val="0"/>
              <w:numPr>
                <w:ilvl w:val="0"/>
                <w:numId w:val="16"/>
              </w:numPr>
              <w:autoSpaceDE w:val="0"/>
              <w:autoSpaceDN w:val="0"/>
              <w:spacing w:line="276" w:lineRule="auto"/>
              <w:jc w:val="both"/>
              <w:rPr>
                <w:rFonts w:ascii="Verdana" w:eastAsia="Calibri" w:hAnsi="Verdana" w:cs="Arial"/>
                <w:lang w:val="es-ES_tradnl"/>
              </w:rPr>
            </w:pPr>
            <w:r w:rsidRPr="008C55D6">
              <w:rPr>
                <w:rFonts w:ascii="Verdana" w:eastAsia="Calibri" w:hAnsi="Verdana" w:cs="Arial"/>
                <w:lang w:val="es-ES_tradnl"/>
              </w:rPr>
              <w:t>Consejo de Estado. Sala de Consulta y Servicio Civil. Concepto del 5 de septiembre de 2018. Consejero Ponente: Edgar González López. Radicación interna: 2386.</w:t>
            </w:r>
          </w:p>
          <w:p w14:paraId="7A783B29" w14:textId="77777777" w:rsidR="008C55D6" w:rsidRPr="008C55D6" w:rsidRDefault="008C55D6" w:rsidP="008C55D6">
            <w:pPr>
              <w:widowControl w:val="0"/>
              <w:numPr>
                <w:ilvl w:val="0"/>
                <w:numId w:val="16"/>
              </w:numPr>
              <w:autoSpaceDE w:val="0"/>
              <w:autoSpaceDN w:val="0"/>
              <w:spacing w:line="276" w:lineRule="auto"/>
              <w:jc w:val="both"/>
              <w:rPr>
                <w:rFonts w:ascii="Verdana" w:eastAsia="Calibri" w:hAnsi="Verdana" w:cs="Arial"/>
                <w:lang w:val="es-ES_tradnl"/>
              </w:rPr>
            </w:pPr>
            <w:r w:rsidRPr="008C55D6">
              <w:rPr>
                <w:rFonts w:ascii="Verdana" w:eastAsia="Calibri" w:hAnsi="Verdana" w:cs="Arial"/>
                <w:lang w:val="es-ES_tradnl"/>
              </w:rPr>
              <w:t xml:space="preserve">RENGIFO GARCÍA, Ernesto. Interpretación del contrato atípico a la luz de la jurisprudencia colombiana. En: Los contratos en el derecho </w:t>
            </w:r>
            <w:r w:rsidRPr="008C55D6">
              <w:rPr>
                <w:rFonts w:ascii="Verdana" w:eastAsia="Calibri" w:hAnsi="Verdana" w:cs="Arial"/>
                <w:lang w:val="es-ES_tradnl"/>
              </w:rPr>
              <w:lastRenderedPageBreak/>
              <w:t>privado. Bogotá: Legis – Universidad del Rosario, 2009. p. 48.</w:t>
            </w:r>
          </w:p>
          <w:p w14:paraId="71829358" w14:textId="77777777" w:rsidR="008C55D6" w:rsidRPr="008C55D6" w:rsidRDefault="008C55D6" w:rsidP="008C55D6">
            <w:pPr>
              <w:widowControl w:val="0"/>
              <w:numPr>
                <w:ilvl w:val="0"/>
                <w:numId w:val="16"/>
              </w:numPr>
              <w:autoSpaceDE w:val="0"/>
              <w:autoSpaceDN w:val="0"/>
              <w:spacing w:line="276" w:lineRule="auto"/>
              <w:jc w:val="both"/>
              <w:rPr>
                <w:rFonts w:ascii="Verdana" w:eastAsia="Calibri" w:hAnsi="Verdana" w:cs="Arial"/>
                <w:lang w:val="es-ES_tradnl"/>
              </w:rPr>
            </w:pPr>
            <w:r w:rsidRPr="008C55D6">
              <w:rPr>
                <w:rFonts w:ascii="Verdana" w:eastAsia="Calibri" w:hAnsi="Verdana" w:cs="Arial"/>
                <w:lang w:val="es-ES_tradnl"/>
              </w:rPr>
              <w:t>RENGIFO GARCÍA, Ernesto. Interpretación del contrato atípico a la luz de la jurisprudencia colombiana. En: Los contratos en el derecho privado. Bogotá: Legis – Universidad del Rosario, 2009. p. 48</w:t>
            </w:r>
          </w:p>
        </w:tc>
      </w:tr>
    </w:tbl>
    <w:p w14:paraId="099B068C" w14:textId="77777777" w:rsidR="008C55D6" w:rsidRPr="008C55D6" w:rsidRDefault="008C55D6" w:rsidP="008C55D6">
      <w:pPr>
        <w:tabs>
          <w:tab w:val="left" w:pos="142"/>
          <w:tab w:val="left" w:pos="284"/>
        </w:tabs>
        <w:spacing w:after="0" w:line="276" w:lineRule="auto"/>
        <w:jc w:val="both"/>
        <w:rPr>
          <w:rFonts w:ascii="Verdana" w:eastAsia="Calibri" w:hAnsi="Verdana" w:cs="Arial"/>
        </w:rPr>
      </w:pPr>
    </w:p>
    <w:p w14:paraId="1B56CFD3" w14:textId="77777777" w:rsidR="008C55D6" w:rsidRPr="008C55D6" w:rsidRDefault="008C55D6" w:rsidP="008C55D6">
      <w:pPr>
        <w:tabs>
          <w:tab w:val="left" w:pos="142"/>
          <w:tab w:val="left" w:pos="284"/>
        </w:tabs>
        <w:spacing w:after="0" w:line="276" w:lineRule="auto"/>
        <w:jc w:val="both"/>
        <w:rPr>
          <w:rFonts w:ascii="Verdana" w:eastAsia="Century Gothic" w:hAnsi="Verdana" w:cs="Century Gothic"/>
          <w:b/>
          <w:bCs/>
          <w:lang w:val="es-ES"/>
        </w:rPr>
      </w:pPr>
      <w:r w:rsidRPr="008C55D6">
        <w:rPr>
          <w:rFonts w:ascii="Verdana" w:eastAsia="Calibri" w:hAnsi="Verdana" w:cs="Arial"/>
          <w:b/>
          <w:bCs/>
        </w:rPr>
        <w:t>5</w:t>
      </w:r>
      <w:r w:rsidRPr="008C55D6">
        <w:rPr>
          <w:rFonts w:ascii="Verdana" w:eastAsia="Calibri" w:hAnsi="Verdana" w:cs="Arial"/>
        </w:rPr>
        <w:t>.</w:t>
      </w:r>
      <w:r w:rsidRPr="008C55D6">
        <w:rPr>
          <w:rFonts w:ascii="Verdana" w:eastAsia="Century Gothic" w:hAnsi="Verdana" w:cs="Century Gothic"/>
          <w:b/>
          <w:bCs/>
          <w:lang w:val="es-ES"/>
        </w:rPr>
        <w:t>Doctrina de la Agencia Nacional de Contratación Pública:</w:t>
      </w:r>
    </w:p>
    <w:p w14:paraId="6C6F9682" w14:textId="77777777" w:rsidR="008C55D6" w:rsidRPr="008C55D6" w:rsidRDefault="008C55D6" w:rsidP="008C55D6">
      <w:pPr>
        <w:spacing w:after="0" w:line="276" w:lineRule="auto"/>
        <w:jc w:val="both"/>
        <w:rPr>
          <w:rFonts w:ascii="Verdana" w:eastAsia="Calibri" w:hAnsi="Verdana" w:cs="Arial"/>
          <w:kern w:val="2"/>
          <w:shd w:val="clear" w:color="auto" w:fill="FFFFFF"/>
          <w:lang w:val="es-ES"/>
          <w14:ligatures w14:val="standardContextual"/>
        </w:rPr>
      </w:pPr>
    </w:p>
    <w:p w14:paraId="0FEDF6A9" w14:textId="77777777" w:rsidR="008C55D6" w:rsidRPr="008C55D6" w:rsidRDefault="008C55D6" w:rsidP="008C55D6">
      <w:pPr>
        <w:spacing w:after="0" w:line="276" w:lineRule="auto"/>
        <w:jc w:val="both"/>
        <w:rPr>
          <w:rFonts w:ascii="Verdana" w:eastAsia="Calibri" w:hAnsi="Verdana" w:cs="Arial"/>
          <w:kern w:val="2"/>
          <w:shd w:val="clear" w:color="auto" w:fill="FFFFFF"/>
          <w:lang w:val="es-ES"/>
          <w14:ligatures w14:val="standardContextual"/>
        </w:rPr>
      </w:pPr>
      <w:r w:rsidRPr="008C55D6">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8C55D6">
        <w:rPr>
          <w:rFonts w:ascii="Verdana" w:eastAsia="Calibri" w:hAnsi="Verdana" w:cs="Times New Roman"/>
          <w:kern w:val="2"/>
          <w14:ligatures w14:val="standardContextual"/>
        </w:rPr>
        <w:t xml:space="preserve"> </w:t>
      </w:r>
      <w:r w:rsidRPr="008C55D6">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8C55D6">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371C676B" w14:textId="77777777" w:rsidR="008C55D6" w:rsidRPr="008C55D6" w:rsidRDefault="008C55D6" w:rsidP="008C55D6">
      <w:pPr>
        <w:spacing w:after="0" w:line="276" w:lineRule="auto"/>
        <w:jc w:val="both"/>
        <w:rPr>
          <w:rFonts w:ascii="Verdana" w:eastAsia="Calibri" w:hAnsi="Verdana" w:cs="Arial"/>
          <w:kern w:val="2"/>
          <w:shd w:val="clear" w:color="auto" w:fill="FFFFFF"/>
          <w:lang w:val="es-ES"/>
          <w14:ligatures w14:val="standardContextual"/>
        </w:rPr>
      </w:pPr>
    </w:p>
    <w:p w14:paraId="57B84C49" w14:textId="77777777" w:rsidR="008C55D6" w:rsidRPr="008C55D6" w:rsidRDefault="008C55D6" w:rsidP="008C55D6">
      <w:pPr>
        <w:spacing w:after="0" w:line="276" w:lineRule="auto"/>
        <w:jc w:val="both"/>
        <w:rPr>
          <w:rFonts w:ascii="Verdana" w:eastAsia="Calibri" w:hAnsi="Verdana" w:cs="Arial"/>
          <w:kern w:val="2"/>
          <w:shd w:val="clear" w:color="auto" w:fill="FFFFFF"/>
          <w:lang w:val="es-ES"/>
          <w14:ligatures w14:val="standardContextual"/>
        </w:rPr>
      </w:pPr>
      <w:r w:rsidRPr="008C55D6">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otros. Igualmente, la Subdirección se ha referido a los contratos Mixtos y objetos sociales con prestaciones mixtas en los conceptos con radicados 2201913000009572 y 2201913000009588 del 24 de diciembre de 2019, C-694 del 29 de diciembre de 2021, C-440 del 2 de septiembre de 2021, C–933 de 2022, C–484 del 09 de octubre de 2024, C-864 del 11 de agosto de 2025 y C-1580 del 24 de diciembre de 2025.  </w:t>
      </w:r>
    </w:p>
    <w:p w14:paraId="5453733F" w14:textId="77777777" w:rsidR="008C55D6" w:rsidRPr="008C55D6" w:rsidRDefault="008C55D6" w:rsidP="008C55D6">
      <w:pPr>
        <w:spacing w:after="0" w:line="240" w:lineRule="auto"/>
        <w:jc w:val="both"/>
        <w:rPr>
          <w:rFonts w:ascii="Verdana" w:eastAsia="Calibri" w:hAnsi="Verdana" w:cs="Arial"/>
          <w:color w:val="000000"/>
          <w:shd w:val="clear" w:color="auto" w:fill="FFFFFF"/>
        </w:rPr>
      </w:pPr>
    </w:p>
    <w:p w14:paraId="207912DA" w14:textId="77777777" w:rsidR="008C55D6" w:rsidRPr="008C55D6" w:rsidRDefault="008C55D6" w:rsidP="008C55D6">
      <w:pPr>
        <w:widowControl w:val="0"/>
        <w:autoSpaceDE w:val="0"/>
        <w:autoSpaceDN w:val="0"/>
        <w:spacing w:after="0" w:line="276" w:lineRule="auto"/>
        <w:jc w:val="both"/>
        <w:rPr>
          <w:rFonts w:ascii="Verdana" w:eastAsia="Calibri" w:hAnsi="Verdana" w:cs="Arial"/>
          <w:color w:val="0000FF"/>
          <w:u w:val="single"/>
          <w:shd w:val="clear" w:color="auto" w:fill="FFFFFF"/>
        </w:rPr>
      </w:pPr>
      <w:r w:rsidRPr="008C55D6">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8C55D6">
          <w:rPr>
            <w:rFonts w:ascii="Verdana" w:eastAsia="Calibri" w:hAnsi="Verdana" w:cs="Arial"/>
            <w:color w:val="0000FF"/>
            <w:u w:val="single"/>
            <w:shd w:val="clear" w:color="auto" w:fill="FFFFFF"/>
          </w:rPr>
          <w:t>https://relatoria.colombiacompra.gov.co/</w:t>
        </w:r>
      </w:hyperlink>
      <w:r w:rsidRPr="008C55D6">
        <w:rPr>
          <w:rFonts w:ascii="Verdana" w:eastAsia="Calibri" w:hAnsi="Verdana" w:cs="Arial"/>
          <w:color w:val="0000FF"/>
          <w:u w:val="single"/>
          <w:shd w:val="clear" w:color="auto" w:fill="FFFFFF"/>
        </w:rPr>
        <w:t> .</w:t>
      </w:r>
    </w:p>
    <w:p w14:paraId="5FD4FC4D" w14:textId="77777777" w:rsidR="008C55D6" w:rsidRPr="008C55D6" w:rsidRDefault="008C55D6" w:rsidP="008C55D6">
      <w:pPr>
        <w:widowControl w:val="0"/>
        <w:autoSpaceDE w:val="0"/>
        <w:autoSpaceDN w:val="0"/>
        <w:spacing w:after="0" w:line="276" w:lineRule="auto"/>
        <w:jc w:val="both"/>
        <w:rPr>
          <w:rFonts w:ascii="Verdana" w:eastAsia="Calibri" w:hAnsi="Verdana" w:cs="Arial"/>
          <w:color w:val="0000FF"/>
          <w:u w:val="single"/>
          <w:shd w:val="clear" w:color="auto" w:fill="FFFFFF"/>
        </w:rPr>
      </w:pPr>
    </w:p>
    <w:p w14:paraId="08DFFE47" w14:textId="77777777" w:rsidR="008C55D6" w:rsidRPr="008C55D6" w:rsidRDefault="008C55D6" w:rsidP="008C55D6">
      <w:pPr>
        <w:spacing w:after="0" w:line="276" w:lineRule="auto"/>
        <w:jc w:val="both"/>
        <w:rPr>
          <w:rFonts w:ascii="Verdana" w:eastAsia="Aptos" w:hAnsi="Verdana" w:cs="Arial"/>
          <w:kern w:val="2"/>
          <w14:ligatures w14:val="standardContextual"/>
        </w:rPr>
      </w:pPr>
      <w:r w:rsidRPr="008C55D6">
        <w:rPr>
          <w:rFonts w:ascii="Verdana" w:eastAsia="Aptos" w:hAnsi="Verdana" w:cs="Arial"/>
          <w:kern w:val="2"/>
          <w14:ligatures w14:val="standardContextual"/>
        </w:rPr>
        <w:lastRenderedPageBreak/>
        <w:t xml:space="preserve">La sostenibilidad no es una opción, es una obligación. Por ello, la Agencia Nacional de Contratación Pública –Colombia Compra Eficiente– te invita a realizar el </w:t>
      </w:r>
      <w:r w:rsidRPr="008C55D6">
        <w:rPr>
          <w:rFonts w:ascii="Verdana" w:eastAsia="Aptos" w:hAnsi="Verdana" w:cs="Arial"/>
          <w:b/>
          <w:bCs/>
          <w:kern w:val="2"/>
          <w14:ligatures w14:val="standardContextual"/>
        </w:rPr>
        <w:t>Curso de Contratación Pública Sostenible y Socialmente Responsable</w:t>
      </w:r>
      <w:r w:rsidRPr="008C55D6">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8C55D6">
        <w:rPr>
          <w:rFonts w:ascii="Verdana" w:eastAsia="Aptos" w:hAnsi="Verdana" w:cs="Arial"/>
          <w:kern w:val="2"/>
          <w14:ligatures w14:val="standardContextual"/>
        </w:rPr>
        <w:br/>
      </w:r>
      <w:hyperlink r:id="rId14" w:tgtFrame="_new" w:history="1">
        <w:r w:rsidRPr="008C55D6">
          <w:rPr>
            <w:rFonts w:ascii="Verdana" w:eastAsia="Aptos" w:hAnsi="Verdana" w:cs="Arial"/>
            <w:color w:val="0000FF"/>
            <w:kern w:val="2"/>
            <w:u w:val="single"/>
            <w14:ligatures w14:val="standardContextual"/>
          </w:rPr>
          <w:t>https://formacionvirtual.colombiacompra.gov.co/mod/page/view.php?id=3718</w:t>
        </w:r>
      </w:hyperlink>
    </w:p>
    <w:p w14:paraId="142A9747" w14:textId="77777777" w:rsidR="008C55D6" w:rsidRPr="008C55D6" w:rsidRDefault="008C55D6" w:rsidP="008C55D6">
      <w:pPr>
        <w:spacing w:after="0" w:line="276" w:lineRule="auto"/>
        <w:jc w:val="both"/>
        <w:rPr>
          <w:rFonts w:ascii="Verdana" w:eastAsia="Aptos" w:hAnsi="Verdana" w:cs="Arial"/>
          <w:kern w:val="2"/>
          <w14:ligatures w14:val="standardContextual"/>
        </w:rPr>
      </w:pPr>
      <w:r w:rsidRPr="008C55D6">
        <w:rPr>
          <w:rFonts w:ascii="Verdana" w:eastAsia="Aptos" w:hAnsi="Verdana" w:cs="Arial"/>
          <w:kern w:val="2"/>
          <w14:ligatures w14:val="standardContextual"/>
        </w:rPr>
        <w:t xml:space="preserve">De otro lado, te contamos que esta Agencia ha da un paso decisivo en la estandarización y modernización del </w:t>
      </w:r>
      <w:r w:rsidRPr="008C55D6">
        <w:rPr>
          <w:rFonts w:ascii="Verdana" w:eastAsia="Aptos" w:hAnsi="Verdana" w:cs="Arial"/>
          <w:b/>
          <w:bCs/>
          <w:kern w:val="2"/>
          <w14:ligatures w14:val="standardContextual"/>
        </w:rPr>
        <w:t>sector  social</w:t>
      </w:r>
      <w:r w:rsidRPr="008C55D6">
        <w:rPr>
          <w:rFonts w:ascii="Verdana" w:eastAsia="Aptos" w:hAnsi="Verdana" w:cs="Arial"/>
          <w:kern w:val="2"/>
          <w14:ligatures w14:val="standardContextual"/>
        </w:rPr>
        <w:t xml:space="preserve"> con la expedición de las </w:t>
      </w:r>
      <w:r w:rsidRPr="008C55D6">
        <w:rPr>
          <w:rFonts w:ascii="Verdana" w:eastAsia="Aptos" w:hAnsi="Verdana" w:cs="Arial"/>
          <w:b/>
          <w:bCs/>
          <w:kern w:val="2"/>
          <w14:ligatures w14:val="standardContextual"/>
        </w:rPr>
        <w:t>Resoluciones 539, 540, 541, 952 y 953 de 2025</w:t>
      </w:r>
      <w:r w:rsidRPr="008C55D6">
        <w:rPr>
          <w:rFonts w:ascii="Verdana" w:eastAsia="Aptos" w:hAnsi="Verdana" w:cs="Arial"/>
          <w:kern w:val="2"/>
          <w14:ligatures w14:val="standardContextual"/>
        </w:rPr>
        <w:t xml:space="preserve">, </w:t>
      </w:r>
      <w:r w:rsidRPr="008C55D6">
        <w:rPr>
          <w:rFonts w:ascii="Verdana" w:eastAsia="Aptos" w:hAnsi="Verdana" w:cs="Arial"/>
          <w:b/>
          <w:bCs/>
          <w:kern w:val="2"/>
          <w14:ligatures w14:val="standardContextual"/>
        </w:rPr>
        <w:t>mediante las cuales adoptó Documentos Tipo</w:t>
      </w:r>
      <w:r w:rsidRPr="008C55D6">
        <w:rPr>
          <w:rFonts w:ascii="Verdana" w:eastAsia="Aptos" w:hAnsi="Verdana" w:cs="Arial"/>
          <w:kern w:val="2"/>
          <w14:ligatures w14:val="standardContextual"/>
        </w:rPr>
        <w:t xml:space="preserve"> para las modalidades de selección de</w:t>
      </w:r>
      <w:r w:rsidRPr="008C55D6">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8C55D6">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8C55D6">
          <w:rPr>
            <w:rFonts w:ascii="Verdana" w:eastAsia="Aptos" w:hAnsi="Verdana" w:cs="Arial"/>
            <w:color w:val="0000FF"/>
            <w:kern w:val="2"/>
            <w:u w:val="single"/>
            <w14:ligatures w14:val="standardContextual"/>
          </w:rPr>
          <w:t>https://www.colombiacompra.gov.co/normativa-y-relatoria/documentos-tipo</w:t>
        </w:r>
      </w:hyperlink>
    </w:p>
    <w:p w14:paraId="40FA3C16" w14:textId="77777777" w:rsidR="008C55D6" w:rsidRPr="008C55D6" w:rsidRDefault="008C55D6" w:rsidP="008C55D6">
      <w:pPr>
        <w:spacing w:after="0" w:line="276" w:lineRule="auto"/>
        <w:jc w:val="both"/>
        <w:rPr>
          <w:rFonts w:ascii="Verdana" w:eastAsia="Aptos" w:hAnsi="Verdana" w:cs="Arial"/>
          <w:kern w:val="2"/>
          <w14:ligatures w14:val="standardContextual"/>
        </w:rPr>
      </w:pPr>
    </w:p>
    <w:p w14:paraId="5ADFE1CC" w14:textId="77777777" w:rsidR="008C55D6" w:rsidRPr="008C55D6" w:rsidRDefault="008C55D6" w:rsidP="008C55D6">
      <w:pPr>
        <w:spacing w:after="0" w:line="276" w:lineRule="auto"/>
        <w:jc w:val="both"/>
        <w:rPr>
          <w:rFonts w:ascii="Verdana" w:eastAsia="Aptos" w:hAnsi="Verdana" w:cs="Arial"/>
          <w:kern w:val="2"/>
          <w14:ligatures w14:val="standardContextual"/>
        </w:rPr>
      </w:pPr>
      <w:r w:rsidRPr="008C55D6">
        <w:rPr>
          <w:rFonts w:ascii="Verdana" w:eastAsia="Aptos" w:hAnsi="Verdana" w:cs="Arial"/>
          <w:kern w:val="2"/>
          <w14:ligatures w14:val="standardContextual"/>
        </w:rPr>
        <w:t xml:space="preserve">Si quieres conocer más sobre la aplicación de Documentos Tipo puedes consultar la última versión de la </w:t>
      </w:r>
      <w:r w:rsidRPr="008C55D6">
        <w:rPr>
          <w:rFonts w:ascii="Verdana" w:eastAsia="Aptos" w:hAnsi="Verdana" w:cs="Arial"/>
          <w:b/>
          <w:bCs/>
          <w:kern w:val="2"/>
          <w14:ligatures w14:val="standardContextual"/>
        </w:rPr>
        <w:t>Guía para la comprensión e implementación de los Documentos Tipo de obra pública de infraestructura de transporte</w:t>
      </w:r>
      <w:r w:rsidRPr="008C55D6">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8C55D6">
        <w:rPr>
          <w:rFonts w:ascii="Verdana" w:eastAsia="Aptos" w:hAnsi="Verdana" w:cs="Arial"/>
          <w:kern w:val="2"/>
          <w14:ligatures w14:val="standardContextual"/>
        </w:rPr>
        <w:br/>
      </w:r>
      <w:hyperlink r:id="rId16" w:tgtFrame="_new" w:history="1">
        <w:r w:rsidRPr="008C55D6">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59E625BA" w14:textId="77777777" w:rsidR="008C55D6" w:rsidRPr="008C55D6" w:rsidRDefault="008C55D6" w:rsidP="008C55D6">
      <w:pPr>
        <w:spacing w:after="0"/>
        <w:jc w:val="both"/>
        <w:rPr>
          <w:rFonts w:ascii="Verdana" w:eastAsia="Aptos" w:hAnsi="Verdana" w:cs="Times New Roman"/>
          <w:color w:val="212121"/>
        </w:rPr>
      </w:pPr>
    </w:p>
    <w:p w14:paraId="6D422982" w14:textId="77777777" w:rsidR="008C55D6" w:rsidRPr="008C55D6" w:rsidRDefault="008C55D6" w:rsidP="008C55D6">
      <w:pPr>
        <w:spacing w:after="0" w:line="240" w:lineRule="auto"/>
        <w:jc w:val="both"/>
        <w:rPr>
          <w:rFonts w:ascii="Verdana" w:eastAsia="Calibri" w:hAnsi="Verdana" w:cs="Times New Roman"/>
        </w:rPr>
      </w:pPr>
      <w:r w:rsidRPr="008C55D6">
        <w:rPr>
          <w:rFonts w:ascii="Verdana" w:eastAsia="Aptos" w:hAnsi="Verdana" w:cs="Times New Roman"/>
        </w:rPr>
        <w:t xml:space="preserve">Por último, lo invitamos a seguirnos en las redes sociales en las cuales se difunde información institucional: </w:t>
      </w:r>
    </w:p>
    <w:p w14:paraId="1E3F515F" w14:textId="77777777" w:rsidR="008C55D6" w:rsidRPr="008C55D6" w:rsidRDefault="008C55D6" w:rsidP="008C55D6">
      <w:pPr>
        <w:spacing w:after="0" w:line="240" w:lineRule="auto"/>
        <w:jc w:val="both"/>
        <w:rPr>
          <w:rFonts w:ascii="Verdana" w:eastAsia="Aptos" w:hAnsi="Verdana" w:cs="Times New Roman"/>
        </w:rPr>
      </w:pPr>
    </w:p>
    <w:p w14:paraId="7E2167A0" w14:textId="77777777" w:rsidR="008C55D6" w:rsidRPr="008C55D6" w:rsidRDefault="008C55D6" w:rsidP="008C55D6">
      <w:pPr>
        <w:spacing w:after="0" w:line="240" w:lineRule="auto"/>
        <w:jc w:val="both"/>
        <w:rPr>
          <w:rFonts w:ascii="Verdana" w:eastAsia="Aptos" w:hAnsi="Verdana" w:cs="Times New Roman"/>
        </w:rPr>
      </w:pPr>
      <w:r w:rsidRPr="008C55D6">
        <w:rPr>
          <w:rFonts w:ascii="Verdana" w:eastAsia="Aptos" w:hAnsi="Verdana" w:cs="Times New Roman"/>
        </w:rPr>
        <w:t xml:space="preserve">Twitter: </w:t>
      </w:r>
      <w:r w:rsidRPr="008C55D6">
        <w:rPr>
          <w:rFonts w:ascii="Verdana" w:eastAsia="Calibri" w:hAnsi="Verdana" w:cs="Times New Roman"/>
          <w:color w:val="156082"/>
          <w:u w:val="single"/>
        </w:rPr>
        <w:t>@colombiacompra</w:t>
      </w:r>
      <w:r w:rsidRPr="008C55D6">
        <w:rPr>
          <w:rFonts w:ascii="Verdana" w:eastAsia="Calibri" w:hAnsi="Verdana" w:cs="Times New Roman"/>
          <w:color w:val="156082"/>
        </w:rPr>
        <w:t xml:space="preserve"> </w:t>
      </w:r>
    </w:p>
    <w:p w14:paraId="62915537" w14:textId="77777777" w:rsidR="008C55D6" w:rsidRPr="008C55D6" w:rsidRDefault="008C55D6" w:rsidP="008C55D6">
      <w:pPr>
        <w:spacing w:after="0" w:line="240" w:lineRule="auto"/>
        <w:jc w:val="both"/>
        <w:rPr>
          <w:rFonts w:ascii="Verdana" w:eastAsia="Aptos" w:hAnsi="Verdana" w:cs="Times New Roman"/>
        </w:rPr>
      </w:pPr>
      <w:r w:rsidRPr="008C55D6">
        <w:rPr>
          <w:rFonts w:ascii="Verdana" w:eastAsia="Aptos" w:hAnsi="Verdana" w:cs="Times New Roman"/>
        </w:rPr>
        <w:lastRenderedPageBreak/>
        <w:t xml:space="preserve">Facebook: </w:t>
      </w:r>
      <w:proofErr w:type="spellStart"/>
      <w:r w:rsidRPr="008C55D6">
        <w:rPr>
          <w:rFonts w:ascii="Verdana" w:eastAsia="Calibri" w:hAnsi="Verdana" w:cs="Times New Roman"/>
          <w:color w:val="156082"/>
          <w:u w:val="single"/>
        </w:rPr>
        <w:t>ColombiaCompraEficiente</w:t>
      </w:r>
      <w:proofErr w:type="spellEnd"/>
    </w:p>
    <w:p w14:paraId="7C7F14FD" w14:textId="77777777" w:rsidR="008C55D6" w:rsidRPr="008C55D6" w:rsidRDefault="008C55D6" w:rsidP="008C55D6">
      <w:pPr>
        <w:spacing w:after="0" w:line="240" w:lineRule="auto"/>
        <w:jc w:val="both"/>
        <w:rPr>
          <w:rFonts w:ascii="Verdana" w:eastAsia="Aptos" w:hAnsi="Verdana" w:cs="Times New Roman"/>
        </w:rPr>
      </w:pPr>
      <w:r w:rsidRPr="008C55D6">
        <w:rPr>
          <w:rFonts w:ascii="Verdana" w:eastAsia="Aptos" w:hAnsi="Verdana" w:cs="Times New Roman"/>
        </w:rPr>
        <w:t xml:space="preserve">LinkedIn: </w:t>
      </w:r>
      <w:r w:rsidRPr="008C55D6">
        <w:rPr>
          <w:rFonts w:ascii="Verdana" w:eastAsia="Calibri" w:hAnsi="Verdana" w:cs="Times New Roman"/>
          <w:color w:val="156082"/>
          <w:u w:val="single"/>
        </w:rPr>
        <w:t>Agencia Nacional de Contratación Pública - Colombia Compra Eficiente</w:t>
      </w:r>
      <w:r w:rsidRPr="008C55D6">
        <w:rPr>
          <w:rFonts w:ascii="Verdana" w:eastAsia="Calibri" w:hAnsi="Verdana" w:cs="Times New Roman"/>
          <w:color w:val="156082"/>
        </w:rPr>
        <w:t xml:space="preserve"> </w:t>
      </w:r>
      <w:r w:rsidRPr="008C55D6">
        <w:rPr>
          <w:rFonts w:ascii="Verdana" w:eastAsia="Aptos" w:hAnsi="Verdana" w:cs="Times New Roman"/>
        </w:rPr>
        <w:t xml:space="preserve">Instagram: </w:t>
      </w:r>
      <w:r w:rsidRPr="008C55D6">
        <w:rPr>
          <w:rFonts w:ascii="Verdana" w:eastAsia="Calibri" w:hAnsi="Verdana" w:cs="Times New Roman"/>
          <w:color w:val="156082"/>
          <w:u w:val="single"/>
        </w:rPr>
        <w:t>@colombiacompraeficiente_cce</w:t>
      </w:r>
    </w:p>
    <w:p w14:paraId="32553156" w14:textId="77777777" w:rsidR="008C55D6" w:rsidRPr="008C55D6" w:rsidRDefault="008C55D6" w:rsidP="008C55D6">
      <w:pPr>
        <w:spacing w:after="0" w:line="276" w:lineRule="auto"/>
        <w:jc w:val="both"/>
        <w:rPr>
          <w:rFonts w:ascii="Verdana" w:eastAsia="Aptos" w:hAnsi="Verdana" w:cs="Times New Roman"/>
        </w:rPr>
      </w:pPr>
    </w:p>
    <w:p w14:paraId="09527AA6" w14:textId="77777777" w:rsidR="008C55D6" w:rsidRPr="008C55D6" w:rsidRDefault="008C55D6" w:rsidP="008C55D6">
      <w:pPr>
        <w:spacing w:after="0" w:line="276" w:lineRule="auto"/>
        <w:jc w:val="both"/>
        <w:rPr>
          <w:rFonts w:ascii="Verdana" w:eastAsia="Calibri" w:hAnsi="Verdana" w:cs="Times New Roman"/>
          <w:bCs/>
          <w:lang w:val="es-ES_tradnl"/>
        </w:rPr>
      </w:pPr>
      <w:r w:rsidRPr="008C55D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C37F3F1" w14:textId="77777777" w:rsidR="008C55D6" w:rsidRPr="008C55D6" w:rsidRDefault="008C55D6" w:rsidP="008C55D6">
      <w:pPr>
        <w:spacing w:after="0" w:line="276" w:lineRule="auto"/>
        <w:jc w:val="both"/>
        <w:rPr>
          <w:rFonts w:ascii="Verdana" w:eastAsia="Calibri" w:hAnsi="Verdana" w:cs="Times New Roman"/>
        </w:rPr>
      </w:pPr>
    </w:p>
    <w:p w14:paraId="499642E3" w14:textId="77777777" w:rsidR="008C55D6" w:rsidRPr="008C55D6" w:rsidRDefault="008C55D6" w:rsidP="008C55D6">
      <w:pPr>
        <w:spacing w:after="0" w:line="276" w:lineRule="auto"/>
        <w:jc w:val="both"/>
        <w:rPr>
          <w:rFonts w:ascii="Verdana" w:eastAsia="Calibri" w:hAnsi="Verdana" w:cs="Times New Roman"/>
        </w:rPr>
      </w:pPr>
      <w:r w:rsidRPr="008C55D6">
        <w:rPr>
          <w:rFonts w:ascii="Verdana" w:eastAsia="Calibri" w:hAnsi="Verdana" w:cs="Times New Roman"/>
        </w:rPr>
        <w:t>Atentamente,</w:t>
      </w:r>
    </w:p>
    <w:p w14:paraId="2490CC3E" w14:textId="555F3F7A" w:rsidR="008C55D6" w:rsidRPr="008C55D6" w:rsidRDefault="00080D4A" w:rsidP="008C55D6">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42131F16" wp14:editId="729C5AD1">
            <wp:extent cx="2547937" cy="1093844"/>
            <wp:effectExtent l="0" t="0" r="508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553823" cy="1096371"/>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8C55D6" w:rsidRPr="008C55D6" w14:paraId="61016947" w14:textId="77777777" w:rsidTr="6A30190A">
        <w:trPr>
          <w:trHeight w:val="323"/>
        </w:trPr>
        <w:tc>
          <w:tcPr>
            <w:tcW w:w="1041" w:type="dxa"/>
            <w:vAlign w:val="center"/>
            <w:hideMark/>
          </w:tcPr>
          <w:p w14:paraId="61F82ED4" w14:textId="77777777" w:rsidR="008C55D6" w:rsidRPr="008C55D6" w:rsidRDefault="008C55D6" w:rsidP="008C55D6">
            <w:pPr>
              <w:rPr>
                <w:rFonts w:ascii="Verdana" w:eastAsia="Calibri" w:hAnsi="Verdana" w:cs="Arial"/>
                <w:sz w:val="16"/>
                <w:szCs w:val="16"/>
                <w:lang w:val="es-ES_tradnl" w:eastAsia="es-ES"/>
              </w:rPr>
            </w:pPr>
            <w:r w:rsidRPr="008C55D6">
              <w:rPr>
                <w:rFonts w:ascii="Verdana" w:eastAsia="Calibri" w:hAnsi="Verdana" w:cs="Arial"/>
                <w:sz w:val="16"/>
                <w:szCs w:val="16"/>
                <w:lang w:val="es-ES_tradnl" w:eastAsia="es-ES"/>
              </w:rPr>
              <w:t>Elaboró:</w:t>
            </w:r>
          </w:p>
        </w:tc>
        <w:tc>
          <w:tcPr>
            <w:tcW w:w="6561" w:type="dxa"/>
            <w:tcBorders>
              <w:top w:val="nil"/>
              <w:left w:val="nil"/>
              <w:bottom w:val="dotted" w:sz="4" w:space="0" w:color="7F7F7F" w:themeColor="text1" w:themeTint="80"/>
              <w:right w:val="nil"/>
            </w:tcBorders>
            <w:vAlign w:val="center"/>
            <w:hideMark/>
          </w:tcPr>
          <w:p w14:paraId="09295FB9" w14:textId="77777777" w:rsidR="008C55D6" w:rsidRPr="008C55D6" w:rsidRDefault="008C55D6" w:rsidP="008C55D6">
            <w:pPr>
              <w:rPr>
                <w:rFonts w:ascii="Verdana" w:eastAsia="Arial" w:hAnsi="Verdana" w:cs="Arial"/>
                <w:sz w:val="16"/>
                <w:szCs w:val="16"/>
                <w:lang w:val="es-ES"/>
              </w:rPr>
            </w:pPr>
            <w:r w:rsidRPr="008C55D6">
              <w:rPr>
                <w:rFonts w:ascii="Verdana" w:eastAsia="Arial" w:hAnsi="Verdana" w:cs="Arial"/>
                <w:sz w:val="16"/>
                <w:szCs w:val="16"/>
                <w:lang w:val="es-ES"/>
              </w:rPr>
              <w:t xml:space="preserve">Carlos Mario Castrillón Endo </w:t>
            </w:r>
          </w:p>
          <w:p w14:paraId="1349F47B" w14:textId="77777777" w:rsidR="008C55D6" w:rsidRPr="008C55D6" w:rsidRDefault="008C55D6" w:rsidP="008C55D6">
            <w:pPr>
              <w:rPr>
                <w:rFonts w:ascii="Verdana" w:eastAsia="Arial" w:hAnsi="Verdana" w:cs="Arial"/>
                <w:sz w:val="16"/>
                <w:szCs w:val="16"/>
                <w:lang w:val="es-ES_tradnl"/>
              </w:rPr>
            </w:pPr>
            <w:r w:rsidRPr="008C55D6">
              <w:rPr>
                <w:rFonts w:ascii="Verdana" w:eastAsia="Arial" w:hAnsi="Verdana" w:cs="Arial"/>
                <w:sz w:val="16"/>
                <w:szCs w:val="16"/>
                <w:lang w:val="es-ES_tradnl"/>
              </w:rPr>
              <w:t>Contratista de la Subdirección de Gestión Contractual</w:t>
            </w:r>
          </w:p>
          <w:p w14:paraId="1734D5F9" w14:textId="77777777" w:rsidR="008C55D6" w:rsidRPr="008C55D6" w:rsidRDefault="008C55D6" w:rsidP="008C55D6">
            <w:pPr>
              <w:rPr>
                <w:rFonts w:ascii="Verdana" w:eastAsia="Arial" w:hAnsi="Verdana" w:cs="Arial"/>
                <w:sz w:val="16"/>
                <w:szCs w:val="16"/>
                <w:lang w:val="es-ES_tradnl"/>
              </w:rPr>
            </w:pPr>
          </w:p>
        </w:tc>
      </w:tr>
      <w:tr w:rsidR="008C55D6" w:rsidRPr="008C55D6" w14:paraId="0DD97C6B" w14:textId="77777777" w:rsidTr="6A30190A">
        <w:trPr>
          <w:trHeight w:val="338"/>
        </w:trPr>
        <w:tc>
          <w:tcPr>
            <w:tcW w:w="1041" w:type="dxa"/>
            <w:vAlign w:val="center"/>
            <w:hideMark/>
          </w:tcPr>
          <w:p w14:paraId="0E30AF00" w14:textId="77777777" w:rsidR="008C55D6" w:rsidRPr="008C55D6" w:rsidRDefault="008C55D6" w:rsidP="008C55D6">
            <w:pPr>
              <w:rPr>
                <w:rFonts w:ascii="Verdana" w:eastAsia="Calibri" w:hAnsi="Verdana" w:cs="Arial"/>
                <w:sz w:val="16"/>
                <w:szCs w:val="16"/>
                <w:lang w:val="es-ES_tradnl" w:eastAsia="es-ES"/>
              </w:rPr>
            </w:pPr>
            <w:r w:rsidRPr="008C55D6">
              <w:rPr>
                <w:rFonts w:ascii="Verdana" w:eastAsia="Calibri" w:hAnsi="Verdana" w:cs="Arial"/>
                <w:sz w:val="16"/>
                <w:szCs w:val="16"/>
                <w:lang w:val="es-ES_tradnl" w:eastAsia="es-ES"/>
              </w:rPr>
              <w:t>Revisó:</w:t>
            </w:r>
          </w:p>
        </w:tc>
        <w:tc>
          <w:tcPr>
            <w:tcW w:w="6561" w:type="dxa"/>
            <w:tcBorders>
              <w:top w:val="dotted" w:sz="4" w:space="0" w:color="7F7F7F" w:themeColor="text1" w:themeTint="80"/>
              <w:left w:val="nil"/>
              <w:bottom w:val="dotted" w:sz="4" w:space="0" w:color="7F7F7F" w:themeColor="text1" w:themeTint="80"/>
              <w:right w:val="nil"/>
            </w:tcBorders>
            <w:vAlign w:val="center"/>
            <w:hideMark/>
          </w:tcPr>
          <w:p w14:paraId="7CB63D2E" w14:textId="77777777" w:rsidR="008C55D6" w:rsidRPr="008C55D6" w:rsidRDefault="008C55D6" w:rsidP="008C55D6">
            <w:pPr>
              <w:rPr>
                <w:rFonts w:ascii="Verdana" w:eastAsia="Arial" w:hAnsi="Verdana" w:cs="Arial"/>
                <w:sz w:val="16"/>
                <w:szCs w:val="16"/>
                <w:lang w:val="es-ES"/>
              </w:rPr>
            </w:pPr>
            <w:r w:rsidRPr="6A30190A">
              <w:rPr>
                <w:rFonts w:ascii="Verdana" w:eastAsia="Arial" w:hAnsi="Verdana" w:cs="Arial"/>
                <w:sz w:val="16"/>
                <w:szCs w:val="16"/>
                <w:lang w:val="es-ES"/>
              </w:rPr>
              <w:t xml:space="preserve">Lida Milena </w:t>
            </w:r>
            <w:proofErr w:type="spellStart"/>
            <w:r w:rsidRPr="6A30190A">
              <w:rPr>
                <w:rFonts w:ascii="Verdana" w:eastAsia="Arial" w:hAnsi="Verdana" w:cs="Arial"/>
                <w:sz w:val="16"/>
                <w:szCs w:val="16"/>
                <w:lang w:val="es-ES"/>
              </w:rPr>
              <w:t>Guanumen</w:t>
            </w:r>
            <w:proofErr w:type="spellEnd"/>
            <w:r w:rsidRPr="6A30190A">
              <w:rPr>
                <w:rFonts w:ascii="Verdana" w:eastAsia="Arial" w:hAnsi="Verdana" w:cs="Arial"/>
                <w:sz w:val="16"/>
                <w:szCs w:val="16"/>
                <w:lang w:val="es-ES"/>
              </w:rPr>
              <w:t xml:space="preserve"> Pacheco</w:t>
            </w:r>
          </w:p>
          <w:p w14:paraId="76561807" w14:textId="77777777" w:rsidR="008C55D6" w:rsidRPr="008C55D6" w:rsidRDefault="008C55D6" w:rsidP="008C55D6">
            <w:pPr>
              <w:rPr>
                <w:rFonts w:ascii="Verdana" w:eastAsia="Arial" w:hAnsi="Verdana" w:cs="Arial"/>
                <w:sz w:val="16"/>
                <w:szCs w:val="16"/>
                <w:lang w:val="es-ES"/>
              </w:rPr>
            </w:pPr>
            <w:r w:rsidRPr="008C55D6">
              <w:rPr>
                <w:rFonts w:ascii="Verdana" w:eastAsia="Arial" w:hAnsi="Verdana" w:cs="Arial"/>
                <w:sz w:val="16"/>
                <w:szCs w:val="16"/>
                <w:lang w:val="es-ES_tradnl"/>
              </w:rPr>
              <w:t>Contratista de la Subdirección de Gestión Contractual</w:t>
            </w:r>
          </w:p>
          <w:p w14:paraId="5FE4AA38" w14:textId="77777777" w:rsidR="008C55D6" w:rsidRPr="008C55D6" w:rsidRDefault="008C55D6" w:rsidP="008C55D6">
            <w:pPr>
              <w:rPr>
                <w:rFonts w:ascii="Verdana" w:eastAsia="Arial" w:hAnsi="Verdana" w:cs="Arial"/>
                <w:sz w:val="16"/>
                <w:szCs w:val="16"/>
                <w:lang w:val="es-ES"/>
              </w:rPr>
            </w:pPr>
            <w:r w:rsidRPr="008C55D6">
              <w:rPr>
                <w:rFonts w:ascii="Verdana" w:eastAsia="Arial" w:hAnsi="Verdana" w:cs="Arial"/>
                <w:sz w:val="16"/>
                <w:szCs w:val="16"/>
                <w:lang w:val="es-ES"/>
              </w:rPr>
              <w:t>Martha Alicia Romero Vargas</w:t>
            </w:r>
          </w:p>
          <w:p w14:paraId="626312EA" w14:textId="77777777" w:rsidR="008C55D6" w:rsidRPr="008C55D6" w:rsidRDefault="008C55D6" w:rsidP="008C55D6">
            <w:pPr>
              <w:rPr>
                <w:rFonts w:ascii="Verdana" w:eastAsia="Arial" w:hAnsi="Verdana" w:cs="Arial"/>
                <w:sz w:val="16"/>
                <w:szCs w:val="16"/>
                <w:lang w:val="es-ES_tradnl"/>
              </w:rPr>
            </w:pPr>
            <w:r w:rsidRPr="008C55D6">
              <w:rPr>
                <w:rFonts w:ascii="Verdana" w:eastAsia="Arial" w:hAnsi="Verdana" w:cs="Arial"/>
                <w:sz w:val="16"/>
                <w:szCs w:val="16"/>
                <w:lang w:val="es-ES_tradnl"/>
              </w:rPr>
              <w:t>Gestor T1-15 de la Subdirección de Gestión Contractual</w:t>
            </w:r>
          </w:p>
        </w:tc>
      </w:tr>
      <w:tr w:rsidR="008C55D6" w:rsidRPr="008C55D6" w14:paraId="69F4FB20" w14:textId="77777777" w:rsidTr="6A30190A">
        <w:trPr>
          <w:trHeight w:val="308"/>
        </w:trPr>
        <w:tc>
          <w:tcPr>
            <w:tcW w:w="1041" w:type="dxa"/>
            <w:vAlign w:val="center"/>
          </w:tcPr>
          <w:p w14:paraId="6B86CD71" w14:textId="77777777" w:rsidR="008C55D6" w:rsidRPr="008C55D6" w:rsidRDefault="008C55D6" w:rsidP="008C55D6">
            <w:pPr>
              <w:rPr>
                <w:rFonts w:ascii="Verdana" w:eastAsia="Calibri" w:hAnsi="Verdana" w:cs="Arial"/>
                <w:sz w:val="16"/>
                <w:szCs w:val="16"/>
                <w:lang w:val="es-ES_tradnl" w:eastAsia="es-ES"/>
              </w:rPr>
            </w:pPr>
            <w:r w:rsidRPr="008C55D6">
              <w:rPr>
                <w:rFonts w:ascii="Verdana" w:eastAsia="Calibri" w:hAnsi="Verdana" w:cs="Arial"/>
                <w:sz w:val="16"/>
                <w:szCs w:val="16"/>
                <w:lang w:val="es-ES_tradnl" w:eastAsia="es-ES"/>
              </w:rPr>
              <w:t>Aprobó:</w:t>
            </w:r>
          </w:p>
        </w:tc>
        <w:tc>
          <w:tcPr>
            <w:tcW w:w="6561" w:type="dxa"/>
            <w:tcBorders>
              <w:top w:val="dotted" w:sz="4" w:space="0" w:color="7F7F7F" w:themeColor="text1" w:themeTint="80"/>
              <w:left w:val="nil"/>
              <w:bottom w:val="dotted" w:sz="4" w:space="0" w:color="7F7F7F" w:themeColor="text1" w:themeTint="80"/>
              <w:right w:val="nil"/>
            </w:tcBorders>
            <w:vAlign w:val="center"/>
          </w:tcPr>
          <w:p w14:paraId="2D844736" w14:textId="77777777" w:rsidR="008C55D6" w:rsidRPr="008C55D6" w:rsidRDefault="008C55D6" w:rsidP="008C55D6">
            <w:pPr>
              <w:rPr>
                <w:rFonts w:ascii="Verdana" w:eastAsia="Calibri" w:hAnsi="Verdana" w:cs="Arial"/>
                <w:sz w:val="16"/>
                <w:szCs w:val="16"/>
                <w:lang w:val="es-ES" w:eastAsia="es-ES"/>
              </w:rPr>
            </w:pPr>
            <w:r w:rsidRPr="008C55D6">
              <w:rPr>
                <w:rFonts w:ascii="Verdana" w:eastAsia="Calibri" w:hAnsi="Verdana" w:cs="Arial"/>
                <w:sz w:val="16"/>
                <w:szCs w:val="16"/>
                <w:lang w:val="es-ES" w:eastAsia="es-ES"/>
              </w:rPr>
              <w:t>Carolina Quintero Gacharná</w:t>
            </w:r>
          </w:p>
          <w:p w14:paraId="46ACB051" w14:textId="77777777" w:rsidR="008C55D6" w:rsidRPr="008C55D6" w:rsidRDefault="008C55D6" w:rsidP="008C55D6">
            <w:pPr>
              <w:rPr>
                <w:rFonts w:ascii="Verdana" w:eastAsia="Calibri" w:hAnsi="Verdana" w:cs="Arial"/>
                <w:sz w:val="16"/>
                <w:szCs w:val="16"/>
                <w:lang w:val="es-ES_tradnl" w:eastAsia="es-ES"/>
              </w:rPr>
            </w:pPr>
            <w:r w:rsidRPr="008C55D6">
              <w:rPr>
                <w:rFonts w:ascii="Verdana" w:eastAsia="Calibri" w:hAnsi="Verdana" w:cs="Arial"/>
                <w:sz w:val="16"/>
                <w:szCs w:val="16"/>
                <w:lang w:val="es-ES_tradnl" w:eastAsia="es-ES"/>
              </w:rPr>
              <w:t>Subdirectora de Gestión Contractual ANCP – CCE</w:t>
            </w:r>
          </w:p>
        </w:tc>
      </w:tr>
    </w:tbl>
    <w:p w14:paraId="44A3C0D0" w14:textId="77777777" w:rsidR="008C55D6" w:rsidRPr="008C55D6" w:rsidRDefault="008C55D6" w:rsidP="008C55D6">
      <w:pPr>
        <w:spacing w:line="278" w:lineRule="auto"/>
        <w:rPr>
          <w:rFonts w:ascii="Aptos" w:eastAsia="Aptos" w:hAnsi="Aptos" w:cs="Times New Roman"/>
          <w:kern w:val="2"/>
          <w:sz w:val="24"/>
          <w:szCs w:val="24"/>
          <w14:ligatures w14:val="standardContextual"/>
        </w:rPr>
      </w:pPr>
    </w:p>
    <w:p w14:paraId="69BC4D14" w14:textId="1CC3F75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Start w:id="1" w:name="_Hlk143780582"/>
      <w:bookmarkEnd w:id="1"/>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65657" w14:textId="77777777" w:rsidR="001E7E86" w:rsidRDefault="001E7E86" w:rsidP="004A1847">
      <w:pPr>
        <w:spacing w:after="0" w:line="240" w:lineRule="auto"/>
      </w:pPr>
      <w:r>
        <w:separator/>
      </w:r>
    </w:p>
  </w:endnote>
  <w:endnote w:type="continuationSeparator" w:id="0">
    <w:p w14:paraId="33BFF1A6" w14:textId="77777777" w:rsidR="001E7E86" w:rsidRDefault="001E7E86" w:rsidP="004A1847">
      <w:pPr>
        <w:spacing w:after="0" w:line="240" w:lineRule="auto"/>
      </w:pPr>
      <w:r>
        <w:continuationSeparator/>
      </w:r>
    </w:p>
  </w:endnote>
  <w:endnote w:type="continuationNotice" w:id="1">
    <w:p w14:paraId="378E21E8" w14:textId="77777777" w:rsidR="001E7E86" w:rsidRDefault="001E7E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8C55D6">
      <w:rPr>
        <w:rFonts w:ascii="Verdana" w:eastAsia="Verdana" w:hAnsi="Verdana" w:cs="Verdana"/>
        <w:b/>
        <w:bCs/>
        <w:color w:val="000000"/>
        <w:sz w:val="18"/>
        <w:szCs w:val="18"/>
        <w:lang w:eastAsia="es-CO"/>
      </w:rPr>
      <w:t xml:space="preserve">Código: </w:t>
    </w:r>
    <w:r w:rsidRPr="008C55D6">
      <w:rPr>
        <w:rFonts w:ascii="Verdana" w:eastAsia="Verdana" w:hAnsi="Verdana" w:cs="Verdana"/>
        <w:color w:val="000000"/>
        <w:sz w:val="18"/>
        <w:szCs w:val="18"/>
        <w:lang w:eastAsia="es-CO"/>
      </w:rPr>
      <w:t xml:space="preserve">CCE-REC-FM-17 </w:t>
    </w:r>
    <w:r w:rsidRPr="008C55D6">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0AA0B" w14:textId="77777777" w:rsidR="001E7E86" w:rsidRDefault="001E7E86" w:rsidP="004A1847">
      <w:pPr>
        <w:spacing w:after="0" w:line="240" w:lineRule="auto"/>
      </w:pPr>
      <w:r>
        <w:separator/>
      </w:r>
    </w:p>
  </w:footnote>
  <w:footnote w:type="continuationSeparator" w:id="0">
    <w:p w14:paraId="103D9413" w14:textId="77777777" w:rsidR="001E7E86" w:rsidRDefault="001E7E86" w:rsidP="004A1847">
      <w:pPr>
        <w:spacing w:after="0" w:line="240" w:lineRule="auto"/>
      </w:pPr>
      <w:r>
        <w:continuationSeparator/>
      </w:r>
    </w:p>
  </w:footnote>
  <w:footnote w:type="continuationNotice" w:id="1">
    <w:p w14:paraId="62F815F5" w14:textId="77777777" w:rsidR="001E7E86" w:rsidRDefault="001E7E86">
      <w:pPr>
        <w:spacing w:after="0" w:line="240" w:lineRule="auto"/>
      </w:pPr>
    </w:p>
  </w:footnote>
  <w:footnote w:id="2">
    <w:p w14:paraId="456C7E7E" w14:textId="77777777" w:rsidR="008C55D6" w:rsidRPr="00D615FB" w:rsidRDefault="008C55D6" w:rsidP="008C55D6">
      <w:pPr>
        <w:pStyle w:val="Textonotapie"/>
        <w:ind w:firstLine="708"/>
        <w:jc w:val="both"/>
        <w:rPr>
          <w:rFonts w:ascii="Verdana" w:hAnsi="Verdana"/>
          <w:sz w:val="18"/>
          <w:szCs w:val="18"/>
        </w:rPr>
      </w:pPr>
      <w:r w:rsidRPr="00D615FB">
        <w:rPr>
          <w:rStyle w:val="Refdenotaalpie"/>
          <w:rFonts w:ascii="Verdana" w:hAnsi="Verdana"/>
          <w:sz w:val="18"/>
          <w:szCs w:val="18"/>
        </w:rPr>
        <w:footnoteRef/>
      </w:r>
      <w:r w:rsidRPr="00D615FB">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6E3D7E63" w14:textId="77777777" w:rsidR="008C55D6" w:rsidRPr="00D615FB" w:rsidRDefault="008C55D6" w:rsidP="008C55D6">
      <w:pPr>
        <w:pStyle w:val="Textonotapie"/>
        <w:ind w:firstLine="708"/>
        <w:jc w:val="both"/>
        <w:rPr>
          <w:rFonts w:ascii="Verdana" w:hAnsi="Verdana"/>
          <w:sz w:val="18"/>
          <w:szCs w:val="18"/>
        </w:rPr>
      </w:pPr>
    </w:p>
    <w:p w14:paraId="48269B45" w14:textId="77777777" w:rsidR="008C55D6" w:rsidRPr="00D615FB" w:rsidRDefault="008C55D6" w:rsidP="008C55D6">
      <w:pPr>
        <w:pStyle w:val="Textonotapie"/>
        <w:ind w:firstLine="708"/>
        <w:jc w:val="both"/>
        <w:rPr>
          <w:rFonts w:ascii="Verdana" w:hAnsi="Verdana"/>
          <w:sz w:val="18"/>
          <w:szCs w:val="18"/>
        </w:rPr>
      </w:pPr>
      <w:r w:rsidRPr="00D615FB">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0C1F70EC" w14:textId="77777777" w:rsidR="008C55D6" w:rsidRPr="00D615FB" w:rsidRDefault="008C55D6" w:rsidP="008C55D6">
      <w:pPr>
        <w:pStyle w:val="Textonotapie"/>
        <w:ind w:firstLine="708"/>
        <w:jc w:val="both"/>
        <w:rPr>
          <w:rFonts w:ascii="Verdana" w:hAnsi="Verdana"/>
          <w:sz w:val="18"/>
          <w:szCs w:val="18"/>
        </w:rPr>
      </w:pPr>
    </w:p>
    <w:p w14:paraId="2D3BD2D2" w14:textId="77777777" w:rsidR="008C55D6" w:rsidRPr="00D615FB" w:rsidRDefault="008C55D6" w:rsidP="008C55D6">
      <w:pPr>
        <w:pStyle w:val="Textonotapie"/>
        <w:ind w:firstLine="708"/>
        <w:jc w:val="both"/>
        <w:rPr>
          <w:rFonts w:ascii="Verdana" w:hAnsi="Verdana"/>
          <w:sz w:val="18"/>
          <w:szCs w:val="18"/>
        </w:rPr>
      </w:pPr>
      <w:r w:rsidRPr="00D615FB">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B1387E5" w14:textId="77777777" w:rsidR="008C55D6" w:rsidRPr="00D615FB" w:rsidRDefault="008C55D6" w:rsidP="008C55D6">
      <w:pPr>
        <w:pStyle w:val="Textonotapie"/>
        <w:ind w:firstLine="708"/>
        <w:jc w:val="both"/>
        <w:rPr>
          <w:rFonts w:ascii="Verdana" w:hAnsi="Verdana"/>
          <w:sz w:val="18"/>
          <w:szCs w:val="18"/>
        </w:rPr>
      </w:pPr>
    </w:p>
    <w:p w14:paraId="67515293" w14:textId="77777777" w:rsidR="008C55D6" w:rsidRPr="00D615FB" w:rsidRDefault="008C55D6" w:rsidP="008C55D6">
      <w:pPr>
        <w:pStyle w:val="Textonotapie"/>
        <w:ind w:firstLine="708"/>
        <w:jc w:val="both"/>
        <w:rPr>
          <w:rFonts w:ascii="Verdana" w:hAnsi="Verdana"/>
          <w:sz w:val="18"/>
          <w:szCs w:val="18"/>
        </w:rPr>
      </w:pPr>
      <w:r w:rsidRPr="00D615FB">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35D9D14E" w14:textId="77777777" w:rsidR="008C55D6" w:rsidRPr="00D615FB" w:rsidRDefault="008C55D6" w:rsidP="008C55D6">
      <w:pPr>
        <w:pStyle w:val="Textonotapie"/>
        <w:ind w:firstLine="708"/>
        <w:jc w:val="both"/>
        <w:rPr>
          <w:rFonts w:ascii="Verdana" w:hAnsi="Verdana"/>
          <w:sz w:val="18"/>
          <w:szCs w:val="18"/>
        </w:rPr>
      </w:pPr>
    </w:p>
    <w:p w14:paraId="003F7981" w14:textId="77777777" w:rsidR="008C55D6" w:rsidRPr="00D615FB" w:rsidRDefault="008C55D6" w:rsidP="008C55D6">
      <w:pPr>
        <w:pStyle w:val="Textonotapie"/>
        <w:ind w:firstLine="708"/>
        <w:jc w:val="both"/>
        <w:rPr>
          <w:rFonts w:ascii="Verdana" w:hAnsi="Verdana"/>
          <w:sz w:val="18"/>
          <w:szCs w:val="18"/>
        </w:rPr>
      </w:pPr>
      <w:r w:rsidRPr="00D615FB">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3">
    <w:p w14:paraId="1E24E703" w14:textId="77777777" w:rsidR="008C55D6" w:rsidRPr="00F46224" w:rsidRDefault="008C55D6" w:rsidP="008C55D6">
      <w:pPr>
        <w:pStyle w:val="Textonotapie"/>
        <w:ind w:firstLine="708"/>
        <w:rPr>
          <w:rFonts w:ascii="Verdana" w:eastAsia="Calibri" w:hAnsi="Verdana" w:cs="Arial"/>
          <w:color w:val="000000"/>
          <w:sz w:val="18"/>
          <w:szCs w:val="18"/>
          <w:lang w:val="es-ES_tradnl"/>
        </w:rPr>
      </w:pPr>
      <w:r w:rsidRPr="00D615FB">
        <w:rPr>
          <w:rStyle w:val="Refdenotaalpie"/>
          <w:rFonts w:ascii="Verdana" w:hAnsi="Verdana"/>
          <w:sz w:val="18"/>
          <w:szCs w:val="18"/>
        </w:rPr>
        <w:footnoteRef/>
      </w:r>
      <w:r w:rsidRPr="00D615FB">
        <w:rPr>
          <w:rFonts w:ascii="Verdana" w:hAnsi="Verdana"/>
          <w:sz w:val="18"/>
          <w:szCs w:val="18"/>
        </w:rPr>
        <w:t xml:space="preserve"> </w:t>
      </w:r>
      <w:r w:rsidRPr="00F46224">
        <w:rPr>
          <w:rFonts w:ascii="Verdana" w:eastAsia="Calibri" w:hAnsi="Verdana" w:cs="Arial"/>
          <w:color w:val="000000"/>
          <w:sz w:val="18"/>
          <w:szCs w:val="18"/>
          <w:lang w:val="es-ES_tradnl"/>
        </w:rPr>
        <w:t>Numeral 1 del artículo 32 de la Ley 80 de 1993.</w:t>
      </w:r>
    </w:p>
    <w:p w14:paraId="08BF2AD2" w14:textId="77777777" w:rsidR="008C55D6" w:rsidRPr="00D615FB" w:rsidRDefault="008C55D6" w:rsidP="008C55D6">
      <w:pPr>
        <w:pStyle w:val="Textonotapie"/>
        <w:ind w:firstLine="708"/>
        <w:rPr>
          <w:rFonts w:ascii="Verdana" w:hAnsi="Verdana"/>
          <w:sz w:val="18"/>
          <w:szCs w:val="18"/>
        </w:rPr>
      </w:pPr>
    </w:p>
  </w:footnote>
  <w:footnote w:id="4">
    <w:p w14:paraId="28DA7C27"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60D9B10B" w14:textId="77777777" w:rsidR="008C55D6" w:rsidRPr="00D615FB" w:rsidRDefault="008C55D6" w:rsidP="008C55D6">
      <w:pPr>
        <w:pStyle w:val="Textonotapie"/>
        <w:ind w:firstLine="709"/>
        <w:jc w:val="both"/>
        <w:rPr>
          <w:rFonts w:ascii="Verdana" w:hAnsi="Verdana" w:cs="Arial"/>
          <w:sz w:val="18"/>
          <w:szCs w:val="18"/>
        </w:rPr>
      </w:pPr>
    </w:p>
  </w:footnote>
  <w:footnote w:id="5">
    <w:p w14:paraId="1A69DAC6" w14:textId="77777777" w:rsidR="008C55D6" w:rsidRPr="00D615FB" w:rsidRDefault="008C55D6" w:rsidP="008C55D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En: </w:t>
      </w:r>
      <w:hyperlink r:id="rId1" w:history="1">
        <w:r w:rsidRPr="00D615FB">
          <w:rPr>
            <w:rStyle w:val="Hipervnculo"/>
            <w:rFonts w:ascii="Verdana" w:hAnsi="Verdana" w:cs="Arial"/>
            <w:sz w:val="18"/>
            <w:szCs w:val="18"/>
            <w:lang w:val="es-ES"/>
          </w:rPr>
          <w:t>https://dle.rae.es/instalar?m=form</w:t>
        </w:r>
      </w:hyperlink>
    </w:p>
    <w:p w14:paraId="69FAA75B" w14:textId="77777777" w:rsidR="008C55D6" w:rsidRPr="00D615FB" w:rsidRDefault="008C55D6" w:rsidP="008C55D6">
      <w:pPr>
        <w:pStyle w:val="Textonotapie"/>
        <w:ind w:firstLine="709"/>
        <w:jc w:val="both"/>
        <w:rPr>
          <w:rFonts w:ascii="Verdana" w:hAnsi="Verdana" w:cs="Arial"/>
          <w:sz w:val="18"/>
          <w:szCs w:val="18"/>
          <w:lang w:val="es-ES"/>
        </w:rPr>
      </w:pPr>
    </w:p>
  </w:footnote>
  <w:footnote w:id="6">
    <w:p w14:paraId="4FF34E8F" w14:textId="77777777" w:rsidR="008C55D6" w:rsidRPr="00D615FB" w:rsidRDefault="008C55D6" w:rsidP="008C55D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w:t>
      </w:r>
    </w:p>
    <w:p w14:paraId="4419B17F" w14:textId="77777777" w:rsidR="008C55D6" w:rsidRPr="00D615FB" w:rsidRDefault="008C55D6" w:rsidP="008C55D6">
      <w:pPr>
        <w:pStyle w:val="Textonotapie"/>
        <w:ind w:firstLine="709"/>
        <w:jc w:val="both"/>
        <w:rPr>
          <w:rFonts w:ascii="Verdana" w:hAnsi="Verdana" w:cs="Arial"/>
          <w:sz w:val="18"/>
          <w:szCs w:val="18"/>
          <w:lang w:val="es-ES"/>
        </w:rPr>
      </w:pPr>
    </w:p>
  </w:footnote>
  <w:footnote w:id="7">
    <w:p w14:paraId="28BB1E0B" w14:textId="77777777" w:rsidR="008C55D6" w:rsidRDefault="008C55D6" w:rsidP="008C55D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Ibíd.</w:t>
      </w:r>
    </w:p>
    <w:p w14:paraId="2D7C5BB9" w14:textId="77777777" w:rsidR="008C55D6" w:rsidRPr="00D615FB" w:rsidRDefault="008C55D6" w:rsidP="008C55D6">
      <w:pPr>
        <w:pStyle w:val="Textonotapie"/>
        <w:ind w:firstLine="709"/>
        <w:jc w:val="both"/>
        <w:rPr>
          <w:rFonts w:ascii="Verdana" w:hAnsi="Verdana" w:cs="Arial"/>
          <w:sz w:val="18"/>
          <w:szCs w:val="18"/>
          <w:lang w:val="es-ES"/>
        </w:rPr>
      </w:pPr>
    </w:p>
  </w:footnote>
  <w:footnote w:id="8">
    <w:p w14:paraId="16D785E0" w14:textId="77777777" w:rsidR="008C55D6" w:rsidRPr="00D615FB" w:rsidRDefault="008C55D6" w:rsidP="008C55D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lang w:val="es-ES"/>
        </w:rPr>
        <w:t>Ibíd.</w:t>
      </w:r>
    </w:p>
  </w:footnote>
  <w:footnote w:id="9">
    <w:p w14:paraId="6537A8A8"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w:t>
      </w:r>
      <w:r w:rsidRPr="00D615FB">
        <w:rPr>
          <w:rFonts w:ascii="Verdana" w:hAnsi="Verdana" w:cs="Arial"/>
          <w:sz w:val="18"/>
          <w:szCs w:val="18"/>
          <w:lang w:val="es-ES"/>
        </w:rPr>
        <w:t xml:space="preserve">Ibíd. En similar sentido, </w:t>
      </w:r>
      <w:r w:rsidRPr="00D615FB">
        <w:rPr>
          <w:rFonts w:ascii="Verdana" w:hAnsi="Verdana" w:cs="Arial"/>
          <w:sz w:val="18"/>
          <w:szCs w:val="18"/>
        </w:rPr>
        <w:t>SUÁREZ BELTRÁN, Gonzalo. Estudios de derecho público contractual: Bogotá: Legis, 2014. p. 238. Al respecto, también se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w:t>
      </w:r>
    </w:p>
    <w:p w14:paraId="234E1D69" w14:textId="77777777" w:rsidR="008C55D6" w:rsidRPr="00D615FB" w:rsidRDefault="008C55D6" w:rsidP="008C55D6">
      <w:pPr>
        <w:pStyle w:val="Textonotapie"/>
        <w:ind w:firstLine="709"/>
        <w:jc w:val="both"/>
        <w:rPr>
          <w:rFonts w:ascii="Verdana" w:hAnsi="Verdana" w:cs="Arial"/>
          <w:sz w:val="18"/>
          <w:szCs w:val="18"/>
          <w:lang w:val="es-ES"/>
        </w:rPr>
      </w:pPr>
    </w:p>
  </w:footnote>
  <w:footnote w:id="10">
    <w:p w14:paraId="06CAF999"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p w14:paraId="33D61BC1" w14:textId="77777777" w:rsidR="008C55D6" w:rsidRPr="00D615FB" w:rsidRDefault="008C55D6" w:rsidP="008C55D6">
      <w:pPr>
        <w:pStyle w:val="Textonotapie"/>
        <w:ind w:firstLine="709"/>
        <w:jc w:val="both"/>
        <w:rPr>
          <w:rFonts w:ascii="Verdana" w:hAnsi="Verdana" w:cs="Arial"/>
          <w:sz w:val="18"/>
          <w:szCs w:val="18"/>
          <w:lang w:val="es-ES"/>
        </w:rPr>
      </w:pPr>
    </w:p>
  </w:footnote>
  <w:footnote w:id="11">
    <w:p w14:paraId="37F3854B"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CORTE SUPREMA DE JUSTICIA. Sala de Casación Civil. Sentencia del 5 de diciembre de 1956. M.P. Pablo Emilio Manotas. Decisión publicada en el Gaceta Judicial LXXXIV, No. 2177-2180. p. 317. Este criterio se adoptó explícitamente en el derogado artículo 3.3.1.1 del Decreto 734 de 2012. Concretamente, el inciso cuarto disponía que «En el caso de que el objeto contractual incluya los servicios de consultoría y otras obligaciones principales, como por ejemplo en el caso de ejecución de proyectos que incluyen diseño y construcción de la obra, la escogencia del contratista deberá adelantarse mediante licitación pública y selección abreviada, según corresponda de conformidad con lo señalado en la ley y en el presente decreto, sin perjuicio de lo previsto para la mínima cuantía. En todo caso, el equipo de profesionales y expertos propuestos deberá ser aprobado por la entidad».</w:t>
      </w:r>
    </w:p>
    <w:p w14:paraId="144D6158" w14:textId="77777777" w:rsidR="008C55D6" w:rsidRPr="00D615FB" w:rsidRDefault="008C55D6" w:rsidP="008C55D6">
      <w:pPr>
        <w:pStyle w:val="Textonotapie"/>
        <w:ind w:firstLine="709"/>
        <w:jc w:val="both"/>
        <w:rPr>
          <w:rFonts w:ascii="Verdana" w:hAnsi="Verdana" w:cs="Arial"/>
          <w:sz w:val="18"/>
          <w:szCs w:val="18"/>
        </w:rPr>
      </w:pPr>
    </w:p>
  </w:footnote>
  <w:footnote w:id="12">
    <w:p w14:paraId="779C314D"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Por ello, explica que «[…] todos estos criterios de interpretación no son, en último análisis más que especificaciones del principio de la analogía, inspiradas en las peculiaridades de cada materia. De aquí, también, que el criterio de interpretación más serio, respecto del contrato innominado mixto, es, además de la aplicación directa de las reglas generales sobre los contratos, el de la aplicación analógica de las singulares relativas al contrato nominado dado, que se manifiesten como las más adecuadas al contrato mixto que se debe interpretar, y si éstas no existen, entonces recurrir a las de la analogía iuris» (</w:t>
      </w:r>
      <w:r w:rsidRPr="00D615FB">
        <w:rPr>
          <w:rFonts w:ascii="Verdana" w:hAnsi="Verdana" w:cs="Arial"/>
          <w:i/>
          <w:iCs/>
          <w:sz w:val="18"/>
          <w:szCs w:val="18"/>
        </w:rPr>
        <w:t>ibidem</w:t>
      </w:r>
      <w:r w:rsidRPr="00D615FB">
        <w:rPr>
          <w:rFonts w:ascii="Verdana" w:hAnsi="Verdana" w:cs="Arial"/>
          <w:sz w:val="18"/>
          <w:szCs w:val="18"/>
        </w:rPr>
        <w:t>).</w:t>
      </w:r>
    </w:p>
    <w:p w14:paraId="3E1C49FD" w14:textId="77777777" w:rsidR="008C55D6" w:rsidRPr="00D615FB" w:rsidRDefault="008C55D6" w:rsidP="008C55D6">
      <w:pPr>
        <w:pStyle w:val="Textonotapie"/>
        <w:ind w:firstLine="709"/>
        <w:jc w:val="both"/>
        <w:rPr>
          <w:rFonts w:ascii="Verdana" w:hAnsi="Verdana" w:cs="Arial"/>
          <w:sz w:val="18"/>
          <w:szCs w:val="18"/>
        </w:rPr>
      </w:pPr>
    </w:p>
  </w:footnote>
  <w:footnote w:id="13">
    <w:p w14:paraId="5E4F41DB" w14:textId="77777777" w:rsidR="008C55D6" w:rsidRPr="00D615FB" w:rsidRDefault="008C55D6" w:rsidP="008C55D6">
      <w:pPr>
        <w:pStyle w:val="Textonotapie"/>
        <w:ind w:firstLine="709"/>
        <w:jc w:val="both"/>
        <w:rPr>
          <w:rFonts w:ascii="Verdana" w:hAnsi="Verdana" w:cs="Arial"/>
          <w:sz w:val="18"/>
          <w:szCs w:val="18"/>
        </w:rPr>
      </w:pPr>
      <w:r w:rsidRPr="00D615FB">
        <w:rPr>
          <w:rStyle w:val="Refdenotaalpie"/>
          <w:rFonts w:ascii="Verdana" w:hAnsi="Verdana" w:cs="Arial"/>
          <w:sz w:val="18"/>
          <w:szCs w:val="18"/>
        </w:rPr>
        <w:footnoteRef/>
      </w:r>
      <w:r w:rsidRPr="00D615FB">
        <w:rPr>
          <w:rFonts w:ascii="Verdana" w:hAnsi="Verdana" w:cs="Arial"/>
          <w:sz w:val="18"/>
          <w:szCs w:val="18"/>
        </w:rPr>
        <w:t xml:space="preserve"> RENGIFO GARCÍA, Ernesto. Interpretación del contrato atípico a la luz de la jurisprudencia colombiana. En: Los contratos en el derecho privado. Bogotá: Legis – Universidad del Rosario, 2009. p. 48. </w:t>
      </w:r>
    </w:p>
    <w:p w14:paraId="219E4B52" w14:textId="77777777" w:rsidR="008C55D6" w:rsidRPr="00D615FB" w:rsidRDefault="008C55D6" w:rsidP="008C55D6">
      <w:pPr>
        <w:pStyle w:val="Textonotapie"/>
        <w:ind w:firstLine="709"/>
        <w:jc w:val="both"/>
        <w:rPr>
          <w:rFonts w:ascii="Verdana" w:hAnsi="Verdana" w:cs="Arial"/>
          <w:sz w:val="18"/>
          <w:szCs w:val="18"/>
        </w:rPr>
      </w:pPr>
    </w:p>
  </w:footnote>
  <w:footnote w:id="14">
    <w:p w14:paraId="50BC5DAF" w14:textId="77777777" w:rsidR="008C55D6" w:rsidRPr="00D615FB" w:rsidRDefault="008C55D6" w:rsidP="008C55D6">
      <w:pPr>
        <w:pStyle w:val="Textonotapie"/>
        <w:ind w:firstLine="709"/>
        <w:jc w:val="both"/>
        <w:rPr>
          <w:rFonts w:ascii="Verdana" w:hAnsi="Verdana" w:cs="Arial"/>
          <w:sz w:val="18"/>
          <w:szCs w:val="18"/>
          <w:lang w:val="es-ES"/>
        </w:rPr>
      </w:pPr>
      <w:r w:rsidRPr="00D615FB">
        <w:rPr>
          <w:rStyle w:val="Refdenotaalpie"/>
          <w:rFonts w:ascii="Verdana" w:hAnsi="Verdana" w:cs="Arial"/>
          <w:sz w:val="18"/>
          <w:szCs w:val="18"/>
        </w:rPr>
        <w:footnoteRef/>
      </w:r>
      <w:r w:rsidRPr="00D615FB">
        <w:rPr>
          <w:rFonts w:ascii="Verdana" w:hAnsi="Verdana" w:cs="Arial"/>
          <w:sz w:val="18"/>
          <w:szCs w:val="18"/>
        </w:rPr>
        <w:t xml:space="preserve"> Consejo de Estado. Sala de Consulta y Servicio Civil. Concepto del 5 de septiembre de 2018. Consejero Ponente: Edgar González López. Radicación interna: 2386.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8EE"/>
    <w:rsid w:val="000029FA"/>
    <w:rsid w:val="00016F78"/>
    <w:rsid w:val="00046945"/>
    <w:rsid w:val="00061B2A"/>
    <w:rsid w:val="000716A2"/>
    <w:rsid w:val="00074D26"/>
    <w:rsid w:val="00080D4A"/>
    <w:rsid w:val="00082362"/>
    <w:rsid w:val="00097E7C"/>
    <w:rsid w:val="000A683E"/>
    <w:rsid w:val="000B19B9"/>
    <w:rsid w:val="000D0334"/>
    <w:rsid w:val="000D5DA7"/>
    <w:rsid w:val="000F6486"/>
    <w:rsid w:val="001167E9"/>
    <w:rsid w:val="00116940"/>
    <w:rsid w:val="00125105"/>
    <w:rsid w:val="00127233"/>
    <w:rsid w:val="0014456F"/>
    <w:rsid w:val="0015699B"/>
    <w:rsid w:val="00166F1F"/>
    <w:rsid w:val="001936E9"/>
    <w:rsid w:val="001A33BF"/>
    <w:rsid w:val="001E4177"/>
    <w:rsid w:val="001E7E86"/>
    <w:rsid w:val="001F0B24"/>
    <w:rsid w:val="001F7DC6"/>
    <w:rsid w:val="00213108"/>
    <w:rsid w:val="0022400B"/>
    <w:rsid w:val="002421BB"/>
    <w:rsid w:val="0025796E"/>
    <w:rsid w:val="002707A2"/>
    <w:rsid w:val="002951A0"/>
    <w:rsid w:val="002962BC"/>
    <w:rsid w:val="002A093D"/>
    <w:rsid w:val="002A0DD0"/>
    <w:rsid w:val="002A49AC"/>
    <w:rsid w:val="002A64FD"/>
    <w:rsid w:val="002C7A84"/>
    <w:rsid w:val="002E2BF8"/>
    <w:rsid w:val="002E4FD9"/>
    <w:rsid w:val="002F6532"/>
    <w:rsid w:val="0030657A"/>
    <w:rsid w:val="00322A85"/>
    <w:rsid w:val="0032364D"/>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474A"/>
    <w:rsid w:val="00466E39"/>
    <w:rsid w:val="004A1847"/>
    <w:rsid w:val="004A305D"/>
    <w:rsid w:val="004F0327"/>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3A0B"/>
    <w:rsid w:val="006900D9"/>
    <w:rsid w:val="006D4142"/>
    <w:rsid w:val="006F0194"/>
    <w:rsid w:val="00706C16"/>
    <w:rsid w:val="00724B59"/>
    <w:rsid w:val="007340C3"/>
    <w:rsid w:val="0075235A"/>
    <w:rsid w:val="00756841"/>
    <w:rsid w:val="007649AB"/>
    <w:rsid w:val="00771D0C"/>
    <w:rsid w:val="007833AC"/>
    <w:rsid w:val="007854B3"/>
    <w:rsid w:val="007B268C"/>
    <w:rsid w:val="007B7171"/>
    <w:rsid w:val="007C0C0F"/>
    <w:rsid w:val="007C284E"/>
    <w:rsid w:val="007C3DC2"/>
    <w:rsid w:val="007E5497"/>
    <w:rsid w:val="007F3E24"/>
    <w:rsid w:val="007F4FDA"/>
    <w:rsid w:val="00806F5F"/>
    <w:rsid w:val="00820278"/>
    <w:rsid w:val="008258C9"/>
    <w:rsid w:val="00836D90"/>
    <w:rsid w:val="00844AE9"/>
    <w:rsid w:val="00867F95"/>
    <w:rsid w:val="008843B6"/>
    <w:rsid w:val="00891928"/>
    <w:rsid w:val="008A446D"/>
    <w:rsid w:val="008B25F1"/>
    <w:rsid w:val="008C55D6"/>
    <w:rsid w:val="008D180B"/>
    <w:rsid w:val="008F0EA7"/>
    <w:rsid w:val="00907469"/>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72CA"/>
    <w:rsid w:val="00B00C0E"/>
    <w:rsid w:val="00B01B1A"/>
    <w:rsid w:val="00B0381D"/>
    <w:rsid w:val="00B44A47"/>
    <w:rsid w:val="00B72CD3"/>
    <w:rsid w:val="00B72FFF"/>
    <w:rsid w:val="00B911CB"/>
    <w:rsid w:val="00BA102C"/>
    <w:rsid w:val="00BA1DF6"/>
    <w:rsid w:val="00BC3D36"/>
    <w:rsid w:val="00BD54A6"/>
    <w:rsid w:val="00BD7F72"/>
    <w:rsid w:val="00BE3A28"/>
    <w:rsid w:val="00BF7425"/>
    <w:rsid w:val="00C04FB3"/>
    <w:rsid w:val="00C11D8B"/>
    <w:rsid w:val="00C15139"/>
    <w:rsid w:val="00C330EB"/>
    <w:rsid w:val="00C50D69"/>
    <w:rsid w:val="00C5365C"/>
    <w:rsid w:val="00C754BE"/>
    <w:rsid w:val="00C76B1C"/>
    <w:rsid w:val="00C8269C"/>
    <w:rsid w:val="00C925AC"/>
    <w:rsid w:val="00CB6357"/>
    <w:rsid w:val="00CC1961"/>
    <w:rsid w:val="00CC1B26"/>
    <w:rsid w:val="00D2677B"/>
    <w:rsid w:val="00D361FD"/>
    <w:rsid w:val="00D423A2"/>
    <w:rsid w:val="00D44E26"/>
    <w:rsid w:val="00D520D8"/>
    <w:rsid w:val="00D63AC2"/>
    <w:rsid w:val="00D7383B"/>
    <w:rsid w:val="00D7788A"/>
    <w:rsid w:val="00DA231B"/>
    <w:rsid w:val="00DB1F92"/>
    <w:rsid w:val="00DC39FC"/>
    <w:rsid w:val="00DE5154"/>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2296"/>
    <w:rsid w:val="00EC38A7"/>
    <w:rsid w:val="00EE1AA8"/>
    <w:rsid w:val="00EF241F"/>
    <w:rsid w:val="00F23FEA"/>
    <w:rsid w:val="00F31EDC"/>
    <w:rsid w:val="00F462B3"/>
    <w:rsid w:val="00F5664F"/>
    <w:rsid w:val="00F62735"/>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6A30190A"/>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74D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74D26"/>
    <w:pPr>
      <w:spacing w:line="240" w:lineRule="exact"/>
    </w:pPr>
    <w:rPr>
      <w:vertAlign w:val="superscript"/>
    </w:rPr>
  </w:style>
  <w:style w:type="character" w:styleId="Refdecomentario">
    <w:name w:val="annotation reference"/>
    <w:basedOn w:val="Fuentedeprrafopredeter"/>
    <w:uiPriority w:val="99"/>
    <w:semiHidden/>
    <w:unhideWhenUsed/>
    <w:rsid w:val="001936E9"/>
    <w:rPr>
      <w:sz w:val="16"/>
      <w:szCs w:val="16"/>
    </w:rPr>
  </w:style>
  <w:style w:type="paragraph" w:styleId="Textocomentario">
    <w:name w:val="annotation text"/>
    <w:basedOn w:val="Normal"/>
    <w:link w:val="TextocomentarioCar"/>
    <w:uiPriority w:val="99"/>
    <w:semiHidden/>
    <w:unhideWhenUsed/>
    <w:rsid w:val="001936E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936E9"/>
    <w:rPr>
      <w:sz w:val="20"/>
      <w:szCs w:val="20"/>
    </w:rPr>
  </w:style>
  <w:style w:type="paragraph" w:styleId="Asuntodelcomentario">
    <w:name w:val="annotation subject"/>
    <w:basedOn w:val="Textocomentario"/>
    <w:next w:val="Textocomentario"/>
    <w:link w:val="AsuntodelcomentarioCar"/>
    <w:uiPriority w:val="99"/>
    <w:semiHidden/>
    <w:unhideWhenUsed/>
    <w:rsid w:val="001936E9"/>
    <w:rPr>
      <w:b/>
      <w:bCs/>
    </w:rPr>
  </w:style>
  <w:style w:type="character" w:customStyle="1" w:styleId="AsuntodelcomentarioCar">
    <w:name w:val="Asunto del comentario Car"/>
    <w:basedOn w:val="TextocomentarioCar"/>
    <w:link w:val="Asuntodelcomentario"/>
    <w:uiPriority w:val="99"/>
    <w:semiHidden/>
    <w:rsid w:val="001936E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garcia1781@hot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instalar?m=for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E1F8F10-50AB-481B-B767-E393EA1E7AC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26</Pages>
  <Words>8443</Words>
  <Characters>47369</Characters>
  <Application>Microsoft Office Word</Application>
  <DocSecurity>0</DocSecurity>
  <Lines>910</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2026-04-07T20:20:00Z</dcterms:created>
  <dcterms:modified xsi:type="dcterms:W3CDTF">2026-04-09T15:13:00Z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