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BE969" w14:textId="77777777" w:rsidR="0056484B" w:rsidRPr="00B54634" w:rsidRDefault="0056484B" w:rsidP="0056484B">
      <w:pPr>
        <w:spacing w:after="0" w:line="240" w:lineRule="auto"/>
        <w:jc w:val="both"/>
        <w:rPr>
          <w:rFonts w:ascii="Verdana" w:eastAsia="Calibri" w:hAnsi="Verdana" w:cs="Arial"/>
          <w:b/>
          <w:bCs/>
          <w:lang w:val="es-ES_tradnl" w:eastAsia="es-ES_tradnl"/>
        </w:rPr>
      </w:pPr>
      <w:bookmarkStart w:id="0" w:name="_Hlk143780582"/>
      <w:r w:rsidRPr="00B54634">
        <w:rPr>
          <w:rFonts w:ascii="Verdana" w:eastAsia="Calibri" w:hAnsi="Verdana" w:cs="Arial"/>
          <w:b/>
          <w:bCs/>
          <w:lang w:val="es-ES_tradnl" w:eastAsia="es-ES_tradnl"/>
        </w:rPr>
        <w:t>GARANTÍAS CONTRACTUALES – Exigencia – Obligación del proponente – Obligación del contratista - Finalidad</w:t>
      </w:r>
    </w:p>
    <w:p w14:paraId="34264660" w14:textId="77777777" w:rsidR="0056484B" w:rsidRPr="00B54634" w:rsidRDefault="0056484B" w:rsidP="0056484B">
      <w:pPr>
        <w:spacing w:after="0" w:line="240" w:lineRule="auto"/>
        <w:jc w:val="both"/>
        <w:rPr>
          <w:rFonts w:ascii="Verdana" w:eastAsia="Calibri" w:hAnsi="Verdana" w:cs="Arial"/>
          <w:b/>
          <w:bCs/>
          <w:sz w:val="20"/>
          <w:szCs w:val="20"/>
          <w:lang w:val="es-ES_tradnl" w:eastAsia="es-ES_tradnl"/>
        </w:rPr>
      </w:pPr>
    </w:p>
    <w:p w14:paraId="3B669390" w14:textId="77777777" w:rsidR="0056484B" w:rsidRPr="00B54634" w:rsidRDefault="0056484B" w:rsidP="0056484B">
      <w:pPr>
        <w:spacing w:after="0" w:line="240" w:lineRule="auto"/>
        <w:jc w:val="both"/>
        <w:rPr>
          <w:rFonts w:ascii="Verdana" w:eastAsia="Aptos" w:hAnsi="Verdana" w:cs="Times New Roman"/>
          <w:sz w:val="20"/>
          <w:szCs w:val="20"/>
        </w:rPr>
      </w:pPr>
      <w:r w:rsidRPr="00B54634">
        <w:rPr>
          <w:rFonts w:ascii="Verdana" w:eastAsia="Aptos" w:hAnsi="Verdana" w:cs="Times New Roman"/>
          <w:sz w:val="20"/>
          <w:szCs w:val="20"/>
        </w:rPr>
        <w:t xml:space="preserve">[…] el Estatuto General de Contratación de la Administración Pública, exige por regla general, en los procesos de contratación pública la constitución de garantías ya sea en la etapa precontractual, contractual o postcontractual, con el fin de evitar o mitigar posibles riesgos.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 </w:t>
      </w:r>
    </w:p>
    <w:p w14:paraId="6937C81D" w14:textId="77777777" w:rsidR="0056484B" w:rsidRPr="00B54634" w:rsidRDefault="0056484B" w:rsidP="0056484B">
      <w:pPr>
        <w:spacing w:after="0" w:line="240" w:lineRule="auto"/>
        <w:jc w:val="both"/>
        <w:rPr>
          <w:rFonts w:ascii="Verdana" w:eastAsia="Aptos" w:hAnsi="Verdana" w:cs="Times New Roman"/>
          <w:sz w:val="20"/>
          <w:szCs w:val="20"/>
        </w:rPr>
      </w:pPr>
    </w:p>
    <w:p w14:paraId="1C04E158" w14:textId="77777777" w:rsidR="0056484B" w:rsidRPr="00B54634" w:rsidRDefault="0056484B" w:rsidP="0056484B">
      <w:pPr>
        <w:spacing w:after="0" w:line="240" w:lineRule="auto"/>
        <w:jc w:val="both"/>
        <w:rPr>
          <w:rFonts w:ascii="Verdana" w:eastAsia="Calibri" w:hAnsi="Verdana" w:cs="Arial"/>
          <w:b/>
          <w:color w:val="000000"/>
          <w:lang w:val="es-ES"/>
        </w:rPr>
      </w:pPr>
      <w:r w:rsidRPr="00B54634">
        <w:rPr>
          <w:rFonts w:ascii="Verdana" w:eastAsia="Calibri" w:hAnsi="Verdana" w:cs="Arial"/>
          <w:b/>
          <w:color w:val="000000"/>
          <w:lang w:val="es-ES"/>
        </w:rPr>
        <w:t>GARANTÍA DE CUMPLIMIENTO – Vigencia – Liquidación del contrato</w:t>
      </w:r>
    </w:p>
    <w:p w14:paraId="0245BA86" w14:textId="77777777" w:rsidR="0056484B" w:rsidRPr="00B54634" w:rsidRDefault="0056484B" w:rsidP="0056484B">
      <w:pPr>
        <w:spacing w:after="0" w:line="240" w:lineRule="auto"/>
        <w:jc w:val="both"/>
        <w:rPr>
          <w:rFonts w:ascii="Verdana" w:eastAsia="Calibri" w:hAnsi="Verdana" w:cs="Arial"/>
          <w:b/>
          <w:color w:val="000000"/>
          <w:lang w:val="es-ES"/>
        </w:rPr>
      </w:pPr>
    </w:p>
    <w:p w14:paraId="48115A15" w14:textId="77777777" w:rsidR="0056484B" w:rsidRPr="00B54634" w:rsidRDefault="0056484B" w:rsidP="0056484B">
      <w:pPr>
        <w:spacing w:after="0" w:line="240" w:lineRule="auto"/>
        <w:jc w:val="both"/>
        <w:rPr>
          <w:rFonts w:ascii="Verdana" w:eastAsia="Calibri" w:hAnsi="Verdana" w:cs="Arial"/>
          <w:bCs/>
          <w:color w:val="000000"/>
          <w:sz w:val="20"/>
          <w:szCs w:val="20"/>
          <w:lang w:val="es-ES"/>
        </w:rPr>
      </w:pPr>
      <w:r w:rsidRPr="00B54634">
        <w:rPr>
          <w:rFonts w:ascii="Verdana" w:eastAsia="Aptos" w:hAnsi="Verdana" w:cs="Times New Roman"/>
          <w:sz w:val="20"/>
          <w:szCs w:val="20"/>
        </w:rPr>
        <w:t xml:space="preserve">[…] </w:t>
      </w:r>
      <w:r w:rsidRPr="00B54634">
        <w:rPr>
          <w:rFonts w:ascii="Verdana" w:eastAsia="Calibri" w:hAnsi="Verdana" w:cs="Arial"/>
          <w:bCs/>
          <w:color w:val="000000"/>
          <w:sz w:val="20"/>
          <w:szCs w:val="20"/>
          <w:lang w:val="es-ES"/>
        </w:rPr>
        <w:t xml:space="preserve">de acuerdo con lo establecido en el artículo 2.2.1.2.3.1.12 ibidem, regula la suficiencia de la garantía de cumplimiento, la garantía de cumplimiento debe tener una vigencia mínima hasta la liquidación del contrato. En ese sentido, el amparo cubre tanto el plazo de ejecución como el plazo de vigencia del contrato. Al respecto la jurisprudencia define el plazo de ejecución como el establecido para la realización de las prestaciones contractuales y, de igual forma, considera que el plazo de vigencia de este no ha finalizado mientras subsista la obligación para las partes de liquidar el contrato. </w:t>
      </w:r>
    </w:p>
    <w:p w14:paraId="5CB9A255" w14:textId="77777777" w:rsidR="0056484B" w:rsidRPr="00B54634" w:rsidRDefault="0056484B" w:rsidP="0056484B">
      <w:pPr>
        <w:spacing w:after="0" w:line="240" w:lineRule="auto"/>
        <w:jc w:val="both"/>
        <w:rPr>
          <w:rFonts w:ascii="Verdana" w:eastAsia="Calibri" w:hAnsi="Verdana" w:cs="Arial"/>
          <w:bCs/>
          <w:color w:val="000000"/>
          <w:sz w:val="20"/>
          <w:szCs w:val="20"/>
          <w:lang w:val="es-ES"/>
        </w:rPr>
      </w:pPr>
    </w:p>
    <w:p w14:paraId="58958B64" w14:textId="77777777" w:rsidR="0056484B" w:rsidRPr="00B54634" w:rsidRDefault="0056484B" w:rsidP="0056484B">
      <w:pPr>
        <w:spacing w:after="0" w:line="240" w:lineRule="auto"/>
        <w:jc w:val="both"/>
        <w:rPr>
          <w:rFonts w:ascii="Verdana" w:eastAsia="Calibri" w:hAnsi="Verdana" w:cs="Arial"/>
          <w:bCs/>
          <w:color w:val="000000"/>
          <w:sz w:val="20"/>
          <w:szCs w:val="20"/>
          <w:lang w:val="es-ES"/>
        </w:rPr>
      </w:pPr>
      <w:r w:rsidRPr="00B54634">
        <w:rPr>
          <w:rFonts w:ascii="Verdana" w:eastAsia="Calibri" w:hAnsi="Verdana" w:cs="Arial"/>
          <w:bCs/>
          <w:color w:val="000000"/>
          <w:sz w:val="20"/>
          <w:szCs w:val="20"/>
          <w:lang w:val="es-ES"/>
        </w:rPr>
        <w:t>Conforme la norma citada, el amparo cubre tanto el plazo de ejecución como el plazo de vigencia del contrato. Al respecto, la jurisprudencia define el plazo de ejecución como el establecido para la realización de las prestaciones contractuales y, de igual forma, considera que el plazo de vigencia de este no ha finalizado mientras subsista la obligación para las partes de liquidar el contrato</w:t>
      </w:r>
    </w:p>
    <w:p w14:paraId="7C116679" w14:textId="77777777" w:rsidR="0056484B" w:rsidRPr="00B54634" w:rsidRDefault="0056484B" w:rsidP="0056484B">
      <w:pPr>
        <w:spacing w:after="0" w:line="240" w:lineRule="auto"/>
        <w:jc w:val="both"/>
        <w:rPr>
          <w:rFonts w:ascii="Verdana" w:eastAsia="Calibri" w:hAnsi="Verdana" w:cs="Arial"/>
          <w:b/>
          <w:color w:val="000000"/>
          <w:lang w:val="es-ES"/>
        </w:rPr>
      </w:pPr>
    </w:p>
    <w:p w14:paraId="4295266B" w14:textId="77777777" w:rsidR="0056484B" w:rsidRPr="00B54634" w:rsidRDefault="0056484B" w:rsidP="0056484B">
      <w:pPr>
        <w:spacing w:after="0" w:line="240" w:lineRule="auto"/>
        <w:jc w:val="both"/>
        <w:rPr>
          <w:rFonts w:ascii="Verdana" w:eastAsia="Calibri" w:hAnsi="Verdana" w:cs="Arial"/>
          <w:b/>
          <w:color w:val="000000"/>
          <w:lang w:val="es-ES"/>
        </w:rPr>
      </w:pPr>
      <w:r w:rsidRPr="00B54634">
        <w:rPr>
          <w:rFonts w:ascii="Verdana" w:eastAsia="Calibri" w:hAnsi="Verdana" w:cs="Arial"/>
          <w:b/>
          <w:color w:val="000000"/>
          <w:lang w:val="es-ES"/>
        </w:rPr>
        <w:t>LIQUIDACIÓN DEL CONTRATO – Tipos – Términos para adelantarlo – Consecuencias pérdida de oportunidad</w:t>
      </w:r>
    </w:p>
    <w:p w14:paraId="6EEFB773" w14:textId="77777777" w:rsidR="0056484B" w:rsidRPr="00B54634" w:rsidRDefault="0056484B" w:rsidP="0056484B">
      <w:pPr>
        <w:spacing w:after="0" w:line="240" w:lineRule="auto"/>
        <w:jc w:val="both"/>
        <w:rPr>
          <w:rFonts w:ascii="Verdana" w:eastAsia="Calibri" w:hAnsi="Verdana" w:cs="Arial"/>
          <w:b/>
          <w:color w:val="000000"/>
          <w:lang w:val="es-ES"/>
        </w:rPr>
      </w:pPr>
    </w:p>
    <w:p w14:paraId="7D5DBC25" w14:textId="77777777" w:rsidR="0056484B" w:rsidRPr="00B54634" w:rsidRDefault="0056484B" w:rsidP="0056484B">
      <w:pPr>
        <w:spacing w:after="0"/>
        <w:jc w:val="both"/>
        <w:rPr>
          <w:rFonts w:ascii="Verdana" w:eastAsia="Calibri" w:hAnsi="Verdana" w:cs="Arial"/>
          <w:bCs/>
          <w:color w:val="000000"/>
          <w:sz w:val="20"/>
          <w:szCs w:val="20"/>
          <w:lang w:val="es-ES"/>
        </w:rPr>
      </w:pPr>
      <w:r w:rsidRPr="00B54634">
        <w:rPr>
          <w:rFonts w:ascii="Verdana" w:eastAsia="Calibri" w:hAnsi="Verdana" w:cs="Arial"/>
          <w:bCs/>
          <w:color w:val="000000"/>
          <w:sz w:val="20"/>
          <w:szCs w:val="20"/>
          <w:lang w:val="es-ES"/>
        </w:rPr>
        <w:t>[…] de acuerdo con el artículo 11 de la Ley 1150 de 2007, existen tres (3) tipos de liquidación: i) bilateral, ii) unilateral y iii)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p>
    <w:p w14:paraId="1007E3EF" w14:textId="77777777" w:rsidR="0056484B" w:rsidRPr="00B54634" w:rsidRDefault="0056484B" w:rsidP="0056484B">
      <w:pPr>
        <w:spacing w:after="0"/>
        <w:jc w:val="both"/>
        <w:rPr>
          <w:rFonts w:ascii="Verdana" w:eastAsia="Calibri" w:hAnsi="Verdana" w:cs="Arial"/>
          <w:bCs/>
          <w:color w:val="000000"/>
          <w:sz w:val="20"/>
          <w:szCs w:val="20"/>
          <w:lang w:val="es-ES"/>
        </w:rPr>
      </w:pPr>
    </w:p>
    <w:p w14:paraId="19C0117B" w14:textId="77777777" w:rsidR="0056484B" w:rsidRPr="00B54634" w:rsidRDefault="0056484B" w:rsidP="0056484B">
      <w:pPr>
        <w:spacing w:after="0"/>
        <w:jc w:val="both"/>
        <w:rPr>
          <w:rFonts w:ascii="Verdana" w:eastAsia="Aptos" w:hAnsi="Verdana" w:cs="Times New Roman"/>
        </w:rPr>
      </w:pPr>
      <w:r w:rsidRPr="00B54634">
        <w:rPr>
          <w:rFonts w:ascii="Verdana" w:eastAsia="Calibri" w:hAnsi="Verdana" w:cs="Arial"/>
          <w:bCs/>
          <w:color w:val="000000"/>
          <w:sz w:val="20"/>
          <w:szCs w:val="20"/>
          <w:lang w:val="es-ES"/>
        </w:rPr>
        <w:lastRenderedPageBreak/>
        <w:t xml:space="preserve">[…] </w:t>
      </w:r>
      <w:r w:rsidRPr="00B54634">
        <w:rPr>
          <w:rFonts w:ascii="Verdana" w:eastAsia="Aptos" w:hAnsi="Verdana" w:cs="Times New Roman"/>
        </w:rPr>
        <w:t>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w:t>
      </w:r>
    </w:p>
    <w:p w14:paraId="786B645C" w14:textId="77777777" w:rsidR="0056484B" w:rsidRPr="00B54634" w:rsidRDefault="0056484B" w:rsidP="0056484B">
      <w:pPr>
        <w:spacing w:after="0"/>
        <w:jc w:val="both"/>
        <w:rPr>
          <w:rFonts w:ascii="Verdana" w:eastAsia="Aptos" w:hAnsi="Verdana" w:cs="Times New Roman"/>
        </w:rPr>
      </w:pPr>
    </w:p>
    <w:p w14:paraId="4AF624F8" w14:textId="77777777" w:rsidR="0056484B" w:rsidRPr="00B54634" w:rsidRDefault="0056484B" w:rsidP="0056484B">
      <w:pPr>
        <w:spacing w:after="0"/>
        <w:jc w:val="both"/>
        <w:rPr>
          <w:rFonts w:ascii="Verdana" w:eastAsia="Aptos" w:hAnsi="Verdana" w:cs="Times New Roman"/>
        </w:rPr>
      </w:pPr>
    </w:p>
    <w:p w14:paraId="5FF50832" w14:textId="77777777" w:rsidR="0056484B" w:rsidRPr="00B54634" w:rsidRDefault="0056484B" w:rsidP="0056484B">
      <w:pPr>
        <w:spacing w:after="0"/>
        <w:jc w:val="both"/>
        <w:rPr>
          <w:rFonts w:ascii="Verdana" w:eastAsia="Aptos" w:hAnsi="Verdana" w:cs="Times New Roman"/>
        </w:rPr>
      </w:pPr>
    </w:p>
    <w:p w14:paraId="564858A7" w14:textId="77777777" w:rsidR="0056484B" w:rsidRPr="00B54634" w:rsidRDefault="0056484B" w:rsidP="0056484B">
      <w:pPr>
        <w:spacing w:after="0"/>
        <w:jc w:val="both"/>
        <w:rPr>
          <w:rFonts w:ascii="Verdana" w:eastAsia="Aptos" w:hAnsi="Verdana" w:cs="Times New Roman"/>
        </w:rPr>
      </w:pPr>
    </w:p>
    <w:p w14:paraId="307DED7D" w14:textId="77777777" w:rsidR="0056484B" w:rsidRPr="00B54634" w:rsidRDefault="0056484B" w:rsidP="0056484B">
      <w:pPr>
        <w:spacing w:after="0"/>
        <w:jc w:val="both"/>
        <w:rPr>
          <w:rFonts w:ascii="Verdana" w:eastAsia="Aptos" w:hAnsi="Verdana" w:cs="Times New Roman"/>
        </w:rPr>
      </w:pPr>
    </w:p>
    <w:p w14:paraId="6A0CA0AF" w14:textId="77777777" w:rsidR="0056484B" w:rsidRPr="00B54634" w:rsidRDefault="0056484B" w:rsidP="0056484B">
      <w:pPr>
        <w:spacing w:after="0"/>
        <w:jc w:val="both"/>
        <w:rPr>
          <w:rFonts w:ascii="Verdana" w:eastAsia="Aptos" w:hAnsi="Verdana" w:cs="Times New Roman"/>
        </w:rPr>
      </w:pPr>
    </w:p>
    <w:p w14:paraId="017D5655" w14:textId="77777777" w:rsidR="0056484B" w:rsidRPr="00B54634" w:rsidRDefault="0056484B" w:rsidP="0056484B">
      <w:pPr>
        <w:spacing w:after="0"/>
        <w:jc w:val="both"/>
        <w:rPr>
          <w:rFonts w:ascii="Verdana" w:eastAsia="Aptos" w:hAnsi="Verdana" w:cs="Times New Roman"/>
        </w:rPr>
      </w:pPr>
    </w:p>
    <w:p w14:paraId="4065BEEA" w14:textId="77777777" w:rsidR="0056484B" w:rsidRPr="00B54634" w:rsidRDefault="0056484B" w:rsidP="0056484B">
      <w:pPr>
        <w:spacing w:after="0"/>
        <w:jc w:val="both"/>
        <w:rPr>
          <w:rFonts w:ascii="Verdana" w:eastAsia="Aptos" w:hAnsi="Verdana" w:cs="Times New Roman"/>
        </w:rPr>
      </w:pPr>
    </w:p>
    <w:p w14:paraId="1A59EE27" w14:textId="77777777" w:rsidR="0056484B" w:rsidRPr="00B54634" w:rsidRDefault="0056484B" w:rsidP="0056484B">
      <w:pPr>
        <w:spacing w:after="0"/>
        <w:jc w:val="both"/>
        <w:rPr>
          <w:rFonts w:ascii="Verdana" w:eastAsia="Aptos" w:hAnsi="Verdana" w:cs="Times New Roman"/>
        </w:rPr>
      </w:pPr>
    </w:p>
    <w:p w14:paraId="071216A1" w14:textId="77777777" w:rsidR="0056484B" w:rsidRPr="00B54634" w:rsidRDefault="0056484B" w:rsidP="0056484B">
      <w:pPr>
        <w:spacing w:after="0"/>
        <w:jc w:val="both"/>
        <w:rPr>
          <w:rFonts w:ascii="Verdana" w:eastAsia="Aptos" w:hAnsi="Verdana" w:cs="Times New Roman"/>
        </w:rPr>
      </w:pPr>
    </w:p>
    <w:p w14:paraId="5BFAC467" w14:textId="77777777" w:rsidR="0056484B" w:rsidRPr="00B54634" w:rsidRDefault="0056484B" w:rsidP="0056484B">
      <w:pPr>
        <w:spacing w:after="0"/>
        <w:jc w:val="both"/>
        <w:rPr>
          <w:rFonts w:ascii="Verdana" w:eastAsia="Aptos" w:hAnsi="Verdana" w:cs="Times New Roman"/>
        </w:rPr>
      </w:pPr>
    </w:p>
    <w:p w14:paraId="3E4D79D0" w14:textId="77777777" w:rsidR="0056484B" w:rsidRPr="00B54634" w:rsidRDefault="0056484B" w:rsidP="0056484B">
      <w:pPr>
        <w:spacing w:after="0"/>
        <w:jc w:val="both"/>
        <w:rPr>
          <w:rFonts w:ascii="Verdana" w:eastAsia="Aptos" w:hAnsi="Verdana" w:cs="Times New Roman"/>
        </w:rPr>
      </w:pPr>
    </w:p>
    <w:p w14:paraId="3D46E499" w14:textId="77777777" w:rsidR="0056484B" w:rsidRPr="00B54634" w:rsidRDefault="0056484B" w:rsidP="0056484B">
      <w:pPr>
        <w:spacing w:after="0"/>
        <w:jc w:val="both"/>
        <w:rPr>
          <w:rFonts w:ascii="Verdana" w:eastAsia="Aptos" w:hAnsi="Verdana" w:cs="Times New Roman"/>
        </w:rPr>
      </w:pPr>
    </w:p>
    <w:p w14:paraId="63BC98B9" w14:textId="77777777" w:rsidR="0056484B" w:rsidRPr="00B54634" w:rsidRDefault="0056484B" w:rsidP="0056484B">
      <w:pPr>
        <w:spacing w:after="0"/>
        <w:jc w:val="both"/>
        <w:rPr>
          <w:rFonts w:ascii="Verdana" w:eastAsia="Aptos" w:hAnsi="Verdana" w:cs="Times New Roman"/>
        </w:rPr>
      </w:pPr>
    </w:p>
    <w:p w14:paraId="553BD490" w14:textId="77777777" w:rsidR="0056484B" w:rsidRPr="00B54634" w:rsidRDefault="0056484B" w:rsidP="0056484B">
      <w:pPr>
        <w:spacing w:after="0"/>
        <w:jc w:val="both"/>
        <w:rPr>
          <w:rFonts w:ascii="Verdana" w:eastAsia="Aptos" w:hAnsi="Verdana" w:cs="Times New Roman"/>
        </w:rPr>
      </w:pPr>
    </w:p>
    <w:p w14:paraId="73566C9B" w14:textId="77777777" w:rsidR="0056484B" w:rsidRPr="00B54634" w:rsidRDefault="0056484B" w:rsidP="0056484B">
      <w:pPr>
        <w:spacing w:after="0"/>
        <w:jc w:val="both"/>
        <w:rPr>
          <w:rFonts w:ascii="Verdana" w:eastAsia="Aptos" w:hAnsi="Verdana" w:cs="Times New Roman"/>
        </w:rPr>
      </w:pPr>
    </w:p>
    <w:p w14:paraId="55915D69" w14:textId="77777777" w:rsidR="0056484B" w:rsidRPr="00B54634" w:rsidRDefault="0056484B" w:rsidP="0056484B">
      <w:pPr>
        <w:spacing w:after="0"/>
        <w:jc w:val="both"/>
        <w:rPr>
          <w:rFonts w:ascii="Verdana" w:eastAsia="Aptos" w:hAnsi="Verdana" w:cs="Times New Roman"/>
        </w:rPr>
      </w:pPr>
    </w:p>
    <w:p w14:paraId="44B95C96" w14:textId="77777777" w:rsidR="0056484B" w:rsidRPr="00B54634" w:rsidRDefault="0056484B" w:rsidP="0056484B">
      <w:pPr>
        <w:spacing w:after="0"/>
        <w:jc w:val="both"/>
        <w:rPr>
          <w:rFonts w:ascii="Verdana" w:eastAsia="Aptos" w:hAnsi="Verdana" w:cs="Times New Roman"/>
        </w:rPr>
      </w:pPr>
    </w:p>
    <w:p w14:paraId="1621BF5C" w14:textId="77777777" w:rsidR="0056484B" w:rsidRPr="00B54634" w:rsidRDefault="0056484B" w:rsidP="0056484B">
      <w:pPr>
        <w:spacing w:after="0"/>
        <w:jc w:val="both"/>
        <w:rPr>
          <w:rFonts w:ascii="Verdana" w:eastAsia="Aptos" w:hAnsi="Verdana" w:cs="Times New Roman"/>
        </w:rPr>
      </w:pPr>
    </w:p>
    <w:p w14:paraId="27B6F03C" w14:textId="77777777" w:rsidR="0056484B" w:rsidRPr="00B54634" w:rsidRDefault="0056484B" w:rsidP="0056484B">
      <w:pPr>
        <w:spacing w:after="0"/>
        <w:jc w:val="both"/>
        <w:rPr>
          <w:rFonts w:ascii="Verdana" w:eastAsia="Aptos" w:hAnsi="Verdana" w:cs="Times New Roman"/>
        </w:rPr>
      </w:pPr>
    </w:p>
    <w:p w14:paraId="302AF009" w14:textId="77777777" w:rsidR="0056484B" w:rsidRPr="00B54634" w:rsidRDefault="0056484B" w:rsidP="0056484B">
      <w:pPr>
        <w:spacing w:after="0"/>
        <w:jc w:val="both"/>
        <w:rPr>
          <w:rFonts w:ascii="Verdana" w:eastAsia="Aptos" w:hAnsi="Verdana" w:cs="Times New Roman"/>
        </w:rPr>
      </w:pPr>
    </w:p>
    <w:p w14:paraId="7A47529F" w14:textId="77777777" w:rsidR="0056484B" w:rsidRPr="00B54634" w:rsidRDefault="0056484B" w:rsidP="0056484B">
      <w:pPr>
        <w:spacing w:after="0"/>
        <w:jc w:val="both"/>
        <w:rPr>
          <w:rFonts w:ascii="Verdana" w:eastAsia="Aptos" w:hAnsi="Verdana" w:cs="Times New Roman"/>
        </w:rPr>
      </w:pPr>
    </w:p>
    <w:p w14:paraId="1D39974C" w14:textId="77777777" w:rsidR="0056484B" w:rsidRPr="00B54634" w:rsidRDefault="0056484B" w:rsidP="0056484B">
      <w:pPr>
        <w:spacing w:after="0"/>
        <w:jc w:val="both"/>
        <w:rPr>
          <w:rFonts w:ascii="Verdana" w:eastAsia="Aptos" w:hAnsi="Verdana" w:cs="Times New Roman"/>
        </w:rPr>
      </w:pPr>
    </w:p>
    <w:p w14:paraId="456E0A10" w14:textId="77777777" w:rsidR="0056484B" w:rsidRPr="00B54634" w:rsidRDefault="0056484B" w:rsidP="0056484B">
      <w:pPr>
        <w:spacing w:after="0"/>
        <w:jc w:val="both"/>
        <w:rPr>
          <w:rFonts w:ascii="Verdana" w:eastAsia="Aptos" w:hAnsi="Verdana" w:cs="Times New Roman"/>
        </w:rPr>
      </w:pPr>
    </w:p>
    <w:p w14:paraId="2984DE48" w14:textId="77777777" w:rsidR="0056484B" w:rsidRPr="00B54634" w:rsidRDefault="0056484B" w:rsidP="0056484B">
      <w:pPr>
        <w:spacing w:after="0"/>
        <w:jc w:val="both"/>
        <w:rPr>
          <w:rFonts w:ascii="Verdana" w:eastAsia="Aptos" w:hAnsi="Verdana" w:cs="Times New Roman"/>
        </w:rPr>
      </w:pPr>
    </w:p>
    <w:p w14:paraId="69503B28" w14:textId="77777777" w:rsidR="0056484B" w:rsidRPr="00B54634" w:rsidRDefault="0056484B" w:rsidP="0056484B">
      <w:pPr>
        <w:spacing w:after="0"/>
        <w:jc w:val="both"/>
        <w:rPr>
          <w:rFonts w:ascii="Verdana" w:eastAsia="Aptos" w:hAnsi="Verdana" w:cs="Times New Roman"/>
        </w:rPr>
      </w:pPr>
    </w:p>
    <w:p w14:paraId="45FA66EA" w14:textId="77777777" w:rsidR="0056484B" w:rsidRPr="00B54634" w:rsidRDefault="0056484B" w:rsidP="0056484B">
      <w:pPr>
        <w:spacing w:after="0"/>
        <w:jc w:val="both"/>
        <w:rPr>
          <w:rFonts w:ascii="Verdana" w:eastAsia="Aptos" w:hAnsi="Verdana" w:cs="Times New Roman"/>
        </w:rPr>
      </w:pPr>
    </w:p>
    <w:p w14:paraId="324B02BD" w14:textId="77777777" w:rsidR="0056484B" w:rsidRDefault="0056484B" w:rsidP="0056484B">
      <w:pPr>
        <w:spacing w:after="0"/>
        <w:jc w:val="both"/>
        <w:rPr>
          <w:rFonts w:ascii="Verdana" w:eastAsia="Aptos" w:hAnsi="Verdana" w:cs="Times New Roman"/>
        </w:rPr>
      </w:pPr>
    </w:p>
    <w:p w14:paraId="59ED1686" w14:textId="77777777" w:rsidR="000022A5" w:rsidRPr="00B54634" w:rsidRDefault="000022A5" w:rsidP="0056484B">
      <w:pPr>
        <w:spacing w:after="0"/>
        <w:jc w:val="both"/>
        <w:rPr>
          <w:rFonts w:ascii="Verdana" w:eastAsia="Aptos" w:hAnsi="Verdana" w:cs="Times New Roman"/>
        </w:rPr>
      </w:pPr>
    </w:p>
    <w:p w14:paraId="2437EAA5" w14:textId="294232CA" w:rsidR="0056484B" w:rsidRPr="00B54634" w:rsidRDefault="0056484B" w:rsidP="0056484B">
      <w:pPr>
        <w:spacing w:after="0" w:line="240" w:lineRule="auto"/>
        <w:rPr>
          <w:rFonts w:ascii="Verdana" w:eastAsia="Geomanist Light" w:hAnsi="Verdana" w:cs="Arial"/>
          <w:lang w:val="es-MX"/>
        </w:rPr>
      </w:pPr>
      <w:r w:rsidRPr="00B54634">
        <w:rPr>
          <w:rFonts w:ascii="Verdana" w:eastAsia="Geomanist Light" w:hAnsi="Verdana" w:cs="Arial"/>
          <w:lang w:val="es-MX"/>
        </w:rPr>
        <w:lastRenderedPageBreak/>
        <w:t>Bogotá D.C., </w:t>
      </w:r>
      <w:r w:rsidR="000022A5">
        <w:rPr>
          <w:rFonts w:ascii="Verdana" w:eastAsia="Geomanist Light" w:hAnsi="Verdana" w:cs="Arial"/>
          <w:lang w:val="es-MX"/>
        </w:rPr>
        <w:t>16 de abril de 2026</w:t>
      </w:r>
    </w:p>
    <w:p w14:paraId="103189B8" w14:textId="77777777" w:rsidR="0056484B" w:rsidRPr="00B54634" w:rsidRDefault="0056484B" w:rsidP="0056484B">
      <w:pPr>
        <w:spacing w:after="0" w:line="240" w:lineRule="auto"/>
        <w:jc w:val="both"/>
        <w:rPr>
          <w:rFonts w:ascii="Verdana" w:eastAsia="Calibri" w:hAnsi="Verdana" w:cs="Arial"/>
          <w:lang w:val="es-ES"/>
        </w:rPr>
      </w:pPr>
    </w:p>
    <w:p w14:paraId="577D2026" w14:textId="6B8C9296" w:rsidR="0056484B" w:rsidRPr="00B54634" w:rsidRDefault="00412FC1" w:rsidP="0056484B">
      <w:pPr>
        <w:spacing w:after="0" w:line="240" w:lineRule="auto"/>
        <w:jc w:val="right"/>
        <w:rPr>
          <w:rFonts w:ascii="Verdana" w:eastAsia="Calibri" w:hAnsi="Verdana" w:cs="Arial"/>
          <w:lang w:val="es-ES"/>
        </w:rPr>
      </w:pPr>
      <w:r w:rsidRPr="00412FC1">
        <w:rPr>
          <w:rFonts w:ascii="Verdana" w:eastAsia="Calibri" w:hAnsi="Verdana" w:cs="Arial"/>
          <w:lang w:val="es-ES"/>
        </w:rPr>
        <w:drawing>
          <wp:inline distT="0" distB="0" distL="0" distR="0" wp14:anchorId="0AE06228" wp14:editId="59512229">
            <wp:extent cx="2324099" cy="723900"/>
            <wp:effectExtent l="0" t="0" r="635" b="0"/>
            <wp:docPr id="8031997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199772" name=""/>
                    <pic:cNvPicPr/>
                  </pic:nvPicPr>
                  <pic:blipFill>
                    <a:blip r:embed="rId10"/>
                    <a:stretch>
                      <a:fillRect/>
                    </a:stretch>
                  </pic:blipFill>
                  <pic:spPr>
                    <a:xfrm>
                      <a:off x="0" y="0"/>
                      <a:ext cx="2329849" cy="725691"/>
                    </a:xfrm>
                    <a:prstGeom prst="rect">
                      <a:avLst/>
                    </a:prstGeom>
                  </pic:spPr>
                </pic:pic>
              </a:graphicData>
            </a:graphic>
          </wp:inline>
        </w:drawing>
      </w:r>
    </w:p>
    <w:p w14:paraId="76473681" w14:textId="77777777" w:rsidR="0056484B" w:rsidRPr="00B54634" w:rsidRDefault="0056484B" w:rsidP="0056484B">
      <w:pPr>
        <w:spacing w:after="0" w:line="240" w:lineRule="auto"/>
        <w:jc w:val="both"/>
        <w:rPr>
          <w:rFonts w:ascii="Verdana" w:eastAsia="Calibri" w:hAnsi="Verdana" w:cs="Arial"/>
          <w:lang w:val="es-ES"/>
        </w:rPr>
      </w:pPr>
    </w:p>
    <w:p w14:paraId="2502F7DD" w14:textId="77777777" w:rsidR="0056484B" w:rsidRPr="00B54634" w:rsidRDefault="0056484B" w:rsidP="0056484B">
      <w:pPr>
        <w:spacing w:after="0" w:line="240" w:lineRule="auto"/>
        <w:jc w:val="both"/>
        <w:rPr>
          <w:rFonts w:ascii="Verdana" w:eastAsia="Calibri" w:hAnsi="Verdana" w:cs="Arial"/>
          <w:lang w:val="es-ES" w:eastAsia="es-ES"/>
        </w:rPr>
      </w:pPr>
      <w:r w:rsidRPr="00B54634">
        <w:rPr>
          <w:rFonts w:ascii="Verdana" w:eastAsia="Calibri" w:hAnsi="Verdana" w:cs="Arial"/>
          <w:lang w:val="es-ES" w:eastAsia="es-ES"/>
        </w:rPr>
        <w:t>Señora</w:t>
      </w:r>
    </w:p>
    <w:p w14:paraId="7DEB9CA4" w14:textId="77777777" w:rsidR="0056484B" w:rsidRPr="00B54634" w:rsidRDefault="0056484B" w:rsidP="0056484B">
      <w:pPr>
        <w:spacing w:after="0" w:line="240" w:lineRule="auto"/>
        <w:rPr>
          <w:rFonts w:ascii="Verdana" w:eastAsia="Calibri" w:hAnsi="Verdana" w:cs="Arial"/>
          <w:b/>
          <w:bCs/>
          <w:lang w:val="es-ES" w:eastAsia="es-ES"/>
        </w:rPr>
      </w:pPr>
      <w:r w:rsidRPr="00B54634">
        <w:rPr>
          <w:rFonts w:ascii="Verdana" w:eastAsia="Calibri" w:hAnsi="Verdana" w:cs="Arial"/>
          <w:b/>
          <w:bCs/>
          <w:lang w:val="es-ES" w:eastAsia="es-ES"/>
        </w:rPr>
        <w:t>Mariana Alzate Molina</w:t>
      </w:r>
    </w:p>
    <w:p w14:paraId="52E54B18" w14:textId="77777777" w:rsidR="0056484B" w:rsidRPr="00B54634" w:rsidRDefault="0056484B" w:rsidP="0056484B">
      <w:pPr>
        <w:spacing w:after="0" w:line="240" w:lineRule="auto"/>
        <w:rPr>
          <w:rFonts w:ascii="Verdana" w:eastAsia="Aptos" w:hAnsi="Verdana" w:cs="Times New Roman"/>
        </w:rPr>
      </w:pPr>
      <w:hyperlink r:id="rId11" w:history="1">
        <w:r w:rsidRPr="00B54634">
          <w:rPr>
            <w:rFonts w:ascii="Verdana" w:eastAsia="Aptos" w:hAnsi="Verdana" w:cs="Times New Roman"/>
            <w:color w:val="467886"/>
            <w:u w:val="single"/>
          </w:rPr>
          <w:t>ma.alzatemolina02@gmail.com</w:t>
        </w:r>
      </w:hyperlink>
    </w:p>
    <w:p w14:paraId="417EB9F3" w14:textId="77777777" w:rsidR="0056484B" w:rsidRPr="00B54634" w:rsidRDefault="0056484B" w:rsidP="0056484B">
      <w:pPr>
        <w:spacing w:after="0" w:line="240" w:lineRule="auto"/>
        <w:rPr>
          <w:rFonts w:ascii="Verdana" w:eastAsia="Calibri" w:hAnsi="Verdana" w:cs="Arial"/>
          <w:b/>
          <w:bCs/>
          <w:lang w:val="es-ES" w:eastAsia="es-ES"/>
        </w:rPr>
      </w:pPr>
      <w:r w:rsidRPr="00B54634">
        <w:rPr>
          <w:rFonts w:ascii="Verdana" w:eastAsia="Calibri" w:hAnsi="Verdana" w:cs="Arial"/>
          <w:lang w:val="es-ES" w:eastAsia="es-ES"/>
        </w:rPr>
        <w:t>Ciudad</w:t>
      </w:r>
    </w:p>
    <w:p w14:paraId="35B07E23" w14:textId="77777777" w:rsidR="0056484B" w:rsidRPr="00B54634" w:rsidRDefault="0056484B" w:rsidP="0056484B">
      <w:pPr>
        <w:spacing w:after="0" w:line="240" w:lineRule="auto"/>
        <w:rPr>
          <w:rFonts w:ascii="Verdana" w:eastAsia="Calibri" w:hAnsi="Verdana" w:cs="Arial"/>
          <w:b/>
          <w:bCs/>
          <w:lang w:val="es-ES_tradnl" w:eastAsia="es-ES_tradnl"/>
        </w:rPr>
      </w:pPr>
    </w:p>
    <w:p w14:paraId="4EE3DCE8" w14:textId="77777777" w:rsidR="0056484B" w:rsidRPr="00B54634" w:rsidRDefault="0056484B" w:rsidP="0056484B">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6484B" w:rsidRPr="00B54634" w14:paraId="34FA9FEA" w14:textId="77777777" w:rsidTr="006D3B8D">
        <w:trPr>
          <w:trHeight w:val="884"/>
        </w:trPr>
        <w:tc>
          <w:tcPr>
            <w:tcW w:w="2689" w:type="dxa"/>
          </w:tcPr>
          <w:p w14:paraId="169E821B" w14:textId="77777777" w:rsidR="0056484B" w:rsidRPr="00B54634" w:rsidRDefault="0056484B" w:rsidP="006D3B8D">
            <w:pPr>
              <w:jc w:val="both"/>
              <w:rPr>
                <w:rFonts w:ascii="Verdana" w:eastAsia="Calibri" w:hAnsi="Verdana" w:cs="Arial"/>
                <w:b/>
                <w:bCs/>
                <w:lang w:val="es-ES_tradnl" w:eastAsia="es-ES_tradnl"/>
              </w:rPr>
            </w:pPr>
          </w:p>
        </w:tc>
        <w:tc>
          <w:tcPr>
            <w:tcW w:w="6100" w:type="dxa"/>
          </w:tcPr>
          <w:p w14:paraId="59F206C5" w14:textId="77777777" w:rsidR="0056484B" w:rsidRPr="00B54634" w:rsidRDefault="0056484B" w:rsidP="006D3B8D">
            <w:pPr>
              <w:jc w:val="both"/>
              <w:rPr>
                <w:rFonts w:ascii="Verdana" w:eastAsia="Calibri" w:hAnsi="Verdana" w:cs="Arial"/>
                <w:b/>
                <w:bCs/>
                <w:lang w:val="es-ES" w:eastAsia="es-ES"/>
              </w:rPr>
            </w:pPr>
            <w:r w:rsidRPr="00B54634">
              <w:rPr>
                <w:rFonts w:ascii="Verdana" w:eastAsia="Calibri" w:hAnsi="Verdana" w:cs="Arial"/>
                <w:b/>
                <w:bCs/>
                <w:lang w:val="es-ES" w:eastAsia="es-ES"/>
              </w:rPr>
              <w:t>Concepto C-367 de 2026</w:t>
            </w:r>
          </w:p>
        </w:tc>
      </w:tr>
      <w:tr w:rsidR="0056484B" w:rsidRPr="00B54634" w14:paraId="35F664BF" w14:textId="77777777" w:rsidTr="006D3B8D">
        <w:trPr>
          <w:trHeight w:val="884"/>
        </w:trPr>
        <w:tc>
          <w:tcPr>
            <w:tcW w:w="2689" w:type="dxa"/>
          </w:tcPr>
          <w:p w14:paraId="0DD5A083" w14:textId="77777777" w:rsidR="0056484B" w:rsidRPr="00B54634" w:rsidRDefault="0056484B" w:rsidP="006D3B8D">
            <w:pPr>
              <w:jc w:val="both"/>
              <w:rPr>
                <w:rFonts w:ascii="Verdana" w:eastAsia="Calibri" w:hAnsi="Verdana" w:cs="Arial"/>
                <w:lang w:val="es-ES_tradnl" w:eastAsia="es-ES_tradnl"/>
              </w:rPr>
            </w:pPr>
            <w:r w:rsidRPr="00B54634">
              <w:rPr>
                <w:rFonts w:ascii="Verdana" w:eastAsia="Calibri" w:hAnsi="Verdana" w:cs="Arial"/>
                <w:b/>
                <w:lang w:val="es-ES_tradnl" w:eastAsia="es-ES_tradnl"/>
              </w:rPr>
              <w:t>Temas:</w:t>
            </w:r>
            <w:r w:rsidRPr="00B54634">
              <w:rPr>
                <w:rFonts w:ascii="Verdana" w:eastAsia="Calibri" w:hAnsi="Verdana" w:cs="Arial"/>
                <w:lang w:val="es-ES_tradnl" w:eastAsia="es-ES_tradnl"/>
              </w:rPr>
              <w:t xml:space="preserve">                   </w:t>
            </w:r>
          </w:p>
        </w:tc>
        <w:tc>
          <w:tcPr>
            <w:tcW w:w="6100" w:type="dxa"/>
          </w:tcPr>
          <w:p w14:paraId="577B8686" w14:textId="77777777" w:rsidR="0056484B" w:rsidRPr="00B54634" w:rsidRDefault="0056484B" w:rsidP="006D3B8D">
            <w:pPr>
              <w:spacing w:line="276" w:lineRule="auto"/>
              <w:jc w:val="both"/>
              <w:rPr>
                <w:rFonts w:ascii="Verdana" w:eastAsia="Calibri" w:hAnsi="Verdana" w:cs="Arial"/>
                <w:lang w:val="es-ES" w:eastAsia="es-ES"/>
              </w:rPr>
            </w:pPr>
            <w:r w:rsidRPr="00B54634">
              <w:rPr>
                <w:rFonts w:ascii="Verdana" w:eastAsia="Calibri" w:hAnsi="Verdana" w:cs="Arial"/>
                <w:lang w:val="es-ES" w:eastAsia="es-ES"/>
              </w:rPr>
              <w:t>GARANTÍAS CONTRACTUALES – Exigencia – Obligación del proponente – Obligación del contratista – Finalidad / GARANTÍA DE CUMPLIMIENTO – Vigencia – Liquidación del contrato / LIQUIDACIÓN DEL CONTRATO – Tipos – Términos para adelantarlo – Consecuencias pérdida de oportunidad</w:t>
            </w:r>
          </w:p>
          <w:p w14:paraId="38E4A0B7" w14:textId="77777777" w:rsidR="0056484B" w:rsidRPr="00B54634" w:rsidRDefault="0056484B" w:rsidP="006D3B8D">
            <w:pPr>
              <w:spacing w:line="276" w:lineRule="auto"/>
              <w:jc w:val="both"/>
              <w:rPr>
                <w:rFonts w:ascii="Verdana" w:eastAsia="Calibri" w:hAnsi="Verdana" w:cs="Arial"/>
                <w:lang w:val="es-ES" w:eastAsia="es-ES"/>
              </w:rPr>
            </w:pPr>
          </w:p>
        </w:tc>
      </w:tr>
      <w:tr w:rsidR="0056484B" w:rsidRPr="00B54634" w14:paraId="4C40B6F1" w14:textId="77777777" w:rsidTr="006D3B8D">
        <w:tc>
          <w:tcPr>
            <w:tcW w:w="2689" w:type="dxa"/>
          </w:tcPr>
          <w:p w14:paraId="4883CC2D" w14:textId="77777777" w:rsidR="0056484B" w:rsidRPr="00B54634" w:rsidRDefault="0056484B" w:rsidP="006D3B8D">
            <w:pPr>
              <w:jc w:val="both"/>
              <w:rPr>
                <w:rFonts w:ascii="Verdana" w:eastAsia="Calibri" w:hAnsi="Verdana" w:cs="Arial"/>
                <w:b/>
                <w:lang w:val="es-ES_tradnl" w:eastAsia="es-ES_tradnl"/>
              </w:rPr>
            </w:pPr>
            <w:r w:rsidRPr="00B54634">
              <w:rPr>
                <w:rFonts w:ascii="Verdana" w:eastAsia="Calibri" w:hAnsi="Verdana" w:cs="Arial"/>
                <w:b/>
                <w:lang w:val="es-ES_tradnl" w:eastAsia="es-ES_tradnl"/>
              </w:rPr>
              <w:t>Radicación:</w:t>
            </w:r>
            <w:r w:rsidRPr="00B54634">
              <w:rPr>
                <w:rFonts w:ascii="Verdana" w:eastAsia="Calibri" w:hAnsi="Verdana" w:cs="Arial"/>
                <w:lang w:val="es-ES_tradnl" w:eastAsia="es-ES_tradnl"/>
              </w:rPr>
              <w:t xml:space="preserve">               </w:t>
            </w:r>
          </w:p>
        </w:tc>
        <w:tc>
          <w:tcPr>
            <w:tcW w:w="6100" w:type="dxa"/>
          </w:tcPr>
          <w:p w14:paraId="033CBD8F" w14:textId="77777777" w:rsidR="0056484B" w:rsidRPr="00B54634" w:rsidRDefault="0056484B" w:rsidP="006D3B8D">
            <w:pPr>
              <w:jc w:val="both"/>
              <w:rPr>
                <w:rFonts w:ascii="Verdana" w:eastAsia="Calibri" w:hAnsi="Verdana" w:cs="Arial"/>
                <w:lang w:val="es-ES_tradnl" w:eastAsia="es-ES_tradnl"/>
              </w:rPr>
            </w:pPr>
            <w:r w:rsidRPr="00B54634">
              <w:rPr>
                <w:rFonts w:ascii="Verdana" w:eastAsia="Calibri" w:hAnsi="Verdana" w:cs="Arial"/>
                <w:lang w:val="es-ES_tradnl" w:eastAsia="es-ES_tradnl"/>
              </w:rPr>
              <w:t>Respuesta a consulta No. 1_2026_03_05_003085</w:t>
            </w:r>
          </w:p>
        </w:tc>
      </w:tr>
    </w:tbl>
    <w:p w14:paraId="69B72AE5" w14:textId="77777777" w:rsidR="0056484B" w:rsidRPr="00B54634" w:rsidRDefault="0056484B" w:rsidP="0056484B">
      <w:pPr>
        <w:spacing w:after="0" w:line="240" w:lineRule="auto"/>
        <w:jc w:val="both"/>
        <w:rPr>
          <w:rFonts w:ascii="Verdana" w:eastAsia="Calibri" w:hAnsi="Verdana" w:cs="Arial"/>
          <w:lang w:val="es-ES_tradnl" w:eastAsia="es-ES_tradnl"/>
        </w:rPr>
      </w:pPr>
    </w:p>
    <w:p w14:paraId="32F580E3" w14:textId="77777777" w:rsidR="0056484B" w:rsidRPr="00B54634" w:rsidRDefault="0056484B" w:rsidP="0056484B">
      <w:pPr>
        <w:spacing w:after="0" w:line="240" w:lineRule="auto"/>
        <w:jc w:val="both"/>
        <w:rPr>
          <w:rFonts w:ascii="Verdana" w:eastAsia="Calibri" w:hAnsi="Verdana" w:cs="Arial"/>
          <w:lang w:val="es-ES_tradnl" w:eastAsia="es-ES_tradnl"/>
        </w:rPr>
      </w:pPr>
    </w:p>
    <w:p w14:paraId="0F5E5B4F" w14:textId="77777777" w:rsidR="0056484B" w:rsidRPr="00B54634" w:rsidRDefault="0056484B" w:rsidP="0056484B">
      <w:pPr>
        <w:spacing w:after="0" w:line="276" w:lineRule="auto"/>
        <w:jc w:val="both"/>
        <w:rPr>
          <w:rFonts w:ascii="Verdana" w:eastAsia="Calibri" w:hAnsi="Verdana" w:cs="Arial"/>
          <w:lang w:val="es-ES" w:eastAsia="es-ES"/>
        </w:rPr>
      </w:pPr>
      <w:r w:rsidRPr="00B54634">
        <w:rPr>
          <w:rFonts w:ascii="Verdana" w:eastAsia="Calibri" w:hAnsi="Verdana" w:cs="Arial"/>
          <w:lang w:val="es-ES" w:eastAsia="es-ES"/>
        </w:rPr>
        <w:t>Estimada señora Alzate:</w:t>
      </w:r>
    </w:p>
    <w:p w14:paraId="31E1AD2F" w14:textId="77777777" w:rsidR="0056484B" w:rsidRPr="00B54634" w:rsidRDefault="0056484B" w:rsidP="0056484B">
      <w:pPr>
        <w:tabs>
          <w:tab w:val="left" w:pos="3768"/>
        </w:tabs>
        <w:spacing w:after="0" w:line="276" w:lineRule="auto"/>
        <w:jc w:val="both"/>
        <w:rPr>
          <w:rFonts w:ascii="Verdana" w:eastAsia="Calibri" w:hAnsi="Verdana" w:cs="Arial"/>
          <w:lang w:val="es-ES" w:eastAsia="es-ES"/>
        </w:rPr>
      </w:pPr>
      <w:r w:rsidRPr="00B54634">
        <w:rPr>
          <w:rFonts w:ascii="Verdana" w:eastAsia="Calibri" w:hAnsi="Verdana" w:cs="Arial"/>
          <w:lang w:val="es-ES" w:eastAsia="es-ES"/>
        </w:rPr>
        <w:tab/>
      </w:r>
    </w:p>
    <w:p w14:paraId="39BDA27D" w14:textId="77777777" w:rsidR="0056484B" w:rsidRPr="00B54634" w:rsidRDefault="0056484B" w:rsidP="0056484B">
      <w:pPr>
        <w:spacing w:after="0" w:line="276" w:lineRule="auto"/>
        <w:jc w:val="both"/>
        <w:rPr>
          <w:rFonts w:ascii="Verdana" w:eastAsia="Calibri" w:hAnsi="Verdana" w:cs="Arial"/>
          <w:lang w:val="es-ES" w:eastAsia="es-ES"/>
        </w:rPr>
      </w:pPr>
      <w:r w:rsidRPr="00B54634">
        <w:rPr>
          <w:rFonts w:ascii="Verdana" w:eastAsia="Calibri" w:hAnsi="Verdana" w:cs="Arial"/>
          <w:lang w:val="es-ES" w:eastAsia="es-ES"/>
        </w:rPr>
        <w:t>En ejercicio de la competencia otorgada por los artículos 3, numeral 5º, y 11, numeral 8º, del Decreto Ley 4170 de 2011,</w:t>
      </w:r>
      <w:r w:rsidRPr="00B54634">
        <w:rPr>
          <w:rFonts w:ascii="Verdana" w:eastAsia="Arial MT" w:hAnsi="Verdana" w:cs="Arial MT"/>
          <w:lang w:val="es-ES" w:eastAsia="es-ES"/>
        </w:rPr>
        <w:t xml:space="preserve"> </w:t>
      </w:r>
      <w:r w:rsidRPr="00B54634">
        <w:rPr>
          <w:rFonts w:ascii="Verdana" w:eastAsia="Aptos" w:hAnsi="Verdana" w:cs="Arial"/>
        </w:rPr>
        <w:t xml:space="preserve">así como lo establecido en el artículo 4 de la Resolución 1707 de 2018 expedida por esta Entidad, </w:t>
      </w:r>
      <w:r w:rsidRPr="00B54634">
        <w:rPr>
          <w:rFonts w:ascii="Verdana" w:eastAsia="Calibri" w:hAnsi="Verdana" w:cs="Arial"/>
          <w:lang w:val="es-ES" w:eastAsia="es-ES"/>
        </w:rPr>
        <w:t xml:space="preserve">la Agencia Nacional de Contratación Pública – Colombia Compra Eficiente– responde su solicitud de consulta del 05 de marzo de 2026, en las que realiza las siguientes preguntas: </w:t>
      </w:r>
    </w:p>
    <w:p w14:paraId="3B0F7B03" w14:textId="77777777" w:rsidR="0056484B" w:rsidRPr="00B54634" w:rsidRDefault="0056484B" w:rsidP="0056484B">
      <w:pPr>
        <w:tabs>
          <w:tab w:val="left" w:pos="142"/>
          <w:tab w:val="left" w:pos="284"/>
        </w:tabs>
        <w:spacing w:after="0" w:line="240" w:lineRule="auto"/>
        <w:contextualSpacing/>
        <w:jc w:val="both"/>
        <w:rPr>
          <w:rFonts w:ascii="Verdana" w:eastAsia="Century Gothic" w:hAnsi="Verdana" w:cs="Century Gothic"/>
          <w:b/>
          <w:bCs/>
          <w:sz w:val="20"/>
          <w:szCs w:val="20"/>
          <w:lang w:val="es-ES"/>
        </w:rPr>
      </w:pPr>
    </w:p>
    <w:p w14:paraId="5BEF079E" w14:textId="77777777" w:rsidR="0056484B" w:rsidRPr="00B54634" w:rsidRDefault="0056484B" w:rsidP="0056484B">
      <w:pPr>
        <w:tabs>
          <w:tab w:val="left" w:pos="709"/>
        </w:tabs>
        <w:spacing w:before="120" w:after="0" w:line="240" w:lineRule="auto"/>
        <w:ind w:left="709" w:right="709"/>
        <w:jc w:val="both"/>
        <w:rPr>
          <w:rFonts w:ascii="Verdana" w:eastAsia="Calibri" w:hAnsi="Verdana" w:cs="Arial"/>
          <w:sz w:val="20"/>
          <w:szCs w:val="20"/>
          <w:lang w:val="es-MX"/>
        </w:rPr>
      </w:pPr>
      <w:r w:rsidRPr="00B54634">
        <w:rPr>
          <w:rFonts w:ascii="Verdana" w:eastAsia="Calibri" w:hAnsi="Verdana" w:cs="Arial"/>
          <w:sz w:val="20"/>
          <w:szCs w:val="20"/>
          <w:lang w:val="es-MX"/>
        </w:rPr>
        <w:t>“Si Los plazos para llevar a cabo la liquidación del contrato son preclusivos, ¿Por qué la entidad estatal puede exigir al contratista la ampliación de la garantía por un termino superior al plazo pactado por las partes al momento de suscribir el contrato?</w:t>
      </w:r>
    </w:p>
    <w:p w14:paraId="7C0416F4" w14:textId="77777777" w:rsidR="0056484B" w:rsidRPr="00B54634" w:rsidRDefault="0056484B" w:rsidP="0056484B">
      <w:pPr>
        <w:tabs>
          <w:tab w:val="left" w:pos="709"/>
        </w:tabs>
        <w:spacing w:before="120" w:after="0" w:line="240" w:lineRule="auto"/>
        <w:ind w:left="709" w:right="709"/>
        <w:jc w:val="both"/>
        <w:rPr>
          <w:rFonts w:ascii="Verdana" w:eastAsia="Calibri" w:hAnsi="Verdana" w:cs="Arial"/>
          <w:sz w:val="20"/>
          <w:szCs w:val="20"/>
          <w:lang w:val="es-MX"/>
        </w:rPr>
      </w:pPr>
      <w:r w:rsidRPr="00B54634">
        <w:rPr>
          <w:rFonts w:ascii="Verdana" w:eastAsia="Calibri" w:hAnsi="Verdana" w:cs="Arial"/>
          <w:sz w:val="20"/>
          <w:szCs w:val="20"/>
          <w:lang w:val="es-MX"/>
        </w:rPr>
        <w:lastRenderedPageBreak/>
        <w:t>¿El Contratista tiene la obligación de incurrir en los costos adicionales de ampliación de la garantía, aún cuando la liquidación del contrato no se realizó dentro del termino acordado por ineficiencia de la Entidad Contratante?</w:t>
      </w:r>
    </w:p>
    <w:p w14:paraId="43F197AF" w14:textId="77777777" w:rsidR="0056484B" w:rsidRPr="00B54634" w:rsidRDefault="0056484B" w:rsidP="0056484B">
      <w:pPr>
        <w:tabs>
          <w:tab w:val="left" w:pos="709"/>
        </w:tabs>
        <w:spacing w:before="120" w:after="0" w:line="240" w:lineRule="auto"/>
        <w:ind w:left="709" w:right="709"/>
        <w:jc w:val="both"/>
        <w:rPr>
          <w:rFonts w:ascii="Verdana" w:eastAsia="Calibri" w:hAnsi="Verdana" w:cs="Arial"/>
          <w:sz w:val="20"/>
          <w:szCs w:val="20"/>
          <w:lang w:val="es-MX"/>
        </w:rPr>
      </w:pPr>
      <w:r w:rsidRPr="00B54634">
        <w:rPr>
          <w:rFonts w:ascii="Verdana" w:eastAsia="Calibri" w:hAnsi="Verdana" w:cs="Arial"/>
          <w:sz w:val="20"/>
          <w:szCs w:val="20"/>
          <w:lang w:val="es-MX"/>
        </w:rPr>
        <w:t>¿El Contratista tiene la obligación de incurrir en los costos adicionales de ampliación de la garantía, aún cuando la liquidación del contrato no se realizó dentro del termino acordado por ineficiencia de la Entidad Contratante?</w:t>
      </w:r>
    </w:p>
    <w:p w14:paraId="2654F6F5" w14:textId="77777777" w:rsidR="0056484B" w:rsidRPr="00B54634" w:rsidRDefault="0056484B" w:rsidP="0056484B">
      <w:pPr>
        <w:tabs>
          <w:tab w:val="left" w:pos="709"/>
        </w:tabs>
        <w:spacing w:before="120" w:after="0" w:line="240" w:lineRule="auto"/>
        <w:ind w:left="709" w:right="709"/>
        <w:jc w:val="both"/>
        <w:rPr>
          <w:rFonts w:ascii="Verdana" w:eastAsia="Calibri" w:hAnsi="Verdana" w:cs="Arial"/>
          <w:sz w:val="20"/>
          <w:szCs w:val="20"/>
          <w:lang w:val="es-MX"/>
        </w:rPr>
      </w:pPr>
      <w:r w:rsidRPr="00B54634">
        <w:rPr>
          <w:rFonts w:ascii="Verdana" w:eastAsia="Calibri" w:hAnsi="Verdana" w:cs="Arial"/>
          <w:sz w:val="20"/>
          <w:szCs w:val="20"/>
          <w:lang w:val="es-MX"/>
        </w:rPr>
        <w:t>¿Los funcionarios que incumplieron los términos pactados para la liquidación del contrato, pueden ser objeto de acciones disciplinarias?” [sic]</w:t>
      </w:r>
    </w:p>
    <w:p w14:paraId="2492DB70" w14:textId="77777777" w:rsidR="0056484B" w:rsidRPr="00B54634" w:rsidRDefault="0056484B" w:rsidP="0056484B">
      <w:pPr>
        <w:tabs>
          <w:tab w:val="left" w:pos="142"/>
          <w:tab w:val="left" w:pos="284"/>
        </w:tabs>
        <w:spacing w:line="276" w:lineRule="auto"/>
        <w:contextualSpacing/>
        <w:jc w:val="both"/>
        <w:rPr>
          <w:rFonts w:ascii="Verdana" w:eastAsia="Century Gothic" w:hAnsi="Verdana" w:cs="Century Gothic"/>
          <w:b/>
          <w:bCs/>
          <w:lang w:val="es-ES"/>
        </w:rPr>
      </w:pPr>
    </w:p>
    <w:p w14:paraId="30F927A3" w14:textId="77777777" w:rsidR="0056484B" w:rsidRPr="00B54634" w:rsidRDefault="0056484B" w:rsidP="0056484B">
      <w:pPr>
        <w:spacing w:after="120" w:line="276" w:lineRule="auto"/>
        <w:ind w:firstLine="709"/>
        <w:jc w:val="both"/>
        <w:rPr>
          <w:rFonts w:ascii="Verdana" w:eastAsia="Calibri" w:hAnsi="Verdana" w:cs="Arial"/>
          <w:szCs w:val="24"/>
          <w:lang w:val="es-ES_tradnl" w:eastAsia="es-ES_tradnl"/>
        </w:rPr>
      </w:pPr>
      <w:r w:rsidRPr="00B5463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54634">
        <w:rPr>
          <w:rFonts w:ascii="Verdana" w:eastAsia="Calibri" w:hAnsi="Verdana" w:cs="Arial"/>
          <w:szCs w:val="24"/>
          <w:lang w:val="es-ES_tradnl" w:eastAsia="es-ES_tradnl"/>
        </w:rPr>
        <w:tab/>
      </w:r>
    </w:p>
    <w:p w14:paraId="61726AC9" w14:textId="77777777" w:rsidR="0056484B" w:rsidRPr="00B54634" w:rsidRDefault="0056484B" w:rsidP="0056484B">
      <w:pPr>
        <w:spacing w:after="0" w:line="276" w:lineRule="auto"/>
        <w:ind w:firstLine="709"/>
        <w:jc w:val="both"/>
        <w:rPr>
          <w:rFonts w:ascii="Verdana" w:eastAsia="Calibri" w:hAnsi="Verdana" w:cs="Arial"/>
          <w:lang w:val="es-ES" w:eastAsia="es-ES"/>
        </w:rPr>
      </w:pPr>
      <w:r w:rsidRPr="00B54634">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7D77814D" w14:textId="77777777" w:rsidR="0056484B" w:rsidRPr="00B54634" w:rsidRDefault="0056484B" w:rsidP="0056484B">
      <w:pPr>
        <w:spacing w:after="0" w:line="276" w:lineRule="auto"/>
        <w:ind w:firstLine="709"/>
        <w:jc w:val="both"/>
        <w:rPr>
          <w:rFonts w:ascii="Verdana" w:eastAsia="Calibri" w:hAnsi="Verdana" w:cs="Arial"/>
          <w:lang w:val="es-ES" w:eastAsia="es-ES"/>
        </w:rPr>
      </w:pPr>
    </w:p>
    <w:p w14:paraId="6CA85078" w14:textId="77777777" w:rsidR="0056484B" w:rsidRPr="00B54634" w:rsidRDefault="0056484B" w:rsidP="0056484B">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B54634">
        <w:rPr>
          <w:rFonts w:ascii="Verdana" w:eastAsia="Arial" w:hAnsi="Verdana" w:cs="Arial"/>
          <w:b/>
          <w:bCs/>
          <w:lang w:val="es-ES"/>
        </w:rPr>
        <w:t>1. Problema planteado:</w:t>
      </w:r>
    </w:p>
    <w:p w14:paraId="10240235" w14:textId="77777777" w:rsidR="0056484B" w:rsidRPr="00B54634" w:rsidRDefault="0056484B" w:rsidP="0056484B">
      <w:pPr>
        <w:tabs>
          <w:tab w:val="left" w:pos="426"/>
        </w:tabs>
        <w:spacing w:after="0" w:line="276" w:lineRule="auto"/>
        <w:jc w:val="both"/>
        <w:rPr>
          <w:rFonts w:ascii="Verdana" w:eastAsia="Century Gothic" w:hAnsi="Verdana" w:cs="Century Gothic"/>
          <w:lang w:val="es-ES"/>
        </w:rPr>
      </w:pPr>
    </w:p>
    <w:p w14:paraId="50757369" w14:textId="77777777" w:rsidR="0056484B" w:rsidRPr="00B54634" w:rsidRDefault="0056484B" w:rsidP="0056484B">
      <w:pPr>
        <w:spacing w:after="0" w:line="276" w:lineRule="auto"/>
        <w:jc w:val="both"/>
        <w:rPr>
          <w:rFonts w:ascii="Verdana" w:eastAsia="Century Gothic" w:hAnsi="Verdana" w:cs="Century Gothic"/>
        </w:rPr>
      </w:pPr>
      <w:r w:rsidRPr="00B54634">
        <w:rPr>
          <w:rFonts w:ascii="Verdana" w:eastAsia="Century Gothic" w:hAnsi="Verdana" w:cs="Century Gothic"/>
        </w:rPr>
        <w:t>De acuerdo con el contenido de su solicitud, le informamos que la misma se resolverá desde el siguiente problema jurídico:</w:t>
      </w:r>
      <w:bookmarkStart w:id="1" w:name="_Hlk171070029"/>
      <w:r w:rsidRPr="00B54634">
        <w:rPr>
          <w:rFonts w:ascii="Verdana" w:eastAsia="Century Gothic" w:hAnsi="Verdana" w:cs="Century Gothic"/>
        </w:rPr>
        <w:t xml:space="preserve"> ¿La garantía de cumplimiento debe encontrarse vigente hasta la liquidación del contrato? </w:t>
      </w:r>
    </w:p>
    <w:p w14:paraId="44D959E9" w14:textId="77777777" w:rsidR="0056484B" w:rsidRPr="00B54634" w:rsidRDefault="0056484B" w:rsidP="0056484B">
      <w:pPr>
        <w:spacing w:after="0" w:line="276" w:lineRule="auto"/>
        <w:jc w:val="both"/>
        <w:rPr>
          <w:rFonts w:ascii="Verdana" w:eastAsia="Century Gothic" w:hAnsi="Verdana" w:cs="Century Gothic"/>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6484B" w:rsidRPr="00B54634" w14:paraId="3E527344" w14:textId="77777777" w:rsidTr="006D3B8D">
        <w:tc>
          <w:tcPr>
            <w:tcW w:w="8828" w:type="dxa"/>
          </w:tcPr>
          <w:p w14:paraId="615B2685" w14:textId="77777777" w:rsidR="0056484B" w:rsidRPr="00B54634" w:rsidRDefault="0056484B" w:rsidP="006D3B8D">
            <w:pPr>
              <w:spacing w:line="276" w:lineRule="auto"/>
              <w:jc w:val="both"/>
              <w:rPr>
                <w:rFonts w:ascii="Verdana" w:eastAsia="Century Gothic" w:hAnsi="Verdana" w:cs="Century Gothic"/>
              </w:rPr>
            </w:pPr>
            <w:bookmarkStart w:id="2" w:name="_Hlk171067516"/>
            <w:bookmarkEnd w:id="1"/>
            <w:r w:rsidRPr="00B54634">
              <w:rPr>
                <w:rFonts w:ascii="Verdana" w:eastAsia="Century Gothic" w:hAnsi="Verdana" w:cs="Century Gothic"/>
              </w:rPr>
              <w:lastRenderedPageBreak/>
              <w:t>De acuerdo con lo establecido en el artículo 2.2.1.2.3.1.12 del Decreto 1082 de 2015, la garantía de cumplimiento debe tener una vigencia mínima hasta la liquidación del contrato. En ese sentido, el amparo cubre tanto el plazo de ejecución como el plazo de vigencia del contrato. Al respecto la jurisprudencia define el plazo de ejecución como el establecido para la realización de las prestaciones contractuales y, de igual forma, considera que el plazo de vigencia de este no ha finalizado mientras subsista la obligación para las partes de liquidar el contrato.</w:t>
            </w:r>
          </w:p>
          <w:p w14:paraId="00E1A538" w14:textId="77777777" w:rsidR="0056484B" w:rsidRPr="00B54634" w:rsidRDefault="0056484B" w:rsidP="006D3B8D">
            <w:pPr>
              <w:spacing w:before="120" w:line="276" w:lineRule="auto"/>
              <w:jc w:val="both"/>
              <w:rPr>
                <w:rFonts w:ascii="Verdana" w:eastAsia="Century Gothic" w:hAnsi="Verdana" w:cs="Century Gothic"/>
              </w:rPr>
            </w:pPr>
            <w:r w:rsidRPr="00B54634">
              <w:rPr>
                <w:rFonts w:ascii="Verdana" w:eastAsia="Century Gothic" w:hAnsi="Verdana" w:cs="Century Gothic"/>
              </w:rPr>
              <w:tab/>
              <w:t>Así pues, la cobertura mínima del amparo de cumplimiento cubre el plazo de ejecución y el plazo de vigencia, el cual finaliza con la liquidación. Para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p>
          <w:p w14:paraId="6B8C1435" w14:textId="77777777" w:rsidR="0056484B" w:rsidRPr="00B54634" w:rsidRDefault="0056484B" w:rsidP="006D3B8D">
            <w:pPr>
              <w:spacing w:before="120" w:line="276" w:lineRule="auto"/>
              <w:ind w:firstLine="709"/>
              <w:jc w:val="both"/>
              <w:rPr>
                <w:rFonts w:ascii="Verdana" w:eastAsia="Century Gothic" w:hAnsi="Verdana" w:cs="Century Gothic"/>
              </w:rPr>
            </w:pPr>
            <w:r w:rsidRPr="00B54634">
              <w:rPr>
                <w:rFonts w:ascii="Verdana" w:eastAsia="Century Gothic" w:hAnsi="Verdana" w:cs="Century Gothic"/>
              </w:rPr>
              <w:t>En ese sentido, y de acuerdo con lo dispuesto en el artículo 11 de la Ley 1150 de 2007, se precisa que existen tres (3) tipos de liquidación: i) bilateral, ii) unilateral y iii)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p>
          <w:p w14:paraId="77F01E4D" w14:textId="77777777" w:rsidR="0056484B" w:rsidRPr="00B54634" w:rsidRDefault="0056484B" w:rsidP="006D3B8D">
            <w:pPr>
              <w:spacing w:before="120" w:line="276" w:lineRule="auto"/>
              <w:ind w:firstLine="708"/>
              <w:jc w:val="both"/>
              <w:rPr>
                <w:rFonts w:ascii="Verdana" w:eastAsia="Century Gothic" w:hAnsi="Verdana" w:cs="Century Gothic"/>
              </w:rPr>
            </w:pPr>
            <w:r w:rsidRPr="00B54634">
              <w:rPr>
                <w:rFonts w:ascii="Verdana" w:eastAsia="Century Gothic" w:hAnsi="Verdana" w:cs="Century Gothic"/>
              </w:rPr>
              <w:t xml:space="preserve">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w:t>
            </w:r>
          </w:p>
          <w:p w14:paraId="51C76EAD" w14:textId="77777777" w:rsidR="0056484B" w:rsidRPr="00B54634" w:rsidRDefault="0056484B" w:rsidP="006D3B8D">
            <w:pPr>
              <w:jc w:val="both"/>
              <w:rPr>
                <w:rFonts w:ascii="Aptos" w:eastAsia="Aptos" w:hAnsi="Aptos" w:cs="Arial"/>
              </w:rPr>
            </w:pPr>
          </w:p>
          <w:p w14:paraId="6AEDC2AE" w14:textId="77777777" w:rsidR="0056484B" w:rsidRPr="00B54634" w:rsidRDefault="0056484B" w:rsidP="006D3B8D">
            <w:pPr>
              <w:spacing w:line="276" w:lineRule="auto"/>
              <w:jc w:val="both"/>
              <w:rPr>
                <w:rFonts w:ascii="Verdana" w:eastAsia="Calibri" w:hAnsi="Verdana" w:cs="Arial"/>
                <w:lang w:eastAsia="es-ES_tradnl"/>
                <w14:ligatures w14:val="standardContextual"/>
              </w:rPr>
            </w:pPr>
            <w:r w:rsidRPr="00B54634">
              <w:rPr>
                <w:rFonts w:ascii="Verdana" w:eastAsia="Calibri" w:hAnsi="Verdana" w:cs="Arial"/>
                <w:lang w:eastAsia="es-ES_tradnl"/>
                <w14:ligatures w14:val="standardContextual"/>
              </w:rPr>
              <w:t>Dentro de este marco, los interesados adoptarán las medidas que estimen pertinentes respecto a la vigencia del amparo de cumplimiento después de que haya vencido el término para liquidar el contrato, pues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 Por lo demás, como la Agencia no es una instancia revisora de las entidades estatales ni tiene competencia para resolver temas litigiosos en materia contractual, no existe un registro estadístico de los casos solicitados ni de la forma en que fueron solucionados.</w:t>
            </w:r>
          </w:p>
        </w:tc>
      </w:tr>
      <w:bookmarkEnd w:id="2"/>
    </w:tbl>
    <w:p w14:paraId="7C1CBA76" w14:textId="77777777" w:rsidR="0056484B" w:rsidRPr="00B54634" w:rsidRDefault="0056484B" w:rsidP="0056484B">
      <w:pPr>
        <w:tabs>
          <w:tab w:val="left" w:pos="142"/>
          <w:tab w:val="left" w:pos="967"/>
        </w:tabs>
        <w:spacing w:after="0" w:line="276" w:lineRule="auto"/>
        <w:jc w:val="both"/>
        <w:rPr>
          <w:rFonts w:ascii="Verdana" w:eastAsia="Century Gothic" w:hAnsi="Verdana" w:cs="Times New Roman"/>
          <w:b/>
          <w:bCs/>
          <w:lang w:val="es-ES"/>
        </w:rPr>
      </w:pPr>
    </w:p>
    <w:p w14:paraId="752A3AFF" w14:textId="77777777" w:rsidR="0056484B" w:rsidRPr="00B54634" w:rsidRDefault="0056484B" w:rsidP="0056484B">
      <w:pPr>
        <w:widowControl w:val="0"/>
        <w:autoSpaceDE w:val="0"/>
        <w:autoSpaceDN w:val="0"/>
        <w:spacing w:before="1" w:after="0" w:line="240" w:lineRule="auto"/>
        <w:ind w:left="360" w:hanging="360"/>
        <w:outlineLvl w:val="0"/>
        <w:rPr>
          <w:rFonts w:ascii="Verdana" w:eastAsia="Arial" w:hAnsi="Verdana" w:cs="Arial"/>
          <w:b/>
          <w:bCs/>
          <w:lang w:val="es-ES"/>
        </w:rPr>
      </w:pPr>
      <w:r w:rsidRPr="00B54634">
        <w:rPr>
          <w:rFonts w:ascii="Verdana" w:eastAsia="Arial" w:hAnsi="Verdana" w:cs="Arial"/>
          <w:b/>
          <w:bCs/>
          <w:lang w:val="es-ES"/>
        </w:rPr>
        <w:t>3. Razones de la respuesta</w:t>
      </w:r>
    </w:p>
    <w:p w14:paraId="70264BD5" w14:textId="77777777" w:rsidR="0056484B" w:rsidRPr="00B54634" w:rsidRDefault="0056484B" w:rsidP="0056484B">
      <w:pPr>
        <w:spacing w:after="0" w:line="276" w:lineRule="auto"/>
        <w:jc w:val="both"/>
        <w:rPr>
          <w:rFonts w:ascii="Verdana" w:eastAsia="Calibri" w:hAnsi="Verdana" w:cs="Arial"/>
          <w:lang w:val="es-ES"/>
        </w:rPr>
      </w:pPr>
    </w:p>
    <w:p w14:paraId="08382CAF" w14:textId="77777777" w:rsidR="0056484B" w:rsidRPr="00B54634" w:rsidRDefault="0056484B" w:rsidP="0056484B">
      <w:pPr>
        <w:spacing w:after="0" w:line="276" w:lineRule="auto"/>
        <w:jc w:val="both"/>
        <w:rPr>
          <w:rFonts w:ascii="Verdana" w:eastAsia="Calibri" w:hAnsi="Verdana" w:cs="Arial"/>
          <w:lang w:val="es-ES"/>
        </w:rPr>
      </w:pPr>
      <w:r w:rsidRPr="00B54634">
        <w:rPr>
          <w:rFonts w:ascii="Verdana" w:eastAsia="Calibri" w:hAnsi="Verdana" w:cs="Arial"/>
          <w:lang w:val="es-ES"/>
        </w:rPr>
        <w:t xml:space="preserve">La respuesta anterior se sustenta en las siguientes consideraciones: </w:t>
      </w:r>
    </w:p>
    <w:p w14:paraId="6E16E441" w14:textId="77777777" w:rsidR="0056484B" w:rsidRPr="00B54634" w:rsidRDefault="0056484B" w:rsidP="0056484B">
      <w:pPr>
        <w:spacing w:after="0" w:line="276" w:lineRule="auto"/>
        <w:jc w:val="both"/>
        <w:rPr>
          <w:rFonts w:ascii="Verdana" w:eastAsia="Calibri" w:hAnsi="Verdana" w:cs="Arial"/>
          <w:lang w:val="es-ES"/>
        </w:rPr>
      </w:pPr>
    </w:p>
    <w:p w14:paraId="7F3F71AB" w14:textId="77777777" w:rsidR="0056484B" w:rsidRPr="00B54634" w:rsidRDefault="0056484B" w:rsidP="0056484B">
      <w:pPr>
        <w:spacing w:after="120" w:line="276" w:lineRule="auto"/>
        <w:jc w:val="both"/>
        <w:rPr>
          <w:rFonts w:ascii="Verdana" w:eastAsia="Calibri" w:hAnsi="Verdana" w:cs="Arial"/>
          <w:lang w:val="es-ES_tradnl"/>
        </w:rPr>
      </w:pPr>
      <w:r w:rsidRPr="00B54634">
        <w:rPr>
          <w:rFonts w:ascii="Verdana" w:eastAsia="Calibri" w:hAnsi="Verdana" w:cs="Arial"/>
          <w:lang w:val="es-ES"/>
        </w:rPr>
        <w:t xml:space="preserve">Inicialmente debe precisarse que, el Estatuto General de Contratación de la Administración Pública, exige por regla general, </w:t>
      </w:r>
      <w:r w:rsidRPr="00B54634">
        <w:rPr>
          <w:rFonts w:ascii="Verdana" w:eastAsia="Calibri" w:hAnsi="Verdana" w:cs="Arial"/>
          <w:lang w:val="es-ES_tradnl"/>
        </w:rPr>
        <w:t xml:space="preserve">en los procesos de contratación pública </w:t>
      </w:r>
      <w:r w:rsidRPr="00B54634">
        <w:rPr>
          <w:rFonts w:ascii="Verdana" w:eastAsia="Calibri" w:hAnsi="Verdana" w:cs="Arial"/>
          <w:lang w:val="es-ES"/>
        </w:rPr>
        <w:t>la constitución de garantías ya sea en la etapa precontractual, contractual o postcontractual, con el fin de evitar o mitigar posibles riesgos</w:t>
      </w:r>
      <w:r w:rsidRPr="00B54634">
        <w:rPr>
          <w:rFonts w:ascii="Verdana" w:eastAsia="Calibri" w:hAnsi="Verdana" w:cs="Arial"/>
          <w:lang w:val="es-ES_tradnl"/>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La precitada norma dispone:</w:t>
      </w:r>
    </w:p>
    <w:p w14:paraId="3FF8A83B" w14:textId="77777777" w:rsidR="0056484B" w:rsidRPr="00B54634" w:rsidRDefault="0056484B" w:rsidP="0056484B">
      <w:pPr>
        <w:spacing w:after="0" w:line="240" w:lineRule="auto"/>
        <w:ind w:left="709" w:right="709"/>
        <w:jc w:val="both"/>
        <w:rPr>
          <w:rFonts w:ascii="Verdana" w:eastAsia="Calibri" w:hAnsi="Verdana" w:cs="Arial"/>
          <w:sz w:val="20"/>
          <w:szCs w:val="20"/>
          <w:lang w:val="es-ES_tradnl"/>
        </w:rPr>
      </w:pPr>
    </w:p>
    <w:p w14:paraId="415AA3B2" w14:textId="77777777" w:rsidR="0056484B" w:rsidRPr="00B54634" w:rsidRDefault="0056484B" w:rsidP="0056484B">
      <w:pPr>
        <w:spacing w:after="0" w:line="240" w:lineRule="auto"/>
        <w:ind w:left="709" w:right="709"/>
        <w:jc w:val="both"/>
        <w:rPr>
          <w:rFonts w:ascii="Verdana" w:eastAsia="Calibri" w:hAnsi="Verdana" w:cs="Arial"/>
          <w:sz w:val="20"/>
          <w:szCs w:val="20"/>
          <w:lang w:val="es-ES_tradnl"/>
        </w:rPr>
      </w:pPr>
      <w:r w:rsidRPr="00B54634">
        <w:rPr>
          <w:rFonts w:ascii="Verdana" w:eastAsia="Calibri" w:hAnsi="Verdana" w:cs="Arial"/>
          <w:sz w:val="20"/>
          <w:szCs w:val="20"/>
          <w:lang w:val="es-ES_tradnl"/>
        </w:rPr>
        <w:t xml:space="preserve">“Los contratistas prestarán garantía única para el cumplimiento de las obligaciones surgidas del contrato. Los proponentes prestarán garantía de seriedad de los ofrecimientos hechos. </w:t>
      </w:r>
    </w:p>
    <w:p w14:paraId="4D46A959" w14:textId="77777777" w:rsidR="0056484B" w:rsidRPr="00B54634" w:rsidRDefault="0056484B" w:rsidP="0056484B">
      <w:pPr>
        <w:spacing w:after="0" w:line="240" w:lineRule="auto"/>
        <w:ind w:left="709" w:right="709"/>
        <w:jc w:val="both"/>
        <w:rPr>
          <w:rFonts w:ascii="Verdana" w:eastAsia="Calibri" w:hAnsi="Verdana" w:cs="Arial"/>
          <w:sz w:val="20"/>
          <w:szCs w:val="20"/>
          <w:lang w:val="es-ES_tradnl"/>
        </w:rPr>
      </w:pPr>
    </w:p>
    <w:p w14:paraId="2ADB9253" w14:textId="77777777" w:rsidR="0056484B" w:rsidRPr="00B54634" w:rsidRDefault="0056484B" w:rsidP="0056484B">
      <w:pPr>
        <w:spacing w:after="0" w:line="240" w:lineRule="auto"/>
        <w:ind w:left="709" w:right="709"/>
        <w:jc w:val="both"/>
        <w:rPr>
          <w:rFonts w:ascii="Verdana" w:eastAsia="Calibri" w:hAnsi="Verdana" w:cs="Arial"/>
          <w:sz w:val="20"/>
          <w:szCs w:val="20"/>
          <w:lang w:val="es-ES_tradnl"/>
        </w:rPr>
      </w:pPr>
      <w:r w:rsidRPr="00B54634">
        <w:rPr>
          <w:rFonts w:ascii="Verdana" w:eastAsia="Calibri" w:hAnsi="Verdana" w:cs="Arial"/>
          <w:i/>
          <w:iCs/>
          <w:sz w:val="20"/>
          <w:szCs w:val="20"/>
          <w:lang w:val="es-ES_tradnl"/>
        </w:rPr>
        <w:t xml:space="preserve">Las garantías consistirán en pólizas expedidas por compañías de seguros legalmente autorizadas para funcionar en Colombia, en garantías bancarias y en general, en los demás mecanismos de cobertura del riesgo </w:t>
      </w:r>
      <w:r w:rsidRPr="00B54634">
        <w:rPr>
          <w:rFonts w:ascii="Verdana" w:eastAsia="Calibri" w:hAnsi="Verdana" w:cs="Arial"/>
          <w:i/>
          <w:iCs/>
          <w:sz w:val="20"/>
          <w:szCs w:val="20"/>
          <w:lang w:val="es-ES_tradnl"/>
        </w:rPr>
        <w:lastRenderedPageBreak/>
        <w:t>autorizados por el reglamento para el efecto.</w:t>
      </w:r>
      <w:r w:rsidRPr="00B54634">
        <w:rPr>
          <w:rFonts w:ascii="Verdana" w:eastAsia="Calibri" w:hAnsi="Verdana" w:cs="Arial"/>
          <w:sz w:val="20"/>
          <w:szCs w:val="20"/>
          <w:lang w:val="es-ES_tradnl"/>
        </w:rPr>
        <w:t xml:space="preserve"> Tratándose de pólizas, las mismas no expirarán por falta de pago de la prima o por revocatoria unilateral. El Gobierno Nacional señalará las condiciones generales que deberán ser incluidas en las pólizas de cumplimiento de los contratos estatales.</w:t>
      </w:r>
    </w:p>
    <w:p w14:paraId="44894F92" w14:textId="77777777" w:rsidR="0056484B" w:rsidRPr="00B54634" w:rsidRDefault="0056484B" w:rsidP="0056484B">
      <w:pPr>
        <w:spacing w:after="0" w:line="240" w:lineRule="auto"/>
        <w:ind w:left="709" w:right="709"/>
        <w:jc w:val="both"/>
        <w:rPr>
          <w:rFonts w:ascii="Verdana" w:eastAsia="Calibri" w:hAnsi="Verdana" w:cs="Arial"/>
          <w:sz w:val="20"/>
          <w:szCs w:val="20"/>
          <w:lang w:val="es-ES_tradnl"/>
        </w:rPr>
      </w:pPr>
    </w:p>
    <w:p w14:paraId="62BE7093" w14:textId="77777777" w:rsidR="0056484B" w:rsidRPr="00B54634" w:rsidRDefault="0056484B" w:rsidP="0056484B">
      <w:pPr>
        <w:spacing w:after="0" w:line="240" w:lineRule="auto"/>
        <w:ind w:left="709" w:right="709"/>
        <w:jc w:val="both"/>
        <w:rPr>
          <w:rFonts w:ascii="Verdana" w:eastAsia="Calibri" w:hAnsi="Verdana" w:cs="Arial"/>
          <w:sz w:val="20"/>
          <w:szCs w:val="20"/>
          <w:lang w:val="es-ES"/>
        </w:rPr>
      </w:pPr>
      <w:r w:rsidRPr="00B54634">
        <w:rPr>
          <w:rFonts w:ascii="Verdana" w:eastAsia="Calibri" w:hAnsi="Verdana" w:cs="Arial"/>
          <w:sz w:val="20"/>
          <w:szCs w:val="20"/>
          <w:lang w:val="es-ES"/>
        </w:rPr>
        <w:t xml:space="preserve">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3EF19DC1" w14:textId="77777777" w:rsidR="0056484B" w:rsidRPr="00B54634" w:rsidRDefault="0056484B" w:rsidP="0056484B">
      <w:pPr>
        <w:spacing w:after="0" w:line="240" w:lineRule="auto"/>
        <w:ind w:left="709" w:right="709"/>
        <w:jc w:val="both"/>
        <w:rPr>
          <w:rFonts w:ascii="Verdana" w:eastAsia="Calibri" w:hAnsi="Verdana" w:cs="Arial"/>
          <w:sz w:val="20"/>
          <w:szCs w:val="20"/>
          <w:lang w:val="es-ES_tradnl"/>
        </w:rPr>
      </w:pPr>
    </w:p>
    <w:p w14:paraId="563DD399" w14:textId="77777777" w:rsidR="0056484B" w:rsidRPr="00B54634" w:rsidRDefault="0056484B" w:rsidP="0056484B">
      <w:pPr>
        <w:spacing w:after="0" w:line="240" w:lineRule="auto"/>
        <w:ind w:left="709" w:right="709"/>
        <w:jc w:val="both"/>
        <w:rPr>
          <w:rFonts w:ascii="Verdana" w:eastAsia="Calibri" w:hAnsi="Verdana" w:cs="Arial"/>
          <w:sz w:val="20"/>
          <w:szCs w:val="20"/>
          <w:lang w:val="es-ES_tradnl"/>
        </w:rPr>
      </w:pPr>
      <w:r w:rsidRPr="00B54634">
        <w:rPr>
          <w:rFonts w:ascii="Verdana" w:eastAsia="Calibri" w:hAnsi="Verdana" w:cs="Arial"/>
          <w:sz w:val="20"/>
          <w:szCs w:val="20"/>
          <w:lang w:val="es-ES_tradnl"/>
        </w:rPr>
        <w:t>El acaecimiento del siniestro que amparan las garantías será comunicado por la entidad pública al respectivo asegurador mediante la notificación del acto administrativo que así lo declare.</w:t>
      </w:r>
    </w:p>
    <w:p w14:paraId="1CEB704C" w14:textId="77777777" w:rsidR="0056484B" w:rsidRPr="00B54634" w:rsidRDefault="0056484B" w:rsidP="0056484B">
      <w:pPr>
        <w:spacing w:after="0" w:line="240" w:lineRule="auto"/>
        <w:ind w:left="709" w:right="709"/>
        <w:jc w:val="both"/>
        <w:rPr>
          <w:rFonts w:ascii="Verdana" w:eastAsia="Calibri" w:hAnsi="Verdana" w:cs="Arial"/>
          <w:sz w:val="20"/>
          <w:szCs w:val="20"/>
          <w:lang w:val="es-ES_tradnl"/>
        </w:rPr>
      </w:pPr>
      <w:r w:rsidRPr="00B54634">
        <w:rPr>
          <w:rFonts w:ascii="Verdana" w:eastAsia="Calibri" w:hAnsi="Verdana" w:cs="Arial"/>
          <w:sz w:val="20"/>
          <w:szCs w:val="20"/>
          <w:lang w:val="es-ES_tradnl"/>
        </w:rPr>
        <w:t xml:space="preserve"> </w:t>
      </w:r>
    </w:p>
    <w:p w14:paraId="0F3FD3AD" w14:textId="77777777" w:rsidR="0056484B" w:rsidRPr="00B54634" w:rsidRDefault="0056484B" w:rsidP="0056484B">
      <w:pPr>
        <w:spacing w:after="0" w:line="240" w:lineRule="auto"/>
        <w:ind w:left="709" w:right="709"/>
        <w:jc w:val="both"/>
        <w:rPr>
          <w:rFonts w:ascii="Verdana" w:eastAsia="Calibri" w:hAnsi="Verdana" w:cs="Arial"/>
          <w:sz w:val="20"/>
          <w:szCs w:val="20"/>
          <w:lang w:val="es-ES_tradnl"/>
        </w:rPr>
      </w:pPr>
      <w:r w:rsidRPr="00B54634">
        <w:rPr>
          <w:rFonts w:ascii="Verdana" w:eastAsia="Calibri" w:hAnsi="Verdana" w:cs="Arial"/>
          <w:sz w:val="20"/>
          <w:szCs w:val="20"/>
          <w:lang w:val="es-ES_tradnl"/>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 [Énfasis fuera de texto]</w:t>
      </w:r>
    </w:p>
    <w:p w14:paraId="1EA852F1" w14:textId="77777777" w:rsidR="0056484B" w:rsidRPr="00B54634" w:rsidRDefault="0056484B" w:rsidP="0056484B">
      <w:pPr>
        <w:spacing w:after="0" w:line="276" w:lineRule="auto"/>
        <w:jc w:val="both"/>
        <w:rPr>
          <w:rFonts w:ascii="Verdana" w:eastAsia="Calibri" w:hAnsi="Verdana" w:cs="Arial"/>
          <w:lang w:val="es-ES"/>
        </w:rPr>
      </w:pPr>
    </w:p>
    <w:p w14:paraId="3A8298C8" w14:textId="77777777" w:rsidR="0056484B" w:rsidRPr="00B54634" w:rsidRDefault="0056484B" w:rsidP="0056484B">
      <w:pPr>
        <w:spacing w:after="120" w:line="276" w:lineRule="auto"/>
        <w:ind w:firstLine="709"/>
        <w:jc w:val="both"/>
        <w:rPr>
          <w:rFonts w:ascii="Verdana" w:eastAsia="Calibri" w:hAnsi="Verdana" w:cs="Arial"/>
          <w:color w:val="000000"/>
          <w:lang w:val="es-ES_tradnl"/>
        </w:rPr>
      </w:pPr>
      <w:r w:rsidRPr="00B54634">
        <w:rPr>
          <w:rFonts w:ascii="Verdana" w:eastAsia="Calibri" w:hAnsi="Verdana" w:cs="Arial"/>
          <w:color w:val="000000"/>
          <w:lang w:val="es-ES_tradnl"/>
        </w:rPr>
        <w:t xml:space="preserve">Las condiciones para el cumplimiento de estas obligaciones fueron reglamentadas por el Decreto 1082 de 2015, el cual prescribe en los artículos 2.2.1.2.3.1.1. a 2.2.1.2.3.1.19 las clases de garantías permitidas; la indivisibilidad, por regla general, de las mismas; los riesgos objeto de cobertura; la vigencia y valores mínimos, entre otros aspectos que deben cumplir las garantías constituidas, ya sea mediante pólizas de seguro, garantías bancarias o patrimonios autónomos. Este último tipo de garantía fue establecida por el reglamento, previa autorización del artículo 7° de la Ley 1150 de 2007. </w:t>
      </w:r>
    </w:p>
    <w:p w14:paraId="3F2BF118" w14:textId="77777777" w:rsidR="0056484B" w:rsidRPr="00B54634" w:rsidRDefault="0056484B" w:rsidP="0056484B">
      <w:pPr>
        <w:spacing w:after="0" w:line="276" w:lineRule="auto"/>
        <w:ind w:firstLine="709"/>
        <w:jc w:val="both"/>
        <w:rPr>
          <w:rFonts w:ascii="Verdana" w:eastAsia="Calibri" w:hAnsi="Verdana" w:cs="Arial"/>
          <w:color w:val="000000"/>
        </w:rPr>
      </w:pPr>
      <w:r w:rsidRPr="00B54634">
        <w:rPr>
          <w:rFonts w:ascii="Verdana" w:eastAsia="Calibri" w:hAnsi="Verdana" w:cs="Arial"/>
          <w:color w:val="000000"/>
          <w:lang w:val="es-ES_tradnl"/>
        </w:rPr>
        <w:t>De acuerdo a lo expresado anteriormente, l</w:t>
      </w:r>
      <w:r w:rsidRPr="00B54634">
        <w:rPr>
          <w:rFonts w:ascii="Verdana" w:eastAsia="Calibri" w:hAnsi="Verdana" w:cs="Arial"/>
          <w:color w:val="000000"/>
        </w:rPr>
        <w:t xml:space="preserve">os proponentes o contratistas, para garantizar el cumplimiento de sus obligaciones frente a entidades estatales en materia contractual, pueden otorgar, las garantías mediante los siguientes mecanismos de cobertura de los riesgos: i) contratos de seguro, que por su esencia, es el medio más usado para amparar los riesgos contractuales; ii)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w:t>
      </w:r>
      <w:r w:rsidRPr="00B54634">
        <w:rPr>
          <w:rFonts w:ascii="Verdana" w:eastAsia="Calibri" w:hAnsi="Verdana" w:cs="Arial"/>
          <w:color w:val="000000"/>
        </w:rPr>
        <w:lastRenderedPageBreak/>
        <w:t>las obligaciones del oferente o contratista con la entidad estatal beneficiaria</w:t>
      </w:r>
      <w:r w:rsidRPr="00B54634">
        <w:rPr>
          <w:rFonts w:ascii="Verdana" w:eastAsia="Calibri" w:hAnsi="Verdana" w:cs="Arial"/>
          <w:color w:val="000000"/>
          <w:vertAlign w:val="superscript"/>
        </w:rPr>
        <w:footnoteReference w:id="1"/>
      </w:r>
      <w:r w:rsidRPr="00B54634">
        <w:rPr>
          <w:rFonts w:ascii="Verdana" w:eastAsia="Calibri" w:hAnsi="Verdana" w:cs="Arial"/>
          <w:color w:val="000000"/>
        </w:rPr>
        <w:t xml:space="preserve">;  iii) garantías bancarias o cartas de crédito </w:t>
      </w:r>
      <w:r w:rsidRPr="00B54634">
        <w:rPr>
          <w:rFonts w:ascii="Verdana" w:eastAsia="Calibri" w:hAnsi="Verdana" w:cs="Arial"/>
          <w:i/>
          <w:iCs/>
          <w:color w:val="000000"/>
        </w:rPr>
        <w:t>stand</w:t>
      </w:r>
      <w:r w:rsidRPr="00B54634">
        <w:rPr>
          <w:rFonts w:ascii="Verdana" w:eastAsia="Calibri" w:hAnsi="Verdana" w:cs="Arial"/>
          <w:color w:val="000000"/>
        </w:rPr>
        <w:t xml:space="preserve"> </w:t>
      </w:r>
      <w:r w:rsidRPr="00B54634">
        <w:rPr>
          <w:rFonts w:ascii="Verdana" w:eastAsia="Calibri" w:hAnsi="Verdana" w:cs="Arial"/>
          <w:i/>
          <w:iCs/>
          <w:color w:val="000000"/>
        </w:rPr>
        <w:t>by</w:t>
      </w:r>
      <w:r w:rsidRPr="00B54634">
        <w:rPr>
          <w:rFonts w:ascii="Verdana" w:eastAsia="Calibri" w:hAnsi="Verdana" w:cs="Arial"/>
          <w:color w:val="000000"/>
        </w:rPr>
        <w:t>, que consisten en compromisos irrevocables o incondicionales asumidos por una entidad financiera de pagar una suma determinada de dinero</w:t>
      </w:r>
      <w:r w:rsidRPr="00B54634">
        <w:rPr>
          <w:rFonts w:ascii="Verdana" w:eastAsia="Calibri" w:hAnsi="Verdana" w:cs="Arial"/>
          <w:color w:val="000000"/>
          <w:vertAlign w:val="superscript"/>
        </w:rPr>
        <w:footnoteReference w:id="2"/>
      </w:r>
      <w:r w:rsidRPr="00B54634">
        <w:rPr>
          <w:rFonts w:ascii="Verdana" w:eastAsia="Calibri" w:hAnsi="Verdana" w:cs="Arial"/>
          <w:color w:val="000000"/>
        </w:rPr>
        <w:t xml:space="preserve">. La suficiencia y la vigencia de las garantías deben ser las reguladas en los artículos 2.2.1.2.3.1.9 a 2.2.1.2.3.1.16 del Decreto 1082 de 2015. </w:t>
      </w:r>
    </w:p>
    <w:p w14:paraId="13CD07A7" w14:textId="77777777" w:rsidR="0056484B" w:rsidRPr="00B54634" w:rsidRDefault="0056484B" w:rsidP="0056484B">
      <w:pPr>
        <w:spacing w:before="120" w:after="0" w:line="276" w:lineRule="auto"/>
        <w:ind w:firstLine="709"/>
        <w:jc w:val="both"/>
        <w:rPr>
          <w:rFonts w:ascii="Verdana" w:eastAsia="Calibri" w:hAnsi="Verdana" w:cs="Times New Roman"/>
          <w:spacing w:val="-2"/>
        </w:rPr>
      </w:pPr>
      <w:r w:rsidRPr="00B54634">
        <w:rPr>
          <w:rFonts w:ascii="Verdana" w:eastAsia="Calibri" w:hAnsi="Verdana" w:cs="Arial"/>
          <w:color w:val="000000"/>
        </w:rPr>
        <w:t>En ese sentido, y por resultar relevante al objeto consultado, se aclara que de acuerdo con lo establecido en el artículo 2.2.1.2.3.1.12 ibidem, regula la suficiencia de la garantía de cumplimiento, la garantía de cumplimiento debe tener una vigencia mínima hasta la liquidación del contrato. En ese sentido, el amparo cubre tanto el plazo de ejecución como el plazo de vigencia del contrato. Al respecto la jurisprudencia define el plazo de ejecución como el establecido para la realización de las prestaciones contractuales y, de igual forma, considera que el plazo de vigencia de este no ha finalizado mientras subsista la obligación para las partes de liquidar el contrato</w:t>
      </w:r>
      <w:r w:rsidRPr="00B54634">
        <w:rPr>
          <w:rFonts w:ascii="Verdana" w:eastAsia="Calibri" w:hAnsi="Verdana" w:cs="Times New Roman"/>
          <w:vertAlign w:val="superscript"/>
        </w:rPr>
        <w:footnoteReference w:id="3"/>
      </w:r>
      <w:r w:rsidRPr="00B54634">
        <w:rPr>
          <w:rFonts w:ascii="Verdana" w:eastAsia="Calibri" w:hAnsi="Verdana" w:cs="Times New Roman"/>
        </w:rPr>
        <w:t>.</w:t>
      </w:r>
      <w:r w:rsidRPr="00B54634">
        <w:rPr>
          <w:rFonts w:ascii="Verdana" w:eastAsia="Calibri" w:hAnsi="Verdana" w:cs="Times New Roman"/>
          <w:spacing w:val="-2"/>
        </w:rPr>
        <w:t xml:space="preserve"> </w:t>
      </w:r>
    </w:p>
    <w:p w14:paraId="3BAB54A8" w14:textId="77777777" w:rsidR="0056484B" w:rsidRPr="00B54634" w:rsidRDefault="0056484B" w:rsidP="0056484B">
      <w:pPr>
        <w:spacing w:before="120" w:after="0" w:line="276" w:lineRule="auto"/>
        <w:ind w:firstLine="709"/>
        <w:jc w:val="both"/>
        <w:rPr>
          <w:rFonts w:ascii="Verdana" w:eastAsia="Calibri" w:hAnsi="Verdana" w:cs="Times New Roman"/>
          <w:spacing w:val="-2"/>
        </w:rPr>
      </w:pPr>
      <w:r w:rsidRPr="00B54634">
        <w:rPr>
          <w:rFonts w:ascii="Verdana" w:eastAsia="Calibri" w:hAnsi="Verdana" w:cs="Times New Roman"/>
        </w:rPr>
        <w:t>Conforme la</w:t>
      </w:r>
      <w:r w:rsidRPr="00B54634">
        <w:rPr>
          <w:rFonts w:ascii="Verdana" w:eastAsia="Calibri" w:hAnsi="Verdana" w:cs="Times New Roman"/>
          <w:spacing w:val="-2"/>
        </w:rPr>
        <w:t xml:space="preserve"> </w:t>
      </w:r>
      <w:r w:rsidRPr="00B54634">
        <w:rPr>
          <w:rFonts w:ascii="Verdana" w:eastAsia="Calibri" w:hAnsi="Verdana" w:cs="Times New Roman"/>
        </w:rPr>
        <w:t>norma</w:t>
      </w:r>
      <w:r w:rsidRPr="00B54634">
        <w:rPr>
          <w:rFonts w:ascii="Verdana" w:eastAsia="Calibri" w:hAnsi="Verdana" w:cs="Times New Roman"/>
          <w:spacing w:val="-1"/>
        </w:rPr>
        <w:t xml:space="preserve"> </w:t>
      </w:r>
      <w:r w:rsidRPr="00B54634">
        <w:rPr>
          <w:rFonts w:ascii="Verdana" w:eastAsia="Calibri" w:hAnsi="Verdana" w:cs="Times New Roman"/>
        </w:rPr>
        <w:t>citada, el</w:t>
      </w:r>
      <w:r w:rsidRPr="00B54634">
        <w:rPr>
          <w:rFonts w:ascii="Verdana" w:eastAsia="Calibri" w:hAnsi="Verdana" w:cs="Times New Roman"/>
          <w:spacing w:val="-2"/>
        </w:rPr>
        <w:t xml:space="preserve"> </w:t>
      </w:r>
      <w:r w:rsidRPr="00B54634">
        <w:rPr>
          <w:rFonts w:ascii="Verdana" w:eastAsia="Calibri" w:hAnsi="Verdana" w:cs="Times New Roman"/>
        </w:rPr>
        <w:t>amparo cubre</w:t>
      </w:r>
      <w:r w:rsidRPr="00B54634">
        <w:rPr>
          <w:rFonts w:ascii="Verdana" w:eastAsia="Calibri" w:hAnsi="Verdana" w:cs="Times New Roman"/>
          <w:spacing w:val="-1"/>
        </w:rPr>
        <w:t xml:space="preserve"> </w:t>
      </w:r>
      <w:r w:rsidRPr="00B54634">
        <w:rPr>
          <w:rFonts w:ascii="Verdana" w:eastAsia="Calibri" w:hAnsi="Verdana" w:cs="Times New Roman"/>
        </w:rPr>
        <w:t>tanto</w:t>
      </w:r>
      <w:r w:rsidRPr="00B54634">
        <w:rPr>
          <w:rFonts w:ascii="Verdana" w:eastAsia="Calibri" w:hAnsi="Verdana" w:cs="Times New Roman"/>
          <w:spacing w:val="-1"/>
        </w:rPr>
        <w:t xml:space="preserve"> </w:t>
      </w:r>
      <w:r w:rsidRPr="00B54634">
        <w:rPr>
          <w:rFonts w:ascii="Verdana" w:eastAsia="Calibri" w:hAnsi="Verdana" w:cs="Times New Roman"/>
        </w:rPr>
        <w:t>el</w:t>
      </w:r>
      <w:r w:rsidRPr="00B54634">
        <w:rPr>
          <w:rFonts w:ascii="Verdana" w:eastAsia="Calibri" w:hAnsi="Verdana" w:cs="Times New Roman"/>
          <w:spacing w:val="-2"/>
        </w:rPr>
        <w:t xml:space="preserve"> </w:t>
      </w:r>
      <w:r w:rsidRPr="00B54634">
        <w:rPr>
          <w:rFonts w:ascii="Verdana" w:eastAsia="Calibri" w:hAnsi="Verdana" w:cs="Times New Roman"/>
          <w:i/>
        </w:rPr>
        <w:t>plazo</w:t>
      </w:r>
      <w:r w:rsidRPr="00B54634">
        <w:rPr>
          <w:rFonts w:ascii="Verdana" w:eastAsia="Calibri" w:hAnsi="Verdana" w:cs="Times New Roman"/>
          <w:i/>
          <w:spacing w:val="-1"/>
        </w:rPr>
        <w:t xml:space="preserve"> </w:t>
      </w:r>
      <w:r w:rsidRPr="00B54634">
        <w:rPr>
          <w:rFonts w:ascii="Verdana" w:eastAsia="Calibri" w:hAnsi="Verdana" w:cs="Times New Roman"/>
          <w:i/>
        </w:rPr>
        <w:t xml:space="preserve">de ejecución </w:t>
      </w:r>
      <w:r w:rsidRPr="00B54634">
        <w:rPr>
          <w:rFonts w:ascii="Verdana" w:eastAsia="Calibri" w:hAnsi="Verdana" w:cs="Times New Roman"/>
        </w:rPr>
        <w:t xml:space="preserve">como el </w:t>
      </w:r>
      <w:r w:rsidRPr="00B54634">
        <w:rPr>
          <w:rFonts w:ascii="Verdana" w:eastAsia="Calibri" w:hAnsi="Verdana" w:cs="Times New Roman"/>
          <w:i/>
        </w:rPr>
        <w:t xml:space="preserve">plazo de vigencia </w:t>
      </w:r>
      <w:r w:rsidRPr="00B54634">
        <w:rPr>
          <w:rFonts w:ascii="Verdana" w:eastAsia="Calibri" w:hAnsi="Verdana" w:cs="Times New Roman"/>
        </w:rPr>
        <w:t xml:space="preserve">del contrato. Al respecto, la jurisprudencia define el </w:t>
      </w:r>
      <w:r w:rsidRPr="00B54634">
        <w:rPr>
          <w:rFonts w:ascii="Verdana" w:eastAsia="Calibri" w:hAnsi="Verdana" w:cs="Times New Roman"/>
          <w:i/>
        </w:rPr>
        <w:t xml:space="preserve">plazo de ejecución </w:t>
      </w:r>
      <w:r w:rsidRPr="00B54634">
        <w:rPr>
          <w:rFonts w:ascii="Verdana" w:eastAsia="Calibri" w:hAnsi="Verdana" w:cs="Times New Roman"/>
        </w:rPr>
        <w:t>como el establecido para la realización</w:t>
      </w:r>
      <w:r w:rsidRPr="00B54634">
        <w:rPr>
          <w:rFonts w:ascii="Verdana" w:eastAsia="Calibri" w:hAnsi="Verdana" w:cs="Times New Roman"/>
          <w:spacing w:val="-1"/>
        </w:rPr>
        <w:t xml:space="preserve"> </w:t>
      </w:r>
      <w:r w:rsidRPr="00B54634">
        <w:rPr>
          <w:rFonts w:ascii="Verdana" w:eastAsia="Calibri" w:hAnsi="Verdana" w:cs="Times New Roman"/>
        </w:rPr>
        <w:t>de</w:t>
      </w:r>
      <w:r w:rsidRPr="00B54634">
        <w:rPr>
          <w:rFonts w:ascii="Verdana" w:eastAsia="Calibri" w:hAnsi="Verdana" w:cs="Times New Roman"/>
          <w:spacing w:val="-5"/>
        </w:rPr>
        <w:t xml:space="preserve"> </w:t>
      </w:r>
      <w:r w:rsidRPr="00B54634">
        <w:rPr>
          <w:rFonts w:ascii="Verdana" w:eastAsia="Calibri" w:hAnsi="Verdana" w:cs="Times New Roman"/>
        </w:rPr>
        <w:t>las</w:t>
      </w:r>
      <w:r w:rsidRPr="00B54634">
        <w:rPr>
          <w:rFonts w:ascii="Verdana" w:eastAsia="Calibri" w:hAnsi="Verdana" w:cs="Times New Roman"/>
          <w:spacing w:val="-4"/>
        </w:rPr>
        <w:t xml:space="preserve"> </w:t>
      </w:r>
      <w:r w:rsidRPr="00B54634">
        <w:rPr>
          <w:rFonts w:ascii="Verdana" w:eastAsia="Calibri" w:hAnsi="Verdana" w:cs="Times New Roman"/>
        </w:rPr>
        <w:t>prestaciones</w:t>
      </w:r>
      <w:r w:rsidRPr="00B54634">
        <w:rPr>
          <w:rFonts w:ascii="Verdana" w:eastAsia="Calibri" w:hAnsi="Verdana" w:cs="Times New Roman"/>
          <w:spacing w:val="-2"/>
        </w:rPr>
        <w:t xml:space="preserve"> </w:t>
      </w:r>
      <w:r w:rsidRPr="00B54634">
        <w:rPr>
          <w:rFonts w:ascii="Verdana" w:eastAsia="Calibri" w:hAnsi="Verdana" w:cs="Times New Roman"/>
        </w:rPr>
        <w:t>contractuales</w:t>
      </w:r>
      <w:r w:rsidRPr="00B54634">
        <w:rPr>
          <w:rFonts w:ascii="Verdana" w:eastAsia="Calibri" w:hAnsi="Verdana" w:cs="Times New Roman"/>
          <w:spacing w:val="-1"/>
        </w:rPr>
        <w:t xml:space="preserve"> </w:t>
      </w:r>
      <w:r w:rsidRPr="00B54634">
        <w:rPr>
          <w:rFonts w:ascii="Verdana" w:eastAsia="Calibri" w:hAnsi="Verdana" w:cs="Times New Roman"/>
        </w:rPr>
        <w:t>y,</w:t>
      </w:r>
      <w:r w:rsidRPr="00B54634">
        <w:rPr>
          <w:rFonts w:ascii="Verdana" w:eastAsia="Calibri" w:hAnsi="Verdana" w:cs="Times New Roman"/>
          <w:spacing w:val="-5"/>
        </w:rPr>
        <w:t xml:space="preserve"> </w:t>
      </w:r>
      <w:r w:rsidRPr="00B54634">
        <w:rPr>
          <w:rFonts w:ascii="Verdana" w:eastAsia="Calibri" w:hAnsi="Verdana" w:cs="Times New Roman"/>
        </w:rPr>
        <w:t>de</w:t>
      </w:r>
      <w:r w:rsidRPr="00B54634">
        <w:rPr>
          <w:rFonts w:ascii="Verdana" w:eastAsia="Calibri" w:hAnsi="Verdana" w:cs="Times New Roman"/>
          <w:spacing w:val="-5"/>
        </w:rPr>
        <w:t xml:space="preserve"> </w:t>
      </w:r>
      <w:r w:rsidRPr="00B54634">
        <w:rPr>
          <w:rFonts w:ascii="Verdana" w:eastAsia="Calibri" w:hAnsi="Verdana" w:cs="Times New Roman"/>
        </w:rPr>
        <w:t>igual</w:t>
      </w:r>
      <w:r w:rsidRPr="00B54634">
        <w:rPr>
          <w:rFonts w:ascii="Verdana" w:eastAsia="Calibri" w:hAnsi="Verdana" w:cs="Times New Roman"/>
          <w:spacing w:val="-4"/>
        </w:rPr>
        <w:t xml:space="preserve"> </w:t>
      </w:r>
      <w:r w:rsidRPr="00B54634">
        <w:rPr>
          <w:rFonts w:ascii="Verdana" w:eastAsia="Calibri" w:hAnsi="Verdana" w:cs="Times New Roman"/>
        </w:rPr>
        <w:t>forma,</w:t>
      </w:r>
      <w:r w:rsidRPr="00B54634">
        <w:rPr>
          <w:rFonts w:ascii="Verdana" w:eastAsia="Calibri" w:hAnsi="Verdana" w:cs="Times New Roman"/>
          <w:spacing w:val="-3"/>
        </w:rPr>
        <w:t xml:space="preserve"> </w:t>
      </w:r>
      <w:r w:rsidRPr="00B54634">
        <w:rPr>
          <w:rFonts w:ascii="Verdana" w:eastAsia="Calibri" w:hAnsi="Verdana" w:cs="Times New Roman"/>
        </w:rPr>
        <w:t xml:space="preserve">considera que el </w:t>
      </w:r>
      <w:r w:rsidRPr="00B54634">
        <w:rPr>
          <w:rFonts w:ascii="Verdana" w:eastAsia="Calibri" w:hAnsi="Verdana" w:cs="Times New Roman"/>
          <w:i/>
        </w:rPr>
        <w:t xml:space="preserve">plazo de vigencia </w:t>
      </w:r>
      <w:r w:rsidRPr="00B54634">
        <w:rPr>
          <w:rFonts w:ascii="Verdana" w:eastAsia="Calibri" w:hAnsi="Verdana" w:cs="Times New Roman"/>
        </w:rPr>
        <w:t>de este no ha finalizado mientras subsista la obligación para las partes de liquidar el contrato</w:t>
      </w:r>
      <w:r w:rsidRPr="00B54634">
        <w:rPr>
          <w:rFonts w:ascii="Verdana" w:eastAsia="Calibri" w:hAnsi="Verdana" w:cs="Times New Roman"/>
          <w:vertAlign w:val="superscript"/>
        </w:rPr>
        <w:footnoteReference w:id="4"/>
      </w:r>
      <w:r w:rsidRPr="00B54634">
        <w:rPr>
          <w:rFonts w:ascii="Verdana" w:eastAsia="Calibri" w:hAnsi="Verdana" w:cs="Times New Roman"/>
        </w:rPr>
        <w:t xml:space="preserve">. Por ello, explica lo </w:t>
      </w:r>
      <w:r w:rsidRPr="00B54634">
        <w:rPr>
          <w:rFonts w:ascii="Verdana" w:eastAsia="Calibri" w:hAnsi="Verdana" w:cs="Times New Roman"/>
          <w:spacing w:val="-2"/>
        </w:rPr>
        <w:t>siguiente:</w:t>
      </w:r>
    </w:p>
    <w:p w14:paraId="36DB7358" w14:textId="77777777" w:rsidR="0056484B" w:rsidRPr="00B54634" w:rsidRDefault="0056484B" w:rsidP="0056484B">
      <w:pPr>
        <w:spacing w:after="0" w:line="276" w:lineRule="auto"/>
        <w:ind w:firstLine="709"/>
        <w:jc w:val="both"/>
        <w:rPr>
          <w:rFonts w:ascii="Verdana" w:eastAsia="Calibri" w:hAnsi="Verdana" w:cs="Arial"/>
          <w:color w:val="000000"/>
          <w:lang w:val="es-ES" w:eastAsia="es-MX"/>
        </w:rPr>
      </w:pPr>
    </w:p>
    <w:p w14:paraId="1BE4C74B" w14:textId="77777777" w:rsidR="0056484B" w:rsidRPr="00B54634" w:rsidRDefault="0056484B" w:rsidP="0056484B">
      <w:pPr>
        <w:spacing w:after="0" w:line="240" w:lineRule="auto"/>
        <w:ind w:left="709" w:right="709"/>
        <w:jc w:val="both"/>
        <w:rPr>
          <w:rFonts w:ascii="Verdana" w:eastAsia="Calibri" w:hAnsi="Verdana" w:cs="Times New Roman"/>
          <w:sz w:val="20"/>
          <w:szCs w:val="20"/>
        </w:rPr>
      </w:pPr>
      <w:r w:rsidRPr="00B54634">
        <w:rPr>
          <w:rFonts w:ascii="Verdana" w:eastAsia="Calibri" w:hAnsi="Verdana" w:cs="Arial"/>
          <w:color w:val="000000"/>
          <w:lang w:val="es-ES" w:eastAsia="es-MX"/>
        </w:rPr>
        <w:t>“</w:t>
      </w:r>
      <w:r w:rsidRPr="00B54634">
        <w:rPr>
          <w:rFonts w:ascii="Verdana" w:eastAsia="Calibri" w:hAnsi="Verdana" w:cs="Times New Roman"/>
          <w:sz w:val="20"/>
          <w:szCs w:val="20"/>
        </w:rPr>
        <w:t>[…] si bien es cierto en la mayoría de los casos el plazo del contrato coincide con</w:t>
      </w:r>
      <w:r w:rsidRPr="00B54634">
        <w:rPr>
          <w:rFonts w:ascii="Verdana" w:eastAsia="Calibri" w:hAnsi="Verdana" w:cs="Times New Roman"/>
          <w:spacing w:val="-1"/>
          <w:sz w:val="20"/>
          <w:szCs w:val="20"/>
        </w:rPr>
        <w:t xml:space="preserve"> </w:t>
      </w:r>
      <w:r w:rsidRPr="00B54634">
        <w:rPr>
          <w:rFonts w:ascii="Verdana" w:eastAsia="Calibri" w:hAnsi="Verdana" w:cs="Times New Roman"/>
          <w:sz w:val="20"/>
          <w:szCs w:val="20"/>
        </w:rPr>
        <w:t>el</w:t>
      </w:r>
      <w:r w:rsidRPr="00B54634">
        <w:rPr>
          <w:rFonts w:ascii="Verdana" w:eastAsia="Calibri" w:hAnsi="Verdana" w:cs="Times New Roman"/>
          <w:spacing w:val="-1"/>
          <w:sz w:val="20"/>
          <w:szCs w:val="20"/>
        </w:rPr>
        <w:t xml:space="preserve"> </w:t>
      </w:r>
      <w:r w:rsidRPr="00B54634">
        <w:rPr>
          <w:rFonts w:ascii="Verdana" w:eastAsia="Calibri" w:hAnsi="Verdana" w:cs="Times New Roman"/>
          <w:sz w:val="20"/>
          <w:szCs w:val="20"/>
        </w:rPr>
        <w:t>de</w:t>
      </w:r>
      <w:r w:rsidRPr="00B54634">
        <w:rPr>
          <w:rFonts w:ascii="Verdana" w:eastAsia="Calibri" w:hAnsi="Verdana" w:cs="Times New Roman"/>
          <w:spacing w:val="-1"/>
          <w:sz w:val="20"/>
          <w:szCs w:val="20"/>
        </w:rPr>
        <w:t xml:space="preserve"> </w:t>
      </w:r>
      <w:r w:rsidRPr="00B54634">
        <w:rPr>
          <w:rFonts w:ascii="Verdana" w:eastAsia="Calibri" w:hAnsi="Verdana" w:cs="Times New Roman"/>
          <w:sz w:val="20"/>
          <w:szCs w:val="20"/>
        </w:rPr>
        <w:t>ejecución de</w:t>
      </w:r>
      <w:r w:rsidRPr="00B54634">
        <w:rPr>
          <w:rFonts w:ascii="Verdana" w:eastAsia="Calibri" w:hAnsi="Verdana" w:cs="Times New Roman"/>
          <w:spacing w:val="-1"/>
          <w:sz w:val="20"/>
          <w:szCs w:val="20"/>
        </w:rPr>
        <w:t xml:space="preserve"> </w:t>
      </w:r>
      <w:r w:rsidRPr="00B54634">
        <w:rPr>
          <w:rFonts w:ascii="Verdana" w:eastAsia="Calibri" w:hAnsi="Verdana" w:cs="Times New Roman"/>
          <w:sz w:val="20"/>
          <w:szCs w:val="20"/>
        </w:rPr>
        <w:t>la</w:t>
      </w:r>
      <w:r w:rsidRPr="00B54634">
        <w:rPr>
          <w:rFonts w:ascii="Verdana" w:eastAsia="Calibri" w:hAnsi="Verdana" w:cs="Times New Roman"/>
          <w:spacing w:val="-1"/>
          <w:sz w:val="20"/>
          <w:szCs w:val="20"/>
        </w:rPr>
        <w:t xml:space="preserve"> </w:t>
      </w:r>
      <w:r w:rsidRPr="00B54634">
        <w:rPr>
          <w:rFonts w:ascii="Verdana" w:eastAsia="Calibri" w:hAnsi="Verdana" w:cs="Times New Roman"/>
          <w:sz w:val="20"/>
          <w:szCs w:val="20"/>
        </w:rPr>
        <w:t>obra,</w:t>
      </w:r>
      <w:r w:rsidRPr="00B54634">
        <w:rPr>
          <w:rFonts w:ascii="Verdana" w:eastAsia="Calibri" w:hAnsi="Verdana" w:cs="Times New Roman"/>
          <w:spacing w:val="-1"/>
          <w:sz w:val="20"/>
          <w:szCs w:val="20"/>
        </w:rPr>
        <w:t xml:space="preserve"> </w:t>
      </w:r>
      <w:r w:rsidRPr="00B54634">
        <w:rPr>
          <w:rFonts w:ascii="Verdana" w:eastAsia="Calibri" w:hAnsi="Verdana" w:cs="Times New Roman"/>
          <w:sz w:val="20"/>
          <w:szCs w:val="20"/>
        </w:rPr>
        <w:t>con</w:t>
      </w:r>
      <w:r w:rsidRPr="00B54634">
        <w:rPr>
          <w:rFonts w:ascii="Verdana" w:eastAsia="Calibri" w:hAnsi="Verdana" w:cs="Times New Roman"/>
          <w:spacing w:val="-1"/>
          <w:sz w:val="20"/>
          <w:szCs w:val="20"/>
        </w:rPr>
        <w:t xml:space="preserve"> </w:t>
      </w:r>
      <w:r w:rsidRPr="00B54634">
        <w:rPr>
          <w:rFonts w:ascii="Verdana" w:eastAsia="Calibri" w:hAnsi="Verdana" w:cs="Times New Roman"/>
          <w:sz w:val="20"/>
          <w:szCs w:val="20"/>
        </w:rPr>
        <w:t>la</w:t>
      </w:r>
      <w:r w:rsidRPr="00B54634">
        <w:rPr>
          <w:rFonts w:ascii="Verdana" w:eastAsia="Calibri" w:hAnsi="Verdana" w:cs="Times New Roman"/>
          <w:spacing w:val="-1"/>
          <w:sz w:val="20"/>
          <w:szCs w:val="20"/>
        </w:rPr>
        <w:t xml:space="preserve"> </w:t>
      </w:r>
      <w:r w:rsidRPr="00B54634">
        <w:rPr>
          <w:rFonts w:ascii="Verdana" w:eastAsia="Calibri" w:hAnsi="Verdana" w:cs="Times New Roman"/>
          <w:sz w:val="20"/>
          <w:szCs w:val="20"/>
        </w:rPr>
        <w:t>entrega</w:t>
      </w:r>
      <w:r w:rsidRPr="00B54634">
        <w:rPr>
          <w:rFonts w:ascii="Verdana" w:eastAsia="Calibri" w:hAnsi="Verdana" w:cs="Times New Roman"/>
          <w:spacing w:val="-1"/>
          <w:sz w:val="20"/>
          <w:szCs w:val="20"/>
        </w:rPr>
        <w:t xml:space="preserve"> </w:t>
      </w:r>
      <w:r w:rsidRPr="00B54634">
        <w:rPr>
          <w:rFonts w:ascii="Verdana" w:eastAsia="Calibri" w:hAnsi="Verdana" w:cs="Times New Roman"/>
          <w:sz w:val="20"/>
          <w:szCs w:val="20"/>
        </w:rPr>
        <w:t>del</w:t>
      </w:r>
      <w:r w:rsidRPr="00B54634">
        <w:rPr>
          <w:rFonts w:ascii="Verdana" w:eastAsia="Calibri" w:hAnsi="Verdana" w:cs="Times New Roman"/>
          <w:spacing w:val="-1"/>
          <w:sz w:val="20"/>
          <w:szCs w:val="20"/>
        </w:rPr>
        <w:t xml:space="preserve"> </w:t>
      </w:r>
      <w:r w:rsidRPr="00B54634">
        <w:rPr>
          <w:rFonts w:ascii="Verdana" w:eastAsia="Calibri" w:hAnsi="Verdana" w:cs="Times New Roman"/>
          <w:sz w:val="20"/>
          <w:szCs w:val="20"/>
        </w:rPr>
        <w:t>suministro, con la prestación del servicio, también lo es, que este plazo no constituye propiamente hablando</w:t>
      </w:r>
      <w:r w:rsidRPr="00B54634">
        <w:rPr>
          <w:rFonts w:ascii="Verdana" w:eastAsia="Calibri" w:hAnsi="Verdana" w:cs="Times New Roman"/>
          <w:spacing w:val="-1"/>
          <w:sz w:val="20"/>
          <w:szCs w:val="20"/>
        </w:rPr>
        <w:t xml:space="preserve"> </w:t>
      </w:r>
      <w:r w:rsidRPr="00B54634">
        <w:rPr>
          <w:rFonts w:ascii="Verdana" w:eastAsia="Calibri" w:hAnsi="Verdana" w:cs="Times New Roman"/>
          <w:sz w:val="20"/>
          <w:szCs w:val="20"/>
        </w:rPr>
        <w:t>el</w:t>
      </w:r>
      <w:r w:rsidRPr="00B54634">
        <w:rPr>
          <w:rFonts w:ascii="Verdana" w:eastAsia="Calibri" w:hAnsi="Verdana" w:cs="Times New Roman"/>
          <w:spacing w:val="-2"/>
          <w:sz w:val="20"/>
          <w:szCs w:val="20"/>
        </w:rPr>
        <w:t xml:space="preserve"> </w:t>
      </w:r>
      <w:r w:rsidRPr="00B54634">
        <w:rPr>
          <w:rFonts w:ascii="Verdana" w:eastAsia="Calibri" w:hAnsi="Verdana" w:cs="Times New Roman"/>
          <w:sz w:val="20"/>
          <w:szCs w:val="20"/>
        </w:rPr>
        <w:t>periodo</w:t>
      </w:r>
      <w:r w:rsidRPr="00B54634">
        <w:rPr>
          <w:rFonts w:ascii="Verdana" w:eastAsia="Calibri" w:hAnsi="Verdana" w:cs="Times New Roman"/>
          <w:spacing w:val="-1"/>
          <w:sz w:val="20"/>
          <w:szCs w:val="20"/>
        </w:rPr>
        <w:t xml:space="preserve"> </w:t>
      </w:r>
      <w:r w:rsidRPr="00B54634">
        <w:rPr>
          <w:rFonts w:ascii="Verdana" w:eastAsia="Calibri" w:hAnsi="Verdana" w:cs="Times New Roman"/>
          <w:sz w:val="20"/>
          <w:szCs w:val="20"/>
        </w:rPr>
        <w:t>de</w:t>
      </w:r>
      <w:r w:rsidRPr="00B54634">
        <w:rPr>
          <w:rFonts w:ascii="Verdana" w:eastAsia="Calibri" w:hAnsi="Verdana" w:cs="Times New Roman"/>
          <w:spacing w:val="-2"/>
          <w:sz w:val="20"/>
          <w:szCs w:val="20"/>
        </w:rPr>
        <w:t xml:space="preserve"> </w:t>
      </w:r>
      <w:r w:rsidRPr="00B54634">
        <w:rPr>
          <w:rFonts w:ascii="Verdana" w:eastAsia="Calibri" w:hAnsi="Verdana" w:cs="Times New Roman"/>
          <w:sz w:val="20"/>
          <w:szCs w:val="20"/>
        </w:rPr>
        <w:t>ejecución del</w:t>
      </w:r>
      <w:r w:rsidRPr="00B54634">
        <w:rPr>
          <w:rFonts w:ascii="Verdana" w:eastAsia="Calibri" w:hAnsi="Verdana" w:cs="Times New Roman"/>
          <w:spacing w:val="-2"/>
          <w:sz w:val="20"/>
          <w:szCs w:val="20"/>
        </w:rPr>
        <w:t xml:space="preserve"> </w:t>
      </w:r>
      <w:r w:rsidRPr="00B54634">
        <w:rPr>
          <w:rFonts w:ascii="Verdana" w:eastAsia="Calibri" w:hAnsi="Verdana" w:cs="Times New Roman"/>
          <w:sz w:val="20"/>
          <w:szCs w:val="20"/>
        </w:rPr>
        <w:t>contrato porque al finalizar el plazo que se ha destinado para el cumplimiento de</w:t>
      </w:r>
      <w:r w:rsidRPr="00B54634">
        <w:rPr>
          <w:rFonts w:ascii="Verdana" w:eastAsia="Calibri" w:hAnsi="Verdana" w:cs="Times New Roman"/>
          <w:spacing w:val="-16"/>
          <w:sz w:val="20"/>
          <w:szCs w:val="20"/>
        </w:rPr>
        <w:t xml:space="preserve"> </w:t>
      </w:r>
      <w:r w:rsidRPr="00B54634">
        <w:rPr>
          <w:rFonts w:ascii="Verdana" w:eastAsia="Calibri" w:hAnsi="Verdana" w:cs="Times New Roman"/>
          <w:sz w:val="20"/>
          <w:szCs w:val="20"/>
        </w:rPr>
        <w:t>la</w:t>
      </w:r>
      <w:r w:rsidRPr="00B54634">
        <w:rPr>
          <w:rFonts w:ascii="Verdana" w:eastAsia="Calibri" w:hAnsi="Verdana" w:cs="Times New Roman"/>
          <w:spacing w:val="-16"/>
          <w:sz w:val="20"/>
          <w:szCs w:val="20"/>
        </w:rPr>
        <w:t xml:space="preserve"> </w:t>
      </w:r>
      <w:r w:rsidRPr="00B54634">
        <w:rPr>
          <w:rFonts w:ascii="Verdana" w:eastAsia="Calibri" w:hAnsi="Verdana" w:cs="Times New Roman"/>
          <w:sz w:val="20"/>
          <w:szCs w:val="20"/>
        </w:rPr>
        <w:t>obligación</w:t>
      </w:r>
      <w:r w:rsidRPr="00B54634">
        <w:rPr>
          <w:rFonts w:ascii="Verdana" w:eastAsia="Calibri" w:hAnsi="Verdana" w:cs="Times New Roman"/>
          <w:spacing w:val="-13"/>
          <w:sz w:val="20"/>
          <w:szCs w:val="20"/>
        </w:rPr>
        <w:t xml:space="preserve"> </w:t>
      </w:r>
      <w:r w:rsidRPr="00B54634">
        <w:rPr>
          <w:rFonts w:ascii="Verdana" w:eastAsia="Calibri" w:hAnsi="Verdana" w:cs="Times New Roman"/>
          <w:sz w:val="20"/>
          <w:szCs w:val="20"/>
        </w:rPr>
        <w:t>principal</w:t>
      </w:r>
      <w:r w:rsidRPr="00B54634">
        <w:rPr>
          <w:rFonts w:ascii="Verdana" w:eastAsia="Calibri" w:hAnsi="Verdana" w:cs="Times New Roman"/>
          <w:spacing w:val="-14"/>
          <w:sz w:val="20"/>
          <w:szCs w:val="20"/>
        </w:rPr>
        <w:t xml:space="preserve"> </w:t>
      </w:r>
      <w:r w:rsidRPr="00B54634">
        <w:rPr>
          <w:rFonts w:ascii="Verdana" w:eastAsia="Calibri" w:hAnsi="Verdana" w:cs="Times New Roman"/>
          <w:sz w:val="20"/>
          <w:szCs w:val="20"/>
        </w:rPr>
        <w:t>por</w:t>
      </w:r>
      <w:r w:rsidRPr="00B54634">
        <w:rPr>
          <w:rFonts w:ascii="Verdana" w:eastAsia="Calibri" w:hAnsi="Verdana" w:cs="Times New Roman"/>
          <w:spacing w:val="-16"/>
          <w:sz w:val="20"/>
          <w:szCs w:val="20"/>
        </w:rPr>
        <w:t xml:space="preserve"> </w:t>
      </w:r>
      <w:r w:rsidRPr="00B54634">
        <w:rPr>
          <w:rFonts w:ascii="Verdana" w:eastAsia="Calibri" w:hAnsi="Verdana" w:cs="Times New Roman"/>
          <w:sz w:val="20"/>
          <w:szCs w:val="20"/>
        </w:rPr>
        <w:t>parte</w:t>
      </w:r>
      <w:r w:rsidRPr="00B54634">
        <w:rPr>
          <w:rFonts w:ascii="Verdana" w:eastAsia="Calibri" w:hAnsi="Verdana" w:cs="Times New Roman"/>
          <w:spacing w:val="-15"/>
          <w:sz w:val="20"/>
          <w:szCs w:val="20"/>
        </w:rPr>
        <w:t xml:space="preserve"> </w:t>
      </w:r>
      <w:r w:rsidRPr="00B54634">
        <w:rPr>
          <w:rFonts w:ascii="Verdana" w:eastAsia="Calibri" w:hAnsi="Verdana" w:cs="Times New Roman"/>
          <w:sz w:val="20"/>
          <w:szCs w:val="20"/>
        </w:rPr>
        <w:t>del</w:t>
      </w:r>
      <w:r w:rsidRPr="00B54634">
        <w:rPr>
          <w:rFonts w:ascii="Verdana" w:eastAsia="Calibri" w:hAnsi="Verdana" w:cs="Times New Roman"/>
          <w:spacing w:val="-16"/>
          <w:sz w:val="20"/>
          <w:szCs w:val="20"/>
        </w:rPr>
        <w:t xml:space="preserve"> </w:t>
      </w:r>
      <w:r w:rsidRPr="00B54634">
        <w:rPr>
          <w:rFonts w:ascii="Verdana" w:eastAsia="Calibri" w:hAnsi="Verdana" w:cs="Times New Roman"/>
          <w:sz w:val="20"/>
          <w:szCs w:val="20"/>
        </w:rPr>
        <w:t>contratista</w:t>
      </w:r>
      <w:r w:rsidRPr="00B54634">
        <w:rPr>
          <w:rFonts w:ascii="Verdana" w:eastAsia="Calibri" w:hAnsi="Verdana" w:cs="Times New Roman"/>
          <w:spacing w:val="-13"/>
          <w:sz w:val="20"/>
          <w:szCs w:val="20"/>
        </w:rPr>
        <w:t xml:space="preserve"> </w:t>
      </w:r>
      <w:r w:rsidRPr="00B54634">
        <w:rPr>
          <w:rFonts w:ascii="Verdana" w:eastAsia="Calibri" w:hAnsi="Verdana" w:cs="Times New Roman"/>
          <w:sz w:val="20"/>
          <w:szCs w:val="20"/>
        </w:rPr>
        <w:t>las</w:t>
      </w:r>
      <w:r w:rsidRPr="00B54634">
        <w:rPr>
          <w:rFonts w:ascii="Verdana" w:eastAsia="Calibri" w:hAnsi="Verdana" w:cs="Times New Roman"/>
          <w:spacing w:val="-16"/>
          <w:sz w:val="20"/>
          <w:szCs w:val="20"/>
        </w:rPr>
        <w:t xml:space="preserve"> </w:t>
      </w:r>
      <w:r w:rsidRPr="00B54634">
        <w:rPr>
          <w:rFonts w:ascii="Verdana" w:eastAsia="Calibri" w:hAnsi="Verdana" w:cs="Times New Roman"/>
          <w:sz w:val="20"/>
          <w:szCs w:val="20"/>
        </w:rPr>
        <w:t>partes</w:t>
      </w:r>
      <w:r w:rsidRPr="00B54634">
        <w:rPr>
          <w:rFonts w:ascii="Verdana" w:eastAsia="Calibri" w:hAnsi="Verdana" w:cs="Times New Roman"/>
          <w:spacing w:val="-15"/>
          <w:sz w:val="20"/>
          <w:szCs w:val="20"/>
        </w:rPr>
        <w:t xml:space="preserve"> </w:t>
      </w:r>
      <w:r w:rsidRPr="00B54634">
        <w:rPr>
          <w:rFonts w:ascii="Verdana" w:eastAsia="Calibri" w:hAnsi="Verdana" w:cs="Times New Roman"/>
          <w:sz w:val="20"/>
          <w:szCs w:val="20"/>
        </w:rPr>
        <w:t>no</w:t>
      </w:r>
      <w:r w:rsidRPr="00B54634">
        <w:rPr>
          <w:rFonts w:ascii="Verdana" w:eastAsia="Calibri" w:hAnsi="Verdana" w:cs="Times New Roman"/>
          <w:spacing w:val="-16"/>
          <w:sz w:val="20"/>
          <w:szCs w:val="20"/>
        </w:rPr>
        <w:t xml:space="preserve"> </w:t>
      </w:r>
      <w:r w:rsidRPr="00B54634">
        <w:rPr>
          <w:rFonts w:ascii="Verdana" w:eastAsia="Calibri" w:hAnsi="Verdana" w:cs="Times New Roman"/>
          <w:sz w:val="20"/>
          <w:szCs w:val="20"/>
        </w:rPr>
        <w:t>quedan liberadas de pleno derecho mientras no se extingan todas las obligaciones</w:t>
      </w:r>
      <w:r w:rsidRPr="00B54634">
        <w:rPr>
          <w:rFonts w:ascii="Verdana" w:eastAsia="Calibri" w:hAnsi="Verdana" w:cs="Times New Roman"/>
          <w:spacing w:val="-5"/>
          <w:sz w:val="20"/>
          <w:szCs w:val="20"/>
        </w:rPr>
        <w:t xml:space="preserve"> </w:t>
      </w:r>
      <w:r w:rsidRPr="00B54634">
        <w:rPr>
          <w:rFonts w:ascii="Verdana" w:eastAsia="Calibri" w:hAnsi="Verdana" w:cs="Times New Roman"/>
          <w:sz w:val="20"/>
          <w:szCs w:val="20"/>
        </w:rPr>
        <w:t>adquiridas,</w:t>
      </w:r>
      <w:r w:rsidRPr="00B54634">
        <w:rPr>
          <w:rFonts w:ascii="Verdana" w:eastAsia="Calibri" w:hAnsi="Verdana" w:cs="Times New Roman"/>
          <w:spacing w:val="-5"/>
          <w:sz w:val="20"/>
          <w:szCs w:val="20"/>
        </w:rPr>
        <w:t xml:space="preserve"> </w:t>
      </w:r>
      <w:r w:rsidRPr="00B54634">
        <w:rPr>
          <w:rFonts w:ascii="Verdana" w:eastAsia="Calibri" w:hAnsi="Verdana" w:cs="Times New Roman"/>
          <w:sz w:val="20"/>
          <w:szCs w:val="20"/>
        </w:rPr>
        <w:t>lo</w:t>
      </w:r>
      <w:r w:rsidRPr="00B54634">
        <w:rPr>
          <w:rFonts w:ascii="Verdana" w:eastAsia="Calibri" w:hAnsi="Verdana" w:cs="Times New Roman"/>
          <w:spacing w:val="-8"/>
          <w:sz w:val="20"/>
          <w:szCs w:val="20"/>
        </w:rPr>
        <w:t xml:space="preserve"> </w:t>
      </w:r>
      <w:r w:rsidRPr="00B54634">
        <w:rPr>
          <w:rFonts w:ascii="Verdana" w:eastAsia="Calibri" w:hAnsi="Verdana" w:cs="Times New Roman"/>
          <w:sz w:val="20"/>
          <w:szCs w:val="20"/>
        </w:rPr>
        <w:t>cual</w:t>
      </w:r>
      <w:r w:rsidRPr="00B54634">
        <w:rPr>
          <w:rFonts w:ascii="Verdana" w:eastAsia="Calibri" w:hAnsi="Verdana" w:cs="Times New Roman"/>
          <w:spacing w:val="-7"/>
          <w:sz w:val="20"/>
          <w:szCs w:val="20"/>
        </w:rPr>
        <w:t xml:space="preserve"> </w:t>
      </w:r>
      <w:r w:rsidRPr="00B54634">
        <w:rPr>
          <w:rFonts w:ascii="Verdana" w:eastAsia="Calibri" w:hAnsi="Verdana" w:cs="Times New Roman"/>
          <w:sz w:val="20"/>
          <w:szCs w:val="20"/>
        </w:rPr>
        <w:t>se</w:t>
      </w:r>
      <w:r w:rsidRPr="00B54634">
        <w:rPr>
          <w:rFonts w:ascii="Verdana" w:eastAsia="Calibri" w:hAnsi="Verdana" w:cs="Times New Roman"/>
          <w:spacing w:val="-8"/>
          <w:sz w:val="20"/>
          <w:szCs w:val="20"/>
        </w:rPr>
        <w:t xml:space="preserve"> </w:t>
      </w:r>
      <w:r w:rsidRPr="00B54634">
        <w:rPr>
          <w:rFonts w:ascii="Verdana" w:eastAsia="Calibri" w:hAnsi="Verdana" w:cs="Times New Roman"/>
          <w:sz w:val="20"/>
          <w:szCs w:val="20"/>
        </w:rPr>
        <w:t>cumple</w:t>
      </w:r>
      <w:r w:rsidRPr="00B54634">
        <w:rPr>
          <w:rFonts w:ascii="Verdana" w:eastAsia="Calibri" w:hAnsi="Verdana" w:cs="Times New Roman"/>
          <w:spacing w:val="-6"/>
          <w:sz w:val="20"/>
          <w:szCs w:val="20"/>
        </w:rPr>
        <w:t xml:space="preserve"> </w:t>
      </w:r>
      <w:r w:rsidRPr="00B54634">
        <w:rPr>
          <w:rFonts w:ascii="Verdana" w:eastAsia="Calibri" w:hAnsi="Verdana" w:cs="Times New Roman"/>
          <w:sz w:val="20"/>
          <w:szCs w:val="20"/>
        </w:rPr>
        <w:t>necesariamente</w:t>
      </w:r>
      <w:r w:rsidRPr="00B54634">
        <w:rPr>
          <w:rFonts w:ascii="Verdana" w:eastAsia="Calibri" w:hAnsi="Verdana" w:cs="Times New Roman"/>
          <w:spacing w:val="-3"/>
          <w:sz w:val="20"/>
          <w:szCs w:val="20"/>
        </w:rPr>
        <w:t xml:space="preserve"> </w:t>
      </w:r>
      <w:r w:rsidRPr="00B54634">
        <w:rPr>
          <w:rFonts w:ascii="Verdana" w:eastAsia="Calibri" w:hAnsi="Verdana" w:cs="Times New Roman"/>
          <w:sz w:val="20"/>
          <w:szCs w:val="20"/>
        </w:rPr>
        <w:t>en</w:t>
      </w:r>
      <w:r w:rsidRPr="00B54634">
        <w:rPr>
          <w:rFonts w:ascii="Verdana" w:eastAsia="Calibri" w:hAnsi="Verdana" w:cs="Times New Roman"/>
          <w:spacing w:val="-8"/>
          <w:sz w:val="20"/>
          <w:szCs w:val="20"/>
        </w:rPr>
        <w:t xml:space="preserve"> </w:t>
      </w:r>
      <w:r w:rsidRPr="00B54634">
        <w:rPr>
          <w:rFonts w:ascii="Verdana" w:eastAsia="Calibri" w:hAnsi="Verdana" w:cs="Times New Roman"/>
          <w:sz w:val="20"/>
          <w:szCs w:val="20"/>
        </w:rPr>
        <w:t>la</w:t>
      </w:r>
      <w:r w:rsidRPr="00B54634">
        <w:rPr>
          <w:rFonts w:ascii="Verdana" w:eastAsia="Calibri" w:hAnsi="Verdana" w:cs="Times New Roman"/>
          <w:spacing w:val="-8"/>
          <w:sz w:val="20"/>
          <w:szCs w:val="20"/>
        </w:rPr>
        <w:t xml:space="preserve"> </w:t>
      </w:r>
      <w:r w:rsidRPr="00B54634">
        <w:rPr>
          <w:rFonts w:ascii="Verdana" w:eastAsia="Calibri" w:hAnsi="Verdana" w:cs="Times New Roman"/>
          <w:sz w:val="20"/>
          <w:szCs w:val="20"/>
        </w:rPr>
        <w:t>etapa de</w:t>
      </w:r>
      <w:r w:rsidRPr="00B54634">
        <w:rPr>
          <w:rFonts w:ascii="Verdana" w:eastAsia="Calibri" w:hAnsi="Verdana" w:cs="Times New Roman"/>
          <w:spacing w:val="-13"/>
          <w:sz w:val="20"/>
          <w:szCs w:val="20"/>
        </w:rPr>
        <w:t xml:space="preserve"> </w:t>
      </w:r>
      <w:r w:rsidRPr="00B54634">
        <w:rPr>
          <w:rFonts w:ascii="Verdana" w:eastAsia="Calibri" w:hAnsi="Verdana" w:cs="Times New Roman"/>
          <w:sz w:val="20"/>
          <w:szCs w:val="20"/>
        </w:rPr>
        <w:t>liquidación</w:t>
      </w:r>
      <w:r w:rsidRPr="00B54634">
        <w:rPr>
          <w:rFonts w:ascii="Verdana" w:eastAsia="Calibri" w:hAnsi="Verdana" w:cs="Times New Roman"/>
          <w:spacing w:val="-10"/>
          <w:sz w:val="20"/>
          <w:szCs w:val="20"/>
        </w:rPr>
        <w:t xml:space="preserve"> </w:t>
      </w:r>
      <w:r w:rsidRPr="00B54634">
        <w:rPr>
          <w:rFonts w:ascii="Verdana" w:eastAsia="Calibri" w:hAnsi="Verdana" w:cs="Times New Roman"/>
          <w:sz w:val="20"/>
          <w:szCs w:val="20"/>
        </w:rPr>
        <w:t>del</w:t>
      </w:r>
      <w:r w:rsidRPr="00B54634">
        <w:rPr>
          <w:rFonts w:ascii="Verdana" w:eastAsia="Calibri" w:hAnsi="Verdana" w:cs="Times New Roman"/>
          <w:spacing w:val="-12"/>
          <w:sz w:val="20"/>
          <w:szCs w:val="20"/>
        </w:rPr>
        <w:t xml:space="preserve"> </w:t>
      </w:r>
      <w:r w:rsidRPr="00B54634">
        <w:rPr>
          <w:rFonts w:ascii="Verdana" w:eastAsia="Calibri" w:hAnsi="Verdana" w:cs="Times New Roman"/>
          <w:sz w:val="20"/>
          <w:szCs w:val="20"/>
        </w:rPr>
        <w:t>contrato</w:t>
      </w:r>
      <w:r w:rsidRPr="00B54634">
        <w:rPr>
          <w:rFonts w:ascii="Verdana" w:eastAsia="Calibri" w:hAnsi="Verdana" w:cs="Times New Roman"/>
          <w:spacing w:val="-11"/>
          <w:sz w:val="20"/>
          <w:szCs w:val="20"/>
        </w:rPr>
        <w:t xml:space="preserve"> </w:t>
      </w:r>
      <w:r w:rsidRPr="00B54634">
        <w:rPr>
          <w:rFonts w:ascii="Verdana" w:eastAsia="Calibri" w:hAnsi="Verdana" w:cs="Times New Roman"/>
          <w:sz w:val="20"/>
          <w:szCs w:val="20"/>
        </w:rPr>
        <w:t>en</w:t>
      </w:r>
      <w:r w:rsidRPr="00B54634">
        <w:rPr>
          <w:rFonts w:ascii="Verdana" w:eastAsia="Calibri" w:hAnsi="Verdana" w:cs="Times New Roman"/>
          <w:spacing w:val="-13"/>
          <w:sz w:val="20"/>
          <w:szCs w:val="20"/>
        </w:rPr>
        <w:t xml:space="preserve"> </w:t>
      </w:r>
      <w:r w:rsidRPr="00B54634">
        <w:rPr>
          <w:rFonts w:ascii="Verdana" w:eastAsia="Calibri" w:hAnsi="Verdana" w:cs="Times New Roman"/>
          <w:sz w:val="20"/>
          <w:szCs w:val="20"/>
        </w:rPr>
        <w:t>la</w:t>
      </w:r>
      <w:r w:rsidRPr="00B54634">
        <w:rPr>
          <w:rFonts w:ascii="Verdana" w:eastAsia="Calibri" w:hAnsi="Verdana" w:cs="Times New Roman"/>
          <w:spacing w:val="-13"/>
          <w:sz w:val="20"/>
          <w:szCs w:val="20"/>
        </w:rPr>
        <w:t xml:space="preserve"> </w:t>
      </w:r>
      <w:r w:rsidRPr="00B54634">
        <w:rPr>
          <w:rFonts w:ascii="Verdana" w:eastAsia="Calibri" w:hAnsi="Verdana" w:cs="Times New Roman"/>
          <w:sz w:val="20"/>
          <w:szCs w:val="20"/>
        </w:rPr>
        <w:t>cual</w:t>
      </w:r>
      <w:r w:rsidRPr="00B54634">
        <w:rPr>
          <w:rFonts w:ascii="Verdana" w:eastAsia="Calibri" w:hAnsi="Verdana" w:cs="Times New Roman"/>
          <w:spacing w:val="-12"/>
          <w:sz w:val="20"/>
          <w:szCs w:val="20"/>
        </w:rPr>
        <w:t xml:space="preserve"> </w:t>
      </w:r>
      <w:r w:rsidRPr="00B54634">
        <w:rPr>
          <w:rFonts w:ascii="Verdana" w:eastAsia="Calibri" w:hAnsi="Verdana" w:cs="Times New Roman"/>
          <w:sz w:val="20"/>
          <w:szCs w:val="20"/>
        </w:rPr>
        <w:t>es</w:t>
      </w:r>
      <w:r w:rsidRPr="00B54634">
        <w:rPr>
          <w:rFonts w:ascii="Verdana" w:eastAsia="Calibri" w:hAnsi="Verdana" w:cs="Times New Roman"/>
          <w:spacing w:val="-12"/>
          <w:sz w:val="20"/>
          <w:szCs w:val="20"/>
        </w:rPr>
        <w:t xml:space="preserve"> </w:t>
      </w:r>
      <w:r w:rsidRPr="00B54634">
        <w:rPr>
          <w:rFonts w:ascii="Verdana" w:eastAsia="Calibri" w:hAnsi="Verdana" w:cs="Times New Roman"/>
          <w:sz w:val="20"/>
          <w:szCs w:val="20"/>
        </w:rPr>
        <w:t>donde</w:t>
      </w:r>
      <w:r w:rsidRPr="00B54634">
        <w:rPr>
          <w:rFonts w:ascii="Verdana" w:eastAsia="Calibri" w:hAnsi="Verdana" w:cs="Times New Roman"/>
          <w:spacing w:val="-12"/>
          <w:sz w:val="20"/>
          <w:szCs w:val="20"/>
        </w:rPr>
        <w:t xml:space="preserve"> </w:t>
      </w:r>
      <w:r w:rsidRPr="00B54634">
        <w:rPr>
          <w:rFonts w:ascii="Verdana" w:eastAsia="Calibri" w:hAnsi="Verdana" w:cs="Times New Roman"/>
          <w:sz w:val="20"/>
          <w:szCs w:val="20"/>
        </w:rPr>
        <w:t>la</w:t>
      </w:r>
      <w:r w:rsidRPr="00B54634">
        <w:rPr>
          <w:rFonts w:ascii="Verdana" w:eastAsia="Calibri" w:hAnsi="Verdana" w:cs="Times New Roman"/>
          <w:spacing w:val="-13"/>
          <w:sz w:val="20"/>
          <w:szCs w:val="20"/>
        </w:rPr>
        <w:t xml:space="preserve"> </w:t>
      </w:r>
      <w:r w:rsidRPr="00B54634">
        <w:rPr>
          <w:rFonts w:ascii="Verdana" w:eastAsia="Calibri" w:hAnsi="Verdana" w:cs="Times New Roman"/>
          <w:sz w:val="20"/>
          <w:szCs w:val="20"/>
        </w:rPr>
        <w:t>administración</w:t>
      </w:r>
      <w:r w:rsidRPr="00B54634">
        <w:rPr>
          <w:rFonts w:ascii="Verdana" w:eastAsia="Calibri" w:hAnsi="Verdana" w:cs="Times New Roman"/>
          <w:spacing w:val="-8"/>
          <w:sz w:val="20"/>
          <w:szCs w:val="20"/>
        </w:rPr>
        <w:t xml:space="preserve"> </w:t>
      </w:r>
      <w:r w:rsidRPr="00B54634">
        <w:rPr>
          <w:rFonts w:ascii="Verdana" w:eastAsia="Calibri" w:hAnsi="Verdana" w:cs="Times New Roman"/>
          <w:sz w:val="20"/>
          <w:szCs w:val="20"/>
        </w:rPr>
        <w:t>puede valorar</w:t>
      </w:r>
      <w:r w:rsidRPr="00B54634">
        <w:rPr>
          <w:rFonts w:ascii="Verdana" w:eastAsia="Calibri" w:hAnsi="Verdana" w:cs="Times New Roman"/>
          <w:spacing w:val="-18"/>
          <w:sz w:val="20"/>
          <w:szCs w:val="20"/>
        </w:rPr>
        <w:t xml:space="preserve"> </w:t>
      </w:r>
      <w:r w:rsidRPr="00B54634">
        <w:rPr>
          <w:rFonts w:ascii="Verdana" w:eastAsia="Calibri" w:hAnsi="Verdana" w:cs="Times New Roman"/>
          <w:sz w:val="20"/>
          <w:szCs w:val="20"/>
        </w:rPr>
        <w:t>el</w:t>
      </w:r>
      <w:r w:rsidRPr="00B54634">
        <w:rPr>
          <w:rFonts w:ascii="Verdana" w:eastAsia="Calibri" w:hAnsi="Verdana" w:cs="Times New Roman"/>
          <w:spacing w:val="-18"/>
          <w:sz w:val="20"/>
          <w:szCs w:val="20"/>
        </w:rPr>
        <w:t xml:space="preserve"> </w:t>
      </w:r>
      <w:r w:rsidRPr="00B54634">
        <w:rPr>
          <w:rFonts w:ascii="Verdana" w:eastAsia="Calibri" w:hAnsi="Verdana" w:cs="Times New Roman"/>
          <w:sz w:val="20"/>
          <w:szCs w:val="20"/>
        </w:rPr>
        <w:t>cumplimiento</w:t>
      </w:r>
      <w:r w:rsidRPr="00B54634">
        <w:rPr>
          <w:rFonts w:ascii="Verdana" w:eastAsia="Calibri" w:hAnsi="Verdana" w:cs="Times New Roman"/>
          <w:spacing w:val="-15"/>
          <w:sz w:val="20"/>
          <w:szCs w:val="20"/>
        </w:rPr>
        <w:t xml:space="preserve"> </w:t>
      </w:r>
      <w:r w:rsidRPr="00B54634">
        <w:rPr>
          <w:rFonts w:ascii="Verdana" w:eastAsia="Calibri" w:hAnsi="Verdana" w:cs="Times New Roman"/>
          <w:sz w:val="20"/>
          <w:szCs w:val="20"/>
        </w:rPr>
        <w:t>total</w:t>
      </w:r>
      <w:r w:rsidRPr="00B54634">
        <w:rPr>
          <w:rFonts w:ascii="Verdana" w:eastAsia="Calibri" w:hAnsi="Verdana" w:cs="Times New Roman"/>
          <w:spacing w:val="-17"/>
          <w:sz w:val="20"/>
          <w:szCs w:val="20"/>
        </w:rPr>
        <w:t xml:space="preserve"> </w:t>
      </w:r>
      <w:r w:rsidRPr="00B54634">
        <w:rPr>
          <w:rFonts w:ascii="Verdana" w:eastAsia="Calibri" w:hAnsi="Verdana" w:cs="Times New Roman"/>
          <w:sz w:val="20"/>
          <w:szCs w:val="20"/>
        </w:rPr>
        <w:t>de</w:t>
      </w:r>
      <w:r w:rsidRPr="00B54634">
        <w:rPr>
          <w:rFonts w:ascii="Verdana" w:eastAsia="Calibri" w:hAnsi="Verdana" w:cs="Times New Roman"/>
          <w:spacing w:val="-18"/>
          <w:sz w:val="20"/>
          <w:szCs w:val="20"/>
        </w:rPr>
        <w:t xml:space="preserve"> </w:t>
      </w:r>
      <w:r w:rsidRPr="00B54634">
        <w:rPr>
          <w:rFonts w:ascii="Verdana" w:eastAsia="Calibri" w:hAnsi="Verdana" w:cs="Times New Roman"/>
          <w:sz w:val="20"/>
          <w:szCs w:val="20"/>
        </w:rPr>
        <w:t>las</w:t>
      </w:r>
      <w:r w:rsidRPr="00B54634">
        <w:rPr>
          <w:rFonts w:ascii="Verdana" w:eastAsia="Calibri" w:hAnsi="Verdana" w:cs="Times New Roman"/>
          <w:spacing w:val="-18"/>
          <w:sz w:val="20"/>
          <w:szCs w:val="20"/>
        </w:rPr>
        <w:t xml:space="preserve"> </w:t>
      </w:r>
      <w:r w:rsidRPr="00B54634">
        <w:rPr>
          <w:rFonts w:ascii="Verdana" w:eastAsia="Calibri" w:hAnsi="Verdana" w:cs="Times New Roman"/>
          <w:sz w:val="20"/>
          <w:szCs w:val="20"/>
        </w:rPr>
        <w:t>obligaciones</w:t>
      </w:r>
      <w:r w:rsidRPr="00B54634">
        <w:rPr>
          <w:rFonts w:ascii="Verdana" w:eastAsia="Calibri" w:hAnsi="Verdana" w:cs="Times New Roman"/>
          <w:spacing w:val="-16"/>
          <w:sz w:val="20"/>
          <w:szCs w:val="20"/>
        </w:rPr>
        <w:t xml:space="preserve"> </w:t>
      </w:r>
      <w:r w:rsidRPr="00B54634">
        <w:rPr>
          <w:rFonts w:ascii="Verdana" w:eastAsia="Calibri" w:hAnsi="Verdana" w:cs="Times New Roman"/>
          <w:sz w:val="20"/>
          <w:szCs w:val="20"/>
        </w:rPr>
        <w:t>a</w:t>
      </w:r>
      <w:r w:rsidRPr="00B54634">
        <w:rPr>
          <w:rFonts w:ascii="Verdana" w:eastAsia="Calibri" w:hAnsi="Verdana" w:cs="Times New Roman"/>
          <w:spacing w:val="-19"/>
          <w:sz w:val="20"/>
          <w:szCs w:val="20"/>
        </w:rPr>
        <w:t xml:space="preserve"> </w:t>
      </w:r>
      <w:r w:rsidRPr="00B54634">
        <w:rPr>
          <w:rFonts w:ascii="Verdana" w:eastAsia="Calibri" w:hAnsi="Verdana" w:cs="Times New Roman"/>
          <w:sz w:val="20"/>
          <w:szCs w:val="20"/>
        </w:rPr>
        <w:t>cargo</w:t>
      </w:r>
      <w:r w:rsidRPr="00B54634">
        <w:rPr>
          <w:rFonts w:ascii="Verdana" w:eastAsia="Calibri" w:hAnsi="Verdana" w:cs="Times New Roman"/>
          <w:spacing w:val="-17"/>
          <w:sz w:val="20"/>
          <w:szCs w:val="20"/>
        </w:rPr>
        <w:t xml:space="preserve"> </w:t>
      </w:r>
      <w:r w:rsidRPr="00B54634">
        <w:rPr>
          <w:rFonts w:ascii="Verdana" w:eastAsia="Calibri" w:hAnsi="Verdana" w:cs="Times New Roman"/>
          <w:sz w:val="20"/>
          <w:szCs w:val="20"/>
        </w:rPr>
        <w:t>del</w:t>
      </w:r>
      <w:r w:rsidRPr="00B54634">
        <w:rPr>
          <w:rFonts w:ascii="Verdana" w:eastAsia="Calibri" w:hAnsi="Verdana" w:cs="Times New Roman"/>
          <w:spacing w:val="-18"/>
          <w:sz w:val="20"/>
          <w:szCs w:val="20"/>
        </w:rPr>
        <w:t xml:space="preserve"> </w:t>
      </w:r>
      <w:r w:rsidRPr="00B54634">
        <w:rPr>
          <w:rFonts w:ascii="Verdana" w:eastAsia="Calibri" w:hAnsi="Verdana" w:cs="Times New Roman"/>
          <w:sz w:val="20"/>
          <w:szCs w:val="20"/>
        </w:rPr>
        <w:t>contratista y es la que le pone término a la vinculación de las partes</w:t>
      </w:r>
      <w:r w:rsidRPr="00B54634">
        <w:rPr>
          <w:rFonts w:ascii="Verdana" w:eastAsia="Calibri" w:hAnsi="Verdana" w:cs="Times New Roman"/>
          <w:spacing w:val="-53"/>
          <w:sz w:val="20"/>
          <w:szCs w:val="20"/>
        </w:rPr>
        <w:t xml:space="preserve"> </w:t>
      </w:r>
      <w:r w:rsidRPr="00B54634">
        <w:rPr>
          <w:rFonts w:ascii="Verdana" w:eastAsia="Calibri" w:hAnsi="Verdana" w:cs="Times New Roman"/>
          <w:sz w:val="20"/>
          <w:szCs w:val="20"/>
        </w:rPr>
        <w:t>”</w:t>
      </w:r>
      <w:r w:rsidRPr="00B54634">
        <w:rPr>
          <w:rFonts w:ascii="Verdana" w:eastAsia="Calibri" w:hAnsi="Verdana" w:cs="Times New Roman"/>
          <w:sz w:val="20"/>
          <w:szCs w:val="20"/>
          <w:vertAlign w:val="superscript"/>
        </w:rPr>
        <w:footnoteReference w:id="5"/>
      </w:r>
      <w:r w:rsidRPr="00B54634">
        <w:rPr>
          <w:rFonts w:ascii="Verdana" w:eastAsia="Calibri" w:hAnsi="Verdana" w:cs="Times New Roman"/>
          <w:sz w:val="20"/>
          <w:szCs w:val="20"/>
        </w:rPr>
        <w:t>.</w:t>
      </w:r>
    </w:p>
    <w:p w14:paraId="32BE574C" w14:textId="77777777" w:rsidR="0056484B" w:rsidRPr="00B54634" w:rsidRDefault="0056484B" w:rsidP="0056484B">
      <w:pPr>
        <w:spacing w:before="120" w:after="0" w:line="276" w:lineRule="auto"/>
        <w:jc w:val="both"/>
        <w:rPr>
          <w:rFonts w:ascii="Verdana" w:eastAsia="Calibri" w:hAnsi="Verdana" w:cs="Arial"/>
          <w:color w:val="000000"/>
        </w:rPr>
      </w:pPr>
    </w:p>
    <w:p w14:paraId="4B27CA49" w14:textId="77777777" w:rsidR="0056484B" w:rsidRPr="00B54634" w:rsidRDefault="0056484B" w:rsidP="0056484B">
      <w:pPr>
        <w:spacing w:after="0" w:line="276" w:lineRule="auto"/>
        <w:jc w:val="both"/>
        <w:rPr>
          <w:rFonts w:ascii="Verdana" w:eastAsia="Aptos" w:hAnsi="Verdana" w:cs="Times New Roman"/>
        </w:rPr>
      </w:pPr>
      <w:r w:rsidRPr="00B54634">
        <w:rPr>
          <w:rFonts w:ascii="Verdana" w:eastAsia="Calibri" w:hAnsi="Verdana" w:cs="Arial"/>
          <w:lang w:val="es-ES"/>
        </w:rPr>
        <w:tab/>
        <w:t xml:space="preserve">De lo anterior se colige que, la cobertura mínima del amparo de cumplimiento cubre el </w:t>
      </w:r>
      <w:r w:rsidRPr="00B54634">
        <w:rPr>
          <w:rFonts w:ascii="Verdana" w:eastAsia="Calibri" w:hAnsi="Verdana" w:cs="Arial"/>
          <w:i/>
          <w:iCs/>
          <w:lang w:val="es-ES"/>
        </w:rPr>
        <w:t xml:space="preserve">plazo de ejecución </w:t>
      </w:r>
      <w:r w:rsidRPr="00B54634">
        <w:rPr>
          <w:rFonts w:ascii="Verdana" w:eastAsia="Aptos" w:hAnsi="Verdana" w:cs="Times New Roman"/>
        </w:rPr>
        <w:t xml:space="preserve">y el </w:t>
      </w:r>
      <w:r w:rsidRPr="00B54634">
        <w:rPr>
          <w:rFonts w:ascii="Verdana" w:eastAsia="Aptos" w:hAnsi="Verdana" w:cs="Times New Roman"/>
          <w:i/>
        </w:rPr>
        <w:t>plazo de vigencia</w:t>
      </w:r>
      <w:r w:rsidRPr="00B54634">
        <w:rPr>
          <w:rFonts w:ascii="Verdana" w:eastAsia="Aptos" w:hAnsi="Verdana" w:cs="Times New Roman"/>
        </w:rPr>
        <w:t>, el cual finaliza con la liquidación. Para la doctrina, “[…] el contratista deberá otorgarla con una vigencia igual al plazo del contrato garantizado más el plazo contractual previsto para la liquidación de aquel. En caso de no haberse convenido por las partes un término para la liquidación del contrato, la garantía deberá mantenerse vigente por el término legal previsto para este efecto […]”</w:t>
      </w:r>
      <w:r w:rsidRPr="00B54634">
        <w:rPr>
          <w:rFonts w:ascii="Verdana" w:eastAsia="Aptos" w:hAnsi="Verdana" w:cs="Times New Roman"/>
          <w:vertAlign w:val="superscript"/>
        </w:rPr>
        <w:footnoteReference w:id="6"/>
      </w:r>
      <w:r w:rsidRPr="00B54634">
        <w:rPr>
          <w:rFonts w:ascii="Verdana" w:eastAsia="Aptos" w:hAnsi="Verdana" w:cs="Times New Roman"/>
        </w:rPr>
        <w:t xml:space="preserve">. </w:t>
      </w:r>
    </w:p>
    <w:p w14:paraId="50883DE4" w14:textId="77777777" w:rsidR="0056484B" w:rsidRPr="00B54634" w:rsidRDefault="0056484B" w:rsidP="0056484B">
      <w:pPr>
        <w:spacing w:before="120" w:after="0" w:line="276" w:lineRule="auto"/>
        <w:ind w:firstLine="708"/>
        <w:jc w:val="both"/>
        <w:rPr>
          <w:rFonts w:ascii="Verdana" w:eastAsia="Calibri" w:hAnsi="Verdana" w:cs="Arial"/>
          <w:lang w:val="es-MX"/>
        </w:rPr>
      </w:pPr>
      <w:r w:rsidRPr="00B54634">
        <w:rPr>
          <w:rFonts w:ascii="Verdana" w:eastAsia="Calibri" w:hAnsi="Verdana" w:cs="Arial"/>
          <w:lang w:val="es-MX"/>
        </w:rPr>
        <w:t xml:space="preserve">En ese sentido, se tiene que, las Entidades Estatales sujetas al Estatuto General de Contratación de la Administración Pública, deben liquidar, conforme al artículo 60 de la Ley 80 de 1993: a) los contratos de tracto sucesivo, esto es aquellos cuyas obligaciones se ejecuten de manera periódica o difieren en el tiempo o sucesivamente a medida que se van causando; b) aquellos contratos cuya ejecución o cumplimiento se prolonguen en el tiempo, ya sea por la naturaleza periódica de las prestaciones o por las vicisitudes que se presenten en su ejecución que lo dilaten o prorroguen y; c) los demás que lo requieran, con fundamento en su naturaleza, objeto y plazo, así como su importancia o relevancia o por la eventualidad de discrepancias y controversias en torno a su ejecución; salvo, en los contratos de prestación de servicios profesionales y de apoyo a la gestión, pues en estos no es obligatoria la liquidación. </w:t>
      </w:r>
    </w:p>
    <w:p w14:paraId="15BB38D6" w14:textId="77777777" w:rsidR="0056484B" w:rsidRPr="00B54634" w:rsidRDefault="0056484B" w:rsidP="0056484B">
      <w:pPr>
        <w:spacing w:before="120" w:after="120" w:line="276" w:lineRule="auto"/>
        <w:ind w:firstLine="703"/>
        <w:jc w:val="both"/>
        <w:rPr>
          <w:rFonts w:ascii="Verdana" w:eastAsia="Calibri" w:hAnsi="Verdana" w:cs="Arial"/>
          <w:lang w:val="es-MX"/>
        </w:rPr>
      </w:pPr>
      <w:r w:rsidRPr="00B54634">
        <w:rPr>
          <w:rFonts w:ascii="Verdana" w:eastAsia="Calibri" w:hAnsi="Verdana" w:cs="Arial"/>
          <w:lang w:val="es-MX"/>
        </w:rPr>
        <w:lastRenderedPageBreak/>
        <w:t xml:space="preserve">De esta forma, se aclara que si se cumplen con las condiciones antes señaladas, la entidad contratante deberá determinar sobre cada caso particular y concreto, si procede la liquidación y la forma en la que la adelantará, obedeciendo claramente, a las reglas procedimentales señaladas en el artículo 11 de la Ley 1150 de 2007. Con fundamento en lo estableciendo en el artículo 11 </w:t>
      </w:r>
      <w:r w:rsidRPr="00B54634">
        <w:rPr>
          <w:rFonts w:ascii="Verdana" w:eastAsia="Calibri" w:hAnsi="Verdana" w:cs="Arial"/>
          <w:i/>
          <w:iCs/>
          <w:lang w:val="es-MX"/>
        </w:rPr>
        <w:t>ibidem</w:t>
      </w:r>
      <w:r w:rsidRPr="00B54634">
        <w:rPr>
          <w:rFonts w:ascii="Verdana" w:eastAsia="Calibri" w:hAnsi="Verdana" w:cs="Arial"/>
          <w:lang w:val="es-MX"/>
        </w:rPr>
        <w:t>, las Entidades Estatales en el ejercicio de la autonomía de la voluntad y de conformidad con los criterios de la naturaleza, objeto y plazo del contrato, podrán definir en el pliego de condiciones o en el contrato el plazo para efectuar la liquidación de mutuo acuerdo. Sin embargo, en ausencia de pacto contractual, la referida norma prevé un término supletivo de cuatro (4) meses contados desde: i) el vencimiento del plazo previsto para la ejecución del contrato; ii) la expedición del acto administrativo que ordene la terminación del contrato; o iii) la fecha del acuerdo que disponga la terminación del contrato.</w:t>
      </w:r>
    </w:p>
    <w:p w14:paraId="4A801786" w14:textId="77777777" w:rsidR="0056484B" w:rsidRPr="00B54634" w:rsidRDefault="0056484B" w:rsidP="0056484B">
      <w:pPr>
        <w:spacing w:after="0" w:line="276" w:lineRule="auto"/>
        <w:ind w:firstLine="703"/>
        <w:jc w:val="both"/>
        <w:rPr>
          <w:rFonts w:ascii="Verdana" w:eastAsia="Calibri" w:hAnsi="Verdana" w:cs="Arial"/>
          <w:lang w:val="es-MX"/>
        </w:rPr>
      </w:pPr>
      <w:r w:rsidRPr="00B54634">
        <w:rPr>
          <w:rFonts w:ascii="Verdana" w:eastAsia="Calibri" w:hAnsi="Verdana" w:cs="Arial"/>
          <w:lang w:val="es-MX"/>
        </w:rPr>
        <w:t>Durante dichos términos, el contratista puede solicitar que se adelante el trámite de liquidación. Sin embargo, es responsabilidad de la Entidad Estatal convocarlo para adelantar la liquidación de común acuerdo o notificarlo para que se presente a realizarla</w:t>
      </w:r>
      <w:r w:rsidRPr="00B54634">
        <w:rPr>
          <w:rFonts w:ascii="Aptos" w:eastAsia="Aptos" w:hAnsi="Aptos" w:cs="Times New Roman"/>
          <w:color w:val="000000"/>
          <w:vertAlign w:val="superscript"/>
          <w:lang w:val="es-ES_tradnl"/>
        </w:rPr>
        <w:footnoteReference w:id="7"/>
      </w:r>
      <w:r w:rsidRPr="00B54634">
        <w:rPr>
          <w:rFonts w:ascii="Verdana" w:eastAsia="Calibri" w:hAnsi="Verdana" w:cs="Arial"/>
          <w:color w:val="000000"/>
          <w:lang w:val="es-ES_tradnl"/>
        </w:rPr>
        <w:t>, de manera que el contrato pueda ser liquidado bilateralmente, bien sea en el plazo previsto en el pliego de condiciones, el acordado por las partes, o el supletivo de cuatro (4) meses señalados en la ley, según corresponda. Esta liquidación bilateral puede ser total o parcial</w:t>
      </w:r>
      <w:r w:rsidRPr="00B54634">
        <w:rPr>
          <w:rFonts w:ascii="Aptos" w:eastAsia="Aptos" w:hAnsi="Aptos" w:cs="Times New Roman"/>
          <w:iCs/>
          <w:color w:val="000000"/>
          <w:vertAlign w:val="superscript"/>
          <w:lang w:val="es-ES_tradnl"/>
        </w:rPr>
        <w:footnoteReference w:id="8"/>
      </w:r>
      <w:r w:rsidRPr="00B54634">
        <w:rPr>
          <w:rFonts w:ascii="Verdana" w:eastAsia="Calibri" w:hAnsi="Verdana" w:cs="Arial"/>
          <w:color w:val="000000"/>
          <w:lang w:val="es-ES_tradnl"/>
        </w:rPr>
        <w:t>, y el documento que la contiene presta mérito ejecutivo, siempre que se satisfagan los elementos para considerarlo como tal. Si no es posible efectuar la liquidación de manera bilateral, el ordenamiento jurídico prevé de facultad, de manera subsidiaria, a la Entidad Estatal para que realice la liquidación unilateralmente.</w:t>
      </w:r>
    </w:p>
    <w:p w14:paraId="2F1348D9" w14:textId="77777777" w:rsidR="0056484B" w:rsidRPr="00B54634" w:rsidRDefault="0056484B" w:rsidP="0056484B">
      <w:pPr>
        <w:spacing w:before="120" w:after="0" w:line="276" w:lineRule="auto"/>
        <w:ind w:firstLine="703"/>
        <w:jc w:val="both"/>
        <w:rPr>
          <w:rFonts w:ascii="Verdana" w:eastAsia="Times New Roman" w:hAnsi="Verdana" w:cs="Arial"/>
          <w:color w:val="000000"/>
          <w:lang w:eastAsia="es-ES_tradnl"/>
        </w:rPr>
      </w:pPr>
      <w:r w:rsidRPr="00B54634">
        <w:rPr>
          <w:rFonts w:ascii="Verdana" w:eastAsia="Calibri" w:hAnsi="Verdana" w:cs="Arial"/>
          <w:lang w:val="es-MX"/>
        </w:rPr>
        <w:t xml:space="preserve">Si no es posible efectuar la liquidación </w:t>
      </w:r>
      <w:r w:rsidRPr="00B54634">
        <w:rPr>
          <w:rFonts w:ascii="Verdana" w:eastAsia="Times New Roman" w:hAnsi="Verdana" w:cs="Arial"/>
          <w:color w:val="000000"/>
          <w:bdr w:val="none" w:sz="0" w:space="0" w:color="auto" w:frame="1"/>
          <w:shd w:val="clear" w:color="auto" w:fill="FFFFFF"/>
          <w:lang w:val="es-ES" w:eastAsia="es-ES_tradnl"/>
        </w:rPr>
        <w:t xml:space="preserve">de manera bilateral, el ordenamiento jurídico prevé una facultad, de carácter subsidiario, para que la Entidad Estatal realice la liquidación unilateralmente. En relación con este aspecto, la </w:t>
      </w:r>
      <w:r w:rsidRPr="00B54634">
        <w:rPr>
          <w:rFonts w:ascii="Verdana" w:eastAsia="Times New Roman" w:hAnsi="Verdana" w:cs="Arial"/>
          <w:color w:val="000000"/>
          <w:bdr w:val="none" w:sz="0" w:space="0" w:color="auto" w:frame="1"/>
          <w:shd w:val="clear" w:color="auto" w:fill="FFFFFF"/>
          <w:lang w:val="es-MX" w:eastAsia="es-ES_tradnl"/>
        </w:rPr>
        <w:t xml:space="preserve">Sala de Consulta y Servicio Civil del </w:t>
      </w:r>
      <w:r w:rsidRPr="00B54634">
        <w:rPr>
          <w:rFonts w:ascii="Verdana" w:eastAsia="Times New Roman" w:hAnsi="Verdana" w:cs="Arial"/>
          <w:color w:val="000000"/>
          <w:bdr w:val="none" w:sz="0" w:space="0" w:color="auto" w:frame="1"/>
          <w:shd w:val="clear" w:color="auto" w:fill="FFFFFF"/>
          <w:lang w:val="es-ES" w:eastAsia="es-ES_tradnl"/>
        </w:rPr>
        <w:t>Consejo de Estado</w:t>
      </w:r>
      <w:r w:rsidRPr="00B54634">
        <w:rPr>
          <w:rFonts w:ascii="Verdana" w:eastAsia="Times New Roman" w:hAnsi="Verdana" w:cs="Arial"/>
          <w:color w:val="000000"/>
          <w:bdr w:val="none" w:sz="0" w:space="0" w:color="auto" w:frame="1"/>
          <w:shd w:val="clear" w:color="auto" w:fill="FFFFFF"/>
          <w:lang w:val="es-MX" w:eastAsia="es-ES_tradnl"/>
        </w:rPr>
        <w:t>, en concepto del 28 de junio de 2016, manifestó que:  </w:t>
      </w:r>
    </w:p>
    <w:p w14:paraId="11DE6628" w14:textId="77777777" w:rsidR="0056484B" w:rsidRPr="00B54634" w:rsidRDefault="0056484B" w:rsidP="0056484B">
      <w:pPr>
        <w:spacing w:after="0" w:line="276" w:lineRule="auto"/>
        <w:ind w:left="705" w:right="750"/>
        <w:jc w:val="both"/>
        <w:rPr>
          <w:rFonts w:ascii="Verdana" w:eastAsia="Times New Roman" w:hAnsi="Verdana" w:cs="Arial"/>
          <w:color w:val="000000"/>
          <w:lang w:eastAsia="es-ES_tradnl"/>
        </w:rPr>
      </w:pPr>
    </w:p>
    <w:p w14:paraId="1C01BE49" w14:textId="77777777" w:rsidR="0056484B" w:rsidRPr="00B54634" w:rsidRDefault="0056484B" w:rsidP="0056484B">
      <w:pPr>
        <w:spacing w:after="0" w:line="240" w:lineRule="auto"/>
        <w:ind w:left="705" w:right="750"/>
        <w:jc w:val="both"/>
        <w:rPr>
          <w:rFonts w:ascii="Verdana" w:eastAsia="Times New Roman" w:hAnsi="Verdana" w:cs="Arial"/>
          <w:color w:val="000000"/>
          <w:sz w:val="20"/>
          <w:szCs w:val="20"/>
          <w:lang w:eastAsia="es-ES_tradnl"/>
        </w:rPr>
      </w:pPr>
      <w:r w:rsidRPr="00B54634">
        <w:rPr>
          <w:rFonts w:ascii="Verdana" w:eastAsia="Times New Roman" w:hAnsi="Verdana" w:cs="Arial"/>
          <w:i/>
          <w:iCs/>
          <w:sz w:val="20"/>
          <w:szCs w:val="20"/>
          <w:lang w:val="es-ES_tradnl" w:eastAsia="es-ES_tradnl"/>
        </w:rPr>
        <w:t>“</w:t>
      </w:r>
      <w:r w:rsidRPr="00B54634">
        <w:rPr>
          <w:rFonts w:ascii="Verdana" w:eastAsia="Calibri" w:hAnsi="Verdana" w:cs="Arial"/>
          <w:color w:val="000000"/>
          <w:sz w:val="20"/>
          <w:szCs w:val="20"/>
          <w:lang w:val="es-ES" w:eastAsia="es-ES_tradnl"/>
        </w:rPr>
        <w:t>[</w:t>
      </w:r>
      <w:r w:rsidRPr="00B54634">
        <w:rPr>
          <w:rFonts w:ascii="Verdana" w:eastAsia="Times New Roman" w:hAnsi="Verdana" w:cs="Arial"/>
          <w:color w:val="000000"/>
          <w:sz w:val="20"/>
          <w:szCs w:val="20"/>
          <w:bdr w:val="none" w:sz="0" w:space="0" w:color="auto" w:frame="1"/>
          <w:shd w:val="clear" w:color="auto" w:fill="FFFFFF"/>
          <w:lang w:eastAsia="es-ES_tradnl"/>
        </w:rPr>
        <w:t xml:space="preserve">…] </w:t>
      </w:r>
      <w:r w:rsidRPr="00B54634">
        <w:rPr>
          <w:rFonts w:ascii="Verdana" w:eastAsia="Times New Roman" w:hAnsi="Verdana" w:cs="Arial"/>
          <w:color w:val="000000"/>
          <w:sz w:val="20"/>
          <w:szCs w:val="20"/>
          <w:bdr w:val="none" w:sz="0" w:space="0" w:color="auto"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B54634">
        <w:rPr>
          <w:rFonts w:ascii="Verdana" w:eastAsia="Times New Roman" w:hAnsi="Verdana" w:cs="Arial"/>
          <w:color w:val="000000"/>
          <w:sz w:val="20"/>
          <w:szCs w:val="20"/>
          <w:bdr w:val="none" w:sz="0" w:space="0" w:color="auto" w:frame="1"/>
          <w:shd w:val="clear" w:color="auto" w:fill="FFFFFF"/>
          <w:vertAlign w:val="superscript"/>
          <w:lang w:val="es-MX" w:eastAsia="es-ES_tradnl"/>
        </w:rPr>
        <w:footnoteReference w:id="9"/>
      </w:r>
      <w:r w:rsidRPr="00B54634">
        <w:rPr>
          <w:rFonts w:ascii="Verdana" w:eastAsia="Times New Roman" w:hAnsi="Verdana" w:cs="Arial"/>
          <w:color w:val="000000"/>
          <w:sz w:val="20"/>
          <w:szCs w:val="20"/>
          <w:bdr w:val="none" w:sz="0" w:space="0" w:color="auto" w:frame="1"/>
          <w:shd w:val="clear" w:color="auto" w:fill="FFFFFF"/>
          <w:lang w:val="es-ES" w:eastAsia="es-ES_tradnl"/>
        </w:rPr>
        <w:t>. </w:t>
      </w:r>
      <w:r w:rsidRPr="00B54634">
        <w:rPr>
          <w:rFonts w:ascii="Verdana" w:eastAsia="Times New Roman" w:hAnsi="Verdana" w:cs="Arial"/>
          <w:color w:val="000000"/>
          <w:sz w:val="20"/>
          <w:szCs w:val="20"/>
          <w:bdr w:val="none" w:sz="0" w:space="0" w:color="auto" w:frame="1"/>
          <w:shd w:val="clear" w:color="auto" w:fill="FFFFFF"/>
          <w:lang w:eastAsia="es-ES_tradnl"/>
        </w:rPr>
        <w:t>  </w:t>
      </w:r>
    </w:p>
    <w:p w14:paraId="09EDC160" w14:textId="77777777" w:rsidR="0056484B" w:rsidRPr="00B54634" w:rsidRDefault="0056484B" w:rsidP="0056484B">
      <w:pPr>
        <w:spacing w:after="0" w:line="276" w:lineRule="auto"/>
        <w:ind w:left="705" w:right="750"/>
        <w:jc w:val="both"/>
        <w:rPr>
          <w:rFonts w:ascii="Verdana" w:eastAsia="Times New Roman" w:hAnsi="Verdana" w:cs="Arial"/>
          <w:color w:val="000000"/>
          <w:lang w:eastAsia="es-ES_tradnl"/>
        </w:rPr>
      </w:pPr>
    </w:p>
    <w:p w14:paraId="012044F7" w14:textId="77777777" w:rsidR="0056484B" w:rsidRPr="00B54634" w:rsidRDefault="0056484B" w:rsidP="0056484B">
      <w:pPr>
        <w:spacing w:after="0" w:line="276" w:lineRule="auto"/>
        <w:jc w:val="both"/>
        <w:rPr>
          <w:rFonts w:ascii="Verdana" w:eastAsia="Times New Roman" w:hAnsi="Verdana" w:cs="Arial"/>
          <w:color w:val="000000"/>
          <w:lang w:eastAsia="es-ES_tradnl"/>
        </w:rPr>
      </w:pPr>
      <w:bookmarkStart w:id="3" w:name="_Hlk141851266"/>
      <w:r w:rsidRPr="00B54634">
        <w:rPr>
          <w:rFonts w:ascii="Verdana" w:eastAsia="Times New Roman" w:hAnsi="Verdana" w:cs="Arial"/>
          <w:color w:val="000000"/>
          <w:bdr w:val="none" w:sz="0" w:space="0" w:color="auto" w:frame="1"/>
          <w:shd w:val="clear" w:color="auto" w:fill="FFFFFF"/>
          <w:lang w:val="es-ES" w:eastAsia="es-ES_tradn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 establecido por la ley. </w:t>
      </w:r>
      <w:r w:rsidRPr="00B54634">
        <w:rPr>
          <w:rFonts w:ascii="Verdana" w:eastAsia="Times New Roman" w:hAnsi="Verdana" w:cs="Arial"/>
          <w:color w:val="000000"/>
          <w:lang w:eastAsia="es-ES_tradnl"/>
        </w:rPr>
        <w:t xml:space="preserve"> </w:t>
      </w:r>
      <w:r w:rsidRPr="00B54634">
        <w:rPr>
          <w:rFonts w:ascii="Verdana" w:eastAsia="Times New Roman" w:hAnsi="Verdana" w:cs="Arial"/>
          <w:color w:val="000000"/>
          <w:bdr w:val="none" w:sz="0" w:space="0" w:color="auto" w:frame="1"/>
          <w:shd w:val="clear" w:color="auto" w:fill="FFFFFF"/>
          <w:lang w:val="es-ES" w:eastAsia="es-ES_tradnl"/>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 </w:t>
      </w:r>
      <w:bookmarkEnd w:id="3"/>
      <w:r w:rsidRPr="00B54634">
        <w:rPr>
          <w:rFonts w:ascii="Verdana" w:eastAsia="Times New Roman" w:hAnsi="Verdana" w:cs="Arial"/>
          <w:color w:val="000000"/>
          <w:bdr w:val="none" w:sz="0" w:space="0" w:color="auto" w:frame="1"/>
          <w:shd w:val="clear" w:color="auto" w:fill="FFFFFF"/>
          <w:lang w:val="es-ES" w:eastAsia="es-ES_tradnl"/>
        </w:rPr>
        <w:t xml:space="preserve">En este sentido, en decisión de unificación de la </w:t>
      </w:r>
      <w:r w:rsidRPr="00B54634">
        <w:rPr>
          <w:rFonts w:ascii="Verdana" w:eastAsia="Times New Roman" w:hAnsi="Verdana" w:cs="Arial"/>
          <w:color w:val="000000"/>
          <w:bdr w:val="none" w:sz="0" w:space="0" w:color="auto" w:frame="1"/>
          <w:shd w:val="clear" w:color="auto" w:fill="FFFFFF"/>
          <w:lang w:val="es-MX" w:eastAsia="es-ES_tradnl"/>
        </w:rPr>
        <w:t>Sección Tercera</w:t>
      </w:r>
      <w:r w:rsidRPr="00B54634">
        <w:rPr>
          <w:rFonts w:ascii="Verdana" w:eastAsia="Times New Roman" w:hAnsi="Verdana" w:cs="Arial"/>
          <w:color w:val="000000"/>
          <w:bdr w:val="none" w:sz="0" w:space="0" w:color="auto" w:frame="1"/>
          <w:shd w:val="clear" w:color="auto" w:fill="FFFFFF"/>
          <w:lang w:val="es-ES" w:eastAsia="es-ES_tradnl"/>
        </w:rPr>
        <w:t xml:space="preserve"> del Consejo de Estado del</w:t>
      </w:r>
      <w:r w:rsidRPr="00B54634">
        <w:rPr>
          <w:rFonts w:ascii="Verdana" w:eastAsia="Times New Roman" w:hAnsi="Verdana" w:cs="Arial"/>
          <w:color w:val="000000"/>
          <w:bdr w:val="none" w:sz="0" w:space="0" w:color="auto" w:frame="1"/>
          <w:shd w:val="clear" w:color="auto" w:fill="FFFFFF"/>
          <w:lang w:val="es-MX" w:eastAsia="es-ES_tradnl"/>
        </w:rPr>
        <w:t> </w:t>
      </w:r>
      <w:r w:rsidRPr="00B54634">
        <w:rPr>
          <w:rFonts w:ascii="Verdana" w:eastAsia="Times New Roman" w:hAnsi="Verdana" w:cs="Arial"/>
          <w:color w:val="000000"/>
          <w:bdr w:val="none" w:sz="0" w:space="0" w:color="auto" w:frame="1"/>
          <w:shd w:val="clear" w:color="auto" w:fill="FFFFFF"/>
          <w:lang w:eastAsia="es-ES_tradnl"/>
        </w:rPr>
        <w:t>1 de agosto de 2019, se expresó: </w:t>
      </w:r>
    </w:p>
    <w:p w14:paraId="4E0256FA" w14:textId="77777777" w:rsidR="0056484B" w:rsidRPr="00B54634" w:rsidRDefault="0056484B" w:rsidP="0056484B">
      <w:pPr>
        <w:spacing w:after="0" w:line="276" w:lineRule="auto"/>
        <w:ind w:firstLine="705"/>
        <w:jc w:val="both"/>
        <w:rPr>
          <w:rFonts w:ascii="Verdana" w:eastAsia="Times New Roman" w:hAnsi="Verdana" w:cs="Arial"/>
          <w:color w:val="000000"/>
          <w:lang w:eastAsia="es-ES_tradnl"/>
        </w:rPr>
      </w:pPr>
    </w:p>
    <w:p w14:paraId="4ACF84D8" w14:textId="77777777" w:rsidR="0056484B" w:rsidRPr="00B54634" w:rsidRDefault="0056484B" w:rsidP="0056484B">
      <w:pPr>
        <w:spacing w:after="0" w:line="240" w:lineRule="auto"/>
        <w:ind w:left="705" w:right="750"/>
        <w:jc w:val="both"/>
        <w:rPr>
          <w:rFonts w:ascii="Verdana" w:eastAsia="Times New Roman" w:hAnsi="Verdana" w:cs="Arial"/>
          <w:color w:val="000000"/>
          <w:sz w:val="20"/>
          <w:szCs w:val="20"/>
          <w:lang w:eastAsia="es-ES_tradnl"/>
        </w:rPr>
      </w:pPr>
      <w:r w:rsidRPr="00B54634">
        <w:rPr>
          <w:rFonts w:ascii="Verdana" w:eastAsia="Times New Roman" w:hAnsi="Verdana" w:cs="Arial"/>
          <w:sz w:val="20"/>
          <w:szCs w:val="20"/>
          <w:lang w:val="es-ES_tradnl" w:eastAsia="es-ES_tradnl"/>
        </w:rPr>
        <w:t>“</w:t>
      </w:r>
      <w:r w:rsidRPr="00B54634">
        <w:rPr>
          <w:rFonts w:ascii="Verdana" w:eastAsia="Times New Roman" w:hAnsi="Verdana" w:cs="Arial"/>
          <w:color w:val="000000"/>
          <w:sz w:val="20"/>
          <w:szCs w:val="20"/>
          <w:bdr w:val="none" w:sz="0" w:space="0" w:color="auto" w:frame="1"/>
          <w:shd w:val="clear" w:color="auto" w:fill="FFFFFF"/>
          <w:lang w:val="es-ES" w:eastAsia="es-ES_tradnl"/>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liquidatorio se logre dentro del lapso de dos años contados a partir del vencimiento del término legalmente conocido para la liquidación unilateral, pues ese es el lapso que el ordenamiento ha fijado para el ejercicio oportuno de la acción</w:t>
      </w:r>
      <w:r w:rsidRPr="00B54634">
        <w:rPr>
          <w:rFonts w:ascii="Verdana" w:eastAsia="Times New Roman" w:hAnsi="Verdana" w:cs="Arial"/>
          <w:sz w:val="20"/>
          <w:szCs w:val="20"/>
          <w:lang w:val="es-ES_tradnl" w:eastAsia="es-ES_tradnl"/>
        </w:rPr>
        <w:t>”</w:t>
      </w:r>
      <w:r w:rsidRPr="00B54634">
        <w:rPr>
          <w:rFonts w:ascii="Verdana" w:eastAsia="Times New Roman" w:hAnsi="Verdana" w:cs="Arial"/>
          <w:color w:val="000000"/>
          <w:sz w:val="20"/>
          <w:szCs w:val="20"/>
          <w:bdr w:val="none" w:sz="0" w:space="0" w:color="auto" w:frame="1"/>
          <w:shd w:val="clear" w:color="auto" w:fill="FFFFFF"/>
          <w:vertAlign w:val="superscript"/>
          <w:lang w:eastAsia="es-ES_tradnl"/>
        </w:rPr>
        <w:t xml:space="preserve"> </w:t>
      </w:r>
      <w:r w:rsidRPr="00B54634">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0"/>
      </w:r>
      <w:r w:rsidRPr="00B54634">
        <w:rPr>
          <w:rFonts w:ascii="Verdana" w:eastAsia="Times New Roman" w:hAnsi="Verdana" w:cs="Arial"/>
          <w:sz w:val="20"/>
          <w:szCs w:val="20"/>
          <w:lang w:val="es-ES_tradnl" w:eastAsia="es-ES_tradnl"/>
        </w:rPr>
        <w:t>.</w:t>
      </w:r>
      <w:r w:rsidRPr="00B54634">
        <w:rPr>
          <w:rFonts w:ascii="Verdana" w:eastAsia="Times New Roman" w:hAnsi="Verdana" w:cs="Arial"/>
          <w:color w:val="000000"/>
          <w:sz w:val="20"/>
          <w:szCs w:val="20"/>
          <w:bdr w:val="none" w:sz="0" w:space="0" w:color="auto" w:frame="1"/>
          <w:shd w:val="clear" w:color="auto" w:fill="FFFFFF"/>
          <w:lang w:val="es-ES" w:eastAsia="es-ES_tradnl"/>
        </w:rPr>
        <w:t> </w:t>
      </w:r>
    </w:p>
    <w:p w14:paraId="1628377A" w14:textId="77777777" w:rsidR="0056484B" w:rsidRPr="00B54634" w:rsidRDefault="0056484B" w:rsidP="0056484B">
      <w:pPr>
        <w:spacing w:after="0" w:line="276" w:lineRule="auto"/>
        <w:ind w:firstLine="708"/>
        <w:jc w:val="both"/>
        <w:rPr>
          <w:rFonts w:ascii="Verdana" w:eastAsia="Times New Roman" w:hAnsi="Verdana" w:cs="Arial"/>
          <w:color w:val="000000"/>
          <w:lang w:eastAsia="es-ES_tradnl"/>
        </w:rPr>
      </w:pPr>
    </w:p>
    <w:p w14:paraId="1FE4F11B" w14:textId="77777777" w:rsidR="0056484B" w:rsidRPr="00B54634" w:rsidRDefault="0056484B" w:rsidP="0056484B">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sidRPr="00B54634">
        <w:rPr>
          <w:rFonts w:ascii="Verdana" w:eastAsia="Times New Roman" w:hAnsi="Verdana" w:cs="Arial"/>
          <w:color w:val="000000"/>
          <w:bdr w:val="none" w:sz="0" w:space="0" w:color="auto" w:frame="1"/>
          <w:shd w:val="clear" w:color="auto" w:fill="FFFFFF"/>
          <w:lang w:eastAsia="es-ES_tradnl"/>
        </w:rPr>
        <w:t xml:space="preserve">A su turno, la liquidación judicial hace parte de una de las pretensiones que admite el medio de control de controversias contractuales. Al respecto, el artículo 141 de la Ley 1437 de 2011 dispone que “[…] el interesado podrá </w:t>
      </w:r>
      <w:bookmarkStart w:id="4" w:name="_Hlk172560769"/>
      <w:r w:rsidRPr="00B54634">
        <w:rPr>
          <w:rFonts w:ascii="Verdana" w:eastAsia="Times New Roman" w:hAnsi="Verdana" w:cs="Arial"/>
          <w:color w:val="000000"/>
          <w:bdr w:val="none" w:sz="0" w:space="0" w:color="auto" w:frame="1"/>
          <w:shd w:val="clear" w:color="auto" w:fill="FFFFFF"/>
          <w:lang w:eastAsia="es-ES_tradnl"/>
        </w:rPr>
        <w:t>solicitar la liquidación judicial</w:t>
      </w:r>
      <w:bookmarkEnd w:id="4"/>
      <w:r w:rsidRPr="00B54634">
        <w:rPr>
          <w:rFonts w:ascii="Verdana" w:eastAsia="Times New Roman" w:hAnsi="Verdana" w:cs="Arial"/>
          <w:color w:val="000000"/>
          <w:bdr w:val="none" w:sz="0" w:space="0" w:color="auto" w:frame="1"/>
          <w:shd w:val="clear" w:color="auto" w:fill="FFFFFF"/>
          <w:lang w:eastAsia="es-ES_tradnl"/>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 Bajo esta perspectiva, para la entidad cesa la facultad de liquidar bilateral o unilateralmente, ya que el tema pasa de la administración a la jurisdicción.</w:t>
      </w:r>
    </w:p>
    <w:p w14:paraId="2D024B9D" w14:textId="77777777" w:rsidR="0056484B" w:rsidRPr="00B54634" w:rsidRDefault="0056484B" w:rsidP="0056484B">
      <w:pPr>
        <w:tabs>
          <w:tab w:val="left" w:pos="709"/>
        </w:tabs>
        <w:spacing w:after="120" w:line="276" w:lineRule="auto"/>
        <w:jc w:val="both"/>
        <w:rPr>
          <w:rFonts w:ascii="Verdana" w:eastAsia="Times New Roman" w:hAnsi="Verdana" w:cs="Arial"/>
          <w:color w:val="000000"/>
          <w:bdr w:val="none" w:sz="0" w:space="0" w:color="auto" w:frame="1"/>
          <w:shd w:val="clear" w:color="auto" w:fill="FFFFFF"/>
          <w:lang w:val="es-ES" w:eastAsia="es-ES"/>
        </w:rPr>
      </w:pPr>
      <w:r w:rsidRPr="00B54634">
        <w:rPr>
          <w:rFonts w:ascii="Verdana" w:eastAsia="Times New Roman" w:hAnsi="Verdana" w:cs="Arial"/>
          <w:color w:val="000000"/>
          <w:bdr w:val="none" w:sz="0" w:space="0" w:color="auto" w:frame="1"/>
          <w:shd w:val="clear" w:color="auto" w:fill="FFFFFF"/>
          <w:lang w:eastAsia="es-ES_tradnl"/>
        </w:rPr>
        <w:tab/>
      </w:r>
      <w:r w:rsidRPr="00B54634">
        <w:rPr>
          <w:rFonts w:ascii="Verdana" w:eastAsia="Times New Roman" w:hAnsi="Verdana" w:cs="Arial"/>
          <w:color w:val="000000"/>
          <w:bdr w:val="none" w:sz="0" w:space="0" w:color="auto" w:frame="1"/>
          <w:shd w:val="clear" w:color="auto" w:fill="FFFFFF"/>
          <w:lang w:val="es-ES" w:eastAsia="es-ES"/>
        </w:rPr>
        <w:t>En suma, de acuerdo con el artículo 11 de la Ley 1150 de 2007, existen tres (3) tipos de liquidación: i) bilateral, ii) unilateral y iii)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p>
    <w:p w14:paraId="4C1B7F5B" w14:textId="77777777" w:rsidR="0056484B" w:rsidRPr="00B54634" w:rsidRDefault="0056484B" w:rsidP="0056484B">
      <w:pPr>
        <w:spacing w:after="0" w:line="276" w:lineRule="auto"/>
        <w:ind w:firstLine="708"/>
        <w:jc w:val="both"/>
        <w:rPr>
          <w:rFonts w:ascii="Verdana" w:eastAsia="Times New Roman" w:hAnsi="Verdana" w:cs="Arial"/>
          <w:color w:val="000000"/>
          <w:lang w:eastAsia="es-CO"/>
        </w:rPr>
      </w:pPr>
      <w:r w:rsidRPr="00B54634">
        <w:rPr>
          <w:rFonts w:ascii="Verdana" w:eastAsia="Times New Roman" w:hAnsi="Verdana" w:cs="Arial"/>
          <w:color w:val="000000"/>
          <w:lang w:eastAsia="es-CO"/>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Asimismo, la doctrina señala que:</w:t>
      </w:r>
    </w:p>
    <w:p w14:paraId="55F19E2C" w14:textId="77777777" w:rsidR="0056484B" w:rsidRPr="00B54634" w:rsidRDefault="0056484B" w:rsidP="0056484B">
      <w:pPr>
        <w:spacing w:after="0" w:line="276" w:lineRule="auto"/>
        <w:jc w:val="both"/>
        <w:rPr>
          <w:rFonts w:ascii="Verdana" w:eastAsia="Times New Roman" w:hAnsi="Verdana" w:cs="Arial"/>
          <w:color w:val="000000"/>
          <w:lang w:eastAsia="es-CO"/>
        </w:rPr>
      </w:pPr>
    </w:p>
    <w:p w14:paraId="314DEF34" w14:textId="77777777" w:rsidR="0056484B" w:rsidRPr="00B54634" w:rsidRDefault="0056484B" w:rsidP="0056484B">
      <w:pPr>
        <w:spacing w:after="0" w:line="240" w:lineRule="auto"/>
        <w:ind w:left="709" w:right="709"/>
        <w:jc w:val="both"/>
        <w:rPr>
          <w:rFonts w:ascii="Verdana" w:eastAsia="Times New Roman" w:hAnsi="Verdana" w:cs="Arial"/>
          <w:color w:val="000000"/>
          <w:sz w:val="20"/>
          <w:szCs w:val="20"/>
          <w:lang w:eastAsia="es-CO"/>
        </w:rPr>
      </w:pPr>
      <w:r w:rsidRPr="00B54634">
        <w:rPr>
          <w:rFonts w:ascii="Verdana" w:eastAsia="Times New Roman" w:hAnsi="Verdana" w:cs="Arial"/>
          <w:color w:val="000000"/>
          <w:sz w:val="20"/>
          <w:szCs w:val="20"/>
          <w:lang w:eastAsia="es-CO"/>
        </w:rPr>
        <w:t xml:space="preserve">“Suele argüirse, en la práctica, que es factible efectuar la liquidación del contrato, así haya operado la caducidad de la acción, con base en la </w:t>
      </w:r>
      <w:r w:rsidRPr="00B54634">
        <w:rPr>
          <w:rFonts w:ascii="Verdana" w:eastAsia="Times New Roman" w:hAnsi="Verdana" w:cs="Arial"/>
          <w:color w:val="000000"/>
          <w:sz w:val="20"/>
          <w:szCs w:val="20"/>
          <w:lang w:eastAsia="es-CO"/>
        </w:rPr>
        <w:lastRenderedPageBreak/>
        <w:t>existencia de una obligación natural, que fundamentaría pagarle al contratista lo que se le debe. Sin embargo, se trata de una posición equivocada, pues si bien el artículo 1527 del Código Civil establece que las obligaciones naturales son ‘las que no confieren derecho para exigir su cumplimiento, pero que cumplidas autorizan para retener lo que se ha dado o pagado, en razón de ellas’, los servidores públicos no puede reconocer acreencias inexigibles, sino cuentan con la competencia expresa para hacerlo, pues estaría desbordando el marco de sus atribuciones constitucionales, legales y reglamentarias. Además, del concepto mismo de obligación natural no se deduce la consagración de la competencia para liquidar el contrato estatal, luego de expirado el término de caducidad del medio de control de controversias contractuales”</w:t>
      </w:r>
      <w:r w:rsidRPr="00B54634">
        <w:rPr>
          <w:rFonts w:ascii="Verdana" w:eastAsia="Times New Roman" w:hAnsi="Verdana" w:cs="Arial"/>
          <w:color w:val="000000"/>
          <w:sz w:val="20"/>
          <w:szCs w:val="20"/>
          <w:vertAlign w:val="superscript"/>
          <w:lang w:eastAsia="es-CO"/>
        </w:rPr>
        <w:footnoteReference w:id="11"/>
      </w:r>
      <w:r w:rsidRPr="00B54634">
        <w:rPr>
          <w:rFonts w:ascii="Verdana" w:eastAsia="Times New Roman" w:hAnsi="Verdana" w:cs="Arial"/>
          <w:color w:val="000000"/>
          <w:sz w:val="20"/>
          <w:szCs w:val="20"/>
          <w:lang w:eastAsia="es-CO"/>
        </w:rPr>
        <w:t xml:space="preserve">.   </w:t>
      </w:r>
    </w:p>
    <w:p w14:paraId="15DE62FA" w14:textId="77777777" w:rsidR="0056484B" w:rsidRPr="00B54634" w:rsidRDefault="0056484B" w:rsidP="0056484B">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0F87D66F" w14:textId="77777777" w:rsidR="0056484B" w:rsidRPr="00B54634" w:rsidRDefault="0056484B" w:rsidP="0056484B">
      <w:pPr>
        <w:tabs>
          <w:tab w:val="left" w:pos="709"/>
        </w:tabs>
        <w:spacing w:after="0" w:line="276" w:lineRule="auto"/>
        <w:jc w:val="both"/>
        <w:rPr>
          <w:rFonts w:ascii="Verdana" w:eastAsia="Calibri" w:hAnsi="Verdana" w:cs="Arial"/>
          <w:color w:val="000000"/>
          <w:lang w:val="es-ES" w:eastAsia="es-ES"/>
        </w:rPr>
      </w:pPr>
      <w:r w:rsidRPr="00B54634">
        <w:rPr>
          <w:rFonts w:ascii="Verdana" w:eastAsia="Calibri" w:hAnsi="Verdana" w:cs="Arial"/>
          <w:color w:val="000000"/>
          <w:lang w:val="es-ES" w:eastAsia="es-ES"/>
        </w:rPr>
        <w:t xml:space="preserve">En consecuencia, dentro de los límites previstos en el literal j) del artículo 164.2 de la Ley 1437 de 2011,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 </w:t>
      </w:r>
    </w:p>
    <w:p w14:paraId="693A09FB" w14:textId="77777777" w:rsidR="0056484B" w:rsidRPr="00B54634" w:rsidRDefault="0056484B" w:rsidP="0056484B">
      <w:pPr>
        <w:spacing w:before="120" w:after="120" w:line="276" w:lineRule="auto"/>
        <w:ind w:firstLine="709"/>
        <w:jc w:val="both"/>
        <w:rPr>
          <w:rFonts w:ascii="Verdana" w:eastAsia="Calibri" w:hAnsi="Verdana" w:cs="Arial"/>
          <w:lang w:eastAsia="es-ES_tradnl"/>
          <w14:ligatures w14:val="standardContextual"/>
        </w:rPr>
      </w:pPr>
      <w:r w:rsidRPr="00B54634">
        <w:rPr>
          <w:rFonts w:ascii="Verdana" w:eastAsia="Calibri" w:hAnsi="Verdana" w:cs="Arial"/>
          <w:lang w:eastAsia="es-ES_tradnl"/>
          <w14:ligatures w14:val="standardContextual"/>
        </w:rPr>
        <w:t>Dentro de este marco, los interesados adoptarán las medidas que estimen pertinentes respecto a la vigencia del amparo de cumplimiento después de que haya vencido el término para liquidar el contrato, pues 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 Por lo demás, como la Agencia no es una instancia revisora de las entidades estatales ni tiene competencia para resolver temas litigiosos en materia contractual, no existe un registro estadístico de los casos solicitados ni de la forma en que fueron solucionados.</w:t>
      </w:r>
    </w:p>
    <w:p w14:paraId="729DE215" w14:textId="77777777" w:rsidR="0056484B" w:rsidRPr="00B54634" w:rsidRDefault="0056484B" w:rsidP="0056484B">
      <w:pPr>
        <w:tabs>
          <w:tab w:val="left" w:pos="709"/>
        </w:tabs>
        <w:spacing w:before="120" w:after="0" w:line="276" w:lineRule="auto"/>
        <w:jc w:val="both"/>
        <w:rPr>
          <w:rFonts w:ascii="Verdana" w:eastAsia="Calibri" w:hAnsi="Verdana" w:cs="Arial"/>
        </w:rPr>
      </w:pPr>
      <w:r w:rsidRPr="00B54634">
        <w:rPr>
          <w:rFonts w:ascii="Verdana" w:eastAsia="Calibri" w:hAnsi="Verdana" w:cs="Arial"/>
        </w:rPr>
        <w:tab/>
        <w:t xml:space="preserve">Finalmente debe advertirse que el análisis requerido para resolver problemas específicos a la liquidación de los contratos estatales, debe ser </w:t>
      </w:r>
      <w:r w:rsidRPr="00B54634">
        <w:rPr>
          <w:rFonts w:ascii="Verdana" w:eastAsia="Calibri" w:hAnsi="Verdana" w:cs="Arial"/>
        </w:rPr>
        <w:lastRenderedPageBreak/>
        <w:t xml:space="preserve">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2DF74228" w14:textId="77777777" w:rsidR="0056484B" w:rsidRPr="00B54634" w:rsidRDefault="0056484B" w:rsidP="0056484B">
      <w:pPr>
        <w:spacing w:after="0" w:line="276" w:lineRule="auto"/>
        <w:ind w:firstLine="708"/>
        <w:jc w:val="both"/>
        <w:rPr>
          <w:rFonts w:ascii="Verdana" w:eastAsia="Calibri" w:hAnsi="Verdana" w:cs="Arial"/>
        </w:rPr>
      </w:pPr>
    </w:p>
    <w:p w14:paraId="01B1BC32" w14:textId="77777777" w:rsidR="0056484B" w:rsidRPr="00B54634" w:rsidRDefault="0056484B" w:rsidP="0056484B">
      <w:pPr>
        <w:widowControl w:val="0"/>
        <w:autoSpaceDE w:val="0"/>
        <w:autoSpaceDN w:val="0"/>
        <w:spacing w:before="1" w:after="0" w:line="240" w:lineRule="auto"/>
        <w:outlineLvl w:val="0"/>
        <w:rPr>
          <w:rFonts w:ascii="Arial" w:eastAsia="Arial" w:hAnsi="Arial" w:cs="Arial"/>
          <w:b/>
          <w:bCs/>
          <w:lang w:val="es-ES"/>
        </w:rPr>
      </w:pPr>
      <w:r w:rsidRPr="00B54634">
        <w:rPr>
          <w:rFonts w:ascii="Arial" w:eastAsia="Arial" w:hAnsi="Arial" w:cs="Arial"/>
          <w:b/>
          <w:bCs/>
          <w:lang w:val="es-ES"/>
        </w:rPr>
        <w:t xml:space="preserve">4. </w:t>
      </w:r>
      <w:r w:rsidRPr="00B54634">
        <w:rPr>
          <w:rFonts w:ascii="Verdana" w:eastAsia="Arial" w:hAnsi="Verdana" w:cs="Arial"/>
          <w:b/>
          <w:bCs/>
          <w:lang w:val="es-ES"/>
        </w:rPr>
        <w:t>Referencias normativas, jurisprudenciales y otras fuentes:</w:t>
      </w:r>
    </w:p>
    <w:p w14:paraId="1A8D7E77" w14:textId="77777777" w:rsidR="0056484B" w:rsidRPr="00B54634" w:rsidRDefault="0056484B" w:rsidP="0056484B">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6484B" w:rsidRPr="00B54634" w14:paraId="32F057B5" w14:textId="77777777" w:rsidTr="006D3B8D">
        <w:trPr>
          <w:trHeight w:val="870"/>
        </w:trPr>
        <w:tc>
          <w:tcPr>
            <w:tcW w:w="8647" w:type="dxa"/>
          </w:tcPr>
          <w:p w14:paraId="41396CD4" w14:textId="77777777" w:rsidR="0056484B" w:rsidRPr="00B54634" w:rsidRDefault="0056484B" w:rsidP="0056484B">
            <w:pPr>
              <w:widowControl w:val="0"/>
              <w:numPr>
                <w:ilvl w:val="0"/>
                <w:numId w:val="1"/>
              </w:numPr>
              <w:autoSpaceDE w:val="0"/>
              <w:autoSpaceDN w:val="0"/>
              <w:spacing w:after="120" w:line="276" w:lineRule="auto"/>
              <w:contextualSpacing/>
              <w:jc w:val="both"/>
              <w:rPr>
                <w:rFonts w:ascii="Verdana" w:eastAsia="Aptos" w:hAnsi="Verdana" w:cs="Arial"/>
              </w:rPr>
            </w:pPr>
            <w:r w:rsidRPr="00B54634">
              <w:rPr>
                <w:rFonts w:ascii="Verdana" w:eastAsia="Calibri" w:hAnsi="Verdana" w:cs="Arial"/>
                <w:lang w:val="es-ES"/>
              </w:rPr>
              <w:t>Ley 80 de 1993. Artículo 41 y 60.</w:t>
            </w:r>
          </w:p>
          <w:p w14:paraId="5310EA70" w14:textId="77777777" w:rsidR="0056484B" w:rsidRPr="00B54634" w:rsidRDefault="0056484B" w:rsidP="0056484B">
            <w:pPr>
              <w:widowControl w:val="0"/>
              <w:numPr>
                <w:ilvl w:val="0"/>
                <w:numId w:val="1"/>
              </w:numPr>
              <w:autoSpaceDE w:val="0"/>
              <w:autoSpaceDN w:val="0"/>
              <w:spacing w:line="276" w:lineRule="auto"/>
              <w:contextualSpacing/>
              <w:jc w:val="both"/>
              <w:rPr>
                <w:rFonts w:ascii="Verdana" w:eastAsia="Aptos" w:hAnsi="Verdana" w:cs="Arial"/>
              </w:rPr>
            </w:pPr>
            <w:r w:rsidRPr="00B54634">
              <w:rPr>
                <w:rFonts w:ascii="Verdana" w:eastAsia="Calibri" w:hAnsi="Verdana" w:cs="Arial"/>
                <w:lang w:val="es-ES"/>
              </w:rPr>
              <w:t>Ley 1150 de 2007. Artículo 7 y 11</w:t>
            </w:r>
          </w:p>
          <w:p w14:paraId="4AFEBA55" w14:textId="77777777" w:rsidR="0056484B" w:rsidRPr="00B54634" w:rsidRDefault="0056484B" w:rsidP="0056484B">
            <w:pPr>
              <w:numPr>
                <w:ilvl w:val="0"/>
                <w:numId w:val="1"/>
              </w:numPr>
              <w:contextualSpacing/>
              <w:rPr>
                <w:rFonts w:ascii="Verdana" w:eastAsia="Aptos" w:hAnsi="Verdana" w:cs="Arial"/>
              </w:rPr>
            </w:pPr>
            <w:r w:rsidRPr="00B54634">
              <w:rPr>
                <w:rFonts w:ascii="Verdana" w:eastAsia="Aptos" w:hAnsi="Verdana" w:cs="Arial"/>
              </w:rPr>
              <w:t xml:space="preserve">Decreto 1082 de 2015, artículo 2.2.1.2.3.1.18. </w:t>
            </w:r>
          </w:p>
          <w:p w14:paraId="293F1B15" w14:textId="77777777" w:rsidR="0056484B" w:rsidRPr="00B54634" w:rsidRDefault="0056484B" w:rsidP="0056484B">
            <w:pPr>
              <w:widowControl w:val="0"/>
              <w:numPr>
                <w:ilvl w:val="0"/>
                <w:numId w:val="1"/>
              </w:numPr>
              <w:autoSpaceDE w:val="0"/>
              <w:autoSpaceDN w:val="0"/>
              <w:spacing w:line="276" w:lineRule="auto"/>
              <w:contextualSpacing/>
              <w:jc w:val="both"/>
              <w:rPr>
                <w:rFonts w:ascii="Verdana" w:eastAsia="Aptos" w:hAnsi="Verdana" w:cs="Arial"/>
              </w:rPr>
            </w:pPr>
            <w:r w:rsidRPr="00B54634">
              <w:rPr>
                <w:rFonts w:ascii="Verdana" w:eastAsia="Aptos" w:hAnsi="Verdana" w:cs="Arial"/>
              </w:rPr>
              <w:t>Decreto 19 de 2012. Artículo 217</w:t>
            </w:r>
          </w:p>
          <w:p w14:paraId="74FEC40D" w14:textId="77777777" w:rsidR="0056484B" w:rsidRPr="00B54634" w:rsidRDefault="0056484B" w:rsidP="0056484B">
            <w:pPr>
              <w:widowControl w:val="0"/>
              <w:numPr>
                <w:ilvl w:val="0"/>
                <w:numId w:val="1"/>
              </w:numPr>
              <w:autoSpaceDE w:val="0"/>
              <w:autoSpaceDN w:val="0"/>
              <w:spacing w:line="276" w:lineRule="auto"/>
              <w:contextualSpacing/>
              <w:jc w:val="both"/>
              <w:rPr>
                <w:rFonts w:ascii="Verdana" w:eastAsia="Aptos" w:hAnsi="Verdana" w:cs="Arial"/>
              </w:rPr>
            </w:pPr>
            <w:r w:rsidRPr="00B54634">
              <w:rPr>
                <w:rFonts w:ascii="Verdana" w:eastAsia="Aptos" w:hAnsi="Verdana" w:cs="Arial"/>
              </w:rPr>
              <w:t xml:space="preserve">Guía para la Liquidación de los Procesos de Contratación. Disponible </w:t>
            </w:r>
            <w:hyperlink r:id="rId12" w:history="1">
              <w:r w:rsidRPr="00B54634">
                <w:rPr>
                  <w:rFonts w:ascii="Verdana" w:eastAsia="Aptos" w:hAnsi="Verdana" w:cs="Arial"/>
                  <w:color w:val="467886"/>
                  <w:u w:val="single"/>
                </w:rPr>
                <w:t>aquí</w:t>
              </w:r>
            </w:hyperlink>
          </w:p>
          <w:p w14:paraId="6CB4153D" w14:textId="77777777" w:rsidR="0056484B" w:rsidRPr="00B54634" w:rsidRDefault="0056484B" w:rsidP="0056484B">
            <w:pPr>
              <w:widowControl w:val="0"/>
              <w:numPr>
                <w:ilvl w:val="0"/>
                <w:numId w:val="1"/>
              </w:numPr>
              <w:autoSpaceDE w:val="0"/>
              <w:autoSpaceDN w:val="0"/>
              <w:spacing w:line="276" w:lineRule="auto"/>
              <w:contextualSpacing/>
              <w:jc w:val="both"/>
              <w:rPr>
                <w:rFonts w:ascii="Verdana" w:eastAsia="Aptos" w:hAnsi="Verdana" w:cs="Arial"/>
              </w:rPr>
            </w:pPr>
            <w:r w:rsidRPr="00B54634">
              <w:rPr>
                <w:rFonts w:ascii="Verdana" w:eastAsia="Calibri" w:hAnsi="Verdana" w:cs="Arial"/>
                <w:lang w:eastAsia="es-ES" w:bidi="es-ES"/>
              </w:rPr>
              <w:t>CONSEJO DE ESTADO. Sala de Consulta y Servicio Civil. Concepto de 28 de junio de 2016. Radicación: 2253. C.P. Álvaro Namén Vargas</w:t>
            </w:r>
          </w:p>
          <w:p w14:paraId="539FC25D" w14:textId="77777777" w:rsidR="0056484B" w:rsidRPr="00B54634" w:rsidRDefault="0056484B" w:rsidP="006D3B8D">
            <w:pPr>
              <w:widowControl w:val="0"/>
              <w:autoSpaceDE w:val="0"/>
              <w:autoSpaceDN w:val="0"/>
              <w:spacing w:line="276" w:lineRule="auto"/>
              <w:ind w:left="360"/>
              <w:contextualSpacing/>
              <w:jc w:val="both"/>
              <w:rPr>
                <w:rFonts w:ascii="Verdana" w:eastAsia="Aptos" w:hAnsi="Verdana" w:cs="Arial"/>
              </w:rPr>
            </w:pPr>
          </w:p>
        </w:tc>
      </w:tr>
    </w:tbl>
    <w:p w14:paraId="49618023" w14:textId="77777777" w:rsidR="0056484B" w:rsidRPr="00B54634" w:rsidRDefault="0056484B" w:rsidP="0056484B">
      <w:pPr>
        <w:widowControl w:val="0"/>
        <w:autoSpaceDE w:val="0"/>
        <w:autoSpaceDN w:val="0"/>
        <w:spacing w:after="0" w:line="276" w:lineRule="auto"/>
        <w:jc w:val="both"/>
        <w:rPr>
          <w:rFonts w:ascii="Verdana" w:eastAsia="Aptos" w:hAnsi="Verdana" w:cs="Arial"/>
        </w:rPr>
      </w:pPr>
    </w:p>
    <w:p w14:paraId="3C7DA032" w14:textId="77777777" w:rsidR="0056484B" w:rsidRPr="00B54634" w:rsidRDefault="0056484B" w:rsidP="0056484B">
      <w:pPr>
        <w:widowControl w:val="0"/>
        <w:autoSpaceDE w:val="0"/>
        <w:autoSpaceDN w:val="0"/>
        <w:spacing w:before="1" w:after="0" w:line="240" w:lineRule="auto"/>
        <w:outlineLvl w:val="0"/>
        <w:rPr>
          <w:rFonts w:ascii="Verdana" w:eastAsia="Arial" w:hAnsi="Verdana" w:cs="Arial"/>
          <w:b/>
          <w:bCs/>
          <w:lang w:val="es-ES"/>
        </w:rPr>
      </w:pPr>
      <w:r w:rsidRPr="00B54634">
        <w:rPr>
          <w:rFonts w:ascii="Verdana" w:eastAsia="Arial" w:hAnsi="Verdana" w:cs="Arial"/>
          <w:b/>
          <w:bCs/>
          <w:lang w:val="es-ES"/>
        </w:rPr>
        <w:t>5. Doctrina de la Agencia Nacional de Contratación Pública:</w:t>
      </w:r>
    </w:p>
    <w:p w14:paraId="3A778411" w14:textId="77777777" w:rsidR="0056484B" w:rsidRPr="00B54634" w:rsidRDefault="0056484B" w:rsidP="0056484B">
      <w:pPr>
        <w:widowControl w:val="0"/>
        <w:autoSpaceDE w:val="0"/>
        <w:autoSpaceDN w:val="0"/>
        <w:spacing w:after="0" w:line="276" w:lineRule="auto"/>
        <w:jc w:val="both"/>
        <w:rPr>
          <w:rFonts w:ascii="Verdana" w:eastAsia="Aptos" w:hAnsi="Verdana" w:cs="Arial"/>
        </w:rPr>
      </w:pPr>
    </w:p>
    <w:p w14:paraId="16125B37" w14:textId="77777777" w:rsidR="0056484B" w:rsidRPr="00B54634" w:rsidRDefault="0056484B" w:rsidP="0056484B">
      <w:pPr>
        <w:widowControl w:val="0"/>
        <w:autoSpaceDE w:val="0"/>
        <w:autoSpaceDN w:val="0"/>
        <w:spacing w:after="0" w:line="276" w:lineRule="auto"/>
        <w:jc w:val="both"/>
        <w:rPr>
          <w:rFonts w:ascii="Verdana" w:eastAsia="Aptos" w:hAnsi="Verdana" w:cs="Arial"/>
          <w:shd w:val="clear" w:color="auto" w:fill="FFFFFF"/>
          <w:lang w:val="es-ES"/>
        </w:rPr>
      </w:pPr>
      <w:r w:rsidRPr="00B54634">
        <w:rPr>
          <w:rFonts w:ascii="Verdana" w:eastAsia="Aptos" w:hAnsi="Verdana" w:cs="Arial"/>
          <w:shd w:val="clear" w:color="auto" w:fill="FFFFFF"/>
          <w:lang w:val="es-ES"/>
        </w:rPr>
        <w:t xml:space="preserve">Sobre la liquidación de los contratos estatales, esta Subdirección se ha referido en los Conceptos C-416 de 06 de septiembre de 2024, C-442 del 10 de septiembre de 2024, C- 407 del 11 de septiembre de 2024, C-414 del 11 de septiembre de 2024, C-559 del 11 de septiembre de 2024, C-425 del 13 de septiembre de 2024, C-446 del 18 de septiembre de 2024, C-458 del 20 de septiembre de 2024, C-968 del 16 de diciembre de 2024, C-1865 del 01 de diciembre de 2025, C-1818 del 13 de enero de 2026,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B54634">
          <w:rPr>
            <w:rFonts w:ascii="Verdana" w:eastAsia="Aptos" w:hAnsi="Verdana" w:cs="Arial"/>
            <w:color w:val="467886"/>
            <w:u w:val="single"/>
            <w:shd w:val="clear" w:color="auto" w:fill="FFFFFF"/>
            <w:lang w:val="es-ES"/>
          </w:rPr>
          <w:t>https://relatoria.colombiacompra.gov.co/</w:t>
        </w:r>
      </w:hyperlink>
      <w:r w:rsidRPr="00B54634">
        <w:rPr>
          <w:rFonts w:ascii="Verdana" w:eastAsia="Aptos" w:hAnsi="Verdana" w:cs="Arial"/>
          <w:shd w:val="clear" w:color="auto" w:fill="FFFFFF"/>
          <w:lang w:val="es-ES"/>
        </w:rPr>
        <w:t xml:space="preserve">. </w:t>
      </w:r>
    </w:p>
    <w:p w14:paraId="59421B0E" w14:textId="77777777" w:rsidR="0056484B" w:rsidRPr="00B54634" w:rsidRDefault="0056484B" w:rsidP="0056484B">
      <w:pPr>
        <w:spacing w:before="120" w:after="120"/>
        <w:ind w:firstLine="709"/>
        <w:jc w:val="both"/>
        <w:rPr>
          <w:rFonts w:ascii="Verdana" w:eastAsia="Aptos" w:hAnsi="Verdana" w:cs="Times New Roman"/>
        </w:rPr>
      </w:pPr>
      <w:r w:rsidRPr="00B54634">
        <w:rPr>
          <w:rFonts w:ascii="Verdana" w:eastAsia="Aptos" w:hAnsi="Verdana" w:cs="Times New Roman"/>
        </w:rPr>
        <w:t xml:space="preserve">La sostenibilidad no es una opción, es una obligación. Por ello, la Agencia Nacional de Contratación Pública –Colombia Compra Eficiente– te invita a realizar el </w:t>
      </w:r>
      <w:r w:rsidRPr="00B54634">
        <w:rPr>
          <w:rFonts w:ascii="Verdana" w:eastAsia="Aptos" w:hAnsi="Verdana" w:cs="Times New Roman"/>
          <w:b/>
          <w:bCs/>
        </w:rPr>
        <w:t xml:space="preserve">Curso de Contratación Pública Sostenible y Socialmente </w:t>
      </w:r>
      <w:r w:rsidRPr="00B54634">
        <w:rPr>
          <w:rFonts w:ascii="Verdana" w:eastAsia="Aptos" w:hAnsi="Verdana" w:cs="Times New Roman"/>
          <w:b/>
          <w:bCs/>
        </w:rPr>
        <w:lastRenderedPageBreak/>
        <w:t>Responsable</w:t>
      </w:r>
      <w:r w:rsidRPr="00B54634">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B54634">
        <w:rPr>
          <w:rFonts w:ascii="Verdana" w:eastAsia="Aptos" w:hAnsi="Verdana" w:cs="Times New Roman"/>
        </w:rPr>
        <w:br/>
      </w:r>
      <w:hyperlink r:id="rId14" w:tgtFrame="_new" w:history="1">
        <w:r w:rsidRPr="00B54634">
          <w:rPr>
            <w:rFonts w:ascii="Verdana" w:eastAsia="Aptos" w:hAnsi="Verdana" w:cs="Times New Roman"/>
            <w:color w:val="0000FF"/>
            <w:u w:val="single"/>
          </w:rPr>
          <w:t>https://formacionvirtual.colombiacompra.gov.co/mod/page/view.php?id=3718</w:t>
        </w:r>
      </w:hyperlink>
    </w:p>
    <w:p w14:paraId="5814CC44" w14:textId="77777777" w:rsidR="0056484B" w:rsidRPr="00B54634" w:rsidRDefault="0056484B" w:rsidP="0056484B">
      <w:pPr>
        <w:ind w:firstLine="708"/>
        <w:jc w:val="both"/>
        <w:rPr>
          <w:rFonts w:ascii="Verdana" w:eastAsia="Aptos" w:hAnsi="Verdana" w:cs="Times New Roman"/>
        </w:rPr>
      </w:pPr>
      <w:r w:rsidRPr="00B54634">
        <w:rPr>
          <w:rFonts w:ascii="Verdana" w:eastAsia="Aptos" w:hAnsi="Verdana" w:cs="Times New Roman"/>
        </w:rPr>
        <w:t xml:space="preserve">De otro lado, te contamos que esta Agencia ha da un paso decisivo en la estandarización y modernización del </w:t>
      </w:r>
      <w:r w:rsidRPr="00B54634">
        <w:rPr>
          <w:rFonts w:ascii="Verdana" w:eastAsia="Aptos" w:hAnsi="Verdana" w:cs="Times New Roman"/>
          <w:b/>
          <w:bCs/>
        </w:rPr>
        <w:t>sector  social</w:t>
      </w:r>
      <w:r w:rsidRPr="00B54634">
        <w:rPr>
          <w:rFonts w:ascii="Verdana" w:eastAsia="Aptos" w:hAnsi="Verdana" w:cs="Times New Roman"/>
        </w:rPr>
        <w:t xml:space="preserve"> con la expedición de las </w:t>
      </w:r>
      <w:r w:rsidRPr="00B54634">
        <w:rPr>
          <w:rFonts w:ascii="Verdana" w:eastAsia="Aptos" w:hAnsi="Verdana" w:cs="Times New Roman"/>
          <w:b/>
          <w:bCs/>
        </w:rPr>
        <w:t>Resoluciones 539, 540, 541, 952 y 953 de 2025</w:t>
      </w:r>
      <w:r w:rsidRPr="00B54634">
        <w:rPr>
          <w:rFonts w:ascii="Verdana" w:eastAsia="Aptos" w:hAnsi="Verdana" w:cs="Times New Roman"/>
        </w:rPr>
        <w:t xml:space="preserve">, </w:t>
      </w:r>
      <w:r w:rsidRPr="00B54634">
        <w:rPr>
          <w:rFonts w:ascii="Verdana" w:eastAsia="Aptos" w:hAnsi="Verdana" w:cs="Times New Roman"/>
          <w:b/>
          <w:bCs/>
        </w:rPr>
        <w:t>mediante las cuales adoptó Documentos Tipo</w:t>
      </w:r>
      <w:r w:rsidRPr="00B54634">
        <w:rPr>
          <w:rFonts w:ascii="Verdana" w:eastAsia="Aptos" w:hAnsi="Verdana" w:cs="Times New Roman"/>
        </w:rPr>
        <w:t xml:space="preserve"> para las modalidades de selección de</w:t>
      </w:r>
      <w:r w:rsidRPr="00B54634">
        <w:rPr>
          <w:rFonts w:ascii="Verdana" w:eastAsia="Aptos" w:hAnsi="Verdana" w:cs="Times New Roman"/>
          <w:b/>
          <w:bCs/>
        </w:rPr>
        <w:t xml:space="preserve"> licitación pública (versión 2), selección abreviada de menor cuantía, mínima cuantía, consultoría e interventoría</w:t>
      </w:r>
      <w:r w:rsidRPr="00B54634">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B54634">
          <w:rPr>
            <w:rFonts w:ascii="Verdana" w:eastAsia="Aptos" w:hAnsi="Verdana" w:cs="Times New Roman"/>
            <w:color w:val="0000FF"/>
            <w:u w:val="single"/>
          </w:rPr>
          <w:t>https://www.colombiacompra.gov.co/normativa-y-relatoria/documentos-tipo</w:t>
        </w:r>
      </w:hyperlink>
    </w:p>
    <w:p w14:paraId="30ED20EC" w14:textId="77777777" w:rsidR="0056484B" w:rsidRPr="00B54634" w:rsidRDefault="0056484B" w:rsidP="0056484B">
      <w:pPr>
        <w:spacing w:after="0"/>
        <w:ind w:firstLine="708"/>
        <w:jc w:val="both"/>
        <w:rPr>
          <w:rFonts w:ascii="Verdana" w:eastAsia="Aptos" w:hAnsi="Verdana" w:cs="Times New Roman"/>
        </w:rPr>
      </w:pPr>
      <w:r w:rsidRPr="00B54634">
        <w:rPr>
          <w:rFonts w:ascii="Verdana" w:eastAsia="Aptos" w:hAnsi="Verdana" w:cs="Times New Roman"/>
        </w:rPr>
        <w:t xml:space="preserve">Si quieres conocer más sobre la aplicación de Documentos Tipo puedes consultar la última versión de la </w:t>
      </w:r>
      <w:r w:rsidRPr="00B54634">
        <w:rPr>
          <w:rFonts w:ascii="Verdana" w:eastAsia="Aptos" w:hAnsi="Verdana" w:cs="Times New Roman"/>
          <w:b/>
          <w:bCs/>
        </w:rPr>
        <w:t>Guía para la comprensión e implementación de los Documentos Tipo de obra pública de infraestructura de transporte</w:t>
      </w:r>
      <w:r w:rsidRPr="00B54634">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54634">
        <w:rPr>
          <w:rFonts w:ascii="Verdana" w:eastAsia="Aptos" w:hAnsi="Verdana" w:cs="Times New Roman"/>
        </w:rPr>
        <w:br/>
      </w:r>
      <w:hyperlink r:id="rId16" w:tgtFrame="_new" w:history="1">
        <w:r w:rsidRPr="00B54634">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1414DDDF" w14:textId="77777777" w:rsidR="0056484B" w:rsidRPr="00B54634" w:rsidRDefault="0056484B" w:rsidP="0056484B">
      <w:pPr>
        <w:widowControl w:val="0"/>
        <w:autoSpaceDE w:val="0"/>
        <w:autoSpaceDN w:val="0"/>
        <w:spacing w:after="0" w:line="276" w:lineRule="auto"/>
        <w:jc w:val="both"/>
        <w:rPr>
          <w:rFonts w:ascii="Verdana" w:eastAsia="Aptos" w:hAnsi="Verdana" w:cs="Arial"/>
          <w:shd w:val="clear" w:color="auto" w:fill="FFFFFF"/>
          <w:lang w:val="es-ES"/>
        </w:rPr>
      </w:pPr>
    </w:p>
    <w:p w14:paraId="7F906935" w14:textId="77777777" w:rsidR="0056484B" w:rsidRPr="00B54634" w:rsidRDefault="0056484B" w:rsidP="0056484B">
      <w:pPr>
        <w:spacing w:after="0" w:line="240" w:lineRule="auto"/>
        <w:jc w:val="both"/>
        <w:rPr>
          <w:rFonts w:ascii="Verdana" w:eastAsia="Aptos" w:hAnsi="Verdana" w:cs="Times New Roman"/>
        </w:rPr>
      </w:pPr>
      <w:r w:rsidRPr="00B54634">
        <w:rPr>
          <w:rFonts w:ascii="Verdana" w:eastAsia="Aptos" w:hAnsi="Verdana" w:cs="Times New Roman"/>
        </w:rPr>
        <w:t xml:space="preserve">Por último, lo invitamos a seguirnos en las redes sociales en las cuales se difunde información institucional: </w:t>
      </w:r>
    </w:p>
    <w:p w14:paraId="6221151B" w14:textId="77777777" w:rsidR="0056484B" w:rsidRPr="00B54634" w:rsidRDefault="0056484B" w:rsidP="0056484B">
      <w:pPr>
        <w:spacing w:after="0" w:line="240" w:lineRule="auto"/>
        <w:jc w:val="both"/>
        <w:rPr>
          <w:rFonts w:ascii="Verdana" w:eastAsia="Aptos" w:hAnsi="Verdana" w:cs="Times New Roman"/>
        </w:rPr>
      </w:pPr>
    </w:p>
    <w:p w14:paraId="2A339A95" w14:textId="77777777" w:rsidR="0056484B" w:rsidRPr="00B54634" w:rsidRDefault="0056484B" w:rsidP="0056484B">
      <w:pPr>
        <w:spacing w:after="0" w:line="240" w:lineRule="auto"/>
        <w:jc w:val="both"/>
        <w:rPr>
          <w:rFonts w:ascii="Verdana" w:eastAsia="Aptos" w:hAnsi="Verdana" w:cs="Times New Roman"/>
        </w:rPr>
      </w:pPr>
      <w:r w:rsidRPr="00B54634">
        <w:rPr>
          <w:rFonts w:ascii="Verdana" w:eastAsia="Aptos" w:hAnsi="Verdana" w:cs="Times New Roman"/>
        </w:rPr>
        <w:t xml:space="preserve">Twitter: </w:t>
      </w:r>
      <w:r w:rsidRPr="00B54634">
        <w:rPr>
          <w:rFonts w:ascii="Verdana" w:eastAsia="Aptos" w:hAnsi="Verdana" w:cs="Times New Roman"/>
          <w:color w:val="156082"/>
          <w:u w:val="single"/>
        </w:rPr>
        <w:t>@colombiacompra</w:t>
      </w:r>
      <w:r w:rsidRPr="00B54634">
        <w:rPr>
          <w:rFonts w:ascii="Verdana" w:eastAsia="Aptos" w:hAnsi="Verdana" w:cs="Times New Roman"/>
          <w:color w:val="156082"/>
        </w:rPr>
        <w:t xml:space="preserve"> </w:t>
      </w:r>
    </w:p>
    <w:p w14:paraId="18BDFD94" w14:textId="77777777" w:rsidR="0056484B" w:rsidRPr="00B54634" w:rsidRDefault="0056484B" w:rsidP="0056484B">
      <w:pPr>
        <w:spacing w:after="0" w:line="240" w:lineRule="auto"/>
        <w:jc w:val="both"/>
        <w:rPr>
          <w:rFonts w:ascii="Verdana" w:eastAsia="Aptos" w:hAnsi="Verdana" w:cs="Times New Roman"/>
        </w:rPr>
      </w:pPr>
      <w:r w:rsidRPr="00B54634">
        <w:rPr>
          <w:rFonts w:ascii="Verdana" w:eastAsia="Aptos" w:hAnsi="Verdana" w:cs="Times New Roman"/>
        </w:rPr>
        <w:t xml:space="preserve">Facebook: </w:t>
      </w:r>
      <w:r w:rsidRPr="00B54634">
        <w:rPr>
          <w:rFonts w:ascii="Verdana" w:eastAsia="Aptos" w:hAnsi="Verdana" w:cs="Times New Roman"/>
          <w:color w:val="156082"/>
          <w:u w:val="single"/>
        </w:rPr>
        <w:t>ColombiaCompraEficiente</w:t>
      </w:r>
    </w:p>
    <w:p w14:paraId="4BB5DA20" w14:textId="77777777" w:rsidR="0056484B" w:rsidRPr="00B54634" w:rsidRDefault="0056484B" w:rsidP="0056484B">
      <w:pPr>
        <w:spacing w:after="0" w:line="240" w:lineRule="auto"/>
        <w:jc w:val="both"/>
        <w:rPr>
          <w:rFonts w:ascii="Verdana" w:eastAsia="Aptos" w:hAnsi="Verdana" w:cs="Times New Roman"/>
        </w:rPr>
      </w:pPr>
      <w:r w:rsidRPr="00B54634">
        <w:rPr>
          <w:rFonts w:ascii="Verdana" w:eastAsia="Aptos" w:hAnsi="Verdana" w:cs="Times New Roman"/>
        </w:rPr>
        <w:t xml:space="preserve">LinkedIn: </w:t>
      </w:r>
      <w:r w:rsidRPr="00B54634">
        <w:rPr>
          <w:rFonts w:ascii="Verdana" w:eastAsia="Aptos" w:hAnsi="Verdana" w:cs="Times New Roman"/>
          <w:color w:val="156082"/>
          <w:u w:val="single"/>
        </w:rPr>
        <w:t>Agencia Nacional de Contratación Pública - Colombia Compra Eficiente</w:t>
      </w:r>
      <w:r w:rsidRPr="00B54634">
        <w:rPr>
          <w:rFonts w:ascii="Verdana" w:eastAsia="Aptos" w:hAnsi="Verdana" w:cs="Times New Roman"/>
          <w:color w:val="156082"/>
        </w:rPr>
        <w:t xml:space="preserve"> </w:t>
      </w:r>
      <w:r w:rsidRPr="00B54634">
        <w:rPr>
          <w:rFonts w:ascii="Verdana" w:eastAsia="Aptos" w:hAnsi="Verdana" w:cs="Times New Roman"/>
        </w:rPr>
        <w:t xml:space="preserve">Instagram: </w:t>
      </w:r>
      <w:r w:rsidRPr="00B54634">
        <w:rPr>
          <w:rFonts w:ascii="Verdana" w:eastAsia="Aptos" w:hAnsi="Verdana" w:cs="Times New Roman"/>
          <w:color w:val="156082"/>
          <w:u w:val="single"/>
        </w:rPr>
        <w:t>@colombiacompraeficiente_cce</w:t>
      </w:r>
    </w:p>
    <w:p w14:paraId="1A7DE2C8" w14:textId="77777777" w:rsidR="0056484B" w:rsidRPr="00B54634" w:rsidRDefault="0056484B" w:rsidP="0056484B">
      <w:pPr>
        <w:widowControl w:val="0"/>
        <w:autoSpaceDE w:val="0"/>
        <w:autoSpaceDN w:val="0"/>
        <w:spacing w:after="0" w:line="276" w:lineRule="auto"/>
        <w:jc w:val="both"/>
        <w:rPr>
          <w:rFonts w:ascii="Verdana" w:eastAsia="Aptos" w:hAnsi="Verdana" w:cs="Arial"/>
        </w:rPr>
      </w:pPr>
    </w:p>
    <w:p w14:paraId="6A71CE5F" w14:textId="77777777" w:rsidR="0056484B" w:rsidRPr="00B54634" w:rsidRDefault="0056484B" w:rsidP="0056484B">
      <w:pPr>
        <w:widowControl w:val="0"/>
        <w:autoSpaceDE w:val="0"/>
        <w:autoSpaceDN w:val="0"/>
        <w:spacing w:after="0" w:line="276" w:lineRule="auto"/>
        <w:jc w:val="both"/>
        <w:rPr>
          <w:rFonts w:ascii="Verdana" w:eastAsia="Aptos" w:hAnsi="Verdana" w:cs="Arial"/>
          <w:lang w:val="es-ES_tradnl"/>
        </w:rPr>
      </w:pPr>
      <w:r w:rsidRPr="00B54634">
        <w:rPr>
          <w:rFonts w:ascii="Verdana" w:eastAsia="Aptos" w:hAnsi="Verdana" w:cs="Arial"/>
        </w:rPr>
        <w:t xml:space="preserve">Este concepto tiene el alcance previsto en el artículo 28 del Código de </w:t>
      </w:r>
      <w:r w:rsidRPr="00B54634">
        <w:rPr>
          <w:rFonts w:ascii="Verdana" w:eastAsia="Aptos" w:hAnsi="Verdana" w:cs="Arial"/>
        </w:rPr>
        <w:lastRenderedPageBreak/>
        <w:t xml:space="preserve">Procedimiento Administrativo y de lo Contencioso Administrativo </w:t>
      </w:r>
      <w:r w:rsidRPr="00B54634">
        <w:rPr>
          <w:rFonts w:ascii="Verdana" w:eastAsia="Aptos" w:hAnsi="Verdana" w:cs="Arial"/>
          <w:lang w:val="es-ES_tradnl"/>
        </w:rPr>
        <w:t>y las expresiones aquí utilizadas con mayúscula inicial deben ser entendidas con el significado que les otorga el artículo 2.2.1.1.1.3.1. del Decreto 1082 de 2015.</w:t>
      </w:r>
    </w:p>
    <w:p w14:paraId="2B0709CD" w14:textId="77777777" w:rsidR="0056484B" w:rsidRPr="00B54634" w:rsidRDefault="0056484B" w:rsidP="0056484B">
      <w:pPr>
        <w:widowControl w:val="0"/>
        <w:autoSpaceDE w:val="0"/>
        <w:autoSpaceDN w:val="0"/>
        <w:spacing w:after="0" w:line="276" w:lineRule="auto"/>
        <w:jc w:val="both"/>
        <w:rPr>
          <w:rFonts w:ascii="Verdana" w:eastAsia="Aptos" w:hAnsi="Verdana" w:cs="Arial"/>
        </w:rPr>
      </w:pPr>
    </w:p>
    <w:p w14:paraId="480FB78B" w14:textId="77777777" w:rsidR="0056484B" w:rsidRPr="00B54634" w:rsidRDefault="0056484B" w:rsidP="0056484B">
      <w:pPr>
        <w:spacing w:after="0" w:line="240" w:lineRule="auto"/>
        <w:rPr>
          <w:rFonts w:ascii="Verdana" w:eastAsia="Aptos" w:hAnsi="Verdana" w:cs="Arial"/>
          <w:lang w:eastAsia="es-CO"/>
        </w:rPr>
      </w:pPr>
      <w:r w:rsidRPr="00B54634">
        <w:rPr>
          <w:rFonts w:ascii="Verdana" w:eastAsia="Times New Roman" w:hAnsi="Verdana" w:cs="Arial"/>
          <w:lang w:eastAsia="es-CO"/>
        </w:rPr>
        <w:t>Atentamente,</w:t>
      </w:r>
      <w:r w:rsidRPr="00B54634">
        <w:rPr>
          <w:rFonts w:ascii="Verdana" w:eastAsia="Aptos" w:hAnsi="Verdana" w:cs="Arial"/>
          <w:lang w:eastAsia="es-CO"/>
        </w:rPr>
        <w:t xml:space="preserve"> </w:t>
      </w:r>
    </w:p>
    <w:p w14:paraId="1E012092" w14:textId="509AB997" w:rsidR="0056484B" w:rsidRPr="00B54634" w:rsidRDefault="00E22CDB" w:rsidP="0056484B">
      <w:pPr>
        <w:spacing w:line="276" w:lineRule="auto"/>
        <w:jc w:val="center"/>
        <w:rPr>
          <w:rFonts w:ascii="Verdana" w:eastAsia="Aptos" w:hAnsi="Verdana" w:cs="Arial"/>
          <w:lang w:val="es-ES_tradnl" w:eastAsia="es-CO"/>
        </w:rPr>
      </w:pPr>
      <w:r>
        <w:rPr>
          <w:noProof/>
        </w:rPr>
        <w:drawing>
          <wp:inline distT="0" distB="0" distL="0" distR="0" wp14:anchorId="3A9134D6" wp14:editId="5A8C3A05">
            <wp:extent cx="3771900" cy="1409700"/>
            <wp:effectExtent l="0" t="0" r="0" b="0"/>
            <wp:docPr id="77162026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71900" cy="1409700"/>
                    </a:xfrm>
                    <a:prstGeom prst="rect">
                      <a:avLst/>
                    </a:prstGeom>
                    <a:noFill/>
                    <a:ln>
                      <a:noFill/>
                    </a:ln>
                  </pic:spPr>
                </pic:pic>
              </a:graphicData>
            </a:graphic>
          </wp:inline>
        </w:drawing>
      </w:r>
      <w:r w:rsidR="0056484B" w:rsidRPr="00B54634">
        <w:rPr>
          <w:rFonts w:ascii="Verdana" w:eastAsia="Aptos" w:hAnsi="Verdana" w:cs="Arial"/>
          <w:lang w:val="es-ES" w:eastAsia="es-CO"/>
        </w:rPr>
        <w:br/>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56484B" w:rsidRPr="00B54634" w14:paraId="752639BC" w14:textId="77777777" w:rsidTr="006D3B8D">
        <w:trPr>
          <w:trHeight w:val="286"/>
        </w:trPr>
        <w:tc>
          <w:tcPr>
            <w:tcW w:w="901" w:type="dxa"/>
            <w:vAlign w:val="center"/>
            <w:hideMark/>
          </w:tcPr>
          <w:p w14:paraId="2C4B490C" w14:textId="77777777" w:rsidR="0056484B" w:rsidRPr="00B54634" w:rsidRDefault="0056484B" w:rsidP="006D3B8D">
            <w:pPr>
              <w:rPr>
                <w:rFonts w:ascii="Verdana" w:eastAsia="Aptos" w:hAnsi="Verdana" w:cs="Arial"/>
                <w:sz w:val="14"/>
                <w:szCs w:val="14"/>
                <w:lang w:eastAsia="es-ES"/>
              </w:rPr>
            </w:pPr>
            <w:r w:rsidRPr="00B54634">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5F3E1A30" w14:textId="77777777" w:rsidR="0056484B" w:rsidRPr="00B54634" w:rsidRDefault="0056484B" w:rsidP="006D3B8D">
            <w:pPr>
              <w:rPr>
                <w:rFonts w:ascii="Verdana" w:eastAsia="Aptos" w:hAnsi="Verdana" w:cs="Arial"/>
                <w:sz w:val="14"/>
                <w:szCs w:val="14"/>
                <w:lang w:eastAsia="es-ES"/>
              </w:rPr>
            </w:pPr>
            <w:r w:rsidRPr="00B54634">
              <w:rPr>
                <w:rFonts w:ascii="Verdana" w:eastAsia="Aptos" w:hAnsi="Verdana" w:cs="Arial"/>
                <w:sz w:val="14"/>
                <w:szCs w:val="14"/>
                <w:lang w:eastAsia="es-ES"/>
              </w:rPr>
              <w:t>Nasly Yeana Mosquera Rivas</w:t>
            </w:r>
          </w:p>
          <w:p w14:paraId="6C7F928E" w14:textId="77777777" w:rsidR="0056484B" w:rsidRPr="00B54634" w:rsidRDefault="0056484B" w:rsidP="006D3B8D">
            <w:pPr>
              <w:rPr>
                <w:rFonts w:ascii="Verdana" w:eastAsia="Aptos" w:hAnsi="Verdana" w:cs="Arial"/>
                <w:sz w:val="14"/>
                <w:szCs w:val="14"/>
                <w:lang w:eastAsia="es-ES"/>
              </w:rPr>
            </w:pPr>
            <w:r w:rsidRPr="00B54634">
              <w:rPr>
                <w:rFonts w:ascii="Verdana" w:eastAsia="Aptos" w:hAnsi="Verdana" w:cs="Arial"/>
                <w:sz w:val="14"/>
                <w:szCs w:val="14"/>
                <w:lang w:eastAsia="es-ES"/>
              </w:rPr>
              <w:t>Analista T2–06 de la Subdirección de Gestión Contractual</w:t>
            </w:r>
          </w:p>
        </w:tc>
      </w:tr>
      <w:tr w:rsidR="0056484B" w:rsidRPr="00B54634" w14:paraId="62F65775" w14:textId="77777777" w:rsidTr="006D3B8D">
        <w:trPr>
          <w:trHeight w:val="299"/>
        </w:trPr>
        <w:tc>
          <w:tcPr>
            <w:tcW w:w="901" w:type="dxa"/>
            <w:vAlign w:val="center"/>
          </w:tcPr>
          <w:p w14:paraId="5681CDB8" w14:textId="77777777" w:rsidR="0056484B" w:rsidRPr="00B54634" w:rsidRDefault="0056484B" w:rsidP="006D3B8D">
            <w:pPr>
              <w:rPr>
                <w:rFonts w:ascii="Verdana" w:eastAsia="Aptos" w:hAnsi="Verdana" w:cs="Arial"/>
                <w:sz w:val="14"/>
                <w:szCs w:val="14"/>
                <w:lang w:eastAsia="es-ES"/>
              </w:rPr>
            </w:pPr>
            <w:r w:rsidRPr="00B54634">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4CBDDF63" w14:textId="77777777" w:rsidR="0056484B" w:rsidRPr="00B54634" w:rsidRDefault="0056484B" w:rsidP="006D3B8D">
            <w:pPr>
              <w:rPr>
                <w:rFonts w:ascii="Verdana" w:eastAsia="Aptos" w:hAnsi="Verdana" w:cs="Arial"/>
                <w:sz w:val="14"/>
                <w:szCs w:val="14"/>
                <w:lang w:eastAsia="es-ES"/>
              </w:rPr>
            </w:pPr>
            <w:r w:rsidRPr="00B54634">
              <w:rPr>
                <w:rFonts w:ascii="Verdana" w:eastAsia="Aptos" w:hAnsi="Verdana" w:cs="Arial"/>
                <w:sz w:val="14"/>
                <w:szCs w:val="14"/>
                <w:lang w:eastAsia="es-ES"/>
              </w:rPr>
              <w:t>Adriana Katerine López Rodríguez</w:t>
            </w:r>
          </w:p>
          <w:p w14:paraId="2B2FC71C" w14:textId="77777777" w:rsidR="0056484B" w:rsidRPr="00B54634" w:rsidRDefault="0056484B" w:rsidP="006D3B8D">
            <w:pPr>
              <w:rPr>
                <w:rFonts w:ascii="Verdana" w:eastAsia="Aptos" w:hAnsi="Verdana" w:cs="Arial"/>
                <w:sz w:val="14"/>
                <w:szCs w:val="14"/>
                <w:lang w:eastAsia="es-ES"/>
              </w:rPr>
            </w:pPr>
            <w:r w:rsidRPr="00B54634">
              <w:rPr>
                <w:rFonts w:ascii="Verdana" w:eastAsia="Aptos" w:hAnsi="Verdana" w:cs="Arial"/>
                <w:sz w:val="14"/>
                <w:szCs w:val="14"/>
                <w:lang w:eastAsia="es-ES"/>
              </w:rPr>
              <w:t>Contratista de la Subdirección de Gestión Contractual</w:t>
            </w:r>
          </w:p>
        </w:tc>
      </w:tr>
      <w:tr w:rsidR="0056484B" w:rsidRPr="00B54634" w14:paraId="5A189982" w14:textId="77777777" w:rsidTr="006D3B8D">
        <w:trPr>
          <w:trHeight w:val="272"/>
        </w:trPr>
        <w:tc>
          <w:tcPr>
            <w:tcW w:w="901" w:type="dxa"/>
            <w:vAlign w:val="center"/>
            <w:hideMark/>
          </w:tcPr>
          <w:p w14:paraId="1F861EFD" w14:textId="77777777" w:rsidR="0056484B" w:rsidRPr="00B54634" w:rsidRDefault="0056484B" w:rsidP="006D3B8D">
            <w:pPr>
              <w:rPr>
                <w:rFonts w:ascii="Verdana" w:eastAsia="Aptos" w:hAnsi="Verdana" w:cs="Arial"/>
                <w:sz w:val="14"/>
                <w:szCs w:val="14"/>
                <w:lang w:eastAsia="es-ES"/>
              </w:rPr>
            </w:pPr>
            <w:r w:rsidRPr="00B54634">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775F9092" w14:textId="77777777" w:rsidR="0056484B" w:rsidRPr="00B54634" w:rsidRDefault="0056484B" w:rsidP="006D3B8D">
            <w:pPr>
              <w:rPr>
                <w:rFonts w:ascii="Verdana" w:eastAsia="Aptos" w:hAnsi="Verdana" w:cs="Arial"/>
                <w:sz w:val="14"/>
                <w:szCs w:val="14"/>
                <w:lang w:eastAsia="es-ES"/>
              </w:rPr>
            </w:pPr>
            <w:r w:rsidRPr="00B54634">
              <w:rPr>
                <w:rFonts w:ascii="Verdana" w:eastAsia="Aptos" w:hAnsi="Verdana" w:cs="Arial"/>
                <w:sz w:val="14"/>
                <w:szCs w:val="14"/>
                <w:lang w:eastAsia="es-ES"/>
              </w:rPr>
              <w:t>Carolina Quintero Gacharná</w:t>
            </w:r>
          </w:p>
          <w:p w14:paraId="283A27E1" w14:textId="77777777" w:rsidR="0056484B" w:rsidRPr="00B54634" w:rsidRDefault="0056484B" w:rsidP="006D3B8D">
            <w:pPr>
              <w:rPr>
                <w:rFonts w:ascii="Verdana" w:eastAsia="Aptos" w:hAnsi="Verdana" w:cs="Arial"/>
                <w:sz w:val="14"/>
                <w:szCs w:val="14"/>
                <w:lang w:eastAsia="es-ES"/>
              </w:rPr>
            </w:pPr>
            <w:r w:rsidRPr="00B54634">
              <w:rPr>
                <w:rFonts w:ascii="Verdana" w:eastAsia="Aptos" w:hAnsi="Verdana" w:cs="Arial"/>
                <w:sz w:val="14"/>
                <w:szCs w:val="14"/>
                <w:lang w:eastAsia="es-ES"/>
              </w:rPr>
              <w:t>Subdirectora de Gestión Contractual ANCP – CCE</w:t>
            </w:r>
          </w:p>
        </w:tc>
      </w:tr>
    </w:tbl>
    <w:p w14:paraId="7CC607F5" w14:textId="77777777" w:rsidR="0056484B" w:rsidRPr="00B54634" w:rsidRDefault="0056484B" w:rsidP="0056484B">
      <w:pPr>
        <w:spacing w:after="0" w:line="240" w:lineRule="auto"/>
        <w:rPr>
          <w:rFonts w:ascii="Verdana" w:eastAsia="Times New Roman" w:hAnsi="Verdana" w:cs="Arial"/>
          <w:sz w:val="24"/>
          <w:szCs w:val="24"/>
          <w:lang w:eastAsia="es-ES"/>
        </w:rPr>
      </w:pPr>
    </w:p>
    <w:p w14:paraId="542C4C3F" w14:textId="77777777" w:rsidR="0056484B" w:rsidRPr="00B54634" w:rsidRDefault="0056484B" w:rsidP="0056484B">
      <w:pPr>
        <w:rPr>
          <w:rFonts w:ascii="Aptos" w:eastAsia="Aptos" w:hAnsi="Aptos" w:cs="Times New Roman"/>
        </w:rPr>
      </w:pPr>
    </w:p>
    <w:p w14:paraId="4275EBAC" w14:textId="77777777" w:rsidR="0056484B" w:rsidRPr="00B54634" w:rsidRDefault="0056484B" w:rsidP="0056484B">
      <w:pPr>
        <w:rPr>
          <w:rFonts w:ascii="Aptos" w:eastAsia="Aptos" w:hAnsi="Aptos" w:cs="Times New Roman"/>
        </w:rPr>
      </w:pPr>
    </w:p>
    <w:p w14:paraId="40DEF6B5" w14:textId="77777777" w:rsidR="0056484B" w:rsidRPr="000E2B93" w:rsidRDefault="0056484B" w:rsidP="0056484B">
      <w:pPr>
        <w:spacing w:after="0" w:line="240" w:lineRule="auto"/>
        <w:jc w:val="both"/>
        <w:textAlignment w:val="baseline"/>
        <w:rPr>
          <w:rFonts w:ascii="Verdana" w:eastAsia="Verdana" w:hAnsi="Verdana" w:cs="Verdana"/>
          <w:lang w:eastAsia="es-CO"/>
        </w:rPr>
      </w:pPr>
    </w:p>
    <w:p w14:paraId="44AB53B2" w14:textId="466B6FC6" w:rsidR="0056484B" w:rsidRPr="000E2B93" w:rsidRDefault="0056484B" w:rsidP="0056484B">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7BB6BA9D" w14:textId="77777777" w:rsidR="0056484B" w:rsidRPr="0015699B" w:rsidRDefault="0056484B" w:rsidP="0056484B">
      <w:pPr>
        <w:spacing w:after="0" w:line="240" w:lineRule="auto"/>
        <w:ind w:left="1080"/>
        <w:jc w:val="both"/>
        <w:textAlignment w:val="baseline"/>
        <w:rPr>
          <w:rFonts w:ascii="Verdana" w:eastAsia="Verdana" w:hAnsi="Verdana" w:cs="Verdana"/>
          <w:lang w:eastAsia="es-CO"/>
        </w:rPr>
      </w:pPr>
    </w:p>
    <w:p w14:paraId="2F6C2F53" w14:textId="77777777" w:rsidR="008E5C2E" w:rsidRDefault="008E5C2E"/>
    <w:sectPr w:rsidR="008E5C2E" w:rsidSect="0056484B">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8D360" w14:textId="77777777" w:rsidR="00D1575E" w:rsidRDefault="00D1575E" w:rsidP="0056484B">
      <w:pPr>
        <w:spacing w:after="0" w:line="240" w:lineRule="auto"/>
      </w:pPr>
      <w:r>
        <w:separator/>
      </w:r>
    </w:p>
  </w:endnote>
  <w:endnote w:type="continuationSeparator" w:id="0">
    <w:p w14:paraId="1F160C5D" w14:textId="77777777" w:rsidR="00D1575E" w:rsidRDefault="00D1575E" w:rsidP="005648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94002" w14:textId="77777777" w:rsidR="0056484B" w:rsidRDefault="0056484B">
    <w:pPr>
      <w:pStyle w:val="Piedepgina"/>
    </w:pPr>
  </w:p>
  <w:p w14:paraId="69D98D4D" w14:textId="77777777" w:rsidR="0056484B" w:rsidRPr="00174B77" w:rsidRDefault="0056484B"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5A0EB77C" w14:textId="77777777" w:rsidR="0056484B" w:rsidRDefault="0056484B"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1A1FB33" w14:textId="77777777" w:rsidR="0056484B" w:rsidRPr="00E41027" w:rsidRDefault="0056484B"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3E2E7D43" w14:textId="77777777" w:rsidR="0056484B" w:rsidRDefault="0056484B"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9238A2">
      <w:rPr>
        <w:rFonts w:ascii="Verdana" w:eastAsia="Verdana" w:hAnsi="Verdana" w:cs="Verdana"/>
        <w:b/>
        <w:bCs/>
        <w:color w:val="000000"/>
        <w:sz w:val="18"/>
        <w:szCs w:val="18"/>
        <w:lang w:eastAsia="es-CO"/>
      </w:rPr>
      <w:t xml:space="preserve">Código: </w:t>
    </w:r>
    <w:r w:rsidRPr="009238A2">
      <w:rPr>
        <w:rFonts w:ascii="Verdana" w:eastAsia="Verdana" w:hAnsi="Verdana" w:cs="Verdana"/>
        <w:color w:val="000000"/>
        <w:sz w:val="18"/>
        <w:szCs w:val="18"/>
        <w:lang w:eastAsia="es-CO"/>
      </w:rPr>
      <w:t xml:space="preserve">CCE-REC-FM-17 </w:t>
    </w:r>
    <w:r w:rsidRPr="009238A2">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CE10F" w14:textId="77777777" w:rsidR="00D1575E" w:rsidRDefault="00D1575E" w:rsidP="0056484B">
      <w:pPr>
        <w:spacing w:after="0" w:line="240" w:lineRule="auto"/>
      </w:pPr>
      <w:r>
        <w:separator/>
      </w:r>
    </w:p>
  </w:footnote>
  <w:footnote w:type="continuationSeparator" w:id="0">
    <w:p w14:paraId="1ABC970A" w14:textId="77777777" w:rsidR="00D1575E" w:rsidRDefault="00D1575E" w:rsidP="0056484B">
      <w:pPr>
        <w:spacing w:after="0" w:line="240" w:lineRule="auto"/>
      </w:pPr>
      <w:r>
        <w:continuationSeparator/>
      </w:r>
    </w:p>
  </w:footnote>
  <w:footnote w:id="1">
    <w:p w14:paraId="3CC75E43" w14:textId="77777777" w:rsidR="0056484B" w:rsidRPr="00341963" w:rsidRDefault="0056484B" w:rsidP="0056484B">
      <w:pPr>
        <w:pStyle w:val="Textonotapie"/>
        <w:ind w:firstLine="708"/>
        <w:jc w:val="both"/>
        <w:rPr>
          <w:rFonts w:ascii="Verdana" w:hAnsi="Verdana" w:cs="Arial"/>
          <w:sz w:val="14"/>
          <w:szCs w:val="14"/>
        </w:rPr>
      </w:pPr>
      <w:r w:rsidRPr="00341963">
        <w:rPr>
          <w:rStyle w:val="Refdenotaalpie"/>
          <w:rFonts w:ascii="Verdana" w:hAnsi="Verdana" w:cs="Arial"/>
          <w:sz w:val="14"/>
          <w:szCs w:val="14"/>
        </w:rPr>
        <w:footnoteRef/>
      </w:r>
      <w:r w:rsidRPr="00341963">
        <w:rPr>
          <w:rFonts w:ascii="Verdana" w:hAnsi="Verdana" w:cs="Arial"/>
          <w:sz w:val="14"/>
          <w:szCs w:val="14"/>
        </w:rPr>
        <w:t xml:space="preserve"> COLOMBIA COMPRA EFICIENTE. Guía de garantías en procesos de contratación. p. 12. Disponible en: </w:t>
      </w:r>
      <w:hyperlink r:id="rId1" w:history="1">
        <w:r w:rsidRPr="00341963">
          <w:rPr>
            <w:rStyle w:val="Hipervnculo"/>
            <w:rFonts w:ascii="Verdana" w:hAnsi="Verdana" w:cs="Arial"/>
            <w:sz w:val="14"/>
            <w:szCs w:val="14"/>
          </w:rPr>
          <w:t>https://www.colombiacompra.gov.co/manuales-guias-y-pliegos-tipo/manuales-y-guias</w:t>
        </w:r>
      </w:hyperlink>
      <w:r w:rsidRPr="00341963">
        <w:rPr>
          <w:rFonts w:ascii="Verdana" w:hAnsi="Verdana" w:cs="Arial"/>
          <w:sz w:val="14"/>
          <w:szCs w:val="14"/>
        </w:rPr>
        <w:t xml:space="preserve">. </w:t>
      </w:r>
    </w:p>
  </w:footnote>
  <w:footnote w:id="2">
    <w:p w14:paraId="4777FC3E" w14:textId="77777777" w:rsidR="0056484B" w:rsidRPr="00341963" w:rsidRDefault="0056484B" w:rsidP="0056484B">
      <w:pPr>
        <w:pStyle w:val="Textonotapie"/>
        <w:ind w:firstLine="708"/>
        <w:jc w:val="both"/>
        <w:rPr>
          <w:rFonts w:ascii="Verdana" w:hAnsi="Verdana" w:cs="Arial"/>
          <w:sz w:val="14"/>
          <w:szCs w:val="14"/>
        </w:rPr>
      </w:pPr>
      <w:r w:rsidRPr="00341963">
        <w:rPr>
          <w:rStyle w:val="Refdenotaalpie"/>
          <w:rFonts w:ascii="Verdana" w:hAnsi="Verdana" w:cs="Arial"/>
          <w:sz w:val="14"/>
          <w:szCs w:val="14"/>
        </w:rPr>
        <w:footnoteRef/>
      </w:r>
      <w:r w:rsidRPr="00341963">
        <w:rPr>
          <w:rFonts w:ascii="Verdana" w:hAnsi="Verdana" w:cs="Arial"/>
          <w:sz w:val="14"/>
          <w:szCs w:val="14"/>
        </w:rPr>
        <w:t xml:space="preserve"> Ibídem., p. 17. La guía además señala en relación con las garantías bancarias y cartas de crédito stand by,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 w:id="3">
    <w:p w14:paraId="6114B070" w14:textId="77777777" w:rsidR="0056484B" w:rsidRPr="009563F2" w:rsidRDefault="0056484B" w:rsidP="0056484B">
      <w:pPr>
        <w:spacing w:after="0" w:line="240" w:lineRule="auto"/>
        <w:ind w:right="51" w:firstLine="2"/>
        <w:contextualSpacing/>
        <w:jc w:val="both"/>
        <w:rPr>
          <w:rFonts w:ascii="Verdana" w:hAnsi="Verdana"/>
          <w:sz w:val="16"/>
          <w:szCs w:val="16"/>
          <w:lang w:val="es-ES"/>
        </w:rPr>
      </w:pPr>
      <w:r w:rsidRPr="009563F2">
        <w:rPr>
          <w:rStyle w:val="Refdenotaalpie"/>
          <w:rFonts w:ascii="Verdana" w:hAnsi="Verdana"/>
          <w:sz w:val="16"/>
          <w:szCs w:val="16"/>
        </w:rPr>
        <w:footnoteRef/>
      </w:r>
      <w:r w:rsidRPr="009563F2">
        <w:rPr>
          <w:rFonts w:ascii="Verdana" w:hAnsi="Verdana"/>
          <w:sz w:val="16"/>
          <w:szCs w:val="16"/>
        </w:rPr>
        <w:t>“Artículo</w:t>
      </w:r>
      <w:r w:rsidRPr="009563F2">
        <w:rPr>
          <w:rFonts w:ascii="Verdana" w:hAnsi="Verdana"/>
          <w:spacing w:val="-9"/>
          <w:sz w:val="16"/>
          <w:szCs w:val="16"/>
        </w:rPr>
        <w:t xml:space="preserve"> </w:t>
      </w:r>
      <w:r w:rsidRPr="009563F2">
        <w:rPr>
          <w:rFonts w:ascii="Verdana" w:hAnsi="Verdana"/>
          <w:sz w:val="16"/>
          <w:szCs w:val="16"/>
        </w:rPr>
        <w:t>2.2.1.2.3.1.12.</w:t>
      </w:r>
      <w:r w:rsidRPr="009563F2">
        <w:rPr>
          <w:rFonts w:ascii="Verdana" w:hAnsi="Verdana"/>
          <w:spacing w:val="-7"/>
          <w:sz w:val="16"/>
          <w:szCs w:val="16"/>
        </w:rPr>
        <w:t xml:space="preserve"> </w:t>
      </w:r>
      <w:r w:rsidRPr="009563F2">
        <w:rPr>
          <w:rFonts w:ascii="Verdana" w:hAnsi="Verdana"/>
          <w:sz w:val="16"/>
          <w:szCs w:val="16"/>
        </w:rPr>
        <w:t>Suficiencia</w:t>
      </w:r>
      <w:r w:rsidRPr="009563F2">
        <w:rPr>
          <w:rFonts w:ascii="Verdana" w:hAnsi="Verdana"/>
          <w:spacing w:val="-7"/>
          <w:sz w:val="16"/>
          <w:szCs w:val="16"/>
        </w:rPr>
        <w:t xml:space="preserve"> </w:t>
      </w:r>
      <w:r w:rsidRPr="009563F2">
        <w:rPr>
          <w:rFonts w:ascii="Verdana" w:hAnsi="Verdana"/>
          <w:sz w:val="16"/>
          <w:szCs w:val="16"/>
        </w:rPr>
        <w:t>de</w:t>
      </w:r>
      <w:r w:rsidRPr="009563F2">
        <w:rPr>
          <w:rFonts w:ascii="Verdana" w:hAnsi="Verdana"/>
          <w:spacing w:val="-9"/>
          <w:sz w:val="16"/>
          <w:szCs w:val="16"/>
        </w:rPr>
        <w:t xml:space="preserve"> </w:t>
      </w:r>
      <w:r w:rsidRPr="009563F2">
        <w:rPr>
          <w:rFonts w:ascii="Verdana" w:hAnsi="Verdana"/>
          <w:sz w:val="16"/>
          <w:szCs w:val="16"/>
        </w:rPr>
        <w:t>la</w:t>
      </w:r>
      <w:r w:rsidRPr="009563F2">
        <w:rPr>
          <w:rFonts w:ascii="Verdana" w:hAnsi="Verdana"/>
          <w:spacing w:val="-9"/>
          <w:sz w:val="16"/>
          <w:szCs w:val="16"/>
        </w:rPr>
        <w:t xml:space="preserve"> </w:t>
      </w:r>
      <w:r w:rsidRPr="009563F2">
        <w:rPr>
          <w:rFonts w:ascii="Verdana" w:hAnsi="Verdana"/>
          <w:sz w:val="16"/>
          <w:szCs w:val="16"/>
        </w:rPr>
        <w:t>garantía</w:t>
      </w:r>
      <w:r w:rsidRPr="009563F2">
        <w:rPr>
          <w:rFonts w:ascii="Verdana" w:hAnsi="Verdana"/>
          <w:spacing w:val="-8"/>
          <w:sz w:val="16"/>
          <w:szCs w:val="16"/>
        </w:rPr>
        <w:t xml:space="preserve"> </w:t>
      </w:r>
      <w:r w:rsidRPr="009563F2">
        <w:rPr>
          <w:rFonts w:ascii="Verdana" w:hAnsi="Verdana"/>
          <w:sz w:val="16"/>
          <w:szCs w:val="16"/>
        </w:rPr>
        <w:t>de</w:t>
      </w:r>
      <w:r w:rsidRPr="009563F2">
        <w:rPr>
          <w:rFonts w:ascii="Verdana" w:hAnsi="Verdana"/>
          <w:spacing w:val="-9"/>
          <w:sz w:val="16"/>
          <w:szCs w:val="16"/>
        </w:rPr>
        <w:t xml:space="preserve"> </w:t>
      </w:r>
      <w:r w:rsidRPr="009563F2">
        <w:rPr>
          <w:rFonts w:ascii="Verdana" w:hAnsi="Verdana"/>
          <w:sz w:val="16"/>
          <w:szCs w:val="16"/>
        </w:rPr>
        <w:t>cumplimiento.</w:t>
      </w:r>
      <w:r w:rsidRPr="009563F2">
        <w:rPr>
          <w:rFonts w:ascii="Verdana" w:hAnsi="Verdana"/>
          <w:spacing w:val="-7"/>
          <w:sz w:val="16"/>
          <w:szCs w:val="16"/>
        </w:rPr>
        <w:t xml:space="preserve"> </w:t>
      </w:r>
      <w:r w:rsidRPr="009563F2">
        <w:rPr>
          <w:rFonts w:ascii="Verdana" w:hAnsi="Verdana"/>
          <w:sz w:val="16"/>
          <w:szCs w:val="16"/>
        </w:rPr>
        <w:t>La</w:t>
      </w:r>
      <w:r w:rsidRPr="009563F2">
        <w:rPr>
          <w:rFonts w:ascii="Verdana" w:hAnsi="Verdana"/>
          <w:spacing w:val="-9"/>
          <w:sz w:val="16"/>
          <w:szCs w:val="16"/>
        </w:rPr>
        <w:t xml:space="preserve"> </w:t>
      </w:r>
      <w:r w:rsidRPr="009563F2">
        <w:rPr>
          <w:rFonts w:ascii="Verdana" w:hAnsi="Verdana"/>
          <w:sz w:val="16"/>
          <w:szCs w:val="16"/>
        </w:rPr>
        <w:t>garantía</w:t>
      </w:r>
      <w:r w:rsidRPr="009563F2">
        <w:rPr>
          <w:rFonts w:ascii="Verdana" w:hAnsi="Verdana"/>
          <w:spacing w:val="-8"/>
          <w:sz w:val="16"/>
          <w:szCs w:val="16"/>
        </w:rPr>
        <w:t xml:space="preserve"> </w:t>
      </w:r>
      <w:r w:rsidRPr="009563F2">
        <w:rPr>
          <w:rFonts w:ascii="Verdana" w:hAnsi="Verdana"/>
          <w:sz w:val="16"/>
          <w:szCs w:val="16"/>
        </w:rPr>
        <w:t>de</w:t>
      </w:r>
      <w:r w:rsidRPr="009563F2">
        <w:rPr>
          <w:rFonts w:ascii="Verdana" w:hAnsi="Verdana"/>
          <w:spacing w:val="-9"/>
          <w:sz w:val="16"/>
          <w:szCs w:val="16"/>
        </w:rPr>
        <w:t xml:space="preserve"> </w:t>
      </w:r>
      <w:r w:rsidRPr="009563F2">
        <w:rPr>
          <w:rFonts w:ascii="Verdana" w:hAnsi="Verdana"/>
          <w:sz w:val="16"/>
          <w:szCs w:val="16"/>
        </w:rPr>
        <w:t>cumplimiento</w:t>
      </w:r>
      <w:r w:rsidRPr="009563F2">
        <w:rPr>
          <w:rFonts w:ascii="Verdana" w:hAnsi="Verdana"/>
          <w:spacing w:val="-7"/>
          <w:sz w:val="16"/>
          <w:szCs w:val="16"/>
        </w:rPr>
        <w:t xml:space="preserve"> </w:t>
      </w:r>
      <w:r w:rsidRPr="009563F2">
        <w:rPr>
          <w:rFonts w:ascii="Verdana" w:hAnsi="Verdana"/>
          <w:sz w:val="16"/>
          <w:szCs w:val="16"/>
        </w:rPr>
        <w:t>del</w:t>
      </w:r>
      <w:r w:rsidRPr="009563F2">
        <w:rPr>
          <w:rFonts w:ascii="Verdana" w:hAnsi="Verdana"/>
          <w:spacing w:val="-9"/>
          <w:sz w:val="16"/>
          <w:szCs w:val="16"/>
        </w:rPr>
        <w:t xml:space="preserve"> </w:t>
      </w:r>
      <w:r w:rsidRPr="009563F2">
        <w:rPr>
          <w:rFonts w:ascii="Verdana" w:hAnsi="Verdana"/>
          <w:sz w:val="16"/>
          <w:szCs w:val="16"/>
        </w:rPr>
        <w:t>contrato</w:t>
      </w:r>
      <w:r w:rsidRPr="009563F2">
        <w:rPr>
          <w:rFonts w:ascii="Verdana" w:hAnsi="Verdana"/>
          <w:spacing w:val="-8"/>
          <w:sz w:val="16"/>
          <w:szCs w:val="16"/>
        </w:rPr>
        <w:t xml:space="preserve"> </w:t>
      </w:r>
      <w:r w:rsidRPr="009563F2">
        <w:rPr>
          <w:rFonts w:ascii="Verdana" w:hAnsi="Verdana"/>
          <w:sz w:val="16"/>
          <w:szCs w:val="16"/>
        </w:rPr>
        <w:t>debe</w:t>
      </w:r>
      <w:r w:rsidRPr="009563F2">
        <w:rPr>
          <w:rFonts w:ascii="Verdana" w:hAnsi="Verdana"/>
          <w:spacing w:val="-9"/>
          <w:sz w:val="16"/>
          <w:szCs w:val="16"/>
        </w:rPr>
        <w:t xml:space="preserve"> </w:t>
      </w:r>
      <w:r w:rsidRPr="009563F2">
        <w:rPr>
          <w:rFonts w:ascii="Verdana" w:hAnsi="Verdana"/>
          <w:sz w:val="16"/>
          <w:szCs w:val="16"/>
        </w:rPr>
        <w:t>tener</w:t>
      </w:r>
      <w:r w:rsidRPr="009563F2">
        <w:rPr>
          <w:rFonts w:ascii="Verdana" w:hAnsi="Verdana"/>
          <w:spacing w:val="-8"/>
          <w:sz w:val="16"/>
          <w:szCs w:val="16"/>
        </w:rPr>
        <w:t xml:space="preserve"> </w:t>
      </w:r>
      <w:r w:rsidRPr="009563F2">
        <w:rPr>
          <w:rFonts w:ascii="Verdana" w:hAnsi="Verdana"/>
          <w:sz w:val="16"/>
          <w:szCs w:val="16"/>
        </w:rPr>
        <w:t>una</w:t>
      </w:r>
      <w:r w:rsidRPr="009563F2">
        <w:rPr>
          <w:rFonts w:ascii="Verdana" w:hAnsi="Verdana"/>
          <w:spacing w:val="-9"/>
          <w:sz w:val="16"/>
          <w:szCs w:val="16"/>
        </w:rPr>
        <w:t xml:space="preserve"> </w:t>
      </w:r>
      <w:r w:rsidRPr="009563F2">
        <w:rPr>
          <w:rFonts w:ascii="Verdana" w:hAnsi="Verdana"/>
          <w:sz w:val="16"/>
          <w:szCs w:val="16"/>
        </w:rPr>
        <w:t>vigencia</w:t>
      </w:r>
      <w:r w:rsidRPr="009563F2">
        <w:rPr>
          <w:rFonts w:ascii="Verdana" w:hAnsi="Verdana"/>
          <w:spacing w:val="-8"/>
          <w:sz w:val="16"/>
          <w:szCs w:val="16"/>
        </w:rPr>
        <w:t xml:space="preserve"> </w:t>
      </w:r>
      <w:r w:rsidRPr="009563F2">
        <w:rPr>
          <w:rFonts w:ascii="Verdana" w:hAnsi="Verdana"/>
          <w:sz w:val="16"/>
          <w:szCs w:val="16"/>
        </w:rPr>
        <w:t>mínima</w:t>
      </w:r>
      <w:r w:rsidRPr="009563F2">
        <w:rPr>
          <w:rFonts w:ascii="Verdana" w:hAnsi="Verdana"/>
          <w:spacing w:val="-8"/>
          <w:sz w:val="16"/>
          <w:szCs w:val="16"/>
        </w:rPr>
        <w:t xml:space="preserve"> </w:t>
      </w:r>
      <w:r w:rsidRPr="009563F2">
        <w:rPr>
          <w:rFonts w:ascii="Verdana" w:hAnsi="Verdana"/>
          <w:sz w:val="16"/>
          <w:szCs w:val="16"/>
        </w:rPr>
        <w:t>hasta</w:t>
      </w:r>
      <w:r w:rsidRPr="009563F2">
        <w:rPr>
          <w:rFonts w:ascii="Verdana" w:hAnsi="Verdana"/>
          <w:spacing w:val="-8"/>
          <w:sz w:val="16"/>
          <w:szCs w:val="16"/>
        </w:rPr>
        <w:t xml:space="preserve"> </w:t>
      </w:r>
      <w:r w:rsidRPr="009563F2">
        <w:rPr>
          <w:rFonts w:ascii="Verdana" w:hAnsi="Verdana"/>
          <w:sz w:val="16"/>
          <w:szCs w:val="16"/>
        </w:rPr>
        <w:t>la</w:t>
      </w:r>
      <w:r w:rsidRPr="009563F2">
        <w:rPr>
          <w:rFonts w:ascii="Verdana" w:hAnsi="Verdana"/>
          <w:spacing w:val="-9"/>
          <w:sz w:val="16"/>
          <w:szCs w:val="16"/>
        </w:rPr>
        <w:t xml:space="preserve"> </w:t>
      </w:r>
      <w:r w:rsidRPr="009563F2">
        <w:rPr>
          <w:rFonts w:ascii="Verdana" w:hAnsi="Verdana"/>
          <w:sz w:val="16"/>
          <w:szCs w:val="16"/>
        </w:rPr>
        <w:t>liquidación</w:t>
      </w:r>
      <w:r w:rsidRPr="009563F2">
        <w:rPr>
          <w:rFonts w:ascii="Verdana" w:hAnsi="Verdana"/>
          <w:spacing w:val="40"/>
          <w:sz w:val="16"/>
          <w:szCs w:val="16"/>
        </w:rPr>
        <w:t xml:space="preserve"> </w:t>
      </w:r>
      <w:r w:rsidRPr="009563F2">
        <w:rPr>
          <w:rFonts w:ascii="Verdana" w:hAnsi="Verdana"/>
          <w:sz w:val="16"/>
          <w:szCs w:val="16"/>
        </w:rPr>
        <w:t>del contrato. El valor de esta garantía debe ser de por lo menos el diez por ciento (10%) del valor del contrato a menos que el valor del contrato sea superior a un millón</w:t>
      </w:r>
      <w:r w:rsidRPr="009563F2">
        <w:rPr>
          <w:rFonts w:ascii="Verdana" w:hAnsi="Verdana"/>
          <w:spacing w:val="40"/>
          <w:sz w:val="16"/>
          <w:szCs w:val="16"/>
        </w:rPr>
        <w:t xml:space="preserve"> </w:t>
      </w:r>
      <w:r w:rsidRPr="009563F2">
        <w:rPr>
          <w:rFonts w:ascii="Verdana" w:hAnsi="Verdana"/>
          <w:sz w:val="16"/>
          <w:szCs w:val="16"/>
        </w:rPr>
        <w:t>(1.000.000) de smmlv, caso en el cual la Entidad Estatal aplicará las siguientes reglas:</w:t>
      </w:r>
      <w:r>
        <w:rPr>
          <w:rFonts w:ascii="Verdana" w:hAnsi="Verdana"/>
          <w:sz w:val="16"/>
          <w:szCs w:val="16"/>
        </w:rPr>
        <w:t xml:space="preserve"> </w:t>
      </w:r>
      <w:r w:rsidRPr="009563F2">
        <w:rPr>
          <w:rFonts w:ascii="Verdana" w:hAnsi="Verdana"/>
          <w:sz w:val="16"/>
          <w:szCs w:val="16"/>
        </w:rPr>
        <w:t>1.Si</w:t>
      </w:r>
      <w:r w:rsidRPr="009563F2">
        <w:rPr>
          <w:rFonts w:ascii="Verdana" w:hAnsi="Verdana"/>
          <w:spacing w:val="-3"/>
          <w:sz w:val="16"/>
          <w:szCs w:val="16"/>
        </w:rPr>
        <w:t xml:space="preserve"> </w:t>
      </w:r>
      <w:r w:rsidRPr="009563F2">
        <w:rPr>
          <w:rFonts w:ascii="Verdana" w:hAnsi="Verdana"/>
          <w:sz w:val="16"/>
          <w:szCs w:val="16"/>
        </w:rPr>
        <w:t>el</w:t>
      </w:r>
      <w:r w:rsidRPr="009563F2">
        <w:rPr>
          <w:rFonts w:ascii="Verdana" w:hAnsi="Verdana"/>
          <w:spacing w:val="-3"/>
          <w:sz w:val="16"/>
          <w:szCs w:val="16"/>
        </w:rPr>
        <w:t xml:space="preserve"> </w:t>
      </w:r>
      <w:r w:rsidRPr="009563F2">
        <w:rPr>
          <w:rFonts w:ascii="Verdana" w:hAnsi="Verdana"/>
          <w:sz w:val="16"/>
          <w:szCs w:val="16"/>
        </w:rPr>
        <w:t>valor</w:t>
      </w:r>
      <w:r w:rsidRPr="009563F2">
        <w:rPr>
          <w:rFonts w:ascii="Verdana" w:hAnsi="Verdana"/>
          <w:spacing w:val="-3"/>
          <w:sz w:val="16"/>
          <w:szCs w:val="16"/>
        </w:rPr>
        <w:t xml:space="preserve"> </w:t>
      </w:r>
      <w:r w:rsidRPr="009563F2">
        <w:rPr>
          <w:rFonts w:ascii="Verdana" w:hAnsi="Verdana"/>
          <w:sz w:val="16"/>
          <w:szCs w:val="16"/>
        </w:rPr>
        <w:t>del</w:t>
      </w:r>
      <w:r w:rsidRPr="009563F2">
        <w:rPr>
          <w:rFonts w:ascii="Verdana" w:hAnsi="Verdana"/>
          <w:spacing w:val="-3"/>
          <w:sz w:val="16"/>
          <w:szCs w:val="16"/>
        </w:rPr>
        <w:t xml:space="preserve"> </w:t>
      </w:r>
      <w:r w:rsidRPr="009563F2">
        <w:rPr>
          <w:rFonts w:ascii="Verdana" w:hAnsi="Verdana"/>
          <w:sz w:val="16"/>
          <w:szCs w:val="16"/>
        </w:rPr>
        <w:t>contrato</w:t>
      </w:r>
      <w:r w:rsidRPr="009563F2">
        <w:rPr>
          <w:rFonts w:ascii="Verdana" w:hAnsi="Verdana"/>
          <w:spacing w:val="-2"/>
          <w:sz w:val="16"/>
          <w:szCs w:val="16"/>
        </w:rPr>
        <w:t xml:space="preserve"> </w:t>
      </w:r>
      <w:r w:rsidRPr="009563F2">
        <w:rPr>
          <w:rFonts w:ascii="Verdana" w:hAnsi="Verdana"/>
          <w:sz w:val="16"/>
          <w:szCs w:val="16"/>
        </w:rPr>
        <w:t>es</w:t>
      </w:r>
      <w:r w:rsidRPr="009563F2">
        <w:rPr>
          <w:rFonts w:ascii="Verdana" w:hAnsi="Verdana"/>
          <w:spacing w:val="-3"/>
          <w:sz w:val="16"/>
          <w:szCs w:val="16"/>
        </w:rPr>
        <w:t xml:space="preserve"> </w:t>
      </w:r>
      <w:r w:rsidRPr="009563F2">
        <w:rPr>
          <w:rFonts w:ascii="Verdana" w:hAnsi="Verdana"/>
          <w:sz w:val="16"/>
          <w:szCs w:val="16"/>
        </w:rPr>
        <w:t>superior</w:t>
      </w:r>
      <w:r w:rsidRPr="009563F2">
        <w:rPr>
          <w:rFonts w:ascii="Verdana" w:hAnsi="Verdana"/>
          <w:spacing w:val="-2"/>
          <w:sz w:val="16"/>
          <w:szCs w:val="16"/>
        </w:rPr>
        <w:t xml:space="preserve"> </w:t>
      </w:r>
      <w:r w:rsidRPr="009563F2">
        <w:rPr>
          <w:rFonts w:ascii="Verdana" w:hAnsi="Verdana"/>
          <w:sz w:val="16"/>
          <w:szCs w:val="16"/>
        </w:rPr>
        <w:t>a</w:t>
      </w:r>
      <w:r w:rsidRPr="009563F2">
        <w:rPr>
          <w:rFonts w:ascii="Verdana" w:hAnsi="Verdana"/>
          <w:spacing w:val="-3"/>
          <w:sz w:val="16"/>
          <w:szCs w:val="16"/>
        </w:rPr>
        <w:t xml:space="preserve"> </w:t>
      </w:r>
      <w:r w:rsidRPr="009563F2">
        <w:rPr>
          <w:rFonts w:ascii="Verdana" w:hAnsi="Verdana"/>
          <w:sz w:val="16"/>
          <w:szCs w:val="16"/>
        </w:rPr>
        <w:t>un</w:t>
      </w:r>
      <w:r w:rsidRPr="009563F2">
        <w:rPr>
          <w:rFonts w:ascii="Verdana" w:hAnsi="Verdana"/>
          <w:spacing w:val="-3"/>
          <w:sz w:val="16"/>
          <w:szCs w:val="16"/>
        </w:rPr>
        <w:t xml:space="preserve"> </w:t>
      </w:r>
      <w:r w:rsidRPr="009563F2">
        <w:rPr>
          <w:rFonts w:ascii="Verdana" w:hAnsi="Verdana"/>
          <w:sz w:val="16"/>
          <w:szCs w:val="16"/>
        </w:rPr>
        <w:t>millón</w:t>
      </w:r>
      <w:r w:rsidRPr="009563F2">
        <w:rPr>
          <w:rFonts w:ascii="Verdana" w:hAnsi="Verdana"/>
          <w:spacing w:val="-3"/>
          <w:sz w:val="16"/>
          <w:szCs w:val="16"/>
        </w:rPr>
        <w:t xml:space="preserve"> </w:t>
      </w:r>
      <w:r w:rsidRPr="009563F2">
        <w:rPr>
          <w:rFonts w:ascii="Verdana" w:hAnsi="Verdana"/>
          <w:sz w:val="16"/>
          <w:szCs w:val="16"/>
        </w:rPr>
        <w:t>(1.000.000)</w:t>
      </w:r>
      <w:r w:rsidRPr="009563F2">
        <w:rPr>
          <w:rFonts w:ascii="Verdana" w:hAnsi="Verdana"/>
          <w:spacing w:val="-2"/>
          <w:sz w:val="16"/>
          <w:szCs w:val="16"/>
        </w:rPr>
        <w:t xml:space="preserve"> </w:t>
      </w:r>
      <w:r w:rsidRPr="009563F2">
        <w:rPr>
          <w:rFonts w:ascii="Verdana" w:hAnsi="Verdana"/>
          <w:sz w:val="16"/>
          <w:szCs w:val="16"/>
        </w:rPr>
        <w:t>de</w:t>
      </w:r>
      <w:r w:rsidRPr="009563F2">
        <w:rPr>
          <w:rFonts w:ascii="Verdana" w:hAnsi="Verdana"/>
          <w:spacing w:val="-3"/>
          <w:sz w:val="16"/>
          <w:szCs w:val="16"/>
        </w:rPr>
        <w:t xml:space="preserve"> </w:t>
      </w:r>
      <w:r w:rsidRPr="009563F2">
        <w:rPr>
          <w:rFonts w:ascii="Verdana" w:hAnsi="Verdana"/>
          <w:sz w:val="16"/>
          <w:szCs w:val="16"/>
        </w:rPr>
        <w:t>smmlv</w:t>
      </w:r>
      <w:r w:rsidRPr="009563F2">
        <w:rPr>
          <w:rFonts w:ascii="Verdana" w:hAnsi="Verdana"/>
          <w:spacing w:val="-3"/>
          <w:sz w:val="16"/>
          <w:szCs w:val="16"/>
        </w:rPr>
        <w:t xml:space="preserve"> </w:t>
      </w:r>
      <w:r w:rsidRPr="009563F2">
        <w:rPr>
          <w:rFonts w:ascii="Verdana" w:hAnsi="Verdana"/>
          <w:sz w:val="16"/>
          <w:szCs w:val="16"/>
        </w:rPr>
        <w:t>y</w:t>
      </w:r>
      <w:r w:rsidRPr="009563F2">
        <w:rPr>
          <w:rFonts w:ascii="Verdana" w:hAnsi="Verdana"/>
          <w:spacing w:val="-3"/>
          <w:sz w:val="16"/>
          <w:szCs w:val="16"/>
        </w:rPr>
        <w:t xml:space="preserve"> </w:t>
      </w:r>
      <w:r w:rsidRPr="009563F2">
        <w:rPr>
          <w:rFonts w:ascii="Verdana" w:hAnsi="Verdana"/>
          <w:sz w:val="16"/>
          <w:szCs w:val="16"/>
        </w:rPr>
        <w:t>hasta</w:t>
      </w:r>
      <w:r w:rsidRPr="009563F2">
        <w:rPr>
          <w:rFonts w:ascii="Verdana" w:hAnsi="Verdana"/>
          <w:spacing w:val="-3"/>
          <w:sz w:val="16"/>
          <w:szCs w:val="16"/>
        </w:rPr>
        <w:t xml:space="preserve"> </w:t>
      </w:r>
      <w:r w:rsidRPr="009563F2">
        <w:rPr>
          <w:rFonts w:ascii="Verdana" w:hAnsi="Verdana"/>
          <w:sz w:val="16"/>
          <w:szCs w:val="16"/>
        </w:rPr>
        <w:t>cinco</w:t>
      </w:r>
      <w:r w:rsidRPr="009563F2">
        <w:rPr>
          <w:rFonts w:ascii="Verdana" w:hAnsi="Verdana"/>
          <w:spacing w:val="-3"/>
          <w:sz w:val="16"/>
          <w:szCs w:val="16"/>
        </w:rPr>
        <w:t xml:space="preserve"> </w:t>
      </w:r>
      <w:r w:rsidRPr="009563F2">
        <w:rPr>
          <w:rFonts w:ascii="Verdana" w:hAnsi="Verdana"/>
          <w:sz w:val="16"/>
          <w:szCs w:val="16"/>
        </w:rPr>
        <w:t>millones</w:t>
      </w:r>
      <w:r w:rsidRPr="009563F2">
        <w:rPr>
          <w:rFonts w:ascii="Verdana" w:hAnsi="Verdana"/>
          <w:spacing w:val="-2"/>
          <w:sz w:val="16"/>
          <w:szCs w:val="16"/>
        </w:rPr>
        <w:t xml:space="preserve"> </w:t>
      </w:r>
      <w:r w:rsidRPr="009563F2">
        <w:rPr>
          <w:rFonts w:ascii="Verdana" w:hAnsi="Verdana"/>
          <w:sz w:val="16"/>
          <w:szCs w:val="16"/>
        </w:rPr>
        <w:t>(5.000.000)</w:t>
      </w:r>
      <w:r w:rsidRPr="009563F2">
        <w:rPr>
          <w:rFonts w:ascii="Verdana" w:hAnsi="Verdana"/>
          <w:spacing w:val="-2"/>
          <w:sz w:val="16"/>
          <w:szCs w:val="16"/>
        </w:rPr>
        <w:t xml:space="preserve"> </w:t>
      </w:r>
      <w:r w:rsidRPr="009563F2">
        <w:rPr>
          <w:rFonts w:ascii="Verdana" w:hAnsi="Verdana"/>
          <w:sz w:val="16"/>
          <w:szCs w:val="16"/>
        </w:rPr>
        <w:t>de</w:t>
      </w:r>
      <w:r w:rsidRPr="009563F2">
        <w:rPr>
          <w:rFonts w:ascii="Verdana" w:hAnsi="Verdana"/>
          <w:spacing w:val="-3"/>
          <w:sz w:val="16"/>
          <w:szCs w:val="16"/>
        </w:rPr>
        <w:t xml:space="preserve"> </w:t>
      </w:r>
      <w:r w:rsidRPr="009563F2">
        <w:rPr>
          <w:rFonts w:ascii="Verdana" w:hAnsi="Verdana"/>
          <w:sz w:val="16"/>
          <w:szCs w:val="16"/>
        </w:rPr>
        <w:t>smmlv,</w:t>
      </w:r>
      <w:r w:rsidRPr="009563F2">
        <w:rPr>
          <w:rFonts w:ascii="Verdana" w:hAnsi="Verdana"/>
          <w:spacing w:val="-3"/>
          <w:sz w:val="16"/>
          <w:szCs w:val="16"/>
        </w:rPr>
        <w:t xml:space="preserve"> </w:t>
      </w:r>
      <w:r w:rsidRPr="009563F2">
        <w:rPr>
          <w:rFonts w:ascii="Verdana" w:hAnsi="Verdana"/>
          <w:sz w:val="16"/>
          <w:szCs w:val="16"/>
        </w:rPr>
        <w:t>la</w:t>
      </w:r>
      <w:r w:rsidRPr="009563F2">
        <w:rPr>
          <w:rFonts w:ascii="Verdana" w:hAnsi="Verdana"/>
          <w:spacing w:val="-3"/>
          <w:sz w:val="16"/>
          <w:szCs w:val="16"/>
        </w:rPr>
        <w:t xml:space="preserve"> </w:t>
      </w:r>
      <w:r w:rsidRPr="009563F2">
        <w:rPr>
          <w:rFonts w:ascii="Verdana" w:hAnsi="Verdana"/>
          <w:sz w:val="16"/>
          <w:szCs w:val="16"/>
        </w:rPr>
        <w:t>Entidad</w:t>
      </w:r>
      <w:r w:rsidRPr="009563F2">
        <w:rPr>
          <w:rFonts w:ascii="Verdana" w:hAnsi="Verdana"/>
          <w:spacing w:val="-3"/>
          <w:sz w:val="16"/>
          <w:szCs w:val="16"/>
        </w:rPr>
        <w:t xml:space="preserve"> </w:t>
      </w:r>
      <w:r w:rsidRPr="009563F2">
        <w:rPr>
          <w:rFonts w:ascii="Verdana" w:hAnsi="Verdana"/>
          <w:sz w:val="16"/>
          <w:szCs w:val="16"/>
        </w:rPr>
        <w:t>Estatal</w:t>
      </w:r>
      <w:r w:rsidRPr="009563F2">
        <w:rPr>
          <w:rFonts w:ascii="Verdana" w:hAnsi="Verdana"/>
          <w:spacing w:val="-2"/>
          <w:sz w:val="16"/>
          <w:szCs w:val="16"/>
        </w:rPr>
        <w:t xml:space="preserve"> </w:t>
      </w:r>
      <w:r w:rsidRPr="009563F2">
        <w:rPr>
          <w:rFonts w:ascii="Verdana" w:hAnsi="Verdana"/>
          <w:sz w:val="16"/>
          <w:szCs w:val="16"/>
        </w:rPr>
        <w:t>puede</w:t>
      </w:r>
      <w:r w:rsidRPr="009563F2">
        <w:rPr>
          <w:rFonts w:ascii="Verdana" w:hAnsi="Verdana"/>
          <w:spacing w:val="-3"/>
          <w:sz w:val="16"/>
          <w:szCs w:val="16"/>
        </w:rPr>
        <w:t xml:space="preserve"> </w:t>
      </w:r>
      <w:r w:rsidRPr="009563F2">
        <w:rPr>
          <w:rFonts w:ascii="Verdana" w:hAnsi="Verdana"/>
          <w:sz w:val="16"/>
          <w:szCs w:val="16"/>
        </w:rPr>
        <w:t>aceptar</w:t>
      </w:r>
      <w:r w:rsidRPr="009563F2">
        <w:rPr>
          <w:rFonts w:ascii="Verdana" w:hAnsi="Verdana"/>
          <w:spacing w:val="-2"/>
          <w:sz w:val="16"/>
          <w:szCs w:val="16"/>
        </w:rPr>
        <w:t xml:space="preserve"> </w:t>
      </w:r>
      <w:r w:rsidRPr="009563F2">
        <w:rPr>
          <w:rFonts w:ascii="Verdana" w:hAnsi="Verdana"/>
          <w:sz w:val="16"/>
          <w:szCs w:val="16"/>
        </w:rPr>
        <w:t>garantías</w:t>
      </w:r>
      <w:r w:rsidRPr="009563F2">
        <w:rPr>
          <w:rFonts w:ascii="Verdana" w:hAnsi="Verdana"/>
          <w:spacing w:val="40"/>
          <w:sz w:val="16"/>
          <w:szCs w:val="16"/>
        </w:rPr>
        <w:t xml:space="preserve"> </w:t>
      </w:r>
      <w:r w:rsidRPr="009563F2">
        <w:rPr>
          <w:rFonts w:ascii="Verdana" w:hAnsi="Verdana"/>
          <w:sz w:val="16"/>
          <w:szCs w:val="16"/>
        </w:rPr>
        <w:t>que cubran al menos el dos punto cinco por ciento (2,5%) del valor del contrato.</w:t>
      </w:r>
      <w:r>
        <w:rPr>
          <w:rFonts w:ascii="Verdana" w:hAnsi="Verdana"/>
          <w:sz w:val="16"/>
          <w:szCs w:val="16"/>
        </w:rPr>
        <w:t xml:space="preserve"> </w:t>
      </w:r>
      <w:r w:rsidRPr="009563F2">
        <w:rPr>
          <w:rFonts w:ascii="Verdana" w:hAnsi="Verdana"/>
          <w:sz w:val="16"/>
          <w:szCs w:val="16"/>
        </w:rPr>
        <w:t>2.Si el valor del contrato es superior a cinco millones (5.000.000) de smmlv y hasta diez millones (10.000.000) de smmlv, la Entidad Estatal puede aceptar</w:t>
      </w:r>
      <w:r w:rsidRPr="009563F2">
        <w:rPr>
          <w:rFonts w:ascii="Verdana" w:hAnsi="Verdana"/>
          <w:spacing w:val="40"/>
          <w:sz w:val="16"/>
          <w:szCs w:val="16"/>
        </w:rPr>
        <w:t xml:space="preserve"> </w:t>
      </w:r>
      <w:r w:rsidRPr="009563F2">
        <w:rPr>
          <w:rFonts w:ascii="Verdana" w:hAnsi="Verdana"/>
          <w:sz w:val="16"/>
          <w:szCs w:val="16"/>
        </w:rPr>
        <w:t>garantías que cubran al menos el uno por ciento (1%) del valor del contrato.</w:t>
      </w:r>
      <w:r>
        <w:rPr>
          <w:rFonts w:ascii="Verdana" w:hAnsi="Verdana"/>
          <w:sz w:val="16"/>
          <w:szCs w:val="16"/>
        </w:rPr>
        <w:t xml:space="preserve"> </w:t>
      </w:r>
      <w:r w:rsidRPr="009563F2">
        <w:rPr>
          <w:rFonts w:ascii="Verdana" w:hAnsi="Verdana"/>
          <w:sz w:val="16"/>
          <w:szCs w:val="16"/>
        </w:rPr>
        <w:t>3.Si</w:t>
      </w:r>
      <w:r w:rsidRPr="009563F2">
        <w:rPr>
          <w:rFonts w:ascii="Verdana" w:hAnsi="Verdana"/>
          <w:spacing w:val="-4"/>
          <w:sz w:val="16"/>
          <w:szCs w:val="16"/>
        </w:rPr>
        <w:t xml:space="preserve"> </w:t>
      </w:r>
      <w:r w:rsidRPr="009563F2">
        <w:rPr>
          <w:rFonts w:ascii="Verdana" w:hAnsi="Verdana"/>
          <w:sz w:val="16"/>
          <w:szCs w:val="16"/>
        </w:rPr>
        <w:t>el</w:t>
      </w:r>
      <w:r w:rsidRPr="009563F2">
        <w:rPr>
          <w:rFonts w:ascii="Verdana" w:hAnsi="Verdana"/>
          <w:spacing w:val="-4"/>
          <w:sz w:val="16"/>
          <w:szCs w:val="16"/>
        </w:rPr>
        <w:t xml:space="preserve"> </w:t>
      </w:r>
      <w:r w:rsidRPr="009563F2">
        <w:rPr>
          <w:rFonts w:ascii="Verdana" w:hAnsi="Verdana"/>
          <w:sz w:val="16"/>
          <w:szCs w:val="16"/>
        </w:rPr>
        <w:t>valor</w:t>
      </w:r>
      <w:r w:rsidRPr="009563F2">
        <w:rPr>
          <w:rFonts w:ascii="Verdana" w:hAnsi="Verdana"/>
          <w:spacing w:val="-3"/>
          <w:sz w:val="16"/>
          <w:szCs w:val="16"/>
        </w:rPr>
        <w:t xml:space="preserve"> </w:t>
      </w:r>
      <w:r w:rsidRPr="009563F2">
        <w:rPr>
          <w:rFonts w:ascii="Verdana" w:hAnsi="Verdana"/>
          <w:sz w:val="16"/>
          <w:szCs w:val="16"/>
        </w:rPr>
        <w:t>del</w:t>
      </w:r>
      <w:r w:rsidRPr="009563F2">
        <w:rPr>
          <w:rFonts w:ascii="Verdana" w:hAnsi="Verdana"/>
          <w:spacing w:val="-3"/>
          <w:sz w:val="16"/>
          <w:szCs w:val="16"/>
        </w:rPr>
        <w:t xml:space="preserve"> </w:t>
      </w:r>
      <w:r w:rsidRPr="009563F2">
        <w:rPr>
          <w:rFonts w:ascii="Verdana" w:hAnsi="Verdana"/>
          <w:sz w:val="16"/>
          <w:szCs w:val="16"/>
        </w:rPr>
        <w:t>contrato</w:t>
      </w:r>
      <w:r w:rsidRPr="009563F2">
        <w:rPr>
          <w:rFonts w:ascii="Verdana" w:hAnsi="Verdana"/>
          <w:spacing w:val="-3"/>
          <w:sz w:val="16"/>
          <w:szCs w:val="16"/>
        </w:rPr>
        <w:t xml:space="preserve"> </w:t>
      </w:r>
      <w:r w:rsidRPr="009563F2">
        <w:rPr>
          <w:rFonts w:ascii="Verdana" w:hAnsi="Verdana"/>
          <w:sz w:val="16"/>
          <w:szCs w:val="16"/>
        </w:rPr>
        <w:t>es</w:t>
      </w:r>
      <w:r w:rsidRPr="009563F2">
        <w:rPr>
          <w:rFonts w:ascii="Verdana" w:hAnsi="Verdana"/>
          <w:spacing w:val="-4"/>
          <w:sz w:val="16"/>
          <w:szCs w:val="16"/>
        </w:rPr>
        <w:t xml:space="preserve"> </w:t>
      </w:r>
      <w:r w:rsidRPr="009563F2">
        <w:rPr>
          <w:rFonts w:ascii="Verdana" w:hAnsi="Verdana"/>
          <w:sz w:val="16"/>
          <w:szCs w:val="16"/>
        </w:rPr>
        <w:t>superior</w:t>
      </w:r>
      <w:r w:rsidRPr="009563F2">
        <w:rPr>
          <w:rFonts w:ascii="Verdana" w:hAnsi="Verdana"/>
          <w:spacing w:val="-3"/>
          <w:sz w:val="16"/>
          <w:szCs w:val="16"/>
        </w:rPr>
        <w:t xml:space="preserve"> </w:t>
      </w:r>
      <w:r w:rsidRPr="009563F2">
        <w:rPr>
          <w:rFonts w:ascii="Verdana" w:hAnsi="Verdana"/>
          <w:sz w:val="16"/>
          <w:szCs w:val="16"/>
        </w:rPr>
        <w:t>a</w:t>
      </w:r>
      <w:r w:rsidRPr="009563F2">
        <w:rPr>
          <w:rFonts w:ascii="Verdana" w:hAnsi="Verdana"/>
          <w:spacing w:val="-4"/>
          <w:sz w:val="16"/>
          <w:szCs w:val="16"/>
        </w:rPr>
        <w:t xml:space="preserve"> </w:t>
      </w:r>
      <w:r w:rsidRPr="009563F2">
        <w:rPr>
          <w:rFonts w:ascii="Verdana" w:hAnsi="Verdana"/>
          <w:sz w:val="16"/>
          <w:szCs w:val="16"/>
        </w:rPr>
        <w:t>diez</w:t>
      </w:r>
      <w:r w:rsidRPr="009563F2">
        <w:rPr>
          <w:rFonts w:ascii="Verdana" w:hAnsi="Verdana"/>
          <w:spacing w:val="-3"/>
          <w:sz w:val="16"/>
          <w:szCs w:val="16"/>
        </w:rPr>
        <w:t xml:space="preserve"> </w:t>
      </w:r>
      <w:r w:rsidRPr="009563F2">
        <w:rPr>
          <w:rFonts w:ascii="Verdana" w:hAnsi="Verdana"/>
          <w:sz w:val="16"/>
          <w:szCs w:val="16"/>
        </w:rPr>
        <w:t>millones</w:t>
      </w:r>
      <w:r w:rsidRPr="009563F2">
        <w:rPr>
          <w:rFonts w:ascii="Verdana" w:hAnsi="Verdana"/>
          <w:spacing w:val="-3"/>
          <w:sz w:val="16"/>
          <w:szCs w:val="16"/>
        </w:rPr>
        <w:t xml:space="preserve"> </w:t>
      </w:r>
      <w:r w:rsidRPr="009563F2">
        <w:rPr>
          <w:rFonts w:ascii="Verdana" w:hAnsi="Verdana"/>
          <w:sz w:val="16"/>
          <w:szCs w:val="16"/>
        </w:rPr>
        <w:t>(10.000.000)</w:t>
      </w:r>
      <w:r w:rsidRPr="009563F2">
        <w:rPr>
          <w:rFonts w:ascii="Verdana" w:hAnsi="Verdana"/>
          <w:spacing w:val="-2"/>
          <w:sz w:val="16"/>
          <w:szCs w:val="16"/>
        </w:rPr>
        <w:t xml:space="preserve"> </w:t>
      </w:r>
      <w:r w:rsidRPr="009563F2">
        <w:rPr>
          <w:rFonts w:ascii="Verdana" w:hAnsi="Verdana"/>
          <w:sz w:val="16"/>
          <w:szCs w:val="16"/>
        </w:rPr>
        <w:t>de</w:t>
      </w:r>
      <w:r w:rsidRPr="009563F2">
        <w:rPr>
          <w:rFonts w:ascii="Verdana" w:hAnsi="Verdana"/>
          <w:spacing w:val="-4"/>
          <w:sz w:val="16"/>
          <w:szCs w:val="16"/>
        </w:rPr>
        <w:t xml:space="preserve"> </w:t>
      </w:r>
      <w:r w:rsidRPr="009563F2">
        <w:rPr>
          <w:rFonts w:ascii="Verdana" w:hAnsi="Verdana"/>
          <w:sz w:val="16"/>
          <w:szCs w:val="16"/>
        </w:rPr>
        <w:t>smmlv,</w:t>
      </w:r>
      <w:r w:rsidRPr="009563F2">
        <w:rPr>
          <w:rFonts w:ascii="Verdana" w:hAnsi="Verdana"/>
          <w:spacing w:val="-4"/>
          <w:sz w:val="16"/>
          <w:szCs w:val="16"/>
        </w:rPr>
        <w:t xml:space="preserve"> </w:t>
      </w:r>
      <w:r w:rsidRPr="009563F2">
        <w:rPr>
          <w:rFonts w:ascii="Verdana" w:hAnsi="Verdana"/>
          <w:sz w:val="16"/>
          <w:szCs w:val="16"/>
        </w:rPr>
        <w:t>la</w:t>
      </w:r>
      <w:r w:rsidRPr="009563F2">
        <w:rPr>
          <w:rFonts w:ascii="Verdana" w:hAnsi="Verdana"/>
          <w:spacing w:val="-4"/>
          <w:sz w:val="16"/>
          <w:szCs w:val="16"/>
        </w:rPr>
        <w:t xml:space="preserve"> </w:t>
      </w:r>
      <w:r w:rsidRPr="009563F2">
        <w:rPr>
          <w:rFonts w:ascii="Verdana" w:hAnsi="Verdana"/>
          <w:sz w:val="16"/>
          <w:szCs w:val="16"/>
        </w:rPr>
        <w:t>Entidad</w:t>
      </w:r>
      <w:r w:rsidRPr="009563F2">
        <w:rPr>
          <w:rFonts w:ascii="Verdana" w:hAnsi="Verdana"/>
          <w:spacing w:val="-3"/>
          <w:sz w:val="16"/>
          <w:szCs w:val="16"/>
        </w:rPr>
        <w:t xml:space="preserve"> </w:t>
      </w:r>
      <w:r w:rsidRPr="009563F2">
        <w:rPr>
          <w:rFonts w:ascii="Verdana" w:hAnsi="Verdana"/>
          <w:sz w:val="16"/>
          <w:szCs w:val="16"/>
        </w:rPr>
        <w:t>Estatal</w:t>
      </w:r>
      <w:r w:rsidRPr="009563F2">
        <w:rPr>
          <w:rFonts w:ascii="Verdana" w:hAnsi="Verdana"/>
          <w:spacing w:val="-3"/>
          <w:sz w:val="16"/>
          <w:szCs w:val="16"/>
        </w:rPr>
        <w:t xml:space="preserve"> </w:t>
      </w:r>
      <w:r w:rsidRPr="009563F2">
        <w:rPr>
          <w:rFonts w:ascii="Verdana" w:hAnsi="Verdana"/>
          <w:sz w:val="16"/>
          <w:szCs w:val="16"/>
        </w:rPr>
        <w:t>puede</w:t>
      </w:r>
      <w:r w:rsidRPr="009563F2">
        <w:rPr>
          <w:rFonts w:ascii="Verdana" w:hAnsi="Verdana"/>
          <w:spacing w:val="-3"/>
          <w:sz w:val="16"/>
          <w:szCs w:val="16"/>
        </w:rPr>
        <w:t xml:space="preserve"> </w:t>
      </w:r>
      <w:r w:rsidRPr="009563F2">
        <w:rPr>
          <w:rFonts w:ascii="Verdana" w:hAnsi="Verdana"/>
          <w:sz w:val="16"/>
          <w:szCs w:val="16"/>
        </w:rPr>
        <w:t>aceptar</w:t>
      </w:r>
      <w:r w:rsidRPr="009563F2">
        <w:rPr>
          <w:rFonts w:ascii="Verdana" w:hAnsi="Verdana"/>
          <w:spacing w:val="-3"/>
          <w:sz w:val="16"/>
          <w:szCs w:val="16"/>
        </w:rPr>
        <w:t xml:space="preserve"> </w:t>
      </w:r>
      <w:r w:rsidRPr="009563F2">
        <w:rPr>
          <w:rFonts w:ascii="Verdana" w:hAnsi="Verdana"/>
          <w:sz w:val="16"/>
          <w:szCs w:val="16"/>
        </w:rPr>
        <w:t>garantías</w:t>
      </w:r>
      <w:r w:rsidRPr="009563F2">
        <w:rPr>
          <w:rFonts w:ascii="Verdana" w:hAnsi="Verdana"/>
          <w:spacing w:val="-3"/>
          <w:sz w:val="16"/>
          <w:szCs w:val="16"/>
        </w:rPr>
        <w:t xml:space="preserve"> </w:t>
      </w:r>
      <w:r w:rsidRPr="009563F2">
        <w:rPr>
          <w:rFonts w:ascii="Verdana" w:hAnsi="Verdana"/>
          <w:sz w:val="16"/>
          <w:szCs w:val="16"/>
        </w:rPr>
        <w:t>que</w:t>
      </w:r>
      <w:r w:rsidRPr="009563F2">
        <w:rPr>
          <w:rFonts w:ascii="Verdana" w:hAnsi="Verdana"/>
          <w:spacing w:val="-3"/>
          <w:sz w:val="16"/>
          <w:szCs w:val="16"/>
        </w:rPr>
        <w:t xml:space="preserve"> </w:t>
      </w:r>
      <w:r w:rsidRPr="009563F2">
        <w:rPr>
          <w:rFonts w:ascii="Verdana" w:hAnsi="Verdana"/>
          <w:sz w:val="16"/>
          <w:szCs w:val="16"/>
        </w:rPr>
        <w:t>cubran</w:t>
      </w:r>
      <w:r w:rsidRPr="009563F2">
        <w:rPr>
          <w:rFonts w:ascii="Verdana" w:hAnsi="Verdana"/>
          <w:spacing w:val="-3"/>
          <w:sz w:val="16"/>
          <w:szCs w:val="16"/>
        </w:rPr>
        <w:t xml:space="preserve"> </w:t>
      </w:r>
      <w:r w:rsidRPr="009563F2">
        <w:rPr>
          <w:rFonts w:ascii="Verdana" w:hAnsi="Verdana"/>
          <w:sz w:val="16"/>
          <w:szCs w:val="16"/>
        </w:rPr>
        <w:t>al</w:t>
      </w:r>
      <w:r w:rsidRPr="009563F2">
        <w:rPr>
          <w:rFonts w:ascii="Verdana" w:hAnsi="Verdana"/>
          <w:spacing w:val="-4"/>
          <w:sz w:val="16"/>
          <w:szCs w:val="16"/>
        </w:rPr>
        <w:t xml:space="preserve"> </w:t>
      </w:r>
      <w:r w:rsidRPr="009563F2">
        <w:rPr>
          <w:rFonts w:ascii="Verdana" w:hAnsi="Verdana"/>
          <w:sz w:val="16"/>
          <w:szCs w:val="16"/>
        </w:rPr>
        <w:t>menos</w:t>
      </w:r>
      <w:r w:rsidRPr="009563F2">
        <w:rPr>
          <w:rFonts w:ascii="Verdana" w:hAnsi="Verdana"/>
          <w:spacing w:val="-3"/>
          <w:sz w:val="16"/>
          <w:szCs w:val="16"/>
        </w:rPr>
        <w:t xml:space="preserve"> </w:t>
      </w:r>
      <w:r w:rsidRPr="009563F2">
        <w:rPr>
          <w:rFonts w:ascii="Verdana" w:hAnsi="Verdana"/>
          <w:sz w:val="16"/>
          <w:szCs w:val="16"/>
        </w:rPr>
        <w:t>el</w:t>
      </w:r>
      <w:r w:rsidRPr="009563F2">
        <w:rPr>
          <w:rFonts w:ascii="Verdana" w:hAnsi="Verdana"/>
          <w:spacing w:val="-4"/>
          <w:sz w:val="16"/>
          <w:szCs w:val="16"/>
        </w:rPr>
        <w:t xml:space="preserve"> </w:t>
      </w:r>
      <w:r w:rsidRPr="009563F2">
        <w:rPr>
          <w:rFonts w:ascii="Verdana" w:hAnsi="Verdana"/>
          <w:sz w:val="16"/>
          <w:szCs w:val="16"/>
        </w:rPr>
        <w:t>cero</w:t>
      </w:r>
      <w:r w:rsidRPr="009563F2">
        <w:rPr>
          <w:rFonts w:ascii="Verdana" w:hAnsi="Verdana"/>
          <w:spacing w:val="-3"/>
          <w:sz w:val="16"/>
          <w:szCs w:val="16"/>
        </w:rPr>
        <w:t xml:space="preserve"> </w:t>
      </w:r>
      <w:r w:rsidRPr="009563F2">
        <w:rPr>
          <w:rFonts w:ascii="Verdana" w:hAnsi="Verdana"/>
          <w:sz w:val="16"/>
          <w:szCs w:val="16"/>
        </w:rPr>
        <w:t>punto</w:t>
      </w:r>
      <w:r w:rsidRPr="009563F2">
        <w:rPr>
          <w:rFonts w:ascii="Verdana" w:hAnsi="Verdana"/>
          <w:spacing w:val="-3"/>
          <w:sz w:val="16"/>
          <w:szCs w:val="16"/>
        </w:rPr>
        <w:t xml:space="preserve"> </w:t>
      </w:r>
      <w:r w:rsidRPr="009563F2">
        <w:rPr>
          <w:rFonts w:ascii="Verdana" w:hAnsi="Verdana"/>
          <w:sz w:val="16"/>
          <w:szCs w:val="16"/>
        </w:rPr>
        <w:t>cinco</w:t>
      </w:r>
      <w:r w:rsidRPr="009563F2">
        <w:rPr>
          <w:rFonts w:ascii="Verdana" w:hAnsi="Verdana"/>
          <w:spacing w:val="40"/>
          <w:sz w:val="16"/>
          <w:szCs w:val="16"/>
        </w:rPr>
        <w:t xml:space="preserve"> </w:t>
      </w:r>
      <w:r w:rsidRPr="009563F2">
        <w:rPr>
          <w:rFonts w:ascii="Verdana" w:hAnsi="Verdana"/>
          <w:sz w:val="16"/>
          <w:szCs w:val="16"/>
        </w:rPr>
        <w:t>por ciento (0,5%) del valor del contrato. Colombia Compra Eficiente debe determinar el valor de la garantía única de cumplimiento del Acuerdo Marco de Precios de acuerdo con el objeto, el valor, la</w:t>
      </w:r>
      <w:r w:rsidRPr="009563F2">
        <w:rPr>
          <w:rFonts w:ascii="Verdana" w:hAnsi="Verdana"/>
          <w:spacing w:val="40"/>
          <w:sz w:val="16"/>
          <w:szCs w:val="16"/>
        </w:rPr>
        <w:t xml:space="preserve"> </w:t>
      </w:r>
      <w:r w:rsidRPr="009563F2">
        <w:rPr>
          <w:rFonts w:ascii="Verdana" w:hAnsi="Verdana"/>
          <w:sz w:val="16"/>
          <w:szCs w:val="16"/>
        </w:rPr>
        <w:t>naturaleza y las obligaciones contenidas en este”.</w:t>
      </w:r>
    </w:p>
  </w:footnote>
  <w:footnote w:id="4">
    <w:p w14:paraId="71C19153" w14:textId="77777777" w:rsidR="0056484B" w:rsidRPr="009563F2" w:rsidRDefault="0056484B" w:rsidP="0056484B">
      <w:pPr>
        <w:spacing w:after="0" w:line="240" w:lineRule="auto"/>
        <w:ind w:right="51"/>
        <w:contextualSpacing/>
        <w:jc w:val="both"/>
        <w:rPr>
          <w:rFonts w:ascii="Verdana" w:hAnsi="Verdana"/>
          <w:sz w:val="16"/>
          <w:szCs w:val="16"/>
          <w:lang w:val="es-ES"/>
        </w:rPr>
      </w:pPr>
      <w:r w:rsidRPr="009563F2">
        <w:rPr>
          <w:rStyle w:val="Refdenotaalpie"/>
          <w:rFonts w:ascii="Verdana" w:hAnsi="Verdana"/>
          <w:sz w:val="16"/>
          <w:szCs w:val="16"/>
        </w:rPr>
        <w:footnoteRef/>
      </w:r>
      <w:r w:rsidRPr="009563F2">
        <w:rPr>
          <w:rFonts w:ascii="Verdana" w:hAnsi="Verdana"/>
          <w:sz w:val="16"/>
          <w:szCs w:val="16"/>
        </w:rPr>
        <w:t xml:space="preserve"> COLOMBIA</w:t>
      </w:r>
      <w:r w:rsidRPr="009563F2">
        <w:rPr>
          <w:rFonts w:ascii="Verdana" w:hAnsi="Verdana"/>
          <w:spacing w:val="49"/>
          <w:sz w:val="16"/>
          <w:szCs w:val="16"/>
        </w:rPr>
        <w:t xml:space="preserve">  </w:t>
      </w:r>
      <w:r w:rsidRPr="009563F2">
        <w:rPr>
          <w:rFonts w:ascii="Verdana" w:hAnsi="Verdana"/>
          <w:sz w:val="16"/>
          <w:szCs w:val="16"/>
        </w:rPr>
        <w:t>COMPRA</w:t>
      </w:r>
      <w:r w:rsidRPr="009563F2">
        <w:rPr>
          <w:rFonts w:ascii="Verdana" w:hAnsi="Verdana"/>
          <w:spacing w:val="49"/>
          <w:sz w:val="16"/>
          <w:szCs w:val="16"/>
        </w:rPr>
        <w:t xml:space="preserve">  </w:t>
      </w:r>
      <w:r w:rsidRPr="009563F2">
        <w:rPr>
          <w:rFonts w:ascii="Verdana" w:hAnsi="Verdana"/>
          <w:sz w:val="16"/>
          <w:szCs w:val="16"/>
        </w:rPr>
        <w:t>EFICIENTE.</w:t>
      </w:r>
      <w:r w:rsidRPr="009563F2">
        <w:rPr>
          <w:rFonts w:ascii="Verdana" w:hAnsi="Verdana"/>
          <w:spacing w:val="50"/>
          <w:sz w:val="16"/>
          <w:szCs w:val="16"/>
        </w:rPr>
        <w:t xml:space="preserve">  </w:t>
      </w:r>
      <w:r w:rsidRPr="009563F2">
        <w:rPr>
          <w:rFonts w:ascii="Verdana" w:hAnsi="Verdana"/>
          <w:sz w:val="16"/>
          <w:szCs w:val="16"/>
        </w:rPr>
        <w:t>Guía</w:t>
      </w:r>
      <w:r w:rsidRPr="009563F2">
        <w:rPr>
          <w:rFonts w:ascii="Verdana" w:hAnsi="Verdana"/>
          <w:spacing w:val="49"/>
          <w:sz w:val="16"/>
          <w:szCs w:val="16"/>
        </w:rPr>
        <w:t xml:space="preserve">  </w:t>
      </w:r>
      <w:r w:rsidRPr="009563F2">
        <w:rPr>
          <w:rFonts w:ascii="Verdana" w:hAnsi="Verdana"/>
          <w:sz w:val="16"/>
          <w:szCs w:val="16"/>
        </w:rPr>
        <w:t>para</w:t>
      </w:r>
      <w:r w:rsidRPr="009563F2">
        <w:rPr>
          <w:rFonts w:ascii="Verdana" w:hAnsi="Verdana"/>
          <w:spacing w:val="49"/>
          <w:sz w:val="16"/>
          <w:szCs w:val="16"/>
        </w:rPr>
        <w:t xml:space="preserve">  </w:t>
      </w:r>
      <w:r w:rsidRPr="009563F2">
        <w:rPr>
          <w:rFonts w:ascii="Verdana" w:hAnsi="Verdana"/>
          <w:sz w:val="16"/>
          <w:szCs w:val="16"/>
        </w:rPr>
        <w:t>la</w:t>
      </w:r>
      <w:r w:rsidRPr="009563F2">
        <w:rPr>
          <w:rFonts w:ascii="Verdana" w:hAnsi="Verdana"/>
          <w:spacing w:val="49"/>
          <w:sz w:val="16"/>
          <w:szCs w:val="16"/>
        </w:rPr>
        <w:t xml:space="preserve">  </w:t>
      </w:r>
      <w:r w:rsidRPr="009563F2">
        <w:rPr>
          <w:rFonts w:ascii="Verdana" w:hAnsi="Verdana"/>
          <w:sz w:val="16"/>
          <w:szCs w:val="16"/>
        </w:rPr>
        <w:t>Liquidación</w:t>
      </w:r>
      <w:r w:rsidRPr="009563F2">
        <w:rPr>
          <w:rFonts w:ascii="Verdana" w:hAnsi="Verdana"/>
          <w:spacing w:val="50"/>
          <w:sz w:val="16"/>
          <w:szCs w:val="16"/>
        </w:rPr>
        <w:t xml:space="preserve">  </w:t>
      </w:r>
      <w:r w:rsidRPr="009563F2">
        <w:rPr>
          <w:rFonts w:ascii="Verdana" w:hAnsi="Verdana"/>
          <w:sz w:val="16"/>
          <w:szCs w:val="16"/>
        </w:rPr>
        <w:t>de</w:t>
      </w:r>
      <w:r w:rsidRPr="009563F2">
        <w:rPr>
          <w:rFonts w:ascii="Verdana" w:hAnsi="Verdana"/>
          <w:spacing w:val="49"/>
          <w:sz w:val="16"/>
          <w:szCs w:val="16"/>
        </w:rPr>
        <w:t xml:space="preserve">  </w:t>
      </w:r>
      <w:r w:rsidRPr="009563F2">
        <w:rPr>
          <w:rFonts w:ascii="Verdana" w:hAnsi="Verdana"/>
          <w:sz w:val="16"/>
          <w:szCs w:val="16"/>
        </w:rPr>
        <w:t>los</w:t>
      </w:r>
      <w:r w:rsidRPr="009563F2">
        <w:rPr>
          <w:rFonts w:ascii="Verdana" w:hAnsi="Verdana"/>
          <w:spacing w:val="50"/>
          <w:sz w:val="16"/>
          <w:szCs w:val="16"/>
        </w:rPr>
        <w:t xml:space="preserve">  </w:t>
      </w:r>
      <w:r w:rsidRPr="009563F2">
        <w:rPr>
          <w:rFonts w:ascii="Verdana" w:hAnsi="Verdana"/>
          <w:sz w:val="16"/>
          <w:szCs w:val="16"/>
        </w:rPr>
        <w:t>Procesos</w:t>
      </w:r>
      <w:r w:rsidRPr="009563F2">
        <w:rPr>
          <w:rFonts w:ascii="Verdana" w:hAnsi="Verdana"/>
          <w:spacing w:val="49"/>
          <w:sz w:val="16"/>
          <w:szCs w:val="16"/>
        </w:rPr>
        <w:t xml:space="preserve">  </w:t>
      </w:r>
      <w:r w:rsidRPr="009563F2">
        <w:rPr>
          <w:rFonts w:ascii="Verdana" w:hAnsi="Verdana"/>
          <w:sz w:val="16"/>
          <w:szCs w:val="16"/>
        </w:rPr>
        <w:t>de</w:t>
      </w:r>
      <w:r w:rsidRPr="009563F2">
        <w:rPr>
          <w:rFonts w:ascii="Verdana" w:hAnsi="Verdana"/>
          <w:spacing w:val="49"/>
          <w:sz w:val="16"/>
          <w:szCs w:val="16"/>
        </w:rPr>
        <w:t xml:space="preserve">  </w:t>
      </w:r>
      <w:r w:rsidRPr="009563F2">
        <w:rPr>
          <w:rFonts w:ascii="Verdana" w:hAnsi="Verdana"/>
          <w:sz w:val="16"/>
          <w:szCs w:val="16"/>
        </w:rPr>
        <w:t>Contratación.</w:t>
      </w:r>
      <w:r w:rsidRPr="009563F2">
        <w:rPr>
          <w:rFonts w:ascii="Verdana" w:hAnsi="Verdana"/>
          <w:spacing w:val="50"/>
          <w:sz w:val="16"/>
          <w:szCs w:val="16"/>
        </w:rPr>
        <w:t xml:space="preserve">                  </w:t>
      </w:r>
      <w:r w:rsidRPr="009563F2">
        <w:rPr>
          <w:rFonts w:ascii="Verdana" w:hAnsi="Verdana"/>
          <w:sz w:val="16"/>
          <w:szCs w:val="16"/>
        </w:rPr>
        <w:t>página</w:t>
      </w:r>
      <w:r w:rsidRPr="009563F2">
        <w:rPr>
          <w:rFonts w:ascii="Verdana" w:hAnsi="Verdana"/>
          <w:spacing w:val="49"/>
          <w:sz w:val="16"/>
          <w:szCs w:val="16"/>
        </w:rPr>
        <w:t xml:space="preserve">  </w:t>
      </w:r>
      <w:r w:rsidRPr="009563F2">
        <w:rPr>
          <w:rFonts w:ascii="Verdana" w:hAnsi="Verdana"/>
          <w:sz w:val="16"/>
          <w:szCs w:val="16"/>
        </w:rPr>
        <w:t>5,</w:t>
      </w:r>
      <w:r w:rsidRPr="009563F2">
        <w:rPr>
          <w:rFonts w:ascii="Verdana" w:hAnsi="Verdana"/>
          <w:spacing w:val="49"/>
          <w:sz w:val="16"/>
          <w:szCs w:val="16"/>
        </w:rPr>
        <w:t xml:space="preserve">  </w:t>
      </w:r>
      <w:r w:rsidRPr="009563F2">
        <w:rPr>
          <w:rFonts w:ascii="Verdana" w:hAnsi="Verdana"/>
          <w:sz w:val="16"/>
          <w:szCs w:val="16"/>
        </w:rPr>
        <w:t>disponible</w:t>
      </w:r>
      <w:r w:rsidRPr="009563F2">
        <w:rPr>
          <w:rFonts w:ascii="Verdana" w:hAnsi="Verdana"/>
          <w:spacing w:val="50"/>
          <w:sz w:val="16"/>
          <w:szCs w:val="16"/>
        </w:rPr>
        <w:t xml:space="preserve">  </w:t>
      </w:r>
      <w:r w:rsidRPr="009563F2">
        <w:rPr>
          <w:rFonts w:ascii="Verdana" w:hAnsi="Verdana"/>
          <w:spacing w:val="-5"/>
          <w:sz w:val="16"/>
          <w:szCs w:val="16"/>
        </w:rPr>
        <w:t xml:space="preserve">en: </w:t>
      </w:r>
      <w:hyperlink r:id="rId2" w:history="1">
        <w:r w:rsidRPr="00032695">
          <w:rPr>
            <w:rStyle w:val="Hipervnculo"/>
            <w:rFonts w:ascii="Verdana" w:hAnsi="Verdana"/>
            <w:spacing w:val="-2"/>
            <w:sz w:val="16"/>
            <w:szCs w:val="16"/>
          </w:rPr>
          <w:t>https://www.colombiacompra.gov.co/sites/cce_public/files/cce_documents /cce_guia_liquidacion_procesos.pdf</w:t>
        </w:r>
      </w:hyperlink>
    </w:p>
  </w:footnote>
  <w:footnote w:id="5">
    <w:p w14:paraId="29F118C9" w14:textId="77777777" w:rsidR="0056484B" w:rsidRPr="009563F2" w:rsidRDefault="0056484B" w:rsidP="0056484B">
      <w:pPr>
        <w:pStyle w:val="Textonotapie"/>
        <w:ind w:right="51"/>
        <w:contextualSpacing/>
        <w:jc w:val="both"/>
        <w:rPr>
          <w:rFonts w:ascii="Verdana" w:hAnsi="Verdana"/>
          <w:sz w:val="16"/>
          <w:szCs w:val="16"/>
          <w:lang w:val="es-ES"/>
        </w:rPr>
      </w:pPr>
      <w:r w:rsidRPr="009563F2">
        <w:rPr>
          <w:rStyle w:val="Refdenotaalpie"/>
          <w:rFonts w:ascii="Verdana" w:hAnsi="Verdana"/>
          <w:sz w:val="16"/>
          <w:szCs w:val="16"/>
        </w:rPr>
        <w:footnoteRef/>
      </w:r>
      <w:r w:rsidRPr="009563F2">
        <w:rPr>
          <w:rFonts w:ascii="Verdana" w:hAnsi="Verdana"/>
          <w:sz w:val="16"/>
          <w:szCs w:val="16"/>
        </w:rPr>
        <w:t xml:space="preserve"> CONSEJO DE ESTADO. Sala de Consulta y Servicio Civil. Concepto de 28 de junio de 2016. Radicación: 2253. C.P. Álvaro Namén Vargas.</w:t>
      </w:r>
    </w:p>
  </w:footnote>
  <w:footnote w:id="6">
    <w:p w14:paraId="2150A5C5" w14:textId="77777777" w:rsidR="0056484B" w:rsidRPr="00F660DA" w:rsidRDefault="0056484B" w:rsidP="0056484B">
      <w:pPr>
        <w:pStyle w:val="Textonotapie"/>
        <w:ind w:right="49"/>
        <w:contextualSpacing/>
        <w:jc w:val="both"/>
        <w:rPr>
          <w:rFonts w:ascii="Verdana" w:hAnsi="Verdana"/>
          <w:sz w:val="16"/>
          <w:szCs w:val="16"/>
          <w:lang w:val="es-ES"/>
        </w:rPr>
      </w:pPr>
      <w:r w:rsidRPr="00F660DA">
        <w:rPr>
          <w:rStyle w:val="Refdenotaalpie"/>
          <w:rFonts w:ascii="Verdana" w:hAnsi="Verdana"/>
          <w:sz w:val="16"/>
          <w:szCs w:val="16"/>
        </w:rPr>
        <w:footnoteRef/>
      </w:r>
      <w:r w:rsidRPr="00F660DA">
        <w:rPr>
          <w:rFonts w:ascii="Verdana" w:hAnsi="Verdana"/>
          <w:sz w:val="16"/>
          <w:szCs w:val="16"/>
        </w:rPr>
        <w:t xml:space="preserve"> Es importante advertir que también durante estos dos meses se podrá realizar una liquidación bilateral, esto es, de mutuo acuerdo, lo cual significa que el plazo para hacer la liquidación bilateral no es un término perentorio, sino sencillamente indica</w:t>
      </w:r>
    </w:p>
  </w:footnote>
  <w:footnote w:id="7">
    <w:p w14:paraId="2DF44CBC" w14:textId="77777777" w:rsidR="0056484B" w:rsidRPr="0027107E" w:rsidRDefault="0056484B" w:rsidP="0056484B">
      <w:pPr>
        <w:pStyle w:val="Textonotapie"/>
        <w:ind w:firstLine="708"/>
        <w:jc w:val="both"/>
        <w:rPr>
          <w:rFonts w:ascii="Verdana" w:hAnsi="Verdana" w:cs="Arial"/>
          <w:color w:val="000000"/>
          <w:sz w:val="16"/>
          <w:szCs w:val="16"/>
          <w:lang w:val="es-ES"/>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COLOMBIA COMPRA EFICIENTE. Guía para la Liquidación de los Procesos de Contratación. página 5, disponible en: </w:t>
      </w:r>
      <w:hyperlink r:id="rId3" w:history="1">
        <w:r w:rsidRPr="0027107E">
          <w:rPr>
            <w:rStyle w:val="Hipervnculo"/>
            <w:rFonts w:ascii="Verdana" w:hAnsi="Verdana" w:cs="Arial"/>
            <w:sz w:val="16"/>
            <w:szCs w:val="16"/>
          </w:rPr>
          <w:t xml:space="preserve">https://www.colombiacompra.gov.co/sites/cce_public/files/cce_documents/cce_guia_liquidacion_procesos.pdf  </w:t>
        </w:r>
      </w:hyperlink>
    </w:p>
  </w:footnote>
  <w:footnote w:id="8">
    <w:p w14:paraId="10309DCB" w14:textId="77777777" w:rsidR="0056484B" w:rsidRPr="0027107E" w:rsidRDefault="0056484B" w:rsidP="0056484B">
      <w:pPr>
        <w:pStyle w:val="Textonotapie"/>
        <w:ind w:firstLine="708"/>
        <w:jc w:val="both"/>
        <w:rPr>
          <w:rFonts w:ascii="Verdana" w:hAnsi="Verdana" w:cs="Arial"/>
          <w:color w:val="000000"/>
          <w:sz w:val="16"/>
          <w:szCs w:val="16"/>
        </w:rPr>
      </w:pPr>
      <w:r w:rsidRPr="0027107E">
        <w:rPr>
          <w:rStyle w:val="Refdenotaalpie"/>
          <w:rFonts w:ascii="Verdana" w:hAnsi="Verdana" w:cs="Arial"/>
          <w:color w:val="000000"/>
          <w:sz w:val="16"/>
          <w:szCs w:val="16"/>
        </w:rPr>
        <w:footnoteRef/>
      </w:r>
      <w:r w:rsidRPr="0027107E">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9">
    <w:p w14:paraId="342231E3" w14:textId="77777777" w:rsidR="0056484B" w:rsidRPr="00224A89" w:rsidRDefault="0056484B" w:rsidP="0056484B">
      <w:pPr>
        <w:pStyle w:val="Textonotapie"/>
        <w:ind w:firstLine="708"/>
        <w:jc w:val="both"/>
        <w:rPr>
          <w:rFonts w:ascii="Verdana" w:hAnsi="Verdana" w:cs="Arial"/>
          <w:color w:val="000000"/>
          <w:sz w:val="16"/>
          <w:szCs w:val="16"/>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Sala de Consulta y Servicio Civil. Concepto de 28 de Junio de 2016. Radicación: 2253. C.P. Álvaro Namén Vargas. </w:t>
      </w:r>
    </w:p>
  </w:footnote>
  <w:footnote w:id="10">
    <w:p w14:paraId="1EE0B3B3" w14:textId="77777777" w:rsidR="0056484B" w:rsidRPr="00224A89" w:rsidRDefault="0056484B" w:rsidP="0056484B">
      <w:pPr>
        <w:pStyle w:val="Textonotapie"/>
        <w:ind w:firstLine="708"/>
        <w:jc w:val="both"/>
        <w:rPr>
          <w:rFonts w:ascii="Verdana" w:hAnsi="Verdana"/>
          <w:color w:val="000000"/>
          <w:sz w:val="16"/>
          <w:szCs w:val="16"/>
          <w:lang w:val="es-ES"/>
        </w:rPr>
      </w:pPr>
      <w:r w:rsidRPr="00224A89">
        <w:rPr>
          <w:rStyle w:val="Refdenotaalpie"/>
          <w:rFonts w:ascii="Verdana" w:hAnsi="Verdana" w:cs="Arial"/>
          <w:color w:val="000000"/>
          <w:sz w:val="16"/>
          <w:szCs w:val="16"/>
        </w:rPr>
        <w:footnoteRef/>
      </w:r>
      <w:r w:rsidRPr="00224A89">
        <w:rPr>
          <w:rFonts w:ascii="Verdana" w:hAnsi="Verdana" w:cs="Arial"/>
          <w:color w:val="000000"/>
          <w:sz w:val="16"/>
          <w:szCs w:val="16"/>
        </w:rPr>
        <w:t xml:space="preserve"> CONSEJO DE ESTADO. Sección Tercera. </w:t>
      </w:r>
      <w:r w:rsidRPr="00224A89">
        <w:rPr>
          <w:rFonts w:ascii="Verdana" w:hAnsi="Verdana" w:cs="Arial"/>
          <w:color w:val="000000"/>
          <w:sz w:val="16"/>
          <w:szCs w:val="16"/>
          <w:lang w:val="es-CO"/>
        </w:rPr>
        <w:t xml:space="preserve">Sala Plena. Auto del 1 de agosto de 2019. </w:t>
      </w:r>
      <w:r w:rsidRPr="00224A89">
        <w:rPr>
          <w:rFonts w:ascii="Verdana" w:hAnsi="Verdana" w:cs="Arial"/>
          <w:color w:val="000000"/>
          <w:sz w:val="16"/>
          <w:szCs w:val="16"/>
        </w:rPr>
        <w:t xml:space="preserve">Exp. 62009. C.P. Jaime Enrique Rodríguez Navas. </w:t>
      </w:r>
      <w:r w:rsidRPr="00224A89">
        <w:rPr>
          <w:rFonts w:ascii="Verdana" w:hAnsi="Verdana"/>
          <w:color w:val="000000"/>
          <w:sz w:val="16"/>
          <w:szCs w:val="16"/>
          <w:lang w:val="es-ES"/>
        </w:rPr>
        <w:t xml:space="preserve"> </w:t>
      </w:r>
    </w:p>
  </w:footnote>
  <w:footnote w:id="11">
    <w:p w14:paraId="2D5A9286" w14:textId="77777777" w:rsidR="0056484B" w:rsidRPr="00224A89" w:rsidRDefault="0056484B" w:rsidP="0056484B">
      <w:pPr>
        <w:pStyle w:val="Textonotapie"/>
        <w:ind w:firstLine="708"/>
        <w:jc w:val="both"/>
        <w:rPr>
          <w:rFonts w:ascii="Verdana" w:hAnsi="Verdana" w:cs="Arial"/>
          <w:sz w:val="16"/>
          <w:szCs w:val="16"/>
        </w:rPr>
      </w:pPr>
      <w:r w:rsidRPr="00224A89">
        <w:rPr>
          <w:rStyle w:val="Refdenotaalpie"/>
          <w:rFonts w:ascii="Verdana" w:hAnsi="Verdana" w:cs="Arial"/>
          <w:sz w:val="16"/>
          <w:szCs w:val="16"/>
        </w:rPr>
        <w:footnoteRef/>
      </w:r>
      <w:r w:rsidRPr="00224A89">
        <w:rPr>
          <w:rFonts w:ascii="Verdana" w:hAnsi="Verdana" w:cs="Arial"/>
          <w:sz w:val="16"/>
          <w:szCs w:val="16"/>
        </w:rPr>
        <w:t xml:space="preserve"> DÍAZ DÍEZ, La liquidación… Op. cit., pp. 255-256.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3F6E0" w14:textId="77777777" w:rsidR="0056484B" w:rsidRDefault="0056484B"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4AFCBB71" wp14:editId="5CAFB6C4">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C035970" wp14:editId="078B0E8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1129AD5" w14:textId="77777777" w:rsidR="0056484B" w:rsidRDefault="0056484B">
    <w:pPr>
      <w:pStyle w:val="Encabezado"/>
    </w:pPr>
  </w:p>
  <w:p w14:paraId="01CAC4B6" w14:textId="77777777" w:rsidR="0056484B" w:rsidRPr="004A305D" w:rsidRDefault="0056484B" w:rsidP="00B01B1A">
    <w:pPr>
      <w:spacing w:after="0" w:line="120" w:lineRule="auto"/>
      <w:rPr>
        <w:rFonts w:ascii="Century Gothic" w:eastAsia="Geo" w:hAnsi="Century Gothic" w:cs="Geo"/>
        <w:sz w:val="16"/>
        <w:szCs w:val="16"/>
        <w:lang w:eastAsia="es-CO"/>
      </w:rPr>
    </w:pPr>
  </w:p>
  <w:p w14:paraId="5AE919BC" w14:textId="77777777" w:rsidR="0056484B" w:rsidRDefault="0056484B" w:rsidP="00844AE9">
    <w:pPr>
      <w:spacing w:after="0" w:line="240" w:lineRule="auto"/>
      <w:rPr>
        <w:rFonts w:ascii="Verdana" w:hAnsi="Verdana"/>
        <w:sz w:val="24"/>
        <w:szCs w:val="24"/>
      </w:rPr>
    </w:pPr>
  </w:p>
  <w:p w14:paraId="3B8D342A" w14:textId="77777777" w:rsidR="0056484B" w:rsidRPr="00C925AC" w:rsidRDefault="0056484B" w:rsidP="00844AE9">
    <w:pPr>
      <w:spacing w:after="0" w:line="240" w:lineRule="auto"/>
      <w:rPr>
        <w:rFonts w:ascii="Verdana" w:hAnsi="Verdana"/>
        <w:sz w:val="24"/>
        <w:szCs w:val="24"/>
      </w:rPr>
    </w:pPr>
  </w:p>
  <w:p w14:paraId="33170B32" w14:textId="77777777" w:rsidR="0056484B" w:rsidRPr="00C925AC" w:rsidRDefault="0056484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21268018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84B"/>
    <w:rsid w:val="000022A5"/>
    <w:rsid w:val="00412FC1"/>
    <w:rsid w:val="004144B0"/>
    <w:rsid w:val="0056484B"/>
    <w:rsid w:val="005727E1"/>
    <w:rsid w:val="005818E2"/>
    <w:rsid w:val="005958A9"/>
    <w:rsid w:val="006534D4"/>
    <w:rsid w:val="008E5C2E"/>
    <w:rsid w:val="00A761C8"/>
    <w:rsid w:val="00B61494"/>
    <w:rsid w:val="00D1575E"/>
    <w:rsid w:val="00E22CDB"/>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00304"/>
  <w15:chartTrackingRefBased/>
  <w15:docId w15:val="{2B45589F-3E50-42F4-869B-44FE53042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484B"/>
    <w:rPr>
      <w:kern w:val="0"/>
      <w14:ligatures w14:val="none"/>
    </w:rPr>
  </w:style>
  <w:style w:type="paragraph" w:styleId="Ttulo1">
    <w:name w:val="heading 1"/>
    <w:basedOn w:val="Normal"/>
    <w:next w:val="Normal"/>
    <w:link w:val="Ttulo1Car"/>
    <w:uiPriority w:val="9"/>
    <w:qFormat/>
    <w:rsid w:val="005648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648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6484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6484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6484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6484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6484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6484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6484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6484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6484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6484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6484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6484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6484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6484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6484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6484B"/>
    <w:rPr>
      <w:rFonts w:eastAsiaTheme="majorEastAsia" w:cstheme="majorBidi"/>
      <w:color w:val="272727" w:themeColor="text1" w:themeTint="D8"/>
    </w:rPr>
  </w:style>
  <w:style w:type="paragraph" w:styleId="Ttulo">
    <w:name w:val="Title"/>
    <w:basedOn w:val="Normal"/>
    <w:next w:val="Normal"/>
    <w:link w:val="TtuloCar"/>
    <w:uiPriority w:val="10"/>
    <w:qFormat/>
    <w:rsid w:val="005648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6484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6484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6484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6484B"/>
    <w:pPr>
      <w:spacing w:before="160"/>
      <w:jc w:val="center"/>
    </w:pPr>
    <w:rPr>
      <w:i/>
      <w:iCs/>
      <w:color w:val="404040" w:themeColor="text1" w:themeTint="BF"/>
    </w:rPr>
  </w:style>
  <w:style w:type="character" w:customStyle="1" w:styleId="CitaCar">
    <w:name w:val="Cita Car"/>
    <w:basedOn w:val="Fuentedeprrafopredeter"/>
    <w:link w:val="Cita"/>
    <w:uiPriority w:val="29"/>
    <w:rsid w:val="0056484B"/>
    <w:rPr>
      <w:i/>
      <w:iCs/>
      <w:color w:val="404040" w:themeColor="text1" w:themeTint="BF"/>
    </w:rPr>
  </w:style>
  <w:style w:type="paragraph" w:styleId="Prrafodelista">
    <w:name w:val="List Paragraph"/>
    <w:basedOn w:val="Normal"/>
    <w:uiPriority w:val="34"/>
    <w:qFormat/>
    <w:rsid w:val="0056484B"/>
    <w:pPr>
      <w:ind w:left="720"/>
      <w:contextualSpacing/>
    </w:pPr>
  </w:style>
  <w:style w:type="character" w:styleId="nfasisintenso">
    <w:name w:val="Intense Emphasis"/>
    <w:basedOn w:val="Fuentedeprrafopredeter"/>
    <w:uiPriority w:val="21"/>
    <w:qFormat/>
    <w:rsid w:val="0056484B"/>
    <w:rPr>
      <w:i/>
      <w:iCs/>
      <w:color w:val="0F4761" w:themeColor="accent1" w:themeShade="BF"/>
    </w:rPr>
  </w:style>
  <w:style w:type="paragraph" w:styleId="Citadestacada">
    <w:name w:val="Intense Quote"/>
    <w:basedOn w:val="Normal"/>
    <w:next w:val="Normal"/>
    <w:link w:val="CitadestacadaCar"/>
    <w:uiPriority w:val="30"/>
    <w:qFormat/>
    <w:rsid w:val="005648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6484B"/>
    <w:rPr>
      <w:i/>
      <w:iCs/>
      <w:color w:val="0F4761" w:themeColor="accent1" w:themeShade="BF"/>
    </w:rPr>
  </w:style>
  <w:style w:type="character" w:styleId="Referenciaintensa">
    <w:name w:val="Intense Reference"/>
    <w:basedOn w:val="Fuentedeprrafopredeter"/>
    <w:uiPriority w:val="32"/>
    <w:qFormat/>
    <w:rsid w:val="0056484B"/>
    <w:rPr>
      <w:b/>
      <w:bCs/>
      <w:smallCaps/>
      <w:color w:val="0F4761" w:themeColor="accent1" w:themeShade="BF"/>
      <w:spacing w:val="5"/>
    </w:rPr>
  </w:style>
  <w:style w:type="paragraph" w:styleId="Encabezado">
    <w:name w:val="header"/>
    <w:basedOn w:val="Normal"/>
    <w:link w:val="EncabezadoCar"/>
    <w:uiPriority w:val="99"/>
    <w:unhideWhenUsed/>
    <w:rsid w:val="0056484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6484B"/>
    <w:rPr>
      <w:kern w:val="0"/>
      <w14:ligatures w14:val="none"/>
    </w:rPr>
  </w:style>
  <w:style w:type="paragraph" w:styleId="Piedepgina">
    <w:name w:val="footer"/>
    <w:basedOn w:val="Normal"/>
    <w:link w:val="PiedepginaCar"/>
    <w:uiPriority w:val="99"/>
    <w:unhideWhenUsed/>
    <w:rsid w:val="0056484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6484B"/>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56484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56484B"/>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56484B"/>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56484B"/>
    <w:rPr>
      <w:vertAlign w:val="superscript"/>
    </w:rPr>
  </w:style>
  <w:style w:type="table" w:styleId="Tablaconcuadrcula">
    <w:name w:val="Table Grid"/>
    <w:basedOn w:val="Tablanormal"/>
    <w:uiPriority w:val="39"/>
    <w:qFormat/>
    <w:rsid w:val="0056484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6484B"/>
    <w:rPr>
      <w:color w:val="0000FF"/>
      <w:u w:val="single"/>
    </w:rPr>
  </w:style>
  <w:style w:type="paragraph" w:customStyle="1" w:styleId="Appelnotedebasde">
    <w:name w:val="Appel note de bas de..."/>
    <w:basedOn w:val="Normal"/>
    <w:link w:val="Refdenotaalpie"/>
    <w:uiPriority w:val="99"/>
    <w:rsid w:val="0056484B"/>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56484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liquidacion_procesos.pdf"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alzatemolina02@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cceficiente.sharepoint.com/sites/SGDEA/TRD_254/EXPEDIENTE_1668/DOCUMENTO_407171/DOCUMENTO_407171.docx" TargetMode="External"/><Relationship Id="rId2" Type="http://schemas.openxmlformats.org/officeDocument/2006/relationships/hyperlink" Target="https://www.colombiacompra.gov.co/sites/cce_public/files/cce_documents%20/cce_guia_liquidacion_procesos.pdf" TargetMode="External"/><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8CF3B79-4B77-43E8-8706-03B418DADC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8BF109-35D7-44C1-A153-1DA77DF1F260}">
  <ds:schemaRefs>
    <ds:schemaRef ds:uri="http://schemas.microsoft.com/sharepoint/v3/contenttype/forms"/>
  </ds:schemaRefs>
</ds:datastoreItem>
</file>

<file path=customXml/itemProps3.xml><?xml version="1.0" encoding="utf-8"?>
<ds:datastoreItem xmlns:ds="http://schemas.openxmlformats.org/officeDocument/2006/customXml" ds:itemID="{2A9D0ECA-FFAC-4C00-B576-A9CA248F668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16</Pages>
  <Words>5147</Words>
  <Characters>28313</Characters>
  <Application>Microsoft Office Word</Application>
  <DocSecurity>0</DocSecurity>
  <Lines>235</Lines>
  <Paragraphs>66</Paragraphs>
  <ScaleCrop>false</ScaleCrop>
  <Company/>
  <LinksUpToDate>false</LinksUpToDate>
  <CharactersWithSpaces>33394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8</cp:revision>
  <dcterms:created xsi:type="dcterms:W3CDTF">2026-04-16T22:31:00Z</dcterms:created>
  <dcterms:modified xsi:type="dcterms:W3CDTF">2026-04-16T22:38:00Z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