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38EB40" w14:textId="2D4D7A0B" w:rsidR="000F4524" w:rsidRPr="00E87EA6" w:rsidRDefault="000F4524" w:rsidP="000F4524">
      <w:pPr>
        <w:pStyle w:val="Textoindependiente"/>
        <w:spacing w:before="90"/>
        <w:jc w:val="both"/>
        <w:rPr>
          <w:rFonts w:ascii="Verdana" w:hAnsi="Verdana"/>
          <w:b/>
          <w:lang w:val="es-ES_tradnl"/>
        </w:rPr>
      </w:pPr>
      <w:bookmarkStart w:id="0" w:name="_Hlk143780582"/>
      <w:r w:rsidRPr="00E87EA6">
        <w:rPr>
          <w:rFonts w:ascii="Verdana" w:hAnsi="Verdana"/>
          <w:b/>
          <w:lang w:val="es-ES_tradnl"/>
        </w:rPr>
        <w:t xml:space="preserve">GARANTÍA DE ÚNICA DE CUMPLIMIENTO – Definición – Fundamento normativo </w:t>
      </w:r>
    </w:p>
    <w:p w14:paraId="51A5FEFE" w14:textId="77777777" w:rsidR="000F4524" w:rsidRPr="00B03B23" w:rsidRDefault="000F4524" w:rsidP="000F4524">
      <w:pPr>
        <w:pStyle w:val="Textoindependiente"/>
        <w:spacing w:before="90"/>
        <w:jc w:val="both"/>
        <w:rPr>
          <w:rFonts w:ascii="Verdana" w:hAnsi="Verdana"/>
          <w:sz w:val="20"/>
          <w:szCs w:val="20"/>
          <w:lang w:val="es-ES_tradnl"/>
        </w:rPr>
      </w:pPr>
      <w:r w:rsidRPr="00B03B23">
        <w:rPr>
          <w:rFonts w:ascii="Verdana" w:hAnsi="Verdana"/>
          <w:sz w:val="20"/>
          <w:szCs w:val="20"/>
          <w:lang w:val="es-ES_tradnl"/>
        </w:rPr>
        <w:t xml:space="preserve">[…] mediante la </w:t>
      </w:r>
      <w:r w:rsidRPr="00B03B23">
        <w:rPr>
          <w:rFonts w:ascii="Verdana" w:hAnsi="Verdana"/>
          <w:i/>
          <w:iCs/>
          <w:sz w:val="20"/>
          <w:szCs w:val="20"/>
          <w:lang w:val="es-ES_tradnl"/>
        </w:rPr>
        <w:t>garantía de única de cumplimiento</w:t>
      </w:r>
      <w:r w:rsidRPr="00B03B23">
        <w:rPr>
          <w:rFonts w:ascii="Verdana" w:hAnsi="Verdana"/>
          <w:sz w:val="20"/>
          <w:szCs w:val="20"/>
          <w:lang w:val="es-ES_tradnl"/>
        </w:rPr>
        <w:t xml:space="preserve">, el contratista ampara los perjuicios que le pueda generar a la entidad el incumplimiento de las obligaciones derivadas del contrato. En esta medida, tienen como objetivo reparar los perjuicios causados por conductas atribuibles al contratista, por lo que estos últimos son un presupuesto necesario para el pago que cubre la garantía. Para estos efectos es única, ya que “[…] La prioridad […] es que no haya garantías separadas para los diferentes riesgos, aunque existan varias garantías para diferentes proporciones del interés asegurado […]”.    </w:t>
      </w:r>
    </w:p>
    <w:p w14:paraId="68344324" w14:textId="77777777" w:rsidR="000F4524" w:rsidRPr="00B03B23" w:rsidRDefault="000F4524" w:rsidP="000F4524">
      <w:pPr>
        <w:pStyle w:val="Textoindependiente"/>
        <w:spacing w:before="90"/>
        <w:jc w:val="both"/>
        <w:rPr>
          <w:rFonts w:ascii="Verdana" w:hAnsi="Verdana"/>
          <w:sz w:val="20"/>
          <w:szCs w:val="20"/>
        </w:rPr>
      </w:pPr>
      <w:r w:rsidRPr="00B03B23">
        <w:rPr>
          <w:rFonts w:ascii="Verdana" w:hAnsi="Verdana"/>
          <w:sz w:val="20"/>
          <w:szCs w:val="20"/>
        </w:rPr>
        <w:t xml:space="preserve">Desde esta perspectiva, ambas garantías constituyen una obligación de seguridad, es decir, aquella donde el interés del acreedor no consiste en una utilidad específica y tangible, sino en la tranquilidad frente a ciertos riesgos por la cobertura de sus consecuencias nocivas. Conforme al inciso segundo del artículo 7 de la Ley 1150 de 2007, pueden otorgarse a través de: i) contratos de seguro, </w:t>
      </w:r>
      <w:proofErr w:type="spellStart"/>
      <w:r w:rsidRPr="00B03B23">
        <w:rPr>
          <w:rFonts w:ascii="Verdana" w:hAnsi="Verdana"/>
          <w:sz w:val="20"/>
          <w:szCs w:val="20"/>
        </w:rPr>
        <w:t>ii</w:t>
      </w:r>
      <w:proofErr w:type="spellEnd"/>
      <w:r w:rsidRPr="00B03B23">
        <w:rPr>
          <w:rFonts w:ascii="Verdana" w:hAnsi="Verdana"/>
          <w:sz w:val="20"/>
          <w:szCs w:val="20"/>
        </w:rPr>
        <w:t xml:space="preserve">) garantías bancarias o </w:t>
      </w:r>
      <w:proofErr w:type="spellStart"/>
      <w:r w:rsidRPr="00B03B23">
        <w:rPr>
          <w:rFonts w:ascii="Verdana" w:hAnsi="Verdana"/>
          <w:sz w:val="20"/>
          <w:szCs w:val="20"/>
        </w:rPr>
        <w:t>iii</w:t>
      </w:r>
      <w:proofErr w:type="spellEnd"/>
      <w:r w:rsidRPr="00B03B23">
        <w:rPr>
          <w:rFonts w:ascii="Verdana" w:hAnsi="Verdana"/>
          <w:sz w:val="20"/>
          <w:szCs w:val="20"/>
        </w:rPr>
        <w:t>) los demás mecanismos de cobertura del riesgo que disponga el reglamento. Igualmente establece que “[…] tratándose de pólizas, las mismas no expirarán por falta de pago de la prima o por revocatoria unilateral […]”. Esta norma es una excepción a la terminación automática del contrato de seguro prevista en los artículos 1068 y 1071 del Código de Comercio. De esta manera, las garantías previstas en la ley tienen como objetivo asegurar la solvencia del garante.</w:t>
      </w:r>
    </w:p>
    <w:p w14:paraId="3800B95C" w14:textId="77777777" w:rsidR="000F4524" w:rsidRPr="00E87EA6" w:rsidRDefault="000F4524" w:rsidP="000F4524">
      <w:pPr>
        <w:pStyle w:val="Textoindependiente"/>
        <w:spacing w:before="90"/>
        <w:jc w:val="both"/>
        <w:rPr>
          <w:rFonts w:ascii="Verdana" w:hAnsi="Verdana"/>
          <w:b/>
          <w:lang w:val="es-ES_tradnl"/>
        </w:rPr>
      </w:pPr>
      <w:r w:rsidRPr="00E87EA6">
        <w:rPr>
          <w:rFonts w:ascii="Verdana" w:hAnsi="Verdana"/>
          <w:b/>
          <w:lang w:val="es-ES_tradnl"/>
        </w:rPr>
        <w:t xml:space="preserve">LIQUIDACIÓN DEL CONTRATO – Definición – Objetivo </w:t>
      </w:r>
    </w:p>
    <w:p w14:paraId="0ED3CCE0" w14:textId="77777777" w:rsidR="000F4524" w:rsidRPr="00B03B23" w:rsidRDefault="000F4524" w:rsidP="000F4524">
      <w:pPr>
        <w:pStyle w:val="Textoindependiente"/>
        <w:spacing w:before="90"/>
        <w:jc w:val="both"/>
        <w:rPr>
          <w:rFonts w:ascii="Verdana" w:hAnsi="Verdana"/>
          <w:sz w:val="20"/>
          <w:szCs w:val="20"/>
        </w:rPr>
      </w:pPr>
      <w:r w:rsidRPr="00B03B23">
        <w:rPr>
          <w:rFonts w:ascii="Verdana" w:hAnsi="Verdana"/>
          <w:sz w:val="20"/>
          <w:szCs w:val="20"/>
        </w:rPr>
        <w:t xml:space="preserve">La liquidación del contrato estatal es el ajuste de cuentas en el cual se realiza un balance económico, técnico y jurídico del negocio. Así lo manifestó el Consejo de Estado en la sentencia del 20 de octubre de 2014, en la que consideró, por un lado, que </w:t>
      </w:r>
      <w:r w:rsidRPr="00B03B23">
        <w:rPr>
          <w:rFonts w:ascii="Verdana" w:hAnsi="Verdana"/>
          <w:i/>
          <w:iCs/>
          <w:sz w:val="20"/>
          <w:szCs w:val="20"/>
        </w:rPr>
        <w:t>liquidar</w:t>
      </w:r>
      <w:r w:rsidRPr="00B03B23">
        <w:rPr>
          <w:rFonts w:ascii="Verdana" w:hAnsi="Verdana"/>
          <w:sz w:val="20"/>
          <w:szCs w:val="20"/>
        </w:rPr>
        <w:t xml:space="preserve"> supone un ajuste en relación con las cuentas y el estado de cumplimiento del contrato estatal y, por otro, que la </w:t>
      </w:r>
      <w:r w:rsidRPr="00B03B23">
        <w:rPr>
          <w:rFonts w:ascii="Verdana" w:hAnsi="Verdana"/>
          <w:i/>
          <w:iCs/>
          <w:sz w:val="20"/>
          <w:szCs w:val="20"/>
        </w:rPr>
        <w:t>liquidación</w:t>
      </w:r>
      <w:r w:rsidRPr="00B03B23">
        <w:rPr>
          <w:rFonts w:ascii="Verdana" w:hAnsi="Verdana"/>
          <w:sz w:val="20"/>
          <w:szCs w:val="20"/>
        </w:rPr>
        <w:t xml:space="preserve"> debe incluir el análisis de las condiciones de calidad y oportunidad en la entrega de los bienes, obras o servicios, así como el balance económico y el comportamiento financiero del negocio.</w:t>
      </w:r>
    </w:p>
    <w:p w14:paraId="6E6767AB" w14:textId="77777777" w:rsidR="000F4524" w:rsidRDefault="000F4524" w:rsidP="000F4524">
      <w:pPr>
        <w:pStyle w:val="Textoindependiente"/>
        <w:spacing w:before="90"/>
        <w:jc w:val="both"/>
        <w:rPr>
          <w:rFonts w:ascii="Verdana" w:hAnsi="Verdana"/>
          <w:b/>
          <w:lang w:val="es-ES_tradnl"/>
        </w:rPr>
      </w:pPr>
      <w:r w:rsidRPr="00E87EA6">
        <w:rPr>
          <w:rFonts w:ascii="Verdana" w:hAnsi="Verdana"/>
          <w:b/>
          <w:lang w:val="es-ES_tradnl"/>
        </w:rPr>
        <w:t>LIQUIDACIÓN DEL CONTRATO – Normativa</w:t>
      </w:r>
    </w:p>
    <w:p w14:paraId="1000F11A" w14:textId="77777777" w:rsidR="000F4524" w:rsidRPr="005239C5" w:rsidRDefault="000F4524" w:rsidP="000F4524">
      <w:pPr>
        <w:pStyle w:val="Textoindependiente"/>
        <w:spacing w:before="90"/>
        <w:jc w:val="both"/>
        <w:rPr>
          <w:rFonts w:ascii="Verdana" w:hAnsi="Verdana"/>
          <w:sz w:val="20"/>
          <w:szCs w:val="20"/>
        </w:rPr>
      </w:pPr>
      <w:r w:rsidRPr="00B03B23">
        <w:rPr>
          <w:rFonts w:ascii="Verdana" w:hAnsi="Verdana"/>
          <w:sz w:val="20"/>
          <w:szCs w:val="20"/>
        </w:rPr>
        <w:t>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mientras que el segundo contiene reglas procedimentales para su realización. De 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El artículo 11 de la Ley 1150 de 2007 contiene las reglas de tipo procedimental para liquidar los contratos estatales, […].</w:t>
      </w:r>
    </w:p>
    <w:p w14:paraId="248CEA1E" w14:textId="77777777" w:rsidR="00D77AD7" w:rsidRDefault="00D77AD7" w:rsidP="000F4524">
      <w:pPr>
        <w:pStyle w:val="Textoindependiente"/>
        <w:spacing w:before="90"/>
        <w:jc w:val="both"/>
        <w:rPr>
          <w:rFonts w:ascii="Verdana" w:hAnsi="Verdana"/>
          <w:b/>
          <w:lang w:val="es-ES_tradnl"/>
        </w:rPr>
      </w:pPr>
    </w:p>
    <w:p w14:paraId="0F2E2E2B" w14:textId="2F928F36" w:rsidR="000F4524" w:rsidRPr="00E87EA6" w:rsidRDefault="000F4524" w:rsidP="000F4524">
      <w:pPr>
        <w:pStyle w:val="Textoindependiente"/>
        <w:spacing w:before="90"/>
        <w:jc w:val="both"/>
        <w:rPr>
          <w:rFonts w:ascii="Verdana" w:hAnsi="Verdana"/>
          <w:b/>
          <w:lang w:val="es-ES_tradnl"/>
        </w:rPr>
      </w:pPr>
      <w:r w:rsidRPr="00E87EA6">
        <w:rPr>
          <w:rFonts w:ascii="Verdana" w:hAnsi="Verdana"/>
          <w:b/>
          <w:lang w:val="es-ES_tradnl"/>
        </w:rPr>
        <w:t>LIQUIDACIÓN DEL CONTRATO – Garantía única de cumplimiento – Suficiencia</w:t>
      </w:r>
    </w:p>
    <w:p w14:paraId="79ADD22D" w14:textId="77777777" w:rsidR="000F4524" w:rsidRPr="00B03B23" w:rsidRDefault="000F4524" w:rsidP="000F4524">
      <w:pPr>
        <w:pStyle w:val="Textoindependiente"/>
        <w:spacing w:before="90"/>
        <w:jc w:val="both"/>
        <w:rPr>
          <w:rFonts w:ascii="Verdana" w:hAnsi="Verdana"/>
          <w:sz w:val="20"/>
          <w:szCs w:val="20"/>
        </w:rPr>
      </w:pPr>
      <w:r w:rsidRPr="00B03B23">
        <w:rPr>
          <w:rFonts w:ascii="Verdana" w:hAnsi="Verdana"/>
          <w:sz w:val="20"/>
          <w:szCs w:val="20"/>
        </w:rPr>
        <w:lastRenderedPageBreak/>
        <w:t xml:space="preserve">El artículo 2.2.1.2.3.1.12 regula la suficiencia de la garantía de cumplimiento. Esta debe tener una vigencia mínima hasta la liquidación y, por regla general un valor de por lo menos el diez por ciento (10%) del total del contrato, siempre que este sea inferior a un millón (1.000.000) de </w:t>
      </w:r>
      <w:proofErr w:type="spellStart"/>
      <w:r w:rsidRPr="00B03B23">
        <w:rPr>
          <w:rFonts w:ascii="Verdana" w:hAnsi="Verdana"/>
          <w:sz w:val="20"/>
          <w:szCs w:val="20"/>
        </w:rPr>
        <w:t>smmlv</w:t>
      </w:r>
      <w:proofErr w:type="spellEnd"/>
      <w:r w:rsidRPr="00B03B23">
        <w:rPr>
          <w:rFonts w:ascii="Verdana" w:hAnsi="Verdana"/>
          <w:sz w:val="20"/>
          <w:szCs w:val="20"/>
        </w:rPr>
        <w:t>. Conforme la norma citada, el amparo cubre tanto el plazo de ejecución como el plazo de vigencia del contrato. Así, la cobertura mínima del amparo de cumplimiento cubre el plazo de ejecución y el plazo de vigencia, el cual finaliza con la liquidación. En palabras de la doctrina, “[…] el contratista deberá otorgarla con una vigencia igual al plazo del contrato garantizado más el plazo contractual previsto para la liquidación de aquel. En caso de no haberse convenido por las partes un término para la liquidación del contrato, la garantía deberá mantenerse vigente por el término legal previsto para este efecto […]”.</w:t>
      </w:r>
    </w:p>
    <w:p w14:paraId="1C650F25" w14:textId="77777777" w:rsidR="000F4524" w:rsidRDefault="000F4524" w:rsidP="000F4524">
      <w:pPr>
        <w:pStyle w:val="Textoindependiente"/>
        <w:spacing w:before="90"/>
        <w:jc w:val="both"/>
        <w:rPr>
          <w:rFonts w:ascii="Verdana" w:hAnsi="Verdana"/>
          <w:sz w:val="20"/>
          <w:szCs w:val="20"/>
        </w:rPr>
      </w:pPr>
      <w:r w:rsidRPr="00B03B23">
        <w:rPr>
          <w:rFonts w:ascii="Verdana" w:hAnsi="Verdana"/>
          <w:sz w:val="20"/>
          <w:szCs w:val="20"/>
        </w:rPr>
        <w:t xml:space="preserve">Dentro de este marco, los interesados adoptarán las medidas que estimen pertinentes respecto a la vigencia del amparo de cumplimiento después de vencer el término para liquidar. Especialmente, previa asesoría de sus representantes legales, los contratistas del Estado deberán evaluar los cursos de acción disponibles frente a la falta de liquidación oportuna. En ambos casos, al tratarse de un análisis que debe realizarse en cada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uno de ellos definirá la forma de adelantar su gestión contractual, sin que sea atribución de Colombia Compra Eficiente validar </w:t>
      </w:r>
      <w:proofErr w:type="gramStart"/>
      <w:r w:rsidRPr="00B03B23">
        <w:rPr>
          <w:rFonts w:ascii="Verdana" w:hAnsi="Verdana"/>
          <w:sz w:val="20"/>
          <w:szCs w:val="20"/>
        </w:rPr>
        <w:t xml:space="preserve">sus </w:t>
      </w:r>
      <w:r>
        <w:rPr>
          <w:rFonts w:ascii="Verdana" w:hAnsi="Verdana"/>
          <w:sz w:val="20"/>
          <w:szCs w:val="20"/>
        </w:rPr>
        <w:t>actuación</w:t>
      </w:r>
      <w:proofErr w:type="gramEnd"/>
      <w:r>
        <w:rPr>
          <w:rFonts w:ascii="Verdana" w:hAnsi="Verdana"/>
          <w:sz w:val="20"/>
          <w:szCs w:val="20"/>
        </w:rPr>
        <w:t xml:space="preserve">. </w:t>
      </w:r>
    </w:p>
    <w:p w14:paraId="6C02CF96" w14:textId="77777777" w:rsidR="000F4524" w:rsidRDefault="000F4524" w:rsidP="000F4524">
      <w:pPr>
        <w:pStyle w:val="Textoindependiente"/>
        <w:spacing w:before="90"/>
        <w:jc w:val="both"/>
        <w:rPr>
          <w:rFonts w:ascii="Verdana" w:hAnsi="Verdana"/>
          <w:sz w:val="20"/>
          <w:szCs w:val="20"/>
        </w:rPr>
      </w:pPr>
    </w:p>
    <w:p w14:paraId="42E2A2D4" w14:textId="77777777" w:rsidR="000F4524" w:rsidRPr="00260737" w:rsidRDefault="000F4524" w:rsidP="000F4524">
      <w:pPr>
        <w:widowControl w:val="0"/>
        <w:autoSpaceDE w:val="0"/>
        <w:autoSpaceDN w:val="0"/>
        <w:spacing w:after="0" w:line="240" w:lineRule="auto"/>
        <w:jc w:val="both"/>
        <w:outlineLvl w:val="0"/>
        <w:rPr>
          <w:rFonts w:ascii="Verdana" w:eastAsia="Arial" w:hAnsi="Verdana" w:cs="Arial"/>
          <w:b/>
          <w:bCs/>
          <w:lang w:val="es-ES"/>
        </w:rPr>
      </w:pPr>
      <w:r w:rsidRPr="00260737">
        <w:rPr>
          <w:rFonts w:ascii="Verdana" w:eastAsia="Arial" w:hAnsi="Verdana" w:cs="Arial"/>
          <w:b/>
          <w:bCs/>
          <w:lang w:val="es-ES"/>
        </w:rPr>
        <w:t>CONTRATO ESTATAL</w:t>
      </w:r>
      <w:r w:rsidRPr="00260737">
        <w:rPr>
          <w:rFonts w:ascii="Verdana" w:eastAsia="Arial" w:hAnsi="Verdana" w:cs="Arial"/>
          <w:b/>
          <w:bCs/>
          <w:spacing w:val="3"/>
          <w:lang w:val="es-ES"/>
        </w:rPr>
        <w:t xml:space="preserve"> </w:t>
      </w:r>
      <w:r w:rsidRPr="00260737">
        <w:rPr>
          <w:rFonts w:ascii="Verdana" w:eastAsia="Arial" w:hAnsi="Verdana" w:cs="Arial"/>
          <w:b/>
          <w:bCs/>
          <w:lang w:val="es-ES"/>
        </w:rPr>
        <w:t>–</w:t>
      </w:r>
      <w:r w:rsidRPr="00260737">
        <w:rPr>
          <w:rFonts w:ascii="Verdana" w:eastAsia="Arial" w:hAnsi="Verdana" w:cs="Arial"/>
          <w:b/>
          <w:bCs/>
          <w:spacing w:val="-2"/>
          <w:lang w:val="es-ES"/>
        </w:rPr>
        <w:t xml:space="preserve"> </w:t>
      </w:r>
      <w:r w:rsidRPr="00260737">
        <w:rPr>
          <w:rFonts w:ascii="Verdana" w:eastAsia="Arial" w:hAnsi="Verdana" w:cs="Arial"/>
          <w:b/>
          <w:bCs/>
          <w:lang w:val="es-ES"/>
        </w:rPr>
        <w:t>Ejercicio</w:t>
      </w:r>
      <w:r w:rsidRPr="00260737">
        <w:rPr>
          <w:rFonts w:ascii="Verdana" w:eastAsia="Arial" w:hAnsi="Verdana" w:cs="Arial"/>
          <w:b/>
          <w:bCs/>
          <w:spacing w:val="-2"/>
          <w:lang w:val="es-ES"/>
        </w:rPr>
        <w:t xml:space="preserve"> </w:t>
      </w:r>
      <w:r w:rsidRPr="00260737">
        <w:rPr>
          <w:rFonts w:ascii="Verdana" w:eastAsia="Arial" w:hAnsi="Verdana" w:cs="Arial"/>
          <w:b/>
          <w:bCs/>
          <w:lang w:val="es-ES"/>
        </w:rPr>
        <w:t>–</w:t>
      </w:r>
      <w:r w:rsidRPr="00260737">
        <w:rPr>
          <w:rFonts w:ascii="Verdana" w:eastAsia="Arial" w:hAnsi="Verdana" w:cs="Arial"/>
          <w:b/>
          <w:bCs/>
          <w:spacing w:val="-2"/>
          <w:lang w:val="es-ES"/>
        </w:rPr>
        <w:t xml:space="preserve"> </w:t>
      </w:r>
      <w:r w:rsidRPr="00260737">
        <w:rPr>
          <w:rFonts w:ascii="Verdana" w:eastAsia="Arial" w:hAnsi="Verdana" w:cs="Arial"/>
          <w:b/>
          <w:bCs/>
          <w:lang w:val="es-ES"/>
        </w:rPr>
        <w:t>Funciones</w:t>
      </w:r>
      <w:r w:rsidRPr="00260737">
        <w:rPr>
          <w:rFonts w:ascii="Verdana" w:eastAsia="Arial" w:hAnsi="Verdana" w:cs="Arial"/>
          <w:b/>
          <w:bCs/>
          <w:spacing w:val="-3"/>
          <w:lang w:val="es-ES"/>
        </w:rPr>
        <w:t xml:space="preserve"> </w:t>
      </w:r>
      <w:r w:rsidRPr="00260737">
        <w:rPr>
          <w:rFonts w:ascii="Verdana" w:eastAsia="Arial" w:hAnsi="Verdana" w:cs="Arial"/>
          <w:b/>
          <w:bCs/>
          <w:lang w:val="es-ES"/>
        </w:rPr>
        <w:t>de</w:t>
      </w:r>
      <w:r w:rsidRPr="00260737">
        <w:rPr>
          <w:rFonts w:ascii="Verdana" w:eastAsia="Arial" w:hAnsi="Verdana" w:cs="Arial"/>
          <w:b/>
          <w:bCs/>
          <w:spacing w:val="-2"/>
          <w:lang w:val="es-ES"/>
        </w:rPr>
        <w:t xml:space="preserve"> </w:t>
      </w:r>
      <w:r w:rsidRPr="00260737">
        <w:rPr>
          <w:rFonts w:ascii="Verdana" w:eastAsia="Arial" w:hAnsi="Verdana" w:cs="Arial"/>
          <w:b/>
          <w:bCs/>
          <w:lang w:val="es-ES"/>
        </w:rPr>
        <w:t>control</w:t>
      </w:r>
      <w:r w:rsidRPr="00260737">
        <w:rPr>
          <w:rFonts w:ascii="Verdana" w:eastAsia="Arial" w:hAnsi="Verdana" w:cs="Arial"/>
          <w:b/>
          <w:bCs/>
          <w:spacing w:val="-2"/>
          <w:lang w:val="es-ES"/>
        </w:rPr>
        <w:t xml:space="preserve"> </w:t>
      </w:r>
      <w:r w:rsidRPr="00260737">
        <w:rPr>
          <w:rFonts w:ascii="Verdana" w:eastAsia="Arial" w:hAnsi="Verdana" w:cs="Arial"/>
          <w:b/>
          <w:bCs/>
          <w:lang w:val="es-ES"/>
        </w:rPr>
        <w:t>y</w:t>
      </w:r>
      <w:r w:rsidRPr="00260737">
        <w:rPr>
          <w:rFonts w:ascii="Verdana" w:eastAsia="Arial" w:hAnsi="Verdana" w:cs="Arial"/>
          <w:b/>
          <w:bCs/>
          <w:spacing w:val="-5"/>
          <w:lang w:val="es-ES"/>
        </w:rPr>
        <w:t xml:space="preserve"> </w:t>
      </w:r>
      <w:r w:rsidRPr="00260737">
        <w:rPr>
          <w:rFonts w:ascii="Verdana" w:eastAsia="Arial" w:hAnsi="Verdana" w:cs="Arial"/>
          <w:b/>
          <w:bCs/>
          <w:lang w:val="es-ES"/>
        </w:rPr>
        <w:t>vigilancia</w:t>
      </w:r>
    </w:p>
    <w:p w14:paraId="0B8D8A3E" w14:textId="77777777" w:rsidR="000F4524" w:rsidRPr="00260737" w:rsidRDefault="000F4524" w:rsidP="000F4524">
      <w:pPr>
        <w:widowControl w:val="0"/>
        <w:autoSpaceDE w:val="0"/>
        <w:autoSpaceDN w:val="0"/>
        <w:spacing w:after="0" w:line="240" w:lineRule="auto"/>
        <w:jc w:val="both"/>
        <w:rPr>
          <w:rFonts w:ascii="Verdana" w:eastAsia="Arial MT" w:hAnsi="Verdana" w:cs="Arial MT"/>
          <w:b/>
          <w:sz w:val="20"/>
          <w:szCs w:val="20"/>
          <w:lang w:val="es-ES"/>
        </w:rPr>
      </w:pPr>
    </w:p>
    <w:p w14:paraId="4FFD1D3A" w14:textId="77777777" w:rsidR="000F4524" w:rsidRPr="00260737" w:rsidRDefault="000F4524" w:rsidP="000F4524">
      <w:pPr>
        <w:widowControl w:val="0"/>
        <w:autoSpaceDE w:val="0"/>
        <w:autoSpaceDN w:val="0"/>
        <w:spacing w:after="0" w:line="240" w:lineRule="auto"/>
        <w:ind w:right="122"/>
        <w:jc w:val="both"/>
        <w:rPr>
          <w:rFonts w:ascii="Verdana" w:eastAsia="Arial MT" w:hAnsi="Verdana" w:cs="Arial"/>
          <w:sz w:val="20"/>
          <w:szCs w:val="20"/>
          <w:lang w:val="es-ES"/>
        </w:rPr>
      </w:pPr>
      <w:r w:rsidRPr="00260737">
        <w:rPr>
          <w:rFonts w:ascii="Verdana" w:eastAsia="Arial MT" w:hAnsi="Verdana" w:cs="Arial"/>
          <w:sz w:val="20"/>
          <w:szCs w:val="20"/>
          <w:lang w:val="es-ES"/>
        </w:rPr>
        <w:t>Así, por ejemplo, los artículos 4, 5, 12, 14 y</w:t>
      </w:r>
      <w:r w:rsidRPr="00260737">
        <w:rPr>
          <w:rFonts w:ascii="Verdana" w:eastAsia="Arial MT" w:hAnsi="Verdana" w:cs="Arial"/>
          <w:spacing w:val="1"/>
          <w:sz w:val="20"/>
          <w:szCs w:val="20"/>
          <w:lang w:val="es-ES"/>
        </w:rPr>
        <w:t xml:space="preserve"> </w:t>
      </w:r>
      <w:r w:rsidRPr="00260737">
        <w:rPr>
          <w:rFonts w:ascii="Verdana" w:eastAsia="Arial MT" w:hAnsi="Verdana" w:cs="Arial"/>
          <w:spacing w:val="-1"/>
          <w:sz w:val="20"/>
          <w:szCs w:val="20"/>
          <w:lang w:val="es-ES"/>
        </w:rPr>
        <w:t>26</w:t>
      </w:r>
      <w:r w:rsidRPr="00260737">
        <w:rPr>
          <w:rFonts w:ascii="Verdana" w:eastAsia="Arial MT" w:hAnsi="Verdana" w:cs="Arial"/>
          <w:spacing w:val="-14"/>
          <w:sz w:val="20"/>
          <w:szCs w:val="20"/>
          <w:lang w:val="es-ES"/>
        </w:rPr>
        <w:t xml:space="preserve"> </w:t>
      </w:r>
      <w:r w:rsidRPr="00260737">
        <w:rPr>
          <w:rFonts w:ascii="Verdana" w:eastAsia="Arial MT" w:hAnsi="Verdana" w:cs="Arial"/>
          <w:spacing w:val="-1"/>
          <w:sz w:val="20"/>
          <w:szCs w:val="20"/>
          <w:lang w:val="es-ES"/>
        </w:rPr>
        <w:t>de</w:t>
      </w:r>
      <w:r w:rsidRPr="00260737">
        <w:rPr>
          <w:rFonts w:ascii="Verdana" w:eastAsia="Arial MT" w:hAnsi="Verdana" w:cs="Arial"/>
          <w:spacing w:val="-14"/>
          <w:sz w:val="20"/>
          <w:szCs w:val="20"/>
          <w:lang w:val="es-ES"/>
        </w:rPr>
        <w:t xml:space="preserve"> </w:t>
      </w:r>
      <w:r w:rsidRPr="00260737">
        <w:rPr>
          <w:rFonts w:ascii="Verdana" w:eastAsia="Arial MT" w:hAnsi="Verdana" w:cs="Arial"/>
          <w:spacing w:val="-1"/>
          <w:sz w:val="20"/>
          <w:szCs w:val="20"/>
          <w:lang w:val="es-ES"/>
        </w:rPr>
        <w:t>la</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Ley</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80</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1993</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consagran</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normas</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relacionadas</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con</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el</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control</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y</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vigilancia</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la</w:t>
      </w:r>
      <w:r w:rsidRPr="00260737">
        <w:rPr>
          <w:rFonts w:ascii="Verdana" w:eastAsia="Arial MT" w:hAnsi="Verdana" w:cs="Arial"/>
          <w:spacing w:val="-13"/>
          <w:sz w:val="20"/>
          <w:szCs w:val="20"/>
          <w:lang w:val="es-ES"/>
        </w:rPr>
        <w:t xml:space="preserve"> </w:t>
      </w:r>
      <w:r w:rsidRPr="00260737">
        <w:rPr>
          <w:rFonts w:ascii="Verdana" w:eastAsia="Arial MT" w:hAnsi="Verdana" w:cs="Arial"/>
          <w:sz w:val="20"/>
          <w:szCs w:val="20"/>
          <w:lang w:val="es-ES"/>
        </w:rPr>
        <w:t>ejecución</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los</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contratos</w:t>
      </w:r>
      <w:r w:rsidRPr="00260737">
        <w:rPr>
          <w:rFonts w:ascii="Verdana" w:eastAsia="Arial MT" w:hAnsi="Verdana" w:cs="Arial"/>
          <w:spacing w:val="-11"/>
          <w:sz w:val="20"/>
          <w:szCs w:val="20"/>
          <w:lang w:val="es-ES"/>
        </w:rPr>
        <w:t xml:space="preserve"> </w:t>
      </w:r>
      <w:r w:rsidRPr="00260737">
        <w:rPr>
          <w:rFonts w:ascii="Verdana" w:eastAsia="Arial MT" w:hAnsi="Verdana" w:cs="Arial"/>
          <w:sz w:val="20"/>
          <w:szCs w:val="20"/>
          <w:lang w:val="es-ES"/>
        </w:rPr>
        <w:t>estatales.</w:t>
      </w:r>
      <w:r w:rsidRPr="00260737">
        <w:rPr>
          <w:rFonts w:ascii="Verdana" w:eastAsia="Arial MT" w:hAnsi="Verdana" w:cs="Arial"/>
          <w:spacing w:val="-5"/>
          <w:sz w:val="20"/>
          <w:szCs w:val="20"/>
          <w:lang w:val="es-ES"/>
        </w:rPr>
        <w:t xml:space="preserve"> </w:t>
      </w:r>
      <w:r w:rsidRPr="00260737">
        <w:rPr>
          <w:rFonts w:ascii="Verdana" w:eastAsia="Arial MT" w:hAnsi="Verdana" w:cs="Arial"/>
          <w:sz w:val="20"/>
          <w:szCs w:val="20"/>
          <w:lang w:val="es-ES"/>
        </w:rPr>
        <w:t>Estas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disposiciones</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establecen,</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entre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otros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aspectos,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la</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obligación</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las entidades estatales de velar por el correcto y oportuno cumplimiento de las prestaciones del</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contrato, las especificaciones de los bienes, obras y servicios objeto de este, y las condiciones</w:t>
      </w:r>
      <w:r w:rsidRPr="00260737">
        <w:rPr>
          <w:rFonts w:ascii="Verdana" w:eastAsia="Arial MT" w:hAnsi="Verdana" w:cs="Arial"/>
          <w:spacing w:val="1"/>
          <w:sz w:val="20"/>
          <w:szCs w:val="20"/>
          <w:lang w:val="es-ES"/>
        </w:rPr>
        <w:t xml:space="preserve"> </w:t>
      </w:r>
      <w:r w:rsidRPr="00260737">
        <w:rPr>
          <w:rFonts w:ascii="Verdana" w:eastAsia="Arial MT" w:hAnsi="Verdana" w:cs="Arial"/>
          <w:spacing w:val="-1"/>
          <w:sz w:val="20"/>
          <w:szCs w:val="20"/>
          <w:lang w:val="es-ES"/>
        </w:rPr>
        <w:t>de</w:t>
      </w:r>
      <w:r w:rsidRPr="00260737">
        <w:rPr>
          <w:rFonts w:ascii="Verdana" w:eastAsia="Arial MT" w:hAnsi="Verdana" w:cs="Arial"/>
          <w:spacing w:val="-11"/>
          <w:sz w:val="20"/>
          <w:szCs w:val="20"/>
          <w:lang w:val="es-ES"/>
        </w:rPr>
        <w:t xml:space="preserve"> </w:t>
      </w:r>
      <w:r w:rsidRPr="00260737">
        <w:rPr>
          <w:rFonts w:ascii="Verdana" w:eastAsia="Arial MT" w:hAnsi="Verdana" w:cs="Arial"/>
          <w:spacing w:val="-1"/>
          <w:sz w:val="20"/>
          <w:szCs w:val="20"/>
          <w:lang w:val="es-ES"/>
        </w:rPr>
        <w:t>calidad</w:t>
      </w:r>
      <w:r w:rsidRPr="00260737">
        <w:rPr>
          <w:rFonts w:ascii="Verdana" w:eastAsia="Arial MT" w:hAnsi="Verdana" w:cs="Arial"/>
          <w:spacing w:val="-10"/>
          <w:sz w:val="20"/>
          <w:szCs w:val="20"/>
          <w:lang w:val="es-ES"/>
        </w:rPr>
        <w:t xml:space="preserve"> </w:t>
      </w:r>
      <w:r w:rsidRPr="00260737">
        <w:rPr>
          <w:rFonts w:ascii="Verdana" w:eastAsia="Arial MT" w:hAnsi="Verdana" w:cs="Arial"/>
          <w:spacing w:val="-1"/>
          <w:sz w:val="20"/>
          <w:szCs w:val="20"/>
          <w:lang w:val="es-ES"/>
        </w:rPr>
        <w:t>ofrecidas,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entre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otras.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Esta</w:t>
      </w:r>
      <w:r w:rsidRPr="00260737">
        <w:rPr>
          <w:rFonts w:ascii="Verdana" w:eastAsia="Arial MT" w:hAnsi="Verdana" w:cs="Arial"/>
          <w:spacing w:val="-13"/>
          <w:sz w:val="20"/>
          <w:szCs w:val="20"/>
          <w:lang w:val="es-ES"/>
        </w:rPr>
        <w:t xml:space="preserve"> </w:t>
      </w:r>
      <w:r w:rsidRPr="00260737">
        <w:rPr>
          <w:rFonts w:ascii="Verdana" w:eastAsia="Arial MT" w:hAnsi="Verdana" w:cs="Arial"/>
          <w:sz w:val="20"/>
          <w:szCs w:val="20"/>
          <w:lang w:val="es-ES"/>
        </w:rPr>
        <w:t>obligación</w:t>
      </w:r>
      <w:r w:rsidRPr="00260737">
        <w:rPr>
          <w:rFonts w:ascii="Verdana" w:eastAsia="Arial MT" w:hAnsi="Verdana" w:cs="Arial"/>
          <w:spacing w:val="-13"/>
          <w:sz w:val="20"/>
          <w:szCs w:val="20"/>
          <w:lang w:val="es-ES"/>
        </w:rPr>
        <w:t xml:space="preserve"> </w:t>
      </w:r>
      <w:r w:rsidRPr="00260737">
        <w:rPr>
          <w:rFonts w:ascii="Verdana" w:eastAsia="Arial MT" w:hAnsi="Verdana" w:cs="Arial"/>
          <w:sz w:val="20"/>
          <w:szCs w:val="20"/>
          <w:lang w:val="es-ES"/>
        </w:rPr>
        <w:t>se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predica,</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en</w:t>
      </w:r>
      <w:r w:rsidRPr="00260737">
        <w:rPr>
          <w:rFonts w:ascii="Verdana" w:eastAsia="Arial MT" w:hAnsi="Verdana" w:cs="Arial"/>
          <w:spacing w:val="-12"/>
          <w:sz w:val="20"/>
          <w:szCs w:val="20"/>
          <w:lang w:val="es-ES"/>
        </w:rPr>
        <w:t xml:space="preserve"> </w:t>
      </w:r>
      <w:r w:rsidRPr="00260737">
        <w:rPr>
          <w:rFonts w:ascii="Verdana" w:eastAsia="Arial MT" w:hAnsi="Verdana" w:cs="Arial"/>
          <w:sz w:val="20"/>
          <w:szCs w:val="20"/>
          <w:lang w:val="es-ES"/>
        </w:rPr>
        <w:t>principio,</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del</w:t>
      </w:r>
      <w:r w:rsidRPr="00260737">
        <w:rPr>
          <w:rFonts w:ascii="Verdana" w:eastAsia="Arial MT" w:hAnsi="Verdana" w:cs="Arial"/>
          <w:spacing w:val="-11"/>
          <w:sz w:val="20"/>
          <w:szCs w:val="20"/>
          <w:lang w:val="es-ES"/>
        </w:rPr>
        <w:t xml:space="preserve"> </w:t>
      </w:r>
      <w:r w:rsidRPr="00260737">
        <w:rPr>
          <w:rFonts w:ascii="Verdana" w:eastAsia="Arial MT" w:hAnsi="Verdana" w:cs="Arial"/>
          <w:sz w:val="20"/>
          <w:szCs w:val="20"/>
          <w:lang w:val="es-ES"/>
        </w:rPr>
        <w:t>jefe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o</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representante</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legal de la entidad, por tener la responsabilidad de la dirección y manejo de la actividad</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contractual, pero también de los servidores públicos que intervienen en ella. En ese sentido, las</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entidades estatales deben ejercer el control de la ejecución del contrato y, de ser el caso, tomar</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medidas para exigir</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el</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adecuado cumplimiento.</w:t>
      </w:r>
    </w:p>
    <w:p w14:paraId="3C571675" w14:textId="77777777" w:rsidR="000F4524" w:rsidRPr="00260737" w:rsidRDefault="000F4524" w:rsidP="000F4524">
      <w:pPr>
        <w:widowControl w:val="0"/>
        <w:autoSpaceDE w:val="0"/>
        <w:autoSpaceDN w:val="0"/>
        <w:spacing w:after="0" w:line="240" w:lineRule="auto"/>
        <w:jc w:val="both"/>
        <w:rPr>
          <w:rFonts w:ascii="Verdana" w:eastAsia="Arial MT" w:hAnsi="Verdana" w:cs="Arial MT"/>
          <w:sz w:val="20"/>
          <w:szCs w:val="20"/>
          <w:lang w:val="es-ES"/>
        </w:rPr>
      </w:pPr>
    </w:p>
    <w:p w14:paraId="74055EEB" w14:textId="77777777" w:rsidR="000F4524" w:rsidRPr="00260737" w:rsidRDefault="000F4524" w:rsidP="000F4524">
      <w:pPr>
        <w:widowControl w:val="0"/>
        <w:autoSpaceDE w:val="0"/>
        <w:autoSpaceDN w:val="0"/>
        <w:spacing w:after="0" w:line="240" w:lineRule="auto"/>
        <w:jc w:val="both"/>
        <w:outlineLvl w:val="0"/>
        <w:rPr>
          <w:rFonts w:ascii="Verdana" w:eastAsia="Arial" w:hAnsi="Verdana" w:cs="Arial"/>
          <w:b/>
          <w:bCs/>
          <w:lang w:val="es-ES"/>
        </w:rPr>
      </w:pPr>
      <w:r w:rsidRPr="00260737">
        <w:rPr>
          <w:rFonts w:ascii="Verdana" w:eastAsia="Arial" w:hAnsi="Verdana" w:cs="Arial"/>
          <w:b/>
          <w:bCs/>
          <w:lang w:val="es-ES"/>
        </w:rPr>
        <w:t>CONTRATO ESTATAL</w:t>
      </w:r>
      <w:r w:rsidRPr="00260737">
        <w:rPr>
          <w:rFonts w:ascii="Verdana" w:eastAsia="Arial" w:hAnsi="Verdana" w:cs="Arial"/>
          <w:b/>
          <w:bCs/>
          <w:spacing w:val="3"/>
          <w:lang w:val="es-ES"/>
        </w:rPr>
        <w:t xml:space="preserve"> </w:t>
      </w:r>
      <w:r w:rsidRPr="00260737">
        <w:rPr>
          <w:rFonts w:ascii="Verdana" w:eastAsia="Arial" w:hAnsi="Verdana" w:cs="Arial"/>
          <w:b/>
          <w:bCs/>
          <w:lang w:val="es-ES"/>
        </w:rPr>
        <w:t>–</w:t>
      </w:r>
      <w:r w:rsidRPr="00260737">
        <w:rPr>
          <w:rFonts w:ascii="Verdana" w:eastAsia="Arial" w:hAnsi="Verdana" w:cs="Arial"/>
          <w:b/>
          <w:bCs/>
          <w:spacing w:val="-2"/>
          <w:lang w:val="es-ES"/>
        </w:rPr>
        <w:t xml:space="preserve"> </w:t>
      </w:r>
      <w:r w:rsidRPr="00260737">
        <w:rPr>
          <w:rFonts w:ascii="Verdana" w:eastAsia="Arial" w:hAnsi="Verdana" w:cs="Arial"/>
          <w:b/>
          <w:bCs/>
          <w:lang w:val="es-ES"/>
        </w:rPr>
        <w:t>Funciones</w:t>
      </w:r>
      <w:r w:rsidRPr="00260737">
        <w:rPr>
          <w:rFonts w:ascii="Verdana" w:eastAsia="Arial" w:hAnsi="Verdana" w:cs="Arial"/>
          <w:b/>
          <w:bCs/>
          <w:spacing w:val="-4"/>
          <w:lang w:val="es-ES"/>
        </w:rPr>
        <w:t xml:space="preserve"> </w:t>
      </w:r>
      <w:r w:rsidRPr="00260737">
        <w:rPr>
          <w:rFonts w:ascii="Verdana" w:eastAsia="Arial" w:hAnsi="Verdana" w:cs="Arial"/>
          <w:b/>
          <w:bCs/>
          <w:lang w:val="es-ES"/>
        </w:rPr>
        <w:t>de</w:t>
      </w:r>
      <w:r w:rsidRPr="00260737">
        <w:rPr>
          <w:rFonts w:ascii="Verdana" w:eastAsia="Arial" w:hAnsi="Verdana" w:cs="Arial"/>
          <w:b/>
          <w:bCs/>
          <w:spacing w:val="-2"/>
          <w:lang w:val="es-ES"/>
        </w:rPr>
        <w:t xml:space="preserve"> </w:t>
      </w:r>
      <w:r w:rsidRPr="00260737">
        <w:rPr>
          <w:rFonts w:ascii="Verdana" w:eastAsia="Arial" w:hAnsi="Verdana" w:cs="Arial"/>
          <w:b/>
          <w:bCs/>
          <w:lang w:val="es-ES"/>
        </w:rPr>
        <w:t>control</w:t>
      </w:r>
      <w:r w:rsidRPr="00260737">
        <w:rPr>
          <w:rFonts w:ascii="Verdana" w:eastAsia="Arial" w:hAnsi="Verdana" w:cs="Arial"/>
          <w:b/>
          <w:bCs/>
          <w:spacing w:val="-3"/>
          <w:lang w:val="es-ES"/>
        </w:rPr>
        <w:t xml:space="preserve"> </w:t>
      </w:r>
      <w:r w:rsidRPr="00260737">
        <w:rPr>
          <w:rFonts w:ascii="Verdana" w:eastAsia="Arial" w:hAnsi="Verdana" w:cs="Arial"/>
          <w:b/>
          <w:bCs/>
          <w:lang w:val="es-ES"/>
        </w:rPr>
        <w:t>y</w:t>
      </w:r>
      <w:r w:rsidRPr="00260737">
        <w:rPr>
          <w:rFonts w:ascii="Verdana" w:eastAsia="Arial" w:hAnsi="Verdana" w:cs="Arial"/>
          <w:b/>
          <w:bCs/>
          <w:spacing w:val="-3"/>
          <w:lang w:val="es-ES"/>
        </w:rPr>
        <w:t xml:space="preserve"> </w:t>
      </w:r>
      <w:r w:rsidRPr="00260737">
        <w:rPr>
          <w:rFonts w:ascii="Verdana" w:eastAsia="Arial" w:hAnsi="Verdana" w:cs="Arial"/>
          <w:b/>
          <w:bCs/>
          <w:lang w:val="es-ES"/>
        </w:rPr>
        <w:t>vigilancia</w:t>
      </w:r>
    </w:p>
    <w:p w14:paraId="0D17441A" w14:textId="77777777" w:rsidR="000F4524" w:rsidRPr="00260737" w:rsidRDefault="000F4524" w:rsidP="000F4524">
      <w:pPr>
        <w:widowControl w:val="0"/>
        <w:autoSpaceDE w:val="0"/>
        <w:autoSpaceDN w:val="0"/>
        <w:spacing w:after="0" w:line="240" w:lineRule="auto"/>
        <w:jc w:val="both"/>
        <w:rPr>
          <w:rFonts w:ascii="Verdana" w:eastAsia="Arial MT" w:hAnsi="Verdana" w:cs="Arial MT"/>
          <w:b/>
          <w:sz w:val="20"/>
          <w:szCs w:val="20"/>
          <w:lang w:val="es-ES"/>
        </w:rPr>
      </w:pPr>
    </w:p>
    <w:p w14:paraId="509C4E1F" w14:textId="77777777" w:rsidR="000F4524" w:rsidRPr="00260737" w:rsidRDefault="000F4524" w:rsidP="000F4524">
      <w:pPr>
        <w:widowControl w:val="0"/>
        <w:autoSpaceDE w:val="0"/>
        <w:autoSpaceDN w:val="0"/>
        <w:spacing w:after="0" w:line="240" w:lineRule="auto"/>
        <w:ind w:right="113"/>
        <w:jc w:val="both"/>
        <w:rPr>
          <w:rFonts w:ascii="Verdana" w:eastAsia="Arial MT" w:hAnsi="Verdana" w:cs="Arial"/>
          <w:sz w:val="20"/>
          <w:szCs w:val="20"/>
          <w:lang w:val="es-ES"/>
        </w:rPr>
      </w:pPr>
      <w:r w:rsidRPr="00260737">
        <w:rPr>
          <w:rFonts w:ascii="Verdana" w:eastAsia="Arial MT" w:hAnsi="Verdana" w:cs="Arial"/>
          <w:sz w:val="20"/>
          <w:szCs w:val="20"/>
          <w:lang w:val="es-ES"/>
        </w:rPr>
        <w:t>El seguimiento de la ejecución del contrato para la dirección, control y vigilancia de su</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correcto cumplimiento es un deber legal que permite a las entidades estatales tomar medidas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orientadas a la satisfacción de los fines de la contratación. Por esto, el EGCAP alude a la</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obligación mencionada, que guarda relación con el principio de responsabilidad que rige la</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celebración y ejecución de los contratos estatales. Así, por ejemplo, los artículos 4, 5, 12, 14 y</w:t>
      </w:r>
      <w:r w:rsidRPr="00260737">
        <w:rPr>
          <w:rFonts w:ascii="Verdana" w:eastAsia="Arial MT" w:hAnsi="Verdana" w:cs="Arial"/>
          <w:spacing w:val="1"/>
          <w:sz w:val="20"/>
          <w:szCs w:val="20"/>
          <w:lang w:val="es-ES"/>
        </w:rPr>
        <w:t xml:space="preserve"> </w:t>
      </w:r>
      <w:r w:rsidRPr="00260737">
        <w:rPr>
          <w:rFonts w:ascii="Verdana" w:eastAsia="Arial MT" w:hAnsi="Verdana" w:cs="Arial"/>
          <w:spacing w:val="-1"/>
          <w:sz w:val="20"/>
          <w:szCs w:val="20"/>
          <w:lang w:val="es-ES"/>
        </w:rPr>
        <w:t>26</w:t>
      </w:r>
      <w:r w:rsidRPr="00260737">
        <w:rPr>
          <w:rFonts w:ascii="Verdana" w:eastAsia="Arial MT" w:hAnsi="Verdana" w:cs="Arial"/>
          <w:spacing w:val="-14"/>
          <w:sz w:val="20"/>
          <w:szCs w:val="20"/>
          <w:lang w:val="es-ES"/>
        </w:rPr>
        <w:t xml:space="preserve"> </w:t>
      </w:r>
      <w:r w:rsidRPr="00260737">
        <w:rPr>
          <w:rFonts w:ascii="Verdana" w:eastAsia="Arial MT" w:hAnsi="Verdana" w:cs="Arial"/>
          <w:spacing w:val="-1"/>
          <w:sz w:val="20"/>
          <w:szCs w:val="20"/>
          <w:lang w:val="es-ES"/>
        </w:rPr>
        <w:t>de</w:t>
      </w:r>
      <w:r w:rsidRPr="00260737">
        <w:rPr>
          <w:rFonts w:ascii="Verdana" w:eastAsia="Arial MT" w:hAnsi="Verdana" w:cs="Arial"/>
          <w:spacing w:val="-14"/>
          <w:sz w:val="20"/>
          <w:szCs w:val="20"/>
          <w:lang w:val="es-ES"/>
        </w:rPr>
        <w:t xml:space="preserve"> </w:t>
      </w:r>
      <w:r w:rsidRPr="00260737">
        <w:rPr>
          <w:rFonts w:ascii="Verdana" w:eastAsia="Arial MT" w:hAnsi="Verdana" w:cs="Arial"/>
          <w:spacing w:val="-1"/>
          <w:sz w:val="20"/>
          <w:szCs w:val="20"/>
          <w:lang w:val="es-ES"/>
        </w:rPr>
        <w:t>la</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Ley</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80</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1993</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consagran</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normas</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relacionadas</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con</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el</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control</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y</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vigilancia</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la</w:t>
      </w:r>
      <w:r w:rsidRPr="00260737">
        <w:rPr>
          <w:rFonts w:ascii="Verdana" w:eastAsia="Arial MT" w:hAnsi="Verdana" w:cs="Arial"/>
          <w:spacing w:val="-13"/>
          <w:sz w:val="20"/>
          <w:szCs w:val="20"/>
          <w:lang w:val="es-ES"/>
        </w:rPr>
        <w:t xml:space="preserve"> </w:t>
      </w:r>
      <w:r w:rsidRPr="00260737">
        <w:rPr>
          <w:rFonts w:ascii="Verdana" w:eastAsia="Arial MT" w:hAnsi="Verdana" w:cs="Arial"/>
          <w:sz w:val="20"/>
          <w:szCs w:val="20"/>
          <w:lang w:val="es-ES"/>
        </w:rPr>
        <w:t>ejecución</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los</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contratos</w:t>
      </w:r>
      <w:r w:rsidRPr="00260737">
        <w:rPr>
          <w:rFonts w:ascii="Verdana" w:eastAsia="Arial MT" w:hAnsi="Verdana" w:cs="Arial"/>
          <w:spacing w:val="-11"/>
          <w:sz w:val="20"/>
          <w:szCs w:val="20"/>
          <w:lang w:val="es-ES"/>
        </w:rPr>
        <w:t xml:space="preserve"> </w:t>
      </w:r>
      <w:r w:rsidRPr="00260737">
        <w:rPr>
          <w:rFonts w:ascii="Verdana" w:eastAsia="Arial MT" w:hAnsi="Verdana" w:cs="Arial"/>
          <w:sz w:val="20"/>
          <w:szCs w:val="20"/>
          <w:lang w:val="es-ES"/>
        </w:rPr>
        <w:t>estatales.</w:t>
      </w:r>
      <w:r w:rsidRPr="00260737">
        <w:rPr>
          <w:rFonts w:ascii="Verdana" w:eastAsia="Arial MT" w:hAnsi="Verdana" w:cs="Arial"/>
          <w:spacing w:val="-5"/>
          <w:sz w:val="20"/>
          <w:szCs w:val="20"/>
          <w:lang w:val="es-ES"/>
        </w:rPr>
        <w:t xml:space="preserve"> </w:t>
      </w:r>
      <w:r w:rsidRPr="00260737">
        <w:rPr>
          <w:rFonts w:ascii="Verdana" w:eastAsia="Arial MT" w:hAnsi="Verdana" w:cs="Arial"/>
          <w:sz w:val="20"/>
          <w:szCs w:val="20"/>
          <w:lang w:val="es-ES"/>
        </w:rPr>
        <w:t>Estas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lastRenderedPageBreak/>
        <w:t>disposiciones</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establecen,</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entre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otros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aspectos,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la</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obligación</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las entidades estatales de velar por el correcto y oportuno cumplimiento de las prestaciones del</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contrato, las especificaciones de los bienes, obras y servicios objeto de este, y las condiciones</w:t>
      </w:r>
      <w:r w:rsidRPr="00260737">
        <w:rPr>
          <w:rFonts w:ascii="Verdana" w:eastAsia="Arial MT" w:hAnsi="Verdana" w:cs="Arial"/>
          <w:spacing w:val="1"/>
          <w:sz w:val="20"/>
          <w:szCs w:val="20"/>
          <w:lang w:val="es-ES"/>
        </w:rPr>
        <w:t xml:space="preserve"> </w:t>
      </w:r>
      <w:r w:rsidRPr="00260737">
        <w:rPr>
          <w:rFonts w:ascii="Verdana" w:eastAsia="Arial MT" w:hAnsi="Verdana" w:cs="Arial"/>
          <w:spacing w:val="-1"/>
          <w:sz w:val="20"/>
          <w:szCs w:val="20"/>
          <w:lang w:val="es-ES"/>
        </w:rPr>
        <w:t>de</w:t>
      </w:r>
      <w:r w:rsidRPr="00260737">
        <w:rPr>
          <w:rFonts w:ascii="Verdana" w:eastAsia="Arial MT" w:hAnsi="Verdana" w:cs="Arial"/>
          <w:spacing w:val="-11"/>
          <w:sz w:val="20"/>
          <w:szCs w:val="20"/>
          <w:lang w:val="es-ES"/>
        </w:rPr>
        <w:t xml:space="preserve"> </w:t>
      </w:r>
      <w:r w:rsidRPr="00260737">
        <w:rPr>
          <w:rFonts w:ascii="Verdana" w:eastAsia="Arial MT" w:hAnsi="Verdana" w:cs="Arial"/>
          <w:spacing w:val="-1"/>
          <w:sz w:val="20"/>
          <w:szCs w:val="20"/>
          <w:lang w:val="es-ES"/>
        </w:rPr>
        <w:t>calidad</w:t>
      </w:r>
      <w:r w:rsidRPr="00260737">
        <w:rPr>
          <w:rFonts w:ascii="Verdana" w:eastAsia="Arial MT" w:hAnsi="Verdana" w:cs="Arial"/>
          <w:spacing w:val="-10"/>
          <w:sz w:val="20"/>
          <w:szCs w:val="20"/>
          <w:lang w:val="es-ES"/>
        </w:rPr>
        <w:t xml:space="preserve"> </w:t>
      </w:r>
      <w:r w:rsidRPr="00260737">
        <w:rPr>
          <w:rFonts w:ascii="Verdana" w:eastAsia="Arial MT" w:hAnsi="Verdana" w:cs="Arial"/>
          <w:spacing w:val="-1"/>
          <w:sz w:val="20"/>
          <w:szCs w:val="20"/>
          <w:lang w:val="es-ES"/>
        </w:rPr>
        <w:t>ofrecidas,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entre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otras.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Esta</w:t>
      </w:r>
      <w:r w:rsidRPr="00260737">
        <w:rPr>
          <w:rFonts w:ascii="Verdana" w:eastAsia="Arial MT" w:hAnsi="Verdana" w:cs="Arial"/>
          <w:spacing w:val="-13"/>
          <w:sz w:val="20"/>
          <w:szCs w:val="20"/>
          <w:lang w:val="es-ES"/>
        </w:rPr>
        <w:t xml:space="preserve"> </w:t>
      </w:r>
      <w:r w:rsidRPr="00260737">
        <w:rPr>
          <w:rFonts w:ascii="Verdana" w:eastAsia="Arial MT" w:hAnsi="Verdana" w:cs="Arial"/>
          <w:sz w:val="20"/>
          <w:szCs w:val="20"/>
          <w:lang w:val="es-ES"/>
        </w:rPr>
        <w:t>obligación</w:t>
      </w:r>
      <w:r w:rsidRPr="00260737">
        <w:rPr>
          <w:rFonts w:ascii="Verdana" w:eastAsia="Arial MT" w:hAnsi="Verdana" w:cs="Arial"/>
          <w:spacing w:val="-13"/>
          <w:sz w:val="20"/>
          <w:szCs w:val="20"/>
          <w:lang w:val="es-ES"/>
        </w:rPr>
        <w:t xml:space="preserve"> </w:t>
      </w:r>
      <w:r w:rsidRPr="00260737">
        <w:rPr>
          <w:rFonts w:ascii="Verdana" w:eastAsia="Arial MT" w:hAnsi="Verdana" w:cs="Arial"/>
          <w:sz w:val="20"/>
          <w:szCs w:val="20"/>
          <w:lang w:val="es-ES"/>
        </w:rPr>
        <w:t>se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predica,</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en</w:t>
      </w:r>
      <w:r w:rsidRPr="00260737">
        <w:rPr>
          <w:rFonts w:ascii="Verdana" w:eastAsia="Arial MT" w:hAnsi="Verdana" w:cs="Arial"/>
          <w:spacing w:val="-12"/>
          <w:sz w:val="20"/>
          <w:szCs w:val="20"/>
          <w:lang w:val="es-ES"/>
        </w:rPr>
        <w:t xml:space="preserve"> </w:t>
      </w:r>
      <w:r w:rsidRPr="00260737">
        <w:rPr>
          <w:rFonts w:ascii="Verdana" w:eastAsia="Arial MT" w:hAnsi="Verdana" w:cs="Arial"/>
          <w:sz w:val="20"/>
          <w:szCs w:val="20"/>
          <w:lang w:val="es-ES"/>
        </w:rPr>
        <w:t>principio,</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del</w:t>
      </w:r>
      <w:r w:rsidRPr="00260737">
        <w:rPr>
          <w:rFonts w:ascii="Verdana" w:eastAsia="Arial MT" w:hAnsi="Verdana" w:cs="Arial"/>
          <w:spacing w:val="-11"/>
          <w:sz w:val="20"/>
          <w:szCs w:val="20"/>
          <w:lang w:val="es-ES"/>
        </w:rPr>
        <w:t xml:space="preserve"> </w:t>
      </w:r>
      <w:r w:rsidRPr="00260737">
        <w:rPr>
          <w:rFonts w:ascii="Verdana" w:eastAsia="Arial MT" w:hAnsi="Verdana" w:cs="Arial"/>
          <w:sz w:val="20"/>
          <w:szCs w:val="20"/>
          <w:lang w:val="es-ES"/>
        </w:rPr>
        <w:t>jefe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o</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representante</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legal de la entidad, por tener la responsabilidad de la dirección y manejo de la actividad</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contractual, pero también de los servidores públicos que intervienen en ella. En ese sentido, las</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entidades estatales deben ejercer el control de la ejecución del contrato y, de ser el caso, tomar</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medidas para exigir</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el</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adecuado cumplimiento.</w:t>
      </w:r>
    </w:p>
    <w:p w14:paraId="176DC957" w14:textId="77777777" w:rsidR="000F4524" w:rsidRPr="00260737" w:rsidRDefault="000F4524" w:rsidP="000F4524">
      <w:pPr>
        <w:widowControl w:val="0"/>
        <w:autoSpaceDE w:val="0"/>
        <w:autoSpaceDN w:val="0"/>
        <w:spacing w:after="0" w:line="240" w:lineRule="auto"/>
        <w:jc w:val="both"/>
        <w:rPr>
          <w:rFonts w:ascii="Verdana" w:eastAsia="Arial MT" w:hAnsi="Verdana" w:cs="Arial MT"/>
          <w:b/>
          <w:sz w:val="20"/>
          <w:szCs w:val="20"/>
          <w:lang w:val="es-ES"/>
        </w:rPr>
      </w:pPr>
    </w:p>
    <w:p w14:paraId="69D1CC6B" w14:textId="77777777" w:rsidR="000F4524" w:rsidRPr="00260737" w:rsidRDefault="000F4524" w:rsidP="000F4524">
      <w:pPr>
        <w:widowControl w:val="0"/>
        <w:autoSpaceDE w:val="0"/>
        <w:autoSpaceDN w:val="0"/>
        <w:spacing w:after="0" w:line="240" w:lineRule="auto"/>
        <w:jc w:val="both"/>
        <w:outlineLvl w:val="0"/>
        <w:rPr>
          <w:rFonts w:ascii="Verdana" w:eastAsia="Arial" w:hAnsi="Verdana" w:cs="Arial"/>
          <w:b/>
          <w:bCs/>
          <w:lang w:val="es-ES"/>
        </w:rPr>
      </w:pPr>
      <w:r w:rsidRPr="00260737">
        <w:rPr>
          <w:rFonts w:ascii="Verdana" w:eastAsia="Arial MT" w:hAnsi="Verdana" w:cs="Arial MT"/>
          <w:b/>
          <w:lang w:val="es-ES"/>
        </w:rPr>
        <w:t>SUPERVISIÓN</w:t>
      </w:r>
      <w:r w:rsidRPr="00260737">
        <w:rPr>
          <w:rFonts w:ascii="Verdana" w:eastAsia="Arial MT" w:hAnsi="Verdana" w:cs="Arial MT"/>
          <w:b/>
          <w:spacing w:val="-5"/>
          <w:lang w:val="es-ES"/>
        </w:rPr>
        <w:t xml:space="preserve"> </w:t>
      </w:r>
      <w:r w:rsidRPr="00260737">
        <w:rPr>
          <w:rFonts w:ascii="Verdana" w:eastAsia="Arial MT" w:hAnsi="Verdana" w:cs="Arial MT"/>
          <w:b/>
          <w:lang w:val="es-ES"/>
        </w:rPr>
        <w:t>–</w:t>
      </w:r>
      <w:r w:rsidRPr="00260737">
        <w:rPr>
          <w:rFonts w:ascii="Verdana" w:eastAsia="Arial MT" w:hAnsi="Verdana" w:cs="Arial MT"/>
          <w:b/>
          <w:spacing w:val="-5"/>
          <w:lang w:val="es-ES"/>
        </w:rPr>
        <w:t xml:space="preserve"> </w:t>
      </w:r>
      <w:r w:rsidRPr="00260737">
        <w:rPr>
          <w:rFonts w:ascii="Verdana" w:eastAsia="Arial MT" w:hAnsi="Verdana" w:cs="Arial MT"/>
          <w:b/>
          <w:lang w:val="es-ES"/>
        </w:rPr>
        <w:t>Ejercicio</w:t>
      </w:r>
      <w:r w:rsidRPr="00260737">
        <w:rPr>
          <w:rFonts w:ascii="Verdana" w:eastAsia="Arial MT" w:hAnsi="Verdana" w:cs="Arial MT"/>
          <w:b/>
          <w:spacing w:val="-3"/>
          <w:lang w:val="es-ES"/>
        </w:rPr>
        <w:t xml:space="preserve"> </w:t>
      </w:r>
      <w:r w:rsidRPr="00260737">
        <w:rPr>
          <w:rFonts w:ascii="Verdana" w:eastAsia="Arial MT" w:hAnsi="Verdana" w:cs="Arial MT"/>
          <w:b/>
          <w:lang w:val="es-ES"/>
        </w:rPr>
        <w:t>–</w:t>
      </w:r>
      <w:r w:rsidRPr="00260737">
        <w:rPr>
          <w:rFonts w:ascii="Verdana" w:eastAsia="Arial MT" w:hAnsi="Verdana" w:cs="Arial MT"/>
          <w:b/>
          <w:spacing w:val="-5"/>
          <w:lang w:val="es-ES"/>
        </w:rPr>
        <w:t xml:space="preserve"> </w:t>
      </w:r>
      <w:r w:rsidRPr="00260737">
        <w:rPr>
          <w:rFonts w:ascii="Verdana" w:eastAsia="Arial MT" w:hAnsi="Verdana" w:cs="Arial MT"/>
          <w:b/>
          <w:lang w:val="es-ES"/>
        </w:rPr>
        <w:t>Contratista</w:t>
      </w:r>
      <w:r w:rsidRPr="00260737">
        <w:rPr>
          <w:rFonts w:ascii="Verdana" w:eastAsia="Arial MT" w:hAnsi="Verdana" w:cs="Arial MT"/>
          <w:b/>
          <w:spacing w:val="-4"/>
          <w:lang w:val="es-ES"/>
        </w:rPr>
        <w:t xml:space="preserve"> </w:t>
      </w:r>
      <w:r w:rsidRPr="00260737">
        <w:rPr>
          <w:rFonts w:ascii="Verdana" w:eastAsia="Arial MT" w:hAnsi="Verdana" w:cs="Arial MT"/>
          <w:b/>
          <w:lang w:val="es-ES"/>
        </w:rPr>
        <w:t>–</w:t>
      </w:r>
      <w:r w:rsidRPr="00260737">
        <w:rPr>
          <w:rFonts w:ascii="Verdana" w:eastAsia="Arial MT" w:hAnsi="Verdana" w:cs="Arial MT"/>
          <w:b/>
          <w:spacing w:val="-5"/>
          <w:lang w:val="es-ES"/>
        </w:rPr>
        <w:t xml:space="preserve"> </w:t>
      </w:r>
      <w:r w:rsidRPr="00260737">
        <w:rPr>
          <w:rFonts w:ascii="Verdana" w:eastAsia="Arial MT" w:hAnsi="Verdana" w:cs="Arial MT"/>
          <w:b/>
          <w:lang w:val="es-ES"/>
        </w:rPr>
        <w:t>Apoyo</w:t>
      </w:r>
      <w:r w:rsidRPr="00260737">
        <w:rPr>
          <w:rFonts w:ascii="Verdana" w:eastAsia="Arial MT" w:hAnsi="Verdana" w:cs="Arial MT"/>
          <w:b/>
          <w:spacing w:val="-5"/>
          <w:lang w:val="es-ES"/>
        </w:rPr>
        <w:t xml:space="preserve"> </w:t>
      </w:r>
      <w:r w:rsidRPr="00260737">
        <w:rPr>
          <w:rFonts w:ascii="Verdana" w:eastAsia="Arial MT" w:hAnsi="Verdana" w:cs="Arial MT"/>
          <w:b/>
          <w:lang w:val="es-ES"/>
        </w:rPr>
        <w:t>a</w:t>
      </w:r>
      <w:r w:rsidRPr="00260737">
        <w:rPr>
          <w:rFonts w:ascii="Verdana" w:eastAsia="Arial MT" w:hAnsi="Verdana" w:cs="Arial MT"/>
          <w:b/>
          <w:spacing w:val="-4"/>
          <w:lang w:val="es-ES"/>
        </w:rPr>
        <w:t xml:space="preserve"> </w:t>
      </w:r>
      <w:r w:rsidRPr="00260737">
        <w:rPr>
          <w:rFonts w:ascii="Verdana" w:eastAsia="Arial MT" w:hAnsi="Verdana" w:cs="Arial MT"/>
          <w:b/>
          <w:lang w:val="es-ES"/>
        </w:rPr>
        <w:t>la</w:t>
      </w:r>
      <w:r w:rsidRPr="00260737">
        <w:rPr>
          <w:rFonts w:ascii="Verdana" w:eastAsia="Arial MT" w:hAnsi="Verdana" w:cs="Arial MT"/>
          <w:b/>
          <w:spacing w:val="-59"/>
          <w:lang w:val="es-ES"/>
        </w:rPr>
        <w:t xml:space="preserve"> </w:t>
      </w:r>
      <w:r w:rsidRPr="00260737">
        <w:rPr>
          <w:rFonts w:ascii="Verdana" w:eastAsia="Arial MT" w:hAnsi="Verdana" w:cs="Arial MT"/>
          <w:b/>
          <w:lang w:val="es-ES"/>
        </w:rPr>
        <w:t>supervisión</w:t>
      </w:r>
      <w:r w:rsidRPr="00260737">
        <w:rPr>
          <w:rFonts w:ascii="Verdana" w:eastAsia="Arial" w:hAnsi="Verdana" w:cs="Arial"/>
          <w:b/>
          <w:bCs/>
          <w:lang w:val="es-ES"/>
        </w:rPr>
        <w:t xml:space="preserve"> </w:t>
      </w:r>
    </w:p>
    <w:p w14:paraId="309C1F74" w14:textId="77777777" w:rsidR="000F4524" w:rsidRPr="00260737" w:rsidRDefault="000F4524" w:rsidP="000F4524">
      <w:pPr>
        <w:widowControl w:val="0"/>
        <w:autoSpaceDE w:val="0"/>
        <w:autoSpaceDN w:val="0"/>
        <w:spacing w:after="0" w:line="240" w:lineRule="auto"/>
        <w:jc w:val="both"/>
        <w:outlineLvl w:val="0"/>
        <w:rPr>
          <w:rFonts w:ascii="Verdana" w:eastAsia="Arial" w:hAnsi="Verdana" w:cs="Arial"/>
          <w:b/>
          <w:bCs/>
          <w:sz w:val="20"/>
          <w:szCs w:val="20"/>
          <w:lang w:val="es-ES"/>
        </w:rPr>
      </w:pPr>
    </w:p>
    <w:p w14:paraId="706F8545" w14:textId="77777777" w:rsidR="000F4524" w:rsidRPr="00260737" w:rsidRDefault="000F4524" w:rsidP="000F4524">
      <w:pPr>
        <w:widowControl w:val="0"/>
        <w:autoSpaceDE w:val="0"/>
        <w:autoSpaceDN w:val="0"/>
        <w:spacing w:after="0" w:line="240" w:lineRule="auto"/>
        <w:ind w:right="113"/>
        <w:jc w:val="both"/>
        <w:rPr>
          <w:rFonts w:ascii="Verdana" w:eastAsia="Arial MT" w:hAnsi="Verdana" w:cs="Arial"/>
          <w:sz w:val="20"/>
          <w:szCs w:val="20"/>
          <w:lang w:val="es-ES"/>
        </w:rPr>
      </w:pPr>
      <w:r w:rsidRPr="00260737">
        <w:rPr>
          <w:rFonts w:ascii="Verdana" w:eastAsia="Arial MT" w:hAnsi="Verdana" w:cs="Arial"/>
          <w:spacing w:val="-1"/>
          <w:sz w:val="20"/>
          <w:szCs w:val="20"/>
          <w:lang w:val="es-ES"/>
        </w:rPr>
        <w:t>[…] se</w:t>
      </w:r>
      <w:r w:rsidRPr="00260737">
        <w:rPr>
          <w:rFonts w:ascii="Verdana" w:eastAsia="Arial MT" w:hAnsi="Verdana" w:cs="Arial"/>
          <w:spacing w:val="-19"/>
          <w:sz w:val="20"/>
          <w:szCs w:val="20"/>
          <w:lang w:val="es-ES"/>
        </w:rPr>
        <w:t xml:space="preserve"> </w:t>
      </w:r>
      <w:r w:rsidRPr="00260737">
        <w:rPr>
          <w:rFonts w:ascii="Verdana" w:eastAsia="Arial MT" w:hAnsi="Verdana" w:cs="Arial"/>
          <w:spacing w:val="-1"/>
          <w:sz w:val="20"/>
          <w:szCs w:val="20"/>
          <w:lang w:val="es-ES"/>
        </w:rPr>
        <w:t>reitera</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lo</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expuesto</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en</w:t>
      </w:r>
      <w:r w:rsidRPr="00260737">
        <w:rPr>
          <w:rFonts w:ascii="Verdana" w:eastAsia="Arial MT" w:hAnsi="Verdana" w:cs="Arial"/>
          <w:spacing w:val="-17"/>
          <w:sz w:val="20"/>
          <w:szCs w:val="20"/>
          <w:lang w:val="es-ES"/>
        </w:rPr>
        <w:t xml:space="preserve"> </w:t>
      </w:r>
      <w:r w:rsidRPr="00260737">
        <w:rPr>
          <w:rFonts w:ascii="Verdana" w:eastAsia="Arial MT" w:hAnsi="Verdana" w:cs="Arial"/>
          <w:sz w:val="20"/>
          <w:szCs w:val="20"/>
          <w:lang w:val="es-ES"/>
        </w:rPr>
        <w:t>el</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concepto</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emitido</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por</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esta</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Agencia</w:t>
      </w:r>
      <w:r w:rsidRPr="00260737">
        <w:rPr>
          <w:rFonts w:ascii="Verdana" w:eastAsia="Arial MT" w:hAnsi="Verdana" w:cs="Arial"/>
          <w:spacing w:val="-13"/>
          <w:sz w:val="20"/>
          <w:szCs w:val="20"/>
          <w:lang w:val="es-ES"/>
        </w:rPr>
        <w:t xml:space="preserve"> </w:t>
      </w:r>
      <w:r w:rsidRPr="00260737">
        <w:rPr>
          <w:rFonts w:ascii="Verdana" w:eastAsia="Arial MT" w:hAnsi="Verdana" w:cs="Arial"/>
          <w:sz w:val="20"/>
          <w:szCs w:val="20"/>
          <w:lang w:val="es-ES"/>
        </w:rPr>
        <w:t>con</w:t>
      </w:r>
      <w:r w:rsidRPr="00260737">
        <w:rPr>
          <w:rFonts w:ascii="Verdana" w:eastAsia="Arial MT" w:hAnsi="Verdana" w:cs="Arial"/>
          <w:spacing w:val="-17"/>
          <w:sz w:val="20"/>
          <w:szCs w:val="20"/>
          <w:lang w:val="es-ES"/>
        </w:rPr>
        <w:t xml:space="preserve"> </w:t>
      </w:r>
      <w:r w:rsidRPr="00260737">
        <w:rPr>
          <w:rFonts w:ascii="Verdana" w:eastAsia="Arial MT" w:hAnsi="Verdana" w:cs="Arial"/>
          <w:sz w:val="20"/>
          <w:szCs w:val="20"/>
          <w:lang w:val="es-ES"/>
        </w:rPr>
        <w:t>radicado</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4201913000008240, del 20 de diciembre de 2019, en cuya oportunidad se señaló</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que “el</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seguimiento de la ejecución del contrato para su dirección, control y vigilancia del correcto</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cumplimiento del objeto es un deber legal que permite a las entidades estatales tomar medidas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orientadas a la satisfacción de los fines de la contratación, dentro de las cuales, se encuentra la</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posibilidad de pactar y ejercer las cláusulas exorbitantes, la designación de una supervisión o la</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contratación de una interventoría para vigilar la ejecución del contrato y la facultad de pactar e</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imponer multas, cláusula penal o hacer efectivas las garantías del contrato, previa declaratoria</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de incumplimiento de las obligaciones del contrato, en aras de lograr la satisfacción de las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necesidades de bienes, obras o servicios que se pretenden suplir con la celebración de los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contratos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estatales”.</w:t>
      </w:r>
    </w:p>
    <w:p w14:paraId="0158A9FF" w14:textId="77777777" w:rsidR="000F4524" w:rsidRPr="00260737" w:rsidRDefault="000F4524" w:rsidP="000F4524">
      <w:pPr>
        <w:widowControl w:val="0"/>
        <w:autoSpaceDE w:val="0"/>
        <w:autoSpaceDN w:val="0"/>
        <w:spacing w:after="0" w:line="240" w:lineRule="auto"/>
        <w:ind w:right="113"/>
        <w:jc w:val="both"/>
        <w:rPr>
          <w:rFonts w:ascii="Verdana" w:eastAsia="Arial MT" w:hAnsi="Verdana" w:cs="Arial"/>
          <w:sz w:val="20"/>
          <w:szCs w:val="20"/>
          <w:lang w:val="es-ES"/>
        </w:rPr>
      </w:pPr>
    </w:p>
    <w:p w14:paraId="417E4DEA" w14:textId="77777777" w:rsidR="000F4524" w:rsidRPr="00260737" w:rsidRDefault="000F4524" w:rsidP="000F4524">
      <w:pPr>
        <w:widowControl w:val="0"/>
        <w:autoSpaceDE w:val="0"/>
        <w:autoSpaceDN w:val="0"/>
        <w:spacing w:after="0" w:line="240" w:lineRule="auto"/>
        <w:ind w:right="113"/>
        <w:jc w:val="both"/>
        <w:rPr>
          <w:rFonts w:ascii="Verdana" w:eastAsia="Arial MT" w:hAnsi="Verdana" w:cs="Arial MT"/>
          <w:sz w:val="20"/>
          <w:szCs w:val="20"/>
          <w:lang w:val="es-ES"/>
        </w:rPr>
      </w:pPr>
      <w:r w:rsidRPr="00260737">
        <w:rPr>
          <w:rFonts w:ascii="Verdana" w:eastAsia="Arial MT" w:hAnsi="Verdana" w:cs="Arial"/>
          <w:sz w:val="20"/>
          <w:szCs w:val="20"/>
          <w:lang w:val="es-ES"/>
        </w:rPr>
        <w:t>Por lo tanto, la responsabilidad por el control y vigilancia de la ejecución del contrato está</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a cargo de la entidad estatal contratante y, en consecuencia, es esta quien debe supervisar los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contratos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mediante</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sus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funcionarios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o</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servidores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públicos,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y</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únicamente</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puede</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contratar</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personal en caso de necesitarlo como apoyo a su gestión en la supervisión. De este modo, el</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contratista podría fungir de apoyo a la supervisión del contrato, en la medida en que el contrato</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4"/>
          <w:sz w:val="20"/>
          <w:szCs w:val="20"/>
          <w:lang w:val="es-ES"/>
        </w:rPr>
        <w:t xml:space="preserve"> </w:t>
      </w:r>
      <w:r w:rsidRPr="00260737">
        <w:rPr>
          <w:rFonts w:ascii="Verdana" w:eastAsia="Arial MT" w:hAnsi="Verdana" w:cs="Arial"/>
          <w:sz w:val="20"/>
          <w:szCs w:val="20"/>
          <w:lang w:val="es-ES"/>
        </w:rPr>
        <w:t>prestación</w:t>
      </w:r>
      <w:r w:rsidRPr="00260737">
        <w:rPr>
          <w:rFonts w:ascii="Verdana" w:eastAsia="Arial MT" w:hAnsi="Verdana" w:cs="Arial"/>
          <w:spacing w:val="-4"/>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6"/>
          <w:sz w:val="20"/>
          <w:szCs w:val="20"/>
          <w:lang w:val="es-ES"/>
        </w:rPr>
        <w:t xml:space="preserve"> </w:t>
      </w:r>
      <w:r w:rsidRPr="00260737">
        <w:rPr>
          <w:rFonts w:ascii="Verdana" w:eastAsia="Arial MT" w:hAnsi="Verdana" w:cs="Arial"/>
          <w:sz w:val="20"/>
          <w:szCs w:val="20"/>
          <w:lang w:val="es-ES"/>
        </w:rPr>
        <w:t>servicios</w:t>
      </w:r>
      <w:r w:rsidRPr="00260737">
        <w:rPr>
          <w:rFonts w:ascii="Verdana" w:eastAsia="Arial MT" w:hAnsi="Verdana" w:cs="Arial"/>
          <w:spacing w:val="-3"/>
          <w:sz w:val="20"/>
          <w:szCs w:val="20"/>
          <w:lang w:val="es-ES"/>
        </w:rPr>
        <w:t xml:space="preserve"> </w:t>
      </w:r>
      <w:r w:rsidRPr="00260737">
        <w:rPr>
          <w:rFonts w:ascii="Verdana" w:eastAsia="Arial MT" w:hAnsi="Verdana" w:cs="Arial"/>
          <w:sz w:val="20"/>
          <w:szCs w:val="20"/>
          <w:lang w:val="es-ES"/>
        </w:rPr>
        <w:t>profesionales</w:t>
      </w:r>
      <w:r w:rsidRPr="00260737">
        <w:rPr>
          <w:rFonts w:ascii="Verdana" w:eastAsia="Arial MT" w:hAnsi="Verdana" w:cs="Arial"/>
          <w:spacing w:val="-4"/>
          <w:sz w:val="20"/>
          <w:szCs w:val="20"/>
          <w:lang w:val="es-ES"/>
        </w:rPr>
        <w:t xml:space="preserve"> </w:t>
      </w:r>
      <w:r w:rsidRPr="00260737">
        <w:rPr>
          <w:rFonts w:ascii="Verdana" w:eastAsia="Arial MT" w:hAnsi="Verdana" w:cs="Arial"/>
          <w:sz w:val="20"/>
          <w:szCs w:val="20"/>
          <w:lang w:val="es-ES"/>
        </w:rPr>
        <w:t>y</w:t>
      </w:r>
      <w:r w:rsidRPr="00260737">
        <w:rPr>
          <w:rFonts w:ascii="Verdana" w:eastAsia="Arial MT" w:hAnsi="Verdana" w:cs="Arial"/>
          <w:spacing w:val="-5"/>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4"/>
          <w:sz w:val="20"/>
          <w:szCs w:val="20"/>
          <w:lang w:val="es-ES"/>
        </w:rPr>
        <w:t xml:space="preserve"> </w:t>
      </w:r>
      <w:r w:rsidRPr="00260737">
        <w:rPr>
          <w:rFonts w:ascii="Verdana" w:eastAsia="Arial MT" w:hAnsi="Verdana" w:cs="Arial"/>
          <w:sz w:val="20"/>
          <w:szCs w:val="20"/>
          <w:lang w:val="es-ES"/>
        </w:rPr>
        <w:t>apoyo</w:t>
      </w:r>
      <w:r w:rsidRPr="00260737">
        <w:rPr>
          <w:rFonts w:ascii="Verdana" w:eastAsia="Arial MT" w:hAnsi="Verdana" w:cs="Arial"/>
          <w:spacing w:val="-3"/>
          <w:sz w:val="20"/>
          <w:szCs w:val="20"/>
          <w:lang w:val="es-ES"/>
        </w:rPr>
        <w:t xml:space="preserve"> </w:t>
      </w:r>
      <w:r w:rsidRPr="00260737">
        <w:rPr>
          <w:rFonts w:ascii="Verdana" w:eastAsia="Arial MT" w:hAnsi="Verdana" w:cs="Arial"/>
          <w:sz w:val="20"/>
          <w:szCs w:val="20"/>
          <w:lang w:val="es-ES"/>
        </w:rPr>
        <w:t>a</w:t>
      </w:r>
      <w:r w:rsidRPr="00260737">
        <w:rPr>
          <w:rFonts w:ascii="Verdana" w:eastAsia="Arial MT" w:hAnsi="Verdana" w:cs="Arial"/>
          <w:spacing w:val="-4"/>
          <w:sz w:val="20"/>
          <w:szCs w:val="20"/>
          <w:lang w:val="es-ES"/>
        </w:rPr>
        <w:t xml:space="preserve"> </w:t>
      </w:r>
      <w:r w:rsidRPr="00260737">
        <w:rPr>
          <w:rFonts w:ascii="Verdana" w:eastAsia="Arial MT" w:hAnsi="Verdana" w:cs="Arial"/>
          <w:sz w:val="20"/>
          <w:szCs w:val="20"/>
          <w:lang w:val="es-ES"/>
        </w:rPr>
        <w:t>la</w:t>
      </w:r>
      <w:r w:rsidRPr="00260737">
        <w:rPr>
          <w:rFonts w:ascii="Verdana" w:eastAsia="Arial MT" w:hAnsi="Verdana" w:cs="Arial"/>
          <w:spacing w:val="-3"/>
          <w:sz w:val="20"/>
          <w:szCs w:val="20"/>
          <w:lang w:val="es-ES"/>
        </w:rPr>
        <w:t xml:space="preserve"> </w:t>
      </w:r>
      <w:r w:rsidRPr="00260737">
        <w:rPr>
          <w:rFonts w:ascii="Verdana" w:eastAsia="Arial MT" w:hAnsi="Verdana" w:cs="Arial"/>
          <w:sz w:val="20"/>
          <w:szCs w:val="20"/>
          <w:lang w:val="es-ES"/>
        </w:rPr>
        <w:t>gestión</w:t>
      </w:r>
      <w:r w:rsidRPr="00260737">
        <w:rPr>
          <w:rFonts w:ascii="Verdana" w:eastAsia="Arial MT" w:hAnsi="Verdana" w:cs="Arial"/>
          <w:spacing w:val="-7"/>
          <w:sz w:val="20"/>
          <w:szCs w:val="20"/>
          <w:lang w:val="es-ES"/>
        </w:rPr>
        <w:t xml:space="preserve"> </w:t>
      </w:r>
      <w:r w:rsidRPr="00260737">
        <w:rPr>
          <w:rFonts w:ascii="Verdana" w:eastAsia="Arial MT" w:hAnsi="Verdana" w:cs="Arial"/>
          <w:sz w:val="20"/>
          <w:szCs w:val="20"/>
          <w:lang w:val="es-ES"/>
        </w:rPr>
        <w:t>tenga</w:t>
      </w:r>
      <w:r w:rsidRPr="00260737">
        <w:rPr>
          <w:rFonts w:ascii="Verdana" w:eastAsia="Arial MT" w:hAnsi="Verdana" w:cs="Arial"/>
          <w:spacing w:val="-3"/>
          <w:sz w:val="20"/>
          <w:szCs w:val="20"/>
          <w:lang w:val="es-ES"/>
        </w:rPr>
        <w:t xml:space="preserve"> </w:t>
      </w:r>
      <w:r w:rsidRPr="00260737">
        <w:rPr>
          <w:rFonts w:ascii="Verdana" w:eastAsia="Arial MT" w:hAnsi="Verdana" w:cs="Arial"/>
          <w:sz w:val="20"/>
          <w:szCs w:val="20"/>
          <w:lang w:val="es-ES"/>
        </w:rPr>
        <w:t>como</w:t>
      </w:r>
      <w:r w:rsidRPr="00260737">
        <w:rPr>
          <w:rFonts w:ascii="Verdana" w:eastAsia="Arial MT" w:hAnsi="Verdana" w:cs="Arial"/>
          <w:spacing w:val="-4"/>
          <w:sz w:val="20"/>
          <w:szCs w:val="20"/>
          <w:lang w:val="es-ES"/>
        </w:rPr>
        <w:t xml:space="preserve"> </w:t>
      </w:r>
      <w:r w:rsidRPr="00260737">
        <w:rPr>
          <w:rFonts w:ascii="Verdana" w:eastAsia="Arial MT" w:hAnsi="Verdana" w:cs="Arial"/>
          <w:sz w:val="20"/>
          <w:szCs w:val="20"/>
          <w:lang w:val="es-ES"/>
        </w:rPr>
        <w:t>objeto</w:t>
      </w:r>
      <w:r w:rsidRPr="00260737">
        <w:rPr>
          <w:rFonts w:ascii="Verdana" w:eastAsia="Arial MT" w:hAnsi="Verdana" w:cs="Arial"/>
          <w:spacing w:val="-5"/>
          <w:sz w:val="20"/>
          <w:szCs w:val="20"/>
          <w:lang w:val="es-ES"/>
        </w:rPr>
        <w:t xml:space="preserve"> </w:t>
      </w:r>
      <w:r w:rsidRPr="00260737">
        <w:rPr>
          <w:rFonts w:ascii="Verdana" w:eastAsia="Arial MT" w:hAnsi="Verdana" w:cs="Arial"/>
          <w:sz w:val="20"/>
          <w:szCs w:val="20"/>
          <w:lang w:val="es-ES"/>
        </w:rPr>
        <w:t>obligaciones</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dirigidas a apoyar dicha actividad de supervisión de contratos. En tal sentido, los contratistas no</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pueden</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asumir</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11"/>
          <w:sz w:val="20"/>
          <w:szCs w:val="20"/>
          <w:lang w:val="es-ES"/>
        </w:rPr>
        <w:t xml:space="preserve"> </w:t>
      </w:r>
      <w:r w:rsidRPr="00260737">
        <w:rPr>
          <w:rFonts w:ascii="Verdana" w:eastAsia="Arial MT" w:hAnsi="Verdana" w:cs="Arial"/>
          <w:sz w:val="20"/>
          <w:szCs w:val="20"/>
          <w:lang w:val="es-ES"/>
        </w:rPr>
        <w:t>forma</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íntegra,</w:t>
      </w:r>
      <w:r w:rsidRPr="00260737">
        <w:rPr>
          <w:rFonts w:ascii="Verdana" w:eastAsia="Arial MT" w:hAnsi="Verdana" w:cs="Arial"/>
          <w:spacing w:val="-7"/>
          <w:sz w:val="20"/>
          <w:szCs w:val="20"/>
          <w:lang w:val="es-ES"/>
        </w:rPr>
        <w:t xml:space="preserve"> </w:t>
      </w:r>
      <w:r w:rsidRPr="00260737">
        <w:rPr>
          <w:rFonts w:ascii="Verdana" w:eastAsia="Arial MT" w:hAnsi="Verdana" w:cs="Arial"/>
          <w:sz w:val="20"/>
          <w:szCs w:val="20"/>
          <w:lang w:val="es-ES"/>
        </w:rPr>
        <w:t>directa</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y</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excluyente</w:t>
      </w:r>
      <w:r w:rsidRPr="00260737">
        <w:rPr>
          <w:rFonts w:ascii="Verdana" w:eastAsia="Arial MT" w:hAnsi="Verdana" w:cs="Arial"/>
          <w:spacing w:val="-7"/>
          <w:sz w:val="20"/>
          <w:szCs w:val="20"/>
          <w:lang w:val="es-ES"/>
        </w:rPr>
        <w:t xml:space="preserve"> </w:t>
      </w:r>
      <w:r w:rsidRPr="00260737">
        <w:rPr>
          <w:rFonts w:ascii="Verdana" w:eastAsia="Arial MT" w:hAnsi="Verdana" w:cs="Arial"/>
          <w:sz w:val="20"/>
          <w:szCs w:val="20"/>
          <w:lang w:val="es-ES"/>
        </w:rPr>
        <w:t>la</w:t>
      </w:r>
      <w:r w:rsidRPr="00260737">
        <w:rPr>
          <w:rFonts w:ascii="Verdana" w:eastAsia="Arial MT" w:hAnsi="Verdana" w:cs="Arial"/>
          <w:spacing w:val="-7"/>
          <w:sz w:val="20"/>
          <w:szCs w:val="20"/>
          <w:lang w:val="es-ES"/>
        </w:rPr>
        <w:t xml:space="preserve"> </w:t>
      </w:r>
      <w:r w:rsidRPr="00260737">
        <w:rPr>
          <w:rFonts w:ascii="Verdana" w:eastAsia="Arial MT" w:hAnsi="Verdana" w:cs="Arial"/>
          <w:sz w:val="20"/>
          <w:szCs w:val="20"/>
          <w:lang w:val="es-ES"/>
        </w:rPr>
        <w:t>actividad</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supervisión</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7"/>
          <w:sz w:val="20"/>
          <w:szCs w:val="20"/>
          <w:lang w:val="es-ES"/>
        </w:rPr>
        <w:t xml:space="preserve"> </w:t>
      </w:r>
      <w:r w:rsidRPr="00260737">
        <w:rPr>
          <w:rFonts w:ascii="Verdana" w:eastAsia="Arial MT" w:hAnsi="Verdana" w:cs="Arial"/>
          <w:sz w:val="20"/>
          <w:szCs w:val="20"/>
          <w:lang w:val="es-ES"/>
        </w:rPr>
        <w:t xml:space="preserve">los contratos estatales. </w:t>
      </w:r>
    </w:p>
    <w:p w14:paraId="257FDF48" w14:textId="77777777" w:rsidR="000F4524" w:rsidRPr="00260737" w:rsidRDefault="000F4524" w:rsidP="000F4524">
      <w:pPr>
        <w:spacing w:after="0"/>
        <w:rPr>
          <w:rFonts w:ascii="Verdana" w:hAnsi="Verdana"/>
          <w:lang w:val="es-ES"/>
        </w:rPr>
      </w:pPr>
    </w:p>
    <w:p w14:paraId="35A580DC" w14:textId="77777777" w:rsidR="000F4524" w:rsidRDefault="000F4524" w:rsidP="000F4524">
      <w:pPr>
        <w:pStyle w:val="Textoindependiente"/>
        <w:spacing w:before="90"/>
        <w:jc w:val="both"/>
        <w:rPr>
          <w:rFonts w:ascii="Verdana" w:hAnsi="Verdana"/>
          <w:sz w:val="20"/>
          <w:szCs w:val="20"/>
        </w:rPr>
      </w:pPr>
    </w:p>
    <w:p w14:paraId="294D3823" w14:textId="77777777" w:rsidR="000F4524" w:rsidRDefault="000F4524" w:rsidP="000F4524">
      <w:pPr>
        <w:pStyle w:val="Textoindependiente"/>
        <w:spacing w:before="90"/>
        <w:jc w:val="both"/>
        <w:rPr>
          <w:rFonts w:ascii="Verdana" w:hAnsi="Verdana"/>
          <w:sz w:val="20"/>
          <w:szCs w:val="20"/>
        </w:rPr>
      </w:pPr>
    </w:p>
    <w:p w14:paraId="126F63BF" w14:textId="77777777" w:rsidR="000F4524" w:rsidRDefault="000F4524" w:rsidP="000F4524">
      <w:pPr>
        <w:pStyle w:val="Textoindependiente"/>
        <w:spacing w:before="90"/>
        <w:jc w:val="both"/>
        <w:rPr>
          <w:rFonts w:ascii="Verdana" w:hAnsi="Verdana"/>
          <w:sz w:val="20"/>
          <w:szCs w:val="20"/>
        </w:rPr>
      </w:pPr>
    </w:p>
    <w:p w14:paraId="56523F5F" w14:textId="77777777" w:rsidR="000F4524" w:rsidRDefault="000F4524" w:rsidP="000F4524">
      <w:pPr>
        <w:pStyle w:val="Textoindependiente"/>
        <w:spacing w:before="90"/>
        <w:jc w:val="both"/>
        <w:rPr>
          <w:rFonts w:ascii="Verdana" w:hAnsi="Verdana"/>
          <w:sz w:val="20"/>
          <w:szCs w:val="20"/>
        </w:rPr>
      </w:pPr>
    </w:p>
    <w:p w14:paraId="2C560710" w14:textId="77777777" w:rsidR="000F4524" w:rsidRDefault="000F4524" w:rsidP="000F4524">
      <w:pPr>
        <w:spacing w:after="0" w:line="240" w:lineRule="auto"/>
        <w:rPr>
          <w:rFonts w:ascii="Verdana" w:eastAsia="Geomanist Light" w:hAnsi="Verdana" w:cs="Arial"/>
        </w:rPr>
      </w:pPr>
    </w:p>
    <w:p w14:paraId="7B59CBB2" w14:textId="77777777" w:rsidR="000F4524" w:rsidRDefault="000F4524" w:rsidP="000F4524">
      <w:pPr>
        <w:spacing w:after="0" w:line="240" w:lineRule="auto"/>
        <w:rPr>
          <w:rFonts w:ascii="Verdana" w:eastAsia="Geomanist Light" w:hAnsi="Verdana" w:cs="Arial"/>
        </w:rPr>
      </w:pPr>
    </w:p>
    <w:p w14:paraId="3EE87888" w14:textId="77777777" w:rsidR="000F4524" w:rsidRDefault="000F4524" w:rsidP="000F4524">
      <w:pPr>
        <w:spacing w:after="0" w:line="240" w:lineRule="auto"/>
        <w:rPr>
          <w:rFonts w:ascii="Verdana" w:eastAsia="Geomanist Light" w:hAnsi="Verdana" w:cs="Arial"/>
        </w:rPr>
      </w:pPr>
    </w:p>
    <w:p w14:paraId="7764BF76" w14:textId="77777777" w:rsidR="000F4524" w:rsidRDefault="000F4524" w:rsidP="000F4524">
      <w:pPr>
        <w:spacing w:after="0" w:line="240" w:lineRule="auto"/>
        <w:rPr>
          <w:rFonts w:ascii="Verdana" w:eastAsia="Geomanist Light" w:hAnsi="Verdana" w:cs="Arial"/>
        </w:rPr>
      </w:pPr>
    </w:p>
    <w:p w14:paraId="6F120BB3" w14:textId="77777777" w:rsidR="000F4524" w:rsidRDefault="000F4524" w:rsidP="000F4524">
      <w:pPr>
        <w:spacing w:after="0" w:line="240" w:lineRule="auto"/>
        <w:rPr>
          <w:rFonts w:ascii="Verdana" w:eastAsia="Geomanist Light" w:hAnsi="Verdana" w:cs="Arial"/>
        </w:rPr>
      </w:pPr>
    </w:p>
    <w:p w14:paraId="2257B95B" w14:textId="77777777" w:rsidR="000F4524" w:rsidRDefault="000F4524" w:rsidP="000F4524">
      <w:pPr>
        <w:spacing w:after="0" w:line="240" w:lineRule="auto"/>
        <w:rPr>
          <w:rFonts w:ascii="Verdana" w:eastAsia="Geomanist Light" w:hAnsi="Verdana" w:cs="Arial"/>
        </w:rPr>
      </w:pPr>
    </w:p>
    <w:p w14:paraId="1DFEE755" w14:textId="77777777" w:rsidR="0033389A" w:rsidRDefault="0033389A" w:rsidP="000F4524">
      <w:pPr>
        <w:spacing w:after="0" w:line="240" w:lineRule="auto"/>
        <w:rPr>
          <w:rFonts w:ascii="Verdana" w:eastAsia="Calibri" w:hAnsi="Verdana" w:cs="Arial"/>
          <w:bCs/>
          <w:sz w:val="20"/>
          <w:szCs w:val="20"/>
          <w:lang w:eastAsia="es-ES_tradnl"/>
        </w:rPr>
      </w:pPr>
    </w:p>
    <w:p w14:paraId="1A6E9E1F" w14:textId="4F2D887B" w:rsidR="000F4524" w:rsidRPr="00D77AD7" w:rsidRDefault="0033389A" w:rsidP="000F4524">
      <w:pPr>
        <w:spacing w:after="0" w:line="240" w:lineRule="auto"/>
        <w:rPr>
          <w:rFonts w:ascii="Verdana" w:eastAsia="Calibri" w:hAnsi="Verdana" w:cs="Arial"/>
          <w:bCs/>
          <w:lang w:eastAsia="es-ES_tradnl"/>
        </w:rPr>
      </w:pPr>
      <w:r w:rsidRPr="00D77AD7">
        <w:rPr>
          <w:rFonts w:ascii="Verdana" w:eastAsia="Calibri" w:hAnsi="Verdana" w:cs="Arial"/>
          <w:bCs/>
          <w:lang w:eastAsia="es-ES_tradnl"/>
        </w:rPr>
        <w:t xml:space="preserve">Bogotá D.C., 16 de </w:t>
      </w:r>
      <w:r w:rsidR="00D77AD7" w:rsidRPr="00D77AD7">
        <w:rPr>
          <w:rFonts w:ascii="Verdana" w:eastAsia="Calibri" w:hAnsi="Verdana" w:cs="Arial"/>
          <w:bCs/>
          <w:lang w:eastAsia="es-ES_tradnl"/>
        </w:rPr>
        <w:t>abril</w:t>
      </w:r>
      <w:r w:rsidRPr="00D77AD7">
        <w:rPr>
          <w:rFonts w:ascii="Verdana" w:eastAsia="Calibri" w:hAnsi="Verdana" w:cs="Arial"/>
          <w:bCs/>
          <w:lang w:eastAsia="es-ES_tradnl"/>
        </w:rPr>
        <w:t xml:space="preserve"> de 2026</w:t>
      </w:r>
    </w:p>
    <w:p w14:paraId="20B4B85F" w14:textId="77F3B7B3" w:rsidR="000F4524" w:rsidRDefault="000F4524" w:rsidP="000F4524">
      <w:pPr>
        <w:spacing w:after="0" w:line="240" w:lineRule="auto"/>
        <w:rPr>
          <w:rFonts w:ascii="Verdana" w:eastAsia="Calibri" w:hAnsi="Verdana" w:cs="Arial"/>
          <w:b/>
          <w:bCs/>
          <w:lang w:eastAsia="es-ES_tradnl"/>
        </w:rPr>
      </w:pPr>
    </w:p>
    <w:p w14:paraId="5011D553" w14:textId="5BDB4157" w:rsidR="000F4524" w:rsidRDefault="002F1A53" w:rsidP="000F4524">
      <w:pPr>
        <w:spacing w:after="0" w:line="240" w:lineRule="auto"/>
        <w:rPr>
          <w:rFonts w:ascii="Verdana" w:eastAsia="Calibri" w:hAnsi="Verdana" w:cs="Arial"/>
          <w:lang w:eastAsia="es-ES_tradnl"/>
        </w:rPr>
      </w:pPr>
      <w:r w:rsidRPr="0033389A">
        <w:rPr>
          <w:rFonts w:ascii="Verdana" w:hAnsi="Verdana"/>
          <w:b/>
          <w:noProof/>
          <w:lang w:val="es-ES_tradnl"/>
        </w:rPr>
        <w:drawing>
          <wp:anchor distT="0" distB="0" distL="114300" distR="114300" simplePos="0" relativeHeight="251659264" behindDoc="1" locked="0" layoutInCell="1" allowOverlap="1" wp14:anchorId="6145EF82" wp14:editId="366281DF">
            <wp:simplePos x="0" y="0"/>
            <wp:positionH relativeFrom="margin">
              <wp:align>right</wp:align>
            </wp:positionH>
            <wp:positionV relativeFrom="paragraph">
              <wp:posOffset>8890</wp:posOffset>
            </wp:positionV>
            <wp:extent cx="2821940" cy="699135"/>
            <wp:effectExtent l="0" t="0" r="0" b="5715"/>
            <wp:wrapTight wrapText="bothSides">
              <wp:wrapPolygon edited="0">
                <wp:start x="0" y="0"/>
                <wp:lineTo x="0" y="21188"/>
                <wp:lineTo x="21435" y="21188"/>
                <wp:lineTo x="21435" y="0"/>
                <wp:lineTo x="0" y="0"/>
              </wp:wrapPolygon>
            </wp:wrapTight>
            <wp:docPr id="161848751" name="Imagen 1"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48751" name="Imagen 1" descr="Interfaz de usuario gráfica, Texto, Aplicación&#10;&#10;Descripción generada automá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21940" cy="699135"/>
                    </a:xfrm>
                    <a:prstGeom prst="rect">
                      <a:avLst/>
                    </a:prstGeom>
                  </pic:spPr>
                </pic:pic>
              </a:graphicData>
            </a:graphic>
            <wp14:sizeRelH relativeFrom="page">
              <wp14:pctWidth>0</wp14:pctWidth>
            </wp14:sizeRelH>
            <wp14:sizeRelV relativeFrom="page">
              <wp14:pctHeight>0</wp14:pctHeight>
            </wp14:sizeRelV>
          </wp:anchor>
        </w:drawing>
      </w:r>
      <w:r w:rsidR="000F4524">
        <w:rPr>
          <w:rFonts w:ascii="Verdana" w:eastAsia="Calibri" w:hAnsi="Verdana" w:cs="Arial"/>
          <w:lang w:eastAsia="es-ES_tradnl"/>
        </w:rPr>
        <w:t>Señora</w:t>
      </w:r>
    </w:p>
    <w:p w14:paraId="5731AF90" w14:textId="27B89401" w:rsidR="000F4524" w:rsidRDefault="000F4524" w:rsidP="000F4524">
      <w:pPr>
        <w:spacing w:after="0" w:line="240" w:lineRule="auto"/>
        <w:rPr>
          <w:rFonts w:ascii="Verdana" w:eastAsia="Calibri" w:hAnsi="Verdana" w:cs="Arial"/>
          <w:b/>
          <w:bCs/>
          <w:lang w:eastAsia="es-ES_tradnl"/>
        </w:rPr>
      </w:pPr>
      <w:r>
        <w:rPr>
          <w:rFonts w:ascii="Verdana" w:eastAsia="Calibri" w:hAnsi="Verdana" w:cs="Arial"/>
          <w:b/>
          <w:bCs/>
          <w:lang w:eastAsia="es-ES_tradnl"/>
        </w:rPr>
        <w:t>Mariana Álzate Molina</w:t>
      </w:r>
    </w:p>
    <w:p w14:paraId="2828FC0F" w14:textId="349993EC" w:rsidR="000F4524" w:rsidRPr="007211E4" w:rsidRDefault="000F4524" w:rsidP="000F4524">
      <w:pPr>
        <w:spacing w:after="0" w:line="240" w:lineRule="auto"/>
        <w:rPr>
          <w:rFonts w:ascii="Verdana" w:eastAsia="Calibri" w:hAnsi="Verdana" w:cs="Arial"/>
          <w:lang w:eastAsia="es-ES_tradnl"/>
        </w:rPr>
      </w:pPr>
      <w:r>
        <w:rPr>
          <w:rFonts w:ascii="Verdana" w:eastAsia="Calibri" w:hAnsi="Verdana" w:cs="Arial"/>
          <w:lang w:eastAsia="es-ES_tradnl"/>
        </w:rPr>
        <w:t>Ma.alzatemolina02@gmail.com</w:t>
      </w:r>
    </w:p>
    <w:p w14:paraId="475A8FA2" w14:textId="77777777" w:rsidR="000F4524" w:rsidRDefault="000F4524" w:rsidP="000F4524">
      <w:pPr>
        <w:spacing w:after="0" w:line="240" w:lineRule="auto"/>
        <w:rPr>
          <w:rFonts w:ascii="Verdana" w:eastAsia="Calibri" w:hAnsi="Verdana" w:cs="Arial"/>
          <w:lang w:eastAsia="es-ES_tradnl"/>
        </w:rPr>
      </w:pPr>
      <w:r>
        <w:rPr>
          <w:rFonts w:ascii="Verdana" w:eastAsia="Calibri" w:hAnsi="Verdana" w:cs="Arial"/>
          <w:lang w:eastAsia="es-ES_tradnl"/>
        </w:rPr>
        <w:t>Bogotá, Cundinamarca</w:t>
      </w:r>
    </w:p>
    <w:p w14:paraId="78451EED" w14:textId="77777777" w:rsidR="000F4524" w:rsidRPr="00514983" w:rsidRDefault="000F4524" w:rsidP="000F4524">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F4524" w:rsidRPr="00960F72" w14:paraId="6483CA8D" w14:textId="77777777" w:rsidTr="004F10D7">
        <w:trPr>
          <w:trHeight w:val="190"/>
        </w:trPr>
        <w:tc>
          <w:tcPr>
            <w:tcW w:w="2689" w:type="dxa"/>
          </w:tcPr>
          <w:p w14:paraId="0EC06B94" w14:textId="77777777" w:rsidR="000F4524" w:rsidRPr="00960F72" w:rsidRDefault="000F4524" w:rsidP="004F10D7">
            <w:pPr>
              <w:jc w:val="both"/>
              <w:rPr>
                <w:rFonts w:ascii="Verdana" w:eastAsia="Calibri" w:hAnsi="Verdana" w:cs="Arial"/>
                <w:b/>
                <w:bCs/>
                <w:lang w:eastAsia="es-ES_tradnl"/>
              </w:rPr>
            </w:pPr>
          </w:p>
        </w:tc>
        <w:tc>
          <w:tcPr>
            <w:tcW w:w="6100" w:type="dxa"/>
          </w:tcPr>
          <w:p w14:paraId="06EBBB73" w14:textId="77777777" w:rsidR="000F4524" w:rsidRPr="00960F72" w:rsidRDefault="000F4524" w:rsidP="004F10D7">
            <w:pPr>
              <w:jc w:val="both"/>
              <w:rPr>
                <w:rFonts w:ascii="Verdana" w:eastAsia="Calibri" w:hAnsi="Verdana" w:cs="Arial"/>
                <w:b/>
                <w:bCs/>
                <w:lang w:eastAsia="es-ES"/>
              </w:rPr>
            </w:pPr>
            <w:r w:rsidRPr="00960F72">
              <w:rPr>
                <w:rFonts w:ascii="Verdana" w:eastAsia="Calibri" w:hAnsi="Verdana" w:cs="Arial"/>
                <w:b/>
                <w:bCs/>
                <w:lang w:eastAsia="es-ES"/>
              </w:rPr>
              <w:t xml:space="preserve">Concepto C- </w:t>
            </w:r>
            <w:r>
              <w:rPr>
                <w:rFonts w:ascii="Verdana" w:eastAsia="Calibri" w:hAnsi="Verdana" w:cs="Arial"/>
                <w:b/>
                <w:bCs/>
                <w:lang w:eastAsia="es-ES"/>
              </w:rPr>
              <w:t xml:space="preserve">368 </w:t>
            </w:r>
            <w:r w:rsidRPr="00960F72">
              <w:rPr>
                <w:rFonts w:ascii="Verdana" w:eastAsia="Calibri" w:hAnsi="Verdana" w:cs="Arial"/>
                <w:b/>
                <w:bCs/>
                <w:lang w:eastAsia="es-ES"/>
              </w:rPr>
              <w:t>de 202</w:t>
            </w:r>
            <w:r>
              <w:rPr>
                <w:rFonts w:ascii="Verdana" w:eastAsia="Calibri" w:hAnsi="Verdana" w:cs="Arial"/>
                <w:b/>
                <w:bCs/>
                <w:lang w:eastAsia="es-ES"/>
              </w:rPr>
              <w:t>6</w:t>
            </w:r>
          </w:p>
          <w:p w14:paraId="1C82E47A" w14:textId="77777777" w:rsidR="000F4524" w:rsidRPr="00960F72" w:rsidRDefault="000F4524" w:rsidP="004F10D7">
            <w:pPr>
              <w:jc w:val="both"/>
              <w:rPr>
                <w:rFonts w:ascii="Verdana" w:eastAsia="Calibri" w:hAnsi="Verdana" w:cs="Arial"/>
                <w:b/>
                <w:bCs/>
                <w:lang w:eastAsia="es-ES"/>
              </w:rPr>
            </w:pPr>
          </w:p>
        </w:tc>
      </w:tr>
      <w:tr w:rsidR="000F4524" w:rsidRPr="00960F72" w14:paraId="68112490" w14:textId="77777777" w:rsidTr="004F10D7">
        <w:trPr>
          <w:trHeight w:val="884"/>
        </w:trPr>
        <w:tc>
          <w:tcPr>
            <w:tcW w:w="2689" w:type="dxa"/>
          </w:tcPr>
          <w:p w14:paraId="2EFE5FD6" w14:textId="77777777" w:rsidR="000F4524" w:rsidRPr="00960F72" w:rsidRDefault="000F4524" w:rsidP="004F10D7">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6FAF5BB2" w14:textId="77777777" w:rsidR="000F4524" w:rsidRPr="00782182" w:rsidRDefault="000F4524" w:rsidP="004F10D7">
            <w:pPr>
              <w:spacing w:line="276" w:lineRule="auto"/>
              <w:jc w:val="both"/>
              <w:rPr>
                <w:rFonts w:ascii="Verdana" w:eastAsia="Calibri" w:hAnsi="Verdana" w:cs="Arial"/>
                <w:lang w:val="es-ES" w:eastAsia="es-ES"/>
              </w:rPr>
            </w:pPr>
            <w:r w:rsidRPr="00E87EA6">
              <w:rPr>
                <w:rFonts w:ascii="Verdana" w:eastAsia="Calibri" w:hAnsi="Verdana" w:cs="Arial"/>
                <w:lang w:val="es-ES" w:eastAsia="es-ES"/>
              </w:rPr>
              <w:t>GARANTÍA DE ÚNICA DE CUMPLIMIENTO – Definición – Fundamento normativo / LIQUIDACIÓN DEL CONTRATO – Definición - Objetivo   / LIQUIDACIÓN DEL CONTRATO – Normativa / LIQUIDACIÓN DEL CONTRATO – Garantía Única de Cumplimiento – Suficiencia</w:t>
            </w:r>
            <w:r>
              <w:rPr>
                <w:rFonts w:ascii="Verdana" w:eastAsia="Calibri" w:hAnsi="Verdana" w:cs="Arial"/>
                <w:lang w:val="es-ES" w:eastAsia="es-ES"/>
              </w:rPr>
              <w:t xml:space="preserve"> / </w:t>
            </w:r>
            <w:r w:rsidRPr="00782182">
              <w:rPr>
                <w:rFonts w:ascii="Verdana" w:eastAsia="Calibri" w:hAnsi="Verdana" w:cs="Arial"/>
                <w:lang w:val="es-ES" w:eastAsia="es-ES"/>
              </w:rPr>
              <w:t xml:space="preserve">CONTRATO ESTATAL – Ejercicio – Funciones de control y vigilancia / CONTRATO ESTATAL – Funciones de control y vigilancia / SUPERVISIÓN – Ejercicio – Contratista – Apoyo a la supervisión </w:t>
            </w:r>
          </w:p>
          <w:p w14:paraId="355DBC64" w14:textId="77777777" w:rsidR="000F4524" w:rsidRPr="00051D01" w:rsidRDefault="000F4524" w:rsidP="004F10D7">
            <w:pPr>
              <w:contextualSpacing/>
              <w:jc w:val="both"/>
              <w:rPr>
                <w:rFonts w:ascii="Verdana" w:eastAsia="Verdana" w:hAnsi="Verdana" w:cs="Verdana"/>
                <w:sz w:val="20"/>
                <w:szCs w:val="20"/>
                <w:lang w:val="es-MX"/>
              </w:rPr>
            </w:pPr>
          </w:p>
        </w:tc>
      </w:tr>
      <w:tr w:rsidR="000F4524" w:rsidRPr="00960F72" w14:paraId="582F8501" w14:textId="77777777" w:rsidTr="004F10D7">
        <w:tc>
          <w:tcPr>
            <w:tcW w:w="2689" w:type="dxa"/>
          </w:tcPr>
          <w:p w14:paraId="74B49927" w14:textId="77777777" w:rsidR="000F4524" w:rsidRPr="008149BA" w:rsidRDefault="000F4524" w:rsidP="004F10D7">
            <w:pPr>
              <w:jc w:val="both"/>
              <w:rPr>
                <w:rFonts w:ascii="Verdana" w:eastAsia="Calibri" w:hAnsi="Verdana" w:cs="Arial"/>
                <w:b/>
                <w:lang w:eastAsia="es-ES_tradnl"/>
              </w:rPr>
            </w:pPr>
            <w:r w:rsidRPr="008149BA">
              <w:rPr>
                <w:rFonts w:ascii="Verdana" w:eastAsia="Calibri" w:hAnsi="Verdana" w:cs="Arial"/>
                <w:b/>
                <w:lang w:eastAsia="es-ES_tradnl"/>
              </w:rPr>
              <w:t>Radicación:</w:t>
            </w:r>
            <w:r w:rsidRPr="008149BA">
              <w:rPr>
                <w:rFonts w:ascii="Verdana" w:eastAsia="Calibri" w:hAnsi="Verdana" w:cs="Arial"/>
                <w:lang w:eastAsia="es-ES_tradnl"/>
              </w:rPr>
              <w:t xml:space="preserve">               </w:t>
            </w:r>
          </w:p>
        </w:tc>
        <w:tc>
          <w:tcPr>
            <w:tcW w:w="6100" w:type="dxa"/>
          </w:tcPr>
          <w:p w14:paraId="4F645C23" w14:textId="77777777" w:rsidR="000F4524" w:rsidRPr="008149BA" w:rsidRDefault="000F4524" w:rsidP="004F10D7">
            <w:pPr>
              <w:jc w:val="both"/>
              <w:rPr>
                <w:rFonts w:ascii="Verdana" w:eastAsia="Calibri" w:hAnsi="Verdana" w:cs="Arial"/>
                <w:lang w:eastAsia="es-ES_tradnl"/>
              </w:rPr>
            </w:pPr>
            <w:r w:rsidRPr="008149BA">
              <w:rPr>
                <w:rFonts w:ascii="Verdana" w:eastAsia="Calibri" w:hAnsi="Verdana" w:cs="Arial"/>
                <w:lang w:eastAsia="es-ES_tradnl"/>
              </w:rPr>
              <w:t>Respuesta a consulta con radicado No.</w:t>
            </w:r>
            <w:r w:rsidRPr="008149BA">
              <w:rPr>
                <w:rFonts w:ascii="Verdana" w:hAnsi="Verdana" w:cs="Segoe UI"/>
                <w:color w:val="2B2B2B"/>
                <w:shd w:val="clear" w:color="auto" w:fill="FFFFFF"/>
              </w:rPr>
              <w:t xml:space="preserve"> </w:t>
            </w:r>
            <w:r w:rsidRPr="00D57C85">
              <w:rPr>
                <w:rFonts w:ascii="Verdana" w:hAnsi="Verdana" w:cs="Segoe UI"/>
                <w:color w:val="2B2B2B"/>
                <w:shd w:val="clear" w:color="auto" w:fill="FFFFFF"/>
              </w:rPr>
              <w:t>1_2026_03_05_003086</w:t>
            </w:r>
          </w:p>
        </w:tc>
      </w:tr>
    </w:tbl>
    <w:p w14:paraId="320E4C7C" w14:textId="77777777" w:rsidR="000F4524" w:rsidRPr="00960F72" w:rsidRDefault="000F4524" w:rsidP="000F4524">
      <w:pPr>
        <w:spacing w:after="0" w:line="240" w:lineRule="auto"/>
        <w:jc w:val="both"/>
        <w:rPr>
          <w:rFonts w:ascii="Verdana" w:eastAsia="Calibri" w:hAnsi="Verdana" w:cs="Arial"/>
          <w:lang w:eastAsia="es-ES_tradnl"/>
        </w:rPr>
      </w:pPr>
    </w:p>
    <w:p w14:paraId="6998F1B5" w14:textId="77777777" w:rsidR="000F4524" w:rsidRPr="00960F72" w:rsidRDefault="000F4524" w:rsidP="000F4524">
      <w:pPr>
        <w:spacing w:after="0" w:line="240" w:lineRule="auto"/>
        <w:jc w:val="both"/>
        <w:rPr>
          <w:rFonts w:ascii="Verdana" w:eastAsia="Calibri" w:hAnsi="Verdana" w:cs="Arial"/>
          <w:lang w:eastAsia="es-ES_tradnl"/>
        </w:rPr>
      </w:pPr>
    </w:p>
    <w:p w14:paraId="2B7DA397" w14:textId="77777777" w:rsidR="000F4524" w:rsidRPr="00960F72" w:rsidRDefault="000F4524" w:rsidP="000F4524">
      <w:pPr>
        <w:spacing w:after="0" w:line="276" w:lineRule="auto"/>
        <w:jc w:val="both"/>
        <w:rPr>
          <w:rFonts w:ascii="Verdana" w:eastAsia="Calibri" w:hAnsi="Verdana" w:cs="Arial"/>
          <w:lang w:eastAsia="es-ES"/>
        </w:rPr>
      </w:pPr>
      <w:r>
        <w:rPr>
          <w:rFonts w:ascii="Verdana" w:eastAsia="Calibri" w:hAnsi="Verdana" w:cs="Arial"/>
          <w:lang w:eastAsia="es-ES"/>
        </w:rPr>
        <w:t>Estimada señora Álzate:</w:t>
      </w:r>
    </w:p>
    <w:p w14:paraId="0DF9B4D8" w14:textId="77777777" w:rsidR="000F4524" w:rsidRPr="00960F72" w:rsidRDefault="000F4524" w:rsidP="000F4524">
      <w:pPr>
        <w:tabs>
          <w:tab w:val="left" w:pos="3768"/>
        </w:tabs>
        <w:spacing w:after="0" w:line="276" w:lineRule="auto"/>
        <w:jc w:val="both"/>
        <w:rPr>
          <w:rFonts w:ascii="Verdana" w:eastAsia="Calibri" w:hAnsi="Verdana" w:cs="Arial"/>
          <w:lang w:eastAsia="es-ES"/>
        </w:rPr>
      </w:pPr>
    </w:p>
    <w:p w14:paraId="3F9B85E8" w14:textId="77777777" w:rsidR="000F4524" w:rsidRPr="00960F72" w:rsidRDefault="000F4524" w:rsidP="000F4524">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w:t>
      </w:r>
      <w:r>
        <w:rPr>
          <w:rFonts w:ascii="Verdana" w:eastAsia="Calibri" w:hAnsi="Verdana" w:cs="Arial"/>
          <w:lang w:eastAsia="es-ES"/>
        </w:rPr>
        <w:t xml:space="preserve">la cual fue remitida por competencia a esta Agencia el pasado 05 </w:t>
      </w:r>
      <w:r w:rsidRPr="00960F72">
        <w:rPr>
          <w:rFonts w:ascii="Verdana" w:eastAsia="Calibri" w:hAnsi="Verdana" w:cs="Arial"/>
          <w:lang w:eastAsia="es-ES"/>
        </w:rPr>
        <w:t xml:space="preserve">de </w:t>
      </w:r>
      <w:r>
        <w:rPr>
          <w:rFonts w:ascii="Verdana" w:eastAsia="Calibri" w:hAnsi="Verdana" w:cs="Arial"/>
          <w:lang w:eastAsia="es-ES"/>
        </w:rPr>
        <w:t>marzo</w:t>
      </w:r>
      <w:r w:rsidRPr="00960F72">
        <w:rPr>
          <w:rFonts w:ascii="Verdana" w:eastAsia="Calibri" w:hAnsi="Verdana" w:cs="Arial"/>
          <w:lang w:eastAsia="es-ES"/>
        </w:rPr>
        <w:t xml:space="preserve"> de 202</w:t>
      </w:r>
      <w:r>
        <w:rPr>
          <w:rFonts w:ascii="Verdana" w:eastAsia="Calibri" w:hAnsi="Verdana" w:cs="Arial"/>
          <w:lang w:eastAsia="es-ES"/>
        </w:rPr>
        <w:t>6</w:t>
      </w:r>
      <w:r w:rsidRPr="00960F72">
        <w:rPr>
          <w:rFonts w:ascii="Verdana" w:eastAsia="Calibri" w:hAnsi="Verdana" w:cs="Arial"/>
          <w:lang w:eastAsia="es-ES"/>
        </w:rPr>
        <w:t xml:space="preserve">, en la cual manifiesta lo siguiente: </w:t>
      </w:r>
    </w:p>
    <w:p w14:paraId="4C6CDB0A" w14:textId="77777777" w:rsidR="000F4524" w:rsidRPr="00960F72" w:rsidRDefault="000F4524" w:rsidP="000F4524">
      <w:pPr>
        <w:spacing w:after="0" w:line="276" w:lineRule="auto"/>
        <w:jc w:val="both"/>
        <w:rPr>
          <w:rFonts w:ascii="Verdana" w:eastAsia="Calibri" w:hAnsi="Verdana" w:cs="Arial"/>
          <w:lang w:eastAsia="es-ES"/>
        </w:rPr>
      </w:pPr>
    </w:p>
    <w:p w14:paraId="071BEC99" w14:textId="77777777" w:rsidR="000F4524" w:rsidRPr="00D57C85" w:rsidRDefault="000F4524" w:rsidP="000F4524">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Pr="00D57C85">
        <w:rPr>
          <w:rFonts w:ascii="Verdana" w:eastAsia="Calibri" w:hAnsi="Verdana" w:cs="Arial"/>
          <w:sz w:val="20"/>
          <w:szCs w:val="20"/>
          <w:lang w:eastAsia="es-ES"/>
        </w:rPr>
        <w:t>¿Finalizado un contrato estatal, puede la Entidad contratante declarar el incumplimiento del contrato por la insuficiencia de la garantía de cumplimiento, cuando no existen perjuicios económicos generados para la Entidad?</w:t>
      </w:r>
    </w:p>
    <w:p w14:paraId="55505484" w14:textId="77777777" w:rsidR="000F4524" w:rsidRPr="00D57C85" w:rsidRDefault="000F4524" w:rsidP="000F4524">
      <w:pPr>
        <w:spacing w:after="0" w:line="240" w:lineRule="auto"/>
        <w:ind w:left="709" w:right="709"/>
        <w:jc w:val="both"/>
        <w:rPr>
          <w:rFonts w:ascii="Verdana" w:eastAsia="Calibri" w:hAnsi="Verdana" w:cs="Arial"/>
          <w:sz w:val="20"/>
          <w:szCs w:val="20"/>
          <w:lang w:eastAsia="es-ES"/>
        </w:rPr>
      </w:pPr>
    </w:p>
    <w:p w14:paraId="05C728DE" w14:textId="77777777" w:rsidR="000F4524" w:rsidRPr="00D57C85" w:rsidRDefault="000F4524" w:rsidP="000F4524">
      <w:pPr>
        <w:spacing w:after="0" w:line="240" w:lineRule="auto"/>
        <w:ind w:left="709" w:right="709"/>
        <w:jc w:val="both"/>
        <w:rPr>
          <w:rFonts w:ascii="Verdana" w:eastAsia="Calibri" w:hAnsi="Verdana" w:cs="Arial"/>
          <w:sz w:val="20"/>
          <w:szCs w:val="20"/>
          <w:lang w:eastAsia="es-ES"/>
        </w:rPr>
      </w:pPr>
      <w:r w:rsidRPr="00D57C85">
        <w:rPr>
          <w:rFonts w:ascii="Verdana" w:eastAsia="Calibri" w:hAnsi="Verdana" w:cs="Arial"/>
          <w:sz w:val="20"/>
          <w:szCs w:val="20"/>
          <w:lang w:eastAsia="es-ES"/>
        </w:rPr>
        <w:lastRenderedPageBreak/>
        <w:t>¿Puede la Entidad contratante declarar el incumplimiento del contrato cuando la garantía de cumplimiento fue ajustada por el contratista de manera posterior a la terminación del plazo de ejecución?</w:t>
      </w:r>
    </w:p>
    <w:p w14:paraId="4477891E" w14:textId="77777777" w:rsidR="000F4524" w:rsidRPr="00D57C85" w:rsidRDefault="000F4524" w:rsidP="000F4524">
      <w:pPr>
        <w:spacing w:after="0" w:line="240" w:lineRule="auto"/>
        <w:ind w:left="709" w:right="709"/>
        <w:jc w:val="both"/>
        <w:rPr>
          <w:rFonts w:ascii="Verdana" w:eastAsia="Calibri" w:hAnsi="Verdana" w:cs="Arial"/>
          <w:sz w:val="20"/>
          <w:szCs w:val="20"/>
          <w:lang w:eastAsia="es-ES"/>
        </w:rPr>
      </w:pPr>
    </w:p>
    <w:p w14:paraId="38D40DC7" w14:textId="77777777" w:rsidR="000F4524" w:rsidRPr="00D976A7" w:rsidRDefault="000F4524" w:rsidP="000F4524">
      <w:pPr>
        <w:spacing w:after="0" w:line="240" w:lineRule="auto"/>
        <w:ind w:left="709" w:right="709"/>
        <w:jc w:val="both"/>
        <w:rPr>
          <w:rFonts w:ascii="Verdana" w:eastAsia="Calibri" w:hAnsi="Verdana" w:cs="Arial"/>
          <w:sz w:val="20"/>
          <w:szCs w:val="20"/>
          <w:lang w:eastAsia="es-ES"/>
        </w:rPr>
      </w:pPr>
      <w:r w:rsidRPr="00D57C85">
        <w:rPr>
          <w:rFonts w:ascii="Verdana" w:eastAsia="Calibri" w:hAnsi="Verdana" w:cs="Arial"/>
          <w:sz w:val="20"/>
          <w:szCs w:val="20"/>
          <w:lang w:eastAsia="es-ES"/>
        </w:rPr>
        <w:t xml:space="preserve">¿Los funcionarios responsables de velar por el cumplimiento de la obligación de ampliación de la garantía por parte del contratista, pueden ser objeto de sanciones disciplinarias cuando la garantía no se </w:t>
      </w:r>
      <w:proofErr w:type="spellStart"/>
      <w:r w:rsidRPr="00D57C85">
        <w:rPr>
          <w:rFonts w:ascii="Verdana" w:eastAsia="Calibri" w:hAnsi="Verdana" w:cs="Arial"/>
          <w:sz w:val="20"/>
          <w:szCs w:val="20"/>
          <w:lang w:eastAsia="es-ES"/>
        </w:rPr>
        <w:t>amplia</w:t>
      </w:r>
      <w:proofErr w:type="spellEnd"/>
      <w:r w:rsidRPr="00D57C85">
        <w:rPr>
          <w:rFonts w:ascii="Verdana" w:eastAsia="Calibri" w:hAnsi="Verdana" w:cs="Arial"/>
          <w:sz w:val="20"/>
          <w:szCs w:val="20"/>
          <w:lang w:eastAsia="es-ES"/>
        </w:rPr>
        <w:t xml:space="preserve"> o se </w:t>
      </w:r>
      <w:proofErr w:type="spellStart"/>
      <w:r w:rsidRPr="00D57C85">
        <w:rPr>
          <w:rFonts w:ascii="Verdana" w:eastAsia="Calibri" w:hAnsi="Verdana" w:cs="Arial"/>
          <w:sz w:val="20"/>
          <w:szCs w:val="20"/>
          <w:lang w:eastAsia="es-ES"/>
        </w:rPr>
        <w:t>amplia</w:t>
      </w:r>
      <w:proofErr w:type="spellEnd"/>
      <w:r w:rsidRPr="00D57C85">
        <w:rPr>
          <w:rFonts w:ascii="Verdana" w:eastAsia="Calibri" w:hAnsi="Verdana" w:cs="Arial"/>
          <w:sz w:val="20"/>
          <w:szCs w:val="20"/>
          <w:lang w:eastAsia="es-ES"/>
        </w:rPr>
        <w:t xml:space="preserve"> de manera tardía?</w:t>
      </w:r>
      <w:r>
        <w:rPr>
          <w:rFonts w:ascii="Verdana" w:eastAsia="Calibri" w:hAnsi="Verdana" w:cs="Arial"/>
          <w:sz w:val="20"/>
          <w:szCs w:val="20"/>
          <w:lang w:eastAsia="es-ES"/>
        </w:rPr>
        <w:t>”</w:t>
      </w:r>
    </w:p>
    <w:p w14:paraId="3A2168E1" w14:textId="77777777" w:rsidR="000F4524" w:rsidRPr="00755387" w:rsidRDefault="000F4524" w:rsidP="000F4524">
      <w:pPr>
        <w:spacing w:after="0" w:line="276" w:lineRule="auto"/>
        <w:ind w:right="709"/>
        <w:jc w:val="both"/>
        <w:rPr>
          <w:rFonts w:ascii="Verdana" w:eastAsia="Calibri" w:hAnsi="Verdana" w:cs="Arial"/>
          <w:lang w:eastAsia="es-ES"/>
        </w:rPr>
      </w:pPr>
    </w:p>
    <w:p w14:paraId="2EC1548F" w14:textId="77777777" w:rsidR="000F4524" w:rsidRPr="00960F72" w:rsidRDefault="000F4524" w:rsidP="000F4524">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49D5BD1A" w14:textId="77777777" w:rsidR="000F4524" w:rsidRDefault="000F4524" w:rsidP="000F4524">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27C46F68" w14:textId="77777777" w:rsidR="000F4524" w:rsidRPr="00960F72" w:rsidRDefault="000F4524" w:rsidP="000F4524">
      <w:pPr>
        <w:spacing w:after="0" w:line="276" w:lineRule="auto"/>
        <w:jc w:val="both"/>
        <w:rPr>
          <w:rFonts w:ascii="Verdana" w:eastAsia="Calibri" w:hAnsi="Verdana" w:cs="Arial"/>
          <w:lang w:eastAsia="es-ES"/>
        </w:rPr>
      </w:pPr>
    </w:p>
    <w:p w14:paraId="35F29DE8" w14:textId="77777777" w:rsidR="000F4524" w:rsidRPr="00960F72" w:rsidRDefault="000F4524" w:rsidP="000F452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37A09ECE" w14:textId="77777777" w:rsidR="000F4524" w:rsidRPr="00960F72" w:rsidRDefault="000F4524" w:rsidP="000F4524">
      <w:pPr>
        <w:tabs>
          <w:tab w:val="left" w:pos="426"/>
        </w:tabs>
        <w:spacing w:after="0" w:line="276" w:lineRule="auto"/>
        <w:jc w:val="both"/>
        <w:rPr>
          <w:rFonts w:ascii="Verdana" w:eastAsia="Century Gothic" w:hAnsi="Verdana" w:cs="Century Gothic"/>
        </w:rPr>
      </w:pPr>
    </w:p>
    <w:p w14:paraId="27F9104A" w14:textId="77777777" w:rsidR="000F4524" w:rsidRDefault="000F4524" w:rsidP="000F4524">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0B1CEA">
        <w:rPr>
          <w:rFonts w:ascii="Verdana" w:eastAsia="Century Gothic" w:hAnsi="Verdana" w:cs="Century Gothic"/>
        </w:rPr>
        <w:t>¿Es procedente que la entidad estatal declare el incumplimiento de un contrato por deficiencias o ampliación extemporánea de la garantía de cumplimiento, una vez finalizado el plazo de ejecución y sin que se hayan causado perjuicios, y si de ello puede derivarse responsabilidad disciplinaria para los funcionarios encargados de su control?</w:t>
      </w:r>
    </w:p>
    <w:p w14:paraId="18F2BD5A" w14:textId="77777777" w:rsidR="000F4524" w:rsidRDefault="000F4524" w:rsidP="000F4524">
      <w:pPr>
        <w:spacing w:after="0" w:line="276" w:lineRule="auto"/>
        <w:jc w:val="both"/>
        <w:rPr>
          <w:rFonts w:ascii="Verdana" w:eastAsia="Century Gothic" w:hAnsi="Verdana" w:cs="Century Gothic"/>
          <w:b/>
          <w:bCs/>
        </w:rPr>
      </w:pPr>
    </w:p>
    <w:p w14:paraId="3356F0B3" w14:textId="77777777" w:rsidR="000F4524" w:rsidRDefault="000F4524" w:rsidP="000F4524">
      <w:pPr>
        <w:spacing w:after="0" w:line="276" w:lineRule="auto"/>
        <w:jc w:val="both"/>
        <w:rPr>
          <w:rFonts w:ascii="Verdana" w:eastAsia="Century Gothic" w:hAnsi="Verdana" w:cs="Century Gothic"/>
          <w:b/>
          <w:bCs/>
        </w:rPr>
      </w:pPr>
    </w:p>
    <w:p w14:paraId="698C6E16" w14:textId="77777777" w:rsidR="000F4524" w:rsidRDefault="000F4524" w:rsidP="000F4524">
      <w:pPr>
        <w:spacing w:after="0" w:line="276" w:lineRule="auto"/>
        <w:jc w:val="both"/>
        <w:rPr>
          <w:rFonts w:ascii="Verdana" w:eastAsia="Century Gothic" w:hAnsi="Verdana" w:cs="Century Gothic"/>
          <w:b/>
          <w:bCs/>
        </w:rPr>
      </w:pPr>
    </w:p>
    <w:p w14:paraId="4B683921" w14:textId="1BDC63A7" w:rsidR="000F4524" w:rsidRDefault="000F4524" w:rsidP="0012559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lang w:val="es-CO"/>
        </w:rPr>
      </w:pPr>
      <w:r w:rsidRPr="00210FD0">
        <w:rPr>
          <w:rFonts w:ascii="Verdana" w:eastAsia="Century Gothic" w:hAnsi="Verdana" w:cs="Century Gothic"/>
          <w:b/>
          <w:lang w:val="es-CO"/>
        </w:rPr>
        <w:t>Respuesta:</w:t>
      </w:r>
    </w:p>
    <w:p w14:paraId="70E7C96B" w14:textId="77777777" w:rsidR="0012559B" w:rsidRPr="0012559B" w:rsidRDefault="0012559B" w:rsidP="00210FD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F4524" w:rsidRPr="00593A5F" w14:paraId="56824DD0" w14:textId="77777777" w:rsidTr="004F10D7">
        <w:trPr>
          <w:trHeight w:val="888"/>
        </w:trPr>
        <w:tc>
          <w:tcPr>
            <w:tcW w:w="8828" w:type="dxa"/>
          </w:tcPr>
          <w:p w14:paraId="7864797B" w14:textId="77777777" w:rsidR="000F4524" w:rsidRPr="00314959" w:rsidRDefault="000F4524" w:rsidP="004F10D7">
            <w:pPr>
              <w:spacing w:after="120" w:line="276" w:lineRule="auto"/>
              <w:jc w:val="both"/>
              <w:rPr>
                <w:rFonts w:ascii="Verdana" w:eastAsia="Verdana" w:hAnsi="Verdana" w:cs="Verdana"/>
              </w:rPr>
            </w:pPr>
            <w:r>
              <w:rPr>
                <w:rFonts w:ascii="Verdana" w:eastAsia="Calibri" w:hAnsi="Verdana" w:cs="Arial"/>
                <w:bCs/>
                <w:lang w:eastAsia="es-ES_tradnl"/>
              </w:rPr>
              <w:t>i)</w:t>
            </w:r>
            <w:r w:rsidRPr="00033B67">
              <w:rPr>
                <w:rFonts w:ascii="Times New Roman" w:eastAsia="Times New Roman" w:hAnsi="Times New Roman" w:cs="Times New Roman"/>
                <w:sz w:val="24"/>
                <w:szCs w:val="24"/>
                <w:lang w:eastAsia="es-CO"/>
              </w:rPr>
              <w:t xml:space="preserve"> </w:t>
            </w:r>
            <w:r>
              <w:rPr>
                <w:rFonts w:ascii="Verdana" w:eastAsia="Calibri" w:hAnsi="Verdana" w:cs="Arial"/>
                <w:bCs/>
                <w:lang w:eastAsia="es-ES_tradnl"/>
              </w:rPr>
              <w:t xml:space="preserve"> </w:t>
            </w:r>
            <w:r w:rsidRPr="00314959">
              <w:rPr>
                <w:rFonts w:ascii="Verdana" w:eastAsia="Calibri" w:hAnsi="Verdana" w:cs="Arial"/>
                <w:bCs/>
                <w:lang w:eastAsia="es-ES_tradnl"/>
              </w:rPr>
              <w:t>Conforme al artículo 2.2.1.2.3.1.12 del Decreto 1082 de 2015, la garantía única de cumplimiento debe tener una vigencia mínima igual al plazo de ejecución del contrato más el plazo previsto para su liquidación. Esto significa que su cobertura no se agota con la terminación material de las obligaciones, sino que debe mantenerse vigente hasta la suscripción del acta de liquidación o hasta el vencimiento del término legal para liquidar, si no se pactó uno contractual.</w:t>
            </w:r>
          </w:p>
          <w:p w14:paraId="4195635D" w14:textId="77777777" w:rsidR="000F4524" w:rsidRPr="00314959" w:rsidRDefault="000F4524" w:rsidP="004F10D7">
            <w:pPr>
              <w:spacing w:after="120" w:line="276" w:lineRule="auto"/>
              <w:ind w:firstLine="709"/>
              <w:jc w:val="both"/>
              <w:rPr>
                <w:rFonts w:ascii="Verdana" w:eastAsia="Calibri" w:hAnsi="Verdana" w:cs="Arial"/>
                <w:bCs/>
                <w:lang w:eastAsia="es-ES_tradnl"/>
              </w:rPr>
            </w:pPr>
            <w:r w:rsidRPr="00314959">
              <w:rPr>
                <w:rFonts w:ascii="Verdana" w:eastAsia="Calibri" w:hAnsi="Verdana" w:cs="Arial"/>
                <w:bCs/>
                <w:lang w:eastAsia="es-ES_tradnl"/>
              </w:rPr>
              <w:t>El hecho de que el contrato haya sido ejecutado sin reclamaciones, prórrogas ni adiciones no exonera al contratista de mantener la garantía vigente hasta la liquidación, pues esta etapa tiene como finalidad verificar el cumplimiento integral de las obligaciones, efectuar el cruce de cuentas y dejar constancia de salvedades, si las hay. Mientras no se produzca la liquidación, subsiste el riesgo contractual que la garantía ampara.</w:t>
            </w:r>
          </w:p>
          <w:p w14:paraId="1B11AE0B" w14:textId="5508E7DD" w:rsidR="000F4524" w:rsidRPr="00033B67" w:rsidRDefault="000F4524" w:rsidP="004F10D7">
            <w:pPr>
              <w:spacing w:after="120" w:line="276" w:lineRule="auto"/>
              <w:ind w:firstLine="709"/>
              <w:jc w:val="both"/>
              <w:rPr>
                <w:rFonts w:ascii="Verdana" w:eastAsia="Calibri" w:hAnsi="Verdana" w:cs="Arial"/>
                <w:bCs/>
                <w:lang w:eastAsia="es-ES_tradnl"/>
              </w:rPr>
            </w:pPr>
            <w:r w:rsidRPr="00314959">
              <w:rPr>
                <w:rFonts w:ascii="Verdana" w:eastAsia="Calibri" w:hAnsi="Verdana" w:cs="Arial"/>
                <w:bCs/>
                <w:lang w:eastAsia="es-ES_tradnl"/>
              </w:rPr>
              <w:t xml:space="preserve">Ahora bien, </w:t>
            </w:r>
            <w:r w:rsidRPr="00E57B21">
              <w:rPr>
                <w:rFonts w:ascii="Verdana" w:eastAsia="Calibri" w:hAnsi="Verdana" w:cs="Arial"/>
                <w:bCs/>
                <w:lang w:eastAsia="es-ES_tradnl"/>
              </w:rPr>
              <w:t xml:space="preserve">en la etapa de liquidación, la </w:t>
            </w:r>
            <w:r w:rsidR="00234A0C">
              <w:rPr>
                <w:rFonts w:ascii="Verdana" w:eastAsia="Calibri" w:hAnsi="Verdana" w:cs="Arial"/>
                <w:bCs/>
                <w:lang w:eastAsia="es-ES_tradnl"/>
              </w:rPr>
              <w:t>e</w:t>
            </w:r>
            <w:r w:rsidRPr="00E57B21">
              <w:rPr>
                <w:rFonts w:ascii="Verdana" w:eastAsia="Calibri" w:hAnsi="Verdana" w:cs="Arial"/>
                <w:bCs/>
                <w:lang w:eastAsia="es-ES_tradnl"/>
              </w:rPr>
              <w:t>ntidad debe verificar que la suficiencia de los amparos de cumplimiento, buen manejo del anticipo y calidad sigan siendo proporcionales a los saldos pendientes y riesgos remanentes. Si el plazo para liquidar el contrato ha vencido sin que se haya realizado dicho trámite (ya sea de mutuo acuerdo o unilateralmente), la entidad debe evaluar la vigencia de los amparos, pues la falta de liquidación oportuna no desaparece el riesgo, pero altera la exigibilidad de ciertas coberturas que dependen de la existencia de un vínculo contractual vigente.</w:t>
            </w:r>
          </w:p>
          <w:p w14:paraId="104EABDF" w14:textId="77777777" w:rsidR="000F4524" w:rsidRPr="001164AA" w:rsidRDefault="000F4524" w:rsidP="00210FD0">
            <w:pPr>
              <w:spacing w:line="276" w:lineRule="auto"/>
              <w:ind w:firstLine="709"/>
              <w:jc w:val="both"/>
              <w:rPr>
                <w:rFonts w:ascii="Verdana" w:eastAsia="Calibri" w:hAnsi="Verdana" w:cs="Arial"/>
                <w:bCs/>
                <w:lang w:eastAsia="es-ES_tradnl"/>
              </w:rPr>
            </w:pPr>
            <w:r>
              <w:rPr>
                <w:rFonts w:ascii="Verdana" w:eastAsia="Calibri" w:hAnsi="Verdana" w:cs="Arial"/>
                <w:bCs/>
                <w:lang w:eastAsia="es-ES_tradnl"/>
              </w:rPr>
              <w:t>Igualmente</w:t>
            </w:r>
            <w:r w:rsidRPr="00033B67">
              <w:rPr>
                <w:rFonts w:ascii="Verdana" w:eastAsia="Calibri" w:hAnsi="Verdana" w:cs="Arial"/>
                <w:bCs/>
                <w:lang w:eastAsia="es-ES_tradnl"/>
              </w:rPr>
              <w:t xml:space="preserve">, la jurisprudencia del Consejo de Estado ha precisado que el contrato no se entiende plenamente extinguido con la sola finalización del plazo de ejecución, pues subsisten obligaciones hasta el momento en que se realiza el corte de cuentas definitivo. Por ello, mientras el contrato no haya sido liquidado —bien sea de mutuo acuerdo, </w:t>
            </w:r>
            <w:proofErr w:type="gramStart"/>
            <w:r w:rsidRPr="00033B67">
              <w:rPr>
                <w:rFonts w:ascii="Verdana" w:eastAsia="Calibri" w:hAnsi="Verdana" w:cs="Arial"/>
                <w:bCs/>
                <w:lang w:eastAsia="es-ES_tradnl"/>
              </w:rPr>
              <w:t>unilateralmente o judicialmente</w:t>
            </w:r>
            <w:proofErr w:type="gramEnd"/>
            <w:r w:rsidRPr="00033B67">
              <w:rPr>
                <w:rFonts w:ascii="Verdana" w:eastAsia="Calibri" w:hAnsi="Verdana" w:cs="Arial"/>
                <w:bCs/>
                <w:lang w:eastAsia="es-ES_tradnl"/>
              </w:rPr>
              <w:t>, conforme al artículo 11 de la Ley 1150 de 2007—, la administración conserva la competencia para verificar el cumplimiento integral y, en su caso, declarar incumplimientos ocurridos durante la ejecución.</w:t>
            </w:r>
          </w:p>
          <w:p w14:paraId="3524559E" w14:textId="7E3990ED" w:rsidR="000F4524" w:rsidRDefault="000F4524" w:rsidP="00210FD0">
            <w:pPr>
              <w:spacing w:after="120" w:line="276" w:lineRule="auto"/>
              <w:jc w:val="both"/>
              <w:rPr>
                <w:rFonts w:ascii="Verdana" w:eastAsia="Calibri" w:hAnsi="Verdana" w:cs="Arial"/>
                <w:bCs/>
                <w:lang w:eastAsia="es-ES_tradnl"/>
              </w:rPr>
            </w:pPr>
            <w:proofErr w:type="spellStart"/>
            <w:r w:rsidRPr="001164AA">
              <w:rPr>
                <w:rFonts w:ascii="Verdana" w:eastAsia="Calibri" w:hAnsi="Verdana" w:cs="Arial"/>
                <w:bCs/>
                <w:lang w:eastAsia="es-ES_tradnl"/>
              </w:rPr>
              <w:t>ii</w:t>
            </w:r>
            <w:proofErr w:type="spellEnd"/>
            <w:r w:rsidRPr="001164AA">
              <w:rPr>
                <w:rFonts w:ascii="Verdana" w:eastAsia="Calibri" w:hAnsi="Verdana" w:cs="Arial"/>
                <w:bCs/>
                <w:lang w:eastAsia="es-ES_tradnl"/>
              </w:rPr>
              <w:t xml:space="preserve">) </w:t>
            </w:r>
            <w:r w:rsidRPr="00743F88">
              <w:rPr>
                <w:rFonts w:ascii="Verdana" w:eastAsia="Calibri" w:hAnsi="Verdana" w:cs="Arial"/>
                <w:bCs/>
                <w:lang w:eastAsia="es-ES_tradnl"/>
              </w:rPr>
              <w:t>De conformidad con el artículo 83 de la Ley 1474 de 2011, la responsabilidad general de vigilancia y control de la ejecución contractual corresponde a la entidad estatal contratante</w:t>
            </w:r>
            <w:r>
              <w:rPr>
                <w:rFonts w:ascii="Verdana" w:eastAsia="Calibri" w:hAnsi="Verdana" w:cs="Arial"/>
                <w:bCs/>
                <w:lang w:eastAsia="es-ES_tradnl"/>
              </w:rPr>
              <w:t>.</w:t>
            </w:r>
            <w:r w:rsidRPr="00743F88">
              <w:rPr>
                <w:rFonts w:ascii="Verdana" w:eastAsia="Calibri" w:hAnsi="Verdana" w:cs="Arial"/>
                <w:bCs/>
                <w:lang w:eastAsia="es-ES_tradnl"/>
              </w:rPr>
              <w:t xml:space="preserve"> </w:t>
            </w:r>
            <w:r>
              <w:rPr>
                <w:rFonts w:ascii="Verdana" w:eastAsia="Calibri" w:hAnsi="Verdana" w:cs="Arial"/>
                <w:bCs/>
                <w:lang w:eastAsia="es-ES_tradnl"/>
              </w:rPr>
              <w:t>N</w:t>
            </w:r>
            <w:r w:rsidRPr="00743F88">
              <w:rPr>
                <w:rFonts w:ascii="Verdana" w:eastAsia="Calibri" w:hAnsi="Verdana" w:cs="Arial"/>
                <w:bCs/>
                <w:lang w:eastAsia="es-ES_tradnl"/>
              </w:rPr>
              <w:t xml:space="preserve">o obstante, funcionalmente es el supervisor del </w:t>
            </w:r>
            <w:r w:rsidRPr="00743F88">
              <w:rPr>
                <w:rFonts w:ascii="Verdana" w:eastAsia="Calibri" w:hAnsi="Verdana" w:cs="Arial"/>
                <w:bCs/>
                <w:lang w:eastAsia="es-ES_tradnl"/>
              </w:rPr>
              <w:lastRenderedPageBreak/>
              <w:t>contrato quien debe verificar que la garantía única de cumplimiento se mantenga vigente hasta la liquidación o que sea ampliada cuando proceda, en desarrollo del deber de seguimiento técnico, administrativo, financiero y jurídico previsto también en los artículos 4, 5, 14 y 26 de la Ley 80 de 1993 y en el Decreto 1082 de 2015</w:t>
            </w:r>
            <w:r>
              <w:rPr>
                <w:rFonts w:ascii="Verdana" w:eastAsia="Calibri" w:hAnsi="Verdana" w:cs="Arial"/>
                <w:bCs/>
                <w:lang w:eastAsia="es-ES_tradnl"/>
              </w:rPr>
              <w:t>.</w:t>
            </w:r>
            <w:r w:rsidRPr="00743F88">
              <w:rPr>
                <w:rFonts w:ascii="Verdana" w:eastAsia="Calibri" w:hAnsi="Verdana" w:cs="Arial"/>
                <w:bCs/>
                <w:lang w:eastAsia="es-ES_tradnl"/>
              </w:rPr>
              <w:t xml:space="preserve"> </w:t>
            </w:r>
            <w:r>
              <w:rPr>
                <w:rFonts w:ascii="Verdana" w:eastAsia="Calibri" w:hAnsi="Verdana" w:cs="Arial"/>
                <w:bCs/>
                <w:lang w:eastAsia="es-ES_tradnl"/>
              </w:rPr>
              <w:t>E</w:t>
            </w:r>
            <w:r w:rsidRPr="00743F88">
              <w:rPr>
                <w:rFonts w:ascii="Verdana" w:eastAsia="Calibri" w:hAnsi="Verdana" w:cs="Arial"/>
                <w:bCs/>
                <w:lang w:eastAsia="es-ES_tradnl"/>
              </w:rPr>
              <w:t xml:space="preserve">n consecuencia, le corresponde </w:t>
            </w:r>
            <w:r>
              <w:rPr>
                <w:rFonts w:ascii="Verdana" w:eastAsia="Calibri" w:hAnsi="Verdana" w:cs="Arial"/>
                <w:bCs/>
                <w:lang w:eastAsia="es-ES_tradnl"/>
              </w:rPr>
              <w:t>al supervisor</w:t>
            </w:r>
            <w:r w:rsidRPr="00743F88">
              <w:rPr>
                <w:rFonts w:ascii="Verdana" w:eastAsia="Calibri" w:hAnsi="Verdana" w:cs="Arial"/>
                <w:bCs/>
                <w:lang w:eastAsia="es-ES_tradnl"/>
              </w:rPr>
              <w:t xml:space="preserve"> advertir oportunamente el vencimiento de la póliza, requerir al contratista y dejar constancia en el expediente contractual, sin que ello implique que su facultad sea absoluta, pues no puede exigir informes o actuaciones ajenas al marco jurídico del contrato, limitándose a las competencias propias de la supervisión, tales como aprobar facturas o documentos equivalentes, validar el cumplimiento de requisitos para el pago, tramitar pagos parciales y verificar que el contratista se encuentre al día en sus aportes al sistema de seguridad social, entre otras</w:t>
            </w:r>
            <w:r>
              <w:rPr>
                <w:rFonts w:ascii="Verdana" w:eastAsia="Calibri" w:hAnsi="Verdana" w:cs="Arial"/>
                <w:bCs/>
                <w:lang w:eastAsia="es-ES_tradnl"/>
              </w:rPr>
              <w:t>.</w:t>
            </w:r>
            <w:r w:rsidRPr="00743F88">
              <w:rPr>
                <w:rFonts w:ascii="Verdana" w:eastAsia="Calibri" w:hAnsi="Verdana" w:cs="Arial"/>
                <w:bCs/>
                <w:lang w:eastAsia="es-ES_tradnl"/>
              </w:rPr>
              <w:t xml:space="preserve"> </w:t>
            </w:r>
          </w:p>
          <w:p w14:paraId="4DF54C70" w14:textId="70EEE0E4" w:rsidR="000F4524" w:rsidRPr="00743F88" w:rsidRDefault="000F4524" w:rsidP="004F10D7">
            <w:pPr>
              <w:spacing w:after="120" w:line="276" w:lineRule="auto"/>
              <w:ind w:firstLine="709"/>
              <w:jc w:val="both"/>
              <w:rPr>
                <w:rFonts w:ascii="Verdana" w:eastAsia="Arial" w:hAnsi="Verdana" w:cs="Arial"/>
                <w:color w:val="000000" w:themeColor="text1"/>
              </w:rPr>
            </w:pPr>
            <w:r>
              <w:rPr>
                <w:rFonts w:ascii="Verdana" w:eastAsia="Calibri" w:hAnsi="Verdana" w:cs="Arial"/>
                <w:bCs/>
                <w:lang w:eastAsia="es-ES_tradnl"/>
              </w:rPr>
              <w:t>P</w:t>
            </w:r>
            <w:r w:rsidRPr="00743F88">
              <w:rPr>
                <w:rFonts w:ascii="Verdana" w:eastAsia="Calibri" w:hAnsi="Verdana" w:cs="Arial"/>
                <w:bCs/>
                <w:lang w:eastAsia="es-ES_tradnl"/>
              </w:rPr>
              <w:t>or su parte, la decisión de imponer multas, declarar el incumplimiento o adelantar el procedimiento sancionatorio conforme al artículo 86 de la Ley 1474 de 2011 corresponde al representante legal u ordenador del gasto, mientras el contrato no haya sido liquidado</w:t>
            </w:r>
            <w:r w:rsidR="00A3076F">
              <w:rPr>
                <w:rFonts w:ascii="Verdana" w:eastAsia="Calibri" w:hAnsi="Verdana" w:cs="Arial"/>
                <w:bCs/>
                <w:lang w:eastAsia="es-ES_tradnl"/>
              </w:rPr>
              <w:t>,</w:t>
            </w:r>
            <w:r w:rsidRPr="00743F88">
              <w:rPr>
                <w:rFonts w:ascii="Verdana" w:eastAsia="Calibri" w:hAnsi="Verdana" w:cs="Arial"/>
                <w:bCs/>
                <w:lang w:eastAsia="es-ES_tradnl"/>
              </w:rPr>
              <w:t xml:space="preserve"> conforme al artículo 11 de la Ley 1150 de 2007</w:t>
            </w:r>
            <w:r>
              <w:rPr>
                <w:rFonts w:ascii="Verdana" w:eastAsia="Calibri" w:hAnsi="Verdana" w:cs="Arial"/>
                <w:bCs/>
                <w:lang w:eastAsia="es-ES_tradnl"/>
              </w:rPr>
              <w:t>. No obstante,</w:t>
            </w:r>
            <w:r w:rsidRPr="00743F88">
              <w:rPr>
                <w:rFonts w:ascii="Verdana" w:eastAsia="Calibri" w:hAnsi="Verdana" w:cs="Arial"/>
                <w:bCs/>
                <w:lang w:eastAsia="es-ES_tradnl"/>
              </w:rPr>
              <w:t xml:space="preserve"> una vez suscrita el acta de liquidación o agotada la competencia temporal para liquidar y sancionar, cualquier controversia sobre la garantía deberá ventilarse ante la Jurisdicción de lo Contencioso Administrativo, cuya máxima autoridad es el Consejo de Estado, sin perjuicio de las responsabilidades disciplinarias o fiscales derivadas de una eventual omisión en el deber de supervisión.</w:t>
            </w:r>
            <w:r>
              <w:rPr>
                <w:rFonts w:ascii="Verdana" w:eastAsia="Calibri" w:hAnsi="Verdana" w:cs="Arial"/>
                <w:bCs/>
                <w:lang w:eastAsia="es-ES_tradnl"/>
              </w:rPr>
              <w:t xml:space="preserve"> </w:t>
            </w:r>
          </w:p>
        </w:tc>
      </w:tr>
    </w:tbl>
    <w:p w14:paraId="5FEFF855" w14:textId="77777777" w:rsidR="000F4524" w:rsidRDefault="000F4524" w:rsidP="000F4524">
      <w:pPr>
        <w:tabs>
          <w:tab w:val="left" w:pos="142"/>
          <w:tab w:val="left" w:pos="284"/>
        </w:tabs>
        <w:spacing w:after="0" w:line="276" w:lineRule="auto"/>
        <w:jc w:val="both"/>
        <w:rPr>
          <w:rFonts w:ascii="Verdana" w:eastAsia="Century Gothic" w:hAnsi="Verdana" w:cs="Century Gothic"/>
          <w:b/>
          <w:bCs/>
          <w:lang w:val="es-ES"/>
        </w:rPr>
      </w:pPr>
    </w:p>
    <w:p w14:paraId="1416B191" w14:textId="77777777" w:rsidR="000F4524" w:rsidRPr="00593A5F" w:rsidRDefault="000F4524" w:rsidP="000F452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5A6D59A" w14:textId="77777777" w:rsidR="000F4524" w:rsidRDefault="000F4524" w:rsidP="000F4524">
      <w:pPr>
        <w:spacing w:after="0" w:line="276" w:lineRule="auto"/>
        <w:ind w:firstLine="708"/>
        <w:jc w:val="both"/>
        <w:rPr>
          <w:rFonts w:ascii="Verdana" w:eastAsia="Calibri" w:hAnsi="Verdana" w:cs="Arial"/>
          <w:color w:val="000000" w:themeColor="text1"/>
        </w:rPr>
      </w:pPr>
    </w:p>
    <w:p w14:paraId="2C5D4B30" w14:textId="77777777" w:rsidR="000F4524" w:rsidRPr="00E87EA6" w:rsidRDefault="000F4524" w:rsidP="000F4524">
      <w:pPr>
        <w:spacing w:line="276" w:lineRule="auto"/>
        <w:jc w:val="both"/>
        <w:rPr>
          <w:rFonts w:ascii="Verdana" w:eastAsia="Calibri" w:hAnsi="Verdana" w:cs="Arial"/>
        </w:rPr>
      </w:pPr>
      <w:bookmarkStart w:id="1" w:name="_Hlk108519028"/>
      <w:r w:rsidRPr="00E87EA6">
        <w:rPr>
          <w:rFonts w:ascii="Verdana" w:eastAsia="Calibri" w:hAnsi="Verdana" w:cs="Arial"/>
        </w:rPr>
        <w:t xml:space="preserve">Lo anterior se sustenta en las siguientes consideraciones: </w:t>
      </w:r>
    </w:p>
    <w:p w14:paraId="121A4CE7" w14:textId="17368E33" w:rsidR="000F4524" w:rsidRDefault="000F4524" w:rsidP="000F4524">
      <w:pPr>
        <w:spacing w:after="120" w:line="276" w:lineRule="auto"/>
        <w:jc w:val="both"/>
        <w:rPr>
          <w:rFonts w:ascii="Verdana" w:eastAsia="Times New Roman" w:hAnsi="Verdana" w:cs="Arial"/>
          <w:lang w:eastAsia="es-CO"/>
        </w:rPr>
      </w:pPr>
      <w:r>
        <w:rPr>
          <w:rFonts w:ascii="Verdana" w:eastAsia="Calibri" w:hAnsi="Verdana" w:cs="Arial"/>
          <w:bCs/>
          <w:lang w:eastAsia="es-ES_tradnl"/>
        </w:rPr>
        <w:t>i.</w:t>
      </w:r>
      <w:r w:rsidR="00A3076F">
        <w:rPr>
          <w:rFonts w:ascii="Verdana" w:eastAsia="Calibri" w:hAnsi="Verdana" w:cs="Arial"/>
          <w:bCs/>
          <w:lang w:eastAsia="es-ES_tradnl"/>
        </w:rPr>
        <w:t xml:space="preserve"> </w:t>
      </w:r>
      <w:r w:rsidRPr="00E57B21">
        <w:rPr>
          <w:rFonts w:ascii="Verdana" w:eastAsia="Calibri" w:hAnsi="Verdana" w:cs="Arial"/>
          <w:bCs/>
          <w:lang w:eastAsia="es-ES_tradnl"/>
        </w:rPr>
        <w:t xml:space="preserve">De manera preliminar, resulta pertinente indicar que el artículo 2.2.1.2.3.1.12 del Decreto 1082 de 2015 regula la suficiencia de la garantía única de cumplimiento, estableciendo que esta debe cubrir los diversos riesgos asociados a la contratación. Es fundamental aclarar que la vigencia y el valor amparado no son uniformes, sino que varían según la naturaleza de cada amparo contenido en la póliza. Así, mientras que el amparo de cumplimiento debe extenderse, por regla general, hasta la liquidación del contrato o el agotamiento del plazo para ello, otros riesgos como el de salarios y prestaciones sociales deben cubrir el </w:t>
      </w:r>
      <w:r w:rsidRPr="00E57B21">
        <w:rPr>
          <w:rFonts w:ascii="Verdana" w:eastAsia="Calibri" w:hAnsi="Verdana" w:cs="Arial"/>
          <w:bCs/>
          <w:lang w:eastAsia="es-ES_tradnl"/>
        </w:rPr>
        <w:lastRenderedPageBreak/>
        <w:t>plazo de ejecución y tres años más, y el de calidad del servicio o de los bienes debe activarse a partir de la entrega para cubrir el término de garantía técnica pactado. En el caso de la Responsabilidad Civil Extracontractual (RCE), esta opera como un amparo autónomo cuya vigencia se sujeta al plazo de ejecución de las actividades riesgosas.</w:t>
      </w:r>
    </w:p>
    <w:p w14:paraId="1604F2F1" w14:textId="77777777" w:rsidR="000F4524" w:rsidRPr="00F8361C" w:rsidRDefault="000F4524" w:rsidP="000F4524">
      <w:pPr>
        <w:spacing w:before="120" w:after="0" w:line="276" w:lineRule="auto"/>
        <w:ind w:firstLine="708"/>
        <w:jc w:val="both"/>
        <w:rPr>
          <w:rFonts w:ascii="Verdana" w:eastAsia="Times New Roman" w:hAnsi="Verdana" w:cs="Arial"/>
          <w:lang w:eastAsia="es-CO"/>
        </w:rPr>
      </w:pPr>
      <w:r w:rsidRPr="00F8361C">
        <w:rPr>
          <w:rFonts w:ascii="Verdana" w:eastAsia="Times New Roman" w:hAnsi="Verdana" w:cs="Arial"/>
          <w:lang w:eastAsia="es-CO"/>
        </w:rPr>
        <w:t>Es preciso aclarar que el cumplimiento de los términos de suficiencia de la garantía no es una facultad discrecional de la entidad o del contratista, sino una obligación legal de estricto cumplimiento. El Decreto 1082 de 2015</w:t>
      </w:r>
      <w:r>
        <w:rPr>
          <w:rFonts w:ascii="Verdana" w:eastAsia="Times New Roman" w:hAnsi="Verdana" w:cs="Arial"/>
          <w:lang w:eastAsia="es-CO"/>
        </w:rPr>
        <w:t xml:space="preserve">, en su artículo </w:t>
      </w:r>
      <w:r w:rsidRPr="00F8361C">
        <w:rPr>
          <w:rFonts w:ascii="Verdana" w:eastAsia="Times New Roman" w:hAnsi="Verdana" w:cs="Arial"/>
          <w:lang w:eastAsia="es-CO"/>
        </w:rPr>
        <w:t>2.2.1.2.3.1.12</w:t>
      </w:r>
      <w:r>
        <w:rPr>
          <w:rFonts w:ascii="Verdana" w:eastAsia="Times New Roman" w:hAnsi="Verdana" w:cs="Arial"/>
          <w:lang w:eastAsia="es-CO"/>
        </w:rPr>
        <w:t>,</w:t>
      </w:r>
      <w:r w:rsidRPr="00F8361C">
        <w:rPr>
          <w:rFonts w:ascii="Verdana" w:eastAsia="Times New Roman" w:hAnsi="Verdana" w:cs="Arial"/>
          <w:lang w:eastAsia="es-CO"/>
        </w:rPr>
        <w:t xml:space="preserve"> establece parámetros mínimos que deben ser observados para asegurar la protección del patrimonio público.</w:t>
      </w:r>
    </w:p>
    <w:p w14:paraId="56E8C3CB" w14:textId="77777777" w:rsidR="000F4524" w:rsidRPr="00F8361C" w:rsidRDefault="000F4524" w:rsidP="000F4524">
      <w:pPr>
        <w:spacing w:before="120" w:after="0" w:line="276" w:lineRule="auto"/>
        <w:ind w:left="709" w:right="1041"/>
        <w:jc w:val="both"/>
        <w:rPr>
          <w:rFonts w:ascii="Verdana" w:eastAsia="Times New Roman" w:hAnsi="Verdana" w:cs="Arial"/>
          <w:sz w:val="20"/>
          <w:szCs w:val="20"/>
          <w:lang w:eastAsia="es-CO"/>
        </w:rPr>
      </w:pPr>
      <w:r w:rsidRPr="00F8361C">
        <w:rPr>
          <w:rFonts w:ascii="Verdana" w:eastAsia="Times New Roman" w:hAnsi="Verdana" w:cs="Arial"/>
          <w:b/>
          <w:bCs/>
          <w:sz w:val="20"/>
          <w:szCs w:val="20"/>
          <w:lang w:eastAsia="es-CO"/>
        </w:rPr>
        <w:t>Artículo 2.2.1.2.3.1.12.</w:t>
      </w:r>
      <w:r w:rsidRPr="00F8361C">
        <w:rPr>
          <w:rFonts w:ascii="Verdana" w:eastAsia="Times New Roman" w:hAnsi="Verdana" w:cs="Arial"/>
          <w:sz w:val="20"/>
          <w:szCs w:val="20"/>
          <w:lang w:eastAsia="es-CO"/>
        </w:rPr>
        <w:t xml:space="preserve"> Suficiencia de los amparos. La garantía única de cumplimiento debe cubrir los Riesgos en la cuantía y vigencia que se señala a continuación: [...] 1. Amparo de cumplimiento. El valor de este amparo debe ser de por lo menos el diez por ciento (10%) del valor del contrato, y su vigencia debe ser por lo menos igual a la del contrato y cuatro (4) meses más. En los contratos con un valor superior a un millón (1.000.000) de SMMLV, el valor del amparo de cumplimiento debe ser el diez por ciento (10%) del valor del contrato hasta un millón (1.000.000) de SMMLV, y el cinco por ciento (5%) del valor que exceda un millón (1.000.000) de SMMLV.</w:t>
      </w:r>
    </w:p>
    <w:p w14:paraId="3AAC1E16" w14:textId="77777777" w:rsidR="000F4524" w:rsidRPr="00E87EA6" w:rsidRDefault="000F4524" w:rsidP="000F4524">
      <w:pPr>
        <w:spacing w:before="120" w:after="0" w:line="276" w:lineRule="auto"/>
        <w:ind w:firstLine="708"/>
        <w:jc w:val="both"/>
        <w:rPr>
          <w:rFonts w:ascii="Verdana" w:eastAsia="Calibri" w:hAnsi="Verdana" w:cs="Arial"/>
        </w:rPr>
      </w:pPr>
      <w:r w:rsidRPr="00E87EA6">
        <w:rPr>
          <w:rFonts w:ascii="Verdana" w:eastAsia="Calibri" w:hAnsi="Verdana" w:cs="Arial"/>
        </w:rPr>
        <w:t xml:space="preserve">Al respecto, la jurisprudencia define el </w:t>
      </w:r>
      <w:r w:rsidRPr="152F85F5">
        <w:rPr>
          <w:rFonts w:ascii="Verdana" w:eastAsia="Calibri" w:hAnsi="Verdana" w:cs="Arial"/>
          <w:i/>
          <w:iCs/>
        </w:rPr>
        <w:t>plazo de ejecución</w:t>
      </w:r>
      <w:r w:rsidRPr="00E87EA6">
        <w:rPr>
          <w:rFonts w:ascii="Verdana" w:eastAsia="Calibri" w:hAnsi="Verdana" w:cs="Arial"/>
        </w:rPr>
        <w:t xml:space="preserve"> como el establecido para la realización de las prestaciones contractuales y, de igual forma, considera que el </w:t>
      </w:r>
      <w:r w:rsidRPr="152F85F5">
        <w:rPr>
          <w:rFonts w:ascii="Verdana" w:eastAsia="Calibri" w:hAnsi="Verdana" w:cs="Arial"/>
          <w:i/>
          <w:iCs/>
        </w:rPr>
        <w:t>plazo de vigencia</w:t>
      </w:r>
      <w:r w:rsidRPr="00E87EA6">
        <w:rPr>
          <w:rFonts w:ascii="Verdana" w:eastAsia="Calibri" w:hAnsi="Verdana" w:cs="Arial"/>
        </w:rPr>
        <w:t xml:space="preserve"> de este no ha finalizado mientras subsista la obligación para las partes de liquidar el contrato</w:t>
      </w:r>
      <w:r w:rsidRPr="00E87EA6">
        <w:rPr>
          <w:rFonts w:ascii="Verdana" w:eastAsia="Calibri" w:hAnsi="Verdana" w:cs="Arial"/>
          <w:vertAlign w:val="superscript"/>
        </w:rPr>
        <w:footnoteReference w:id="2"/>
      </w:r>
      <w:r w:rsidRPr="00E87EA6">
        <w:rPr>
          <w:rFonts w:ascii="Verdana" w:eastAsia="Calibri" w:hAnsi="Verdana" w:cs="Arial"/>
        </w:rPr>
        <w:t>. Por ello, explica lo siguiente:</w:t>
      </w:r>
    </w:p>
    <w:p w14:paraId="780AF593" w14:textId="77777777" w:rsidR="000F4524" w:rsidRPr="00E87EA6" w:rsidRDefault="000F4524" w:rsidP="000F4524">
      <w:pPr>
        <w:spacing w:after="0" w:line="276" w:lineRule="auto"/>
        <w:ind w:firstLine="708"/>
        <w:jc w:val="both"/>
        <w:rPr>
          <w:rFonts w:ascii="Verdana" w:eastAsia="Calibri" w:hAnsi="Verdana" w:cs="Arial"/>
        </w:rPr>
      </w:pPr>
    </w:p>
    <w:p w14:paraId="577C0276" w14:textId="77777777" w:rsidR="000F4524" w:rsidRPr="00E87EA6" w:rsidRDefault="000F4524" w:rsidP="000F4524">
      <w:pPr>
        <w:spacing w:after="0" w:line="276" w:lineRule="auto"/>
        <w:ind w:left="709" w:right="709"/>
        <w:jc w:val="both"/>
        <w:rPr>
          <w:rFonts w:ascii="Verdana" w:eastAsia="Times New Roman" w:hAnsi="Verdana" w:cs="Arial"/>
          <w:sz w:val="20"/>
          <w:szCs w:val="20"/>
          <w:lang w:eastAsia="es-CO"/>
        </w:rPr>
      </w:pPr>
      <w:r w:rsidRPr="00E87EA6">
        <w:rPr>
          <w:rFonts w:ascii="Verdana" w:eastAsia="Times New Roman" w:hAnsi="Verdana" w:cs="Arial"/>
          <w:sz w:val="20"/>
          <w:szCs w:val="20"/>
          <w:lang w:eastAsia="es-CO"/>
        </w:rPr>
        <w:t xml:space="preserve">“[…] si bien es cierto en la mayoría de los casos el plazo del contrato coincide con el de ejecución de la obra, con la entrega del suministro, con la prestación del servicio, también lo es, que este plazo no constituye propiamente hablando el periodo de ejecución del contrato porque al finalizar el plazo que se ha destinado para el cumplimiento de la obligación principal por parte del contratista las partes no quedan liberadas de pleno derecho mientras no se extingan todas las obligaciones adquiridas, lo cual se cumple necesariamente en la etapa de liquidación del contrato en la cual es donde la administración puede valorar el cumplimiento total de las </w:t>
      </w:r>
      <w:r w:rsidRPr="00E87EA6">
        <w:rPr>
          <w:rFonts w:ascii="Verdana" w:eastAsia="Times New Roman" w:hAnsi="Verdana" w:cs="Arial"/>
          <w:sz w:val="20"/>
          <w:szCs w:val="20"/>
          <w:lang w:eastAsia="es-CO"/>
        </w:rPr>
        <w:lastRenderedPageBreak/>
        <w:t>obligaciones a cargo del contratista y es la que le pone término a la vinculación de las partes”</w:t>
      </w:r>
      <w:r w:rsidRPr="00E87EA6">
        <w:rPr>
          <w:rFonts w:ascii="Verdana" w:eastAsia="Times New Roman" w:hAnsi="Verdana" w:cs="Arial"/>
          <w:sz w:val="20"/>
          <w:szCs w:val="20"/>
          <w:vertAlign w:val="superscript"/>
          <w:lang w:eastAsia="es-CO"/>
        </w:rPr>
        <w:footnoteReference w:id="3"/>
      </w:r>
      <w:r w:rsidRPr="00E87EA6">
        <w:rPr>
          <w:rFonts w:ascii="Verdana" w:eastAsia="Times New Roman" w:hAnsi="Verdana" w:cs="Arial"/>
          <w:sz w:val="20"/>
          <w:szCs w:val="20"/>
          <w:lang w:eastAsia="es-CO"/>
        </w:rPr>
        <w:t>.</w:t>
      </w:r>
    </w:p>
    <w:p w14:paraId="4B773EA9" w14:textId="77777777" w:rsidR="000F4524" w:rsidRPr="00E87EA6" w:rsidRDefault="000F4524" w:rsidP="000F4524">
      <w:pPr>
        <w:spacing w:after="0" w:line="276" w:lineRule="auto"/>
        <w:jc w:val="both"/>
        <w:rPr>
          <w:rFonts w:ascii="Verdana" w:eastAsia="Times New Roman" w:hAnsi="Verdana" w:cs="Arial"/>
          <w:lang w:eastAsia="es-CO"/>
        </w:rPr>
      </w:pPr>
    </w:p>
    <w:p w14:paraId="38ABB269" w14:textId="77777777" w:rsidR="000F4524" w:rsidRPr="00720ECC" w:rsidRDefault="000F4524" w:rsidP="000F4524">
      <w:pPr>
        <w:spacing w:after="120" w:line="276" w:lineRule="auto"/>
        <w:ind w:right="-68" w:firstLine="708"/>
        <w:jc w:val="both"/>
        <w:rPr>
          <w:rFonts w:ascii="Verdana" w:eastAsia="Times New Roman" w:hAnsi="Verdana" w:cs="Arial"/>
          <w:lang w:val="es-ES" w:eastAsia="es-ES"/>
        </w:rPr>
      </w:pPr>
      <w:r w:rsidRPr="00E87EA6">
        <w:rPr>
          <w:rFonts w:ascii="Verdana" w:eastAsia="Times New Roman" w:hAnsi="Verdana" w:cs="Arial"/>
          <w:lang w:eastAsia="es-CO"/>
        </w:rPr>
        <w:t xml:space="preserve">Así, la cobertura mínima del amparo de cumplimiento cubre el </w:t>
      </w:r>
      <w:r w:rsidRPr="00E87EA6">
        <w:rPr>
          <w:rFonts w:ascii="Verdana" w:eastAsia="Times New Roman" w:hAnsi="Verdana" w:cs="Arial"/>
          <w:i/>
          <w:iCs/>
          <w:lang w:eastAsia="es-CO"/>
        </w:rPr>
        <w:t>plazo de ejecución</w:t>
      </w:r>
      <w:r w:rsidRPr="00E87EA6">
        <w:rPr>
          <w:rFonts w:ascii="Verdana" w:eastAsia="Times New Roman" w:hAnsi="Verdana" w:cs="Arial"/>
          <w:lang w:eastAsia="es-CO"/>
        </w:rPr>
        <w:t xml:space="preserve"> y el </w:t>
      </w:r>
      <w:r w:rsidRPr="00E87EA6">
        <w:rPr>
          <w:rFonts w:ascii="Verdana" w:eastAsia="Times New Roman" w:hAnsi="Verdana" w:cs="Arial"/>
          <w:i/>
          <w:iCs/>
          <w:lang w:eastAsia="es-CO"/>
        </w:rPr>
        <w:t>plazo de vigencia</w:t>
      </w:r>
      <w:r w:rsidRPr="00E87EA6">
        <w:rPr>
          <w:rFonts w:ascii="Verdana" w:eastAsia="Times New Roman" w:hAnsi="Verdana" w:cs="Arial"/>
          <w:lang w:eastAsia="es-CO"/>
        </w:rPr>
        <w:t>, el cual finaliza con la liquidación. En palabras de la doctrina, “[…] el contratista deberá otorgarla con una vigencia igual al plazo del contrato garantizado más el plazo contractual previsto para la liquidación de aquel. En caso de no haberse convenido por las partes un término para la liquidación del contrato, la garantía deberá mantenerse vigente por el término legal previsto para este efecto […]”</w:t>
      </w:r>
      <w:r w:rsidRPr="00E87EA6">
        <w:rPr>
          <w:rFonts w:ascii="Verdana" w:eastAsia="Times New Roman" w:hAnsi="Verdana" w:cs="Arial"/>
          <w:vertAlign w:val="superscript"/>
          <w:lang w:eastAsia="es-CO"/>
        </w:rPr>
        <w:footnoteReference w:id="4"/>
      </w:r>
      <w:r w:rsidRPr="00E87EA6">
        <w:rPr>
          <w:rFonts w:ascii="Verdana" w:eastAsia="Times New Roman" w:hAnsi="Verdana" w:cs="Arial"/>
          <w:lang w:eastAsia="es-CO"/>
        </w:rPr>
        <w:t xml:space="preserve">. Teniendo en cuenta lo anterior, corresponde analizar los plazos para liquidar los contratos estatales, aspecto que </w:t>
      </w:r>
      <w:r w:rsidRPr="00720ECC">
        <w:rPr>
          <w:rFonts w:ascii="Verdana" w:eastAsia="Times New Roman" w:hAnsi="Verdana" w:cs="Arial"/>
          <w:lang w:val="es-ES" w:eastAsia="es-ES"/>
        </w:rPr>
        <w:t>se abordará en el siguiente apartado.</w:t>
      </w:r>
    </w:p>
    <w:p w14:paraId="2DE837E5" w14:textId="77777777" w:rsidR="000F4524" w:rsidRPr="00E87EA6" w:rsidRDefault="000F4524" w:rsidP="000F4524">
      <w:pPr>
        <w:spacing w:after="120" w:line="276" w:lineRule="auto"/>
        <w:ind w:right="-68" w:firstLine="708"/>
        <w:jc w:val="both"/>
        <w:rPr>
          <w:rFonts w:ascii="Verdana" w:eastAsia="Calibri" w:hAnsi="Verdana" w:cs="Arial"/>
          <w:lang w:val="es-ES"/>
        </w:rPr>
      </w:pPr>
      <w:r w:rsidRPr="00720ECC">
        <w:rPr>
          <w:rFonts w:ascii="Verdana" w:eastAsia="Times New Roman" w:hAnsi="Verdana" w:cs="Arial"/>
          <w:lang w:val="es-ES" w:eastAsia="es-ES"/>
        </w:rPr>
        <w:t>La liquidación del contrato estatal</w:t>
      </w:r>
      <w:r w:rsidRPr="00E87EA6">
        <w:rPr>
          <w:rFonts w:ascii="Verdana" w:eastAsia="Calibri" w:hAnsi="Verdana" w:cs="Arial"/>
          <w:lang w:val="es-ES"/>
        </w:rPr>
        <w:t xml:space="preserve"> es el ajuste de cuentas en el cual se realiza un balance económico, técnico y jurídico </w:t>
      </w:r>
      <w:r w:rsidRPr="00E87EA6">
        <w:rPr>
          <w:rFonts w:ascii="Verdana" w:eastAsia="Calibri" w:hAnsi="Verdana" w:cs="Arial"/>
          <w:lang w:val="es-ES"/>
        </w:rPr>
        <w:tab/>
        <w:t xml:space="preserve">del negocio. Así lo manifestó el Consejo de Estado en la sentencia del 20 de octubre de 2014, en la que consideró, por un lado, que </w:t>
      </w:r>
      <w:r w:rsidRPr="00E87EA6">
        <w:rPr>
          <w:rFonts w:ascii="Verdana" w:eastAsia="Calibri" w:hAnsi="Verdana" w:cs="Arial"/>
          <w:i/>
          <w:lang w:val="es-ES"/>
        </w:rPr>
        <w:t>liquidar</w:t>
      </w:r>
      <w:r w:rsidRPr="00E87EA6">
        <w:rPr>
          <w:rFonts w:ascii="Verdana" w:eastAsia="Calibri" w:hAnsi="Verdana" w:cs="Arial"/>
          <w:lang w:val="es-ES"/>
        </w:rPr>
        <w:t xml:space="preserve"> supone un ajuste en relación con las cuentas y el estado de cumplimiento del contrato estatal y, por otro, que la </w:t>
      </w:r>
      <w:r w:rsidRPr="00E87EA6">
        <w:rPr>
          <w:rFonts w:ascii="Verdana" w:eastAsia="Calibri" w:hAnsi="Verdana" w:cs="Arial"/>
          <w:i/>
          <w:lang w:val="es-ES"/>
        </w:rPr>
        <w:t>liquidación</w:t>
      </w:r>
      <w:r w:rsidRPr="00E87EA6">
        <w:rPr>
          <w:rFonts w:ascii="Verdana" w:eastAsia="Calibri" w:hAnsi="Verdana" w:cs="Arial"/>
          <w:lang w:val="es-ES"/>
        </w:rPr>
        <w:t xml:space="preserve"> debe incluir el análisis de las condiciones de calidad y oportunidad en la entrega de los bienes, obras o servicios, así como el balance económico y el comportamiento financiero del negocio</w:t>
      </w:r>
      <w:r w:rsidRPr="00E87EA6">
        <w:rPr>
          <w:rFonts w:ascii="Verdana" w:eastAsia="Calibri" w:hAnsi="Verdana" w:cs="Arial"/>
          <w:vertAlign w:val="superscript"/>
          <w:lang w:val="es-ES"/>
        </w:rPr>
        <w:footnoteReference w:id="5"/>
      </w:r>
      <w:r w:rsidRPr="00E87EA6">
        <w:rPr>
          <w:rFonts w:ascii="Verdana" w:eastAsia="Calibri" w:hAnsi="Verdana" w:cs="Arial"/>
          <w:lang w:val="es-ES"/>
        </w:rPr>
        <w:t>. En tal sentido, explica:</w:t>
      </w:r>
    </w:p>
    <w:p w14:paraId="40B50630" w14:textId="77777777" w:rsidR="000F4524" w:rsidRPr="00E87EA6" w:rsidRDefault="000F4524" w:rsidP="000F4524">
      <w:pPr>
        <w:spacing w:after="0" w:line="276" w:lineRule="auto"/>
        <w:ind w:firstLine="708"/>
        <w:jc w:val="both"/>
        <w:rPr>
          <w:rFonts w:ascii="Verdana" w:eastAsia="Calibri" w:hAnsi="Verdana" w:cs="Arial"/>
          <w:lang w:val="es-ES_tradnl"/>
        </w:rPr>
      </w:pPr>
    </w:p>
    <w:p w14:paraId="7BBB298A" w14:textId="77777777" w:rsidR="000F4524" w:rsidRPr="00E87EA6" w:rsidRDefault="000F4524" w:rsidP="000F4524">
      <w:pPr>
        <w:spacing w:after="0" w:line="276" w:lineRule="auto"/>
        <w:ind w:left="709" w:right="709"/>
        <w:jc w:val="both"/>
        <w:rPr>
          <w:rFonts w:ascii="Verdana" w:eastAsia="Calibri" w:hAnsi="Verdana" w:cs="Arial"/>
          <w:sz w:val="20"/>
          <w:szCs w:val="20"/>
          <w:lang w:val="es-ES_tradnl"/>
        </w:rPr>
      </w:pPr>
      <w:r w:rsidRPr="00E87EA6">
        <w:rPr>
          <w:rFonts w:ascii="Verdana" w:eastAsia="Calibri" w:hAnsi="Verdana" w:cs="Arial"/>
          <w:sz w:val="20"/>
          <w:szCs w:val="20"/>
          <w:lang w:val="es-ES_tradnl"/>
        </w:rPr>
        <w:t xml:space="preserve">“[…]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w:t>
      </w:r>
      <w:r w:rsidRPr="00E87EA6">
        <w:rPr>
          <w:rFonts w:ascii="Verdana" w:eastAsia="Calibri" w:hAnsi="Verdana" w:cs="Arial"/>
          <w:sz w:val="20"/>
          <w:szCs w:val="20"/>
          <w:lang w:val="es-ES_tradnl"/>
        </w:rPr>
        <w:lastRenderedPageBreak/>
        <w:t>pagos efectuados, estado del crédito o de la deuda de cada parte, entre otros detalles mínimos y necesarios para finiquitar una relación jurídica contractual”</w:t>
      </w:r>
      <w:r w:rsidRPr="00E87EA6">
        <w:rPr>
          <w:rFonts w:ascii="Verdana" w:eastAsia="Calibri" w:hAnsi="Verdana" w:cs="Arial"/>
          <w:sz w:val="20"/>
          <w:szCs w:val="20"/>
          <w:vertAlign w:val="superscript"/>
          <w:lang w:val="es-ES_tradnl"/>
        </w:rPr>
        <w:footnoteReference w:id="6"/>
      </w:r>
      <w:r w:rsidRPr="00E87EA6">
        <w:rPr>
          <w:rFonts w:ascii="Verdana" w:eastAsia="Calibri" w:hAnsi="Verdana" w:cs="Arial"/>
          <w:sz w:val="20"/>
          <w:szCs w:val="20"/>
          <w:lang w:val="es-ES_tradnl"/>
        </w:rPr>
        <w:t>.</w:t>
      </w:r>
    </w:p>
    <w:p w14:paraId="5635859F" w14:textId="77777777" w:rsidR="000F4524" w:rsidRPr="00E87EA6" w:rsidRDefault="000F4524" w:rsidP="000F4524">
      <w:pPr>
        <w:spacing w:after="0" w:line="276" w:lineRule="auto"/>
        <w:ind w:left="709" w:right="709"/>
        <w:jc w:val="both"/>
        <w:rPr>
          <w:rFonts w:ascii="Verdana" w:eastAsia="Calibri" w:hAnsi="Verdana" w:cs="Arial"/>
          <w:lang w:val="es-ES_tradnl"/>
        </w:rPr>
      </w:pPr>
    </w:p>
    <w:p w14:paraId="5E541394" w14:textId="77777777" w:rsidR="000F4524" w:rsidRPr="002838AE" w:rsidRDefault="000F4524" w:rsidP="000F4524">
      <w:pPr>
        <w:spacing w:after="120" w:line="276" w:lineRule="auto"/>
        <w:ind w:right="-68" w:firstLine="708"/>
        <w:jc w:val="both"/>
        <w:rPr>
          <w:rFonts w:ascii="Verdana" w:eastAsia="Times New Roman" w:hAnsi="Verdana" w:cs="Arial"/>
          <w:lang w:val="es-ES" w:eastAsia="es-ES"/>
        </w:rPr>
      </w:pPr>
      <w:bookmarkStart w:id="2" w:name="_Hlk217937765"/>
      <w:r w:rsidRPr="002838AE">
        <w:rPr>
          <w:rFonts w:ascii="Verdana" w:eastAsia="Times New Roman" w:hAnsi="Verdana" w:cs="Arial"/>
          <w:lang w:val="es-ES" w:eastAsia="es-ES"/>
        </w:rPr>
        <w:t>Las disposiciones legales que regulan la etapa de liquidación de los contratos estatales son: el artículo 60 de la Ley 80 de 1993, modificado por el artículo 217 del Decreto 019 de 2012, y el artículo 11 de la Ley 1150 de 2007. El primero de estos artículos define el alcance sustantivo de la liquidación, estableciendo que los contratos de tracto sucesivo, aquellos cuya ejecución se prolongue en el tiempo y los demás que lo requieran, serán objeto de este trámite. Si bien la norma exceptúa de esta obligatoriedad a los contratos de prestación de servicios profesionales y de apoyo a la gestión, es imperativo considerar lo dispuesto en el inciso cuarto del artículo 60 de la Ley 80 de 1993.</w:t>
      </w:r>
    </w:p>
    <w:p w14:paraId="5A800768" w14:textId="77777777" w:rsidR="000F4524" w:rsidRDefault="000F4524" w:rsidP="000F4524">
      <w:pPr>
        <w:spacing w:after="120" w:line="276" w:lineRule="auto"/>
        <w:ind w:right="-68" w:firstLine="708"/>
        <w:jc w:val="both"/>
        <w:rPr>
          <w:rFonts w:ascii="Verdana" w:eastAsia="Times New Roman" w:hAnsi="Verdana" w:cs="Arial"/>
          <w:lang w:val="es-ES" w:eastAsia="es-ES"/>
        </w:rPr>
      </w:pPr>
      <w:r w:rsidRPr="002838AE">
        <w:rPr>
          <w:rFonts w:ascii="Verdana" w:eastAsia="Times New Roman" w:hAnsi="Verdana" w:cs="Arial"/>
          <w:lang w:val="es-ES" w:eastAsia="es-ES"/>
        </w:rPr>
        <w:t xml:space="preserve">Dicha norma establece una obligación de carácter no facultativo respecto a la protección del interés público durante esta etapa: </w:t>
      </w:r>
      <w:r w:rsidRPr="002838AE">
        <w:rPr>
          <w:rFonts w:ascii="Verdana" w:eastAsia="Times New Roman" w:hAnsi="Verdana" w:cs="Arial"/>
          <w:i/>
          <w:iCs/>
          <w:lang w:val="es-ES" w:eastAsia="es-ES"/>
        </w:rPr>
        <w:t>"Para la liquidación se exigirá la extensión de la vigencia de las garantías de cumplimiento, de estabilidad y calidad de la obra, bienes y servicios, o de salarios y prestaciones sociales, según el caso, para respaldar las obligaciones que deba cumplir el contratista con posterioridad a la extinción del contrato"</w:t>
      </w:r>
      <w:r w:rsidRPr="002838AE">
        <w:rPr>
          <w:rFonts w:ascii="Verdana" w:eastAsia="Times New Roman" w:hAnsi="Verdana" w:cs="Arial"/>
          <w:lang w:val="es-ES" w:eastAsia="es-ES"/>
        </w:rPr>
        <w:t>.</w:t>
      </w:r>
    </w:p>
    <w:p w14:paraId="7CA8F72C" w14:textId="77777777" w:rsidR="000F4524" w:rsidRPr="00E87EA6" w:rsidRDefault="000F4524" w:rsidP="000F4524">
      <w:pPr>
        <w:spacing w:after="120" w:line="276" w:lineRule="auto"/>
        <w:ind w:right="-68" w:firstLine="708"/>
        <w:jc w:val="both"/>
        <w:rPr>
          <w:rFonts w:ascii="Verdana" w:eastAsia="Times New Roman" w:hAnsi="Verdana" w:cs="Arial"/>
          <w:lang w:val="es-ES" w:eastAsia="es-ES"/>
        </w:rPr>
      </w:pPr>
      <w:r>
        <w:rPr>
          <w:rFonts w:ascii="Verdana" w:eastAsia="Times New Roman" w:hAnsi="Verdana" w:cs="Arial"/>
          <w:lang w:val="es-ES" w:eastAsia="es-ES"/>
        </w:rPr>
        <w:t>Por su parte e</w:t>
      </w:r>
      <w:r w:rsidRPr="152F85F5">
        <w:rPr>
          <w:rFonts w:ascii="Verdana" w:eastAsia="Times New Roman" w:hAnsi="Verdana" w:cs="Arial"/>
          <w:lang w:val="es-ES" w:eastAsia="es-ES"/>
        </w:rPr>
        <w:t>l artículo 11 de la Ley 1150 de 2007</w:t>
      </w:r>
      <w:r w:rsidRPr="152F85F5">
        <w:rPr>
          <w:rFonts w:ascii="Verdana" w:eastAsia="Times New Roman" w:hAnsi="Verdana" w:cs="Arial"/>
          <w:vertAlign w:val="superscript"/>
          <w:lang w:val="es-ES" w:eastAsia="es-ES"/>
        </w:rPr>
        <w:footnoteReference w:id="7"/>
      </w:r>
      <w:r w:rsidRPr="152F85F5">
        <w:rPr>
          <w:rFonts w:ascii="Verdana" w:eastAsia="Times New Roman" w:hAnsi="Verdana" w:cs="Arial"/>
          <w:lang w:val="es-ES" w:eastAsia="es-ES"/>
        </w:rPr>
        <w:t xml:space="preserve"> contiene las reglas de tipo procedimental para liquidar los contratos estatales, que se pasan a explicar. </w:t>
      </w:r>
    </w:p>
    <w:bookmarkEnd w:id="2"/>
    <w:p w14:paraId="791F3D61" w14:textId="77777777" w:rsidR="000F4524" w:rsidRPr="00E87EA6" w:rsidRDefault="000F4524" w:rsidP="000F4524">
      <w:pPr>
        <w:spacing w:after="120" w:line="276" w:lineRule="auto"/>
        <w:ind w:firstLine="709"/>
        <w:jc w:val="both"/>
        <w:rPr>
          <w:rFonts w:ascii="Verdana" w:eastAsia="Calibri" w:hAnsi="Verdana" w:cs="Arial"/>
          <w:lang w:val="es-ES"/>
        </w:rPr>
      </w:pPr>
      <w:r w:rsidRPr="00E87EA6">
        <w:rPr>
          <w:rFonts w:ascii="Verdana" w:eastAsia="Calibri" w:hAnsi="Verdana" w:cs="Arial"/>
          <w:lang w:val="es-ES"/>
        </w:rPr>
        <w:t xml:space="preserve">En primer lugar, en ejercicio de la autonomía de la voluntad y de conformidad con la naturaleza, el objeto y el plazo del contrato, la entidad estatal </w:t>
      </w:r>
      <w:r w:rsidRPr="00E87EA6">
        <w:rPr>
          <w:rFonts w:ascii="Verdana" w:eastAsia="Calibri" w:hAnsi="Verdana" w:cs="Arial"/>
          <w:lang w:val="es-ES"/>
        </w:rPr>
        <w:lastRenderedPageBreak/>
        <w:t xml:space="preserve">puede definir en el pliego de condiciones o el documento equivalente el plazo para efectuar la liquidación de mutuo acuerdo. Al respecto, el artículo 11 de la Ley 1150 de 2007 señala que la liquidación de mutuo acuerdo se deberá realizar dentro del plazo previsto en “los pliegos de condiciones o sus equivalentes, o dentro del que acuerden las partes para el efecto”. De otro lado, cuando el artículo 11 de la Ley 1150 de 2007 hace referencia al término que “acuerden las partes” para la liquidación de mutuo acuerdo, claramente está habilitando a las partes para que, en ejercicio de la autonomía de la voluntad que les asiste, prevean de común acuerdo un plazo para la liquidación bilateral, el cual, en principio, debe estar recogido en el contrato, al ser este el acto jurídico bilateral en el que se consigna originalmente la voluntad de las partes. </w:t>
      </w:r>
    </w:p>
    <w:p w14:paraId="3E82AFBE" w14:textId="77777777" w:rsidR="000F4524" w:rsidRPr="00E87EA6" w:rsidRDefault="000F4524" w:rsidP="000F4524">
      <w:pPr>
        <w:spacing w:after="0" w:line="276" w:lineRule="auto"/>
        <w:ind w:firstLine="709"/>
        <w:jc w:val="both"/>
        <w:rPr>
          <w:rFonts w:ascii="Verdana" w:eastAsia="Calibri" w:hAnsi="Verdana" w:cs="Arial"/>
          <w:lang w:val="es-ES"/>
        </w:rPr>
      </w:pPr>
      <w:r w:rsidRPr="00E87EA6">
        <w:rPr>
          <w:rFonts w:ascii="Verdana" w:eastAsia="Calibri" w:hAnsi="Verdana" w:cs="Arial"/>
          <w:lang w:val="es-ES"/>
        </w:rPr>
        <w:t xml:space="preserve">En segundo lugar, en ausencia de pacto, el artículo 11 de la Ley 1150 de 2007 dispone un término supletivo de cuatro (4) meses contados desde: i) el vencimiento del plazo previsto para la ejecución del contrato, </w:t>
      </w:r>
      <w:proofErr w:type="spellStart"/>
      <w:r w:rsidRPr="00E87EA6">
        <w:rPr>
          <w:rFonts w:ascii="Verdana" w:eastAsia="Calibri" w:hAnsi="Verdana" w:cs="Arial"/>
          <w:lang w:val="es-ES"/>
        </w:rPr>
        <w:t>ii</w:t>
      </w:r>
      <w:proofErr w:type="spellEnd"/>
      <w:r w:rsidRPr="00E87EA6">
        <w:rPr>
          <w:rFonts w:ascii="Verdana" w:eastAsia="Calibri" w:hAnsi="Verdana" w:cs="Arial"/>
          <w:lang w:val="es-ES"/>
        </w:rPr>
        <w:t xml:space="preserve">) la expedición del acto administrativo que ordene la terminación del contrato o </w:t>
      </w:r>
      <w:proofErr w:type="spellStart"/>
      <w:r w:rsidRPr="00E87EA6">
        <w:rPr>
          <w:rFonts w:ascii="Verdana" w:eastAsia="Calibri" w:hAnsi="Verdana" w:cs="Arial"/>
          <w:lang w:val="es-ES"/>
        </w:rPr>
        <w:t>iii</w:t>
      </w:r>
      <w:proofErr w:type="spellEnd"/>
      <w:r w:rsidRPr="00E87EA6">
        <w:rPr>
          <w:rFonts w:ascii="Verdana" w:eastAsia="Calibri" w:hAnsi="Verdana" w:cs="Arial"/>
          <w:lang w:val="es-ES"/>
        </w:rPr>
        <w:t xml:space="preserve">) la fecha del acuerdo que disponga la terminación del contrato.  Ahora bien, el término de cuatro (4) </w:t>
      </w:r>
      <w:proofErr w:type="gramStart"/>
      <w:r w:rsidRPr="00E87EA6">
        <w:rPr>
          <w:rFonts w:ascii="Verdana" w:eastAsia="Calibri" w:hAnsi="Verdana" w:cs="Arial"/>
          <w:lang w:val="es-ES"/>
        </w:rPr>
        <w:t>meses previsto</w:t>
      </w:r>
      <w:proofErr w:type="gramEnd"/>
      <w:r w:rsidRPr="00E87EA6">
        <w:rPr>
          <w:rFonts w:ascii="Verdana" w:eastAsia="Calibri" w:hAnsi="Verdana" w:cs="Arial"/>
          <w:lang w:val="es-ES"/>
        </w:rPr>
        <w:t xml:space="preserve"> en el artículo 11 de la Ley 1150 de 2007, dado su carácter supletivo, solo resulta aplicable ante la ausencia de regulación </w:t>
      </w:r>
      <w:proofErr w:type="gramStart"/>
      <w:r w:rsidRPr="00E87EA6">
        <w:rPr>
          <w:rFonts w:ascii="Verdana" w:eastAsia="Calibri" w:hAnsi="Verdana" w:cs="Arial"/>
          <w:lang w:val="es-ES"/>
        </w:rPr>
        <w:t>del mismo</w:t>
      </w:r>
      <w:proofErr w:type="gramEnd"/>
      <w:r w:rsidRPr="00E87EA6">
        <w:rPr>
          <w:rFonts w:ascii="Verdana" w:eastAsia="Calibri" w:hAnsi="Verdana" w:cs="Arial"/>
          <w:lang w:val="es-ES"/>
        </w:rPr>
        <w:t xml:space="preserve"> en el pliego de condiciones –documento equivalente– y ante la falta de acuerdo entre las partes en torno al plazo de liquidación bilateral. Durante este término el contratista puede solicitar que se adelante el trámite de liquidación. Sin embargo, es responsabilidad de la entidad estatal convocarlo para adelantar la liquidación de común acuerdo o notificarlo para que se presente a la liquidación</w:t>
      </w:r>
      <w:r w:rsidRPr="00E87EA6">
        <w:rPr>
          <w:rFonts w:ascii="Verdana" w:eastAsia="Calibri" w:hAnsi="Verdana" w:cs="Arial"/>
          <w:vertAlign w:val="superscript"/>
          <w:lang w:val="es-ES"/>
        </w:rPr>
        <w:footnoteReference w:id="8"/>
      </w:r>
      <w:r w:rsidRPr="00E87EA6">
        <w:rPr>
          <w:rFonts w:ascii="Verdana" w:eastAsia="Calibri" w:hAnsi="Verdana" w:cs="Arial"/>
          <w:lang w:val="es-ES"/>
        </w:rPr>
        <w:t>, de manera que el contrato pueda ser liquidado bilateralmente, bien sea en el plazo previsto en el pliego de condiciones, el acordado por las partes, o en los cuatro meses señalados en la Ley, según corresponda. Esta liquidación bilateral puede ser total o parcial</w:t>
      </w:r>
      <w:r w:rsidRPr="00E87EA6">
        <w:rPr>
          <w:rFonts w:ascii="Verdana" w:eastAsia="Calibri" w:hAnsi="Verdana" w:cs="Arial"/>
          <w:vertAlign w:val="superscript"/>
          <w:lang w:val="es-ES"/>
        </w:rPr>
        <w:footnoteReference w:id="9"/>
      </w:r>
      <w:r w:rsidRPr="00E87EA6">
        <w:rPr>
          <w:rFonts w:ascii="Verdana" w:eastAsia="Calibri" w:hAnsi="Verdana" w:cs="Arial"/>
          <w:lang w:val="es-ES"/>
        </w:rPr>
        <w:t xml:space="preserve">. Si no es posible efectuar la liquidación de manera bilateral en los términos anteriormente explicados, el ordenamiento jurídico prevé una habilitación competencial, de carácter subsidiario, para que </w:t>
      </w:r>
      <w:r w:rsidRPr="00E87EA6">
        <w:rPr>
          <w:rFonts w:ascii="Verdana" w:eastAsia="Calibri" w:hAnsi="Verdana" w:cs="Arial"/>
          <w:lang w:val="es-ES"/>
        </w:rPr>
        <w:lastRenderedPageBreak/>
        <w:t>la entidad estatal realice la liquidación unilateralmente. Sobre el punto, el Consejo de Estado ha señalado:</w:t>
      </w:r>
    </w:p>
    <w:p w14:paraId="369CEF74" w14:textId="77777777" w:rsidR="000F4524" w:rsidRPr="00E87EA6" w:rsidRDefault="000F4524" w:rsidP="000F4524">
      <w:pPr>
        <w:spacing w:after="0" w:line="276" w:lineRule="auto"/>
        <w:ind w:left="709" w:right="760"/>
        <w:jc w:val="both"/>
        <w:rPr>
          <w:rFonts w:ascii="Verdana" w:eastAsia="Times New Roman" w:hAnsi="Verdana" w:cs="Arial"/>
          <w:lang w:val="es-ES_tradnl" w:eastAsia="es-ES"/>
        </w:rPr>
      </w:pPr>
    </w:p>
    <w:p w14:paraId="3D9B1067" w14:textId="77777777" w:rsidR="000F4524" w:rsidRPr="00E87EA6" w:rsidRDefault="000F4524" w:rsidP="000F4524">
      <w:pPr>
        <w:spacing w:after="0" w:line="276" w:lineRule="auto"/>
        <w:ind w:left="709" w:right="709"/>
        <w:jc w:val="both"/>
        <w:rPr>
          <w:rFonts w:ascii="Verdana" w:eastAsia="Times New Roman" w:hAnsi="Verdana" w:cs="Arial"/>
          <w:sz w:val="20"/>
          <w:szCs w:val="20"/>
          <w:lang w:val="es-ES_tradnl" w:eastAsia="es-ES"/>
        </w:rPr>
      </w:pPr>
      <w:r w:rsidRPr="00E87EA6">
        <w:rPr>
          <w:rFonts w:ascii="Verdana" w:eastAsia="Times New Roman" w:hAnsi="Verdana" w:cs="Arial"/>
          <w:sz w:val="20"/>
          <w:szCs w:val="20"/>
          <w:lang w:val="es-ES_tradnl" w:eastAsia="es-ES"/>
        </w:rPr>
        <w:t>“Al respecto se debe tener en cuenta que la liquidación unilateral es subsidiaria o supletoria frente a la bilateral, dado que el contratista tiene derecho a acordar la liquidación, debidamente reconocido por el ordenamiento jurídico. Para tal efecto, el contratista debe ser convocado o citado por la entidad contratante con el fin de intentar la liquidación bilateral, puesto que en el supuesto caso de que no sea así, la liquidación unilateral posterior que llegase a practicar la administración resultaría inválida, dado que no tendría competencia material para hacerla y por cuanto su adopción con tal omisión vulneraría el derecho del contratista al debido proceso y sus corolarios de defensa y contradicción y, además, configuraría un abuso de poder”</w:t>
      </w:r>
      <w:r w:rsidRPr="00E87EA6">
        <w:rPr>
          <w:rFonts w:ascii="Verdana" w:eastAsia="Times New Roman" w:hAnsi="Verdana" w:cs="Arial"/>
          <w:sz w:val="20"/>
          <w:szCs w:val="20"/>
          <w:vertAlign w:val="superscript"/>
          <w:lang w:val="es-ES_tradnl" w:eastAsia="es-ES"/>
        </w:rPr>
        <w:footnoteReference w:id="10"/>
      </w:r>
      <w:r w:rsidRPr="00E87EA6">
        <w:rPr>
          <w:rFonts w:ascii="Verdana" w:eastAsia="Times New Roman" w:hAnsi="Verdana" w:cs="Arial"/>
          <w:sz w:val="20"/>
          <w:szCs w:val="20"/>
          <w:lang w:val="es-ES_tradnl" w:eastAsia="es-ES"/>
        </w:rPr>
        <w:t xml:space="preserve">. </w:t>
      </w:r>
    </w:p>
    <w:p w14:paraId="00D12267" w14:textId="77777777" w:rsidR="000F4524" w:rsidRPr="00E87EA6" w:rsidRDefault="000F4524" w:rsidP="000F4524">
      <w:pPr>
        <w:spacing w:after="0" w:line="276" w:lineRule="auto"/>
        <w:ind w:left="709" w:right="760"/>
        <w:jc w:val="both"/>
        <w:rPr>
          <w:rFonts w:ascii="Verdana" w:eastAsia="Times New Roman" w:hAnsi="Verdana" w:cs="Arial"/>
          <w:lang w:val="es-ES_tradnl" w:eastAsia="es-ES"/>
        </w:rPr>
      </w:pPr>
    </w:p>
    <w:p w14:paraId="72217ADE" w14:textId="77777777" w:rsidR="000F4524" w:rsidRPr="00E87EA6" w:rsidRDefault="000F4524" w:rsidP="000F4524">
      <w:pPr>
        <w:spacing w:after="0" w:line="276" w:lineRule="auto"/>
        <w:ind w:right="-68" w:firstLine="709"/>
        <w:jc w:val="both"/>
        <w:rPr>
          <w:rFonts w:ascii="Verdana" w:eastAsia="Times New Roman" w:hAnsi="Verdana" w:cs="Arial"/>
          <w:lang w:val="es-ES" w:eastAsia="es-ES"/>
        </w:rPr>
      </w:pPr>
      <w:r w:rsidRPr="00E87EA6">
        <w:rPr>
          <w:rFonts w:ascii="Verdana" w:eastAsia="Times New Roman" w:hAnsi="Verdana" w:cs="Arial"/>
          <w:lang w:val="es-ES" w:eastAsia="es-ES"/>
        </w:rPr>
        <w:t>Por lo tanto, si no se logra la liquidación bilateral del contrato en el término convencional o subsidiario, la entidad estatal tiene la facultad de liquidarlo unilateralmente durante el término de dos (2) meses contados a partir del vencimiento del plazo que acuerden las partes para liquidar bilateralmente, o ante el silencio de estas, del vencimiento de los cuatro (4) meses establecidos por la ley</w:t>
      </w:r>
      <w:r w:rsidRPr="00E87EA6">
        <w:rPr>
          <w:rFonts w:ascii="Verdana" w:eastAsia="Times New Roman" w:hAnsi="Verdana" w:cs="Arial"/>
          <w:vertAlign w:val="superscript"/>
          <w:lang w:val="es-ES" w:eastAsia="es-ES"/>
        </w:rPr>
        <w:footnoteReference w:id="11"/>
      </w:r>
      <w:r w:rsidRPr="00E87EA6">
        <w:rPr>
          <w:rFonts w:ascii="Verdana" w:eastAsia="Times New Roman" w:hAnsi="Verdana" w:cs="Arial"/>
          <w:lang w:val="es-ES" w:eastAsia="es-ES"/>
        </w:rPr>
        <w:t xml:space="preserve">. Finalmente, transcurridos estos dos (2) meses, sin que se haya efectuado, la liquidación podrá realizarse en cualquier tiempo dentro de los dos años siguientes al vencimiento del término referido. Durante estos dos años la liquidación podrá hacerse de mutuo acuerdo, unilateralmente por la entidad, o podrá ser solicitada judicialmente. En este sentido, en decisión de unificación, el Consejo de Estado dijo: </w:t>
      </w:r>
    </w:p>
    <w:p w14:paraId="0973925C" w14:textId="77777777" w:rsidR="000F4524" w:rsidRPr="00E87EA6" w:rsidRDefault="000F4524" w:rsidP="000F4524">
      <w:pPr>
        <w:spacing w:after="0" w:line="276" w:lineRule="auto"/>
        <w:ind w:left="709" w:right="760"/>
        <w:jc w:val="both"/>
        <w:rPr>
          <w:rFonts w:ascii="Verdana" w:eastAsia="Times New Roman" w:hAnsi="Verdana" w:cs="Arial"/>
          <w:sz w:val="20"/>
          <w:szCs w:val="20"/>
          <w:lang w:val="es-ES_tradnl" w:eastAsia="es-ES"/>
        </w:rPr>
      </w:pPr>
    </w:p>
    <w:p w14:paraId="31C28E3E" w14:textId="77777777" w:rsidR="000F4524" w:rsidRPr="00E87EA6" w:rsidRDefault="000F4524" w:rsidP="000F4524">
      <w:pPr>
        <w:spacing w:after="0" w:line="276" w:lineRule="auto"/>
        <w:ind w:left="709" w:right="709"/>
        <w:jc w:val="both"/>
        <w:rPr>
          <w:rFonts w:ascii="Verdana" w:eastAsia="Times New Roman" w:hAnsi="Verdana" w:cs="Arial"/>
          <w:sz w:val="20"/>
          <w:szCs w:val="20"/>
          <w:lang w:val="es-ES" w:eastAsia="es-ES"/>
        </w:rPr>
      </w:pPr>
      <w:r w:rsidRPr="00E87EA6">
        <w:rPr>
          <w:rFonts w:ascii="Verdana" w:eastAsia="Times New Roman" w:hAnsi="Verdana" w:cs="Arial"/>
          <w:sz w:val="20"/>
          <w:szCs w:val="20"/>
          <w:lang w:val="es-ES" w:eastAsia="es-ES"/>
        </w:rPr>
        <w:t xml:space="preserve">“Como pudo apreciarse, este precepto legal permite que la liquidación bilateral se acuerde después del vencimiento del término pactado en el contrato o previsto en los documentos antepuestos, o, del término supletorio que para la concertación de la liquidación establece la ley, e  incluso, después de haber pasado los dos meses subsiguientes a dicho vencimiento sin que la administración lo hubiera liquidado unilateralmente, bajo condición de que el acuerdo </w:t>
      </w:r>
      <w:proofErr w:type="spellStart"/>
      <w:r w:rsidRPr="00E87EA6">
        <w:rPr>
          <w:rFonts w:ascii="Verdana" w:eastAsia="Times New Roman" w:hAnsi="Verdana" w:cs="Arial"/>
          <w:sz w:val="20"/>
          <w:szCs w:val="20"/>
          <w:lang w:val="es-ES" w:eastAsia="es-ES"/>
        </w:rPr>
        <w:t>liquidatorio</w:t>
      </w:r>
      <w:proofErr w:type="spellEnd"/>
      <w:r w:rsidRPr="00E87EA6">
        <w:rPr>
          <w:rFonts w:ascii="Verdana" w:eastAsia="Times New Roman" w:hAnsi="Verdana" w:cs="Arial"/>
          <w:sz w:val="20"/>
          <w:szCs w:val="20"/>
          <w:lang w:val="es-ES" w:eastAsia="es-ES"/>
        </w:rPr>
        <w:t xml:space="preserve"> se logre </w:t>
      </w:r>
      <w:r w:rsidRPr="00E87EA6">
        <w:rPr>
          <w:rFonts w:ascii="Verdana" w:eastAsia="Times New Roman" w:hAnsi="Verdana" w:cs="Arial"/>
          <w:sz w:val="20"/>
          <w:szCs w:val="20"/>
          <w:lang w:val="es-ES" w:eastAsia="es-ES"/>
        </w:rPr>
        <w:lastRenderedPageBreak/>
        <w:t>dentro del lapso de dos años contados a partir del vencimiento del término legalmente conocido para la liquidación unilateral, pues ese es el lapso que el ordenamiento ha fijado para el ejercicio oportuno de la acción”</w:t>
      </w:r>
      <w:r w:rsidRPr="00E87EA6">
        <w:rPr>
          <w:rFonts w:ascii="Verdana" w:eastAsia="Times New Roman" w:hAnsi="Verdana" w:cs="Arial"/>
          <w:sz w:val="20"/>
          <w:szCs w:val="20"/>
          <w:vertAlign w:val="superscript"/>
          <w:lang w:val="es-ES" w:eastAsia="es-ES"/>
        </w:rPr>
        <w:footnoteReference w:id="12"/>
      </w:r>
      <w:r w:rsidRPr="00E87EA6">
        <w:rPr>
          <w:rFonts w:ascii="Verdana" w:eastAsia="Times New Roman" w:hAnsi="Verdana" w:cs="Arial"/>
          <w:sz w:val="20"/>
          <w:szCs w:val="20"/>
          <w:lang w:val="es-ES" w:eastAsia="es-ES"/>
        </w:rPr>
        <w:t>.</w:t>
      </w:r>
    </w:p>
    <w:p w14:paraId="0FD7AA8E" w14:textId="77777777" w:rsidR="000F4524" w:rsidRPr="00E87EA6" w:rsidRDefault="000F4524" w:rsidP="000F4524">
      <w:pPr>
        <w:spacing w:after="0" w:line="276" w:lineRule="auto"/>
        <w:ind w:left="709" w:right="760"/>
        <w:jc w:val="both"/>
        <w:rPr>
          <w:rFonts w:ascii="Verdana" w:eastAsia="Times New Roman" w:hAnsi="Verdana" w:cs="Arial"/>
          <w:lang w:val="es-ES_tradnl" w:eastAsia="es-ES"/>
        </w:rPr>
      </w:pPr>
    </w:p>
    <w:p w14:paraId="5FB6CEBE" w14:textId="77777777" w:rsidR="000F4524" w:rsidRPr="00E87EA6" w:rsidRDefault="000F4524" w:rsidP="000F4524">
      <w:pPr>
        <w:spacing w:after="120" w:line="276" w:lineRule="auto"/>
        <w:jc w:val="both"/>
        <w:rPr>
          <w:rFonts w:ascii="Verdana" w:eastAsia="Calibri" w:hAnsi="Verdana" w:cs="Arial"/>
          <w:lang w:val="es-ES_tradnl"/>
        </w:rPr>
      </w:pPr>
      <w:r w:rsidRPr="00E87EA6">
        <w:rPr>
          <w:rFonts w:ascii="Verdana" w:eastAsia="Calibri" w:hAnsi="Verdana" w:cs="Arial"/>
          <w:lang w:val="es-ES_tradnl"/>
        </w:rPr>
        <w:tab/>
        <w:t>Así las cosas,</w:t>
      </w:r>
      <w:r>
        <w:rPr>
          <w:rFonts w:ascii="Verdana" w:eastAsia="Calibri" w:hAnsi="Verdana" w:cs="Arial"/>
          <w:lang w:val="es-ES_tradnl"/>
        </w:rPr>
        <w:t xml:space="preserve"> </w:t>
      </w:r>
      <w:r w:rsidRPr="00E87EA6">
        <w:rPr>
          <w:rFonts w:ascii="Verdana" w:eastAsia="Calibri" w:hAnsi="Verdana" w:cs="Arial"/>
          <w:lang w:val="es-ES_tradnl"/>
        </w:rPr>
        <w:t>es claro que el ordenamiento jurídico vigente permite la liquidación unilateral o bilateral, una vez vencido el plazo de dos meses para la liquidación unilateral de que trata el inciso segundo del artículo 11 de la Ley 1150 de 2007, siempre y cuando la liquidación se realice dentro del plazo de dos años “a partir del vencimiento del término legalmente conocido para la liquidación unilateral, pues este es el lapso que el ordenamiento ha fijado para el ejercicio oportuno de la acción”</w:t>
      </w:r>
      <w:r w:rsidRPr="00E87EA6">
        <w:rPr>
          <w:rFonts w:ascii="Verdana" w:eastAsia="Calibri" w:hAnsi="Verdana" w:cs="Arial"/>
          <w:vertAlign w:val="superscript"/>
          <w:lang w:val="es-ES_tradnl"/>
        </w:rPr>
        <w:footnoteReference w:id="13"/>
      </w:r>
      <w:r w:rsidRPr="00E87EA6">
        <w:rPr>
          <w:rFonts w:ascii="Verdana" w:eastAsia="Calibri" w:hAnsi="Verdana" w:cs="Arial"/>
          <w:lang w:val="es-ES_tradnl"/>
        </w:rPr>
        <w:t xml:space="preserve">. </w:t>
      </w:r>
    </w:p>
    <w:p w14:paraId="032641F8" w14:textId="77777777" w:rsidR="000F4524" w:rsidRDefault="000F4524" w:rsidP="000F4524">
      <w:pPr>
        <w:spacing w:line="276" w:lineRule="auto"/>
        <w:ind w:firstLine="709"/>
        <w:jc w:val="both"/>
        <w:rPr>
          <w:rFonts w:ascii="Verdana" w:eastAsia="Calibri" w:hAnsi="Verdana" w:cs="Arial"/>
          <w:lang w:val="es-ES"/>
        </w:rPr>
      </w:pPr>
      <w:r w:rsidRPr="00E87EA6">
        <w:rPr>
          <w:rFonts w:ascii="Verdana" w:eastAsia="Calibri" w:hAnsi="Verdana" w:cs="Arial"/>
          <w:lang w:val="es-ES"/>
        </w:rPr>
        <w:t xml:space="preserve">En suma, de acuerdo con el artículo 11 de la Ley 1150 de 2007, existen tres (3) tipos de liquidación: i) bilateral, </w:t>
      </w:r>
      <w:proofErr w:type="spellStart"/>
      <w:r w:rsidRPr="00E87EA6">
        <w:rPr>
          <w:rFonts w:ascii="Verdana" w:eastAsia="Calibri" w:hAnsi="Verdana" w:cs="Arial"/>
          <w:lang w:val="es-ES"/>
        </w:rPr>
        <w:t>ii</w:t>
      </w:r>
      <w:proofErr w:type="spellEnd"/>
      <w:r w:rsidRPr="00E87EA6">
        <w:rPr>
          <w:rFonts w:ascii="Verdana" w:eastAsia="Calibri" w:hAnsi="Verdana" w:cs="Arial"/>
          <w:lang w:val="es-ES"/>
        </w:rPr>
        <w:t xml:space="preserve">) unilateral y </w:t>
      </w:r>
      <w:proofErr w:type="spellStart"/>
      <w:r w:rsidRPr="00E87EA6">
        <w:rPr>
          <w:rFonts w:ascii="Verdana" w:eastAsia="Calibri" w:hAnsi="Verdana" w:cs="Arial"/>
          <w:lang w:val="es-ES"/>
        </w:rPr>
        <w:t>iii</w:t>
      </w:r>
      <w:proofErr w:type="spellEnd"/>
      <w:r w:rsidRPr="00E87EA6">
        <w:rPr>
          <w:rFonts w:ascii="Verdana" w:eastAsia="Calibri" w:hAnsi="Verdana" w:cs="Arial"/>
          <w:lang w:val="es-ES"/>
        </w:rPr>
        <w:t>)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dos (2) años contados a partir de los dos meses establecidos en la Ley para realizar la liquidación unilateral, de conformidad con el citado auto de unificación jurisprudencial del Consejo de Estado.</w:t>
      </w:r>
      <w:bookmarkEnd w:id="1"/>
    </w:p>
    <w:p w14:paraId="6DBD6CA1" w14:textId="77777777" w:rsidR="000F4524" w:rsidRPr="00260737" w:rsidRDefault="000F4524" w:rsidP="000F4524">
      <w:pPr>
        <w:widowControl w:val="0"/>
        <w:autoSpaceDE w:val="0"/>
        <w:autoSpaceDN w:val="0"/>
        <w:spacing w:after="120" w:line="276" w:lineRule="auto"/>
        <w:jc w:val="both"/>
        <w:rPr>
          <w:rFonts w:ascii="Verdana" w:eastAsia="Arial MT" w:hAnsi="Verdana" w:cs="Arial"/>
          <w:color w:val="000000" w:themeColor="text1"/>
          <w:lang w:val="es-ES"/>
        </w:rPr>
      </w:pPr>
      <w:proofErr w:type="spellStart"/>
      <w:r>
        <w:rPr>
          <w:rFonts w:ascii="Verdana" w:eastAsia="Calibri" w:hAnsi="Verdana" w:cs="Arial"/>
          <w:lang w:val="es-ES"/>
        </w:rPr>
        <w:t>ii</w:t>
      </w:r>
      <w:proofErr w:type="spellEnd"/>
      <w:r>
        <w:rPr>
          <w:rFonts w:ascii="Verdana" w:eastAsia="Calibri" w:hAnsi="Verdana" w:cs="Arial"/>
          <w:lang w:val="es-ES"/>
        </w:rPr>
        <w:t>.</w:t>
      </w:r>
      <w:r w:rsidRPr="00782182">
        <w:rPr>
          <w:rFonts w:ascii="Verdana" w:eastAsia="Arial MT" w:hAnsi="Verdana" w:cs="Arial"/>
          <w:color w:val="000000" w:themeColor="text1"/>
          <w:lang w:val="es-ES"/>
        </w:rPr>
        <w:t xml:space="preserve"> </w:t>
      </w:r>
      <w:r w:rsidRPr="00260737">
        <w:rPr>
          <w:rFonts w:ascii="Verdana" w:eastAsia="Arial MT" w:hAnsi="Verdana" w:cs="Arial"/>
          <w:color w:val="000000" w:themeColor="text1"/>
          <w:lang w:val="es-ES"/>
        </w:rPr>
        <w:t>A</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través</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actividad</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contractual,</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el</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Estado</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adquiere</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bienes,</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obras</w:t>
      </w:r>
      <w:r w:rsidRPr="00260737">
        <w:rPr>
          <w:rFonts w:ascii="Verdana" w:eastAsia="Arial MT" w:hAnsi="Verdana" w:cs="Arial"/>
          <w:color w:val="000000" w:themeColor="text1"/>
          <w:spacing w:val="-10"/>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10"/>
          <w:lang w:val="es-ES"/>
        </w:rPr>
        <w:t xml:space="preserve"> </w:t>
      </w:r>
      <w:r w:rsidRPr="00260737">
        <w:rPr>
          <w:rFonts w:ascii="Verdana" w:eastAsia="Arial MT" w:hAnsi="Verdana" w:cs="Arial"/>
          <w:color w:val="000000" w:themeColor="text1"/>
          <w:lang w:val="es-ES"/>
        </w:rPr>
        <w:t>servicios</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para</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cumplir</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los fines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que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impone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el</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ordenamiento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jurídico,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garantizando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así</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continuidad</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eficiente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prestación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servicios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públicos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efectividad</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derechos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intereses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administrados</w:t>
      </w:r>
      <w:r w:rsidRPr="00260737">
        <w:rPr>
          <w:rFonts w:ascii="Verdana" w:eastAsia="Arial MT" w:hAnsi="Verdana" w:cs="Arial"/>
          <w:color w:val="000000" w:themeColor="text1"/>
          <w:vertAlign w:val="superscript"/>
          <w:lang w:val="es-ES"/>
        </w:rPr>
        <w:footnoteReference w:id="14"/>
      </w:r>
      <w:r w:rsidRPr="00260737">
        <w:rPr>
          <w:rFonts w:ascii="Verdana" w:eastAsia="Arial MT" w:hAnsi="Verdana" w:cs="Arial"/>
          <w:color w:val="000000" w:themeColor="text1"/>
          <w:lang w:val="es-ES"/>
        </w:rPr>
        <w:t>. Para la garantía de los fines de interés general involucrados en la contratación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las</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entidades</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estatales,</w:t>
      </w:r>
      <w:r w:rsidRPr="00260737">
        <w:rPr>
          <w:rFonts w:ascii="Verdana" w:eastAsia="Arial MT" w:hAnsi="Verdana" w:cs="Arial"/>
          <w:color w:val="000000" w:themeColor="text1"/>
          <w:spacing w:val="-5"/>
          <w:lang w:val="es-ES"/>
        </w:rPr>
        <w:t xml:space="preserve"> </w:t>
      </w:r>
      <w:r w:rsidRPr="00260737">
        <w:rPr>
          <w:rFonts w:ascii="Verdana" w:eastAsia="Arial MT" w:hAnsi="Verdana" w:cs="Arial"/>
          <w:color w:val="000000" w:themeColor="text1"/>
          <w:lang w:val="es-ES"/>
        </w:rPr>
        <w:t>el</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Estatuto</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General</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Contratación</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Administración</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Pública</w:t>
      </w:r>
      <w:r w:rsidRPr="00260737">
        <w:rPr>
          <w:rFonts w:ascii="Verdana" w:eastAsia="Arial MT" w:hAnsi="Verdana" w:cs="Arial"/>
          <w:color w:val="000000" w:themeColor="text1"/>
          <w:spacing w:val="-4"/>
          <w:lang w:val="es-ES"/>
        </w:rPr>
        <w:t xml:space="preserve"> </w:t>
      </w:r>
      <w:r w:rsidRPr="00260737">
        <w:rPr>
          <w:rFonts w:ascii="Verdana" w:eastAsia="Arial MT" w:hAnsi="Verdana" w:cs="Arial"/>
          <w:color w:val="000000" w:themeColor="text1"/>
          <w:lang w:val="es-ES"/>
        </w:rPr>
        <w:t>–en</w:t>
      </w:r>
      <w:r w:rsidRPr="00260737">
        <w:rPr>
          <w:rFonts w:ascii="Verdana" w:eastAsia="Arial MT" w:hAnsi="Verdana" w:cs="Arial"/>
          <w:color w:val="000000" w:themeColor="text1"/>
          <w:spacing w:val="-59"/>
          <w:lang w:val="es-ES"/>
        </w:rPr>
        <w:t xml:space="preserve"> </w:t>
      </w:r>
      <w:r w:rsidRPr="00260737">
        <w:rPr>
          <w:rFonts w:ascii="Verdana" w:eastAsia="Arial MT" w:hAnsi="Verdana" w:cs="Arial"/>
          <w:color w:val="000000" w:themeColor="text1"/>
          <w:lang w:val="es-ES"/>
        </w:rPr>
        <w:t xml:space="preserve">adelante EGCAP– dispone que, en la etapa de ejecución del contrato, las </w:t>
      </w:r>
      <w:r w:rsidRPr="00260737">
        <w:rPr>
          <w:rFonts w:ascii="Verdana" w:eastAsia="Arial MT" w:hAnsi="Verdana" w:cs="Arial"/>
          <w:color w:val="000000" w:themeColor="text1"/>
          <w:lang w:val="es-ES"/>
        </w:rPr>
        <w:lastRenderedPageBreak/>
        <w:t>autoridades y</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los</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servidores</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públicos</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que</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participan</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en</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ella</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tienen</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obligación</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controlar</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vigilar</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correcta ejecución del objeto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contratado.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Lo anterior</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busca que las finalidades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perseguidas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 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celebración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 los</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contratos estatales se</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logren 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manera satisfactoria.</w:t>
      </w:r>
    </w:p>
    <w:p w14:paraId="16FD5CC5" w14:textId="77777777" w:rsidR="000F4524" w:rsidRPr="00260737" w:rsidRDefault="000F4524" w:rsidP="000F4524">
      <w:pPr>
        <w:widowControl w:val="0"/>
        <w:autoSpaceDE w:val="0"/>
        <w:autoSpaceDN w:val="0"/>
        <w:spacing w:after="120" w:line="276" w:lineRule="auto"/>
        <w:ind w:firstLine="709"/>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El seguimiento de la ejecución del contrato, para la dirección, control y vigilancia de su</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correcto cumplimiento, es un deber legal que permite a las entidades estatales tomar medidas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orientadas a la satisfacción de los fines de la contratación. Por esto, el EGCAP alude a 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obligación mencionada, que guarda relación con el principio de responsabilidad que rige 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celebración y ejecución de los contratos estatales. Así, por ejemplo, los artículos 4, 5, 12, 14 y</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spacing w:val="-1"/>
          <w:lang w:val="es-ES"/>
        </w:rPr>
        <w:t>26</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spacing w:val="-1"/>
          <w:lang w:val="es-ES"/>
        </w:rPr>
        <w:t>de</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spacing w:val="-1"/>
          <w:lang w:val="es-ES"/>
        </w:rPr>
        <w:t>la</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Ley</w:t>
      </w:r>
      <w:r w:rsidRPr="00260737">
        <w:rPr>
          <w:rFonts w:ascii="Verdana" w:eastAsia="Arial MT" w:hAnsi="Verdana" w:cs="Arial"/>
          <w:color w:val="000000" w:themeColor="text1"/>
          <w:spacing w:val="-16"/>
          <w:lang w:val="es-ES"/>
        </w:rPr>
        <w:t xml:space="preserve"> </w:t>
      </w:r>
      <w:r w:rsidRPr="00260737">
        <w:rPr>
          <w:rFonts w:ascii="Verdana" w:eastAsia="Arial MT" w:hAnsi="Verdana" w:cs="Arial"/>
          <w:color w:val="000000" w:themeColor="text1"/>
          <w:lang w:val="es-ES"/>
        </w:rPr>
        <w:t>80</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1993</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consagran</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normas</w:t>
      </w:r>
      <w:r w:rsidRPr="00260737">
        <w:rPr>
          <w:rFonts w:ascii="Verdana" w:eastAsia="Arial MT" w:hAnsi="Verdana" w:cs="Arial"/>
          <w:color w:val="000000" w:themeColor="text1"/>
          <w:spacing w:val="-16"/>
          <w:lang w:val="es-ES"/>
        </w:rPr>
        <w:t xml:space="preserve"> </w:t>
      </w:r>
      <w:r w:rsidRPr="00260737">
        <w:rPr>
          <w:rFonts w:ascii="Verdana" w:eastAsia="Arial MT" w:hAnsi="Verdana" w:cs="Arial"/>
          <w:color w:val="000000" w:themeColor="text1"/>
          <w:lang w:val="es-ES"/>
        </w:rPr>
        <w:t>relacionadas</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con</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el</w:t>
      </w:r>
      <w:r w:rsidRPr="00260737">
        <w:rPr>
          <w:rFonts w:ascii="Verdana" w:eastAsia="Arial MT" w:hAnsi="Verdana" w:cs="Arial"/>
          <w:color w:val="000000" w:themeColor="text1"/>
          <w:spacing w:val="-15"/>
          <w:lang w:val="es-ES"/>
        </w:rPr>
        <w:t xml:space="preserve"> </w:t>
      </w:r>
      <w:r w:rsidRPr="00260737">
        <w:rPr>
          <w:rFonts w:ascii="Verdana" w:eastAsia="Arial MT" w:hAnsi="Verdana" w:cs="Arial"/>
          <w:color w:val="000000" w:themeColor="text1"/>
          <w:lang w:val="es-ES"/>
        </w:rPr>
        <w:t>control</w:t>
      </w:r>
      <w:r w:rsidRPr="00260737">
        <w:rPr>
          <w:rFonts w:ascii="Verdana" w:eastAsia="Arial MT" w:hAnsi="Verdana" w:cs="Arial"/>
          <w:color w:val="000000" w:themeColor="text1"/>
          <w:spacing w:val="-15"/>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16"/>
          <w:lang w:val="es-ES"/>
        </w:rPr>
        <w:t xml:space="preserve"> </w:t>
      </w:r>
      <w:r w:rsidRPr="00260737">
        <w:rPr>
          <w:rFonts w:ascii="Verdana" w:eastAsia="Arial MT" w:hAnsi="Verdana" w:cs="Arial"/>
          <w:color w:val="000000" w:themeColor="text1"/>
          <w:lang w:val="es-ES"/>
        </w:rPr>
        <w:t>vigilancia</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3"/>
          <w:lang w:val="es-ES"/>
        </w:rPr>
        <w:t xml:space="preserve"> </w:t>
      </w:r>
      <w:r w:rsidRPr="00260737">
        <w:rPr>
          <w:rFonts w:ascii="Verdana" w:eastAsia="Arial MT" w:hAnsi="Verdana" w:cs="Arial"/>
          <w:color w:val="000000" w:themeColor="text1"/>
          <w:lang w:val="es-ES"/>
        </w:rPr>
        <w:t>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entre</w:t>
      </w:r>
      <w:r w:rsidRPr="00260737">
        <w:rPr>
          <w:rFonts w:ascii="Verdana" w:eastAsia="Arial MT" w:hAnsi="Verdana" w:cs="Arial"/>
          <w:color w:val="000000" w:themeColor="text1"/>
          <w:spacing w:val="-10"/>
          <w:lang w:val="es-ES"/>
        </w:rPr>
        <w:t xml:space="preserve"> </w:t>
      </w:r>
      <w:r w:rsidRPr="00260737">
        <w:rPr>
          <w:rFonts w:ascii="Verdana" w:eastAsia="Arial MT" w:hAnsi="Verdana" w:cs="Arial"/>
          <w:color w:val="000000" w:themeColor="text1"/>
          <w:lang w:val="es-ES"/>
        </w:rPr>
        <w:t>otras.</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Esta</w:t>
      </w:r>
      <w:r w:rsidRPr="00260737">
        <w:rPr>
          <w:rFonts w:ascii="Verdana" w:eastAsia="Arial MT" w:hAnsi="Verdana" w:cs="Arial"/>
          <w:color w:val="000000" w:themeColor="text1"/>
          <w:spacing w:val="-13"/>
          <w:lang w:val="es-ES"/>
        </w:rPr>
        <w:t xml:space="preserve"> </w:t>
      </w:r>
      <w:r w:rsidRPr="00260737">
        <w:rPr>
          <w:rFonts w:ascii="Verdana" w:eastAsia="Arial MT" w:hAnsi="Verdana" w:cs="Arial"/>
          <w:color w:val="000000" w:themeColor="text1"/>
          <w:lang w:val="es-ES"/>
        </w:rPr>
        <w:t>obligación</w:t>
      </w:r>
      <w:r w:rsidRPr="00260737">
        <w:rPr>
          <w:rFonts w:ascii="Verdana" w:eastAsia="Arial MT" w:hAnsi="Verdana" w:cs="Arial"/>
          <w:color w:val="000000" w:themeColor="text1"/>
          <w:spacing w:val="-13"/>
          <w:lang w:val="es-ES"/>
        </w:rPr>
        <w:t xml:space="preserve"> </w:t>
      </w:r>
      <w:r w:rsidRPr="00260737">
        <w:rPr>
          <w:rFonts w:ascii="Verdana" w:eastAsia="Arial MT" w:hAnsi="Verdana" w:cs="Arial"/>
          <w:color w:val="000000" w:themeColor="text1"/>
          <w:lang w:val="es-ES"/>
        </w:rPr>
        <w:t>se</w:t>
      </w:r>
      <w:r w:rsidRPr="00260737">
        <w:rPr>
          <w:rFonts w:ascii="Verdana" w:eastAsia="Arial MT" w:hAnsi="Verdana" w:cs="Arial"/>
          <w:color w:val="000000" w:themeColor="text1"/>
          <w:spacing w:val="-10"/>
          <w:lang w:val="es-ES"/>
        </w:rPr>
        <w:t xml:space="preserve"> </w:t>
      </w:r>
      <w:r w:rsidRPr="00260737">
        <w:rPr>
          <w:rFonts w:ascii="Verdana" w:eastAsia="Arial MT" w:hAnsi="Verdana" w:cs="Arial"/>
          <w:color w:val="000000" w:themeColor="text1"/>
          <w:lang w:val="es-ES"/>
        </w:rPr>
        <w:t>predica,</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en</w:t>
      </w:r>
      <w:r w:rsidRPr="00260737">
        <w:rPr>
          <w:rFonts w:ascii="Verdana" w:eastAsia="Arial MT" w:hAnsi="Verdana" w:cs="Arial"/>
          <w:color w:val="000000" w:themeColor="text1"/>
          <w:spacing w:val="-12"/>
          <w:lang w:val="es-ES"/>
        </w:rPr>
        <w:t xml:space="preserve"> </w:t>
      </w:r>
      <w:r w:rsidRPr="00260737">
        <w:rPr>
          <w:rFonts w:ascii="Verdana" w:eastAsia="Arial MT" w:hAnsi="Verdana" w:cs="Arial"/>
          <w:color w:val="000000" w:themeColor="text1"/>
          <w:lang w:val="es-ES"/>
        </w:rPr>
        <w:t>principio,</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del</w:t>
      </w:r>
      <w:r w:rsidRPr="00260737">
        <w:rPr>
          <w:rFonts w:ascii="Verdana" w:eastAsia="Arial MT" w:hAnsi="Verdana" w:cs="Arial"/>
          <w:color w:val="000000" w:themeColor="text1"/>
          <w:spacing w:val="-11"/>
          <w:lang w:val="es-ES"/>
        </w:rPr>
        <w:t xml:space="preserve"> </w:t>
      </w:r>
      <w:r w:rsidRPr="00260737">
        <w:rPr>
          <w:rFonts w:ascii="Verdana" w:eastAsia="Arial MT" w:hAnsi="Verdana" w:cs="Arial"/>
          <w:color w:val="000000" w:themeColor="text1"/>
          <w:lang w:val="es-ES"/>
        </w:rPr>
        <w:t>jefe</w:t>
      </w:r>
      <w:r w:rsidRPr="00260737">
        <w:rPr>
          <w:rFonts w:ascii="Verdana" w:eastAsia="Arial MT" w:hAnsi="Verdana" w:cs="Arial"/>
          <w:color w:val="000000" w:themeColor="text1"/>
          <w:spacing w:val="-10"/>
          <w:lang w:val="es-ES"/>
        </w:rPr>
        <w:t xml:space="preserve"> </w:t>
      </w:r>
      <w:r w:rsidRPr="00260737">
        <w:rPr>
          <w:rFonts w:ascii="Verdana" w:eastAsia="Arial MT" w:hAnsi="Verdana" w:cs="Arial"/>
          <w:color w:val="000000" w:themeColor="text1"/>
          <w:lang w:val="es-ES"/>
        </w:rPr>
        <w:t>o</w:t>
      </w:r>
      <w:r w:rsidRPr="00260737">
        <w:rPr>
          <w:rFonts w:ascii="Verdana" w:eastAsia="Arial MT" w:hAnsi="Verdana" w:cs="Arial"/>
          <w:color w:val="000000" w:themeColor="text1"/>
          <w:spacing w:val="-15"/>
          <w:lang w:val="es-ES"/>
        </w:rPr>
        <w:t xml:space="preserve"> </w:t>
      </w:r>
      <w:r w:rsidRPr="00260737">
        <w:rPr>
          <w:rFonts w:ascii="Verdana" w:eastAsia="Arial MT" w:hAnsi="Verdana" w:cs="Arial"/>
          <w:color w:val="000000" w:themeColor="text1"/>
          <w:lang w:val="es-ES"/>
        </w:rPr>
        <w:t>representante</w:t>
      </w:r>
      <w:r w:rsidRPr="00260737">
        <w:rPr>
          <w:rFonts w:ascii="Verdana" w:eastAsia="Arial MT" w:hAnsi="Verdana" w:cs="Arial"/>
          <w:color w:val="000000" w:themeColor="text1"/>
          <w:spacing w:val="-59"/>
          <w:lang w:val="es-ES"/>
        </w:rPr>
        <w:t xml:space="preserve"> </w:t>
      </w:r>
      <w:r w:rsidRPr="00260737">
        <w:rPr>
          <w:rFonts w:ascii="Verdana" w:eastAsia="Arial MT" w:hAnsi="Verdana" w:cs="Arial"/>
          <w:color w:val="000000" w:themeColor="text1"/>
          <w:lang w:val="es-ES"/>
        </w:rPr>
        <w:t>legal de la entidad, por tener la responsabilidad de la dirección y manejo de la actividad</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contractual, pero también de los servidores públicos que intervienen en ella. En ese sentido, las</w:t>
      </w:r>
      <w:r w:rsidRPr="00260737">
        <w:rPr>
          <w:rFonts w:ascii="Verdana" w:eastAsia="Arial MT" w:hAnsi="Verdana" w:cs="Arial"/>
          <w:color w:val="000000" w:themeColor="text1"/>
          <w:spacing w:val="-59"/>
          <w:lang w:val="es-ES"/>
        </w:rPr>
        <w:t xml:space="preserve"> </w:t>
      </w:r>
      <w:r w:rsidRPr="00260737">
        <w:rPr>
          <w:rFonts w:ascii="Verdana" w:eastAsia="Arial MT" w:hAnsi="Verdana" w:cs="Arial"/>
          <w:color w:val="000000" w:themeColor="text1"/>
          <w:lang w:val="es-ES"/>
        </w:rPr>
        <w:t>entidades estatales deben ejercer el control de la ejecución del contrato y, de ser el caso, tomar</w:t>
      </w:r>
      <w:r w:rsidRPr="00260737">
        <w:rPr>
          <w:rFonts w:ascii="Verdana" w:eastAsia="Arial MT" w:hAnsi="Verdana" w:cs="Arial"/>
          <w:color w:val="000000" w:themeColor="text1"/>
          <w:spacing w:val="-59"/>
          <w:lang w:val="es-ES"/>
        </w:rPr>
        <w:t xml:space="preserve"> </w:t>
      </w:r>
      <w:r w:rsidRPr="00260737">
        <w:rPr>
          <w:rFonts w:ascii="Verdana" w:eastAsia="Arial MT" w:hAnsi="Verdana" w:cs="Arial"/>
          <w:color w:val="000000" w:themeColor="text1"/>
          <w:lang w:val="es-ES"/>
        </w:rPr>
        <w:t>medidas para exigir</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el</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adecuado cumplimiento.</w:t>
      </w:r>
    </w:p>
    <w:p w14:paraId="10DCBAED" w14:textId="77777777" w:rsidR="000F4524" w:rsidRPr="00260737" w:rsidRDefault="000F4524" w:rsidP="000F4524">
      <w:pPr>
        <w:widowControl w:val="0"/>
        <w:autoSpaceDE w:val="0"/>
        <w:autoSpaceDN w:val="0"/>
        <w:spacing w:after="120" w:line="276" w:lineRule="auto"/>
        <w:ind w:firstLine="709"/>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Las Leyes 1150 de 2007 y 1474 de 2011 complementan el régimen jurídico de 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obligación de vigilar la correcta ejecución de los contratos estatales. Allí se impone el debido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proceso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como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principio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rector</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materia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sancionatoria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contractual,</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entre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otros eventos,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para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imposición de multas y la decisión de hacer efectiva la cláusula penal; principio que debe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spacing w:val="-1"/>
          <w:lang w:val="es-ES"/>
        </w:rPr>
        <w:t>respetarse</w:t>
      </w:r>
      <w:r w:rsidRPr="00260737">
        <w:rPr>
          <w:rFonts w:ascii="Verdana" w:eastAsia="Arial MT" w:hAnsi="Verdana" w:cs="Arial"/>
          <w:color w:val="000000" w:themeColor="text1"/>
          <w:spacing w:val="-13"/>
          <w:lang w:val="es-ES"/>
        </w:rPr>
        <w:t xml:space="preserve"> </w:t>
      </w:r>
      <w:r w:rsidRPr="00260737">
        <w:rPr>
          <w:rFonts w:ascii="Verdana" w:eastAsia="Arial MT" w:hAnsi="Verdana" w:cs="Arial"/>
          <w:color w:val="000000" w:themeColor="text1"/>
          <w:spacing w:val="-1"/>
          <w:lang w:val="es-ES"/>
        </w:rPr>
        <w:t>en</w:t>
      </w:r>
      <w:r w:rsidRPr="00260737">
        <w:rPr>
          <w:rFonts w:ascii="Verdana" w:eastAsia="Arial MT" w:hAnsi="Verdana" w:cs="Arial"/>
          <w:color w:val="000000" w:themeColor="text1"/>
          <w:spacing w:val="-17"/>
          <w:lang w:val="es-ES"/>
        </w:rPr>
        <w:t xml:space="preserve"> </w:t>
      </w:r>
      <w:r w:rsidRPr="00260737">
        <w:rPr>
          <w:rFonts w:ascii="Verdana" w:eastAsia="Arial MT" w:hAnsi="Verdana" w:cs="Arial"/>
          <w:color w:val="000000" w:themeColor="text1"/>
          <w:spacing w:val="-1"/>
          <w:lang w:val="es-ES"/>
        </w:rPr>
        <w:t>el</w:t>
      </w:r>
      <w:r w:rsidRPr="00260737">
        <w:rPr>
          <w:rFonts w:ascii="Verdana" w:eastAsia="Arial MT" w:hAnsi="Verdana" w:cs="Arial"/>
          <w:color w:val="000000" w:themeColor="text1"/>
          <w:spacing w:val="-17"/>
          <w:lang w:val="es-ES"/>
        </w:rPr>
        <w:t xml:space="preserve"> </w:t>
      </w:r>
      <w:r w:rsidRPr="00260737">
        <w:rPr>
          <w:rFonts w:ascii="Verdana" w:eastAsia="Arial MT" w:hAnsi="Verdana" w:cs="Arial"/>
          <w:color w:val="000000" w:themeColor="text1"/>
          <w:spacing w:val="-1"/>
          <w:lang w:val="es-ES"/>
        </w:rPr>
        <w:t>ejercicio</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spacing w:val="-1"/>
          <w:lang w:val="es-ES"/>
        </w:rPr>
        <w:t>del</w:t>
      </w:r>
      <w:r w:rsidRPr="00260737">
        <w:rPr>
          <w:rFonts w:ascii="Verdana" w:eastAsia="Arial MT" w:hAnsi="Verdana" w:cs="Arial"/>
          <w:color w:val="000000" w:themeColor="text1"/>
          <w:spacing w:val="-15"/>
          <w:lang w:val="es-ES"/>
        </w:rPr>
        <w:t xml:space="preserve"> </w:t>
      </w:r>
      <w:r w:rsidRPr="00260737">
        <w:rPr>
          <w:rFonts w:ascii="Verdana" w:eastAsia="Arial MT" w:hAnsi="Verdana" w:cs="Arial"/>
          <w:color w:val="000000" w:themeColor="text1"/>
          <w:spacing w:val="-1"/>
          <w:lang w:val="es-ES"/>
        </w:rPr>
        <w:t>control</w:t>
      </w:r>
      <w:r w:rsidRPr="00260737">
        <w:rPr>
          <w:rFonts w:ascii="Verdana" w:eastAsia="Arial MT" w:hAnsi="Verdana" w:cs="Arial"/>
          <w:color w:val="000000" w:themeColor="text1"/>
          <w:spacing w:val="-15"/>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16"/>
          <w:lang w:val="es-ES"/>
        </w:rPr>
        <w:t xml:space="preserve"> </w:t>
      </w:r>
      <w:r w:rsidRPr="00260737">
        <w:rPr>
          <w:rFonts w:ascii="Verdana" w:eastAsia="Arial MT" w:hAnsi="Verdana" w:cs="Arial"/>
          <w:color w:val="000000" w:themeColor="text1"/>
          <w:lang w:val="es-ES"/>
        </w:rPr>
        <w:t>vigilancia</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3"/>
          <w:lang w:val="es-ES"/>
        </w:rPr>
        <w:t xml:space="preserve"> </w:t>
      </w:r>
      <w:r w:rsidRPr="00260737">
        <w:rPr>
          <w:rFonts w:ascii="Verdana" w:eastAsia="Arial MT" w:hAnsi="Verdana" w:cs="Arial"/>
          <w:color w:val="000000" w:themeColor="text1"/>
          <w:lang w:val="es-ES"/>
        </w:rPr>
        <w:t>ejecución</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contractual</w:t>
      </w:r>
      <w:r w:rsidRPr="00260737">
        <w:rPr>
          <w:rFonts w:ascii="Verdana" w:eastAsia="Arial MT" w:hAnsi="Verdana" w:cs="Arial"/>
          <w:color w:val="000000" w:themeColor="text1"/>
          <w:vertAlign w:val="superscript"/>
          <w:lang w:val="es-ES"/>
        </w:rPr>
        <w:footnoteReference w:id="15"/>
      </w:r>
      <w:r w:rsidRPr="00260737">
        <w:rPr>
          <w:rFonts w:ascii="Verdana" w:eastAsia="Arial MT" w:hAnsi="Verdana" w:cs="Arial"/>
          <w:color w:val="000000" w:themeColor="text1"/>
          <w:lang w:val="es-ES"/>
        </w:rPr>
        <w:t>.</w:t>
      </w:r>
      <w:r w:rsidRPr="00260737">
        <w:rPr>
          <w:rFonts w:ascii="Verdana" w:eastAsia="Arial MT" w:hAnsi="Verdana" w:cs="Arial"/>
          <w:color w:val="000000" w:themeColor="text1"/>
          <w:spacing w:val="-15"/>
          <w:lang w:val="es-ES"/>
        </w:rPr>
        <w:t xml:space="preserve"> </w:t>
      </w:r>
      <w:r w:rsidRPr="00260737">
        <w:rPr>
          <w:rFonts w:ascii="Verdana" w:eastAsia="Arial MT" w:hAnsi="Verdana" w:cs="Arial"/>
          <w:color w:val="000000" w:themeColor="text1"/>
          <w:lang w:val="es-ES"/>
        </w:rPr>
        <w:t>También</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se</w:t>
      </w:r>
      <w:r w:rsidRPr="00260737">
        <w:rPr>
          <w:rFonts w:ascii="Verdana" w:eastAsia="Arial MT" w:hAnsi="Verdana" w:cs="Arial"/>
          <w:color w:val="000000" w:themeColor="text1"/>
          <w:spacing w:val="-17"/>
          <w:lang w:val="es-ES"/>
        </w:rPr>
        <w:t xml:space="preserve"> </w:t>
      </w:r>
      <w:r w:rsidRPr="00260737">
        <w:rPr>
          <w:rFonts w:ascii="Verdana" w:eastAsia="Arial MT" w:hAnsi="Verdana" w:cs="Arial"/>
          <w:color w:val="000000" w:themeColor="text1"/>
          <w:lang w:val="es-ES"/>
        </w:rPr>
        <w:t>establecen</w:t>
      </w:r>
      <w:r w:rsidRPr="00260737">
        <w:rPr>
          <w:rFonts w:ascii="Verdana" w:eastAsia="Arial MT" w:hAnsi="Verdana" w:cs="Arial"/>
          <w:color w:val="000000" w:themeColor="text1"/>
          <w:spacing w:val="-59"/>
          <w:lang w:val="es-ES"/>
        </w:rPr>
        <w:t xml:space="preserve"> </w:t>
      </w:r>
      <w:r w:rsidRPr="00260737">
        <w:rPr>
          <w:rFonts w:ascii="Verdana" w:eastAsia="Arial MT" w:hAnsi="Verdana" w:cs="Arial"/>
          <w:color w:val="000000" w:themeColor="text1"/>
          <w:lang w:val="es-ES"/>
        </w:rPr>
        <w:t>los límites de la responsabilidad del representante legal ante la delegación de sus funciones en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materia</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contractual</w:t>
      </w:r>
      <w:r w:rsidRPr="00260737">
        <w:rPr>
          <w:rFonts w:ascii="Verdana" w:eastAsia="Arial MT" w:hAnsi="Verdana" w:cs="Arial"/>
          <w:color w:val="000000" w:themeColor="text1"/>
          <w:vertAlign w:val="superscript"/>
          <w:lang w:val="es-ES"/>
        </w:rPr>
        <w:footnoteReference w:id="16"/>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se</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regula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supervisión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interventoría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los</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contratos</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estatales</w:t>
      </w:r>
      <w:r w:rsidRPr="00260737">
        <w:rPr>
          <w:rFonts w:ascii="Verdana" w:eastAsia="Arial MT" w:hAnsi="Verdana" w:cs="Arial"/>
          <w:color w:val="000000" w:themeColor="text1"/>
          <w:vertAlign w:val="superscript"/>
          <w:lang w:val="es-ES"/>
        </w:rPr>
        <w:footnoteReference w:id="17"/>
      </w:r>
      <w:r w:rsidRPr="00260737">
        <w:rPr>
          <w:rFonts w:ascii="Verdana" w:eastAsia="Arial MT" w:hAnsi="Verdana" w:cs="Arial"/>
          <w:color w:val="000000" w:themeColor="text1"/>
          <w:lang w:val="es-ES"/>
        </w:rPr>
        <w:t>.</w:t>
      </w:r>
    </w:p>
    <w:p w14:paraId="7EFBC2E7" w14:textId="77777777" w:rsidR="000F4524" w:rsidRPr="00260737" w:rsidRDefault="000F4524" w:rsidP="000F4524">
      <w:pPr>
        <w:widowControl w:val="0"/>
        <w:autoSpaceDE w:val="0"/>
        <w:autoSpaceDN w:val="0"/>
        <w:spacing w:after="120" w:line="276" w:lineRule="auto"/>
        <w:ind w:firstLine="709"/>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jurisprudencia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contencioso-administrativa,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por</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su</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parte,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ha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considerado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que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 xml:space="preserve">obligación de vigilar la correcta ejecución del objeto </w:t>
      </w:r>
      <w:r w:rsidRPr="00260737">
        <w:rPr>
          <w:rFonts w:ascii="Verdana" w:eastAsia="Arial MT" w:hAnsi="Verdana" w:cs="Arial"/>
          <w:color w:val="000000" w:themeColor="text1"/>
          <w:lang w:val="es-ES"/>
        </w:rPr>
        <w:lastRenderedPageBreak/>
        <w:t>contractual es una función de la entidad</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contratante,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en</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los siguientes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términos: “La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se ejecute en el tiempo y la forma convenidos, para de esta forma garantizar la satisfacción de las  necesidades que la administración buscaba alcanzar con la celebración del respectivo contrato”</w:t>
      </w:r>
      <w:r w:rsidRPr="00260737">
        <w:rPr>
          <w:rFonts w:ascii="Verdana" w:eastAsia="Arial MT" w:hAnsi="Verdana" w:cs="Arial"/>
          <w:color w:val="000000" w:themeColor="text1"/>
          <w:vertAlign w:val="superscript"/>
          <w:lang w:val="es-ES"/>
        </w:rPr>
        <w:footnoteReference w:id="18"/>
      </w:r>
      <w:r w:rsidRPr="00260737">
        <w:rPr>
          <w:rFonts w:ascii="Verdana" w:eastAsia="Arial MT" w:hAnsi="Verdana" w:cs="Arial"/>
          <w:color w:val="000000" w:themeColor="text1"/>
          <w:lang w:val="es-ES"/>
        </w:rPr>
        <w:t>.</w:t>
      </w:r>
    </w:p>
    <w:p w14:paraId="1B710996" w14:textId="77777777" w:rsidR="000F4524" w:rsidRPr="00260737" w:rsidRDefault="000F4524" w:rsidP="000F4524">
      <w:pPr>
        <w:widowControl w:val="0"/>
        <w:autoSpaceDE w:val="0"/>
        <w:autoSpaceDN w:val="0"/>
        <w:spacing w:after="120" w:line="276" w:lineRule="auto"/>
        <w:ind w:firstLine="709"/>
        <w:jc w:val="both"/>
        <w:rPr>
          <w:rFonts w:ascii="Verdana" w:eastAsia="Arial MT" w:hAnsi="Verdana" w:cs="Arial"/>
          <w:color w:val="000000" w:themeColor="text1"/>
          <w:lang w:val="es-ES"/>
        </w:rPr>
      </w:pPr>
      <w:r w:rsidRPr="00260737">
        <w:rPr>
          <w:rFonts w:ascii="Verdana" w:eastAsia="Arial MT" w:hAnsi="Verdana" w:cs="Arial"/>
          <w:color w:val="000000" w:themeColor="text1"/>
          <w:spacing w:val="-1"/>
          <w:lang w:val="es-ES"/>
        </w:rPr>
        <w:t>En esta perspectiva,</w:t>
      </w:r>
      <w:r w:rsidRPr="00260737">
        <w:rPr>
          <w:rFonts w:ascii="Verdana" w:eastAsia="Arial MT" w:hAnsi="Verdana" w:cs="Arial"/>
          <w:color w:val="000000" w:themeColor="text1"/>
          <w:lang w:val="es-ES"/>
        </w:rPr>
        <w:t xml:space="preserve"> el</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seguimiento de la ejecución del contrato para su dirección, control y vigilancia del correcto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cumplimiento del objeto es un deber legal que permite a las entidades estatales tomar medidas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orientadas a la satisfacción de los fines de la contratación, dentro de las cuales, se encuentra la</w:t>
      </w:r>
      <w:r w:rsidRPr="00260737">
        <w:rPr>
          <w:rFonts w:ascii="Verdana" w:eastAsia="Arial MT" w:hAnsi="Verdana" w:cs="Arial"/>
          <w:color w:val="000000" w:themeColor="text1"/>
          <w:spacing w:val="-59"/>
          <w:lang w:val="es-ES"/>
        </w:rPr>
        <w:t xml:space="preserve">                      </w:t>
      </w:r>
      <w:r w:rsidRPr="00260737">
        <w:rPr>
          <w:rFonts w:ascii="Verdana" w:eastAsia="Arial MT" w:hAnsi="Verdana" w:cs="Arial"/>
          <w:color w:val="000000" w:themeColor="text1"/>
          <w:lang w:val="es-ES"/>
        </w:rPr>
        <w:t>posibilidad de pactar y ejercer las cláusulas exorbitantes, la designación de una supervisión o la</w:t>
      </w:r>
      <w:r w:rsidRPr="00260737">
        <w:rPr>
          <w:rFonts w:ascii="Verdana" w:eastAsia="Arial MT" w:hAnsi="Verdana" w:cs="Arial"/>
          <w:color w:val="000000" w:themeColor="text1"/>
          <w:spacing w:val="-59"/>
          <w:lang w:val="es-ES"/>
        </w:rPr>
        <w:t xml:space="preserve">              </w:t>
      </w:r>
      <w:r w:rsidRPr="00260737">
        <w:rPr>
          <w:rFonts w:ascii="Verdana" w:eastAsia="Arial MT" w:hAnsi="Verdana" w:cs="Arial"/>
          <w:color w:val="000000" w:themeColor="text1"/>
          <w:lang w:val="es-ES"/>
        </w:rPr>
        <w:t>contratación de una interventoría para vigilar la ejecución del contrato y la facultad de pactar 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imponer multas, cláusula penal o hacer efectivas las garantías del contrato, previa declaratoria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 incumplimiento de las obligaciones del contrato, en aras de lograr la satisfacción de las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necesidades de bienes, obras o servicios que se pretenden suplir con la celebración de los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contratos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estatales. Por lo tanto, la responsabilidad por el control y vigilancia de la ejecución del contrato está</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a cargo de la Entidad Estatal contratante y, en consecuencia, es esta quien debe supervisar los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contratos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mediante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sus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funcionarios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servidores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públicos,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únicamente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puede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contratar</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 xml:space="preserve">personal en caso de necesitarlo como apoyo a su gestión en la supervisión. </w:t>
      </w:r>
    </w:p>
    <w:p w14:paraId="5A898819" w14:textId="77777777" w:rsidR="000F4524" w:rsidRPr="00260737" w:rsidRDefault="000F4524" w:rsidP="000F4524">
      <w:pPr>
        <w:widowControl w:val="0"/>
        <w:autoSpaceDE w:val="0"/>
        <w:autoSpaceDN w:val="0"/>
        <w:spacing w:after="0" w:line="276" w:lineRule="auto"/>
        <w:ind w:firstLine="708"/>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Ahora bien, La Ley 1474 de 2011 enmarcó el seguimiento, control y vigilancia de la ejecución del contrato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estatal</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dentro</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del</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principio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moralidad</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administrativa. En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efecto,</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el</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artículo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83</w:t>
      </w:r>
      <w:r w:rsidRPr="00260737">
        <w:rPr>
          <w:rFonts w:ascii="Verdana" w:eastAsia="Arial MT" w:hAnsi="Verdana" w:cs="Arial"/>
          <w:color w:val="000000" w:themeColor="text1"/>
          <w:spacing w:val="4"/>
          <w:lang w:val="es-ES"/>
        </w:rPr>
        <w:t xml:space="preserve"> </w:t>
      </w:r>
      <w:r w:rsidRPr="00260737">
        <w:rPr>
          <w:rFonts w:ascii="Verdana" w:eastAsia="Arial MT" w:hAnsi="Verdana" w:cs="Arial"/>
          <w:i/>
          <w:color w:val="000000" w:themeColor="text1"/>
          <w:lang w:val="es-ES"/>
        </w:rPr>
        <w:t>ibidem</w:t>
      </w:r>
      <w:r w:rsidRPr="00260737">
        <w:rPr>
          <w:rFonts w:ascii="Verdana" w:eastAsia="Arial MT" w:hAnsi="Verdana" w:cs="Arial"/>
          <w:i/>
          <w:color w:val="000000" w:themeColor="text1"/>
          <w:spacing w:val="1"/>
          <w:lang w:val="es-ES"/>
        </w:rPr>
        <w:t xml:space="preserve"> </w:t>
      </w:r>
      <w:r w:rsidRPr="00260737">
        <w:rPr>
          <w:rFonts w:ascii="Verdana" w:eastAsia="Arial MT" w:hAnsi="Verdana" w:cs="Arial"/>
          <w:color w:val="000000" w:themeColor="text1"/>
          <w:lang w:val="es-ES"/>
        </w:rPr>
        <w:t>dispone: “Con el fin de proteger la moralidad administrativa, de prevenir la ocurrencia de actos 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corrupción y de tutelar la transparencia de la actividad contractual, las entidades públicas están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obligadas a vigilar permanentemente la correcta ejecución del objeto contratado a través de un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supervisor o un interventor, según corresponda”. El legislador, además, definió las nociones 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i/>
          <w:color w:val="000000" w:themeColor="text1"/>
          <w:lang w:val="es-ES"/>
        </w:rPr>
        <w:t xml:space="preserve">supervisión </w:t>
      </w:r>
      <w:r w:rsidRPr="00260737">
        <w:rPr>
          <w:rFonts w:ascii="Verdana" w:eastAsia="Arial MT" w:hAnsi="Verdana" w:cs="Arial"/>
          <w:color w:val="000000" w:themeColor="text1"/>
          <w:lang w:val="es-ES"/>
        </w:rPr>
        <w:t xml:space="preserve">e </w:t>
      </w:r>
      <w:r w:rsidRPr="00260737">
        <w:rPr>
          <w:rFonts w:ascii="Verdana" w:eastAsia="Arial MT" w:hAnsi="Verdana" w:cs="Arial"/>
          <w:i/>
          <w:color w:val="000000" w:themeColor="text1"/>
          <w:lang w:val="es-ES"/>
        </w:rPr>
        <w:t>interventoría</w:t>
      </w:r>
      <w:r w:rsidRPr="00260737">
        <w:rPr>
          <w:rFonts w:ascii="Verdana" w:eastAsia="Arial MT" w:hAnsi="Verdana" w:cs="Arial"/>
          <w:color w:val="000000" w:themeColor="text1"/>
          <w:lang w:val="es-ES"/>
        </w:rPr>
        <w:t>, como mecanismos que pueden usar las entidades estatales para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vigilar el</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contrato,</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en</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estos términos:</w:t>
      </w:r>
    </w:p>
    <w:p w14:paraId="6937014B" w14:textId="77777777" w:rsidR="000F4524" w:rsidRPr="00260737" w:rsidRDefault="000F4524" w:rsidP="000F4524">
      <w:pPr>
        <w:widowControl w:val="0"/>
        <w:autoSpaceDE w:val="0"/>
        <w:autoSpaceDN w:val="0"/>
        <w:spacing w:after="0" w:line="276" w:lineRule="auto"/>
        <w:ind w:left="709" w:right="709"/>
        <w:jc w:val="both"/>
        <w:rPr>
          <w:rFonts w:ascii="Verdana" w:eastAsia="Arial MT" w:hAnsi="Verdana" w:cs="Arial"/>
          <w:color w:val="000000" w:themeColor="text1"/>
          <w:lang w:val="es-ES"/>
        </w:rPr>
      </w:pPr>
    </w:p>
    <w:p w14:paraId="7E398EC2" w14:textId="77777777" w:rsidR="000F4524" w:rsidRPr="00260737" w:rsidRDefault="000F4524" w:rsidP="000F4524">
      <w:pPr>
        <w:widowControl w:val="0"/>
        <w:autoSpaceDE w:val="0"/>
        <w:autoSpaceDN w:val="0"/>
        <w:spacing w:after="120" w:line="240" w:lineRule="auto"/>
        <w:ind w:left="709" w:right="709"/>
        <w:jc w:val="both"/>
        <w:rPr>
          <w:rFonts w:ascii="Verdana" w:eastAsia="Arial MT" w:hAnsi="Verdana" w:cs="Arial"/>
          <w:color w:val="000000" w:themeColor="text1"/>
          <w:sz w:val="20"/>
          <w:szCs w:val="20"/>
          <w:lang w:val="es-ES"/>
        </w:rPr>
      </w:pPr>
      <w:r w:rsidRPr="00260737">
        <w:rPr>
          <w:rFonts w:ascii="Verdana" w:eastAsia="Arial MT" w:hAnsi="Verdana" w:cs="Arial"/>
          <w:color w:val="000000" w:themeColor="text1"/>
          <w:sz w:val="20"/>
          <w:szCs w:val="20"/>
          <w:lang w:val="es-ES"/>
        </w:rPr>
        <w:t>“La</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supervisión</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consistirá</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en</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el</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seguimiento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técnico,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administrativo,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financiero,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 xml:space="preserve">contable, y jurídico </w:t>
      </w:r>
      <w:proofErr w:type="gramStart"/>
      <w:r w:rsidRPr="00260737">
        <w:rPr>
          <w:rFonts w:ascii="Verdana" w:eastAsia="Arial MT" w:hAnsi="Verdana" w:cs="Arial"/>
          <w:color w:val="000000" w:themeColor="text1"/>
          <w:sz w:val="20"/>
          <w:szCs w:val="20"/>
          <w:lang w:val="es-ES"/>
        </w:rPr>
        <w:t>que</w:t>
      </w:r>
      <w:proofErr w:type="gramEnd"/>
      <w:r w:rsidRPr="00260737">
        <w:rPr>
          <w:rFonts w:ascii="Verdana" w:eastAsia="Arial MT" w:hAnsi="Verdana" w:cs="Arial"/>
          <w:color w:val="000000" w:themeColor="text1"/>
          <w:sz w:val="20"/>
          <w:szCs w:val="20"/>
          <w:lang w:val="es-ES"/>
        </w:rPr>
        <w:t xml:space="preserve"> sobre el cumplimiento del objeto del contrato, es ejercida por</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la misma entidad estatal cuando no requieren conocimientos especializados. Para la</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supervisión, la Entidad estatal podrá contratar personal de apoyo, a través de los</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contratos</w:t>
      </w:r>
      <w:r w:rsidRPr="00260737">
        <w:rPr>
          <w:rFonts w:ascii="Verdana" w:eastAsia="Arial MT" w:hAnsi="Verdana" w:cs="Arial"/>
          <w:color w:val="000000" w:themeColor="text1"/>
          <w:spacing w:val="-2"/>
          <w:sz w:val="20"/>
          <w:szCs w:val="20"/>
          <w:lang w:val="es-ES"/>
        </w:rPr>
        <w:t xml:space="preserve"> </w:t>
      </w:r>
      <w:r w:rsidRPr="00260737">
        <w:rPr>
          <w:rFonts w:ascii="Verdana" w:eastAsia="Arial MT" w:hAnsi="Verdana" w:cs="Arial"/>
          <w:color w:val="000000" w:themeColor="text1"/>
          <w:sz w:val="20"/>
          <w:szCs w:val="20"/>
          <w:lang w:val="es-ES"/>
        </w:rPr>
        <w:t>de</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prestación</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de</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servicios</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que sean requeridos.</w:t>
      </w:r>
    </w:p>
    <w:p w14:paraId="012693A1" w14:textId="77777777" w:rsidR="000F4524" w:rsidRPr="00260737" w:rsidRDefault="000F4524" w:rsidP="000F4524">
      <w:pPr>
        <w:widowControl w:val="0"/>
        <w:autoSpaceDE w:val="0"/>
        <w:autoSpaceDN w:val="0"/>
        <w:spacing w:before="1" w:after="0" w:line="240" w:lineRule="auto"/>
        <w:ind w:left="709" w:right="709"/>
        <w:jc w:val="both"/>
        <w:rPr>
          <w:rFonts w:ascii="Verdana" w:eastAsia="Arial MT" w:hAnsi="Verdana" w:cs="Arial"/>
          <w:color w:val="000000" w:themeColor="text1"/>
          <w:sz w:val="21"/>
          <w:lang w:val="es-ES"/>
        </w:rPr>
      </w:pPr>
      <w:r w:rsidRPr="00260737">
        <w:rPr>
          <w:rFonts w:ascii="Verdana" w:eastAsia="Arial MT" w:hAnsi="Verdana" w:cs="Arial"/>
          <w:color w:val="000000" w:themeColor="text1"/>
          <w:sz w:val="20"/>
          <w:szCs w:val="20"/>
          <w:lang w:val="es-ES"/>
        </w:rPr>
        <w:t>La interventoría consistirá en el seguimiento técnico que sobre el cumplimiento del</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contrato realice una persona natural o jurídica contratada para tal fin por la Entidad</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Estatal,</w:t>
      </w:r>
      <w:r w:rsidRPr="00260737">
        <w:rPr>
          <w:rFonts w:ascii="Verdana" w:eastAsia="Arial MT" w:hAnsi="Verdana" w:cs="Arial"/>
          <w:color w:val="000000" w:themeColor="text1"/>
          <w:spacing w:val="-11"/>
          <w:sz w:val="20"/>
          <w:szCs w:val="20"/>
          <w:lang w:val="es-ES"/>
        </w:rPr>
        <w:t xml:space="preserve"> </w:t>
      </w:r>
      <w:r w:rsidRPr="00260737">
        <w:rPr>
          <w:rFonts w:ascii="Verdana" w:eastAsia="Arial MT" w:hAnsi="Verdana" w:cs="Arial"/>
          <w:color w:val="000000" w:themeColor="text1"/>
          <w:sz w:val="20"/>
          <w:szCs w:val="20"/>
          <w:lang w:val="es-ES"/>
        </w:rPr>
        <w:t>cuando</w:t>
      </w:r>
      <w:r w:rsidRPr="00260737">
        <w:rPr>
          <w:rFonts w:ascii="Verdana" w:eastAsia="Arial MT" w:hAnsi="Verdana" w:cs="Arial"/>
          <w:color w:val="000000" w:themeColor="text1"/>
          <w:spacing w:val="-9"/>
          <w:sz w:val="20"/>
          <w:szCs w:val="20"/>
          <w:lang w:val="es-ES"/>
        </w:rPr>
        <w:t xml:space="preserve"> </w:t>
      </w:r>
      <w:r w:rsidRPr="00260737">
        <w:rPr>
          <w:rFonts w:ascii="Verdana" w:eastAsia="Arial MT" w:hAnsi="Verdana" w:cs="Arial"/>
          <w:color w:val="000000" w:themeColor="text1"/>
          <w:sz w:val="20"/>
          <w:szCs w:val="20"/>
          <w:lang w:val="es-ES"/>
        </w:rPr>
        <w:t>el</w:t>
      </w:r>
      <w:r w:rsidRPr="00260737">
        <w:rPr>
          <w:rFonts w:ascii="Verdana" w:eastAsia="Arial MT" w:hAnsi="Verdana" w:cs="Arial"/>
          <w:color w:val="000000" w:themeColor="text1"/>
          <w:spacing w:val="-10"/>
          <w:sz w:val="20"/>
          <w:szCs w:val="20"/>
          <w:lang w:val="es-ES"/>
        </w:rPr>
        <w:t xml:space="preserve"> </w:t>
      </w:r>
      <w:r w:rsidRPr="00260737">
        <w:rPr>
          <w:rFonts w:ascii="Verdana" w:eastAsia="Arial MT" w:hAnsi="Verdana" w:cs="Arial"/>
          <w:color w:val="000000" w:themeColor="text1"/>
          <w:sz w:val="20"/>
          <w:szCs w:val="20"/>
          <w:lang w:val="es-ES"/>
        </w:rPr>
        <w:t>seguimiento</w:t>
      </w:r>
      <w:r w:rsidRPr="00260737">
        <w:rPr>
          <w:rFonts w:ascii="Verdana" w:eastAsia="Arial MT" w:hAnsi="Verdana" w:cs="Arial"/>
          <w:color w:val="000000" w:themeColor="text1"/>
          <w:spacing w:val="-9"/>
          <w:sz w:val="20"/>
          <w:szCs w:val="20"/>
          <w:lang w:val="es-ES"/>
        </w:rPr>
        <w:t xml:space="preserve"> </w:t>
      </w:r>
      <w:r w:rsidRPr="00260737">
        <w:rPr>
          <w:rFonts w:ascii="Verdana" w:eastAsia="Arial MT" w:hAnsi="Verdana" w:cs="Arial"/>
          <w:color w:val="000000" w:themeColor="text1"/>
          <w:sz w:val="20"/>
          <w:szCs w:val="20"/>
          <w:lang w:val="es-ES"/>
        </w:rPr>
        <w:t>del</w:t>
      </w:r>
      <w:r w:rsidRPr="00260737">
        <w:rPr>
          <w:rFonts w:ascii="Verdana" w:eastAsia="Arial MT" w:hAnsi="Verdana" w:cs="Arial"/>
          <w:color w:val="000000" w:themeColor="text1"/>
          <w:spacing w:val="-10"/>
          <w:sz w:val="20"/>
          <w:szCs w:val="20"/>
          <w:lang w:val="es-ES"/>
        </w:rPr>
        <w:t xml:space="preserve"> </w:t>
      </w:r>
      <w:r w:rsidRPr="00260737">
        <w:rPr>
          <w:rFonts w:ascii="Verdana" w:eastAsia="Arial MT" w:hAnsi="Verdana" w:cs="Arial"/>
          <w:color w:val="000000" w:themeColor="text1"/>
          <w:sz w:val="20"/>
          <w:szCs w:val="20"/>
          <w:lang w:val="es-ES"/>
        </w:rPr>
        <w:t>contrato</w:t>
      </w:r>
      <w:r w:rsidRPr="00260737">
        <w:rPr>
          <w:rFonts w:ascii="Verdana" w:eastAsia="Arial MT" w:hAnsi="Verdana" w:cs="Arial"/>
          <w:color w:val="000000" w:themeColor="text1"/>
          <w:spacing w:val="-9"/>
          <w:sz w:val="20"/>
          <w:szCs w:val="20"/>
          <w:lang w:val="es-ES"/>
        </w:rPr>
        <w:t xml:space="preserve"> </w:t>
      </w:r>
      <w:r w:rsidRPr="00260737">
        <w:rPr>
          <w:rFonts w:ascii="Verdana" w:eastAsia="Arial MT" w:hAnsi="Verdana" w:cs="Arial"/>
          <w:color w:val="000000" w:themeColor="text1"/>
          <w:sz w:val="20"/>
          <w:szCs w:val="20"/>
          <w:lang w:val="es-ES"/>
        </w:rPr>
        <w:t>suponga</w:t>
      </w:r>
      <w:r w:rsidRPr="00260737">
        <w:rPr>
          <w:rFonts w:ascii="Verdana" w:eastAsia="Arial MT" w:hAnsi="Verdana" w:cs="Arial"/>
          <w:color w:val="000000" w:themeColor="text1"/>
          <w:spacing w:val="-12"/>
          <w:sz w:val="20"/>
          <w:szCs w:val="20"/>
          <w:lang w:val="es-ES"/>
        </w:rPr>
        <w:t xml:space="preserve"> </w:t>
      </w:r>
      <w:r w:rsidRPr="00260737">
        <w:rPr>
          <w:rFonts w:ascii="Verdana" w:eastAsia="Arial MT" w:hAnsi="Verdana" w:cs="Arial"/>
          <w:color w:val="000000" w:themeColor="text1"/>
          <w:sz w:val="20"/>
          <w:szCs w:val="20"/>
          <w:lang w:val="es-ES"/>
        </w:rPr>
        <w:t>conocimiento</w:t>
      </w:r>
      <w:r w:rsidRPr="00260737">
        <w:rPr>
          <w:rFonts w:ascii="Verdana" w:eastAsia="Arial MT" w:hAnsi="Verdana" w:cs="Arial"/>
          <w:color w:val="000000" w:themeColor="text1"/>
          <w:spacing w:val="-13"/>
          <w:sz w:val="20"/>
          <w:szCs w:val="20"/>
          <w:lang w:val="es-ES"/>
        </w:rPr>
        <w:t xml:space="preserve"> </w:t>
      </w:r>
      <w:r w:rsidRPr="00260737">
        <w:rPr>
          <w:rFonts w:ascii="Verdana" w:eastAsia="Arial MT" w:hAnsi="Verdana" w:cs="Arial"/>
          <w:color w:val="000000" w:themeColor="text1"/>
          <w:sz w:val="20"/>
          <w:szCs w:val="20"/>
          <w:lang w:val="es-ES"/>
        </w:rPr>
        <w:t>especializado</w:t>
      </w:r>
      <w:r w:rsidRPr="00260737">
        <w:rPr>
          <w:rFonts w:ascii="Verdana" w:eastAsia="Arial MT" w:hAnsi="Verdana" w:cs="Arial"/>
          <w:color w:val="000000" w:themeColor="text1"/>
          <w:spacing w:val="-9"/>
          <w:sz w:val="20"/>
          <w:szCs w:val="20"/>
          <w:lang w:val="es-ES"/>
        </w:rPr>
        <w:t xml:space="preserve"> </w:t>
      </w:r>
      <w:r w:rsidRPr="00260737">
        <w:rPr>
          <w:rFonts w:ascii="Verdana" w:eastAsia="Arial MT" w:hAnsi="Verdana" w:cs="Arial"/>
          <w:color w:val="000000" w:themeColor="text1"/>
          <w:sz w:val="20"/>
          <w:szCs w:val="20"/>
          <w:lang w:val="es-ES"/>
        </w:rPr>
        <w:t>en</w:t>
      </w:r>
      <w:r w:rsidRPr="00260737">
        <w:rPr>
          <w:rFonts w:ascii="Verdana" w:eastAsia="Arial MT" w:hAnsi="Verdana" w:cs="Arial"/>
          <w:color w:val="000000" w:themeColor="text1"/>
          <w:spacing w:val="-10"/>
          <w:sz w:val="20"/>
          <w:szCs w:val="20"/>
          <w:lang w:val="es-ES"/>
        </w:rPr>
        <w:t xml:space="preserve"> </w:t>
      </w:r>
      <w:r w:rsidRPr="00260737">
        <w:rPr>
          <w:rFonts w:ascii="Verdana" w:eastAsia="Arial MT" w:hAnsi="Verdana" w:cs="Arial"/>
          <w:color w:val="000000" w:themeColor="text1"/>
          <w:sz w:val="20"/>
          <w:szCs w:val="20"/>
          <w:lang w:val="es-ES"/>
        </w:rPr>
        <w:t>la</w:t>
      </w:r>
      <w:r w:rsidRPr="00260737">
        <w:rPr>
          <w:rFonts w:ascii="Verdana" w:eastAsia="Arial MT" w:hAnsi="Verdana" w:cs="Arial"/>
          <w:color w:val="000000" w:themeColor="text1"/>
          <w:spacing w:val="-56"/>
          <w:sz w:val="20"/>
          <w:szCs w:val="20"/>
          <w:lang w:val="es-ES"/>
        </w:rPr>
        <w:t xml:space="preserve"> </w:t>
      </w:r>
      <w:r w:rsidRPr="00260737">
        <w:rPr>
          <w:rFonts w:ascii="Verdana" w:eastAsia="Arial MT" w:hAnsi="Verdana" w:cs="Arial"/>
          <w:color w:val="000000" w:themeColor="text1"/>
          <w:sz w:val="20"/>
          <w:szCs w:val="20"/>
          <w:lang w:val="es-ES"/>
        </w:rPr>
        <w:t>materia,</w:t>
      </w:r>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o</w:t>
      </w:r>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cuando</w:t>
      </w:r>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la</w:t>
      </w:r>
      <w:r w:rsidRPr="00260737">
        <w:rPr>
          <w:rFonts w:ascii="Verdana" w:eastAsia="Arial MT" w:hAnsi="Verdana" w:cs="Arial"/>
          <w:color w:val="000000" w:themeColor="text1"/>
          <w:spacing w:val="-4"/>
          <w:sz w:val="20"/>
          <w:szCs w:val="20"/>
          <w:lang w:val="es-ES"/>
        </w:rPr>
        <w:t xml:space="preserve"> </w:t>
      </w:r>
      <w:r w:rsidRPr="00260737">
        <w:rPr>
          <w:rFonts w:ascii="Verdana" w:eastAsia="Arial MT" w:hAnsi="Verdana" w:cs="Arial"/>
          <w:color w:val="000000" w:themeColor="text1"/>
          <w:sz w:val="20"/>
          <w:szCs w:val="20"/>
          <w:lang w:val="es-ES"/>
        </w:rPr>
        <w:t>complejidad</w:t>
      </w:r>
      <w:r w:rsidRPr="00260737">
        <w:rPr>
          <w:rFonts w:ascii="Verdana" w:eastAsia="Arial MT" w:hAnsi="Verdana" w:cs="Arial"/>
          <w:color w:val="000000" w:themeColor="text1"/>
          <w:spacing w:val="-7"/>
          <w:sz w:val="20"/>
          <w:szCs w:val="20"/>
          <w:lang w:val="es-ES"/>
        </w:rPr>
        <w:t xml:space="preserve"> </w:t>
      </w:r>
      <w:r w:rsidRPr="00260737">
        <w:rPr>
          <w:rFonts w:ascii="Verdana" w:eastAsia="Arial MT" w:hAnsi="Verdana" w:cs="Arial"/>
          <w:color w:val="000000" w:themeColor="text1"/>
          <w:sz w:val="20"/>
          <w:szCs w:val="20"/>
          <w:lang w:val="es-ES"/>
        </w:rPr>
        <w:t>o</w:t>
      </w:r>
      <w:r w:rsidRPr="00260737">
        <w:rPr>
          <w:rFonts w:ascii="Verdana" w:eastAsia="Arial MT" w:hAnsi="Verdana" w:cs="Arial"/>
          <w:color w:val="000000" w:themeColor="text1"/>
          <w:spacing w:val="-4"/>
          <w:sz w:val="20"/>
          <w:szCs w:val="20"/>
          <w:lang w:val="es-ES"/>
        </w:rPr>
        <w:t xml:space="preserve"> </w:t>
      </w:r>
      <w:r w:rsidRPr="00260737">
        <w:rPr>
          <w:rFonts w:ascii="Verdana" w:eastAsia="Arial MT" w:hAnsi="Verdana" w:cs="Arial"/>
          <w:color w:val="000000" w:themeColor="text1"/>
          <w:sz w:val="20"/>
          <w:szCs w:val="20"/>
          <w:lang w:val="es-ES"/>
        </w:rPr>
        <w:t>la</w:t>
      </w:r>
      <w:r w:rsidRPr="00260737">
        <w:rPr>
          <w:rFonts w:ascii="Verdana" w:eastAsia="Arial MT" w:hAnsi="Verdana" w:cs="Arial"/>
          <w:color w:val="000000" w:themeColor="text1"/>
          <w:spacing w:val="-4"/>
          <w:sz w:val="20"/>
          <w:szCs w:val="20"/>
          <w:lang w:val="es-ES"/>
        </w:rPr>
        <w:t xml:space="preserve"> </w:t>
      </w:r>
      <w:r w:rsidRPr="00260737">
        <w:rPr>
          <w:rFonts w:ascii="Verdana" w:eastAsia="Arial MT" w:hAnsi="Verdana" w:cs="Arial"/>
          <w:color w:val="000000" w:themeColor="text1"/>
          <w:sz w:val="20"/>
          <w:szCs w:val="20"/>
          <w:lang w:val="es-ES"/>
        </w:rPr>
        <w:t>extensión</w:t>
      </w:r>
      <w:r w:rsidRPr="00260737">
        <w:rPr>
          <w:rFonts w:ascii="Verdana" w:eastAsia="Arial MT" w:hAnsi="Verdana" w:cs="Arial"/>
          <w:color w:val="000000" w:themeColor="text1"/>
          <w:spacing w:val="-6"/>
          <w:sz w:val="20"/>
          <w:szCs w:val="20"/>
          <w:lang w:val="es-ES"/>
        </w:rPr>
        <w:t xml:space="preserve"> </w:t>
      </w:r>
      <w:proofErr w:type="gramStart"/>
      <w:r w:rsidRPr="00260737">
        <w:rPr>
          <w:rFonts w:ascii="Verdana" w:eastAsia="Arial MT" w:hAnsi="Verdana" w:cs="Arial"/>
          <w:color w:val="000000" w:themeColor="text1"/>
          <w:sz w:val="20"/>
          <w:szCs w:val="20"/>
          <w:lang w:val="es-ES"/>
        </w:rPr>
        <w:t>del</w:t>
      </w:r>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mismo</w:t>
      </w:r>
      <w:proofErr w:type="gramEnd"/>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lo</w:t>
      </w:r>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justifiquen.</w:t>
      </w:r>
      <w:r w:rsidRPr="00260737">
        <w:rPr>
          <w:rFonts w:ascii="Verdana" w:eastAsia="Arial MT" w:hAnsi="Verdana" w:cs="Arial"/>
          <w:color w:val="000000" w:themeColor="text1"/>
          <w:spacing w:val="-7"/>
          <w:sz w:val="20"/>
          <w:szCs w:val="20"/>
          <w:lang w:val="es-ES"/>
        </w:rPr>
        <w:t xml:space="preserve"> </w:t>
      </w:r>
      <w:r w:rsidRPr="00260737">
        <w:rPr>
          <w:rFonts w:ascii="Verdana" w:eastAsia="Arial MT" w:hAnsi="Verdana" w:cs="Arial"/>
          <w:color w:val="000000" w:themeColor="text1"/>
          <w:sz w:val="20"/>
          <w:szCs w:val="20"/>
          <w:lang w:val="es-ES"/>
        </w:rPr>
        <w:t>No</w:t>
      </w:r>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obstante,</w:t>
      </w:r>
      <w:r w:rsidRPr="00260737">
        <w:rPr>
          <w:rFonts w:ascii="Verdana" w:eastAsia="Arial MT" w:hAnsi="Verdana" w:cs="Arial"/>
          <w:color w:val="000000" w:themeColor="text1"/>
          <w:spacing w:val="-56"/>
          <w:sz w:val="20"/>
          <w:szCs w:val="20"/>
          <w:lang w:val="es-ES"/>
        </w:rPr>
        <w:t xml:space="preserve"> </w:t>
      </w:r>
      <w:r w:rsidRPr="00260737">
        <w:rPr>
          <w:rFonts w:ascii="Verdana" w:eastAsia="Arial MT" w:hAnsi="Verdana" w:cs="Arial"/>
          <w:color w:val="000000" w:themeColor="text1"/>
          <w:sz w:val="20"/>
          <w:szCs w:val="20"/>
          <w:lang w:val="es-ES"/>
        </w:rPr>
        <w:t>lo anterior cuando la entidad lo encuentre justificado y acorde a la naturaleza del</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contrato principal, podrá contratar el seguimiento administrativo, técnico, financiero,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contable,</w:t>
      </w:r>
      <w:r w:rsidRPr="00260737">
        <w:rPr>
          <w:rFonts w:ascii="Verdana" w:eastAsia="Arial MT" w:hAnsi="Verdana" w:cs="Arial"/>
          <w:color w:val="000000" w:themeColor="text1"/>
          <w:spacing w:val="-3"/>
          <w:sz w:val="20"/>
          <w:szCs w:val="20"/>
          <w:lang w:val="es-ES"/>
        </w:rPr>
        <w:t xml:space="preserve"> </w:t>
      </w:r>
      <w:r w:rsidRPr="00260737">
        <w:rPr>
          <w:rFonts w:ascii="Verdana" w:eastAsia="Arial MT" w:hAnsi="Verdana" w:cs="Arial"/>
          <w:color w:val="000000" w:themeColor="text1"/>
          <w:sz w:val="20"/>
          <w:szCs w:val="20"/>
          <w:lang w:val="es-ES"/>
        </w:rPr>
        <w:t>jurídico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del objeto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contrato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dentro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de</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la</w:t>
      </w:r>
      <w:r w:rsidRPr="00260737">
        <w:rPr>
          <w:rFonts w:ascii="Verdana" w:eastAsia="Arial MT" w:hAnsi="Verdana" w:cs="Arial"/>
          <w:color w:val="000000" w:themeColor="text1"/>
          <w:spacing w:val="-4"/>
          <w:sz w:val="20"/>
          <w:szCs w:val="20"/>
          <w:lang w:val="es-ES"/>
        </w:rPr>
        <w:t xml:space="preserve"> </w:t>
      </w:r>
      <w:r w:rsidRPr="00260737">
        <w:rPr>
          <w:rFonts w:ascii="Verdana" w:eastAsia="Arial MT" w:hAnsi="Verdana" w:cs="Arial"/>
          <w:color w:val="000000" w:themeColor="text1"/>
          <w:sz w:val="20"/>
          <w:szCs w:val="20"/>
          <w:lang w:val="es-ES"/>
        </w:rPr>
        <w:t>interventoría”.</w:t>
      </w:r>
    </w:p>
    <w:p w14:paraId="3FFA3160" w14:textId="77777777" w:rsidR="000F4524" w:rsidRPr="00260737" w:rsidRDefault="000F4524" w:rsidP="000F4524">
      <w:pPr>
        <w:widowControl w:val="0"/>
        <w:autoSpaceDE w:val="0"/>
        <w:autoSpaceDN w:val="0"/>
        <w:spacing w:before="8" w:after="0" w:line="276" w:lineRule="auto"/>
        <w:rPr>
          <w:rFonts w:ascii="Verdana" w:eastAsia="Arial MT" w:hAnsi="Verdana" w:cs="Arial"/>
          <w:color w:val="000000" w:themeColor="text1"/>
          <w:lang w:val="es-ES"/>
        </w:rPr>
      </w:pPr>
    </w:p>
    <w:p w14:paraId="7C44F7F4" w14:textId="77777777" w:rsidR="000F4524" w:rsidRPr="00260737" w:rsidRDefault="000F4524" w:rsidP="000F4524">
      <w:pPr>
        <w:widowControl w:val="0"/>
        <w:autoSpaceDE w:val="0"/>
        <w:autoSpaceDN w:val="0"/>
        <w:spacing w:after="120" w:line="276" w:lineRule="auto"/>
        <w:ind w:firstLine="709"/>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En este punto, se reitera lo expuesto por esta Agencia desde el Concepto 4201913000008240 del 20 de diciembre de 2019, en cuya oportunidad se señaló que “el seguimiento de la ejecución del contrato para su dirección, control y vigilancia del correcto cumplimiento del objeto es un deber legal que permite a las entidades estatales tomar medidas orientadas a la satisfacción de los fines de la contratación, dentro de las cuales, se encuentra la posibilidad de pactar y ejercer las cláusulas exorbitantes, la designación de una supervisión o la contratación de una interventoría para vigilar la ejecución del contrato y la facultad de pactar e imponer multas, cláusula penal o hacer efectivas las garantías del contrato, previa declaratoria de incumplimiento de las obligaciones del contrato, en aras de lograr la satisfacción de las necesidades de bienes, obras o servicios que se pretenden suplir con la celebración de los contratos estatales”.</w:t>
      </w:r>
    </w:p>
    <w:p w14:paraId="7CE94D43" w14:textId="77777777" w:rsidR="000F4524" w:rsidRPr="00260737" w:rsidRDefault="000F4524" w:rsidP="000F4524">
      <w:pPr>
        <w:widowControl w:val="0"/>
        <w:autoSpaceDE w:val="0"/>
        <w:autoSpaceDN w:val="0"/>
        <w:spacing w:after="120" w:line="276" w:lineRule="auto"/>
        <w:ind w:firstLine="709"/>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Por lo tanto, la responsabilidad por el control y vigilancia de la ejecución del contrato está a cargo de la entidad estatal contratante y, en consecuencia, es ésta quien debe supervisar los contratos mediante sus funcionarios o servidores públicos, y únicamente puede contratar personal en caso de necesitarlo como apoyo a su gestión en la supervisión. De este modo, el contratista podría fungir de apoyo a la supervisión del contrato, en la medida en que el contrato de prestación de servicios profesionales y de apoyo a la gestión tenga como objeto obligaciones dirigidas a apoyar dicha actividad de supervisión de contratos. En tal sentido, los contratistas no pueden asumir de forma íntegra, directa y excluyente la actividad de supervisión de los contratos estatales.</w:t>
      </w:r>
    </w:p>
    <w:p w14:paraId="1D460CD6" w14:textId="77777777" w:rsidR="000F4524" w:rsidRPr="00260737" w:rsidRDefault="000F4524" w:rsidP="000F4524">
      <w:pPr>
        <w:widowControl w:val="0"/>
        <w:autoSpaceDE w:val="0"/>
        <w:autoSpaceDN w:val="0"/>
        <w:spacing w:after="120" w:line="276" w:lineRule="auto"/>
        <w:ind w:firstLine="709"/>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lastRenderedPageBreak/>
        <w:t>Por lo demás, quien ejerza la vigilancia de la ejecución del contrato</w:t>
      </w:r>
      <w:r w:rsidRPr="00260737">
        <w:rPr>
          <w:rFonts w:ascii="Verdana" w:eastAsia="Arial MT" w:hAnsi="Verdana" w:cs="Arial"/>
          <w:color w:val="000000" w:themeColor="text1"/>
          <w:spacing w:val="-4"/>
          <w:lang w:val="es-ES"/>
        </w:rPr>
        <w:t xml:space="preserve"> </w:t>
      </w:r>
      <w:r w:rsidRPr="00260737">
        <w:rPr>
          <w:rFonts w:ascii="Verdana" w:eastAsia="Arial MT" w:hAnsi="Verdana" w:cs="Arial"/>
          <w:color w:val="000000" w:themeColor="text1"/>
          <w:lang w:val="es-ES"/>
        </w:rPr>
        <w:t>puede</w:t>
      </w:r>
      <w:r w:rsidRPr="00260737">
        <w:rPr>
          <w:rFonts w:ascii="Verdana" w:eastAsia="Arial MT" w:hAnsi="Verdana" w:cs="Arial"/>
          <w:color w:val="000000" w:themeColor="text1"/>
          <w:spacing w:val="-5"/>
          <w:lang w:val="es-ES"/>
        </w:rPr>
        <w:t xml:space="preserve"> </w:t>
      </w:r>
      <w:r w:rsidRPr="00260737">
        <w:rPr>
          <w:rFonts w:ascii="Verdana" w:eastAsia="Arial MT" w:hAnsi="Verdana" w:cs="Arial"/>
          <w:color w:val="000000" w:themeColor="text1"/>
          <w:lang w:val="es-ES"/>
        </w:rPr>
        <w:t>hacer</w:t>
      </w:r>
      <w:r w:rsidRPr="00260737">
        <w:rPr>
          <w:rFonts w:ascii="Verdana" w:eastAsia="Arial MT" w:hAnsi="Verdana" w:cs="Arial"/>
          <w:color w:val="000000" w:themeColor="text1"/>
          <w:spacing w:val="-5"/>
          <w:lang w:val="es-ES"/>
        </w:rPr>
        <w:t xml:space="preserve"> </w:t>
      </w:r>
      <w:r w:rsidRPr="00260737">
        <w:rPr>
          <w:rFonts w:ascii="Verdana" w:eastAsia="Arial MT" w:hAnsi="Verdana" w:cs="Arial"/>
          <w:color w:val="000000" w:themeColor="text1"/>
          <w:lang w:val="es-ES"/>
        </w:rPr>
        <w:t>uso</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las</w:t>
      </w:r>
      <w:r w:rsidRPr="00260737">
        <w:rPr>
          <w:rFonts w:ascii="Verdana" w:eastAsia="Arial MT" w:hAnsi="Verdana" w:cs="Arial"/>
          <w:color w:val="000000" w:themeColor="text1"/>
          <w:spacing w:val="-5"/>
          <w:lang w:val="es-ES"/>
        </w:rPr>
        <w:t xml:space="preserve"> </w:t>
      </w:r>
      <w:r w:rsidRPr="00260737">
        <w:rPr>
          <w:rFonts w:ascii="Verdana" w:eastAsia="Arial MT" w:hAnsi="Verdana" w:cs="Arial"/>
          <w:color w:val="000000" w:themeColor="text1"/>
          <w:lang w:val="es-ES"/>
        </w:rPr>
        <w:t>facultades</w:t>
      </w:r>
      <w:r w:rsidRPr="00260737">
        <w:rPr>
          <w:rFonts w:ascii="Verdana" w:eastAsia="Arial MT" w:hAnsi="Verdana" w:cs="Arial"/>
          <w:color w:val="000000" w:themeColor="text1"/>
          <w:spacing w:val="-5"/>
          <w:lang w:val="es-ES"/>
        </w:rPr>
        <w:t xml:space="preserve"> </w:t>
      </w:r>
      <w:r w:rsidRPr="00260737">
        <w:rPr>
          <w:rFonts w:ascii="Verdana" w:eastAsia="Arial MT" w:hAnsi="Verdana" w:cs="Arial"/>
          <w:color w:val="000000" w:themeColor="text1"/>
          <w:lang w:val="es-ES"/>
        </w:rPr>
        <w:t>previstas</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en</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el</w:t>
      </w:r>
      <w:r w:rsidRPr="00260737">
        <w:rPr>
          <w:rFonts w:ascii="Verdana" w:eastAsia="Arial MT" w:hAnsi="Verdana" w:cs="Arial"/>
          <w:color w:val="000000" w:themeColor="text1"/>
          <w:spacing w:val="-4"/>
          <w:lang w:val="es-ES"/>
        </w:rPr>
        <w:t xml:space="preserve"> </w:t>
      </w:r>
      <w:r w:rsidRPr="00260737">
        <w:rPr>
          <w:rFonts w:ascii="Verdana" w:eastAsia="Arial MT" w:hAnsi="Verdana" w:cs="Arial"/>
          <w:color w:val="000000" w:themeColor="text1"/>
          <w:lang w:val="es-ES"/>
        </w:rPr>
        <w:t>artículo</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84</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5"/>
          <w:lang w:val="es-ES"/>
        </w:rPr>
        <w:t xml:space="preserve"> </w:t>
      </w:r>
      <w:r w:rsidRPr="00260737">
        <w:rPr>
          <w:rFonts w:ascii="Verdana" w:eastAsia="Arial MT" w:hAnsi="Verdana" w:cs="Arial"/>
          <w:color w:val="000000" w:themeColor="text1"/>
          <w:lang w:val="es-ES"/>
        </w:rPr>
        <w:t>Ley</w:t>
      </w:r>
      <w:r w:rsidRPr="00260737">
        <w:rPr>
          <w:rFonts w:ascii="Verdana" w:eastAsia="Arial MT" w:hAnsi="Verdana" w:cs="Arial"/>
          <w:color w:val="000000" w:themeColor="text1"/>
          <w:spacing w:val="-58"/>
          <w:lang w:val="es-ES"/>
        </w:rPr>
        <w:t xml:space="preserve"> </w:t>
      </w:r>
      <w:r w:rsidRPr="00260737">
        <w:rPr>
          <w:rFonts w:ascii="Verdana" w:eastAsia="Arial MT" w:hAnsi="Verdana" w:cs="Arial"/>
          <w:color w:val="000000" w:themeColor="text1"/>
          <w:lang w:val="es-ES"/>
        </w:rPr>
        <w:t>1474 de 2011 para efectuar el seguimiento al cumplimiento obligacional del contrato y estará</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sometido a los deberes y responsabilidades que implica el ejercicio de dicha actividad. En este contexto, “Los interventores y supervisores están facultados para solicitar informes, aclaraciones y explicaciones sobre el desarrollo de la ejecución contractual […]”.</w:t>
      </w:r>
    </w:p>
    <w:p w14:paraId="23672D35" w14:textId="77777777" w:rsidR="000F4524" w:rsidRPr="00260737" w:rsidRDefault="000F4524" w:rsidP="000F4524">
      <w:pPr>
        <w:widowControl w:val="0"/>
        <w:autoSpaceDE w:val="0"/>
        <w:autoSpaceDN w:val="0"/>
        <w:spacing w:after="120" w:line="276" w:lineRule="auto"/>
        <w:ind w:firstLine="708"/>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Sin embargo, la facultad de control y vigilancia realizada por el supervisor no es absoluta, pues no puede solicitar informes, aclaraciones y explicaciones ajenas al marco jurídico de la actividad desplegada por el contratista. Por ello, en lo relacionado con el seguimiento financiero y contable, la doctrina considera que el supervisor está facultado para aprobar la factura o documento equivalente para cancelar el valor del contrato, aprobar el formato de cumplimiento de requisitos de pago, tramitar la cancelación de pagos parciales, verificar que el contratista se encuentre al día en los pagos al sistema de seguridad social, entre otras</w:t>
      </w:r>
      <w:r w:rsidRPr="00260737">
        <w:rPr>
          <w:rStyle w:val="Refdenotaalpie"/>
          <w:rFonts w:ascii="Verdana" w:eastAsia="Arial MT" w:hAnsi="Verdana" w:cs="Arial"/>
          <w:color w:val="000000" w:themeColor="text1"/>
          <w:lang w:val="es-ES"/>
        </w:rPr>
        <w:footnoteReference w:id="19"/>
      </w:r>
      <w:r w:rsidRPr="00260737">
        <w:rPr>
          <w:rFonts w:ascii="Verdana" w:eastAsia="Arial MT" w:hAnsi="Verdana" w:cs="Arial"/>
          <w:color w:val="000000" w:themeColor="text1"/>
          <w:lang w:val="es-ES"/>
        </w:rPr>
        <w:t xml:space="preserve">. </w:t>
      </w:r>
    </w:p>
    <w:p w14:paraId="121E285A" w14:textId="3CDC405B" w:rsidR="000F4524" w:rsidRPr="000F4524" w:rsidRDefault="000F4524" w:rsidP="000F4524">
      <w:pPr>
        <w:widowControl w:val="0"/>
        <w:autoSpaceDE w:val="0"/>
        <w:autoSpaceDN w:val="0"/>
        <w:spacing w:after="120" w:line="276" w:lineRule="auto"/>
        <w:ind w:firstLine="708"/>
        <w:jc w:val="both"/>
        <w:rPr>
          <w:rFonts w:ascii="Verdana" w:eastAsia="Arial MT" w:hAnsi="Verdana" w:cs="Arial"/>
          <w:color w:val="000000" w:themeColor="text1"/>
          <w:lang w:val="es-ES"/>
        </w:rPr>
      </w:pPr>
      <w:r w:rsidRPr="00260737">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9FEC223" w14:textId="77777777" w:rsidR="000F4524" w:rsidRPr="0060676F" w:rsidRDefault="000F4524" w:rsidP="000F4524">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2D6A9075" w14:textId="77777777" w:rsidR="000F4524" w:rsidRPr="00593A5F" w:rsidRDefault="000F4524" w:rsidP="000F4524">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F4524" w:rsidRPr="00593A5F" w14:paraId="47212CC7" w14:textId="77777777" w:rsidTr="004F10D7">
        <w:trPr>
          <w:trHeight w:val="870"/>
        </w:trPr>
        <w:tc>
          <w:tcPr>
            <w:tcW w:w="8647" w:type="dxa"/>
          </w:tcPr>
          <w:p w14:paraId="6C34A6E0" w14:textId="77777777" w:rsidR="000F4524" w:rsidRPr="00CE48C3" w:rsidRDefault="000F4524" w:rsidP="004F10D7">
            <w:pPr>
              <w:widowControl w:val="0"/>
              <w:numPr>
                <w:ilvl w:val="0"/>
                <w:numId w:val="18"/>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Ley 80 de 1993, artículo 60. Disponible en: </w:t>
            </w:r>
            <w:hyperlink r:id="rId12" w:history="1">
              <w:r w:rsidRPr="00E87EA6">
                <w:rPr>
                  <w:rFonts w:ascii="Verdana" w:eastAsia="Calibri" w:hAnsi="Verdana" w:cs="Arial"/>
                  <w:u w:val="single"/>
                </w:rPr>
                <w:t>https://relatoria.colombiacompra.gov.co/normativa/ley-80-de-1993/</w:t>
              </w:r>
            </w:hyperlink>
          </w:p>
          <w:p w14:paraId="3AF2DF6E" w14:textId="77777777" w:rsidR="000F4524" w:rsidRPr="00E87EA6" w:rsidRDefault="000F4524" w:rsidP="004F10D7">
            <w:pPr>
              <w:widowControl w:val="0"/>
              <w:numPr>
                <w:ilvl w:val="0"/>
                <w:numId w:val="18"/>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Ley 1150 de 2007, artículo 11. Disponible en: </w:t>
            </w:r>
            <w:hyperlink r:id="rId13" w:history="1">
              <w:r w:rsidRPr="00E87EA6">
                <w:rPr>
                  <w:rFonts w:ascii="Verdana" w:eastAsia="Calibri" w:hAnsi="Verdana" w:cs="Arial"/>
                  <w:u w:val="single"/>
                </w:rPr>
                <w:t>https://relatoria.colombiacompra.gov.co/normativa/ley-1150-de-2007/</w:t>
              </w:r>
            </w:hyperlink>
          </w:p>
          <w:p w14:paraId="127242C6" w14:textId="77777777" w:rsidR="000F4524" w:rsidRPr="00CE48C3" w:rsidRDefault="000F4524" w:rsidP="004F10D7">
            <w:pPr>
              <w:widowControl w:val="0"/>
              <w:numPr>
                <w:ilvl w:val="0"/>
                <w:numId w:val="18"/>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Código de Comercio, artículo 1048. Disponible en: </w:t>
            </w:r>
            <w:hyperlink r:id="rId14" w:history="1">
              <w:r w:rsidRPr="00E87EA6">
                <w:rPr>
                  <w:rFonts w:ascii="Verdana" w:eastAsia="Calibri" w:hAnsi="Verdana" w:cs="Arial"/>
                  <w:u w:val="single"/>
                </w:rPr>
                <w:t>https://relatoria.colombiacompra.gov.co/normativa/codigo-de-comercio-decreto-410-de-1971/</w:t>
              </w:r>
            </w:hyperlink>
          </w:p>
          <w:p w14:paraId="4478682B" w14:textId="77777777" w:rsidR="000F4524" w:rsidRPr="00CE48C3" w:rsidRDefault="000F4524" w:rsidP="004F10D7">
            <w:pPr>
              <w:widowControl w:val="0"/>
              <w:numPr>
                <w:ilvl w:val="0"/>
                <w:numId w:val="18"/>
              </w:numPr>
              <w:autoSpaceDE w:val="0"/>
              <w:autoSpaceDN w:val="0"/>
              <w:spacing w:after="120"/>
              <w:contextualSpacing/>
              <w:jc w:val="both"/>
              <w:rPr>
                <w:rFonts w:ascii="Verdana" w:eastAsia="Calibri" w:hAnsi="Verdana" w:cs="Arial"/>
              </w:rPr>
            </w:pPr>
            <w:r w:rsidRPr="00E87EA6">
              <w:rPr>
                <w:rFonts w:ascii="Verdana" w:eastAsia="Calibri" w:hAnsi="Verdana" w:cs="Arial"/>
              </w:rPr>
              <w:t>Decreto</w:t>
            </w:r>
            <w:r w:rsidRPr="00E87EA6">
              <w:rPr>
                <w:rFonts w:ascii="Verdana" w:eastAsia="Calibri" w:hAnsi="Verdana" w:cs="Arial"/>
              </w:rPr>
              <w:tab/>
              <w:t>1082</w:t>
            </w:r>
            <w:r w:rsidRPr="00E87EA6">
              <w:rPr>
                <w:rFonts w:ascii="Verdana" w:eastAsia="Calibri" w:hAnsi="Verdana" w:cs="Arial"/>
              </w:rPr>
              <w:tab/>
              <w:t>de</w:t>
            </w:r>
            <w:r w:rsidRPr="00E87EA6">
              <w:rPr>
                <w:rFonts w:ascii="Verdana" w:eastAsia="Calibri" w:hAnsi="Verdana" w:cs="Arial"/>
              </w:rPr>
              <w:tab/>
              <w:t>2015,</w:t>
            </w:r>
            <w:r w:rsidRPr="00E87EA6">
              <w:rPr>
                <w:rFonts w:ascii="Verdana" w:eastAsia="Calibri" w:hAnsi="Verdana" w:cs="Arial"/>
              </w:rPr>
              <w:tab/>
              <w:t>artículos</w:t>
            </w:r>
            <w:r w:rsidRPr="00E87EA6">
              <w:rPr>
                <w:rFonts w:ascii="Verdana" w:eastAsia="Calibri" w:hAnsi="Verdana" w:cs="Arial"/>
              </w:rPr>
              <w:tab/>
              <w:t>2.2.1.2.3.1.3,</w:t>
            </w:r>
            <w:r w:rsidRPr="00E87EA6">
              <w:rPr>
                <w:rFonts w:ascii="Verdana" w:eastAsia="Calibri" w:hAnsi="Verdana" w:cs="Arial"/>
              </w:rPr>
              <w:tab/>
              <w:t xml:space="preserve">2.2.1.2.3.1.7, 2.2.1.2.3.1.12. Disponible en: </w:t>
            </w:r>
            <w:hyperlink r:id="rId15" w:history="1">
              <w:r w:rsidRPr="00E87EA6">
                <w:rPr>
                  <w:rFonts w:ascii="Verdana" w:eastAsia="Calibri" w:hAnsi="Verdana" w:cs="Arial"/>
                  <w:u w:val="single"/>
                </w:rPr>
                <w:t>https://relatoria.colombiacompra.gov.co/normativa/decreto-1082-de-2015/</w:t>
              </w:r>
            </w:hyperlink>
          </w:p>
          <w:p w14:paraId="5A4102FA" w14:textId="77777777" w:rsidR="000F4524" w:rsidRPr="00CE48C3" w:rsidRDefault="000F4524" w:rsidP="004F10D7">
            <w:pPr>
              <w:widowControl w:val="0"/>
              <w:numPr>
                <w:ilvl w:val="0"/>
                <w:numId w:val="18"/>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CONSEJO DE ESTADO. Sección Tercera. Subsección A. Sentencia del 12 de febrero de 2015. </w:t>
            </w:r>
            <w:proofErr w:type="spellStart"/>
            <w:r w:rsidRPr="00E87EA6">
              <w:rPr>
                <w:rFonts w:ascii="Verdana" w:eastAsia="Calibri" w:hAnsi="Verdana" w:cs="Arial"/>
              </w:rPr>
              <w:t>Exp</w:t>
            </w:r>
            <w:proofErr w:type="spellEnd"/>
            <w:r w:rsidRPr="00E87EA6">
              <w:rPr>
                <w:rFonts w:ascii="Verdana" w:eastAsia="Calibri" w:hAnsi="Verdana" w:cs="Arial"/>
              </w:rPr>
              <w:t xml:space="preserve">. 28278. C.P. Carlos Alberto Zambrano Barrera. Disponible: </w:t>
            </w:r>
            <w:hyperlink r:id="rId16" w:history="1">
              <w:r w:rsidRPr="00E87EA6">
                <w:rPr>
                  <w:rFonts w:ascii="Verdana" w:eastAsia="Calibri" w:hAnsi="Verdana" w:cs="Arial"/>
                  <w:u w:val="single"/>
                </w:rPr>
                <w:t>https://relatoria.colombiacompra.gov.co/providencias/25000-23-26-000-2003-00874-01_28278/</w:t>
              </w:r>
            </w:hyperlink>
          </w:p>
          <w:p w14:paraId="0B1C03FF" w14:textId="77777777" w:rsidR="000F4524" w:rsidRPr="00CE48C3" w:rsidRDefault="000F4524" w:rsidP="004F10D7">
            <w:pPr>
              <w:widowControl w:val="0"/>
              <w:numPr>
                <w:ilvl w:val="0"/>
                <w:numId w:val="18"/>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CONSEJO DE ESTADO. Sección Tercera. Sentencia del 29 de julio de 2015. </w:t>
            </w:r>
            <w:proofErr w:type="spellStart"/>
            <w:r w:rsidRPr="00E87EA6">
              <w:rPr>
                <w:rFonts w:ascii="Verdana" w:eastAsia="Calibri" w:hAnsi="Verdana" w:cs="Arial"/>
              </w:rPr>
              <w:t>Exp</w:t>
            </w:r>
            <w:proofErr w:type="spellEnd"/>
            <w:r w:rsidRPr="00E87EA6">
              <w:rPr>
                <w:rFonts w:ascii="Verdana" w:eastAsia="Calibri" w:hAnsi="Verdana" w:cs="Arial"/>
              </w:rPr>
              <w:t xml:space="preserve">. 42.494. C.P. Jaime Orlando Santofimio Gamboa. Disponible en: </w:t>
            </w:r>
            <w:hyperlink r:id="rId17" w:history="1">
              <w:r w:rsidRPr="00E87EA6">
                <w:rPr>
                  <w:rFonts w:ascii="Verdana" w:eastAsia="Calibri" w:hAnsi="Verdana" w:cs="Arial"/>
                  <w:u w:val="single"/>
                </w:rPr>
                <w:t>https://relatoria.colombiacompra.gov.co/providencias/25000-23-26-000-2007-00108-01_42494/</w:t>
              </w:r>
            </w:hyperlink>
          </w:p>
          <w:p w14:paraId="4CD1F293" w14:textId="77777777" w:rsidR="000F4524" w:rsidRPr="00E87EA6" w:rsidRDefault="000F4524" w:rsidP="004F10D7">
            <w:pPr>
              <w:widowControl w:val="0"/>
              <w:numPr>
                <w:ilvl w:val="0"/>
                <w:numId w:val="18"/>
              </w:numPr>
              <w:autoSpaceDE w:val="0"/>
              <w:autoSpaceDN w:val="0"/>
              <w:spacing w:after="120"/>
              <w:contextualSpacing/>
              <w:jc w:val="both"/>
              <w:rPr>
                <w:rFonts w:ascii="Verdana" w:eastAsia="Calibri" w:hAnsi="Verdana" w:cs="Arial"/>
              </w:rPr>
            </w:pPr>
            <w:r w:rsidRPr="00E87EA6">
              <w:rPr>
                <w:rFonts w:ascii="Verdana" w:eastAsia="Calibri" w:hAnsi="Verdana" w:cs="Arial"/>
              </w:rPr>
              <w:t>CONSEJO DE ESTADO. Sección Tercera. Subsección C. Radicado No. 05001-23-31-000-1998-00038-01. Número Interno 27.777. M.P.</w:t>
            </w:r>
          </w:p>
          <w:p w14:paraId="2D53E04C" w14:textId="77777777" w:rsidR="000F4524" w:rsidRPr="00E87EA6" w:rsidRDefault="000F4524" w:rsidP="004F10D7">
            <w:pPr>
              <w:widowControl w:val="0"/>
              <w:autoSpaceDE w:val="0"/>
              <w:autoSpaceDN w:val="0"/>
              <w:spacing w:after="120"/>
              <w:ind w:left="720"/>
              <w:contextualSpacing/>
              <w:jc w:val="both"/>
              <w:rPr>
                <w:rFonts w:ascii="Verdana" w:eastAsia="Calibri" w:hAnsi="Verdana" w:cs="Arial"/>
              </w:rPr>
            </w:pPr>
            <w:r w:rsidRPr="00E87EA6">
              <w:rPr>
                <w:rFonts w:ascii="Verdana" w:eastAsia="Calibri" w:hAnsi="Verdana" w:cs="Arial"/>
              </w:rPr>
              <w:t>Enrique Gil Botero</w:t>
            </w:r>
          </w:p>
          <w:p w14:paraId="05D096DC" w14:textId="77777777" w:rsidR="000F4524" w:rsidRPr="00CE48C3" w:rsidRDefault="000F4524" w:rsidP="004F10D7">
            <w:pPr>
              <w:widowControl w:val="0"/>
              <w:numPr>
                <w:ilvl w:val="0"/>
                <w:numId w:val="18"/>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CONSEJO DE ESTADO. Sección Tercera. Sentencia del 13 de septiembre de 1999. </w:t>
            </w:r>
            <w:proofErr w:type="spellStart"/>
            <w:r w:rsidRPr="00E87EA6">
              <w:rPr>
                <w:rFonts w:ascii="Verdana" w:eastAsia="Calibri" w:hAnsi="Verdana" w:cs="Arial"/>
              </w:rPr>
              <w:t>Exp</w:t>
            </w:r>
            <w:proofErr w:type="spellEnd"/>
            <w:r w:rsidRPr="00E87EA6">
              <w:rPr>
                <w:rFonts w:ascii="Verdana" w:eastAsia="Calibri" w:hAnsi="Verdana" w:cs="Arial"/>
              </w:rPr>
              <w:t>. 10.264. C.P. Ricardo Hoyos Duque.</w:t>
            </w:r>
          </w:p>
          <w:p w14:paraId="2E3821D5" w14:textId="77777777" w:rsidR="000F4524" w:rsidRPr="00E87EA6" w:rsidRDefault="000F4524" w:rsidP="004F10D7">
            <w:pPr>
              <w:widowControl w:val="0"/>
              <w:numPr>
                <w:ilvl w:val="0"/>
                <w:numId w:val="18"/>
              </w:numPr>
              <w:autoSpaceDE w:val="0"/>
              <w:autoSpaceDN w:val="0"/>
              <w:spacing w:after="120"/>
              <w:contextualSpacing/>
              <w:jc w:val="both"/>
              <w:rPr>
                <w:rFonts w:ascii="Verdana" w:eastAsia="Calibri" w:hAnsi="Verdana" w:cs="Arial"/>
              </w:rPr>
            </w:pPr>
            <w:r w:rsidRPr="00E87EA6">
              <w:rPr>
                <w:rFonts w:ascii="Verdana" w:eastAsia="Calibri" w:hAnsi="Verdana" w:cs="Arial"/>
              </w:rPr>
              <w:t>CONSEJO DE ESTADO. Sala de Consulta y Servicio Civil. Concepto de 28 de junio de 2016. Radicación: 2253. C.P. Álvaro Namén Vargas</w:t>
            </w:r>
          </w:p>
          <w:p w14:paraId="3A76ACCA" w14:textId="77777777" w:rsidR="000F4524" w:rsidRPr="00CE48C3" w:rsidRDefault="000F4524" w:rsidP="004F10D7">
            <w:pPr>
              <w:widowControl w:val="0"/>
              <w:numPr>
                <w:ilvl w:val="0"/>
                <w:numId w:val="18"/>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CONSEJO DE ESTADO. Sección Tercera. Sala Plena. Auto de 1 de agosto de 2019. </w:t>
            </w:r>
            <w:proofErr w:type="spellStart"/>
            <w:r w:rsidRPr="00E87EA6">
              <w:rPr>
                <w:rFonts w:ascii="Verdana" w:eastAsia="Calibri" w:hAnsi="Verdana" w:cs="Arial"/>
              </w:rPr>
              <w:t>Exp</w:t>
            </w:r>
            <w:proofErr w:type="spellEnd"/>
            <w:r w:rsidRPr="00E87EA6">
              <w:rPr>
                <w:rFonts w:ascii="Verdana" w:eastAsia="Calibri" w:hAnsi="Verdana" w:cs="Arial"/>
              </w:rPr>
              <w:t xml:space="preserve">. 62009. C.P. Jaime Enrique Rodríguez Navas. Disponible en: </w:t>
            </w:r>
            <w:hyperlink r:id="rId18" w:history="1">
              <w:r w:rsidRPr="00E87EA6">
                <w:rPr>
                  <w:rFonts w:ascii="Verdana" w:eastAsia="Calibri" w:hAnsi="Verdana" w:cs="Arial"/>
                  <w:u w:val="single"/>
                </w:rPr>
                <w:t>https://relatoria.colombiacompra.gov.co/providencias/2019_05001-23-33-000-2018-00342-01_62009/</w:t>
              </w:r>
            </w:hyperlink>
          </w:p>
          <w:p w14:paraId="75CF9500" w14:textId="77777777" w:rsidR="000F4524" w:rsidRPr="00CE48C3" w:rsidRDefault="000F4524" w:rsidP="004F10D7">
            <w:pPr>
              <w:widowControl w:val="0"/>
              <w:numPr>
                <w:ilvl w:val="0"/>
                <w:numId w:val="18"/>
              </w:numPr>
              <w:autoSpaceDE w:val="0"/>
              <w:autoSpaceDN w:val="0"/>
              <w:spacing w:after="120"/>
              <w:contextualSpacing/>
              <w:rPr>
                <w:rFonts w:ascii="Verdana" w:eastAsia="Calibri" w:hAnsi="Verdana" w:cs="Arial"/>
              </w:rPr>
            </w:pPr>
            <w:r w:rsidRPr="00E87EA6">
              <w:rPr>
                <w:rFonts w:ascii="Verdana" w:eastAsia="Calibri" w:hAnsi="Verdana" w:cs="Arial"/>
              </w:rPr>
              <w:t>COLOMBIA COMPRA EFICIENTE. Guía para la Liquidación de los Procesos</w:t>
            </w:r>
            <w:r w:rsidRPr="00E87EA6">
              <w:rPr>
                <w:rFonts w:ascii="Verdana" w:eastAsia="Calibri" w:hAnsi="Verdana" w:cs="Arial"/>
              </w:rPr>
              <w:tab/>
              <w:t>de</w:t>
            </w:r>
            <w:r w:rsidRPr="00E87EA6">
              <w:rPr>
                <w:rFonts w:ascii="Verdana" w:eastAsia="Calibri" w:hAnsi="Verdana" w:cs="Arial"/>
              </w:rPr>
              <w:tab/>
              <w:t>Contratación.</w:t>
            </w:r>
            <w:r w:rsidRPr="00E87EA6">
              <w:rPr>
                <w:rFonts w:ascii="Verdana" w:eastAsia="Calibri" w:hAnsi="Verdana" w:cs="Arial"/>
              </w:rPr>
              <w:tab/>
              <w:t>Disponible</w:t>
            </w:r>
            <w:r w:rsidRPr="00E87EA6">
              <w:rPr>
                <w:rFonts w:ascii="Verdana" w:eastAsia="Calibri" w:hAnsi="Verdana" w:cs="Arial"/>
              </w:rPr>
              <w:tab/>
              <w:t xml:space="preserve">en: </w:t>
            </w:r>
            <w:hyperlink r:id="rId19" w:history="1">
              <w:r w:rsidRPr="00E87EA6">
                <w:rPr>
                  <w:rFonts w:ascii="Verdana" w:eastAsia="Calibri" w:hAnsi="Verdana" w:cs="Arial"/>
                  <w:u w:val="single"/>
                </w:rPr>
                <w:t>https://www.colombiacompra.gov.co/sites/cce_public/files/cce_documents/cce_guia_liquidacion_procesos.pdf</w:t>
              </w:r>
            </w:hyperlink>
          </w:p>
          <w:p w14:paraId="3794161D" w14:textId="77777777" w:rsidR="000F4524" w:rsidRPr="00332677" w:rsidRDefault="000F4524" w:rsidP="004F10D7">
            <w:pPr>
              <w:pStyle w:val="Prrafodelista"/>
              <w:widowControl w:val="0"/>
              <w:autoSpaceDE w:val="0"/>
              <w:autoSpaceDN w:val="0"/>
              <w:jc w:val="both"/>
              <w:rPr>
                <w:rFonts w:ascii="Verdana" w:hAnsi="Verdana" w:cs="Arial"/>
              </w:rPr>
            </w:pPr>
            <w:r w:rsidRPr="00E87EA6">
              <w:rPr>
                <w:rFonts w:ascii="Verdana" w:eastAsia="Calibri" w:hAnsi="Verdana" w:cs="Arial"/>
              </w:rPr>
              <w:t>PALACIO HINCAPIÉ, Juan Ángel. La contratación de las entidades estatales. Octava edición. Medellín: Librería Jurídica Sánchez R. SAS, 2020.</w:t>
            </w:r>
          </w:p>
        </w:tc>
      </w:tr>
    </w:tbl>
    <w:p w14:paraId="5EBFAAC1" w14:textId="77777777" w:rsidR="000F4524" w:rsidRDefault="000F4524" w:rsidP="000F4524">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A068D7E" w14:textId="77777777" w:rsidR="000F4524" w:rsidRDefault="000F4524" w:rsidP="000F4524">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86F23BD" w14:textId="77777777" w:rsidR="000F4524" w:rsidRPr="00593A5F" w:rsidRDefault="000F4524" w:rsidP="000F4524">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ABB0B5D" w14:textId="77777777" w:rsidR="000F4524" w:rsidRPr="002A22D8" w:rsidRDefault="000F4524" w:rsidP="000F4524">
      <w:pPr>
        <w:widowControl w:val="0"/>
        <w:autoSpaceDE w:val="0"/>
        <w:autoSpaceDN w:val="0"/>
        <w:spacing w:after="0" w:line="276" w:lineRule="auto"/>
        <w:jc w:val="both"/>
        <w:rPr>
          <w:rFonts w:ascii="Verdana" w:hAnsi="Verdana" w:cs="Arial"/>
          <w:bCs/>
          <w:shd w:val="clear" w:color="auto" w:fill="FFFFFF"/>
        </w:rPr>
      </w:pPr>
      <w:r w:rsidRPr="00E87EA6">
        <w:rPr>
          <w:rFonts w:ascii="Verdana" w:eastAsia="Calibri" w:hAnsi="Verdana" w:cs="Arial"/>
          <w:lang w:val="es-ES_tradnl" w:eastAsia="es-ES_tradnl"/>
        </w:rPr>
        <w:t>La Agencia Nacional de Contratación Pública – Colombia Compra Eficiente se ha pronunciado s</w:t>
      </w:r>
      <w:r w:rsidRPr="00E87EA6">
        <w:rPr>
          <w:rFonts w:ascii="Verdana" w:eastAsia="Calibri" w:hAnsi="Verdana" w:cs="Arial"/>
          <w:shd w:val="clear" w:color="auto" w:fill="FFFFFF"/>
          <w:lang w:val="es-ES"/>
        </w:rPr>
        <w:t xml:space="preserve">obre las garantías en la contratación estatal en los conceptos </w:t>
      </w:r>
      <w:r w:rsidRPr="00E87EA6">
        <w:rPr>
          <w:rFonts w:ascii="Verdana" w:eastAsia="Calibri" w:hAnsi="Verdana" w:cs="Arial"/>
          <w:shd w:val="clear" w:color="auto" w:fill="FFFFFF"/>
          <w:lang w:val="es-ES"/>
        </w:rPr>
        <w:lastRenderedPageBreak/>
        <w:t>2201913000009075 del 9 de diciembre de 2019, C-080 del 8 de abril de 2021, C-525 del 24 de septiembre de 2021, C-584 del 26 de septiembre de 2022 y C-066 del 21 de abril de 2024, entre otros. También se ha pronunciado sobre la liquidación de los contratos estatales en los conceptos 4201912000004908 del 27 de septiembre de 2019, CU-028 de 25 de febrero de 2020, C-221 de 21 de abril de 2020, C-078 del 17 de marzo de 2021, C-220 del 18 de mayo de 2021, C-548 del 5 de octubre de 2021 y C-739 del 29 de noviembre de 2022, C-144 del 9 de julio de 2024 y C-129 del 29 de julio de 2024, C-335 del 26 de agosto de 2024</w:t>
      </w:r>
      <w:r w:rsidRPr="00E87EA6">
        <w:rPr>
          <w:rFonts w:ascii="Verdana" w:eastAsia="Calibri" w:hAnsi="Verdana" w:cs="Arial"/>
          <w:shd w:val="clear" w:color="auto" w:fill="FFFFFF"/>
          <w:lang w:val="es-ES_tradnl"/>
        </w:rPr>
        <w:t>,</w:t>
      </w:r>
      <w:r>
        <w:rPr>
          <w:rFonts w:ascii="Verdana" w:eastAsia="Calibri" w:hAnsi="Verdana" w:cs="Arial"/>
          <w:shd w:val="clear" w:color="auto" w:fill="FFFFFF"/>
          <w:lang w:val="es-ES_tradnl"/>
        </w:rPr>
        <w:t xml:space="preserve"> Concepto c-078 de 2025 y </w:t>
      </w:r>
      <w:r>
        <w:rPr>
          <w:rFonts w:ascii="Verdana" w:eastAsia="Calibri" w:hAnsi="Verdana" w:cs="Arial"/>
          <w:lang w:val="es-ES_tradnl" w:eastAsia="es-ES"/>
        </w:rPr>
        <w:t xml:space="preserve">C-330 del 24 de abril de 2025, </w:t>
      </w:r>
      <w:r w:rsidRPr="00E87EA6">
        <w:rPr>
          <w:rFonts w:ascii="Verdana" w:eastAsia="Calibri" w:hAnsi="Verdana" w:cs="Arial"/>
          <w:shd w:val="clear" w:color="auto" w:fill="FFFFFF"/>
          <w:lang w:val="es-ES"/>
        </w:rPr>
        <w:t>entre otros</w:t>
      </w:r>
      <w:r w:rsidRPr="00024134">
        <w:rPr>
          <w:rStyle w:val="normaltextrun"/>
          <w:rFonts w:ascii="Verdana" w:hAnsi="Verdana" w:cs="Arial"/>
          <w:shd w:val="clear" w:color="auto" w:fill="FFFFFF"/>
          <w:lang w:val="es-ES"/>
        </w:rPr>
        <w:t xml:space="preserve">. </w:t>
      </w:r>
      <w:r w:rsidRPr="00024134">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44AFB25F" w14:textId="77777777" w:rsidR="000F4524" w:rsidRPr="0065720B" w:rsidRDefault="000F4524" w:rsidP="000F4524">
      <w:pPr>
        <w:widowControl w:val="0"/>
        <w:autoSpaceDE w:val="0"/>
        <w:autoSpaceDN w:val="0"/>
        <w:spacing w:after="0" w:line="276" w:lineRule="auto"/>
        <w:jc w:val="both"/>
        <w:rPr>
          <w:rStyle w:val="normaltextrun"/>
          <w:rFonts w:ascii="Verdana" w:eastAsia="Calibri" w:hAnsi="Verdana" w:cs="Arial"/>
          <w:lang w:val="es-ES_tradnl" w:eastAsia="en-GB"/>
        </w:rPr>
      </w:pPr>
      <w:hyperlink r:id="rId20"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235ABA35" w14:textId="77777777" w:rsidR="000F4524" w:rsidRPr="00096788" w:rsidRDefault="000F4524" w:rsidP="000F4524">
      <w:pPr>
        <w:widowControl w:val="0"/>
        <w:autoSpaceDE w:val="0"/>
        <w:autoSpaceDN w:val="0"/>
        <w:spacing w:after="0" w:line="276" w:lineRule="auto"/>
        <w:jc w:val="both"/>
        <w:rPr>
          <w:rFonts w:ascii="Verdana" w:hAnsi="Verdana" w:cs="Arial"/>
          <w:color w:val="000000" w:themeColor="text1"/>
          <w:shd w:val="clear" w:color="auto" w:fill="FFFFFF"/>
        </w:rPr>
      </w:pPr>
    </w:p>
    <w:p w14:paraId="6AA658F8" w14:textId="77777777" w:rsidR="000F4524" w:rsidRDefault="000F4524" w:rsidP="000F4524">
      <w:pPr>
        <w:shd w:val="clear" w:color="auto" w:fill="FFFFFF"/>
        <w:spacing w:after="0" w:line="276" w:lineRule="auto"/>
        <w:jc w:val="both"/>
        <w:rPr>
          <w:rFonts w:ascii="Verdana" w:hAnsi="Verdana"/>
          <w:color w:val="000000"/>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21"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0AB01A82" w14:textId="77777777" w:rsidR="000F4524" w:rsidRDefault="000F4524" w:rsidP="000F4524">
      <w:pPr>
        <w:shd w:val="clear" w:color="auto" w:fill="FFFFFF"/>
        <w:spacing w:after="0" w:line="276" w:lineRule="auto"/>
        <w:jc w:val="both"/>
        <w:rPr>
          <w:rFonts w:ascii="Verdana" w:hAnsi="Verdana"/>
          <w:color w:val="000000"/>
          <w:u w:val="single"/>
        </w:rPr>
      </w:pPr>
    </w:p>
    <w:p w14:paraId="20F59CBC" w14:textId="77777777" w:rsidR="000F4524" w:rsidRPr="0038088D" w:rsidRDefault="000F4524" w:rsidP="000F4524">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098A91EC" w14:textId="77777777" w:rsidR="000F4524" w:rsidRPr="0038088D" w:rsidRDefault="000F4524" w:rsidP="000F4524">
      <w:pPr>
        <w:spacing w:after="0"/>
        <w:jc w:val="both"/>
        <w:rPr>
          <w:rFonts w:ascii="Verdana" w:hAnsi="Verdana"/>
        </w:rPr>
      </w:pPr>
    </w:p>
    <w:p w14:paraId="240CB200" w14:textId="77777777" w:rsidR="000F4524" w:rsidRPr="0038088D" w:rsidRDefault="000F4524" w:rsidP="000F4524">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1615645F" w14:textId="77777777" w:rsidR="000F4524" w:rsidRPr="0038088D" w:rsidRDefault="000F4524" w:rsidP="000F4524">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4DB85718" w14:textId="77777777" w:rsidR="000F4524" w:rsidRPr="0038088D" w:rsidRDefault="000F4524" w:rsidP="000F4524">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lastRenderedPageBreak/>
        <w:t xml:space="preserve">Correo de radicación de correspondencia: </w:t>
      </w:r>
      <w:hyperlink r:id="rId22">
        <w:r w:rsidRPr="0038088D">
          <w:rPr>
            <w:rStyle w:val="Hipervnculo"/>
            <w:rFonts w:ascii="Verdana" w:eastAsia="Verdana" w:hAnsi="Verdana" w:cs="Verdana"/>
          </w:rPr>
          <w:t>ventanilladeradicacion@colombiacompra.gov.co</w:t>
        </w:r>
      </w:hyperlink>
    </w:p>
    <w:p w14:paraId="33F2119B" w14:textId="77777777" w:rsidR="000F4524" w:rsidRPr="0038088D" w:rsidRDefault="000F4524" w:rsidP="000F4524">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23">
        <w:r w:rsidRPr="0038088D">
          <w:rPr>
            <w:rStyle w:val="Hipervnculo"/>
            <w:rFonts w:ascii="Verdana" w:eastAsia="Verdana" w:hAnsi="Verdana" w:cs="Verdana"/>
          </w:rPr>
          <w:t>https://www.colombiacompra.gov.co/pqrsd/informacion-importante-antes-de-formular-una-pqrsd</w:t>
        </w:r>
      </w:hyperlink>
    </w:p>
    <w:p w14:paraId="689A31A3" w14:textId="77777777" w:rsidR="000F4524" w:rsidRPr="0038088D" w:rsidRDefault="000F4524" w:rsidP="000F4524">
      <w:pPr>
        <w:spacing w:after="0" w:line="240" w:lineRule="auto"/>
        <w:ind w:left="720"/>
        <w:jc w:val="both"/>
        <w:rPr>
          <w:rFonts w:ascii="Verdana" w:hAnsi="Verdana"/>
        </w:rPr>
      </w:pPr>
    </w:p>
    <w:p w14:paraId="7E6F1B3E" w14:textId="77777777" w:rsidR="000F4524" w:rsidRPr="0038088D" w:rsidRDefault="000F4524" w:rsidP="000F4524">
      <w:pPr>
        <w:spacing w:after="0" w:line="240" w:lineRule="auto"/>
        <w:rPr>
          <w:rFonts w:ascii="Verdana" w:hAnsi="Verdana"/>
        </w:rPr>
      </w:pPr>
      <w:r w:rsidRPr="0038088D">
        <w:rPr>
          <w:rFonts w:ascii="Verdana" w:hAnsi="Verdana"/>
        </w:rPr>
        <w:t xml:space="preserve">Evalúa el servicio que ofrece la Agencia por el canal de atención de PQRSD en el siguiente </w:t>
      </w:r>
      <w:proofErr w:type="gramStart"/>
      <w:r w:rsidRPr="0038088D">
        <w:rPr>
          <w:rFonts w:ascii="Verdana" w:hAnsi="Verdana"/>
        </w:rPr>
        <w:t>enlace :</w:t>
      </w:r>
      <w:proofErr w:type="gramEnd"/>
      <w:hyperlink r:id="rId24"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07752259" w14:textId="77777777" w:rsidR="000F4524" w:rsidRPr="0038088D" w:rsidRDefault="000F4524" w:rsidP="000F4524">
      <w:pPr>
        <w:spacing w:after="0" w:line="240" w:lineRule="auto"/>
        <w:rPr>
          <w:rFonts w:ascii="Verdana" w:hAnsi="Verdana"/>
        </w:rPr>
      </w:pPr>
    </w:p>
    <w:p w14:paraId="33B35785" w14:textId="77777777" w:rsidR="000F4524" w:rsidRPr="0038088D" w:rsidRDefault="000F4524" w:rsidP="000F4524">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02316316" w14:textId="77777777" w:rsidR="000F4524" w:rsidRPr="00116940" w:rsidRDefault="000F4524" w:rsidP="000F4524">
      <w:pPr>
        <w:spacing w:after="0" w:line="240" w:lineRule="auto"/>
        <w:jc w:val="both"/>
        <w:rPr>
          <w:rFonts w:ascii="Verdana" w:hAnsi="Verdana"/>
        </w:rPr>
      </w:pPr>
    </w:p>
    <w:p w14:paraId="3BB2E755" w14:textId="77777777" w:rsidR="000F4524" w:rsidRPr="00116940" w:rsidRDefault="000F4524" w:rsidP="000F4524">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59618564" w14:textId="77777777" w:rsidR="000F4524" w:rsidRPr="00116940" w:rsidRDefault="000F4524" w:rsidP="000F4524">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0D47322F" w14:textId="77777777" w:rsidR="000F4524" w:rsidRPr="00E22E6E" w:rsidRDefault="000F4524" w:rsidP="000F4524">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7F5CFB47" w14:textId="77777777" w:rsidR="000F4524" w:rsidRPr="009C4035" w:rsidRDefault="000F4524" w:rsidP="000F4524">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2D20DA91" w14:textId="77777777" w:rsidR="000F4524" w:rsidRPr="00593A5F" w:rsidRDefault="000F4524" w:rsidP="000F4524">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606DA53F" w14:textId="77777777" w:rsidR="000F4524" w:rsidRPr="00593A5F" w:rsidRDefault="000F4524" w:rsidP="000F4524">
      <w:pPr>
        <w:widowControl w:val="0"/>
        <w:autoSpaceDE w:val="0"/>
        <w:autoSpaceDN w:val="0"/>
        <w:spacing w:after="0" w:line="276" w:lineRule="auto"/>
        <w:jc w:val="both"/>
        <w:rPr>
          <w:rFonts w:ascii="Verdana" w:hAnsi="Verdana" w:cs="Arial"/>
        </w:rPr>
      </w:pPr>
    </w:p>
    <w:p w14:paraId="6969410B" w14:textId="77777777" w:rsidR="000F4524" w:rsidRPr="00593A5F" w:rsidRDefault="000F4524" w:rsidP="000F4524">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05F13710" w14:textId="5F8B9FA5" w:rsidR="000F4524" w:rsidRDefault="0033389A" w:rsidP="000F4524">
      <w:pPr>
        <w:spacing w:after="0" w:line="276" w:lineRule="auto"/>
        <w:jc w:val="center"/>
        <w:rPr>
          <w:rFonts w:ascii="Verdana" w:hAnsi="Verdana"/>
          <w:lang w:val="es-ES_tradnl"/>
        </w:rPr>
      </w:pPr>
      <w:r>
        <w:rPr>
          <w:rFonts w:ascii="Verdana" w:hAnsi="Verdana"/>
          <w:noProof/>
          <w:lang w:val="es-ES_tradnl"/>
        </w:rPr>
        <w:drawing>
          <wp:inline distT="0" distB="0" distL="0" distR="0" wp14:anchorId="0A7855CF" wp14:editId="0540A640">
            <wp:extent cx="3639058" cy="1343212"/>
            <wp:effectExtent l="0" t="0" r="0" b="0"/>
            <wp:docPr id="113342370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423701" name="Imagen 1" descr="Texto&#10;&#10;Descripción generada automáticamente"/>
                    <pic:cNvPicPr/>
                  </pic:nvPicPr>
                  <pic:blipFill>
                    <a:blip r:embed="rId25">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F4524" w:rsidRPr="00D53651" w14:paraId="226D66B6" w14:textId="77777777" w:rsidTr="004F10D7">
        <w:trPr>
          <w:trHeight w:val="315"/>
        </w:trPr>
        <w:tc>
          <w:tcPr>
            <w:tcW w:w="893" w:type="dxa"/>
            <w:vAlign w:val="center"/>
            <w:hideMark/>
          </w:tcPr>
          <w:p w14:paraId="11DA2227" w14:textId="77777777" w:rsidR="000F4524" w:rsidRPr="00D53651" w:rsidRDefault="000F4524" w:rsidP="004F10D7">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785CF4A0" w14:textId="77777777" w:rsidR="000F4524" w:rsidRPr="00D53651" w:rsidRDefault="000F4524" w:rsidP="004F10D7">
            <w:pPr>
              <w:spacing w:line="276" w:lineRule="auto"/>
              <w:jc w:val="both"/>
              <w:rPr>
                <w:rFonts w:ascii="Verdana" w:hAnsi="Verdana"/>
                <w:sz w:val="16"/>
                <w:szCs w:val="16"/>
              </w:rPr>
            </w:pPr>
            <w:r>
              <w:rPr>
                <w:rFonts w:ascii="Verdana" w:hAnsi="Verdana"/>
                <w:sz w:val="16"/>
                <w:szCs w:val="16"/>
              </w:rPr>
              <w:t>Gloria Elizabeth Arango Builes</w:t>
            </w:r>
          </w:p>
          <w:p w14:paraId="2121A2C0" w14:textId="77777777" w:rsidR="000F4524" w:rsidRPr="00D53651" w:rsidRDefault="000F4524" w:rsidP="004F10D7">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0F4524" w:rsidRPr="00D53651" w14:paraId="67AC52FC" w14:textId="77777777" w:rsidTr="004F10D7">
        <w:trPr>
          <w:trHeight w:val="330"/>
        </w:trPr>
        <w:tc>
          <w:tcPr>
            <w:tcW w:w="893" w:type="dxa"/>
            <w:vAlign w:val="center"/>
            <w:hideMark/>
          </w:tcPr>
          <w:p w14:paraId="5A0A081E" w14:textId="77777777" w:rsidR="000F4524" w:rsidRPr="00D53651" w:rsidRDefault="000F4524" w:rsidP="004F10D7">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4DE642FC" w14:textId="77777777" w:rsidR="000F4524" w:rsidRPr="00D53651" w:rsidRDefault="000F4524" w:rsidP="004F10D7">
            <w:pPr>
              <w:spacing w:line="276" w:lineRule="auto"/>
              <w:jc w:val="both"/>
              <w:rPr>
                <w:rFonts w:ascii="Verdana" w:hAnsi="Verdana"/>
                <w:sz w:val="16"/>
                <w:szCs w:val="16"/>
              </w:rPr>
            </w:pPr>
            <w:r>
              <w:rPr>
                <w:rFonts w:ascii="Verdana" w:hAnsi="Verdana"/>
                <w:sz w:val="16"/>
                <w:szCs w:val="16"/>
              </w:rPr>
              <w:t>Diana Lucía Saavedra Castañeda</w:t>
            </w:r>
          </w:p>
          <w:p w14:paraId="15A4A075" w14:textId="77777777" w:rsidR="000F4524" w:rsidRPr="00D53651" w:rsidRDefault="000F4524" w:rsidP="004F10D7">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0F4524" w:rsidRPr="00D53651" w14:paraId="06886F57" w14:textId="77777777" w:rsidTr="004F10D7">
        <w:trPr>
          <w:trHeight w:val="300"/>
        </w:trPr>
        <w:tc>
          <w:tcPr>
            <w:tcW w:w="893" w:type="dxa"/>
            <w:vAlign w:val="center"/>
            <w:hideMark/>
          </w:tcPr>
          <w:p w14:paraId="58F88D60" w14:textId="77777777" w:rsidR="000F4524" w:rsidRPr="00D53651" w:rsidRDefault="000F4524" w:rsidP="004F10D7">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52547111" w14:textId="77777777" w:rsidR="000F4524" w:rsidRPr="00D53651" w:rsidRDefault="000F4524" w:rsidP="004F10D7">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0C82872D" w14:textId="77777777" w:rsidR="000F4524" w:rsidRPr="00D53651" w:rsidRDefault="000F4524" w:rsidP="004F10D7">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7210E138" w14:textId="77777777" w:rsidR="000F4524" w:rsidRPr="000E2B93" w:rsidRDefault="000F4524" w:rsidP="000F4524">
      <w:pPr>
        <w:spacing w:after="0" w:line="240" w:lineRule="auto"/>
        <w:jc w:val="both"/>
        <w:textAlignment w:val="baseline"/>
        <w:rPr>
          <w:rFonts w:ascii="Verdana" w:eastAsia="Verdana" w:hAnsi="Verdana" w:cs="Verdana"/>
          <w:lang w:eastAsia="es-CO"/>
        </w:rPr>
      </w:pPr>
    </w:p>
    <w:p w14:paraId="0C9D1F3A" w14:textId="35C20393" w:rsidR="000F4524" w:rsidRPr="000E2B93" w:rsidRDefault="000F4524" w:rsidP="000F4524">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0F4524" w:rsidRPr="000E2B93" w:rsidSect="007C0C0F">
      <w:headerReference w:type="default" r:id="rId26"/>
      <w:footerReference w:type="default" r:id="rId2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480559" w14:textId="77777777" w:rsidR="009C0164" w:rsidRDefault="009C0164" w:rsidP="004A1847">
      <w:pPr>
        <w:spacing w:after="0" w:line="240" w:lineRule="auto"/>
      </w:pPr>
      <w:r>
        <w:separator/>
      </w:r>
    </w:p>
  </w:endnote>
  <w:endnote w:type="continuationSeparator" w:id="0">
    <w:p w14:paraId="11913182" w14:textId="77777777" w:rsidR="009C0164" w:rsidRDefault="009C0164" w:rsidP="004A1847">
      <w:pPr>
        <w:spacing w:after="0" w:line="240" w:lineRule="auto"/>
      </w:pPr>
      <w:r>
        <w:continuationSeparator/>
      </w:r>
    </w:p>
  </w:endnote>
  <w:endnote w:type="continuationNotice" w:id="1">
    <w:p w14:paraId="46EA64CC" w14:textId="77777777" w:rsidR="009C0164" w:rsidRDefault="009C016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charset w:val="01"/>
    <w:family w:val="swiss"/>
    <w:pitch w:val="variable"/>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FFCA2C" w14:textId="77777777" w:rsidR="009C0164" w:rsidRDefault="009C0164" w:rsidP="004A1847">
      <w:pPr>
        <w:spacing w:after="0" w:line="240" w:lineRule="auto"/>
      </w:pPr>
      <w:r>
        <w:separator/>
      </w:r>
    </w:p>
  </w:footnote>
  <w:footnote w:type="continuationSeparator" w:id="0">
    <w:p w14:paraId="10A23767" w14:textId="77777777" w:rsidR="009C0164" w:rsidRDefault="009C0164" w:rsidP="004A1847">
      <w:pPr>
        <w:spacing w:after="0" w:line="240" w:lineRule="auto"/>
      </w:pPr>
      <w:r>
        <w:continuationSeparator/>
      </w:r>
    </w:p>
  </w:footnote>
  <w:footnote w:type="continuationNotice" w:id="1">
    <w:p w14:paraId="7EDE4FAB" w14:textId="77777777" w:rsidR="009C0164" w:rsidRDefault="009C0164">
      <w:pPr>
        <w:spacing w:after="0" w:line="240" w:lineRule="auto"/>
      </w:pPr>
    </w:p>
  </w:footnote>
  <w:footnote w:id="2">
    <w:p w14:paraId="6F22088E" w14:textId="77777777" w:rsidR="000F4524" w:rsidRPr="005A7BCE" w:rsidRDefault="000F4524" w:rsidP="000F4524">
      <w:pPr>
        <w:pStyle w:val="Textonotapie"/>
        <w:ind w:firstLine="709"/>
        <w:jc w:val="both"/>
        <w:rPr>
          <w:rFonts w:ascii="Verdana" w:hAnsi="Verdana" w:cs="Arial"/>
          <w:sz w:val="16"/>
          <w:szCs w:val="16"/>
        </w:rPr>
      </w:pPr>
      <w:r w:rsidRPr="005A7BCE">
        <w:rPr>
          <w:rStyle w:val="Refdenotaalpie"/>
          <w:rFonts w:ascii="Verdana" w:hAnsi="Verdana"/>
          <w:sz w:val="16"/>
          <w:szCs w:val="16"/>
        </w:rPr>
        <w:footnoteRef/>
      </w:r>
      <w:r w:rsidRPr="005A7BCE">
        <w:rPr>
          <w:rFonts w:ascii="Verdana" w:hAnsi="Verdana" w:cs="Arial"/>
          <w:sz w:val="16"/>
          <w:szCs w:val="16"/>
        </w:rPr>
        <w:t xml:space="preserve"> CONSEJO DE ESTADO. Sección Tercera. Sentencia del 29 de julio de 2015. </w:t>
      </w:r>
      <w:proofErr w:type="spellStart"/>
      <w:r w:rsidRPr="005A7BCE">
        <w:rPr>
          <w:rFonts w:ascii="Verdana" w:hAnsi="Verdana" w:cs="Arial"/>
          <w:sz w:val="16"/>
          <w:szCs w:val="16"/>
        </w:rPr>
        <w:t>Exp</w:t>
      </w:r>
      <w:proofErr w:type="spellEnd"/>
      <w:r w:rsidRPr="005A7BCE">
        <w:rPr>
          <w:rFonts w:ascii="Verdana" w:hAnsi="Verdana" w:cs="Arial"/>
          <w:sz w:val="16"/>
          <w:szCs w:val="16"/>
        </w:rPr>
        <w:t>. 42.494. C.P. Jaime Orlando Santofimio Gamboa.</w:t>
      </w:r>
    </w:p>
  </w:footnote>
  <w:footnote w:id="3">
    <w:p w14:paraId="07AF31D1" w14:textId="77777777" w:rsidR="000F4524" w:rsidRPr="007148BA" w:rsidRDefault="000F4524" w:rsidP="000F4524">
      <w:pPr>
        <w:pStyle w:val="Textonotapie"/>
        <w:ind w:firstLine="708"/>
        <w:jc w:val="both"/>
        <w:rPr>
          <w:rFonts w:ascii="Verdana" w:hAnsi="Verdana" w:cs="Arial"/>
          <w:sz w:val="16"/>
          <w:szCs w:val="16"/>
        </w:rPr>
      </w:pPr>
      <w:r w:rsidRPr="007148BA">
        <w:rPr>
          <w:rStyle w:val="Refdenotaalpie"/>
          <w:rFonts w:ascii="Verdana" w:hAnsi="Verdana"/>
          <w:sz w:val="16"/>
          <w:szCs w:val="16"/>
        </w:rPr>
        <w:footnoteRef/>
      </w:r>
      <w:r w:rsidRPr="007148BA">
        <w:rPr>
          <w:rFonts w:ascii="Verdana" w:hAnsi="Verdana" w:cs="Arial"/>
          <w:sz w:val="16"/>
          <w:szCs w:val="16"/>
        </w:rPr>
        <w:t xml:space="preserve"> CONSEJO DE ESTADO. Sección Tercera. Sentencia del 13 de septiembre de 1999. </w:t>
      </w:r>
      <w:proofErr w:type="spellStart"/>
      <w:r w:rsidRPr="007148BA">
        <w:rPr>
          <w:rFonts w:ascii="Verdana" w:hAnsi="Verdana" w:cs="Arial"/>
          <w:sz w:val="16"/>
          <w:szCs w:val="16"/>
        </w:rPr>
        <w:t>Exp</w:t>
      </w:r>
      <w:proofErr w:type="spellEnd"/>
      <w:r w:rsidRPr="007148BA">
        <w:rPr>
          <w:rFonts w:ascii="Verdana" w:hAnsi="Verdana" w:cs="Arial"/>
          <w:sz w:val="16"/>
          <w:szCs w:val="16"/>
        </w:rPr>
        <w:t>. 10.264. C.P. Ricardo Hoyos Duque.</w:t>
      </w:r>
    </w:p>
  </w:footnote>
  <w:footnote w:id="4">
    <w:p w14:paraId="6716C6B6" w14:textId="77777777" w:rsidR="000F4524" w:rsidRPr="007148BA" w:rsidRDefault="000F4524" w:rsidP="000F4524">
      <w:pPr>
        <w:pStyle w:val="Textonotapie"/>
        <w:ind w:firstLine="708"/>
        <w:jc w:val="both"/>
        <w:rPr>
          <w:rFonts w:ascii="Verdana" w:hAnsi="Verdana" w:cs="Arial"/>
          <w:sz w:val="16"/>
          <w:szCs w:val="16"/>
          <w:lang w:val="es-ES"/>
        </w:rPr>
      </w:pPr>
      <w:r w:rsidRPr="007148BA">
        <w:rPr>
          <w:rStyle w:val="Refdenotaalpie"/>
          <w:rFonts w:ascii="Verdana" w:hAnsi="Verdana"/>
          <w:sz w:val="16"/>
          <w:szCs w:val="16"/>
        </w:rPr>
        <w:footnoteRef/>
      </w:r>
      <w:r w:rsidRPr="007148BA">
        <w:rPr>
          <w:rFonts w:ascii="Verdana" w:hAnsi="Verdana" w:cs="Arial"/>
          <w:sz w:val="16"/>
          <w:szCs w:val="16"/>
        </w:rPr>
        <w:t xml:space="preserve"> PALACIO HINCAPIÉ, Juan Ángel. La contratación de las entidades estatales. Octava edición. Medellín: Librería Jurídica Sánchez R. SAS, 2020. p. 659.</w:t>
      </w:r>
    </w:p>
  </w:footnote>
  <w:footnote w:id="5">
    <w:p w14:paraId="6FD21F43" w14:textId="77777777" w:rsidR="000F4524" w:rsidRPr="007148BA" w:rsidRDefault="000F4524" w:rsidP="000F4524">
      <w:pPr>
        <w:spacing w:after="0" w:line="240" w:lineRule="auto"/>
        <w:ind w:firstLine="709"/>
        <w:jc w:val="both"/>
        <w:rPr>
          <w:rFonts w:ascii="Verdana" w:hAnsi="Verdana" w:cs="Arial"/>
          <w:color w:val="000000"/>
          <w:sz w:val="16"/>
          <w:szCs w:val="16"/>
        </w:rPr>
      </w:pPr>
      <w:r w:rsidRPr="007148BA">
        <w:rPr>
          <w:rStyle w:val="Refdenotaalpie"/>
          <w:rFonts w:ascii="Verdana" w:hAnsi="Verdana"/>
          <w:color w:val="000000"/>
          <w:sz w:val="16"/>
          <w:szCs w:val="16"/>
        </w:rPr>
        <w:footnoteRef/>
      </w:r>
      <w:r w:rsidRPr="007148BA">
        <w:rPr>
          <w:rFonts w:ascii="Verdana" w:hAnsi="Verdana" w:cs="Arial"/>
          <w:color w:val="000000"/>
          <w:sz w:val="16"/>
          <w:szCs w:val="16"/>
        </w:rPr>
        <w:t xml:space="preserve"> Consejo de Estado. Sección Tercera. Subsección C. Radicado No. 05001-23-31-000-1998-00038-01. Número Interno 27.777. M.P. Enrique Gil Botero.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footnote>
  <w:footnote w:id="6">
    <w:p w14:paraId="6B0643CD" w14:textId="77777777" w:rsidR="000F4524" w:rsidRPr="00E87EA6" w:rsidRDefault="000F4524" w:rsidP="000F4524">
      <w:pPr>
        <w:pStyle w:val="Textonotapie"/>
        <w:ind w:firstLine="709"/>
        <w:jc w:val="both"/>
        <w:rPr>
          <w:rFonts w:ascii="Verdana" w:hAnsi="Verdana" w:cs="Arial"/>
          <w:color w:val="000000"/>
          <w:sz w:val="16"/>
          <w:szCs w:val="16"/>
        </w:rPr>
      </w:pPr>
      <w:r w:rsidRPr="00E87EA6">
        <w:rPr>
          <w:rStyle w:val="Refdenotaalpie"/>
          <w:rFonts w:ascii="Verdana" w:hAnsi="Verdana"/>
          <w:color w:val="000000"/>
          <w:sz w:val="16"/>
          <w:szCs w:val="16"/>
        </w:rPr>
        <w:footnoteRef/>
      </w:r>
      <w:r w:rsidRPr="00E87EA6">
        <w:rPr>
          <w:rFonts w:ascii="Verdana" w:hAnsi="Verdana" w:cs="Arial"/>
          <w:color w:val="000000"/>
          <w:sz w:val="16"/>
          <w:szCs w:val="16"/>
        </w:rPr>
        <w:t xml:space="preserve"> </w:t>
      </w:r>
      <w:r w:rsidRPr="00E87EA6">
        <w:rPr>
          <w:rFonts w:ascii="Verdana" w:hAnsi="Verdana" w:cs="Arial"/>
          <w:i/>
          <w:iCs/>
          <w:color w:val="000000"/>
          <w:sz w:val="16"/>
          <w:szCs w:val="16"/>
        </w:rPr>
        <w:t>Ibidem</w:t>
      </w:r>
      <w:r w:rsidRPr="00E87EA6">
        <w:rPr>
          <w:rFonts w:ascii="Verdana" w:hAnsi="Verdana" w:cs="Arial"/>
          <w:color w:val="000000"/>
          <w:sz w:val="16"/>
          <w:szCs w:val="16"/>
        </w:rPr>
        <w:t>.</w:t>
      </w:r>
    </w:p>
  </w:footnote>
  <w:footnote w:id="7">
    <w:p w14:paraId="6A63F00E" w14:textId="77777777" w:rsidR="000F4524" w:rsidRPr="00E87EA6" w:rsidRDefault="000F4524" w:rsidP="000F4524">
      <w:pPr>
        <w:pStyle w:val="Textonotapie"/>
        <w:ind w:firstLine="709"/>
        <w:jc w:val="both"/>
        <w:rPr>
          <w:rFonts w:ascii="Verdana" w:hAnsi="Verdana" w:cs="Arial"/>
          <w:color w:val="000000"/>
          <w:sz w:val="16"/>
          <w:szCs w:val="16"/>
          <w:lang w:val="es-ES"/>
        </w:rPr>
      </w:pPr>
      <w:r w:rsidRPr="00E87EA6">
        <w:rPr>
          <w:rStyle w:val="Refdenotaalpie"/>
          <w:rFonts w:ascii="Verdana" w:hAnsi="Verdana"/>
          <w:color w:val="000000"/>
          <w:sz w:val="16"/>
          <w:szCs w:val="16"/>
        </w:rPr>
        <w:footnoteRef/>
      </w:r>
      <w:r w:rsidRPr="00E87EA6">
        <w:rPr>
          <w:rFonts w:ascii="Verdana" w:hAnsi="Verdana" w:cs="Arial"/>
          <w:color w:val="000000"/>
          <w:sz w:val="16"/>
          <w:szCs w:val="16"/>
        </w:rPr>
        <w:t xml:space="preserve"> </w:t>
      </w:r>
      <w:r w:rsidRPr="00E87EA6">
        <w:rPr>
          <w:rFonts w:ascii="Verdana" w:hAnsi="Verdana" w:cs="Arial"/>
          <w:color w:val="000000"/>
          <w:sz w:val="16"/>
          <w:szCs w:val="16"/>
          <w:lang w:val="es-ES"/>
        </w:rPr>
        <w:t>El artículo 11 de la Ley 1150 de 2007 prescribe: “Artículo 11. Del plazo para la liquidación de los contratos. 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16FD282C" w14:textId="77777777" w:rsidR="000F4524" w:rsidRPr="00E87EA6" w:rsidRDefault="000F4524" w:rsidP="000F4524">
      <w:pPr>
        <w:pStyle w:val="Textonotapie"/>
        <w:ind w:firstLine="709"/>
        <w:jc w:val="both"/>
        <w:rPr>
          <w:rFonts w:ascii="Verdana" w:hAnsi="Verdana" w:cs="Arial"/>
          <w:color w:val="000000"/>
          <w:sz w:val="16"/>
          <w:szCs w:val="16"/>
          <w:lang w:val="es-ES"/>
        </w:rPr>
      </w:pPr>
      <w:r w:rsidRPr="00E87EA6">
        <w:rPr>
          <w:rFonts w:ascii="Verdana" w:hAnsi="Verdana" w:cs="Arial"/>
          <w:color w:val="000000"/>
          <w:sz w:val="16"/>
          <w:szCs w:val="16"/>
          <w:lang w:val="es-E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136 del C. C. A.</w:t>
      </w:r>
    </w:p>
    <w:p w14:paraId="08FAE6B8" w14:textId="77777777" w:rsidR="000F4524" w:rsidRPr="00E87EA6" w:rsidRDefault="000F4524" w:rsidP="000F4524">
      <w:pPr>
        <w:pStyle w:val="Textonotapie"/>
        <w:ind w:firstLine="709"/>
        <w:jc w:val="both"/>
        <w:rPr>
          <w:rFonts w:ascii="Verdana" w:hAnsi="Verdana" w:cs="Arial"/>
          <w:color w:val="000000"/>
          <w:sz w:val="16"/>
          <w:szCs w:val="16"/>
          <w:lang w:val="es-ES"/>
        </w:rPr>
      </w:pPr>
      <w:r w:rsidRPr="00E87EA6">
        <w:rPr>
          <w:rFonts w:ascii="Verdana" w:hAnsi="Verdana" w:cs="Arial"/>
          <w:color w:val="000000"/>
          <w:sz w:val="16"/>
          <w:szCs w:val="16"/>
          <w:lang w:val="es-E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136 del C. C. A.</w:t>
      </w:r>
    </w:p>
    <w:p w14:paraId="1C71E64E" w14:textId="77777777" w:rsidR="000F4524" w:rsidRPr="00E87EA6" w:rsidRDefault="000F4524" w:rsidP="000F4524">
      <w:pPr>
        <w:pStyle w:val="Textonotapie"/>
        <w:ind w:firstLine="709"/>
        <w:jc w:val="both"/>
        <w:rPr>
          <w:rFonts w:ascii="Verdana" w:hAnsi="Verdana" w:cs="Arial"/>
          <w:color w:val="000000"/>
          <w:sz w:val="16"/>
          <w:szCs w:val="16"/>
          <w:lang w:val="es-ES"/>
        </w:rPr>
      </w:pPr>
      <w:r w:rsidRPr="00E87EA6">
        <w:rPr>
          <w:rFonts w:ascii="Verdana" w:hAnsi="Verdana" w:cs="Arial"/>
          <w:color w:val="000000"/>
          <w:sz w:val="16"/>
          <w:szCs w:val="16"/>
          <w:lang w:val="es-ES"/>
        </w:rPr>
        <w:t>Los contratistas tendrán derecho a efectuar salvedades a la liquidación por mutuo acuerdo, y en este evento la liquidación unilateral solo procederá en relación con los aspectos que no hayan sido objeto de acuerdo”.</w:t>
      </w:r>
    </w:p>
  </w:footnote>
  <w:footnote w:id="8">
    <w:p w14:paraId="589D006C" w14:textId="77777777" w:rsidR="000F4524" w:rsidRPr="00E87EA6" w:rsidRDefault="000F4524" w:rsidP="000F4524">
      <w:pPr>
        <w:pStyle w:val="Textonotapie"/>
        <w:ind w:firstLine="709"/>
        <w:jc w:val="both"/>
        <w:rPr>
          <w:rFonts w:ascii="Verdana" w:hAnsi="Verdana" w:cs="Arial"/>
          <w:color w:val="000000"/>
          <w:sz w:val="16"/>
          <w:szCs w:val="16"/>
          <w:lang w:val="es-ES"/>
        </w:rPr>
      </w:pPr>
      <w:r w:rsidRPr="00E87EA6">
        <w:rPr>
          <w:rStyle w:val="Refdenotaalpie"/>
          <w:rFonts w:ascii="Verdana" w:hAnsi="Verdana"/>
          <w:color w:val="000000"/>
          <w:sz w:val="16"/>
          <w:szCs w:val="16"/>
        </w:rPr>
        <w:footnoteRef/>
      </w:r>
      <w:r w:rsidRPr="00E87EA6">
        <w:rPr>
          <w:rFonts w:ascii="Verdana" w:hAnsi="Verdana" w:cs="Arial"/>
          <w:color w:val="000000"/>
          <w:sz w:val="16"/>
          <w:szCs w:val="16"/>
        </w:rPr>
        <w:t xml:space="preserve"> COLOMBIA COMPRA EFICIENTE. Guía para la Liquidación de los Procesos de Contratación. página 5, disponible en: </w:t>
      </w:r>
      <w:hyperlink r:id="rId1" w:history="1">
        <w:r w:rsidRPr="00E87EA6">
          <w:rPr>
            <w:rStyle w:val="Hipervnculo"/>
            <w:rFonts w:ascii="Verdana" w:hAnsi="Verdana" w:cs="Arial"/>
            <w:color w:val="000000"/>
            <w:sz w:val="16"/>
            <w:szCs w:val="16"/>
          </w:rPr>
          <w:t>https://www.colombiacompra.gov.co/sites/cce_public/files/cce_documents/cce_guia_liquidacion_procesos.pdf</w:t>
        </w:r>
      </w:hyperlink>
      <w:r w:rsidRPr="00E87EA6">
        <w:rPr>
          <w:rFonts w:ascii="Verdana" w:hAnsi="Verdana" w:cs="Arial"/>
          <w:color w:val="000000"/>
          <w:sz w:val="16"/>
          <w:szCs w:val="16"/>
        </w:rPr>
        <w:t xml:space="preserve"> </w:t>
      </w:r>
    </w:p>
  </w:footnote>
  <w:footnote w:id="9">
    <w:p w14:paraId="1A261105" w14:textId="77777777" w:rsidR="000F4524" w:rsidRPr="00E87EA6" w:rsidRDefault="000F4524" w:rsidP="000F4524">
      <w:pPr>
        <w:pStyle w:val="Textonotapie"/>
        <w:ind w:firstLine="709"/>
        <w:jc w:val="both"/>
        <w:rPr>
          <w:rFonts w:ascii="Verdana" w:hAnsi="Verdana" w:cs="Arial"/>
          <w:color w:val="000000"/>
          <w:sz w:val="16"/>
          <w:szCs w:val="16"/>
        </w:rPr>
      </w:pPr>
      <w:r w:rsidRPr="00E87EA6">
        <w:rPr>
          <w:rStyle w:val="Refdenotaalpie"/>
          <w:rFonts w:ascii="Verdana" w:hAnsi="Verdana"/>
          <w:color w:val="000000"/>
          <w:sz w:val="16"/>
          <w:szCs w:val="16"/>
        </w:rPr>
        <w:footnoteRef/>
      </w:r>
      <w:r w:rsidRPr="00E87EA6">
        <w:rPr>
          <w:rFonts w:ascii="Verdana" w:hAnsi="Verdana" w:cs="Arial"/>
          <w:color w:val="000000"/>
          <w:sz w:val="16"/>
          <w:szCs w:val="16"/>
        </w:rPr>
        <w:t xml:space="preserve"> Conviene recordar que es válida la liquidación bilateral parcial, debido a que las partes no logran ponerse de acuerdo en todos los asuntos referentes al contrato. </w:t>
      </w:r>
      <w:r w:rsidRPr="00E87EA6">
        <w:rPr>
          <w:rFonts w:ascii="Verdana" w:hAnsi="Verdana" w:cs="Arial"/>
          <w:color w:val="000000"/>
          <w:sz w:val="16"/>
          <w:szCs w:val="16"/>
        </w:rPr>
        <w:t>En este evento, se debe hacer uso de las glosas o salvedades, y únicamente sobre tal glosa o salvedad girará el debate judicial que se da con ocasión de la demanda en ejercicio del medio de control de controversias contractuales.</w:t>
      </w:r>
    </w:p>
  </w:footnote>
  <w:footnote w:id="10">
    <w:p w14:paraId="4167A1DE" w14:textId="77777777" w:rsidR="000F4524" w:rsidRPr="00E87EA6" w:rsidRDefault="000F4524" w:rsidP="000F4524">
      <w:pPr>
        <w:pStyle w:val="Textonotapie"/>
        <w:ind w:firstLine="709"/>
        <w:jc w:val="both"/>
        <w:rPr>
          <w:rFonts w:ascii="Verdana" w:hAnsi="Verdana" w:cs="Arial"/>
          <w:color w:val="000000"/>
          <w:sz w:val="16"/>
          <w:szCs w:val="16"/>
        </w:rPr>
      </w:pPr>
      <w:r w:rsidRPr="00E87EA6">
        <w:rPr>
          <w:rStyle w:val="Refdenotaalpie"/>
          <w:rFonts w:ascii="Verdana" w:hAnsi="Verdana"/>
          <w:color w:val="000000"/>
          <w:sz w:val="16"/>
          <w:szCs w:val="16"/>
        </w:rPr>
        <w:footnoteRef/>
      </w:r>
      <w:r w:rsidRPr="00E87EA6">
        <w:rPr>
          <w:rFonts w:ascii="Verdana" w:hAnsi="Verdana" w:cs="Arial"/>
          <w:color w:val="000000"/>
          <w:sz w:val="16"/>
          <w:szCs w:val="16"/>
        </w:rPr>
        <w:t xml:space="preserve"> CONSEJO DE ESTADO. Sala de Consulta y Servicio Civil. Concepto de 28 de junio de 2016. Radicación: 2253. C.P. Álvaro Namén Vargas. </w:t>
      </w:r>
    </w:p>
  </w:footnote>
  <w:footnote w:id="11">
    <w:p w14:paraId="3FB98C34" w14:textId="77777777" w:rsidR="000F4524" w:rsidRPr="00E87EA6" w:rsidRDefault="000F4524" w:rsidP="000F4524">
      <w:pPr>
        <w:pStyle w:val="Textonotapie"/>
        <w:ind w:firstLine="709"/>
        <w:jc w:val="both"/>
        <w:rPr>
          <w:rFonts w:ascii="Verdana" w:hAnsi="Verdana" w:cs="Arial"/>
          <w:color w:val="000000"/>
          <w:sz w:val="16"/>
          <w:szCs w:val="16"/>
        </w:rPr>
      </w:pPr>
      <w:r w:rsidRPr="00E87EA6">
        <w:rPr>
          <w:rStyle w:val="Refdenotaalpie"/>
          <w:rFonts w:ascii="Verdana" w:hAnsi="Verdana"/>
          <w:color w:val="000000"/>
          <w:sz w:val="16"/>
          <w:szCs w:val="16"/>
        </w:rPr>
        <w:footnoteRef/>
      </w:r>
      <w:r w:rsidRPr="00E87EA6">
        <w:rPr>
          <w:rFonts w:ascii="Verdana" w:hAnsi="Verdana" w:cs="Arial"/>
          <w:color w:val="000000"/>
          <w:sz w:val="16"/>
          <w:szCs w:val="16"/>
        </w:rPr>
        <w:t xml:space="preserve"> Es importante advertir que también durante estos dos meses se podrá realizar una liquidación bilateral, esto es, de mutuo acuerdo, lo cual significa que el plazo para hacer la liquidación bilateral no es un término perentorio, sino sencillamente indicativo.</w:t>
      </w:r>
    </w:p>
  </w:footnote>
  <w:footnote w:id="12">
    <w:p w14:paraId="4C447677" w14:textId="77777777" w:rsidR="000F4524" w:rsidRPr="00E87EA6" w:rsidRDefault="000F4524" w:rsidP="000F4524">
      <w:pPr>
        <w:pStyle w:val="Textonotapie"/>
        <w:ind w:firstLine="709"/>
        <w:jc w:val="both"/>
        <w:rPr>
          <w:rFonts w:ascii="Verdana" w:hAnsi="Verdana" w:cs="Arial"/>
          <w:color w:val="000000"/>
          <w:sz w:val="16"/>
          <w:szCs w:val="16"/>
          <w:lang w:val="es-ES"/>
        </w:rPr>
      </w:pPr>
      <w:r w:rsidRPr="00E87EA6">
        <w:rPr>
          <w:rStyle w:val="Refdenotaalpie"/>
          <w:rFonts w:ascii="Verdana" w:hAnsi="Verdana"/>
          <w:color w:val="000000"/>
          <w:sz w:val="16"/>
          <w:szCs w:val="16"/>
        </w:rPr>
        <w:footnoteRef/>
      </w:r>
      <w:r w:rsidRPr="00E87EA6">
        <w:rPr>
          <w:rFonts w:ascii="Verdana" w:hAnsi="Verdana" w:cs="Arial"/>
          <w:color w:val="000000"/>
          <w:sz w:val="16"/>
          <w:szCs w:val="16"/>
        </w:rPr>
        <w:t xml:space="preserve"> CONSEJO DE ESTADO. Sección Tercera. Sala Plena. Auto de 1 de agosto de 2019. </w:t>
      </w:r>
      <w:proofErr w:type="spellStart"/>
      <w:r w:rsidRPr="00E87EA6">
        <w:rPr>
          <w:rFonts w:ascii="Verdana" w:hAnsi="Verdana" w:cs="Arial"/>
          <w:color w:val="000000"/>
          <w:sz w:val="16"/>
          <w:szCs w:val="16"/>
        </w:rPr>
        <w:t>Exp</w:t>
      </w:r>
      <w:proofErr w:type="spellEnd"/>
      <w:r w:rsidRPr="00E87EA6">
        <w:rPr>
          <w:rFonts w:ascii="Verdana" w:hAnsi="Verdana" w:cs="Arial"/>
          <w:color w:val="000000"/>
          <w:sz w:val="16"/>
          <w:szCs w:val="16"/>
        </w:rPr>
        <w:t xml:space="preserve">. 62009. C.P. Jaime Enrique Rodríguez Navas. </w:t>
      </w:r>
    </w:p>
  </w:footnote>
  <w:footnote w:id="13">
    <w:p w14:paraId="79818952" w14:textId="77777777" w:rsidR="000F4524" w:rsidRPr="00E87EA6" w:rsidRDefault="000F4524" w:rsidP="000F4524">
      <w:pPr>
        <w:pStyle w:val="Textonotapie"/>
        <w:ind w:firstLine="709"/>
        <w:jc w:val="both"/>
        <w:rPr>
          <w:rFonts w:ascii="Verdana" w:hAnsi="Verdana" w:cs="Arial"/>
          <w:sz w:val="16"/>
          <w:szCs w:val="16"/>
          <w:lang w:val="es-ES"/>
        </w:rPr>
      </w:pPr>
      <w:r w:rsidRPr="00E87EA6">
        <w:rPr>
          <w:rStyle w:val="Refdenotaalpie"/>
          <w:rFonts w:ascii="Verdana" w:hAnsi="Verdana"/>
          <w:sz w:val="16"/>
          <w:szCs w:val="16"/>
        </w:rPr>
        <w:footnoteRef/>
      </w:r>
      <w:r w:rsidRPr="00E87EA6">
        <w:rPr>
          <w:rFonts w:ascii="Verdana" w:hAnsi="Verdana" w:cs="Arial"/>
          <w:sz w:val="16"/>
          <w:szCs w:val="16"/>
        </w:rPr>
        <w:t xml:space="preserve"> </w:t>
      </w:r>
      <w:r w:rsidRPr="00E87EA6">
        <w:rPr>
          <w:rFonts w:ascii="Verdana" w:hAnsi="Verdana" w:cs="Arial"/>
          <w:sz w:val="16"/>
          <w:szCs w:val="16"/>
          <w:lang w:val="es-ES"/>
        </w:rPr>
        <w:t>Ibidem.</w:t>
      </w:r>
    </w:p>
  </w:footnote>
  <w:footnote w:id="14">
    <w:p w14:paraId="797E03AD" w14:textId="77777777" w:rsidR="000F4524" w:rsidRPr="00984E13" w:rsidRDefault="000F4524" w:rsidP="000F4524">
      <w:pPr>
        <w:spacing w:after="0" w:line="240" w:lineRule="auto"/>
        <w:ind w:firstLine="708"/>
        <w:jc w:val="both"/>
        <w:rPr>
          <w:rFonts w:ascii="Verdana" w:hAnsi="Verdana" w:cs="Arial"/>
          <w:sz w:val="16"/>
          <w:szCs w:val="16"/>
          <w:lang w:val="es-MX"/>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sidRPr="00984E13">
        <w:rPr>
          <w:rFonts w:ascii="Verdana" w:hAnsi="Verdana" w:cs="Arial"/>
          <w:color w:val="1A1A1A"/>
          <w:sz w:val="16"/>
          <w:szCs w:val="16"/>
        </w:rPr>
        <w:t>Artículo</w:t>
      </w:r>
      <w:r w:rsidRPr="00984E13">
        <w:rPr>
          <w:rFonts w:ascii="Verdana" w:hAnsi="Verdana" w:cs="Arial"/>
          <w:color w:val="1A1A1A"/>
          <w:spacing w:val="-1"/>
          <w:sz w:val="16"/>
          <w:szCs w:val="16"/>
        </w:rPr>
        <w:t xml:space="preserve"> </w:t>
      </w:r>
      <w:r w:rsidRPr="00984E13">
        <w:rPr>
          <w:rFonts w:ascii="Verdana" w:hAnsi="Verdana" w:cs="Arial"/>
          <w:color w:val="1A1A1A"/>
          <w:sz w:val="16"/>
          <w:szCs w:val="16"/>
        </w:rPr>
        <w:t>3</w:t>
      </w:r>
      <w:r w:rsidRPr="00984E13">
        <w:rPr>
          <w:rFonts w:ascii="Verdana" w:hAnsi="Verdana" w:cs="Arial"/>
          <w:color w:val="1A1A1A"/>
          <w:spacing w:val="-3"/>
          <w:sz w:val="16"/>
          <w:szCs w:val="16"/>
        </w:rPr>
        <w:t xml:space="preserve"> </w:t>
      </w:r>
      <w:r w:rsidRPr="00984E13">
        <w:rPr>
          <w:rFonts w:ascii="Verdana" w:hAnsi="Verdana" w:cs="Arial"/>
          <w:color w:val="1A1A1A"/>
          <w:sz w:val="16"/>
          <w:szCs w:val="16"/>
        </w:rPr>
        <w:t>de</w:t>
      </w:r>
      <w:r w:rsidRPr="00984E13">
        <w:rPr>
          <w:rFonts w:ascii="Verdana" w:hAnsi="Verdana" w:cs="Arial"/>
          <w:color w:val="1A1A1A"/>
          <w:spacing w:val="-3"/>
          <w:sz w:val="16"/>
          <w:szCs w:val="16"/>
        </w:rPr>
        <w:t xml:space="preserve"> </w:t>
      </w:r>
      <w:r w:rsidRPr="00984E13">
        <w:rPr>
          <w:rFonts w:ascii="Verdana" w:hAnsi="Verdana" w:cs="Arial"/>
          <w:color w:val="1A1A1A"/>
          <w:sz w:val="16"/>
          <w:szCs w:val="16"/>
        </w:rPr>
        <w:t>la</w:t>
      </w:r>
      <w:r w:rsidRPr="00984E13">
        <w:rPr>
          <w:rFonts w:ascii="Verdana" w:hAnsi="Verdana" w:cs="Arial"/>
          <w:color w:val="1A1A1A"/>
          <w:spacing w:val="-1"/>
          <w:sz w:val="16"/>
          <w:szCs w:val="16"/>
        </w:rPr>
        <w:t xml:space="preserve"> </w:t>
      </w:r>
      <w:r w:rsidRPr="00984E13">
        <w:rPr>
          <w:rFonts w:ascii="Verdana" w:hAnsi="Verdana" w:cs="Arial"/>
          <w:color w:val="1A1A1A"/>
          <w:sz w:val="16"/>
          <w:szCs w:val="16"/>
        </w:rPr>
        <w:t>Ley</w:t>
      </w:r>
      <w:r w:rsidRPr="00984E13">
        <w:rPr>
          <w:rFonts w:ascii="Verdana" w:hAnsi="Verdana" w:cs="Arial"/>
          <w:color w:val="1A1A1A"/>
          <w:spacing w:val="-4"/>
          <w:sz w:val="16"/>
          <w:szCs w:val="16"/>
        </w:rPr>
        <w:t xml:space="preserve"> </w:t>
      </w:r>
      <w:r w:rsidRPr="00984E13">
        <w:rPr>
          <w:rFonts w:ascii="Verdana" w:hAnsi="Verdana" w:cs="Arial"/>
          <w:color w:val="1A1A1A"/>
          <w:sz w:val="16"/>
          <w:szCs w:val="16"/>
        </w:rPr>
        <w:t>80</w:t>
      </w:r>
      <w:r w:rsidRPr="00984E13">
        <w:rPr>
          <w:rFonts w:ascii="Verdana" w:hAnsi="Verdana" w:cs="Arial"/>
          <w:color w:val="1A1A1A"/>
          <w:spacing w:val="-1"/>
          <w:sz w:val="16"/>
          <w:szCs w:val="16"/>
        </w:rPr>
        <w:t xml:space="preserve"> </w:t>
      </w:r>
      <w:r w:rsidRPr="00984E13">
        <w:rPr>
          <w:rFonts w:ascii="Verdana" w:hAnsi="Verdana" w:cs="Arial"/>
          <w:color w:val="1A1A1A"/>
          <w:sz w:val="16"/>
          <w:szCs w:val="16"/>
        </w:rPr>
        <w:t>de</w:t>
      </w:r>
      <w:r w:rsidRPr="00984E13">
        <w:rPr>
          <w:rFonts w:ascii="Verdana" w:hAnsi="Verdana" w:cs="Arial"/>
          <w:color w:val="1A1A1A"/>
          <w:spacing w:val="-1"/>
          <w:sz w:val="16"/>
          <w:szCs w:val="16"/>
        </w:rPr>
        <w:t xml:space="preserve"> </w:t>
      </w:r>
      <w:r w:rsidRPr="00984E13">
        <w:rPr>
          <w:rFonts w:ascii="Verdana" w:hAnsi="Verdana" w:cs="Arial"/>
          <w:color w:val="1A1A1A"/>
          <w:sz w:val="16"/>
          <w:szCs w:val="16"/>
        </w:rPr>
        <w:t>1993.</w:t>
      </w:r>
    </w:p>
  </w:footnote>
  <w:footnote w:id="15">
    <w:p w14:paraId="725FEB79" w14:textId="77777777" w:rsidR="000F4524" w:rsidRPr="00587DED" w:rsidRDefault="000F4524" w:rsidP="000F4524">
      <w:pPr>
        <w:pStyle w:val="Textonotapie"/>
        <w:ind w:firstLine="709"/>
        <w:jc w:val="both"/>
        <w:rPr>
          <w:rFonts w:ascii="Verdana" w:hAnsi="Verdana" w:cs="Arial"/>
          <w:sz w:val="14"/>
          <w:szCs w:val="14"/>
        </w:rPr>
      </w:pPr>
      <w:r w:rsidRPr="00587DED">
        <w:rPr>
          <w:rStyle w:val="Refdenotaalpie"/>
          <w:rFonts w:ascii="Verdana" w:hAnsi="Verdana" w:cs="Arial"/>
          <w:sz w:val="14"/>
          <w:szCs w:val="14"/>
        </w:rPr>
        <w:footnoteRef/>
      </w:r>
      <w:r w:rsidRPr="00587DED">
        <w:rPr>
          <w:rFonts w:ascii="Verdana" w:hAnsi="Verdana" w:cs="Arial"/>
          <w:sz w:val="14"/>
          <w:szCs w:val="14"/>
        </w:rPr>
        <w:t xml:space="preserve"> Artículo 17</w:t>
      </w:r>
      <w:r w:rsidRPr="00587DED">
        <w:rPr>
          <w:rFonts w:ascii="Verdana" w:hAnsi="Verdana" w:cs="Arial"/>
          <w:spacing w:val="-1"/>
          <w:sz w:val="14"/>
          <w:szCs w:val="14"/>
        </w:rPr>
        <w:t xml:space="preserve"> </w:t>
      </w:r>
      <w:r w:rsidRPr="00587DED">
        <w:rPr>
          <w:rFonts w:ascii="Verdana" w:hAnsi="Verdana" w:cs="Arial"/>
          <w:sz w:val="14"/>
          <w:szCs w:val="14"/>
        </w:rPr>
        <w:t>de</w:t>
      </w:r>
      <w:r w:rsidRPr="00587DED">
        <w:rPr>
          <w:rFonts w:ascii="Verdana" w:hAnsi="Verdana" w:cs="Arial"/>
          <w:spacing w:val="-2"/>
          <w:sz w:val="14"/>
          <w:szCs w:val="14"/>
        </w:rPr>
        <w:t xml:space="preserve"> </w:t>
      </w:r>
      <w:r w:rsidRPr="00587DED">
        <w:rPr>
          <w:rFonts w:ascii="Verdana" w:hAnsi="Verdana" w:cs="Arial"/>
          <w:sz w:val="14"/>
          <w:szCs w:val="14"/>
        </w:rPr>
        <w:t>la</w:t>
      </w:r>
      <w:r w:rsidRPr="00587DED">
        <w:rPr>
          <w:rFonts w:ascii="Verdana" w:hAnsi="Verdana" w:cs="Arial"/>
          <w:spacing w:val="-3"/>
          <w:sz w:val="14"/>
          <w:szCs w:val="14"/>
        </w:rPr>
        <w:t xml:space="preserve"> </w:t>
      </w:r>
      <w:r w:rsidRPr="00587DED">
        <w:rPr>
          <w:rFonts w:ascii="Verdana" w:hAnsi="Verdana" w:cs="Arial"/>
          <w:sz w:val="14"/>
          <w:szCs w:val="14"/>
        </w:rPr>
        <w:t>Ley</w:t>
      </w:r>
      <w:r w:rsidRPr="00587DED">
        <w:rPr>
          <w:rFonts w:ascii="Verdana" w:hAnsi="Verdana" w:cs="Arial"/>
          <w:spacing w:val="-3"/>
          <w:sz w:val="14"/>
          <w:szCs w:val="14"/>
        </w:rPr>
        <w:t xml:space="preserve"> </w:t>
      </w:r>
      <w:r w:rsidRPr="00587DED">
        <w:rPr>
          <w:rFonts w:ascii="Verdana" w:hAnsi="Verdana" w:cs="Arial"/>
          <w:sz w:val="14"/>
          <w:szCs w:val="14"/>
        </w:rPr>
        <w:t>1150 de</w:t>
      </w:r>
      <w:r w:rsidRPr="00587DED">
        <w:rPr>
          <w:rFonts w:ascii="Verdana" w:hAnsi="Verdana" w:cs="Arial"/>
          <w:spacing w:val="-5"/>
          <w:sz w:val="14"/>
          <w:szCs w:val="14"/>
        </w:rPr>
        <w:t xml:space="preserve"> </w:t>
      </w:r>
      <w:r w:rsidRPr="00587DED">
        <w:rPr>
          <w:rFonts w:ascii="Verdana" w:hAnsi="Verdana" w:cs="Arial"/>
          <w:sz w:val="14"/>
          <w:szCs w:val="14"/>
        </w:rPr>
        <w:t>2007.</w:t>
      </w:r>
    </w:p>
  </w:footnote>
  <w:footnote w:id="16">
    <w:p w14:paraId="64D962E3" w14:textId="77777777" w:rsidR="000F4524" w:rsidRPr="00587DED" w:rsidRDefault="000F4524" w:rsidP="000F4524">
      <w:pPr>
        <w:pStyle w:val="Textonotapie"/>
        <w:ind w:firstLine="709"/>
        <w:jc w:val="both"/>
        <w:rPr>
          <w:rFonts w:ascii="Verdana" w:hAnsi="Verdana" w:cs="Arial"/>
          <w:sz w:val="14"/>
          <w:szCs w:val="14"/>
        </w:rPr>
      </w:pPr>
      <w:r w:rsidRPr="00587DED">
        <w:rPr>
          <w:rStyle w:val="Refdenotaalpie"/>
          <w:rFonts w:ascii="Verdana" w:hAnsi="Verdana" w:cs="Arial"/>
          <w:sz w:val="14"/>
          <w:szCs w:val="14"/>
        </w:rPr>
        <w:footnoteRef/>
      </w:r>
      <w:r w:rsidRPr="00587DED">
        <w:rPr>
          <w:rFonts w:ascii="Verdana" w:hAnsi="Verdana" w:cs="Arial"/>
          <w:sz w:val="14"/>
          <w:szCs w:val="14"/>
        </w:rPr>
        <w:t xml:space="preserve"> Artículo 21</w:t>
      </w:r>
      <w:r w:rsidRPr="00587DED">
        <w:rPr>
          <w:rFonts w:ascii="Verdana" w:hAnsi="Verdana" w:cs="Arial"/>
          <w:spacing w:val="-1"/>
          <w:sz w:val="14"/>
          <w:szCs w:val="14"/>
        </w:rPr>
        <w:t xml:space="preserve"> </w:t>
      </w:r>
      <w:r w:rsidRPr="00587DED">
        <w:rPr>
          <w:rFonts w:ascii="Verdana" w:hAnsi="Verdana" w:cs="Arial"/>
          <w:sz w:val="14"/>
          <w:szCs w:val="14"/>
        </w:rPr>
        <w:t>de</w:t>
      </w:r>
      <w:r w:rsidRPr="00587DED">
        <w:rPr>
          <w:rFonts w:ascii="Verdana" w:hAnsi="Verdana" w:cs="Arial"/>
          <w:spacing w:val="-2"/>
          <w:sz w:val="14"/>
          <w:szCs w:val="14"/>
        </w:rPr>
        <w:t xml:space="preserve"> </w:t>
      </w:r>
      <w:r w:rsidRPr="00587DED">
        <w:rPr>
          <w:rFonts w:ascii="Verdana" w:hAnsi="Verdana" w:cs="Arial"/>
          <w:sz w:val="14"/>
          <w:szCs w:val="14"/>
        </w:rPr>
        <w:t>la</w:t>
      </w:r>
      <w:r w:rsidRPr="00587DED">
        <w:rPr>
          <w:rFonts w:ascii="Verdana" w:hAnsi="Verdana" w:cs="Arial"/>
          <w:spacing w:val="-3"/>
          <w:sz w:val="14"/>
          <w:szCs w:val="14"/>
        </w:rPr>
        <w:t xml:space="preserve"> </w:t>
      </w:r>
      <w:r w:rsidRPr="00587DED">
        <w:rPr>
          <w:rFonts w:ascii="Verdana" w:hAnsi="Verdana" w:cs="Arial"/>
          <w:sz w:val="14"/>
          <w:szCs w:val="14"/>
        </w:rPr>
        <w:t>Ley</w:t>
      </w:r>
      <w:r w:rsidRPr="00587DED">
        <w:rPr>
          <w:rFonts w:ascii="Verdana" w:hAnsi="Verdana" w:cs="Arial"/>
          <w:spacing w:val="-3"/>
          <w:sz w:val="14"/>
          <w:szCs w:val="14"/>
        </w:rPr>
        <w:t xml:space="preserve"> </w:t>
      </w:r>
      <w:r w:rsidRPr="00587DED">
        <w:rPr>
          <w:rFonts w:ascii="Verdana" w:hAnsi="Verdana" w:cs="Arial"/>
          <w:sz w:val="14"/>
          <w:szCs w:val="14"/>
        </w:rPr>
        <w:t>1150 de</w:t>
      </w:r>
      <w:r w:rsidRPr="00587DED">
        <w:rPr>
          <w:rFonts w:ascii="Verdana" w:hAnsi="Verdana" w:cs="Arial"/>
          <w:spacing w:val="-5"/>
          <w:sz w:val="14"/>
          <w:szCs w:val="14"/>
        </w:rPr>
        <w:t xml:space="preserve"> </w:t>
      </w:r>
      <w:r w:rsidRPr="00587DED">
        <w:rPr>
          <w:rFonts w:ascii="Verdana" w:hAnsi="Verdana" w:cs="Arial"/>
          <w:sz w:val="14"/>
          <w:szCs w:val="14"/>
        </w:rPr>
        <w:t xml:space="preserve">2007. </w:t>
      </w:r>
    </w:p>
  </w:footnote>
  <w:footnote w:id="17">
    <w:p w14:paraId="02B387E5" w14:textId="77777777" w:rsidR="000F4524" w:rsidRPr="00587DED" w:rsidRDefault="000F4524" w:rsidP="000F4524">
      <w:pPr>
        <w:spacing w:after="0" w:line="240" w:lineRule="auto"/>
        <w:ind w:firstLine="708"/>
        <w:jc w:val="both"/>
        <w:rPr>
          <w:rFonts w:ascii="Verdana" w:hAnsi="Verdana" w:cs="Arial"/>
          <w:sz w:val="14"/>
          <w:szCs w:val="14"/>
        </w:rPr>
      </w:pPr>
      <w:r w:rsidRPr="00587DED">
        <w:rPr>
          <w:rStyle w:val="Refdenotaalpie"/>
          <w:rFonts w:ascii="Verdana" w:hAnsi="Verdana" w:cs="Arial"/>
          <w:sz w:val="14"/>
          <w:szCs w:val="14"/>
        </w:rPr>
        <w:footnoteRef/>
      </w:r>
      <w:r w:rsidRPr="00587DED">
        <w:rPr>
          <w:rFonts w:ascii="Verdana" w:hAnsi="Verdana" w:cs="Arial"/>
          <w:sz w:val="14"/>
          <w:szCs w:val="14"/>
        </w:rPr>
        <w:t xml:space="preserve"> Artículos</w:t>
      </w:r>
      <w:r w:rsidRPr="00587DED">
        <w:rPr>
          <w:rFonts w:ascii="Verdana" w:hAnsi="Verdana" w:cs="Arial"/>
          <w:spacing w:val="-3"/>
          <w:sz w:val="14"/>
          <w:szCs w:val="14"/>
        </w:rPr>
        <w:t xml:space="preserve"> </w:t>
      </w:r>
      <w:r w:rsidRPr="00587DED">
        <w:rPr>
          <w:rFonts w:ascii="Verdana" w:hAnsi="Verdana" w:cs="Arial"/>
          <w:sz w:val="14"/>
          <w:szCs w:val="14"/>
        </w:rPr>
        <w:t>83</w:t>
      </w:r>
      <w:r w:rsidRPr="00587DED">
        <w:rPr>
          <w:rFonts w:ascii="Verdana" w:hAnsi="Verdana" w:cs="Arial"/>
          <w:spacing w:val="-2"/>
          <w:sz w:val="14"/>
          <w:szCs w:val="14"/>
        </w:rPr>
        <w:t xml:space="preserve"> </w:t>
      </w:r>
      <w:r w:rsidRPr="00587DED">
        <w:rPr>
          <w:rFonts w:ascii="Verdana" w:hAnsi="Verdana" w:cs="Arial"/>
          <w:sz w:val="14"/>
          <w:szCs w:val="14"/>
        </w:rPr>
        <w:t>a</w:t>
      </w:r>
      <w:r w:rsidRPr="00587DED">
        <w:rPr>
          <w:rFonts w:ascii="Verdana" w:hAnsi="Verdana" w:cs="Arial"/>
          <w:spacing w:val="-1"/>
          <w:sz w:val="14"/>
          <w:szCs w:val="14"/>
        </w:rPr>
        <w:t xml:space="preserve"> </w:t>
      </w:r>
      <w:r w:rsidRPr="00587DED">
        <w:rPr>
          <w:rFonts w:ascii="Verdana" w:hAnsi="Verdana" w:cs="Arial"/>
          <w:sz w:val="14"/>
          <w:szCs w:val="14"/>
        </w:rPr>
        <w:t>86</w:t>
      </w:r>
      <w:r w:rsidRPr="00587DED">
        <w:rPr>
          <w:rFonts w:ascii="Verdana" w:hAnsi="Verdana" w:cs="Arial"/>
          <w:spacing w:val="-3"/>
          <w:sz w:val="14"/>
          <w:szCs w:val="14"/>
        </w:rPr>
        <w:t xml:space="preserve"> </w:t>
      </w:r>
      <w:r w:rsidRPr="00587DED">
        <w:rPr>
          <w:rFonts w:ascii="Verdana" w:hAnsi="Verdana" w:cs="Arial"/>
          <w:sz w:val="14"/>
          <w:szCs w:val="14"/>
        </w:rPr>
        <w:t>de</w:t>
      </w:r>
      <w:r w:rsidRPr="00587DED">
        <w:rPr>
          <w:rFonts w:ascii="Verdana" w:hAnsi="Verdana" w:cs="Arial"/>
          <w:spacing w:val="-2"/>
          <w:sz w:val="14"/>
          <w:szCs w:val="14"/>
        </w:rPr>
        <w:t xml:space="preserve"> </w:t>
      </w:r>
      <w:r w:rsidRPr="00587DED">
        <w:rPr>
          <w:rFonts w:ascii="Verdana" w:hAnsi="Verdana" w:cs="Arial"/>
          <w:sz w:val="14"/>
          <w:szCs w:val="14"/>
        </w:rPr>
        <w:t>la</w:t>
      </w:r>
      <w:r w:rsidRPr="00587DED">
        <w:rPr>
          <w:rFonts w:ascii="Verdana" w:hAnsi="Verdana" w:cs="Arial"/>
          <w:spacing w:val="-1"/>
          <w:sz w:val="14"/>
          <w:szCs w:val="14"/>
        </w:rPr>
        <w:t xml:space="preserve"> </w:t>
      </w:r>
      <w:r w:rsidRPr="00587DED">
        <w:rPr>
          <w:rFonts w:ascii="Verdana" w:hAnsi="Verdana" w:cs="Arial"/>
          <w:sz w:val="14"/>
          <w:szCs w:val="14"/>
        </w:rPr>
        <w:t>Ley</w:t>
      </w:r>
      <w:r w:rsidRPr="00587DED">
        <w:rPr>
          <w:rFonts w:ascii="Verdana" w:hAnsi="Verdana" w:cs="Arial"/>
          <w:spacing w:val="-3"/>
          <w:sz w:val="14"/>
          <w:szCs w:val="14"/>
        </w:rPr>
        <w:t xml:space="preserve"> </w:t>
      </w:r>
      <w:r w:rsidRPr="00587DED">
        <w:rPr>
          <w:rFonts w:ascii="Verdana" w:hAnsi="Verdana" w:cs="Arial"/>
          <w:sz w:val="14"/>
          <w:szCs w:val="14"/>
        </w:rPr>
        <w:t>1474</w:t>
      </w:r>
      <w:r w:rsidRPr="00587DED">
        <w:rPr>
          <w:rFonts w:ascii="Verdana" w:hAnsi="Verdana" w:cs="Arial"/>
          <w:spacing w:val="4"/>
          <w:sz w:val="14"/>
          <w:szCs w:val="14"/>
        </w:rPr>
        <w:t xml:space="preserve"> </w:t>
      </w:r>
      <w:r w:rsidRPr="00587DED">
        <w:rPr>
          <w:rFonts w:ascii="Verdana" w:hAnsi="Verdana" w:cs="Arial"/>
          <w:sz w:val="14"/>
          <w:szCs w:val="14"/>
        </w:rPr>
        <w:t>de</w:t>
      </w:r>
      <w:r w:rsidRPr="00587DED">
        <w:rPr>
          <w:rFonts w:ascii="Verdana" w:hAnsi="Verdana" w:cs="Arial"/>
          <w:spacing w:val="-3"/>
          <w:sz w:val="14"/>
          <w:szCs w:val="14"/>
        </w:rPr>
        <w:t xml:space="preserve"> </w:t>
      </w:r>
      <w:r w:rsidRPr="00587DED">
        <w:rPr>
          <w:rFonts w:ascii="Verdana" w:hAnsi="Verdana" w:cs="Arial"/>
          <w:sz w:val="14"/>
          <w:szCs w:val="14"/>
        </w:rPr>
        <w:t>2011.</w:t>
      </w:r>
    </w:p>
  </w:footnote>
  <w:footnote w:id="18">
    <w:p w14:paraId="3C70FF1C" w14:textId="77777777" w:rsidR="000F4524" w:rsidRPr="00984E13" w:rsidRDefault="000F4524" w:rsidP="000F4524">
      <w:pPr>
        <w:pStyle w:val="Textonotapie"/>
        <w:ind w:firstLine="709"/>
        <w:jc w:val="both"/>
        <w:rPr>
          <w:rFonts w:ascii="Verdana" w:hAnsi="Verdana" w:cs="Arial"/>
          <w:sz w:val="16"/>
          <w:szCs w:val="16"/>
        </w:rPr>
      </w:pPr>
      <w:r w:rsidRPr="00587DED">
        <w:rPr>
          <w:rStyle w:val="Refdenotaalpie"/>
          <w:rFonts w:ascii="Verdana" w:hAnsi="Verdana" w:cs="Arial"/>
          <w:sz w:val="14"/>
          <w:szCs w:val="14"/>
        </w:rPr>
        <w:footnoteRef/>
      </w:r>
      <w:r w:rsidRPr="00587DED">
        <w:rPr>
          <w:rFonts w:ascii="Verdana" w:hAnsi="Verdana" w:cs="Arial"/>
          <w:sz w:val="14"/>
          <w:szCs w:val="14"/>
        </w:rPr>
        <w:t xml:space="preserve"> </w:t>
      </w:r>
      <w:r w:rsidRPr="00587DED">
        <w:rPr>
          <w:rFonts w:ascii="Verdana" w:hAnsi="Verdana" w:cs="Arial"/>
          <w:spacing w:val="-1"/>
          <w:sz w:val="14"/>
          <w:szCs w:val="14"/>
        </w:rPr>
        <w:t>CONSEJO</w:t>
      </w:r>
      <w:r w:rsidRPr="00587DED">
        <w:rPr>
          <w:rFonts w:ascii="Verdana" w:hAnsi="Verdana" w:cs="Arial"/>
          <w:spacing w:val="-13"/>
          <w:sz w:val="14"/>
          <w:szCs w:val="14"/>
        </w:rPr>
        <w:t xml:space="preserve"> </w:t>
      </w:r>
      <w:r w:rsidRPr="00587DED">
        <w:rPr>
          <w:rFonts w:ascii="Verdana" w:hAnsi="Verdana" w:cs="Arial"/>
          <w:spacing w:val="-1"/>
          <w:sz w:val="14"/>
          <w:szCs w:val="14"/>
        </w:rPr>
        <w:t>DE</w:t>
      </w:r>
      <w:r w:rsidRPr="00587DED">
        <w:rPr>
          <w:rFonts w:ascii="Verdana" w:hAnsi="Verdana" w:cs="Arial"/>
          <w:spacing w:val="-13"/>
          <w:sz w:val="14"/>
          <w:szCs w:val="14"/>
        </w:rPr>
        <w:t xml:space="preserve"> </w:t>
      </w:r>
      <w:r w:rsidRPr="00587DED">
        <w:rPr>
          <w:rFonts w:ascii="Verdana" w:hAnsi="Verdana" w:cs="Arial"/>
          <w:spacing w:val="-1"/>
          <w:sz w:val="14"/>
          <w:szCs w:val="14"/>
        </w:rPr>
        <w:t>ESTADO.</w:t>
      </w:r>
      <w:r w:rsidRPr="00587DED">
        <w:rPr>
          <w:rFonts w:ascii="Verdana" w:hAnsi="Verdana" w:cs="Arial"/>
          <w:spacing w:val="-12"/>
          <w:sz w:val="14"/>
          <w:szCs w:val="14"/>
        </w:rPr>
        <w:t xml:space="preserve"> </w:t>
      </w:r>
      <w:r w:rsidRPr="00587DED">
        <w:rPr>
          <w:rFonts w:ascii="Verdana" w:hAnsi="Verdana" w:cs="Arial"/>
          <w:spacing w:val="-1"/>
          <w:sz w:val="14"/>
          <w:szCs w:val="14"/>
        </w:rPr>
        <w:t>Sección</w:t>
      </w:r>
      <w:r w:rsidRPr="00587DED">
        <w:rPr>
          <w:rFonts w:ascii="Verdana" w:hAnsi="Verdana" w:cs="Arial"/>
          <w:spacing w:val="-11"/>
          <w:sz w:val="14"/>
          <w:szCs w:val="14"/>
        </w:rPr>
        <w:t xml:space="preserve"> </w:t>
      </w:r>
      <w:r w:rsidRPr="00587DED">
        <w:rPr>
          <w:rFonts w:ascii="Verdana" w:hAnsi="Verdana" w:cs="Arial"/>
          <w:sz w:val="14"/>
          <w:szCs w:val="14"/>
        </w:rPr>
        <w:t>Tercera.</w:t>
      </w:r>
      <w:r w:rsidRPr="00587DED">
        <w:rPr>
          <w:rFonts w:ascii="Verdana" w:hAnsi="Verdana" w:cs="Arial"/>
          <w:spacing w:val="-12"/>
          <w:sz w:val="14"/>
          <w:szCs w:val="14"/>
        </w:rPr>
        <w:t xml:space="preserve"> </w:t>
      </w:r>
      <w:r w:rsidRPr="00587DED">
        <w:rPr>
          <w:rFonts w:ascii="Verdana" w:hAnsi="Verdana" w:cs="Arial"/>
          <w:sz w:val="14"/>
          <w:szCs w:val="14"/>
        </w:rPr>
        <w:t>Sentencia</w:t>
      </w:r>
      <w:r w:rsidRPr="00587DED">
        <w:rPr>
          <w:rFonts w:ascii="Verdana" w:hAnsi="Verdana" w:cs="Arial"/>
          <w:spacing w:val="-12"/>
          <w:sz w:val="14"/>
          <w:szCs w:val="14"/>
        </w:rPr>
        <w:t xml:space="preserve"> </w:t>
      </w:r>
      <w:r w:rsidRPr="00587DED">
        <w:rPr>
          <w:rFonts w:ascii="Verdana" w:hAnsi="Verdana" w:cs="Arial"/>
          <w:sz w:val="14"/>
          <w:szCs w:val="14"/>
        </w:rPr>
        <w:t>del</w:t>
      </w:r>
      <w:r w:rsidRPr="00587DED">
        <w:rPr>
          <w:rFonts w:ascii="Verdana" w:hAnsi="Verdana" w:cs="Arial"/>
          <w:spacing w:val="-11"/>
          <w:sz w:val="14"/>
          <w:szCs w:val="14"/>
        </w:rPr>
        <w:t xml:space="preserve"> </w:t>
      </w:r>
      <w:r w:rsidRPr="00587DED">
        <w:rPr>
          <w:rFonts w:ascii="Verdana" w:hAnsi="Verdana" w:cs="Arial"/>
          <w:sz w:val="14"/>
          <w:szCs w:val="14"/>
        </w:rPr>
        <w:t>27</w:t>
      </w:r>
      <w:r w:rsidRPr="00587DED">
        <w:rPr>
          <w:rFonts w:ascii="Verdana" w:hAnsi="Verdana" w:cs="Arial"/>
          <w:spacing w:val="-14"/>
          <w:sz w:val="14"/>
          <w:szCs w:val="14"/>
        </w:rPr>
        <w:t xml:space="preserve"> </w:t>
      </w:r>
      <w:r w:rsidRPr="00587DED">
        <w:rPr>
          <w:rFonts w:ascii="Verdana" w:hAnsi="Verdana" w:cs="Arial"/>
          <w:sz w:val="14"/>
          <w:szCs w:val="14"/>
        </w:rPr>
        <w:t>de</w:t>
      </w:r>
      <w:r w:rsidRPr="00587DED">
        <w:rPr>
          <w:rFonts w:ascii="Verdana" w:hAnsi="Verdana" w:cs="Arial"/>
          <w:spacing w:val="-12"/>
          <w:sz w:val="14"/>
          <w:szCs w:val="14"/>
        </w:rPr>
        <w:t xml:space="preserve"> </w:t>
      </w:r>
      <w:r w:rsidRPr="00587DED">
        <w:rPr>
          <w:rFonts w:ascii="Verdana" w:hAnsi="Verdana" w:cs="Arial"/>
          <w:sz w:val="14"/>
          <w:szCs w:val="14"/>
        </w:rPr>
        <w:t>noviembre</w:t>
      </w:r>
      <w:r w:rsidRPr="00587DED">
        <w:rPr>
          <w:rFonts w:ascii="Verdana" w:hAnsi="Verdana" w:cs="Arial"/>
          <w:spacing w:val="-12"/>
          <w:sz w:val="14"/>
          <w:szCs w:val="14"/>
        </w:rPr>
        <w:t xml:space="preserve"> </w:t>
      </w:r>
      <w:r w:rsidRPr="00587DED">
        <w:rPr>
          <w:rFonts w:ascii="Verdana" w:hAnsi="Verdana" w:cs="Arial"/>
          <w:sz w:val="14"/>
          <w:szCs w:val="14"/>
        </w:rPr>
        <w:t>de</w:t>
      </w:r>
      <w:r w:rsidRPr="00587DED">
        <w:rPr>
          <w:rFonts w:ascii="Verdana" w:hAnsi="Verdana" w:cs="Arial"/>
          <w:spacing w:val="-12"/>
          <w:sz w:val="14"/>
          <w:szCs w:val="14"/>
        </w:rPr>
        <w:t xml:space="preserve"> </w:t>
      </w:r>
      <w:r w:rsidRPr="00587DED">
        <w:rPr>
          <w:rFonts w:ascii="Verdana" w:hAnsi="Verdana" w:cs="Arial"/>
          <w:sz w:val="14"/>
          <w:szCs w:val="14"/>
        </w:rPr>
        <w:t>2017.</w:t>
      </w:r>
      <w:r w:rsidRPr="00587DED">
        <w:rPr>
          <w:rFonts w:ascii="Verdana" w:hAnsi="Verdana" w:cs="Arial"/>
          <w:spacing w:val="-8"/>
          <w:sz w:val="14"/>
          <w:szCs w:val="14"/>
        </w:rPr>
        <w:t xml:space="preserve"> </w:t>
      </w:r>
      <w:proofErr w:type="spellStart"/>
      <w:r w:rsidRPr="00587DED">
        <w:rPr>
          <w:rFonts w:ascii="Verdana" w:hAnsi="Verdana" w:cs="Arial"/>
          <w:sz w:val="14"/>
          <w:szCs w:val="14"/>
        </w:rPr>
        <w:t>Exp</w:t>
      </w:r>
      <w:proofErr w:type="spellEnd"/>
      <w:r w:rsidRPr="00587DED">
        <w:rPr>
          <w:rFonts w:ascii="Verdana" w:hAnsi="Verdana" w:cs="Arial"/>
          <w:sz w:val="14"/>
          <w:szCs w:val="14"/>
        </w:rPr>
        <w:t>.</w:t>
      </w:r>
      <w:r w:rsidRPr="00587DED">
        <w:rPr>
          <w:rFonts w:ascii="Verdana" w:hAnsi="Verdana" w:cs="Arial"/>
          <w:spacing w:val="-12"/>
          <w:sz w:val="14"/>
          <w:szCs w:val="14"/>
        </w:rPr>
        <w:t xml:space="preserve"> </w:t>
      </w:r>
      <w:r w:rsidRPr="00587DED">
        <w:rPr>
          <w:rFonts w:ascii="Verdana" w:hAnsi="Verdana" w:cs="Arial"/>
          <w:sz w:val="14"/>
          <w:szCs w:val="14"/>
        </w:rPr>
        <w:t>51.802.</w:t>
      </w:r>
      <w:r w:rsidRPr="00587DED">
        <w:rPr>
          <w:rFonts w:ascii="Verdana" w:hAnsi="Verdana" w:cs="Arial"/>
          <w:spacing w:val="-9"/>
          <w:sz w:val="14"/>
          <w:szCs w:val="14"/>
        </w:rPr>
        <w:t xml:space="preserve"> </w:t>
      </w:r>
      <w:r w:rsidRPr="00587DED">
        <w:rPr>
          <w:rFonts w:ascii="Verdana" w:hAnsi="Verdana" w:cs="Arial"/>
          <w:sz w:val="14"/>
          <w:szCs w:val="14"/>
        </w:rPr>
        <w:t>M.P.</w:t>
      </w:r>
      <w:r w:rsidRPr="00587DED">
        <w:rPr>
          <w:rFonts w:ascii="Verdana" w:hAnsi="Verdana" w:cs="Arial"/>
          <w:spacing w:val="-12"/>
          <w:sz w:val="14"/>
          <w:szCs w:val="14"/>
        </w:rPr>
        <w:t xml:space="preserve"> </w:t>
      </w:r>
      <w:r w:rsidRPr="00587DED">
        <w:rPr>
          <w:rFonts w:ascii="Verdana" w:hAnsi="Verdana" w:cs="Arial"/>
          <w:sz w:val="14"/>
          <w:szCs w:val="14"/>
        </w:rPr>
        <w:t>Jaime</w:t>
      </w:r>
      <w:r w:rsidRPr="00587DED">
        <w:rPr>
          <w:rFonts w:ascii="Verdana" w:hAnsi="Verdana" w:cs="Arial"/>
          <w:spacing w:val="-47"/>
          <w:sz w:val="14"/>
          <w:szCs w:val="14"/>
        </w:rPr>
        <w:t xml:space="preserve"> </w:t>
      </w:r>
      <w:r w:rsidRPr="00587DED">
        <w:rPr>
          <w:rFonts w:ascii="Verdana" w:hAnsi="Verdana" w:cs="Arial"/>
          <w:sz w:val="14"/>
          <w:szCs w:val="14"/>
        </w:rPr>
        <w:t>Orlando</w:t>
      </w:r>
      <w:r w:rsidRPr="00587DED">
        <w:rPr>
          <w:rFonts w:ascii="Verdana" w:hAnsi="Verdana" w:cs="Arial"/>
          <w:spacing w:val="-1"/>
          <w:sz w:val="14"/>
          <w:szCs w:val="14"/>
        </w:rPr>
        <w:t xml:space="preserve"> </w:t>
      </w:r>
      <w:r w:rsidRPr="00587DED">
        <w:rPr>
          <w:rFonts w:ascii="Verdana" w:hAnsi="Verdana" w:cs="Arial"/>
          <w:sz w:val="14"/>
          <w:szCs w:val="14"/>
        </w:rPr>
        <w:t>Santofimio.</w:t>
      </w:r>
    </w:p>
  </w:footnote>
  <w:footnote w:id="19">
    <w:p w14:paraId="55F7A160" w14:textId="77777777" w:rsidR="000F4524" w:rsidRPr="00984E13" w:rsidRDefault="000F4524" w:rsidP="000F4524">
      <w:pPr>
        <w:pStyle w:val="Textonotapie"/>
        <w:ind w:firstLine="708"/>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SUÁREZ BELTRÁN, Gonzalo. Estudios de derecho contractual público. Bogotá: Legis, 2014. p. 262.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DE66C2"/>
    <w:multiLevelType w:val="hybridMultilevel"/>
    <w:tmpl w:val="BC20ABE2"/>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5"/>
  </w:num>
  <w:num w:numId="8" w16cid:durableId="152644682">
    <w:abstractNumId w:val="14"/>
  </w:num>
  <w:num w:numId="9" w16cid:durableId="1317221377">
    <w:abstractNumId w:val="7"/>
  </w:num>
  <w:num w:numId="10" w16cid:durableId="1471245386">
    <w:abstractNumId w:val="13"/>
  </w:num>
  <w:num w:numId="11" w16cid:durableId="289172385">
    <w:abstractNumId w:val="8"/>
  </w:num>
  <w:num w:numId="12" w16cid:durableId="1470781324">
    <w:abstractNumId w:val="1"/>
  </w:num>
  <w:num w:numId="13" w16cid:durableId="1512908409">
    <w:abstractNumId w:val="3"/>
  </w:num>
  <w:num w:numId="14" w16cid:durableId="895897244">
    <w:abstractNumId w:val="16"/>
  </w:num>
  <w:num w:numId="15" w16cid:durableId="390349800">
    <w:abstractNumId w:val="11"/>
  </w:num>
  <w:num w:numId="16" w16cid:durableId="341274352">
    <w:abstractNumId w:val="0"/>
  </w:num>
  <w:num w:numId="17" w16cid:durableId="153255849">
    <w:abstractNumId w:val="10"/>
  </w:num>
  <w:num w:numId="18" w16cid:durableId="679089576">
    <w:abstractNumId w:val="9"/>
  </w:num>
  <w:num w:numId="19" w16cid:durableId="15083241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4524"/>
    <w:rsid w:val="000F6486"/>
    <w:rsid w:val="00116940"/>
    <w:rsid w:val="00124FFB"/>
    <w:rsid w:val="00125105"/>
    <w:rsid w:val="0012559B"/>
    <w:rsid w:val="00127233"/>
    <w:rsid w:val="0015699B"/>
    <w:rsid w:val="001A33BF"/>
    <w:rsid w:val="001E4177"/>
    <w:rsid w:val="001F0B24"/>
    <w:rsid w:val="001F7DC6"/>
    <w:rsid w:val="00210FD0"/>
    <w:rsid w:val="0022400B"/>
    <w:rsid w:val="00234A0C"/>
    <w:rsid w:val="002421BB"/>
    <w:rsid w:val="0025796E"/>
    <w:rsid w:val="002707A2"/>
    <w:rsid w:val="002951A0"/>
    <w:rsid w:val="002962BC"/>
    <w:rsid w:val="002A093D"/>
    <w:rsid w:val="002A0DD0"/>
    <w:rsid w:val="002A49AC"/>
    <w:rsid w:val="002A64FD"/>
    <w:rsid w:val="002C7A84"/>
    <w:rsid w:val="002E2BF8"/>
    <w:rsid w:val="002E4FD9"/>
    <w:rsid w:val="002F1A53"/>
    <w:rsid w:val="0030657A"/>
    <w:rsid w:val="003174FE"/>
    <w:rsid w:val="00322A85"/>
    <w:rsid w:val="00324168"/>
    <w:rsid w:val="00330834"/>
    <w:rsid w:val="0033389A"/>
    <w:rsid w:val="003448F4"/>
    <w:rsid w:val="0037212C"/>
    <w:rsid w:val="00374F5E"/>
    <w:rsid w:val="00377E3E"/>
    <w:rsid w:val="003A779E"/>
    <w:rsid w:val="003C6C8F"/>
    <w:rsid w:val="003D0F4D"/>
    <w:rsid w:val="003D5B0D"/>
    <w:rsid w:val="003E0499"/>
    <w:rsid w:val="003E4F80"/>
    <w:rsid w:val="003E6439"/>
    <w:rsid w:val="003F3941"/>
    <w:rsid w:val="00406091"/>
    <w:rsid w:val="00406575"/>
    <w:rsid w:val="00414C74"/>
    <w:rsid w:val="0042722E"/>
    <w:rsid w:val="0044528D"/>
    <w:rsid w:val="004617D3"/>
    <w:rsid w:val="00466E39"/>
    <w:rsid w:val="004A1847"/>
    <w:rsid w:val="004A305D"/>
    <w:rsid w:val="004C79A8"/>
    <w:rsid w:val="004F21C4"/>
    <w:rsid w:val="004F685F"/>
    <w:rsid w:val="005463BD"/>
    <w:rsid w:val="005566E8"/>
    <w:rsid w:val="00557D50"/>
    <w:rsid w:val="00574867"/>
    <w:rsid w:val="00591460"/>
    <w:rsid w:val="005A65E0"/>
    <w:rsid w:val="005C3777"/>
    <w:rsid w:val="005C5CDC"/>
    <w:rsid w:val="005D476C"/>
    <w:rsid w:val="006200BF"/>
    <w:rsid w:val="006219F8"/>
    <w:rsid w:val="006302F7"/>
    <w:rsid w:val="00646B9F"/>
    <w:rsid w:val="00653273"/>
    <w:rsid w:val="00665D70"/>
    <w:rsid w:val="006900D9"/>
    <w:rsid w:val="00706C16"/>
    <w:rsid w:val="0072425B"/>
    <w:rsid w:val="007340C3"/>
    <w:rsid w:val="0075235A"/>
    <w:rsid w:val="00756841"/>
    <w:rsid w:val="007649AB"/>
    <w:rsid w:val="00771101"/>
    <w:rsid w:val="00771D0C"/>
    <w:rsid w:val="007833AC"/>
    <w:rsid w:val="00787F7E"/>
    <w:rsid w:val="007B268C"/>
    <w:rsid w:val="007B7171"/>
    <w:rsid w:val="007C0C0F"/>
    <w:rsid w:val="007C3DC2"/>
    <w:rsid w:val="007E5497"/>
    <w:rsid w:val="00806F5F"/>
    <w:rsid w:val="00820278"/>
    <w:rsid w:val="008258C9"/>
    <w:rsid w:val="00844AE9"/>
    <w:rsid w:val="00862A50"/>
    <w:rsid w:val="00867F95"/>
    <w:rsid w:val="00871FEA"/>
    <w:rsid w:val="008843B6"/>
    <w:rsid w:val="008901F2"/>
    <w:rsid w:val="00891928"/>
    <w:rsid w:val="00893313"/>
    <w:rsid w:val="008A446D"/>
    <w:rsid w:val="008B25F1"/>
    <w:rsid w:val="008D180B"/>
    <w:rsid w:val="008F0EA7"/>
    <w:rsid w:val="0090614A"/>
    <w:rsid w:val="00923EEF"/>
    <w:rsid w:val="009419F9"/>
    <w:rsid w:val="0095685E"/>
    <w:rsid w:val="00961B09"/>
    <w:rsid w:val="00965334"/>
    <w:rsid w:val="0097093E"/>
    <w:rsid w:val="009A0DFA"/>
    <w:rsid w:val="009A1C6F"/>
    <w:rsid w:val="009B2D26"/>
    <w:rsid w:val="009C0164"/>
    <w:rsid w:val="009C71FA"/>
    <w:rsid w:val="009C72E7"/>
    <w:rsid w:val="009C7F7E"/>
    <w:rsid w:val="009D3058"/>
    <w:rsid w:val="009F3A13"/>
    <w:rsid w:val="00A122D3"/>
    <w:rsid w:val="00A14468"/>
    <w:rsid w:val="00A17F13"/>
    <w:rsid w:val="00A20739"/>
    <w:rsid w:val="00A23AF9"/>
    <w:rsid w:val="00A3076F"/>
    <w:rsid w:val="00A33C78"/>
    <w:rsid w:val="00A8236A"/>
    <w:rsid w:val="00AA1581"/>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86FA4"/>
    <w:rsid w:val="00C925AC"/>
    <w:rsid w:val="00CB6357"/>
    <w:rsid w:val="00CC1B26"/>
    <w:rsid w:val="00D361FD"/>
    <w:rsid w:val="00D423A2"/>
    <w:rsid w:val="00D44E26"/>
    <w:rsid w:val="00D520D8"/>
    <w:rsid w:val="00D63AC2"/>
    <w:rsid w:val="00D7383B"/>
    <w:rsid w:val="00D7788A"/>
    <w:rsid w:val="00D77AD7"/>
    <w:rsid w:val="00D850ED"/>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F452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F4524"/>
    <w:rPr>
      <w:rFonts w:ascii="Geomanist Light" w:hAnsi="Geomanist Light"/>
      <w:lang w:val="es-ES"/>
    </w:rPr>
  </w:style>
  <w:style w:type="character" w:customStyle="1" w:styleId="NormalWebCar">
    <w:name w:val="Normal (Web) Car"/>
    <w:link w:val="NormalWeb"/>
    <w:uiPriority w:val="99"/>
    <w:locked/>
    <w:rsid w:val="000F4524"/>
    <w:rPr>
      <w:rFonts w:ascii="Times New Roman" w:eastAsia="Times New Roman" w:hAnsi="Times New Roman" w:cs="Times New Roman"/>
      <w:sz w:val="24"/>
      <w:szCs w:val="24"/>
      <w:lang w:eastAsia="es-CO"/>
    </w:rPr>
  </w:style>
  <w:style w:type="character" w:customStyle="1" w:styleId="baj">
    <w:name w:val="b_aj"/>
    <w:basedOn w:val="Fuentedeprrafopredeter"/>
    <w:rsid w:val="000F4524"/>
  </w:style>
  <w:style w:type="paragraph" w:styleId="Textoindependiente">
    <w:name w:val="Body Text"/>
    <w:basedOn w:val="Normal"/>
    <w:link w:val="TextoindependienteCar"/>
    <w:uiPriority w:val="1"/>
    <w:qFormat/>
    <w:rsid w:val="000F4524"/>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0F4524"/>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normativa/ley-1150-de-2007/" TargetMode="External"/><Relationship Id="rId18" Type="http://schemas.openxmlformats.org/officeDocument/2006/relationships/hyperlink" Target="https://relatoria.colombiacompra.gov.co/providencias/2019_05001-23-33-000-2018-00342-01_62009/"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7" Type="http://schemas.openxmlformats.org/officeDocument/2006/relationships/settings" Target="settings.xml"/><Relationship Id="rId12" Type="http://schemas.openxmlformats.org/officeDocument/2006/relationships/hyperlink" Target="https://relatoria.colombiacompra.gov.co/normativa/ley-80-de-1993/" TargetMode="External"/><Relationship Id="rId17" Type="http://schemas.openxmlformats.org/officeDocument/2006/relationships/hyperlink" Target="https://relatoria.colombiacompra.gov.co/providencias/25000-23-26-000-2007-00108-01_42494/" TargetMode="External"/><Relationship Id="rId25"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relatoria.colombiacompra.gov.co/providencias/25000-23-26-000-2003-00874-01_28278/" TargetMode="External"/><Relationship Id="rId20" Type="http://schemas.openxmlformats.org/officeDocument/2006/relationships/hyperlink" Target="https://relatoria.colombiacompra.gov.co/busqueda/conceptos"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hyperlink" Target="https://forms.office.com/r/pPHyWVs2SZ" TargetMode="External"/><Relationship Id="rId5" Type="http://schemas.openxmlformats.org/officeDocument/2006/relationships/numbering" Target="numbering.xml"/><Relationship Id="rId15" Type="http://schemas.openxmlformats.org/officeDocument/2006/relationships/hyperlink" Target="https://relatoria.colombiacompra.gov.co/normativa/decreto-1082-de-2015/" TargetMode="External"/><Relationship Id="rId23" Type="http://schemas.openxmlformats.org/officeDocument/2006/relationships/hyperlink" Target="https://www.colombiacompra.gov.co/pqrsd/informacion-importante-antes-de-formular-una-pqrsd"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colombiacompra.gov.co/sites/cce_public/files/cce_documents/cce_guia_liquidacion_procesos.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normativa/codigo-de-comercio-decreto-410-de-1971/" TargetMode="External"/><Relationship Id="rId22" Type="http://schemas.openxmlformats.org/officeDocument/2006/relationships/hyperlink" Target="mailto:ventanilladeradicacion@colombiacompra.gov.co" TargetMode="External"/><Relationship Id="rId27"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documents/cce_guia_liquidacion_procesos.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0B51981B-BC3A-49BE-BCB2-4E8FF69ED027}">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0F8C8374-7CF9-4CD9-B37B-32ED561C47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TotalTime>
  <Pages>20</Pages>
  <Words>7278</Words>
  <Characters>40029</Characters>
  <Application>Microsoft Office Word</Application>
  <DocSecurity>0</DocSecurity>
  <Lines>333</Lines>
  <Paragraphs>94</Paragraphs>
  <ScaleCrop>false</ScaleCrop>
  <Company/>
  <LinksUpToDate>false</LinksUpToDate>
  <CharactersWithSpaces>47213</CharactersWithSpaces>
  <SharedDoc>false</SharedDoc>
  <HLinks>
    <vt:vector size="84" baseType="variant">
      <vt:variant>
        <vt:i4>4456513</vt:i4>
      </vt:variant>
      <vt:variant>
        <vt:i4>36</vt:i4>
      </vt:variant>
      <vt:variant>
        <vt:i4>0</vt:i4>
      </vt:variant>
      <vt:variant>
        <vt:i4>5</vt:i4>
      </vt:variant>
      <vt:variant>
        <vt:lpwstr>https://forms.office.com/r/pPHyWVs2SZ</vt:lpwstr>
      </vt:variant>
      <vt:variant>
        <vt:lpwstr/>
      </vt:variant>
      <vt:variant>
        <vt:i4>3407926</vt:i4>
      </vt:variant>
      <vt:variant>
        <vt:i4>33</vt:i4>
      </vt:variant>
      <vt:variant>
        <vt:i4>0</vt:i4>
      </vt:variant>
      <vt:variant>
        <vt:i4>5</vt:i4>
      </vt:variant>
      <vt:variant>
        <vt:lpwstr>https://www.colombiacompra.gov.co/pqrsd/informacion-importante-antes-de-formular-una-pqrsd</vt:lpwstr>
      </vt:variant>
      <vt:variant>
        <vt:lpwstr/>
      </vt:variant>
      <vt:variant>
        <vt:i4>4980779</vt:i4>
      </vt:variant>
      <vt:variant>
        <vt:i4>30</vt:i4>
      </vt:variant>
      <vt:variant>
        <vt:i4>0</vt:i4>
      </vt:variant>
      <vt:variant>
        <vt:i4>5</vt:i4>
      </vt:variant>
      <vt:variant>
        <vt:lpwstr>mailto:ventanilladeradicacion@colombiacompra.gov.co</vt:lpwstr>
      </vt:variant>
      <vt:variant>
        <vt:lpwstr/>
      </vt:variant>
      <vt:variant>
        <vt:i4>7995518</vt:i4>
      </vt:variant>
      <vt:variant>
        <vt:i4>27</vt:i4>
      </vt:variant>
      <vt:variant>
        <vt:i4>0</vt:i4>
      </vt:variant>
      <vt:variant>
        <vt:i4>5</vt:i4>
      </vt:variant>
      <vt:variant>
        <vt:lpwstr>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vt:lpwstr>
      </vt:variant>
      <vt:variant>
        <vt:lpwstr/>
      </vt:variant>
      <vt:variant>
        <vt:i4>7471218</vt:i4>
      </vt:variant>
      <vt:variant>
        <vt:i4>24</vt:i4>
      </vt:variant>
      <vt:variant>
        <vt:i4>0</vt:i4>
      </vt:variant>
      <vt:variant>
        <vt:i4>5</vt:i4>
      </vt:variant>
      <vt:variant>
        <vt:lpwstr>https://relatoria.colombiacompra.gov.co/busqueda/conceptos</vt:lpwstr>
      </vt:variant>
      <vt:variant>
        <vt:lpwstr/>
      </vt:variant>
      <vt:variant>
        <vt:i4>8257615</vt:i4>
      </vt:variant>
      <vt:variant>
        <vt:i4>21</vt:i4>
      </vt:variant>
      <vt:variant>
        <vt:i4>0</vt:i4>
      </vt:variant>
      <vt:variant>
        <vt:i4>5</vt:i4>
      </vt:variant>
      <vt:variant>
        <vt:lpwstr>https://www.colombiacompra.gov.co/sites/cce_public/files/cce_documents/cce_guia_liquidacion_procesos.pdf</vt:lpwstr>
      </vt:variant>
      <vt:variant>
        <vt:lpwstr/>
      </vt:variant>
      <vt:variant>
        <vt:i4>3539053</vt:i4>
      </vt:variant>
      <vt:variant>
        <vt:i4>18</vt:i4>
      </vt:variant>
      <vt:variant>
        <vt:i4>0</vt:i4>
      </vt:variant>
      <vt:variant>
        <vt:i4>5</vt:i4>
      </vt:variant>
      <vt:variant>
        <vt:lpwstr>https://relatoria.colombiacompra.gov.co/providencias/2019_05001-23-33-000-2018-00342-01_62009/</vt:lpwstr>
      </vt:variant>
      <vt:variant>
        <vt:lpwstr/>
      </vt:variant>
      <vt:variant>
        <vt:i4>1376307</vt:i4>
      </vt:variant>
      <vt:variant>
        <vt:i4>15</vt:i4>
      </vt:variant>
      <vt:variant>
        <vt:i4>0</vt:i4>
      </vt:variant>
      <vt:variant>
        <vt:i4>5</vt:i4>
      </vt:variant>
      <vt:variant>
        <vt:lpwstr>https://relatoria.colombiacompra.gov.co/providencias/25000-23-26-000-2007-00108-01_42494/</vt:lpwstr>
      </vt:variant>
      <vt:variant>
        <vt:lpwstr/>
      </vt:variant>
      <vt:variant>
        <vt:i4>1966134</vt:i4>
      </vt:variant>
      <vt:variant>
        <vt:i4>12</vt:i4>
      </vt:variant>
      <vt:variant>
        <vt:i4>0</vt:i4>
      </vt:variant>
      <vt:variant>
        <vt:i4>5</vt:i4>
      </vt:variant>
      <vt:variant>
        <vt:lpwstr>https://relatoria.colombiacompra.gov.co/providencias/25000-23-26-000-2003-00874-01_28278/</vt:lpwstr>
      </vt:variant>
      <vt:variant>
        <vt:lpwstr/>
      </vt:variant>
      <vt:variant>
        <vt:i4>3276916</vt:i4>
      </vt:variant>
      <vt:variant>
        <vt:i4>9</vt:i4>
      </vt:variant>
      <vt:variant>
        <vt:i4>0</vt:i4>
      </vt:variant>
      <vt:variant>
        <vt:i4>5</vt:i4>
      </vt:variant>
      <vt:variant>
        <vt:lpwstr>https://relatoria.colombiacompra.gov.co/normativa/decreto-1082-de-2015/</vt:lpwstr>
      </vt:variant>
      <vt:variant>
        <vt:lpwstr/>
      </vt:variant>
      <vt:variant>
        <vt:i4>6029338</vt:i4>
      </vt:variant>
      <vt:variant>
        <vt:i4>6</vt:i4>
      </vt:variant>
      <vt:variant>
        <vt:i4>0</vt:i4>
      </vt:variant>
      <vt:variant>
        <vt:i4>5</vt:i4>
      </vt:variant>
      <vt:variant>
        <vt:lpwstr>https://relatoria.colombiacompra.gov.co/normativa/codigo-de-comercio-decreto-410-de-1971/</vt:lpwstr>
      </vt:variant>
      <vt:variant>
        <vt:lpwstr/>
      </vt:variant>
      <vt:variant>
        <vt:i4>3473504</vt:i4>
      </vt:variant>
      <vt:variant>
        <vt:i4>3</vt:i4>
      </vt:variant>
      <vt:variant>
        <vt:i4>0</vt:i4>
      </vt:variant>
      <vt:variant>
        <vt:i4>5</vt:i4>
      </vt:variant>
      <vt:variant>
        <vt:lpwstr>https://relatoria.colombiacompra.gov.co/normativa/ley-1150-de-2007/</vt:lpwstr>
      </vt:variant>
      <vt:variant>
        <vt:lpwstr/>
      </vt:variant>
      <vt:variant>
        <vt:i4>589910</vt:i4>
      </vt:variant>
      <vt:variant>
        <vt:i4>0</vt:i4>
      </vt:variant>
      <vt:variant>
        <vt:i4>0</vt:i4>
      </vt:variant>
      <vt:variant>
        <vt:i4>5</vt:i4>
      </vt:variant>
      <vt:variant>
        <vt:lpwstr>https://relatoria.colombiacompra.gov.co/normativa/ley-80-de-1993/</vt:lpwstr>
      </vt:variant>
      <vt:variant>
        <vt:lpwstr/>
      </vt:variant>
      <vt:variant>
        <vt:i4>8257615</vt:i4>
      </vt:variant>
      <vt:variant>
        <vt:i4>0</vt:i4>
      </vt:variant>
      <vt:variant>
        <vt:i4>0</vt:i4>
      </vt:variant>
      <vt:variant>
        <vt:i4>5</vt:i4>
      </vt:variant>
      <vt:variant>
        <vt:lpwstr>https://www.colombiacompra.gov.co/sites/cce_public/files/cce_documents/cce_guia_liquidacion_procesos.pdf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2026-04-16T22:31:00Z</dcterms:created>
  <dcterms:modified xsi:type="dcterms:W3CDTF">2026-04-17T14:07:00Z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