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394F3C" w14:textId="77777777" w:rsidR="00E52607" w:rsidRPr="009647D2" w:rsidRDefault="00E52607" w:rsidP="00E52607">
      <w:pPr>
        <w:spacing w:after="0" w:line="240" w:lineRule="auto"/>
        <w:jc w:val="both"/>
        <w:rPr>
          <w:rFonts w:ascii="Verdana" w:eastAsia="Calibri" w:hAnsi="Verdana" w:cs="Arial"/>
          <w:b/>
          <w:lang w:val="es-ES" w:eastAsia="es-ES"/>
        </w:rPr>
      </w:pPr>
      <w:bookmarkStart w:id="0" w:name="_Hlk143780582"/>
      <w:r w:rsidRPr="009647D2">
        <w:rPr>
          <w:rFonts w:ascii="Verdana" w:eastAsia="Calibri" w:hAnsi="Verdana" w:cs="Arial"/>
          <w:b/>
          <w:lang w:val="es-ES" w:eastAsia="es-ES"/>
        </w:rPr>
        <w:t xml:space="preserve">CONTRATO ESTATAL – Régimen jurídico </w:t>
      </w:r>
    </w:p>
    <w:p w14:paraId="6BA15B34" w14:textId="77777777" w:rsidR="00E52607" w:rsidRDefault="00E52607" w:rsidP="00E52607">
      <w:pPr>
        <w:spacing w:after="0" w:line="240" w:lineRule="auto"/>
        <w:jc w:val="both"/>
        <w:rPr>
          <w:rFonts w:ascii="Verdana" w:eastAsia="Calibri" w:hAnsi="Verdana" w:cs="Arial"/>
          <w:b/>
          <w:lang w:val="es-ES" w:eastAsia="es-ES"/>
        </w:rPr>
      </w:pPr>
    </w:p>
    <w:p w14:paraId="2834D2C1" w14:textId="77777777" w:rsidR="00E52607" w:rsidRPr="000B3A5B" w:rsidRDefault="00E52607" w:rsidP="00E52607">
      <w:pPr>
        <w:spacing w:after="0" w:line="240" w:lineRule="auto"/>
        <w:jc w:val="both"/>
        <w:rPr>
          <w:rFonts w:ascii="Verdana" w:eastAsia="Calibri" w:hAnsi="Verdana" w:cs="Arial"/>
          <w:sz w:val="20"/>
          <w:lang w:eastAsia="es-ES"/>
        </w:rPr>
      </w:pPr>
      <w:r w:rsidRPr="000B3A5B">
        <w:rPr>
          <w:rFonts w:ascii="Verdana" w:eastAsia="Calibri" w:hAnsi="Verdana" w:cs="Arial"/>
          <w:sz w:val="20"/>
          <w:lang w:val="es-ES" w:eastAsia="es-ES"/>
        </w:rPr>
        <w:t xml:space="preserve">Respecto al régimen jurídico de las </w:t>
      </w:r>
      <w:r w:rsidRPr="000B3A5B">
        <w:rPr>
          <w:rFonts w:ascii="Verdana" w:eastAsia="Calibri" w:hAnsi="Verdana" w:cs="Arial"/>
          <w:i/>
          <w:iCs/>
          <w:sz w:val="20"/>
          <w:lang w:val="es-ES" w:eastAsia="es-ES"/>
        </w:rPr>
        <w:t>entidades sometidas</w:t>
      </w:r>
      <w:r w:rsidRPr="000B3A5B">
        <w:rPr>
          <w:rFonts w:ascii="Verdana" w:eastAsia="Calibri" w:hAnsi="Verdana" w:cs="Arial"/>
          <w:sz w:val="20"/>
          <w:lang w:val="es-ES" w:eastAsia="es-ES"/>
        </w:rPr>
        <w:t xml:space="preserve">, es necesario tener en cuenta que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0B3A5B">
        <w:rPr>
          <w:rFonts w:ascii="Verdana" w:eastAsia="Calibri" w:hAnsi="Verdana" w:cs="Arial"/>
          <w:sz w:val="20"/>
          <w:lang w:eastAsia="es-ES"/>
        </w:rPr>
        <w:t>el inciso primero del artículo 13 dispone que “Los contratos que celebren las entidades a que se refiere el artículo 2o. del presente estatuto se regirán por las disposiciones comerciales y civiles pertinentes, salvo en las materias particularmente reguladas en esta ley”.</w:t>
      </w:r>
    </w:p>
    <w:p w14:paraId="0D860012" w14:textId="77777777" w:rsidR="00E52607" w:rsidRPr="009647D2" w:rsidRDefault="00E52607" w:rsidP="00E52607">
      <w:pPr>
        <w:spacing w:after="0" w:line="240" w:lineRule="auto"/>
        <w:jc w:val="both"/>
        <w:rPr>
          <w:rFonts w:ascii="Verdana" w:eastAsia="Calibri" w:hAnsi="Verdana" w:cs="Arial"/>
          <w:b/>
          <w:lang w:val="es-ES" w:eastAsia="es-ES"/>
        </w:rPr>
      </w:pPr>
    </w:p>
    <w:p w14:paraId="68BD70BA" w14:textId="77777777" w:rsidR="00E52607" w:rsidRPr="009647D2" w:rsidRDefault="00E52607" w:rsidP="00E52607">
      <w:pPr>
        <w:spacing w:after="0" w:line="240" w:lineRule="auto"/>
        <w:jc w:val="both"/>
        <w:rPr>
          <w:rFonts w:ascii="Verdana" w:eastAsia="Calibri" w:hAnsi="Verdana" w:cs="Arial"/>
          <w:b/>
          <w:lang w:val="es-ES" w:eastAsia="es-ES"/>
        </w:rPr>
      </w:pPr>
      <w:r w:rsidRPr="009647D2">
        <w:rPr>
          <w:rFonts w:ascii="Verdana" w:eastAsia="Calibri" w:hAnsi="Verdana" w:cs="Arial"/>
          <w:b/>
          <w:lang w:val="es-ES" w:eastAsia="es-ES"/>
        </w:rPr>
        <w:t xml:space="preserve">RÉGIMEN EXCEPCIONAL – Justificación – Criterios de clasificación </w:t>
      </w:r>
    </w:p>
    <w:p w14:paraId="469A86A2" w14:textId="77777777" w:rsidR="00E52607" w:rsidRDefault="00E52607" w:rsidP="00E52607">
      <w:pPr>
        <w:spacing w:after="0" w:line="240" w:lineRule="auto"/>
        <w:jc w:val="both"/>
        <w:rPr>
          <w:rFonts w:ascii="Verdana" w:eastAsia="Calibri" w:hAnsi="Verdana" w:cs="Arial"/>
          <w:b/>
          <w:lang w:val="es-ES" w:eastAsia="es-ES"/>
        </w:rPr>
      </w:pPr>
    </w:p>
    <w:p w14:paraId="312BC061" w14:textId="77777777" w:rsidR="00E52607" w:rsidRPr="000876F0" w:rsidRDefault="00E52607" w:rsidP="00E52607">
      <w:pPr>
        <w:spacing w:after="0" w:line="240" w:lineRule="auto"/>
        <w:jc w:val="both"/>
        <w:rPr>
          <w:rFonts w:ascii="Verdana" w:hAnsi="Verdana" w:cs="Arial"/>
          <w:color w:val="000000" w:themeColor="text1"/>
          <w:sz w:val="20"/>
          <w:szCs w:val="20"/>
          <w:lang w:val="es-ES_tradnl"/>
        </w:rPr>
      </w:pPr>
      <w:r w:rsidRPr="000876F0">
        <w:rPr>
          <w:rFonts w:ascii="Verdana" w:hAnsi="Verdana" w:cs="Arial"/>
          <w:color w:val="000000" w:themeColor="text1"/>
          <w:sz w:val="20"/>
          <w:szCs w:val="20"/>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0876F0">
        <w:rPr>
          <w:rFonts w:ascii="Verdana" w:hAnsi="Verdana" w:cs="Arial"/>
          <w:color w:val="000000" w:themeColor="text1"/>
          <w:sz w:val="20"/>
          <w:szCs w:val="20"/>
        </w:rPr>
        <w:t>ii</w:t>
      </w:r>
      <w:proofErr w:type="spellEnd"/>
      <w:r w:rsidRPr="000876F0">
        <w:rPr>
          <w:rFonts w:ascii="Verdana" w:hAnsi="Verdana" w:cs="Arial"/>
          <w:color w:val="000000" w:themeColor="text1"/>
          <w:sz w:val="20"/>
          <w:szCs w:val="20"/>
        </w:rPr>
        <w:t xml:space="preserve">) flexibilizar el ejercicio de la función administrativa –como en los contratos del Banco de la República o los de ciencia y tecnología– o </w:t>
      </w:r>
      <w:proofErr w:type="spellStart"/>
      <w:r w:rsidRPr="000876F0">
        <w:rPr>
          <w:rFonts w:ascii="Verdana" w:hAnsi="Verdana" w:cs="Arial"/>
          <w:color w:val="000000" w:themeColor="text1"/>
          <w:sz w:val="20"/>
          <w:szCs w:val="20"/>
        </w:rPr>
        <w:t>iii</w:t>
      </w:r>
      <w:proofErr w:type="spellEnd"/>
      <w:r w:rsidRPr="000876F0">
        <w:rPr>
          <w:rFonts w:ascii="Verdana" w:hAnsi="Verdana" w:cs="Arial"/>
          <w:color w:val="000000" w:themeColor="text1"/>
          <w:sz w:val="20"/>
          <w:szCs w:val="20"/>
        </w:rPr>
        <w:t xml:space="preserve">) establecer un régimen especial sin excluir por completo la aplicación de la Ley 80 de 1993 –como ocurre en la operaciones del crédito público–.  Para estos efectos, la doctrina ha identificado 171 entidades y contratos que manejan un régimen excepcional, los cuales se clasifican de acuerdo i) al sector económico, </w:t>
      </w:r>
      <w:proofErr w:type="spellStart"/>
      <w:r w:rsidRPr="000876F0">
        <w:rPr>
          <w:rFonts w:ascii="Verdana" w:hAnsi="Verdana" w:cs="Arial"/>
          <w:color w:val="000000" w:themeColor="text1"/>
          <w:sz w:val="20"/>
          <w:szCs w:val="20"/>
        </w:rPr>
        <w:t>ii</w:t>
      </w:r>
      <w:proofErr w:type="spellEnd"/>
      <w:r w:rsidRPr="000876F0">
        <w:rPr>
          <w:rFonts w:ascii="Verdana" w:hAnsi="Verdana" w:cs="Arial"/>
          <w:color w:val="000000" w:themeColor="text1"/>
          <w:sz w:val="20"/>
          <w:szCs w:val="20"/>
        </w:rPr>
        <w:t xml:space="preserve">) la asignación de un esquema legal especial, </w:t>
      </w:r>
      <w:proofErr w:type="spellStart"/>
      <w:r w:rsidRPr="000876F0">
        <w:rPr>
          <w:rFonts w:ascii="Verdana" w:hAnsi="Verdana" w:cs="Arial"/>
          <w:color w:val="000000" w:themeColor="text1"/>
          <w:sz w:val="20"/>
          <w:szCs w:val="20"/>
        </w:rPr>
        <w:t>iii</w:t>
      </w:r>
      <w:proofErr w:type="spellEnd"/>
      <w:r w:rsidRPr="000876F0">
        <w:rPr>
          <w:rFonts w:ascii="Verdana" w:hAnsi="Verdana" w:cs="Arial"/>
          <w:color w:val="000000" w:themeColor="text1"/>
          <w:sz w:val="20"/>
          <w:szCs w:val="20"/>
        </w:rPr>
        <w:t xml:space="preserve">) el objeto del contrato celebrado y </w:t>
      </w:r>
      <w:proofErr w:type="spellStart"/>
      <w:r w:rsidRPr="000876F0">
        <w:rPr>
          <w:rFonts w:ascii="Verdana" w:hAnsi="Verdana" w:cs="Arial"/>
          <w:color w:val="000000" w:themeColor="text1"/>
          <w:sz w:val="20"/>
          <w:szCs w:val="20"/>
        </w:rPr>
        <w:t>iv</w:t>
      </w:r>
      <w:proofErr w:type="spellEnd"/>
      <w:r w:rsidRPr="000876F0">
        <w:rPr>
          <w:rFonts w:ascii="Verdana" w:hAnsi="Verdana" w:cs="Arial"/>
          <w:color w:val="000000" w:themeColor="text1"/>
          <w:sz w:val="20"/>
          <w:szCs w:val="20"/>
        </w:rPr>
        <w:t>) la existencia de fondos que administran recursos públicos</w:t>
      </w:r>
      <w:r w:rsidRPr="000876F0">
        <w:rPr>
          <w:rFonts w:ascii="Verdana" w:hAnsi="Verdana" w:cs="Arial"/>
          <w:color w:val="000000" w:themeColor="text1"/>
          <w:sz w:val="20"/>
          <w:szCs w:val="20"/>
          <w:lang w:val="es-ES_tradnl"/>
        </w:rPr>
        <w:t>.</w:t>
      </w:r>
    </w:p>
    <w:p w14:paraId="57204C60" w14:textId="77777777" w:rsidR="00E52607" w:rsidRPr="00E52607" w:rsidRDefault="00E52607" w:rsidP="00E52607">
      <w:pPr>
        <w:spacing w:after="0" w:line="240" w:lineRule="auto"/>
        <w:jc w:val="both"/>
        <w:rPr>
          <w:rFonts w:ascii="Verdana" w:eastAsia="Verdana" w:hAnsi="Verdana" w:cs="Verdana"/>
          <w:b/>
          <w:lang w:val="es-ES_tradnl"/>
        </w:rPr>
      </w:pPr>
    </w:p>
    <w:p w14:paraId="67C866E4" w14:textId="77777777" w:rsidR="00E52607" w:rsidRPr="00E52607" w:rsidRDefault="00E52607" w:rsidP="00E52607">
      <w:pPr>
        <w:spacing w:after="0" w:line="240" w:lineRule="auto"/>
        <w:jc w:val="both"/>
        <w:rPr>
          <w:rFonts w:ascii="Verdana" w:eastAsia="Calibri" w:hAnsi="Verdana" w:cs="Arial"/>
          <w:b/>
          <w:lang w:val="es-ES" w:eastAsia="es-ES"/>
        </w:rPr>
      </w:pPr>
      <w:r w:rsidRPr="00E52607">
        <w:rPr>
          <w:rFonts w:ascii="Verdana" w:eastAsia="Calibri" w:hAnsi="Verdana" w:cs="Arial"/>
          <w:b/>
          <w:lang w:val="es-ES" w:eastAsia="es-ES"/>
        </w:rPr>
        <w:t xml:space="preserve">EMPRESAS INDUSTRIALES Y COMERCIALES DEL ESTADO– Naturaleza Jurídica – Entidad descentralizada por servicios </w:t>
      </w:r>
    </w:p>
    <w:p w14:paraId="44D54A67" w14:textId="7CAB4836" w:rsidR="00E52607" w:rsidRPr="00492100" w:rsidRDefault="00E52607" w:rsidP="00492100">
      <w:pPr>
        <w:spacing w:after="0" w:line="240" w:lineRule="auto"/>
        <w:jc w:val="both"/>
        <w:rPr>
          <w:rFonts w:ascii="Verdana" w:eastAsia="Calibri" w:hAnsi="Verdana" w:cs="Arial"/>
          <w:sz w:val="20"/>
          <w:lang w:val="es-ES" w:eastAsia="es-ES"/>
        </w:rPr>
      </w:pPr>
    </w:p>
    <w:p w14:paraId="1CA84022" w14:textId="1E205B71" w:rsidR="00492100" w:rsidRPr="00492100" w:rsidRDefault="00492100" w:rsidP="00492100">
      <w:pPr>
        <w:spacing w:after="0" w:line="240" w:lineRule="auto"/>
        <w:jc w:val="both"/>
        <w:rPr>
          <w:rFonts w:ascii="Verdana" w:eastAsia="Calibri" w:hAnsi="Verdana" w:cs="Arial"/>
          <w:sz w:val="20"/>
          <w:lang w:eastAsia="es-ES"/>
        </w:rPr>
      </w:pPr>
      <w:r w:rsidRPr="00492100">
        <w:rPr>
          <w:rFonts w:ascii="Verdana" w:eastAsia="Calibri" w:hAnsi="Verdana" w:cs="Arial"/>
          <w:sz w:val="20"/>
          <w:lang w:eastAsia="es-ES"/>
        </w:rPr>
        <w:t xml:space="preserve">Dentro de la estructura de la Administración Pública se encuentran las entidades descentralizadas por servicios, y dentro de dicha categoría se ubican las </w:t>
      </w:r>
      <w:r w:rsidRPr="00492100">
        <w:rPr>
          <w:rFonts w:ascii="Verdana" w:eastAsia="Calibri" w:hAnsi="Verdana" w:cs="Arial"/>
          <w:i/>
          <w:iCs/>
          <w:sz w:val="20"/>
          <w:lang w:eastAsia="es-ES"/>
        </w:rPr>
        <w:t xml:space="preserve">Empresas Industriales y Comerciales del Estado – </w:t>
      </w:r>
      <w:r w:rsidRPr="00492100">
        <w:rPr>
          <w:rFonts w:ascii="Verdana" w:eastAsia="Calibri" w:hAnsi="Verdana" w:cs="Arial"/>
          <w:sz w:val="20"/>
          <w:lang w:eastAsia="es-ES"/>
        </w:rPr>
        <w:t>en adelante</w:t>
      </w:r>
      <w:r w:rsidRPr="00492100">
        <w:rPr>
          <w:rFonts w:ascii="Verdana" w:eastAsia="Calibri" w:hAnsi="Verdana" w:cs="Arial"/>
          <w:i/>
          <w:iCs/>
          <w:sz w:val="20"/>
          <w:lang w:eastAsia="es-ES"/>
        </w:rPr>
        <w:t xml:space="preserve"> EICE</w:t>
      </w:r>
      <w:r w:rsidRPr="00492100">
        <w:rPr>
          <w:rFonts w:ascii="Verdana" w:eastAsia="Calibri" w:hAnsi="Verdana" w:cs="Arial"/>
          <w:sz w:val="20"/>
          <w:lang w:eastAsia="es-ES"/>
        </w:rPr>
        <w:t>, las cuales –sin perjuicio del control de tutela– tienen personería jurídica, autonomía administrativa y patrimonio propio.</w:t>
      </w:r>
      <w:r w:rsidRPr="00492100">
        <w:rPr>
          <w:rFonts w:ascii="Verdana" w:eastAsia="Calibri" w:hAnsi="Verdana" w:cs="Arial"/>
          <w:bCs/>
          <w:sz w:val="20"/>
          <w:lang w:eastAsia="es-ES"/>
        </w:rPr>
        <w:t xml:space="preserve"> </w:t>
      </w:r>
      <w:r w:rsidRPr="00492100">
        <w:rPr>
          <w:rFonts w:ascii="Verdana" w:eastAsia="Calibri" w:hAnsi="Verdana" w:cs="Arial"/>
          <w:sz w:val="20"/>
          <w:lang w:eastAsia="es-ES"/>
        </w:rPr>
        <w:t>Estas entidades, como su nombre lo indica, se caracterizan por desarrollar actividades de carácter industrial o comercial. Así, por ejemplo, son EICE la Imprenta Nacional de Colombia, Coljuegos, Indumil, la Caja Promotora de Vivienda Militar y de Policía, Colpensiones, entre otras.</w:t>
      </w:r>
    </w:p>
    <w:p w14:paraId="5A60B0C7" w14:textId="77777777" w:rsidR="00492100" w:rsidRPr="00492100" w:rsidRDefault="00492100" w:rsidP="00492100">
      <w:pPr>
        <w:spacing w:after="0" w:line="240" w:lineRule="auto"/>
        <w:jc w:val="both"/>
        <w:rPr>
          <w:rFonts w:ascii="Verdana" w:eastAsia="Calibri" w:hAnsi="Verdana" w:cs="Arial"/>
          <w:sz w:val="20"/>
          <w:lang w:val="es-ES_tradnl" w:eastAsia="es-ES"/>
        </w:rPr>
      </w:pPr>
    </w:p>
    <w:p w14:paraId="7DB129CC" w14:textId="09E508A3" w:rsidR="00492100" w:rsidRPr="00492100" w:rsidRDefault="00492100" w:rsidP="00492100">
      <w:pPr>
        <w:spacing w:after="0" w:line="240" w:lineRule="auto"/>
        <w:jc w:val="both"/>
        <w:rPr>
          <w:rFonts w:ascii="Verdana" w:eastAsia="Calibri" w:hAnsi="Verdana" w:cs="Arial"/>
          <w:sz w:val="20"/>
          <w:lang w:eastAsia="es-ES"/>
        </w:rPr>
      </w:pPr>
      <w:r w:rsidRPr="00492100">
        <w:rPr>
          <w:rFonts w:ascii="Verdana" w:eastAsia="Calibri" w:hAnsi="Verdana" w:cs="Arial"/>
          <w:sz w:val="20"/>
          <w:lang w:val="es-ES_tradnl" w:eastAsia="es-ES"/>
        </w:rPr>
        <w:t>L</w:t>
      </w:r>
      <w:r w:rsidRPr="00492100">
        <w:rPr>
          <w:rFonts w:ascii="Verdana" w:eastAsia="Calibri" w:hAnsi="Verdana" w:cs="Arial"/>
          <w:sz w:val="20"/>
          <w:lang w:eastAsia="es-ES"/>
        </w:rPr>
        <w:t>as EICE, bajo la denominación de Entidades Estatales, quedaron sometidas al EGCAP –Ley 80 de 1993, artículo 2, numeral 1, literal a)–. Posteriormente,</w:t>
      </w:r>
      <w:r w:rsidRPr="00492100">
        <w:rPr>
          <w:rFonts w:ascii="Verdana" w:eastAsia="Calibri" w:hAnsi="Verdana" w:cs="Arial"/>
          <w:bCs/>
          <w:sz w:val="20"/>
          <w:lang w:eastAsia="es-ES"/>
        </w:rPr>
        <w:t xml:space="preserve"> </w:t>
      </w:r>
      <w:r w:rsidRPr="00492100">
        <w:rPr>
          <w:rFonts w:ascii="Verdana" w:eastAsia="Calibri" w:hAnsi="Verdana" w:cs="Arial"/>
          <w:sz w:val="20"/>
          <w:lang w:eastAsia="es-ES"/>
        </w:rPr>
        <w:t xml:space="preserve">la Ley 489 de 1998, mediante el cual se regula la organización y funcionamiento de las entidades del orden nacional, en su artículo 93 estableció el régimen jurídico aplicable a los contratos celebrados por las EICE, como sigue: </w:t>
      </w:r>
      <w:r w:rsidRPr="00492100">
        <w:rPr>
          <w:rFonts w:ascii="Verdana" w:eastAsia="Calibri" w:hAnsi="Verdana" w:cs="Arial"/>
          <w:i/>
          <w:iCs/>
          <w:sz w:val="20"/>
          <w:lang w:eastAsia="es-ES"/>
        </w:rPr>
        <w:t xml:space="preserve">“Artículo 93. Régimen de los actos y contratos. Los actos que expidan las empresas industriales y comerciales del Estado para el desarrollo de su actividad propia, industrial o comercial o de gestión económica se sujetarán a las disposiciones del Derecho Privado. Los contratos que celebren para el cumplimiento de </w:t>
      </w:r>
      <w:r w:rsidRPr="00492100">
        <w:rPr>
          <w:rFonts w:ascii="Verdana" w:eastAsia="Calibri" w:hAnsi="Verdana" w:cs="Arial"/>
          <w:i/>
          <w:iCs/>
          <w:sz w:val="20"/>
          <w:lang w:eastAsia="es-ES"/>
        </w:rPr>
        <w:lastRenderedPageBreak/>
        <w:t>su objeto se sujetarán a las disposiciones del Estatuto General de Contratación de las entidades estatales”.</w:t>
      </w:r>
    </w:p>
    <w:p w14:paraId="51FE2E10" w14:textId="77777777" w:rsidR="00492100" w:rsidRPr="00492100" w:rsidRDefault="00492100" w:rsidP="00E52607">
      <w:pPr>
        <w:spacing w:after="0" w:line="240" w:lineRule="auto"/>
        <w:jc w:val="both"/>
        <w:rPr>
          <w:rFonts w:ascii="Verdana" w:eastAsia="Calibri" w:hAnsi="Verdana" w:cs="Arial"/>
          <w:b/>
          <w:lang w:eastAsia="es-ES"/>
        </w:rPr>
      </w:pPr>
    </w:p>
    <w:p w14:paraId="3B7CC48B" w14:textId="77777777" w:rsidR="00E52607" w:rsidRPr="00E52607" w:rsidRDefault="00E52607" w:rsidP="00E52607">
      <w:pPr>
        <w:spacing w:after="0" w:line="240" w:lineRule="auto"/>
        <w:jc w:val="both"/>
        <w:rPr>
          <w:rFonts w:ascii="Verdana" w:eastAsia="Calibri" w:hAnsi="Verdana" w:cs="Arial"/>
          <w:b/>
          <w:lang w:val="es-ES" w:eastAsia="es-ES"/>
        </w:rPr>
      </w:pPr>
      <w:r w:rsidRPr="00E52607">
        <w:rPr>
          <w:rFonts w:ascii="Verdana" w:eastAsia="Calibri" w:hAnsi="Verdana" w:cs="Arial"/>
          <w:b/>
          <w:lang w:val="es-ES" w:eastAsia="es-ES"/>
        </w:rPr>
        <w:t xml:space="preserve">EMPRESAS INDUSTRIALES Y COMERCIALES DEL ESTADO – Aplicación - Artículo 13 de la Ley 1150 de 2007 </w:t>
      </w:r>
    </w:p>
    <w:p w14:paraId="7CF58A88" w14:textId="6C2FD781" w:rsidR="00E52607" w:rsidRPr="00492100" w:rsidRDefault="00E52607" w:rsidP="00492100">
      <w:pPr>
        <w:spacing w:after="0" w:line="240" w:lineRule="auto"/>
        <w:jc w:val="both"/>
        <w:rPr>
          <w:rFonts w:ascii="Verdana" w:eastAsia="Calibri" w:hAnsi="Verdana" w:cs="Arial"/>
          <w:sz w:val="20"/>
          <w:lang w:val="es-ES" w:eastAsia="es-ES"/>
        </w:rPr>
      </w:pPr>
    </w:p>
    <w:p w14:paraId="5FB6108D" w14:textId="6D2D7AD6" w:rsidR="00492100" w:rsidRPr="00492100" w:rsidRDefault="00492100" w:rsidP="00492100">
      <w:pPr>
        <w:spacing w:after="0" w:line="240" w:lineRule="auto"/>
        <w:jc w:val="both"/>
        <w:rPr>
          <w:rFonts w:ascii="Verdana" w:eastAsia="Calibri" w:hAnsi="Verdana" w:cs="Arial"/>
          <w:bCs/>
          <w:sz w:val="20"/>
          <w:lang w:eastAsia="es-ES"/>
        </w:rPr>
      </w:pPr>
      <w:r w:rsidRPr="00492100">
        <w:rPr>
          <w:rFonts w:ascii="Verdana" w:eastAsia="Calibri" w:hAnsi="Verdana" w:cs="Arial"/>
          <w:sz w:val="20"/>
          <w:lang w:val="es-ES_tradnl" w:eastAsia="es-ES"/>
        </w:rPr>
        <w:t xml:space="preserve">Teniendo en cuenta que las Empresas Industriales y Comerciales del Estado como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con el fin de que se puedan identificar las reglas que aplican en la contratación. No obstante, la </w:t>
      </w:r>
      <w:r w:rsidRPr="00492100">
        <w:rPr>
          <w:rFonts w:ascii="Verdana" w:eastAsia="Calibri" w:hAnsi="Verdana" w:cs="Arial"/>
          <w:bCs/>
          <w:sz w:val="20"/>
          <w:lang w:val="es-ES_tradnl" w:eastAsia="es-ES"/>
        </w:rPr>
        <w:t>sujeción al derecho privado no significa que no deban sujetarse a mandatos y obligaciones del derecho público, tal como está regulado en el artículo 13 de la Ley 1150 de 2007 […]</w:t>
      </w:r>
    </w:p>
    <w:p w14:paraId="66A5CD15" w14:textId="77777777" w:rsidR="00492100" w:rsidRPr="00492100" w:rsidRDefault="00492100" w:rsidP="00492100">
      <w:pPr>
        <w:spacing w:after="0" w:line="240" w:lineRule="auto"/>
        <w:jc w:val="both"/>
        <w:rPr>
          <w:rFonts w:ascii="Verdana" w:eastAsia="Calibri" w:hAnsi="Verdana" w:cs="Arial"/>
          <w:bCs/>
          <w:sz w:val="20"/>
          <w:lang w:val="es-ES_tradnl" w:eastAsia="es-ES"/>
        </w:rPr>
      </w:pPr>
    </w:p>
    <w:p w14:paraId="026B5326" w14:textId="113CC863" w:rsidR="00492100" w:rsidRDefault="00492100" w:rsidP="00492100">
      <w:pPr>
        <w:spacing w:after="0" w:line="240" w:lineRule="auto"/>
        <w:jc w:val="both"/>
        <w:rPr>
          <w:rFonts w:ascii="Verdana" w:eastAsia="Calibri" w:hAnsi="Verdana" w:cs="Arial"/>
          <w:bCs/>
          <w:iCs/>
          <w:sz w:val="20"/>
          <w:lang w:val="es-ES" w:eastAsia="es-ES"/>
        </w:rPr>
      </w:pPr>
      <w:r w:rsidRPr="00492100">
        <w:rPr>
          <w:rFonts w:ascii="Verdana" w:eastAsia="Calibri" w:hAnsi="Verdana" w:cs="Arial"/>
          <w:bCs/>
          <w:sz w:val="20"/>
          <w:lang w:val="es-ES" w:eastAsia="es-ES"/>
        </w:rPr>
        <w:t xml:space="preserve">De la disposición transcrita, se deriva la interpretación de que a pesar que el régimen que aplican sea el derecho privado, tiene limitaciones dentro del derecho público como son los principios de la función administrativa y de la gestión fiscal y reglas del régimen de inhabilidades e incompatibilidades, así como el deber </w:t>
      </w:r>
      <w:r w:rsidRPr="00492100">
        <w:rPr>
          <w:rFonts w:ascii="Verdana" w:eastAsia="Calibri" w:hAnsi="Verdana" w:cs="Arial"/>
          <w:bCs/>
          <w:i/>
          <w:iCs/>
          <w:sz w:val="20"/>
          <w:lang w:eastAsia="es-ES"/>
        </w:rPr>
        <w:t xml:space="preserve">de </w:t>
      </w:r>
      <w:r w:rsidRPr="00492100">
        <w:rPr>
          <w:rFonts w:ascii="Verdana" w:eastAsia="Calibri" w:hAnsi="Verdana" w:cs="Arial"/>
          <w:bCs/>
          <w:iCs/>
          <w:sz w:val="20"/>
          <w:lang w:eastAsia="es-ES"/>
        </w:rPr>
        <w:t>publicar los documentos relacionados con su actividad contractual en el Sistema Electrónico para la Contratación Pública –SECOP II– o la plataforma transaccional que haga sus veces regulado en el artículo 53 de la Ley 2195 de 2022 que modificó el artículo 13 de la Ley 1150 de 2007</w:t>
      </w:r>
      <w:r w:rsidRPr="00492100">
        <w:rPr>
          <w:rFonts w:ascii="Verdana" w:eastAsia="Calibri" w:hAnsi="Verdana" w:cs="Arial"/>
          <w:bCs/>
          <w:iCs/>
          <w:sz w:val="20"/>
          <w:lang w:val="es-ES" w:eastAsia="es-ES"/>
        </w:rPr>
        <w:t>.</w:t>
      </w:r>
    </w:p>
    <w:p w14:paraId="63E04B70" w14:textId="77777777" w:rsidR="00492100" w:rsidRPr="00492100" w:rsidRDefault="00492100" w:rsidP="00492100">
      <w:pPr>
        <w:spacing w:after="0" w:line="240" w:lineRule="auto"/>
        <w:jc w:val="both"/>
        <w:rPr>
          <w:rFonts w:ascii="Verdana" w:eastAsia="Calibri" w:hAnsi="Verdana" w:cs="Arial"/>
          <w:sz w:val="20"/>
          <w:lang w:val="es-ES" w:eastAsia="es-ES"/>
        </w:rPr>
      </w:pPr>
    </w:p>
    <w:p w14:paraId="27143347" w14:textId="77777777" w:rsidR="00E52607" w:rsidRPr="00E52607" w:rsidRDefault="00E52607" w:rsidP="00E52607">
      <w:pPr>
        <w:spacing w:after="0" w:line="240" w:lineRule="auto"/>
        <w:jc w:val="both"/>
        <w:rPr>
          <w:rFonts w:ascii="Verdana" w:eastAsia="Calibri" w:hAnsi="Verdana" w:cs="Arial"/>
          <w:b/>
          <w:lang w:val="es-ES" w:eastAsia="es-ES"/>
        </w:rPr>
      </w:pPr>
      <w:r w:rsidRPr="00E52607">
        <w:rPr>
          <w:rFonts w:ascii="Verdana" w:eastAsia="Calibri" w:hAnsi="Verdana" w:cs="Arial"/>
          <w:b/>
          <w:lang w:val="es-ES" w:eastAsia="es-ES"/>
        </w:rPr>
        <w:t>EMPRESAS INDUSTRIALES Y COMERCIALES DEL ESTADO – No Aplicación del Artículo 56 de la Ley 2195 de 2022 – Documentos Tipo</w:t>
      </w:r>
    </w:p>
    <w:p w14:paraId="5D130A1F" w14:textId="3594C091" w:rsidR="00E52607" w:rsidRPr="00492100" w:rsidRDefault="00E52607" w:rsidP="00492100">
      <w:pPr>
        <w:spacing w:after="0" w:line="240" w:lineRule="auto"/>
        <w:jc w:val="both"/>
        <w:rPr>
          <w:rFonts w:ascii="Verdana" w:eastAsia="Calibri" w:hAnsi="Verdana" w:cs="Arial"/>
          <w:sz w:val="20"/>
          <w:lang w:val="es-ES" w:eastAsia="es-ES"/>
        </w:rPr>
      </w:pPr>
    </w:p>
    <w:p w14:paraId="43008652" w14:textId="77777777" w:rsidR="00492100" w:rsidRPr="00492100" w:rsidRDefault="00492100" w:rsidP="00492100">
      <w:pPr>
        <w:spacing w:after="0" w:line="240" w:lineRule="auto"/>
        <w:jc w:val="both"/>
        <w:rPr>
          <w:rFonts w:ascii="Verdana" w:eastAsia="Calibri" w:hAnsi="Verdana" w:cs="Arial"/>
          <w:sz w:val="20"/>
          <w:lang w:val="es-ES" w:eastAsia="es-ES"/>
        </w:rPr>
      </w:pPr>
      <w:r w:rsidRPr="00492100">
        <w:rPr>
          <w:rFonts w:ascii="Verdana" w:eastAsia="Calibri" w:hAnsi="Verdana" w:cs="Arial"/>
          <w:sz w:val="20"/>
          <w:lang w:val="es-ES" w:eastAsia="es-ES"/>
        </w:rPr>
        <w:t xml:space="preserve">En tales términos, lo dispuesto en el parágrafo del artículo 56 implica que las instituciones de educación superior públicas, las empresas sociales del Estado, las sociedades de economía mixta y las empresas industriales y comerciales del Estado, no tendrán que implementar documentos tipo únicamente para la contratación relacionada con el </w:t>
      </w:r>
      <w:r w:rsidRPr="00492100">
        <w:rPr>
          <w:rFonts w:ascii="Verdana" w:eastAsia="Calibri" w:hAnsi="Verdana" w:cs="Arial"/>
          <w:i/>
          <w:iCs/>
          <w:sz w:val="20"/>
          <w:lang w:val="es-ES" w:eastAsia="es-ES"/>
        </w:rPr>
        <w:t xml:space="preserve">giro ordinario </w:t>
      </w:r>
      <w:r w:rsidRPr="00492100">
        <w:rPr>
          <w:rFonts w:ascii="Verdana" w:eastAsia="Calibri" w:hAnsi="Verdana" w:cs="Arial"/>
          <w:sz w:val="20"/>
          <w:lang w:val="es-ES" w:eastAsia="es-ES"/>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492100">
        <w:rPr>
          <w:rFonts w:ascii="Verdana" w:eastAsia="Calibri" w:hAnsi="Verdana" w:cs="Arial"/>
          <w:i/>
          <w:iCs/>
          <w:sz w:val="20"/>
          <w:lang w:val="es-ES" w:eastAsia="es-ES"/>
        </w:rPr>
        <w:t>su giro ordinario</w:t>
      </w:r>
      <w:r w:rsidRPr="00492100">
        <w:rPr>
          <w:rFonts w:ascii="Verdana" w:eastAsia="Calibri" w:hAnsi="Verdana" w:cs="Arial"/>
          <w:sz w:val="20"/>
          <w:lang w:val="es-ES" w:eastAsia="es-ES"/>
        </w:rPr>
        <w:t xml:space="preserve">, entendido este conforme a los criterios jurisprudenciales y doctrinarios aquí explicados. En otras palabras, ninguna entidad cuya naturaleza jurídica coincida con las mencionadas en el parágrafo del artículo 56, tendrá que someterse de manera obligatoria a los documentos tipo o el EGCAP para la contratación de obras o servicios asociadas a su </w:t>
      </w:r>
      <w:r w:rsidRPr="00492100">
        <w:rPr>
          <w:rFonts w:ascii="Verdana" w:eastAsia="Calibri" w:hAnsi="Verdana" w:cs="Arial"/>
          <w:i/>
          <w:iCs/>
          <w:sz w:val="20"/>
          <w:lang w:val="es-ES" w:eastAsia="es-ES"/>
        </w:rPr>
        <w:t>giro ordinario</w:t>
      </w:r>
      <w:r w:rsidRPr="00492100">
        <w:rPr>
          <w:rFonts w:ascii="Verdana" w:eastAsia="Calibri" w:hAnsi="Verdana" w:cs="Arial"/>
          <w:sz w:val="20"/>
          <w:lang w:val="es-ES" w:eastAsia="es-ES"/>
        </w:rPr>
        <w:t xml:space="preserve">, a menos que su manual de contratación establezca lo contrario. De hacerlo, primará el principio de inderogabilidad singular del reglamento, que obliga a aplicarlo en las actuaciones concretas.  </w:t>
      </w:r>
    </w:p>
    <w:p w14:paraId="26AC3BB7" w14:textId="77777777" w:rsidR="00492100" w:rsidRPr="00E52607" w:rsidRDefault="00492100" w:rsidP="00E52607">
      <w:pPr>
        <w:spacing w:after="0" w:line="240" w:lineRule="auto"/>
        <w:jc w:val="both"/>
        <w:rPr>
          <w:rFonts w:ascii="Verdana" w:eastAsia="Calibri" w:hAnsi="Verdana" w:cs="Arial"/>
          <w:b/>
          <w:lang w:val="es-ES" w:eastAsia="es-ES"/>
        </w:rPr>
      </w:pPr>
    </w:p>
    <w:p w14:paraId="6DB031B9" w14:textId="54452F03" w:rsidR="00E52607" w:rsidRPr="00E52607" w:rsidRDefault="00E52607" w:rsidP="00E52607">
      <w:pPr>
        <w:spacing w:after="0" w:line="240" w:lineRule="auto"/>
        <w:jc w:val="both"/>
        <w:rPr>
          <w:rFonts w:ascii="Verdana" w:eastAsia="Calibri" w:hAnsi="Verdana" w:cs="Arial"/>
          <w:b/>
          <w:lang w:val="es-ES" w:eastAsia="es-ES"/>
        </w:rPr>
      </w:pPr>
      <w:r w:rsidRPr="00E52607">
        <w:rPr>
          <w:rFonts w:ascii="Verdana" w:eastAsia="Calibri" w:hAnsi="Verdana" w:cs="Arial"/>
          <w:b/>
          <w:lang w:val="es-ES" w:eastAsia="es-ES"/>
        </w:rPr>
        <w:t>MANUALES DE CONTRATACIÓN – Alcance – Límites – Obligatoriedad</w:t>
      </w:r>
    </w:p>
    <w:p w14:paraId="567E8B38" w14:textId="49DB11D6" w:rsidR="00E52607" w:rsidRDefault="00E52607" w:rsidP="00E52607">
      <w:pPr>
        <w:spacing w:after="0" w:line="240" w:lineRule="auto"/>
        <w:jc w:val="both"/>
        <w:rPr>
          <w:rFonts w:ascii="Verdana" w:eastAsia="Calibri" w:hAnsi="Verdana" w:cs="Arial"/>
          <w:b/>
          <w:lang w:val="es-ES" w:eastAsia="es-ES"/>
        </w:rPr>
      </w:pPr>
    </w:p>
    <w:p w14:paraId="6F79938C" w14:textId="77777777" w:rsidR="00492100" w:rsidRPr="00DB5A80" w:rsidRDefault="00492100" w:rsidP="00DB5A80">
      <w:pPr>
        <w:spacing w:after="0" w:line="240" w:lineRule="auto"/>
        <w:jc w:val="both"/>
        <w:rPr>
          <w:rFonts w:ascii="Verdana" w:eastAsia="Calibri" w:hAnsi="Verdana" w:cs="Arial"/>
          <w:sz w:val="20"/>
          <w:lang w:eastAsia="es-ES"/>
        </w:rPr>
      </w:pPr>
      <w:r w:rsidRPr="00DB5A80">
        <w:rPr>
          <w:rFonts w:ascii="Verdana" w:eastAsia="Calibri" w:hAnsi="Verdana" w:cs="Arial"/>
          <w:sz w:val="20"/>
          <w:lang w:val="es-ES" w:eastAsia="es-ES"/>
        </w:rPr>
        <w:t xml:space="preserve">Esta Agencia Nacional de Contratación Publica Colombia Compra Eficiente, en la “Guía para la gestión contractual de las entidades estatales con régimen especial”, se precisó que a pesar que las Entidades Estatales </w:t>
      </w:r>
      <w:r w:rsidRPr="00DB5A80">
        <w:rPr>
          <w:rFonts w:ascii="Verdana" w:eastAsia="Calibri" w:hAnsi="Verdana" w:cs="Arial"/>
          <w:bCs/>
          <w:sz w:val="20"/>
          <w:lang w:eastAsia="es-ES"/>
        </w:rPr>
        <w:t>con régimen especial de contratación desarrollan su gestión contractual conforme a lo previsto en sus normas de creación, en sus manuales de contratación y en las disposiciones del derecho privado, tal como se señaló en los numerales anteriores, estas deberán observar obligatoriamente aquellas disposiciones generales del Sistema de Compra y Contratación Pública que les resulten aplicables de manera transversal</w:t>
      </w:r>
      <w:r w:rsidRPr="00DB5A80">
        <w:rPr>
          <w:rFonts w:ascii="Verdana" w:eastAsia="Calibri" w:hAnsi="Verdana" w:cs="Arial"/>
          <w:sz w:val="20"/>
          <w:lang w:eastAsia="es-ES"/>
        </w:rPr>
        <w:t xml:space="preserve">, tales como: a) los principios de la función administrativa; b) los principios de la gestión fiscal; c) el régimen de inhabilidades e incompatibilidades; d) el uso del SECOP II o la plataforma que haga sus veces; e) la promoción y acceso de las </w:t>
      </w:r>
      <w:proofErr w:type="spellStart"/>
      <w:r w:rsidRPr="00DB5A80">
        <w:rPr>
          <w:rFonts w:ascii="Verdana" w:eastAsia="Calibri" w:hAnsi="Verdana" w:cs="Arial"/>
          <w:sz w:val="20"/>
          <w:lang w:eastAsia="es-ES"/>
        </w:rPr>
        <w:t>Mipymes</w:t>
      </w:r>
      <w:proofErr w:type="spellEnd"/>
      <w:r w:rsidRPr="00DB5A80">
        <w:rPr>
          <w:rFonts w:ascii="Verdana" w:eastAsia="Calibri" w:hAnsi="Verdana" w:cs="Arial"/>
          <w:sz w:val="20"/>
          <w:lang w:eastAsia="es-ES"/>
        </w:rPr>
        <w:t xml:space="preserve">; e) sujeción a las restricciones de la Ley 996 de 2005 – Ley de Garantías Electorales- en lo aplicable; f) el análisis del sector, el cual se constituye en el instrumento idóneo para que se deje constancia del análisis realizado por las entidades públicas, indistintamente de su régimen de contratación, respecto de la promoción a emprendimientos y empresas de mujeres en el sistema de compras públicas y </w:t>
      </w:r>
      <w:proofErr w:type="spellStart"/>
      <w:r w:rsidRPr="00DB5A80">
        <w:rPr>
          <w:rFonts w:ascii="Verdana" w:eastAsia="Calibri" w:hAnsi="Verdana" w:cs="Arial"/>
          <w:sz w:val="20"/>
          <w:lang w:eastAsia="es-ES"/>
        </w:rPr>
        <w:t>Mipymes</w:t>
      </w:r>
      <w:proofErr w:type="spellEnd"/>
      <w:r w:rsidRPr="00DB5A80">
        <w:rPr>
          <w:rFonts w:ascii="Verdana" w:eastAsia="Calibri" w:hAnsi="Verdana" w:cs="Arial"/>
          <w:sz w:val="20"/>
          <w:lang w:eastAsia="es-ES"/>
        </w:rPr>
        <w:t xml:space="preserve">, así como criterios sociales y ambientales y protección a la industria nacional; g) elaboración y publicación del Plan Anual de Adquisiciones; h) uso de los documentos tipo, teniendo en cuenta lo expresado previamente; i) el uso del Clasificador de Bienes y Servicios de las Naciones Unidas –UNSPSC- siendo un sistema de codificación internacional que permite clasificar de manera estandarizada bienes y servicios mediante una estructura jerárquica, el cual se utiliza en el SECOP, el Plan Anual de Adquisiciones, los documentos del proceso de contratación y el Registro Único de Proponentes; j) observancia y aplicación de los acuerdos comerciales, donde las Entidades Estatales, incluidas aquellas con régimen especial de contratación, deben determinar en la etapa de planeación si a cada proceso de contratación le son aplicables los Acuerdos Comerciales, de conformidad con el Decreto 1082 de 2015, y en caso afirmativo, cumplir las obligaciones que estos establecen. Para tal fin, Colombia Compra Eficiente dispone de un manual orientador, sin perjuicio de la obligación de cada entidad de revisar el texto de los Acuerdos Comerciales y sus anexos aplicables; k) aplicación de los factores de desempate, que implica que en caso de empate en el puntaje total entre dos o más ofertas en procesos de contratación financiados con recursos públicos, incluidos aquellos adelantados bajo regímenes especiales o por patrimonios autónomos constituidos por Entidades Estatales, la entidad contratante deberá aplicar de manera sucesiva y excluyente las reglas de desempate previstas en el artículo 35 de la Ley 2069 de 2020, respetando en todo caso las obligaciones derivadas de los Acuerdos Comerciales vigentes, en especial, en lo relacionado con el principio de trato nacional; l) los mecanismos de agregación de demanda, entre otros aspectos. </w:t>
      </w:r>
    </w:p>
    <w:p w14:paraId="74481847" w14:textId="77777777" w:rsidR="00492100" w:rsidRPr="00DB5A80" w:rsidRDefault="00492100" w:rsidP="00DB5A80">
      <w:pPr>
        <w:spacing w:after="0" w:line="240" w:lineRule="auto"/>
        <w:jc w:val="both"/>
        <w:rPr>
          <w:rFonts w:ascii="Verdana" w:eastAsia="Calibri" w:hAnsi="Verdana" w:cs="Arial"/>
          <w:sz w:val="20"/>
          <w:lang w:eastAsia="es-ES"/>
        </w:rPr>
      </w:pPr>
    </w:p>
    <w:p w14:paraId="0ACEAD7E" w14:textId="77777777" w:rsidR="00E52607" w:rsidRPr="00E52607" w:rsidRDefault="00E52607" w:rsidP="00E52607">
      <w:pPr>
        <w:spacing w:after="0" w:line="240" w:lineRule="auto"/>
        <w:jc w:val="both"/>
        <w:rPr>
          <w:rFonts w:ascii="Verdana" w:eastAsia="Calibri" w:hAnsi="Verdana" w:cs="Arial"/>
          <w:b/>
          <w:lang w:val="es-ES" w:eastAsia="es-ES"/>
        </w:rPr>
      </w:pPr>
      <w:r w:rsidRPr="00E52607">
        <w:rPr>
          <w:rFonts w:ascii="Verdana" w:eastAsia="Calibri" w:hAnsi="Verdana" w:cs="Arial"/>
          <w:b/>
          <w:lang w:val="es-ES" w:eastAsia="es-ES"/>
        </w:rPr>
        <w:t>PRINCIPIOS DE LA FUNCIÓN ADMINISTRATIVA – Aplicación – Criterios Metodológicos</w:t>
      </w:r>
    </w:p>
    <w:p w14:paraId="2FBC5494" w14:textId="77777777" w:rsidR="00E52607" w:rsidRPr="00DB5A80" w:rsidRDefault="00E52607" w:rsidP="00DB5A80">
      <w:pPr>
        <w:spacing w:after="0" w:line="240" w:lineRule="auto"/>
        <w:jc w:val="both"/>
        <w:rPr>
          <w:rFonts w:ascii="Verdana" w:eastAsia="Calibri" w:hAnsi="Verdana" w:cs="Arial"/>
          <w:sz w:val="20"/>
          <w:lang w:val="es-ES" w:eastAsia="es-ES"/>
        </w:rPr>
      </w:pPr>
    </w:p>
    <w:p w14:paraId="3B8D7B96" w14:textId="77777777" w:rsidR="00DB5A80" w:rsidRPr="00DB5A80" w:rsidRDefault="00DB5A80" w:rsidP="00DB5A80">
      <w:pPr>
        <w:spacing w:after="0" w:line="240" w:lineRule="auto"/>
        <w:jc w:val="both"/>
        <w:rPr>
          <w:rFonts w:ascii="Verdana" w:eastAsia="Calibri" w:hAnsi="Verdana" w:cs="Arial"/>
          <w:sz w:val="20"/>
          <w:lang w:eastAsia="es-ES"/>
        </w:rPr>
      </w:pPr>
      <w:r w:rsidRPr="00DB5A80">
        <w:rPr>
          <w:rFonts w:ascii="Verdana" w:eastAsia="Calibri" w:hAnsi="Verdana" w:cs="Arial"/>
          <w:sz w:val="20"/>
          <w:lang w:val="es-ES" w:eastAsia="es-ES"/>
        </w:rPr>
        <w:lastRenderedPageBreak/>
        <w:t xml:space="preserve">En esta perspectiva, se destaca que los principios de la función administrativa </w:t>
      </w:r>
      <w:r w:rsidRPr="00DB5A80">
        <w:rPr>
          <w:rFonts w:ascii="Verdana" w:eastAsia="Calibri" w:hAnsi="Verdana" w:cs="Arial"/>
          <w:sz w:val="20"/>
          <w:lang w:eastAsia="es-ES"/>
        </w:rPr>
        <w:t xml:space="preserve">como la igualdad, moralidad, eficacia, economía, celeridad, imparcialidad y publicidad; así como los principios de la gestión fiscal, como eficiencia, economía, equidad y valoración de costos ambientales, son una guía metodológica, para la actuación de las entidades sometidas al EGCAP, y merecen un análisis especial en relación con las entidades exceptuadas. En esta línea, los principios de la función administrativa y los de la gestión fiscal no prescriben una conducta, sino que buscan el cumplimiento de un fin, por lo que las entidades de régimen </w:t>
      </w:r>
      <w:proofErr w:type="gramStart"/>
      <w:r w:rsidRPr="00DB5A80">
        <w:rPr>
          <w:rFonts w:ascii="Verdana" w:eastAsia="Calibri" w:hAnsi="Verdana" w:cs="Arial"/>
          <w:sz w:val="20"/>
          <w:lang w:eastAsia="es-ES"/>
        </w:rPr>
        <w:t>especial,</w:t>
      </w:r>
      <w:proofErr w:type="gramEnd"/>
      <w:r w:rsidRPr="00DB5A80">
        <w:rPr>
          <w:rFonts w:ascii="Verdana" w:eastAsia="Calibri" w:hAnsi="Verdana" w:cs="Arial"/>
          <w:sz w:val="20"/>
          <w:lang w:eastAsia="es-ES"/>
        </w:rPr>
        <w:t xml:space="preserve"> pueden escoger entre una variedad de alternativas para el cumplimiento de estos, por lo que no implica que deban sujetarse a la forma cómo es aplicado en el EGCAP. </w:t>
      </w:r>
    </w:p>
    <w:p w14:paraId="65D071ED" w14:textId="77777777" w:rsidR="00DB5A80" w:rsidRDefault="00DB5A80" w:rsidP="00DB5A80">
      <w:pPr>
        <w:spacing w:after="0" w:line="240" w:lineRule="auto"/>
        <w:jc w:val="both"/>
        <w:rPr>
          <w:rFonts w:ascii="Verdana" w:eastAsia="Calibri" w:hAnsi="Verdana" w:cs="Arial"/>
          <w:bCs/>
          <w:sz w:val="20"/>
          <w:lang w:eastAsia="es-ES"/>
        </w:rPr>
      </w:pPr>
    </w:p>
    <w:p w14:paraId="3DCB0AE6" w14:textId="49CA028B" w:rsidR="00DB5A80" w:rsidRPr="00DB5A80" w:rsidRDefault="00DB5A80" w:rsidP="00DB5A80">
      <w:pPr>
        <w:spacing w:after="0" w:line="240" w:lineRule="auto"/>
        <w:jc w:val="both"/>
        <w:rPr>
          <w:rFonts w:ascii="Verdana" w:eastAsia="Calibri" w:hAnsi="Verdana" w:cs="Arial"/>
          <w:sz w:val="20"/>
          <w:lang w:val="es-ES" w:eastAsia="es-ES"/>
        </w:rPr>
      </w:pPr>
      <w:r w:rsidRPr="00DB5A80">
        <w:rPr>
          <w:rFonts w:ascii="Verdana" w:eastAsia="Calibri" w:hAnsi="Verdana" w:cs="Arial"/>
          <w:sz w:val="20"/>
          <w:lang w:val="es-ES" w:eastAsia="es-ES"/>
        </w:rPr>
        <w:t xml:space="preserve">En efecto, la estructura de los procedimientos de las entidades sometidas no es asimilable a los de las entidades exceptuadas. Sin bien en estas últimas rigen por los principios de la función administrativa, la gestión fiscal, el régimen de inhabilidades e incompatibilidades y otras normatividades, la aplicación de los principios del artículo 209 se matiza, por lo que definan los documentos del proceso que se estructuren en acatamiento de sus manuales de contratación. Dado que estas actuaciones gozan de presunción de legalidad, la participación se realiza con sujeción a lo que dispongan las entidades dentro de su régimen especial, sin perjuicio del control judicial, fiscal o disciplinario contra violaciones injustificadas del marco normativo. </w:t>
      </w:r>
    </w:p>
    <w:p w14:paraId="0BA8FBD1" w14:textId="77777777" w:rsidR="00E52607" w:rsidRPr="00E52607" w:rsidRDefault="00E52607" w:rsidP="00E52607">
      <w:pPr>
        <w:spacing w:after="0" w:line="240" w:lineRule="auto"/>
        <w:jc w:val="both"/>
        <w:rPr>
          <w:rFonts w:ascii="Verdana" w:eastAsia="Calibri" w:hAnsi="Verdana" w:cs="Arial"/>
          <w:b/>
          <w:lang w:val="es-ES" w:eastAsia="es-ES"/>
        </w:rPr>
      </w:pPr>
    </w:p>
    <w:p w14:paraId="5B5A7978" w14:textId="77777777" w:rsidR="00E52607" w:rsidRPr="00E52607" w:rsidRDefault="00E52607" w:rsidP="00E52607">
      <w:pPr>
        <w:spacing w:after="0" w:line="240" w:lineRule="auto"/>
        <w:jc w:val="both"/>
        <w:rPr>
          <w:rFonts w:ascii="Verdana" w:eastAsia="Calibri" w:hAnsi="Verdana" w:cs="Arial"/>
          <w:b/>
          <w:lang w:val="es-ES" w:eastAsia="es-ES"/>
        </w:rPr>
      </w:pPr>
      <w:r w:rsidRPr="00E52607">
        <w:rPr>
          <w:rFonts w:ascii="Verdana" w:eastAsia="Calibri" w:hAnsi="Verdana" w:cs="Arial"/>
          <w:b/>
          <w:lang w:val="es-ES" w:eastAsia="es-ES"/>
        </w:rPr>
        <w:t xml:space="preserve">MANUALES DE CONTRATACIÓN – Aplicación de principios – Procedimientos Competitivos – Procedimientos no competitivos </w:t>
      </w:r>
    </w:p>
    <w:p w14:paraId="153FDF46" w14:textId="7F30BE42" w:rsidR="00E52607" w:rsidRPr="00492100" w:rsidRDefault="00E52607" w:rsidP="00492100">
      <w:pPr>
        <w:spacing w:after="0" w:line="240" w:lineRule="auto"/>
        <w:jc w:val="both"/>
        <w:rPr>
          <w:rFonts w:ascii="Verdana" w:eastAsia="Calibri" w:hAnsi="Verdana" w:cs="Arial"/>
          <w:sz w:val="20"/>
          <w:lang w:val="es-ES" w:eastAsia="es-ES"/>
        </w:rPr>
      </w:pPr>
    </w:p>
    <w:p w14:paraId="1EA2C1B8" w14:textId="14ED2153" w:rsidR="00492100" w:rsidRDefault="00492100" w:rsidP="00492100">
      <w:pPr>
        <w:spacing w:after="0" w:line="240" w:lineRule="auto"/>
        <w:jc w:val="both"/>
        <w:rPr>
          <w:rFonts w:ascii="Verdana" w:eastAsia="Calibri" w:hAnsi="Verdana" w:cs="Arial"/>
          <w:sz w:val="20"/>
          <w:lang w:eastAsia="es-ES"/>
        </w:rPr>
      </w:pPr>
      <w:r w:rsidRPr="00492100">
        <w:rPr>
          <w:rFonts w:ascii="Verdana" w:eastAsia="Calibri" w:hAnsi="Verdana" w:cs="Arial"/>
          <w:bCs/>
          <w:sz w:val="20"/>
          <w:lang w:val="es-ES" w:eastAsia="es-ES"/>
        </w:rPr>
        <w:t xml:space="preserve">De tal modo, la acción de las entidades de régimen especial no es totalmente privada, sino que hay una mezcla de régimen contractual público manifestada en principios, que genera nuevos cuestionamientos en torno a la necesidad de estimar y tipificar los riesgos previsibles en los procesos de contratación pública, en especial, en la etapa de planeación y estructuración del objeto contractual.  </w:t>
      </w:r>
      <w:r w:rsidRPr="00492100">
        <w:rPr>
          <w:rFonts w:ascii="Verdana" w:eastAsia="Calibri" w:hAnsi="Verdana" w:cs="Arial"/>
          <w:sz w:val="20"/>
          <w:lang w:eastAsia="es-ES"/>
        </w:rPr>
        <w:t xml:space="preserve">En este entorno, la aplicación de los principios de la función administrativa en los manuales internos de </w:t>
      </w:r>
      <w:proofErr w:type="gramStart"/>
      <w:r w:rsidRPr="00492100">
        <w:rPr>
          <w:rFonts w:ascii="Verdana" w:eastAsia="Calibri" w:hAnsi="Verdana" w:cs="Arial"/>
          <w:sz w:val="20"/>
          <w:lang w:eastAsia="es-ES"/>
        </w:rPr>
        <w:t>contratación,</w:t>
      </w:r>
      <w:proofErr w:type="gramEnd"/>
      <w:r w:rsidRPr="00492100">
        <w:rPr>
          <w:rFonts w:ascii="Verdana" w:eastAsia="Calibri" w:hAnsi="Verdana" w:cs="Arial"/>
          <w:sz w:val="20"/>
          <w:lang w:eastAsia="es-ES"/>
        </w:rPr>
        <w:t xml:space="preserve"> se materializa en los procesos de contratación que adelante la empresa industrial y comercial del Estado. </w:t>
      </w:r>
    </w:p>
    <w:p w14:paraId="682420ED" w14:textId="77777777" w:rsidR="00492100" w:rsidRPr="00492100" w:rsidRDefault="00492100" w:rsidP="00492100">
      <w:pPr>
        <w:spacing w:after="0" w:line="240" w:lineRule="auto"/>
        <w:jc w:val="both"/>
        <w:rPr>
          <w:rFonts w:ascii="Verdana" w:eastAsia="Calibri" w:hAnsi="Verdana" w:cs="Arial"/>
          <w:sz w:val="20"/>
          <w:lang w:val="es-ES" w:eastAsia="es-ES"/>
        </w:rPr>
      </w:pPr>
    </w:p>
    <w:p w14:paraId="64EE657E" w14:textId="5D6DB279" w:rsidR="00492100" w:rsidRPr="00492100" w:rsidRDefault="00492100" w:rsidP="00492100">
      <w:pPr>
        <w:spacing w:after="0" w:line="240" w:lineRule="auto"/>
        <w:jc w:val="both"/>
        <w:rPr>
          <w:rFonts w:ascii="Verdana" w:eastAsia="Calibri" w:hAnsi="Verdana" w:cs="Arial"/>
          <w:sz w:val="20"/>
          <w:lang w:eastAsia="es-ES"/>
        </w:rPr>
      </w:pPr>
      <w:r w:rsidRPr="00492100">
        <w:rPr>
          <w:rFonts w:ascii="Verdana" w:eastAsia="Calibri" w:hAnsi="Verdana" w:cs="Arial"/>
          <w:sz w:val="20"/>
          <w:lang w:eastAsia="es-ES"/>
        </w:rPr>
        <w:t xml:space="preserve">Estos principios se manifiestan en que no exista discriminación y en que las entidades no impongan limitaciones mediante reglas que impidan la concurrencia para obtener mejores condiciones de contratación. Esto permite excepciones que busquen condiciones del contratista que sean favorables a los intereses del Estado y aseguren la transparencia, ya sean en procedimientos competitivos y no competitivos. En este escenario, dentro de las empresas industriales y comerciales del Estado pueden establecer modalidades o procesos de selección en: i) competitivas y </w:t>
      </w:r>
      <w:proofErr w:type="spellStart"/>
      <w:r w:rsidRPr="00492100">
        <w:rPr>
          <w:rFonts w:ascii="Verdana" w:eastAsia="Calibri" w:hAnsi="Verdana" w:cs="Arial"/>
          <w:sz w:val="20"/>
          <w:lang w:eastAsia="es-ES"/>
        </w:rPr>
        <w:t>ii</w:t>
      </w:r>
      <w:proofErr w:type="spellEnd"/>
      <w:r w:rsidRPr="00492100">
        <w:rPr>
          <w:rFonts w:ascii="Verdana" w:eastAsia="Calibri" w:hAnsi="Verdana" w:cs="Arial"/>
          <w:sz w:val="20"/>
          <w:lang w:eastAsia="es-ES"/>
        </w:rPr>
        <w:t xml:space="preserve">) no competitivas.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 </w:t>
      </w:r>
    </w:p>
    <w:p w14:paraId="0BFFEADB" w14:textId="77777777" w:rsidR="00492100" w:rsidRPr="00492100" w:rsidRDefault="00492100" w:rsidP="00E52607">
      <w:pPr>
        <w:spacing w:after="0" w:line="240" w:lineRule="auto"/>
        <w:jc w:val="both"/>
        <w:rPr>
          <w:rFonts w:ascii="Verdana" w:eastAsia="Calibri" w:hAnsi="Verdana" w:cs="Arial"/>
          <w:b/>
          <w:lang w:eastAsia="es-ES"/>
        </w:rPr>
      </w:pPr>
    </w:p>
    <w:p w14:paraId="4B7F7C3F" w14:textId="16538194" w:rsidR="00E52607" w:rsidRPr="00E52607" w:rsidRDefault="00E52607" w:rsidP="00E52607">
      <w:pPr>
        <w:spacing w:after="0" w:line="240" w:lineRule="auto"/>
        <w:jc w:val="both"/>
        <w:rPr>
          <w:rFonts w:ascii="Verdana" w:eastAsia="Calibri" w:hAnsi="Verdana" w:cs="Arial"/>
          <w:b/>
          <w:lang w:val="es-ES" w:eastAsia="es-ES"/>
        </w:rPr>
      </w:pPr>
      <w:r w:rsidRPr="00E52607">
        <w:rPr>
          <w:rFonts w:ascii="Verdana" w:eastAsia="Calibri" w:hAnsi="Verdana" w:cs="Arial"/>
          <w:b/>
          <w:lang w:val="es-ES" w:eastAsia="es-ES"/>
        </w:rPr>
        <w:t>EMPRESAS INDUSTRIALES Y COMERCIALES DEL ESTADO – Deber de publicidad</w:t>
      </w:r>
      <w:r w:rsidR="00906F77">
        <w:rPr>
          <w:rFonts w:ascii="Verdana" w:eastAsia="Calibri" w:hAnsi="Verdana" w:cs="Arial"/>
          <w:b/>
          <w:lang w:val="es-ES" w:eastAsia="es-ES"/>
        </w:rPr>
        <w:t xml:space="preserve"> </w:t>
      </w:r>
      <w:r w:rsidR="00906F77" w:rsidRPr="00906F77">
        <w:rPr>
          <w:rFonts w:ascii="Verdana" w:eastAsia="Calibri" w:hAnsi="Verdana" w:cs="Arial"/>
          <w:b/>
          <w:bCs/>
          <w:lang w:val="es-ES" w:eastAsia="es-ES"/>
        </w:rPr>
        <w:t>–</w:t>
      </w:r>
      <w:r w:rsidRPr="00E52607">
        <w:rPr>
          <w:rFonts w:ascii="Verdana" w:eastAsia="Calibri" w:hAnsi="Verdana" w:cs="Arial"/>
          <w:b/>
          <w:lang w:val="es-ES" w:eastAsia="es-ES"/>
        </w:rPr>
        <w:t xml:space="preserve"> Artículo 53 de la Ley 2195 de 2022- SECOP II – Circular Externa 02 de 2024</w:t>
      </w:r>
    </w:p>
    <w:p w14:paraId="39FCBFC0" w14:textId="47A5D107" w:rsidR="00E52607" w:rsidRDefault="00E52607" w:rsidP="00044EB2">
      <w:pPr>
        <w:spacing w:after="0" w:line="240" w:lineRule="auto"/>
        <w:rPr>
          <w:rFonts w:ascii="Verdana" w:eastAsia="Verdana" w:hAnsi="Verdana" w:cs="Verdana"/>
          <w:lang w:val="es-ES_tradnl"/>
        </w:rPr>
      </w:pPr>
    </w:p>
    <w:p w14:paraId="1BAF7548" w14:textId="196B433D" w:rsidR="00DB5A80" w:rsidRDefault="00DB5A80" w:rsidP="00DB5A80">
      <w:pPr>
        <w:spacing w:after="0" w:line="240" w:lineRule="auto"/>
        <w:jc w:val="both"/>
        <w:rPr>
          <w:rFonts w:ascii="Verdana" w:eastAsia="Verdana" w:hAnsi="Verdana" w:cs="Verdana"/>
          <w:sz w:val="20"/>
        </w:rPr>
      </w:pPr>
      <w:r w:rsidRPr="00DB5A80">
        <w:rPr>
          <w:rFonts w:ascii="Verdana" w:eastAsia="Verdana" w:hAnsi="Verdana" w:cs="Verdana"/>
          <w:sz w:val="20"/>
        </w:rPr>
        <w:t xml:space="preserve">Por lo tanto, para que las entidades exceptuadas cumplan con el deber de publicidad consagrado en el artículo 53 de la Ley 2195 de 2022 que modificó el artículo 13 de la Ley 1150 de 2007, se requiere que publiquen en el SECOP II todo documento expedido durante las diferentes etapas del proceso contractual, abarcando desde la fase previa a su celebración, pasando por la ejecución y hasta la fase posterior a su ejecución. Adicionalmente se aclara, que el cumplimiento del deber de publicación de la documentación contractual debe armonizarse con las normas aplicables al tipo de información que estas contienen, si procede restricción de esta por una reserva constitucional o legal. </w:t>
      </w:r>
    </w:p>
    <w:p w14:paraId="7B070DD2" w14:textId="77777777" w:rsidR="00DB5A80" w:rsidRPr="00DB5A80" w:rsidRDefault="00DB5A80" w:rsidP="00DB5A80">
      <w:pPr>
        <w:spacing w:after="0" w:line="240" w:lineRule="auto"/>
        <w:jc w:val="both"/>
        <w:rPr>
          <w:rFonts w:ascii="Verdana" w:eastAsia="Verdana" w:hAnsi="Verdana" w:cs="Verdana"/>
          <w:sz w:val="20"/>
        </w:rPr>
      </w:pPr>
    </w:p>
    <w:p w14:paraId="3F50DA0D" w14:textId="064E88B1" w:rsidR="00DB5A80" w:rsidRDefault="00DB5A80" w:rsidP="00DB5A80">
      <w:pPr>
        <w:spacing w:after="0" w:line="240" w:lineRule="auto"/>
        <w:jc w:val="both"/>
        <w:rPr>
          <w:rFonts w:ascii="Verdana" w:eastAsia="Verdana" w:hAnsi="Verdana" w:cs="Verdana"/>
          <w:sz w:val="20"/>
        </w:rPr>
      </w:pPr>
      <w:r w:rsidRPr="00DB5A80">
        <w:rPr>
          <w:rFonts w:ascii="Verdana" w:eastAsia="Verdana" w:hAnsi="Verdana" w:cs="Verdana"/>
          <w:sz w:val="20"/>
        </w:rPr>
        <w:t>Teniendo en cuenta, la obligatoriedad de</w:t>
      </w:r>
      <w:r w:rsidRPr="00DB5A80">
        <w:rPr>
          <w:rFonts w:ascii="Verdana" w:eastAsia="Verdana" w:hAnsi="Verdana" w:cs="Verdana"/>
          <w:sz w:val="20"/>
          <w:lang w:val="es-ES"/>
        </w:rPr>
        <w:t xml:space="preserve"> SECOP II para entidades de régimen especial, es preciso señalar que está habilitado dos módulos para dichas entidades: i) Régimen Especial con Ofertas, que consiste en un procedimiento contractual que se desarrolla en línea y dentro de la plataforma, en el que las entidades pueden estructurar el proceso de contratación y recibir las ofertas de los proveedores y generar el contrato electrónico y demás documentos, conformándose un expediente electrónico; </w:t>
      </w:r>
      <w:proofErr w:type="spellStart"/>
      <w:r w:rsidRPr="00DB5A80">
        <w:rPr>
          <w:rFonts w:ascii="Verdana" w:eastAsia="Verdana" w:hAnsi="Verdana" w:cs="Verdana"/>
          <w:sz w:val="20"/>
          <w:lang w:val="es-ES"/>
        </w:rPr>
        <w:t>ii</w:t>
      </w:r>
      <w:proofErr w:type="spellEnd"/>
      <w:r w:rsidRPr="00DB5A80">
        <w:rPr>
          <w:rFonts w:ascii="Verdana" w:eastAsia="Verdana" w:hAnsi="Verdana" w:cs="Verdana"/>
          <w:sz w:val="20"/>
          <w:lang w:val="es-ES"/>
        </w:rPr>
        <w:t xml:space="preserve">) Régimen Especial sin Ofertas, que consiste en que las entidades pueden estructurar el Proceso de Contratación, generar el contrato electrónico y realizar la gestión contractual. Al respecto, </w:t>
      </w:r>
      <w:r w:rsidRPr="00DB5A80">
        <w:rPr>
          <w:rFonts w:ascii="Verdana" w:eastAsia="Verdana" w:hAnsi="Verdana" w:cs="Verdana"/>
          <w:sz w:val="20"/>
        </w:rPr>
        <w:t>la Circular Externa No. 002 del 23 de agosto de 2024, estableció los lineamientos para la aplicación del artículo 53 de la Ley 2195 de 2022 por parte de las Entidades Estales que por disposición legal cuentan con un régimen contractual excepcional al Estatuto General de Contratación de la Administración Pública</w:t>
      </w:r>
      <w:r>
        <w:rPr>
          <w:rFonts w:ascii="Verdana" w:eastAsia="Verdana" w:hAnsi="Verdana" w:cs="Verdana"/>
          <w:sz w:val="20"/>
        </w:rPr>
        <w:t>.</w:t>
      </w:r>
    </w:p>
    <w:p w14:paraId="0DDEAF44" w14:textId="590CA225" w:rsidR="00DB5A80" w:rsidRDefault="00DB5A80" w:rsidP="00DB5A80">
      <w:pPr>
        <w:spacing w:after="0" w:line="240" w:lineRule="auto"/>
        <w:jc w:val="both"/>
        <w:rPr>
          <w:rFonts w:ascii="Verdana" w:eastAsia="Verdana" w:hAnsi="Verdana" w:cs="Verdana"/>
          <w:sz w:val="20"/>
        </w:rPr>
      </w:pPr>
    </w:p>
    <w:p w14:paraId="54B54FC4" w14:textId="47CE9DB8" w:rsidR="00DB5A80" w:rsidRDefault="00DB5A80" w:rsidP="00DB5A80">
      <w:pPr>
        <w:spacing w:after="0" w:line="240" w:lineRule="auto"/>
        <w:jc w:val="both"/>
        <w:rPr>
          <w:rFonts w:ascii="Verdana" w:eastAsia="Verdana" w:hAnsi="Verdana" w:cs="Verdana"/>
          <w:sz w:val="20"/>
        </w:rPr>
      </w:pPr>
    </w:p>
    <w:p w14:paraId="5C8570D0" w14:textId="753C7A2C" w:rsidR="00DB5A80" w:rsidRDefault="00DB5A80" w:rsidP="00DB5A80">
      <w:pPr>
        <w:spacing w:after="0" w:line="240" w:lineRule="auto"/>
        <w:jc w:val="both"/>
        <w:rPr>
          <w:rFonts w:ascii="Verdana" w:eastAsia="Verdana" w:hAnsi="Verdana" w:cs="Verdana"/>
          <w:sz w:val="20"/>
        </w:rPr>
      </w:pPr>
    </w:p>
    <w:p w14:paraId="2C27D608" w14:textId="630FDED0" w:rsidR="00DB5A80" w:rsidRDefault="00DB5A80" w:rsidP="00DB5A80">
      <w:pPr>
        <w:spacing w:after="0" w:line="240" w:lineRule="auto"/>
        <w:jc w:val="both"/>
        <w:rPr>
          <w:rFonts w:ascii="Verdana" w:eastAsia="Verdana" w:hAnsi="Verdana" w:cs="Verdana"/>
          <w:sz w:val="20"/>
        </w:rPr>
      </w:pPr>
    </w:p>
    <w:p w14:paraId="72E3AB66" w14:textId="64DA87D0" w:rsidR="00DB5A80" w:rsidRDefault="00DB5A80" w:rsidP="00DB5A80">
      <w:pPr>
        <w:spacing w:after="0" w:line="240" w:lineRule="auto"/>
        <w:jc w:val="both"/>
        <w:rPr>
          <w:rFonts w:ascii="Verdana" w:eastAsia="Verdana" w:hAnsi="Verdana" w:cs="Verdana"/>
          <w:sz w:val="20"/>
        </w:rPr>
      </w:pPr>
    </w:p>
    <w:p w14:paraId="2E9928AE" w14:textId="23744901" w:rsidR="00DB5A80" w:rsidRDefault="00DB5A80" w:rsidP="00DB5A80">
      <w:pPr>
        <w:spacing w:after="0" w:line="240" w:lineRule="auto"/>
        <w:jc w:val="both"/>
        <w:rPr>
          <w:rFonts w:ascii="Verdana" w:eastAsia="Verdana" w:hAnsi="Verdana" w:cs="Verdana"/>
          <w:sz w:val="20"/>
        </w:rPr>
      </w:pPr>
    </w:p>
    <w:p w14:paraId="3F217013" w14:textId="26D8ECDF" w:rsidR="00DB5A80" w:rsidRDefault="00DB5A80" w:rsidP="00DB5A80">
      <w:pPr>
        <w:spacing w:after="0" w:line="240" w:lineRule="auto"/>
        <w:jc w:val="both"/>
        <w:rPr>
          <w:rFonts w:ascii="Verdana" w:eastAsia="Verdana" w:hAnsi="Verdana" w:cs="Verdana"/>
          <w:sz w:val="20"/>
        </w:rPr>
      </w:pPr>
    </w:p>
    <w:p w14:paraId="6B03E1E7" w14:textId="017FBF73" w:rsidR="00DB5A80" w:rsidRDefault="00DB5A80" w:rsidP="00DB5A80">
      <w:pPr>
        <w:spacing w:after="0" w:line="240" w:lineRule="auto"/>
        <w:jc w:val="both"/>
        <w:rPr>
          <w:rFonts w:ascii="Verdana" w:eastAsia="Verdana" w:hAnsi="Verdana" w:cs="Verdana"/>
          <w:sz w:val="20"/>
        </w:rPr>
      </w:pPr>
    </w:p>
    <w:p w14:paraId="1CE045E4" w14:textId="2D143282" w:rsidR="00DB5A80" w:rsidRDefault="00DB5A80" w:rsidP="00DB5A80">
      <w:pPr>
        <w:spacing w:after="0" w:line="240" w:lineRule="auto"/>
        <w:jc w:val="both"/>
        <w:rPr>
          <w:rFonts w:ascii="Verdana" w:eastAsia="Verdana" w:hAnsi="Verdana" w:cs="Verdana"/>
          <w:sz w:val="20"/>
        </w:rPr>
      </w:pPr>
    </w:p>
    <w:p w14:paraId="7AE2698F" w14:textId="65916BF4" w:rsidR="00DB5A80" w:rsidRDefault="00DB5A80" w:rsidP="00DB5A80">
      <w:pPr>
        <w:spacing w:after="0" w:line="240" w:lineRule="auto"/>
        <w:jc w:val="both"/>
        <w:rPr>
          <w:rFonts w:ascii="Verdana" w:eastAsia="Verdana" w:hAnsi="Verdana" w:cs="Verdana"/>
          <w:sz w:val="20"/>
        </w:rPr>
      </w:pPr>
    </w:p>
    <w:p w14:paraId="16E764E8" w14:textId="5EA5141A" w:rsidR="00DB5A80" w:rsidRDefault="00DB5A80" w:rsidP="00DB5A80">
      <w:pPr>
        <w:spacing w:after="0" w:line="240" w:lineRule="auto"/>
        <w:jc w:val="both"/>
        <w:rPr>
          <w:rFonts w:ascii="Verdana" w:eastAsia="Verdana" w:hAnsi="Verdana" w:cs="Verdana"/>
          <w:sz w:val="20"/>
        </w:rPr>
      </w:pPr>
    </w:p>
    <w:p w14:paraId="7E012154" w14:textId="11E0BF57" w:rsidR="00DB5A80" w:rsidRDefault="00DB5A80" w:rsidP="00DB5A80">
      <w:pPr>
        <w:spacing w:after="0" w:line="240" w:lineRule="auto"/>
        <w:jc w:val="both"/>
        <w:rPr>
          <w:rFonts w:ascii="Verdana" w:eastAsia="Verdana" w:hAnsi="Verdana" w:cs="Verdana"/>
          <w:sz w:val="20"/>
        </w:rPr>
      </w:pPr>
    </w:p>
    <w:p w14:paraId="76191B95" w14:textId="70275A22" w:rsidR="00DB5A80" w:rsidRDefault="00DB5A80" w:rsidP="00DB5A80">
      <w:pPr>
        <w:spacing w:after="0" w:line="240" w:lineRule="auto"/>
        <w:jc w:val="both"/>
        <w:rPr>
          <w:rFonts w:ascii="Verdana" w:eastAsia="Verdana" w:hAnsi="Verdana" w:cs="Verdana"/>
          <w:sz w:val="20"/>
        </w:rPr>
      </w:pPr>
    </w:p>
    <w:p w14:paraId="30B9B74C" w14:textId="628A1CBD" w:rsidR="00DB5A80" w:rsidRDefault="00DB5A80" w:rsidP="00DB5A80">
      <w:pPr>
        <w:spacing w:after="0" w:line="240" w:lineRule="auto"/>
        <w:jc w:val="both"/>
        <w:rPr>
          <w:rFonts w:ascii="Verdana" w:eastAsia="Verdana" w:hAnsi="Verdana" w:cs="Verdana"/>
          <w:sz w:val="20"/>
        </w:rPr>
      </w:pPr>
    </w:p>
    <w:p w14:paraId="677D6768" w14:textId="04CA731B" w:rsidR="00DB5A80" w:rsidRDefault="00DB5A80" w:rsidP="00DB5A80">
      <w:pPr>
        <w:spacing w:after="0" w:line="240" w:lineRule="auto"/>
        <w:jc w:val="both"/>
        <w:rPr>
          <w:rFonts w:ascii="Verdana" w:eastAsia="Verdana" w:hAnsi="Verdana" w:cs="Verdana"/>
          <w:sz w:val="20"/>
        </w:rPr>
      </w:pPr>
    </w:p>
    <w:p w14:paraId="65AE7ABE" w14:textId="0784D420" w:rsidR="00DB5A80" w:rsidRDefault="00DB5A80" w:rsidP="00DB5A80">
      <w:pPr>
        <w:spacing w:after="0" w:line="240" w:lineRule="auto"/>
        <w:jc w:val="both"/>
        <w:rPr>
          <w:rFonts w:ascii="Verdana" w:eastAsia="Verdana" w:hAnsi="Verdana" w:cs="Verdana"/>
          <w:sz w:val="20"/>
        </w:rPr>
      </w:pPr>
    </w:p>
    <w:p w14:paraId="0DCA8F2B" w14:textId="77777777" w:rsidR="00DB5A80" w:rsidRPr="00DB5A80" w:rsidRDefault="00DB5A80" w:rsidP="00DB5A80">
      <w:pPr>
        <w:spacing w:after="0" w:line="240" w:lineRule="auto"/>
        <w:jc w:val="both"/>
        <w:rPr>
          <w:rFonts w:ascii="Verdana" w:eastAsia="Verdana" w:hAnsi="Verdana" w:cs="Verdana"/>
          <w:sz w:val="20"/>
          <w:lang w:val="es-ES_tradnl"/>
        </w:rPr>
      </w:pPr>
    </w:p>
    <w:p w14:paraId="08C314F4" w14:textId="2E609D4E" w:rsidR="00044EB2" w:rsidRPr="00044EB2" w:rsidRDefault="00E52607" w:rsidP="00044EB2">
      <w:pPr>
        <w:spacing w:after="0" w:line="240" w:lineRule="auto"/>
        <w:rPr>
          <w:rFonts w:ascii="Verdana" w:eastAsia="Calibri" w:hAnsi="Verdana" w:cs="Arial"/>
          <w:color w:val="000000"/>
          <w:lang w:val="es-ES"/>
        </w:rPr>
      </w:pPr>
      <w:r w:rsidRPr="00E52607">
        <w:rPr>
          <w:rFonts w:ascii="Verdana" w:hAnsi="Verdana"/>
          <w:noProof/>
          <w:lang w:val="en-US"/>
        </w:rPr>
        <w:lastRenderedPageBreak/>
        <w:drawing>
          <wp:anchor distT="0" distB="0" distL="114300" distR="114300" simplePos="0" relativeHeight="251658240" behindDoc="0" locked="0" layoutInCell="1" allowOverlap="1" wp14:anchorId="78AF31BA" wp14:editId="3B158E1A">
            <wp:simplePos x="0" y="0"/>
            <wp:positionH relativeFrom="column">
              <wp:posOffset>3034665</wp:posOffset>
            </wp:positionH>
            <wp:positionV relativeFrom="paragraph">
              <wp:posOffset>267335</wp:posOffset>
            </wp:positionV>
            <wp:extent cx="2514600" cy="69342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14600" cy="6934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eastAsia="Verdana" w:hAnsi="Verdana" w:cs="Verdana"/>
        </w:rPr>
        <w:t xml:space="preserve">Bogotá D.C., 7 de abril de 2026 </w:t>
      </w:r>
      <w:r w:rsidR="00044EB2" w:rsidRPr="00044EB2">
        <w:rPr>
          <w:rFonts w:ascii="Verdana" w:hAnsi="Verdana"/>
        </w:rPr>
        <w:tab/>
      </w:r>
      <w:r w:rsidR="00044EB2" w:rsidRPr="00044EB2">
        <w:rPr>
          <w:rFonts w:ascii="Verdana" w:hAnsi="Verdana"/>
        </w:rPr>
        <w:br/>
      </w:r>
    </w:p>
    <w:p w14:paraId="1DE9C4FD" w14:textId="08F6E52C" w:rsidR="00044EB2" w:rsidRPr="00044EB2" w:rsidRDefault="00044EB2" w:rsidP="00044EB2">
      <w:pPr>
        <w:spacing w:after="0" w:line="240" w:lineRule="auto"/>
        <w:rPr>
          <w:rFonts w:ascii="Verdana" w:eastAsia="Calibri" w:hAnsi="Verdana" w:cs="Arial"/>
          <w:color w:val="000000"/>
          <w:lang w:val="es-ES"/>
        </w:rPr>
      </w:pPr>
    </w:p>
    <w:p w14:paraId="2C36DCED" w14:textId="3C5D9CC2" w:rsidR="00044EB2" w:rsidRPr="00044EB2" w:rsidRDefault="00044EB2" w:rsidP="00044EB2">
      <w:pPr>
        <w:spacing w:after="0" w:line="240" w:lineRule="auto"/>
        <w:jc w:val="both"/>
        <w:rPr>
          <w:rFonts w:ascii="Verdana" w:eastAsia="Calibri" w:hAnsi="Verdana" w:cs="Arial"/>
          <w:b/>
          <w:lang w:val="es-ES" w:eastAsia="es-ES"/>
        </w:rPr>
      </w:pPr>
      <w:r w:rsidRPr="00044EB2">
        <w:rPr>
          <w:rFonts w:ascii="Verdana" w:eastAsia="Calibri" w:hAnsi="Verdana" w:cs="Arial"/>
          <w:lang w:val="es-ES" w:eastAsia="es-ES"/>
        </w:rPr>
        <w:t>Señora</w:t>
      </w:r>
    </w:p>
    <w:p w14:paraId="4FC640B8" w14:textId="77777777" w:rsidR="00044EB2" w:rsidRPr="00044EB2" w:rsidRDefault="00044EB2" w:rsidP="00044EB2">
      <w:pPr>
        <w:spacing w:after="0" w:line="240" w:lineRule="auto"/>
        <w:jc w:val="both"/>
        <w:rPr>
          <w:rFonts w:ascii="Verdana" w:eastAsia="Calibri" w:hAnsi="Verdana" w:cs="Arial"/>
          <w:b/>
          <w:lang w:val="es-ES" w:eastAsia="es-ES"/>
        </w:rPr>
      </w:pPr>
      <w:r w:rsidRPr="00044EB2">
        <w:rPr>
          <w:rFonts w:ascii="Verdana" w:eastAsia="Calibri" w:hAnsi="Verdana" w:cs="Arial"/>
          <w:b/>
          <w:lang w:val="es-ES" w:eastAsia="es-ES"/>
        </w:rPr>
        <w:t xml:space="preserve">Natalia León Salas </w:t>
      </w:r>
    </w:p>
    <w:p w14:paraId="03ADBDC5" w14:textId="77777777" w:rsidR="00044EB2" w:rsidRPr="00044EB2" w:rsidRDefault="00044EB2" w:rsidP="00044EB2">
      <w:pPr>
        <w:spacing w:after="0" w:line="240" w:lineRule="auto"/>
        <w:jc w:val="both"/>
        <w:rPr>
          <w:rFonts w:ascii="Verdana" w:eastAsia="Calibri" w:hAnsi="Verdana" w:cs="Arial"/>
          <w:lang w:val="es-ES" w:eastAsia="es-ES"/>
        </w:rPr>
      </w:pPr>
      <w:hyperlink r:id="rId12" w:history="1">
        <w:r w:rsidRPr="00044EB2">
          <w:rPr>
            <w:rFonts w:ascii="Verdana" w:eastAsia="Calibri" w:hAnsi="Verdana" w:cs="Arial"/>
            <w:color w:val="0000FF"/>
            <w:u w:val="single"/>
            <w:lang w:val="es-ES" w:eastAsia="es-ES"/>
          </w:rPr>
          <w:t>natalialeons99@gmail.com</w:t>
        </w:r>
      </w:hyperlink>
      <w:r w:rsidRPr="00044EB2">
        <w:rPr>
          <w:rFonts w:ascii="Verdana" w:eastAsia="Calibri" w:hAnsi="Verdana" w:cs="Arial"/>
          <w:lang w:val="es-ES" w:eastAsia="es-ES"/>
        </w:rPr>
        <w:t xml:space="preserve"> </w:t>
      </w:r>
    </w:p>
    <w:p w14:paraId="3B55E9C3" w14:textId="77777777" w:rsidR="00044EB2" w:rsidRPr="00044EB2" w:rsidRDefault="00044EB2" w:rsidP="00044EB2">
      <w:pPr>
        <w:spacing w:after="0" w:line="240" w:lineRule="auto"/>
        <w:rPr>
          <w:rFonts w:ascii="Verdana" w:eastAsia="Calibri" w:hAnsi="Verdana" w:cs="Arial"/>
          <w:lang w:eastAsia="es-ES"/>
        </w:rPr>
      </w:pPr>
      <w:r w:rsidRPr="00044EB2">
        <w:rPr>
          <w:rFonts w:ascii="Verdana" w:eastAsia="Calibri" w:hAnsi="Verdana" w:cs="Arial"/>
          <w:lang w:eastAsia="es-ES"/>
        </w:rPr>
        <w:t>Bogotá D.C.</w:t>
      </w:r>
    </w:p>
    <w:p w14:paraId="69F5A458" w14:textId="77777777" w:rsidR="00044EB2" w:rsidRPr="00044EB2" w:rsidRDefault="00044EB2" w:rsidP="00044EB2">
      <w:pPr>
        <w:spacing w:after="0" w:line="240" w:lineRule="auto"/>
        <w:rPr>
          <w:rFonts w:ascii="Verdana" w:eastAsia="Calibri" w:hAnsi="Verdana" w:cs="Arial"/>
          <w:b/>
          <w:bCs/>
          <w:color w:val="000000"/>
          <w:lang w:eastAsia="es-ES_tradnl"/>
        </w:rPr>
      </w:pPr>
    </w:p>
    <w:p w14:paraId="0FAEC141" w14:textId="77777777" w:rsidR="00044EB2" w:rsidRPr="00044EB2" w:rsidRDefault="00044EB2" w:rsidP="00044EB2">
      <w:pPr>
        <w:spacing w:after="0" w:line="240" w:lineRule="auto"/>
        <w:rPr>
          <w:rFonts w:ascii="Verdana" w:eastAsia="Calibri" w:hAnsi="Verdana" w:cs="Arial"/>
          <w:b/>
          <w:bCs/>
          <w:color w:val="000000"/>
          <w:lang w:eastAsia="es-ES_tradnl"/>
        </w:rPr>
      </w:pPr>
    </w:p>
    <w:tbl>
      <w:tblPr>
        <w:tblStyle w:val="Tablaconcuadrcula1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44EB2" w:rsidRPr="00044EB2" w14:paraId="77EF5B3A" w14:textId="77777777" w:rsidTr="00881B2A">
        <w:trPr>
          <w:trHeight w:val="194"/>
        </w:trPr>
        <w:tc>
          <w:tcPr>
            <w:tcW w:w="2689" w:type="dxa"/>
          </w:tcPr>
          <w:p w14:paraId="3E3882B3" w14:textId="77777777" w:rsidR="00044EB2" w:rsidRPr="00044EB2" w:rsidRDefault="00044EB2" w:rsidP="00044EB2">
            <w:pPr>
              <w:jc w:val="both"/>
              <w:rPr>
                <w:rFonts w:ascii="Verdana" w:eastAsia="Calibri" w:hAnsi="Verdana" w:cs="Arial"/>
                <w:b/>
                <w:bCs/>
                <w:color w:val="7030A0"/>
                <w:lang w:eastAsia="es-ES_tradnl"/>
              </w:rPr>
            </w:pPr>
          </w:p>
        </w:tc>
        <w:tc>
          <w:tcPr>
            <w:tcW w:w="6100" w:type="dxa"/>
          </w:tcPr>
          <w:p w14:paraId="18FAEDB0" w14:textId="77777777" w:rsidR="00044EB2" w:rsidRPr="00044EB2" w:rsidRDefault="00044EB2" w:rsidP="00044EB2">
            <w:pPr>
              <w:jc w:val="both"/>
              <w:rPr>
                <w:rFonts w:ascii="Verdana" w:eastAsia="Calibri" w:hAnsi="Verdana" w:cs="Arial"/>
                <w:b/>
                <w:bCs/>
                <w:lang w:val="es-ES" w:eastAsia="es-ES"/>
              </w:rPr>
            </w:pPr>
            <w:r w:rsidRPr="00044EB2">
              <w:rPr>
                <w:rFonts w:ascii="Verdana" w:eastAsia="Calibri" w:hAnsi="Verdana" w:cs="Arial"/>
                <w:b/>
                <w:bCs/>
                <w:lang w:val="es-ES" w:eastAsia="es-ES"/>
              </w:rPr>
              <w:t>Concepto C –370 de 2026</w:t>
            </w:r>
          </w:p>
          <w:p w14:paraId="6D7D388D" w14:textId="77777777" w:rsidR="00044EB2" w:rsidRPr="00044EB2" w:rsidRDefault="00044EB2" w:rsidP="00044EB2">
            <w:pPr>
              <w:jc w:val="both"/>
              <w:rPr>
                <w:rFonts w:ascii="Verdana" w:eastAsia="Calibri" w:hAnsi="Verdana" w:cs="Arial"/>
                <w:b/>
                <w:bCs/>
                <w:color w:val="7030A0"/>
                <w:lang w:val="es-ES" w:eastAsia="es-ES"/>
              </w:rPr>
            </w:pPr>
          </w:p>
        </w:tc>
      </w:tr>
      <w:tr w:rsidR="00044EB2" w:rsidRPr="00044EB2" w14:paraId="7FE4AC05" w14:textId="77777777" w:rsidTr="00881B2A">
        <w:trPr>
          <w:trHeight w:val="884"/>
        </w:trPr>
        <w:tc>
          <w:tcPr>
            <w:tcW w:w="2689" w:type="dxa"/>
          </w:tcPr>
          <w:p w14:paraId="348BB064" w14:textId="77777777" w:rsidR="00044EB2" w:rsidRPr="00044EB2" w:rsidRDefault="00044EB2" w:rsidP="00044EB2">
            <w:pPr>
              <w:jc w:val="both"/>
              <w:rPr>
                <w:rFonts w:ascii="Verdana" w:eastAsia="Calibri" w:hAnsi="Verdana" w:cs="Arial"/>
                <w:color w:val="000000"/>
                <w:lang w:val="es-ES_tradnl" w:eastAsia="es-ES_tradnl"/>
              </w:rPr>
            </w:pPr>
            <w:r w:rsidRPr="00044EB2">
              <w:rPr>
                <w:rFonts w:ascii="Verdana" w:eastAsia="Calibri" w:hAnsi="Verdana" w:cs="Arial"/>
                <w:b/>
                <w:color w:val="000000"/>
                <w:lang w:val="es-ES_tradnl" w:eastAsia="es-ES_tradnl"/>
              </w:rPr>
              <w:t>Temas:</w:t>
            </w:r>
            <w:r w:rsidRPr="00044EB2">
              <w:rPr>
                <w:rFonts w:ascii="Verdana" w:eastAsia="Calibri" w:hAnsi="Verdana" w:cs="Arial"/>
                <w:color w:val="000000"/>
                <w:lang w:val="es-ES_tradnl" w:eastAsia="es-ES_tradnl"/>
              </w:rPr>
              <w:t xml:space="preserve">                   </w:t>
            </w:r>
          </w:p>
        </w:tc>
        <w:tc>
          <w:tcPr>
            <w:tcW w:w="6100" w:type="dxa"/>
          </w:tcPr>
          <w:p w14:paraId="6DFAAA97" w14:textId="2D232214" w:rsidR="00044EB2" w:rsidRPr="00044EB2" w:rsidRDefault="00044EB2" w:rsidP="00044EB2">
            <w:pPr>
              <w:jc w:val="both"/>
              <w:rPr>
                <w:rFonts w:ascii="Verdana" w:eastAsia="Calibri" w:hAnsi="Verdana" w:cs="Arial"/>
                <w:lang w:val="es-ES" w:eastAsia="es-ES"/>
              </w:rPr>
            </w:pPr>
            <w:r w:rsidRPr="00044EB2">
              <w:rPr>
                <w:rFonts w:ascii="Verdana" w:eastAsia="Calibri" w:hAnsi="Verdana" w:cs="Arial"/>
                <w:lang w:val="es-ES" w:eastAsia="es-ES"/>
              </w:rPr>
              <w:t>CONTRATO ESTATAL – Régimen jurídico / RÉGIMEN EXCEPCIONAL – Justificación – Criterios de clasificación / EMPRESAS INDUSTRIALES Y COMERCIALES DEL ESTADO– Naturaleza Jurídica – Entidad descentralizada por servicios / EMPRESAS INDUSTRIALES Y COMERCIALES DEL ESTADO – Aplicación - Artículo 13 de la Ley 1150 de 2007 / EMPRESAS INDUSTRIALES Y COMERCIALES DEL ESTADO – No Aplicación del Artículo 56 de la Ley 2195 de 2022 – Documentos Tipo / MANUALES DE CONTRATACIÓN – Alcance – Límites – Obligatoriedad / PRINCIPIOS DE LA FUNCIÓN ADMINISTRATIVA – Aplicación – Criterios Metodológicos / MANUALES DE CONTRATACIÓN – Aplicación de principios – Procedimientos Competitivos – Procedimientos no competitivos / EMPRESAS INDUSTRIALES Y COMERCIALES DEL ESTADO – Deber de publicidad- Artículo 53 de la Ley 2195 de 2022- SECOP II – Circular Externa 02 de 2024</w:t>
            </w:r>
          </w:p>
          <w:p w14:paraId="446F60E3" w14:textId="77777777" w:rsidR="00044EB2" w:rsidRPr="00044EB2" w:rsidRDefault="00044EB2" w:rsidP="00044EB2">
            <w:pPr>
              <w:jc w:val="both"/>
              <w:rPr>
                <w:rFonts w:ascii="Verdana" w:eastAsia="Calibri" w:hAnsi="Verdana" w:cs="Arial"/>
                <w:lang w:val="es-ES" w:eastAsia="es-ES"/>
              </w:rPr>
            </w:pPr>
          </w:p>
        </w:tc>
      </w:tr>
      <w:tr w:rsidR="00044EB2" w:rsidRPr="00044EB2" w14:paraId="67E53164" w14:textId="77777777" w:rsidTr="00881B2A">
        <w:trPr>
          <w:trHeight w:val="644"/>
        </w:trPr>
        <w:tc>
          <w:tcPr>
            <w:tcW w:w="2689" w:type="dxa"/>
          </w:tcPr>
          <w:p w14:paraId="02A82791" w14:textId="77777777" w:rsidR="00044EB2" w:rsidRPr="00044EB2" w:rsidRDefault="00044EB2" w:rsidP="00044EB2">
            <w:pPr>
              <w:jc w:val="both"/>
              <w:rPr>
                <w:rFonts w:ascii="Verdana" w:eastAsia="Calibri" w:hAnsi="Verdana" w:cs="Arial"/>
                <w:b/>
                <w:lang w:val="es-ES_tradnl" w:eastAsia="es-ES_tradnl"/>
              </w:rPr>
            </w:pPr>
            <w:r w:rsidRPr="00044EB2">
              <w:rPr>
                <w:rFonts w:ascii="Verdana" w:eastAsia="Calibri" w:hAnsi="Verdana" w:cs="Arial"/>
                <w:b/>
                <w:lang w:val="es-ES_tradnl" w:eastAsia="es-ES_tradnl"/>
              </w:rPr>
              <w:t>Radicación:</w:t>
            </w:r>
            <w:r w:rsidRPr="00044EB2">
              <w:rPr>
                <w:rFonts w:ascii="Verdana" w:eastAsia="Calibri" w:hAnsi="Verdana" w:cs="Arial"/>
                <w:lang w:val="es-ES_tradnl" w:eastAsia="es-ES_tradnl"/>
              </w:rPr>
              <w:t xml:space="preserve">               </w:t>
            </w:r>
          </w:p>
        </w:tc>
        <w:tc>
          <w:tcPr>
            <w:tcW w:w="6100" w:type="dxa"/>
          </w:tcPr>
          <w:p w14:paraId="0802A0F3" w14:textId="77777777" w:rsidR="00044EB2" w:rsidRPr="00044EB2" w:rsidRDefault="00044EB2" w:rsidP="00044EB2">
            <w:pPr>
              <w:jc w:val="both"/>
              <w:rPr>
                <w:rFonts w:ascii="Verdana" w:eastAsia="Calibri" w:hAnsi="Verdana" w:cs="Arial"/>
                <w:lang w:eastAsia="es-ES_tradnl"/>
              </w:rPr>
            </w:pPr>
            <w:r w:rsidRPr="00044EB2">
              <w:rPr>
                <w:rFonts w:ascii="Verdana" w:eastAsia="Calibri" w:hAnsi="Verdana" w:cs="Arial"/>
                <w:lang w:val="es-ES_tradnl" w:eastAsia="es-ES_tradnl"/>
              </w:rPr>
              <w:t>Respuesta a la consulta con radicado No.</w:t>
            </w:r>
            <w:r w:rsidRPr="00044EB2">
              <w:rPr>
                <w:rFonts w:ascii="Verdana" w:hAnsi="Verdana" w:cs="Segoe UI"/>
                <w:shd w:val="clear" w:color="auto" w:fill="FFFFFF"/>
              </w:rPr>
              <w:t xml:space="preserve"> 1_2026_03_05_003138</w:t>
            </w:r>
          </w:p>
        </w:tc>
      </w:tr>
    </w:tbl>
    <w:p w14:paraId="5EA4B31E" w14:textId="77777777" w:rsidR="00044EB2" w:rsidRPr="00044EB2" w:rsidRDefault="00044EB2" w:rsidP="00044EB2">
      <w:pPr>
        <w:spacing w:after="0" w:line="240" w:lineRule="auto"/>
        <w:jc w:val="both"/>
        <w:rPr>
          <w:rFonts w:ascii="Verdana" w:eastAsia="Calibri" w:hAnsi="Verdana" w:cs="Arial"/>
          <w:color w:val="000000"/>
          <w:lang w:eastAsia="es-ES_tradnl"/>
        </w:rPr>
      </w:pPr>
    </w:p>
    <w:p w14:paraId="6F7862BB" w14:textId="77777777" w:rsidR="00044EB2" w:rsidRPr="00044EB2" w:rsidRDefault="00044EB2" w:rsidP="00044EB2">
      <w:pPr>
        <w:spacing w:after="0" w:line="240" w:lineRule="auto"/>
        <w:jc w:val="both"/>
        <w:rPr>
          <w:rFonts w:ascii="Verdana" w:eastAsia="Calibri" w:hAnsi="Verdana" w:cs="Arial"/>
          <w:color w:val="000000"/>
          <w:lang w:val="es-ES_tradnl" w:eastAsia="es-ES_tradnl"/>
        </w:rPr>
      </w:pPr>
    </w:p>
    <w:p w14:paraId="7870A228" w14:textId="77777777" w:rsidR="00044EB2" w:rsidRPr="00044EB2" w:rsidRDefault="00044EB2" w:rsidP="00044EB2">
      <w:pPr>
        <w:spacing w:after="0" w:line="276" w:lineRule="auto"/>
        <w:jc w:val="both"/>
        <w:rPr>
          <w:rFonts w:ascii="Verdana" w:eastAsia="Calibri" w:hAnsi="Verdana" w:cs="Arial"/>
          <w:lang w:val="es-ES" w:eastAsia="es-ES"/>
        </w:rPr>
      </w:pPr>
      <w:r w:rsidRPr="00044EB2">
        <w:rPr>
          <w:rFonts w:ascii="Verdana" w:eastAsia="Calibri" w:hAnsi="Verdana" w:cs="Arial"/>
          <w:lang w:val="es-ES" w:eastAsia="es-ES"/>
        </w:rPr>
        <w:t xml:space="preserve">Estimada Señora Natalia: </w:t>
      </w:r>
    </w:p>
    <w:p w14:paraId="1409CD0C" w14:textId="77777777" w:rsidR="00044EB2" w:rsidRPr="00044EB2" w:rsidRDefault="00044EB2" w:rsidP="00044EB2">
      <w:pPr>
        <w:spacing w:after="0" w:line="276" w:lineRule="auto"/>
        <w:jc w:val="both"/>
        <w:rPr>
          <w:rFonts w:ascii="Verdana" w:eastAsia="Calibri" w:hAnsi="Verdana" w:cs="Arial"/>
          <w:lang w:val="es-ES" w:eastAsia="es-ES"/>
        </w:rPr>
      </w:pPr>
    </w:p>
    <w:p w14:paraId="570C0A38" w14:textId="77777777" w:rsidR="00044EB2" w:rsidRPr="00044EB2" w:rsidRDefault="00044EB2" w:rsidP="00044EB2">
      <w:pPr>
        <w:spacing w:after="0" w:line="276" w:lineRule="auto"/>
        <w:jc w:val="both"/>
        <w:rPr>
          <w:rFonts w:ascii="Verdana" w:eastAsia="Calibri" w:hAnsi="Verdana" w:cs="Arial"/>
          <w:bCs/>
          <w:color w:val="000000" w:themeColor="text1"/>
          <w:lang w:val="es-ES" w:eastAsia="es-ES" w:bidi="es-ES"/>
        </w:rPr>
      </w:pPr>
      <w:r w:rsidRPr="00044EB2">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044EB2">
        <w:rPr>
          <w:rFonts w:ascii="Verdana" w:eastAsia="Calibri" w:hAnsi="Verdana" w:cs="Arial"/>
          <w:bCs/>
          <w:color w:val="000000" w:themeColor="text1"/>
          <w:lang w:eastAsia="es-ES"/>
        </w:rPr>
        <w:t xml:space="preserve">así como lo establecido por la Resolución 469 de 2025 expedida por esta Entidad, </w:t>
      </w:r>
      <w:r w:rsidRPr="00044EB2">
        <w:rPr>
          <w:rFonts w:ascii="Verdana" w:eastAsia="Calibri" w:hAnsi="Verdana" w:cs="Arial"/>
          <w:bCs/>
          <w:color w:val="000000" w:themeColor="text1"/>
          <w:lang w:val="es-ES" w:eastAsia="es-ES" w:bidi="es-ES"/>
        </w:rPr>
        <w:t xml:space="preserve">la Agencia Nacional de </w:t>
      </w:r>
      <w:r w:rsidRPr="00044EB2">
        <w:rPr>
          <w:rFonts w:ascii="Verdana" w:eastAsia="Calibri" w:hAnsi="Verdana" w:cs="Arial"/>
          <w:bCs/>
          <w:color w:val="000000" w:themeColor="text1"/>
          <w:lang w:val="es-ES" w:eastAsia="es-ES" w:bidi="es-ES"/>
        </w:rPr>
        <w:lastRenderedPageBreak/>
        <w:t xml:space="preserve">Contratación Pública –Colombia Compra Eficiente– responde la solicitud de consulta del 5 de marzo de 2026, en la cual manifiestan: </w:t>
      </w:r>
    </w:p>
    <w:p w14:paraId="03F0DD6A" w14:textId="77777777" w:rsidR="00044EB2" w:rsidRPr="00044EB2" w:rsidRDefault="00044EB2" w:rsidP="00044EB2">
      <w:pPr>
        <w:tabs>
          <w:tab w:val="left" w:pos="142"/>
          <w:tab w:val="left" w:pos="284"/>
        </w:tabs>
        <w:spacing w:after="0" w:line="276" w:lineRule="auto"/>
        <w:contextualSpacing/>
        <w:jc w:val="both"/>
        <w:rPr>
          <w:rFonts w:ascii="Verdana" w:eastAsia="Century Gothic" w:hAnsi="Verdana" w:cs="Century Gothic"/>
          <w:b/>
          <w:bCs/>
          <w:lang w:val="es-ES"/>
        </w:rPr>
      </w:pPr>
    </w:p>
    <w:p w14:paraId="4A6AE188"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r w:rsidRPr="00044EB2">
        <w:rPr>
          <w:rFonts w:ascii="Verdana" w:eastAsia="Century Gothic" w:hAnsi="Verdana" w:cs="Century Gothic"/>
          <w:sz w:val="20"/>
          <w:szCs w:val="20"/>
          <w:lang w:val="es-ES"/>
        </w:rPr>
        <w:t>“</w:t>
      </w:r>
      <w:r w:rsidRPr="00044EB2">
        <w:rPr>
          <w:rFonts w:ascii="Verdana" w:eastAsia="Century Gothic" w:hAnsi="Verdana" w:cs="Century Gothic"/>
          <w:sz w:val="20"/>
          <w:szCs w:val="20"/>
        </w:rPr>
        <w:t>1. ¿Las Empresas Industriales y Comerciales del Estado (EICE) deben acoger los lineamientos expedidos por Colombia Compra Eficiente para la elaboración de su manual de contratación o, en su defecto, cuáles son los requisitos y contenidos mínimos que dicho instrumento debe contemplar y qué nivel de detalle o especificidad normativa resulta exigible para su adopción?</w:t>
      </w:r>
    </w:p>
    <w:p w14:paraId="015AF6D3"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p>
    <w:p w14:paraId="19BBBD05"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r w:rsidRPr="00044EB2">
        <w:rPr>
          <w:rFonts w:ascii="Verdana" w:eastAsia="Century Gothic" w:hAnsi="Verdana" w:cs="Century Gothic"/>
          <w:sz w:val="20"/>
          <w:szCs w:val="20"/>
        </w:rPr>
        <w:t>2. ¿Cuál es el marco normativo aplicable en materia de contratación a las</w:t>
      </w:r>
    </w:p>
    <w:p w14:paraId="524F1D6B"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proofErr w:type="gramStart"/>
      <w:r w:rsidRPr="00044EB2">
        <w:rPr>
          <w:rFonts w:ascii="Verdana" w:eastAsia="Century Gothic" w:hAnsi="Verdana" w:cs="Century Gothic"/>
          <w:sz w:val="20"/>
          <w:szCs w:val="20"/>
        </w:rPr>
        <w:t>Empresas Industriales y Comerciales del Estado (EICE) y qué disposiciones del régimen de contratación estatal o del derecho privado resultan vinculantes para estas entidades en el desarrollo de su actividad contractual?</w:t>
      </w:r>
      <w:proofErr w:type="gramEnd"/>
    </w:p>
    <w:p w14:paraId="4028647B"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p>
    <w:p w14:paraId="68A3934E"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r w:rsidRPr="00044EB2">
        <w:rPr>
          <w:rFonts w:ascii="Verdana" w:eastAsia="Century Gothic" w:hAnsi="Verdana" w:cs="Century Gothic"/>
          <w:sz w:val="20"/>
          <w:szCs w:val="20"/>
        </w:rPr>
        <w:t>3. ¿Una Empresa Industrial y Comercial del Estado (EICE) que desarrolla su actividad contractual bajo régimen de derecho privado se encuentra</w:t>
      </w:r>
    </w:p>
    <w:p w14:paraId="66570242"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r w:rsidRPr="00044EB2">
        <w:rPr>
          <w:rFonts w:ascii="Verdana" w:eastAsia="Century Gothic" w:hAnsi="Verdana" w:cs="Century Gothic"/>
          <w:sz w:val="20"/>
          <w:szCs w:val="20"/>
        </w:rPr>
        <w:t xml:space="preserve">obligada a publicar las actuaciones correspondientes a las etapas precontractual, contractual y </w:t>
      </w:r>
      <w:proofErr w:type="spellStart"/>
      <w:r w:rsidRPr="00044EB2">
        <w:rPr>
          <w:rFonts w:ascii="Verdana" w:eastAsia="Century Gothic" w:hAnsi="Verdana" w:cs="Century Gothic"/>
          <w:sz w:val="20"/>
          <w:szCs w:val="20"/>
        </w:rPr>
        <w:t>poscontractual</w:t>
      </w:r>
      <w:proofErr w:type="spellEnd"/>
      <w:r w:rsidRPr="00044EB2">
        <w:rPr>
          <w:rFonts w:ascii="Verdana" w:eastAsia="Century Gothic" w:hAnsi="Verdana" w:cs="Century Gothic"/>
          <w:sz w:val="20"/>
          <w:szCs w:val="20"/>
        </w:rPr>
        <w:t>? En caso afirmativo, ¿en qué</w:t>
      </w:r>
    </w:p>
    <w:p w14:paraId="32FE7F89"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r w:rsidRPr="00044EB2">
        <w:rPr>
          <w:rFonts w:ascii="Verdana" w:eastAsia="Century Gothic" w:hAnsi="Verdana" w:cs="Century Gothic"/>
          <w:sz w:val="20"/>
          <w:szCs w:val="20"/>
        </w:rPr>
        <w:t>plataforma o sistema oficial de información debe efectuarse dicha publicidad, particularmente en el Sistema Electrónico para la Contratación Pública (SECOP) administrado por Colombia Compra Eficiente?</w:t>
      </w:r>
    </w:p>
    <w:p w14:paraId="686F7146"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p>
    <w:p w14:paraId="165987B6"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r w:rsidRPr="00044EB2">
        <w:rPr>
          <w:rFonts w:ascii="Verdana" w:eastAsia="Century Gothic" w:hAnsi="Verdana" w:cs="Century Gothic"/>
          <w:sz w:val="20"/>
          <w:szCs w:val="20"/>
        </w:rPr>
        <w:t>4. ¿Cuáles son los lineamientos normativos que deben observar las Empresas Industriales y Comerciales del Estado para la elaboración y adopción de sus manuales de contratación?</w:t>
      </w:r>
    </w:p>
    <w:p w14:paraId="03B81F92"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p>
    <w:p w14:paraId="499FDE55"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r w:rsidRPr="00044EB2">
        <w:rPr>
          <w:rFonts w:ascii="Verdana" w:eastAsia="Century Gothic" w:hAnsi="Verdana" w:cs="Century Gothic"/>
          <w:sz w:val="20"/>
          <w:szCs w:val="20"/>
        </w:rPr>
        <w:t>5. ¿Es procedente o conveniente que los manuales de contratación de las</w:t>
      </w:r>
    </w:p>
    <w:p w14:paraId="152148DC"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proofErr w:type="gramStart"/>
      <w:r w:rsidRPr="00044EB2">
        <w:rPr>
          <w:rFonts w:ascii="Verdana" w:eastAsia="Century Gothic" w:hAnsi="Verdana" w:cs="Century Gothic"/>
          <w:sz w:val="20"/>
          <w:szCs w:val="20"/>
        </w:rPr>
        <w:t>Empresas Industriales y Comerciales del Estado (EICE) incorporen matrices de riesgos dentro de sus lineamientos para la gestión contractual?</w:t>
      </w:r>
      <w:proofErr w:type="gramEnd"/>
    </w:p>
    <w:p w14:paraId="38F4DB91"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p>
    <w:p w14:paraId="249813A2"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r w:rsidRPr="00044EB2">
        <w:rPr>
          <w:rFonts w:ascii="Verdana" w:eastAsia="Century Gothic" w:hAnsi="Verdana" w:cs="Century Gothic"/>
          <w:sz w:val="20"/>
          <w:szCs w:val="20"/>
        </w:rPr>
        <w:t>6. ¿Cuáles son las normas vigentes y más recientes que regulan o inciden en el régimen de contratación de las Empresas Industriales y Comerciales del Estado (EICE)?</w:t>
      </w:r>
    </w:p>
    <w:p w14:paraId="7935EC0A"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p>
    <w:p w14:paraId="24AD32B2"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r w:rsidRPr="00044EB2">
        <w:rPr>
          <w:rFonts w:ascii="Verdana" w:eastAsia="Century Gothic" w:hAnsi="Verdana" w:cs="Century Gothic"/>
          <w:sz w:val="20"/>
          <w:szCs w:val="20"/>
        </w:rPr>
        <w:t>7. ¿Cuáles son los conceptos, lineamientos o guías expedidos por la Agencia Nacional de Contratación Pública – Colombia Compra Eficiente que</w:t>
      </w:r>
    </w:p>
    <w:p w14:paraId="237EA245"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r w:rsidRPr="00044EB2">
        <w:rPr>
          <w:rFonts w:ascii="Verdana" w:eastAsia="Century Gothic" w:hAnsi="Verdana" w:cs="Century Gothic"/>
          <w:sz w:val="20"/>
          <w:szCs w:val="20"/>
        </w:rPr>
        <w:t>pueden servir de criterio orientador para la elaboración o actualización de</w:t>
      </w:r>
    </w:p>
    <w:p w14:paraId="4C23EF1B"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r w:rsidRPr="00044EB2">
        <w:rPr>
          <w:rFonts w:ascii="Verdana" w:eastAsia="Century Gothic" w:hAnsi="Verdana" w:cs="Century Gothic"/>
          <w:sz w:val="20"/>
          <w:szCs w:val="20"/>
        </w:rPr>
        <w:t>los manuales de contratación de las entidades estatales, en particular de las Empresas Industriales y Comerciales del Estado?</w:t>
      </w:r>
    </w:p>
    <w:p w14:paraId="1998C7F0"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p>
    <w:p w14:paraId="153AEF99"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r w:rsidRPr="00044EB2">
        <w:rPr>
          <w:rFonts w:ascii="Verdana" w:eastAsia="Century Gothic" w:hAnsi="Verdana" w:cs="Century Gothic"/>
          <w:sz w:val="20"/>
          <w:szCs w:val="20"/>
        </w:rPr>
        <w:t>8. ¿Cuál es la estructura que debe observar un manual de contratación de</w:t>
      </w:r>
    </w:p>
    <w:p w14:paraId="110676E9"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r w:rsidRPr="00044EB2">
        <w:rPr>
          <w:rFonts w:ascii="Verdana" w:eastAsia="Century Gothic" w:hAnsi="Verdana" w:cs="Century Gothic"/>
          <w:sz w:val="20"/>
          <w:szCs w:val="20"/>
        </w:rPr>
        <w:t>una Empresa Industrial y Comercial del Estado y cuáles son los contenidos</w:t>
      </w:r>
    </w:p>
    <w:p w14:paraId="400C7035"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r w:rsidRPr="00044EB2">
        <w:rPr>
          <w:rFonts w:ascii="Verdana" w:eastAsia="Century Gothic" w:hAnsi="Verdana" w:cs="Century Gothic"/>
          <w:sz w:val="20"/>
          <w:szCs w:val="20"/>
        </w:rPr>
        <w:lastRenderedPageBreak/>
        <w:t>mínimos o requisitos que necesariamente debe incorporar para orientar la</w:t>
      </w:r>
    </w:p>
    <w:p w14:paraId="3839777F" w14:textId="77777777" w:rsidR="00044EB2" w:rsidRPr="00044EB2" w:rsidRDefault="00044EB2" w:rsidP="00044EB2">
      <w:pPr>
        <w:spacing w:after="0" w:line="240" w:lineRule="auto"/>
        <w:ind w:left="709" w:right="709"/>
        <w:jc w:val="both"/>
        <w:rPr>
          <w:rFonts w:ascii="Verdana" w:eastAsia="Century Gothic" w:hAnsi="Verdana" w:cs="Century Gothic"/>
          <w:sz w:val="20"/>
          <w:szCs w:val="20"/>
        </w:rPr>
      </w:pPr>
      <w:r w:rsidRPr="00044EB2">
        <w:rPr>
          <w:rFonts w:ascii="Verdana" w:eastAsia="Century Gothic" w:hAnsi="Verdana" w:cs="Century Gothic"/>
          <w:sz w:val="20"/>
          <w:szCs w:val="20"/>
        </w:rPr>
        <w:t xml:space="preserve">gestión contractual de la entidad?” </w:t>
      </w:r>
    </w:p>
    <w:p w14:paraId="0FAA1F9A" w14:textId="77777777" w:rsidR="00044EB2" w:rsidRPr="00044EB2" w:rsidRDefault="00044EB2" w:rsidP="00044EB2">
      <w:pPr>
        <w:tabs>
          <w:tab w:val="left" w:pos="142"/>
          <w:tab w:val="left" w:pos="284"/>
        </w:tabs>
        <w:spacing w:after="0" w:line="276" w:lineRule="auto"/>
        <w:contextualSpacing/>
        <w:jc w:val="both"/>
        <w:rPr>
          <w:rFonts w:ascii="Verdana" w:eastAsia="Century Gothic" w:hAnsi="Verdana" w:cs="Century Gothic"/>
          <w:b/>
          <w:bCs/>
          <w:lang w:val="es-ES"/>
        </w:rPr>
      </w:pPr>
    </w:p>
    <w:p w14:paraId="0C8B0FF8" w14:textId="77777777" w:rsidR="00044EB2" w:rsidRPr="00044EB2" w:rsidRDefault="00044EB2" w:rsidP="00044EB2">
      <w:pPr>
        <w:spacing w:after="120" w:line="276" w:lineRule="auto"/>
        <w:ind w:firstLine="709"/>
        <w:jc w:val="both"/>
        <w:rPr>
          <w:rFonts w:ascii="Verdana" w:eastAsia="Calibri" w:hAnsi="Verdana" w:cs="Arial"/>
          <w:color w:val="000000"/>
          <w:lang w:val="es-ES" w:eastAsia="es-ES"/>
        </w:rPr>
      </w:pPr>
      <w:r w:rsidRPr="00044EB2">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44EB2">
        <w:rPr>
          <w:rFonts w:ascii="Verdana" w:eastAsia="Calibri" w:hAnsi="Verdana" w:cs="Arial"/>
          <w:color w:val="000000"/>
          <w:szCs w:val="24"/>
          <w:lang w:val="es-ES_tradnl" w:eastAsia="es-ES_tradnl"/>
        </w:rPr>
        <w:tab/>
      </w:r>
    </w:p>
    <w:p w14:paraId="4DF05956" w14:textId="77777777" w:rsidR="00044EB2" w:rsidRPr="00044EB2" w:rsidRDefault="00044EB2" w:rsidP="00044EB2">
      <w:pPr>
        <w:spacing w:after="0" w:line="276" w:lineRule="auto"/>
        <w:ind w:firstLine="708"/>
        <w:jc w:val="both"/>
        <w:rPr>
          <w:rFonts w:ascii="Verdana" w:eastAsia="Calibri" w:hAnsi="Verdana" w:cs="Arial"/>
          <w:lang w:val="es-ES" w:eastAsia="es-ES"/>
        </w:rPr>
      </w:pPr>
      <w:r w:rsidRPr="00044EB2">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específicas que la hayan motivado, pero señalando algunas consideraciones sobre las normas generales relacionadas con los problemas jurídicos de su consulta. </w:t>
      </w:r>
    </w:p>
    <w:p w14:paraId="18A01395" w14:textId="77777777" w:rsidR="00044EB2" w:rsidRPr="00044EB2" w:rsidRDefault="00044EB2" w:rsidP="00044EB2">
      <w:pPr>
        <w:spacing w:after="0" w:line="276" w:lineRule="auto"/>
        <w:jc w:val="both"/>
        <w:rPr>
          <w:rFonts w:ascii="Verdana" w:eastAsia="Calibri" w:hAnsi="Verdana" w:cs="Arial"/>
          <w:color w:val="000000"/>
          <w:lang w:val="es-ES" w:eastAsia="es-ES"/>
        </w:rPr>
      </w:pPr>
    </w:p>
    <w:p w14:paraId="501BFEB7" w14:textId="77777777" w:rsidR="00044EB2" w:rsidRPr="00044EB2" w:rsidRDefault="00044EB2" w:rsidP="00044EB2">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044EB2">
        <w:rPr>
          <w:rFonts w:ascii="Verdana" w:eastAsia="Century Gothic" w:hAnsi="Verdana" w:cs="Century Gothic"/>
          <w:b/>
          <w:bCs/>
          <w:lang w:val="es-ES"/>
        </w:rPr>
        <w:t xml:space="preserve"> Problema planteado:</w:t>
      </w:r>
    </w:p>
    <w:p w14:paraId="5D07862D" w14:textId="77777777" w:rsidR="00044EB2" w:rsidRPr="00044EB2" w:rsidRDefault="00044EB2" w:rsidP="00044EB2">
      <w:pPr>
        <w:tabs>
          <w:tab w:val="left" w:pos="426"/>
        </w:tabs>
        <w:spacing w:after="0" w:line="276" w:lineRule="auto"/>
        <w:jc w:val="both"/>
        <w:rPr>
          <w:rFonts w:ascii="Verdana" w:eastAsia="Century Gothic" w:hAnsi="Verdana" w:cs="Century Gothic"/>
          <w:lang w:val="es-ES"/>
        </w:rPr>
      </w:pPr>
    </w:p>
    <w:p w14:paraId="04B34212" w14:textId="77777777" w:rsidR="00044EB2" w:rsidRPr="00044EB2" w:rsidRDefault="00044EB2" w:rsidP="00044EB2">
      <w:pPr>
        <w:spacing w:after="0" w:line="276" w:lineRule="auto"/>
        <w:jc w:val="both"/>
        <w:rPr>
          <w:rFonts w:ascii="Verdana" w:eastAsia="Century Gothic" w:hAnsi="Verdana" w:cs="Century Gothic"/>
        </w:rPr>
      </w:pPr>
      <w:r w:rsidRPr="00044EB2">
        <w:rPr>
          <w:rFonts w:ascii="Verdana" w:eastAsia="Century Gothic" w:hAnsi="Verdana" w:cs="Century Gothic"/>
        </w:rPr>
        <w:t xml:space="preserve">De acuerdo con el contenido de su solicitud, esta Agencia resolverá los siguientes problemas jurídicos: i) </w:t>
      </w:r>
      <w:r w:rsidRPr="00044EB2">
        <w:rPr>
          <w:rFonts w:ascii="Verdana" w:eastAsia="Century Gothic" w:hAnsi="Verdana" w:cs="Century Gothic"/>
          <w:bCs/>
        </w:rPr>
        <w:t>¿Cuál es el marco normativo aplicable al régimen de contratación de las Empresas Industriales y Comerciales del Estado -EICE-, y en qué medida les resultan vinculantes las disposiciones del régimen general de contratación estatal frente a las normas del derecho privado en el desarrollo de su actividad contractual?</w:t>
      </w:r>
      <w:r w:rsidRPr="00044EB2">
        <w:rPr>
          <w:rFonts w:ascii="Verdana" w:eastAsia="Century Gothic" w:hAnsi="Verdana" w:cs="Century Gothic"/>
        </w:rPr>
        <w:t xml:space="preserve">; </w:t>
      </w:r>
      <w:proofErr w:type="spellStart"/>
      <w:r w:rsidRPr="00044EB2">
        <w:rPr>
          <w:rFonts w:ascii="Verdana" w:eastAsia="Century Gothic" w:hAnsi="Verdana" w:cs="Century Gothic"/>
        </w:rPr>
        <w:t>ii</w:t>
      </w:r>
      <w:proofErr w:type="spellEnd"/>
      <w:r w:rsidRPr="00044EB2">
        <w:rPr>
          <w:rFonts w:ascii="Verdana" w:eastAsia="Century Gothic" w:hAnsi="Verdana" w:cs="Century Gothic"/>
        </w:rPr>
        <w:t xml:space="preserve">) </w:t>
      </w:r>
      <w:r w:rsidRPr="00044EB2">
        <w:rPr>
          <w:rFonts w:ascii="Verdana" w:eastAsia="Century Gothic" w:hAnsi="Verdana" w:cs="Century Gothic"/>
          <w:bCs/>
        </w:rPr>
        <w:t xml:space="preserve">¿Están obligadas las Empresas Industriales y Comerciales del Estado –EICE- que contratan bajo un régimen de derecho privado a publicar las actuaciones de las etapas precontractual, contractual y </w:t>
      </w:r>
      <w:proofErr w:type="spellStart"/>
      <w:r w:rsidRPr="00044EB2">
        <w:rPr>
          <w:rFonts w:ascii="Verdana" w:eastAsia="Century Gothic" w:hAnsi="Verdana" w:cs="Century Gothic"/>
          <w:bCs/>
        </w:rPr>
        <w:t>poscontractual</w:t>
      </w:r>
      <w:proofErr w:type="spellEnd"/>
      <w:r w:rsidRPr="00044EB2">
        <w:rPr>
          <w:rFonts w:ascii="Verdana" w:eastAsia="Century Gothic" w:hAnsi="Verdana" w:cs="Century Gothic"/>
          <w:bCs/>
        </w:rPr>
        <w:t xml:space="preserve">, y en qué sistemas o plataformas oficiales de información —particularmente el SECOP?; </w:t>
      </w:r>
      <w:proofErr w:type="spellStart"/>
      <w:r w:rsidRPr="00044EB2">
        <w:rPr>
          <w:rFonts w:ascii="Verdana" w:eastAsia="Century Gothic" w:hAnsi="Verdana" w:cs="Century Gothic"/>
          <w:bCs/>
        </w:rPr>
        <w:t>iii</w:t>
      </w:r>
      <w:proofErr w:type="spellEnd"/>
      <w:r w:rsidRPr="00044EB2">
        <w:rPr>
          <w:rFonts w:ascii="Verdana" w:eastAsia="Century Gothic" w:hAnsi="Verdana" w:cs="Century Gothic"/>
          <w:bCs/>
        </w:rPr>
        <w:t xml:space="preserve">) ¿Cuál debe ser la estructura y el grado de detalle normativo que deben incorporar los manuales de contratación de las Empresas Industriales y Comerciales del Estado –EICE-, así como cuáles son los </w:t>
      </w:r>
      <w:r w:rsidRPr="00044EB2">
        <w:rPr>
          <w:rFonts w:ascii="Verdana" w:eastAsia="Century Gothic" w:hAnsi="Verdana" w:cs="Century Gothic"/>
          <w:bCs/>
        </w:rPr>
        <w:lastRenderedPageBreak/>
        <w:t xml:space="preserve">lineamientos que deben observarse y en qué medida resulta procedente y recomendable la incorporación de herramientas de gestión contractual, tales como matrices de riesgos, entre otros?; </w:t>
      </w:r>
      <w:proofErr w:type="spellStart"/>
      <w:r w:rsidRPr="00044EB2">
        <w:rPr>
          <w:rFonts w:ascii="Verdana" w:eastAsia="Century Gothic" w:hAnsi="Verdana" w:cs="Century Gothic"/>
          <w:bCs/>
        </w:rPr>
        <w:t>iv</w:t>
      </w:r>
      <w:proofErr w:type="spellEnd"/>
      <w:r w:rsidRPr="00044EB2">
        <w:rPr>
          <w:rFonts w:ascii="Verdana" w:eastAsia="Century Gothic" w:hAnsi="Verdana" w:cs="Century Gothic"/>
          <w:bCs/>
        </w:rPr>
        <w:t>) ¿Deben las Empresas Industriales y Comerciales del Estado –EICE- acoger los lineamientos, guías o conceptos expedidos por la Agencia Nacional de Contratación Pública – Colombia Compra Eficiente para la adopción de sus manuales de contratación y, cuál es el alcance de dichos instrumentos?</w:t>
      </w:r>
    </w:p>
    <w:p w14:paraId="6BFA5838" w14:textId="77777777" w:rsidR="00044EB2" w:rsidRPr="00044EB2" w:rsidRDefault="00044EB2" w:rsidP="00044EB2">
      <w:pPr>
        <w:spacing w:after="0" w:line="276" w:lineRule="auto"/>
        <w:jc w:val="both"/>
        <w:rPr>
          <w:rFonts w:ascii="Verdana" w:eastAsia="Calibri" w:hAnsi="Verdana" w:cs="Arial"/>
          <w:color w:val="7030A0"/>
        </w:rPr>
      </w:pPr>
    </w:p>
    <w:p w14:paraId="7E175892" w14:textId="77777777" w:rsidR="00044EB2" w:rsidRPr="00044EB2" w:rsidRDefault="00044EB2" w:rsidP="00044EB2">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044EB2">
        <w:rPr>
          <w:rFonts w:ascii="Verdana" w:eastAsia="Century Gothic" w:hAnsi="Verdana" w:cs="Century Gothic"/>
          <w:b/>
          <w:bCs/>
          <w:lang w:val="es-ES"/>
        </w:rPr>
        <w:t xml:space="preserve"> Respuesta:</w:t>
      </w:r>
    </w:p>
    <w:p w14:paraId="60ADDF89" w14:textId="77777777" w:rsidR="00044EB2" w:rsidRPr="00044EB2" w:rsidRDefault="00044EB2" w:rsidP="00044EB2">
      <w:pPr>
        <w:tabs>
          <w:tab w:val="left" w:pos="142"/>
          <w:tab w:val="left" w:pos="284"/>
        </w:tabs>
        <w:spacing w:after="0" w:line="276" w:lineRule="auto"/>
        <w:jc w:val="both"/>
        <w:rPr>
          <w:rFonts w:ascii="Verdana" w:eastAsia="Century Gothic" w:hAnsi="Verdana" w:cs="Century Gothic"/>
          <w:b/>
          <w:bCs/>
          <w:lang w:val="es-ES"/>
        </w:rPr>
      </w:pPr>
    </w:p>
    <w:tbl>
      <w:tblPr>
        <w:tblStyle w:val="Tablaconcuadrcula1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44EB2" w:rsidRPr="00044EB2" w14:paraId="7BA02988" w14:textId="77777777" w:rsidTr="00881B2A">
        <w:trPr>
          <w:jc w:val="center"/>
        </w:trPr>
        <w:tc>
          <w:tcPr>
            <w:tcW w:w="8828" w:type="dxa"/>
          </w:tcPr>
          <w:p w14:paraId="09656669" w14:textId="77777777" w:rsidR="00044EB2" w:rsidRPr="00044EB2" w:rsidRDefault="00044EB2" w:rsidP="00044EB2">
            <w:pPr>
              <w:spacing w:before="120" w:line="276" w:lineRule="auto"/>
              <w:jc w:val="both"/>
              <w:rPr>
                <w:rFonts w:ascii="Verdana" w:eastAsia="Calibri" w:hAnsi="Verdana" w:cs="Arial"/>
                <w:bCs/>
              </w:rPr>
            </w:pPr>
            <w:r w:rsidRPr="00044EB2">
              <w:rPr>
                <w:rFonts w:ascii="Verdana" w:eastAsia="Calibri" w:hAnsi="Verdana" w:cs="Arial"/>
                <w:bCs/>
              </w:rPr>
              <w:t>De acuerdo con los problemas jurídicos, objeto de consulta, se expresa:</w:t>
            </w:r>
          </w:p>
          <w:p w14:paraId="1216833E" w14:textId="77777777" w:rsidR="00044EB2" w:rsidRPr="00044EB2" w:rsidRDefault="00044EB2" w:rsidP="00044EB2">
            <w:pPr>
              <w:spacing w:line="276" w:lineRule="auto"/>
              <w:jc w:val="both"/>
              <w:rPr>
                <w:rFonts w:ascii="Verdana" w:eastAsia="Calibri" w:hAnsi="Verdana" w:cs="Arial"/>
                <w:bCs/>
              </w:rPr>
            </w:pPr>
          </w:p>
          <w:p w14:paraId="04B5A4BD" w14:textId="77777777" w:rsidR="00044EB2" w:rsidRPr="00044EB2" w:rsidRDefault="00044EB2" w:rsidP="00044EB2">
            <w:pPr>
              <w:tabs>
                <w:tab w:val="left" w:pos="426"/>
              </w:tabs>
              <w:spacing w:after="120" w:line="276" w:lineRule="auto"/>
              <w:jc w:val="both"/>
              <w:rPr>
                <w:rFonts w:ascii="Verdana" w:eastAsia="Calibri" w:hAnsi="Verdana" w:cs="Arial"/>
                <w:bCs/>
                <w:color w:val="000000" w:themeColor="text1"/>
                <w:lang w:val="es-ES_tradnl"/>
              </w:rPr>
            </w:pPr>
            <w:r w:rsidRPr="00044EB2">
              <w:rPr>
                <w:rFonts w:ascii="Verdana" w:eastAsia="Calibri" w:hAnsi="Verdana" w:cs="Arial"/>
                <w:bCs/>
              </w:rPr>
              <w:t xml:space="preserve">i. </w:t>
            </w:r>
            <w:r w:rsidRPr="00044EB2">
              <w:rPr>
                <w:rFonts w:ascii="Verdana" w:eastAsia="Calibri" w:hAnsi="Verdana" w:cs="Arial"/>
                <w:color w:val="000000"/>
              </w:rPr>
              <w:t>De acuerdo al primer problema jurídico, objeto de consulta, se precisa que l</w:t>
            </w:r>
            <w:r w:rsidRPr="00044EB2">
              <w:rPr>
                <w:rFonts w:ascii="Verdana" w:eastAsia="Calibri" w:hAnsi="Verdana" w:cs="Arial"/>
                <w:color w:val="000000"/>
                <w:lang w:val="es-ES_tradnl"/>
              </w:rPr>
              <w:t xml:space="preserve">as Empresas Industriales y Comerciales del Estado, como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con el fin de que se puedan identificar las reglas que aplican en la contratación. No obstante, la </w:t>
            </w:r>
            <w:r w:rsidRPr="00044EB2">
              <w:rPr>
                <w:rFonts w:ascii="Verdana" w:eastAsia="Calibri" w:hAnsi="Verdana" w:cs="Arial"/>
                <w:bCs/>
                <w:color w:val="000000" w:themeColor="text1"/>
                <w:lang w:val="es-ES_tradnl"/>
              </w:rPr>
              <w:t xml:space="preserve">sujeción al derecho privado no significa que no deban sujetarse a mandatos y obligaciones del derecho público, tal como está regulado en el artículo 13 de la Ley 1150 de 2007. </w:t>
            </w:r>
          </w:p>
          <w:p w14:paraId="477D9783" w14:textId="77777777" w:rsidR="00044EB2" w:rsidRPr="00044EB2" w:rsidRDefault="00044EB2" w:rsidP="00044EB2">
            <w:pPr>
              <w:tabs>
                <w:tab w:val="left" w:pos="426"/>
              </w:tabs>
              <w:spacing w:after="120" w:line="276" w:lineRule="auto"/>
              <w:ind w:firstLine="425"/>
              <w:jc w:val="both"/>
              <w:rPr>
                <w:rFonts w:ascii="Verdana" w:eastAsia="Calibri" w:hAnsi="Verdana" w:cs="Arial"/>
                <w:bCs/>
                <w:lang w:val="es-ES_tradnl" w:eastAsia="es-ES_tradnl"/>
              </w:rPr>
            </w:pPr>
            <w:r w:rsidRPr="00044EB2">
              <w:rPr>
                <w:rFonts w:ascii="Verdana" w:eastAsia="Calibri" w:hAnsi="Verdana" w:cs="Arial"/>
                <w:bCs/>
                <w:color w:val="000000" w:themeColor="text1"/>
                <w:lang w:val="es-ES_tradnl"/>
              </w:rPr>
              <w:t xml:space="preserve">En este sentido, a </w:t>
            </w:r>
            <w:r w:rsidRPr="00044EB2">
              <w:rPr>
                <w:rFonts w:ascii="Verdana" w:eastAsia="Calibri" w:hAnsi="Verdana" w:cs="Arial"/>
                <w:bCs/>
                <w:color w:val="000000" w:themeColor="text1"/>
                <w:lang w:val="es-ES"/>
              </w:rPr>
              <w:t xml:space="preserve">pesar que el régimen que aplican sea el derecho privado, tiene limitaciones dentro del derecho público como son los principios de la función administrativa y de la gestión fiscal y reglas del régimen de inhabilidades e incompatibilidades, así como el deber </w:t>
            </w:r>
            <w:r w:rsidRPr="00044EB2">
              <w:rPr>
                <w:rFonts w:ascii="Verdana" w:eastAsia="Calibri" w:hAnsi="Verdana" w:cs="Arial"/>
                <w:bCs/>
                <w:i/>
                <w:iCs/>
                <w:color w:val="000000" w:themeColor="text1"/>
              </w:rPr>
              <w:t xml:space="preserve">de </w:t>
            </w:r>
            <w:r w:rsidRPr="00044EB2">
              <w:rPr>
                <w:rFonts w:ascii="Verdana" w:eastAsia="Calibri" w:hAnsi="Verdana" w:cs="Arial"/>
                <w:bCs/>
                <w:iCs/>
                <w:color w:val="000000" w:themeColor="text1"/>
              </w:rPr>
              <w:t>publicar los documentos relacionados con su actividad contractual en el Sistema Electrónico para la Contratación Pública –SECOP II– o la plataforma transaccional que haga sus veces regulado en el artículo 53 de la Ley 2195 de 2022 que modificó el artículo 13 de la Ley 1150 de 2007</w:t>
            </w:r>
            <w:r w:rsidRPr="00044EB2">
              <w:rPr>
                <w:rFonts w:ascii="Verdana" w:eastAsia="Calibri" w:hAnsi="Verdana" w:cs="Arial"/>
                <w:bCs/>
                <w:iCs/>
                <w:color w:val="000000" w:themeColor="text1"/>
                <w:lang w:val="es-ES"/>
              </w:rPr>
              <w:t xml:space="preserve">. </w:t>
            </w:r>
            <w:r w:rsidRPr="00044EB2">
              <w:rPr>
                <w:rFonts w:ascii="Verdana" w:eastAsia="Calibri" w:hAnsi="Verdana" w:cs="Arial"/>
                <w:bCs/>
                <w:iCs/>
                <w:color w:val="000000" w:themeColor="text1"/>
              </w:rPr>
              <w:t xml:space="preserve">De igual modo, las Empresas Industriales y Comerciales del Estado deben tener en cuenta las reglas del artículo 56 de la Ley 2195 de 2022, la cual </w:t>
            </w:r>
            <w:r w:rsidRPr="00044EB2">
              <w:rPr>
                <w:rFonts w:ascii="Verdana" w:eastAsia="Calibri" w:hAnsi="Verdana" w:cs="Arial"/>
                <w:bCs/>
                <w:lang w:val="es-ES_tradnl" w:eastAsia="es-ES_tradnl"/>
              </w:rPr>
              <w:t>se refiere de manera expresa a los documentos tipo y a su aplicabilidad a sujetos diferentes de las entidades estatales sometidas al Estatuto General de Contratación de la Administración Pública – en adelante EGCAP –.</w:t>
            </w:r>
          </w:p>
          <w:p w14:paraId="382A66EA" w14:textId="77777777" w:rsidR="00044EB2" w:rsidRPr="00044EB2" w:rsidRDefault="00044EB2" w:rsidP="00044EB2">
            <w:pPr>
              <w:tabs>
                <w:tab w:val="left" w:pos="426"/>
              </w:tabs>
              <w:spacing w:after="120" w:line="276" w:lineRule="auto"/>
              <w:ind w:firstLine="737"/>
              <w:jc w:val="both"/>
              <w:rPr>
                <w:rFonts w:ascii="Verdana" w:eastAsia="Calibri" w:hAnsi="Verdana" w:cs="Arial"/>
                <w:lang w:val="es-ES" w:eastAsia="es-ES"/>
              </w:rPr>
            </w:pPr>
            <w:r w:rsidRPr="00044EB2">
              <w:rPr>
                <w:rFonts w:ascii="Verdana" w:eastAsia="Calibri" w:hAnsi="Verdana" w:cs="Arial"/>
                <w:lang w:val="es-ES" w:eastAsia="es-ES"/>
              </w:rPr>
              <w:lastRenderedPageBreak/>
              <w:t xml:space="preserve">En este aspecto, debe acudirse al parágrafo del artículo 56, la cual implica que las instituciones de educación superior públicas, las empresas sociales del Estado, las sociedades de economía mixta y las Empresas Industriales y Comerciales del Estado, no tendrán que implementar documentos tipo únicamente para la contratación relacionada con el </w:t>
            </w:r>
            <w:r w:rsidRPr="00044EB2">
              <w:rPr>
                <w:rFonts w:ascii="Verdana" w:eastAsia="Calibri" w:hAnsi="Verdana" w:cs="Arial"/>
                <w:i/>
                <w:iCs/>
                <w:lang w:val="es-ES" w:eastAsia="es-ES"/>
              </w:rPr>
              <w:t xml:space="preserve">giro ordinario </w:t>
            </w:r>
            <w:r w:rsidRPr="00044EB2">
              <w:rPr>
                <w:rFonts w:ascii="Verdana" w:eastAsia="Calibri" w:hAnsi="Verdana" w:cs="Arial"/>
                <w:lang w:val="es-ES" w:eastAsia="es-ES"/>
              </w:rPr>
              <w:t xml:space="preserve">de sus asuntos, salvo que los manuales internos de contratación de estas entidades dispongan la obligación de tener en cuenta los documentos tipo como una buena práctica contractual. </w:t>
            </w:r>
          </w:p>
          <w:p w14:paraId="4DBAEF2E" w14:textId="77777777" w:rsidR="00044EB2" w:rsidRPr="00044EB2" w:rsidRDefault="00044EB2" w:rsidP="00044EB2">
            <w:pPr>
              <w:tabs>
                <w:tab w:val="left" w:pos="426"/>
              </w:tabs>
              <w:spacing w:after="120" w:line="276" w:lineRule="auto"/>
              <w:ind w:firstLine="737"/>
              <w:jc w:val="both"/>
              <w:rPr>
                <w:rFonts w:ascii="Verdana" w:eastAsia="Calibri" w:hAnsi="Verdana" w:cs="Arial"/>
                <w:lang w:val="es-ES" w:eastAsia="es-ES"/>
              </w:rPr>
            </w:pPr>
            <w:r w:rsidRPr="00044EB2">
              <w:rPr>
                <w:rFonts w:ascii="Verdana" w:eastAsia="Calibri" w:hAnsi="Verdana" w:cs="Arial"/>
                <w:lang w:val="es-ES" w:eastAsia="es-ES"/>
              </w:rPr>
              <w:t xml:space="preserve">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044EB2">
              <w:rPr>
                <w:rFonts w:ascii="Verdana" w:eastAsia="Calibri" w:hAnsi="Verdana" w:cs="Arial"/>
                <w:i/>
                <w:iCs/>
                <w:lang w:val="es-ES" w:eastAsia="es-ES"/>
              </w:rPr>
              <w:t>su giro ordinario</w:t>
            </w:r>
            <w:r w:rsidRPr="00044EB2">
              <w:rPr>
                <w:rFonts w:ascii="Verdana" w:eastAsia="Calibri" w:hAnsi="Verdana" w:cs="Arial"/>
                <w:lang w:val="es-ES" w:eastAsia="es-ES"/>
              </w:rPr>
              <w:t xml:space="preserve">, entendido este conforme a los criterios jurisprudenciales y doctrinarios aquí explicados en las razones de la respuesta. </w:t>
            </w:r>
          </w:p>
          <w:p w14:paraId="17769F31" w14:textId="77777777" w:rsidR="00044EB2" w:rsidRPr="00044EB2" w:rsidRDefault="00044EB2" w:rsidP="00044EB2">
            <w:pPr>
              <w:tabs>
                <w:tab w:val="left" w:pos="426"/>
              </w:tabs>
              <w:spacing w:line="276" w:lineRule="auto"/>
              <w:ind w:firstLine="737"/>
              <w:jc w:val="both"/>
              <w:rPr>
                <w:rFonts w:ascii="Verdana" w:eastAsia="Calibri" w:hAnsi="Verdana" w:cs="Arial"/>
                <w:bCs/>
                <w:lang w:val="es-ES_tradnl" w:eastAsia="es-ES_tradnl"/>
              </w:rPr>
            </w:pPr>
            <w:r w:rsidRPr="00044EB2">
              <w:rPr>
                <w:rFonts w:ascii="Verdana" w:eastAsia="Calibri" w:hAnsi="Verdana" w:cs="Arial"/>
                <w:lang w:val="es-ES" w:eastAsia="es-ES"/>
              </w:rPr>
              <w:t xml:space="preserve">En otras palabras, ninguna entidad cuya naturaleza jurídica coincida con las mencionadas en el parágrafo del artículo 56, tendrá que someterse de manera obligatoria a los documentos tipo o el EGCAP para la contratación de obras o servicios asociadas a su </w:t>
            </w:r>
            <w:r w:rsidRPr="00044EB2">
              <w:rPr>
                <w:rFonts w:ascii="Verdana" w:eastAsia="Calibri" w:hAnsi="Verdana" w:cs="Arial"/>
                <w:i/>
                <w:iCs/>
                <w:lang w:val="es-ES" w:eastAsia="es-ES"/>
              </w:rPr>
              <w:t>giro ordinario</w:t>
            </w:r>
            <w:r w:rsidRPr="00044EB2">
              <w:rPr>
                <w:rFonts w:ascii="Verdana" w:eastAsia="Calibri" w:hAnsi="Verdana" w:cs="Arial"/>
                <w:lang w:val="es-ES" w:eastAsia="es-ES"/>
              </w:rPr>
              <w:t xml:space="preserve">, a menos que su manual de contratación establezca lo contrario. De hacerlo, primará el principio de inderogabilidad singular del reglamento, que obliga a aplicarlo en las actuaciones concretas.  </w:t>
            </w:r>
          </w:p>
          <w:p w14:paraId="3CC5C85C" w14:textId="77777777" w:rsidR="00044EB2" w:rsidRPr="00044EB2" w:rsidRDefault="00044EB2" w:rsidP="00044EB2">
            <w:pPr>
              <w:tabs>
                <w:tab w:val="left" w:pos="426"/>
              </w:tabs>
              <w:spacing w:line="276" w:lineRule="auto"/>
              <w:jc w:val="both"/>
              <w:rPr>
                <w:rFonts w:ascii="Verdana" w:eastAsia="Calibri" w:hAnsi="Verdana" w:cs="Arial"/>
                <w:bCs/>
              </w:rPr>
            </w:pPr>
          </w:p>
          <w:p w14:paraId="0AA435AF" w14:textId="77777777" w:rsidR="00044EB2" w:rsidRPr="00044EB2" w:rsidRDefault="00044EB2" w:rsidP="00044EB2">
            <w:pPr>
              <w:tabs>
                <w:tab w:val="left" w:pos="709"/>
              </w:tabs>
              <w:spacing w:after="120" w:line="276" w:lineRule="auto"/>
              <w:jc w:val="both"/>
              <w:rPr>
                <w:rFonts w:ascii="Verdana" w:eastAsia="Calibri" w:hAnsi="Verdana" w:cs="Arial"/>
                <w:color w:val="000000"/>
              </w:rPr>
            </w:pPr>
            <w:proofErr w:type="spellStart"/>
            <w:r w:rsidRPr="00044EB2">
              <w:rPr>
                <w:rFonts w:ascii="Verdana" w:eastAsia="Calibri" w:hAnsi="Verdana" w:cs="Arial"/>
                <w:bCs/>
              </w:rPr>
              <w:t>ii</w:t>
            </w:r>
            <w:proofErr w:type="spellEnd"/>
            <w:r w:rsidRPr="00044EB2">
              <w:rPr>
                <w:rFonts w:ascii="Verdana" w:eastAsia="Calibri" w:hAnsi="Verdana" w:cs="Arial"/>
                <w:bCs/>
              </w:rPr>
              <w:t xml:space="preserve">. </w:t>
            </w:r>
            <w:r w:rsidRPr="00044EB2">
              <w:rPr>
                <w:rFonts w:ascii="Verdana" w:eastAsia="Verdana" w:hAnsi="Verdana" w:cs="Verdana"/>
                <w:lang w:val="es-ES"/>
              </w:rPr>
              <w:t xml:space="preserve">De acuerdo con el segundo problema jurídico, se destaca </w:t>
            </w:r>
            <w:r w:rsidRPr="00044EB2">
              <w:rPr>
                <w:rFonts w:ascii="Verdana" w:hAnsi="Verdana" w:cs="Arial"/>
                <w:shd w:val="clear" w:color="auto" w:fill="FFFFFF"/>
              </w:rPr>
              <w:t xml:space="preserve">la obligatoriedad de publicar la información de la actividad contractual que se realiza con cargo a recursos públicos en el SECOP, incluidas aquellas con regímenes contractuales especiales. En tal sentido, </w:t>
            </w:r>
            <w:r w:rsidRPr="00044EB2">
              <w:rPr>
                <w:rFonts w:ascii="Verdana" w:eastAsia="Calibri" w:hAnsi="Verdana" w:cs="Arial"/>
                <w:color w:val="000000"/>
              </w:rPr>
              <w:t xml:space="preserve">debe destacarse el artículo 53 de la Ley 2195 de 2022, que modifica el artículo 13 de la Ley 1150 de 2007, que estableció la obligación de las Entidades Estatales exceptuadas del EGCAP de publicar en el SECOP II –es decir en la plataforma transaccional vigente– su actividad contractual. </w:t>
            </w:r>
          </w:p>
          <w:p w14:paraId="58AC4042" w14:textId="77777777" w:rsidR="00044EB2" w:rsidRPr="00044EB2" w:rsidRDefault="00044EB2" w:rsidP="00044EB2">
            <w:pPr>
              <w:tabs>
                <w:tab w:val="left" w:pos="709"/>
              </w:tabs>
              <w:spacing w:after="120" w:line="276" w:lineRule="auto"/>
              <w:ind w:firstLine="709"/>
              <w:jc w:val="both"/>
              <w:rPr>
                <w:rFonts w:ascii="Verdana" w:eastAsia="Calibri" w:hAnsi="Verdana" w:cs="Arial"/>
                <w:color w:val="000000"/>
              </w:rPr>
            </w:pPr>
            <w:r w:rsidRPr="00044EB2">
              <w:rPr>
                <w:rFonts w:ascii="Verdana" w:eastAsia="Calibri" w:hAnsi="Verdana" w:cs="Arial"/>
                <w:color w:val="000000"/>
              </w:rPr>
              <w:t xml:space="preserve">Así pues, respecto de los documentos que deben publicarse en el SECOP II a efectos de cumplir el mandato consagrado en el artículo 53 de la Ley 2195 de 2022, es preciso advertir que la disposición se refiere a los documentos </w:t>
            </w:r>
            <w:r w:rsidRPr="00044EB2">
              <w:rPr>
                <w:rFonts w:ascii="Verdana" w:eastAsia="Calibri" w:hAnsi="Verdana" w:cs="Arial"/>
                <w:color w:val="000000"/>
              </w:rPr>
              <w:lastRenderedPageBreak/>
              <w:t xml:space="preserve">relacionados con su actividad contractual, la cual define como “[…] los documentos, contratos, actos e información generada por oferentes, contratista, contratante, supervisor o interventor, tanto en la etapa precontractual, como en la contractual y la </w:t>
            </w:r>
            <w:proofErr w:type="spellStart"/>
            <w:r w:rsidRPr="00044EB2">
              <w:rPr>
                <w:rFonts w:ascii="Verdana" w:eastAsia="Calibri" w:hAnsi="Verdana" w:cs="Arial"/>
                <w:color w:val="000000"/>
              </w:rPr>
              <w:t>post-contractual</w:t>
            </w:r>
            <w:proofErr w:type="spellEnd"/>
            <w:r w:rsidRPr="00044EB2">
              <w:rPr>
                <w:rFonts w:ascii="Verdana" w:eastAsia="Calibri" w:hAnsi="Verdana" w:cs="Arial"/>
                <w:color w:val="000000"/>
              </w:rPr>
              <w:t>”.</w:t>
            </w:r>
          </w:p>
          <w:p w14:paraId="6329FAF7" w14:textId="77777777" w:rsidR="00044EB2" w:rsidRPr="00044EB2" w:rsidRDefault="00044EB2" w:rsidP="00044EB2">
            <w:pPr>
              <w:spacing w:after="120" w:line="276" w:lineRule="auto"/>
              <w:ind w:firstLine="709"/>
              <w:jc w:val="both"/>
              <w:rPr>
                <w:rFonts w:ascii="Verdana" w:eastAsia="Calibri" w:hAnsi="Verdana" w:cs="Arial"/>
                <w:color w:val="000000"/>
                <w:sz w:val="21"/>
                <w:szCs w:val="21"/>
              </w:rPr>
            </w:pPr>
            <w:r w:rsidRPr="00044EB2">
              <w:rPr>
                <w:rFonts w:ascii="Verdana" w:eastAsia="Calibri" w:hAnsi="Verdana" w:cs="Arial"/>
                <w:color w:val="000000"/>
              </w:rPr>
              <w:t xml:space="preserve">En ese sentido, dicho precepto anteriormente referenciado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que modificó el artículo 13 de la Ley 1150 de 2007, se requiere que publiquen en el SECOP II todo documento expedido durante las diferentes etapas del proceso contractual, abarcando desde la fase previa a su celebración, pasando por la ejecución y hasta la fase posterior a su ejecución. Adicionalmente se aclara, que el cumplimiento del deber de publicación de la documentación contractual debe armonizarse con las normas aplicables al tipo de información que estas contienen, si procede restricción de esta por una reserva constitucional o legal. </w:t>
            </w:r>
          </w:p>
          <w:p w14:paraId="5C8DD183" w14:textId="77777777" w:rsidR="00044EB2" w:rsidRPr="00044EB2" w:rsidRDefault="00044EB2" w:rsidP="00044EB2">
            <w:pPr>
              <w:spacing w:after="120" w:line="276" w:lineRule="auto"/>
              <w:ind w:firstLine="709"/>
              <w:jc w:val="both"/>
              <w:rPr>
                <w:rFonts w:ascii="Verdana" w:eastAsia="Calibri" w:hAnsi="Verdana" w:cs="Arial"/>
              </w:rPr>
            </w:pPr>
            <w:r w:rsidRPr="00044EB2">
              <w:rPr>
                <w:rFonts w:ascii="Verdana" w:eastAsia="Calibri" w:hAnsi="Verdana" w:cs="Arial"/>
              </w:rPr>
              <w:t>Teniendo en cuenta, la obligatoriedad de</w:t>
            </w:r>
            <w:r w:rsidRPr="00044EB2">
              <w:rPr>
                <w:rFonts w:ascii="Verdana" w:eastAsia="Calibri" w:hAnsi="Verdana" w:cs="Arial"/>
                <w:lang w:val="es-ES"/>
              </w:rPr>
              <w:t xml:space="preserve"> SECOP II para entidades de régimen especial, es preciso señalar que está habilitado dos módulos para dichas entidades: i) Régimen Especial con Ofertas, que consiste en un procedimiento contractual que se desarrolla en línea y dentro de la plataforma, en el que las entidades pueden estructurar el proceso de contratación y recibir las ofertas de los proveedores y generar el contrato electrónico y demás documentos, conformándose un expediente electrónico; </w:t>
            </w:r>
            <w:proofErr w:type="spellStart"/>
            <w:r w:rsidRPr="00044EB2">
              <w:rPr>
                <w:rFonts w:ascii="Verdana" w:eastAsia="Calibri" w:hAnsi="Verdana" w:cs="Arial"/>
                <w:lang w:val="es-ES"/>
              </w:rPr>
              <w:t>ii</w:t>
            </w:r>
            <w:proofErr w:type="spellEnd"/>
            <w:r w:rsidRPr="00044EB2">
              <w:rPr>
                <w:rFonts w:ascii="Verdana" w:eastAsia="Calibri" w:hAnsi="Verdana" w:cs="Arial"/>
                <w:lang w:val="es-ES"/>
              </w:rPr>
              <w:t xml:space="preserve">) Régimen Especial sin Ofertas, que consiste en que las entidades pueden estructurar el Proceso de Contratación, generar el contrato electrónico y realizar la gestión contractual. Al respecto, </w:t>
            </w:r>
            <w:r w:rsidRPr="00044EB2">
              <w:rPr>
                <w:rFonts w:ascii="Verdana" w:eastAsia="Calibri" w:hAnsi="Verdana" w:cs="Arial"/>
              </w:rPr>
              <w:t>la Circular Externa No. 002 del 23 de agosto de 2024, estableció los lineamientos para la aplicación del artículo 53 de la Ley 2195 de 2022 por parte de las Entidades Estales que por disposición legal cuentan con un régimen contractual excepcional al EGCAP.</w:t>
            </w:r>
          </w:p>
          <w:p w14:paraId="47AB6B20" w14:textId="77777777" w:rsidR="00044EB2" w:rsidRPr="00044EB2" w:rsidRDefault="00044EB2" w:rsidP="00044EB2">
            <w:pPr>
              <w:spacing w:line="276" w:lineRule="auto"/>
              <w:ind w:firstLine="709"/>
              <w:jc w:val="both"/>
              <w:rPr>
                <w:rFonts w:ascii="Verdana" w:eastAsia="Calibri" w:hAnsi="Verdana" w:cs="Arial"/>
                <w:color w:val="000000"/>
              </w:rPr>
            </w:pPr>
            <w:r w:rsidRPr="00044EB2">
              <w:rPr>
                <w:rFonts w:ascii="Verdana" w:eastAsia="Calibri" w:hAnsi="Verdana" w:cs="Arial"/>
                <w:color w:val="000000"/>
              </w:rPr>
              <w:t xml:space="preserve">La entidad, en ejercicio de su autonomía y conforme al régimen especial que la rige, será la responsable de determinar cuál de los dos módulos de contratación resulta aplicable en cada proceso que adelante. Esta decisión no es automática, sino que debe surgir de un análisis cuidadoso realizado por la propia entidad con el acompañamiento de sus asesores, teniendo en cuenta la </w:t>
            </w:r>
            <w:r w:rsidRPr="00044EB2">
              <w:rPr>
                <w:rFonts w:ascii="Verdana" w:eastAsia="Calibri" w:hAnsi="Verdana" w:cs="Arial"/>
                <w:color w:val="000000"/>
              </w:rPr>
              <w:lastRenderedPageBreak/>
              <w:t>naturaleza del contrato, los principios de transparencia y eficiencia, así como las condiciones particulares de la contratación con o sin oferta. De este modo, se garantiza que la selección del módulo no solo responda a la normativa vigente, sino también a las necesidades específicas de cada proceso, permitiendo que la contratación se lleve a cabo de manera más ágil y ajustada a la realidad institucional.</w:t>
            </w:r>
          </w:p>
          <w:p w14:paraId="163990FB" w14:textId="77777777" w:rsidR="00044EB2" w:rsidRPr="00044EB2" w:rsidRDefault="00044EB2" w:rsidP="00044EB2">
            <w:pPr>
              <w:spacing w:line="276" w:lineRule="auto"/>
              <w:ind w:firstLine="709"/>
              <w:jc w:val="both"/>
              <w:rPr>
                <w:rFonts w:ascii="Verdana" w:eastAsia="Calibri" w:hAnsi="Verdana" w:cs="Arial"/>
                <w:color w:val="000000"/>
                <w:sz w:val="21"/>
                <w:szCs w:val="21"/>
              </w:rPr>
            </w:pPr>
          </w:p>
          <w:p w14:paraId="397BA54E" w14:textId="77777777" w:rsidR="00044EB2" w:rsidRPr="00044EB2" w:rsidRDefault="00044EB2" w:rsidP="00044EB2">
            <w:pPr>
              <w:spacing w:after="120" w:line="276" w:lineRule="auto"/>
              <w:jc w:val="both"/>
              <w:rPr>
                <w:rFonts w:ascii="Verdana" w:eastAsia="Calibri" w:hAnsi="Verdana" w:cs="Times New Roman"/>
                <w:lang w:val="es-ES"/>
              </w:rPr>
            </w:pPr>
            <w:proofErr w:type="spellStart"/>
            <w:r w:rsidRPr="00044EB2">
              <w:rPr>
                <w:rFonts w:ascii="Verdana" w:eastAsia="Calibri" w:hAnsi="Verdana" w:cs="Arial"/>
                <w:bCs/>
              </w:rPr>
              <w:t>iii</w:t>
            </w:r>
            <w:proofErr w:type="spellEnd"/>
            <w:r w:rsidRPr="00044EB2">
              <w:rPr>
                <w:rFonts w:ascii="Verdana" w:eastAsia="Calibri" w:hAnsi="Verdana" w:cs="Arial"/>
                <w:bCs/>
              </w:rPr>
              <w:t xml:space="preserve">. En torno al tercer problema jurídico, </w:t>
            </w:r>
            <w:r w:rsidRPr="00044EB2">
              <w:rPr>
                <w:rFonts w:ascii="Verdana" w:eastAsia="Verdana" w:hAnsi="Verdana" w:cs="Verdana"/>
                <w:spacing w:val="-2"/>
                <w:lang w:val="es-ES"/>
              </w:rPr>
              <w:t>es</w:t>
            </w:r>
            <w:r w:rsidRPr="00044EB2">
              <w:rPr>
                <w:rFonts w:ascii="Verdana" w:eastAsia="Verdana" w:hAnsi="Verdana" w:cs="Verdana"/>
                <w:spacing w:val="-11"/>
                <w:lang w:val="es-ES"/>
              </w:rPr>
              <w:t xml:space="preserve"> </w:t>
            </w:r>
            <w:r w:rsidRPr="00044EB2">
              <w:rPr>
                <w:rFonts w:ascii="Verdana" w:eastAsia="Verdana" w:hAnsi="Verdana" w:cs="Verdana"/>
                <w:spacing w:val="-2"/>
                <w:lang w:val="es-ES"/>
              </w:rPr>
              <w:t>preciso</w:t>
            </w:r>
            <w:r w:rsidRPr="00044EB2">
              <w:rPr>
                <w:rFonts w:ascii="Verdana" w:eastAsia="Verdana" w:hAnsi="Verdana" w:cs="Verdana"/>
                <w:spacing w:val="-8"/>
                <w:lang w:val="es-ES"/>
              </w:rPr>
              <w:t xml:space="preserve"> </w:t>
            </w:r>
            <w:r w:rsidRPr="00044EB2">
              <w:rPr>
                <w:rFonts w:ascii="Verdana" w:eastAsia="Verdana" w:hAnsi="Verdana" w:cs="Verdana"/>
                <w:spacing w:val="-2"/>
                <w:lang w:val="es-ES"/>
              </w:rPr>
              <w:t>destacar</w:t>
            </w:r>
            <w:r w:rsidRPr="00044EB2">
              <w:rPr>
                <w:rFonts w:ascii="Verdana" w:eastAsia="Verdana" w:hAnsi="Verdana" w:cs="Verdana"/>
                <w:spacing w:val="-10"/>
                <w:lang w:val="es-ES"/>
              </w:rPr>
              <w:t xml:space="preserve"> </w:t>
            </w:r>
            <w:r w:rsidRPr="00044EB2">
              <w:rPr>
                <w:rFonts w:ascii="Verdana" w:eastAsia="Verdana" w:hAnsi="Verdana" w:cs="Verdana"/>
                <w:spacing w:val="-2"/>
                <w:lang w:val="es-ES"/>
              </w:rPr>
              <w:t>que</w:t>
            </w:r>
            <w:r w:rsidRPr="00044EB2">
              <w:rPr>
                <w:rFonts w:ascii="Verdana" w:eastAsia="Verdana" w:hAnsi="Verdana" w:cs="Verdana"/>
                <w:spacing w:val="-11"/>
                <w:lang w:val="es-ES"/>
              </w:rPr>
              <w:t xml:space="preserve"> </w:t>
            </w:r>
            <w:r w:rsidRPr="00044EB2">
              <w:rPr>
                <w:rFonts w:ascii="Verdana" w:eastAsia="Verdana" w:hAnsi="Verdana" w:cs="Verdana"/>
                <w:spacing w:val="-2"/>
                <w:lang w:val="es-ES"/>
              </w:rPr>
              <w:t>las Empresas Industriales y Comerciales del Estado como</w:t>
            </w:r>
            <w:r w:rsidRPr="00044EB2">
              <w:rPr>
                <w:rFonts w:ascii="Verdana" w:eastAsia="Verdana" w:hAnsi="Verdana" w:cs="Verdana"/>
                <w:spacing w:val="-11"/>
                <w:lang w:val="es-ES"/>
              </w:rPr>
              <w:t xml:space="preserve"> </w:t>
            </w:r>
            <w:r w:rsidRPr="00044EB2">
              <w:rPr>
                <w:rFonts w:ascii="Verdana" w:eastAsia="Verdana" w:hAnsi="Verdana" w:cs="Verdana"/>
                <w:spacing w:val="-2"/>
                <w:lang w:val="es-ES"/>
              </w:rPr>
              <w:t>entidades</w:t>
            </w:r>
            <w:r w:rsidRPr="00044EB2">
              <w:rPr>
                <w:rFonts w:ascii="Verdana" w:eastAsia="Verdana" w:hAnsi="Verdana" w:cs="Verdana"/>
                <w:spacing w:val="-10"/>
                <w:lang w:val="es-ES"/>
              </w:rPr>
              <w:t xml:space="preserve"> </w:t>
            </w:r>
            <w:r w:rsidRPr="00044EB2">
              <w:rPr>
                <w:rFonts w:ascii="Verdana" w:eastAsia="Verdana" w:hAnsi="Verdana" w:cs="Verdana"/>
                <w:spacing w:val="-2"/>
                <w:lang w:val="es-ES"/>
              </w:rPr>
              <w:t xml:space="preserve">estatales </w:t>
            </w:r>
            <w:r w:rsidRPr="00044EB2">
              <w:rPr>
                <w:rFonts w:ascii="Verdana" w:eastAsia="Verdana" w:hAnsi="Verdana" w:cs="Verdana"/>
                <w:lang w:val="es-ES"/>
              </w:rPr>
              <w:t>sometidas</w:t>
            </w:r>
            <w:r w:rsidRPr="00044EB2">
              <w:rPr>
                <w:rFonts w:ascii="Verdana" w:eastAsia="Verdana" w:hAnsi="Verdana" w:cs="Verdana"/>
                <w:spacing w:val="-15"/>
                <w:lang w:val="es-ES"/>
              </w:rPr>
              <w:t xml:space="preserve"> </w:t>
            </w:r>
            <w:r w:rsidRPr="00044EB2">
              <w:rPr>
                <w:rFonts w:ascii="Verdana" w:eastAsia="Verdana" w:hAnsi="Verdana" w:cs="Verdana"/>
                <w:lang w:val="es-ES"/>
              </w:rPr>
              <w:t>a</w:t>
            </w:r>
            <w:r w:rsidRPr="00044EB2">
              <w:rPr>
                <w:rFonts w:ascii="Verdana" w:eastAsia="Verdana" w:hAnsi="Verdana" w:cs="Verdana"/>
                <w:spacing w:val="-17"/>
                <w:lang w:val="es-ES"/>
              </w:rPr>
              <w:t xml:space="preserve"> </w:t>
            </w:r>
            <w:r w:rsidRPr="00044EB2">
              <w:rPr>
                <w:rFonts w:ascii="Verdana" w:eastAsia="Verdana" w:hAnsi="Verdana" w:cs="Verdana"/>
                <w:lang w:val="es-ES"/>
              </w:rPr>
              <w:t>regímenes</w:t>
            </w:r>
            <w:r w:rsidRPr="00044EB2">
              <w:rPr>
                <w:rFonts w:ascii="Verdana" w:eastAsia="Verdana" w:hAnsi="Verdana" w:cs="Verdana"/>
                <w:spacing w:val="-15"/>
                <w:lang w:val="es-ES"/>
              </w:rPr>
              <w:t xml:space="preserve"> </w:t>
            </w:r>
            <w:r w:rsidRPr="00044EB2">
              <w:rPr>
                <w:rFonts w:ascii="Verdana" w:eastAsia="Verdana" w:hAnsi="Verdana" w:cs="Verdana"/>
                <w:lang w:val="es-ES"/>
              </w:rPr>
              <w:t>especiales</w:t>
            </w:r>
            <w:r w:rsidRPr="00044EB2">
              <w:rPr>
                <w:rFonts w:ascii="Verdana" w:eastAsia="Verdana" w:hAnsi="Verdana" w:cs="Verdana"/>
                <w:spacing w:val="-14"/>
                <w:lang w:val="es-ES"/>
              </w:rPr>
              <w:t xml:space="preserve"> </w:t>
            </w:r>
            <w:r w:rsidRPr="00044EB2">
              <w:rPr>
                <w:rFonts w:ascii="Verdana" w:eastAsia="Verdana" w:hAnsi="Verdana" w:cs="Verdana"/>
                <w:lang w:val="es-ES"/>
              </w:rPr>
              <w:t>de</w:t>
            </w:r>
            <w:r w:rsidRPr="00044EB2">
              <w:rPr>
                <w:rFonts w:ascii="Verdana" w:eastAsia="Verdana" w:hAnsi="Verdana" w:cs="Verdana"/>
                <w:spacing w:val="-17"/>
                <w:lang w:val="es-ES"/>
              </w:rPr>
              <w:t xml:space="preserve"> </w:t>
            </w:r>
            <w:r w:rsidRPr="00044EB2">
              <w:rPr>
                <w:rFonts w:ascii="Verdana" w:eastAsia="Verdana" w:hAnsi="Verdana" w:cs="Verdana"/>
                <w:lang w:val="es-ES"/>
              </w:rPr>
              <w:t>derecho</w:t>
            </w:r>
            <w:r w:rsidRPr="00044EB2">
              <w:rPr>
                <w:rFonts w:ascii="Verdana" w:eastAsia="Verdana" w:hAnsi="Verdana" w:cs="Verdana"/>
                <w:spacing w:val="-14"/>
                <w:lang w:val="es-ES"/>
              </w:rPr>
              <w:t xml:space="preserve"> </w:t>
            </w:r>
            <w:r w:rsidRPr="00044EB2">
              <w:rPr>
                <w:rFonts w:ascii="Verdana" w:eastAsia="Verdana" w:hAnsi="Verdana" w:cs="Verdana"/>
                <w:lang w:val="es-ES"/>
              </w:rPr>
              <w:t>privado</w:t>
            </w:r>
            <w:r w:rsidRPr="00044EB2">
              <w:rPr>
                <w:rFonts w:ascii="Verdana" w:eastAsia="Verdana" w:hAnsi="Verdana" w:cs="Verdana"/>
                <w:spacing w:val="-15"/>
                <w:lang w:val="es-ES"/>
              </w:rPr>
              <w:t xml:space="preserve"> </w:t>
            </w:r>
            <w:r w:rsidRPr="00044EB2">
              <w:rPr>
                <w:rFonts w:ascii="Verdana" w:eastAsia="Verdana" w:hAnsi="Verdana" w:cs="Verdana"/>
                <w:lang w:val="es-ES"/>
              </w:rPr>
              <w:t>tienen</w:t>
            </w:r>
            <w:r w:rsidRPr="00044EB2">
              <w:rPr>
                <w:rFonts w:ascii="Verdana" w:eastAsia="Verdana" w:hAnsi="Verdana" w:cs="Verdana"/>
                <w:spacing w:val="-16"/>
                <w:lang w:val="es-ES"/>
              </w:rPr>
              <w:t xml:space="preserve"> </w:t>
            </w:r>
            <w:r w:rsidRPr="00044EB2">
              <w:rPr>
                <w:rFonts w:ascii="Verdana" w:eastAsia="Verdana" w:hAnsi="Verdana" w:cs="Verdana"/>
                <w:lang w:val="es-ES"/>
              </w:rPr>
              <w:t>una</w:t>
            </w:r>
            <w:r w:rsidRPr="00044EB2">
              <w:rPr>
                <w:rFonts w:ascii="Verdana" w:eastAsia="Verdana" w:hAnsi="Verdana" w:cs="Verdana"/>
                <w:spacing w:val="-17"/>
                <w:lang w:val="es-ES"/>
              </w:rPr>
              <w:t xml:space="preserve"> </w:t>
            </w:r>
            <w:r w:rsidRPr="00044EB2">
              <w:rPr>
                <w:rFonts w:ascii="Verdana" w:eastAsia="Verdana" w:hAnsi="Verdana" w:cs="Verdana"/>
                <w:lang w:val="es-ES"/>
              </w:rPr>
              <w:t>amplia</w:t>
            </w:r>
            <w:r w:rsidRPr="00044EB2">
              <w:rPr>
                <w:rFonts w:ascii="Verdana" w:eastAsia="Verdana" w:hAnsi="Verdana" w:cs="Verdana"/>
                <w:spacing w:val="-16"/>
                <w:lang w:val="es-ES"/>
              </w:rPr>
              <w:t xml:space="preserve"> </w:t>
            </w:r>
            <w:r w:rsidRPr="00044EB2">
              <w:rPr>
                <w:rFonts w:ascii="Verdana" w:eastAsia="Verdana" w:hAnsi="Verdana" w:cs="Verdana"/>
                <w:lang w:val="es-ES"/>
              </w:rPr>
              <w:t>libertad</w:t>
            </w:r>
            <w:r w:rsidRPr="00044EB2">
              <w:rPr>
                <w:rFonts w:ascii="Verdana" w:eastAsia="Calibri" w:hAnsi="Verdana" w:cs="Times New Roman"/>
                <w:lang w:val="es-ES"/>
              </w:rPr>
              <w:t xml:space="preserve"> d</w:t>
            </w:r>
            <w:r w:rsidRPr="00044EB2">
              <w:rPr>
                <w:rFonts w:ascii="Verdana" w:eastAsia="Verdana" w:hAnsi="Verdana" w:cs="Verdana"/>
                <w:lang w:val="es-ES"/>
              </w:rPr>
              <w:t>e configuración del contenido del manual de contratación y el nivel de detalle, salvo aquellas materias que sean de reserva legal. Esta libertad se deriva del principio de autonomía de la voluntad reconocida a estas entidades, que les permite establecer la manera en que adelantarán sus procesos de contratación. Ahora bien, dicha libertad es similar a la reconocida a los particulares por el</w:t>
            </w:r>
            <w:r w:rsidRPr="00044EB2">
              <w:rPr>
                <w:rFonts w:ascii="Verdana" w:eastAsia="Verdana" w:hAnsi="Verdana" w:cs="Verdana"/>
                <w:spacing w:val="-1"/>
                <w:lang w:val="es-ES"/>
              </w:rPr>
              <w:t xml:space="preserve"> </w:t>
            </w:r>
            <w:r w:rsidRPr="00044EB2">
              <w:rPr>
                <w:rFonts w:ascii="Verdana" w:eastAsia="Verdana" w:hAnsi="Verdana" w:cs="Verdana"/>
                <w:lang w:val="es-ES"/>
              </w:rPr>
              <w:t>derecho privado, pero no</w:t>
            </w:r>
            <w:r w:rsidRPr="00044EB2">
              <w:rPr>
                <w:rFonts w:ascii="Verdana" w:eastAsia="Verdana" w:hAnsi="Verdana" w:cs="Verdana"/>
                <w:spacing w:val="-1"/>
                <w:lang w:val="es-ES"/>
              </w:rPr>
              <w:t xml:space="preserve"> </w:t>
            </w:r>
            <w:r w:rsidRPr="00044EB2">
              <w:rPr>
                <w:rFonts w:ascii="Verdana" w:eastAsia="Verdana" w:hAnsi="Verdana" w:cs="Verdana"/>
                <w:lang w:val="es-ES"/>
              </w:rPr>
              <w:t>es</w:t>
            </w:r>
            <w:r w:rsidRPr="00044EB2">
              <w:rPr>
                <w:rFonts w:ascii="Verdana" w:eastAsia="Verdana" w:hAnsi="Verdana" w:cs="Verdana"/>
                <w:spacing w:val="-1"/>
                <w:lang w:val="es-ES"/>
              </w:rPr>
              <w:t xml:space="preserve"> </w:t>
            </w:r>
            <w:r w:rsidRPr="00044EB2">
              <w:rPr>
                <w:rFonts w:ascii="Verdana" w:eastAsia="Verdana" w:hAnsi="Verdana" w:cs="Verdana"/>
                <w:lang w:val="es-ES"/>
              </w:rPr>
              <w:t>idéntica a</w:t>
            </w:r>
            <w:r w:rsidRPr="00044EB2">
              <w:rPr>
                <w:rFonts w:ascii="Verdana" w:eastAsia="Verdana" w:hAnsi="Verdana" w:cs="Verdana"/>
                <w:spacing w:val="-1"/>
                <w:lang w:val="es-ES"/>
              </w:rPr>
              <w:t xml:space="preserve"> </w:t>
            </w:r>
            <w:r w:rsidRPr="00044EB2">
              <w:rPr>
                <w:rFonts w:ascii="Verdana" w:eastAsia="Verdana" w:hAnsi="Verdana" w:cs="Verdana"/>
                <w:lang w:val="es-ES"/>
              </w:rPr>
              <w:t>aquella, en</w:t>
            </w:r>
            <w:r w:rsidRPr="00044EB2">
              <w:rPr>
                <w:rFonts w:ascii="Verdana" w:eastAsia="Verdana" w:hAnsi="Verdana" w:cs="Verdana"/>
                <w:spacing w:val="-1"/>
                <w:lang w:val="es-ES"/>
              </w:rPr>
              <w:t xml:space="preserve"> </w:t>
            </w:r>
            <w:r w:rsidRPr="00044EB2">
              <w:rPr>
                <w:rFonts w:ascii="Verdana" w:eastAsia="Verdana" w:hAnsi="Verdana" w:cs="Verdana"/>
                <w:lang w:val="es-ES"/>
              </w:rPr>
              <w:t>la</w:t>
            </w:r>
            <w:r w:rsidRPr="00044EB2">
              <w:rPr>
                <w:rFonts w:ascii="Verdana" w:eastAsia="Verdana" w:hAnsi="Verdana" w:cs="Verdana"/>
                <w:spacing w:val="-1"/>
                <w:lang w:val="es-ES"/>
              </w:rPr>
              <w:t xml:space="preserve"> </w:t>
            </w:r>
            <w:r w:rsidRPr="00044EB2">
              <w:rPr>
                <w:rFonts w:ascii="Verdana" w:eastAsia="Verdana" w:hAnsi="Verdana" w:cs="Verdana"/>
                <w:lang w:val="es-ES"/>
              </w:rPr>
              <w:t>medida en que encuentra importantes limitantes, ya sea por contenidos que son derivados de la reserva legal o por exigencia del cumplimiento de deberes y reglas establecidos por el ordenamiento jurídico.</w:t>
            </w:r>
            <w:r w:rsidRPr="00044EB2">
              <w:rPr>
                <w:rFonts w:ascii="Verdana" w:eastAsia="Calibri" w:hAnsi="Verdana" w:cs="Times New Roman"/>
                <w:lang w:val="es-ES"/>
              </w:rPr>
              <w:t xml:space="preserve"> </w:t>
            </w:r>
          </w:p>
          <w:p w14:paraId="57817D0C" w14:textId="77777777" w:rsidR="00044EB2" w:rsidRPr="00044EB2" w:rsidRDefault="00044EB2" w:rsidP="00044EB2">
            <w:pPr>
              <w:spacing w:after="120" w:line="276" w:lineRule="auto"/>
              <w:ind w:firstLine="709"/>
              <w:jc w:val="both"/>
              <w:rPr>
                <w:rFonts w:ascii="Verdana" w:eastAsia="Verdana" w:hAnsi="Verdana" w:cs="Verdana"/>
              </w:rPr>
            </w:pPr>
            <w:r w:rsidRPr="00044EB2">
              <w:rPr>
                <w:rFonts w:ascii="Verdana" w:eastAsia="Verdana" w:hAnsi="Verdana" w:cs="Verdana"/>
                <w:lang w:val="es-ES"/>
              </w:rPr>
              <w:t>Esta</w:t>
            </w:r>
            <w:r w:rsidRPr="00044EB2">
              <w:rPr>
                <w:rFonts w:ascii="Verdana" w:eastAsia="Verdana" w:hAnsi="Verdana" w:cs="Verdana"/>
                <w:spacing w:val="-10"/>
                <w:lang w:val="es-ES"/>
              </w:rPr>
              <w:t xml:space="preserve"> </w:t>
            </w:r>
            <w:r w:rsidRPr="00044EB2">
              <w:rPr>
                <w:rFonts w:ascii="Verdana" w:eastAsia="Verdana" w:hAnsi="Verdana" w:cs="Verdana"/>
                <w:lang w:val="es-ES"/>
              </w:rPr>
              <w:t>Agencia</w:t>
            </w:r>
            <w:r w:rsidRPr="00044EB2">
              <w:rPr>
                <w:rFonts w:ascii="Verdana" w:eastAsia="Verdana" w:hAnsi="Verdana" w:cs="Verdana"/>
                <w:spacing w:val="-9"/>
                <w:lang w:val="es-ES"/>
              </w:rPr>
              <w:t xml:space="preserve"> </w:t>
            </w:r>
            <w:r w:rsidRPr="00044EB2">
              <w:rPr>
                <w:rFonts w:ascii="Verdana" w:eastAsia="Verdana" w:hAnsi="Verdana" w:cs="Verdana"/>
                <w:lang w:val="es-ES"/>
              </w:rPr>
              <w:t>Nacional</w:t>
            </w:r>
            <w:r w:rsidRPr="00044EB2">
              <w:rPr>
                <w:rFonts w:ascii="Verdana" w:eastAsia="Verdana" w:hAnsi="Verdana" w:cs="Verdana"/>
                <w:spacing w:val="-8"/>
                <w:lang w:val="es-ES"/>
              </w:rPr>
              <w:t xml:space="preserve"> </w:t>
            </w:r>
            <w:r w:rsidRPr="00044EB2">
              <w:rPr>
                <w:rFonts w:ascii="Verdana" w:eastAsia="Verdana" w:hAnsi="Verdana" w:cs="Verdana"/>
                <w:lang w:val="es-ES"/>
              </w:rPr>
              <w:t>de</w:t>
            </w:r>
            <w:r w:rsidRPr="00044EB2">
              <w:rPr>
                <w:rFonts w:ascii="Verdana" w:eastAsia="Verdana" w:hAnsi="Verdana" w:cs="Verdana"/>
                <w:spacing w:val="-10"/>
                <w:lang w:val="es-ES"/>
              </w:rPr>
              <w:t xml:space="preserve"> </w:t>
            </w:r>
            <w:r w:rsidRPr="00044EB2">
              <w:rPr>
                <w:rFonts w:ascii="Verdana" w:eastAsia="Verdana" w:hAnsi="Verdana" w:cs="Verdana"/>
                <w:lang w:val="es-ES"/>
              </w:rPr>
              <w:t>Contratación</w:t>
            </w:r>
            <w:r w:rsidRPr="00044EB2">
              <w:rPr>
                <w:rFonts w:ascii="Verdana" w:eastAsia="Verdana" w:hAnsi="Verdana" w:cs="Verdana"/>
                <w:spacing w:val="-7"/>
                <w:lang w:val="es-ES"/>
              </w:rPr>
              <w:t xml:space="preserve"> </w:t>
            </w:r>
            <w:r w:rsidRPr="00044EB2">
              <w:rPr>
                <w:rFonts w:ascii="Verdana" w:eastAsia="Verdana" w:hAnsi="Verdana" w:cs="Verdana"/>
                <w:lang w:val="es-ES"/>
              </w:rPr>
              <w:t>Publica</w:t>
            </w:r>
            <w:r w:rsidRPr="00044EB2">
              <w:rPr>
                <w:rFonts w:ascii="Verdana" w:eastAsia="Verdana" w:hAnsi="Verdana" w:cs="Verdana"/>
                <w:spacing w:val="-9"/>
                <w:lang w:val="es-ES"/>
              </w:rPr>
              <w:t xml:space="preserve"> </w:t>
            </w:r>
            <w:r w:rsidRPr="00044EB2">
              <w:rPr>
                <w:rFonts w:ascii="Verdana" w:eastAsia="Verdana" w:hAnsi="Verdana" w:cs="Verdana"/>
                <w:lang w:val="es-ES"/>
              </w:rPr>
              <w:t>Colombia</w:t>
            </w:r>
            <w:r w:rsidRPr="00044EB2">
              <w:rPr>
                <w:rFonts w:ascii="Verdana" w:eastAsia="Verdana" w:hAnsi="Verdana" w:cs="Verdana"/>
                <w:spacing w:val="-9"/>
                <w:lang w:val="es-ES"/>
              </w:rPr>
              <w:t xml:space="preserve"> </w:t>
            </w:r>
            <w:r w:rsidRPr="00044EB2">
              <w:rPr>
                <w:rFonts w:ascii="Verdana" w:eastAsia="Verdana" w:hAnsi="Verdana" w:cs="Verdana"/>
                <w:lang w:val="es-ES"/>
              </w:rPr>
              <w:t>Compra</w:t>
            </w:r>
            <w:r w:rsidRPr="00044EB2">
              <w:rPr>
                <w:rFonts w:ascii="Verdana" w:eastAsia="Verdana" w:hAnsi="Verdana" w:cs="Verdana"/>
                <w:spacing w:val="-9"/>
                <w:lang w:val="es-ES"/>
              </w:rPr>
              <w:t xml:space="preserve"> </w:t>
            </w:r>
            <w:r w:rsidRPr="00044EB2">
              <w:rPr>
                <w:rFonts w:ascii="Verdana" w:eastAsia="Verdana" w:hAnsi="Verdana" w:cs="Verdana"/>
                <w:lang w:val="es-ES"/>
              </w:rPr>
              <w:t xml:space="preserve">Eficiente, en la “Guía para la gestión contractual de las entidades estatales con régimen especial”, se precisó que a pesar que las Entidades Estatales </w:t>
            </w:r>
            <w:r w:rsidRPr="00044EB2">
              <w:rPr>
                <w:rFonts w:ascii="Verdana" w:eastAsia="Verdana" w:hAnsi="Verdana" w:cs="Verdana"/>
                <w:bCs/>
              </w:rPr>
              <w:t>con régimen especial de contratación desarrollan su gestión contractual conforme a lo previsto en sus normas de creación, en sus manuales de contratación y en las disposiciones del derecho privado, tal como se señaló en los numerales anteriores, estas deberán observar obligatoriamente aquellas disposiciones generales del Sistema de Compra y Contratación Pública que les resulten aplicables de manera transversal</w:t>
            </w:r>
            <w:r w:rsidRPr="00044EB2">
              <w:rPr>
                <w:rFonts w:ascii="Verdana" w:eastAsia="Verdana" w:hAnsi="Verdana" w:cs="Verdana"/>
              </w:rPr>
              <w:t xml:space="preserve">, tales como: a) los principios de la función administrativa; b) los principios de la gestión fiscal; c) el régimen de inhabilidades e incompatibilidades; d) el uso del SECOP II o la plataforma que haga sus veces; e) la promoción y acceso de las </w:t>
            </w:r>
            <w:proofErr w:type="spellStart"/>
            <w:r w:rsidRPr="00044EB2">
              <w:rPr>
                <w:rFonts w:ascii="Verdana" w:eastAsia="Verdana" w:hAnsi="Verdana" w:cs="Verdana"/>
              </w:rPr>
              <w:t>Mipymes</w:t>
            </w:r>
            <w:proofErr w:type="spellEnd"/>
            <w:r w:rsidRPr="00044EB2">
              <w:rPr>
                <w:rFonts w:ascii="Verdana" w:eastAsia="Verdana" w:hAnsi="Verdana" w:cs="Verdana"/>
              </w:rPr>
              <w:t xml:space="preserve">; e) sujeción a las restricciones de la Ley 996 de 2005 – Ley de Garantías Electorales- en lo aplicable; f) el análisis del sector, el cual se constituye en el instrumento idóneo para que se deje constancia del análisis realizado por las entidades públicas, indistintamente de su régimen de contratación, respecto de la promoción a emprendimientos y empresas de mujeres en el sistema de </w:t>
            </w:r>
            <w:r w:rsidRPr="00044EB2">
              <w:rPr>
                <w:rFonts w:ascii="Verdana" w:eastAsia="Verdana" w:hAnsi="Verdana" w:cs="Verdana"/>
              </w:rPr>
              <w:lastRenderedPageBreak/>
              <w:t xml:space="preserve">compras públicas y </w:t>
            </w:r>
            <w:proofErr w:type="spellStart"/>
            <w:r w:rsidRPr="00044EB2">
              <w:rPr>
                <w:rFonts w:ascii="Verdana" w:eastAsia="Verdana" w:hAnsi="Verdana" w:cs="Verdana"/>
              </w:rPr>
              <w:t>Mipymes</w:t>
            </w:r>
            <w:proofErr w:type="spellEnd"/>
            <w:r w:rsidRPr="00044EB2">
              <w:rPr>
                <w:rFonts w:ascii="Verdana" w:eastAsia="Verdana" w:hAnsi="Verdana" w:cs="Verdana"/>
              </w:rPr>
              <w:t xml:space="preserve">, así como criterios sociales y ambientales y protección a la industria nacional; g) elaboración y publicación del Plan Anual de Adquisiciones; h) uso de los documentos tipo, teniendo en cuenta lo expresado previamente; i) el uso del Clasificador de Bienes y Servicios de las Naciones Unidas –UNSPSC- siendo un sistema de codificación internacional que permite clasificar de manera estandarizada bienes y servicios mediante una estructura jerárquica, el cual se utiliza en el SECOP, el Plan Anual de Adquisiciones, los documentos del proceso de contratación y el Registro Único de Proponentes; j) observancia y aplicación de los acuerdos comerciales, donde las Entidades Estatales, incluidas aquellas con régimen especial de contratación, deben determinar en la etapa de planeación si a cada proceso de contratación le son aplicables los Acuerdos Comerciales, de conformidad con el Decreto 1082 de 2015, y en caso afirmativo, cumplir las obligaciones que estos establecen. Para tal fin, Colombia Compra Eficiente dispone de un manual orientador, sin perjuicio de la obligación de cada entidad de revisar el texto de los Acuerdos Comerciales y sus anexos aplicables; k) aplicación de los factores de desempate, que implica que en caso de empate en el puntaje total entre dos o más ofertas en procesos de contratación financiados con recursos públicos, incluidos aquellos adelantados bajo regímenes especiales o por patrimonios autónomos constituidos por Entidades Estatales, la entidad contratante deberá aplicar de manera sucesiva y excluyente las reglas de desempate previstas en el artículo 35 de la Ley 2069 de 2020, respetando en todo caso las obligaciones derivadas de los Acuerdos Comerciales vigentes, en especial, en lo relacionado con el principio de trato nacional; l) los mecanismos de agregación de demanda, entre otros aspectos. </w:t>
            </w:r>
          </w:p>
          <w:p w14:paraId="1DA71BCA" w14:textId="77777777" w:rsidR="00044EB2" w:rsidRPr="00044EB2" w:rsidRDefault="00044EB2" w:rsidP="00044EB2">
            <w:pPr>
              <w:spacing w:after="120" w:line="276" w:lineRule="auto"/>
              <w:ind w:firstLine="709"/>
              <w:jc w:val="both"/>
              <w:rPr>
                <w:rFonts w:ascii="Verdana" w:eastAsia="Verdana" w:hAnsi="Verdana" w:cs="Verdana"/>
              </w:rPr>
            </w:pPr>
            <w:r w:rsidRPr="00044EB2">
              <w:rPr>
                <w:rFonts w:ascii="Verdana" w:eastAsia="Verdana" w:hAnsi="Verdana" w:cs="Verdana"/>
              </w:rPr>
              <w:t>Asimismo, las Entidades de régimen especial, como puede ocurrir con las Empresas Industriales y Comerciales del Estado deben aplicar las disposiciones contenidas en el EGCAP en aquellos eventos en que la normatividad sectorial aplicable así lo disponga de manera expresa por la remisión. En estos casos, la observancia de dichas normas deberá realizarse de forma armónica con el régimen especial de contratación correspondiente, garantizando el respeto por los principios que orientan la función administrativa y la contratación estatal, así como la adecuada articulación entre los distintos marcos normativos que resulten aplicables al proceso contractual.</w:t>
            </w:r>
          </w:p>
          <w:p w14:paraId="2EE1D379" w14:textId="77777777" w:rsidR="00044EB2" w:rsidRPr="00044EB2" w:rsidRDefault="00044EB2" w:rsidP="00044EB2">
            <w:pPr>
              <w:widowControl w:val="0"/>
              <w:autoSpaceDE w:val="0"/>
              <w:autoSpaceDN w:val="0"/>
              <w:spacing w:after="120" w:line="276" w:lineRule="auto"/>
              <w:ind w:firstLine="708"/>
              <w:jc w:val="both"/>
              <w:rPr>
                <w:rFonts w:ascii="Verdana" w:eastAsia="Verdana" w:hAnsi="Verdana" w:cs="Verdana"/>
                <w:lang w:val="es-ES"/>
              </w:rPr>
            </w:pPr>
            <w:r w:rsidRPr="00044EB2">
              <w:rPr>
                <w:rFonts w:ascii="Verdana" w:eastAsia="Verdana" w:hAnsi="Verdana" w:cs="Verdana"/>
              </w:rPr>
              <w:lastRenderedPageBreak/>
              <w:t>Un aspecto que no puede dejarse de lado es que, la</w:t>
            </w:r>
            <w:r w:rsidRPr="00044EB2">
              <w:rPr>
                <w:rFonts w:ascii="Verdana" w:eastAsia="Verdana" w:hAnsi="Verdana" w:cs="Verdana"/>
                <w:lang w:val="es-ES"/>
              </w:rPr>
              <w:t xml:space="preserve"> entidad contratante debe contemplar procedimientos de selección públicos, en los cuales se garantice la imparcialidad de la entidad contratante, la igualdad entre los oferentes, y en los cuales se respeten los principios constitucionales de la función administrativa, así como los de la gestión fiscal. La forma precisa en que se concretan estos principios, así como la manera como se armonizan con su régimen de derecho privado, es un asunto que debe decidir la entidad en el ejercicio de la discrecionalidad concedida por el ordenamiento jurídico. </w:t>
            </w:r>
          </w:p>
          <w:p w14:paraId="287AA08D" w14:textId="77777777" w:rsidR="00044EB2" w:rsidRPr="00044EB2" w:rsidRDefault="00044EB2" w:rsidP="00044EB2">
            <w:pPr>
              <w:widowControl w:val="0"/>
              <w:autoSpaceDE w:val="0"/>
              <w:autoSpaceDN w:val="0"/>
              <w:spacing w:after="120" w:line="276" w:lineRule="auto"/>
              <w:ind w:firstLine="709"/>
              <w:jc w:val="both"/>
              <w:rPr>
                <w:rFonts w:ascii="Verdana" w:eastAsia="Verdana" w:hAnsi="Verdana" w:cs="Verdana"/>
                <w:bCs/>
                <w:lang w:val="es-ES"/>
              </w:rPr>
            </w:pPr>
            <w:r w:rsidRPr="00044EB2">
              <w:rPr>
                <w:rFonts w:ascii="Verdana" w:eastAsia="Verdana" w:hAnsi="Verdana" w:cs="Verdana"/>
                <w:bCs/>
                <w:lang w:val="es-ES_tradnl"/>
              </w:rPr>
              <w:t xml:space="preserve">En este sentido, la regulación dentro del Manual Interno de Contratación de la audiencia de asignación de riesgos en los procesos de contratación de una empresa industrial y comercial del Estado es discrecional de la Entidad, pues no le son aplicables las reglas del EGCAP en torno a este tema. Esto, sin perjuicio del deber de garantizar los principios de la función administrativa y la gestión fiscal, </w:t>
            </w:r>
            <w:r w:rsidRPr="00044EB2">
              <w:rPr>
                <w:rFonts w:ascii="Verdana" w:eastAsia="Verdana" w:hAnsi="Verdana" w:cs="Verdana"/>
                <w:bCs/>
                <w:lang w:val="es-ES"/>
              </w:rPr>
              <w:t xml:space="preserve">como la igualdad, moralidad, eficacia, economía, celeridad, imparcialidad y publicidad, así como los principios de la gestión fiscal, como eficiencia, economía, equidad y valoración de costos ambientales, que actúan como su norte metodológico. </w:t>
            </w:r>
          </w:p>
          <w:p w14:paraId="036E01AA" w14:textId="77777777" w:rsidR="00044EB2" w:rsidRPr="00044EB2" w:rsidRDefault="00044EB2" w:rsidP="00044EB2">
            <w:pPr>
              <w:widowControl w:val="0"/>
              <w:autoSpaceDE w:val="0"/>
              <w:autoSpaceDN w:val="0"/>
              <w:spacing w:line="276" w:lineRule="auto"/>
              <w:ind w:firstLine="709"/>
              <w:jc w:val="both"/>
              <w:rPr>
                <w:rFonts w:ascii="Verdana" w:eastAsia="Verdana" w:hAnsi="Verdana" w:cs="Verdana"/>
              </w:rPr>
            </w:pPr>
            <w:r w:rsidRPr="00044EB2">
              <w:rPr>
                <w:rFonts w:ascii="Verdana" w:eastAsia="Verdana" w:hAnsi="Verdana" w:cs="Verdana"/>
                <w:bCs/>
                <w:lang w:val="es-ES"/>
              </w:rPr>
              <w:t xml:space="preserve">De tal modo, la acción de las entidades de régimen especial no es totalmente privada, sino que hay una mezcla de régimen contractual público manifestada en principios, que genera nuevos cuestionamientos en torno a la necesidad de estimar y tipificar los riesgos previsibles en los procesos de contratación pública, en especial, en la etapa de planeación y estructuración del objeto contractual. </w:t>
            </w:r>
            <w:r w:rsidRPr="00044EB2">
              <w:rPr>
                <w:rFonts w:ascii="Verdana" w:eastAsia="Verdana" w:hAnsi="Verdana" w:cs="Verdana"/>
              </w:rPr>
              <w:t xml:space="preserve">En este entorno, la aplicación de los principios de la función administrativa en los manuales internos de </w:t>
            </w:r>
            <w:proofErr w:type="gramStart"/>
            <w:r w:rsidRPr="00044EB2">
              <w:rPr>
                <w:rFonts w:ascii="Verdana" w:eastAsia="Verdana" w:hAnsi="Verdana" w:cs="Verdana"/>
              </w:rPr>
              <w:t>contratación,</w:t>
            </w:r>
            <w:proofErr w:type="gramEnd"/>
            <w:r w:rsidRPr="00044EB2">
              <w:rPr>
                <w:rFonts w:ascii="Verdana" w:eastAsia="Verdana" w:hAnsi="Verdana" w:cs="Verdana"/>
              </w:rPr>
              <w:t xml:space="preserve"> se materializa en los procesos de contratación que adelante la Empresa Industrial y Comercial del Estado. </w:t>
            </w:r>
          </w:p>
          <w:p w14:paraId="2E429254" w14:textId="77777777" w:rsidR="00044EB2" w:rsidRPr="00044EB2" w:rsidRDefault="00044EB2" w:rsidP="00044EB2">
            <w:pPr>
              <w:widowControl w:val="0"/>
              <w:autoSpaceDE w:val="0"/>
              <w:autoSpaceDN w:val="0"/>
              <w:spacing w:line="276" w:lineRule="auto"/>
              <w:ind w:firstLine="709"/>
              <w:jc w:val="both"/>
              <w:rPr>
                <w:rFonts w:ascii="Verdana" w:eastAsia="Verdana" w:hAnsi="Verdana" w:cs="Verdana"/>
                <w:bCs/>
                <w:lang w:val="es-ES"/>
              </w:rPr>
            </w:pPr>
          </w:p>
          <w:p w14:paraId="4AF46380" w14:textId="77777777" w:rsidR="00044EB2" w:rsidRPr="00044EB2" w:rsidRDefault="00044EB2" w:rsidP="00044EB2">
            <w:pPr>
              <w:spacing w:after="120" w:line="276" w:lineRule="auto"/>
              <w:jc w:val="both"/>
              <w:rPr>
                <w:rFonts w:ascii="Verdana" w:eastAsia="Calibri" w:hAnsi="Verdana" w:cs="Arial"/>
                <w:color w:val="000000" w:themeColor="text1"/>
              </w:rPr>
            </w:pPr>
            <w:proofErr w:type="spellStart"/>
            <w:r w:rsidRPr="00044EB2">
              <w:rPr>
                <w:rFonts w:ascii="Verdana" w:eastAsia="Calibri" w:hAnsi="Verdana" w:cs="Arial"/>
                <w:bCs/>
                <w:lang w:val="es-ES"/>
              </w:rPr>
              <w:t>iv</w:t>
            </w:r>
            <w:proofErr w:type="spellEnd"/>
            <w:r w:rsidRPr="00044EB2">
              <w:rPr>
                <w:rFonts w:ascii="Verdana" w:eastAsia="Calibri" w:hAnsi="Verdana" w:cs="Arial"/>
                <w:bCs/>
                <w:lang w:val="es-ES"/>
              </w:rPr>
              <w:t xml:space="preserve">. Respecto al último problema jurídico, se resalta que </w:t>
            </w:r>
            <w:r w:rsidRPr="00044EB2">
              <w:rPr>
                <w:rFonts w:ascii="Verdana" w:eastAsia="Calibri" w:hAnsi="Verdana" w:cs="Arial"/>
                <w:color w:val="000000" w:themeColor="text1"/>
              </w:rPr>
              <w:t xml:space="preserve">los lineamientos, directrices y guías desarrollados en el presente concepto tienen un alcance orientador para las Empresas Industriales y Comerciales del Estado como entidades de régimen especial, en la medida en que no ostentan fuerza normativa ni tienen carácter vinculante. En ese sentido, guías, como la </w:t>
            </w:r>
            <w:r w:rsidRPr="00044EB2">
              <w:rPr>
                <w:rFonts w:ascii="Verdana" w:eastAsia="Calibri" w:hAnsi="Verdana" w:cs="Arial"/>
                <w:color w:val="000000" w:themeColor="text1"/>
                <w:lang w:val="es-ES"/>
              </w:rPr>
              <w:t>“Guía para la gestión contractual de las entidades estatales con régimen especial”,</w:t>
            </w:r>
            <w:r w:rsidRPr="00044EB2">
              <w:rPr>
                <w:rFonts w:ascii="Verdana" w:eastAsia="Calibri" w:hAnsi="Verdana" w:cs="Arial"/>
                <w:color w:val="000000" w:themeColor="text1"/>
              </w:rPr>
              <w:t xml:space="preserve"> así como las demás citadas en el documento, tienen la finalidad de servir como criterio auxiliar de interpretación y apoyo para la toma de decisiones </w:t>
            </w:r>
            <w:r w:rsidRPr="00044EB2">
              <w:rPr>
                <w:rFonts w:ascii="Verdana" w:eastAsia="Calibri" w:hAnsi="Verdana" w:cs="Arial"/>
                <w:color w:val="000000" w:themeColor="text1"/>
              </w:rPr>
              <w:lastRenderedPageBreak/>
              <w:t>administrativas y contractuales, sin que impliquen una sustitución del régimen jurídico propio aplicable a cada entidad ni de las disposiciones que regulan de manera específica su actuación contractual.</w:t>
            </w:r>
          </w:p>
          <w:p w14:paraId="1C9A0E2D" w14:textId="77777777" w:rsidR="00044EB2" w:rsidRPr="00044EB2" w:rsidRDefault="00044EB2" w:rsidP="00044EB2">
            <w:pPr>
              <w:spacing w:after="120" w:line="276" w:lineRule="auto"/>
              <w:ind w:firstLine="708"/>
              <w:jc w:val="both"/>
              <w:rPr>
                <w:rFonts w:ascii="Verdana" w:eastAsia="Calibri" w:hAnsi="Verdana" w:cs="Arial"/>
                <w:color w:val="000000" w:themeColor="text1"/>
              </w:rPr>
            </w:pPr>
            <w:r w:rsidRPr="00044EB2">
              <w:rPr>
                <w:rFonts w:ascii="Verdana" w:eastAsia="Calibri" w:hAnsi="Verdana" w:cs="Arial"/>
                <w:color w:val="000000" w:themeColor="text1"/>
              </w:rPr>
              <w:t>Sin perjuicio de lo anterior, el ejercicio de la autonomía administrativa y contractual de las entidades de régimen especial debe realizarse con sujeción plena a las normas constitucionales y legales que regulan los deberes, responsabilidades y fines de las Empresas Industriales y Comerciales del Estado. En particular, dichas entidades están obligadas a observar los principios de la función administrativa y la gestión fiscal, el régimen de inhabilidades e incompatibilidades, así como los demás deberes regulados en el ordenamiento jurídico, garantizando que su gestión contractual se ajuste a los fines estatales, al adecuado manejo de los recursos públicos y al control fiscal que les resulta aplicable.</w:t>
            </w:r>
          </w:p>
          <w:p w14:paraId="5D1EA4AB" w14:textId="77777777" w:rsidR="00044EB2" w:rsidRPr="00044EB2" w:rsidRDefault="00044EB2" w:rsidP="00044EB2">
            <w:pPr>
              <w:spacing w:line="276" w:lineRule="auto"/>
              <w:ind w:firstLine="709"/>
              <w:jc w:val="both"/>
              <w:rPr>
                <w:rFonts w:ascii="Verdana" w:hAnsi="Verdana" w:cs="Arial"/>
                <w:lang w:val="es-ES" w:eastAsia="es-ES"/>
              </w:rPr>
            </w:pPr>
            <w:r w:rsidRPr="00044EB2">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4A663872" w14:textId="77777777" w:rsidR="00044EB2" w:rsidRPr="00044EB2" w:rsidRDefault="00044EB2" w:rsidP="00044EB2">
      <w:pPr>
        <w:tabs>
          <w:tab w:val="left" w:pos="142"/>
          <w:tab w:val="left" w:pos="284"/>
        </w:tabs>
        <w:spacing w:after="0" w:line="276" w:lineRule="auto"/>
        <w:jc w:val="both"/>
        <w:rPr>
          <w:rFonts w:ascii="Verdana" w:eastAsia="Century Gothic" w:hAnsi="Verdana" w:cs="Century Gothic"/>
          <w:b/>
          <w:bCs/>
          <w:lang w:val="es-ES"/>
        </w:rPr>
      </w:pPr>
    </w:p>
    <w:p w14:paraId="4E9058F0" w14:textId="77777777" w:rsidR="00044EB2" w:rsidRPr="00044EB2" w:rsidRDefault="00044EB2" w:rsidP="00044EB2">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044EB2">
        <w:rPr>
          <w:rFonts w:ascii="Verdana" w:eastAsia="Century Gothic" w:hAnsi="Verdana" w:cs="Century Gothic"/>
          <w:b/>
          <w:bCs/>
          <w:lang w:val="es-ES"/>
        </w:rPr>
        <w:t>Razones de la respuesta:</w:t>
      </w:r>
    </w:p>
    <w:p w14:paraId="12B0BBC4" w14:textId="77777777" w:rsidR="00044EB2" w:rsidRPr="00044EB2" w:rsidRDefault="00044EB2" w:rsidP="00044EB2">
      <w:pPr>
        <w:spacing w:after="0" w:line="276" w:lineRule="auto"/>
        <w:jc w:val="both"/>
        <w:rPr>
          <w:rFonts w:ascii="Verdana" w:eastAsia="Calibri" w:hAnsi="Verdana" w:cs="Arial"/>
          <w:color w:val="7030A0"/>
          <w:lang w:val="es-ES"/>
        </w:rPr>
      </w:pPr>
    </w:p>
    <w:p w14:paraId="21201A1C" w14:textId="77777777" w:rsidR="00044EB2" w:rsidRPr="00044EB2" w:rsidRDefault="00044EB2" w:rsidP="00044EB2">
      <w:pPr>
        <w:spacing w:after="0" w:line="276" w:lineRule="auto"/>
        <w:jc w:val="both"/>
        <w:rPr>
          <w:rFonts w:ascii="Verdana" w:eastAsia="Calibri" w:hAnsi="Verdana" w:cs="Arial"/>
          <w:lang w:val="es-ES"/>
        </w:rPr>
      </w:pPr>
      <w:r w:rsidRPr="00044EB2">
        <w:rPr>
          <w:rFonts w:ascii="Verdana" w:eastAsia="Calibri" w:hAnsi="Verdana" w:cs="Arial"/>
          <w:lang w:val="es-ES"/>
        </w:rPr>
        <w:t>Lo anterior se sustenta en las siguientes consideraciones:</w:t>
      </w:r>
    </w:p>
    <w:p w14:paraId="679657B8" w14:textId="77777777" w:rsidR="00044EB2" w:rsidRPr="00044EB2" w:rsidRDefault="00044EB2" w:rsidP="00044EB2">
      <w:pPr>
        <w:spacing w:after="0" w:line="276" w:lineRule="auto"/>
        <w:jc w:val="both"/>
        <w:rPr>
          <w:rFonts w:ascii="Verdana" w:eastAsia="Calibri" w:hAnsi="Verdana" w:cs="Arial"/>
          <w:lang w:val="es-ES"/>
        </w:rPr>
      </w:pPr>
    </w:p>
    <w:p w14:paraId="0DB02CDA" w14:textId="77777777" w:rsidR="00044EB2" w:rsidRPr="00044EB2" w:rsidRDefault="00044EB2" w:rsidP="00044EB2">
      <w:pPr>
        <w:spacing w:after="120" w:line="276" w:lineRule="auto"/>
        <w:jc w:val="both"/>
        <w:rPr>
          <w:rFonts w:ascii="Verdana" w:hAnsi="Verdana" w:cs="Arial"/>
        </w:rPr>
      </w:pPr>
      <w:r w:rsidRPr="00044EB2">
        <w:rPr>
          <w:rFonts w:ascii="Verdana" w:eastAsia="Calibri" w:hAnsi="Verdana" w:cs="Arial"/>
          <w:bCs/>
          <w:lang w:val="es-ES_tradnl"/>
        </w:rPr>
        <w:t xml:space="preserve">i. </w:t>
      </w:r>
      <w:r w:rsidRPr="00044EB2">
        <w:rPr>
          <w:rFonts w:ascii="Verdana" w:eastAsia="Calibri" w:hAnsi="Verdana" w:cs="Arial"/>
          <w:lang w:val="es-ES"/>
        </w:rPr>
        <w:t xml:space="preserve">Respecto al régimen jurídico de las </w:t>
      </w:r>
      <w:r w:rsidRPr="00044EB2">
        <w:rPr>
          <w:rFonts w:ascii="Verdana" w:eastAsia="Calibri" w:hAnsi="Verdana" w:cs="Arial"/>
          <w:i/>
          <w:iCs/>
          <w:lang w:val="es-ES"/>
        </w:rPr>
        <w:t>entidades sometidas</w:t>
      </w:r>
      <w:r w:rsidRPr="00044EB2">
        <w:rPr>
          <w:rFonts w:ascii="Verdana" w:eastAsia="Calibri" w:hAnsi="Verdana" w:cs="Arial"/>
          <w:lang w:val="es-ES"/>
        </w:rPr>
        <w:t xml:space="preserve">, es necesario tener en cuenta que el EGCAP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044EB2">
        <w:rPr>
          <w:rFonts w:ascii="Verdana" w:hAnsi="Verdana" w:cs="Arial"/>
        </w:rPr>
        <w:t xml:space="preserve">el inciso primero del artículo 13 dispone que “Los contratos que celebren las entidades a que se refiere el artículo 2o. del presente estatuto se regirán por las disposiciones </w:t>
      </w:r>
      <w:r w:rsidRPr="00044EB2">
        <w:rPr>
          <w:rFonts w:ascii="Verdana" w:hAnsi="Verdana" w:cs="Arial"/>
        </w:rPr>
        <w:lastRenderedPageBreak/>
        <w:t xml:space="preserve">comerciales y civiles pertinentes, salvo en las materias particularmente reguladas en esta ley”. </w:t>
      </w:r>
    </w:p>
    <w:p w14:paraId="3AB5561A" w14:textId="77777777" w:rsidR="00044EB2" w:rsidRPr="00044EB2" w:rsidRDefault="00044EB2" w:rsidP="00044EB2">
      <w:pPr>
        <w:spacing w:after="120" w:line="276" w:lineRule="auto"/>
        <w:ind w:firstLine="709"/>
        <w:jc w:val="both"/>
        <w:rPr>
          <w:rFonts w:ascii="Verdana" w:hAnsi="Verdana" w:cs="Arial"/>
        </w:rPr>
      </w:pPr>
      <w:r w:rsidRPr="00044EB2">
        <w:rPr>
          <w:rFonts w:ascii="Verdana"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59B4F20B" w14:textId="77777777" w:rsidR="00044EB2" w:rsidRPr="00044EB2" w:rsidRDefault="00044EB2" w:rsidP="00044EB2">
      <w:pPr>
        <w:spacing w:after="0" w:line="276" w:lineRule="auto"/>
        <w:ind w:firstLine="708"/>
        <w:jc w:val="both"/>
        <w:rPr>
          <w:rFonts w:ascii="Verdana" w:hAnsi="Verdana" w:cs="Arial"/>
        </w:rPr>
      </w:pPr>
      <w:r w:rsidRPr="00044EB2">
        <w:rPr>
          <w:rFonts w:ascii="Verdana" w:hAnsi="Verdana" w:cs="Arial"/>
        </w:rPr>
        <w:t>De esta manera, los contratos de las entidades sujetas al EGCAP se rigen generalmente por el derecho privado y, excepcionalmente, por el derecho público, pues las normas civiles y comerciales son el derecho común de los contratos estatales</w:t>
      </w:r>
      <w:r w:rsidRPr="00044EB2">
        <w:rPr>
          <w:rFonts w:ascii="Verdana" w:hAnsi="Verdana" w:cs="Arial"/>
          <w:vertAlign w:val="superscript"/>
        </w:rPr>
        <w:footnoteReference w:id="2"/>
      </w:r>
      <w:r w:rsidRPr="00044EB2">
        <w:rPr>
          <w:rFonts w:ascii="Verdana" w:hAnsi="Verdana" w:cs="Arial"/>
        </w:rPr>
        <w:t>. Para la doctrina, la mixtura del régimen contractual:</w:t>
      </w:r>
    </w:p>
    <w:p w14:paraId="0DB67E98" w14:textId="77777777" w:rsidR="00044EB2" w:rsidRPr="00044EB2" w:rsidRDefault="00044EB2" w:rsidP="00044EB2">
      <w:pPr>
        <w:spacing w:after="0" w:line="276" w:lineRule="auto"/>
        <w:ind w:firstLine="709"/>
        <w:jc w:val="both"/>
        <w:rPr>
          <w:rFonts w:ascii="Verdana" w:hAnsi="Verdana" w:cs="Arial"/>
        </w:rPr>
      </w:pPr>
    </w:p>
    <w:p w14:paraId="2D234498" w14:textId="77777777" w:rsidR="00044EB2" w:rsidRPr="00044EB2" w:rsidRDefault="00044EB2" w:rsidP="00044EB2">
      <w:pPr>
        <w:spacing w:after="0" w:line="240" w:lineRule="auto"/>
        <w:ind w:left="709" w:right="709"/>
        <w:jc w:val="both"/>
        <w:rPr>
          <w:rFonts w:ascii="Verdana" w:hAnsi="Verdana" w:cs="Arial"/>
          <w:sz w:val="20"/>
          <w:szCs w:val="20"/>
        </w:rPr>
      </w:pPr>
      <w:r w:rsidRPr="00044EB2">
        <w:rPr>
          <w:rFonts w:ascii="Verdana" w:hAnsi="Verdana" w:cs="Arial"/>
          <w:sz w:val="20"/>
          <w:szCs w:val="20"/>
        </w:rPr>
        <w:t xml:space="preserve">“[…] no hace otra cosa que aprovechar ciertos principios rectores de la contratación general </w:t>
      </w:r>
      <w:proofErr w:type="gramStart"/>
      <w:r w:rsidRPr="00044EB2">
        <w:rPr>
          <w:rFonts w:ascii="Verdana" w:hAnsi="Verdana" w:cs="Arial"/>
          <w:sz w:val="20"/>
          <w:szCs w:val="20"/>
        </w:rPr>
        <w:t>que</w:t>
      </w:r>
      <w:proofErr w:type="gramEnd"/>
      <w:r w:rsidRPr="00044EB2">
        <w:rPr>
          <w:rFonts w:ascii="Verdana" w:hAnsi="Verdana" w:cs="Arial"/>
          <w:sz w:val="20"/>
          <w:szCs w:val="20"/>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3D0B379D" w14:textId="77777777" w:rsidR="00044EB2" w:rsidRPr="00044EB2" w:rsidRDefault="00044EB2" w:rsidP="00044EB2">
      <w:pPr>
        <w:spacing w:after="0" w:line="240" w:lineRule="auto"/>
        <w:ind w:left="709" w:right="709"/>
        <w:jc w:val="both"/>
        <w:rPr>
          <w:rFonts w:ascii="Verdana" w:hAnsi="Verdana" w:cs="Arial"/>
          <w:sz w:val="20"/>
          <w:szCs w:val="20"/>
        </w:rPr>
      </w:pPr>
    </w:p>
    <w:p w14:paraId="726144F2" w14:textId="77777777" w:rsidR="00044EB2" w:rsidRPr="00044EB2" w:rsidRDefault="00044EB2" w:rsidP="00044EB2">
      <w:pPr>
        <w:spacing w:after="0" w:line="240" w:lineRule="auto"/>
        <w:ind w:left="709" w:right="709"/>
        <w:jc w:val="both"/>
        <w:rPr>
          <w:rFonts w:ascii="Verdana" w:hAnsi="Verdana" w:cs="Arial"/>
          <w:sz w:val="20"/>
          <w:szCs w:val="20"/>
        </w:rPr>
      </w:pPr>
      <w:r w:rsidRPr="00044EB2">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044EB2">
        <w:rPr>
          <w:rFonts w:ascii="Verdana" w:hAnsi="Verdana" w:cs="Arial"/>
          <w:sz w:val="20"/>
          <w:szCs w:val="20"/>
          <w:vertAlign w:val="superscript"/>
        </w:rPr>
        <w:footnoteReference w:id="3"/>
      </w:r>
      <w:r w:rsidRPr="00044EB2">
        <w:rPr>
          <w:rFonts w:ascii="Verdana" w:hAnsi="Verdana" w:cs="Arial"/>
          <w:sz w:val="20"/>
          <w:szCs w:val="20"/>
        </w:rPr>
        <w:t xml:space="preserve">. </w:t>
      </w:r>
    </w:p>
    <w:p w14:paraId="189ED9A0" w14:textId="77777777" w:rsidR="00044EB2" w:rsidRPr="00044EB2" w:rsidRDefault="00044EB2" w:rsidP="00044EB2">
      <w:pPr>
        <w:spacing w:after="0" w:line="276" w:lineRule="auto"/>
        <w:ind w:left="709" w:right="709"/>
        <w:jc w:val="both"/>
        <w:rPr>
          <w:rFonts w:ascii="Verdana" w:hAnsi="Verdana" w:cs="Arial"/>
        </w:rPr>
      </w:pPr>
    </w:p>
    <w:p w14:paraId="210F7D35" w14:textId="77777777" w:rsidR="00044EB2" w:rsidRPr="00044EB2" w:rsidRDefault="00044EB2" w:rsidP="00044EB2">
      <w:pPr>
        <w:spacing w:after="120" w:line="276" w:lineRule="auto"/>
        <w:jc w:val="both"/>
        <w:rPr>
          <w:rFonts w:ascii="Verdana" w:hAnsi="Verdana" w:cs="Arial"/>
        </w:rPr>
      </w:pPr>
      <w:r w:rsidRPr="00044EB2">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w:t>
      </w:r>
      <w:r w:rsidRPr="00044EB2">
        <w:rPr>
          <w:rFonts w:ascii="Verdana" w:hAnsi="Verdana" w:cs="Arial"/>
        </w:rPr>
        <w:lastRenderedPageBreak/>
        <w:t>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6A4328ED" w14:textId="77777777" w:rsidR="00044EB2" w:rsidRPr="00044EB2" w:rsidRDefault="00044EB2" w:rsidP="00044EB2">
      <w:pPr>
        <w:spacing w:after="120" w:line="276" w:lineRule="auto"/>
        <w:ind w:firstLine="709"/>
        <w:jc w:val="both"/>
        <w:rPr>
          <w:rFonts w:ascii="Verdana" w:hAnsi="Verdana" w:cs="Arial"/>
        </w:rPr>
      </w:pPr>
      <w:r w:rsidRPr="00044EB2">
        <w:rPr>
          <w:rFonts w:ascii="Verdana" w:hAnsi="Verdana" w:cs="Arial"/>
        </w:rPr>
        <w:t xml:space="preserve">No obstante, aunque tenga una influencia limitada, las </w:t>
      </w:r>
      <w:r w:rsidRPr="00044EB2">
        <w:rPr>
          <w:rFonts w:ascii="Verdana" w:hAnsi="Verdana" w:cs="Arial"/>
          <w:i/>
          <w:iCs/>
        </w:rPr>
        <w:t>entidades del régimen exceptuado</w:t>
      </w:r>
      <w:r w:rsidRPr="00044EB2">
        <w:rPr>
          <w:rFonts w:ascii="Verdana" w:hAnsi="Verdana" w:cs="Aria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2D8601A9" w14:textId="77777777" w:rsidR="00044EB2" w:rsidRPr="00044EB2" w:rsidRDefault="00044EB2" w:rsidP="00044EB2">
      <w:pPr>
        <w:spacing w:after="0" w:line="276" w:lineRule="auto"/>
        <w:ind w:firstLine="708"/>
        <w:jc w:val="both"/>
        <w:rPr>
          <w:rFonts w:ascii="Verdana" w:hAnsi="Verdana" w:cs="Arial"/>
        </w:rPr>
      </w:pPr>
      <w:r w:rsidRPr="00044EB2">
        <w:rPr>
          <w:rFonts w:ascii="Verdana" w:hAnsi="Verdana" w:cs="Arial"/>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044EB2">
        <w:rPr>
          <w:rFonts w:ascii="Verdana" w:hAnsi="Verdana" w:cs="Arial"/>
        </w:rPr>
        <w:t>ii</w:t>
      </w:r>
      <w:proofErr w:type="spellEnd"/>
      <w:r w:rsidRPr="00044EB2">
        <w:rPr>
          <w:rFonts w:ascii="Verdana" w:hAnsi="Verdana" w:cs="Arial"/>
        </w:rPr>
        <w:t xml:space="preserve">) flexibilizar el ejercicio de la función administrativa –como en los contratos del Banco de la República o los de ciencia y tecnología– o </w:t>
      </w:r>
      <w:proofErr w:type="spellStart"/>
      <w:r w:rsidRPr="00044EB2">
        <w:rPr>
          <w:rFonts w:ascii="Verdana" w:hAnsi="Verdana" w:cs="Arial"/>
        </w:rPr>
        <w:t>iii</w:t>
      </w:r>
      <w:proofErr w:type="spellEnd"/>
      <w:r w:rsidRPr="00044EB2">
        <w:rPr>
          <w:rFonts w:ascii="Verdana" w:hAnsi="Verdana" w:cs="Arial"/>
        </w:rPr>
        <w:t>) establecer un régimen especial sin excluir por completo la aplicación de la Ley 80 de 1993 –como ocurre en la operaciones del crédito público–</w:t>
      </w:r>
      <w:r w:rsidRPr="00044EB2">
        <w:rPr>
          <w:rFonts w:ascii="Verdana" w:hAnsi="Verdana" w:cs="Arial"/>
          <w:vertAlign w:val="superscript"/>
        </w:rPr>
        <w:footnoteReference w:id="4"/>
      </w:r>
      <w:r w:rsidRPr="00044EB2">
        <w:rPr>
          <w:rFonts w:ascii="Verdana" w:hAnsi="Verdana" w:cs="Arial"/>
        </w:rPr>
        <w:t xml:space="preserve">.  Para estos efectos, la doctrina ha identificado 171 entidades y contratos que manejan un régimen excepcional, los cuales se clasifican de acuerdo i) al sector económico, </w:t>
      </w:r>
      <w:proofErr w:type="spellStart"/>
      <w:r w:rsidRPr="00044EB2">
        <w:rPr>
          <w:rFonts w:ascii="Verdana" w:hAnsi="Verdana" w:cs="Arial"/>
        </w:rPr>
        <w:t>ii</w:t>
      </w:r>
      <w:proofErr w:type="spellEnd"/>
      <w:r w:rsidRPr="00044EB2">
        <w:rPr>
          <w:rFonts w:ascii="Verdana" w:hAnsi="Verdana" w:cs="Arial"/>
        </w:rPr>
        <w:t xml:space="preserve">) la asignación de un esquema legal especial, </w:t>
      </w:r>
      <w:proofErr w:type="spellStart"/>
      <w:r w:rsidRPr="00044EB2">
        <w:rPr>
          <w:rFonts w:ascii="Verdana" w:hAnsi="Verdana" w:cs="Arial"/>
        </w:rPr>
        <w:t>iii</w:t>
      </w:r>
      <w:proofErr w:type="spellEnd"/>
      <w:r w:rsidRPr="00044EB2">
        <w:rPr>
          <w:rFonts w:ascii="Verdana" w:hAnsi="Verdana" w:cs="Arial"/>
        </w:rPr>
        <w:t xml:space="preserve">) el objeto del contrato celebrado y </w:t>
      </w:r>
      <w:proofErr w:type="spellStart"/>
      <w:r w:rsidRPr="00044EB2">
        <w:rPr>
          <w:rFonts w:ascii="Verdana" w:hAnsi="Verdana" w:cs="Arial"/>
        </w:rPr>
        <w:t>iv</w:t>
      </w:r>
      <w:proofErr w:type="spellEnd"/>
      <w:r w:rsidRPr="00044EB2">
        <w:rPr>
          <w:rFonts w:ascii="Verdana" w:hAnsi="Verdana" w:cs="Arial"/>
        </w:rPr>
        <w:t>) la existencia de fondos que administran recursos públicos</w:t>
      </w:r>
      <w:r w:rsidRPr="00044EB2">
        <w:rPr>
          <w:rFonts w:ascii="Verdana" w:hAnsi="Verdana" w:cs="Arial"/>
          <w:vertAlign w:val="superscript"/>
        </w:rPr>
        <w:footnoteReference w:id="5"/>
      </w:r>
      <w:r w:rsidRPr="00044EB2">
        <w:rPr>
          <w:rFonts w:ascii="Verdana" w:hAnsi="Verdana" w:cs="Arial"/>
        </w:rPr>
        <w:t>.</w:t>
      </w:r>
    </w:p>
    <w:p w14:paraId="08FA8A03" w14:textId="77777777" w:rsidR="00044EB2" w:rsidRPr="00044EB2" w:rsidRDefault="00044EB2" w:rsidP="00044EB2">
      <w:pPr>
        <w:widowControl w:val="0"/>
        <w:autoSpaceDE w:val="0"/>
        <w:autoSpaceDN w:val="0"/>
        <w:spacing w:after="0" w:line="276" w:lineRule="auto"/>
        <w:ind w:right="266"/>
        <w:jc w:val="both"/>
        <w:rPr>
          <w:rFonts w:ascii="Verdana" w:eastAsia="Arial MT" w:hAnsi="Verdana" w:cs="Arial MT"/>
          <w:lang w:val="es-ES"/>
        </w:rPr>
      </w:pPr>
    </w:p>
    <w:p w14:paraId="0E8D51DC" w14:textId="77777777" w:rsidR="00044EB2" w:rsidRPr="00044EB2" w:rsidRDefault="00044EB2" w:rsidP="00044EB2">
      <w:pPr>
        <w:spacing w:after="120" w:line="276" w:lineRule="auto"/>
        <w:jc w:val="both"/>
        <w:rPr>
          <w:rFonts w:ascii="Verdana" w:eastAsia="Calibri" w:hAnsi="Verdana" w:cs="Arial"/>
          <w:lang w:val="es-ES_tradnl"/>
        </w:rPr>
      </w:pPr>
      <w:proofErr w:type="spellStart"/>
      <w:r w:rsidRPr="00044EB2">
        <w:rPr>
          <w:rFonts w:ascii="Verdana" w:eastAsia="Calibri" w:hAnsi="Verdana" w:cs="Arial"/>
          <w:bCs/>
          <w:color w:val="000000" w:themeColor="text1"/>
          <w:lang w:val="es-ES"/>
        </w:rPr>
        <w:t>ii</w:t>
      </w:r>
      <w:proofErr w:type="spellEnd"/>
      <w:r w:rsidRPr="00044EB2">
        <w:rPr>
          <w:rFonts w:ascii="Verdana" w:eastAsia="Calibri" w:hAnsi="Verdana" w:cs="Arial"/>
          <w:bCs/>
          <w:color w:val="000000" w:themeColor="text1"/>
          <w:lang w:val="es-ES"/>
        </w:rPr>
        <w:t xml:space="preserve">. </w:t>
      </w:r>
      <w:r w:rsidRPr="00044EB2">
        <w:rPr>
          <w:rFonts w:ascii="Verdana" w:eastAsia="Calibri" w:hAnsi="Verdana" w:cs="Arial"/>
          <w:color w:val="000000"/>
        </w:rPr>
        <w:t xml:space="preserve">Dentro de la estructura de la Administración Pública se encuentran las entidades descentralizadas por servicios, y dentro de dicha categoría se ubican las </w:t>
      </w:r>
      <w:r w:rsidRPr="00044EB2">
        <w:rPr>
          <w:rFonts w:ascii="Verdana" w:eastAsia="Calibri" w:hAnsi="Verdana" w:cs="Arial"/>
          <w:i/>
          <w:iCs/>
          <w:color w:val="000000"/>
        </w:rPr>
        <w:t xml:space="preserve">Empresas Industriales y Comerciales del Estado </w:t>
      </w:r>
      <w:r w:rsidRPr="00044EB2">
        <w:rPr>
          <w:rFonts w:ascii="Verdana" w:eastAsia="Calibri" w:hAnsi="Verdana" w:cs="Arial"/>
          <w:i/>
          <w:iCs/>
        </w:rPr>
        <w:t xml:space="preserve">– </w:t>
      </w:r>
      <w:r w:rsidRPr="00044EB2">
        <w:rPr>
          <w:rFonts w:ascii="Verdana" w:eastAsia="Calibri" w:hAnsi="Verdana" w:cs="Arial"/>
        </w:rPr>
        <w:t>en adelante</w:t>
      </w:r>
      <w:r w:rsidRPr="00044EB2">
        <w:rPr>
          <w:rFonts w:ascii="Verdana" w:eastAsia="Calibri" w:hAnsi="Verdana" w:cs="Arial"/>
          <w:i/>
          <w:iCs/>
        </w:rPr>
        <w:t xml:space="preserve"> EICE</w:t>
      </w:r>
      <w:r w:rsidRPr="00044EB2">
        <w:rPr>
          <w:rFonts w:ascii="Verdana" w:eastAsia="Calibri" w:hAnsi="Verdana" w:cs="Arial"/>
          <w:color w:val="000000"/>
        </w:rPr>
        <w:t xml:space="preserve">, las cuales –sin perjuicio del control de tutela– tienen personería jurídica, autonomía </w:t>
      </w:r>
      <w:r w:rsidRPr="00044EB2">
        <w:rPr>
          <w:rFonts w:ascii="Verdana" w:eastAsia="Calibri" w:hAnsi="Verdana" w:cs="Arial"/>
          <w:color w:val="000000"/>
        </w:rPr>
        <w:lastRenderedPageBreak/>
        <w:t>administrativa y patrimonio propio.</w:t>
      </w:r>
      <w:r w:rsidRPr="00044EB2">
        <w:rPr>
          <w:rFonts w:ascii="Verdana" w:eastAsia="Calibri" w:hAnsi="Verdana" w:cs="Arial"/>
          <w:b/>
          <w:bCs/>
          <w:color w:val="000000"/>
        </w:rPr>
        <w:t xml:space="preserve"> </w:t>
      </w:r>
      <w:r w:rsidRPr="00044EB2">
        <w:rPr>
          <w:rFonts w:ascii="Verdana" w:eastAsia="Calibri" w:hAnsi="Verdana" w:cs="Arial"/>
          <w:color w:val="000000"/>
        </w:rPr>
        <w:t>Estas entidades, como su nombre lo indica, se caracterizan por desarrollar actividades de carácter industrial o comercial. Así, por ejemplo, son EICE la Imprenta Nacional de Colombia, Coljuegos, Indumil, la Caja Promotora de Vivienda Militar y de Policía, Colpensiones, entre otras</w:t>
      </w:r>
      <w:r w:rsidRPr="00044EB2">
        <w:rPr>
          <w:rFonts w:ascii="Verdana" w:eastAsia="Calibri" w:hAnsi="Verdana" w:cs="Times New Roman"/>
          <w:vertAlign w:val="superscript"/>
        </w:rPr>
        <w:footnoteReference w:id="6"/>
      </w:r>
      <w:r w:rsidRPr="00044EB2">
        <w:rPr>
          <w:rFonts w:ascii="Verdana" w:eastAsia="Calibri" w:hAnsi="Verdana" w:cs="Arial"/>
          <w:color w:val="000000"/>
        </w:rPr>
        <w:t>.</w:t>
      </w:r>
    </w:p>
    <w:p w14:paraId="5E8A244F" w14:textId="77777777" w:rsidR="00044EB2" w:rsidRPr="00044EB2" w:rsidRDefault="00044EB2" w:rsidP="00044EB2">
      <w:pPr>
        <w:spacing w:after="120" w:line="276" w:lineRule="auto"/>
        <w:ind w:firstLine="708"/>
        <w:jc w:val="both"/>
        <w:rPr>
          <w:rFonts w:ascii="Verdana" w:eastAsia="Calibri" w:hAnsi="Verdana" w:cs="Arial"/>
        </w:rPr>
      </w:pPr>
      <w:r w:rsidRPr="00044EB2">
        <w:rPr>
          <w:rFonts w:ascii="Verdana" w:eastAsia="Calibri" w:hAnsi="Verdana" w:cs="Arial"/>
          <w:lang w:val="es-ES_tradnl"/>
        </w:rPr>
        <w:t>L</w:t>
      </w:r>
      <w:r w:rsidRPr="00044EB2">
        <w:rPr>
          <w:rFonts w:ascii="Verdana" w:eastAsia="Calibri" w:hAnsi="Verdana" w:cs="Arial"/>
        </w:rPr>
        <w:t>as EICE, bajo la denominación de Entidades Estatales, quedaron sometidas al EGCAP –Ley 80 de 1993, artículo 2, numeral 1, literal a)–</w:t>
      </w:r>
      <w:r w:rsidRPr="00044EB2">
        <w:rPr>
          <w:rFonts w:ascii="Verdana" w:eastAsia="Calibri" w:hAnsi="Verdana" w:cs="Times New Roman"/>
          <w:vertAlign w:val="superscript"/>
        </w:rPr>
        <w:footnoteReference w:id="7"/>
      </w:r>
      <w:r w:rsidRPr="00044EB2">
        <w:rPr>
          <w:rFonts w:ascii="Verdana" w:eastAsia="Calibri" w:hAnsi="Verdana" w:cs="Arial"/>
        </w:rPr>
        <w:t>. Posteriormente,</w:t>
      </w:r>
      <w:r w:rsidRPr="00044EB2">
        <w:rPr>
          <w:rFonts w:ascii="Verdana" w:eastAsia="Calibri" w:hAnsi="Verdana" w:cs="Arial"/>
          <w:bCs/>
        </w:rPr>
        <w:t xml:space="preserve"> </w:t>
      </w:r>
      <w:r w:rsidRPr="00044EB2">
        <w:rPr>
          <w:rFonts w:ascii="Verdana" w:eastAsia="Calibri" w:hAnsi="Verdana" w:cs="Arial"/>
        </w:rPr>
        <w:t>la Ley 489 de 1998</w:t>
      </w:r>
      <w:r w:rsidRPr="00044EB2">
        <w:rPr>
          <w:rFonts w:ascii="Verdana" w:eastAsia="Calibri" w:hAnsi="Verdana" w:cs="Times New Roman"/>
          <w:vertAlign w:val="superscript"/>
        </w:rPr>
        <w:footnoteReference w:id="8"/>
      </w:r>
      <w:r w:rsidRPr="00044EB2">
        <w:rPr>
          <w:rFonts w:ascii="Verdana" w:eastAsia="Calibri" w:hAnsi="Verdana" w:cs="Arial"/>
        </w:rPr>
        <w:t xml:space="preserve">, mediante el cual se regula la organización y funcionamiento de las entidades del orden nacional, en su artículo 93 estableció el régimen jurídico aplicable a los contratos celebrados por las EICE, como sigue: </w:t>
      </w:r>
      <w:r w:rsidRPr="00044EB2">
        <w:rPr>
          <w:rFonts w:ascii="Verdana" w:eastAsia="Arial" w:hAnsi="Verdana" w:cs="Arial"/>
          <w:i/>
          <w:iCs/>
          <w:lang w:eastAsia="es-ES" w:bidi="es-ES"/>
        </w:rPr>
        <w:t xml:space="preserve">“Artículo 93. Régimen de los actos y contratos. Los actos que expidan las empresas industriales y comerciales del Estado para el desarrollo de </w:t>
      </w:r>
      <w:r w:rsidRPr="00044EB2">
        <w:rPr>
          <w:rFonts w:ascii="Verdana" w:eastAsia="Arial" w:hAnsi="Verdana" w:cs="Arial"/>
          <w:i/>
          <w:iCs/>
          <w:lang w:eastAsia="es-ES" w:bidi="es-ES"/>
        </w:rPr>
        <w:lastRenderedPageBreak/>
        <w:t>su actividad propia, industrial o comercial o de gestión económica se sujetarán a las disposiciones del Derecho Privado. Los contratos que celebren para el cumplimiento de su objeto se sujetarán a las disposiciones del Estatuto General de Contratación de las entidades estatales”.</w:t>
      </w:r>
    </w:p>
    <w:p w14:paraId="749FDE29" w14:textId="77777777" w:rsidR="00044EB2" w:rsidRPr="00044EB2" w:rsidRDefault="00044EB2" w:rsidP="00044EB2">
      <w:pPr>
        <w:spacing w:after="0" w:line="276" w:lineRule="auto"/>
        <w:ind w:firstLine="708"/>
        <w:jc w:val="both"/>
        <w:rPr>
          <w:rFonts w:ascii="Verdana" w:eastAsia="Calibri" w:hAnsi="Verdana" w:cs="Arial"/>
        </w:rPr>
      </w:pPr>
      <w:r w:rsidRPr="00044EB2">
        <w:rPr>
          <w:rFonts w:ascii="Verdana" w:eastAsia="Calibri" w:hAnsi="Verdana" w:cs="Arial"/>
        </w:rPr>
        <w:t xml:space="preserve">No obstante, por las dificultades hermenéuticas que suscitaba la disposición anterior, el artículo 14 de la Ley 1150 de 2007 – modificado por el artículo 93 de la Ley 1474 de 2011 – dispuso un régimen exceptivo de aplicación del derecho privado para la actividad contractual de las </w:t>
      </w:r>
      <w:bookmarkStart w:id="2" w:name="_Hlk75850758"/>
      <w:r w:rsidRPr="00044EB2">
        <w:rPr>
          <w:rFonts w:ascii="Verdana" w:eastAsia="Calibri" w:hAnsi="Verdana" w:cs="Arial"/>
        </w:rPr>
        <w:t>EICE</w:t>
      </w:r>
      <w:bookmarkEnd w:id="2"/>
      <w:r w:rsidRPr="00044EB2">
        <w:rPr>
          <w:rFonts w:ascii="Verdana" w:eastAsia="Calibri" w:hAnsi="Verdana" w:cs="Arial"/>
        </w:rPr>
        <w:t xml:space="preserve"> que ejercen su actividad en competencia con el sector público o privado, o en mercados regulados, quedando las otras EICE dentro del ámbito de aplicación del EGCAP</w:t>
      </w:r>
      <w:r w:rsidRPr="00044EB2">
        <w:rPr>
          <w:rFonts w:ascii="Verdana" w:eastAsia="Calibri" w:hAnsi="Verdana" w:cs="Times New Roman"/>
          <w:vertAlign w:val="superscript"/>
        </w:rPr>
        <w:footnoteReference w:id="9"/>
      </w:r>
      <w:r w:rsidRPr="00044EB2">
        <w:rPr>
          <w:rFonts w:ascii="Verdana" w:eastAsia="Calibri" w:hAnsi="Verdana" w:cs="Arial"/>
        </w:rPr>
        <w:t>. Así, la norma vigente respecto a su régimen contractual establece:</w:t>
      </w:r>
    </w:p>
    <w:p w14:paraId="341AC794" w14:textId="77777777" w:rsidR="00044EB2" w:rsidRPr="00044EB2" w:rsidRDefault="00044EB2" w:rsidP="00044EB2">
      <w:pPr>
        <w:spacing w:after="0" w:line="276" w:lineRule="auto"/>
        <w:ind w:firstLine="708"/>
        <w:jc w:val="both"/>
        <w:rPr>
          <w:rFonts w:ascii="Verdana" w:eastAsia="Calibri" w:hAnsi="Verdana" w:cs="Arial"/>
          <w:lang w:val="es-ES"/>
        </w:rPr>
      </w:pPr>
    </w:p>
    <w:p w14:paraId="026735D6" w14:textId="77777777" w:rsidR="00044EB2" w:rsidRPr="00044EB2" w:rsidRDefault="00044EB2" w:rsidP="00044EB2">
      <w:pPr>
        <w:widowControl w:val="0"/>
        <w:autoSpaceDE w:val="0"/>
        <w:autoSpaceDN w:val="0"/>
        <w:spacing w:after="0" w:line="240" w:lineRule="auto"/>
        <w:ind w:left="709" w:right="709"/>
        <w:jc w:val="both"/>
        <w:rPr>
          <w:rFonts w:ascii="Verdana" w:eastAsia="Calibri" w:hAnsi="Verdana" w:cs="Arial"/>
          <w:iCs/>
          <w:sz w:val="20"/>
          <w:szCs w:val="20"/>
          <w:lang w:val="es-ES"/>
        </w:rPr>
      </w:pPr>
      <w:r w:rsidRPr="00044EB2">
        <w:rPr>
          <w:rFonts w:ascii="Verdana" w:eastAsia="Arial" w:hAnsi="Verdana" w:cs="Arial"/>
          <w:sz w:val="20"/>
          <w:szCs w:val="20"/>
          <w:lang w:val="es-ES" w:eastAsia="es-ES" w:bidi="es-ES"/>
        </w:rPr>
        <w:t xml:space="preserve">“Artículo 14. Del régimen contractual de las empresas industriales y comerciales del estado, las sociedades de economía mixta, sus filiales y empresas con participación mayoritaria del estado.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w:t>
      </w:r>
      <w:bookmarkStart w:id="4" w:name="_Hlk75720889"/>
      <w:r w:rsidRPr="00044EB2">
        <w:rPr>
          <w:rFonts w:ascii="Verdana" w:eastAsia="Arial" w:hAnsi="Verdana" w:cs="Arial"/>
          <w:sz w:val="20"/>
          <w:szCs w:val="20"/>
          <w:lang w:val="es-ES" w:eastAsia="es-ES" w:bidi="es-ES"/>
        </w:rPr>
        <w:t xml:space="preserve">caso en el cual se regirán por las disposiciones legales y reglamentarias aplicables a sus actividades económicas y comerciales, sin perjuicio de lo previsto en el artículo 13 de la presente ley. </w:t>
      </w:r>
      <w:bookmarkEnd w:id="4"/>
      <w:r w:rsidRPr="00044EB2">
        <w:rPr>
          <w:rFonts w:ascii="Verdana" w:eastAsia="Arial" w:hAnsi="Verdana" w:cs="Arial"/>
          <w:sz w:val="20"/>
          <w:szCs w:val="20"/>
          <w:lang w:val="es-ES" w:eastAsia="es-ES" w:bidi="es-ES"/>
        </w:rPr>
        <w:t xml:space="preserve">Se exceptúan los contratos de ciencia y tecnología, que se regirán por la Ley 29 de 1990 y las disposiciones </w:t>
      </w:r>
      <w:r w:rsidRPr="00044EB2">
        <w:rPr>
          <w:rFonts w:ascii="Verdana" w:eastAsia="Arial" w:hAnsi="Verdana" w:cs="Arial"/>
          <w:sz w:val="20"/>
          <w:szCs w:val="20"/>
          <w:lang w:val="es-ES" w:eastAsia="es-ES" w:bidi="es-ES"/>
        </w:rPr>
        <w:lastRenderedPageBreak/>
        <w:t>normativas existentes</w:t>
      </w:r>
      <w:r w:rsidRPr="00044EB2">
        <w:rPr>
          <w:rFonts w:ascii="Verdana" w:eastAsia="Calibri" w:hAnsi="Verdana" w:cs="Arial"/>
          <w:sz w:val="20"/>
          <w:szCs w:val="20"/>
          <w:vertAlign w:val="superscript"/>
          <w:lang w:val="es-ES"/>
        </w:rPr>
        <w:footnoteReference w:id="10"/>
      </w:r>
      <w:r w:rsidRPr="00044EB2">
        <w:rPr>
          <w:rFonts w:ascii="Verdana" w:eastAsia="Calibri" w:hAnsi="Verdana" w:cs="Arial"/>
          <w:iCs/>
          <w:sz w:val="20"/>
          <w:szCs w:val="20"/>
          <w:lang w:val="es-ES"/>
        </w:rPr>
        <w:t>.”</w:t>
      </w:r>
    </w:p>
    <w:p w14:paraId="4C8907A4" w14:textId="77777777" w:rsidR="00044EB2" w:rsidRPr="00044EB2" w:rsidRDefault="00044EB2" w:rsidP="00044EB2">
      <w:pPr>
        <w:spacing w:after="0" w:line="276" w:lineRule="auto"/>
        <w:ind w:firstLine="709"/>
        <w:jc w:val="both"/>
        <w:rPr>
          <w:rFonts w:ascii="Verdana" w:eastAsia="Calibri" w:hAnsi="Verdana" w:cs="Arial"/>
        </w:rPr>
      </w:pPr>
    </w:p>
    <w:p w14:paraId="3FF70190" w14:textId="77777777" w:rsidR="00044EB2" w:rsidRPr="00044EB2" w:rsidRDefault="00044EB2" w:rsidP="00044EB2">
      <w:pPr>
        <w:spacing w:after="120" w:line="276" w:lineRule="auto"/>
        <w:ind w:firstLine="708"/>
        <w:jc w:val="both"/>
        <w:rPr>
          <w:rFonts w:ascii="Verdana" w:eastAsia="Calibri" w:hAnsi="Verdana" w:cs="Arial"/>
        </w:rPr>
      </w:pPr>
      <w:r w:rsidRPr="00044EB2">
        <w:rPr>
          <w:rFonts w:ascii="Verdana" w:eastAsia="Calibri" w:hAnsi="Verdana" w:cs="Arial"/>
        </w:rPr>
        <w:t>El sometimiento parcial de las EICE al régimen de derecho privado, se ha justificado por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 […]. Por ello, la regla general es que en sus actos y contratos rijan las normas de derecho privado, salvo en cuanto a sus relaciones con la administración [otras Entidades Estatales -convenios o contratos interadministrativos] y en aquellos casos en los que por expresa disposición legal ejerzan alguna función administrativa, puesto que allí sí deberá dar aplicación a las reglas de derecho público pertinentes [...]”</w:t>
      </w:r>
      <w:r w:rsidRPr="00044EB2">
        <w:rPr>
          <w:rFonts w:ascii="Verdana" w:eastAsia="Calibri" w:hAnsi="Verdana" w:cs="Arial"/>
          <w:vertAlign w:val="superscript"/>
        </w:rPr>
        <w:footnoteReference w:id="11"/>
      </w:r>
      <w:r w:rsidRPr="00044EB2">
        <w:rPr>
          <w:rFonts w:ascii="Verdana" w:eastAsia="Calibri" w:hAnsi="Verdana" w:cs="Arial"/>
        </w:rPr>
        <w:t>. [Corchetes fuera de texto]</w:t>
      </w:r>
    </w:p>
    <w:p w14:paraId="0203B9C6" w14:textId="77777777" w:rsidR="00044EB2" w:rsidRPr="00044EB2" w:rsidRDefault="00044EB2" w:rsidP="00044EB2">
      <w:pPr>
        <w:spacing w:after="0" w:line="276" w:lineRule="auto"/>
        <w:ind w:firstLine="708"/>
        <w:jc w:val="both"/>
        <w:rPr>
          <w:rFonts w:ascii="Verdana" w:eastAsia="Calibri" w:hAnsi="Verdana" w:cs="Arial"/>
        </w:rPr>
      </w:pPr>
      <w:r w:rsidRPr="00044EB2">
        <w:rPr>
          <w:rFonts w:ascii="Verdana" w:eastAsia="Calibri" w:hAnsi="Verdana" w:cs="Arial"/>
        </w:rPr>
        <w:t>De acuerdo con la jurisprudencia, lo anterior se justifica en el principio de igualdad, ya que, si el Estado desarrolla actividades similares a los particulares, debe actuar no solo desprovisto de poderes exorbitantes sino también con la misma eficacia y eficiencia que los sujetos de derecho privado. No en vano:</w:t>
      </w:r>
    </w:p>
    <w:p w14:paraId="63FA86D7" w14:textId="77777777" w:rsidR="00044EB2" w:rsidRPr="00044EB2" w:rsidRDefault="00044EB2" w:rsidP="00044EB2">
      <w:pPr>
        <w:spacing w:after="0" w:line="276" w:lineRule="auto"/>
        <w:ind w:firstLine="708"/>
        <w:jc w:val="both"/>
        <w:rPr>
          <w:rFonts w:ascii="Verdana" w:eastAsia="Calibri" w:hAnsi="Verdana" w:cs="Arial"/>
          <w:color w:val="000000"/>
        </w:rPr>
      </w:pPr>
    </w:p>
    <w:p w14:paraId="1D13E2DE" w14:textId="77777777" w:rsidR="00044EB2" w:rsidRPr="00044EB2" w:rsidRDefault="00044EB2" w:rsidP="00044EB2">
      <w:pPr>
        <w:spacing w:after="0" w:line="240" w:lineRule="auto"/>
        <w:ind w:left="709" w:right="709"/>
        <w:jc w:val="both"/>
        <w:rPr>
          <w:rFonts w:ascii="Verdana" w:eastAsia="Calibri" w:hAnsi="Verdana" w:cs="Arial"/>
          <w:color w:val="000000"/>
          <w:sz w:val="20"/>
          <w:szCs w:val="20"/>
        </w:rPr>
      </w:pPr>
      <w:r w:rsidRPr="00044EB2">
        <w:rPr>
          <w:rFonts w:ascii="Verdana" w:eastAsia="Calibri" w:hAnsi="Verdana" w:cs="Arial"/>
          <w:color w:val="000000"/>
          <w:sz w:val="20"/>
          <w:szCs w:val="20"/>
        </w:rPr>
        <w:t>“La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w:t>
      </w:r>
    </w:p>
    <w:p w14:paraId="1EF31353" w14:textId="77777777" w:rsidR="00044EB2" w:rsidRPr="00044EB2" w:rsidRDefault="00044EB2" w:rsidP="00044EB2">
      <w:pPr>
        <w:spacing w:after="0" w:line="240" w:lineRule="auto"/>
        <w:ind w:left="709" w:right="709"/>
        <w:jc w:val="both"/>
        <w:rPr>
          <w:rFonts w:ascii="Verdana" w:eastAsia="Calibri" w:hAnsi="Verdana" w:cs="Arial"/>
          <w:color w:val="000000"/>
          <w:sz w:val="20"/>
          <w:szCs w:val="20"/>
        </w:rPr>
      </w:pPr>
    </w:p>
    <w:p w14:paraId="6E39253A" w14:textId="77777777" w:rsidR="00044EB2" w:rsidRPr="00044EB2" w:rsidRDefault="00044EB2" w:rsidP="00044EB2">
      <w:pPr>
        <w:spacing w:after="0" w:line="240" w:lineRule="auto"/>
        <w:ind w:left="709" w:right="709"/>
        <w:jc w:val="both"/>
        <w:rPr>
          <w:rFonts w:ascii="Verdana" w:eastAsia="Calibri" w:hAnsi="Verdana" w:cs="Arial"/>
          <w:color w:val="000000"/>
          <w:sz w:val="20"/>
          <w:szCs w:val="20"/>
        </w:rPr>
      </w:pPr>
      <w:r w:rsidRPr="00044EB2">
        <w:rPr>
          <w:rFonts w:ascii="Verdana" w:eastAsia="Calibri" w:hAnsi="Verdana" w:cs="Arial"/>
          <w:color w:val="000000"/>
          <w:sz w:val="20"/>
          <w:szCs w:val="20"/>
        </w:rPr>
        <w:t xml:space="preserve">Se trata pues, de que sus actividades de explotación industrial o comercial se desarrollen con las </w:t>
      </w:r>
      <w:proofErr w:type="gramStart"/>
      <w:r w:rsidRPr="00044EB2">
        <w:rPr>
          <w:rFonts w:ascii="Verdana" w:eastAsia="Calibri" w:hAnsi="Verdana" w:cs="Arial"/>
          <w:color w:val="000000"/>
          <w:sz w:val="20"/>
          <w:szCs w:val="20"/>
        </w:rPr>
        <w:t>mismas oportunidades y las mismas ventajas</w:t>
      </w:r>
      <w:proofErr w:type="gramEnd"/>
      <w:r w:rsidRPr="00044EB2">
        <w:rPr>
          <w:rFonts w:ascii="Verdana" w:eastAsia="Calibri" w:hAnsi="Verdana" w:cs="Arial"/>
          <w:color w:val="000000"/>
          <w:sz w:val="20"/>
          <w:szCs w:val="20"/>
        </w:rPr>
        <w:t xml:space="preserve"> o desventajas que las adelantadas por aquellos, sin que influya para nada su investidura de entidad estatal; que puedan actuar como particulares, frente a las exigencias de la economía y del mercado.”</w:t>
      </w:r>
    </w:p>
    <w:p w14:paraId="21560640" w14:textId="77777777" w:rsidR="00044EB2" w:rsidRPr="00044EB2" w:rsidRDefault="00044EB2" w:rsidP="00044EB2">
      <w:pPr>
        <w:spacing w:after="0" w:line="276" w:lineRule="auto"/>
        <w:ind w:left="709" w:right="709"/>
        <w:jc w:val="both"/>
        <w:rPr>
          <w:rFonts w:ascii="Verdana" w:eastAsia="Calibri" w:hAnsi="Verdana" w:cs="Arial"/>
          <w:color w:val="000000"/>
        </w:rPr>
      </w:pPr>
    </w:p>
    <w:p w14:paraId="7C3A998A" w14:textId="77777777" w:rsidR="00044EB2" w:rsidRPr="00044EB2" w:rsidRDefault="00044EB2" w:rsidP="00044EB2">
      <w:pPr>
        <w:spacing w:after="120" w:line="276" w:lineRule="auto"/>
        <w:ind w:firstLine="708"/>
        <w:jc w:val="both"/>
        <w:rPr>
          <w:rFonts w:ascii="Verdana" w:eastAsia="Calibri" w:hAnsi="Verdana" w:cs="Arial"/>
        </w:rPr>
      </w:pPr>
      <w:r w:rsidRPr="00044EB2">
        <w:rPr>
          <w:rFonts w:ascii="Verdana" w:eastAsia="Calibri" w:hAnsi="Verdana" w:cs="Arial"/>
        </w:rPr>
        <w:t xml:space="preserve">Ahora bien, es importante destacar, que el artículo 14 de la Ley 1150 de 2007, modificado por el artículo 93 de la Ley 1474 de 2011, esclareció las dudas que producía el confuso artículo 93 de la Ley 489 de 1998 a propósito del régimen contractual de estas entidades. Por lo tanto, </w:t>
      </w:r>
      <w:bookmarkStart w:id="5" w:name="_Hlk77174298"/>
      <w:r w:rsidRPr="00044EB2">
        <w:rPr>
          <w:rFonts w:ascii="Verdana" w:eastAsia="Calibri" w:hAnsi="Verdana" w:cs="Arial"/>
        </w:rPr>
        <w:t xml:space="preserve">las EICE, las Sociedades de Economía Mixta, sus filiales y las sociedades entre Entidades Públicas en las que el Estado tenga participación superior al cincuenta por ciento (50%), están sometidas, por regla general, al EGCAP, excepto aquellas EICE que: i) desarrollen actividades comerciales en competencia con el sector privado y/o público, nacional o internacional o </w:t>
      </w:r>
      <w:proofErr w:type="spellStart"/>
      <w:r w:rsidRPr="00044EB2">
        <w:rPr>
          <w:rFonts w:ascii="Verdana" w:eastAsia="Calibri" w:hAnsi="Verdana" w:cs="Arial"/>
        </w:rPr>
        <w:t>ii</w:t>
      </w:r>
      <w:proofErr w:type="spellEnd"/>
      <w:r w:rsidRPr="00044EB2">
        <w:rPr>
          <w:rFonts w:ascii="Verdana" w:eastAsia="Calibri" w:hAnsi="Verdana" w:cs="Arial"/>
        </w:rPr>
        <w:t>) desarrollen actividades en mercados regulados, eventos en los cuales ellas se rigen por las disposiciones que regulen su actividad.</w:t>
      </w:r>
      <w:bookmarkEnd w:id="5"/>
      <w:r w:rsidRPr="00044EB2">
        <w:rPr>
          <w:rFonts w:ascii="Verdana" w:eastAsia="Calibri" w:hAnsi="Verdana" w:cs="Arial"/>
        </w:rPr>
        <w:t xml:space="preserve"> </w:t>
      </w:r>
    </w:p>
    <w:p w14:paraId="6F215098" w14:textId="77777777" w:rsidR="00044EB2" w:rsidRPr="00044EB2" w:rsidRDefault="00044EB2" w:rsidP="00044EB2">
      <w:pPr>
        <w:spacing w:after="0" w:line="276" w:lineRule="auto"/>
        <w:ind w:firstLine="708"/>
        <w:jc w:val="both"/>
        <w:rPr>
          <w:rFonts w:ascii="Verdana" w:eastAsia="Calibri" w:hAnsi="Verdana" w:cs="Arial"/>
        </w:rPr>
      </w:pPr>
      <w:r w:rsidRPr="00044EB2">
        <w:rPr>
          <w:rFonts w:ascii="Verdana" w:eastAsia="Calibri" w:hAnsi="Verdana" w:cs="Arial"/>
        </w:rPr>
        <w:t>De conformidad con las explicaciones anteriores, en torno a los fundamentos jurídicos que regulan el régimen contractual aplicable a las EICE, a cada Entidad Estatal le corresponde analizar si se encuentra en alguno de los supuestos establecidos en el artículo 14 de la Ley 1150 de 2007, para definir si su régimen contractual es el EGCAP o si están exceptuadas de él y, por tanto, si se rigen por un régimen especial, como sería el derecho privado.</w:t>
      </w:r>
    </w:p>
    <w:p w14:paraId="6C1DD505" w14:textId="77777777" w:rsidR="00044EB2" w:rsidRPr="00044EB2" w:rsidRDefault="00044EB2" w:rsidP="00044EB2">
      <w:pPr>
        <w:spacing w:after="0" w:line="276" w:lineRule="auto"/>
        <w:ind w:firstLine="709"/>
        <w:jc w:val="both"/>
        <w:rPr>
          <w:rFonts w:ascii="Verdana" w:eastAsia="Calibri" w:hAnsi="Verdana" w:cs="Arial"/>
          <w:bCs/>
          <w:color w:val="000000" w:themeColor="text1"/>
          <w:lang w:val="es-ES_tradnl"/>
        </w:rPr>
      </w:pPr>
    </w:p>
    <w:p w14:paraId="4F82201E" w14:textId="77777777" w:rsidR="00044EB2" w:rsidRPr="00044EB2" w:rsidRDefault="00044EB2" w:rsidP="00044EB2">
      <w:pPr>
        <w:tabs>
          <w:tab w:val="left" w:pos="426"/>
        </w:tabs>
        <w:spacing w:after="0" w:line="276" w:lineRule="auto"/>
        <w:jc w:val="both"/>
        <w:rPr>
          <w:rFonts w:ascii="Verdana" w:eastAsia="Calibri" w:hAnsi="Verdana" w:cs="Arial"/>
          <w:b/>
          <w:color w:val="000000"/>
          <w:lang w:val="es-ES"/>
        </w:rPr>
      </w:pPr>
      <w:proofErr w:type="spellStart"/>
      <w:r w:rsidRPr="00044EB2">
        <w:rPr>
          <w:rFonts w:ascii="Verdana" w:eastAsia="Calibri" w:hAnsi="Verdana" w:cs="Arial"/>
          <w:color w:val="000000" w:themeColor="text1"/>
          <w:lang w:val="es-ES"/>
        </w:rPr>
        <w:t>iii</w:t>
      </w:r>
      <w:proofErr w:type="spellEnd"/>
      <w:r w:rsidRPr="00044EB2">
        <w:rPr>
          <w:rFonts w:ascii="Verdana" w:eastAsia="Calibri" w:hAnsi="Verdana" w:cs="Arial"/>
          <w:color w:val="000000" w:themeColor="text1"/>
          <w:lang w:val="es-ES"/>
        </w:rPr>
        <w:t xml:space="preserve">. </w:t>
      </w:r>
      <w:r w:rsidRPr="00044EB2">
        <w:rPr>
          <w:rFonts w:ascii="Verdana" w:eastAsia="Calibri" w:hAnsi="Verdana" w:cs="Arial"/>
          <w:color w:val="000000"/>
          <w:lang w:val="es-ES_tradnl"/>
        </w:rPr>
        <w:t xml:space="preserve">Teniendo en cuenta que las Empresas Industriales y Comerciales del Estado como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con el fin de que se puedan identificar las reglas que aplican en la contratación. No obstante, la </w:t>
      </w:r>
      <w:r w:rsidRPr="00044EB2">
        <w:rPr>
          <w:rFonts w:ascii="Verdana" w:eastAsia="Calibri" w:hAnsi="Verdana" w:cs="Arial"/>
          <w:bCs/>
          <w:color w:val="000000" w:themeColor="text1"/>
          <w:lang w:val="es-ES_tradnl"/>
        </w:rPr>
        <w:t xml:space="preserve">sujeción al derecho privado no significa que no deban sujetarse a mandatos y obligaciones del derecho público, tal como está regulado en el artículo 13 de la Ley 1150 de 2007, cuyo tenor literal dispone: </w:t>
      </w:r>
    </w:p>
    <w:p w14:paraId="4E17101D" w14:textId="77777777" w:rsidR="00044EB2" w:rsidRPr="00044EB2" w:rsidRDefault="00044EB2" w:rsidP="00044EB2">
      <w:pPr>
        <w:spacing w:after="0" w:line="276" w:lineRule="auto"/>
        <w:jc w:val="both"/>
        <w:rPr>
          <w:rFonts w:ascii="Verdana" w:eastAsia="Calibri" w:hAnsi="Verdana" w:cs="Arial"/>
          <w:bCs/>
          <w:color w:val="000000" w:themeColor="text1"/>
          <w:lang w:val="es-ES"/>
        </w:rPr>
      </w:pPr>
    </w:p>
    <w:p w14:paraId="65D213FB" w14:textId="77777777" w:rsidR="00044EB2" w:rsidRPr="00044EB2" w:rsidRDefault="00044EB2" w:rsidP="00044EB2">
      <w:pPr>
        <w:spacing w:after="0" w:line="240" w:lineRule="auto"/>
        <w:ind w:left="709" w:right="709"/>
        <w:jc w:val="both"/>
        <w:rPr>
          <w:rFonts w:ascii="Verdana" w:eastAsia="Calibri" w:hAnsi="Verdana" w:cs="Arial"/>
          <w:bCs/>
          <w:color w:val="000000" w:themeColor="text1"/>
          <w:sz w:val="20"/>
          <w:szCs w:val="20"/>
        </w:rPr>
      </w:pPr>
      <w:r w:rsidRPr="00044EB2">
        <w:rPr>
          <w:rFonts w:ascii="Verdana" w:eastAsia="Calibri" w:hAnsi="Verdana" w:cs="Arial"/>
          <w:bCs/>
          <w:color w:val="000000" w:themeColor="text1"/>
          <w:sz w:val="20"/>
          <w:szCs w:val="20"/>
        </w:rPr>
        <w:t xml:space="preserve">“Artículo 13. PRINCIPIOS GENERALES DE LA ACTIVIDAD CONTRACTUAL PARA ENTIDADES NO SOMETIDAS AL ESTATUTO GENERAL DE CONTRATACIÓN DE LA ADMINISTRACIÓN PÚBLICA.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w:t>
      </w:r>
      <w:r w:rsidRPr="00044EB2">
        <w:rPr>
          <w:rFonts w:ascii="Verdana" w:eastAsia="Calibri" w:hAnsi="Verdana" w:cs="Arial"/>
          <w:bCs/>
          <w:color w:val="000000" w:themeColor="text1"/>
          <w:sz w:val="20"/>
          <w:szCs w:val="20"/>
        </w:rPr>
        <w:lastRenderedPageBreak/>
        <w:t>régimen de inhabilidades e incompatibilidades previsto legalmente para la contratación estatal.</w:t>
      </w:r>
    </w:p>
    <w:p w14:paraId="47557028" w14:textId="77777777" w:rsidR="00044EB2" w:rsidRPr="00044EB2" w:rsidRDefault="00044EB2" w:rsidP="00044EB2">
      <w:pPr>
        <w:spacing w:after="0" w:line="240" w:lineRule="auto"/>
        <w:ind w:left="709" w:right="709"/>
        <w:jc w:val="both"/>
        <w:rPr>
          <w:rFonts w:ascii="Verdana" w:eastAsia="Calibri" w:hAnsi="Verdana" w:cs="Arial"/>
          <w:bCs/>
          <w:color w:val="000000" w:themeColor="text1"/>
          <w:sz w:val="20"/>
          <w:szCs w:val="20"/>
        </w:rPr>
      </w:pPr>
    </w:p>
    <w:p w14:paraId="33BC7E8E" w14:textId="77777777" w:rsidR="00044EB2" w:rsidRPr="00044EB2" w:rsidRDefault="00044EB2" w:rsidP="00044EB2">
      <w:pPr>
        <w:spacing w:after="0" w:line="240" w:lineRule="auto"/>
        <w:ind w:left="709" w:right="709"/>
        <w:jc w:val="both"/>
        <w:rPr>
          <w:rFonts w:ascii="Verdana" w:eastAsia="Calibri" w:hAnsi="Verdana" w:cs="Arial"/>
          <w:bCs/>
          <w:i/>
          <w:iCs/>
          <w:color w:val="000000" w:themeColor="text1"/>
          <w:sz w:val="20"/>
          <w:szCs w:val="20"/>
        </w:rPr>
      </w:pPr>
      <w:r w:rsidRPr="00044EB2">
        <w:rPr>
          <w:rFonts w:ascii="Verdana" w:eastAsia="Calibri" w:hAnsi="Verdana" w:cs="Arial"/>
          <w:bCs/>
          <w:i/>
          <w:iCs/>
          <w:color w:val="000000" w:themeColor="text1"/>
          <w:sz w:val="20"/>
          <w:szCs w:val="20"/>
        </w:rPr>
        <w:t xml:space="preserve">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w:t>
      </w:r>
      <w:proofErr w:type="spellStart"/>
      <w:r w:rsidRPr="00044EB2">
        <w:rPr>
          <w:rFonts w:ascii="Verdana" w:eastAsia="Calibri" w:hAnsi="Verdana" w:cs="Arial"/>
          <w:bCs/>
          <w:i/>
          <w:iCs/>
          <w:color w:val="000000" w:themeColor="text1"/>
          <w:sz w:val="20"/>
          <w:szCs w:val="20"/>
        </w:rPr>
        <w:t>postcontractual</w:t>
      </w:r>
      <w:proofErr w:type="spellEnd"/>
      <w:r w:rsidRPr="00044EB2">
        <w:rPr>
          <w:rFonts w:ascii="Verdana" w:eastAsia="Calibri" w:hAnsi="Verdana" w:cs="Arial"/>
          <w:bCs/>
          <w:i/>
          <w:iCs/>
          <w:color w:val="000000" w:themeColor="text1"/>
          <w:sz w:val="20"/>
          <w:szCs w:val="20"/>
        </w:rPr>
        <w:t>.</w:t>
      </w:r>
    </w:p>
    <w:p w14:paraId="614FE720" w14:textId="77777777" w:rsidR="00044EB2" w:rsidRPr="00044EB2" w:rsidRDefault="00044EB2" w:rsidP="00044EB2">
      <w:pPr>
        <w:spacing w:after="0" w:line="240" w:lineRule="auto"/>
        <w:ind w:left="709" w:right="709"/>
        <w:jc w:val="both"/>
        <w:rPr>
          <w:rFonts w:ascii="Verdana" w:eastAsia="Calibri" w:hAnsi="Verdana" w:cs="Arial"/>
          <w:bCs/>
          <w:color w:val="000000" w:themeColor="text1"/>
          <w:sz w:val="20"/>
          <w:szCs w:val="20"/>
        </w:rPr>
      </w:pPr>
    </w:p>
    <w:p w14:paraId="516292C9" w14:textId="77777777" w:rsidR="00044EB2" w:rsidRPr="00044EB2" w:rsidRDefault="00044EB2" w:rsidP="00044EB2">
      <w:pPr>
        <w:spacing w:after="0" w:line="240" w:lineRule="auto"/>
        <w:ind w:left="709" w:right="709"/>
        <w:jc w:val="both"/>
        <w:rPr>
          <w:rFonts w:ascii="Verdana" w:eastAsia="Calibri" w:hAnsi="Verdana" w:cs="Arial"/>
          <w:bCs/>
          <w:color w:val="000000" w:themeColor="text1"/>
          <w:sz w:val="20"/>
          <w:szCs w:val="20"/>
        </w:rPr>
      </w:pPr>
      <w:r w:rsidRPr="00044EB2">
        <w:rPr>
          <w:rFonts w:ascii="Verdana" w:eastAsia="Calibri" w:hAnsi="Verdana" w:cs="Arial"/>
          <w:bCs/>
          <w:color w:val="000000" w:themeColor="text1"/>
          <w:sz w:val="20"/>
          <w:szCs w:val="20"/>
        </w:rPr>
        <w:t xml:space="preserve">A partir de la </w:t>
      </w:r>
      <w:proofErr w:type="gramStart"/>
      <w:r w:rsidRPr="00044EB2">
        <w:rPr>
          <w:rFonts w:ascii="Verdana" w:eastAsia="Calibri" w:hAnsi="Verdana" w:cs="Arial"/>
          <w:bCs/>
          <w:color w:val="000000" w:themeColor="text1"/>
          <w:sz w:val="20"/>
          <w:szCs w:val="20"/>
        </w:rPr>
        <w:t>entrada en vigencia</w:t>
      </w:r>
      <w:proofErr w:type="gramEnd"/>
      <w:r w:rsidRPr="00044EB2">
        <w:rPr>
          <w:rFonts w:ascii="Verdana" w:eastAsia="Calibri" w:hAnsi="Verdana" w:cs="Arial"/>
          <w:bCs/>
          <w:color w:val="000000" w:themeColor="text1"/>
          <w:sz w:val="20"/>
          <w:szCs w:val="20"/>
        </w:rPr>
        <w:t xml:space="preserve"> de la presente Ley, se establecerá un periodo de transición de seis (6) meses, para que las entidades den cumplimiento efectivo a lo aquí establecido”. (Cursiva fuera del original).</w:t>
      </w:r>
    </w:p>
    <w:p w14:paraId="4DA612E5" w14:textId="77777777" w:rsidR="00044EB2" w:rsidRPr="00044EB2" w:rsidRDefault="00044EB2" w:rsidP="00044EB2">
      <w:pPr>
        <w:spacing w:after="0" w:line="276" w:lineRule="auto"/>
        <w:jc w:val="both"/>
        <w:rPr>
          <w:rFonts w:ascii="Verdana" w:eastAsia="Calibri" w:hAnsi="Verdana" w:cs="Arial"/>
          <w:bCs/>
          <w:color w:val="000000" w:themeColor="text1"/>
          <w:sz w:val="20"/>
          <w:szCs w:val="20"/>
          <w:lang w:val="es-ES_tradnl"/>
        </w:rPr>
      </w:pPr>
    </w:p>
    <w:p w14:paraId="772FA7EA" w14:textId="77777777" w:rsidR="00044EB2" w:rsidRPr="00044EB2" w:rsidRDefault="00044EB2" w:rsidP="00044EB2">
      <w:pPr>
        <w:spacing w:after="0" w:line="276" w:lineRule="auto"/>
        <w:ind w:firstLine="709"/>
        <w:jc w:val="both"/>
        <w:rPr>
          <w:rFonts w:ascii="Verdana" w:eastAsia="Calibri" w:hAnsi="Verdana" w:cs="Arial"/>
          <w:bCs/>
          <w:iCs/>
          <w:color w:val="000000" w:themeColor="text1"/>
          <w:lang w:val="es-ES"/>
        </w:rPr>
      </w:pPr>
      <w:r w:rsidRPr="00044EB2">
        <w:rPr>
          <w:rFonts w:ascii="Verdana" w:eastAsia="Calibri" w:hAnsi="Verdana" w:cs="Arial"/>
          <w:bCs/>
          <w:color w:val="000000" w:themeColor="text1"/>
          <w:lang w:val="es-ES"/>
        </w:rPr>
        <w:t xml:space="preserve">De la disposición transcrita, se deriva la interpretación de que a pesar que el régimen que aplican sea el derecho privado, tiene limitaciones dentro del derecho público como son los principios de la función administrativa y de la gestión fiscal y reglas del régimen de inhabilidades e incompatibilidades, así como el deber </w:t>
      </w:r>
      <w:r w:rsidRPr="00044EB2">
        <w:rPr>
          <w:rFonts w:ascii="Verdana" w:eastAsia="Calibri" w:hAnsi="Verdana" w:cs="Arial"/>
          <w:bCs/>
          <w:i/>
          <w:iCs/>
          <w:color w:val="000000" w:themeColor="text1"/>
        </w:rPr>
        <w:t xml:space="preserve">de </w:t>
      </w:r>
      <w:r w:rsidRPr="00044EB2">
        <w:rPr>
          <w:rFonts w:ascii="Verdana" w:eastAsia="Calibri" w:hAnsi="Verdana" w:cs="Arial"/>
          <w:bCs/>
          <w:iCs/>
          <w:color w:val="000000" w:themeColor="text1"/>
        </w:rPr>
        <w:t>publicar los documentos relacionados con su actividad contractual en el Sistema Electrónico para la Contratación Pública –SECOP II– o la plataforma transaccional que haga sus veces regulado en el artículo 53 de la Ley 2195 de 2022 que modificó el artículo 13 de la Ley 1150 de 2007</w:t>
      </w:r>
      <w:r w:rsidRPr="00044EB2">
        <w:rPr>
          <w:rFonts w:ascii="Verdana" w:eastAsia="Calibri" w:hAnsi="Verdana" w:cs="Arial"/>
          <w:bCs/>
          <w:iCs/>
          <w:color w:val="000000" w:themeColor="text1"/>
          <w:lang w:val="es-ES"/>
        </w:rPr>
        <w:t xml:space="preserve">. </w:t>
      </w:r>
      <w:r w:rsidRPr="00044EB2">
        <w:rPr>
          <w:rFonts w:ascii="Verdana" w:eastAsia="Calibri" w:hAnsi="Verdana" w:cs="Arial"/>
          <w:bCs/>
          <w:iCs/>
          <w:color w:val="000000" w:themeColor="text1"/>
        </w:rPr>
        <w:t xml:space="preserve">De igual modo, las Empresas Industriales y Comerciales del Estado le son aplicables las reglas del artículo 56 de la Ley 2195 de 2022, la cual </w:t>
      </w:r>
      <w:r w:rsidRPr="00044EB2">
        <w:rPr>
          <w:rFonts w:ascii="Verdana" w:eastAsia="Calibri" w:hAnsi="Verdana" w:cs="Arial"/>
          <w:bCs/>
          <w:lang w:val="es-ES_tradnl" w:eastAsia="es-ES_tradnl"/>
        </w:rPr>
        <w:t>se refiere de manera expresa a los documentos tipo y a su aplicabilidad a sujetos diferentes de las Entidades Estatales sometidas al EGCAP, cuyo tenor literal prescribe:</w:t>
      </w:r>
    </w:p>
    <w:p w14:paraId="7A49BC35" w14:textId="77777777" w:rsidR="00044EB2" w:rsidRPr="00044EB2" w:rsidRDefault="00044EB2" w:rsidP="00044EB2">
      <w:pPr>
        <w:tabs>
          <w:tab w:val="left" w:pos="0"/>
        </w:tabs>
        <w:spacing w:after="0" w:line="240" w:lineRule="auto"/>
        <w:ind w:left="709" w:right="709"/>
        <w:jc w:val="both"/>
        <w:rPr>
          <w:rFonts w:ascii="Arial" w:eastAsia="Calibri" w:hAnsi="Arial" w:cs="Arial"/>
          <w:bCs/>
          <w:szCs w:val="24"/>
          <w:lang w:val="es-ES" w:eastAsia="es-ES_tradnl"/>
        </w:rPr>
      </w:pPr>
    </w:p>
    <w:p w14:paraId="79C6355C" w14:textId="77777777" w:rsidR="00044EB2" w:rsidRPr="00044EB2" w:rsidRDefault="00044EB2" w:rsidP="00044EB2">
      <w:pPr>
        <w:tabs>
          <w:tab w:val="left" w:pos="0"/>
        </w:tabs>
        <w:spacing w:after="0" w:line="240" w:lineRule="auto"/>
        <w:ind w:left="709" w:right="709"/>
        <w:jc w:val="both"/>
        <w:rPr>
          <w:rFonts w:ascii="Verdana" w:eastAsia="Times New Roman" w:hAnsi="Verdana" w:cs="Arial"/>
          <w:sz w:val="20"/>
          <w:szCs w:val="20"/>
          <w:lang w:val="es-ES_tradnl" w:eastAsia="es-ES_tradnl"/>
        </w:rPr>
      </w:pPr>
      <w:r w:rsidRPr="00044EB2">
        <w:rPr>
          <w:rFonts w:ascii="Verdana" w:eastAsia="Times New Roman" w:hAnsi="Verdana" w:cs="Arial"/>
          <w:sz w:val="20"/>
          <w:szCs w:val="20"/>
          <w:lang w:val="es-ES_tradnl" w:eastAsia="es-ES_tradnl"/>
        </w:rPr>
        <w:t xml:space="preserve">“Artículo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haga sus veces, conforme al parágrafo 7 del artículo 2 de la Ley 1150 de 2007 o las normas que lo modifiquen o sustituyan. </w:t>
      </w:r>
    </w:p>
    <w:p w14:paraId="43FA1138" w14:textId="77777777" w:rsidR="00044EB2" w:rsidRPr="00044EB2" w:rsidRDefault="00044EB2" w:rsidP="00044EB2">
      <w:pPr>
        <w:tabs>
          <w:tab w:val="left" w:pos="0"/>
        </w:tabs>
        <w:spacing w:after="0" w:line="240" w:lineRule="auto"/>
        <w:ind w:left="709" w:right="709"/>
        <w:jc w:val="both"/>
        <w:rPr>
          <w:rFonts w:ascii="Verdana" w:eastAsia="Times New Roman" w:hAnsi="Verdana" w:cs="Arial"/>
          <w:sz w:val="20"/>
          <w:szCs w:val="20"/>
          <w:lang w:val="es-ES_tradnl" w:eastAsia="es-ES_tradnl"/>
        </w:rPr>
      </w:pPr>
    </w:p>
    <w:p w14:paraId="6B73627D" w14:textId="77777777" w:rsidR="00044EB2" w:rsidRPr="00044EB2" w:rsidRDefault="00044EB2" w:rsidP="00044EB2">
      <w:pPr>
        <w:tabs>
          <w:tab w:val="left" w:pos="0"/>
        </w:tabs>
        <w:spacing w:after="0" w:line="240" w:lineRule="auto"/>
        <w:ind w:left="709" w:right="709"/>
        <w:jc w:val="both"/>
        <w:rPr>
          <w:rFonts w:ascii="Verdana" w:eastAsia="Times New Roman" w:hAnsi="Verdana" w:cs="Arial"/>
          <w:sz w:val="20"/>
          <w:szCs w:val="20"/>
          <w:lang w:val="es-ES_tradnl" w:eastAsia="es-ES_tradnl"/>
        </w:rPr>
      </w:pPr>
      <w:r w:rsidRPr="00044EB2">
        <w:rPr>
          <w:rFonts w:ascii="Verdana" w:eastAsia="Times New Roman" w:hAnsi="Verdana" w:cs="Arial"/>
          <w:sz w:val="20"/>
          <w:szCs w:val="20"/>
          <w:lang w:val="es-ES_tradnl" w:eastAsia="es-ES_tradnl"/>
        </w:rPr>
        <w:t xml:space="preserve">Los procedimientos de selección y los contratos que realicen en desarrollo de los anteriores negocios jurídicos, donde apliquen los documentos tipo </w:t>
      </w:r>
      <w:r w:rsidRPr="00044EB2">
        <w:rPr>
          <w:rFonts w:ascii="Verdana" w:eastAsia="Times New Roman" w:hAnsi="Verdana" w:cs="Arial"/>
          <w:sz w:val="20"/>
          <w:szCs w:val="20"/>
          <w:lang w:val="es-ES_tradnl" w:eastAsia="es-ES_tradnl"/>
        </w:rPr>
        <w:lastRenderedPageBreak/>
        <w:t xml:space="preserve">se regirán por el Estatuto General de Contratación de la Administración Pública. </w:t>
      </w:r>
    </w:p>
    <w:p w14:paraId="44964ABF" w14:textId="77777777" w:rsidR="00044EB2" w:rsidRPr="00044EB2" w:rsidRDefault="00044EB2" w:rsidP="00044EB2">
      <w:pPr>
        <w:tabs>
          <w:tab w:val="left" w:pos="0"/>
        </w:tabs>
        <w:spacing w:after="0" w:line="240" w:lineRule="auto"/>
        <w:ind w:left="709" w:right="709"/>
        <w:jc w:val="both"/>
        <w:rPr>
          <w:rFonts w:ascii="Verdana" w:eastAsia="Times New Roman" w:hAnsi="Verdana" w:cs="Arial"/>
          <w:sz w:val="20"/>
          <w:szCs w:val="20"/>
          <w:lang w:val="es-ES_tradnl" w:eastAsia="es-ES_tradnl"/>
        </w:rPr>
      </w:pPr>
    </w:p>
    <w:p w14:paraId="54BE6C9C" w14:textId="77777777" w:rsidR="00044EB2" w:rsidRPr="00044EB2" w:rsidRDefault="00044EB2" w:rsidP="00044EB2">
      <w:pPr>
        <w:spacing w:after="0" w:line="240" w:lineRule="auto"/>
        <w:ind w:left="709" w:right="709"/>
        <w:jc w:val="both"/>
        <w:rPr>
          <w:rFonts w:ascii="Verdana" w:eastAsia="Calibri" w:hAnsi="Verdana" w:cs="Arial"/>
          <w:sz w:val="20"/>
          <w:szCs w:val="20"/>
          <w:lang w:val="es-ES" w:eastAsia="es-ES"/>
        </w:rPr>
      </w:pPr>
      <w:r w:rsidRPr="00044EB2">
        <w:rPr>
          <w:rFonts w:ascii="Verdana" w:eastAsia="Times New Roman" w:hAnsi="Verdana" w:cs="Arial"/>
          <w:sz w:val="20"/>
          <w:szCs w:val="20"/>
          <w:lang w:val="es-ES" w:eastAsia="es-ES"/>
        </w:rPr>
        <w:t xml:space="preserve">Parágrafo. Se exceptúan del presente artículo las Instituciones de Educación Superior públicas, las empresas sociales del Estado, las sociedades de economía mixta y las empresas industriales y comerciales del Estado, únicamente en cuanto a la contratación de su </w:t>
      </w:r>
      <w:r w:rsidRPr="00044EB2">
        <w:rPr>
          <w:rFonts w:ascii="Verdana" w:eastAsia="Times New Roman" w:hAnsi="Verdana" w:cs="Arial"/>
          <w:i/>
          <w:iCs/>
          <w:sz w:val="20"/>
          <w:szCs w:val="20"/>
          <w:lang w:val="es-ES" w:eastAsia="es-ES"/>
        </w:rPr>
        <w:t>giro ordinario</w:t>
      </w:r>
      <w:r w:rsidRPr="00044EB2">
        <w:rPr>
          <w:rFonts w:ascii="Verdana" w:eastAsia="Times New Roman" w:hAnsi="Verdana" w:cs="Arial"/>
          <w:sz w:val="20"/>
          <w:szCs w:val="20"/>
          <w:lang w:val="es-ES" w:eastAsia="es-ES"/>
        </w:rPr>
        <w:t>. En estos casos, en los manuales de contratación de estas entidades, se fomentará como buena práctica la aplicación de los pliegos tipo”.</w:t>
      </w:r>
    </w:p>
    <w:p w14:paraId="285973BE" w14:textId="77777777" w:rsidR="00044EB2" w:rsidRPr="00044EB2" w:rsidRDefault="00044EB2" w:rsidP="00044EB2">
      <w:pPr>
        <w:tabs>
          <w:tab w:val="left" w:pos="0"/>
        </w:tabs>
        <w:spacing w:after="0" w:line="276" w:lineRule="auto"/>
        <w:jc w:val="both"/>
        <w:rPr>
          <w:rFonts w:ascii="Arial" w:eastAsia="Calibri" w:hAnsi="Arial" w:cs="Arial"/>
          <w:bCs/>
          <w:szCs w:val="24"/>
          <w:lang w:val="es-ES_tradnl" w:eastAsia="es-ES_tradnl"/>
        </w:rPr>
      </w:pPr>
    </w:p>
    <w:p w14:paraId="0AB9F60D" w14:textId="77777777" w:rsidR="00044EB2" w:rsidRPr="00044EB2" w:rsidRDefault="00044EB2" w:rsidP="00044EB2">
      <w:pPr>
        <w:tabs>
          <w:tab w:val="left" w:pos="0"/>
        </w:tabs>
        <w:spacing w:after="120" w:line="276" w:lineRule="auto"/>
        <w:jc w:val="both"/>
        <w:rPr>
          <w:rFonts w:ascii="Verdana" w:eastAsia="Calibri" w:hAnsi="Verdana" w:cs="Arial"/>
        </w:rPr>
      </w:pPr>
      <w:r w:rsidRPr="00044EB2">
        <w:rPr>
          <w:rFonts w:ascii="Arial" w:eastAsia="Calibri" w:hAnsi="Arial" w:cs="Arial"/>
          <w:bCs/>
          <w:szCs w:val="24"/>
          <w:lang w:val="es-ES_tradnl" w:eastAsia="es-ES_tradnl"/>
        </w:rPr>
        <w:tab/>
      </w:r>
      <w:r w:rsidRPr="00044EB2">
        <w:rPr>
          <w:rFonts w:ascii="Verdana" w:eastAsia="Calibri" w:hAnsi="Verdana" w:cs="Arial"/>
          <w:bCs/>
          <w:szCs w:val="24"/>
          <w:lang w:val="es-ES_tradnl" w:eastAsia="es-ES_tradnl"/>
        </w:rPr>
        <w:t xml:space="preserve">Las implicaciones de lo establecido en esta norma son variadas y se presentan en múltiples ámbitos de la actividad contractual de las Entidades Estatales, </w:t>
      </w:r>
      <w:proofErr w:type="gramStart"/>
      <w:r w:rsidRPr="00044EB2">
        <w:rPr>
          <w:rFonts w:ascii="Verdana" w:eastAsia="Calibri" w:hAnsi="Verdana" w:cs="Arial"/>
          <w:bCs/>
          <w:szCs w:val="24"/>
          <w:lang w:val="es-ES_tradnl" w:eastAsia="es-ES_tradnl"/>
        </w:rPr>
        <w:t>que</w:t>
      </w:r>
      <w:proofErr w:type="gramEnd"/>
      <w:r w:rsidRPr="00044EB2">
        <w:rPr>
          <w:rFonts w:ascii="Verdana" w:eastAsia="Calibri" w:hAnsi="Verdana" w:cs="Arial"/>
          <w:bCs/>
          <w:szCs w:val="24"/>
          <w:lang w:val="es-ES_tradnl" w:eastAsia="es-ES_tradnl"/>
        </w:rPr>
        <w:t xml:space="preserve"> como consecuencia de la </w:t>
      </w:r>
      <w:proofErr w:type="gramStart"/>
      <w:r w:rsidRPr="00044EB2">
        <w:rPr>
          <w:rFonts w:ascii="Verdana" w:eastAsia="Calibri" w:hAnsi="Verdana" w:cs="Arial"/>
          <w:bCs/>
          <w:szCs w:val="24"/>
          <w:lang w:val="es-ES_tradnl" w:eastAsia="es-ES_tradnl"/>
        </w:rPr>
        <w:t>entrada en vigencia</w:t>
      </w:r>
      <w:proofErr w:type="gramEnd"/>
      <w:r w:rsidRPr="00044EB2">
        <w:rPr>
          <w:rFonts w:ascii="Verdana" w:eastAsia="Calibri" w:hAnsi="Verdana" w:cs="Arial"/>
          <w:bCs/>
          <w:szCs w:val="24"/>
          <w:lang w:val="es-ES_tradnl" w:eastAsia="es-ES_tradnl"/>
        </w:rPr>
        <w:t xml:space="preserve"> de la disposición en cita, ven alterado su régimen jurídico. En este sentido, el Concepto C-870 del 13 de agosto de 2025 unificando la línea sobre la aplicación del artículo 56 de la Ley 2195 de 2022 expresando que </w:t>
      </w:r>
      <w:r w:rsidRPr="00044EB2">
        <w:rPr>
          <w:rFonts w:ascii="Verdana" w:eastAsia="Calibri" w:hAnsi="Verdana" w:cs="Arial"/>
          <w:lang w:eastAsia="es-ES"/>
        </w:rPr>
        <w:t xml:space="preserve">se alinea con la primera tesis expuesta en el concepto C-066 del 28 de enero de 2022 </w:t>
      </w:r>
      <w:r w:rsidRPr="00044EB2">
        <w:rPr>
          <w:rFonts w:ascii="Verdana" w:hAnsi="Verdana"/>
        </w:rPr>
        <w:t>desarrollada y complementada en los conceptos</w:t>
      </w:r>
      <w:r w:rsidRPr="00044EB2">
        <w:rPr>
          <w:rFonts w:ascii="Verdana" w:hAnsi="Verdana"/>
          <w:sz w:val="16"/>
          <w:szCs w:val="16"/>
        </w:rPr>
        <w:t xml:space="preserve"> </w:t>
      </w:r>
      <w:r w:rsidRPr="00044EB2">
        <w:rPr>
          <w:rFonts w:ascii="Verdana" w:hAnsi="Verdana"/>
        </w:rPr>
        <w:t>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C-155 del 7 de marzo de 2025, C-202 del 26 de marzo de 2025, C-298 del 16 de abril de 2025 y C-808 del 30 de julio de 2025.</w:t>
      </w:r>
    </w:p>
    <w:p w14:paraId="1B2102C7" w14:textId="77777777" w:rsidR="00044EB2" w:rsidRPr="00044EB2" w:rsidRDefault="00044EB2" w:rsidP="00044EB2">
      <w:pPr>
        <w:spacing w:after="120" w:line="276" w:lineRule="auto"/>
        <w:jc w:val="both"/>
        <w:rPr>
          <w:rFonts w:ascii="Verdana" w:eastAsia="Calibri" w:hAnsi="Verdana" w:cs="Arial"/>
          <w:lang w:val="es-ES"/>
        </w:rPr>
      </w:pPr>
      <w:r w:rsidRPr="00044EB2">
        <w:rPr>
          <w:rFonts w:ascii="Arial" w:eastAsia="Calibri" w:hAnsi="Arial" w:cs="Arial"/>
          <w:bCs/>
          <w:lang w:val="es-ES_tradnl"/>
        </w:rPr>
        <w:tab/>
      </w:r>
      <w:bookmarkStart w:id="6" w:name="_Hlk99351345"/>
      <w:r w:rsidRPr="00044EB2">
        <w:rPr>
          <w:rFonts w:ascii="Verdana" w:eastAsia="Calibri" w:hAnsi="Verdana" w:cs="Arial"/>
          <w:lang w:val="es-ES"/>
        </w:rPr>
        <w:t xml:space="preserve"> De esta forma, en el Concepto C-870 del 13 de agosto de 2025 se expresó que la interpretación en el sentido de indicar que  el primer inciso del artículo 56 de la Ley 2195 de 2022 surge como una disposición complementaria de la Ley 2022 de 2020, en la medida en que, según se desprende de su texto, de una parte, la norma busca extender la aplicación obligatoria de los documentos tipo a la celebración de contratos o convenios interadministrativos entre entidades regidas por EGCAP y otros sujetos cuyo régimen de contratación prevalente es el derecho privado. </w:t>
      </w:r>
    </w:p>
    <w:p w14:paraId="5C744CA8" w14:textId="77777777" w:rsidR="00044EB2" w:rsidRPr="00044EB2" w:rsidRDefault="00044EB2" w:rsidP="00044EB2">
      <w:pPr>
        <w:spacing w:after="120" w:line="276" w:lineRule="auto"/>
        <w:ind w:firstLine="708"/>
        <w:jc w:val="both"/>
        <w:rPr>
          <w:rFonts w:ascii="Verdana" w:eastAsia="Calibri" w:hAnsi="Verdana" w:cs="Arial"/>
          <w:lang w:val="es-ES"/>
        </w:rPr>
      </w:pPr>
      <w:r w:rsidRPr="00044EB2">
        <w:rPr>
          <w:rFonts w:ascii="Verdana" w:eastAsia="Calibri" w:hAnsi="Verdana" w:cs="Arial"/>
          <w:lang w:val="es-ES"/>
        </w:rPr>
        <w:t xml:space="preserve">Esto de tal forma que cuando una Entidad Estatal regida por el EGCAP celebre contratos o convenios con otra i) Entidad Estatal de régimen especial o con </w:t>
      </w:r>
      <w:proofErr w:type="spellStart"/>
      <w:r w:rsidRPr="00044EB2">
        <w:rPr>
          <w:rFonts w:ascii="Verdana" w:eastAsia="Calibri" w:hAnsi="Verdana" w:cs="Arial"/>
          <w:lang w:val="es-ES"/>
        </w:rPr>
        <w:t>ii</w:t>
      </w:r>
      <w:proofErr w:type="spellEnd"/>
      <w:r w:rsidRPr="00044EB2">
        <w:rPr>
          <w:rFonts w:ascii="Verdana" w:eastAsia="Calibri" w:hAnsi="Verdana" w:cs="Arial"/>
          <w:lang w:val="es-ES"/>
        </w:rPr>
        <w:t xml:space="preserve">) patrimonios autónomos o </w:t>
      </w:r>
      <w:proofErr w:type="spellStart"/>
      <w:r w:rsidRPr="00044EB2">
        <w:rPr>
          <w:rFonts w:ascii="Verdana" w:eastAsia="Calibri" w:hAnsi="Verdana" w:cs="Arial"/>
          <w:lang w:val="es-ES"/>
        </w:rPr>
        <w:t>iii</w:t>
      </w:r>
      <w:proofErr w:type="spellEnd"/>
      <w:r w:rsidRPr="00044EB2">
        <w:rPr>
          <w:rFonts w:ascii="Verdana" w:eastAsia="Calibri" w:hAnsi="Verdana" w:cs="Arial"/>
          <w:lang w:val="es-ES"/>
        </w:rPr>
        <w:t xml:space="preserve">) con personas naturales o jurídicas de </w:t>
      </w:r>
      <w:r w:rsidRPr="00044EB2">
        <w:rPr>
          <w:rFonts w:ascii="Verdana" w:eastAsia="Calibri" w:hAnsi="Verdana" w:cs="Arial"/>
          <w:lang w:val="es-ES"/>
        </w:rPr>
        <w:lastRenderedPageBreak/>
        <w:t>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w:t>
      </w:r>
    </w:p>
    <w:bookmarkEnd w:id="6"/>
    <w:p w14:paraId="74ADA3FE" w14:textId="77777777" w:rsidR="00044EB2" w:rsidRPr="00044EB2" w:rsidRDefault="00044EB2" w:rsidP="00044EB2">
      <w:pPr>
        <w:tabs>
          <w:tab w:val="left" w:pos="0"/>
        </w:tabs>
        <w:spacing w:after="120" w:line="276" w:lineRule="auto"/>
        <w:jc w:val="both"/>
        <w:rPr>
          <w:rFonts w:ascii="Verdana" w:eastAsia="Calibri" w:hAnsi="Verdana" w:cs="Arial"/>
          <w:lang w:val="es-ES" w:eastAsia="es-ES"/>
        </w:rPr>
      </w:pPr>
      <w:r w:rsidRPr="00044EB2">
        <w:rPr>
          <w:rFonts w:ascii="Verdana" w:eastAsia="Calibri" w:hAnsi="Verdana" w:cs="Arial"/>
          <w:bCs/>
          <w:lang w:val="es-ES_tradnl" w:eastAsia="es-ES_tradnl"/>
        </w:rPr>
        <w:tab/>
      </w:r>
      <w:r w:rsidRPr="00044EB2">
        <w:rPr>
          <w:rFonts w:ascii="Verdana" w:eastAsia="Calibri" w:hAnsi="Verdana" w:cs="Arial"/>
          <w:lang w:val="es-ES" w:eastAsia="es-ES"/>
        </w:rPr>
        <w:t xml:space="preserve"> Sin perjuicio de lo anterior, solo es posible comprender los efectos de lo dispuesto en el artículo 56 de la </w:t>
      </w:r>
      <w:bookmarkStart w:id="7" w:name="_Hlk205276572"/>
      <w:r w:rsidRPr="00044EB2">
        <w:rPr>
          <w:rFonts w:ascii="Verdana" w:eastAsia="Calibri" w:hAnsi="Verdana" w:cs="Arial"/>
          <w:lang w:val="es-ES" w:eastAsia="es-ES"/>
        </w:rPr>
        <w:t xml:space="preserve">Ley 2195 de 2022 </w:t>
      </w:r>
      <w:bookmarkEnd w:id="7"/>
      <w:r w:rsidRPr="00044EB2">
        <w:rPr>
          <w:rFonts w:ascii="Verdana" w:eastAsia="Calibri" w:hAnsi="Verdana" w:cs="Arial"/>
          <w:lang w:val="es-ES" w:eastAsia="es-ES"/>
        </w:rPr>
        <w:t xml:space="preserve">cuando se interpretan en conjunto todos sus componentes. Esto comoquiera que, a lo anterior se le suman las implicaciones de lo ordenado por el segundo inciso de la norma en estudio cuando usa la expresión “los procedimientos de selección y contratos que realicen en desarrollo de los anteriores negocios jurídicos”, a los que se refiere el primer inciso, en los que, además de la aplicación de los documentos tipo, se dispone la aplicación del EGCAP. </w:t>
      </w:r>
    </w:p>
    <w:p w14:paraId="447934BE" w14:textId="77777777" w:rsidR="00044EB2" w:rsidRPr="00044EB2" w:rsidRDefault="00044EB2" w:rsidP="00044EB2">
      <w:pPr>
        <w:tabs>
          <w:tab w:val="left" w:pos="0"/>
        </w:tabs>
        <w:spacing w:after="120" w:line="276" w:lineRule="auto"/>
        <w:jc w:val="both"/>
        <w:rPr>
          <w:rFonts w:ascii="Verdana" w:eastAsia="Calibri" w:hAnsi="Verdana" w:cs="Arial"/>
          <w:lang w:val="es-ES" w:eastAsia="es-ES"/>
        </w:rPr>
      </w:pPr>
      <w:r w:rsidRPr="00044EB2">
        <w:rPr>
          <w:rFonts w:ascii="Verdana" w:eastAsia="Calibri" w:hAnsi="Verdana" w:cs="Arial"/>
          <w:lang w:val="es-ES" w:eastAsia="es-ES"/>
        </w:rPr>
        <w:tab/>
        <w:t xml:space="preserve">De acuerdo con esto, el cambio normativo que supone el artículo en comento no se agota con el mandato de aplicación obligatoria de los documentos tipo en los convenios o contratos que celebren las Entidades Estatales regidas por el EGCAP con otras entidades de régimen especial, patrimonios autónomos, personas naturales o jurídicas de derecho privado, pues, según se desprende del segundo inciso de la norma, esta además ordena la aplicación del EGCAP a los Procesos de Contratación que se adelanten y a los contratos que se celebren con ocasión de los contratos o convenios a los que se refiere el primer inciso. </w:t>
      </w:r>
    </w:p>
    <w:p w14:paraId="78E94565" w14:textId="77777777" w:rsidR="00044EB2" w:rsidRPr="00044EB2" w:rsidRDefault="00044EB2" w:rsidP="00044EB2">
      <w:pPr>
        <w:tabs>
          <w:tab w:val="left" w:pos="0"/>
        </w:tabs>
        <w:spacing w:after="120" w:line="276" w:lineRule="auto"/>
        <w:jc w:val="both"/>
        <w:rPr>
          <w:rFonts w:ascii="Verdana" w:eastAsia="Calibri" w:hAnsi="Verdana" w:cs="Arial"/>
          <w:lang w:val="es-ES" w:eastAsia="es-ES"/>
        </w:rPr>
      </w:pPr>
      <w:r w:rsidRPr="00044EB2">
        <w:rPr>
          <w:rFonts w:ascii="Verdana" w:eastAsia="Calibri" w:hAnsi="Verdana" w:cs="Arial"/>
          <w:lang w:val="es-ES" w:eastAsia="es-ES"/>
        </w:rPr>
        <w:tab/>
        <w:t xml:space="preserve">Esto significa que, ya sea una Entidad Estatal de régimen especial, un patrimonio autónomo o una persona natural o jurídica de derecho privado, en virtud de lo dispuesto en los incisos primero y segundo del artículo 56 </w:t>
      </w:r>
      <w:proofErr w:type="spellStart"/>
      <w:r w:rsidRPr="00044EB2">
        <w:rPr>
          <w:rFonts w:ascii="Verdana" w:eastAsia="Calibri" w:hAnsi="Verdana" w:cs="Arial"/>
          <w:lang w:val="es-ES" w:eastAsia="es-ES"/>
        </w:rPr>
        <w:t>ejusdem</w:t>
      </w:r>
      <w:proofErr w:type="spellEnd"/>
      <w:r w:rsidRPr="00044EB2">
        <w:rPr>
          <w:rFonts w:ascii="Verdana" w:eastAsia="Calibri" w:hAnsi="Verdana" w:cs="Arial"/>
          <w:lang w:val="es-ES" w:eastAsia="es-ES"/>
        </w:rPr>
        <w:t xml:space="preserve">, si, en efecto, deben subcontratar bienes, obras o servicios, en cumplimiento de un contrato o convenio interadministrativo o de cualquier otra índole, con una entidad estatal sometida a la Ley 80 de 1993, deberá adelantar el procedimiento de selección, así como celebrar el respectivo contrato, implementando los documentos tipo  y aplicando las disposiciones del EGCAP. </w:t>
      </w:r>
    </w:p>
    <w:p w14:paraId="281834DF" w14:textId="77777777" w:rsidR="00044EB2" w:rsidRPr="00044EB2" w:rsidRDefault="00044EB2" w:rsidP="00044EB2">
      <w:pPr>
        <w:tabs>
          <w:tab w:val="left" w:pos="0"/>
        </w:tabs>
        <w:spacing w:after="0" w:line="276" w:lineRule="auto"/>
        <w:jc w:val="both"/>
        <w:rPr>
          <w:rFonts w:ascii="Verdana" w:eastAsia="Calibri" w:hAnsi="Verdana" w:cs="Arial"/>
          <w:lang w:val="es-ES" w:eastAsia="es-ES"/>
        </w:rPr>
      </w:pPr>
      <w:r w:rsidRPr="00044EB2">
        <w:rPr>
          <w:rFonts w:ascii="Arial" w:eastAsia="Calibri" w:hAnsi="Arial" w:cs="Arial"/>
          <w:bCs/>
          <w:color w:val="000000"/>
          <w:lang w:val="es-ES_tradnl"/>
        </w:rPr>
        <w:tab/>
      </w:r>
      <w:r w:rsidRPr="00044EB2">
        <w:rPr>
          <w:rFonts w:ascii="Verdana" w:eastAsia="Calibri" w:hAnsi="Verdana" w:cs="Arial"/>
          <w:lang w:val="es-ES" w:eastAsia="es-ES"/>
        </w:rPr>
        <w:t xml:space="preserve">Esta, además, es la interpretación que se desprende de la justificación del proyecto normativo que se convirtió en la Ley 2195 de 2022, en la que, respecto de los contratos ejecutados por entidades de derecho privado, se refirió a la “[..] obligatoriedad de aplicar los documentos tipo, aun si son ejecutados con </w:t>
      </w:r>
      <w:r w:rsidRPr="00044EB2">
        <w:rPr>
          <w:rFonts w:ascii="Verdana" w:eastAsia="Calibri" w:hAnsi="Verdana" w:cs="Arial"/>
          <w:lang w:val="es-ES" w:eastAsia="es-ES"/>
        </w:rPr>
        <w:lastRenderedPageBreak/>
        <w:t xml:space="preserve">entidades de régimen especial”, como uno de los propósitos de la Ley.  Conforme se indica en la justificación jurídica del proyecto Ley, este: </w:t>
      </w:r>
    </w:p>
    <w:p w14:paraId="43B1082F" w14:textId="77777777" w:rsidR="00044EB2" w:rsidRPr="00044EB2" w:rsidRDefault="00044EB2" w:rsidP="00044EB2">
      <w:pPr>
        <w:tabs>
          <w:tab w:val="left" w:pos="0"/>
        </w:tabs>
        <w:spacing w:after="0" w:line="240" w:lineRule="auto"/>
        <w:jc w:val="both"/>
        <w:rPr>
          <w:rFonts w:ascii="Verdana" w:eastAsia="Calibri" w:hAnsi="Verdana" w:cs="Arial"/>
          <w:lang w:val="es-ES" w:eastAsia="es-ES"/>
        </w:rPr>
      </w:pPr>
    </w:p>
    <w:p w14:paraId="7993BD40" w14:textId="77777777" w:rsidR="00044EB2" w:rsidRPr="00044EB2" w:rsidRDefault="00044EB2" w:rsidP="00044EB2">
      <w:pPr>
        <w:tabs>
          <w:tab w:val="left" w:pos="0"/>
        </w:tabs>
        <w:spacing w:after="0" w:line="240" w:lineRule="auto"/>
        <w:ind w:left="709" w:right="709"/>
        <w:jc w:val="both"/>
        <w:rPr>
          <w:rFonts w:ascii="Verdana" w:eastAsia="Calibri" w:hAnsi="Verdana" w:cs="Arial"/>
          <w:bCs/>
          <w:color w:val="000000"/>
          <w:sz w:val="20"/>
          <w:szCs w:val="20"/>
          <w:lang w:val="es-ES_tradnl"/>
        </w:rPr>
      </w:pPr>
      <w:r w:rsidRPr="00044EB2">
        <w:rPr>
          <w:rFonts w:ascii="Verdana" w:eastAsia="Calibri" w:hAnsi="Verdana" w:cs="Arial"/>
          <w:bCs/>
          <w:color w:val="000000"/>
          <w:sz w:val="20"/>
          <w:szCs w:val="20"/>
          <w:lang w:val="es-ES_tradnl"/>
        </w:rPr>
        <w:t>“[…] determina la aplicación de documentos tipo, en los términos del parágrafo 7 del artículo 2 de la Ley 1150 de 2007 o las normas que lo modifiquen o sustituyan, en los eventos en que entidades públicas sometidas al Estatuto General de Contratación de la Administración Pública celebren contratos o convenios interadministrativos o de cualquier otra índole con otras entidades estatales, patrimonios autónomos o personas naturales o jurídicas de derecho privado. Así mismo, se determina que los procedimientos de selección y los contratos realizados en dichos negocios jurídicos deben regirse por las normas de contratación pública”</w:t>
      </w:r>
      <w:r w:rsidRPr="00044EB2">
        <w:rPr>
          <w:rFonts w:ascii="Verdana" w:eastAsia="Calibri" w:hAnsi="Verdana" w:cs="Arial"/>
          <w:color w:val="000000"/>
          <w:sz w:val="20"/>
          <w:szCs w:val="20"/>
          <w:vertAlign w:val="superscript"/>
        </w:rPr>
        <w:footnoteReference w:id="12"/>
      </w:r>
      <w:r w:rsidRPr="00044EB2">
        <w:rPr>
          <w:rFonts w:ascii="Verdana" w:eastAsia="Calibri" w:hAnsi="Verdana" w:cs="Arial"/>
          <w:bCs/>
          <w:color w:val="000000"/>
          <w:sz w:val="20"/>
          <w:szCs w:val="20"/>
          <w:lang w:val="es-ES_tradnl"/>
        </w:rPr>
        <w:t xml:space="preserve">. </w:t>
      </w:r>
    </w:p>
    <w:p w14:paraId="33D039B6" w14:textId="77777777" w:rsidR="00044EB2" w:rsidRPr="00044EB2" w:rsidRDefault="00044EB2" w:rsidP="00044EB2">
      <w:pPr>
        <w:tabs>
          <w:tab w:val="left" w:pos="0"/>
        </w:tabs>
        <w:spacing w:after="0" w:line="276" w:lineRule="auto"/>
        <w:jc w:val="both"/>
        <w:rPr>
          <w:rFonts w:ascii="Arial" w:eastAsia="Calibri" w:hAnsi="Arial" w:cs="Arial"/>
          <w:bCs/>
          <w:color w:val="000000"/>
          <w:lang w:val="es-ES_tradnl"/>
        </w:rPr>
      </w:pPr>
      <w:r w:rsidRPr="00044EB2">
        <w:rPr>
          <w:rFonts w:ascii="Arial" w:eastAsia="Calibri" w:hAnsi="Arial" w:cs="Arial"/>
          <w:bCs/>
          <w:color w:val="000000"/>
          <w:lang w:val="es-ES_tradnl"/>
        </w:rPr>
        <w:tab/>
        <w:t xml:space="preserve"> </w:t>
      </w:r>
    </w:p>
    <w:p w14:paraId="5642BF87" w14:textId="77777777" w:rsidR="00044EB2" w:rsidRPr="00044EB2" w:rsidRDefault="00044EB2" w:rsidP="00044EB2">
      <w:pPr>
        <w:spacing w:after="120" w:line="276" w:lineRule="auto"/>
        <w:jc w:val="both"/>
        <w:rPr>
          <w:rFonts w:ascii="Verdana" w:eastAsia="Calibri" w:hAnsi="Verdana" w:cs="Arial"/>
          <w:color w:val="000000"/>
          <w:lang w:val="es-ES"/>
        </w:rPr>
      </w:pPr>
      <w:r w:rsidRPr="00044EB2">
        <w:rPr>
          <w:rFonts w:ascii="Arial" w:eastAsia="Calibri" w:hAnsi="Arial" w:cs="Arial"/>
          <w:bCs/>
          <w:color w:val="000000"/>
          <w:lang w:val="es-ES_tradnl"/>
        </w:rPr>
        <w:tab/>
      </w:r>
      <w:r w:rsidRPr="00044EB2">
        <w:rPr>
          <w:rFonts w:ascii="Verdana" w:eastAsia="Calibri" w:hAnsi="Verdana" w:cs="Arial"/>
          <w:color w:val="000000"/>
          <w:lang w:val="es-ES"/>
        </w:rPr>
        <w:t xml:space="preserve">De lo anterior, se evidencia que el propósito del legislador con la expedición de la norma objeto de consulta, tal como se ha explicado, es que las entidades estatales que tienen como régimen contractual el EGCAP no puedan eludir su aplicación, ni la de los documentos tipo que resulten obligatorios, celebrando convenios o contratos interadministrativo o de cualquier otra índole, con entidades exceptuadas o particulares sometidos al derecho privado, para que sean estos últimos quienes, en el marco de sus regímenes especiales o de derecho privado, realicen la subcontratación de los bienes, obras o servicios que demanda la Entidad Estatal, en una suerte de tercerización de la contratación. </w:t>
      </w:r>
    </w:p>
    <w:p w14:paraId="59BA71A9" w14:textId="77777777" w:rsidR="00044EB2" w:rsidRPr="00044EB2" w:rsidRDefault="00044EB2" w:rsidP="00044EB2">
      <w:pPr>
        <w:spacing w:after="120" w:line="276" w:lineRule="auto"/>
        <w:ind w:firstLine="708"/>
        <w:jc w:val="both"/>
        <w:rPr>
          <w:rFonts w:ascii="Verdana" w:eastAsia="Calibri" w:hAnsi="Verdana" w:cs="Arial"/>
          <w:color w:val="000000"/>
          <w:lang w:val="es-ES"/>
        </w:rPr>
      </w:pPr>
      <w:r w:rsidRPr="00044EB2">
        <w:rPr>
          <w:rFonts w:ascii="Verdana" w:eastAsia="Calibri" w:hAnsi="Verdana" w:cs="Arial"/>
          <w:color w:val="000000"/>
          <w:lang w:val="es-ES"/>
        </w:rPr>
        <w:t xml:space="preserve">Lo anterior teniendo en cuenta que, a la luz de lo dispuesto en el artículo 56 de la Ley 2195 de 2022, tales entidades exceptuadas, patrimonios autónomos o particulares, que han suscrito convenios o contratos de cualquier índole con entidades sometidas al EGCAP, estarán obligadas a aplicar dicho estatuto para la subcontratación derivada de obras, bienes o servicios, siempre que exista documentos tipo en el sector en el que se adelanta la contratación.  </w:t>
      </w:r>
    </w:p>
    <w:p w14:paraId="60A75581" w14:textId="77777777" w:rsidR="00044EB2" w:rsidRPr="00044EB2" w:rsidRDefault="00044EB2" w:rsidP="00044EB2">
      <w:pPr>
        <w:spacing w:after="120" w:line="276" w:lineRule="auto"/>
        <w:ind w:firstLine="709"/>
        <w:jc w:val="both"/>
        <w:rPr>
          <w:rFonts w:ascii="Verdana" w:eastAsia="Calibri" w:hAnsi="Verdana" w:cs="Arial"/>
          <w:lang w:val="es-ES" w:eastAsia="es-ES"/>
        </w:rPr>
      </w:pPr>
      <w:r w:rsidRPr="00044EB2">
        <w:rPr>
          <w:rFonts w:ascii="Verdana" w:eastAsia="Calibri" w:hAnsi="Verdana" w:cs="Arial"/>
          <w:lang w:val="es-ES" w:eastAsia="es-ES"/>
        </w:rPr>
        <w:t xml:space="preserve">En este punto es necesario analizar los efectos del artículo 56 de la Ley 2195 de 2022, respecto de lo dispuesto en el artículo 2, numeral 4, de la Ley 1150 de 2007, particularmente, de lo establecido en el tercer inciso del literal c). Lo anterior por cuanto esta norma, al establecer como causal de contratación directa la celebración de convenios o contratos interadministrativos regulaba la normativa aplicable a estos cuando el régimen prevalente de la entidad </w:t>
      </w:r>
      <w:r w:rsidRPr="00044EB2">
        <w:rPr>
          <w:rFonts w:ascii="Verdana" w:eastAsia="Calibri" w:hAnsi="Verdana" w:cs="Arial"/>
          <w:lang w:val="es-ES" w:eastAsia="es-ES"/>
        </w:rPr>
        <w:lastRenderedPageBreak/>
        <w:t xml:space="preserve">encargada de la ejecución no fuera el de la Ley 80 de 1993, casos en los que la norma imponía la aplicación de esta normativa, a menos que la entidad ejecutora desarrollara su actividad en competencia con el sector privado, o cuando la ejecución del contrato tuviere relación directa con el desarrollo de su actividad, eventos en los que se imponía el derecho privado. En ese sentido, en este último evento el tercer inciso del literal c) del artículo 2, numeral 4 de la Ley 1150 de 2007 daba pie a la aplicación de normas de derecho privado, lo que evidencia una supuesta o aparente tensión entre este y el artículo 56 de la Ley 2195 de 2022, en lo que se refiere al régimen aplicable en estas situaciones, comoquiera que, en estos eventos, al tenor de criterios interpretativos aplicados a lo dispuesto en esta última norma, se entendía que debía aplicarse el EGCAP y los documentos tipo. </w:t>
      </w:r>
    </w:p>
    <w:p w14:paraId="0E883266" w14:textId="77777777" w:rsidR="00044EB2" w:rsidRPr="00044EB2" w:rsidRDefault="00044EB2" w:rsidP="00044EB2">
      <w:pPr>
        <w:spacing w:after="120" w:line="276" w:lineRule="auto"/>
        <w:jc w:val="both"/>
        <w:rPr>
          <w:rFonts w:ascii="Verdana" w:eastAsia="Calibri" w:hAnsi="Verdana" w:cs="Arial"/>
          <w:lang w:val="es-ES" w:eastAsia="es-ES"/>
        </w:rPr>
      </w:pPr>
      <w:r w:rsidRPr="00044EB2">
        <w:rPr>
          <w:rFonts w:ascii="Verdana" w:eastAsia="Calibri" w:hAnsi="Verdana" w:cs="Arial"/>
          <w:bCs/>
          <w:lang w:val="es-ES_tradnl" w:eastAsia="es-ES_tradnl"/>
        </w:rPr>
        <w:tab/>
      </w:r>
      <w:r w:rsidRPr="00044EB2">
        <w:rPr>
          <w:rFonts w:ascii="Verdana" w:eastAsia="Calibri" w:hAnsi="Verdana" w:cs="Arial"/>
          <w:lang w:val="es-ES" w:eastAsia="es-ES"/>
        </w:rPr>
        <w:t>Lo anterior suponía una antinomia entre el literal c) del artículo 2, numeral 4, de la Ley 1150 de 2007 y el artículo 56 de la Ley 2195 de 2022, en la medida en que para un mismo supuesto de hecho –la celebración de un convenio interadministrativo entre una entidad sometida al EGCAP y otra exceptuada, en la que la última es la ejecutora y desarrolla su actividad en competencia con el sector privado–, se establecían diferentes consecuencias jurídicas, ya que mientras que la primera norma dispone la aplicación del derecho privado, la última impone la aplicación de documentos tipo y del EGCAP. Esta aparente contradicción, como se expuso en el numeral anterior, debe ser resuelta en favor del artículo 56 de la Ley 2195 de 2022.</w:t>
      </w:r>
    </w:p>
    <w:p w14:paraId="1A022230" w14:textId="77777777" w:rsidR="00044EB2" w:rsidRPr="00044EB2" w:rsidRDefault="00044EB2" w:rsidP="00044EB2">
      <w:pPr>
        <w:tabs>
          <w:tab w:val="left" w:pos="0"/>
        </w:tabs>
        <w:spacing w:after="120" w:line="276" w:lineRule="auto"/>
        <w:jc w:val="both"/>
        <w:rPr>
          <w:rFonts w:ascii="Verdana" w:eastAsia="Calibri" w:hAnsi="Verdana" w:cs="Arial"/>
          <w:bCs/>
          <w:lang w:val="es-ES_tradnl" w:eastAsia="es-ES_tradnl"/>
        </w:rPr>
      </w:pPr>
      <w:r w:rsidRPr="00044EB2">
        <w:rPr>
          <w:rFonts w:ascii="Verdana" w:eastAsia="Calibri" w:hAnsi="Verdana" w:cs="Arial"/>
          <w:bCs/>
          <w:lang w:val="es-ES_tradnl" w:eastAsia="es-ES_tradnl"/>
        </w:rPr>
        <w:tab/>
        <w:t xml:space="preserve">En efecto, tratándose de disposiciones de igual jerarquía normativa –ambas son leyes ordinarias–, que coinciden en su ámbito de aplicación, debe colegirse que, en lo que respecta al régimen aplicable a los contratos con entidades exceptuadas ejecutoras de contratos o convenios interadministrativos, que desarrollen su actividad en competencia con el sector privado, el artículo 56 de la Ley 2195 de 2022 supuso una modificación tácita del artículo 2, numeral 4, literal c), de la Ley 1150 de 2007. </w:t>
      </w:r>
    </w:p>
    <w:p w14:paraId="5EE64894" w14:textId="77777777" w:rsidR="00044EB2" w:rsidRPr="00044EB2" w:rsidRDefault="00044EB2" w:rsidP="00044EB2">
      <w:pPr>
        <w:spacing w:after="120" w:line="276" w:lineRule="auto"/>
        <w:jc w:val="both"/>
        <w:rPr>
          <w:rFonts w:ascii="Verdana" w:eastAsia="Calibri" w:hAnsi="Verdana" w:cs="Arial"/>
          <w:lang w:val="es-ES" w:eastAsia="es-ES"/>
        </w:rPr>
      </w:pPr>
      <w:r w:rsidRPr="00044EB2">
        <w:rPr>
          <w:rFonts w:ascii="Verdana" w:eastAsia="Calibri" w:hAnsi="Verdana" w:cs="Arial"/>
          <w:bCs/>
          <w:lang w:val="es-ES_tradnl" w:eastAsia="es-ES_tradnl"/>
        </w:rPr>
        <w:tab/>
      </w:r>
      <w:r w:rsidRPr="00044EB2">
        <w:rPr>
          <w:rFonts w:ascii="Verdana" w:eastAsia="Calibri" w:hAnsi="Verdana" w:cs="Arial"/>
          <w:lang w:val="es-ES" w:eastAsia="es-ES"/>
        </w:rPr>
        <w:t xml:space="preserve">En tales términos, de lo analizado hasta aquí es posible concluir que el efecto principal de la norma bajo estudio es la ampliación de los documentos tipo, al hacerlos obligatorios frente a unos sujetos que, en principio, de acuerdo con la Ley 2022 de 2020 y el literal c) del numeral 4 del artículo 2 de la Ley 1150 de 2007, no estarían sometidos a esos documentos. Para complementar esta medida, la disposición además hace extensiva la aplicación del EGCAP a estos </w:t>
      </w:r>
      <w:r w:rsidRPr="00044EB2">
        <w:rPr>
          <w:rFonts w:ascii="Verdana" w:eastAsia="Calibri" w:hAnsi="Verdana" w:cs="Arial"/>
          <w:lang w:val="es-ES" w:eastAsia="es-ES"/>
        </w:rPr>
        <w:lastRenderedPageBreak/>
        <w:t xml:space="preserve">sujetos que, en virtud de su naturaleza jurídica, tienen, como regla general, un régimen de contratación diferente, tales como las entidades exceptuadas, los patrimonios autónomos y las personas naturales y jurídicas de derecho privado, a los que expresamente hace alusión el artículo 56. </w:t>
      </w:r>
    </w:p>
    <w:p w14:paraId="437B37FF" w14:textId="77777777" w:rsidR="00044EB2" w:rsidRPr="00044EB2" w:rsidRDefault="00044EB2" w:rsidP="00044EB2">
      <w:pPr>
        <w:spacing w:after="120" w:line="276" w:lineRule="auto"/>
        <w:ind w:firstLine="708"/>
        <w:jc w:val="both"/>
        <w:rPr>
          <w:rFonts w:ascii="Verdana" w:eastAsia="Calibri" w:hAnsi="Verdana" w:cs="Arial"/>
          <w:lang w:val="es-ES" w:eastAsia="es-ES"/>
        </w:rPr>
      </w:pPr>
      <w:r w:rsidRPr="00044EB2">
        <w:rPr>
          <w:rFonts w:ascii="Verdana" w:eastAsia="Calibri" w:hAnsi="Verdana" w:cs="Arial"/>
          <w:lang w:val="es-ES" w:eastAsia="es-ES"/>
        </w:rPr>
        <w:t xml:space="preserve">De esta forma, independientemente de que el inciso tercero del literal c) del artículo 2, numeral 4, de la Ley 1150 de 2007 parezca indicar que se debe aplicar el derecho privado, por ser este el régimen que por regla general aplica la entidad ejecutora, tratándose de objetos cobijados por documentos tipo, los mismos deberán ser contratados aplicando tales Pliegos Tipo y las disposiciones del EGCAP, por efecto del artículo 56 de la Ley 2195 de 2022.  </w:t>
      </w:r>
      <w:r w:rsidRPr="00044EB2">
        <w:rPr>
          <w:rFonts w:ascii="Verdana" w:eastAsia="Calibri" w:hAnsi="Verdana" w:cs="Arial"/>
          <w:bCs/>
          <w:highlight w:val="yellow"/>
          <w:lang w:val="es-ES_tradnl" w:eastAsia="es-ES_tradnl"/>
        </w:rPr>
        <w:t xml:space="preserve"> </w:t>
      </w:r>
    </w:p>
    <w:p w14:paraId="6920107E" w14:textId="77777777" w:rsidR="00044EB2" w:rsidRPr="00044EB2" w:rsidRDefault="00044EB2" w:rsidP="00044EB2">
      <w:pPr>
        <w:tabs>
          <w:tab w:val="left" w:pos="0"/>
        </w:tabs>
        <w:spacing w:after="120" w:line="276" w:lineRule="auto"/>
        <w:ind w:firstLine="709"/>
        <w:jc w:val="both"/>
        <w:rPr>
          <w:rFonts w:ascii="Arial" w:eastAsia="Calibri" w:hAnsi="Arial" w:cs="Arial"/>
          <w:bCs/>
          <w:lang w:val="es-ES_tradnl"/>
        </w:rPr>
      </w:pPr>
      <w:r w:rsidRPr="00044EB2">
        <w:rPr>
          <w:rFonts w:ascii="Verdana" w:hAnsi="Verdana" w:cs="Arial"/>
          <w:color w:val="000000" w:themeColor="text1"/>
        </w:rPr>
        <w:t xml:space="preserve">En este contexto, </w:t>
      </w:r>
      <w:r w:rsidRPr="00044EB2">
        <w:rPr>
          <w:rFonts w:ascii="Verdana" w:eastAsia="Calibri" w:hAnsi="Verdana" w:cs="Arial"/>
          <w:bCs/>
          <w:lang w:val="es-ES_tradnl" w:eastAsia="es-ES_tradnl"/>
        </w:rPr>
        <w:t>de la lectura conjunta de los incisos primero y segundo</w:t>
      </w:r>
      <w:r w:rsidRPr="00044EB2">
        <w:rPr>
          <w:rFonts w:ascii="Verdana" w:eastAsia="Calibri" w:hAnsi="Verdana" w:cs="Arial"/>
          <w:bCs/>
          <w:lang w:eastAsia="es-ES_tradnl"/>
        </w:rPr>
        <w:t xml:space="preserve"> del artículo 56 de la Ley 2195 de 2022,</w:t>
      </w:r>
      <w:r w:rsidRPr="00044EB2">
        <w:rPr>
          <w:rFonts w:ascii="Verdana" w:eastAsia="Calibri" w:hAnsi="Verdana" w:cs="Arial"/>
          <w:bCs/>
          <w:lang w:val="es-ES_tradnl" w:eastAsia="es-ES_tradnl"/>
        </w:rPr>
        <w:t xml:space="preserve"> se desprende que </w:t>
      </w:r>
      <w:r w:rsidRPr="00044EB2">
        <w:rPr>
          <w:rFonts w:ascii="Verdana" w:eastAsia="Calibri" w:hAnsi="Verdana" w:cs="Arial"/>
          <w:bCs/>
          <w:lang w:eastAsia="es-ES_tradnl"/>
        </w:rPr>
        <w:t>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044EB2">
        <w:rPr>
          <w:rFonts w:ascii="Arial" w:eastAsia="Calibri" w:hAnsi="Arial" w:cs="Arial"/>
          <w:bCs/>
          <w:lang w:val="es-ES_tradnl"/>
        </w:rPr>
        <w:t xml:space="preserve"> </w:t>
      </w:r>
      <w:r w:rsidRPr="00044EB2">
        <w:rPr>
          <w:rFonts w:ascii="Verdana" w:eastAsia="Calibri" w:hAnsi="Verdana" w:cs="Arial"/>
          <w:bCs/>
          <w:lang w:val="es-ES_tradnl"/>
        </w:rPr>
        <w:t xml:space="preserve">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0E25B055" w14:textId="77777777" w:rsidR="00044EB2" w:rsidRPr="00044EB2" w:rsidRDefault="00044EB2" w:rsidP="00044EB2">
      <w:pPr>
        <w:tabs>
          <w:tab w:val="left" w:pos="0"/>
        </w:tabs>
        <w:spacing w:after="120" w:line="276" w:lineRule="auto"/>
        <w:ind w:firstLine="709"/>
        <w:jc w:val="both"/>
        <w:rPr>
          <w:rFonts w:ascii="Verdana" w:eastAsia="Calibri" w:hAnsi="Verdana" w:cs="Arial"/>
          <w:bCs/>
          <w:color w:val="000000"/>
          <w:lang w:val="es-ES_tradnl" w:eastAsia="es-ES_tradnl"/>
        </w:rPr>
      </w:pPr>
      <w:r w:rsidRPr="00044EB2">
        <w:rPr>
          <w:rFonts w:ascii="Verdana" w:eastAsia="Calibri" w:hAnsi="Verdana" w:cs="Arial"/>
          <w:bCs/>
          <w:lang w:val="es-ES_tradnl" w:eastAsia="es-ES_tradnl"/>
        </w:rPr>
        <w:t>Sin perjuicio de lo anterior</w:t>
      </w:r>
      <w:r w:rsidRPr="00044EB2">
        <w:rPr>
          <w:rFonts w:ascii="Verdana" w:eastAsia="Times New Roman" w:hAnsi="Verdana" w:cs="Arial"/>
          <w:lang w:eastAsia="es-ES_tradnl"/>
        </w:rPr>
        <w:t xml:space="preserve">, </w:t>
      </w:r>
      <w:r w:rsidRPr="00044EB2">
        <w:rPr>
          <w:rFonts w:ascii="Verdana" w:eastAsia="Calibri" w:hAnsi="Verdana" w:cs="Arial"/>
          <w:bCs/>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044EB2">
        <w:rPr>
          <w:rFonts w:ascii="Verdana" w:eastAsia="Calibri" w:hAnsi="Verdana" w:cs="Arial"/>
          <w:bCs/>
          <w:i/>
          <w:iCs/>
          <w:lang w:val="es-ES_tradnl" w:eastAsia="es-ES_tradnl"/>
        </w:rPr>
        <w:t>giro ordinario</w:t>
      </w:r>
      <w:r w:rsidRPr="00044EB2">
        <w:rPr>
          <w:rFonts w:ascii="Verdana" w:eastAsia="Calibri" w:hAnsi="Verdana" w:cs="Arial"/>
          <w:bCs/>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044EB2">
        <w:rPr>
          <w:rFonts w:ascii="Verdana" w:eastAsia="Calibri" w:hAnsi="Verdana" w:cs="Arial"/>
          <w:bCs/>
          <w:lang w:val="es-ES_tradnl" w:eastAsia="es-ES_tradnl"/>
        </w:rPr>
        <w:t>ii</w:t>
      </w:r>
      <w:proofErr w:type="spellEnd"/>
      <w:r w:rsidRPr="00044EB2">
        <w:rPr>
          <w:rFonts w:ascii="Verdana" w:eastAsia="Calibri" w:hAnsi="Verdana" w:cs="Arial"/>
          <w:bCs/>
          <w:lang w:val="es-ES_tradnl" w:eastAsia="es-ES_tradnl"/>
        </w:rPr>
        <w:t xml:space="preserve">) las </w:t>
      </w:r>
      <w:r w:rsidRPr="00044EB2">
        <w:rPr>
          <w:rFonts w:ascii="Verdana" w:eastAsia="Calibri" w:hAnsi="Verdana" w:cs="Arial"/>
          <w:bCs/>
          <w:i/>
          <w:iCs/>
          <w:lang w:val="es-ES_tradnl" w:eastAsia="es-ES_tradnl"/>
        </w:rPr>
        <w:t>empresas sociales del Estado</w:t>
      </w:r>
      <w:r w:rsidRPr="00044EB2">
        <w:rPr>
          <w:rFonts w:ascii="Verdana" w:eastAsia="Calibri" w:hAnsi="Verdana" w:cs="Arial"/>
          <w:bCs/>
          <w:lang w:val="es-ES_tradnl" w:eastAsia="es-ES_tradnl"/>
        </w:rPr>
        <w:t xml:space="preserve">, </w:t>
      </w:r>
      <w:proofErr w:type="spellStart"/>
      <w:r w:rsidRPr="00044EB2">
        <w:rPr>
          <w:rFonts w:ascii="Verdana" w:eastAsia="Calibri" w:hAnsi="Verdana" w:cs="Arial"/>
          <w:bCs/>
          <w:lang w:val="es-ES_tradnl" w:eastAsia="es-ES_tradnl"/>
        </w:rPr>
        <w:t>iii</w:t>
      </w:r>
      <w:proofErr w:type="spellEnd"/>
      <w:r w:rsidRPr="00044EB2">
        <w:rPr>
          <w:rFonts w:ascii="Verdana" w:eastAsia="Calibri" w:hAnsi="Verdana" w:cs="Arial"/>
          <w:bCs/>
          <w:lang w:val="es-ES_tradnl" w:eastAsia="es-ES_tradnl"/>
        </w:rPr>
        <w:t xml:space="preserve">) las sociedades de economía mixta y </w:t>
      </w:r>
      <w:proofErr w:type="spellStart"/>
      <w:r w:rsidRPr="00044EB2">
        <w:rPr>
          <w:rFonts w:ascii="Verdana" w:eastAsia="Calibri" w:hAnsi="Verdana" w:cs="Arial"/>
          <w:bCs/>
          <w:lang w:val="es-ES_tradnl" w:eastAsia="es-ES_tradnl"/>
        </w:rPr>
        <w:t>iv</w:t>
      </w:r>
      <w:proofErr w:type="spellEnd"/>
      <w:r w:rsidRPr="00044EB2">
        <w:rPr>
          <w:rFonts w:ascii="Verdana" w:eastAsia="Calibri" w:hAnsi="Verdana" w:cs="Arial"/>
          <w:bCs/>
          <w:lang w:val="es-ES_tradnl" w:eastAsia="es-ES_tradnl"/>
        </w:rPr>
        <w:t xml:space="preserve">) las empresas industriales y comerciales del Estado, únicamente, en la contratación relacionada con el </w:t>
      </w:r>
      <w:r w:rsidRPr="00044EB2">
        <w:rPr>
          <w:rFonts w:ascii="Verdana" w:eastAsia="Calibri" w:hAnsi="Verdana" w:cs="Arial"/>
          <w:bCs/>
          <w:i/>
          <w:iCs/>
          <w:lang w:val="es-ES_tradnl" w:eastAsia="es-ES_tradnl"/>
        </w:rPr>
        <w:t>giro ordinario.</w:t>
      </w:r>
      <w:r w:rsidRPr="00044EB2">
        <w:rPr>
          <w:rFonts w:ascii="Verdana" w:eastAsia="Calibri" w:hAnsi="Verdana" w:cs="Arial"/>
          <w:bCs/>
          <w:lang w:val="es-ES_tradnl" w:eastAsia="es-ES_tradnl"/>
        </w:rPr>
        <w:t xml:space="preserve"> Esto significa que, en la contratación asociada a su </w:t>
      </w:r>
      <w:r w:rsidRPr="00044EB2">
        <w:rPr>
          <w:rFonts w:ascii="Verdana" w:eastAsia="Calibri" w:hAnsi="Verdana" w:cs="Arial"/>
          <w:bCs/>
          <w:i/>
          <w:iCs/>
          <w:lang w:val="es-ES_tradnl" w:eastAsia="es-ES_tradnl"/>
        </w:rPr>
        <w:t xml:space="preserve">giro ordinario, </w:t>
      </w:r>
      <w:r w:rsidRPr="00044EB2">
        <w:rPr>
          <w:rFonts w:ascii="Verdana" w:eastAsia="Calibri" w:hAnsi="Verdana" w:cs="Arial"/>
          <w:bCs/>
          <w:lang w:val="es-ES_tradnl" w:eastAsia="es-ES_tradnl"/>
        </w:rPr>
        <w:t>estos tipos de entidades no tendrían que aplicar, de manera obligatoria, los documentos tipo, ni tampoco el EGCAP.</w:t>
      </w:r>
      <w:r w:rsidRPr="00044EB2">
        <w:rPr>
          <w:rFonts w:ascii="Verdana" w:eastAsia="Times New Roman" w:hAnsi="Verdana" w:cs="Arial"/>
          <w:lang w:eastAsia="es-ES_tradnl"/>
        </w:rPr>
        <w:t xml:space="preserve"> </w:t>
      </w:r>
      <w:r w:rsidRPr="00044EB2">
        <w:rPr>
          <w:rFonts w:ascii="Verdana" w:eastAsia="Calibri" w:hAnsi="Verdana" w:cs="Arial"/>
          <w:bCs/>
          <w:lang w:val="es-ES_tradnl" w:eastAsia="es-ES_tradnl"/>
        </w:rPr>
        <w:t>En este caso, la norma se limita a fomentar la implementación de documentos tipo a modo de buena práctica contractual, en los casos en los que se estime conveniente.</w:t>
      </w:r>
      <w:r w:rsidRPr="00044EB2">
        <w:rPr>
          <w:rFonts w:ascii="Verdana" w:eastAsia="Calibri" w:hAnsi="Verdana" w:cs="Arial"/>
          <w:bCs/>
          <w:color w:val="000000"/>
          <w:lang w:val="es-ES_tradnl" w:eastAsia="es-ES_tradnl"/>
        </w:rPr>
        <w:t xml:space="preserve"> </w:t>
      </w:r>
    </w:p>
    <w:p w14:paraId="56EA5856" w14:textId="77777777" w:rsidR="00044EB2" w:rsidRPr="00044EB2" w:rsidRDefault="00044EB2" w:rsidP="00044EB2">
      <w:pPr>
        <w:tabs>
          <w:tab w:val="left" w:pos="0"/>
        </w:tabs>
        <w:spacing w:after="120" w:line="276" w:lineRule="auto"/>
        <w:ind w:firstLine="709"/>
        <w:jc w:val="both"/>
        <w:rPr>
          <w:rFonts w:ascii="Verdana" w:eastAsia="Arial" w:hAnsi="Verdana" w:cs="Arial"/>
          <w:lang w:val="es-ES_tradnl" w:eastAsia="es-ES_tradnl"/>
        </w:rPr>
      </w:pPr>
      <w:r w:rsidRPr="00044EB2">
        <w:rPr>
          <w:rFonts w:ascii="Verdana" w:eastAsia="Calibri" w:hAnsi="Verdana" w:cs="Arial"/>
          <w:bCs/>
          <w:lang w:val="es-ES_tradnl" w:eastAsia="es-ES_tradnl"/>
        </w:rPr>
        <w:lastRenderedPageBreak/>
        <w:t xml:space="preserve">Es importante tener en cuenta que cuando la norma se refiere a la contratación del </w:t>
      </w:r>
      <w:r w:rsidRPr="00044EB2">
        <w:rPr>
          <w:rFonts w:ascii="Verdana" w:eastAsia="Calibri" w:hAnsi="Verdana" w:cs="Arial"/>
          <w:bCs/>
          <w:i/>
          <w:iCs/>
          <w:lang w:val="es-ES_tradnl" w:eastAsia="es-ES_tradnl"/>
        </w:rPr>
        <w:t>giro ordinario</w:t>
      </w:r>
      <w:r w:rsidRPr="00044EB2">
        <w:rPr>
          <w:rFonts w:ascii="Verdana" w:eastAsia="Calibri" w:hAnsi="Verdana" w:cs="Arial"/>
          <w:bCs/>
          <w:lang w:val="es-ES_tradnl" w:eastAsia="es-ES_tradnl"/>
        </w:rPr>
        <w:t>, emplea un concepto jurídico indeterminado</w:t>
      </w:r>
      <w:r w:rsidRPr="00044EB2">
        <w:rPr>
          <w:rFonts w:ascii="Verdana" w:eastAsia="Calibri" w:hAnsi="Verdana" w:cs="Arial"/>
          <w:vertAlign w:val="superscript"/>
          <w:lang w:eastAsia="es-ES_tradnl"/>
        </w:rPr>
        <w:footnoteReference w:id="13"/>
      </w:r>
      <w:r w:rsidRPr="00044EB2">
        <w:rPr>
          <w:rFonts w:ascii="Verdana" w:eastAsia="Calibri" w:hAnsi="Verdana" w:cs="Arial"/>
          <w:bCs/>
          <w:lang w:val="es-ES_tradnl" w:eastAsia="es-ES_tradnl"/>
        </w:rPr>
        <w:t xml:space="preserve">. </w:t>
      </w:r>
      <w:r w:rsidRPr="00044EB2">
        <w:rPr>
          <w:rFonts w:ascii="Verdana" w:eastAsia="Arial" w:hAnsi="Verdana" w:cs="Arial"/>
          <w:lang w:val="es-ES_tradnl" w:eastAsia="es-ES_tradnl"/>
        </w:rPr>
        <w:t xml:space="preserve">Un concepto adquiere esta denominación 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Por ejemplo, no podrán considerar que cualquier contrato que celebren hace parte del </w:t>
      </w:r>
      <w:r w:rsidRPr="00044EB2">
        <w:rPr>
          <w:rFonts w:ascii="Verdana" w:eastAsia="Arial" w:hAnsi="Verdana" w:cs="Arial"/>
          <w:i/>
          <w:iCs/>
          <w:lang w:val="es-ES_tradnl" w:eastAsia="es-ES_tradnl"/>
        </w:rPr>
        <w:t>giro ordinario</w:t>
      </w:r>
      <w:r w:rsidRPr="00044EB2">
        <w:rPr>
          <w:rFonts w:ascii="Verdana" w:eastAsia="Arial" w:hAnsi="Verdana" w:cs="Arial"/>
          <w:lang w:val="es-ES_tradnl" w:eastAsia="es-ES_tradnl"/>
        </w:rPr>
        <w:t xml:space="preserve"> de sus negocios. </w:t>
      </w:r>
    </w:p>
    <w:p w14:paraId="774BC291" w14:textId="77777777" w:rsidR="00044EB2" w:rsidRPr="00044EB2" w:rsidRDefault="00044EB2" w:rsidP="00044EB2">
      <w:pPr>
        <w:tabs>
          <w:tab w:val="left" w:pos="0"/>
        </w:tabs>
        <w:spacing w:after="120" w:line="276" w:lineRule="auto"/>
        <w:ind w:firstLine="709"/>
        <w:jc w:val="both"/>
        <w:rPr>
          <w:rFonts w:ascii="Verdana" w:eastAsia="Calibri" w:hAnsi="Verdana" w:cs="Arial"/>
          <w:bCs/>
          <w:lang w:val="es-ES_tradnl" w:eastAsia="es-ES_tradnl"/>
        </w:rPr>
      </w:pPr>
      <w:r w:rsidRPr="00044EB2">
        <w:rPr>
          <w:rFonts w:ascii="Verdana" w:eastAsia="Arial" w:hAnsi="Verdana" w:cs="Arial"/>
          <w:lang w:val="es-ES_tradnl" w:eastAsia="es-ES_tradnl"/>
        </w:rPr>
        <w:t>La Corte Constitucional</w:t>
      </w:r>
      <w:r w:rsidRPr="00044EB2">
        <w:rPr>
          <w:rFonts w:ascii="Verdana" w:eastAsia="Arial" w:hAnsi="Verdana" w:cs="Arial"/>
          <w:vertAlign w:val="superscript"/>
          <w:lang w:eastAsia="es-ES_tradnl"/>
        </w:rPr>
        <w:footnoteReference w:id="14"/>
      </w:r>
      <w:r w:rsidRPr="00044EB2">
        <w:rPr>
          <w:rFonts w:ascii="Verdana" w:eastAsia="Arial" w:hAnsi="Verdana" w:cs="Arial"/>
          <w:lang w:val="es-ES_tradnl" w:eastAsia="es-ES_tradnl"/>
        </w:rPr>
        <w:t xml:space="preserve"> también ha reconocido que el Congreso de la República, dentro de su libertad de configuración legislativa, puede emplear este tipo de conceptos, que se caracterizan por tener un cierto halo de incertidumbre en su interpretación, quedando referida su determinación concreta a la actividad de los operadores jurídicos.</w:t>
      </w:r>
      <w:r w:rsidRPr="00044EB2">
        <w:rPr>
          <w:rFonts w:ascii="Verdana" w:eastAsia="Calibri" w:hAnsi="Verdana" w:cs="Arial"/>
          <w:bCs/>
          <w:lang w:val="es-ES_tradnl" w:eastAsia="es-ES_tradnl"/>
        </w:rPr>
        <w:t xml:space="preserve"> </w:t>
      </w:r>
    </w:p>
    <w:p w14:paraId="30742106" w14:textId="77777777" w:rsidR="00044EB2" w:rsidRPr="00044EB2" w:rsidRDefault="00044EB2" w:rsidP="00044EB2">
      <w:pPr>
        <w:tabs>
          <w:tab w:val="left" w:pos="0"/>
        </w:tabs>
        <w:spacing w:after="0" w:line="276" w:lineRule="auto"/>
        <w:ind w:firstLine="709"/>
        <w:jc w:val="both"/>
        <w:rPr>
          <w:rFonts w:ascii="Verdana" w:eastAsia="Calibri" w:hAnsi="Verdana" w:cs="Arial"/>
          <w:bCs/>
          <w:lang w:val="es-ES_tradnl" w:eastAsia="es-ES_tradnl"/>
        </w:rPr>
      </w:pPr>
      <w:r w:rsidRPr="00044EB2">
        <w:rPr>
          <w:rFonts w:ascii="Verdana" w:eastAsia="Calibri" w:hAnsi="Verdana" w:cs="Arial"/>
          <w:bCs/>
          <w:lang w:val="es-ES_tradnl" w:eastAsia="es-ES_tradnl"/>
        </w:rPr>
        <w:t xml:space="preserve">Aunque, como se indicó, la expresión giro ordinario de los negocios es un concepto jurídico indeterminado, el Consejo de Estado ha tenido la oportunidad de pronunciarse en distintas ocasiones sobre su alcance, estableciendo algunos criterios de interpretación. En su momento, en relación con el alcance de la expresión </w:t>
      </w:r>
      <w:r w:rsidRPr="00044EB2">
        <w:rPr>
          <w:rFonts w:ascii="Verdana" w:eastAsia="Calibri" w:hAnsi="Verdana" w:cs="Arial"/>
          <w:bCs/>
          <w:i/>
          <w:iCs/>
          <w:lang w:val="es-ES_tradnl" w:eastAsia="es-ES_tradnl"/>
        </w:rPr>
        <w:t xml:space="preserve">giro ordinario </w:t>
      </w:r>
      <w:r w:rsidRPr="00044EB2">
        <w:rPr>
          <w:rFonts w:ascii="Verdana" w:eastAsia="Calibri" w:hAnsi="Verdana" w:cs="Arial"/>
          <w:bCs/>
          <w:lang w:val="es-ES_tradnl" w:eastAsia="es-ES_tradnl"/>
        </w:rPr>
        <w:t>incluida en la redacción original del parágrafo 1° del artículo 32 de la Ley 80 de 1993</w:t>
      </w:r>
      <w:r w:rsidRPr="00044EB2">
        <w:rPr>
          <w:rFonts w:ascii="Verdana" w:eastAsia="Calibri" w:hAnsi="Verdana" w:cs="Arial"/>
          <w:vertAlign w:val="superscript"/>
          <w:lang w:eastAsia="es-ES_tradnl"/>
        </w:rPr>
        <w:footnoteReference w:id="15"/>
      </w:r>
      <w:r w:rsidRPr="00044EB2">
        <w:rPr>
          <w:rFonts w:ascii="Verdana" w:eastAsia="Calibri" w:hAnsi="Verdana" w:cs="Arial"/>
          <w:bCs/>
          <w:lang w:val="es-ES_tradnl" w:eastAsia="es-ES_tradnl"/>
        </w:rPr>
        <w:t xml:space="preserve">, la Sección Tercera manifestó lo siguiente: </w:t>
      </w:r>
    </w:p>
    <w:p w14:paraId="7223AFD4" w14:textId="77777777" w:rsidR="00044EB2" w:rsidRPr="00044EB2" w:rsidRDefault="00044EB2" w:rsidP="00044EB2">
      <w:pPr>
        <w:tabs>
          <w:tab w:val="left" w:pos="0"/>
        </w:tabs>
        <w:spacing w:after="0" w:line="276" w:lineRule="auto"/>
        <w:jc w:val="both"/>
        <w:rPr>
          <w:rFonts w:ascii="Verdana" w:eastAsia="Calibri" w:hAnsi="Verdana" w:cs="Arial"/>
          <w:bCs/>
          <w:lang w:val="es-ES_tradnl" w:eastAsia="es-ES_tradnl"/>
        </w:rPr>
      </w:pPr>
    </w:p>
    <w:p w14:paraId="5E1D5140" w14:textId="77777777" w:rsidR="00044EB2" w:rsidRPr="00044EB2" w:rsidRDefault="00044EB2" w:rsidP="00044EB2">
      <w:pPr>
        <w:spacing w:after="0" w:line="240" w:lineRule="auto"/>
        <w:ind w:left="709" w:right="709"/>
        <w:jc w:val="both"/>
        <w:rPr>
          <w:rFonts w:ascii="Verdana" w:eastAsia="Times New Roman" w:hAnsi="Verdana" w:cs="Arial"/>
          <w:sz w:val="20"/>
          <w:szCs w:val="20"/>
          <w:lang w:val="es-ES_tradnl" w:eastAsia="es-CO"/>
        </w:rPr>
      </w:pPr>
      <w:r w:rsidRPr="00044EB2">
        <w:rPr>
          <w:rFonts w:ascii="Verdana" w:eastAsia="Times New Roman" w:hAnsi="Verdana" w:cs="Arial"/>
          <w:sz w:val="20"/>
          <w:szCs w:val="20"/>
          <w:lang w:val="es-ES_tradnl" w:eastAsia="es-ES_tradnl"/>
        </w:rPr>
        <w:t xml:space="preserve">“[E]l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en el objeto de la sociedad. </w:t>
      </w:r>
      <w:proofErr w:type="gramStart"/>
      <w:r w:rsidRPr="00044EB2">
        <w:rPr>
          <w:rFonts w:ascii="Verdana" w:eastAsia="Times New Roman" w:hAnsi="Verdana" w:cs="Arial"/>
          <w:sz w:val="20"/>
          <w:szCs w:val="20"/>
          <w:lang w:val="es-ES_tradnl" w:eastAsia="es-ES_tradnl"/>
        </w:rPr>
        <w:t>Siendo</w:t>
      </w:r>
      <w:proofErr w:type="gramEnd"/>
      <w:r w:rsidRPr="00044EB2">
        <w:rPr>
          <w:rFonts w:ascii="Verdana" w:eastAsia="Times New Roman" w:hAnsi="Verdana" w:cs="Arial"/>
          <w:sz w:val="20"/>
          <w:szCs w:val="20"/>
          <w:lang w:val="es-ES_tradnl" w:eastAsia="es-ES_tradnl"/>
        </w:rPr>
        <w:t xml:space="preserve"> así las cosas, resulta que el </w:t>
      </w:r>
      <w:r w:rsidRPr="00044EB2">
        <w:rPr>
          <w:rFonts w:ascii="Verdana" w:eastAsia="Times New Roman" w:hAnsi="Verdana" w:cs="Arial"/>
          <w:sz w:val="20"/>
          <w:szCs w:val="20"/>
          <w:lang w:val="es-ES_tradnl" w:eastAsia="es-ES_tradnl"/>
        </w:rPr>
        <w:lastRenderedPageBreak/>
        <w:t>concepto “giro ordinario de las actividades” […], hace relación tanto a las actividades o negocios realizados en cumplimiento del objeto social o de las funciones principales, expresamente definidas por la Ley, como también a todo aquello que es conexo con ellas y que se realiza para desarrollar la función principal, estableciéndose entre estos una relación de medio a fin, estrecha y complementaria”</w:t>
      </w:r>
      <w:r w:rsidRPr="00044EB2">
        <w:rPr>
          <w:rFonts w:ascii="Verdana" w:eastAsia="Times New Roman" w:hAnsi="Verdana" w:cs="Arial"/>
          <w:sz w:val="20"/>
          <w:szCs w:val="20"/>
          <w:vertAlign w:val="superscript"/>
          <w:lang w:eastAsia="es-ES_tradnl"/>
        </w:rPr>
        <w:footnoteReference w:id="16"/>
      </w:r>
      <w:r w:rsidRPr="00044EB2">
        <w:rPr>
          <w:rFonts w:ascii="Verdana" w:eastAsia="Times New Roman" w:hAnsi="Verdana" w:cs="Arial"/>
          <w:sz w:val="20"/>
          <w:szCs w:val="20"/>
          <w:lang w:val="es-ES_tradnl" w:eastAsia="es-ES_tradnl"/>
        </w:rPr>
        <w:t>.</w:t>
      </w:r>
    </w:p>
    <w:p w14:paraId="25C2DA32" w14:textId="77777777" w:rsidR="00044EB2" w:rsidRPr="00044EB2" w:rsidRDefault="00044EB2" w:rsidP="00044EB2">
      <w:pPr>
        <w:tabs>
          <w:tab w:val="left" w:pos="0"/>
        </w:tabs>
        <w:spacing w:after="0" w:line="276" w:lineRule="auto"/>
        <w:jc w:val="both"/>
        <w:rPr>
          <w:rFonts w:ascii="Verdana" w:eastAsia="Calibri" w:hAnsi="Verdana" w:cs="Arial"/>
          <w:bCs/>
          <w:i/>
          <w:iCs/>
          <w:lang w:val="es-ES_tradnl" w:eastAsia="es-ES_tradnl"/>
        </w:rPr>
      </w:pPr>
    </w:p>
    <w:p w14:paraId="3F3970C1" w14:textId="77777777" w:rsidR="00044EB2" w:rsidRPr="00044EB2" w:rsidRDefault="00044EB2" w:rsidP="00044EB2">
      <w:pPr>
        <w:tabs>
          <w:tab w:val="left" w:pos="0"/>
        </w:tabs>
        <w:spacing w:after="120" w:line="276" w:lineRule="auto"/>
        <w:jc w:val="both"/>
        <w:rPr>
          <w:rFonts w:ascii="Verdana" w:eastAsia="Calibri" w:hAnsi="Verdana" w:cs="Arial"/>
          <w:bCs/>
          <w:lang w:val="es-ES_tradnl" w:eastAsia="es-ES_tradnl"/>
        </w:rPr>
      </w:pPr>
      <w:r w:rsidRPr="00044EB2">
        <w:rPr>
          <w:rFonts w:ascii="Verdana" w:eastAsia="Calibri" w:hAnsi="Verdana" w:cs="Arial"/>
          <w:bCs/>
          <w:lang w:val="es-ES_tradnl" w:eastAsia="es-ES_tradnl"/>
        </w:rPr>
        <w:tab/>
        <w:t xml:space="preserve">En el mismo sentido se pronunció recientemente el Alto Tribunal de lo Contencioso Administrativo, reiterando las anteriores consideraciones, al expresar que el concepto de </w:t>
      </w:r>
      <w:r w:rsidRPr="00044EB2">
        <w:rPr>
          <w:rFonts w:ascii="Verdana" w:eastAsia="Calibri" w:hAnsi="Verdana" w:cs="Arial"/>
          <w:i/>
          <w:lang w:val="es-ES_tradnl" w:eastAsia="es-ES_tradnl"/>
        </w:rPr>
        <w:t xml:space="preserve">“giro ordinario de los negocios” </w:t>
      </w:r>
      <w:r w:rsidRPr="00044EB2">
        <w:rPr>
          <w:rFonts w:ascii="Verdana" w:eastAsia="Calibri" w:hAnsi="Verdana" w:cs="Arial"/>
          <w:bCs/>
          <w:lang w:val="es-ES_tradnl" w:eastAsia="es-ES_tradnl"/>
        </w:rPr>
        <w:t>se refiere a aquellas actividades compatibles con el objeto social, funciones previstas en la ley, o en las normas de creación y en sus estatutos internos de las personas</w:t>
      </w:r>
      <w:r w:rsidRPr="00044EB2">
        <w:rPr>
          <w:rFonts w:ascii="Verdana" w:eastAsia="Calibri" w:hAnsi="Verdana" w:cs="Arial"/>
          <w:vertAlign w:val="superscript"/>
          <w:lang w:eastAsia="es-ES_tradnl"/>
        </w:rPr>
        <w:footnoteReference w:id="17"/>
      </w:r>
      <w:r w:rsidRPr="00044EB2">
        <w:rPr>
          <w:rFonts w:ascii="Verdana" w:eastAsia="Calibri" w:hAnsi="Verdana" w:cs="Arial"/>
          <w:bCs/>
          <w:lang w:val="es-ES_tradnl" w:eastAsia="es-ES_tradnl"/>
        </w:rPr>
        <w:t xml:space="preserve"> y la doctrina societaria</w:t>
      </w:r>
      <w:r w:rsidRPr="00044EB2">
        <w:rPr>
          <w:rFonts w:ascii="Verdana" w:eastAsia="Calibri" w:hAnsi="Verdana" w:cs="Arial"/>
          <w:bCs/>
          <w:vertAlign w:val="superscript"/>
          <w:lang w:val="es-ES_tradnl" w:eastAsia="es-ES_tradnl"/>
        </w:rPr>
        <w:footnoteReference w:id="18"/>
      </w:r>
      <w:r w:rsidRPr="00044EB2">
        <w:rPr>
          <w:rFonts w:ascii="Verdana" w:eastAsia="Calibri" w:hAnsi="Verdana" w:cs="Arial"/>
          <w:bCs/>
          <w:lang w:val="es-ES_tradnl" w:eastAsia="es-ES_tradnl"/>
        </w:rPr>
        <w:t xml:space="preserve">. </w:t>
      </w:r>
    </w:p>
    <w:p w14:paraId="19A7659F" w14:textId="77777777" w:rsidR="00044EB2" w:rsidRPr="00044EB2" w:rsidRDefault="00044EB2" w:rsidP="00044EB2">
      <w:pPr>
        <w:spacing w:after="120" w:line="276" w:lineRule="auto"/>
        <w:jc w:val="both"/>
        <w:rPr>
          <w:rFonts w:ascii="Verdana" w:eastAsia="Calibri" w:hAnsi="Verdana" w:cs="Arial"/>
          <w:lang w:val="es-ES" w:eastAsia="es-ES"/>
        </w:rPr>
      </w:pPr>
      <w:r w:rsidRPr="00044EB2">
        <w:rPr>
          <w:rFonts w:ascii="Verdana" w:eastAsia="Calibri" w:hAnsi="Verdana" w:cs="Arial"/>
          <w:bCs/>
          <w:lang w:val="es-ES_tradnl" w:eastAsia="es-ES_tradnl"/>
        </w:rPr>
        <w:tab/>
      </w:r>
      <w:r w:rsidRPr="00044EB2">
        <w:rPr>
          <w:rFonts w:ascii="Verdana" w:eastAsia="Calibri" w:hAnsi="Verdana" w:cs="Arial"/>
          <w:lang w:val="es-ES" w:eastAsia="es-ES"/>
        </w:rPr>
        <w:t xml:space="preserve">Conforme con lo expresado, el </w:t>
      </w:r>
      <w:r w:rsidRPr="00044EB2">
        <w:rPr>
          <w:rFonts w:ascii="Verdana" w:eastAsia="Calibri" w:hAnsi="Verdana" w:cs="Arial"/>
          <w:i/>
          <w:lang w:val="es-ES" w:eastAsia="es-ES"/>
        </w:rPr>
        <w:t xml:space="preserve">giro ordinario </w:t>
      </w:r>
      <w:r w:rsidRPr="00044EB2">
        <w:rPr>
          <w:rFonts w:ascii="Verdana" w:eastAsia="Calibri" w:hAnsi="Verdana" w:cs="Arial"/>
          <w:lang w:val="es-ES" w:eastAsia="es-ES"/>
        </w:rPr>
        <w:t>involucra los asuntos que integran el desarrollo del objeto social de una sociedad comercial, una empresa o Entidad Pública, lo cual comprende tanto unas actividades directamente relacionadas con dicho objeto social, así como otros actos conexos al mismo. Esta interpretación, en principio, es coherente con la regulación de la capacidad de las sociedades comerciales establecida en el Código de Comercio, cuyo artículo 99 dispone que “[</w:t>
      </w:r>
      <w:r w:rsidRPr="00044EB2">
        <w:rPr>
          <w:rFonts w:ascii="Verdana" w:eastAsia="Times New Roman" w:hAnsi="Verdana" w:cs="Arial"/>
          <w:lang w:val="es-ES" w:eastAsia="es-ES"/>
        </w:rPr>
        <w:t>S]e</w:t>
      </w:r>
      <w:r w:rsidRPr="00044EB2">
        <w:rPr>
          <w:rFonts w:ascii="Verdana" w:eastAsia="Calibri" w:hAnsi="Verdana" w:cs="Arial"/>
          <w:lang w:val="es-ES" w:eastAsia="es-ES"/>
        </w:rPr>
        <w:t xml:space="preserve"> entenderán incluidos en el objeto social los actos directamente relacionados con el mismo y los que tengan como finalidad ejercer los derechos o cumplir las obligaciones, legal o convencionalmente derivados de la existencia y actividad de la sociedad.”</w:t>
      </w:r>
      <w:r w:rsidRPr="00044EB2">
        <w:rPr>
          <w:rFonts w:ascii="Verdana" w:eastAsia="Calibri" w:hAnsi="Verdana" w:cs="Arial"/>
          <w:vertAlign w:val="superscript"/>
          <w:lang w:eastAsia="es-ES"/>
        </w:rPr>
        <w:footnoteReference w:id="19"/>
      </w:r>
    </w:p>
    <w:p w14:paraId="45F23F81" w14:textId="77777777" w:rsidR="00044EB2" w:rsidRPr="00044EB2" w:rsidRDefault="00044EB2" w:rsidP="00044EB2">
      <w:pPr>
        <w:spacing w:after="120" w:line="276" w:lineRule="auto"/>
        <w:jc w:val="both"/>
        <w:rPr>
          <w:rFonts w:ascii="Verdana" w:eastAsia="Calibri" w:hAnsi="Verdana" w:cs="Arial"/>
          <w:lang w:val="es-ES" w:eastAsia="es-ES"/>
        </w:rPr>
      </w:pPr>
      <w:r w:rsidRPr="00044EB2">
        <w:rPr>
          <w:rFonts w:ascii="Verdana" w:eastAsia="Calibri" w:hAnsi="Verdana" w:cs="Arial"/>
          <w:bCs/>
          <w:lang w:val="es-ES_tradnl" w:eastAsia="es-ES_tradnl"/>
        </w:rPr>
        <w:lastRenderedPageBreak/>
        <w:tab/>
      </w:r>
      <w:r w:rsidRPr="00044EB2">
        <w:rPr>
          <w:rFonts w:ascii="Verdana" w:eastAsia="Calibri" w:hAnsi="Verdana" w:cs="Arial"/>
          <w:lang w:val="es-ES" w:eastAsia="es-ES"/>
        </w:rPr>
        <w:t xml:space="preserve">En relación con la aplicación de lo dispuesto en el parágrafo del artículo 56 de la Ley 2195 de 2022, conviene aclarar que, a juicio de esta Agencia, la expresión </w:t>
      </w:r>
      <w:r w:rsidRPr="00044EB2">
        <w:rPr>
          <w:rFonts w:ascii="Verdana" w:eastAsia="Calibri" w:hAnsi="Verdana" w:cs="Arial"/>
          <w:i/>
          <w:lang w:val="es-ES" w:eastAsia="es-ES"/>
        </w:rPr>
        <w:t xml:space="preserve">giro ordinario </w:t>
      </w:r>
      <w:r w:rsidRPr="00044EB2">
        <w:rPr>
          <w:rFonts w:ascii="Verdana" w:eastAsia="Calibri" w:hAnsi="Verdana" w:cs="Arial"/>
          <w:lang w:val="es-ES" w:eastAsia="es-ES"/>
        </w:rPr>
        <w:t xml:space="preserve">se usa para designar a la contratación directamente relacionada con los asuntos de la gestión habitual u ordinaria de los tipos de entidades mencionadas en el parágrafo. No obstante, la determinación de las actividades que comprenden el </w:t>
      </w:r>
      <w:r w:rsidRPr="00044EB2">
        <w:rPr>
          <w:rFonts w:ascii="Verdana" w:eastAsia="Calibri" w:hAnsi="Verdana" w:cs="Arial"/>
          <w:i/>
          <w:lang w:val="es-ES" w:eastAsia="es-ES"/>
        </w:rPr>
        <w:t>giro ordinario</w:t>
      </w:r>
      <w:r w:rsidRPr="00044EB2">
        <w:rPr>
          <w:rFonts w:ascii="Verdana" w:eastAsia="Calibri" w:hAnsi="Verdana" w:cs="Arial"/>
          <w:lang w:val="es-ES" w:eastAsia="es-ES"/>
        </w:rPr>
        <w:t xml:space="preserve"> es un asunto que debe establecerse en cada caso concreto por parte de las Entidades Estatales –analizando lo establecido en sus actos de creación y verificando los negocios habituales u ordinarios que desarrollan–, pues el parágrafo del artículo 56 </w:t>
      </w:r>
      <w:proofErr w:type="spellStart"/>
      <w:r w:rsidRPr="00044EB2">
        <w:rPr>
          <w:rFonts w:ascii="Verdana" w:eastAsia="Calibri" w:hAnsi="Verdana" w:cs="Arial"/>
          <w:i/>
          <w:lang w:val="es-ES" w:eastAsia="es-ES"/>
        </w:rPr>
        <w:t>ejusdem</w:t>
      </w:r>
      <w:proofErr w:type="spellEnd"/>
      <w:r w:rsidRPr="00044EB2">
        <w:rPr>
          <w:rFonts w:ascii="Verdana" w:eastAsia="Calibri" w:hAnsi="Verdana" w:cs="Arial"/>
          <w:lang w:val="es-ES" w:eastAsia="es-ES"/>
        </w:rPr>
        <w:t xml:space="preserve"> se limita a enunciar algunos tipos de Entidades Estatales, las cuales no solo difieren en su naturaleza jurídica, sino también en las actividades que realizan. </w:t>
      </w:r>
    </w:p>
    <w:p w14:paraId="797B2149" w14:textId="77777777" w:rsidR="00044EB2" w:rsidRPr="00044EB2" w:rsidRDefault="00044EB2" w:rsidP="00044EB2">
      <w:pPr>
        <w:tabs>
          <w:tab w:val="left" w:pos="0"/>
        </w:tabs>
        <w:spacing w:before="120" w:line="276" w:lineRule="auto"/>
        <w:ind w:firstLine="709"/>
        <w:jc w:val="both"/>
        <w:rPr>
          <w:rFonts w:ascii="Verdana" w:eastAsia="Calibri" w:hAnsi="Verdana" w:cs="Arial"/>
          <w:bCs/>
          <w:lang w:val="es-ES_tradnl"/>
        </w:rPr>
      </w:pPr>
      <w:r w:rsidRPr="00044EB2">
        <w:rPr>
          <w:rFonts w:ascii="Verdana" w:eastAsia="Calibri" w:hAnsi="Verdana" w:cs="Arial"/>
          <w:lang w:val="es-ES" w:eastAsia="es-ES"/>
        </w:rPr>
        <w:t xml:space="preserve">Esto impide que la Agencia Nacional de Contratación Pública – Colombia Compra Eficiente, en sede consultiva, pueda determinar, con un criterio universal y absoluto, qué actividades específicas hacen parte del giro ordinario de los negocios de dichas entidades y cuáles escapan de este, pues, como se indicó, al explicar la naturaleza de los conceptos jurídicos indeterminados, la concreción del alcance de la expresión </w:t>
      </w:r>
      <w:r w:rsidRPr="00044EB2">
        <w:rPr>
          <w:rFonts w:ascii="Verdana" w:eastAsia="Calibri" w:hAnsi="Verdana" w:cs="Arial"/>
          <w:i/>
          <w:lang w:val="es-ES" w:eastAsia="es-ES"/>
        </w:rPr>
        <w:t>giro ordinario</w:t>
      </w:r>
      <w:r w:rsidRPr="00044EB2">
        <w:rPr>
          <w:rFonts w:ascii="Verdana" w:eastAsia="Calibri" w:hAnsi="Verdana" w:cs="Arial"/>
          <w:lang w:val="es-ES" w:eastAsia="es-ES"/>
        </w:rPr>
        <w:t xml:space="preserve"> debe hacerse en el caso concreto, empleando un criterio de interpretación restrictiva. Ello en la medida en que el parágrafo del artículo 56 consagra una excepción a una regla general. </w:t>
      </w:r>
      <w:r w:rsidRPr="00044EB2">
        <w:rPr>
          <w:rFonts w:ascii="Verdana" w:eastAsia="Calibri" w:hAnsi="Verdana" w:cs="Arial"/>
          <w:bCs/>
          <w:lang w:val="es-ES_tradnl"/>
        </w:rPr>
        <w:t>Además, cada una de las entidades estatales señaladas en dicho parágrafo se encuentra circunscrita, hermenéuticamente –para acotar aquel concepto–, a lo que establezcan sus normas estatutarias –actos de creación y demás reglamentos–, así como a la realidad de los negocios que hacen parte de su dinámica habitual.</w:t>
      </w:r>
    </w:p>
    <w:p w14:paraId="03B8DD2B" w14:textId="77777777" w:rsidR="00044EB2" w:rsidRPr="00044EB2" w:rsidRDefault="00044EB2" w:rsidP="00044EB2">
      <w:pPr>
        <w:spacing w:before="120" w:line="276" w:lineRule="auto"/>
        <w:jc w:val="both"/>
        <w:rPr>
          <w:rFonts w:ascii="Verdana" w:eastAsia="Calibri" w:hAnsi="Verdana" w:cs="Arial"/>
          <w:lang w:val="es-ES" w:eastAsia="es-ES"/>
        </w:rPr>
      </w:pPr>
      <w:r w:rsidRPr="00044EB2">
        <w:rPr>
          <w:rFonts w:ascii="Verdana" w:eastAsia="Calibri" w:hAnsi="Verdana" w:cs="Arial"/>
          <w:bCs/>
          <w:lang w:val="es-ES_tradnl" w:eastAsia="es-ES_tradnl"/>
        </w:rPr>
        <w:tab/>
      </w:r>
      <w:r w:rsidRPr="00044EB2">
        <w:rPr>
          <w:rFonts w:ascii="Verdana" w:eastAsia="Calibri" w:hAnsi="Verdana" w:cs="Arial"/>
          <w:color w:val="000000"/>
          <w:lang w:val="es-ES"/>
        </w:rPr>
        <w:t xml:space="preserve"> </w:t>
      </w:r>
      <w:r w:rsidRPr="00044EB2">
        <w:rPr>
          <w:rFonts w:ascii="Verdana" w:eastAsia="Calibri" w:hAnsi="Verdana" w:cs="Arial"/>
          <w:lang w:val="es-ES" w:eastAsia="es-ES"/>
        </w:rPr>
        <w:t xml:space="preserve">En tales términos, lo dispuesto en el parágrafo del artículo 56 implica que las instituciones de educación superior públicas, las empresas sociales del Estado, las sociedades de economía mixta y las empresas industriales y comerciales del Estado, no tendrán que implementar documentos tipo </w:t>
      </w:r>
      <w:r w:rsidRPr="00044EB2">
        <w:rPr>
          <w:rFonts w:ascii="Verdana" w:eastAsia="Calibri" w:hAnsi="Verdana" w:cs="Arial"/>
          <w:lang w:val="es-ES" w:eastAsia="es-ES"/>
        </w:rPr>
        <w:lastRenderedPageBreak/>
        <w:t xml:space="preserve">únicamente para la contratación relacionada con el </w:t>
      </w:r>
      <w:r w:rsidRPr="00044EB2">
        <w:rPr>
          <w:rFonts w:ascii="Verdana" w:eastAsia="Calibri" w:hAnsi="Verdana" w:cs="Arial"/>
          <w:i/>
          <w:iCs/>
          <w:lang w:val="es-ES" w:eastAsia="es-ES"/>
        </w:rPr>
        <w:t xml:space="preserve">giro ordinario </w:t>
      </w:r>
      <w:r w:rsidRPr="00044EB2">
        <w:rPr>
          <w:rFonts w:ascii="Verdana" w:eastAsia="Calibri" w:hAnsi="Verdana" w:cs="Arial"/>
          <w:lang w:val="es-ES" w:eastAsia="es-ES"/>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044EB2">
        <w:rPr>
          <w:rFonts w:ascii="Verdana" w:eastAsia="Calibri" w:hAnsi="Verdana" w:cs="Arial"/>
          <w:i/>
          <w:iCs/>
          <w:lang w:val="es-ES" w:eastAsia="es-ES"/>
        </w:rPr>
        <w:t>su giro ordinario</w:t>
      </w:r>
      <w:r w:rsidRPr="00044EB2">
        <w:rPr>
          <w:rFonts w:ascii="Verdana" w:eastAsia="Calibri" w:hAnsi="Verdana" w:cs="Arial"/>
          <w:lang w:val="es-ES" w:eastAsia="es-ES"/>
        </w:rPr>
        <w:t xml:space="preserve">, entendido este conforme a los criterios jurisprudenciales y doctrinarios aquí explicados. En otras palabras, ninguna entidad cuya naturaleza jurídica coincida con las mencionadas en el parágrafo del artículo 56, tendrá que someterse de manera obligatoria a los documentos tipo o el EGCAP para la contratación de obras o servicios asociadas a su </w:t>
      </w:r>
      <w:r w:rsidRPr="00044EB2">
        <w:rPr>
          <w:rFonts w:ascii="Verdana" w:eastAsia="Calibri" w:hAnsi="Verdana" w:cs="Arial"/>
          <w:i/>
          <w:iCs/>
          <w:lang w:val="es-ES" w:eastAsia="es-ES"/>
        </w:rPr>
        <w:t>giro ordinario</w:t>
      </w:r>
      <w:r w:rsidRPr="00044EB2">
        <w:rPr>
          <w:rFonts w:ascii="Verdana" w:eastAsia="Calibri" w:hAnsi="Verdana" w:cs="Arial"/>
          <w:lang w:val="es-ES" w:eastAsia="es-ES"/>
        </w:rPr>
        <w:t xml:space="preserve">, a menos que su manual de contratación establezca lo contrario. De hacerlo, primará el principio de inderogabilidad singular del reglamento, que obliga a aplicarlo en las actuaciones concretas.  </w:t>
      </w:r>
    </w:p>
    <w:p w14:paraId="6609609C" w14:textId="77777777" w:rsidR="00044EB2" w:rsidRPr="00044EB2" w:rsidRDefault="00044EB2" w:rsidP="00044EB2">
      <w:pPr>
        <w:tabs>
          <w:tab w:val="left" w:pos="0"/>
        </w:tabs>
        <w:spacing w:after="120" w:line="276" w:lineRule="auto"/>
        <w:ind w:firstLine="709"/>
        <w:jc w:val="both"/>
        <w:rPr>
          <w:rFonts w:ascii="Verdana" w:eastAsia="Calibri" w:hAnsi="Verdana" w:cs="Arial"/>
          <w:bCs/>
          <w:lang w:val="es-ES" w:eastAsia="es-ES_tradnl"/>
        </w:rPr>
      </w:pPr>
      <w:r w:rsidRPr="00044EB2">
        <w:rPr>
          <w:rFonts w:ascii="Verdana" w:eastAsia="Calibri" w:hAnsi="Verdana" w:cs="Arial"/>
          <w:bCs/>
          <w:lang w:val="es-ES" w:eastAsia="es-ES_tradnl"/>
        </w:rPr>
        <w:t>Ahora bien, debe señalarse que este parágrafo es una norma que establece una excepción, por lo que, en virtud de dicho carácter, está sujeto a una interpretación restrictiva, esto es, apegada a lo que, literalmente, se desprende del texto. La redacción de la norma evidencia cómo la excepción a la aplicación forzosa es formulada respecto de ciertos tipos de Entidades Estatales, las cuales son mencionadas por su naturaleza jurídica, sin que se incluya consideración alguna relacionada con el régimen jurídico al que se encuentren sometidas. La norma tampoco determina algún supuesto en atención al cual pueda aplicarse la excepción a algún sujeto con una naturaleza jurídica distinta de las específicamente mencionadas.</w:t>
      </w:r>
    </w:p>
    <w:p w14:paraId="10CC1E09" w14:textId="77777777" w:rsidR="00044EB2" w:rsidRPr="00044EB2" w:rsidRDefault="00044EB2" w:rsidP="00044EB2">
      <w:pPr>
        <w:tabs>
          <w:tab w:val="left" w:pos="0"/>
        </w:tabs>
        <w:spacing w:after="0" w:line="276" w:lineRule="auto"/>
        <w:ind w:firstLine="709"/>
        <w:jc w:val="both"/>
        <w:rPr>
          <w:rFonts w:ascii="Verdana" w:eastAsia="Calibri" w:hAnsi="Verdana" w:cs="Arial"/>
          <w:bCs/>
          <w:lang w:val="es-ES" w:eastAsia="es-ES_tradnl"/>
        </w:rPr>
      </w:pPr>
      <w:r w:rsidRPr="00044EB2">
        <w:rPr>
          <w:rFonts w:ascii="Verdana" w:eastAsia="Calibri" w:hAnsi="Verdana" w:cs="Arial"/>
          <w:bCs/>
          <w:lang w:val="es-ES_tradnl" w:eastAsia="es-ES_tradnl"/>
        </w:rPr>
        <w:t xml:space="preserve">De acuerdo con este criterio interpretativo y comoquiera que la norma determina las excepciones en consideración a la naturaleza jurídica de los sujetos que menciona, sin hacer distinción alguna respecto de su régimen contractual, es posible concluir que la excepción predicable de las instituciones de educación superior públicas, las empresas sociales del Estado, las sociedades de economía mixta y las empresas industriales y comerciales del Estado no resulta extensible a entidades que no cuenten con dicha naturaleza, como es el caso de las empresas de servicios públicos domiciliarios, las cuales </w:t>
      </w:r>
      <w:r w:rsidRPr="00044EB2">
        <w:rPr>
          <w:rFonts w:ascii="Verdana" w:eastAsia="Calibri" w:hAnsi="Verdana" w:cs="Arial"/>
          <w:bCs/>
          <w:lang w:val="es-ES" w:eastAsia="es-ES_tradnl"/>
        </w:rPr>
        <w:t xml:space="preserve">tienen una </w:t>
      </w:r>
      <w:r w:rsidRPr="00044EB2">
        <w:rPr>
          <w:rFonts w:ascii="Verdana" w:eastAsia="Calibri" w:hAnsi="Verdana" w:cs="Arial"/>
          <w:bCs/>
          <w:lang w:val="es-ES" w:eastAsia="es-ES_tradnl"/>
        </w:rPr>
        <w:lastRenderedPageBreak/>
        <w:t xml:space="preserve">naturaleza jurídica especial </w:t>
      </w:r>
      <w:r w:rsidRPr="00044EB2">
        <w:rPr>
          <w:rFonts w:ascii="Verdana" w:eastAsia="Calibri" w:hAnsi="Verdana" w:cs="Arial"/>
          <w:bCs/>
          <w:lang w:val="es-MX" w:eastAsia="es-ES_tradnl"/>
        </w:rPr>
        <w:t>que viene dada directamente por el artículo 356 de la Constitución Política</w:t>
      </w:r>
      <w:r w:rsidRPr="00044EB2">
        <w:rPr>
          <w:rFonts w:ascii="Verdana" w:eastAsia="Calibri" w:hAnsi="Verdana" w:cs="Arial"/>
          <w:bCs/>
          <w:lang w:val="es-ES" w:eastAsia="es-ES_tradnl"/>
        </w:rPr>
        <w:t xml:space="preserve">, distinta de entidades enlistadas. </w:t>
      </w:r>
    </w:p>
    <w:p w14:paraId="01A8FF30" w14:textId="77777777" w:rsidR="00044EB2" w:rsidRPr="00044EB2" w:rsidRDefault="00044EB2" w:rsidP="00044EB2">
      <w:pPr>
        <w:spacing w:after="0" w:line="276" w:lineRule="auto"/>
        <w:jc w:val="both"/>
        <w:rPr>
          <w:rFonts w:ascii="Verdana" w:eastAsia="Verdana" w:hAnsi="Verdana" w:cs="Verdana"/>
          <w:lang w:val="es-ES"/>
        </w:rPr>
      </w:pPr>
    </w:p>
    <w:p w14:paraId="4B528597" w14:textId="77777777" w:rsidR="00044EB2" w:rsidRPr="00044EB2" w:rsidRDefault="00044EB2" w:rsidP="00044EB2">
      <w:pPr>
        <w:spacing w:after="120" w:line="276" w:lineRule="auto"/>
        <w:jc w:val="both"/>
        <w:rPr>
          <w:rFonts w:ascii="Verdana" w:eastAsia="Calibri" w:hAnsi="Verdana" w:cs="Times New Roman"/>
          <w:lang w:val="es-ES"/>
        </w:rPr>
      </w:pPr>
      <w:proofErr w:type="spellStart"/>
      <w:r w:rsidRPr="00044EB2">
        <w:rPr>
          <w:rFonts w:ascii="Verdana" w:eastAsia="Verdana" w:hAnsi="Verdana" w:cs="Verdana"/>
          <w:lang w:val="es-ES"/>
        </w:rPr>
        <w:t>iii</w:t>
      </w:r>
      <w:proofErr w:type="spellEnd"/>
      <w:r w:rsidRPr="00044EB2">
        <w:rPr>
          <w:rFonts w:ascii="Verdana" w:eastAsia="Verdana" w:hAnsi="Verdana" w:cs="Verdana"/>
          <w:lang w:val="es-ES"/>
        </w:rPr>
        <w:t>. Teniendo en cuenta que las Empresas Industriales y Comerciales del Estado como entidades de régimen especial están facultadas legalmente para aplicar reglas distintas a las establecidas en la Ley</w:t>
      </w:r>
      <w:r w:rsidRPr="00044EB2">
        <w:rPr>
          <w:rFonts w:ascii="Verdana" w:eastAsia="Calibri" w:hAnsi="Verdana" w:cs="Times New Roman"/>
          <w:lang w:val="es-ES"/>
        </w:rPr>
        <w:t xml:space="preserve"> </w:t>
      </w:r>
      <w:r w:rsidRPr="00044EB2">
        <w:rPr>
          <w:rFonts w:ascii="Verdana" w:eastAsia="Verdana" w:hAnsi="Verdana" w:cs="Verdana"/>
          <w:lang w:val="es-ES"/>
        </w:rPr>
        <w:t>80 de 1993 y sus normas complementarias, su régimen contractual estará definido en la norma que crea el régimen especial y será desarrollado en el manual de contratación de la respectiva entidad, con el fin de que se puedan identificar las reglas que aplican en la contratación. La Agencia Nacional de Contratación Pública - Colombia Compra Eficiente expidió la “Guía para la gestión contractual de las entidades estatales con régimen especial”</w:t>
      </w:r>
      <w:r w:rsidRPr="00044EB2">
        <w:rPr>
          <w:rFonts w:ascii="Verdana" w:eastAsia="Verdana" w:hAnsi="Verdana" w:cs="Verdana"/>
          <w:vertAlign w:val="superscript"/>
          <w:lang w:val="es-ES"/>
        </w:rPr>
        <w:footnoteReference w:id="20"/>
      </w:r>
      <w:r w:rsidRPr="00044EB2">
        <w:rPr>
          <w:rFonts w:ascii="Verdana" w:eastAsia="Verdana" w:hAnsi="Verdana" w:cs="Verdana"/>
          <w:lang w:val="es-ES"/>
        </w:rPr>
        <w:t>, que las define como aquellas que contratan con un régimen distinto a las Leyes 80 de 1993 y 1150 de 2007.</w:t>
      </w:r>
    </w:p>
    <w:p w14:paraId="37DBD1B1" w14:textId="77777777" w:rsidR="00044EB2" w:rsidRPr="00044EB2" w:rsidRDefault="00044EB2" w:rsidP="00044EB2">
      <w:pPr>
        <w:spacing w:after="120" w:line="276" w:lineRule="auto"/>
        <w:ind w:firstLine="708"/>
        <w:jc w:val="both"/>
        <w:rPr>
          <w:rFonts w:ascii="Verdana" w:eastAsia="Verdana" w:hAnsi="Verdana" w:cs="Verdana"/>
          <w:lang w:val="es-ES"/>
        </w:rPr>
      </w:pPr>
      <w:r w:rsidRPr="00044EB2">
        <w:rPr>
          <w:rFonts w:ascii="Verdana" w:eastAsia="Verdana" w:hAnsi="Verdana" w:cs="Verdana"/>
          <w:lang w:val="es-ES"/>
        </w:rPr>
        <w:t>No obstante, las entidades de régimen especial cumplen una finalidad pública</w:t>
      </w:r>
      <w:r w:rsidRPr="00044EB2">
        <w:rPr>
          <w:rFonts w:ascii="Verdana" w:eastAsia="Verdana" w:hAnsi="Verdana" w:cs="Verdana"/>
          <w:spacing w:val="-2"/>
          <w:lang w:val="es-ES"/>
        </w:rPr>
        <w:t xml:space="preserve"> </w:t>
      </w:r>
      <w:r w:rsidRPr="00044EB2">
        <w:rPr>
          <w:rFonts w:ascii="Verdana" w:eastAsia="Verdana" w:hAnsi="Verdana" w:cs="Verdana"/>
          <w:lang w:val="es-ES"/>
        </w:rPr>
        <w:t>y</w:t>
      </w:r>
      <w:r w:rsidRPr="00044EB2">
        <w:rPr>
          <w:rFonts w:ascii="Verdana" w:eastAsia="Verdana" w:hAnsi="Verdana" w:cs="Verdana"/>
          <w:spacing w:val="-4"/>
          <w:lang w:val="es-ES"/>
        </w:rPr>
        <w:t xml:space="preserve"> </w:t>
      </w:r>
      <w:r w:rsidRPr="00044EB2">
        <w:rPr>
          <w:rFonts w:ascii="Verdana" w:eastAsia="Verdana" w:hAnsi="Verdana" w:cs="Verdana"/>
          <w:lang w:val="es-ES"/>
        </w:rPr>
        <w:t>utilizan</w:t>
      </w:r>
      <w:r w:rsidRPr="00044EB2">
        <w:rPr>
          <w:rFonts w:ascii="Verdana" w:eastAsia="Verdana" w:hAnsi="Verdana" w:cs="Verdana"/>
          <w:spacing w:val="-2"/>
          <w:lang w:val="es-ES"/>
        </w:rPr>
        <w:t xml:space="preserve"> </w:t>
      </w:r>
      <w:r w:rsidRPr="00044EB2">
        <w:rPr>
          <w:rFonts w:ascii="Verdana" w:eastAsia="Verdana" w:hAnsi="Verdana" w:cs="Verdana"/>
          <w:lang w:val="es-ES"/>
        </w:rPr>
        <w:t>recursos</w:t>
      </w:r>
      <w:r w:rsidRPr="00044EB2">
        <w:rPr>
          <w:rFonts w:ascii="Verdana" w:eastAsia="Verdana" w:hAnsi="Verdana" w:cs="Verdana"/>
          <w:spacing w:val="-1"/>
          <w:lang w:val="es-ES"/>
        </w:rPr>
        <w:t xml:space="preserve"> </w:t>
      </w:r>
      <w:r w:rsidRPr="00044EB2">
        <w:rPr>
          <w:rFonts w:ascii="Verdana" w:eastAsia="Verdana" w:hAnsi="Verdana" w:cs="Verdana"/>
          <w:lang w:val="es-ES"/>
        </w:rPr>
        <w:t>públicos</w:t>
      </w:r>
      <w:r w:rsidRPr="00044EB2">
        <w:rPr>
          <w:rFonts w:ascii="Verdana" w:eastAsia="Verdana" w:hAnsi="Verdana" w:cs="Verdana"/>
          <w:spacing w:val="-2"/>
          <w:lang w:val="es-ES"/>
        </w:rPr>
        <w:t xml:space="preserve"> </w:t>
      </w:r>
      <w:r w:rsidRPr="00044EB2">
        <w:rPr>
          <w:rFonts w:ascii="Verdana" w:eastAsia="Verdana" w:hAnsi="Verdana" w:cs="Verdana"/>
          <w:lang w:val="es-ES"/>
        </w:rPr>
        <w:t>para</w:t>
      </w:r>
      <w:r w:rsidRPr="00044EB2">
        <w:rPr>
          <w:rFonts w:ascii="Verdana" w:eastAsia="Verdana" w:hAnsi="Verdana" w:cs="Verdana"/>
          <w:spacing w:val="-3"/>
          <w:lang w:val="es-ES"/>
        </w:rPr>
        <w:t xml:space="preserve"> </w:t>
      </w:r>
      <w:r w:rsidRPr="00044EB2">
        <w:rPr>
          <w:rFonts w:ascii="Verdana" w:eastAsia="Verdana" w:hAnsi="Verdana" w:cs="Verdana"/>
          <w:lang w:val="es-ES"/>
        </w:rPr>
        <w:t>lograrlo,</w:t>
      </w:r>
      <w:r w:rsidRPr="00044EB2">
        <w:rPr>
          <w:rFonts w:ascii="Verdana" w:eastAsia="Verdana" w:hAnsi="Verdana" w:cs="Verdana"/>
          <w:spacing w:val="-1"/>
          <w:lang w:val="es-ES"/>
        </w:rPr>
        <w:t xml:space="preserve"> </w:t>
      </w:r>
      <w:r w:rsidRPr="00044EB2">
        <w:rPr>
          <w:rFonts w:ascii="Verdana" w:eastAsia="Verdana" w:hAnsi="Verdana" w:cs="Verdana"/>
          <w:lang w:val="es-ES"/>
        </w:rPr>
        <w:t>por</w:t>
      </w:r>
      <w:r w:rsidRPr="00044EB2">
        <w:rPr>
          <w:rFonts w:ascii="Verdana" w:eastAsia="Verdana" w:hAnsi="Verdana" w:cs="Verdana"/>
          <w:spacing w:val="-3"/>
          <w:lang w:val="es-ES"/>
        </w:rPr>
        <w:t xml:space="preserve"> </w:t>
      </w:r>
      <w:r w:rsidRPr="00044EB2">
        <w:rPr>
          <w:rFonts w:ascii="Verdana" w:eastAsia="Verdana" w:hAnsi="Verdana" w:cs="Verdana"/>
          <w:lang w:val="es-ES"/>
        </w:rPr>
        <w:t>lo</w:t>
      </w:r>
      <w:r w:rsidRPr="00044EB2">
        <w:rPr>
          <w:rFonts w:ascii="Verdana" w:eastAsia="Verdana" w:hAnsi="Verdana" w:cs="Verdana"/>
          <w:spacing w:val="-3"/>
          <w:lang w:val="es-ES"/>
        </w:rPr>
        <w:t xml:space="preserve"> </w:t>
      </w:r>
      <w:r w:rsidRPr="00044EB2">
        <w:rPr>
          <w:rFonts w:ascii="Verdana" w:eastAsia="Verdana" w:hAnsi="Verdana" w:cs="Verdana"/>
          <w:lang w:val="es-ES"/>
        </w:rPr>
        <w:t>que</w:t>
      </w:r>
      <w:r w:rsidRPr="00044EB2">
        <w:rPr>
          <w:rFonts w:ascii="Verdana" w:eastAsia="Verdana" w:hAnsi="Verdana" w:cs="Verdana"/>
          <w:spacing w:val="-3"/>
          <w:lang w:val="es-ES"/>
        </w:rPr>
        <w:t xml:space="preserve"> </w:t>
      </w:r>
      <w:r w:rsidRPr="00044EB2">
        <w:rPr>
          <w:rFonts w:ascii="Verdana" w:eastAsia="Verdana" w:hAnsi="Verdana" w:cs="Verdana"/>
          <w:lang w:val="es-ES"/>
        </w:rPr>
        <w:t>no</w:t>
      </w:r>
      <w:r w:rsidRPr="00044EB2">
        <w:rPr>
          <w:rFonts w:ascii="Verdana" w:eastAsia="Verdana" w:hAnsi="Verdana" w:cs="Verdana"/>
          <w:spacing w:val="-4"/>
          <w:lang w:val="es-ES"/>
        </w:rPr>
        <w:t xml:space="preserve"> </w:t>
      </w:r>
      <w:r w:rsidRPr="00044EB2">
        <w:rPr>
          <w:rFonts w:ascii="Verdana" w:eastAsia="Verdana" w:hAnsi="Verdana" w:cs="Verdana"/>
          <w:lang w:val="es-ES"/>
        </w:rPr>
        <w:t>son</w:t>
      </w:r>
      <w:r w:rsidRPr="00044EB2">
        <w:rPr>
          <w:rFonts w:ascii="Verdana" w:eastAsia="Verdana" w:hAnsi="Verdana" w:cs="Verdana"/>
          <w:spacing w:val="-3"/>
          <w:lang w:val="es-ES"/>
        </w:rPr>
        <w:t xml:space="preserve"> </w:t>
      </w:r>
      <w:r w:rsidRPr="00044EB2">
        <w:rPr>
          <w:rFonts w:ascii="Verdana" w:eastAsia="Verdana" w:hAnsi="Verdana" w:cs="Verdana"/>
          <w:lang w:val="es-ES"/>
        </w:rPr>
        <w:t>ajenas</w:t>
      </w:r>
      <w:r w:rsidRPr="00044EB2">
        <w:rPr>
          <w:rFonts w:ascii="Verdana" w:eastAsia="Verdana" w:hAnsi="Verdana" w:cs="Verdana"/>
          <w:spacing w:val="-3"/>
          <w:lang w:val="es-ES"/>
        </w:rPr>
        <w:t xml:space="preserve"> </w:t>
      </w:r>
      <w:r w:rsidRPr="00044EB2">
        <w:rPr>
          <w:rFonts w:ascii="Verdana" w:eastAsia="Verdana" w:hAnsi="Verdana" w:cs="Verdana"/>
          <w:lang w:val="es-ES"/>
        </w:rPr>
        <w:t>a</w:t>
      </w:r>
      <w:r w:rsidRPr="00044EB2">
        <w:rPr>
          <w:rFonts w:ascii="Verdana" w:eastAsia="Verdana" w:hAnsi="Verdana" w:cs="Verdana"/>
          <w:spacing w:val="-4"/>
          <w:lang w:val="es-ES"/>
        </w:rPr>
        <w:t xml:space="preserve"> </w:t>
      </w:r>
      <w:r w:rsidRPr="00044EB2">
        <w:rPr>
          <w:rFonts w:ascii="Verdana" w:eastAsia="Verdana" w:hAnsi="Verdana" w:cs="Verdana"/>
          <w:lang w:val="es-ES"/>
        </w:rPr>
        <w:t>los principios de la función administrativa y de la gestión fiscal, entre otras reglas dispuestas</w:t>
      </w:r>
      <w:r w:rsidRPr="00044EB2">
        <w:rPr>
          <w:rFonts w:ascii="Verdana" w:eastAsia="Verdana" w:hAnsi="Verdana" w:cs="Verdana"/>
          <w:spacing w:val="-20"/>
          <w:lang w:val="es-ES"/>
        </w:rPr>
        <w:t xml:space="preserve"> </w:t>
      </w:r>
      <w:r w:rsidRPr="00044EB2">
        <w:rPr>
          <w:rFonts w:ascii="Verdana" w:eastAsia="Verdana" w:hAnsi="Verdana" w:cs="Verdana"/>
          <w:lang w:val="es-ES"/>
        </w:rPr>
        <w:t>en</w:t>
      </w:r>
      <w:r w:rsidRPr="00044EB2">
        <w:rPr>
          <w:rFonts w:ascii="Verdana" w:eastAsia="Verdana" w:hAnsi="Verdana" w:cs="Verdana"/>
          <w:spacing w:val="-19"/>
          <w:lang w:val="es-ES"/>
        </w:rPr>
        <w:t xml:space="preserve"> </w:t>
      </w:r>
      <w:r w:rsidRPr="00044EB2">
        <w:rPr>
          <w:rFonts w:ascii="Verdana" w:eastAsia="Verdana" w:hAnsi="Verdana" w:cs="Verdana"/>
          <w:lang w:val="es-ES"/>
        </w:rPr>
        <w:t>la</w:t>
      </w:r>
      <w:r w:rsidRPr="00044EB2">
        <w:rPr>
          <w:rFonts w:ascii="Verdana" w:eastAsia="Verdana" w:hAnsi="Verdana" w:cs="Verdana"/>
          <w:spacing w:val="-19"/>
          <w:lang w:val="es-ES"/>
        </w:rPr>
        <w:t xml:space="preserve"> </w:t>
      </w:r>
      <w:r w:rsidRPr="00044EB2">
        <w:rPr>
          <w:rFonts w:ascii="Verdana" w:eastAsia="Verdana" w:hAnsi="Verdana" w:cs="Verdana"/>
          <w:lang w:val="es-ES"/>
        </w:rPr>
        <w:t>normativa</w:t>
      </w:r>
      <w:r w:rsidRPr="00044EB2">
        <w:rPr>
          <w:rFonts w:ascii="Verdana" w:eastAsia="Verdana" w:hAnsi="Verdana" w:cs="Verdana"/>
          <w:spacing w:val="-20"/>
          <w:lang w:val="es-ES"/>
        </w:rPr>
        <w:t xml:space="preserve"> </w:t>
      </w:r>
      <w:r w:rsidRPr="00044EB2">
        <w:rPr>
          <w:rFonts w:ascii="Verdana" w:eastAsia="Verdana" w:hAnsi="Verdana" w:cs="Verdana"/>
          <w:lang w:val="es-ES"/>
        </w:rPr>
        <w:t>de</w:t>
      </w:r>
      <w:r w:rsidRPr="00044EB2">
        <w:rPr>
          <w:rFonts w:ascii="Verdana" w:eastAsia="Verdana" w:hAnsi="Verdana" w:cs="Verdana"/>
          <w:spacing w:val="-19"/>
          <w:lang w:val="es-ES"/>
        </w:rPr>
        <w:t xml:space="preserve"> </w:t>
      </w:r>
      <w:r w:rsidRPr="00044EB2">
        <w:rPr>
          <w:rFonts w:ascii="Verdana" w:eastAsia="Verdana" w:hAnsi="Verdana" w:cs="Verdana"/>
          <w:lang w:val="es-ES"/>
        </w:rPr>
        <w:t>contratación</w:t>
      </w:r>
      <w:r w:rsidRPr="00044EB2">
        <w:rPr>
          <w:rFonts w:ascii="Verdana" w:eastAsia="Verdana" w:hAnsi="Verdana" w:cs="Verdana"/>
          <w:spacing w:val="-20"/>
          <w:lang w:val="es-ES"/>
        </w:rPr>
        <w:t xml:space="preserve"> </w:t>
      </w:r>
      <w:r w:rsidRPr="00044EB2">
        <w:rPr>
          <w:rFonts w:ascii="Verdana" w:eastAsia="Verdana" w:hAnsi="Verdana" w:cs="Verdana"/>
          <w:lang w:val="es-ES"/>
        </w:rPr>
        <w:t>pública</w:t>
      </w:r>
      <w:r w:rsidRPr="00044EB2">
        <w:rPr>
          <w:rFonts w:ascii="Verdana" w:eastAsia="Verdana" w:hAnsi="Verdana" w:cs="Verdana"/>
          <w:spacing w:val="-19"/>
          <w:lang w:val="es-ES"/>
        </w:rPr>
        <w:t xml:space="preserve"> </w:t>
      </w:r>
      <w:r w:rsidRPr="00044EB2">
        <w:rPr>
          <w:rFonts w:ascii="Verdana" w:eastAsia="Verdana" w:hAnsi="Verdana" w:cs="Verdana"/>
          <w:lang w:val="es-ES"/>
        </w:rPr>
        <w:t>que</w:t>
      </w:r>
      <w:r w:rsidRPr="00044EB2">
        <w:rPr>
          <w:rFonts w:ascii="Verdana" w:eastAsia="Verdana" w:hAnsi="Verdana" w:cs="Verdana"/>
          <w:spacing w:val="-19"/>
          <w:lang w:val="es-ES"/>
        </w:rPr>
        <w:t xml:space="preserve"> </w:t>
      </w:r>
      <w:r w:rsidRPr="00044EB2">
        <w:rPr>
          <w:rFonts w:ascii="Verdana" w:eastAsia="Verdana" w:hAnsi="Verdana" w:cs="Verdana"/>
          <w:lang w:val="es-ES"/>
        </w:rPr>
        <w:t>son</w:t>
      </w:r>
      <w:r w:rsidRPr="00044EB2">
        <w:rPr>
          <w:rFonts w:ascii="Verdana" w:eastAsia="Verdana" w:hAnsi="Verdana" w:cs="Verdana"/>
          <w:spacing w:val="-20"/>
          <w:lang w:val="es-ES"/>
        </w:rPr>
        <w:t xml:space="preserve"> </w:t>
      </w:r>
      <w:r w:rsidRPr="00044EB2">
        <w:rPr>
          <w:rFonts w:ascii="Verdana" w:eastAsia="Verdana" w:hAnsi="Verdana" w:cs="Verdana"/>
          <w:lang w:val="es-ES"/>
        </w:rPr>
        <w:t>transversales</w:t>
      </w:r>
      <w:r w:rsidRPr="00044EB2">
        <w:rPr>
          <w:rFonts w:ascii="Verdana" w:eastAsia="Verdana" w:hAnsi="Verdana" w:cs="Verdana"/>
          <w:spacing w:val="-19"/>
          <w:lang w:val="es-ES"/>
        </w:rPr>
        <w:t xml:space="preserve"> </w:t>
      </w:r>
      <w:r w:rsidRPr="00044EB2">
        <w:rPr>
          <w:rFonts w:ascii="Verdana" w:eastAsia="Verdana" w:hAnsi="Verdana" w:cs="Verdana"/>
          <w:lang w:val="es-ES"/>
        </w:rPr>
        <w:t>a</w:t>
      </w:r>
      <w:r w:rsidRPr="00044EB2">
        <w:rPr>
          <w:rFonts w:ascii="Verdana" w:eastAsia="Verdana" w:hAnsi="Verdana" w:cs="Verdana"/>
          <w:spacing w:val="-19"/>
          <w:lang w:val="es-ES"/>
        </w:rPr>
        <w:t xml:space="preserve"> </w:t>
      </w:r>
      <w:r w:rsidRPr="00044EB2">
        <w:rPr>
          <w:rFonts w:ascii="Verdana" w:eastAsia="Verdana" w:hAnsi="Verdana" w:cs="Verdana"/>
          <w:lang w:val="es-ES"/>
        </w:rPr>
        <w:t>todas las entidades, sin importar su régimen contractual.</w:t>
      </w:r>
      <w:r w:rsidRPr="00044EB2">
        <w:rPr>
          <w:rFonts w:ascii="Verdana" w:eastAsia="Calibri" w:hAnsi="Verdana" w:cs="Arial"/>
          <w:lang w:val="es-ES_tradnl"/>
        </w:rPr>
        <w:t>Lo anterior es reafirmado por el Consejo de Estado, que destaca las reglas que sigue la contratación de las entidades de régimen especial:</w:t>
      </w:r>
    </w:p>
    <w:p w14:paraId="07083E75" w14:textId="77777777" w:rsidR="00044EB2" w:rsidRPr="00044EB2" w:rsidRDefault="00044EB2" w:rsidP="00044EB2">
      <w:pPr>
        <w:spacing w:after="0" w:line="240" w:lineRule="auto"/>
        <w:jc w:val="both"/>
        <w:rPr>
          <w:rFonts w:ascii="Arial" w:eastAsia="Calibri" w:hAnsi="Arial" w:cs="Arial"/>
          <w:sz w:val="20"/>
          <w:szCs w:val="20"/>
          <w:lang w:val="es-ES_tradnl"/>
        </w:rPr>
      </w:pPr>
    </w:p>
    <w:p w14:paraId="6250C919" w14:textId="77777777" w:rsidR="00044EB2" w:rsidRPr="00044EB2" w:rsidRDefault="00044EB2" w:rsidP="00044EB2">
      <w:pPr>
        <w:spacing w:after="0" w:line="240" w:lineRule="auto"/>
        <w:ind w:left="709" w:right="709"/>
        <w:jc w:val="both"/>
        <w:rPr>
          <w:rFonts w:ascii="Verdana" w:eastAsia="Calibri" w:hAnsi="Verdana" w:cs="Arial"/>
          <w:sz w:val="20"/>
          <w:szCs w:val="20"/>
          <w:lang w:val="es-ES_tradnl"/>
        </w:rPr>
      </w:pPr>
      <w:r w:rsidRPr="00044EB2">
        <w:rPr>
          <w:rFonts w:ascii="Verdana" w:eastAsia="Calibri" w:hAnsi="Verdana" w:cs="Arial"/>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503F9F92" w14:textId="77777777" w:rsidR="00044EB2" w:rsidRPr="00044EB2" w:rsidRDefault="00044EB2" w:rsidP="00044EB2">
      <w:pPr>
        <w:spacing w:after="0" w:line="240" w:lineRule="auto"/>
        <w:ind w:left="709" w:right="709"/>
        <w:jc w:val="both"/>
        <w:rPr>
          <w:rFonts w:ascii="Verdana" w:eastAsia="Calibri" w:hAnsi="Verdana" w:cs="Arial"/>
          <w:sz w:val="20"/>
          <w:szCs w:val="20"/>
          <w:lang w:val="es-ES_tradnl"/>
        </w:rPr>
      </w:pPr>
    </w:p>
    <w:p w14:paraId="33D97590" w14:textId="77777777" w:rsidR="00044EB2" w:rsidRPr="00044EB2" w:rsidRDefault="00044EB2" w:rsidP="00044EB2">
      <w:pPr>
        <w:spacing w:after="0" w:line="240" w:lineRule="auto"/>
        <w:ind w:left="709" w:right="709"/>
        <w:jc w:val="both"/>
        <w:rPr>
          <w:rFonts w:ascii="Verdana" w:eastAsia="Calibri" w:hAnsi="Verdana" w:cs="Arial"/>
          <w:sz w:val="20"/>
          <w:szCs w:val="20"/>
          <w:lang w:val="es-ES"/>
        </w:rPr>
      </w:pPr>
      <w:r w:rsidRPr="00044EB2">
        <w:rPr>
          <w:rFonts w:ascii="Verdana" w:eastAsia="Calibri" w:hAnsi="Verdana" w:cs="Arial"/>
          <w:sz w:val="20"/>
          <w:szCs w:val="20"/>
          <w:lang w:val="es-ES"/>
        </w:rPr>
        <w:t xml:space="preserve">La Sala entiende que el régimen preponderante domina y aporta el gran volumen de normas contractuales y que el régimen inspirador influye y ayuda a </w:t>
      </w:r>
      <w:proofErr w:type="gramStart"/>
      <w:r w:rsidRPr="00044EB2">
        <w:rPr>
          <w:rFonts w:ascii="Verdana" w:eastAsia="Calibri" w:hAnsi="Verdana" w:cs="Arial"/>
          <w:sz w:val="20"/>
          <w:szCs w:val="20"/>
          <w:lang w:val="es-ES"/>
        </w:rPr>
        <w:t>interpretar</w:t>
      </w:r>
      <w:proofErr w:type="gramEnd"/>
      <w:r w:rsidRPr="00044EB2">
        <w:rPr>
          <w:rFonts w:ascii="Verdana" w:eastAsia="Calibri" w:hAnsi="Verdana" w:cs="Arial"/>
          <w:sz w:val="20"/>
          <w:szCs w:val="20"/>
          <w:lang w:val="es-ES"/>
        </w:rPr>
        <w:t xml:space="preserve"> pero también transforma parte de esas instituciones, porque se suma a ellas, lo que no siempre se logra conservando intacta la institución privada sino introduciéndole modificaciones. </w:t>
      </w:r>
    </w:p>
    <w:p w14:paraId="387FE0C4" w14:textId="77777777" w:rsidR="00044EB2" w:rsidRPr="00044EB2" w:rsidRDefault="00044EB2" w:rsidP="00044EB2">
      <w:pPr>
        <w:spacing w:after="0" w:line="240" w:lineRule="auto"/>
        <w:ind w:left="709" w:right="709"/>
        <w:jc w:val="both"/>
        <w:rPr>
          <w:rFonts w:ascii="Verdana" w:eastAsia="Calibri" w:hAnsi="Verdana" w:cs="Arial"/>
          <w:sz w:val="20"/>
          <w:szCs w:val="20"/>
          <w:lang w:val="es-ES_tradnl"/>
        </w:rPr>
      </w:pPr>
    </w:p>
    <w:p w14:paraId="1CDE95AC" w14:textId="77777777" w:rsidR="00044EB2" w:rsidRPr="00044EB2" w:rsidRDefault="00044EB2" w:rsidP="00044EB2">
      <w:pPr>
        <w:spacing w:after="0" w:line="240" w:lineRule="auto"/>
        <w:ind w:left="709" w:right="709"/>
        <w:jc w:val="both"/>
        <w:rPr>
          <w:rFonts w:ascii="Verdana" w:eastAsia="Calibri" w:hAnsi="Verdana" w:cs="Arial"/>
          <w:sz w:val="20"/>
          <w:szCs w:val="20"/>
          <w:lang w:val="es-ES_tradnl"/>
        </w:rPr>
      </w:pPr>
      <w:r w:rsidRPr="00044EB2">
        <w:rPr>
          <w:rFonts w:ascii="Verdana" w:eastAsia="Calibri" w:hAnsi="Verdana" w:cs="Arial"/>
          <w:sz w:val="20"/>
          <w:szCs w:val="20"/>
          <w:lang w:val="es-ES_tradnl"/>
        </w:rPr>
        <w:lastRenderedPageBreak/>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044EB2">
        <w:rPr>
          <w:rFonts w:ascii="Verdana" w:eastAsia="Calibri" w:hAnsi="Verdana" w:cs="Arial"/>
          <w:sz w:val="20"/>
          <w:szCs w:val="20"/>
          <w:vertAlign w:val="superscript"/>
          <w:lang w:val="es-ES_tradnl"/>
        </w:rPr>
        <w:footnoteReference w:id="21"/>
      </w:r>
      <w:r w:rsidRPr="00044EB2">
        <w:rPr>
          <w:rFonts w:ascii="Verdana" w:eastAsia="Calibri" w:hAnsi="Verdana" w:cs="Arial"/>
          <w:sz w:val="20"/>
          <w:szCs w:val="20"/>
          <w:lang w:val="es-ES_tradnl"/>
        </w:rPr>
        <w:t>.</w:t>
      </w:r>
    </w:p>
    <w:p w14:paraId="2220B27D" w14:textId="77777777" w:rsidR="00044EB2" w:rsidRPr="00044EB2" w:rsidRDefault="00044EB2" w:rsidP="00044EB2">
      <w:pPr>
        <w:spacing w:after="120" w:line="276" w:lineRule="auto"/>
        <w:ind w:firstLine="708"/>
        <w:jc w:val="both"/>
        <w:rPr>
          <w:rFonts w:ascii="Verdana" w:eastAsia="Verdana" w:hAnsi="Verdana" w:cs="Verdana"/>
          <w:lang w:val="es-ES"/>
        </w:rPr>
      </w:pPr>
    </w:p>
    <w:p w14:paraId="5B6C386E" w14:textId="77777777" w:rsidR="00044EB2" w:rsidRPr="00044EB2" w:rsidRDefault="00044EB2" w:rsidP="00044EB2">
      <w:pPr>
        <w:spacing w:after="120" w:line="276" w:lineRule="auto"/>
        <w:ind w:firstLine="708"/>
        <w:jc w:val="both"/>
        <w:rPr>
          <w:rFonts w:ascii="Verdana" w:eastAsia="Calibri" w:hAnsi="Verdana" w:cs="Times New Roman"/>
          <w:lang w:val="es-ES"/>
        </w:rPr>
      </w:pPr>
      <w:r w:rsidRPr="00044EB2">
        <w:rPr>
          <w:rFonts w:ascii="Verdana" w:eastAsia="Calibri" w:hAnsi="Verdana" w:cs="Times New Roman"/>
          <w:lang w:val="es-ES"/>
        </w:rPr>
        <w:t xml:space="preserve"> </w:t>
      </w:r>
      <w:r w:rsidRPr="00044EB2">
        <w:rPr>
          <w:rFonts w:ascii="Verdana" w:eastAsia="Verdana" w:hAnsi="Verdana" w:cs="Verdana"/>
          <w:lang w:val="es-ES"/>
        </w:rPr>
        <w:t xml:space="preserve">Ahora bien, las Empresas Industriales y Comerciales del Estado que cuenten con un régimen especial de contratación deben adelantar su contratación, mediante los procedimientos y reglas propias del manual de contratación institucional y/o cumplir la normativa de carácter especial, si procede. Haciendo claridad que el manual, así como los pliegos de condiciones deben contener los principios de la función administrativa y de la gestión fiscal, determinándose la manera concreta como dichos principios moldearán el derecho privado en el ejercicio de la actividad contractual. </w:t>
      </w:r>
    </w:p>
    <w:p w14:paraId="61BDB7B0" w14:textId="77777777" w:rsidR="00044EB2" w:rsidRPr="00044EB2" w:rsidRDefault="00044EB2" w:rsidP="00044EB2">
      <w:pPr>
        <w:spacing w:after="120" w:line="276" w:lineRule="auto"/>
        <w:ind w:firstLine="709"/>
        <w:jc w:val="both"/>
        <w:rPr>
          <w:rFonts w:ascii="Verdana" w:eastAsia="Calibri" w:hAnsi="Verdana" w:cs="Times New Roman"/>
          <w:lang w:val="es-ES"/>
        </w:rPr>
      </w:pPr>
      <w:r w:rsidRPr="00044EB2">
        <w:rPr>
          <w:rFonts w:ascii="Verdana" w:eastAsia="Verdana" w:hAnsi="Verdana" w:cs="Verdana"/>
          <w:spacing w:val="-2"/>
          <w:lang w:val="es-ES"/>
        </w:rPr>
        <w:t>Sobre</w:t>
      </w:r>
      <w:r w:rsidRPr="00044EB2">
        <w:rPr>
          <w:rFonts w:ascii="Verdana" w:eastAsia="Verdana" w:hAnsi="Verdana" w:cs="Verdana"/>
          <w:spacing w:val="-10"/>
          <w:lang w:val="es-ES"/>
        </w:rPr>
        <w:t xml:space="preserve"> </w:t>
      </w:r>
      <w:r w:rsidRPr="00044EB2">
        <w:rPr>
          <w:rFonts w:ascii="Verdana" w:eastAsia="Verdana" w:hAnsi="Verdana" w:cs="Verdana"/>
          <w:spacing w:val="-2"/>
          <w:lang w:val="es-ES"/>
        </w:rPr>
        <w:t>este</w:t>
      </w:r>
      <w:r w:rsidRPr="00044EB2">
        <w:rPr>
          <w:rFonts w:ascii="Verdana" w:eastAsia="Verdana" w:hAnsi="Verdana" w:cs="Verdana"/>
          <w:spacing w:val="-11"/>
          <w:lang w:val="es-ES"/>
        </w:rPr>
        <w:t xml:space="preserve"> </w:t>
      </w:r>
      <w:r w:rsidRPr="00044EB2">
        <w:rPr>
          <w:rFonts w:ascii="Verdana" w:eastAsia="Verdana" w:hAnsi="Verdana" w:cs="Verdana"/>
          <w:spacing w:val="-2"/>
          <w:lang w:val="es-ES"/>
        </w:rPr>
        <w:t>punto</w:t>
      </w:r>
      <w:r w:rsidRPr="00044EB2">
        <w:rPr>
          <w:rFonts w:ascii="Verdana" w:eastAsia="Verdana" w:hAnsi="Verdana" w:cs="Verdana"/>
          <w:spacing w:val="-11"/>
          <w:lang w:val="es-ES"/>
        </w:rPr>
        <w:t xml:space="preserve"> </w:t>
      </w:r>
      <w:r w:rsidRPr="00044EB2">
        <w:rPr>
          <w:rFonts w:ascii="Verdana" w:eastAsia="Verdana" w:hAnsi="Verdana" w:cs="Verdana"/>
          <w:spacing w:val="-2"/>
          <w:lang w:val="es-ES"/>
        </w:rPr>
        <w:t>particular</w:t>
      </w:r>
      <w:r w:rsidRPr="00044EB2">
        <w:rPr>
          <w:rFonts w:ascii="Verdana" w:eastAsia="Verdana" w:hAnsi="Verdana" w:cs="Verdana"/>
          <w:spacing w:val="-8"/>
          <w:lang w:val="es-ES"/>
        </w:rPr>
        <w:t xml:space="preserve"> </w:t>
      </w:r>
      <w:r w:rsidRPr="00044EB2">
        <w:rPr>
          <w:rFonts w:ascii="Verdana" w:eastAsia="Verdana" w:hAnsi="Verdana" w:cs="Verdana"/>
          <w:spacing w:val="-2"/>
          <w:lang w:val="es-ES"/>
        </w:rPr>
        <w:t>es</w:t>
      </w:r>
      <w:r w:rsidRPr="00044EB2">
        <w:rPr>
          <w:rFonts w:ascii="Verdana" w:eastAsia="Verdana" w:hAnsi="Verdana" w:cs="Verdana"/>
          <w:spacing w:val="-11"/>
          <w:lang w:val="es-ES"/>
        </w:rPr>
        <w:t xml:space="preserve"> </w:t>
      </w:r>
      <w:r w:rsidRPr="00044EB2">
        <w:rPr>
          <w:rFonts w:ascii="Verdana" w:eastAsia="Verdana" w:hAnsi="Verdana" w:cs="Verdana"/>
          <w:spacing w:val="-2"/>
          <w:lang w:val="es-ES"/>
        </w:rPr>
        <w:t>preciso</w:t>
      </w:r>
      <w:r w:rsidRPr="00044EB2">
        <w:rPr>
          <w:rFonts w:ascii="Verdana" w:eastAsia="Verdana" w:hAnsi="Verdana" w:cs="Verdana"/>
          <w:spacing w:val="-8"/>
          <w:lang w:val="es-ES"/>
        </w:rPr>
        <w:t xml:space="preserve"> </w:t>
      </w:r>
      <w:r w:rsidRPr="00044EB2">
        <w:rPr>
          <w:rFonts w:ascii="Verdana" w:eastAsia="Verdana" w:hAnsi="Verdana" w:cs="Verdana"/>
          <w:spacing w:val="-2"/>
          <w:lang w:val="es-ES"/>
        </w:rPr>
        <w:t>destacar</w:t>
      </w:r>
      <w:r w:rsidRPr="00044EB2">
        <w:rPr>
          <w:rFonts w:ascii="Verdana" w:eastAsia="Verdana" w:hAnsi="Verdana" w:cs="Verdana"/>
          <w:spacing w:val="-10"/>
          <w:lang w:val="es-ES"/>
        </w:rPr>
        <w:t xml:space="preserve"> </w:t>
      </w:r>
      <w:r w:rsidRPr="00044EB2">
        <w:rPr>
          <w:rFonts w:ascii="Verdana" w:eastAsia="Verdana" w:hAnsi="Verdana" w:cs="Verdana"/>
          <w:spacing w:val="-2"/>
          <w:lang w:val="es-ES"/>
        </w:rPr>
        <w:t>que</w:t>
      </w:r>
      <w:r w:rsidRPr="00044EB2">
        <w:rPr>
          <w:rFonts w:ascii="Verdana" w:eastAsia="Verdana" w:hAnsi="Verdana" w:cs="Verdana"/>
          <w:spacing w:val="-11"/>
          <w:lang w:val="es-ES"/>
        </w:rPr>
        <w:t xml:space="preserve"> </w:t>
      </w:r>
      <w:r w:rsidRPr="00044EB2">
        <w:rPr>
          <w:rFonts w:ascii="Verdana" w:eastAsia="Verdana" w:hAnsi="Verdana" w:cs="Verdana"/>
          <w:spacing w:val="-2"/>
          <w:lang w:val="es-ES"/>
        </w:rPr>
        <w:t>las Empresas Industriales y Comerciales del Estado como</w:t>
      </w:r>
      <w:r w:rsidRPr="00044EB2">
        <w:rPr>
          <w:rFonts w:ascii="Verdana" w:eastAsia="Verdana" w:hAnsi="Verdana" w:cs="Verdana"/>
          <w:spacing w:val="-11"/>
          <w:lang w:val="es-ES"/>
        </w:rPr>
        <w:t xml:space="preserve"> </w:t>
      </w:r>
      <w:r w:rsidRPr="00044EB2">
        <w:rPr>
          <w:rFonts w:ascii="Verdana" w:eastAsia="Verdana" w:hAnsi="Verdana" w:cs="Verdana"/>
          <w:spacing w:val="-2"/>
          <w:lang w:val="es-ES"/>
        </w:rPr>
        <w:t>Entidades</w:t>
      </w:r>
      <w:r w:rsidRPr="00044EB2">
        <w:rPr>
          <w:rFonts w:ascii="Verdana" w:eastAsia="Verdana" w:hAnsi="Verdana" w:cs="Verdana"/>
          <w:spacing w:val="-10"/>
          <w:lang w:val="es-ES"/>
        </w:rPr>
        <w:t xml:space="preserve"> </w:t>
      </w:r>
      <w:r w:rsidRPr="00044EB2">
        <w:rPr>
          <w:rFonts w:ascii="Verdana" w:eastAsia="Verdana" w:hAnsi="Verdana" w:cs="Verdana"/>
          <w:spacing w:val="-2"/>
          <w:lang w:val="es-ES"/>
        </w:rPr>
        <w:t xml:space="preserve">Estatales </w:t>
      </w:r>
      <w:r w:rsidRPr="00044EB2">
        <w:rPr>
          <w:rFonts w:ascii="Verdana" w:eastAsia="Verdana" w:hAnsi="Verdana" w:cs="Verdana"/>
          <w:lang w:val="es-ES"/>
        </w:rPr>
        <w:t>sometidas</w:t>
      </w:r>
      <w:r w:rsidRPr="00044EB2">
        <w:rPr>
          <w:rFonts w:ascii="Verdana" w:eastAsia="Verdana" w:hAnsi="Verdana" w:cs="Verdana"/>
          <w:spacing w:val="-15"/>
          <w:lang w:val="es-ES"/>
        </w:rPr>
        <w:t xml:space="preserve"> </w:t>
      </w:r>
      <w:r w:rsidRPr="00044EB2">
        <w:rPr>
          <w:rFonts w:ascii="Verdana" w:eastAsia="Verdana" w:hAnsi="Verdana" w:cs="Verdana"/>
          <w:lang w:val="es-ES"/>
        </w:rPr>
        <w:t>a</w:t>
      </w:r>
      <w:r w:rsidRPr="00044EB2">
        <w:rPr>
          <w:rFonts w:ascii="Verdana" w:eastAsia="Verdana" w:hAnsi="Verdana" w:cs="Verdana"/>
          <w:spacing w:val="-17"/>
          <w:lang w:val="es-ES"/>
        </w:rPr>
        <w:t xml:space="preserve"> </w:t>
      </w:r>
      <w:r w:rsidRPr="00044EB2">
        <w:rPr>
          <w:rFonts w:ascii="Verdana" w:eastAsia="Verdana" w:hAnsi="Verdana" w:cs="Verdana"/>
          <w:lang w:val="es-ES"/>
        </w:rPr>
        <w:t>regímenes</w:t>
      </w:r>
      <w:r w:rsidRPr="00044EB2">
        <w:rPr>
          <w:rFonts w:ascii="Verdana" w:eastAsia="Verdana" w:hAnsi="Verdana" w:cs="Verdana"/>
          <w:spacing w:val="-15"/>
          <w:lang w:val="es-ES"/>
        </w:rPr>
        <w:t xml:space="preserve"> </w:t>
      </w:r>
      <w:r w:rsidRPr="00044EB2">
        <w:rPr>
          <w:rFonts w:ascii="Verdana" w:eastAsia="Verdana" w:hAnsi="Verdana" w:cs="Verdana"/>
          <w:lang w:val="es-ES"/>
        </w:rPr>
        <w:t>especiales</w:t>
      </w:r>
      <w:r w:rsidRPr="00044EB2">
        <w:rPr>
          <w:rFonts w:ascii="Verdana" w:eastAsia="Verdana" w:hAnsi="Verdana" w:cs="Verdana"/>
          <w:spacing w:val="-14"/>
          <w:lang w:val="es-ES"/>
        </w:rPr>
        <w:t xml:space="preserve"> </w:t>
      </w:r>
      <w:r w:rsidRPr="00044EB2">
        <w:rPr>
          <w:rFonts w:ascii="Verdana" w:eastAsia="Verdana" w:hAnsi="Verdana" w:cs="Verdana"/>
          <w:lang w:val="es-ES"/>
        </w:rPr>
        <w:t>de</w:t>
      </w:r>
      <w:r w:rsidRPr="00044EB2">
        <w:rPr>
          <w:rFonts w:ascii="Verdana" w:eastAsia="Verdana" w:hAnsi="Verdana" w:cs="Verdana"/>
          <w:spacing w:val="-17"/>
          <w:lang w:val="es-ES"/>
        </w:rPr>
        <w:t xml:space="preserve"> </w:t>
      </w:r>
      <w:r w:rsidRPr="00044EB2">
        <w:rPr>
          <w:rFonts w:ascii="Verdana" w:eastAsia="Verdana" w:hAnsi="Verdana" w:cs="Verdana"/>
          <w:lang w:val="es-ES"/>
        </w:rPr>
        <w:t>derecho</w:t>
      </w:r>
      <w:r w:rsidRPr="00044EB2">
        <w:rPr>
          <w:rFonts w:ascii="Verdana" w:eastAsia="Verdana" w:hAnsi="Verdana" w:cs="Verdana"/>
          <w:spacing w:val="-14"/>
          <w:lang w:val="es-ES"/>
        </w:rPr>
        <w:t xml:space="preserve"> </w:t>
      </w:r>
      <w:r w:rsidRPr="00044EB2">
        <w:rPr>
          <w:rFonts w:ascii="Verdana" w:eastAsia="Verdana" w:hAnsi="Verdana" w:cs="Verdana"/>
          <w:lang w:val="es-ES"/>
        </w:rPr>
        <w:t>privado</w:t>
      </w:r>
      <w:r w:rsidRPr="00044EB2">
        <w:rPr>
          <w:rFonts w:ascii="Verdana" w:eastAsia="Verdana" w:hAnsi="Verdana" w:cs="Verdana"/>
          <w:spacing w:val="-15"/>
          <w:lang w:val="es-ES"/>
        </w:rPr>
        <w:t xml:space="preserve"> </w:t>
      </w:r>
      <w:r w:rsidRPr="00044EB2">
        <w:rPr>
          <w:rFonts w:ascii="Verdana" w:eastAsia="Verdana" w:hAnsi="Verdana" w:cs="Verdana"/>
          <w:lang w:val="es-ES"/>
        </w:rPr>
        <w:t>tienen</w:t>
      </w:r>
      <w:r w:rsidRPr="00044EB2">
        <w:rPr>
          <w:rFonts w:ascii="Verdana" w:eastAsia="Verdana" w:hAnsi="Verdana" w:cs="Verdana"/>
          <w:spacing w:val="-16"/>
          <w:lang w:val="es-ES"/>
        </w:rPr>
        <w:t xml:space="preserve"> </w:t>
      </w:r>
      <w:r w:rsidRPr="00044EB2">
        <w:rPr>
          <w:rFonts w:ascii="Verdana" w:eastAsia="Verdana" w:hAnsi="Verdana" w:cs="Verdana"/>
          <w:lang w:val="es-ES"/>
        </w:rPr>
        <w:t>una</w:t>
      </w:r>
      <w:r w:rsidRPr="00044EB2">
        <w:rPr>
          <w:rFonts w:ascii="Verdana" w:eastAsia="Verdana" w:hAnsi="Verdana" w:cs="Verdana"/>
          <w:spacing w:val="-17"/>
          <w:lang w:val="es-ES"/>
        </w:rPr>
        <w:t xml:space="preserve"> </w:t>
      </w:r>
      <w:r w:rsidRPr="00044EB2">
        <w:rPr>
          <w:rFonts w:ascii="Verdana" w:eastAsia="Verdana" w:hAnsi="Verdana" w:cs="Verdana"/>
          <w:lang w:val="es-ES"/>
        </w:rPr>
        <w:t>amplia</w:t>
      </w:r>
      <w:r w:rsidRPr="00044EB2">
        <w:rPr>
          <w:rFonts w:ascii="Verdana" w:eastAsia="Verdana" w:hAnsi="Verdana" w:cs="Verdana"/>
          <w:spacing w:val="-16"/>
          <w:lang w:val="es-ES"/>
        </w:rPr>
        <w:t xml:space="preserve"> </w:t>
      </w:r>
      <w:r w:rsidRPr="00044EB2">
        <w:rPr>
          <w:rFonts w:ascii="Verdana" w:eastAsia="Verdana" w:hAnsi="Verdana" w:cs="Verdana"/>
          <w:lang w:val="es-ES"/>
        </w:rPr>
        <w:t>libertad</w:t>
      </w:r>
      <w:r w:rsidRPr="00044EB2">
        <w:rPr>
          <w:rFonts w:ascii="Verdana" w:eastAsia="Calibri" w:hAnsi="Verdana" w:cs="Times New Roman"/>
          <w:lang w:val="es-ES"/>
        </w:rPr>
        <w:t xml:space="preserve"> d</w:t>
      </w:r>
      <w:r w:rsidRPr="00044EB2">
        <w:rPr>
          <w:rFonts w:ascii="Verdana" w:eastAsia="Verdana" w:hAnsi="Verdana" w:cs="Verdana"/>
          <w:lang w:val="es-ES"/>
        </w:rPr>
        <w:t>e configuración del contenido del manual de contratación y el nivel de detalle, salvo aquellas materias que sean de reserva legal. Esta libertad se deriva del principio de autonomía de la voluntad reconocida a estas entidades, que les permite establecer la manera en que adelantarán sus procesos de contratación</w:t>
      </w:r>
      <w:r w:rsidRPr="00044EB2">
        <w:rPr>
          <w:rFonts w:ascii="Verdana" w:eastAsia="Verdana" w:hAnsi="Verdana" w:cs="Verdana"/>
          <w:vertAlign w:val="superscript"/>
          <w:lang w:val="es-ES"/>
        </w:rPr>
        <w:footnoteReference w:id="22"/>
      </w:r>
      <w:r w:rsidRPr="00044EB2">
        <w:rPr>
          <w:rFonts w:ascii="Verdana" w:eastAsia="Verdana" w:hAnsi="Verdana" w:cs="Verdana"/>
          <w:lang w:val="es-ES"/>
        </w:rPr>
        <w:t>. Ahora bien, dicha libertad es similar a la reconocida a los particulares por el</w:t>
      </w:r>
      <w:r w:rsidRPr="00044EB2">
        <w:rPr>
          <w:rFonts w:ascii="Verdana" w:eastAsia="Verdana" w:hAnsi="Verdana" w:cs="Verdana"/>
          <w:spacing w:val="-1"/>
          <w:lang w:val="es-ES"/>
        </w:rPr>
        <w:t xml:space="preserve"> </w:t>
      </w:r>
      <w:r w:rsidRPr="00044EB2">
        <w:rPr>
          <w:rFonts w:ascii="Verdana" w:eastAsia="Verdana" w:hAnsi="Verdana" w:cs="Verdana"/>
          <w:lang w:val="es-ES"/>
        </w:rPr>
        <w:t>derecho privado, pero no</w:t>
      </w:r>
      <w:r w:rsidRPr="00044EB2">
        <w:rPr>
          <w:rFonts w:ascii="Verdana" w:eastAsia="Verdana" w:hAnsi="Verdana" w:cs="Verdana"/>
          <w:spacing w:val="-1"/>
          <w:lang w:val="es-ES"/>
        </w:rPr>
        <w:t xml:space="preserve"> </w:t>
      </w:r>
      <w:r w:rsidRPr="00044EB2">
        <w:rPr>
          <w:rFonts w:ascii="Verdana" w:eastAsia="Verdana" w:hAnsi="Verdana" w:cs="Verdana"/>
          <w:lang w:val="es-ES"/>
        </w:rPr>
        <w:t>es</w:t>
      </w:r>
      <w:r w:rsidRPr="00044EB2">
        <w:rPr>
          <w:rFonts w:ascii="Verdana" w:eastAsia="Verdana" w:hAnsi="Verdana" w:cs="Verdana"/>
          <w:spacing w:val="-1"/>
          <w:lang w:val="es-ES"/>
        </w:rPr>
        <w:t xml:space="preserve"> </w:t>
      </w:r>
      <w:r w:rsidRPr="00044EB2">
        <w:rPr>
          <w:rFonts w:ascii="Verdana" w:eastAsia="Verdana" w:hAnsi="Verdana" w:cs="Verdana"/>
          <w:lang w:val="es-ES"/>
        </w:rPr>
        <w:t>idéntica a</w:t>
      </w:r>
      <w:r w:rsidRPr="00044EB2">
        <w:rPr>
          <w:rFonts w:ascii="Verdana" w:eastAsia="Verdana" w:hAnsi="Verdana" w:cs="Verdana"/>
          <w:spacing w:val="-1"/>
          <w:lang w:val="es-ES"/>
        </w:rPr>
        <w:t xml:space="preserve"> </w:t>
      </w:r>
      <w:r w:rsidRPr="00044EB2">
        <w:rPr>
          <w:rFonts w:ascii="Verdana" w:eastAsia="Verdana" w:hAnsi="Verdana" w:cs="Verdana"/>
          <w:lang w:val="es-ES"/>
        </w:rPr>
        <w:t>aquella, en</w:t>
      </w:r>
      <w:r w:rsidRPr="00044EB2">
        <w:rPr>
          <w:rFonts w:ascii="Verdana" w:eastAsia="Verdana" w:hAnsi="Verdana" w:cs="Verdana"/>
          <w:spacing w:val="-1"/>
          <w:lang w:val="es-ES"/>
        </w:rPr>
        <w:t xml:space="preserve"> </w:t>
      </w:r>
      <w:r w:rsidRPr="00044EB2">
        <w:rPr>
          <w:rFonts w:ascii="Verdana" w:eastAsia="Verdana" w:hAnsi="Verdana" w:cs="Verdana"/>
          <w:lang w:val="es-ES"/>
        </w:rPr>
        <w:t>la</w:t>
      </w:r>
      <w:r w:rsidRPr="00044EB2">
        <w:rPr>
          <w:rFonts w:ascii="Verdana" w:eastAsia="Verdana" w:hAnsi="Verdana" w:cs="Verdana"/>
          <w:spacing w:val="-1"/>
          <w:lang w:val="es-ES"/>
        </w:rPr>
        <w:t xml:space="preserve"> </w:t>
      </w:r>
      <w:r w:rsidRPr="00044EB2">
        <w:rPr>
          <w:rFonts w:ascii="Verdana" w:eastAsia="Verdana" w:hAnsi="Verdana" w:cs="Verdana"/>
          <w:lang w:val="es-ES"/>
        </w:rPr>
        <w:t>medida en que encuentra importantes limitantes, ya sea por contenidos que son derivados de la reserva legal o por exigencia del cumplimiento de deberes y reglas establecidos por el ordenamiento jurídico.</w:t>
      </w:r>
      <w:r w:rsidRPr="00044EB2">
        <w:rPr>
          <w:rFonts w:ascii="Verdana" w:eastAsia="Calibri" w:hAnsi="Verdana" w:cs="Times New Roman"/>
          <w:lang w:val="es-ES"/>
        </w:rPr>
        <w:t xml:space="preserve"> </w:t>
      </w:r>
    </w:p>
    <w:p w14:paraId="463CD213" w14:textId="77777777" w:rsidR="00044EB2" w:rsidRPr="00044EB2" w:rsidRDefault="00044EB2" w:rsidP="00044EB2">
      <w:pPr>
        <w:spacing w:after="120" w:line="276" w:lineRule="auto"/>
        <w:ind w:firstLine="709"/>
        <w:jc w:val="both"/>
        <w:rPr>
          <w:rFonts w:ascii="Verdana" w:eastAsia="Verdana" w:hAnsi="Verdana" w:cs="Verdana"/>
        </w:rPr>
      </w:pPr>
      <w:r w:rsidRPr="00044EB2">
        <w:rPr>
          <w:rFonts w:ascii="Verdana" w:eastAsia="Verdana" w:hAnsi="Verdana" w:cs="Verdana"/>
          <w:lang w:val="es-ES"/>
        </w:rPr>
        <w:t>Esta</w:t>
      </w:r>
      <w:r w:rsidRPr="00044EB2">
        <w:rPr>
          <w:rFonts w:ascii="Verdana" w:eastAsia="Verdana" w:hAnsi="Verdana" w:cs="Verdana"/>
          <w:spacing w:val="-10"/>
          <w:lang w:val="es-ES"/>
        </w:rPr>
        <w:t xml:space="preserve"> </w:t>
      </w:r>
      <w:r w:rsidRPr="00044EB2">
        <w:rPr>
          <w:rFonts w:ascii="Verdana" w:eastAsia="Verdana" w:hAnsi="Verdana" w:cs="Verdana"/>
          <w:lang w:val="es-ES"/>
        </w:rPr>
        <w:t>Agencia</w:t>
      </w:r>
      <w:r w:rsidRPr="00044EB2">
        <w:rPr>
          <w:rFonts w:ascii="Verdana" w:eastAsia="Verdana" w:hAnsi="Verdana" w:cs="Verdana"/>
          <w:spacing w:val="-9"/>
          <w:lang w:val="es-ES"/>
        </w:rPr>
        <w:t xml:space="preserve"> </w:t>
      </w:r>
      <w:r w:rsidRPr="00044EB2">
        <w:rPr>
          <w:rFonts w:ascii="Verdana" w:eastAsia="Verdana" w:hAnsi="Verdana" w:cs="Verdana"/>
          <w:lang w:val="es-ES"/>
        </w:rPr>
        <w:t>Nacional</w:t>
      </w:r>
      <w:r w:rsidRPr="00044EB2">
        <w:rPr>
          <w:rFonts w:ascii="Verdana" w:eastAsia="Verdana" w:hAnsi="Verdana" w:cs="Verdana"/>
          <w:spacing w:val="-8"/>
          <w:lang w:val="es-ES"/>
        </w:rPr>
        <w:t xml:space="preserve"> </w:t>
      </w:r>
      <w:r w:rsidRPr="00044EB2">
        <w:rPr>
          <w:rFonts w:ascii="Verdana" w:eastAsia="Verdana" w:hAnsi="Verdana" w:cs="Verdana"/>
          <w:lang w:val="es-ES"/>
        </w:rPr>
        <w:t>de</w:t>
      </w:r>
      <w:r w:rsidRPr="00044EB2">
        <w:rPr>
          <w:rFonts w:ascii="Verdana" w:eastAsia="Verdana" w:hAnsi="Verdana" w:cs="Verdana"/>
          <w:spacing w:val="-10"/>
          <w:lang w:val="es-ES"/>
        </w:rPr>
        <w:t xml:space="preserve"> </w:t>
      </w:r>
      <w:r w:rsidRPr="00044EB2">
        <w:rPr>
          <w:rFonts w:ascii="Verdana" w:eastAsia="Verdana" w:hAnsi="Verdana" w:cs="Verdana"/>
          <w:lang w:val="es-ES"/>
        </w:rPr>
        <w:t>Contratación</w:t>
      </w:r>
      <w:r w:rsidRPr="00044EB2">
        <w:rPr>
          <w:rFonts w:ascii="Verdana" w:eastAsia="Verdana" w:hAnsi="Verdana" w:cs="Verdana"/>
          <w:spacing w:val="-7"/>
          <w:lang w:val="es-ES"/>
        </w:rPr>
        <w:t xml:space="preserve"> </w:t>
      </w:r>
      <w:r w:rsidRPr="00044EB2">
        <w:rPr>
          <w:rFonts w:ascii="Verdana" w:eastAsia="Verdana" w:hAnsi="Verdana" w:cs="Verdana"/>
          <w:lang w:val="es-ES"/>
        </w:rPr>
        <w:t>Publica</w:t>
      </w:r>
      <w:r w:rsidRPr="00044EB2">
        <w:rPr>
          <w:rFonts w:ascii="Verdana" w:eastAsia="Verdana" w:hAnsi="Verdana" w:cs="Verdana"/>
          <w:spacing w:val="-9"/>
          <w:lang w:val="es-ES"/>
        </w:rPr>
        <w:t xml:space="preserve"> </w:t>
      </w:r>
      <w:r w:rsidRPr="00044EB2">
        <w:rPr>
          <w:rFonts w:ascii="Verdana" w:eastAsia="Verdana" w:hAnsi="Verdana" w:cs="Verdana"/>
          <w:lang w:val="es-ES"/>
        </w:rPr>
        <w:t>Colombia</w:t>
      </w:r>
      <w:r w:rsidRPr="00044EB2">
        <w:rPr>
          <w:rFonts w:ascii="Verdana" w:eastAsia="Verdana" w:hAnsi="Verdana" w:cs="Verdana"/>
          <w:spacing w:val="-9"/>
          <w:lang w:val="es-ES"/>
        </w:rPr>
        <w:t xml:space="preserve"> </w:t>
      </w:r>
      <w:r w:rsidRPr="00044EB2">
        <w:rPr>
          <w:rFonts w:ascii="Verdana" w:eastAsia="Verdana" w:hAnsi="Verdana" w:cs="Verdana"/>
          <w:lang w:val="es-ES"/>
        </w:rPr>
        <w:t>Compra</w:t>
      </w:r>
      <w:r w:rsidRPr="00044EB2">
        <w:rPr>
          <w:rFonts w:ascii="Verdana" w:eastAsia="Verdana" w:hAnsi="Verdana" w:cs="Verdana"/>
          <w:spacing w:val="-9"/>
          <w:lang w:val="es-ES"/>
        </w:rPr>
        <w:t xml:space="preserve"> </w:t>
      </w:r>
      <w:r w:rsidRPr="00044EB2">
        <w:rPr>
          <w:rFonts w:ascii="Verdana" w:eastAsia="Verdana" w:hAnsi="Verdana" w:cs="Verdana"/>
          <w:lang w:val="es-ES"/>
        </w:rPr>
        <w:t xml:space="preserve">Eficiente, en la “Guía para la gestión contractual de las entidades estatales con régimen especial”, se precisó que a pesar que las Entidades Estatales </w:t>
      </w:r>
      <w:r w:rsidRPr="00044EB2">
        <w:rPr>
          <w:rFonts w:ascii="Verdana" w:eastAsia="Verdana" w:hAnsi="Verdana" w:cs="Verdana"/>
          <w:bCs/>
        </w:rPr>
        <w:t xml:space="preserve">con régimen </w:t>
      </w:r>
      <w:r w:rsidRPr="00044EB2">
        <w:rPr>
          <w:rFonts w:ascii="Verdana" w:eastAsia="Verdana" w:hAnsi="Verdana" w:cs="Verdana"/>
          <w:bCs/>
        </w:rPr>
        <w:lastRenderedPageBreak/>
        <w:t>especial de contratación desarrollan su gestión contractual conforme a lo previsto en sus normas de creación, en sus manuales de contratación y en las disposiciones del derecho privado, tal como se señaló en los numerales anteriores, estas deberán observar obligatoriamente aquellas disposiciones generales del Sistema de Compra y Contratación Pública que les resulten aplicables de manera transversal</w:t>
      </w:r>
      <w:r w:rsidRPr="00044EB2">
        <w:rPr>
          <w:rFonts w:ascii="Verdana" w:eastAsia="Verdana" w:hAnsi="Verdana" w:cs="Verdana"/>
        </w:rPr>
        <w:t xml:space="preserve">, tales como: a) los principios de la función administrativa; b) los principios de la gestión fiscal; c) el régimen de inhabilidades e incompatibilidades; d) el uso del SECOP II o la plataforma que haga sus veces; e) la promoción y acceso de las </w:t>
      </w:r>
      <w:proofErr w:type="spellStart"/>
      <w:r w:rsidRPr="00044EB2">
        <w:rPr>
          <w:rFonts w:ascii="Verdana" w:eastAsia="Verdana" w:hAnsi="Verdana" w:cs="Verdana"/>
        </w:rPr>
        <w:t>Mipymes</w:t>
      </w:r>
      <w:proofErr w:type="spellEnd"/>
      <w:r w:rsidRPr="00044EB2">
        <w:rPr>
          <w:rFonts w:ascii="Verdana" w:eastAsia="Verdana" w:hAnsi="Verdana" w:cs="Verdana"/>
        </w:rPr>
        <w:t xml:space="preserve">; e) sujeción a las restricciones de la Ley 996 de 2005 – Ley de Garantías Electorales- en lo aplicable; f) el análisis del sector, el cual se constituye en el instrumento idóneo para que se deje constancia del análisis realizado por las entidades públicas, indistintamente de su régimen de contratación, respecto de la promoción a emprendimientos y empresas de mujeres en el sistema de compras públicas y </w:t>
      </w:r>
      <w:proofErr w:type="spellStart"/>
      <w:r w:rsidRPr="00044EB2">
        <w:rPr>
          <w:rFonts w:ascii="Verdana" w:eastAsia="Verdana" w:hAnsi="Verdana" w:cs="Verdana"/>
        </w:rPr>
        <w:t>Mipymes</w:t>
      </w:r>
      <w:proofErr w:type="spellEnd"/>
      <w:r w:rsidRPr="00044EB2">
        <w:rPr>
          <w:rFonts w:ascii="Verdana" w:eastAsia="Verdana" w:hAnsi="Verdana" w:cs="Verdana"/>
        </w:rPr>
        <w:t xml:space="preserve">, así como criterios sociales y ambientales y protección a la industria nacional; g) elaboración y publicación del Plan Anual de Adquisiciones; h) uso de los documentos tipo, teniendo en cuenta lo expresado previamente; i) el uso del Clasificador de Bienes y Servicios de las Naciones Unidas –UNSPSC- siendo un sistema de codificación internacional que permite clasificar de manera estandarizada bienes y servicios mediante una estructura jerárquica, el cual se utiliza en el SECOP, el Plan Anual de Adquisiciones, los documentos del proceso de contratación y el Registro Único de Proponentes; j) observancia y aplicación de los acuerdos comerciales, donde las Entidades Estatales, incluidas aquellas con régimen especial de contratación, deben determinar en la etapa de planeación si a cada proceso de contratación le son aplicables los Acuerdos Comerciales, de conformidad con el Decreto 1082 de 2015, y en caso afirmativo, cumplir las obligaciones que estos establecen. Para tal fin, Colombia Compra Eficiente dispone de un manual orientador, sin perjuicio de la obligación de cada entidad de revisar el texto de los Acuerdos Comerciales y sus anexos aplicables; k) aplicación de los factores de desempate, que implica que en caso de empate en el puntaje total entre dos o más ofertas en procesos de contratación financiados con recursos públicos, incluidos aquellos adelantados bajo regímenes especiales o por patrimonios autónomos constituidos por Entidades Estatales, la entidad contratante deberá aplicar de manera sucesiva y excluyente las reglas de desempate previstas en el artículo 35 de la Ley 2069 de 2020, respetando en todo caso las obligaciones derivadas de los Acuerdos Comerciales </w:t>
      </w:r>
      <w:r w:rsidRPr="00044EB2">
        <w:rPr>
          <w:rFonts w:ascii="Verdana" w:eastAsia="Verdana" w:hAnsi="Verdana" w:cs="Verdana"/>
        </w:rPr>
        <w:lastRenderedPageBreak/>
        <w:t xml:space="preserve">vigentes, en especial, en lo relacionado con el principio de trato nacional; l) los mecanismos de agregación de demanda, entre otros aspectos. </w:t>
      </w:r>
    </w:p>
    <w:p w14:paraId="2653F566" w14:textId="77777777" w:rsidR="00044EB2" w:rsidRPr="00044EB2" w:rsidRDefault="00044EB2" w:rsidP="00044EB2">
      <w:pPr>
        <w:spacing w:after="120" w:line="276" w:lineRule="auto"/>
        <w:ind w:firstLine="709"/>
        <w:jc w:val="both"/>
        <w:rPr>
          <w:rFonts w:ascii="Verdana" w:eastAsia="Verdana" w:hAnsi="Verdana" w:cs="Verdana"/>
        </w:rPr>
      </w:pPr>
      <w:r w:rsidRPr="00044EB2">
        <w:rPr>
          <w:rFonts w:ascii="Verdana" w:eastAsia="Verdana" w:hAnsi="Verdana" w:cs="Verdana"/>
        </w:rPr>
        <w:t>Asimismo, las Entidades de régimen especial, como puede ocurrir con las Empresas Industriales y Comerciales del Estado deben aplicar las disposiciones contenidas en el EGCAP en aquellos eventos en que la normatividad sectorial aplicable así lo disponga de manera expresa por la remisión. En estos casos, la observancia de dichas normas deberá realizarse de forma armónica con el régimen especial de contratación correspondiente, garantizando el respeto por los principios que orientan la función administrativa y la contratación estatal, así como la adecuada articulación entre los distintos marcos normativos que resulten aplicables al proceso contractual.</w:t>
      </w:r>
    </w:p>
    <w:p w14:paraId="7DFA235E" w14:textId="77777777" w:rsidR="00044EB2" w:rsidRPr="00044EB2" w:rsidRDefault="00044EB2" w:rsidP="00044EB2">
      <w:pPr>
        <w:widowControl w:val="0"/>
        <w:autoSpaceDE w:val="0"/>
        <w:autoSpaceDN w:val="0"/>
        <w:spacing w:after="120" w:line="276" w:lineRule="auto"/>
        <w:ind w:firstLine="708"/>
        <w:jc w:val="both"/>
        <w:rPr>
          <w:rFonts w:ascii="Verdana" w:eastAsia="Verdana" w:hAnsi="Verdana" w:cs="Verdana"/>
          <w:lang w:val="es-ES"/>
        </w:rPr>
      </w:pPr>
      <w:r w:rsidRPr="00044EB2">
        <w:rPr>
          <w:rFonts w:ascii="Verdana" w:eastAsia="Verdana" w:hAnsi="Verdana" w:cs="Verdana"/>
        </w:rPr>
        <w:t>Un aspecto que no puede dejarse de lado es que, la</w:t>
      </w:r>
      <w:r w:rsidRPr="00044EB2">
        <w:rPr>
          <w:rFonts w:ascii="Verdana" w:eastAsia="Verdana" w:hAnsi="Verdana" w:cs="Verdana"/>
          <w:lang w:val="es-ES"/>
        </w:rPr>
        <w:t xml:space="preserve"> entidad contratante debe contemplar procedimientos de selección públicos, en los cuales se garantice la imparcialidad de la entidad contratante, la igualdad entre los oferentes, y en los cuales se respeten los principios constitucionales de la función administrativa, así como los de la gestión fiscal. La forma precisa en que se concretan estos principios, así como la manera como se armonizan con su régimen de derecho privado, es un asunto que debe decidir la entidad en el ejercicio de la discrecionalidad concedida por el ordenamiento jurídico. </w:t>
      </w:r>
    </w:p>
    <w:p w14:paraId="002BBAC6" w14:textId="77777777" w:rsidR="00044EB2" w:rsidRPr="00044EB2" w:rsidRDefault="00044EB2" w:rsidP="00044EB2">
      <w:pPr>
        <w:widowControl w:val="0"/>
        <w:autoSpaceDE w:val="0"/>
        <w:autoSpaceDN w:val="0"/>
        <w:spacing w:after="120" w:line="276" w:lineRule="auto"/>
        <w:jc w:val="both"/>
        <w:rPr>
          <w:rFonts w:ascii="Verdana" w:eastAsia="Verdana" w:hAnsi="Verdana" w:cs="Verdana"/>
        </w:rPr>
      </w:pPr>
      <w:r w:rsidRPr="00044EB2">
        <w:rPr>
          <w:rFonts w:ascii="Verdana" w:eastAsia="Verdana" w:hAnsi="Verdana" w:cs="Verdana"/>
          <w:lang w:val="es-ES"/>
        </w:rPr>
        <w:tab/>
        <w:t xml:space="preserve">En esta perspectiva, se destaca que los principios de la función administrativa </w:t>
      </w:r>
      <w:r w:rsidRPr="00044EB2">
        <w:rPr>
          <w:rFonts w:ascii="Verdana" w:eastAsia="Verdana" w:hAnsi="Verdana" w:cs="Verdana"/>
        </w:rPr>
        <w:t xml:space="preserve">como la igualdad, moralidad, eficacia, economía, celeridad, imparcialidad y publicidad; así como los principios de la gestión fiscal, como eficiencia, economía, equidad y valoración de costos ambientales, son una guía metodológica, para la actuación de las entidades sometidas al EGCAP, y merecen un análisis especial en relación con las entidades exceptuadas. En esta línea, los principios de la función administrativa y los de la gestión fiscal no prescriben una conducta, sino que buscan el cumplimiento de un fin, por lo que las entidades de régimen </w:t>
      </w:r>
      <w:proofErr w:type="gramStart"/>
      <w:r w:rsidRPr="00044EB2">
        <w:rPr>
          <w:rFonts w:ascii="Verdana" w:eastAsia="Verdana" w:hAnsi="Verdana" w:cs="Verdana"/>
        </w:rPr>
        <w:t>especial,</w:t>
      </w:r>
      <w:proofErr w:type="gramEnd"/>
      <w:r w:rsidRPr="00044EB2">
        <w:rPr>
          <w:rFonts w:ascii="Verdana" w:eastAsia="Verdana" w:hAnsi="Verdana" w:cs="Verdana"/>
        </w:rPr>
        <w:t xml:space="preserve"> pueden escoger entre una variedad de alternativas para el cumplimiento de estos, por lo que no implica que deban sujetarse a la forma cómo es aplicado en el EGCAP. </w:t>
      </w:r>
    </w:p>
    <w:p w14:paraId="28A8E784" w14:textId="77777777" w:rsidR="00044EB2" w:rsidRPr="00044EB2" w:rsidRDefault="00044EB2" w:rsidP="00044EB2">
      <w:pPr>
        <w:widowControl w:val="0"/>
        <w:autoSpaceDE w:val="0"/>
        <w:autoSpaceDN w:val="0"/>
        <w:spacing w:after="120" w:line="276" w:lineRule="auto"/>
        <w:jc w:val="both"/>
        <w:rPr>
          <w:rFonts w:ascii="Verdana" w:eastAsia="Verdana" w:hAnsi="Verdana" w:cs="Verdana"/>
          <w:lang w:val="es-ES"/>
        </w:rPr>
      </w:pPr>
      <w:r w:rsidRPr="00044EB2">
        <w:rPr>
          <w:rFonts w:ascii="Verdana" w:eastAsia="Verdana" w:hAnsi="Verdana" w:cs="Verdana"/>
          <w:bCs/>
          <w:lang w:val="es-ES_tradnl"/>
        </w:rPr>
        <w:tab/>
      </w:r>
      <w:r w:rsidRPr="00044EB2">
        <w:rPr>
          <w:rFonts w:ascii="Verdana" w:eastAsia="Verdana" w:hAnsi="Verdana" w:cs="Verdana"/>
          <w:lang w:val="es-ES"/>
        </w:rPr>
        <w:t xml:space="preserve">En efecto, la estructura de los procedimientos de las entidades sometidas no es asimilable a los de las entidades exceptuadas. Sin bien en estas últimas rigen por los principios de la función administrativa, la gestión fiscal, el régimen de inhabilidades e incompatibilidades y otras normatividades, la aplicación de los principios del artículo 209 se matiza, por lo que definan los documentos del </w:t>
      </w:r>
      <w:r w:rsidRPr="00044EB2">
        <w:rPr>
          <w:rFonts w:ascii="Verdana" w:eastAsia="Verdana" w:hAnsi="Verdana" w:cs="Verdana"/>
          <w:lang w:val="es-ES"/>
        </w:rPr>
        <w:lastRenderedPageBreak/>
        <w:t xml:space="preserve">proceso que se estructuren en acatamiento de sus manuales de contratación. Dado que estas actuaciones gozan de presunción de legalidad, la participación se realiza con sujeción a lo que dispongan las entidades dentro de su régimen especial, sin perjuicio del control judicial, fiscal o disciplinario contra violaciones injustificadas del marco normativo. </w:t>
      </w:r>
    </w:p>
    <w:p w14:paraId="72C68586" w14:textId="77777777" w:rsidR="00044EB2" w:rsidRPr="00044EB2" w:rsidRDefault="00044EB2" w:rsidP="00044EB2">
      <w:pPr>
        <w:widowControl w:val="0"/>
        <w:autoSpaceDE w:val="0"/>
        <w:autoSpaceDN w:val="0"/>
        <w:spacing w:after="120" w:line="276" w:lineRule="auto"/>
        <w:ind w:firstLine="708"/>
        <w:jc w:val="both"/>
        <w:rPr>
          <w:rFonts w:ascii="Verdana" w:eastAsia="Verdana" w:hAnsi="Verdana" w:cs="Verdana"/>
          <w:bCs/>
          <w:lang w:val="es-ES"/>
        </w:rPr>
      </w:pPr>
      <w:r w:rsidRPr="00044EB2">
        <w:rPr>
          <w:rFonts w:ascii="Verdana" w:eastAsia="Verdana" w:hAnsi="Verdana" w:cs="Verdana"/>
          <w:bCs/>
          <w:lang w:val="es-ES_tradnl"/>
        </w:rPr>
        <w:t xml:space="preserve">En este sentido, la regulación dentro del Manual Interno de Contratación de la audiencia de asignación de riesgos en los procesos de contratación de una empresa industrial y comercial del Estado es discrecional de la Entidad, pues no le son aplicables las reglas del EGCAP en torno a este tema. Esto, sin perjuicio del deber de garantizar los principios de la función administrativa y la gestión fiscal, </w:t>
      </w:r>
      <w:r w:rsidRPr="00044EB2">
        <w:rPr>
          <w:rFonts w:ascii="Verdana" w:eastAsia="Verdana" w:hAnsi="Verdana" w:cs="Verdana"/>
          <w:bCs/>
          <w:lang w:val="es-ES"/>
        </w:rPr>
        <w:t xml:space="preserve">como la igualdad, moralidad, eficacia, economía, celeridad, imparcialidad y publicidad, así como los principios de la gestión fiscal, como eficiencia, economía, equidad y valoración de costos ambientales, que actúan como su norte metodológico. </w:t>
      </w:r>
    </w:p>
    <w:p w14:paraId="44FD5459" w14:textId="77777777" w:rsidR="00044EB2" w:rsidRPr="00044EB2" w:rsidRDefault="00044EB2" w:rsidP="00044EB2">
      <w:pPr>
        <w:widowControl w:val="0"/>
        <w:autoSpaceDE w:val="0"/>
        <w:autoSpaceDN w:val="0"/>
        <w:spacing w:after="120" w:line="276" w:lineRule="auto"/>
        <w:ind w:firstLine="708"/>
        <w:jc w:val="both"/>
        <w:rPr>
          <w:rFonts w:ascii="Verdana" w:eastAsia="Verdana" w:hAnsi="Verdana" w:cs="Verdana"/>
          <w:lang w:val="es-ES"/>
        </w:rPr>
      </w:pPr>
      <w:r w:rsidRPr="00044EB2">
        <w:rPr>
          <w:rFonts w:ascii="Verdana" w:eastAsia="Verdana" w:hAnsi="Verdana" w:cs="Verdana"/>
          <w:bCs/>
          <w:lang w:val="es-ES"/>
        </w:rPr>
        <w:t xml:space="preserve">De tal modo, la acción de las entidades de régimen especial no es totalmente privada, sino que hay una mezcla de régimen contractual público manifestada en principios, que genera nuevos cuestionamientos en torno a la necesidad de estimar y tipificar los riesgos previsibles en los procesos de contratación pública, en especial, en la etapa de planeación y estructuración del objeto contractual.  </w:t>
      </w:r>
      <w:r w:rsidRPr="00044EB2">
        <w:rPr>
          <w:rFonts w:ascii="Verdana" w:eastAsia="Verdana" w:hAnsi="Verdana" w:cs="Verdana"/>
        </w:rPr>
        <w:t xml:space="preserve">En este entorno, la aplicación de los principios de la función administrativa en los manuales internos de </w:t>
      </w:r>
      <w:proofErr w:type="gramStart"/>
      <w:r w:rsidRPr="00044EB2">
        <w:rPr>
          <w:rFonts w:ascii="Verdana" w:eastAsia="Verdana" w:hAnsi="Verdana" w:cs="Verdana"/>
        </w:rPr>
        <w:t>contratación,</w:t>
      </w:r>
      <w:proofErr w:type="gramEnd"/>
      <w:r w:rsidRPr="00044EB2">
        <w:rPr>
          <w:rFonts w:ascii="Verdana" w:eastAsia="Verdana" w:hAnsi="Verdana" w:cs="Verdana"/>
        </w:rPr>
        <w:t xml:space="preserve"> se materializa en los procesos de contratación que adelante la empresa industrial y comercial del Estado. </w:t>
      </w:r>
    </w:p>
    <w:p w14:paraId="4599BF1C" w14:textId="77777777" w:rsidR="00044EB2" w:rsidRPr="00044EB2" w:rsidRDefault="00044EB2" w:rsidP="00044EB2">
      <w:pPr>
        <w:spacing w:after="120" w:line="276" w:lineRule="auto"/>
        <w:ind w:firstLine="708"/>
        <w:jc w:val="both"/>
        <w:rPr>
          <w:rFonts w:ascii="Verdana" w:eastAsia="Calibri" w:hAnsi="Verdana" w:cs="Arial"/>
          <w:lang w:eastAsia="es-ES_tradnl"/>
        </w:rPr>
      </w:pPr>
      <w:r w:rsidRPr="00044EB2">
        <w:rPr>
          <w:rFonts w:ascii="Verdana" w:eastAsia="Calibri" w:hAnsi="Verdana" w:cs="Arial"/>
          <w:lang w:eastAsia="es-ES_tradnl"/>
        </w:rPr>
        <w:t xml:space="preserve">Estos principios se manifiestan en que no exista discriminación y en que las entidades no impongan limitaciones mediante reglas que impidan la concurrencia para obtener mejores condiciones de contratación. Esto permite excepciones que busquen condiciones del contratista que sean favorables a los intereses del Estado y aseguren la transparencia, ya sean en procedimientos competitivos y no competitivos. En este escenario, dentro de las empresas industriales y comerciales del Estado pueden establecer modalidades o procesos de selección en: i) competitivas y </w:t>
      </w:r>
      <w:proofErr w:type="spellStart"/>
      <w:r w:rsidRPr="00044EB2">
        <w:rPr>
          <w:rFonts w:ascii="Verdana" w:eastAsia="Calibri" w:hAnsi="Verdana" w:cs="Arial"/>
          <w:lang w:eastAsia="es-ES_tradnl"/>
        </w:rPr>
        <w:t>ii</w:t>
      </w:r>
      <w:proofErr w:type="spellEnd"/>
      <w:r w:rsidRPr="00044EB2">
        <w:rPr>
          <w:rFonts w:ascii="Verdana" w:eastAsia="Calibri" w:hAnsi="Verdana" w:cs="Arial"/>
          <w:lang w:eastAsia="es-ES_tradnl"/>
        </w:rPr>
        <w:t xml:space="preserve">) no competitivas. La Guía de competencia en las compras públicas de la Agencia Nacional de Contratación Pública – Colombia Compra Eficiente señala que: “[…] la competencia, entendida como rivalidad efectiva entre empresas de un mismo mercado, incentiva la reducción </w:t>
      </w:r>
      <w:r w:rsidRPr="00044EB2">
        <w:rPr>
          <w:rFonts w:ascii="Verdana" w:eastAsia="Calibri" w:hAnsi="Verdana" w:cs="Arial"/>
          <w:lang w:eastAsia="es-ES_tradnl"/>
        </w:rPr>
        <w:lastRenderedPageBreak/>
        <w:t>de precios, el aumento de la calidad, la lucha contra la corrupción y la innovación por parte del sector privado”</w:t>
      </w:r>
      <w:r w:rsidRPr="00044EB2">
        <w:rPr>
          <w:rFonts w:ascii="Verdana" w:eastAsia="Calibri" w:hAnsi="Verdana" w:cs="Arial"/>
          <w:vertAlign w:val="superscript"/>
          <w:lang w:eastAsia="es-ES_tradnl"/>
        </w:rPr>
        <w:footnoteReference w:id="23"/>
      </w:r>
      <w:r w:rsidRPr="00044EB2">
        <w:rPr>
          <w:rFonts w:ascii="Verdana" w:eastAsia="Calibri" w:hAnsi="Verdana" w:cs="Arial"/>
          <w:lang w:eastAsia="es-ES_tradnl"/>
        </w:rPr>
        <w:t xml:space="preserve">. </w:t>
      </w:r>
    </w:p>
    <w:p w14:paraId="36457AC7" w14:textId="77777777" w:rsidR="00044EB2" w:rsidRPr="00044EB2" w:rsidRDefault="00044EB2" w:rsidP="00044EB2">
      <w:pPr>
        <w:spacing w:after="0" w:line="276" w:lineRule="auto"/>
        <w:ind w:firstLine="709"/>
        <w:jc w:val="both"/>
        <w:rPr>
          <w:rFonts w:ascii="Verdana" w:eastAsia="Calibri" w:hAnsi="Verdana" w:cs="Arial"/>
          <w:lang w:eastAsia="es-ES_tradnl"/>
        </w:rPr>
      </w:pPr>
      <w:r w:rsidRPr="00044EB2">
        <w:rPr>
          <w:rFonts w:ascii="Verdana" w:eastAsia="Calibri" w:hAnsi="Verdana" w:cs="Arial"/>
          <w:lang w:eastAsia="es-ES_tradnl"/>
        </w:rPr>
        <w:t xml:space="preserve">Por tanto, en las manuales de contratación pueden establecer las modalidades como competitivas o abiertas a competencia, ya que en ellas tiene lugar la participación de varios proponentes en una fase pública de presentación de ofertas. Esto permite que todas las personas interesadas concurran al proceso en igualdad de condiciones y compitan en el mismo, sin perjuicio de criterios o exigencias diferenciales dispuestas por la ley para fortalecer determinado tipo de empresas, sujetos o mercado. Por otro lado, dentro del Manual de Contratación pueden regularse modalidades no competitivas, es decir, que no es abierta a los proponentes para que los interesados presenten sus ofertas. En esta, es la entidad la que determina, de forma directa, la persona que puede participar y que será seleccionada. Esto significa que </w:t>
      </w:r>
      <w:proofErr w:type="gramStart"/>
      <w:r w:rsidRPr="00044EB2">
        <w:rPr>
          <w:rFonts w:ascii="Verdana" w:eastAsia="Calibri" w:hAnsi="Verdana" w:cs="Arial"/>
          <w:lang w:eastAsia="es-ES_tradnl"/>
        </w:rPr>
        <w:t>de acuerdo a</w:t>
      </w:r>
      <w:proofErr w:type="gramEnd"/>
      <w:r w:rsidRPr="00044EB2">
        <w:rPr>
          <w:rFonts w:ascii="Verdana" w:eastAsia="Calibri" w:hAnsi="Verdana" w:cs="Arial"/>
          <w:lang w:eastAsia="es-ES_tradnl"/>
        </w:rPr>
        <w:t xml:space="preserve"> lo regulado no es necesario que la entidad reciba más de una oferta, la cual proviene de la persona que la entidad escoge directamente, </w:t>
      </w:r>
      <w:proofErr w:type="gramStart"/>
      <w:r w:rsidRPr="00044EB2">
        <w:rPr>
          <w:rFonts w:ascii="Verdana" w:eastAsia="Calibri" w:hAnsi="Verdana" w:cs="Arial"/>
          <w:lang w:eastAsia="es-ES_tradnl"/>
        </w:rPr>
        <w:t>y</w:t>
      </w:r>
      <w:proofErr w:type="gramEnd"/>
      <w:r w:rsidRPr="00044EB2">
        <w:rPr>
          <w:rFonts w:ascii="Verdana" w:eastAsia="Calibri" w:hAnsi="Verdana" w:cs="Arial"/>
          <w:lang w:eastAsia="es-ES_tradnl"/>
        </w:rPr>
        <w:t xml:space="preserve"> por ende, invita a ofertar el bien o servicio que se requiere. Ello no exime a las entidades estatales de garantizar los principios de la función administrativa. </w:t>
      </w:r>
    </w:p>
    <w:p w14:paraId="2283E376" w14:textId="77777777" w:rsidR="00044EB2" w:rsidRPr="00044EB2" w:rsidRDefault="00044EB2" w:rsidP="00044EB2">
      <w:pPr>
        <w:spacing w:after="0" w:line="276" w:lineRule="auto"/>
        <w:ind w:firstLine="709"/>
        <w:jc w:val="both"/>
        <w:rPr>
          <w:rFonts w:ascii="Verdana" w:eastAsia="Calibri" w:hAnsi="Verdana" w:cs="Arial"/>
          <w:lang w:eastAsia="es-ES_tradnl"/>
        </w:rPr>
      </w:pPr>
    </w:p>
    <w:p w14:paraId="38B9DE10" w14:textId="77777777" w:rsidR="00044EB2" w:rsidRPr="00044EB2" w:rsidRDefault="00044EB2" w:rsidP="00044EB2">
      <w:pPr>
        <w:tabs>
          <w:tab w:val="left" w:pos="709"/>
        </w:tabs>
        <w:spacing w:after="120" w:line="276" w:lineRule="auto"/>
        <w:jc w:val="both"/>
        <w:rPr>
          <w:rFonts w:ascii="Verdana" w:eastAsia="Calibri" w:hAnsi="Verdana" w:cs="Arial"/>
          <w:color w:val="000000"/>
        </w:rPr>
      </w:pPr>
      <w:proofErr w:type="spellStart"/>
      <w:r w:rsidRPr="00044EB2">
        <w:rPr>
          <w:rFonts w:ascii="Verdana" w:eastAsia="Verdana" w:hAnsi="Verdana" w:cs="Verdana"/>
          <w:lang w:val="es-ES"/>
        </w:rPr>
        <w:t>iv</w:t>
      </w:r>
      <w:proofErr w:type="spellEnd"/>
      <w:r w:rsidRPr="00044EB2">
        <w:rPr>
          <w:rFonts w:ascii="Verdana" w:eastAsia="Verdana" w:hAnsi="Verdana" w:cs="Verdana"/>
          <w:lang w:val="es-ES"/>
        </w:rPr>
        <w:t xml:space="preserve">. Dentro de esta normatividad, se resalta </w:t>
      </w:r>
      <w:r w:rsidRPr="00044EB2">
        <w:rPr>
          <w:rFonts w:ascii="Verdana" w:hAnsi="Verdana" w:cs="Arial"/>
          <w:shd w:val="clear" w:color="auto" w:fill="FFFFFF"/>
        </w:rPr>
        <w:t xml:space="preserve">la obligatoriedad de publicar la información de la actividad contractual que se realiza con cargo a recursos públicos en el SECOP, incluidas aquellas con regímenes contractuales especiales. En tal sentido, </w:t>
      </w:r>
      <w:r w:rsidRPr="00044EB2">
        <w:rPr>
          <w:rFonts w:ascii="Verdana" w:eastAsia="Calibri" w:hAnsi="Verdana" w:cs="Arial"/>
          <w:color w:val="000000"/>
        </w:rPr>
        <w:t xml:space="preserve">debe destacarse el artículo 53 de la Ley 2195 de 2022 que modifica el artículo 13 de la Ley 1150 de 2007 que estableció la obligación de las Entidades Estatales exceptuadas del Estatuto General de Contratación de la Administración Pública de publicar en el SECOP II –es decir en la plataforma transaccional vigente– su actividad contractual. Así pues, respecto de los documentos que deben publicarse en el SECOP II a efectos de cumplir el mandato consagrado en el artículo 53 de la Ley 2195 de 2022, es preciso advertir que la disposición se refiere a los documentos relacionados con su actividad contractual, la cual define como “[…] los documentos, contratos, actos e información generada por oferentes, contratista, contratante, supervisor o interventor, tanto en la etapa precontractual, como en la contractual y la </w:t>
      </w:r>
      <w:proofErr w:type="spellStart"/>
      <w:r w:rsidRPr="00044EB2">
        <w:rPr>
          <w:rFonts w:ascii="Verdana" w:eastAsia="Calibri" w:hAnsi="Verdana" w:cs="Arial"/>
          <w:color w:val="000000"/>
        </w:rPr>
        <w:t>post-contractual</w:t>
      </w:r>
      <w:proofErr w:type="spellEnd"/>
      <w:r w:rsidRPr="00044EB2">
        <w:rPr>
          <w:rFonts w:ascii="Verdana" w:eastAsia="Calibri" w:hAnsi="Verdana" w:cs="Arial"/>
          <w:color w:val="000000"/>
        </w:rPr>
        <w:t>”.</w:t>
      </w:r>
    </w:p>
    <w:p w14:paraId="4D88EE7E" w14:textId="77777777" w:rsidR="00044EB2" w:rsidRPr="00044EB2" w:rsidRDefault="00044EB2" w:rsidP="00044EB2">
      <w:pPr>
        <w:spacing w:after="120" w:line="276" w:lineRule="auto"/>
        <w:ind w:firstLine="709"/>
        <w:jc w:val="both"/>
        <w:rPr>
          <w:rFonts w:ascii="Verdana" w:eastAsia="Calibri" w:hAnsi="Verdana" w:cs="Arial"/>
          <w:color w:val="000000"/>
          <w:sz w:val="21"/>
          <w:szCs w:val="21"/>
        </w:rPr>
      </w:pPr>
      <w:r w:rsidRPr="00044EB2">
        <w:rPr>
          <w:rFonts w:ascii="Verdana" w:eastAsia="Calibri" w:hAnsi="Verdana" w:cs="Arial"/>
          <w:color w:val="000000"/>
        </w:rPr>
        <w:lastRenderedPageBreak/>
        <w:t>En ese sentido, dicho precepto anteriormente referenciado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que modificó el artículo 13 de la Ley 1150 de 2007</w:t>
      </w:r>
      <w:r w:rsidRPr="00044EB2">
        <w:rPr>
          <w:rFonts w:ascii="Verdana" w:eastAsia="Calibri" w:hAnsi="Verdana" w:cs="Arial"/>
          <w:color w:val="000000"/>
          <w:vertAlign w:val="superscript"/>
        </w:rPr>
        <w:footnoteReference w:id="24"/>
      </w:r>
      <w:r w:rsidRPr="00044EB2">
        <w:rPr>
          <w:rFonts w:ascii="Verdana" w:eastAsia="Calibri" w:hAnsi="Verdana" w:cs="Arial"/>
          <w:color w:val="000000"/>
        </w:rPr>
        <w:t xml:space="preserve">, se requiere que publiquen en el SECOP II todo documento expedido durante las diferentes etapas del proceso contractual, abarcando desde la fase previa a su celebración, pasando por la ejecución y hasta la fase posterior a su ejecución. Adicionalmente se aclara, que el cumplimiento del deber de publicación de la documentación contractual debe armonizarse con las normas aplicables al tipo de información que estas contienen, si procede restricción de esta por una reserva constitucional o legal. </w:t>
      </w:r>
    </w:p>
    <w:p w14:paraId="19323A15" w14:textId="77777777" w:rsidR="00044EB2" w:rsidRPr="00044EB2" w:rsidRDefault="00044EB2" w:rsidP="00044EB2">
      <w:pPr>
        <w:spacing w:after="120" w:line="276" w:lineRule="auto"/>
        <w:ind w:firstLine="567"/>
        <w:jc w:val="both"/>
        <w:rPr>
          <w:rFonts w:ascii="Verdana" w:eastAsia="Calibri" w:hAnsi="Verdana" w:cs="Arial"/>
          <w:lang w:val="es-ES"/>
        </w:rPr>
      </w:pPr>
      <w:r w:rsidRPr="00044EB2">
        <w:rPr>
          <w:rFonts w:ascii="Verdana" w:eastAsia="Calibri" w:hAnsi="Verdana" w:cs="Arial"/>
        </w:rPr>
        <w:t>Teniendo en cuenta, la obligatoriedad de</w:t>
      </w:r>
      <w:r w:rsidRPr="00044EB2">
        <w:rPr>
          <w:rFonts w:ascii="Verdana" w:eastAsia="Calibri" w:hAnsi="Verdana" w:cs="Arial"/>
          <w:lang w:val="es-ES"/>
        </w:rPr>
        <w:t xml:space="preserve"> SECOP II para entidades de régimen especial, es preciso señalar que está habilitado dos módulos para dichas entidades: i) Régimen Especial con Ofertas, que consiste en un procedimiento contractual que se desarrolla en línea y dentro de la plataforma, en el que las entidades pueden estructurar el proceso de contratación y recibir las ofertas de los proveedores y generar el contrato electrónico y demás documentos, conformándose un expediente electrónico; </w:t>
      </w:r>
      <w:proofErr w:type="spellStart"/>
      <w:r w:rsidRPr="00044EB2">
        <w:rPr>
          <w:rFonts w:ascii="Verdana" w:eastAsia="Calibri" w:hAnsi="Verdana" w:cs="Arial"/>
          <w:lang w:val="es-ES"/>
        </w:rPr>
        <w:t>ii</w:t>
      </w:r>
      <w:proofErr w:type="spellEnd"/>
      <w:r w:rsidRPr="00044EB2">
        <w:rPr>
          <w:rFonts w:ascii="Verdana" w:eastAsia="Calibri" w:hAnsi="Verdana" w:cs="Arial"/>
          <w:lang w:val="es-ES"/>
        </w:rPr>
        <w:t xml:space="preserve">) Régimen Especial sin Ofertas, que consiste en que las entidades pueden estructurar el Proceso de Contratación, generar el contrato electrónico y realizar la gestión contractual. Al respecto, </w:t>
      </w:r>
      <w:r w:rsidRPr="00044EB2">
        <w:rPr>
          <w:rFonts w:ascii="Verdana" w:eastAsia="Calibri" w:hAnsi="Verdana" w:cs="Arial"/>
        </w:rPr>
        <w:t xml:space="preserve">la Circular Externa No. 002 del 23 de agosto de 2024, estableció los lineamientos para la aplicación del artículo 53 de la Ley 2195 de 2022 por parte de las Entidades Estales que por disposición legal cuentan con un régimen contractual </w:t>
      </w:r>
      <w:r w:rsidRPr="00044EB2">
        <w:rPr>
          <w:rFonts w:ascii="Verdana" w:eastAsia="Calibri" w:hAnsi="Verdana" w:cs="Arial"/>
        </w:rPr>
        <w:lastRenderedPageBreak/>
        <w:t>excepcional al Estatuto General de Contratación de la Administración Pública. En dicha Circular expresó frente a estos dos módulos lo siguiente: “[…]</w:t>
      </w:r>
    </w:p>
    <w:p w14:paraId="36EAF718" w14:textId="77777777" w:rsidR="00044EB2" w:rsidRPr="00044EB2" w:rsidRDefault="00044EB2" w:rsidP="00044EB2">
      <w:pPr>
        <w:spacing w:after="0" w:line="276" w:lineRule="auto"/>
        <w:ind w:firstLine="567"/>
        <w:jc w:val="both"/>
        <w:rPr>
          <w:rFonts w:ascii="Verdana" w:eastAsia="Calibri" w:hAnsi="Verdana" w:cs="Arial"/>
          <w:lang w:val="es-ES"/>
        </w:rPr>
      </w:pPr>
    </w:p>
    <w:p w14:paraId="6F1627C9" w14:textId="77777777" w:rsidR="00044EB2" w:rsidRPr="00044EB2" w:rsidRDefault="00044EB2" w:rsidP="00044EB2">
      <w:pPr>
        <w:spacing w:after="0" w:line="240" w:lineRule="auto"/>
        <w:ind w:left="709" w:right="709"/>
        <w:jc w:val="both"/>
        <w:rPr>
          <w:rFonts w:ascii="Verdana" w:eastAsia="Calibri" w:hAnsi="Verdana" w:cs="Arial"/>
          <w:sz w:val="20"/>
          <w:szCs w:val="20"/>
          <w:lang w:val="es-ES"/>
        </w:rPr>
      </w:pPr>
      <w:r w:rsidRPr="00044EB2">
        <w:rPr>
          <w:rFonts w:ascii="Verdana" w:hAnsi="Verdana"/>
          <w:sz w:val="20"/>
          <w:szCs w:val="20"/>
        </w:rPr>
        <w:t>En el primer caso, si la entidad opta por hacer uso de la plataforma de manera transaccional (firmando el contrato electrónicamente), deberá utilizar el módulo de “Contratación Régimen Especial”, estructurar el proceso de contratación, generar el contrato electrónico y realizar la gestión contractual en línea a través de la plataforma. En el segundo caso, si decide utilizar el SECOP II como herramienta de publicidad, deberá crear el proceso de contratación en el SECOP II mediante el módulo “Contratación Régimen Especial (sin ofertas)”, cargar todos los documentos del proceso en la sección dispuesta para ello y publicar el proceso. La publicación de los documentos de la gestión contractual, incluido el contrato firmado manuscritamente, debe realizarse mediante modificaciones al proceso a través de la opción “Modificaciones/Adendas”. Sin embargo, las Entidades Públicas deberán tener en cuenta que, si utilizan esta opción, no deben dar clic en “Finalizar” después de publicar el proceso, en tanto que la plataforma cierra el expediente y no permite la publicación posterior de ningún otro documento</w:t>
      </w:r>
      <w:r w:rsidRPr="00044EB2">
        <w:rPr>
          <w:rFonts w:ascii="Verdana" w:eastAsia="Calibri" w:hAnsi="Verdana" w:cs="Arial"/>
          <w:color w:val="000000"/>
          <w:sz w:val="20"/>
          <w:szCs w:val="20"/>
        </w:rPr>
        <w:tab/>
      </w:r>
    </w:p>
    <w:p w14:paraId="40014294" w14:textId="77777777" w:rsidR="00044EB2" w:rsidRPr="00044EB2" w:rsidRDefault="00044EB2" w:rsidP="00044EB2">
      <w:pPr>
        <w:spacing w:after="0" w:line="276" w:lineRule="auto"/>
        <w:jc w:val="both"/>
        <w:rPr>
          <w:rFonts w:ascii="Verdana" w:eastAsia="Calibri" w:hAnsi="Verdana" w:cs="Arial"/>
          <w:color w:val="000000"/>
        </w:rPr>
      </w:pPr>
    </w:p>
    <w:p w14:paraId="0B640BA6" w14:textId="77777777" w:rsidR="00044EB2" w:rsidRPr="00044EB2" w:rsidRDefault="00044EB2" w:rsidP="00044EB2">
      <w:pPr>
        <w:spacing w:after="0" w:line="276" w:lineRule="auto"/>
        <w:jc w:val="both"/>
        <w:rPr>
          <w:rFonts w:ascii="Verdana" w:eastAsia="Calibri" w:hAnsi="Verdana" w:cs="Arial"/>
          <w:color w:val="000000"/>
        </w:rPr>
      </w:pPr>
      <w:r w:rsidRPr="00044EB2">
        <w:rPr>
          <w:rFonts w:ascii="Verdana" w:eastAsia="Calibri" w:hAnsi="Verdana" w:cs="Arial"/>
          <w:color w:val="000000"/>
        </w:rPr>
        <w:tab/>
        <w:t>La entidad, en ejercicio de su autonomía y conforme al régimen especial que la rige, será la responsable de determinar cuál de los dos módulos de contratación resulta aplicable en cada proceso que adelante. Esta decisión no es automática, sino que debe surgir de un análisis cuidadoso realizado por la propia entidad con el acompañamiento de sus asesores, teniendo en cuenta la naturaleza del contrato, los principios de transparencia y eficiencia, así como las condiciones particulares de la contratación con o sin oferta. De este modo, se garantiza que la selección del módulo no solo responda a la normativa vigente, sino también a las necesidades específicas de cada proceso, permitiendo que la contratación se lleve a cabo de manera más ágil y ajustada a la realidad institucional. En todo caso, y en concordancia con lo anterior, a Circular 002 del 1 de junio de 2022, relacionada con la aplicación del artículo 53 de la Ley 2195 de 2022, expedida por el Departamento Administrativo de la Presidencia, frente al plazo para cargar los documentos señaló:</w:t>
      </w:r>
    </w:p>
    <w:p w14:paraId="181F97A7" w14:textId="77777777" w:rsidR="00044EB2" w:rsidRPr="00044EB2" w:rsidRDefault="00044EB2" w:rsidP="00044EB2">
      <w:pPr>
        <w:spacing w:after="0" w:line="276" w:lineRule="auto"/>
        <w:jc w:val="both"/>
        <w:rPr>
          <w:rFonts w:ascii="Verdana" w:eastAsia="Calibri" w:hAnsi="Verdana" w:cs="Arial"/>
          <w:color w:val="000000"/>
        </w:rPr>
      </w:pPr>
    </w:p>
    <w:p w14:paraId="0F09ABED" w14:textId="77777777" w:rsidR="00044EB2" w:rsidRPr="00044EB2" w:rsidRDefault="00044EB2" w:rsidP="00044EB2">
      <w:pPr>
        <w:spacing w:after="0" w:line="240" w:lineRule="auto"/>
        <w:ind w:left="709" w:right="709"/>
        <w:jc w:val="both"/>
        <w:rPr>
          <w:rFonts w:ascii="Verdana" w:eastAsia="Calibri" w:hAnsi="Verdana" w:cs="Arial"/>
          <w:color w:val="000000"/>
          <w:sz w:val="20"/>
          <w:szCs w:val="20"/>
        </w:rPr>
      </w:pPr>
      <w:r w:rsidRPr="00044EB2">
        <w:rPr>
          <w:rFonts w:ascii="Verdana" w:eastAsia="Calibri" w:hAnsi="Verdana" w:cs="Arial"/>
          <w:color w:val="000000"/>
          <w:sz w:val="20"/>
          <w:szCs w:val="20"/>
        </w:rPr>
        <w:t xml:space="preserve">Si se utiliza el SECOP II como herramienta de publicidad, la publicación de los documentos relacionados con la actividad contractual deberá realizarse dentro de los 3 días siguientes a su expedición, en aplicación de lo dispuesto en el artículo 2.1.1.2.1.7. del Decreto 1081 de 2015, el cual </w:t>
      </w:r>
      <w:r w:rsidRPr="00044EB2">
        <w:rPr>
          <w:rFonts w:ascii="Verdana" w:eastAsia="Calibri" w:hAnsi="Verdana" w:cs="Arial"/>
          <w:color w:val="000000"/>
          <w:sz w:val="20"/>
          <w:szCs w:val="20"/>
        </w:rPr>
        <w:lastRenderedPageBreak/>
        <w:t xml:space="preserve">remite al artículo 2.2.1.1.1.7.1. del Decreto 1082 de 2015, en el que se hace referencia al plazo en cita. </w:t>
      </w:r>
    </w:p>
    <w:p w14:paraId="011556CD" w14:textId="77777777" w:rsidR="00044EB2" w:rsidRPr="00044EB2" w:rsidRDefault="00044EB2" w:rsidP="00044EB2">
      <w:pPr>
        <w:spacing w:after="0" w:line="240" w:lineRule="auto"/>
        <w:ind w:left="709" w:right="709"/>
        <w:jc w:val="both"/>
        <w:rPr>
          <w:rFonts w:ascii="Verdana" w:eastAsia="Calibri" w:hAnsi="Verdana" w:cs="Arial"/>
          <w:color w:val="000000"/>
          <w:sz w:val="20"/>
          <w:szCs w:val="20"/>
        </w:rPr>
      </w:pPr>
    </w:p>
    <w:p w14:paraId="2AAFB6B0" w14:textId="77777777" w:rsidR="00044EB2" w:rsidRPr="00044EB2" w:rsidRDefault="00044EB2" w:rsidP="00044EB2">
      <w:pPr>
        <w:spacing w:after="0" w:line="240" w:lineRule="auto"/>
        <w:ind w:left="709" w:right="709"/>
        <w:jc w:val="both"/>
        <w:rPr>
          <w:rFonts w:ascii="Verdana" w:eastAsia="Calibri" w:hAnsi="Verdana" w:cs="Arial"/>
          <w:color w:val="000000"/>
          <w:sz w:val="20"/>
          <w:szCs w:val="20"/>
        </w:rPr>
      </w:pPr>
      <w:r w:rsidRPr="00044EB2">
        <w:rPr>
          <w:rFonts w:ascii="Verdana" w:eastAsia="Calibri" w:hAnsi="Verdana" w:cs="Arial"/>
          <w:color w:val="000000"/>
          <w:sz w:val="20"/>
          <w:szCs w:val="20"/>
        </w:rPr>
        <w:t>Si se hace uso de la plataforma de manera transaccional, la publicación de los documentos relacionados con la actividad contractual deberá realizarse en los términos establecidos en el cronograma del proceso de selección y las reglas aplicables a cada modalidad de contratación en particular, de acuerdo con cada Manual de Contratación. (Cursiva fuera del original).</w:t>
      </w:r>
    </w:p>
    <w:p w14:paraId="32004AF7" w14:textId="77777777" w:rsidR="00044EB2" w:rsidRPr="00044EB2" w:rsidRDefault="00044EB2" w:rsidP="00044EB2">
      <w:pPr>
        <w:spacing w:after="0" w:line="276" w:lineRule="auto"/>
        <w:jc w:val="both"/>
        <w:rPr>
          <w:rFonts w:ascii="Verdana" w:eastAsia="Calibri" w:hAnsi="Verdana" w:cs="Arial"/>
          <w:color w:val="000000"/>
        </w:rPr>
      </w:pPr>
    </w:p>
    <w:p w14:paraId="5048C095" w14:textId="77777777" w:rsidR="00044EB2" w:rsidRPr="00044EB2" w:rsidRDefault="00044EB2" w:rsidP="00044EB2">
      <w:pPr>
        <w:spacing w:after="0" w:line="276" w:lineRule="auto"/>
        <w:jc w:val="both"/>
        <w:rPr>
          <w:rFonts w:ascii="Verdana" w:eastAsia="Calibri" w:hAnsi="Verdana" w:cs="Arial"/>
          <w:color w:val="000000"/>
        </w:rPr>
      </w:pPr>
      <w:r w:rsidRPr="00044EB2">
        <w:rPr>
          <w:rFonts w:ascii="Verdana" w:eastAsia="Calibri" w:hAnsi="Verdana" w:cs="Arial"/>
          <w:color w:val="000000"/>
        </w:rPr>
        <w:tab/>
        <w:t>Así las cosas, se concluye que las Entidades Estatales que, por disposición legal, cuenten con un régimen contractual distinto al previsto en el Estatuto General de Contratación de la Administración Pública, disponen de un plazo de tres (3) días hábiles posteriores a la expedición del acto para realizar la publicación en el SECOP II. Esto, sin perjuicio de que dichas entidades utilicen la plataforma de manera transaccional, caso en el cual la publicación de los documentos deberá efectuarse en tiempo real, conforme al cronograma establecido para el respectivo proceso de selección.</w:t>
      </w:r>
    </w:p>
    <w:p w14:paraId="1210E3F8" w14:textId="77777777" w:rsidR="00044EB2" w:rsidRPr="00044EB2" w:rsidRDefault="00044EB2" w:rsidP="00044EB2">
      <w:pPr>
        <w:spacing w:after="0" w:line="276" w:lineRule="auto"/>
        <w:jc w:val="both"/>
        <w:rPr>
          <w:rFonts w:ascii="Verdana" w:hAnsi="Verdana"/>
        </w:rPr>
      </w:pPr>
    </w:p>
    <w:p w14:paraId="2D0655FF" w14:textId="77777777" w:rsidR="00044EB2" w:rsidRPr="00044EB2" w:rsidRDefault="00044EB2" w:rsidP="00044EB2">
      <w:pPr>
        <w:spacing w:after="120" w:line="276" w:lineRule="auto"/>
        <w:jc w:val="both"/>
        <w:rPr>
          <w:rFonts w:ascii="Verdana" w:eastAsia="Calibri" w:hAnsi="Verdana" w:cs="Arial"/>
          <w:color w:val="000000" w:themeColor="text1"/>
        </w:rPr>
      </w:pPr>
      <w:r w:rsidRPr="00044EB2">
        <w:rPr>
          <w:rFonts w:ascii="Verdana" w:eastAsia="Calibri" w:hAnsi="Verdana" w:cs="Arial"/>
          <w:color w:val="000000" w:themeColor="text1"/>
          <w:lang w:val="es-ES"/>
        </w:rPr>
        <w:t xml:space="preserve">v. </w:t>
      </w:r>
      <w:r w:rsidRPr="00044EB2">
        <w:rPr>
          <w:rFonts w:ascii="Verdana" w:eastAsia="Calibri" w:hAnsi="Verdana" w:cs="Arial"/>
          <w:color w:val="000000" w:themeColor="text1"/>
        </w:rPr>
        <w:t>Ahora bien, los lineamientos, directrices y guías desarrollados en el presente concepto tienen un alcance orientador para las entidades sometidas a regímenes especiales de contratación, como es el caso de las empresas industriales y comerciales del Estado, en la medida en que no ostentan fuerza normativa ni tienen carácter vinculante. En ese sentido, su finalidad es servir como criterio auxiliar de interpretación y apoyo para la toma de decisiones administrativas y contractuales, sin que impliquen una sustitución del régimen jurídico propio aplicable a cada entidad ni de las disposiciones que regulan de manera específica su actuación contractual.</w:t>
      </w:r>
    </w:p>
    <w:p w14:paraId="671DD440" w14:textId="77777777" w:rsidR="00044EB2" w:rsidRPr="00044EB2" w:rsidRDefault="00044EB2" w:rsidP="00044EB2">
      <w:pPr>
        <w:spacing w:after="120" w:line="276" w:lineRule="auto"/>
        <w:ind w:firstLine="708"/>
        <w:jc w:val="both"/>
        <w:rPr>
          <w:rFonts w:ascii="Verdana" w:eastAsia="Calibri" w:hAnsi="Verdana" w:cs="Arial"/>
          <w:color w:val="000000" w:themeColor="text1"/>
        </w:rPr>
      </w:pPr>
      <w:r w:rsidRPr="00044EB2">
        <w:rPr>
          <w:rFonts w:ascii="Verdana" w:eastAsia="Calibri" w:hAnsi="Verdana" w:cs="Arial"/>
          <w:color w:val="000000" w:themeColor="text1"/>
        </w:rPr>
        <w:t>Sin perjuicio de lo anterior, el ejercicio de la autonomía administrativa y contractual de las entidades de régimen especial debe realizarse con sujeción plena a las normas constitucionales y legales que regulan los deberes, responsabilidades y fines de las empresas industriales y comerciales del Estado. En particular, dichas entidades están obligadas a observar los principios de la función administrativa y la gestión fiscal, el régimen de inhabilidades e incompatibilidades, así como los demás deberes regulados en el ordenamiento jurídico, garantizando que su gestión contractual se ajuste a los fines estatales, al adecuado manejo de los recursos públicos y al control fiscal que les resulta aplicable.</w:t>
      </w:r>
    </w:p>
    <w:p w14:paraId="7E64996D" w14:textId="77777777" w:rsidR="00044EB2" w:rsidRPr="00044EB2" w:rsidRDefault="00044EB2" w:rsidP="00044EB2">
      <w:pPr>
        <w:spacing w:after="120" w:line="276" w:lineRule="auto"/>
        <w:ind w:firstLine="708"/>
        <w:jc w:val="both"/>
        <w:rPr>
          <w:rFonts w:ascii="Verdana" w:eastAsia="Calibri" w:hAnsi="Verdana" w:cs="Arial"/>
          <w:color w:val="000000" w:themeColor="text1"/>
        </w:rPr>
      </w:pPr>
      <w:r w:rsidRPr="00044EB2">
        <w:rPr>
          <w:rFonts w:ascii="Verdana" w:eastAsia="Calibri" w:hAnsi="Verdana" w:cs="Arial"/>
          <w:color w:val="000000" w:themeColor="text1"/>
          <w:lang w:val="es-ES"/>
        </w:rPr>
        <w:lastRenderedPageBreak/>
        <w:t xml:space="preserve">Al </w:t>
      </w:r>
      <w:r w:rsidRPr="00044EB2">
        <w:rPr>
          <w:rFonts w:ascii="Verdana" w:hAnsi="Verdana" w:cs="Arial"/>
          <w:lang w:val="es-ES_tradnl" w:eastAsia="es-ES"/>
        </w:rPr>
        <w:t>margen de la explicación precedente debe advertirse que el análisis requerido para resolver problemas específicos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45EE64D" w14:textId="77777777" w:rsidR="00044EB2" w:rsidRPr="00044EB2" w:rsidRDefault="00044EB2" w:rsidP="00044EB2">
      <w:pPr>
        <w:spacing w:after="0" w:line="276" w:lineRule="auto"/>
        <w:ind w:firstLine="709"/>
        <w:jc w:val="both"/>
        <w:rPr>
          <w:rFonts w:ascii="Verdana" w:hAnsi="Verdana" w:cs="Arial"/>
          <w:lang w:val="es-ES" w:eastAsia="es-ES"/>
        </w:rPr>
      </w:pPr>
      <w:r w:rsidRPr="00044EB2">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7B613FA" w14:textId="77777777" w:rsidR="00044EB2" w:rsidRPr="00044EB2" w:rsidRDefault="00044EB2" w:rsidP="00044EB2">
      <w:pPr>
        <w:spacing w:after="0" w:line="276" w:lineRule="auto"/>
        <w:jc w:val="both"/>
        <w:rPr>
          <w:rFonts w:ascii="Verdana" w:hAnsi="Verdana" w:cs="Arial"/>
          <w:bCs/>
          <w:color w:val="000000" w:themeColor="text1"/>
          <w:lang w:val="es-ES"/>
        </w:rPr>
      </w:pPr>
    </w:p>
    <w:p w14:paraId="1F294F57" w14:textId="77777777" w:rsidR="00044EB2" w:rsidRPr="00044EB2" w:rsidRDefault="00044EB2" w:rsidP="00044EB2">
      <w:pPr>
        <w:numPr>
          <w:ilvl w:val="0"/>
          <w:numId w:val="16"/>
        </w:numPr>
        <w:tabs>
          <w:tab w:val="left" w:pos="142"/>
          <w:tab w:val="left" w:pos="284"/>
        </w:tabs>
        <w:spacing w:after="0" w:line="276" w:lineRule="auto"/>
        <w:ind w:left="426"/>
        <w:contextualSpacing/>
        <w:jc w:val="both"/>
        <w:rPr>
          <w:rFonts w:ascii="Verdana" w:eastAsia="Century Gothic" w:hAnsi="Verdana" w:cs="Century Gothic"/>
          <w:b/>
          <w:bCs/>
          <w:lang w:val="es-ES"/>
        </w:rPr>
      </w:pPr>
      <w:r w:rsidRPr="00044EB2">
        <w:rPr>
          <w:rFonts w:ascii="Verdana" w:eastAsia="Century Gothic" w:hAnsi="Verdana" w:cs="Century Gothic"/>
          <w:b/>
          <w:bCs/>
          <w:lang w:val="es-ES"/>
        </w:rPr>
        <w:t>Referencias normativas:</w:t>
      </w:r>
    </w:p>
    <w:p w14:paraId="0ED57747" w14:textId="77777777" w:rsidR="00044EB2" w:rsidRPr="00044EB2" w:rsidRDefault="00044EB2" w:rsidP="00044EB2">
      <w:pPr>
        <w:widowControl w:val="0"/>
        <w:autoSpaceDE w:val="0"/>
        <w:autoSpaceDN w:val="0"/>
        <w:spacing w:after="0" w:line="276" w:lineRule="auto"/>
        <w:jc w:val="both"/>
        <w:rPr>
          <w:rFonts w:ascii="Verdana" w:hAnsi="Verdana" w:cs="Arial"/>
        </w:rPr>
      </w:pPr>
      <w:r w:rsidRPr="00044EB2">
        <w:rPr>
          <w:rFonts w:ascii="Verdana" w:hAnsi="Verdana" w:cs="Arial"/>
        </w:rPr>
        <w:t xml:space="preserve"> </w:t>
      </w:r>
    </w:p>
    <w:tbl>
      <w:tblPr>
        <w:tblStyle w:val="Tablaconcuadrcula2"/>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44EB2" w:rsidRPr="00044EB2" w14:paraId="6AB01CA3" w14:textId="77777777" w:rsidTr="00881B2A">
        <w:trPr>
          <w:trHeight w:val="870"/>
          <w:jc w:val="center"/>
        </w:trPr>
        <w:tc>
          <w:tcPr>
            <w:tcW w:w="8647" w:type="dxa"/>
          </w:tcPr>
          <w:p w14:paraId="2E4D9AE3" w14:textId="77777777" w:rsidR="00044EB2" w:rsidRPr="008E2ED3" w:rsidRDefault="00044EB2" w:rsidP="00044EB2">
            <w:pPr>
              <w:numPr>
                <w:ilvl w:val="0"/>
                <w:numId w:val="24"/>
              </w:numPr>
              <w:spacing w:before="120" w:after="120" w:line="276" w:lineRule="auto"/>
              <w:ind w:left="714" w:hanging="357"/>
              <w:jc w:val="both"/>
              <w:rPr>
                <w:rFonts w:ascii="Verdana" w:hAnsi="Verdana" w:cs="Arial"/>
              </w:rPr>
            </w:pPr>
            <w:r w:rsidRPr="008E2ED3">
              <w:rPr>
                <w:rFonts w:ascii="Verdana" w:hAnsi="Verdana" w:cs="Arial"/>
              </w:rPr>
              <w:t>Constitución Política de 1991, artículos 150, 209, 267.</w:t>
            </w:r>
          </w:p>
          <w:p w14:paraId="723BC3DD" w14:textId="77777777" w:rsidR="00044EB2" w:rsidRPr="008E2ED3" w:rsidRDefault="00044EB2" w:rsidP="00044EB2">
            <w:pPr>
              <w:numPr>
                <w:ilvl w:val="0"/>
                <w:numId w:val="24"/>
              </w:numPr>
              <w:spacing w:before="120" w:after="120" w:line="276" w:lineRule="auto"/>
              <w:ind w:left="714" w:hanging="357"/>
              <w:jc w:val="both"/>
              <w:rPr>
                <w:rFonts w:ascii="Verdana" w:hAnsi="Verdana" w:cs="Arial"/>
              </w:rPr>
            </w:pPr>
            <w:r w:rsidRPr="008E2ED3">
              <w:rPr>
                <w:rFonts w:ascii="Verdana" w:hAnsi="Verdana" w:cs="Arial"/>
              </w:rPr>
              <w:t>Ley 80 de 1993, artículos 2, 13, 14, 32 y 40.</w:t>
            </w:r>
          </w:p>
          <w:p w14:paraId="79D5E779" w14:textId="77777777" w:rsidR="00044EB2" w:rsidRPr="008E2ED3" w:rsidRDefault="00044EB2" w:rsidP="00044EB2">
            <w:pPr>
              <w:numPr>
                <w:ilvl w:val="0"/>
                <w:numId w:val="24"/>
              </w:numPr>
              <w:spacing w:before="120" w:after="120" w:line="276" w:lineRule="auto"/>
              <w:ind w:left="714" w:hanging="357"/>
              <w:jc w:val="both"/>
              <w:rPr>
                <w:rFonts w:ascii="Verdana" w:hAnsi="Verdana" w:cs="Arial"/>
              </w:rPr>
            </w:pPr>
            <w:r w:rsidRPr="008E2ED3">
              <w:rPr>
                <w:rFonts w:ascii="Verdana" w:hAnsi="Verdana" w:cs="Arial"/>
              </w:rPr>
              <w:t xml:space="preserve">Ley 489 de 1998, artículo 85. </w:t>
            </w:r>
          </w:p>
          <w:p w14:paraId="1E1E0645" w14:textId="77777777" w:rsidR="00044EB2" w:rsidRPr="008E2ED3" w:rsidRDefault="00044EB2" w:rsidP="00044EB2">
            <w:pPr>
              <w:numPr>
                <w:ilvl w:val="0"/>
                <w:numId w:val="24"/>
              </w:numPr>
              <w:spacing w:before="120" w:after="120" w:line="276" w:lineRule="auto"/>
              <w:ind w:left="714" w:hanging="357"/>
              <w:jc w:val="both"/>
              <w:rPr>
                <w:rFonts w:ascii="Verdana" w:hAnsi="Verdana" w:cs="Arial"/>
              </w:rPr>
            </w:pPr>
            <w:r w:rsidRPr="008E2ED3">
              <w:rPr>
                <w:rFonts w:ascii="Verdana" w:hAnsi="Verdana" w:cs="Arial"/>
              </w:rPr>
              <w:t xml:space="preserve">Ley 1150 de 2007, artículos 13 y 14. </w:t>
            </w:r>
          </w:p>
          <w:p w14:paraId="00E33B8B" w14:textId="77777777" w:rsidR="00044EB2" w:rsidRPr="008E2ED3" w:rsidRDefault="00044EB2" w:rsidP="00044EB2">
            <w:pPr>
              <w:numPr>
                <w:ilvl w:val="0"/>
                <w:numId w:val="24"/>
              </w:numPr>
              <w:spacing w:before="120" w:after="120" w:line="276" w:lineRule="auto"/>
              <w:ind w:left="714" w:hanging="357"/>
              <w:jc w:val="both"/>
              <w:rPr>
                <w:rFonts w:ascii="Verdana" w:hAnsi="Verdana" w:cs="Arial"/>
              </w:rPr>
            </w:pPr>
            <w:r w:rsidRPr="008E2ED3">
              <w:rPr>
                <w:rFonts w:ascii="Verdana" w:hAnsi="Verdana" w:cs="Arial"/>
              </w:rPr>
              <w:t xml:space="preserve">Ley 1474 de 2011, artículo 93. </w:t>
            </w:r>
          </w:p>
          <w:p w14:paraId="286FF8FF" w14:textId="77777777" w:rsidR="00044EB2" w:rsidRPr="00044EB2" w:rsidRDefault="00044EB2" w:rsidP="00044EB2">
            <w:pPr>
              <w:numPr>
                <w:ilvl w:val="0"/>
                <w:numId w:val="24"/>
              </w:numPr>
              <w:spacing w:before="120" w:after="120" w:line="276" w:lineRule="auto"/>
              <w:ind w:left="714" w:hanging="357"/>
              <w:jc w:val="both"/>
              <w:rPr>
                <w:rFonts w:cs="Arial"/>
              </w:rPr>
            </w:pPr>
            <w:r w:rsidRPr="008E2ED3">
              <w:rPr>
                <w:rFonts w:ascii="Verdana" w:hAnsi="Verdana" w:cs="Arial"/>
              </w:rPr>
              <w:t>Ley 2195 de 2022, artículos 53 y 56.</w:t>
            </w:r>
            <w:r w:rsidRPr="00044EB2">
              <w:rPr>
                <w:rFonts w:cs="Arial"/>
              </w:rPr>
              <w:t xml:space="preserve"> </w:t>
            </w:r>
            <w:r w:rsidRPr="00044EB2">
              <w:t xml:space="preserve"> </w:t>
            </w:r>
          </w:p>
        </w:tc>
      </w:tr>
    </w:tbl>
    <w:p w14:paraId="014781EE" w14:textId="77777777" w:rsidR="00044EB2" w:rsidRPr="00044EB2" w:rsidRDefault="00044EB2" w:rsidP="00044EB2">
      <w:pPr>
        <w:spacing w:after="0" w:line="276" w:lineRule="auto"/>
        <w:jc w:val="both"/>
        <w:rPr>
          <w:rFonts w:ascii="Verdana" w:hAnsi="Verdana" w:cs="Arial"/>
          <w:color w:val="000000"/>
          <w:lang w:eastAsia="es-ES"/>
        </w:rPr>
      </w:pPr>
    </w:p>
    <w:p w14:paraId="2F50480D" w14:textId="77777777" w:rsidR="00044EB2" w:rsidRPr="00044EB2" w:rsidRDefault="00044EB2" w:rsidP="00044EB2">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044EB2">
        <w:rPr>
          <w:rFonts w:ascii="Verdana" w:eastAsia="Century Gothic" w:hAnsi="Verdana" w:cs="Century Gothic"/>
          <w:b/>
          <w:bCs/>
          <w:lang w:val="es-ES"/>
        </w:rPr>
        <w:t>Doctrina de la Agencia Nacional de Contratación Pública:</w:t>
      </w:r>
    </w:p>
    <w:p w14:paraId="35E8E43B" w14:textId="77777777" w:rsidR="00044EB2" w:rsidRPr="00044EB2" w:rsidRDefault="00044EB2" w:rsidP="00044EB2">
      <w:pPr>
        <w:widowControl w:val="0"/>
        <w:autoSpaceDE w:val="0"/>
        <w:autoSpaceDN w:val="0"/>
        <w:spacing w:after="0" w:line="276" w:lineRule="auto"/>
        <w:jc w:val="both"/>
        <w:rPr>
          <w:rFonts w:ascii="Verdana" w:hAnsi="Verdana" w:cs="Arial"/>
        </w:rPr>
      </w:pPr>
    </w:p>
    <w:p w14:paraId="428871AE" w14:textId="77777777" w:rsidR="00044EB2" w:rsidRPr="00044EB2" w:rsidRDefault="00044EB2" w:rsidP="00044EB2">
      <w:pPr>
        <w:spacing w:after="0" w:line="276" w:lineRule="auto"/>
        <w:jc w:val="both"/>
        <w:rPr>
          <w:rFonts w:ascii="Verdana" w:hAnsi="Verdana" w:cs="Arial"/>
          <w:bCs/>
          <w:color w:val="000000" w:themeColor="text1"/>
          <w:lang w:val="es-ES"/>
        </w:rPr>
      </w:pPr>
      <w:r w:rsidRPr="00044EB2">
        <w:rPr>
          <w:rFonts w:ascii="Verdana" w:hAnsi="Verdana" w:cs="Arial"/>
          <w:bCs/>
          <w:shd w:val="clear" w:color="auto" w:fill="FFFFFF"/>
        </w:rPr>
        <w:t xml:space="preserve">La Agencia Nacional de Contratación Pública – Colombia Compra Eficiente, ha expedido los siguientes conceptos sobre entidades de régimen especial: </w:t>
      </w:r>
      <w:r w:rsidRPr="00044EB2">
        <w:rPr>
          <w:rFonts w:ascii="Verdana" w:hAnsi="Verdana"/>
          <w:bCs/>
          <w:shd w:val="clear" w:color="auto" w:fill="FFFFFF"/>
          <w:lang w:val="es-ES"/>
        </w:rPr>
        <w:t xml:space="preserve">C-147 del 17 de marzo de 2020, C-157 del 17 de marzo de 2020, C-191 del 16 de </w:t>
      </w:r>
      <w:r w:rsidRPr="00044EB2">
        <w:rPr>
          <w:rFonts w:ascii="Verdana" w:hAnsi="Verdana"/>
          <w:bCs/>
          <w:shd w:val="clear" w:color="auto" w:fill="FFFFFF"/>
          <w:lang w:val="es-ES"/>
        </w:rPr>
        <w:lastRenderedPageBreak/>
        <w:t>marzo de 2020 y C-168 del 31 de marzo de 2020, C-</w:t>
      </w:r>
      <w:r w:rsidRPr="00044EB2">
        <w:rPr>
          <w:rFonts w:ascii="Verdana" w:hAnsi="Verdana" w:cs="Arial"/>
          <w:bCs/>
          <w:shd w:val="clear" w:color="auto" w:fill="FFFFFF"/>
        </w:rPr>
        <w:t>158 del 3 de abril de 2020, C-362 del 2 de julio de 2020, C-458 del 13 de mayo de 2022, C-717 del 21 de enero de 2022, C-004 del 22 de enero de 2024, C-459 del 18 de septiembre de 2024 y C – 863 de 17 de diciembre de 2024, C-775 del 25 de julio de 2025, C-879 del 14 de agosto de 2025, c- 1004 del 29 de agosto de 2025, C- 1012 del 4 de septiembre de 2025, C-1208 del 7 de octubre de 2025, C-166 del 17 de marzo de 2026, entre otros</w:t>
      </w:r>
      <w:r w:rsidRPr="00044EB2">
        <w:rPr>
          <w:rFonts w:ascii="Verdana" w:hAnsi="Verdana"/>
        </w:rPr>
        <w:t xml:space="preserve">. </w:t>
      </w:r>
      <w:r w:rsidRPr="00044EB2">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77DF1E3" w14:textId="77777777" w:rsidR="00044EB2" w:rsidRPr="00044EB2" w:rsidRDefault="00044EB2" w:rsidP="00044EB2">
      <w:pPr>
        <w:spacing w:after="0" w:line="276" w:lineRule="auto"/>
        <w:jc w:val="both"/>
        <w:rPr>
          <w:rFonts w:ascii="Verdana" w:eastAsia="Calibri" w:hAnsi="Verdana" w:cs="Times New Roman"/>
        </w:rPr>
      </w:pPr>
      <w:hyperlink r:id="rId13" w:history="1">
        <w:r w:rsidRPr="00044EB2">
          <w:rPr>
            <w:rFonts w:ascii="Verdana" w:hAnsi="Verdana"/>
            <w:color w:val="0000FF"/>
            <w:u w:val="single"/>
          </w:rPr>
          <w:t>https://www.colombiacompra.gov.co/normativa-y-relatoria/conoce-la-relatoria</w:t>
        </w:r>
      </w:hyperlink>
      <w:r w:rsidRPr="00044EB2">
        <w:rPr>
          <w:rFonts w:ascii="Verdana" w:hAnsi="Verdana"/>
        </w:rPr>
        <w:t xml:space="preserve"> </w:t>
      </w:r>
    </w:p>
    <w:p w14:paraId="05B5447F" w14:textId="77777777" w:rsidR="00044EB2" w:rsidRPr="00044EB2" w:rsidRDefault="00044EB2" w:rsidP="00044EB2">
      <w:pPr>
        <w:spacing w:after="0" w:line="276" w:lineRule="auto"/>
        <w:jc w:val="both"/>
        <w:rPr>
          <w:rFonts w:ascii="Verdana" w:eastAsia="Verdana" w:hAnsi="Verdana" w:cs="Verdana"/>
          <w:bCs/>
        </w:rPr>
      </w:pPr>
    </w:p>
    <w:p w14:paraId="16116400" w14:textId="77777777" w:rsidR="00044EB2" w:rsidRPr="00044EB2" w:rsidRDefault="00044EB2" w:rsidP="00044EB2">
      <w:pPr>
        <w:spacing w:after="0" w:line="276" w:lineRule="auto"/>
        <w:jc w:val="both"/>
        <w:rPr>
          <w:rFonts w:ascii="Verdana" w:eastAsia="Calibri" w:hAnsi="Verdana" w:cs="Times New Roman"/>
        </w:rPr>
      </w:pPr>
      <w:r w:rsidRPr="00044EB2">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044EB2">
        <w:rPr>
          <w:rFonts w:ascii="Verdana" w:eastAsia="Calibri" w:hAnsi="Verdana" w:cs="Times New Roman"/>
          <w:b/>
          <w:bCs/>
        </w:rPr>
        <w:t>Curso de Contratación Pública Sostenible y Socialmente Responsable</w:t>
      </w:r>
      <w:r w:rsidRPr="00044EB2">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044EB2">
        <w:rPr>
          <w:rFonts w:ascii="Verdana" w:eastAsia="Calibri" w:hAnsi="Verdana" w:cs="Times New Roman"/>
        </w:rPr>
        <w:br/>
      </w:r>
      <w:hyperlink r:id="rId14" w:tgtFrame="_new" w:history="1">
        <w:r w:rsidRPr="00044EB2">
          <w:rPr>
            <w:rFonts w:ascii="Verdana" w:eastAsia="Calibri" w:hAnsi="Verdana" w:cs="Times New Roman"/>
            <w:color w:val="0000FF"/>
            <w:u w:val="single"/>
          </w:rPr>
          <w:t>https://formacionvirtual.colombiacompra.gov.co/mod/page/view.php?id=3718</w:t>
        </w:r>
      </w:hyperlink>
    </w:p>
    <w:p w14:paraId="34361FC1" w14:textId="77777777" w:rsidR="00044EB2" w:rsidRPr="00044EB2" w:rsidRDefault="00044EB2" w:rsidP="00044EB2">
      <w:pPr>
        <w:spacing w:after="0" w:line="276" w:lineRule="auto"/>
        <w:jc w:val="both"/>
        <w:rPr>
          <w:rFonts w:ascii="Verdana" w:eastAsia="Calibri" w:hAnsi="Verdana" w:cs="Times New Roman"/>
        </w:rPr>
      </w:pPr>
    </w:p>
    <w:p w14:paraId="1B6CFB18" w14:textId="77777777" w:rsidR="00044EB2" w:rsidRPr="00044EB2" w:rsidRDefault="00044EB2" w:rsidP="00044EB2">
      <w:pPr>
        <w:spacing w:after="0" w:line="276" w:lineRule="auto"/>
        <w:jc w:val="both"/>
        <w:rPr>
          <w:rFonts w:ascii="Verdana" w:eastAsia="Calibri" w:hAnsi="Verdana" w:cs="Times New Roman"/>
        </w:rPr>
      </w:pPr>
      <w:r w:rsidRPr="00044EB2">
        <w:rPr>
          <w:rFonts w:ascii="Verdana" w:eastAsia="Calibri" w:hAnsi="Verdana" w:cs="Times New Roman"/>
        </w:rPr>
        <w:t xml:space="preserve">De otro lado, te contamos que esta Agencia ha da un paso decisivo en la estandarización y modernización del </w:t>
      </w:r>
      <w:r w:rsidRPr="00044EB2">
        <w:rPr>
          <w:rFonts w:ascii="Verdana" w:eastAsia="Calibri" w:hAnsi="Verdana" w:cs="Times New Roman"/>
          <w:b/>
          <w:bCs/>
        </w:rPr>
        <w:t>sector  social</w:t>
      </w:r>
      <w:r w:rsidRPr="00044EB2">
        <w:rPr>
          <w:rFonts w:ascii="Verdana" w:eastAsia="Calibri" w:hAnsi="Verdana" w:cs="Times New Roman"/>
        </w:rPr>
        <w:t xml:space="preserve"> con la expedición de las </w:t>
      </w:r>
      <w:r w:rsidRPr="00044EB2">
        <w:rPr>
          <w:rFonts w:ascii="Verdana" w:eastAsia="Calibri" w:hAnsi="Verdana" w:cs="Times New Roman"/>
          <w:b/>
          <w:bCs/>
        </w:rPr>
        <w:t>Resoluciones 539, 540, 541, 952 y 953 de 2025</w:t>
      </w:r>
      <w:r w:rsidRPr="00044EB2">
        <w:rPr>
          <w:rFonts w:ascii="Verdana" w:eastAsia="Calibri" w:hAnsi="Verdana" w:cs="Times New Roman"/>
        </w:rPr>
        <w:t xml:space="preserve">, </w:t>
      </w:r>
      <w:r w:rsidRPr="00044EB2">
        <w:rPr>
          <w:rFonts w:ascii="Verdana" w:eastAsia="Calibri" w:hAnsi="Verdana" w:cs="Times New Roman"/>
          <w:b/>
          <w:bCs/>
        </w:rPr>
        <w:t>mediante las cuales adoptó Documentos Tipo</w:t>
      </w:r>
      <w:r w:rsidRPr="00044EB2">
        <w:rPr>
          <w:rFonts w:ascii="Verdana" w:eastAsia="Calibri" w:hAnsi="Verdana" w:cs="Times New Roman"/>
        </w:rPr>
        <w:t xml:space="preserve"> para las modalidades de selección de</w:t>
      </w:r>
      <w:r w:rsidRPr="00044EB2">
        <w:rPr>
          <w:rFonts w:ascii="Verdana" w:eastAsia="Calibri" w:hAnsi="Verdana" w:cs="Times New Roman"/>
          <w:b/>
          <w:bCs/>
        </w:rPr>
        <w:t xml:space="preserve"> licitación pública (versión 2), selección abreviada de menor cuantía, mínima cuantía, consultoría e interventoría</w:t>
      </w:r>
      <w:r w:rsidRPr="00044EB2">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044EB2">
          <w:rPr>
            <w:rFonts w:ascii="Verdana" w:eastAsia="Calibri" w:hAnsi="Verdana" w:cs="Times New Roman"/>
            <w:color w:val="0000FF"/>
            <w:u w:val="single"/>
          </w:rPr>
          <w:t>https://www.colombiacompra.gov.co/normativa-y-relatoria/documentos-tipo</w:t>
        </w:r>
      </w:hyperlink>
    </w:p>
    <w:p w14:paraId="3EE9823D" w14:textId="77777777" w:rsidR="00044EB2" w:rsidRPr="00044EB2" w:rsidRDefault="00044EB2" w:rsidP="00044EB2">
      <w:pPr>
        <w:spacing w:after="0" w:line="276" w:lineRule="auto"/>
        <w:jc w:val="both"/>
        <w:rPr>
          <w:rFonts w:ascii="Verdana" w:eastAsia="Calibri" w:hAnsi="Verdana" w:cs="Times New Roman"/>
        </w:rPr>
      </w:pPr>
    </w:p>
    <w:p w14:paraId="1F3632AE" w14:textId="77777777" w:rsidR="00044EB2" w:rsidRPr="00044EB2" w:rsidRDefault="00044EB2" w:rsidP="00044EB2">
      <w:pPr>
        <w:spacing w:after="0" w:line="276" w:lineRule="auto"/>
        <w:jc w:val="both"/>
        <w:rPr>
          <w:rFonts w:ascii="Verdana" w:eastAsia="Calibri" w:hAnsi="Verdana" w:cs="Times New Roman"/>
        </w:rPr>
      </w:pPr>
      <w:r w:rsidRPr="00044EB2">
        <w:rPr>
          <w:rFonts w:ascii="Verdana" w:eastAsia="Calibri" w:hAnsi="Verdana" w:cs="Times New Roman"/>
        </w:rPr>
        <w:t xml:space="preserve">Si quieres conocer más sobre la aplicación de Documentos Tipo puedes consultar la última versión de la </w:t>
      </w:r>
      <w:r w:rsidRPr="00044EB2">
        <w:rPr>
          <w:rFonts w:ascii="Verdana" w:eastAsia="Calibri" w:hAnsi="Verdana" w:cs="Times New Roman"/>
          <w:b/>
          <w:bCs/>
        </w:rPr>
        <w:t>Guía para la comprensión e implementación de los Documentos Tipo de obra pública de infraestructura de transporte</w:t>
      </w:r>
      <w:r w:rsidRPr="00044EB2">
        <w:rPr>
          <w:rFonts w:ascii="Verdana" w:eastAsia="Calibri" w:hAnsi="Verdana" w:cs="Times New Roman"/>
        </w:rPr>
        <w:t xml:space="preserve">. En </w:t>
      </w:r>
      <w:r w:rsidRPr="00044EB2">
        <w:rPr>
          <w:rFonts w:ascii="Verdana" w:eastAsia="Calibri" w:hAnsi="Verdana" w:cs="Times New Roman"/>
        </w:rPr>
        <w:lastRenderedPageBreak/>
        <w:t>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044EB2">
        <w:rPr>
          <w:rFonts w:ascii="Verdana" w:eastAsia="Calibri" w:hAnsi="Verdana" w:cs="Times New Roman"/>
        </w:rPr>
        <w:br/>
      </w:r>
      <w:hyperlink r:id="rId16" w:tgtFrame="_new" w:history="1">
        <w:r w:rsidRPr="00044EB2">
          <w:rPr>
            <w:rFonts w:ascii="Verdana" w:eastAsia="Calibri"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7D4312DA" w14:textId="77777777" w:rsidR="00044EB2" w:rsidRPr="00044EB2" w:rsidRDefault="00044EB2" w:rsidP="00044EB2">
      <w:pPr>
        <w:spacing w:after="0" w:line="276" w:lineRule="auto"/>
        <w:jc w:val="both"/>
        <w:rPr>
          <w:rFonts w:ascii="Verdana" w:hAnsi="Verdana"/>
        </w:rPr>
      </w:pPr>
    </w:p>
    <w:p w14:paraId="113726A4" w14:textId="77777777" w:rsidR="00044EB2" w:rsidRPr="00044EB2" w:rsidRDefault="00044EB2" w:rsidP="00044EB2">
      <w:pPr>
        <w:spacing w:after="0" w:line="276" w:lineRule="auto"/>
        <w:jc w:val="both"/>
        <w:rPr>
          <w:rFonts w:ascii="Verdana" w:hAnsi="Verdana"/>
        </w:rPr>
      </w:pPr>
      <w:r w:rsidRPr="00044EB2">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BD2155B" w14:textId="77777777" w:rsidR="00044EB2" w:rsidRPr="00044EB2" w:rsidRDefault="00044EB2" w:rsidP="00044EB2">
      <w:pPr>
        <w:spacing w:after="0" w:line="276" w:lineRule="auto"/>
        <w:jc w:val="both"/>
        <w:rPr>
          <w:rFonts w:ascii="Verdana" w:hAnsi="Verdana"/>
        </w:rPr>
      </w:pPr>
    </w:p>
    <w:p w14:paraId="158A0B3E" w14:textId="77777777" w:rsidR="00044EB2" w:rsidRPr="00044EB2" w:rsidRDefault="00044EB2" w:rsidP="00044EB2">
      <w:pPr>
        <w:numPr>
          <w:ilvl w:val="0"/>
          <w:numId w:val="15"/>
        </w:numPr>
        <w:spacing w:after="0" w:line="276" w:lineRule="auto"/>
        <w:jc w:val="both"/>
        <w:rPr>
          <w:rFonts w:ascii="Verdana" w:eastAsia="Verdana" w:hAnsi="Verdana" w:cs="Verdana"/>
          <w:color w:val="4472C4" w:themeColor="accent1"/>
          <w:u w:val="single"/>
          <w:lang w:val="es-MX"/>
        </w:rPr>
      </w:pPr>
      <w:r w:rsidRPr="00044EB2">
        <w:rPr>
          <w:rFonts w:ascii="Verdana" w:eastAsia="Verdana" w:hAnsi="Verdana" w:cs="Verdana"/>
          <w:lang w:val="es-MX"/>
        </w:rPr>
        <w:t xml:space="preserve">Línea nacional gratuita o servicio a la ciudadanía (Mesa de servicio): </w:t>
      </w:r>
      <w:r w:rsidRPr="00044EB2">
        <w:rPr>
          <w:rFonts w:ascii="Verdana" w:hAnsi="Verdana"/>
          <w:color w:val="0000FF"/>
          <w:u w:val="single"/>
          <w:lang w:val="es-ES"/>
        </w:rPr>
        <w:t>01800 0520808</w:t>
      </w:r>
    </w:p>
    <w:p w14:paraId="6BDE126D" w14:textId="77777777" w:rsidR="00044EB2" w:rsidRPr="00044EB2" w:rsidRDefault="00044EB2" w:rsidP="00044EB2">
      <w:pPr>
        <w:numPr>
          <w:ilvl w:val="0"/>
          <w:numId w:val="15"/>
        </w:numPr>
        <w:spacing w:after="0" w:line="276" w:lineRule="auto"/>
        <w:jc w:val="both"/>
        <w:rPr>
          <w:rFonts w:ascii="Verdana" w:eastAsia="Verdana" w:hAnsi="Verdana" w:cs="Verdana"/>
          <w:color w:val="4472C4" w:themeColor="accent1"/>
          <w:u w:val="single"/>
          <w:lang w:val="es-MX"/>
        </w:rPr>
      </w:pPr>
      <w:r w:rsidRPr="00044EB2">
        <w:rPr>
          <w:rFonts w:ascii="Verdana" w:eastAsia="Verdana" w:hAnsi="Verdana" w:cs="Verdana"/>
          <w:lang w:val="es-MX"/>
        </w:rPr>
        <w:t>Línea en Bogotá (Mesa de servicio</w:t>
      </w:r>
      <w:proofErr w:type="gramStart"/>
      <w:r w:rsidRPr="00044EB2">
        <w:rPr>
          <w:rFonts w:ascii="Verdana" w:eastAsia="Verdana" w:hAnsi="Verdana" w:cs="Verdana"/>
          <w:lang w:val="es-MX"/>
        </w:rPr>
        <w:t>):</w:t>
      </w:r>
      <w:r w:rsidRPr="00044EB2">
        <w:rPr>
          <w:rFonts w:ascii="Verdana" w:hAnsi="Verdana"/>
          <w:color w:val="0000FF"/>
          <w:u w:val="single"/>
          <w:lang w:val="es-ES"/>
        </w:rPr>
        <w:t>+</w:t>
      </w:r>
      <w:proofErr w:type="gramEnd"/>
      <w:r w:rsidRPr="00044EB2">
        <w:rPr>
          <w:rFonts w:ascii="Verdana" w:hAnsi="Verdana"/>
          <w:color w:val="0000FF"/>
          <w:u w:val="single"/>
          <w:lang w:val="es-ES"/>
        </w:rPr>
        <w:t>57 601 7456788</w:t>
      </w:r>
    </w:p>
    <w:p w14:paraId="4175D5AF" w14:textId="77777777" w:rsidR="00044EB2" w:rsidRPr="00044EB2" w:rsidRDefault="00044EB2" w:rsidP="00044EB2">
      <w:pPr>
        <w:numPr>
          <w:ilvl w:val="0"/>
          <w:numId w:val="15"/>
        </w:numPr>
        <w:spacing w:after="0" w:line="276" w:lineRule="auto"/>
        <w:jc w:val="both"/>
        <w:rPr>
          <w:rFonts w:ascii="Verdana" w:eastAsia="Verdana" w:hAnsi="Verdana" w:cs="Verdana"/>
          <w:color w:val="0000FF"/>
          <w:u w:val="single"/>
          <w:lang w:val="es-MX"/>
        </w:rPr>
      </w:pPr>
      <w:r w:rsidRPr="00044EB2">
        <w:rPr>
          <w:rFonts w:ascii="Verdana" w:eastAsia="Verdana" w:hAnsi="Verdana" w:cs="Verdana"/>
          <w:lang w:val="es-MX"/>
        </w:rPr>
        <w:t xml:space="preserve">Correo de radicación de correspondencia: </w:t>
      </w:r>
      <w:hyperlink r:id="rId17">
        <w:r w:rsidRPr="00044EB2">
          <w:rPr>
            <w:rFonts w:ascii="Verdana" w:eastAsia="Verdana" w:hAnsi="Verdana" w:cs="Verdana"/>
            <w:color w:val="0000FF"/>
            <w:u w:val="single"/>
            <w:lang w:val="es-MX"/>
          </w:rPr>
          <w:t>ventanilladeradicacion@colombiacompra.gov.co</w:t>
        </w:r>
      </w:hyperlink>
    </w:p>
    <w:p w14:paraId="60937E9A" w14:textId="77777777" w:rsidR="00044EB2" w:rsidRPr="00044EB2" w:rsidRDefault="00044EB2" w:rsidP="00044EB2">
      <w:pPr>
        <w:numPr>
          <w:ilvl w:val="0"/>
          <w:numId w:val="15"/>
        </w:numPr>
        <w:spacing w:after="0" w:line="276" w:lineRule="auto"/>
        <w:jc w:val="both"/>
        <w:rPr>
          <w:rFonts w:ascii="Verdana" w:eastAsia="Verdana" w:hAnsi="Verdana" w:cs="Verdana"/>
          <w:color w:val="0000FF"/>
          <w:u w:val="single"/>
          <w:lang w:val="es-MX"/>
        </w:rPr>
      </w:pPr>
      <w:r w:rsidRPr="00044EB2">
        <w:rPr>
          <w:rFonts w:ascii="Verdana" w:eastAsia="Verdana" w:hAnsi="Verdana" w:cs="Verdana"/>
          <w:lang w:val="es-ES"/>
        </w:rPr>
        <w:t>Formulario web para</w:t>
      </w:r>
      <w:r w:rsidRPr="00044EB2">
        <w:rPr>
          <w:rFonts w:ascii="Verdana" w:eastAsia="Verdana" w:hAnsi="Verdana" w:cs="Verdana"/>
          <w:lang w:val="es"/>
        </w:rPr>
        <w:t xml:space="preserve"> PQRSD: </w:t>
      </w:r>
      <w:hyperlink r:id="rId18">
        <w:r w:rsidRPr="00044EB2">
          <w:rPr>
            <w:rFonts w:ascii="Verdana" w:eastAsia="Verdana" w:hAnsi="Verdana" w:cs="Verdana"/>
            <w:color w:val="0000FF"/>
            <w:u w:val="single"/>
            <w:lang w:val="es-MX"/>
          </w:rPr>
          <w:t>https://www.colombiacompra.gov.co/pqrsd/informacion-importante-antes-de-formular-una-pqrsd</w:t>
        </w:r>
      </w:hyperlink>
    </w:p>
    <w:p w14:paraId="156CC698" w14:textId="77777777" w:rsidR="00044EB2" w:rsidRPr="00044EB2" w:rsidRDefault="00044EB2" w:rsidP="00044EB2">
      <w:pPr>
        <w:spacing w:after="0" w:line="276" w:lineRule="auto"/>
        <w:ind w:left="720"/>
        <w:jc w:val="both"/>
        <w:rPr>
          <w:rFonts w:ascii="Verdana" w:hAnsi="Verdana"/>
        </w:rPr>
      </w:pPr>
    </w:p>
    <w:p w14:paraId="090B773C" w14:textId="77777777" w:rsidR="00044EB2" w:rsidRPr="00044EB2" w:rsidRDefault="00044EB2" w:rsidP="00044EB2">
      <w:pPr>
        <w:spacing w:after="0" w:line="276" w:lineRule="auto"/>
        <w:jc w:val="both"/>
        <w:rPr>
          <w:rFonts w:ascii="Verdana" w:hAnsi="Verdana"/>
        </w:rPr>
      </w:pPr>
      <w:r w:rsidRPr="00044EB2">
        <w:rPr>
          <w:rFonts w:ascii="Verdana" w:hAnsi="Verdana"/>
        </w:rPr>
        <w:t xml:space="preserve">Evalúa el servicio que ofrece la Agencia por el canal de atención de PQRSD en el siguiente </w:t>
      </w:r>
      <w:proofErr w:type="gramStart"/>
      <w:r w:rsidRPr="00044EB2">
        <w:rPr>
          <w:rFonts w:ascii="Verdana" w:hAnsi="Verdana"/>
        </w:rPr>
        <w:t>enlace :</w:t>
      </w:r>
      <w:proofErr w:type="gramEnd"/>
      <w:hyperlink r:id="rId19" w:tgtFrame="_blank" w:tooltip="https://forms.office.com/r/pphywvs2sz" w:history="1">
        <w:r w:rsidRPr="00044EB2">
          <w:rPr>
            <w:rFonts w:ascii="Verdana" w:hAnsi="Verdana"/>
            <w:color w:val="0000FF"/>
            <w:u w:val="single"/>
          </w:rPr>
          <w:t>https://forms.office.com/r/pPHyWVs2SZ</w:t>
        </w:r>
      </w:hyperlink>
      <w:r w:rsidRPr="00044EB2">
        <w:rPr>
          <w:rFonts w:ascii="Verdana" w:hAnsi="Verdana"/>
        </w:rPr>
        <w:t xml:space="preserve"> .¡Ayúdanos a mejorar porque el compromiso es de todos!</w:t>
      </w:r>
    </w:p>
    <w:p w14:paraId="17E9ED40" w14:textId="77777777" w:rsidR="00044EB2" w:rsidRPr="00044EB2" w:rsidRDefault="00044EB2" w:rsidP="00044EB2">
      <w:pPr>
        <w:spacing w:after="0" w:line="276" w:lineRule="auto"/>
        <w:jc w:val="both"/>
        <w:rPr>
          <w:rFonts w:ascii="Verdana" w:hAnsi="Verdana"/>
        </w:rPr>
      </w:pPr>
    </w:p>
    <w:p w14:paraId="043F696D" w14:textId="77777777" w:rsidR="00044EB2" w:rsidRPr="00044EB2" w:rsidRDefault="00044EB2" w:rsidP="00044EB2">
      <w:pPr>
        <w:spacing w:after="0" w:line="276" w:lineRule="auto"/>
        <w:jc w:val="both"/>
        <w:rPr>
          <w:rFonts w:ascii="Verdana" w:hAnsi="Verdana"/>
        </w:rPr>
      </w:pPr>
      <w:r w:rsidRPr="00044EB2">
        <w:rPr>
          <w:rFonts w:ascii="Verdana" w:hAnsi="Verdana"/>
        </w:rPr>
        <w:t xml:space="preserve">Por último, lo invitamos a seguirnos en las redes sociales en las cuales se difunde información institucional: </w:t>
      </w:r>
    </w:p>
    <w:p w14:paraId="0FBC1E6B" w14:textId="77777777" w:rsidR="00044EB2" w:rsidRPr="00044EB2" w:rsidRDefault="00044EB2" w:rsidP="00044EB2">
      <w:pPr>
        <w:spacing w:after="0" w:line="276" w:lineRule="auto"/>
        <w:jc w:val="both"/>
        <w:rPr>
          <w:rFonts w:ascii="Verdana" w:hAnsi="Verdana"/>
        </w:rPr>
      </w:pPr>
    </w:p>
    <w:p w14:paraId="3EE79B9B" w14:textId="77777777" w:rsidR="00044EB2" w:rsidRPr="00044EB2" w:rsidRDefault="00044EB2" w:rsidP="00044EB2">
      <w:pPr>
        <w:spacing w:after="0" w:line="276" w:lineRule="auto"/>
        <w:jc w:val="both"/>
        <w:rPr>
          <w:rFonts w:ascii="Verdana" w:hAnsi="Verdana"/>
        </w:rPr>
      </w:pPr>
      <w:r w:rsidRPr="00044EB2">
        <w:rPr>
          <w:rFonts w:ascii="Verdana" w:hAnsi="Verdana"/>
        </w:rPr>
        <w:t xml:space="preserve">Twitter: </w:t>
      </w:r>
      <w:r w:rsidRPr="00044EB2">
        <w:rPr>
          <w:rFonts w:ascii="Verdana" w:hAnsi="Verdana"/>
          <w:color w:val="0000FF"/>
          <w:u w:val="single"/>
        </w:rPr>
        <w:t>@colombiacompra</w:t>
      </w:r>
      <w:r w:rsidRPr="00044EB2">
        <w:rPr>
          <w:rFonts w:ascii="Verdana" w:hAnsi="Verdana"/>
        </w:rPr>
        <w:t xml:space="preserve"> </w:t>
      </w:r>
    </w:p>
    <w:p w14:paraId="56494DA4" w14:textId="77777777" w:rsidR="00044EB2" w:rsidRPr="00044EB2" w:rsidRDefault="00044EB2" w:rsidP="00044EB2">
      <w:pPr>
        <w:spacing w:after="0" w:line="276" w:lineRule="auto"/>
        <w:jc w:val="both"/>
        <w:rPr>
          <w:rFonts w:ascii="Verdana" w:hAnsi="Verdana"/>
        </w:rPr>
      </w:pPr>
      <w:r w:rsidRPr="00044EB2">
        <w:rPr>
          <w:rFonts w:ascii="Verdana" w:hAnsi="Verdana"/>
        </w:rPr>
        <w:t xml:space="preserve">Facebook: </w:t>
      </w:r>
      <w:proofErr w:type="spellStart"/>
      <w:r w:rsidRPr="00044EB2">
        <w:rPr>
          <w:rFonts w:ascii="Verdana" w:hAnsi="Verdana"/>
          <w:color w:val="0000FF"/>
          <w:u w:val="single"/>
        </w:rPr>
        <w:t>ColombiaCompraEficiente</w:t>
      </w:r>
      <w:proofErr w:type="spellEnd"/>
    </w:p>
    <w:p w14:paraId="55347F98" w14:textId="77777777" w:rsidR="00044EB2" w:rsidRPr="00044EB2" w:rsidRDefault="00044EB2" w:rsidP="00044EB2">
      <w:pPr>
        <w:spacing w:after="0" w:line="276" w:lineRule="auto"/>
        <w:jc w:val="both"/>
        <w:rPr>
          <w:rFonts w:ascii="Verdana" w:hAnsi="Verdana"/>
        </w:rPr>
      </w:pPr>
      <w:r w:rsidRPr="00044EB2">
        <w:rPr>
          <w:rFonts w:ascii="Verdana" w:hAnsi="Verdana"/>
        </w:rPr>
        <w:lastRenderedPageBreak/>
        <w:t xml:space="preserve">LinkedIn: </w:t>
      </w:r>
      <w:r w:rsidRPr="00044EB2">
        <w:rPr>
          <w:rFonts w:ascii="Verdana" w:hAnsi="Verdana"/>
          <w:color w:val="0000FF"/>
          <w:u w:val="single"/>
        </w:rPr>
        <w:t>Agencia Nacional de Contratación Pública - Colombia Compra Eficiente</w:t>
      </w:r>
      <w:r w:rsidRPr="00044EB2">
        <w:rPr>
          <w:rFonts w:ascii="Verdana" w:hAnsi="Verdana"/>
        </w:rPr>
        <w:t xml:space="preserve"> Instagram: </w:t>
      </w:r>
      <w:r w:rsidRPr="00044EB2">
        <w:rPr>
          <w:rFonts w:ascii="Verdana" w:hAnsi="Verdana"/>
          <w:color w:val="0000FF"/>
          <w:u w:val="single"/>
        </w:rPr>
        <w:t>@colombiacompraeficiente_cce</w:t>
      </w:r>
    </w:p>
    <w:p w14:paraId="5A0FBD17" w14:textId="77777777" w:rsidR="00044EB2" w:rsidRPr="00044EB2" w:rsidRDefault="00044EB2" w:rsidP="00044EB2">
      <w:pPr>
        <w:spacing w:after="0" w:line="276" w:lineRule="auto"/>
        <w:jc w:val="both"/>
        <w:rPr>
          <w:rFonts w:ascii="Verdana" w:hAnsi="Verdana"/>
        </w:rPr>
      </w:pPr>
    </w:p>
    <w:p w14:paraId="28D5F126" w14:textId="77777777" w:rsidR="00044EB2" w:rsidRPr="00044EB2" w:rsidRDefault="00044EB2" w:rsidP="00044EB2">
      <w:pPr>
        <w:spacing w:after="0" w:line="276" w:lineRule="auto"/>
        <w:jc w:val="both"/>
        <w:rPr>
          <w:rFonts w:ascii="Verdana" w:eastAsia="Calibri" w:hAnsi="Verdana" w:cs="Times New Roman"/>
          <w:bCs/>
          <w:lang w:val="es-ES_tradnl"/>
        </w:rPr>
      </w:pPr>
      <w:r w:rsidRPr="00044EB2">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29117D2" w14:textId="77777777" w:rsidR="00044EB2" w:rsidRPr="00044EB2" w:rsidRDefault="00044EB2" w:rsidP="00044EB2">
      <w:pPr>
        <w:spacing w:after="0" w:line="276" w:lineRule="auto"/>
        <w:jc w:val="both"/>
        <w:rPr>
          <w:rFonts w:ascii="Verdana" w:eastAsia="Calibri" w:hAnsi="Verdana" w:cs="Times New Roman"/>
          <w:lang w:val="es-ES_tradnl"/>
        </w:rPr>
      </w:pPr>
    </w:p>
    <w:p w14:paraId="034BA50A" w14:textId="77777777" w:rsidR="00044EB2" w:rsidRPr="00044EB2" w:rsidRDefault="00044EB2" w:rsidP="00044EB2">
      <w:pPr>
        <w:spacing w:after="0" w:line="276" w:lineRule="auto"/>
        <w:jc w:val="both"/>
        <w:rPr>
          <w:rFonts w:ascii="Verdana" w:eastAsia="Calibri" w:hAnsi="Verdana" w:cs="Times New Roman"/>
        </w:rPr>
      </w:pPr>
      <w:r w:rsidRPr="00044EB2">
        <w:rPr>
          <w:rFonts w:ascii="Verdana" w:eastAsia="Calibri" w:hAnsi="Verdana" w:cs="Times New Roman"/>
        </w:rPr>
        <w:t>Atentamente,</w:t>
      </w:r>
    </w:p>
    <w:p w14:paraId="08072AA2" w14:textId="77777777" w:rsidR="00044EB2" w:rsidRPr="00044EB2" w:rsidRDefault="00044EB2" w:rsidP="00044EB2">
      <w:pPr>
        <w:spacing w:after="0" w:line="276" w:lineRule="auto"/>
      </w:pPr>
    </w:p>
    <w:p w14:paraId="15FB2C99" w14:textId="4D5CDACE" w:rsidR="00044EB2" w:rsidRPr="00044EB2" w:rsidRDefault="00DB5A80" w:rsidP="00044EB2">
      <w:pPr>
        <w:spacing w:line="276" w:lineRule="auto"/>
        <w:jc w:val="center"/>
        <w:rPr>
          <w:rFonts w:ascii="Verdana" w:hAnsi="Verdana" w:cs="Arial"/>
          <w:color w:val="000000"/>
          <w:lang w:val="es-ES_tradnl" w:eastAsia="es-CO"/>
        </w:rPr>
      </w:pPr>
      <w:r w:rsidRPr="002C3AD6">
        <w:rPr>
          <w:rFonts w:ascii="Century Gothic" w:hAnsi="Century Gothic"/>
          <w:noProof/>
          <w:lang w:val="en-US"/>
        </w:rPr>
        <w:drawing>
          <wp:inline distT="0" distB="0" distL="0" distR="0" wp14:anchorId="7E42FB28" wp14:editId="6AAA2411">
            <wp:extent cx="3279697" cy="1217463"/>
            <wp:effectExtent l="0" t="0" r="0" b="1905"/>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312722" cy="1229722"/>
                    </a:xfrm>
                    <a:prstGeom prst="rect">
                      <a:avLst/>
                    </a:prstGeom>
                  </pic:spPr>
                </pic:pic>
              </a:graphicData>
            </a:graphic>
          </wp:inline>
        </w:drawing>
      </w:r>
    </w:p>
    <w:tbl>
      <w:tblPr>
        <w:tblStyle w:val="Tablaconcuadrcula12"/>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44EB2" w:rsidRPr="00044EB2" w14:paraId="7E2A912E" w14:textId="77777777" w:rsidTr="00881B2A">
        <w:trPr>
          <w:trHeight w:val="315"/>
        </w:trPr>
        <w:tc>
          <w:tcPr>
            <w:tcW w:w="893" w:type="dxa"/>
            <w:vAlign w:val="center"/>
            <w:hideMark/>
          </w:tcPr>
          <w:p w14:paraId="5FEAA657" w14:textId="77777777" w:rsidR="00044EB2" w:rsidRPr="00044EB2" w:rsidRDefault="00044EB2" w:rsidP="00044EB2">
            <w:pPr>
              <w:contextualSpacing/>
              <w:rPr>
                <w:rFonts w:ascii="Verdana" w:hAnsi="Verdana" w:cs="Arial"/>
                <w:sz w:val="16"/>
                <w:szCs w:val="16"/>
                <w:lang w:val="es-ES" w:eastAsia="es-ES"/>
              </w:rPr>
            </w:pPr>
            <w:r w:rsidRPr="00044EB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7FC2E1C" w14:textId="77777777" w:rsidR="00044EB2" w:rsidRPr="00044EB2" w:rsidRDefault="00044EB2" w:rsidP="00044EB2">
            <w:pPr>
              <w:contextualSpacing/>
              <w:rPr>
                <w:rFonts w:ascii="Verdana" w:hAnsi="Verdana"/>
                <w:sz w:val="16"/>
                <w:szCs w:val="16"/>
              </w:rPr>
            </w:pPr>
            <w:r w:rsidRPr="00044EB2">
              <w:rPr>
                <w:rFonts w:ascii="Verdana" w:hAnsi="Verdana"/>
                <w:sz w:val="16"/>
                <w:szCs w:val="16"/>
              </w:rPr>
              <w:t>José Luis Sánchez Cardona</w:t>
            </w:r>
          </w:p>
          <w:p w14:paraId="3081C9E1" w14:textId="77777777" w:rsidR="00044EB2" w:rsidRPr="00044EB2" w:rsidRDefault="00044EB2" w:rsidP="00044EB2">
            <w:pPr>
              <w:contextualSpacing/>
              <w:rPr>
                <w:rFonts w:ascii="Verdana" w:eastAsia="Arial" w:hAnsi="Verdana" w:cs="Arial"/>
                <w:sz w:val="16"/>
                <w:szCs w:val="16"/>
              </w:rPr>
            </w:pPr>
            <w:r w:rsidRPr="00044EB2">
              <w:rPr>
                <w:rFonts w:ascii="Verdana" w:hAnsi="Verdana"/>
                <w:sz w:val="16"/>
                <w:szCs w:val="16"/>
              </w:rPr>
              <w:t>Contratista de la Subdirección de Gestión Contractual</w:t>
            </w:r>
          </w:p>
        </w:tc>
      </w:tr>
      <w:tr w:rsidR="00044EB2" w:rsidRPr="00044EB2" w14:paraId="3F7F0ABD" w14:textId="77777777" w:rsidTr="00881B2A">
        <w:trPr>
          <w:trHeight w:val="330"/>
        </w:trPr>
        <w:tc>
          <w:tcPr>
            <w:tcW w:w="893" w:type="dxa"/>
            <w:vAlign w:val="center"/>
            <w:hideMark/>
          </w:tcPr>
          <w:p w14:paraId="421086C0" w14:textId="77777777" w:rsidR="00044EB2" w:rsidRPr="00044EB2" w:rsidRDefault="00044EB2" w:rsidP="00044EB2">
            <w:pPr>
              <w:contextualSpacing/>
              <w:rPr>
                <w:rFonts w:ascii="Verdana" w:hAnsi="Verdana" w:cs="Arial"/>
                <w:sz w:val="16"/>
                <w:szCs w:val="16"/>
                <w:lang w:val="es-ES" w:eastAsia="es-ES"/>
              </w:rPr>
            </w:pPr>
            <w:r w:rsidRPr="00044EB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F0E431A" w14:textId="77777777" w:rsidR="00044EB2" w:rsidRPr="00044EB2" w:rsidRDefault="00044EB2" w:rsidP="00044EB2">
            <w:pPr>
              <w:spacing w:before="100" w:beforeAutospacing="1" w:afterAutospacing="1"/>
              <w:contextualSpacing/>
              <w:textAlignment w:val="baseline"/>
              <w:rPr>
                <w:rFonts w:ascii="Verdana" w:eastAsia="Times New Roman" w:hAnsi="Verdana" w:cs="Arial"/>
                <w:sz w:val="16"/>
                <w:szCs w:val="16"/>
                <w:lang w:val="es-ES_tradnl" w:eastAsia="es-CO"/>
              </w:rPr>
            </w:pPr>
            <w:r w:rsidRPr="00044EB2">
              <w:rPr>
                <w:rFonts w:ascii="Verdana" w:eastAsia="Times New Roman" w:hAnsi="Verdana" w:cs="Arial"/>
                <w:sz w:val="16"/>
                <w:szCs w:val="16"/>
                <w:lang w:val="es-ES_tradnl" w:eastAsia="es-CO"/>
              </w:rPr>
              <w:t>Diana Lucía Saavedra Castañeda</w:t>
            </w:r>
          </w:p>
          <w:p w14:paraId="3130FDA2" w14:textId="77777777" w:rsidR="00044EB2" w:rsidRPr="00044EB2" w:rsidRDefault="00044EB2" w:rsidP="00044EB2">
            <w:pPr>
              <w:contextualSpacing/>
              <w:textAlignment w:val="baseline"/>
              <w:rPr>
                <w:rFonts w:ascii="Verdana" w:eastAsia="Times New Roman" w:hAnsi="Verdana" w:cs="Segoe UI"/>
                <w:sz w:val="16"/>
                <w:szCs w:val="16"/>
                <w:lang w:eastAsia="es-CO"/>
              </w:rPr>
            </w:pPr>
            <w:r w:rsidRPr="00044EB2">
              <w:rPr>
                <w:rFonts w:ascii="Verdana" w:eastAsia="Times New Roman" w:hAnsi="Verdana" w:cs="Arial"/>
                <w:sz w:val="16"/>
                <w:szCs w:val="16"/>
                <w:lang w:val="es-ES_tradnl" w:eastAsia="es-CO"/>
              </w:rPr>
              <w:t>Contratista de la Subdirección de Gestión Contractual</w:t>
            </w:r>
          </w:p>
        </w:tc>
      </w:tr>
      <w:tr w:rsidR="00044EB2" w:rsidRPr="00044EB2" w14:paraId="175D365F" w14:textId="77777777" w:rsidTr="00881B2A">
        <w:trPr>
          <w:trHeight w:val="300"/>
        </w:trPr>
        <w:tc>
          <w:tcPr>
            <w:tcW w:w="893" w:type="dxa"/>
            <w:vAlign w:val="center"/>
          </w:tcPr>
          <w:p w14:paraId="07CBDB2A" w14:textId="77777777" w:rsidR="00044EB2" w:rsidRPr="00044EB2" w:rsidRDefault="00044EB2" w:rsidP="00044EB2">
            <w:pPr>
              <w:contextualSpacing/>
              <w:rPr>
                <w:rFonts w:ascii="Verdana" w:hAnsi="Verdana" w:cs="Arial"/>
                <w:sz w:val="16"/>
                <w:szCs w:val="16"/>
                <w:lang w:val="es-ES" w:eastAsia="es-ES"/>
              </w:rPr>
            </w:pPr>
            <w:r w:rsidRPr="00044EB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2A3A051" w14:textId="77777777" w:rsidR="00044EB2" w:rsidRPr="00044EB2" w:rsidRDefault="00044EB2" w:rsidP="00044EB2">
            <w:pPr>
              <w:contextualSpacing/>
              <w:rPr>
                <w:rFonts w:ascii="Verdana" w:hAnsi="Verdana" w:cs="Arial"/>
                <w:sz w:val="16"/>
                <w:szCs w:val="16"/>
                <w:lang w:val="pt-BR" w:eastAsia="es-ES"/>
              </w:rPr>
            </w:pPr>
            <w:r w:rsidRPr="00044EB2">
              <w:rPr>
                <w:rFonts w:ascii="Verdana" w:hAnsi="Verdana" w:cs="Arial"/>
                <w:sz w:val="16"/>
                <w:szCs w:val="16"/>
                <w:lang w:val="pt-BR" w:eastAsia="es-ES"/>
              </w:rPr>
              <w:t xml:space="preserve">Carolina Quintero </w:t>
            </w:r>
            <w:proofErr w:type="spellStart"/>
            <w:r w:rsidRPr="00044EB2">
              <w:rPr>
                <w:rFonts w:ascii="Verdana" w:hAnsi="Verdana" w:cs="Arial"/>
                <w:sz w:val="16"/>
                <w:szCs w:val="16"/>
                <w:lang w:val="pt-BR" w:eastAsia="es-ES"/>
              </w:rPr>
              <w:t>Gacharná</w:t>
            </w:r>
            <w:proofErr w:type="spellEnd"/>
          </w:p>
          <w:p w14:paraId="4A4A16E5" w14:textId="77777777" w:rsidR="00044EB2" w:rsidRPr="00044EB2" w:rsidRDefault="00044EB2" w:rsidP="00044EB2">
            <w:pPr>
              <w:contextualSpacing/>
              <w:rPr>
                <w:rFonts w:ascii="Verdana" w:hAnsi="Verdana" w:cs="Arial"/>
                <w:sz w:val="16"/>
                <w:szCs w:val="16"/>
                <w:lang w:val="pt-BR" w:eastAsia="es-ES"/>
              </w:rPr>
            </w:pPr>
            <w:r w:rsidRPr="00044EB2">
              <w:rPr>
                <w:rFonts w:ascii="Verdana" w:hAnsi="Verdana" w:cs="Arial"/>
                <w:sz w:val="16"/>
                <w:szCs w:val="16"/>
                <w:lang w:eastAsia="es-ES"/>
              </w:rPr>
              <w:t>Subdirectora</w:t>
            </w:r>
            <w:r w:rsidRPr="00044EB2">
              <w:rPr>
                <w:rFonts w:ascii="Verdana" w:hAnsi="Verdana" w:cs="Arial"/>
                <w:sz w:val="16"/>
                <w:szCs w:val="16"/>
                <w:lang w:val="pt-BR" w:eastAsia="es-ES"/>
              </w:rPr>
              <w:t xml:space="preserve"> de Gestión </w:t>
            </w:r>
            <w:proofErr w:type="spellStart"/>
            <w:r w:rsidRPr="00044EB2">
              <w:rPr>
                <w:rFonts w:ascii="Verdana" w:hAnsi="Verdana" w:cs="Arial"/>
                <w:sz w:val="16"/>
                <w:szCs w:val="16"/>
                <w:lang w:val="pt-BR" w:eastAsia="es-ES"/>
              </w:rPr>
              <w:t>Contractual</w:t>
            </w:r>
            <w:proofErr w:type="spellEnd"/>
            <w:r w:rsidRPr="00044EB2">
              <w:rPr>
                <w:rFonts w:ascii="Verdana" w:hAnsi="Verdana" w:cs="Arial"/>
                <w:sz w:val="16"/>
                <w:szCs w:val="16"/>
                <w:lang w:val="pt-BR" w:eastAsia="es-ES"/>
              </w:rPr>
              <w:t xml:space="preserve"> ANCP – CCE</w:t>
            </w:r>
          </w:p>
        </w:tc>
      </w:tr>
    </w:tbl>
    <w:p w14:paraId="6DFB928E" w14:textId="28EFF4D0" w:rsidR="00044EB2" w:rsidRPr="00044EB2" w:rsidRDefault="00044EB2" w:rsidP="00044EB2">
      <w:pPr>
        <w:spacing w:after="0" w:line="240" w:lineRule="auto"/>
        <w:textAlignment w:val="baseline"/>
        <w:rPr>
          <w:rFonts w:ascii="Verdana" w:eastAsia="Verdana" w:hAnsi="Verdana" w:cs="Verdana"/>
          <w:lang w:eastAsia="es-CO"/>
        </w:rPr>
      </w:pPr>
      <w:r w:rsidRPr="00044EB2">
        <w:rPr>
          <w:rFonts w:ascii="Verdana" w:eastAsia="Verdana" w:hAnsi="Verdana" w:cs="Verdana"/>
          <w:lang w:eastAsia="es-CO"/>
        </w:rPr>
        <w:t> </w:t>
      </w:r>
      <w:bookmarkEnd w:id="0"/>
    </w:p>
    <w:p w14:paraId="223619E7" w14:textId="2C3291EE" w:rsidR="00EC3EA6" w:rsidRPr="00044EB2" w:rsidRDefault="00EC3EA6" w:rsidP="00044EB2"/>
    <w:sectPr w:rsidR="00EC3EA6" w:rsidRPr="00044EB2"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AF370D" w14:textId="77777777" w:rsidR="00855111" w:rsidRDefault="00855111" w:rsidP="004A1847">
      <w:pPr>
        <w:spacing w:after="0" w:line="240" w:lineRule="auto"/>
      </w:pPr>
      <w:r>
        <w:separator/>
      </w:r>
    </w:p>
  </w:endnote>
  <w:endnote w:type="continuationSeparator" w:id="0">
    <w:p w14:paraId="51BEE19C" w14:textId="77777777" w:rsidR="00855111" w:rsidRDefault="00855111" w:rsidP="004A1847">
      <w:pPr>
        <w:spacing w:after="0" w:line="240" w:lineRule="auto"/>
      </w:pPr>
      <w:r>
        <w:continuationSeparator/>
      </w:r>
    </w:p>
  </w:endnote>
  <w:endnote w:type="continuationNotice" w:id="1">
    <w:p w14:paraId="540ED52C" w14:textId="77777777" w:rsidR="00855111" w:rsidRDefault="008551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590F1F" w:rsidRDefault="00590F1F">
    <w:pPr>
      <w:pStyle w:val="Piedepgina"/>
    </w:pPr>
  </w:p>
  <w:p w14:paraId="594D6D9F" w14:textId="5F0EBD53" w:rsidR="00590F1F" w:rsidRPr="00174B77" w:rsidRDefault="00590F1F"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DB5A80" w:rsidRPr="00DB5A80">
      <w:rPr>
        <w:rFonts w:ascii="Verdana" w:eastAsiaTheme="minorEastAsia" w:hAnsi="Verdana"/>
        <w:b/>
        <w:bCs/>
        <w:noProof/>
        <w:sz w:val="16"/>
        <w:szCs w:val="16"/>
      </w:rPr>
      <w:t>44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590F1F" w:rsidRDefault="00590F1F"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590F1F" w:rsidRPr="00E41027" w:rsidRDefault="00590F1F"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590F1F" w:rsidRDefault="00590F1F"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E15CF3" w14:textId="77777777" w:rsidR="00855111" w:rsidRDefault="00855111" w:rsidP="004A1847">
      <w:pPr>
        <w:spacing w:after="0" w:line="240" w:lineRule="auto"/>
      </w:pPr>
      <w:r>
        <w:separator/>
      </w:r>
    </w:p>
  </w:footnote>
  <w:footnote w:type="continuationSeparator" w:id="0">
    <w:p w14:paraId="3117331F" w14:textId="77777777" w:rsidR="00855111" w:rsidRDefault="00855111" w:rsidP="004A1847">
      <w:pPr>
        <w:spacing w:after="0" w:line="240" w:lineRule="auto"/>
      </w:pPr>
      <w:r>
        <w:continuationSeparator/>
      </w:r>
    </w:p>
  </w:footnote>
  <w:footnote w:type="continuationNotice" w:id="1">
    <w:p w14:paraId="4115B146" w14:textId="77777777" w:rsidR="00855111" w:rsidRDefault="00855111">
      <w:pPr>
        <w:spacing w:after="0" w:line="240" w:lineRule="auto"/>
      </w:pPr>
    </w:p>
  </w:footnote>
  <w:footnote w:id="2">
    <w:p w14:paraId="6E2475B8" w14:textId="77777777" w:rsidR="00044EB2" w:rsidRPr="00DD1C22" w:rsidRDefault="00044EB2" w:rsidP="00044EB2">
      <w:pPr>
        <w:pStyle w:val="Textonotapie"/>
        <w:ind w:firstLine="708"/>
        <w:jc w:val="both"/>
        <w:rPr>
          <w:rFonts w:ascii="Verdana" w:hAnsi="Verdana" w:cs="Arial"/>
          <w:sz w:val="16"/>
          <w:szCs w:val="16"/>
          <w:lang w:val="es-ES"/>
        </w:rPr>
      </w:pPr>
      <w:r w:rsidRPr="00DD1C22">
        <w:rPr>
          <w:rStyle w:val="Refdenotaalpie"/>
          <w:rFonts w:ascii="Verdana" w:hAnsi="Verdana" w:cs="Arial"/>
          <w:sz w:val="16"/>
          <w:szCs w:val="16"/>
        </w:rPr>
        <w:footnoteRef/>
      </w:r>
      <w:r w:rsidRPr="00DD1C22">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3">
    <w:p w14:paraId="07C516BF" w14:textId="77777777" w:rsidR="00044EB2" w:rsidRPr="00DD1C22" w:rsidRDefault="00044EB2" w:rsidP="00044EB2">
      <w:pPr>
        <w:pStyle w:val="Textonotapie"/>
        <w:ind w:firstLine="708"/>
        <w:jc w:val="both"/>
        <w:rPr>
          <w:rFonts w:ascii="Verdana" w:hAnsi="Verdana" w:cs="Arial"/>
          <w:sz w:val="16"/>
          <w:szCs w:val="16"/>
          <w:lang w:val="es-ES"/>
        </w:rPr>
      </w:pPr>
      <w:r w:rsidRPr="00DD1C22">
        <w:rPr>
          <w:rStyle w:val="Refdenotaalpie"/>
          <w:rFonts w:ascii="Verdana" w:hAnsi="Verdana" w:cs="Arial"/>
          <w:sz w:val="16"/>
          <w:szCs w:val="16"/>
        </w:rPr>
        <w:footnoteRef/>
      </w:r>
      <w:r w:rsidRPr="00DD1C22">
        <w:rPr>
          <w:rFonts w:ascii="Verdana" w:hAnsi="Verdana" w:cs="Arial"/>
          <w:sz w:val="16"/>
          <w:szCs w:val="16"/>
        </w:rPr>
        <w:t xml:space="preserve"> BETANCUR JARAMILLO, Carlos. Derecho procesal administrativo. Octava edición. Medellín: Señal Editora, 2013. p. 627. </w:t>
      </w:r>
    </w:p>
  </w:footnote>
  <w:footnote w:id="4">
    <w:p w14:paraId="2F065D74" w14:textId="77777777" w:rsidR="00044EB2" w:rsidRPr="00DD1C22" w:rsidRDefault="00044EB2" w:rsidP="00044EB2">
      <w:pPr>
        <w:pStyle w:val="Textonotapie"/>
        <w:ind w:firstLine="708"/>
        <w:jc w:val="both"/>
        <w:rPr>
          <w:rFonts w:ascii="Verdana" w:hAnsi="Verdana" w:cs="Arial"/>
          <w:sz w:val="16"/>
          <w:szCs w:val="16"/>
        </w:rPr>
      </w:pPr>
      <w:r w:rsidRPr="00DD1C22">
        <w:rPr>
          <w:rStyle w:val="Refdenotaalpie"/>
          <w:rFonts w:ascii="Verdana" w:hAnsi="Verdana" w:cs="Arial"/>
          <w:sz w:val="16"/>
          <w:szCs w:val="16"/>
        </w:rPr>
        <w:footnoteRef/>
      </w:r>
      <w:r w:rsidRPr="00DD1C22">
        <w:rPr>
          <w:rFonts w:ascii="Verdana" w:hAnsi="Verdana" w:cs="Arial"/>
          <w:sz w:val="16"/>
          <w:szCs w:val="16"/>
        </w:rPr>
        <w:t xml:space="preserve"> JOJOA BOLAÑOS, Alexander. Los regímenes exceptuados en los contratos estatales. Bogotá: Grupo Editorial Ibáñez, 2012. p. 89.</w:t>
      </w:r>
    </w:p>
  </w:footnote>
  <w:footnote w:id="5">
    <w:p w14:paraId="223BEA3B" w14:textId="77777777" w:rsidR="00044EB2" w:rsidRPr="00DD1C22" w:rsidRDefault="00044EB2" w:rsidP="00044EB2">
      <w:pPr>
        <w:pStyle w:val="Textonotapie"/>
        <w:ind w:firstLine="708"/>
        <w:jc w:val="both"/>
        <w:rPr>
          <w:rFonts w:ascii="Verdana" w:hAnsi="Verdana" w:cs="Arial"/>
          <w:sz w:val="16"/>
          <w:szCs w:val="16"/>
        </w:rPr>
      </w:pPr>
      <w:r w:rsidRPr="00DD1C22">
        <w:rPr>
          <w:rStyle w:val="Refdenotaalpie"/>
          <w:rFonts w:ascii="Verdana" w:hAnsi="Verdana" w:cs="Arial"/>
          <w:sz w:val="16"/>
          <w:szCs w:val="16"/>
        </w:rPr>
        <w:footnoteRef/>
      </w:r>
      <w:r w:rsidRPr="00DD1C22">
        <w:rPr>
          <w:rFonts w:ascii="Verdana" w:hAnsi="Verdana" w:cs="Arial"/>
          <w:sz w:val="16"/>
          <w:szCs w:val="16"/>
        </w:rPr>
        <w:t xml:space="preserve"> BARRETO MORENO, Antonio Alejandro. El derecho de la compra pública: estudio jurídico de un mercado imperfecto. Bogotá: Legis, 2019. pp. 281 y ss.</w:t>
      </w:r>
    </w:p>
  </w:footnote>
  <w:footnote w:id="6">
    <w:p w14:paraId="6F95B106" w14:textId="77777777" w:rsidR="00044EB2" w:rsidRPr="00DD1C22" w:rsidRDefault="00044EB2" w:rsidP="00044EB2">
      <w:pPr>
        <w:pStyle w:val="Textonotapie"/>
        <w:ind w:firstLine="708"/>
        <w:contextualSpacing/>
        <w:jc w:val="both"/>
        <w:rPr>
          <w:rFonts w:ascii="Verdana" w:hAnsi="Verdana" w:cs="Arial"/>
          <w:sz w:val="16"/>
          <w:szCs w:val="16"/>
        </w:rPr>
      </w:pPr>
      <w:r w:rsidRPr="00DD1C22">
        <w:rPr>
          <w:rStyle w:val="Refdenotaalpie"/>
          <w:rFonts w:ascii="Verdana" w:hAnsi="Verdana" w:cs="Arial"/>
          <w:sz w:val="16"/>
          <w:szCs w:val="16"/>
        </w:rPr>
        <w:footnoteRef/>
      </w:r>
      <w:r w:rsidRPr="00DD1C22">
        <w:rPr>
          <w:rFonts w:ascii="Verdana" w:hAnsi="Verdana" w:cs="Arial"/>
          <w:sz w:val="16"/>
          <w:szCs w:val="16"/>
        </w:rPr>
        <w:t xml:space="preserve"> Ley 489 de 1998: “Artículo 85. Empresas industriales y comerciales del Estado. Las empresas industriales y comerciales del Estado son organismos creados por la ley o autorizados por ésta, que desarrollan actividades de naturaleza industrial o comercial y de gestión económica conforme a las reglas del Derecho Privado, salvo las excepciones que consagra la ley, y que reúnen las siguientes características: </w:t>
      </w:r>
    </w:p>
    <w:p w14:paraId="5CB519FB" w14:textId="77777777" w:rsidR="00044EB2" w:rsidRPr="00DD1C22" w:rsidRDefault="00044EB2" w:rsidP="00044EB2">
      <w:pPr>
        <w:pStyle w:val="Textonotapie"/>
        <w:ind w:firstLine="708"/>
        <w:contextualSpacing/>
        <w:jc w:val="both"/>
        <w:rPr>
          <w:rFonts w:ascii="Verdana" w:hAnsi="Verdana" w:cs="Arial"/>
          <w:sz w:val="16"/>
          <w:szCs w:val="16"/>
        </w:rPr>
      </w:pPr>
      <w:r w:rsidRPr="00DD1C22">
        <w:rPr>
          <w:rFonts w:ascii="Verdana" w:hAnsi="Verdana" w:cs="Arial"/>
          <w:sz w:val="16"/>
          <w:szCs w:val="16"/>
        </w:rPr>
        <w:t xml:space="preserve">a) Personería jurídica; </w:t>
      </w:r>
    </w:p>
    <w:p w14:paraId="2AB2941E" w14:textId="77777777" w:rsidR="00044EB2" w:rsidRPr="00DD1C22" w:rsidRDefault="00044EB2" w:rsidP="00044EB2">
      <w:pPr>
        <w:pStyle w:val="Textonotapie"/>
        <w:ind w:firstLine="708"/>
        <w:contextualSpacing/>
        <w:jc w:val="both"/>
        <w:rPr>
          <w:rFonts w:ascii="Verdana" w:hAnsi="Verdana" w:cs="Arial"/>
          <w:sz w:val="16"/>
          <w:szCs w:val="16"/>
        </w:rPr>
      </w:pPr>
      <w:r w:rsidRPr="00DD1C22">
        <w:rPr>
          <w:rFonts w:ascii="Verdana" w:hAnsi="Verdana" w:cs="Arial"/>
          <w:sz w:val="16"/>
          <w:szCs w:val="16"/>
        </w:rPr>
        <w:t xml:space="preserve">b) Autonomía administrativa y financiera; </w:t>
      </w:r>
    </w:p>
    <w:p w14:paraId="1FE905E3" w14:textId="77777777" w:rsidR="00044EB2" w:rsidRPr="00DD1C22" w:rsidRDefault="00044EB2" w:rsidP="00044EB2">
      <w:pPr>
        <w:pStyle w:val="Textonotapie"/>
        <w:ind w:firstLine="708"/>
        <w:contextualSpacing/>
        <w:jc w:val="both"/>
        <w:rPr>
          <w:rFonts w:ascii="Verdana" w:hAnsi="Verdana" w:cs="Arial"/>
          <w:sz w:val="16"/>
          <w:szCs w:val="16"/>
        </w:rPr>
      </w:pPr>
      <w:r w:rsidRPr="00DD1C22">
        <w:rPr>
          <w:rFonts w:ascii="Verdana" w:hAnsi="Verdana" w:cs="Arial"/>
          <w:sz w:val="16"/>
          <w:szCs w:val="16"/>
        </w:rPr>
        <w:t xml:space="preserve">c) Capital independiente, constituido totalmente con bienes o fondos públicos comunes, los productos de ellos, o el rendimiento de tasas que perciban por las funciones o servicios, y contribuciones de destinación especial en los casos autorizados por la Constitución. </w:t>
      </w:r>
    </w:p>
    <w:p w14:paraId="499397C7" w14:textId="77777777" w:rsidR="00044EB2" w:rsidRPr="00DD1C22" w:rsidRDefault="00044EB2" w:rsidP="00044EB2">
      <w:pPr>
        <w:pStyle w:val="Textonotapie"/>
        <w:ind w:firstLine="708"/>
        <w:contextualSpacing/>
        <w:jc w:val="both"/>
        <w:rPr>
          <w:rFonts w:ascii="Verdana" w:hAnsi="Verdana" w:cs="Arial"/>
          <w:sz w:val="16"/>
          <w:szCs w:val="16"/>
        </w:rPr>
      </w:pPr>
      <w:r w:rsidRPr="00DD1C22">
        <w:rPr>
          <w:rFonts w:ascii="Verdana" w:hAnsi="Verdana" w:cs="Arial"/>
          <w:sz w:val="16"/>
          <w:szCs w:val="16"/>
        </w:rPr>
        <w:t xml:space="preserve">El capital de las empresas industriales y comerciales del Estado podrá estar representado en cuotas o acciones de igual valor nominal. </w:t>
      </w:r>
    </w:p>
    <w:p w14:paraId="3E327D9E" w14:textId="77777777" w:rsidR="00044EB2" w:rsidRPr="00DD1C22" w:rsidRDefault="00044EB2" w:rsidP="00044EB2">
      <w:pPr>
        <w:pStyle w:val="Textonotapie"/>
        <w:ind w:firstLine="708"/>
        <w:contextualSpacing/>
        <w:jc w:val="both"/>
        <w:rPr>
          <w:rFonts w:ascii="Verdana" w:hAnsi="Verdana" w:cs="Arial"/>
          <w:sz w:val="16"/>
          <w:szCs w:val="16"/>
        </w:rPr>
      </w:pPr>
      <w:r w:rsidRPr="00DD1C22">
        <w:rPr>
          <w:rFonts w:ascii="Verdana" w:hAnsi="Verdana" w:cs="Arial"/>
          <w:sz w:val="16"/>
          <w:szCs w:val="16"/>
        </w:rPr>
        <w:t xml:space="preserve">A las empresas industriales y comerciales del Estado y a las sociedades de economía mixta se les aplicará en lo pertinente los artículos 19, numerales 2°, 4°, 5°, 6°, 12, 13, 17, 27, numerales 2°, 3°, 4°, 5°, y 7°, y 183 de la Ley 142 de 1994. </w:t>
      </w:r>
    </w:p>
    <w:p w14:paraId="3209E573" w14:textId="77777777" w:rsidR="00044EB2" w:rsidRPr="00DD1C22" w:rsidRDefault="00044EB2" w:rsidP="00044EB2">
      <w:pPr>
        <w:pStyle w:val="Textonotapie"/>
        <w:ind w:firstLine="708"/>
        <w:contextualSpacing/>
        <w:jc w:val="both"/>
        <w:rPr>
          <w:rFonts w:ascii="Verdana" w:hAnsi="Verdana" w:cs="Arial"/>
          <w:sz w:val="16"/>
          <w:szCs w:val="16"/>
        </w:rPr>
      </w:pPr>
      <w:r w:rsidRPr="00DD1C22">
        <w:rPr>
          <w:rFonts w:ascii="Verdana" w:hAnsi="Verdana" w:cs="Arial"/>
          <w:sz w:val="16"/>
          <w:szCs w:val="16"/>
        </w:rPr>
        <w:t xml:space="preserve">Parágrafo. Las disposiciones legales que protegen el secreto industrial y la información comercial se aplicarán a aquellos secretos e informaciones de esa naturaleza que desarrollen y posean las empresas industriales y comerciales del Estado”. </w:t>
      </w:r>
    </w:p>
  </w:footnote>
  <w:footnote w:id="7">
    <w:p w14:paraId="40B43875" w14:textId="77777777" w:rsidR="00044EB2" w:rsidRPr="00DD1C22" w:rsidRDefault="00044EB2" w:rsidP="00044EB2">
      <w:pPr>
        <w:pStyle w:val="Textonotapie"/>
        <w:ind w:firstLine="709"/>
        <w:contextualSpacing/>
        <w:jc w:val="both"/>
        <w:rPr>
          <w:rFonts w:ascii="Verdana" w:hAnsi="Verdana" w:cs="Arial"/>
          <w:sz w:val="16"/>
          <w:szCs w:val="16"/>
        </w:rPr>
      </w:pPr>
      <w:r w:rsidRPr="00DD1C22">
        <w:rPr>
          <w:rStyle w:val="Refdenotaalpie"/>
          <w:rFonts w:ascii="Verdana" w:hAnsi="Verdana" w:cs="Arial"/>
          <w:sz w:val="16"/>
          <w:szCs w:val="16"/>
        </w:rPr>
        <w:footnoteRef/>
      </w:r>
      <w:r w:rsidRPr="00DD1C22">
        <w:rPr>
          <w:rFonts w:ascii="Verdana" w:hAnsi="Verdana" w:cs="Arial"/>
          <w:sz w:val="16"/>
          <w:szCs w:val="16"/>
        </w:rPr>
        <w:t xml:space="preserve"> El estatuto estableció como regla general para la selección del contratista la licitación pública o el concurso público, con algunas excepciones en las cuales la selección se haría mediante el procedimiento de contratación directa, entre ellas, la prevista en el literal m) del numeral 1 del artículo 24: “m)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esta ley”, o sea, los de obra, consultoría, prestación de servicios, concesión, encargos fiduciarios y fiducia pública, que se regirían por la regla general, salvo los casos de menor cuantía –previstos en el ordinal a), numeral 1 del artículo 24, original, de la Ley 80 de 1993–. Además, en el parágrafo del artículo 14 de la Ley 80 de 1993, se señaló que “en los contratos que tengan por objeto actividades comerciales o industriales de las entidades estatales que no correspondan a las señaladas en el numeral 2º de este artículo (…) se prescindirá de la utilización de las cláusulas o estipulaciones excepcionales”.</w:t>
      </w:r>
    </w:p>
  </w:footnote>
  <w:footnote w:id="8">
    <w:p w14:paraId="5CE6A583" w14:textId="77777777" w:rsidR="00044EB2" w:rsidRPr="00DD1C22" w:rsidRDefault="00044EB2" w:rsidP="00044EB2">
      <w:pPr>
        <w:spacing w:after="0" w:line="240" w:lineRule="auto"/>
        <w:ind w:firstLine="709"/>
        <w:contextualSpacing/>
        <w:jc w:val="both"/>
        <w:rPr>
          <w:rFonts w:ascii="Verdana" w:hAnsi="Verdana" w:cs="Arial"/>
          <w:sz w:val="16"/>
          <w:szCs w:val="16"/>
        </w:rPr>
      </w:pPr>
      <w:r w:rsidRPr="00DD1C22">
        <w:rPr>
          <w:rStyle w:val="Refdenotaalpie"/>
          <w:rFonts w:ascii="Verdana" w:hAnsi="Verdana" w:cs="Arial"/>
          <w:sz w:val="16"/>
          <w:szCs w:val="16"/>
        </w:rPr>
        <w:footnoteRef/>
      </w:r>
      <w:r w:rsidRPr="00DD1C22">
        <w:rPr>
          <w:rFonts w:ascii="Verdana" w:hAnsi="Verdana" w:cs="Arial"/>
          <w:sz w:val="16"/>
          <w:szCs w:val="16"/>
        </w:rPr>
        <w:t xml:space="preserve"> El artículo 85 de la ley 489 de 1998 definió a las empresas industriales y comerciales del Estado como “organismos creados por la ley o autorizados por ésta, que desarrollan actividades de naturaleza industrial o comercial y de gestión económica conforme a las reglas del Derecho Privado, salvo las excepciones que consagra la ley, y que reúnen las siguientes características: a) Personería jurídica; b) Autonomía administrativa y financiera; c) Capital independiente, constituido totalmente con bienes o fondos públicos comunes, los productos de ellos, o el rendimiento de tasas que perciban por las funciones o servicios, y contribuciones de destinación especial en los casos autorizados por la Constitución […]”.</w:t>
      </w:r>
    </w:p>
    <w:bookmarkStart w:id="1" w:name="353"/>
    <w:bookmarkEnd w:id="1"/>
  </w:footnote>
  <w:footnote w:id="9">
    <w:p w14:paraId="17687799" w14:textId="77777777" w:rsidR="00044EB2" w:rsidRPr="00DD1C22" w:rsidRDefault="00044EB2" w:rsidP="00044EB2">
      <w:pPr>
        <w:pStyle w:val="Textonotapie"/>
        <w:ind w:firstLine="709"/>
        <w:contextualSpacing/>
        <w:jc w:val="both"/>
        <w:rPr>
          <w:rFonts w:ascii="Verdana" w:hAnsi="Verdana" w:cs="Arial"/>
          <w:sz w:val="16"/>
          <w:szCs w:val="16"/>
        </w:rPr>
      </w:pPr>
      <w:bookmarkStart w:id="3" w:name="353"/>
      <w:bookmarkEnd w:id="3"/>
      <w:r w:rsidRPr="00DD1C22">
        <w:rPr>
          <w:rStyle w:val="Refdenotaalpie"/>
          <w:rFonts w:ascii="Verdana" w:hAnsi="Verdana" w:cs="Arial"/>
          <w:sz w:val="16"/>
          <w:szCs w:val="16"/>
        </w:rPr>
        <w:footnoteRef/>
      </w:r>
      <w:r w:rsidRPr="00DD1C22">
        <w:rPr>
          <w:rFonts w:ascii="Verdana" w:hAnsi="Verdana" w:cs="Arial"/>
          <w:sz w:val="16"/>
          <w:szCs w:val="16"/>
        </w:rPr>
        <w:t xml:space="preserve"> Sin perjuicio de la regla indicada, es importante señalar que el literal g, numeral 2, artículo 2 de la Ley 1150 de 2007, prevé como causal de selección abreviada: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[obra, concesión, prestación de servicios, consultoría, fiducia pública]”. 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Por su parte, el Decreto 1082 del 2015, artículo 2.2.1.2.1.2.24, prescribió: “Contratación de empresas industriales y comerciales del Estado. 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p>
  </w:footnote>
  <w:footnote w:id="10">
    <w:p w14:paraId="1DC0D65E" w14:textId="77777777" w:rsidR="00044EB2" w:rsidRPr="00DD1C22" w:rsidRDefault="00044EB2" w:rsidP="00044EB2">
      <w:pPr>
        <w:pStyle w:val="Textonotapie"/>
        <w:ind w:firstLine="709"/>
        <w:contextualSpacing/>
        <w:jc w:val="both"/>
        <w:rPr>
          <w:rFonts w:ascii="Verdana" w:hAnsi="Verdana" w:cs="Arial"/>
          <w:sz w:val="16"/>
          <w:szCs w:val="16"/>
          <w:lang w:val="es-CO"/>
        </w:rPr>
      </w:pPr>
      <w:r w:rsidRPr="00DD1C22">
        <w:rPr>
          <w:rStyle w:val="Refdenotaalpie"/>
          <w:rFonts w:ascii="Verdana" w:hAnsi="Verdana" w:cs="Arial"/>
          <w:sz w:val="16"/>
          <w:szCs w:val="16"/>
        </w:rPr>
        <w:footnoteRef/>
      </w:r>
      <w:r w:rsidRPr="00DD1C22">
        <w:rPr>
          <w:rFonts w:ascii="Verdana" w:hAnsi="Verdana" w:cs="Arial"/>
          <w:sz w:val="16"/>
          <w:szCs w:val="16"/>
        </w:rPr>
        <w:t xml:space="preserve"> El artículo 14 original de la Ley 1150 de 2007 excluía además aquellas cuya actividad se realizaba en “mercados monopolísticos”, pero, con buen tino, se eliminó en el artículo 93 de la Ley 1474 de 2011, pues en ese caso no se está en presencia de los fundamentos que soportan la excepción de no aplicar el Estatuto General de Contratación de la Administración Pública, cual es la “competencia y el libre juego del mercado”.</w:t>
      </w:r>
    </w:p>
  </w:footnote>
  <w:footnote w:id="11">
    <w:p w14:paraId="09EC86F4" w14:textId="77777777" w:rsidR="00044EB2" w:rsidRPr="00DD1C22" w:rsidRDefault="00044EB2" w:rsidP="00044EB2">
      <w:pPr>
        <w:pStyle w:val="Textonotapie"/>
        <w:ind w:firstLine="709"/>
        <w:contextualSpacing/>
        <w:jc w:val="both"/>
        <w:rPr>
          <w:rFonts w:ascii="Verdana" w:hAnsi="Verdana" w:cs="Arial"/>
          <w:sz w:val="16"/>
          <w:szCs w:val="16"/>
        </w:rPr>
      </w:pPr>
      <w:r w:rsidRPr="00DD1C22">
        <w:rPr>
          <w:rStyle w:val="Refdenotaalpie"/>
          <w:rFonts w:ascii="Verdana" w:hAnsi="Verdana" w:cs="Arial"/>
          <w:sz w:val="16"/>
          <w:szCs w:val="16"/>
        </w:rPr>
        <w:footnoteRef/>
      </w:r>
      <w:r w:rsidRPr="00DD1C22">
        <w:rPr>
          <w:rFonts w:ascii="Verdana" w:hAnsi="Verdana" w:cs="Arial"/>
          <w:sz w:val="16"/>
          <w:szCs w:val="16"/>
        </w:rPr>
        <w:t xml:space="preserve"> CONSEJO DE ESTADO. Sección Tercera, Sentencia del 19 de agosto de 2004 Exp. 12.342, reiterada en sentencia de 6 de febrero de 2006, Exp. 13.414. </w:t>
      </w:r>
    </w:p>
  </w:footnote>
  <w:footnote w:id="12">
    <w:p w14:paraId="5201F7F6" w14:textId="77777777" w:rsidR="00044EB2" w:rsidRPr="00DD1C22" w:rsidRDefault="00044EB2" w:rsidP="00044EB2">
      <w:pPr>
        <w:pStyle w:val="Textonotapie"/>
        <w:ind w:firstLine="709"/>
        <w:jc w:val="both"/>
        <w:rPr>
          <w:rFonts w:ascii="Verdana" w:hAnsi="Verdana" w:cs="Arial"/>
          <w:color w:val="000000"/>
          <w:sz w:val="16"/>
          <w:szCs w:val="16"/>
        </w:rPr>
      </w:pPr>
      <w:r w:rsidRPr="00DD1C22">
        <w:rPr>
          <w:rStyle w:val="Refdenotaalpie"/>
          <w:rFonts w:ascii="Verdana" w:hAnsi="Verdana" w:cs="Arial"/>
          <w:color w:val="000000"/>
          <w:sz w:val="16"/>
          <w:szCs w:val="16"/>
        </w:rPr>
        <w:footnoteRef/>
      </w:r>
      <w:r w:rsidRPr="00DD1C22">
        <w:rPr>
          <w:rFonts w:ascii="Verdana" w:hAnsi="Verdana" w:cs="Arial"/>
          <w:color w:val="000000"/>
          <w:sz w:val="16"/>
          <w:szCs w:val="16"/>
        </w:rPr>
        <w:t xml:space="preserve"> CONGRESO DE LA REPÚBLICA. Gaceta Nº 1677 del 23 de noviembre de 2021. Justificación jurídica del Proyecto de Ley No. 226 de 2021 Cámara. p. 15.</w:t>
      </w:r>
    </w:p>
  </w:footnote>
  <w:footnote w:id="13">
    <w:p w14:paraId="3092707C" w14:textId="77777777" w:rsidR="00044EB2" w:rsidRPr="00DD1C22" w:rsidRDefault="00044EB2" w:rsidP="00044EB2">
      <w:pPr>
        <w:pStyle w:val="Textonotapie"/>
        <w:ind w:firstLine="709"/>
        <w:contextualSpacing/>
        <w:jc w:val="both"/>
        <w:rPr>
          <w:rFonts w:ascii="Verdana" w:hAnsi="Verdana" w:cs="Arial"/>
          <w:color w:val="000000"/>
          <w:sz w:val="16"/>
          <w:szCs w:val="16"/>
          <w:lang w:val="es-ES"/>
        </w:rPr>
      </w:pPr>
      <w:r w:rsidRPr="00DD1C22">
        <w:rPr>
          <w:rStyle w:val="Refdenotaalpie"/>
          <w:rFonts w:ascii="Verdana" w:hAnsi="Verdana" w:cs="Arial"/>
          <w:color w:val="000000"/>
          <w:sz w:val="16"/>
          <w:szCs w:val="16"/>
        </w:rPr>
        <w:footnoteRef/>
      </w:r>
      <w:r w:rsidRPr="00DD1C22">
        <w:rPr>
          <w:rFonts w:ascii="Verdana" w:hAnsi="Verdana" w:cs="Arial"/>
          <w:color w:val="000000"/>
          <w:sz w:val="16"/>
          <w:szCs w:val="16"/>
        </w:rPr>
        <w:t xml:space="preserve"> </w:t>
      </w:r>
      <w:r w:rsidRPr="00DD1C22">
        <w:rPr>
          <w:rFonts w:ascii="Verdana" w:hAnsi="Verdana" w:cs="Arial"/>
          <w:color w:val="000000"/>
          <w:sz w:val="16"/>
          <w:szCs w:val="16"/>
          <w:lang w:val="es-ES"/>
        </w:rPr>
        <w:t>Según García de Enterría: “Estos conceptos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Civitas, 1983. pp. 33-34).</w:t>
      </w:r>
    </w:p>
  </w:footnote>
  <w:footnote w:id="14">
    <w:p w14:paraId="7CF20FE6" w14:textId="77777777" w:rsidR="00044EB2" w:rsidRPr="00DD1C22" w:rsidRDefault="00044EB2" w:rsidP="00044EB2">
      <w:pPr>
        <w:pStyle w:val="Textonotapie"/>
        <w:ind w:firstLine="709"/>
        <w:contextualSpacing/>
        <w:jc w:val="both"/>
        <w:rPr>
          <w:rFonts w:ascii="Verdana" w:hAnsi="Verdana" w:cs="Arial"/>
          <w:color w:val="000000"/>
          <w:sz w:val="16"/>
          <w:szCs w:val="16"/>
        </w:rPr>
      </w:pPr>
      <w:r w:rsidRPr="00DD1C22">
        <w:rPr>
          <w:rStyle w:val="Refdenotaalpie"/>
          <w:rFonts w:ascii="Verdana" w:hAnsi="Verdana" w:cs="Arial"/>
          <w:color w:val="000000"/>
          <w:sz w:val="16"/>
          <w:szCs w:val="16"/>
        </w:rPr>
        <w:footnoteRef/>
      </w:r>
      <w:r w:rsidRPr="00DD1C22">
        <w:rPr>
          <w:rFonts w:ascii="Verdana" w:hAnsi="Verdana" w:cs="Arial"/>
          <w:color w:val="000000"/>
          <w:sz w:val="16"/>
          <w:szCs w:val="16"/>
        </w:rPr>
        <w:t xml:space="preserve"> CORTE CONSTITUCIONAL, Sentencia C-382 de 2019, M.P. Alejandro Linares Cantillo.</w:t>
      </w:r>
    </w:p>
  </w:footnote>
  <w:footnote w:id="15">
    <w:p w14:paraId="6D58D600" w14:textId="77777777" w:rsidR="00044EB2" w:rsidRPr="00DD1C22" w:rsidRDefault="00044EB2" w:rsidP="00044EB2">
      <w:pPr>
        <w:pStyle w:val="Textonotapie"/>
        <w:ind w:firstLine="709"/>
        <w:contextualSpacing/>
        <w:jc w:val="both"/>
        <w:rPr>
          <w:rFonts w:ascii="Verdana" w:hAnsi="Verdana" w:cs="Arial"/>
          <w:color w:val="000000"/>
          <w:sz w:val="16"/>
          <w:szCs w:val="16"/>
        </w:rPr>
      </w:pPr>
      <w:r w:rsidRPr="00DD1C22">
        <w:rPr>
          <w:rStyle w:val="Refdenotaalpie"/>
          <w:rFonts w:ascii="Verdana" w:hAnsi="Verdana" w:cs="Arial"/>
          <w:color w:val="000000"/>
          <w:sz w:val="16"/>
          <w:szCs w:val="16"/>
        </w:rPr>
        <w:footnoteRef/>
      </w:r>
      <w:r w:rsidRPr="00DD1C22">
        <w:rPr>
          <w:rFonts w:ascii="Verdana" w:hAnsi="Verdana" w:cs="Arial"/>
          <w:color w:val="000000"/>
          <w:sz w:val="16"/>
          <w:szCs w:val="16"/>
        </w:rPr>
        <w:t xml:space="preserve"> La redacción original del parágrafo primero del artículo 32 de la Ley 80 de 1993, incluía la expresión giro ordinario, la cual servía de elemento calificante para la determinación del régimen aplicable a los contratos de los establecimientos de crédito público, las compañías de seguros y las demás entidades financieras públicas. Dicho parágrafo establecía “Sin perjuicio de lo dispuesto en esta ley sobre fiducia y encargo fiduciario, los contratos que celebren los establecimientos de crédito, las compañías de seguros y las demás entidades financieras de carácter estatal, que correspondan al giro ordinario de las actividades propias de su objeto social, no estarán sujetos a las disposiciones del presente estatuto y se regirán por las disposiciones legales y reglamentarias aplicables a dichas actividades” [Énfasis fuera de texto].</w:t>
      </w:r>
    </w:p>
  </w:footnote>
  <w:footnote w:id="16">
    <w:p w14:paraId="0416AA20" w14:textId="77777777" w:rsidR="00044EB2" w:rsidRPr="00DD1C22" w:rsidRDefault="00044EB2" w:rsidP="00044EB2">
      <w:pPr>
        <w:pStyle w:val="Textonotapie"/>
        <w:ind w:firstLine="709"/>
        <w:contextualSpacing/>
        <w:jc w:val="both"/>
        <w:rPr>
          <w:rFonts w:ascii="Verdana" w:hAnsi="Verdana" w:cs="Arial"/>
          <w:color w:val="000000"/>
          <w:sz w:val="16"/>
          <w:szCs w:val="16"/>
        </w:rPr>
      </w:pPr>
      <w:r w:rsidRPr="00DD1C22">
        <w:rPr>
          <w:rStyle w:val="Refdenotaalpie"/>
          <w:rFonts w:ascii="Verdana" w:hAnsi="Verdana" w:cs="Arial"/>
          <w:color w:val="000000"/>
          <w:sz w:val="16"/>
          <w:szCs w:val="16"/>
        </w:rPr>
        <w:footnoteRef/>
      </w:r>
      <w:r w:rsidRPr="00DD1C22">
        <w:rPr>
          <w:rFonts w:ascii="Verdana" w:hAnsi="Verdana" w:cs="Arial"/>
          <w:color w:val="000000"/>
          <w:sz w:val="16"/>
          <w:szCs w:val="16"/>
        </w:rPr>
        <w:t xml:space="preserve"> CONSEJO DE ESTADO. Sección Tercera. Subsección B. Sentencia del 12 de octubre de 2011. Exp. No. 20070. C.P. Danilo Rojas Betancourt.</w:t>
      </w:r>
    </w:p>
  </w:footnote>
  <w:footnote w:id="17">
    <w:p w14:paraId="7489454B" w14:textId="77777777" w:rsidR="00044EB2" w:rsidRPr="00DD1C22" w:rsidRDefault="00044EB2" w:rsidP="00044EB2">
      <w:pPr>
        <w:tabs>
          <w:tab w:val="left" w:pos="0"/>
        </w:tabs>
        <w:spacing w:after="0" w:line="240" w:lineRule="auto"/>
        <w:contextualSpacing/>
        <w:jc w:val="both"/>
        <w:rPr>
          <w:rFonts w:ascii="Verdana" w:eastAsia="Calibri" w:hAnsi="Verdana" w:cs="Arial"/>
          <w:color w:val="000000"/>
          <w:sz w:val="16"/>
          <w:szCs w:val="16"/>
          <w:lang w:val="es-ES_tradnl" w:eastAsia="es-ES_tradnl"/>
        </w:rPr>
      </w:pPr>
      <w:r w:rsidRPr="00DD1C22">
        <w:rPr>
          <w:rFonts w:ascii="Verdana" w:hAnsi="Verdana" w:cs="Arial"/>
          <w:color w:val="000000"/>
          <w:sz w:val="16"/>
          <w:szCs w:val="16"/>
        </w:rPr>
        <w:tab/>
      </w:r>
      <w:r w:rsidRPr="00DD1C22">
        <w:rPr>
          <w:rStyle w:val="Refdenotaalpie"/>
          <w:rFonts w:ascii="Verdana" w:hAnsi="Verdana" w:cs="Arial"/>
          <w:color w:val="000000"/>
          <w:sz w:val="16"/>
          <w:szCs w:val="16"/>
        </w:rPr>
        <w:footnoteRef/>
      </w:r>
      <w:r w:rsidRPr="00DD1C22">
        <w:rPr>
          <w:rFonts w:ascii="Verdana" w:hAnsi="Verdana" w:cs="Arial"/>
          <w:color w:val="000000"/>
          <w:sz w:val="16"/>
          <w:szCs w:val="16"/>
        </w:rPr>
        <w:t xml:space="preserve"> CONSEJO DE ESTADO. Sección Tercera. Subsección A. Sentencia del 3 de marzo de 2021. Exp. No. 51373. C.P. José Roberto Sáchica Méndez. </w:t>
      </w:r>
      <w:r w:rsidRPr="00DD1C22">
        <w:rPr>
          <w:rFonts w:ascii="Verdana" w:eastAsia="Calibri" w:hAnsi="Verdana" w:cs="Arial"/>
          <w:color w:val="000000"/>
          <w:sz w:val="16"/>
          <w:szCs w:val="16"/>
          <w:lang w:val="es-ES_tradnl" w:eastAsia="es-ES_tradnl"/>
        </w:rPr>
        <w:t>“[E]l elemento central para la determinación de este concepto jurídico, remite al objeto social –cuando se trata de empresas públicas o privadas constituidas bajo alguno de los tipos societarios definidos en la ley– pero también se refiere, mutatis mutandis, al objeto y funciones expresamente definidas en los actos de creación de entidades públicas que, por su naturaleza, se orientan al desarrollo de actividades industriales y comerciales. De forma que, el giro ordinario de los negocios se explica a partir del objeto social o, también, de las funciones expresamente fijadas por ley, según se trate de una persona jurídica pública o privada, pues ambas categorías, para estos efectos, resultan equivalentes.”</w:t>
      </w:r>
    </w:p>
  </w:footnote>
  <w:footnote w:id="18">
    <w:p w14:paraId="51344CE0" w14:textId="77777777" w:rsidR="00044EB2" w:rsidRPr="00DD1C22" w:rsidRDefault="00044EB2" w:rsidP="00044EB2">
      <w:pPr>
        <w:pStyle w:val="Textonotapie"/>
        <w:ind w:firstLine="708"/>
        <w:contextualSpacing/>
        <w:jc w:val="both"/>
        <w:rPr>
          <w:rFonts w:ascii="Verdana" w:hAnsi="Verdana" w:cs="Arial"/>
          <w:color w:val="000000"/>
          <w:sz w:val="16"/>
          <w:szCs w:val="16"/>
        </w:rPr>
      </w:pPr>
      <w:r w:rsidRPr="00DD1C22">
        <w:rPr>
          <w:rStyle w:val="Refdenotaalpie"/>
          <w:rFonts w:ascii="Verdana" w:hAnsi="Verdana" w:cs="Arial"/>
          <w:color w:val="000000"/>
          <w:sz w:val="16"/>
          <w:szCs w:val="16"/>
        </w:rPr>
        <w:footnoteRef/>
      </w:r>
      <w:r w:rsidRPr="00DD1C22">
        <w:rPr>
          <w:rFonts w:ascii="Verdana" w:hAnsi="Verdana" w:cs="Arial"/>
          <w:color w:val="000000"/>
          <w:sz w:val="16"/>
          <w:szCs w:val="16"/>
        </w:rPr>
        <w:t xml:space="preserve"> la Superintendencia de Sociedades, citando doctrina autorizada en la materia, ha señalado: “Si bien el llamado giro ordinario de los negocios se encuentra determinado por las actividades que constituyen el objeto social, resultan oportunas algunas precisiones conceptuales en torno al empleo constante en la práctica mercantil de la referida expresión "giro ordinario de los negocios". Partiendo de las anteriores consideraciones en cuanto al tema del objeto social, se concluye que éste alude a las actividades que desarrolla o se propone realizar el ente social, al paso que solamente quedan cobijadas por "giro ordinario" aquellas actividades que, en forma habitual u ordinaria, ejecuta la sociedad.</w:t>
      </w:r>
    </w:p>
  </w:footnote>
  <w:footnote w:id="19">
    <w:p w14:paraId="5E760650" w14:textId="77777777" w:rsidR="00044EB2" w:rsidRPr="00DD1C22" w:rsidRDefault="00044EB2" w:rsidP="00044EB2">
      <w:pPr>
        <w:pStyle w:val="Textonotapie"/>
        <w:ind w:firstLine="709"/>
        <w:contextualSpacing/>
        <w:jc w:val="both"/>
        <w:rPr>
          <w:rFonts w:ascii="Verdana" w:hAnsi="Verdana" w:cs="Arial"/>
          <w:color w:val="000000"/>
          <w:sz w:val="16"/>
          <w:szCs w:val="16"/>
        </w:rPr>
      </w:pPr>
      <w:r w:rsidRPr="00DD1C22">
        <w:rPr>
          <w:rStyle w:val="Refdenotaalpie"/>
          <w:rFonts w:ascii="Verdana" w:hAnsi="Verdana" w:cs="Arial"/>
          <w:color w:val="000000"/>
          <w:sz w:val="16"/>
          <w:szCs w:val="16"/>
        </w:rPr>
        <w:footnoteRef/>
      </w:r>
      <w:r w:rsidRPr="00DD1C22">
        <w:rPr>
          <w:rFonts w:ascii="Verdana" w:hAnsi="Verdana" w:cs="Arial"/>
          <w:color w:val="000000"/>
          <w:sz w:val="16"/>
          <w:szCs w:val="16"/>
        </w:rPr>
        <w:t xml:space="preserve"> El Consejo de Estado ha precisado que: “Según esta norma, 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del objeto de la sociedad. Tal es el caso de la contratación de la publicidad para promocionar la empresa o sus productos, o la contratación de profesionales para que realicen una consultoría o asesoría relacionada con las actividades de la empresa, etc.</w:t>
      </w:r>
    </w:p>
    <w:p w14:paraId="70DD1C34" w14:textId="77777777" w:rsidR="00044EB2" w:rsidRPr="00DD1C22" w:rsidRDefault="00044EB2" w:rsidP="00044EB2">
      <w:pPr>
        <w:pStyle w:val="Textonotapie"/>
        <w:ind w:firstLine="709"/>
        <w:contextualSpacing/>
        <w:jc w:val="both"/>
        <w:rPr>
          <w:rFonts w:ascii="Verdana" w:hAnsi="Verdana" w:cs="Arial"/>
          <w:color w:val="000000"/>
          <w:sz w:val="16"/>
          <w:szCs w:val="16"/>
        </w:rPr>
      </w:pPr>
      <w:r w:rsidRPr="00DD1C22">
        <w:rPr>
          <w:rFonts w:ascii="Verdana" w:hAnsi="Verdana" w:cs="Arial"/>
          <w:color w:val="000000"/>
          <w:sz w:val="16"/>
          <w:szCs w:val="16"/>
        </w:rPr>
        <w:t>“En estos casos, mal podría decirse que la sociedad no puede realizar este tipo de actos necesarios para el buen desempeño de sus actividades comerciales. Lo propio cabe decir de las entidades financieras. De manera que la norma comercial citada es perfectamente trasladable al campo financiero”.  (CONSEJO DE ESTADO. Sección Tercera. Sentencia del 6 de julio de 2005. Exp. No. 11575. C.P. Alier E. Hernández Enríquez).</w:t>
      </w:r>
    </w:p>
  </w:footnote>
  <w:footnote w:id="20">
    <w:p w14:paraId="6D8FDB5E" w14:textId="77777777" w:rsidR="00044EB2" w:rsidRPr="00DD1C22" w:rsidRDefault="00044EB2" w:rsidP="00044EB2">
      <w:pPr>
        <w:pStyle w:val="Textonotapie"/>
        <w:ind w:firstLine="708"/>
        <w:jc w:val="both"/>
        <w:rPr>
          <w:rFonts w:ascii="Verdana" w:hAnsi="Verdana"/>
          <w:sz w:val="16"/>
          <w:szCs w:val="16"/>
        </w:rPr>
      </w:pPr>
      <w:r w:rsidRPr="00DD1C22">
        <w:rPr>
          <w:rStyle w:val="Refdenotaalpie"/>
          <w:rFonts w:ascii="Verdana" w:hAnsi="Verdana"/>
          <w:sz w:val="16"/>
          <w:szCs w:val="16"/>
        </w:rPr>
        <w:footnoteRef/>
      </w:r>
      <w:r w:rsidRPr="00DD1C22">
        <w:rPr>
          <w:rFonts w:ascii="Verdana" w:hAnsi="Verdana"/>
          <w:sz w:val="16"/>
          <w:szCs w:val="16"/>
        </w:rPr>
        <w:t xml:space="preserve"> AGENCIA NACIONAL DE CONTRATACIÓN PÚBLICA –COLOMBIA COMPRA EFICIENTE. Guía para la Gestión Contractual para entidades con régimen especial. 2025. Disponible en línea: </w:t>
      </w:r>
      <w:hyperlink r:id="rId1" w:history="1">
        <w:r w:rsidRPr="00DD1C22">
          <w:rPr>
            <w:rStyle w:val="Hipervnculo"/>
            <w:rFonts w:ascii="Verdana" w:hAnsi="Verdana"/>
            <w:sz w:val="16"/>
            <w:szCs w:val="16"/>
          </w:rPr>
          <w:t>https://www.colombiacompra.gov.co/archivos/manual/guia-para-la-gestion-contractual-de-entidades-estatales-con-regimen-especial</w:t>
        </w:r>
      </w:hyperlink>
      <w:r w:rsidRPr="00DD1C22">
        <w:rPr>
          <w:rFonts w:ascii="Verdana" w:hAnsi="Verdana"/>
          <w:sz w:val="16"/>
          <w:szCs w:val="16"/>
        </w:rPr>
        <w:t xml:space="preserve">. </w:t>
      </w:r>
    </w:p>
  </w:footnote>
  <w:footnote w:id="21">
    <w:p w14:paraId="42DF9551" w14:textId="77777777" w:rsidR="00044EB2" w:rsidRPr="00DD1C22" w:rsidRDefault="00044EB2" w:rsidP="00044EB2">
      <w:pPr>
        <w:pStyle w:val="Textonotapie"/>
        <w:ind w:firstLine="709"/>
        <w:jc w:val="both"/>
        <w:rPr>
          <w:rFonts w:ascii="Verdana" w:hAnsi="Verdana" w:cs="Arial"/>
          <w:color w:val="000000"/>
          <w:sz w:val="16"/>
          <w:szCs w:val="16"/>
          <w:lang w:val="es-ES"/>
        </w:rPr>
      </w:pPr>
      <w:r w:rsidRPr="00DD1C22">
        <w:rPr>
          <w:rStyle w:val="Refdenotaalpie"/>
          <w:rFonts w:ascii="Verdana" w:hAnsi="Verdana" w:cs="Arial"/>
          <w:color w:val="000000"/>
          <w:sz w:val="16"/>
          <w:szCs w:val="16"/>
        </w:rPr>
        <w:footnoteRef/>
      </w:r>
      <w:r w:rsidRPr="00DD1C22">
        <w:rPr>
          <w:rFonts w:ascii="Verdana" w:hAnsi="Verdana" w:cs="Arial"/>
          <w:color w:val="000000"/>
          <w:sz w:val="16"/>
          <w:szCs w:val="16"/>
        </w:rPr>
        <w:t xml:space="preserve"> CONSEJO DE ESTADO. Sección Tercera, Subsección A. Sentencia del 24 de octubre de 2016. Exp.  45.607. C.P. Martha Nubia Velásquez Rico.</w:t>
      </w:r>
    </w:p>
  </w:footnote>
  <w:footnote w:id="22">
    <w:p w14:paraId="16701B1F" w14:textId="77777777" w:rsidR="00044EB2" w:rsidRPr="00DD1C22" w:rsidRDefault="00044EB2" w:rsidP="00044EB2">
      <w:pPr>
        <w:pStyle w:val="Textonotapie"/>
        <w:ind w:firstLine="708"/>
        <w:jc w:val="both"/>
        <w:rPr>
          <w:rFonts w:ascii="Verdana" w:hAnsi="Verdana"/>
          <w:sz w:val="16"/>
          <w:szCs w:val="16"/>
          <w:lang w:val="es-ES"/>
        </w:rPr>
      </w:pPr>
      <w:r w:rsidRPr="00DD1C22">
        <w:rPr>
          <w:rStyle w:val="Refdenotaalpie"/>
          <w:rFonts w:ascii="Verdana" w:hAnsi="Verdana"/>
          <w:sz w:val="16"/>
          <w:szCs w:val="16"/>
        </w:rPr>
        <w:footnoteRef/>
      </w:r>
      <w:r w:rsidRPr="00DD1C22">
        <w:rPr>
          <w:rFonts w:ascii="Verdana" w:hAnsi="Verdana"/>
          <w:sz w:val="16"/>
          <w:szCs w:val="16"/>
        </w:rPr>
        <w:t xml:space="preserve"> </w:t>
      </w:r>
      <w:r w:rsidRPr="00DD1C22">
        <w:rPr>
          <w:rFonts w:ascii="Verdana" w:hAnsi="Verdana"/>
          <w:sz w:val="16"/>
          <w:szCs w:val="16"/>
          <w:lang w:val="es-ES"/>
        </w:rPr>
        <w:t>HINESTROSA FORERO, Fernando. Tratado de las Obligaciones II. De las fuentes de las obligaciones: el negocio jurídico. Volumen I. Bogotá: Universidad Externado de Colombia, 2015. p. 116.</w:t>
      </w:r>
    </w:p>
  </w:footnote>
  <w:footnote w:id="23">
    <w:p w14:paraId="65CD2DCE" w14:textId="77777777" w:rsidR="00044EB2" w:rsidRPr="00DD1C22" w:rsidRDefault="00044EB2" w:rsidP="00044EB2">
      <w:pPr>
        <w:pStyle w:val="Textonotapie"/>
        <w:ind w:firstLine="708"/>
        <w:rPr>
          <w:rFonts w:ascii="Verdana" w:hAnsi="Verdana"/>
          <w:sz w:val="16"/>
          <w:szCs w:val="16"/>
          <w:lang w:val="es-ES"/>
        </w:rPr>
      </w:pPr>
      <w:r w:rsidRPr="00DD1C22">
        <w:rPr>
          <w:rStyle w:val="Refdenotaalpie"/>
          <w:rFonts w:ascii="Verdana" w:hAnsi="Verdana"/>
          <w:sz w:val="16"/>
          <w:szCs w:val="16"/>
        </w:rPr>
        <w:footnoteRef/>
      </w:r>
      <w:r w:rsidRPr="00DD1C22">
        <w:rPr>
          <w:rFonts w:ascii="Verdana" w:hAnsi="Verdana"/>
          <w:sz w:val="16"/>
          <w:szCs w:val="16"/>
        </w:rPr>
        <w:t xml:space="preserve"> AGENCIA NACIONAL DE CONTRATACIÓN PÚBLICA –COLOMBIA COMPRA EFICIENTE. Guía de competencia en las compras públicas, 2018. p. 4. Disponible en línea: </w:t>
      </w:r>
      <w:hyperlink r:id="rId2" w:history="1">
        <w:r w:rsidRPr="00DD1C22">
          <w:rPr>
            <w:rStyle w:val="Hipervnculo"/>
            <w:rFonts w:ascii="Verdana" w:hAnsi="Verdana"/>
            <w:sz w:val="16"/>
            <w:szCs w:val="16"/>
          </w:rPr>
          <w:t>https://www.colombiacompra.gov.co/archivos/manual/guia-de-competencia-en-las-compras-publicas</w:t>
        </w:r>
      </w:hyperlink>
      <w:r w:rsidRPr="00DD1C22">
        <w:rPr>
          <w:rFonts w:ascii="Verdana" w:hAnsi="Verdana"/>
          <w:sz w:val="16"/>
          <w:szCs w:val="16"/>
        </w:rPr>
        <w:t xml:space="preserve"> </w:t>
      </w:r>
    </w:p>
  </w:footnote>
  <w:footnote w:id="24">
    <w:p w14:paraId="0B6324DC" w14:textId="77777777" w:rsidR="00044EB2" w:rsidRPr="00DD1C22" w:rsidRDefault="00044EB2" w:rsidP="00044EB2">
      <w:pPr>
        <w:pStyle w:val="Textonotapie"/>
        <w:ind w:firstLine="708"/>
        <w:jc w:val="both"/>
        <w:rPr>
          <w:rFonts w:ascii="Verdana" w:hAnsi="Verdana"/>
          <w:sz w:val="16"/>
          <w:szCs w:val="16"/>
          <w:lang w:val="es-CO"/>
        </w:rPr>
      </w:pPr>
      <w:r w:rsidRPr="00DD1C22">
        <w:rPr>
          <w:rStyle w:val="Refdenotaalpie"/>
          <w:rFonts w:ascii="Verdana" w:hAnsi="Verdana"/>
          <w:sz w:val="16"/>
          <w:szCs w:val="16"/>
        </w:rPr>
        <w:footnoteRef/>
      </w:r>
      <w:r w:rsidRPr="00DD1C22">
        <w:rPr>
          <w:rFonts w:ascii="Verdana" w:hAnsi="Verdana"/>
          <w:sz w:val="16"/>
          <w:szCs w:val="16"/>
        </w:rPr>
        <w:t xml:space="preserve"> </w:t>
      </w:r>
      <w:r w:rsidRPr="00DD1C22">
        <w:rPr>
          <w:rFonts w:ascii="Verdana" w:hAnsi="Verdana"/>
          <w:bCs/>
          <w:sz w:val="16"/>
          <w:szCs w:val="16"/>
          <w:lang w:val="es-CO"/>
        </w:rPr>
        <w:t>Artículo 53.</w:t>
      </w:r>
      <w:r w:rsidRPr="00DD1C22">
        <w:rPr>
          <w:rFonts w:ascii="Verdana" w:hAnsi="Verdana"/>
          <w:sz w:val="16"/>
          <w:szCs w:val="16"/>
          <w:lang w:val="es-CO"/>
        </w:rPr>
        <w:t> Adiciónese los siguientes incisos al artículo 13 de la Ley 1150 de 2007, el cual quedará así: </w:t>
      </w:r>
    </w:p>
    <w:p w14:paraId="7589CA69" w14:textId="77777777" w:rsidR="00044EB2" w:rsidRPr="00DD1C22" w:rsidRDefault="00044EB2" w:rsidP="00044EB2">
      <w:pPr>
        <w:pStyle w:val="Textonotapie"/>
        <w:ind w:firstLine="708"/>
        <w:jc w:val="both"/>
        <w:rPr>
          <w:rFonts w:ascii="Verdana" w:hAnsi="Verdana"/>
          <w:sz w:val="16"/>
          <w:szCs w:val="16"/>
          <w:lang w:val="es-CO"/>
        </w:rPr>
      </w:pPr>
      <w:r w:rsidRPr="00DD1C22">
        <w:rPr>
          <w:rFonts w:ascii="Verdana" w:hAnsi="Verdana"/>
          <w:bCs/>
          <w:sz w:val="16"/>
          <w:szCs w:val="16"/>
          <w:lang w:val="es-CO"/>
        </w:rPr>
        <w:t>Artículo 13. Principios generales de la actividad contractual para entidades no sometidas al Estatuto General de Contratación de la Administración Pública.</w:t>
      </w:r>
      <w:r w:rsidRPr="00DD1C22">
        <w:rPr>
          <w:rFonts w:ascii="Verdana" w:hAnsi="Verdana"/>
          <w:sz w:val="16"/>
          <w:szCs w:val="16"/>
          <w:lang w:val="es-CO"/>
        </w:rPr>
        <w:t>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 </w:t>
      </w:r>
    </w:p>
    <w:p w14:paraId="42270AB7" w14:textId="77777777" w:rsidR="00044EB2" w:rsidRPr="00DD1C22" w:rsidRDefault="00044EB2" w:rsidP="00044EB2">
      <w:pPr>
        <w:pStyle w:val="Textonotapie"/>
        <w:ind w:firstLine="708"/>
        <w:jc w:val="both"/>
        <w:rPr>
          <w:rFonts w:ascii="Verdana" w:hAnsi="Verdana"/>
          <w:sz w:val="16"/>
          <w:szCs w:val="16"/>
          <w:lang w:val="es-CO"/>
        </w:rPr>
      </w:pPr>
      <w:r w:rsidRPr="00DD1C22">
        <w:rPr>
          <w:rFonts w:ascii="Verdana" w:hAnsi="Verdana"/>
          <w:sz w:val="16"/>
          <w:szCs w:val="16"/>
          <w:lang w:val="es-CO"/>
        </w:rPr>
        <w:t>En desarrollo de los anteriores principios, deberán publicar los documentos relacionados con su actividad contractual en el Sistema Electrónico para la Contratación Pública (SECOP II)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postcontractual. </w:t>
      </w:r>
    </w:p>
    <w:p w14:paraId="6ED2EFF6" w14:textId="77777777" w:rsidR="00044EB2" w:rsidRPr="00425BAE" w:rsidRDefault="00044EB2" w:rsidP="00044EB2">
      <w:pPr>
        <w:pStyle w:val="Textonotapie"/>
        <w:ind w:firstLine="708"/>
        <w:jc w:val="both"/>
        <w:rPr>
          <w:rFonts w:ascii="Verdana" w:hAnsi="Verdana"/>
          <w:sz w:val="16"/>
          <w:szCs w:val="16"/>
          <w:lang w:val="es-CO"/>
        </w:rPr>
      </w:pPr>
      <w:r w:rsidRPr="00DD1C22">
        <w:rPr>
          <w:rFonts w:ascii="Verdana" w:hAnsi="Verdana"/>
          <w:sz w:val="16"/>
          <w:szCs w:val="16"/>
          <w:lang w:val="es-CO"/>
        </w:rPr>
        <w:t>A partir de la entrada en vigencia de la presente Ley, se establecerá un periodo de transición de seis (6) meses, para que las entidades den cumplimiento efectivo a lo aquí establecido.</w:t>
      </w:r>
      <w:r w:rsidRPr="000F7E12">
        <w:rPr>
          <w:rFonts w:ascii="Verdana" w:hAnsi="Verdana"/>
          <w:sz w:val="16"/>
          <w:szCs w:val="16"/>
          <w:lang w:val="es-CO"/>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590F1F" w:rsidRDefault="00590F1F"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590F1F" w:rsidRDefault="00590F1F">
    <w:pPr>
      <w:pStyle w:val="Encabezado"/>
    </w:pPr>
  </w:p>
  <w:p w14:paraId="5E18350A" w14:textId="705F7B76" w:rsidR="00590F1F" w:rsidRPr="004A305D" w:rsidRDefault="00590F1F" w:rsidP="00B01B1A">
    <w:pPr>
      <w:spacing w:after="0" w:line="120" w:lineRule="auto"/>
      <w:rPr>
        <w:rFonts w:ascii="Century Gothic" w:eastAsia="Geo" w:hAnsi="Century Gothic" w:cs="Geo"/>
        <w:sz w:val="16"/>
        <w:szCs w:val="16"/>
        <w:lang w:eastAsia="es-CO"/>
      </w:rPr>
    </w:pPr>
  </w:p>
  <w:p w14:paraId="211B7F5D" w14:textId="77777777" w:rsidR="00590F1F" w:rsidRDefault="00590F1F" w:rsidP="00844AE9">
    <w:pPr>
      <w:spacing w:after="0" w:line="240" w:lineRule="auto"/>
      <w:rPr>
        <w:rFonts w:ascii="Verdana" w:hAnsi="Verdana"/>
        <w:sz w:val="24"/>
        <w:szCs w:val="24"/>
      </w:rPr>
    </w:pPr>
  </w:p>
  <w:p w14:paraId="5A0054B1" w14:textId="77777777" w:rsidR="00590F1F" w:rsidRPr="00C925AC" w:rsidRDefault="00590F1F" w:rsidP="00844AE9">
    <w:pPr>
      <w:spacing w:after="0" w:line="240" w:lineRule="auto"/>
      <w:rPr>
        <w:rFonts w:ascii="Verdana" w:hAnsi="Verdana"/>
        <w:sz w:val="24"/>
        <w:szCs w:val="24"/>
      </w:rPr>
    </w:pPr>
  </w:p>
  <w:p w14:paraId="1FD1C243" w14:textId="37C5500A" w:rsidR="00590F1F" w:rsidRPr="00C925AC" w:rsidRDefault="00590F1F"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A82B4267"/>
    <w:multiLevelType w:val="hybridMultilevel"/>
    <w:tmpl w:val="7CE34A46"/>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0F736BA"/>
    <w:multiLevelType w:val="hybridMultilevel"/>
    <w:tmpl w:val="8B64E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A6681"/>
    <w:multiLevelType w:val="hybridMultilevel"/>
    <w:tmpl w:val="D67E18FC"/>
    <w:lvl w:ilvl="0" w:tplc="774C31E8">
      <w:start w:val="1"/>
      <w:numFmt w:val="lowerLetter"/>
      <w:lvlText w:val="%1)"/>
      <w:lvlJc w:val="left"/>
      <w:pPr>
        <w:ind w:left="750" w:hanging="39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52032521">
    <w:abstractNumId w:val="11"/>
  </w:num>
  <w:num w:numId="2" w16cid:durableId="1708023858">
    <w:abstractNumId w:val="3"/>
  </w:num>
  <w:num w:numId="3" w16cid:durableId="1140922944">
    <w:abstractNumId w:val="8"/>
  </w:num>
  <w:num w:numId="4" w16cid:durableId="107243116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2772234">
    <w:abstractNumId w:val="3"/>
  </w:num>
  <w:num w:numId="6" w16cid:durableId="1708412440">
    <w:abstractNumId w:val="19"/>
  </w:num>
  <w:num w:numId="7" w16cid:durableId="1914319446">
    <w:abstractNumId w:val="10"/>
  </w:num>
  <w:num w:numId="8" w16cid:durableId="1635136517">
    <w:abstractNumId w:val="18"/>
  </w:num>
  <w:num w:numId="9" w16cid:durableId="511531115">
    <w:abstractNumId w:val="12"/>
  </w:num>
  <w:num w:numId="10" w16cid:durableId="611788255">
    <w:abstractNumId w:val="17"/>
  </w:num>
  <w:num w:numId="11" w16cid:durableId="1978341119">
    <w:abstractNumId w:val="13"/>
  </w:num>
  <w:num w:numId="12" w16cid:durableId="166868309">
    <w:abstractNumId w:val="2"/>
  </w:num>
  <w:num w:numId="13" w16cid:durableId="1682658869">
    <w:abstractNumId w:val="5"/>
  </w:num>
  <w:num w:numId="14" w16cid:durableId="252517273">
    <w:abstractNumId w:val="20"/>
  </w:num>
  <w:num w:numId="15" w16cid:durableId="1064379256">
    <w:abstractNumId w:val="16"/>
  </w:num>
  <w:num w:numId="16" w16cid:durableId="1673337188">
    <w:abstractNumId w:val="1"/>
  </w:num>
  <w:num w:numId="17" w16cid:durableId="1416703042">
    <w:abstractNumId w:val="14"/>
  </w:num>
  <w:num w:numId="18" w16cid:durableId="346444864">
    <w:abstractNumId w:val="15"/>
  </w:num>
  <w:num w:numId="19" w16cid:durableId="200172314">
    <w:abstractNumId w:val="4"/>
  </w:num>
  <w:num w:numId="20" w16cid:durableId="2086027695">
    <w:abstractNumId w:val="21"/>
  </w:num>
  <w:num w:numId="21" w16cid:durableId="1821339354">
    <w:abstractNumId w:val="0"/>
  </w:num>
  <w:num w:numId="22" w16cid:durableId="76562841">
    <w:abstractNumId w:val="9"/>
  </w:num>
  <w:num w:numId="23" w16cid:durableId="1624649345">
    <w:abstractNumId w:val="6"/>
  </w:num>
  <w:num w:numId="24" w16cid:durableId="104425230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452B"/>
    <w:rsid w:val="0001041D"/>
    <w:rsid w:val="000127AE"/>
    <w:rsid w:val="00015FCF"/>
    <w:rsid w:val="00016F78"/>
    <w:rsid w:val="0003030D"/>
    <w:rsid w:val="00033FA1"/>
    <w:rsid w:val="00044EB2"/>
    <w:rsid w:val="00045B34"/>
    <w:rsid w:val="00046945"/>
    <w:rsid w:val="00050285"/>
    <w:rsid w:val="00056DA8"/>
    <w:rsid w:val="00061B2A"/>
    <w:rsid w:val="00081367"/>
    <w:rsid w:val="00082362"/>
    <w:rsid w:val="000825A6"/>
    <w:rsid w:val="00095DAE"/>
    <w:rsid w:val="000A683E"/>
    <w:rsid w:val="000B19B9"/>
    <w:rsid w:val="000D0334"/>
    <w:rsid w:val="000D5040"/>
    <w:rsid w:val="000D5DA7"/>
    <w:rsid w:val="000F4BC5"/>
    <w:rsid w:val="000F4EFB"/>
    <w:rsid w:val="000F6486"/>
    <w:rsid w:val="00102203"/>
    <w:rsid w:val="00116940"/>
    <w:rsid w:val="00125105"/>
    <w:rsid w:val="00125AB3"/>
    <w:rsid w:val="00127233"/>
    <w:rsid w:val="0012746B"/>
    <w:rsid w:val="00127474"/>
    <w:rsid w:val="00135B65"/>
    <w:rsid w:val="00151FE0"/>
    <w:rsid w:val="001541CC"/>
    <w:rsid w:val="0015699B"/>
    <w:rsid w:val="00164F92"/>
    <w:rsid w:val="00164FB3"/>
    <w:rsid w:val="00186DE9"/>
    <w:rsid w:val="001967FD"/>
    <w:rsid w:val="001A33BF"/>
    <w:rsid w:val="001A65C5"/>
    <w:rsid w:val="001A786D"/>
    <w:rsid w:val="001C1910"/>
    <w:rsid w:val="001E194B"/>
    <w:rsid w:val="001E4177"/>
    <w:rsid w:val="001E5EA0"/>
    <w:rsid w:val="001F0B24"/>
    <w:rsid w:val="001F2485"/>
    <w:rsid w:val="001F7DC6"/>
    <w:rsid w:val="0020079E"/>
    <w:rsid w:val="00220E81"/>
    <w:rsid w:val="0022205F"/>
    <w:rsid w:val="0022400B"/>
    <w:rsid w:val="00224998"/>
    <w:rsid w:val="00226CC2"/>
    <w:rsid w:val="002421BB"/>
    <w:rsid w:val="0024692A"/>
    <w:rsid w:val="0025796E"/>
    <w:rsid w:val="00261121"/>
    <w:rsid w:val="00263FAD"/>
    <w:rsid w:val="002707A2"/>
    <w:rsid w:val="00272A28"/>
    <w:rsid w:val="002826F0"/>
    <w:rsid w:val="002839DF"/>
    <w:rsid w:val="002845F4"/>
    <w:rsid w:val="002857D9"/>
    <w:rsid w:val="00293441"/>
    <w:rsid w:val="002951A0"/>
    <w:rsid w:val="002961A6"/>
    <w:rsid w:val="002962BC"/>
    <w:rsid w:val="002A093D"/>
    <w:rsid w:val="002A0DD0"/>
    <w:rsid w:val="002A49AC"/>
    <w:rsid w:val="002A5E3E"/>
    <w:rsid w:val="002A64FD"/>
    <w:rsid w:val="002A760C"/>
    <w:rsid w:val="002C5725"/>
    <w:rsid w:val="002C7A84"/>
    <w:rsid w:val="002E2BF8"/>
    <w:rsid w:val="002E3493"/>
    <w:rsid w:val="002E4FD9"/>
    <w:rsid w:val="002E60E4"/>
    <w:rsid w:val="002F3CDF"/>
    <w:rsid w:val="0030657A"/>
    <w:rsid w:val="00306EAE"/>
    <w:rsid w:val="00322A85"/>
    <w:rsid w:val="00324168"/>
    <w:rsid w:val="00330834"/>
    <w:rsid w:val="003318AB"/>
    <w:rsid w:val="00341304"/>
    <w:rsid w:val="003448F4"/>
    <w:rsid w:val="00355EA0"/>
    <w:rsid w:val="00356619"/>
    <w:rsid w:val="003604F5"/>
    <w:rsid w:val="00374F5E"/>
    <w:rsid w:val="00377E3E"/>
    <w:rsid w:val="00386205"/>
    <w:rsid w:val="0039261C"/>
    <w:rsid w:val="003A779E"/>
    <w:rsid w:val="003B2F20"/>
    <w:rsid w:val="003C5B43"/>
    <w:rsid w:val="003C5B9E"/>
    <w:rsid w:val="003C64B8"/>
    <w:rsid w:val="003D0F4D"/>
    <w:rsid w:val="003D1CF9"/>
    <w:rsid w:val="003D5B0D"/>
    <w:rsid w:val="003E0499"/>
    <w:rsid w:val="003E4F80"/>
    <w:rsid w:val="003E6439"/>
    <w:rsid w:val="003E6646"/>
    <w:rsid w:val="003F0A7D"/>
    <w:rsid w:val="003F3941"/>
    <w:rsid w:val="003F482A"/>
    <w:rsid w:val="00401590"/>
    <w:rsid w:val="00406575"/>
    <w:rsid w:val="004143D6"/>
    <w:rsid w:val="00414C74"/>
    <w:rsid w:val="00417B5B"/>
    <w:rsid w:val="0042722E"/>
    <w:rsid w:val="00437377"/>
    <w:rsid w:val="0044158F"/>
    <w:rsid w:val="0044528D"/>
    <w:rsid w:val="00447D22"/>
    <w:rsid w:val="00461D39"/>
    <w:rsid w:val="00466302"/>
    <w:rsid w:val="00466E39"/>
    <w:rsid w:val="004674CF"/>
    <w:rsid w:val="00473BEB"/>
    <w:rsid w:val="00474419"/>
    <w:rsid w:val="0048398A"/>
    <w:rsid w:val="00492100"/>
    <w:rsid w:val="00494C69"/>
    <w:rsid w:val="0049570F"/>
    <w:rsid w:val="004A1847"/>
    <w:rsid w:val="004A305D"/>
    <w:rsid w:val="004A6099"/>
    <w:rsid w:val="004B7D74"/>
    <w:rsid w:val="004C1120"/>
    <w:rsid w:val="004C446E"/>
    <w:rsid w:val="004D3BDD"/>
    <w:rsid w:val="004D420F"/>
    <w:rsid w:val="004E2C68"/>
    <w:rsid w:val="004E71EE"/>
    <w:rsid w:val="004F1C0A"/>
    <w:rsid w:val="004F21C4"/>
    <w:rsid w:val="004F685F"/>
    <w:rsid w:val="00505457"/>
    <w:rsid w:val="0051410B"/>
    <w:rsid w:val="005154AE"/>
    <w:rsid w:val="005221D0"/>
    <w:rsid w:val="00526A6D"/>
    <w:rsid w:val="0053199F"/>
    <w:rsid w:val="005461C4"/>
    <w:rsid w:val="00547F58"/>
    <w:rsid w:val="00552976"/>
    <w:rsid w:val="005566E8"/>
    <w:rsid w:val="00574867"/>
    <w:rsid w:val="00580BC6"/>
    <w:rsid w:val="00585673"/>
    <w:rsid w:val="00590F1F"/>
    <w:rsid w:val="00591460"/>
    <w:rsid w:val="00597A19"/>
    <w:rsid w:val="005A1150"/>
    <w:rsid w:val="005A65E0"/>
    <w:rsid w:val="005B0452"/>
    <w:rsid w:val="005B189F"/>
    <w:rsid w:val="005B4B74"/>
    <w:rsid w:val="005C006B"/>
    <w:rsid w:val="005C008F"/>
    <w:rsid w:val="005C3777"/>
    <w:rsid w:val="005C5CDC"/>
    <w:rsid w:val="005C6BC8"/>
    <w:rsid w:val="005D476C"/>
    <w:rsid w:val="005E6B20"/>
    <w:rsid w:val="005F181C"/>
    <w:rsid w:val="00602549"/>
    <w:rsid w:val="00614323"/>
    <w:rsid w:val="006200BF"/>
    <w:rsid w:val="006219F8"/>
    <w:rsid w:val="006229C7"/>
    <w:rsid w:val="006302F7"/>
    <w:rsid w:val="00641F7E"/>
    <w:rsid w:val="00646B9F"/>
    <w:rsid w:val="00656F96"/>
    <w:rsid w:val="00662D62"/>
    <w:rsid w:val="00665485"/>
    <w:rsid w:val="00665D70"/>
    <w:rsid w:val="00675906"/>
    <w:rsid w:val="006769BD"/>
    <w:rsid w:val="006803AB"/>
    <w:rsid w:val="00686C01"/>
    <w:rsid w:val="006900D9"/>
    <w:rsid w:val="006A66E3"/>
    <w:rsid w:val="006C04F1"/>
    <w:rsid w:val="006C51DF"/>
    <w:rsid w:val="006D3999"/>
    <w:rsid w:val="006D43F7"/>
    <w:rsid w:val="006D5A89"/>
    <w:rsid w:val="006D76F7"/>
    <w:rsid w:val="006E2BF4"/>
    <w:rsid w:val="007032A8"/>
    <w:rsid w:val="00706C16"/>
    <w:rsid w:val="00710815"/>
    <w:rsid w:val="00721364"/>
    <w:rsid w:val="0073108D"/>
    <w:rsid w:val="007317FA"/>
    <w:rsid w:val="00733617"/>
    <w:rsid w:val="007340C3"/>
    <w:rsid w:val="00737DF0"/>
    <w:rsid w:val="0075235A"/>
    <w:rsid w:val="00752490"/>
    <w:rsid w:val="00756841"/>
    <w:rsid w:val="007604D9"/>
    <w:rsid w:val="007649AB"/>
    <w:rsid w:val="00771D0C"/>
    <w:rsid w:val="00771E47"/>
    <w:rsid w:val="007744FB"/>
    <w:rsid w:val="0078130C"/>
    <w:rsid w:val="007829E1"/>
    <w:rsid w:val="007833AC"/>
    <w:rsid w:val="0078433B"/>
    <w:rsid w:val="00792AB0"/>
    <w:rsid w:val="0079747D"/>
    <w:rsid w:val="007A153F"/>
    <w:rsid w:val="007B268C"/>
    <w:rsid w:val="007B7171"/>
    <w:rsid w:val="007C0C0F"/>
    <w:rsid w:val="007C1914"/>
    <w:rsid w:val="007C3DC2"/>
    <w:rsid w:val="007C772B"/>
    <w:rsid w:val="007D3968"/>
    <w:rsid w:val="007E0EF2"/>
    <w:rsid w:val="007E5497"/>
    <w:rsid w:val="007F019B"/>
    <w:rsid w:val="007F0FED"/>
    <w:rsid w:val="00801043"/>
    <w:rsid w:val="00806F5F"/>
    <w:rsid w:val="008106C1"/>
    <w:rsid w:val="00815B83"/>
    <w:rsid w:val="008160D9"/>
    <w:rsid w:val="00817856"/>
    <w:rsid w:val="00820169"/>
    <w:rsid w:val="00820278"/>
    <w:rsid w:val="00824114"/>
    <w:rsid w:val="008258C9"/>
    <w:rsid w:val="00826EE8"/>
    <w:rsid w:val="008360B9"/>
    <w:rsid w:val="00844AE9"/>
    <w:rsid w:val="0085430E"/>
    <w:rsid w:val="00855111"/>
    <w:rsid w:val="00861467"/>
    <w:rsid w:val="00867F95"/>
    <w:rsid w:val="008835B4"/>
    <w:rsid w:val="008843B6"/>
    <w:rsid w:val="00891876"/>
    <w:rsid w:val="00891928"/>
    <w:rsid w:val="008934CB"/>
    <w:rsid w:val="00895356"/>
    <w:rsid w:val="008A1896"/>
    <w:rsid w:val="008A446D"/>
    <w:rsid w:val="008B104D"/>
    <w:rsid w:val="008B25F1"/>
    <w:rsid w:val="008B49DE"/>
    <w:rsid w:val="008C098E"/>
    <w:rsid w:val="008C12B5"/>
    <w:rsid w:val="008C571F"/>
    <w:rsid w:val="008C5A84"/>
    <w:rsid w:val="008D180B"/>
    <w:rsid w:val="008E17DE"/>
    <w:rsid w:val="008E2ED3"/>
    <w:rsid w:val="008E72AF"/>
    <w:rsid w:val="008E7CAD"/>
    <w:rsid w:val="008F0EA7"/>
    <w:rsid w:val="008F327E"/>
    <w:rsid w:val="008F3366"/>
    <w:rsid w:val="00906F77"/>
    <w:rsid w:val="00920937"/>
    <w:rsid w:val="00923EEF"/>
    <w:rsid w:val="009305DC"/>
    <w:rsid w:val="009316D3"/>
    <w:rsid w:val="009360D4"/>
    <w:rsid w:val="009419F9"/>
    <w:rsid w:val="0095685E"/>
    <w:rsid w:val="00960121"/>
    <w:rsid w:val="00961B09"/>
    <w:rsid w:val="00965334"/>
    <w:rsid w:val="0097093E"/>
    <w:rsid w:val="00973E63"/>
    <w:rsid w:val="009902CD"/>
    <w:rsid w:val="00990BF1"/>
    <w:rsid w:val="009A0045"/>
    <w:rsid w:val="009A027F"/>
    <w:rsid w:val="009A0DFA"/>
    <w:rsid w:val="009A1C6F"/>
    <w:rsid w:val="009A3D87"/>
    <w:rsid w:val="009B2D26"/>
    <w:rsid w:val="009B651B"/>
    <w:rsid w:val="009B7652"/>
    <w:rsid w:val="009C3F0E"/>
    <w:rsid w:val="009C4FB1"/>
    <w:rsid w:val="009C6026"/>
    <w:rsid w:val="009C6CA3"/>
    <w:rsid w:val="009C71FA"/>
    <w:rsid w:val="009C72E7"/>
    <w:rsid w:val="009C7F7E"/>
    <w:rsid w:val="009D0D83"/>
    <w:rsid w:val="009D3058"/>
    <w:rsid w:val="009E6333"/>
    <w:rsid w:val="009F114E"/>
    <w:rsid w:val="009F27AB"/>
    <w:rsid w:val="009F3A13"/>
    <w:rsid w:val="00A07EBF"/>
    <w:rsid w:val="00A1025E"/>
    <w:rsid w:val="00A122D3"/>
    <w:rsid w:val="00A14468"/>
    <w:rsid w:val="00A17F13"/>
    <w:rsid w:val="00A20739"/>
    <w:rsid w:val="00A218FA"/>
    <w:rsid w:val="00A23AF9"/>
    <w:rsid w:val="00A33C78"/>
    <w:rsid w:val="00A41D37"/>
    <w:rsid w:val="00A63F17"/>
    <w:rsid w:val="00A768EB"/>
    <w:rsid w:val="00A77900"/>
    <w:rsid w:val="00A83161"/>
    <w:rsid w:val="00A86E5C"/>
    <w:rsid w:val="00A94F84"/>
    <w:rsid w:val="00A95DA4"/>
    <w:rsid w:val="00AB0ADB"/>
    <w:rsid w:val="00AC47E2"/>
    <w:rsid w:val="00AD67E7"/>
    <w:rsid w:val="00AF3265"/>
    <w:rsid w:val="00B00C0E"/>
    <w:rsid w:val="00B01B1A"/>
    <w:rsid w:val="00B0248A"/>
    <w:rsid w:val="00B0381D"/>
    <w:rsid w:val="00B13882"/>
    <w:rsid w:val="00B14F11"/>
    <w:rsid w:val="00B14F36"/>
    <w:rsid w:val="00B42008"/>
    <w:rsid w:val="00B44A47"/>
    <w:rsid w:val="00B45051"/>
    <w:rsid w:val="00B54DD4"/>
    <w:rsid w:val="00B72CD3"/>
    <w:rsid w:val="00B72FFF"/>
    <w:rsid w:val="00B7443D"/>
    <w:rsid w:val="00B93683"/>
    <w:rsid w:val="00B944AA"/>
    <w:rsid w:val="00B95ED8"/>
    <w:rsid w:val="00BA15D8"/>
    <w:rsid w:val="00BA7A2E"/>
    <w:rsid w:val="00BC3D36"/>
    <w:rsid w:val="00BD54A6"/>
    <w:rsid w:val="00BD7F72"/>
    <w:rsid w:val="00BD7FA2"/>
    <w:rsid w:val="00BE0FC4"/>
    <w:rsid w:val="00BF58CD"/>
    <w:rsid w:val="00BF6651"/>
    <w:rsid w:val="00BF7425"/>
    <w:rsid w:val="00BF78B9"/>
    <w:rsid w:val="00C04FB3"/>
    <w:rsid w:val="00C11D8B"/>
    <w:rsid w:val="00C149DB"/>
    <w:rsid w:val="00C15139"/>
    <w:rsid w:val="00C330EB"/>
    <w:rsid w:val="00C40EA7"/>
    <w:rsid w:val="00C47406"/>
    <w:rsid w:val="00C50D69"/>
    <w:rsid w:val="00C5365C"/>
    <w:rsid w:val="00C63036"/>
    <w:rsid w:val="00C67C8B"/>
    <w:rsid w:val="00C70088"/>
    <w:rsid w:val="00C729D3"/>
    <w:rsid w:val="00C754BE"/>
    <w:rsid w:val="00C76B1C"/>
    <w:rsid w:val="00C925AC"/>
    <w:rsid w:val="00C9323E"/>
    <w:rsid w:val="00C935EA"/>
    <w:rsid w:val="00C9400D"/>
    <w:rsid w:val="00C946BF"/>
    <w:rsid w:val="00C958D1"/>
    <w:rsid w:val="00CA0E68"/>
    <w:rsid w:val="00CB4E0C"/>
    <w:rsid w:val="00CB6357"/>
    <w:rsid w:val="00CC1B26"/>
    <w:rsid w:val="00CD3096"/>
    <w:rsid w:val="00CD6067"/>
    <w:rsid w:val="00CE4589"/>
    <w:rsid w:val="00CE72C3"/>
    <w:rsid w:val="00CF4861"/>
    <w:rsid w:val="00CF6ED5"/>
    <w:rsid w:val="00D11481"/>
    <w:rsid w:val="00D13C5D"/>
    <w:rsid w:val="00D14E75"/>
    <w:rsid w:val="00D16C15"/>
    <w:rsid w:val="00D308EA"/>
    <w:rsid w:val="00D31EC6"/>
    <w:rsid w:val="00D350D3"/>
    <w:rsid w:val="00D361FD"/>
    <w:rsid w:val="00D36AA3"/>
    <w:rsid w:val="00D417C8"/>
    <w:rsid w:val="00D423A2"/>
    <w:rsid w:val="00D439FC"/>
    <w:rsid w:val="00D44E26"/>
    <w:rsid w:val="00D4616F"/>
    <w:rsid w:val="00D520D8"/>
    <w:rsid w:val="00D53F94"/>
    <w:rsid w:val="00D63AC2"/>
    <w:rsid w:val="00D7383B"/>
    <w:rsid w:val="00D775E1"/>
    <w:rsid w:val="00D7788A"/>
    <w:rsid w:val="00DA231B"/>
    <w:rsid w:val="00DB5A80"/>
    <w:rsid w:val="00DC39FC"/>
    <w:rsid w:val="00DD0992"/>
    <w:rsid w:val="00DD4F85"/>
    <w:rsid w:val="00DE2D40"/>
    <w:rsid w:val="00DF3F1B"/>
    <w:rsid w:val="00DF5254"/>
    <w:rsid w:val="00E02524"/>
    <w:rsid w:val="00E04A4E"/>
    <w:rsid w:val="00E16408"/>
    <w:rsid w:val="00E20894"/>
    <w:rsid w:val="00E22A1A"/>
    <w:rsid w:val="00E245AB"/>
    <w:rsid w:val="00E2764C"/>
    <w:rsid w:val="00E27F2E"/>
    <w:rsid w:val="00E35083"/>
    <w:rsid w:val="00E36FF4"/>
    <w:rsid w:val="00E44F90"/>
    <w:rsid w:val="00E5016B"/>
    <w:rsid w:val="00E50AFE"/>
    <w:rsid w:val="00E52607"/>
    <w:rsid w:val="00E54809"/>
    <w:rsid w:val="00E56EE8"/>
    <w:rsid w:val="00E60AD8"/>
    <w:rsid w:val="00E7040A"/>
    <w:rsid w:val="00E75C92"/>
    <w:rsid w:val="00E760D9"/>
    <w:rsid w:val="00E771DC"/>
    <w:rsid w:val="00E8252C"/>
    <w:rsid w:val="00E83EFE"/>
    <w:rsid w:val="00E8772A"/>
    <w:rsid w:val="00E90AC3"/>
    <w:rsid w:val="00E90F6B"/>
    <w:rsid w:val="00E92C27"/>
    <w:rsid w:val="00EA0E3D"/>
    <w:rsid w:val="00EA4B5D"/>
    <w:rsid w:val="00EC101D"/>
    <w:rsid w:val="00EC38A7"/>
    <w:rsid w:val="00EC3EA6"/>
    <w:rsid w:val="00EE1AA8"/>
    <w:rsid w:val="00EF68E7"/>
    <w:rsid w:val="00F04FFA"/>
    <w:rsid w:val="00F126B7"/>
    <w:rsid w:val="00F12FAC"/>
    <w:rsid w:val="00F163B0"/>
    <w:rsid w:val="00F16BC8"/>
    <w:rsid w:val="00F23956"/>
    <w:rsid w:val="00F23FEA"/>
    <w:rsid w:val="00F31A4A"/>
    <w:rsid w:val="00F31EDC"/>
    <w:rsid w:val="00F45DD2"/>
    <w:rsid w:val="00F462B3"/>
    <w:rsid w:val="00F5664F"/>
    <w:rsid w:val="00F624DD"/>
    <w:rsid w:val="00F666C4"/>
    <w:rsid w:val="00F7339B"/>
    <w:rsid w:val="00F76AFC"/>
    <w:rsid w:val="00F955B6"/>
    <w:rsid w:val="00F97C59"/>
    <w:rsid w:val="00FA158E"/>
    <w:rsid w:val="00FA3E17"/>
    <w:rsid w:val="00FA47C0"/>
    <w:rsid w:val="00FB2271"/>
    <w:rsid w:val="00FB5DD1"/>
    <w:rsid w:val="00FC0D02"/>
    <w:rsid w:val="00FC2B5D"/>
    <w:rsid w:val="00FD63E7"/>
    <w:rsid w:val="00FD6E05"/>
    <w:rsid w:val="00FF1449"/>
    <w:rsid w:val="00FF1C5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4F84"/>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 w:type="character" w:styleId="Fuerte">
    <w:name w:val="Strong"/>
    <w:basedOn w:val="Fuentedeprrafopredeter"/>
    <w:uiPriority w:val="22"/>
    <w:qFormat/>
    <w:rsid w:val="009A3D87"/>
    <w:rPr>
      <w:b/>
      <w:bCs/>
    </w:rPr>
  </w:style>
  <w:style w:type="character" w:styleId="nfasis">
    <w:name w:val="Emphasis"/>
    <w:basedOn w:val="Fuentedeprrafopredeter"/>
    <w:uiPriority w:val="20"/>
    <w:qFormat/>
    <w:rsid w:val="009A3D87"/>
    <w:rPr>
      <w:i/>
      <w:iCs/>
    </w:rPr>
  </w:style>
  <w:style w:type="table" w:customStyle="1" w:styleId="Tablaconcuadrcula12">
    <w:name w:val="Tabla con cuadrícula12"/>
    <w:basedOn w:val="Tablanormal"/>
    <w:next w:val="Tablaconcuadrcula"/>
    <w:uiPriority w:val="39"/>
    <w:qFormat/>
    <w:rsid w:val="00EC3E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qFormat/>
    <w:rsid w:val="00EC3E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qFormat/>
    <w:rsid w:val="00044E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7864">
      <w:bodyDiv w:val="1"/>
      <w:marLeft w:val="0"/>
      <w:marRight w:val="0"/>
      <w:marTop w:val="0"/>
      <w:marBottom w:val="0"/>
      <w:divBdr>
        <w:top w:val="none" w:sz="0" w:space="0" w:color="auto"/>
        <w:left w:val="none" w:sz="0" w:space="0" w:color="auto"/>
        <w:bottom w:val="none" w:sz="0" w:space="0" w:color="auto"/>
        <w:right w:val="none" w:sz="0" w:space="0" w:color="auto"/>
      </w:divBdr>
      <w:divsChild>
        <w:div w:id="264266452">
          <w:marLeft w:val="0"/>
          <w:marRight w:val="0"/>
          <w:marTop w:val="0"/>
          <w:marBottom w:val="0"/>
          <w:divBdr>
            <w:top w:val="none" w:sz="0" w:space="0" w:color="auto"/>
            <w:left w:val="none" w:sz="0" w:space="0" w:color="auto"/>
            <w:bottom w:val="none" w:sz="0" w:space="0" w:color="auto"/>
            <w:right w:val="none" w:sz="0" w:space="0" w:color="auto"/>
          </w:divBdr>
        </w:div>
      </w:divsChild>
    </w:div>
    <w:div w:id="268245330">
      <w:bodyDiv w:val="1"/>
      <w:marLeft w:val="0"/>
      <w:marRight w:val="0"/>
      <w:marTop w:val="0"/>
      <w:marBottom w:val="0"/>
      <w:divBdr>
        <w:top w:val="none" w:sz="0" w:space="0" w:color="auto"/>
        <w:left w:val="none" w:sz="0" w:space="0" w:color="auto"/>
        <w:bottom w:val="none" w:sz="0" w:space="0" w:color="auto"/>
        <w:right w:val="none" w:sz="0" w:space="0" w:color="auto"/>
      </w:divBdr>
      <w:divsChild>
        <w:div w:id="21365827">
          <w:marLeft w:val="0"/>
          <w:marRight w:val="0"/>
          <w:marTop w:val="0"/>
          <w:marBottom w:val="0"/>
          <w:divBdr>
            <w:top w:val="none" w:sz="0" w:space="0" w:color="auto"/>
            <w:left w:val="none" w:sz="0" w:space="0" w:color="auto"/>
            <w:bottom w:val="none" w:sz="0" w:space="0" w:color="auto"/>
            <w:right w:val="none" w:sz="0" w:space="0" w:color="auto"/>
          </w:divBdr>
        </w:div>
      </w:divsChild>
    </w:div>
    <w:div w:id="293608500">
      <w:bodyDiv w:val="1"/>
      <w:marLeft w:val="0"/>
      <w:marRight w:val="0"/>
      <w:marTop w:val="0"/>
      <w:marBottom w:val="0"/>
      <w:divBdr>
        <w:top w:val="none" w:sz="0" w:space="0" w:color="auto"/>
        <w:left w:val="none" w:sz="0" w:space="0" w:color="auto"/>
        <w:bottom w:val="none" w:sz="0" w:space="0" w:color="auto"/>
        <w:right w:val="none" w:sz="0" w:space="0" w:color="auto"/>
      </w:divBdr>
      <w:divsChild>
        <w:div w:id="1115371027">
          <w:marLeft w:val="0"/>
          <w:marRight w:val="0"/>
          <w:marTop w:val="0"/>
          <w:marBottom w:val="0"/>
          <w:divBdr>
            <w:top w:val="none" w:sz="0" w:space="0" w:color="auto"/>
            <w:left w:val="none" w:sz="0" w:space="0" w:color="auto"/>
            <w:bottom w:val="none" w:sz="0" w:space="0" w:color="auto"/>
            <w:right w:val="none" w:sz="0" w:space="0" w:color="auto"/>
          </w:divBdr>
        </w:div>
      </w:divsChild>
    </w:div>
    <w:div w:id="447939350">
      <w:bodyDiv w:val="1"/>
      <w:marLeft w:val="0"/>
      <w:marRight w:val="0"/>
      <w:marTop w:val="0"/>
      <w:marBottom w:val="0"/>
      <w:divBdr>
        <w:top w:val="none" w:sz="0" w:space="0" w:color="auto"/>
        <w:left w:val="none" w:sz="0" w:space="0" w:color="auto"/>
        <w:bottom w:val="none" w:sz="0" w:space="0" w:color="auto"/>
        <w:right w:val="none" w:sz="0" w:space="0" w:color="auto"/>
      </w:divBdr>
      <w:divsChild>
        <w:div w:id="2035374761">
          <w:marLeft w:val="0"/>
          <w:marRight w:val="0"/>
          <w:marTop w:val="0"/>
          <w:marBottom w:val="0"/>
          <w:divBdr>
            <w:top w:val="none" w:sz="0" w:space="0" w:color="auto"/>
            <w:left w:val="none" w:sz="0" w:space="0" w:color="auto"/>
            <w:bottom w:val="none" w:sz="0" w:space="0" w:color="auto"/>
            <w:right w:val="none" w:sz="0" w:space="0" w:color="auto"/>
          </w:divBdr>
        </w:div>
      </w:divsChild>
    </w:div>
    <w:div w:id="49630550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56404280">
      <w:bodyDiv w:val="1"/>
      <w:marLeft w:val="0"/>
      <w:marRight w:val="0"/>
      <w:marTop w:val="0"/>
      <w:marBottom w:val="0"/>
      <w:divBdr>
        <w:top w:val="none" w:sz="0" w:space="0" w:color="auto"/>
        <w:left w:val="none" w:sz="0" w:space="0" w:color="auto"/>
        <w:bottom w:val="none" w:sz="0" w:space="0" w:color="auto"/>
        <w:right w:val="none" w:sz="0" w:space="0" w:color="auto"/>
      </w:divBdr>
      <w:divsChild>
        <w:div w:id="511335876">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68481365">
      <w:bodyDiv w:val="1"/>
      <w:marLeft w:val="0"/>
      <w:marRight w:val="0"/>
      <w:marTop w:val="0"/>
      <w:marBottom w:val="0"/>
      <w:divBdr>
        <w:top w:val="none" w:sz="0" w:space="0" w:color="auto"/>
        <w:left w:val="none" w:sz="0" w:space="0" w:color="auto"/>
        <w:bottom w:val="none" w:sz="0" w:space="0" w:color="auto"/>
        <w:right w:val="none" w:sz="0" w:space="0" w:color="auto"/>
      </w:divBdr>
    </w:div>
    <w:div w:id="1394081920">
      <w:bodyDiv w:val="1"/>
      <w:marLeft w:val="0"/>
      <w:marRight w:val="0"/>
      <w:marTop w:val="0"/>
      <w:marBottom w:val="0"/>
      <w:divBdr>
        <w:top w:val="none" w:sz="0" w:space="0" w:color="auto"/>
        <w:left w:val="none" w:sz="0" w:space="0" w:color="auto"/>
        <w:bottom w:val="none" w:sz="0" w:space="0" w:color="auto"/>
        <w:right w:val="none" w:sz="0" w:space="0" w:color="auto"/>
      </w:divBdr>
      <w:divsChild>
        <w:div w:id="502360040">
          <w:marLeft w:val="0"/>
          <w:marRight w:val="0"/>
          <w:marTop w:val="0"/>
          <w:marBottom w:val="0"/>
          <w:divBdr>
            <w:top w:val="none" w:sz="0" w:space="0" w:color="auto"/>
            <w:left w:val="none" w:sz="0" w:space="0" w:color="auto"/>
            <w:bottom w:val="none" w:sz="0" w:space="0" w:color="auto"/>
            <w:right w:val="none" w:sz="0" w:space="0" w:color="auto"/>
          </w:divBdr>
        </w:div>
      </w:divsChild>
    </w:div>
    <w:div w:id="1626738396">
      <w:bodyDiv w:val="1"/>
      <w:marLeft w:val="0"/>
      <w:marRight w:val="0"/>
      <w:marTop w:val="0"/>
      <w:marBottom w:val="0"/>
      <w:divBdr>
        <w:top w:val="none" w:sz="0" w:space="0" w:color="auto"/>
        <w:left w:val="none" w:sz="0" w:space="0" w:color="auto"/>
        <w:bottom w:val="none" w:sz="0" w:space="0" w:color="auto"/>
        <w:right w:val="none" w:sz="0" w:space="0" w:color="auto"/>
      </w:divBdr>
      <w:divsChild>
        <w:div w:id="793790578">
          <w:marLeft w:val="0"/>
          <w:marRight w:val="0"/>
          <w:marTop w:val="0"/>
          <w:marBottom w:val="0"/>
          <w:divBdr>
            <w:top w:val="none" w:sz="0" w:space="0" w:color="auto"/>
            <w:left w:val="none" w:sz="0" w:space="0" w:color="auto"/>
            <w:bottom w:val="none" w:sz="0" w:space="0" w:color="auto"/>
            <w:right w:val="none" w:sz="0" w:space="0" w:color="auto"/>
          </w:divBdr>
        </w:div>
      </w:divsChild>
    </w:div>
    <w:div w:id="1768499641">
      <w:bodyDiv w:val="1"/>
      <w:marLeft w:val="0"/>
      <w:marRight w:val="0"/>
      <w:marTop w:val="0"/>
      <w:marBottom w:val="0"/>
      <w:divBdr>
        <w:top w:val="none" w:sz="0" w:space="0" w:color="auto"/>
        <w:left w:val="none" w:sz="0" w:space="0" w:color="auto"/>
        <w:bottom w:val="none" w:sz="0" w:space="0" w:color="auto"/>
        <w:right w:val="none" w:sz="0" w:space="0" w:color="auto"/>
      </w:divBdr>
      <w:divsChild>
        <w:div w:id="1443305256">
          <w:marLeft w:val="0"/>
          <w:marRight w:val="0"/>
          <w:marTop w:val="0"/>
          <w:marBottom w:val="0"/>
          <w:divBdr>
            <w:top w:val="none" w:sz="0" w:space="0" w:color="auto"/>
            <w:left w:val="none" w:sz="0" w:space="0" w:color="auto"/>
            <w:bottom w:val="none" w:sz="0" w:space="0" w:color="auto"/>
            <w:right w:val="none" w:sz="0" w:space="0" w:color="auto"/>
          </w:divBdr>
        </w:div>
      </w:divsChild>
    </w:div>
    <w:div w:id="1962688443">
      <w:bodyDiv w:val="1"/>
      <w:marLeft w:val="0"/>
      <w:marRight w:val="0"/>
      <w:marTop w:val="0"/>
      <w:marBottom w:val="0"/>
      <w:divBdr>
        <w:top w:val="none" w:sz="0" w:space="0" w:color="auto"/>
        <w:left w:val="none" w:sz="0" w:space="0" w:color="auto"/>
        <w:bottom w:val="none" w:sz="0" w:space="0" w:color="auto"/>
        <w:right w:val="none" w:sz="0" w:space="0" w:color="auto"/>
      </w:divBdr>
      <w:divsChild>
        <w:div w:id="1045787496">
          <w:marLeft w:val="0"/>
          <w:marRight w:val="0"/>
          <w:marTop w:val="0"/>
          <w:marBottom w:val="0"/>
          <w:divBdr>
            <w:top w:val="none" w:sz="0" w:space="0" w:color="auto"/>
            <w:left w:val="none" w:sz="0" w:space="0" w:color="auto"/>
            <w:bottom w:val="none" w:sz="0" w:space="0" w:color="auto"/>
            <w:right w:val="none" w:sz="0" w:space="0" w:color="auto"/>
          </w:divBdr>
        </w:div>
      </w:divsChild>
    </w:div>
    <w:div w:id="2133478224">
      <w:bodyDiv w:val="1"/>
      <w:marLeft w:val="0"/>
      <w:marRight w:val="0"/>
      <w:marTop w:val="0"/>
      <w:marBottom w:val="0"/>
      <w:divBdr>
        <w:top w:val="none" w:sz="0" w:space="0" w:color="auto"/>
        <w:left w:val="none" w:sz="0" w:space="0" w:color="auto"/>
        <w:bottom w:val="none" w:sz="0" w:space="0" w:color="auto"/>
        <w:right w:val="none" w:sz="0" w:space="0" w:color="auto"/>
      </w:divBdr>
      <w:divsChild>
        <w:div w:id="1595630102">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normativa-y-relatoria/conoce-la-relatoria"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natalialeons99@g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archivos/manual/guia-de-competencia-en-las-compras-publicas" TargetMode="External"/><Relationship Id="rId1" Type="http://schemas.openxmlformats.org/officeDocument/2006/relationships/hyperlink" Target="https://www.colombiacompra.gov.co/archivos/manual/guia-para-la-gestion-contractual-de-entidades-estatales-con-regimen-especi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23B3CB-7693-4E1A-A4F6-EA2DFB0BAF58}">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6EFEEE79-1459-438B-8C03-8AAD452578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126</TotalTime>
  <Pages>44</Pages>
  <Words>15790</Words>
  <Characters>86218</Characters>
  <Application>Microsoft Office Word</Application>
  <DocSecurity>0</DocSecurity>
  <Lines>1567</Lines>
  <Paragraphs>232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2026-04-08T02:00:00Z</dcterms:created>
  <dcterms:modified xsi:type="dcterms:W3CDTF">2026-04-08T23:43:00Z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