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53AFD" w14:textId="77777777" w:rsidR="00121DB6" w:rsidRPr="00480DE0" w:rsidRDefault="00121DB6" w:rsidP="00121DB6">
      <w:pPr>
        <w:spacing w:after="0" w:line="240" w:lineRule="auto"/>
        <w:jc w:val="both"/>
        <w:rPr>
          <w:rFonts w:ascii="Verdana" w:eastAsia="Calibri" w:hAnsi="Verdana" w:cs="Arial"/>
          <w:b/>
          <w:color w:val="000000"/>
          <w:lang w:val="es-ES"/>
        </w:rPr>
      </w:pPr>
      <w:bookmarkStart w:id="0" w:name="_Hlk143780582"/>
      <w:r w:rsidRPr="00480DE0">
        <w:rPr>
          <w:rFonts w:ascii="Verdana" w:eastAsia="Calibri" w:hAnsi="Verdana" w:cs="Arial"/>
          <w:b/>
          <w:color w:val="000000"/>
          <w:lang w:val="es-ES"/>
        </w:rPr>
        <w:t>LEY DE GARANTÍAS ELECTORALES – Finalidad - Ley 996 de 2005 – Comicios aplicables</w:t>
      </w:r>
    </w:p>
    <w:p w14:paraId="75B4C929" w14:textId="77777777" w:rsidR="00121DB6" w:rsidRPr="00480DE0" w:rsidRDefault="00121DB6" w:rsidP="00121DB6">
      <w:pPr>
        <w:spacing w:after="0" w:line="240" w:lineRule="auto"/>
        <w:jc w:val="both"/>
        <w:rPr>
          <w:rFonts w:ascii="Verdana" w:eastAsia="Calibri" w:hAnsi="Verdana" w:cs="Arial"/>
          <w:bCs/>
          <w:color w:val="000000"/>
          <w:sz w:val="20"/>
          <w:szCs w:val="20"/>
          <w:lang w:val="es-ES"/>
        </w:rPr>
      </w:pPr>
    </w:p>
    <w:p w14:paraId="33960E26" w14:textId="77777777" w:rsidR="00121DB6" w:rsidRPr="00480DE0" w:rsidRDefault="00121DB6" w:rsidP="00121DB6">
      <w:pPr>
        <w:spacing w:after="0" w:line="240" w:lineRule="auto"/>
        <w:jc w:val="both"/>
        <w:rPr>
          <w:rFonts w:ascii="Verdana" w:eastAsia="Calibri" w:hAnsi="Verdana" w:cs="Arial"/>
          <w:color w:val="000000"/>
          <w:sz w:val="20"/>
          <w:szCs w:val="20"/>
          <w:lang w:val="es-ES_tradnl" w:eastAsia="es-ES_tradnl"/>
        </w:rPr>
      </w:pPr>
      <w:r w:rsidRPr="00480DE0">
        <w:rPr>
          <w:rFonts w:ascii="Verdana" w:eastAsia="Calibri" w:hAnsi="Verdana" w:cs="Arial"/>
          <w:color w:val="000000"/>
          <w:sz w:val="20"/>
          <w:szCs w:val="20"/>
          <w:lang w:val="es-ES_tradnl" w:eastAsia="es-ES_tradnl"/>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 Ley introduce limitaciones para realizar nombramientos, postulaciones, contrataciones o cualquier otro tipo de actividad que implique destinación de recursos públicos bajo el devenir propio de las entidades estatales.</w:t>
      </w:r>
    </w:p>
    <w:p w14:paraId="1EA9A325" w14:textId="77777777" w:rsidR="00121DB6" w:rsidRPr="00480DE0" w:rsidRDefault="00121DB6" w:rsidP="00121DB6">
      <w:pPr>
        <w:spacing w:after="0" w:line="240" w:lineRule="auto"/>
        <w:jc w:val="both"/>
        <w:rPr>
          <w:rFonts w:ascii="Verdana" w:eastAsia="Calibri" w:hAnsi="Verdana" w:cs="Arial"/>
          <w:color w:val="000000"/>
          <w:sz w:val="20"/>
          <w:szCs w:val="20"/>
          <w:lang w:val="es-ES_tradnl" w:eastAsia="es-ES_tradnl"/>
        </w:rPr>
      </w:pPr>
      <w:r w:rsidRPr="00480DE0">
        <w:rPr>
          <w:rFonts w:ascii="Verdana" w:eastAsia="Calibri" w:hAnsi="Verdana" w:cs="Arial"/>
          <w:color w:val="000000"/>
          <w:sz w:val="20"/>
          <w:szCs w:val="20"/>
          <w:lang w:val="es-ES_tradnl" w:eastAsia="es-ES_tradnl"/>
        </w:rPr>
        <w:t>[…]</w:t>
      </w:r>
    </w:p>
    <w:p w14:paraId="6CE48606" w14:textId="77777777" w:rsidR="00121DB6" w:rsidRPr="00480DE0" w:rsidRDefault="00121DB6" w:rsidP="00121DB6">
      <w:pPr>
        <w:spacing w:after="0" w:line="240" w:lineRule="auto"/>
        <w:jc w:val="both"/>
        <w:rPr>
          <w:rFonts w:ascii="Verdana" w:eastAsia="Calibri" w:hAnsi="Verdana" w:cs="Arial"/>
          <w:color w:val="000000"/>
          <w:sz w:val="20"/>
          <w:szCs w:val="20"/>
          <w:lang w:val="es-ES"/>
        </w:rPr>
      </w:pPr>
      <w:r w:rsidRPr="00480DE0">
        <w:rPr>
          <w:rFonts w:ascii="Verdana" w:eastAsia="Calibri" w:hAnsi="Verdana" w:cs="Arial"/>
          <w:color w:val="000000"/>
          <w:sz w:val="20"/>
          <w:szCs w:val="20"/>
          <w:lang w:val="es-ES"/>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15F68E3E" w14:textId="77777777" w:rsidR="00121DB6" w:rsidRPr="00480DE0" w:rsidRDefault="00121DB6" w:rsidP="00121DB6">
      <w:pPr>
        <w:spacing w:after="0" w:line="240" w:lineRule="auto"/>
        <w:rPr>
          <w:rFonts w:ascii="Verdana" w:eastAsia="Geomanist Light" w:hAnsi="Verdana" w:cs="Arial"/>
          <w:color w:val="000000"/>
          <w:sz w:val="20"/>
          <w:szCs w:val="20"/>
          <w:lang w:val="es-ES_tradnl"/>
        </w:rPr>
      </w:pPr>
    </w:p>
    <w:p w14:paraId="2EBB8FF4" w14:textId="77777777" w:rsidR="00121DB6" w:rsidRPr="00480DE0" w:rsidRDefault="00121DB6" w:rsidP="00121DB6">
      <w:pPr>
        <w:spacing w:after="0" w:line="240" w:lineRule="auto"/>
        <w:jc w:val="both"/>
        <w:rPr>
          <w:rFonts w:ascii="Verdana" w:eastAsia="Calibri" w:hAnsi="Verdana" w:cs="Arial"/>
          <w:b/>
          <w:lang w:val="es-ES"/>
        </w:rPr>
      </w:pPr>
      <w:r w:rsidRPr="00480DE0">
        <w:rPr>
          <w:rFonts w:ascii="Verdana" w:eastAsia="Calibri" w:hAnsi="Verdana" w:cs="Arial"/>
          <w:b/>
          <w:lang w:val="es-ES"/>
        </w:rPr>
        <w:t>LEY DE GARANTÍAS ELECTORALES – Restricciones contractuales – Comicios aplicables - Destinatarios</w:t>
      </w:r>
    </w:p>
    <w:p w14:paraId="6C8E5CA7" w14:textId="77777777" w:rsidR="00121DB6" w:rsidRPr="00480DE0" w:rsidRDefault="00121DB6" w:rsidP="00121DB6">
      <w:pPr>
        <w:spacing w:after="0" w:line="240" w:lineRule="auto"/>
        <w:jc w:val="both"/>
        <w:rPr>
          <w:rFonts w:ascii="Verdana" w:eastAsia="Calibri" w:hAnsi="Verdana" w:cs="Arial"/>
          <w:b/>
          <w:sz w:val="20"/>
          <w:szCs w:val="20"/>
          <w:lang w:val="es-ES"/>
        </w:rPr>
      </w:pPr>
    </w:p>
    <w:p w14:paraId="2C856AC8" w14:textId="77777777" w:rsidR="00121DB6" w:rsidRPr="00480DE0" w:rsidRDefault="00121DB6" w:rsidP="00121DB6">
      <w:pPr>
        <w:spacing w:after="0"/>
        <w:jc w:val="both"/>
        <w:rPr>
          <w:rFonts w:ascii="Verdana" w:eastAsia="Calibri" w:hAnsi="Verdana" w:cs="Arial"/>
          <w:bCs/>
          <w:sz w:val="20"/>
          <w:szCs w:val="20"/>
          <w:lang w:val="es-ES"/>
        </w:rPr>
      </w:pPr>
      <w:r w:rsidRPr="00480DE0">
        <w:rPr>
          <w:rFonts w:ascii="Verdana" w:eastAsia="Calibri" w:hAnsi="Verdana" w:cs="Arial"/>
          <w:bCs/>
          <w:sz w:val="20"/>
          <w:szCs w:val="20"/>
          <w:lang w:val="es-ES"/>
        </w:rPr>
        <w:t>[…] el artículo 33 de la Ley 966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155E34BB" w14:textId="77777777" w:rsidR="00121DB6" w:rsidRPr="00480DE0" w:rsidRDefault="00121DB6" w:rsidP="00121DB6">
      <w:pPr>
        <w:spacing w:after="0"/>
        <w:jc w:val="both"/>
        <w:rPr>
          <w:rFonts w:ascii="Verdana" w:eastAsia="Calibri" w:hAnsi="Verdana" w:cs="Arial"/>
          <w:bCs/>
          <w:sz w:val="20"/>
          <w:szCs w:val="20"/>
          <w:lang w:val="es-ES"/>
        </w:rPr>
      </w:pPr>
    </w:p>
    <w:p w14:paraId="5A1994A4" w14:textId="77777777" w:rsidR="00121DB6" w:rsidRDefault="00121DB6" w:rsidP="00121DB6">
      <w:pPr>
        <w:spacing w:after="0"/>
        <w:jc w:val="both"/>
        <w:rPr>
          <w:rFonts w:ascii="Verdana" w:eastAsia="Calibri" w:hAnsi="Verdana" w:cs="Arial"/>
          <w:bCs/>
          <w:sz w:val="20"/>
          <w:szCs w:val="20"/>
          <w:lang w:val="es-ES"/>
        </w:rPr>
      </w:pPr>
      <w:r w:rsidRPr="00480DE0">
        <w:rPr>
          <w:rFonts w:ascii="Verdana" w:eastAsia="Calibri" w:hAnsi="Verdana" w:cs="Arial"/>
          <w:bCs/>
          <w:sz w:val="20"/>
          <w:szCs w:val="20"/>
          <w:lang w:val="es-ES"/>
        </w:rPr>
        <w:t>[…], el parágrafo del artículo 38 de la precitada ley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0DCCB747" w14:textId="77777777" w:rsidR="00325708" w:rsidRPr="00480DE0" w:rsidRDefault="00325708" w:rsidP="00121DB6">
      <w:pPr>
        <w:spacing w:after="0"/>
        <w:jc w:val="both"/>
        <w:rPr>
          <w:rFonts w:ascii="Aptos" w:eastAsia="Aptos" w:hAnsi="Aptos" w:cs="Arial"/>
        </w:rPr>
      </w:pPr>
    </w:p>
    <w:p w14:paraId="280BAC03" w14:textId="4165BF45" w:rsidR="002D4E45" w:rsidRDefault="00121DB6" w:rsidP="00121DB6">
      <w:pPr>
        <w:spacing w:after="0" w:line="240" w:lineRule="auto"/>
        <w:jc w:val="both"/>
        <w:rPr>
          <w:rFonts w:ascii="Verdana" w:eastAsia="Calibri" w:hAnsi="Verdana" w:cs="Arial"/>
          <w:lang w:val="es-MX"/>
        </w:rPr>
      </w:pPr>
      <w:r w:rsidRPr="00480DE0">
        <w:rPr>
          <w:rFonts w:ascii="Verdana" w:eastAsia="Calibri" w:hAnsi="Verdana" w:cs="Arial"/>
          <w:lang w:val="es-MX"/>
        </w:rPr>
        <w:lastRenderedPageBreak/>
        <w:t>Bogotá D.C., </w:t>
      </w:r>
      <w:r w:rsidR="002D4E45">
        <w:rPr>
          <w:rFonts w:ascii="Verdana" w:eastAsia="Calibri" w:hAnsi="Verdana" w:cs="Arial"/>
          <w:lang w:val="es-MX"/>
        </w:rPr>
        <w:t>0</w:t>
      </w:r>
      <w:r w:rsidR="00DC4306">
        <w:rPr>
          <w:rFonts w:ascii="Verdana" w:eastAsia="Calibri" w:hAnsi="Verdana" w:cs="Arial"/>
          <w:lang w:val="es-MX"/>
        </w:rPr>
        <w:t>9</w:t>
      </w:r>
      <w:r w:rsidR="002D4E45">
        <w:rPr>
          <w:rFonts w:ascii="Verdana" w:eastAsia="Calibri" w:hAnsi="Verdana" w:cs="Arial"/>
          <w:lang w:val="es-MX"/>
        </w:rPr>
        <w:t xml:space="preserve"> de a</w:t>
      </w:r>
      <w:r w:rsidR="00BA2536">
        <w:rPr>
          <w:rFonts w:ascii="Verdana" w:eastAsia="Calibri" w:hAnsi="Verdana" w:cs="Arial"/>
          <w:lang w:val="es-MX"/>
        </w:rPr>
        <w:t>bril de 2026</w:t>
      </w:r>
    </w:p>
    <w:p w14:paraId="226845F3" w14:textId="52926806" w:rsidR="00121DB6" w:rsidRPr="00480DE0" w:rsidRDefault="00121DB6" w:rsidP="00121DB6">
      <w:pPr>
        <w:spacing w:after="0" w:line="240" w:lineRule="auto"/>
        <w:jc w:val="both"/>
        <w:rPr>
          <w:rFonts w:ascii="Verdana" w:eastAsia="Calibri" w:hAnsi="Verdana" w:cs="Arial"/>
          <w:lang w:val="es-ES"/>
        </w:rPr>
      </w:pPr>
    </w:p>
    <w:p w14:paraId="1550441C" w14:textId="0B68E80F" w:rsidR="00121DB6" w:rsidRPr="00480DE0" w:rsidRDefault="00325708" w:rsidP="00121DB6">
      <w:pPr>
        <w:spacing w:after="0" w:line="240" w:lineRule="auto"/>
        <w:jc w:val="right"/>
        <w:rPr>
          <w:rFonts w:ascii="Verdana" w:eastAsia="Calibri" w:hAnsi="Verdana" w:cs="Arial"/>
          <w:lang w:val="es-ES"/>
        </w:rPr>
      </w:pPr>
      <w:r w:rsidRPr="00325708">
        <w:rPr>
          <w:rFonts w:ascii="Verdana" w:eastAsia="Calibri" w:hAnsi="Verdana" w:cs="Arial"/>
          <w:noProof/>
          <w:lang w:val="es-ES"/>
        </w:rPr>
        <w:drawing>
          <wp:inline distT="0" distB="0" distL="0" distR="0" wp14:anchorId="529B33BB" wp14:editId="271C7430">
            <wp:extent cx="2734057" cy="752580"/>
            <wp:effectExtent l="0" t="0" r="9525" b="9525"/>
            <wp:docPr id="8697492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749277" name=""/>
                    <pic:cNvPicPr/>
                  </pic:nvPicPr>
                  <pic:blipFill>
                    <a:blip r:embed="rId10"/>
                    <a:stretch>
                      <a:fillRect/>
                    </a:stretch>
                  </pic:blipFill>
                  <pic:spPr>
                    <a:xfrm>
                      <a:off x="0" y="0"/>
                      <a:ext cx="2734057" cy="752580"/>
                    </a:xfrm>
                    <a:prstGeom prst="rect">
                      <a:avLst/>
                    </a:prstGeom>
                  </pic:spPr>
                </pic:pic>
              </a:graphicData>
            </a:graphic>
          </wp:inline>
        </w:drawing>
      </w:r>
    </w:p>
    <w:p w14:paraId="2FB0A240" w14:textId="77777777" w:rsidR="00121DB6" w:rsidRPr="00480DE0" w:rsidRDefault="00121DB6" w:rsidP="00121DB6">
      <w:pPr>
        <w:spacing w:after="0" w:line="240" w:lineRule="auto"/>
        <w:jc w:val="both"/>
        <w:rPr>
          <w:rFonts w:ascii="Verdana" w:eastAsia="Calibri" w:hAnsi="Verdana" w:cs="Arial"/>
          <w:lang w:val="es-ES" w:eastAsia="es-ES"/>
        </w:rPr>
      </w:pPr>
      <w:r w:rsidRPr="00480DE0">
        <w:rPr>
          <w:rFonts w:ascii="Verdana" w:eastAsia="Calibri" w:hAnsi="Verdana" w:cs="Arial"/>
          <w:lang w:val="es-ES" w:eastAsia="es-ES"/>
        </w:rPr>
        <w:t>Señor</w:t>
      </w:r>
    </w:p>
    <w:p w14:paraId="264D3729" w14:textId="77777777" w:rsidR="00121DB6" w:rsidRPr="00480DE0" w:rsidRDefault="00121DB6" w:rsidP="00121DB6">
      <w:pPr>
        <w:spacing w:after="0" w:line="240" w:lineRule="auto"/>
        <w:rPr>
          <w:rFonts w:ascii="Verdana" w:eastAsia="Calibri" w:hAnsi="Verdana" w:cs="Arial"/>
          <w:b/>
          <w:lang w:val="es-ES" w:eastAsia="es-ES"/>
        </w:rPr>
      </w:pPr>
      <w:proofErr w:type="spellStart"/>
      <w:r w:rsidRPr="00480DE0">
        <w:rPr>
          <w:rFonts w:ascii="Verdana" w:eastAsia="Calibri" w:hAnsi="Verdana" w:cs="Arial"/>
          <w:b/>
          <w:lang w:val="es-ES" w:eastAsia="es-ES"/>
        </w:rPr>
        <w:t>Anngy</w:t>
      </w:r>
      <w:proofErr w:type="spellEnd"/>
      <w:r w:rsidRPr="00480DE0">
        <w:rPr>
          <w:rFonts w:ascii="Verdana" w:eastAsia="Calibri" w:hAnsi="Verdana" w:cs="Arial"/>
          <w:b/>
          <w:lang w:val="es-ES" w:eastAsia="es-ES"/>
        </w:rPr>
        <w:t xml:space="preserve"> Carolina Neira Salazar</w:t>
      </w:r>
    </w:p>
    <w:p w14:paraId="7B49E56D" w14:textId="77777777" w:rsidR="00121DB6" w:rsidRPr="00480DE0" w:rsidRDefault="00031A6C" w:rsidP="00121DB6">
      <w:pPr>
        <w:spacing w:after="0" w:line="240" w:lineRule="auto"/>
        <w:rPr>
          <w:rFonts w:ascii="Verdana" w:eastAsia="Aptos" w:hAnsi="Verdana" w:cs="Arial"/>
          <w:kern w:val="2"/>
          <w14:ligatures w14:val="standardContextual"/>
        </w:rPr>
      </w:pPr>
      <w:hyperlink r:id="rId11" w:history="1">
        <w:r w:rsidR="00121DB6" w:rsidRPr="00480DE0">
          <w:rPr>
            <w:rFonts w:ascii="Verdana" w:eastAsia="Aptos" w:hAnsi="Verdana" w:cs="Arial"/>
            <w:color w:val="467886"/>
            <w:kern w:val="2"/>
            <w:u w:val="single"/>
            <w14:ligatures w14:val="standardContextual"/>
          </w:rPr>
          <w:t>carolinaneira.abogada@hotmail.com</w:t>
        </w:r>
      </w:hyperlink>
    </w:p>
    <w:p w14:paraId="5CF37604" w14:textId="77777777" w:rsidR="00121DB6" w:rsidRPr="00480DE0" w:rsidRDefault="00121DB6" w:rsidP="00121DB6">
      <w:pPr>
        <w:spacing w:after="0" w:line="240" w:lineRule="auto"/>
        <w:rPr>
          <w:rFonts w:ascii="Verdana" w:eastAsia="Calibri" w:hAnsi="Verdana" w:cs="Arial"/>
          <w:b/>
          <w:bCs/>
          <w:lang w:val="es-ES" w:eastAsia="es-ES"/>
        </w:rPr>
      </w:pPr>
      <w:r w:rsidRPr="00480DE0">
        <w:rPr>
          <w:rFonts w:ascii="Verdana" w:eastAsia="Calibri" w:hAnsi="Verdana" w:cs="Arial"/>
          <w:lang w:val="es-ES" w:eastAsia="es-ES"/>
        </w:rPr>
        <w:t>Sabaneta, Antioquia</w:t>
      </w:r>
    </w:p>
    <w:p w14:paraId="03035531" w14:textId="77777777" w:rsidR="00121DB6" w:rsidRPr="00480DE0" w:rsidRDefault="00121DB6" w:rsidP="00121DB6">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21DB6" w:rsidRPr="00480DE0" w14:paraId="2D11CB9D" w14:textId="77777777" w:rsidTr="00A76DC0">
        <w:trPr>
          <w:trHeight w:val="884"/>
        </w:trPr>
        <w:tc>
          <w:tcPr>
            <w:tcW w:w="2689" w:type="dxa"/>
          </w:tcPr>
          <w:p w14:paraId="31E7F532" w14:textId="77777777" w:rsidR="00121DB6" w:rsidRPr="00480DE0" w:rsidRDefault="00121DB6" w:rsidP="00A76DC0">
            <w:pPr>
              <w:jc w:val="both"/>
              <w:rPr>
                <w:rFonts w:ascii="Verdana" w:eastAsia="Calibri" w:hAnsi="Verdana" w:cs="Arial"/>
                <w:b/>
                <w:bCs/>
                <w:lang w:val="es-ES_tradnl" w:eastAsia="es-ES_tradnl"/>
              </w:rPr>
            </w:pPr>
          </w:p>
        </w:tc>
        <w:tc>
          <w:tcPr>
            <w:tcW w:w="6100" w:type="dxa"/>
          </w:tcPr>
          <w:p w14:paraId="2AB64214" w14:textId="77777777" w:rsidR="00121DB6" w:rsidRPr="00480DE0" w:rsidRDefault="00121DB6" w:rsidP="00A76DC0">
            <w:pPr>
              <w:jc w:val="both"/>
              <w:rPr>
                <w:rFonts w:ascii="Verdana" w:eastAsia="Calibri" w:hAnsi="Verdana" w:cs="Arial"/>
                <w:b/>
                <w:bCs/>
                <w:lang w:val="es-ES" w:eastAsia="es-ES"/>
              </w:rPr>
            </w:pPr>
            <w:r w:rsidRPr="00480DE0">
              <w:rPr>
                <w:rFonts w:ascii="Verdana" w:eastAsia="Calibri" w:hAnsi="Verdana" w:cs="Arial"/>
                <w:b/>
                <w:bCs/>
                <w:lang w:val="es-ES" w:eastAsia="es-ES"/>
              </w:rPr>
              <w:t>Concepto C-377 de 2026</w:t>
            </w:r>
          </w:p>
        </w:tc>
      </w:tr>
      <w:tr w:rsidR="00121DB6" w:rsidRPr="00480DE0" w14:paraId="79DD63D7" w14:textId="77777777" w:rsidTr="00A76DC0">
        <w:trPr>
          <w:trHeight w:val="884"/>
        </w:trPr>
        <w:tc>
          <w:tcPr>
            <w:tcW w:w="2689" w:type="dxa"/>
          </w:tcPr>
          <w:p w14:paraId="1EBD116A" w14:textId="77777777" w:rsidR="00121DB6" w:rsidRPr="00480DE0" w:rsidRDefault="00121DB6" w:rsidP="00A76DC0">
            <w:pPr>
              <w:jc w:val="both"/>
              <w:rPr>
                <w:rFonts w:ascii="Verdana" w:eastAsia="Calibri" w:hAnsi="Verdana" w:cs="Arial"/>
                <w:lang w:val="es-ES_tradnl" w:eastAsia="es-ES_tradnl"/>
              </w:rPr>
            </w:pPr>
            <w:r w:rsidRPr="00480DE0">
              <w:rPr>
                <w:rFonts w:ascii="Verdana" w:eastAsia="Calibri" w:hAnsi="Verdana" w:cs="Arial"/>
                <w:b/>
                <w:lang w:val="es-ES_tradnl" w:eastAsia="es-ES_tradnl"/>
              </w:rPr>
              <w:t>Temas:</w:t>
            </w:r>
            <w:r w:rsidRPr="00480DE0">
              <w:rPr>
                <w:rFonts w:ascii="Verdana" w:eastAsia="Calibri" w:hAnsi="Verdana" w:cs="Arial"/>
                <w:lang w:val="es-ES_tradnl" w:eastAsia="es-ES_tradnl"/>
              </w:rPr>
              <w:t xml:space="preserve">                   </w:t>
            </w:r>
          </w:p>
        </w:tc>
        <w:tc>
          <w:tcPr>
            <w:tcW w:w="6100" w:type="dxa"/>
          </w:tcPr>
          <w:p w14:paraId="5651DF01" w14:textId="77777777" w:rsidR="00121DB6" w:rsidRPr="00480DE0" w:rsidRDefault="00121DB6" w:rsidP="00A76DC0">
            <w:pPr>
              <w:spacing w:line="276" w:lineRule="auto"/>
              <w:jc w:val="both"/>
              <w:rPr>
                <w:rFonts w:ascii="Verdana" w:eastAsia="Calibri" w:hAnsi="Verdana" w:cs="Arial"/>
                <w:lang w:val="es-ES" w:eastAsia="es-ES"/>
              </w:rPr>
            </w:pPr>
            <w:r w:rsidRPr="00480DE0">
              <w:rPr>
                <w:rFonts w:ascii="Verdana" w:eastAsia="Calibri" w:hAnsi="Verdana" w:cs="Arial"/>
                <w:lang w:val="es-ES" w:eastAsia="es-ES"/>
              </w:rPr>
              <w:t>LEY DE GARANTÍAS ELECTORALES – Finalidad - Ley 996 de 2005 – Comicios aplicables / LEY DE GARANTÍAS ELECTORALES – Restricciones contractuales – Comicios aplicables - Destinatarios</w:t>
            </w:r>
          </w:p>
          <w:p w14:paraId="1DE51EDA" w14:textId="77777777" w:rsidR="00121DB6" w:rsidRPr="00480DE0" w:rsidRDefault="00121DB6" w:rsidP="00A76DC0">
            <w:pPr>
              <w:spacing w:line="276" w:lineRule="auto"/>
              <w:jc w:val="right"/>
              <w:rPr>
                <w:rFonts w:ascii="Verdana" w:eastAsia="Calibri" w:hAnsi="Verdana" w:cs="Arial"/>
                <w:lang w:val="es-ES" w:eastAsia="es-ES"/>
              </w:rPr>
            </w:pPr>
          </w:p>
        </w:tc>
      </w:tr>
    </w:tbl>
    <w:p w14:paraId="3D4C165B" w14:textId="77777777" w:rsidR="00121DB6" w:rsidRPr="00480DE0" w:rsidRDefault="00121DB6" w:rsidP="00121DB6">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21DB6" w:rsidRPr="00480DE0" w14:paraId="52056067" w14:textId="77777777" w:rsidTr="00A76DC0">
        <w:tc>
          <w:tcPr>
            <w:tcW w:w="2689" w:type="dxa"/>
          </w:tcPr>
          <w:p w14:paraId="2B028697" w14:textId="77777777" w:rsidR="00121DB6" w:rsidRPr="00480DE0" w:rsidRDefault="00121DB6" w:rsidP="00A76DC0">
            <w:pPr>
              <w:jc w:val="both"/>
              <w:rPr>
                <w:rFonts w:ascii="Verdana" w:eastAsia="Calibri" w:hAnsi="Verdana" w:cs="Arial"/>
                <w:b/>
                <w:lang w:val="es-ES_tradnl" w:eastAsia="es-ES_tradnl"/>
              </w:rPr>
            </w:pPr>
            <w:r w:rsidRPr="00480DE0">
              <w:rPr>
                <w:rFonts w:ascii="Verdana" w:eastAsia="Calibri" w:hAnsi="Verdana" w:cs="Arial"/>
                <w:b/>
                <w:lang w:val="es-ES_tradnl" w:eastAsia="es-ES_tradnl"/>
              </w:rPr>
              <w:t>Radicación:</w:t>
            </w:r>
            <w:r w:rsidRPr="00480DE0">
              <w:rPr>
                <w:rFonts w:ascii="Verdana" w:eastAsia="Calibri" w:hAnsi="Verdana" w:cs="Arial"/>
                <w:lang w:val="es-ES_tradnl" w:eastAsia="es-ES_tradnl"/>
              </w:rPr>
              <w:t xml:space="preserve">               </w:t>
            </w:r>
          </w:p>
        </w:tc>
        <w:tc>
          <w:tcPr>
            <w:tcW w:w="6100" w:type="dxa"/>
          </w:tcPr>
          <w:p w14:paraId="1AF2070E" w14:textId="77777777" w:rsidR="00121DB6" w:rsidRPr="00480DE0" w:rsidRDefault="00121DB6" w:rsidP="00A76DC0">
            <w:pPr>
              <w:jc w:val="both"/>
              <w:rPr>
                <w:rFonts w:ascii="Verdana" w:eastAsia="Calibri" w:hAnsi="Verdana" w:cs="Arial"/>
                <w:lang w:val="es-ES_tradnl" w:eastAsia="es-ES_tradnl"/>
              </w:rPr>
            </w:pPr>
            <w:r w:rsidRPr="00480DE0">
              <w:rPr>
                <w:rFonts w:ascii="Verdana" w:eastAsia="Calibri" w:hAnsi="Verdana" w:cs="Arial"/>
                <w:lang w:val="es-ES_tradnl" w:eastAsia="es-ES_tradnl"/>
              </w:rPr>
              <w:t>Respuesta a consulta</w:t>
            </w:r>
            <w:r>
              <w:rPr>
                <w:rFonts w:ascii="Verdana" w:eastAsia="Calibri" w:hAnsi="Verdana" w:cs="Arial"/>
                <w:lang w:val="es-ES_tradnl" w:eastAsia="es-ES_tradnl"/>
              </w:rPr>
              <w:t>s acumuladas</w:t>
            </w:r>
            <w:r w:rsidRPr="00480DE0">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480DE0">
              <w:rPr>
                <w:rFonts w:ascii="Verdana" w:eastAsia="Calibri" w:hAnsi="Verdana" w:cs="Arial"/>
                <w:lang w:val="es-ES_tradnl" w:eastAsia="es-ES_tradnl"/>
              </w:rPr>
              <w:t xml:space="preserve"> No</w:t>
            </w:r>
            <w:r>
              <w:rPr>
                <w:rFonts w:ascii="Verdana" w:eastAsia="Calibri" w:hAnsi="Verdana" w:cs="Arial"/>
                <w:lang w:val="es-ES_tradnl" w:eastAsia="es-ES_tradnl"/>
              </w:rPr>
              <w:t>s</w:t>
            </w:r>
            <w:r w:rsidRPr="00480DE0">
              <w:rPr>
                <w:rFonts w:ascii="Verdana" w:eastAsia="Calibri" w:hAnsi="Verdana" w:cs="Arial"/>
                <w:lang w:val="es-ES_tradnl" w:eastAsia="es-ES_tradnl"/>
              </w:rPr>
              <w:t>. 1_2026_03_06_003156</w:t>
            </w:r>
            <w:r>
              <w:rPr>
                <w:rFonts w:ascii="Verdana" w:eastAsia="Calibri" w:hAnsi="Verdana" w:cs="Arial"/>
                <w:lang w:val="es-ES_tradnl" w:eastAsia="es-ES_tradnl"/>
              </w:rPr>
              <w:t xml:space="preserve">, </w:t>
            </w:r>
            <w:r w:rsidRPr="000353B9">
              <w:rPr>
                <w:rFonts w:ascii="Verdana" w:eastAsia="Calibri" w:hAnsi="Verdana" w:cs="Arial"/>
                <w:lang w:val="es-ES_tradnl" w:eastAsia="es-ES_tradnl"/>
              </w:rPr>
              <w:t>1_2026_03_13_003542</w:t>
            </w:r>
            <w:r>
              <w:rPr>
                <w:rFonts w:ascii="Verdana" w:eastAsia="Calibri" w:hAnsi="Verdana" w:cs="Arial"/>
                <w:lang w:val="es-ES_tradnl" w:eastAsia="es-ES_tradnl"/>
              </w:rPr>
              <w:t xml:space="preserve"> y </w:t>
            </w:r>
            <w:r w:rsidRPr="000353B9">
              <w:rPr>
                <w:rFonts w:ascii="Verdana" w:eastAsia="Calibri" w:hAnsi="Verdana" w:cs="Arial"/>
                <w:lang w:val="es-ES_tradnl" w:eastAsia="es-ES_tradnl"/>
              </w:rPr>
              <w:t>1_2026_03_13_003568</w:t>
            </w:r>
          </w:p>
        </w:tc>
      </w:tr>
    </w:tbl>
    <w:p w14:paraId="26906C09" w14:textId="77777777" w:rsidR="00121DB6" w:rsidRDefault="00121DB6" w:rsidP="00121DB6">
      <w:pPr>
        <w:spacing w:after="0" w:line="240" w:lineRule="auto"/>
        <w:jc w:val="both"/>
        <w:rPr>
          <w:rFonts w:ascii="Verdana" w:eastAsia="Calibri" w:hAnsi="Verdana" w:cs="Arial"/>
          <w:lang w:val="es-ES_tradnl" w:eastAsia="es-ES_tradnl"/>
        </w:rPr>
      </w:pPr>
    </w:p>
    <w:p w14:paraId="29F776C4" w14:textId="77777777" w:rsidR="00325708" w:rsidRPr="00480DE0" w:rsidRDefault="00325708" w:rsidP="00121DB6">
      <w:pPr>
        <w:spacing w:after="0" w:line="240" w:lineRule="auto"/>
        <w:jc w:val="both"/>
        <w:rPr>
          <w:rFonts w:ascii="Verdana" w:eastAsia="Calibri" w:hAnsi="Verdana" w:cs="Arial"/>
          <w:lang w:val="es-ES_tradnl" w:eastAsia="es-ES_tradnl"/>
        </w:rPr>
      </w:pPr>
    </w:p>
    <w:p w14:paraId="0D8D6958" w14:textId="77777777" w:rsidR="00121DB6" w:rsidRPr="00480DE0" w:rsidRDefault="00121DB6" w:rsidP="00121DB6">
      <w:pPr>
        <w:spacing w:after="0" w:line="276" w:lineRule="auto"/>
        <w:jc w:val="both"/>
        <w:rPr>
          <w:rFonts w:ascii="Verdana" w:eastAsia="Calibri" w:hAnsi="Verdana" w:cs="Arial"/>
          <w:lang w:val="es-ES" w:eastAsia="es-ES"/>
        </w:rPr>
      </w:pPr>
      <w:r w:rsidRPr="00480DE0">
        <w:rPr>
          <w:rFonts w:ascii="Verdana" w:eastAsia="Calibri" w:hAnsi="Verdana" w:cs="Arial"/>
          <w:lang w:val="es-ES" w:eastAsia="es-ES"/>
        </w:rPr>
        <w:t xml:space="preserve">Estimada Señora Anngy: </w:t>
      </w:r>
    </w:p>
    <w:p w14:paraId="050F00CE" w14:textId="77777777" w:rsidR="00121DB6" w:rsidRPr="00480DE0" w:rsidRDefault="00121DB6" w:rsidP="00121DB6">
      <w:pPr>
        <w:tabs>
          <w:tab w:val="left" w:pos="3768"/>
        </w:tabs>
        <w:spacing w:after="0" w:line="276" w:lineRule="auto"/>
        <w:jc w:val="both"/>
        <w:rPr>
          <w:rFonts w:ascii="Verdana" w:eastAsia="Calibri" w:hAnsi="Verdana" w:cs="Arial"/>
          <w:lang w:val="es-ES" w:eastAsia="es-ES"/>
        </w:rPr>
      </w:pPr>
    </w:p>
    <w:p w14:paraId="2B9E9C47" w14:textId="77777777" w:rsidR="00121DB6" w:rsidRPr="00480DE0" w:rsidRDefault="00121DB6" w:rsidP="00121DB6">
      <w:pPr>
        <w:spacing w:after="0" w:line="276" w:lineRule="auto"/>
        <w:jc w:val="both"/>
        <w:rPr>
          <w:rFonts w:ascii="Verdana" w:eastAsia="Calibri" w:hAnsi="Verdana" w:cs="Arial"/>
          <w:lang w:val="es-ES" w:eastAsia="es-ES"/>
        </w:rPr>
      </w:pPr>
      <w:r w:rsidRPr="00480DE0">
        <w:rPr>
          <w:rFonts w:ascii="Verdana" w:eastAsia="Calibri" w:hAnsi="Verdana" w:cs="Arial"/>
          <w:lang w:val="es-ES" w:eastAsia="es-ES"/>
        </w:rPr>
        <w:t>En ejercicio de la competencia otorgada por los artículos 3, numeral 5º, y 11, numeral 8º, del Decreto Ley 4170 de 2011,</w:t>
      </w:r>
      <w:r w:rsidRPr="00480DE0">
        <w:rPr>
          <w:rFonts w:ascii="Verdana" w:eastAsia="Arial MT" w:hAnsi="Verdana" w:cs="Arial MT"/>
          <w:lang w:val="es-ES" w:eastAsia="es-ES"/>
        </w:rPr>
        <w:t xml:space="preserve"> </w:t>
      </w:r>
      <w:r w:rsidRPr="00480DE0">
        <w:rPr>
          <w:rFonts w:ascii="Verdana" w:eastAsia="Aptos" w:hAnsi="Verdana" w:cs="Arial"/>
        </w:rPr>
        <w:t xml:space="preserve">así como lo establecido en el artículo 4 de la Resolución 1707 de 2018 expedida por esta Entidad, </w:t>
      </w:r>
      <w:r w:rsidRPr="00480DE0">
        <w:rPr>
          <w:rFonts w:ascii="Verdana" w:eastAsia="Calibri" w:hAnsi="Verdana" w:cs="Arial"/>
          <w:lang w:val="es-ES" w:eastAsia="es-ES"/>
        </w:rPr>
        <w:t>la Agencia Nacional de Contratación Pública – Colombia Compra Eficiente– responde su</w:t>
      </w:r>
      <w:r>
        <w:rPr>
          <w:rFonts w:ascii="Verdana" w:eastAsia="Calibri" w:hAnsi="Verdana" w:cs="Arial"/>
          <w:lang w:val="es-ES" w:eastAsia="es-ES"/>
        </w:rPr>
        <w:t>s</w:t>
      </w:r>
      <w:r w:rsidRPr="00480DE0">
        <w:rPr>
          <w:rFonts w:ascii="Verdana" w:eastAsia="Calibri" w:hAnsi="Verdana" w:cs="Arial"/>
          <w:lang w:val="es-ES" w:eastAsia="es-ES"/>
        </w:rPr>
        <w:t xml:space="preserve"> petici</w:t>
      </w:r>
      <w:r>
        <w:rPr>
          <w:rFonts w:ascii="Verdana" w:eastAsia="Calibri" w:hAnsi="Verdana" w:cs="Arial"/>
          <w:lang w:val="es-ES" w:eastAsia="es-ES"/>
        </w:rPr>
        <w:t>o</w:t>
      </w:r>
      <w:r w:rsidRPr="00480DE0">
        <w:rPr>
          <w:rFonts w:ascii="Verdana" w:eastAsia="Calibri" w:hAnsi="Verdana" w:cs="Arial"/>
          <w:lang w:val="es-ES" w:eastAsia="es-ES"/>
        </w:rPr>
        <w:t>n</w:t>
      </w:r>
      <w:r>
        <w:rPr>
          <w:rFonts w:ascii="Verdana" w:eastAsia="Calibri" w:hAnsi="Verdana" w:cs="Arial"/>
          <w:lang w:val="es-ES" w:eastAsia="es-ES"/>
        </w:rPr>
        <w:t>es acumuladas</w:t>
      </w:r>
      <w:r w:rsidRPr="00480DE0">
        <w:rPr>
          <w:rFonts w:ascii="Verdana" w:eastAsia="Calibri" w:hAnsi="Verdana" w:cs="Arial"/>
          <w:lang w:val="es-ES" w:eastAsia="es-ES"/>
        </w:rPr>
        <w:t xml:space="preserve"> del 05</w:t>
      </w:r>
      <w:r>
        <w:rPr>
          <w:rFonts w:ascii="Verdana" w:eastAsia="Calibri" w:hAnsi="Verdana" w:cs="Arial"/>
          <w:lang w:val="es-ES" w:eastAsia="es-ES"/>
        </w:rPr>
        <w:t xml:space="preserve"> y 13</w:t>
      </w:r>
      <w:r w:rsidRPr="00480DE0">
        <w:rPr>
          <w:rFonts w:ascii="Verdana" w:eastAsia="Calibri" w:hAnsi="Verdana" w:cs="Arial"/>
          <w:lang w:val="es-ES" w:eastAsia="es-ES"/>
        </w:rPr>
        <w:t xml:space="preserve"> de marzo de 2026,</w:t>
      </w:r>
      <w:r>
        <w:rPr>
          <w:rFonts w:ascii="Verdana" w:eastAsia="Calibri" w:hAnsi="Verdana" w:cs="Arial"/>
          <w:lang w:val="es-ES" w:eastAsia="es-ES"/>
        </w:rPr>
        <w:t xml:space="preserve"> donde dos de estas fueron remitidas por la Agencia Nacional de Defensa Jurídica del Estado mediante documento con radicado No. </w:t>
      </w:r>
      <w:r w:rsidRPr="00A15C1D">
        <w:rPr>
          <w:rFonts w:ascii="Verdana" w:eastAsia="Calibri" w:hAnsi="Verdana" w:cs="Arial"/>
          <w:lang w:val="es-ES" w:eastAsia="es-ES"/>
        </w:rPr>
        <w:t>202610002104</w:t>
      </w:r>
      <w:r>
        <w:rPr>
          <w:rFonts w:ascii="Verdana" w:eastAsia="Calibri" w:hAnsi="Verdana" w:cs="Arial"/>
          <w:lang w:val="es-ES" w:eastAsia="es-ES"/>
        </w:rPr>
        <w:t xml:space="preserve"> del mismo mes y año. En dichas peticiones usted</w:t>
      </w:r>
      <w:r w:rsidRPr="00480DE0">
        <w:rPr>
          <w:rFonts w:ascii="Verdana" w:eastAsia="Calibri" w:hAnsi="Verdana" w:cs="Arial"/>
          <w:lang w:val="es-ES" w:eastAsia="es-ES"/>
        </w:rPr>
        <w:t xml:space="preserve"> realiza la siguiente consulta: </w:t>
      </w:r>
    </w:p>
    <w:p w14:paraId="7EDE2788" w14:textId="77777777" w:rsidR="00121DB6" w:rsidRPr="00480DE0" w:rsidRDefault="00121DB6" w:rsidP="00121DB6">
      <w:pPr>
        <w:spacing w:after="0" w:line="276" w:lineRule="auto"/>
        <w:jc w:val="both"/>
        <w:rPr>
          <w:rFonts w:ascii="Verdana" w:eastAsia="Calibri" w:hAnsi="Verdana" w:cs="Arial"/>
          <w:lang w:val="es-ES" w:eastAsia="es-ES"/>
        </w:rPr>
      </w:pPr>
    </w:p>
    <w:p w14:paraId="2B9F8125" w14:textId="77777777" w:rsidR="00121DB6" w:rsidRPr="00480DE0" w:rsidRDefault="00121DB6" w:rsidP="00121DB6">
      <w:pPr>
        <w:spacing w:after="0" w:line="240" w:lineRule="auto"/>
        <w:ind w:left="709" w:right="709"/>
        <w:jc w:val="both"/>
        <w:rPr>
          <w:rFonts w:ascii="Verdana" w:eastAsia="Calibri" w:hAnsi="Verdana" w:cs="Arial"/>
          <w:sz w:val="20"/>
          <w:szCs w:val="20"/>
          <w:lang w:val="es-MX"/>
        </w:rPr>
      </w:pPr>
      <w:r w:rsidRPr="00480DE0">
        <w:rPr>
          <w:rFonts w:ascii="Verdana" w:eastAsia="Calibri" w:hAnsi="Verdana" w:cs="Arial"/>
          <w:sz w:val="20"/>
          <w:szCs w:val="20"/>
          <w:lang w:val="es-MX"/>
        </w:rPr>
        <w:t>“</w:t>
      </w:r>
      <w:r>
        <w:rPr>
          <w:rFonts w:ascii="Verdana" w:eastAsia="Calibri" w:hAnsi="Verdana" w:cs="Arial"/>
          <w:sz w:val="20"/>
          <w:szCs w:val="20"/>
          <w:lang w:val="es-MX"/>
        </w:rPr>
        <w:t xml:space="preserve">[…] </w:t>
      </w:r>
      <w:r w:rsidRPr="00480DE0">
        <w:rPr>
          <w:rFonts w:ascii="Verdana" w:eastAsia="Calibri" w:hAnsi="Verdana" w:cs="Arial"/>
          <w:sz w:val="20"/>
          <w:szCs w:val="20"/>
          <w:lang w:val="es-MX"/>
        </w:rPr>
        <w:t xml:space="preserve">orientación jurídica respecto de la aplicación del régimen de restricciones establecido en la Ley de Garantía Electorales frente a los </w:t>
      </w:r>
      <w:r w:rsidRPr="00480DE0">
        <w:rPr>
          <w:rFonts w:ascii="Verdana" w:eastAsia="Calibri" w:hAnsi="Verdana" w:cs="Arial"/>
          <w:sz w:val="20"/>
          <w:szCs w:val="20"/>
          <w:lang w:val="es-MX"/>
        </w:rPr>
        <w:lastRenderedPageBreak/>
        <w:t>convenios de carácter académico que no implican erogación de recursos públicos.</w:t>
      </w:r>
    </w:p>
    <w:p w14:paraId="212A4248" w14:textId="77777777" w:rsidR="00121DB6" w:rsidRPr="00480DE0" w:rsidRDefault="00121DB6" w:rsidP="00121DB6">
      <w:pPr>
        <w:spacing w:before="120" w:after="0" w:line="240" w:lineRule="auto"/>
        <w:ind w:left="709" w:right="709"/>
        <w:jc w:val="both"/>
        <w:rPr>
          <w:rFonts w:ascii="Verdana" w:eastAsia="Calibri" w:hAnsi="Verdana" w:cs="Arial"/>
          <w:sz w:val="20"/>
          <w:szCs w:val="20"/>
          <w:lang w:val="es-MX"/>
        </w:rPr>
      </w:pPr>
      <w:r w:rsidRPr="00480DE0">
        <w:rPr>
          <w:rFonts w:ascii="Verdana" w:eastAsia="Calibri" w:hAnsi="Verdana" w:cs="Arial"/>
          <w:sz w:val="20"/>
          <w:szCs w:val="20"/>
          <w:lang w:val="es-MX"/>
        </w:rPr>
        <w:t>En particular, solicitamos su concepto u orientación frente a la viabilidad jurídica de suscribir convenios de prácticas académicas, docencia-servicio u otros instrumentos de cooperación académica que no generan compromisos presupuestales ni transferencia de recursos, durante el periodo de vigencia de las restricciones establecidas en el parágrafo del artículo 38 de la Ley 996 de 2005, en el marco de procesos electorales.</w:t>
      </w:r>
    </w:p>
    <w:p w14:paraId="6D3D95D3" w14:textId="77777777" w:rsidR="00121DB6" w:rsidRPr="00480DE0" w:rsidRDefault="00121DB6" w:rsidP="00121DB6">
      <w:pPr>
        <w:spacing w:before="120" w:after="0" w:line="240" w:lineRule="auto"/>
        <w:ind w:left="709" w:right="709"/>
        <w:jc w:val="both"/>
        <w:rPr>
          <w:rFonts w:ascii="Verdana" w:eastAsia="Calibri" w:hAnsi="Verdana" w:cs="Arial"/>
          <w:sz w:val="20"/>
          <w:szCs w:val="20"/>
          <w:lang w:val="es-MX"/>
        </w:rPr>
      </w:pPr>
      <w:r w:rsidRPr="00480DE0">
        <w:rPr>
          <w:rFonts w:ascii="Verdana" w:eastAsia="Calibri" w:hAnsi="Verdana" w:cs="Arial"/>
          <w:sz w:val="20"/>
          <w:szCs w:val="20"/>
          <w:lang w:val="es-MX"/>
        </w:rPr>
        <w:t xml:space="preserve">[…]”. [sic] </w:t>
      </w:r>
    </w:p>
    <w:p w14:paraId="6EA9BF67" w14:textId="77777777" w:rsidR="00121DB6" w:rsidRPr="00480DE0" w:rsidRDefault="00121DB6" w:rsidP="00121DB6">
      <w:pPr>
        <w:spacing w:after="0" w:line="276" w:lineRule="auto"/>
        <w:jc w:val="both"/>
        <w:rPr>
          <w:rFonts w:ascii="Verdana" w:eastAsia="Calibri" w:hAnsi="Verdana" w:cs="Arial"/>
          <w:lang w:val="es-ES" w:eastAsia="es-ES"/>
        </w:rPr>
      </w:pPr>
    </w:p>
    <w:p w14:paraId="0120C716" w14:textId="77777777" w:rsidR="00121DB6" w:rsidRPr="00480DE0" w:rsidRDefault="00121DB6" w:rsidP="00121DB6">
      <w:pPr>
        <w:spacing w:after="120" w:line="276" w:lineRule="auto"/>
        <w:jc w:val="both"/>
        <w:rPr>
          <w:rFonts w:ascii="Verdana" w:eastAsia="Calibri" w:hAnsi="Verdana" w:cs="Arial"/>
          <w:szCs w:val="24"/>
          <w:lang w:val="es-ES_tradnl" w:eastAsia="es-ES_tradnl"/>
        </w:rPr>
      </w:pPr>
      <w:r w:rsidRPr="00480DE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182436C" w14:textId="77777777" w:rsidR="00121DB6" w:rsidRPr="00480DE0" w:rsidRDefault="00121DB6" w:rsidP="00121DB6">
      <w:pPr>
        <w:spacing w:after="0" w:line="276" w:lineRule="auto"/>
        <w:ind w:firstLine="709"/>
        <w:jc w:val="both"/>
        <w:rPr>
          <w:rFonts w:ascii="Verdana" w:eastAsia="Calibri" w:hAnsi="Verdana" w:cs="Arial"/>
          <w:lang w:val="es-ES" w:eastAsia="es-ES"/>
        </w:rPr>
      </w:pPr>
      <w:r w:rsidRPr="00480DE0">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D617B6C" w14:textId="77777777" w:rsidR="00121DB6" w:rsidRPr="00480DE0" w:rsidRDefault="00121DB6" w:rsidP="00121DB6">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480DE0">
        <w:rPr>
          <w:rFonts w:ascii="Verdana" w:eastAsia="Arial" w:hAnsi="Verdana" w:cs="Arial"/>
          <w:b/>
          <w:bCs/>
          <w:lang w:val="es-ES"/>
        </w:rPr>
        <w:t>1. Problema planteado:</w:t>
      </w:r>
    </w:p>
    <w:p w14:paraId="7FC8C6D5" w14:textId="77777777" w:rsidR="00121DB6" w:rsidRPr="00480DE0" w:rsidRDefault="00121DB6" w:rsidP="00121DB6">
      <w:pPr>
        <w:tabs>
          <w:tab w:val="left" w:pos="426"/>
        </w:tabs>
        <w:spacing w:after="0" w:line="276" w:lineRule="auto"/>
        <w:jc w:val="both"/>
        <w:rPr>
          <w:rFonts w:ascii="Verdana" w:eastAsia="Century Gothic" w:hAnsi="Verdana" w:cs="Century Gothic"/>
          <w:lang w:val="es-ES"/>
        </w:rPr>
      </w:pPr>
    </w:p>
    <w:p w14:paraId="5480C919" w14:textId="77777777" w:rsidR="00121DB6" w:rsidRPr="00480DE0" w:rsidRDefault="00121DB6" w:rsidP="00121DB6">
      <w:pPr>
        <w:spacing w:after="0" w:line="276" w:lineRule="auto"/>
        <w:jc w:val="both"/>
        <w:rPr>
          <w:rFonts w:ascii="Verdana" w:eastAsia="Century Gothic" w:hAnsi="Verdana" w:cs="Century Gothic"/>
        </w:rPr>
      </w:pPr>
      <w:r w:rsidRPr="00480DE0">
        <w:rPr>
          <w:rFonts w:ascii="Verdana" w:eastAsia="Century Gothic" w:hAnsi="Verdana" w:cs="Century Gothic"/>
        </w:rPr>
        <w:t xml:space="preserve">De acuerdo con el contenido de su solicitud, le informamos que la misma se resolverá desde el siguiente </w:t>
      </w:r>
      <w:bookmarkStart w:id="1" w:name="_Hlk171070029"/>
      <w:r w:rsidRPr="00480DE0">
        <w:rPr>
          <w:rFonts w:ascii="Verdana" w:eastAsia="Century Gothic" w:hAnsi="Verdana" w:cs="Century Gothic"/>
        </w:rPr>
        <w:t>interrogante: ¿Cuáles son las restricciones contractuales de la Ley de Garantías Electorales y que actualmente se encuentran vigentes?</w:t>
      </w:r>
    </w:p>
    <w:p w14:paraId="6BAF9753" w14:textId="77777777" w:rsidR="00121DB6" w:rsidRPr="00480DE0" w:rsidRDefault="00121DB6" w:rsidP="00121DB6">
      <w:pPr>
        <w:spacing w:after="0" w:line="276" w:lineRule="auto"/>
        <w:jc w:val="both"/>
        <w:rPr>
          <w:rFonts w:ascii="Verdana" w:eastAsia="Calibri" w:hAnsi="Verdana" w:cs="Arial"/>
          <w:lang w:val="es-ES"/>
        </w:rPr>
      </w:pPr>
    </w:p>
    <w:bookmarkEnd w:id="1"/>
    <w:p w14:paraId="4A4D43C9" w14:textId="77777777" w:rsidR="00121DB6" w:rsidRPr="00480DE0" w:rsidRDefault="00121DB6" w:rsidP="00121DB6">
      <w:pPr>
        <w:widowControl w:val="0"/>
        <w:autoSpaceDE w:val="0"/>
        <w:autoSpaceDN w:val="0"/>
        <w:spacing w:before="1" w:after="0" w:line="240" w:lineRule="auto"/>
        <w:jc w:val="both"/>
        <w:outlineLvl w:val="0"/>
        <w:rPr>
          <w:rFonts w:ascii="Verdana" w:eastAsia="Arial" w:hAnsi="Verdana" w:cs="Arial"/>
          <w:b/>
          <w:bCs/>
          <w:lang w:val="es-ES"/>
        </w:rPr>
      </w:pPr>
      <w:r w:rsidRPr="00480DE0">
        <w:rPr>
          <w:rFonts w:ascii="Verdana" w:eastAsia="Arial" w:hAnsi="Verdana" w:cs="Arial"/>
          <w:b/>
          <w:bCs/>
          <w:lang w:val="es-ES"/>
        </w:rPr>
        <w:t>2. Respuesta:</w:t>
      </w:r>
    </w:p>
    <w:p w14:paraId="112E60F2" w14:textId="77777777" w:rsidR="00121DB6" w:rsidRPr="00480DE0" w:rsidRDefault="00121DB6" w:rsidP="00121DB6">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21DB6" w:rsidRPr="00480DE0" w14:paraId="667D0A6B" w14:textId="77777777" w:rsidTr="00A76DC0">
        <w:tc>
          <w:tcPr>
            <w:tcW w:w="8828" w:type="dxa"/>
          </w:tcPr>
          <w:p w14:paraId="3B49DF1C" w14:textId="77777777" w:rsidR="00121DB6" w:rsidRPr="00480DE0" w:rsidRDefault="00121DB6" w:rsidP="00A76DC0">
            <w:pPr>
              <w:spacing w:after="120" w:line="276" w:lineRule="auto"/>
              <w:jc w:val="both"/>
              <w:rPr>
                <w:rFonts w:ascii="Verdana" w:eastAsia="Arial" w:hAnsi="Verdana" w:cs="Arial"/>
                <w:lang w:eastAsia="es-ES" w:bidi="es-ES"/>
              </w:rPr>
            </w:pPr>
            <w:bookmarkStart w:id="2" w:name="_Hlk171067516"/>
            <w:r w:rsidRPr="00480DE0">
              <w:rPr>
                <w:rFonts w:ascii="Verdana" w:eastAsia="Arial" w:hAnsi="Verdana" w:cs="Arial"/>
                <w:lang w:eastAsia="es-ES" w:bidi="es-ES"/>
              </w:rPr>
              <w:lastRenderedPageBreak/>
              <w:t>De manera preliminar, debe precisarse que las restricciones contractuales de la Ley de Garantías Electorales –Ley 996 de 2005– se dirigen a dos (2) tipos de campañas electorales diferenciadas: i) la del artículo 33 que aplica solo respecto de las elecciones presidenciales, en virtud de la cual queda proscrita la contratación directa dentro de los cuatro (4) meses anteriores a la celebración de los comicios, salvo las excepciones</w:t>
            </w:r>
            <w:r>
              <w:rPr>
                <w:rFonts w:ascii="Verdana" w:eastAsia="Arial" w:hAnsi="Verdana" w:cs="Arial"/>
                <w:lang w:eastAsia="es-ES" w:bidi="es-ES"/>
              </w:rPr>
              <w:t xml:space="preserve"> aplicables</w:t>
            </w:r>
            <w:r w:rsidRPr="00480DE0">
              <w:rPr>
                <w:rFonts w:ascii="Verdana" w:eastAsia="Arial" w:hAnsi="Verdana" w:cs="Arial"/>
                <w:lang w:eastAsia="es-ES" w:bidi="es-ES"/>
              </w:rPr>
              <w:t xml:space="preserve">.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roofErr w:type="spellStart"/>
            <w:r w:rsidRPr="00480DE0">
              <w:rPr>
                <w:rFonts w:ascii="Verdana" w:eastAsia="Arial" w:hAnsi="Verdana" w:cs="Arial"/>
                <w:lang w:eastAsia="es-ES" w:bidi="es-ES"/>
              </w:rPr>
              <w:t>ii</w:t>
            </w:r>
            <w:proofErr w:type="spellEnd"/>
            <w:r w:rsidRPr="00480DE0">
              <w:rPr>
                <w:rFonts w:ascii="Verdana" w:eastAsia="Arial" w:hAnsi="Verdana" w:cs="Arial"/>
                <w:lang w:eastAsia="es-ES" w:bidi="es-ES"/>
              </w:rPr>
              <w:t>) también se encuentra la prohibición del parágrafo del artículo 38</w:t>
            </w:r>
            <w:r>
              <w:rPr>
                <w:rFonts w:ascii="Verdana" w:eastAsia="Arial" w:hAnsi="Verdana" w:cs="Arial"/>
                <w:lang w:eastAsia="es-ES" w:bidi="es-ES"/>
              </w:rPr>
              <w:t xml:space="preserve"> de la referida ley</w:t>
            </w:r>
            <w:r w:rsidRPr="00480DE0">
              <w:rPr>
                <w:rFonts w:ascii="Verdana" w:eastAsia="Arial" w:hAnsi="Verdana" w:cs="Arial"/>
                <w:lang w:eastAsia="es-ES" w:bidi="es-ES"/>
              </w:rPr>
              <w:t>,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C00FBAF" w14:textId="77777777" w:rsidR="00121DB6" w:rsidRPr="00480DE0" w:rsidRDefault="00121DB6" w:rsidP="00A76DC0">
            <w:pPr>
              <w:spacing w:after="120" w:line="276" w:lineRule="auto"/>
              <w:ind w:firstLine="709"/>
              <w:jc w:val="both"/>
              <w:rPr>
                <w:rFonts w:ascii="Verdana" w:eastAsia="Arial" w:hAnsi="Verdana" w:cs="Arial"/>
                <w:lang w:eastAsia="es-ES" w:bidi="es-ES"/>
              </w:rPr>
            </w:pPr>
            <w:r w:rsidRPr="00480DE0">
              <w:rPr>
                <w:rFonts w:ascii="Verdana" w:eastAsia="Arial" w:hAnsi="Verdana" w:cs="Arial"/>
                <w:lang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6CC41920" w14:textId="77777777" w:rsidR="00121DB6" w:rsidRPr="00480DE0" w:rsidRDefault="00121DB6" w:rsidP="00A76DC0">
            <w:pPr>
              <w:spacing w:after="120" w:line="276" w:lineRule="auto"/>
              <w:ind w:firstLine="709"/>
              <w:jc w:val="both"/>
              <w:rPr>
                <w:rFonts w:ascii="Verdana" w:eastAsia="Times New Roman" w:hAnsi="Verdana" w:cs="Arial"/>
              </w:rPr>
            </w:pPr>
            <w:r w:rsidRPr="00480DE0">
              <w:rPr>
                <w:rFonts w:ascii="Verdana" w:eastAsia="Arial" w:hAnsi="Verdana" w:cs="Arial"/>
                <w:lang w:eastAsia="es-ES" w:bidi="es-ES"/>
              </w:rPr>
              <w:t xml:space="preserve">Ahora bien, </w:t>
            </w:r>
            <w:r w:rsidRPr="00480DE0">
              <w:rPr>
                <w:rFonts w:ascii="Verdana" w:eastAsia="Calibri" w:hAnsi="Verdana" w:cs="Arial"/>
                <w:lang w:eastAsia="es-ES" w:bidi="es-ES"/>
              </w:rPr>
              <w:t xml:space="preserve">es necesario precisar el alcance de la prohibición </w:t>
            </w:r>
            <w:r w:rsidRPr="00480DE0">
              <w:rPr>
                <w:rFonts w:ascii="Verdana" w:eastAsia="Arial" w:hAnsi="Verdana" w:cs="Arial"/>
                <w:lang w:eastAsia="es-ES" w:bidi="es-ES"/>
              </w:rPr>
              <w:t>establecida en e</w:t>
            </w:r>
            <w:r w:rsidRPr="00480DE0">
              <w:rPr>
                <w:rFonts w:ascii="Verdana" w:eastAsia="Calibri" w:hAnsi="Verdana" w:cs="Arial"/>
              </w:rPr>
              <w:t xml:space="preserve">l </w:t>
            </w:r>
            <w:r w:rsidRPr="00480DE0">
              <w:rPr>
                <w:rFonts w:ascii="Verdana" w:eastAsia="Times New Roman" w:hAnsi="Verdana" w:cs="Arial"/>
              </w:rPr>
              <w:t xml:space="preserve">artículo 33 de la Ley 996 de 2005. Esta restricción </w:t>
            </w:r>
            <w:r w:rsidRPr="00480DE0">
              <w:rPr>
                <w:rFonts w:ascii="Verdana" w:eastAsia="Times New Roman" w:hAnsi="Verdana" w:cs="Arial"/>
                <w:bCs/>
                <w:lang w:eastAsia="es-CO"/>
              </w:rPr>
              <w:t>no solo aplica frente a las entidades sometidas al Estatuto general de Contratación de la Administración Pública</w:t>
            </w:r>
            <w:r w:rsidRPr="00480DE0">
              <w:rPr>
                <w:rFonts w:ascii="Verdana" w:eastAsia="Times New Roman" w:hAnsi="Verdana" w:cs="Arial"/>
                <w:bCs/>
                <w:i/>
                <w:iCs/>
                <w:lang w:eastAsia="es-CO"/>
              </w:rPr>
              <w:t>, sino también frente a las entidades que tengan un régimen especial de contratación</w:t>
            </w:r>
            <w:r w:rsidRPr="00480DE0">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480DE0">
              <w:rPr>
                <w:rFonts w:ascii="Verdana" w:eastAsia="Times New Roman" w:hAnsi="Verdana" w:cs="Arial"/>
              </w:rPr>
              <w:t xml:space="preserve">Así, para la prohibición o restricción temporal contenida en su artículo 33, “contratación directa” es cualquier sistema de selección o procedimiento de contratación utilizado por las entidades estatales que no incluya la convocatoria pública en </w:t>
            </w:r>
            <w:r w:rsidRPr="00480DE0">
              <w:rPr>
                <w:rFonts w:ascii="Verdana" w:eastAsia="Times New Roman" w:hAnsi="Verdana" w:cs="Arial"/>
              </w:rPr>
              <w:lastRenderedPageBreak/>
              <w:t>alguna de sus etapas, ni permita la participación de una pluralidad de oferentes.</w:t>
            </w:r>
          </w:p>
          <w:p w14:paraId="3A04D570" w14:textId="77777777" w:rsidR="00121DB6" w:rsidRPr="00480DE0" w:rsidRDefault="00121DB6" w:rsidP="00A76DC0">
            <w:pPr>
              <w:spacing w:after="120" w:line="276" w:lineRule="auto"/>
              <w:ind w:firstLine="709"/>
              <w:jc w:val="both"/>
              <w:rPr>
                <w:rFonts w:ascii="Verdana" w:eastAsia="Arial" w:hAnsi="Verdana" w:cs="Arial"/>
                <w:bCs/>
                <w:color w:val="000000"/>
              </w:rPr>
            </w:pPr>
            <w:r w:rsidRPr="00480DE0">
              <w:rPr>
                <w:rFonts w:ascii="Verdana" w:eastAsia="Arial" w:hAnsi="Verdana" w:cs="Arial"/>
                <w:bCs/>
                <w:color w:val="000000"/>
              </w:rPr>
              <w:t xml:space="preserve">Conforme con lo expuesto, las </w:t>
            </w:r>
            <w:r>
              <w:rPr>
                <w:rFonts w:ascii="Verdana" w:eastAsia="Arial" w:hAnsi="Verdana" w:cs="Arial"/>
                <w:bCs/>
                <w:color w:val="000000"/>
              </w:rPr>
              <w:t>E</w:t>
            </w:r>
            <w:r w:rsidRPr="00480DE0">
              <w:rPr>
                <w:rFonts w:ascii="Verdana" w:eastAsia="Arial" w:hAnsi="Verdana" w:cs="Arial"/>
                <w:bCs/>
                <w:color w:val="000000"/>
              </w:rPr>
              <w:t>ntidades</w:t>
            </w:r>
            <w:r>
              <w:rPr>
                <w:rFonts w:ascii="Verdana" w:eastAsia="Arial" w:hAnsi="Verdana" w:cs="Arial"/>
                <w:bCs/>
                <w:color w:val="000000"/>
              </w:rPr>
              <w:t xml:space="preserve"> Estatales</w:t>
            </w:r>
            <w:r w:rsidRPr="00480DE0">
              <w:rPr>
                <w:rFonts w:ascii="Verdana" w:eastAsia="Arial" w:hAnsi="Verdana" w:cs="Arial"/>
                <w:bCs/>
                <w:color w:val="000000"/>
              </w:rPr>
              <w:t xml:space="preserve"> que requieran adelantar procesos durante el periodo de vigencia de la Ley de Garantías Electorales deberán analizar, si el objeto a contratar se encausa o no en las restricciones contractuales previamente expuestas.</w:t>
            </w:r>
          </w:p>
        </w:tc>
      </w:tr>
      <w:bookmarkEnd w:id="2"/>
    </w:tbl>
    <w:p w14:paraId="660597D1" w14:textId="77777777" w:rsidR="00121DB6" w:rsidRPr="00D2416E" w:rsidRDefault="00121DB6" w:rsidP="00D2416E">
      <w:pPr>
        <w:spacing w:after="0"/>
        <w:jc w:val="both"/>
        <w:rPr>
          <w:rFonts w:ascii="Verdana" w:hAnsi="Verdana"/>
        </w:rPr>
      </w:pPr>
    </w:p>
    <w:p w14:paraId="7F9E0ACF" w14:textId="77777777" w:rsidR="00121DB6" w:rsidRPr="00480DE0" w:rsidRDefault="00121DB6" w:rsidP="00D2416E">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480DE0">
        <w:rPr>
          <w:rFonts w:ascii="Verdana" w:eastAsia="Arial" w:hAnsi="Verdana" w:cs="Arial"/>
          <w:b/>
          <w:bCs/>
          <w:lang w:val="es-ES"/>
        </w:rPr>
        <w:t>3. Razones de la respuesta</w:t>
      </w:r>
    </w:p>
    <w:p w14:paraId="6D1197E4" w14:textId="77777777" w:rsidR="00121DB6" w:rsidRPr="00480DE0" w:rsidRDefault="00121DB6" w:rsidP="00121DB6">
      <w:pPr>
        <w:spacing w:after="0" w:line="276" w:lineRule="auto"/>
        <w:jc w:val="both"/>
        <w:rPr>
          <w:rFonts w:ascii="Verdana" w:eastAsia="Calibri" w:hAnsi="Verdana" w:cs="Arial"/>
          <w:lang w:val="es-ES"/>
        </w:rPr>
      </w:pPr>
    </w:p>
    <w:p w14:paraId="56FCE6DC" w14:textId="77777777" w:rsidR="00121DB6" w:rsidRPr="00480DE0" w:rsidRDefault="00121DB6" w:rsidP="00121DB6">
      <w:pPr>
        <w:spacing w:after="0" w:line="276" w:lineRule="auto"/>
        <w:jc w:val="both"/>
        <w:rPr>
          <w:rFonts w:ascii="Verdana" w:eastAsia="Calibri" w:hAnsi="Verdana" w:cs="Arial"/>
          <w:lang w:val="es-ES"/>
        </w:rPr>
      </w:pPr>
      <w:r w:rsidRPr="00480DE0">
        <w:rPr>
          <w:rFonts w:ascii="Verdana" w:eastAsia="Calibri" w:hAnsi="Verdana" w:cs="Arial"/>
          <w:lang w:val="es-ES"/>
        </w:rPr>
        <w:t xml:space="preserve">Las respuestas anteriores se sustentan en las siguientes consideraciones: </w:t>
      </w:r>
    </w:p>
    <w:p w14:paraId="3F316874" w14:textId="77777777" w:rsidR="00121DB6" w:rsidRPr="00480DE0" w:rsidRDefault="00121DB6" w:rsidP="00121DB6">
      <w:pPr>
        <w:spacing w:after="0" w:line="276" w:lineRule="auto"/>
        <w:jc w:val="both"/>
        <w:rPr>
          <w:rFonts w:ascii="Verdana" w:eastAsia="Calibri" w:hAnsi="Verdana" w:cs="Arial"/>
          <w:lang w:val="es-ES"/>
        </w:rPr>
      </w:pPr>
    </w:p>
    <w:p w14:paraId="6580FE82" w14:textId="77777777" w:rsidR="00121DB6" w:rsidRPr="00480DE0" w:rsidRDefault="00121DB6" w:rsidP="00121DB6">
      <w:pPr>
        <w:spacing w:after="120" w:line="276" w:lineRule="auto"/>
        <w:jc w:val="both"/>
        <w:rPr>
          <w:rFonts w:ascii="Verdana" w:eastAsia="Century Gothic" w:hAnsi="Verdana" w:cs="Century Gothic"/>
          <w:bCs/>
          <w:lang w:val="es-ES_tradnl"/>
        </w:rPr>
      </w:pPr>
      <w:bookmarkStart w:id="3" w:name="_Hlk209416551"/>
      <w:r w:rsidRPr="00480DE0">
        <w:rPr>
          <w:rFonts w:ascii="Verdana" w:eastAsia="Aptos" w:hAnsi="Verdana" w:cs="Arial"/>
          <w:bCs/>
          <w:lang w:val="es-ES_tradnl" w:eastAsia="es-ES" w:bidi="es-ES"/>
        </w:rPr>
        <w:t xml:space="preserve">i) </w:t>
      </w:r>
      <w:r w:rsidRPr="00480DE0">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20B0AF4C" w14:textId="77777777" w:rsidR="00121DB6" w:rsidRPr="00480DE0" w:rsidRDefault="00121DB6" w:rsidP="00121DB6">
      <w:pPr>
        <w:spacing w:after="12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3541C9EE" w14:textId="77777777" w:rsidR="00121DB6" w:rsidRPr="00480DE0" w:rsidRDefault="00121DB6" w:rsidP="00121DB6">
      <w:pPr>
        <w:spacing w:after="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37EC88B4" w14:textId="77777777" w:rsidR="00121DB6" w:rsidRPr="00480DE0" w:rsidRDefault="00121DB6" w:rsidP="00121DB6">
      <w:pPr>
        <w:spacing w:after="0" w:line="276" w:lineRule="auto"/>
        <w:ind w:firstLine="708"/>
        <w:jc w:val="both"/>
        <w:rPr>
          <w:rFonts w:ascii="Verdana" w:eastAsia="Century Gothic" w:hAnsi="Verdana" w:cs="Century Gothic"/>
          <w:bCs/>
          <w:lang w:val="es-ES_tradnl"/>
        </w:rPr>
      </w:pPr>
    </w:p>
    <w:p w14:paraId="084521AF"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5F29E434"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p>
    <w:p w14:paraId="6524907B"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 xml:space="preserve">[…] </w:t>
      </w:r>
    </w:p>
    <w:p w14:paraId="46C7A69C"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p>
    <w:p w14:paraId="744F8609"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29D5FF88" w14:textId="77777777" w:rsidR="00121DB6" w:rsidRPr="00480DE0" w:rsidRDefault="00121DB6" w:rsidP="00121DB6">
      <w:pPr>
        <w:spacing w:after="0" w:line="276" w:lineRule="auto"/>
        <w:ind w:left="709" w:right="709"/>
        <w:jc w:val="both"/>
        <w:rPr>
          <w:rFonts w:ascii="Verdana" w:eastAsia="Century Gothic" w:hAnsi="Verdana" w:cs="Century Gothic"/>
          <w:bCs/>
          <w:lang w:val="es-ES_tradnl"/>
        </w:rPr>
      </w:pPr>
    </w:p>
    <w:p w14:paraId="11B8CC6A" w14:textId="77777777" w:rsidR="00121DB6" w:rsidRPr="00480DE0" w:rsidRDefault="00121DB6" w:rsidP="00121DB6">
      <w:pPr>
        <w:spacing w:after="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986C756" w14:textId="77777777" w:rsidR="00121DB6" w:rsidRPr="00480DE0" w:rsidRDefault="00121DB6" w:rsidP="00121DB6">
      <w:pPr>
        <w:spacing w:after="0" w:line="276" w:lineRule="auto"/>
        <w:ind w:firstLine="708"/>
        <w:jc w:val="both"/>
        <w:rPr>
          <w:rFonts w:ascii="Verdana" w:eastAsia="Century Gothic" w:hAnsi="Verdana" w:cs="Century Gothic"/>
          <w:bCs/>
          <w:lang w:val="es-ES_tradnl"/>
        </w:rPr>
      </w:pPr>
    </w:p>
    <w:p w14:paraId="429A1D5C" w14:textId="77777777" w:rsidR="00121DB6" w:rsidRPr="00480DE0" w:rsidRDefault="00121DB6" w:rsidP="00121DB6">
      <w:pPr>
        <w:spacing w:after="0" w:line="240" w:lineRule="auto"/>
        <w:ind w:left="709" w:right="709"/>
        <w:jc w:val="both"/>
        <w:rPr>
          <w:rFonts w:ascii="Verdana" w:eastAsia="Century Gothic" w:hAnsi="Verdana" w:cs="Century Gothic"/>
          <w:sz w:val="20"/>
          <w:szCs w:val="20"/>
          <w:lang w:val="es-ES"/>
        </w:rPr>
      </w:pPr>
      <w:r w:rsidRPr="00480DE0">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80DE0">
        <w:rPr>
          <w:rFonts w:ascii="Verdana" w:eastAsia="Century Gothic" w:hAnsi="Verdana" w:cs="Century Gothic"/>
          <w:sz w:val="20"/>
          <w:szCs w:val="20"/>
          <w:lang w:val="es-ES"/>
        </w:rPr>
        <w:t>legis</w:t>
      </w:r>
      <w:proofErr w:type="spellEnd"/>
      <w:r w:rsidRPr="00480DE0">
        <w:rPr>
          <w:rFonts w:ascii="Verdana" w:eastAsia="Century Gothic" w:hAnsi="Verdana" w:cs="Century Gothic"/>
          <w:sz w:val="20"/>
          <w:szCs w:val="20"/>
          <w:lang w:val="es-ES"/>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D653AA6" w14:textId="77777777" w:rsidR="00121DB6" w:rsidRPr="00480DE0" w:rsidRDefault="00121DB6" w:rsidP="00121DB6">
      <w:pPr>
        <w:spacing w:after="0" w:line="240" w:lineRule="auto"/>
        <w:ind w:left="709" w:right="709"/>
        <w:jc w:val="both"/>
        <w:rPr>
          <w:rFonts w:ascii="Verdana" w:eastAsia="Century Gothic" w:hAnsi="Verdana" w:cs="Century Gothic"/>
          <w:sz w:val="20"/>
          <w:szCs w:val="20"/>
          <w:lang w:val="es-ES"/>
        </w:rPr>
      </w:pPr>
    </w:p>
    <w:p w14:paraId="1F87BF2F"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35BE2F7D" w14:textId="77777777" w:rsidR="00121DB6" w:rsidRPr="00480DE0" w:rsidRDefault="00121DB6" w:rsidP="00121DB6">
      <w:pPr>
        <w:spacing w:after="0" w:line="276" w:lineRule="auto"/>
        <w:ind w:left="709" w:right="709"/>
        <w:jc w:val="both"/>
        <w:rPr>
          <w:rFonts w:ascii="Verdana" w:eastAsia="Century Gothic" w:hAnsi="Verdana" w:cs="Century Gothic"/>
          <w:bCs/>
          <w:sz w:val="20"/>
          <w:szCs w:val="20"/>
          <w:lang w:val="es-ES_tradnl"/>
        </w:rPr>
      </w:pPr>
    </w:p>
    <w:p w14:paraId="5C3097D7" w14:textId="77777777" w:rsidR="00121DB6" w:rsidRPr="00480DE0" w:rsidRDefault="00121DB6" w:rsidP="00121DB6">
      <w:pPr>
        <w:spacing w:after="0" w:line="276" w:lineRule="auto"/>
        <w:ind w:firstLine="709"/>
        <w:jc w:val="both"/>
        <w:rPr>
          <w:rFonts w:ascii="Verdana" w:eastAsia="Arial" w:hAnsi="Verdana" w:cs="Arial"/>
          <w:lang w:val="es-ES" w:eastAsia="es-ES" w:bidi="es-ES"/>
        </w:rPr>
      </w:pPr>
      <w:r w:rsidRPr="00480DE0">
        <w:rPr>
          <w:rFonts w:ascii="Verdana" w:eastAsia="Century Gothic" w:hAnsi="Verdana" w:cs="Century Gothic"/>
          <w:bCs/>
          <w:lang w:val="es-ES_tradnl"/>
        </w:rPr>
        <w:lastRenderedPageBreak/>
        <w:t xml:space="preserve">De conformidad con lo anterior, la Ley de Garantías Electorales estableció una serie de regulaciones y prohibiciones dirigidas a los servidores públicos. Así las cosas,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480DE0">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4F3DED3E" w14:textId="77777777" w:rsidR="00121DB6" w:rsidRPr="00480DE0" w:rsidRDefault="00121DB6" w:rsidP="00121DB6">
      <w:pPr>
        <w:spacing w:after="0" w:line="276" w:lineRule="auto"/>
        <w:jc w:val="both"/>
        <w:rPr>
          <w:rFonts w:ascii="Verdana" w:eastAsia="Century Gothic" w:hAnsi="Verdana" w:cs="Century Gothic"/>
          <w:bCs/>
          <w:lang w:val="es-ES_tradnl"/>
        </w:rPr>
      </w:pPr>
    </w:p>
    <w:p w14:paraId="15C35112" w14:textId="77777777" w:rsidR="00121DB6" w:rsidRPr="00480DE0" w:rsidRDefault="00121DB6" w:rsidP="00121DB6">
      <w:pPr>
        <w:spacing w:after="120" w:line="276" w:lineRule="auto"/>
        <w:jc w:val="both"/>
        <w:rPr>
          <w:rFonts w:ascii="Verdana" w:eastAsia="Century Gothic" w:hAnsi="Verdana" w:cs="Century Gothic"/>
          <w:lang w:val="es-ES"/>
        </w:rPr>
      </w:pPr>
      <w:proofErr w:type="spellStart"/>
      <w:r w:rsidRPr="00480DE0">
        <w:rPr>
          <w:rFonts w:ascii="Verdana" w:eastAsia="Century Gothic" w:hAnsi="Verdana" w:cs="Century Gothic"/>
          <w:lang w:val="es-ES"/>
        </w:rPr>
        <w:t>ii</w:t>
      </w:r>
      <w:proofErr w:type="spellEnd"/>
      <w:r w:rsidRPr="00480DE0">
        <w:rPr>
          <w:rFonts w:ascii="Verdana" w:eastAsia="Century Gothic" w:hAnsi="Verdana" w:cs="Century Gothic"/>
          <w:lang w:val="es-ES"/>
        </w:rPr>
        <w:t>)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0109E873" w14:textId="77777777" w:rsidR="00121DB6" w:rsidRPr="00480DE0" w:rsidRDefault="00121DB6" w:rsidP="00121DB6">
      <w:pPr>
        <w:spacing w:after="12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Por un lado, el artículo 33 de la Ley 996 de 2005 prohíbe “</w:t>
      </w:r>
      <w:r>
        <w:rPr>
          <w:rFonts w:ascii="Verdana" w:eastAsia="Century Gothic" w:hAnsi="Verdana" w:cs="Century Gothic"/>
          <w:bCs/>
          <w:lang w:val="es-ES_tradnl"/>
        </w:rPr>
        <w:t>[</w:t>
      </w:r>
      <w:r w:rsidRPr="00480DE0">
        <w:rPr>
          <w:rFonts w:ascii="Verdana" w:eastAsia="Century Gothic" w:hAnsi="Verdana" w:cs="Century Gothic"/>
          <w:bCs/>
          <w:lang w:val="es-ES_tradnl"/>
        </w:rPr>
        <w:t>…</w:t>
      </w:r>
      <w:r>
        <w:rPr>
          <w:rFonts w:ascii="Verdana" w:eastAsia="Century Gothic" w:hAnsi="Verdana" w:cs="Century Gothic"/>
          <w:bCs/>
          <w:lang w:val="es-ES_tradnl"/>
        </w:rPr>
        <w:t>]</w:t>
      </w:r>
      <w:r w:rsidRPr="00480DE0">
        <w:rPr>
          <w:rFonts w:ascii="Verdana" w:eastAsia="Century Gothic" w:hAnsi="Verdana" w:cs="Century Gothic"/>
          <w:bCs/>
          <w:lang w:val="es-ES_tradnl"/>
        </w:rPr>
        <w:t xml:space="preserve"> la contratación directa por parte de todos los entes del Estado” durante los cuatro (4) meses anteriores a las elecciones presidenciales, salvo “[…] lo referente a la </w:t>
      </w:r>
      <w:r w:rsidRPr="00480DE0">
        <w:rPr>
          <w:rFonts w:ascii="Verdana" w:eastAsia="Century Gothic" w:hAnsi="Verdana" w:cs="Century Gothic"/>
          <w:bCs/>
          <w:i/>
          <w:iCs/>
          <w:lang w:val="es-ES_tradnl"/>
        </w:rPr>
        <w:t>defensa y seguridad del Estado</w:t>
      </w:r>
      <w:r w:rsidRPr="00480DE0">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74272D23" w14:textId="77777777" w:rsidR="00121DB6" w:rsidRPr="00480DE0" w:rsidRDefault="00121DB6" w:rsidP="00121DB6">
      <w:pPr>
        <w:spacing w:after="12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entury Gothic" w:hAnsi="Verdana" w:cs="Century Gothic"/>
          <w:bCs/>
          <w:lang w:val="es-ES_tradnl"/>
        </w:rPr>
        <w:t>[</w:t>
      </w:r>
      <w:r w:rsidRPr="00480DE0">
        <w:rPr>
          <w:rFonts w:ascii="Verdana" w:eastAsia="Century Gothic" w:hAnsi="Verdana" w:cs="Century Gothic"/>
          <w:bCs/>
          <w:lang w:val="es-ES_tradnl"/>
        </w:rPr>
        <w:t>…</w:t>
      </w:r>
      <w:r>
        <w:rPr>
          <w:rFonts w:ascii="Verdana" w:eastAsia="Century Gothic" w:hAnsi="Verdana" w:cs="Century Gothic"/>
          <w:bCs/>
          <w:lang w:val="es-ES_tradnl"/>
        </w:rPr>
        <w:t>]</w:t>
      </w:r>
      <w:r w:rsidRPr="00480DE0">
        <w:rPr>
          <w:rFonts w:ascii="Verdana" w:eastAsia="Century Gothic" w:hAnsi="Verdana" w:cs="Century Gothic"/>
          <w:bCs/>
          <w:lang w:val="es-ES_tradnl"/>
        </w:rPr>
        <w:t xml:space="preserve">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1DFB7BBF" w14:textId="77777777" w:rsidR="00121DB6" w:rsidRPr="00480DE0" w:rsidRDefault="00121DB6" w:rsidP="00121DB6">
      <w:pPr>
        <w:spacing w:after="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53C72048" w14:textId="77777777" w:rsidR="00121DB6" w:rsidRPr="00480DE0" w:rsidRDefault="00121DB6" w:rsidP="00121DB6">
      <w:pPr>
        <w:spacing w:after="0" w:line="276" w:lineRule="auto"/>
        <w:ind w:firstLine="708"/>
        <w:jc w:val="both"/>
        <w:rPr>
          <w:rFonts w:ascii="Verdana" w:eastAsia="Century Gothic" w:hAnsi="Verdana" w:cs="Century Gothic"/>
          <w:bCs/>
          <w:lang w:val="es-ES_tradnl"/>
        </w:rPr>
      </w:pPr>
    </w:p>
    <w:p w14:paraId="192E5874"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lastRenderedPageBreak/>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22041C01" w14:textId="77777777" w:rsidR="00121DB6" w:rsidRPr="00480DE0" w:rsidRDefault="00121DB6" w:rsidP="00121DB6">
      <w:pPr>
        <w:spacing w:after="0" w:line="276" w:lineRule="auto"/>
        <w:ind w:left="709" w:right="709"/>
        <w:jc w:val="both"/>
        <w:rPr>
          <w:rFonts w:ascii="Verdana" w:eastAsia="Century Gothic" w:hAnsi="Verdana" w:cs="Century Gothic"/>
          <w:bCs/>
          <w:lang w:val="es-ES_tradnl"/>
        </w:rPr>
      </w:pPr>
    </w:p>
    <w:p w14:paraId="12B31F3E" w14:textId="77777777" w:rsidR="00121DB6" w:rsidRPr="00480DE0" w:rsidRDefault="00121DB6" w:rsidP="00121DB6">
      <w:pPr>
        <w:spacing w:after="120" w:line="276" w:lineRule="auto"/>
        <w:ind w:firstLine="709"/>
        <w:jc w:val="both"/>
        <w:rPr>
          <w:rFonts w:ascii="Verdana" w:eastAsia="Century Gothic" w:hAnsi="Verdana" w:cs="Century Gothic"/>
          <w:lang w:val="es-ES"/>
        </w:rPr>
      </w:pPr>
      <w:r w:rsidRPr="00480DE0">
        <w:rPr>
          <w:rFonts w:ascii="Verdana" w:eastAsia="Century Gothic" w:hAnsi="Verdana" w:cs="Century Gothic"/>
          <w:lang w:val="es-ES"/>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CC24EEF" w14:textId="77777777" w:rsidR="00121DB6" w:rsidRPr="00480DE0" w:rsidRDefault="00121DB6" w:rsidP="00121DB6">
      <w:pPr>
        <w:spacing w:after="120" w:line="276" w:lineRule="auto"/>
        <w:ind w:firstLine="709"/>
        <w:jc w:val="both"/>
        <w:rPr>
          <w:rFonts w:ascii="Verdana" w:eastAsia="Century Gothic" w:hAnsi="Verdana" w:cs="Century Gothic"/>
          <w:lang w:val="es-ES"/>
        </w:rPr>
      </w:pPr>
      <w:r w:rsidRPr="00480DE0">
        <w:rPr>
          <w:rFonts w:ascii="Verdana" w:eastAsia="Century Gothic" w:hAnsi="Verdana" w:cs="Century Gothic"/>
          <w:lang w:val="es-ES"/>
        </w:rPr>
        <w:t xml:space="preserve">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w:t>
      </w:r>
      <w:r w:rsidRPr="00480DE0">
        <w:rPr>
          <w:rFonts w:ascii="Verdana" w:eastAsia="Century Gothic" w:hAnsi="Verdana" w:cs="Century Gothic"/>
          <w:lang w:val="es-ES"/>
        </w:rPr>
        <w:lastRenderedPageBreak/>
        <w:t>Presidente de la República, las autoridades allí mencionadas sólo deben aplicar las restricciones contenidas en el parágrafo del artículo 38.</w:t>
      </w:r>
    </w:p>
    <w:p w14:paraId="455B169E" w14:textId="77777777" w:rsidR="00121DB6" w:rsidRPr="00480DE0" w:rsidRDefault="00121DB6" w:rsidP="00121DB6">
      <w:pPr>
        <w:spacing w:after="0" w:line="276" w:lineRule="auto"/>
        <w:ind w:firstLine="709"/>
        <w:jc w:val="both"/>
        <w:rPr>
          <w:rFonts w:ascii="Verdana" w:eastAsia="Century Gothic" w:hAnsi="Verdana" w:cs="Century Gothic"/>
          <w:lang w:val="es-ES"/>
        </w:rPr>
      </w:pPr>
      <w:r w:rsidRPr="00480DE0">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27F8589" w14:textId="77777777" w:rsidR="00121DB6" w:rsidRPr="00480DE0" w:rsidRDefault="00121DB6" w:rsidP="00121DB6">
      <w:pPr>
        <w:spacing w:after="0" w:line="276" w:lineRule="auto"/>
        <w:ind w:firstLine="709"/>
        <w:jc w:val="both"/>
        <w:rPr>
          <w:rFonts w:ascii="Verdana" w:eastAsia="Century Gothic" w:hAnsi="Verdana" w:cs="Century Gothic"/>
          <w:lang w:val="es-ES"/>
        </w:rPr>
      </w:pPr>
    </w:p>
    <w:p w14:paraId="0132C652" w14:textId="77777777" w:rsidR="00121DB6" w:rsidRPr="00480DE0" w:rsidRDefault="00121DB6" w:rsidP="00121DB6">
      <w:pPr>
        <w:spacing w:after="120" w:line="276" w:lineRule="auto"/>
        <w:jc w:val="both"/>
        <w:rPr>
          <w:rFonts w:ascii="Verdana" w:eastAsia="Century Gothic" w:hAnsi="Verdana" w:cs="Century Gothic"/>
          <w:lang w:val="es-ES"/>
        </w:rPr>
      </w:pPr>
      <w:proofErr w:type="spellStart"/>
      <w:r w:rsidRPr="00480DE0">
        <w:rPr>
          <w:rFonts w:ascii="Verdana" w:eastAsia="Century Gothic" w:hAnsi="Verdana" w:cs="Century Gothic"/>
          <w:lang w:val="es-ES"/>
        </w:rPr>
        <w:t>iii</w:t>
      </w:r>
      <w:proofErr w:type="spellEnd"/>
      <w:r w:rsidRPr="00480DE0">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00480DE0">
        <w:rPr>
          <w:rFonts w:ascii="Verdana" w:eastAsia="Century Gothic" w:hAnsi="Verdana" w:cs="Century Gothic"/>
          <w:lang w:val="es-ES"/>
        </w:rPr>
        <w:t>Proc</w:t>
      </w:r>
      <w:proofErr w:type="spellEnd"/>
      <w:r w:rsidRPr="00480DE0">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13EEDA56" w14:textId="77777777" w:rsidR="00121DB6" w:rsidRPr="00480DE0" w:rsidRDefault="00121DB6" w:rsidP="00121DB6">
      <w:pPr>
        <w:spacing w:after="12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w:t>
      </w:r>
      <w:r w:rsidRPr="00480DE0">
        <w:rPr>
          <w:rFonts w:ascii="Verdana" w:eastAsia="Century Gothic" w:hAnsi="Verdana" w:cs="Century Gothic"/>
          <w:bCs/>
          <w:lang w:val="es-ES_tradnl"/>
        </w:rPr>
        <w:lastRenderedPageBreak/>
        <w:t xml:space="preserve">perfeccionan cuando se logre acuerdo sobre el objeto y la contraprestación y éste se eleve a escrito”. </w:t>
      </w:r>
    </w:p>
    <w:p w14:paraId="4D3ABE9A" w14:textId="77777777" w:rsidR="00121DB6" w:rsidRPr="00480DE0" w:rsidRDefault="00121DB6" w:rsidP="00121DB6">
      <w:pPr>
        <w:spacing w:after="12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1AF0979" w14:textId="77777777" w:rsidR="00121DB6" w:rsidRPr="00480DE0" w:rsidRDefault="00121DB6" w:rsidP="00121DB6">
      <w:pPr>
        <w:spacing w:after="0" w:line="276" w:lineRule="auto"/>
        <w:ind w:firstLine="709"/>
        <w:jc w:val="both"/>
        <w:rPr>
          <w:rFonts w:ascii="Verdana" w:eastAsia="Century Gothic" w:hAnsi="Verdana" w:cs="Century Gothic"/>
          <w:bCs/>
          <w:lang w:val="es-ES_tradnl"/>
        </w:rPr>
      </w:pPr>
      <w:r w:rsidRPr="00480DE0">
        <w:rPr>
          <w:rFonts w:ascii="Verdana" w:eastAsia="Century Gothic" w:hAnsi="Verdana" w:cs="Century Gothic"/>
          <w:lang w:val="es-ES"/>
        </w:rPr>
        <w:t xml:space="preserve">Asimismo, 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Electorales, sin que ello haga nugatoria la restricción de la contratación directa y siempre que cumplan los principios de planeación, transparencia y </w:t>
      </w:r>
      <w:r w:rsidRPr="00480DE0">
        <w:rPr>
          <w:rFonts w:ascii="Verdana" w:eastAsia="Century Gothic" w:hAnsi="Verdana" w:cs="Century Gothic"/>
          <w:bCs/>
          <w:lang w:val="es-ES_tradnl"/>
        </w:rPr>
        <w:t xml:space="preserve">responsabilidad. </w:t>
      </w:r>
    </w:p>
    <w:p w14:paraId="130B624B" w14:textId="77777777" w:rsidR="00121DB6" w:rsidRPr="00480DE0" w:rsidRDefault="00121DB6" w:rsidP="00121DB6">
      <w:pPr>
        <w:spacing w:after="0" w:line="276" w:lineRule="auto"/>
        <w:ind w:firstLine="709"/>
        <w:jc w:val="both"/>
        <w:rPr>
          <w:rFonts w:ascii="Verdana" w:eastAsia="Century Gothic" w:hAnsi="Verdana" w:cs="Century Gothic"/>
          <w:bCs/>
          <w:lang w:val="es-ES_tradnl"/>
        </w:rPr>
      </w:pPr>
    </w:p>
    <w:p w14:paraId="36C689F9" w14:textId="77777777" w:rsidR="00121DB6" w:rsidRPr="00480DE0" w:rsidRDefault="00121DB6" w:rsidP="00121DB6">
      <w:pPr>
        <w:spacing w:after="0" w:line="276" w:lineRule="auto"/>
        <w:jc w:val="both"/>
        <w:rPr>
          <w:rFonts w:ascii="Verdana" w:eastAsia="Century Gothic" w:hAnsi="Verdana" w:cs="Century Gothic"/>
          <w:lang w:val="es-ES"/>
        </w:rPr>
      </w:pPr>
      <w:proofErr w:type="spellStart"/>
      <w:r w:rsidRPr="00480DE0">
        <w:rPr>
          <w:rFonts w:ascii="Verdana" w:eastAsia="Century Gothic" w:hAnsi="Verdana" w:cs="Century Gothic"/>
          <w:bCs/>
          <w:lang w:val="es-ES_tradnl"/>
        </w:rPr>
        <w:t>iv</w:t>
      </w:r>
      <w:proofErr w:type="spellEnd"/>
      <w:r w:rsidRPr="00480DE0">
        <w:rPr>
          <w:rFonts w:ascii="Verdana" w:eastAsia="Century Gothic" w:hAnsi="Verdana" w:cs="Century Gothic"/>
          <w:bCs/>
          <w:lang w:val="es-ES_tradnl"/>
        </w:rPr>
        <w:t xml:space="preserve">) </w:t>
      </w:r>
      <w:r w:rsidRPr="00480DE0">
        <w:rPr>
          <w:rFonts w:ascii="Verdana" w:eastAsia="Calibri" w:hAnsi="Verdana" w:cs="Arial"/>
          <w:lang w:val="es-ES" w:eastAsia="es-ES" w:bidi="es-ES"/>
        </w:rPr>
        <w:t xml:space="preserve">Para responder al problema jurídico planteado es necesario precisar el alcance de la prohibición </w:t>
      </w:r>
      <w:r w:rsidRPr="00480DE0">
        <w:rPr>
          <w:rFonts w:ascii="Verdana" w:eastAsia="Arial" w:hAnsi="Verdana" w:cs="Arial"/>
          <w:lang w:val="es-ES" w:eastAsia="es-ES" w:bidi="es-ES"/>
        </w:rPr>
        <w:t>establecida en e</w:t>
      </w:r>
      <w:r w:rsidRPr="00480DE0">
        <w:rPr>
          <w:rFonts w:ascii="Verdana" w:eastAsia="Calibri" w:hAnsi="Verdana" w:cs="Arial"/>
          <w:lang w:val="es-ES"/>
        </w:rPr>
        <w:t xml:space="preserve">l </w:t>
      </w:r>
      <w:r w:rsidRPr="00480DE0">
        <w:rPr>
          <w:rFonts w:ascii="Verdana" w:eastAsia="Times New Roman" w:hAnsi="Verdana" w:cs="Arial"/>
          <w:lang w:val="es-ES"/>
        </w:rPr>
        <w:t xml:space="preserve">artículo 33 de la Ley 996 de 2005. </w:t>
      </w:r>
      <w:r w:rsidRPr="00480DE0">
        <w:rPr>
          <w:rFonts w:ascii="Verdana" w:eastAsia="Century Gothic" w:hAnsi="Verdana" w:cs="Century Gothic"/>
          <w:bCs/>
          <w:lang w:val="es-ES_tradnl"/>
        </w:rPr>
        <w:t>E</w:t>
      </w:r>
      <w:r w:rsidRPr="00480DE0">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79A7EE2B" w14:textId="77777777" w:rsidR="00121DB6" w:rsidRPr="00480DE0" w:rsidRDefault="00121DB6" w:rsidP="00121DB6">
      <w:pPr>
        <w:spacing w:after="0" w:line="276" w:lineRule="auto"/>
        <w:jc w:val="both"/>
        <w:rPr>
          <w:rFonts w:ascii="Verdana" w:eastAsia="Century Gothic" w:hAnsi="Verdana" w:cs="Century Gothic"/>
          <w:bCs/>
          <w:lang w:val="es-ES_tradnl"/>
        </w:rPr>
      </w:pPr>
    </w:p>
    <w:p w14:paraId="3A68EA39"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65EE5742"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p>
    <w:p w14:paraId="039674EB" w14:textId="77777777" w:rsidR="00121DB6" w:rsidRPr="00480DE0" w:rsidRDefault="00121DB6" w:rsidP="00121DB6">
      <w:pPr>
        <w:spacing w:after="0" w:line="240" w:lineRule="auto"/>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w:t>
      </w:r>
      <w:r w:rsidRPr="00480DE0">
        <w:rPr>
          <w:rFonts w:ascii="Verdana" w:eastAsia="Century Gothic" w:hAnsi="Verdana" w:cs="Century Gothic"/>
          <w:bCs/>
          <w:sz w:val="20"/>
          <w:szCs w:val="20"/>
          <w:lang w:val="es-ES_tradnl"/>
        </w:rPr>
        <w:lastRenderedPageBreak/>
        <w:t xml:space="preserve">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w:t>
      </w:r>
      <w:proofErr w:type="gramStart"/>
      <w:r w:rsidRPr="00480DE0">
        <w:rPr>
          <w:rFonts w:ascii="Verdana" w:eastAsia="Century Gothic" w:hAnsi="Verdana" w:cs="Century Gothic"/>
          <w:bCs/>
          <w:sz w:val="20"/>
          <w:szCs w:val="20"/>
          <w:lang w:val="es-ES_tradnl"/>
        </w:rPr>
        <w:t xml:space="preserve">sistemas </w:t>
      </w:r>
      <w:r>
        <w:rPr>
          <w:rFonts w:ascii="Verdana" w:eastAsia="Century Gothic" w:hAnsi="Verdana" w:cs="Century Gothic"/>
          <w:bCs/>
          <w:sz w:val="20"/>
          <w:szCs w:val="20"/>
          <w:lang w:val="es-ES_tradnl"/>
        </w:rPr>
        <w:t>]</w:t>
      </w:r>
      <w:proofErr w:type="gramEnd"/>
      <w:r w:rsidRPr="00480DE0">
        <w:rPr>
          <w:rFonts w:ascii="Verdana" w:eastAsia="Century Gothic" w:hAnsi="Verdana" w:cs="Century Gothic"/>
          <w:bCs/>
          <w:sz w:val="20"/>
          <w:szCs w:val="20"/>
          <w:lang w:val="es-ES_tradnl"/>
        </w:rPr>
        <w:t>…</w:t>
      </w:r>
      <w:r>
        <w:rPr>
          <w:rFonts w:ascii="Verdana" w:eastAsia="Century Gothic" w:hAnsi="Verdana" w:cs="Century Gothic"/>
          <w:bCs/>
          <w:sz w:val="20"/>
          <w:szCs w:val="20"/>
          <w:lang w:val="es-ES_tradnl"/>
        </w:rPr>
        <w:t>]</w:t>
      </w:r>
      <w:r w:rsidRPr="00480DE0">
        <w:rPr>
          <w:rFonts w:ascii="Verdana" w:eastAsia="Century Gothic" w:hAnsi="Verdana" w:cs="Century Gothic"/>
          <w:bCs/>
          <w:sz w:val="20"/>
          <w:szCs w:val="20"/>
          <w:lang w:val="es-ES_tradnl"/>
        </w:rPr>
        <w:t>”.</w:t>
      </w:r>
    </w:p>
    <w:p w14:paraId="3E100B1A" w14:textId="77777777" w:rsidR="00121DB6" w:rsidRPr="00480DE0" w:rsidRDefault="00121DB6" w:rsidP="00121DB6">
      <w:pPr>
        <w:spacing w:after="0" w:line="276" w:lineRule="auto"/>
        <w:ind w:firstLine="708"/>
        <w:jc w:val="both"/>
        <w:rPr>
          <w:rFonts w:ascii="Verdana" w:eastAsia="Century Gothic" w:hAnsi="Verdana" w:cs="Century Gothic"/>
          <w:bCs/>
          <w:lang w:val="es-ES_tradnl"/>
        </w:rPr>
      </w:pPr>
    </w:p>
    <w:p w14:paraId="0886B2F9" w14:textId="77777777" w:rsidR="00121DB6" w:rsidRPr="00480DE0" w:rsidRDefault="00121DB6" w:rsidP="00121DB6">
      <w:pPr>
        <w:spacing w:after="120" w:line="276" w:lineRule="auto"/>
        <w:ind w:firstLine="708"/>
        <w:jc w:val="both"/>
        <w:rPr>
          <w:rFonts w:ascii="Verdana" w:eastAsia="Century Gothic" w:hAnsi="Verdana" w:cs="Century Gothic"/>
          <w:lang w:val="es-ES"/>
        </w:rPr>
      </w:pPr>
      <w:r w:rsidRPr="00480DE0">
        <w:rPr>
          <w:rFonts w:ascii="Verdana" w:eastAsia="Century Gothic" w:hAnsi="Verdana" w:cs="Century Gothic"/>
          <w:lang w:val="es-ES"/>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328CBBB9" w14:textId="77777777" w:rsidR="00121DB6" w:rsidRPr="00480DE0" w:rsidRDefault="00121DB6" w:rsidP="00121DB6">
      <w:pPr>
        <w:spacing w:after="12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5C0A63B3" w14:textId="77777777" w:rsidR="00121DB6" w:rsidRPr="00480DE0" w:rsidRDefault="00121DB6" w:rsidP="00121DB6">
      <w:pPr>
        <w:spacing w:after="12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480DE0">
        <w:rPr>
          <w:rFonts w:ascii="Verdana" w:eastAsia="Century Gothic" w:hAnsi="Verdana" w:cs="Century Gothic"/>
          <w:bCs/>
          <w:lang w:val="es-ES_tradnl"/>
        </w:rPr>
        <w:lastRenderedPageBreak/>
        <w:t xml:space="preserve">inscribirse en forma previa se haga de manera pública, y que se permita la participación de una pluralidad de oferentes. </w:t>
      </w:r>
    </w:p>
    <w:p w14:paraId="159FAC69" w14:textId="77777777" w:rsidR="00121DB6" w:rsidRPr="00480DE0" w:rsidRDefault="00121DB6" w:rsidP="00121DB6">
      <w:pPr>
        <w:spacing w:after="120" w:line="276" w:lineRule="auto"/>
        <w:ind w:firstLine="708"/>
        <w:jc w:val="both"/>
        <w:rPr>
          <w:rFonts w:ascii="Verdana" w:eastAsia="Century Gothic" w:hAnsi="Verdana" w:cs="Century Gothic"/>
          <w:lang w:val="es-ES"/>
        </w:rPr>
      </w:pPr>
      <w:r w:rsidRPr="00480DE0">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9A5FE94" w14:textId="77777777" w:rsidR="00121DB6" w:rsidRPr="00480DE0" w:rsidRDefault="00121DB6" w:rsidP="00121DB6">
      <w:pPr>
        <w:spacing w:after="120" w:line="276" w:lineRule="auto"/>
        <w:ind w:firstLine="708"/>
        <w:jc w:val="both"/>
        <w:rPr>
          <w:rFonts w:ascii="Verdana" w:eastAsia="Century Gothic" w:hAnsi="Verdana" w:cs="Century Gothic"/>
          <w:bCs/>
          <w:lang w:val="es-ES_tradnl"/>
        </w:rPr>
      </w:pPr>
      <w:r w:rsidRPr="00480DE0">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602443B6" w14:textId="77777777" w:rsidR="00121DB6" w:rsidRPr="00480DE0" w:rsidRDefault="00121DB6" w:rsidP="00121DB6">
      <w:pPr>
        <w:spacing w:after="0" w:line="276" w:lineRule="auto"/>
        <w:ind w:firstLine="709"/>
        <w:jc w:val="both"/>
        <w:rPr>
          <w:rFonts w:ascii="Verdana" w:eastAsia="Century Gothic" w:hAnsi="Verdana" w:cs="Century Gothic"/>
          <w:lang w:val="es-ES"/>
        </w:rPr>
      </w:pPr>
      <w:r w:rsidRPr="00480DE0">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6A46960D" w14:textId="77777777" w:rsidR="00121DB6" w:rsidRPr="00480DE0" w:rsidRDefault="00121DB6" w:rsidP="00121DB6">
      <w:pPr>
        <w:spacing w:before="120" w:after="120" w:line="276" w:lineRule="auto"/>
        <w:ind w:firstLine="709"/>
        <w:jc w:val="both"/>
        <w:rPr>
          <w:rFonts w:ascii="Verdana" w:eastAsia="Times New Roman" w:hAnsi="Verdana" w:cs="Arial"/>
          <w:bCs/>
          <w:lang w:eastAsia="es-CO"/>
        </w:rPr>
      </w:pPr>
      <w:r w:rsidRPr="00480DE0">
        <w:rPr>
          <w:rFonts w:ascii="Verdana" w:eastAsia="Arial" w:hAnsi="Verdana" w:cs="Arial"/>
          <w:color w:val="000000"/>
        </w:rPr>
        <w:t xml:space="preserve">Finalmente, es importante advertir que </w:t>
      </w:r>
      <w:r w:rsidRPr="00480DE0">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480DE0">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w:t>
      </w:r>
      <w:r w:rsidRPr="00480DE0">
        <w:rPr>
          <w:rFonts w:ascii="Verdana" w:eastAsia="Times New Roman" w:hAnsi="Verdana" w:cs="Arial"/>
          <w:color w:val="000000"/>
          <w:lang w:eastAsia="es-ES"/>
        </w:rPr>
        <w:lastRenderedPageBreak/>
        <w:t xml:space="preserve">sea atribución de la Agencia Nacional de Contratación Pública - Colombia Compra Eficiente validarla. </w:t>
      </w:r>
      <w:bookmarkEnd w:id="3"/>
    </w:p>
    <w:p w14:paraId="30F75102" w14:textId="77777777" w:rsidR="00121DB6" w:rsidRPr="00480DE0" w:rsidRDefault="00121DB6" w:rsidP="00121DB6">
      <w:pPr>
        <w:spacing w:before="120" w:after="0" w:line="276" w:lineRule="auto"/>
        <w:ind w:firstLine="709"/>
        <w:jc w:val="both"/>
        <w:rPr>
          <w:rFonts w:ascii="Verdana" w:eastAsia="Calibri" w:hAnsi="Verdana" w:cs="Arial"/>
        </w:rPr>
      </w:pPr>
    </w:p>
    <w:p w14:paraId="1AEB7CDD" w14:textId="77777777" w:rsidR="00121DB6" w:rsidRPr="00480DE0" w:rsidRDefault="00121DB6" w:rsidP="00121DB6">
      <w:pPr>
        <w:widowControl w:val="0"/>
        <w:autoSpaceDE w:val="0"/>
        <w:autoSpaceDN w:val="0"/>
        <w:spacing w:before="1" w:after="0" w:line="240" w:lineRule="auto"/>
        <w:outlineLvl w:val="0"/>
        <w:rPr>
          <w:rFonts w:ascii="Verdana" w:eastAsia="Arial" w:hAnsi="Verdana" w:cs="Arial"/>
          <w:b/>
          <w:bCs/>
          <w:lang w:val="es-ES"/>
        </w:rPr>
      </w:pPr>
      <w:r w:rsidRPr="00480DE0">
        <w:rPr>
          <w:rFonts w:ascii="Verdana" w:eastAsia="Arial" w:hAnsi="Verdana" w:cs="Arial"/>
          <w:b/>
          <w:bCs/>
          <w:lang w:val="es-ES"/>
        </w:rPr>
        <w:t>4.Referencias normativas, jurisprudenciales y otras fuentes:</w:t>
      </w:r>
    </w:p>
    <w:p w14:paraId="5721FA88" w14:textId="77777777" w:rsidR="00121DB6" w:rsidRPr="00480DE0" w:rsidRDefault="00121DB6" w:rsidP="00121DB6">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21DB6" w:rsidRPr="00480DE0" w14:paraId="237571BF" w14:textId="77777777" w:rsidTr="00A76DC0">
        <w:trPr>
          <w:trHeight w:val="870"/>
        </w:trPr>
        <w:tc>
          <w:tcPr>
            <w:tcW w:w="8647" w:type="dxa"/>
          </w:tcPr>
          <w:p w14:paraId="4D9521DA"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Constitución Política. Artículo 127.</w:t>
            </w:r>
          </w:p>
          <w:p w14:paraId="6D4077FE" w14:textId="77777777" w:rsidR="00121DB6" w:rsidRPr="00480DE0" w:rsidRDefault="00121DB6" w:rsidP="00121DB6">
            <w:pPr>
              <w:numPr>
                <w:ilvl w:val="0"/>
                <w:numId w:val="1"/>
              </w:numPr>
              <w:spacing w:line="276" w:lineRule="auto"/>
              <w:contextualSpacing/>
              <w:jc w:val="both"/>
              <w:rPr>
                <w:rFonts w:ascii="Verdana" w:eastAsia="Calibri" w:hAnsi="Verdana" w:cs="Arial"/>
              </w:rPr>
            </w:pPr>
            <w:r w:rsidRPr="00480DE0">
              <w:rPr>
                <w:rFonts w:ascii="Verdana" w:eastAsia="Calibri" w:hAnsi="Verdana" w:cs="Arial"/>
              </w:rPr>
              <w:t>Ley 80 de 1993. Artículos 30 y 32.</w:t>
            </w:r>
          </w:p>
          <w:p w14:paraId="5D483645" w14:textId="77777777" w:rsidR="00121DB6" w:rsidRPr="00480DE0" w:rsidRDefault="00121DB6" w:rsidP="00121DB6">
            <w:pPr>
              <w:numPr>
                <w:ilvl w:val="0"/>
                <w:numId w:val="1"/>
              </w:numPr>
              <w:spacing w:line="276" w:lineRule="auto"/>
              <w:contextualSpacing/>
              <w:jc w:val="both"/>
              <w:rPr>
                <w:rFonts w:ascii="Verdana" w:eastAsia="Calibri" w:hAnsi="Verdana" w:cs="Arial"/>
              </w:rPr>
            </w:pPr>
            <w:r w:rsidRPr="00480DE0">
              <w:rPr>
                <w:rFonts w:ascii="Verdana" w:eastAsia="Calibri" w:hAnsi="Verdana" w:cs="Arial"/>
                <w:color w:val="000000"/>
              </w:rPr>
              <w:t>Ley 100 de 1993. Artículos 194 y 197.</w:t>
            </w:r>
          </w:p>
          <w:p w14:paraId="3656DD98"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bCs/>
                <w:lang w:eastAsia="es-ES" w:bidi="es-ES"/>
              </w:rPr>
              <w:t>Ley 996 de 2005. Artículos 33 y 38.</w:t>
            </w:r>
          </w:p>
          <w:p w14:paraId="3D7FD29B"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Calibri" w:hAnsi="Verdana" w:cs="Arial"/>
              </w:rPr>
            </w:pPr>
            <w:r w:rsidRPr="00480DE0">
              <w:rPr>
                <w:rFonts w:ascii="Verdana" w:eastAsia="Arial" w:hAnsi="Verdana" w:cs="Arial"/>
                <w:bCs/>
                <w:color w:val="000000"/>
              </w:rPr>
              <w:t>Decreto 780 de 2016. Artículos 2.8.8.1.4.2, 2.8.8.1.1.3.</w:t>
            </w:r>
          </w:p>
          <w:p w14:paraId="6BBF5B99"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Times New Roman" w:hAnsi="Verdana" w:cs="Times New Roman"/>
                <w:lang w:eastAsia="es-MX"/>
              </w:rPr>
              <w:t>Ley 1150 de 2007. A</w:t>
            </w:r>
            <w:r w:rsidRPr="00480DE0">
              <w:rPr>
                <w:rFonts w:ascii="Verdana" w:eastAsia="Arial MT" w:hAnsi="Verdana" w:cs="Arial"/>
                <w:lang w:eastAsia="es-ES" w:bidi="es-ES"/>
              </w:rPr>
              <w:t xml:space="preserve">rtículos 2, numeral 4. </w:t>
            </w:r>
          </w:p>
          <w:p w14:paraId="2729EDE0"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Decreto 1082 de 2015. Artículo 2.2.1.2.1.4.4.</w:t>
            </w:r>
          </w:p>
          <w:p w14:paraId="0E97766E"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Resolución 1597 de 2025. Artículos 10 y 12. </w:t>
            </w:r>
          </w:p>
          <w:p w14:paraId="63A71B72"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w:hAnsi="Verdana" w:cs="Arial"/>
                <w:bCs/>
                <w:color w:val="000000"/>
              </w:rPr>
              <w:t xml:space="preserve">Resolución 04 del 12 de enero de 2018. </w:t>
            </w:r>
          </w:p>
          <w:p w14:paraId="1CD4DB2E"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2CE9235E"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06FE94B5"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17 de febrero de 2015. Radicación No. 11001-03-06-000-2015-00164-00 (2269) C.P: William Zambrano Cetina.</w:t>
            </w:r>
          </w:p>
          <w:p w14:paraId="6F9BA923"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02 de septiembre de 2013. Rad. 11001-03-06-000-2013-00412-00 (2168). C.P. Álvaro Namén Vargas.</w:t>
            </w:r>
          </w:p>
          <w:p w14:paraId="41B48532"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Consejo de Estado. Sala de Consulta y Servicio Civil. Concepto del 08 de mayo de 2018. </w:t>
            </w:r>
            <w:proofErr w:type="spellStart"/>
            <w:r w:rsidRPr="00480DE0">
              <w:rPr>
                <w:rFonts w:ascii="Verdana" w:eastAsia="Arial MT" w:hAnsi="Verdana" w:cs="Arial"/>
                <w:lang w:eastAsia="es-ES" w:bidi="es-ES"/>
              </w:rPr>
              <w:t>Exp</w:t>
            </w:r>
            <w:proofErr w:type="spellEnd"/>
            <w:r w:rsidRPr="00480DE0">
              <w:rPr>
                <w:rFonts w:ascii="Verdana" w:eastAsia="Arial MT" w:hAnsi="Verdana" w:cs="Arial"/>
                <w:lang w:eastAsia="es-ES" w:bidi="es-ES"/>
              </w:rPr>
              <w:t>. 2.382. C.P. Álvaro Namén Vargas.</w:t>
            </w:r>
          </w:p>
          <w:p w14:paraId="4566B524"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 20 de febrero de 2006. Radicación Número: 11001-03-06-000-2006-00026-00(1727). C.P: Enrique José Arboleda Perdomo.</w:t>
            </w:r>
          </w:p>
          <w:p w14:paraId="10400816"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18 de febrero 2010. Radicado: 11001-03-06-000-2010-00006-00 (1985). C.P. Enrique José Arboleda Perdomo.</w:t>
            </w:r>
          </w:p>
          <w:p w14:paraId="0382FDF3"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Consejo de Estado. Sala de lo Contencioso Administrativo. Sección Tercera. Auto del 4 de octubre de 2024. </w:t>
            </w:r>
            <w:proofErr w:type="spellStart"/>
            <w:r w:rsidRPr="00480DE0">
              <w:rPr>
                <w:rFonts w:ascii="Verdana" w:eastAsia="Arial MT" w:hAnsi="Verdana" w:cs="Arial"/>
                <w:lang w:eastAsia="es-ES" w:bidi="es-ES"/>
              </w:rPr>
              <w:t>Exp</w:t>
            </w:r>
            <w:proofErr w:type="spellEnd"/>
            <w:r w:rsidRPr="00480DE0">
              <w:rPr>
                <w:rFonts w:ascii="Verdana" w:eastAsia="Arial MT" w:hAnsi="Verdana" w:cs="Arial"/>
                <w:lang w:eastAsia="es-ES" w:bidi="es-ES"/>
              </w:rPr>
              <w:t xml:space="preserve">. 70.313. C.P: Fredy Ibarra </w:t>
            </w:r>
            <w:r w:rsidRPr="00480DE0">
              <w:rPr>
                <w:rFonts w:ascii="Verdana" w:eastAsia="Arial MT" w:hAnsi="Verdana" w:cs="Arial"/>
                <w:lang w:eastAsia="es-ES" w:bidi="es-ES"/>
              </w:rPr>
              <w:lastRenderedPageBreak/>
              <w:t>Martínez.</w:t>
            </w:r>
          </w:p>
          <w:p w14:paraId="53551178" w14:textId="77777777" w:rsidR="00121DB6" w:rsidRPr="00480DE0" w:rsidRDefault="00121DB6" w:rsidP="00121DB6">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12 de junio de 2018. Radicación Interna: 11001-03-06-000-2018-0043-00. (2371). Consejero Ponente: Oscar Darío Amaya Navas.</w:t>
            </w:r>
          </w:p>
          <w:p w14:paraId="018BF94C" w14:textId="77777777" w:rsidR="00121DB6" w:rsidRPr="00480DE0" w:rsidRDefault="00121DB6" w:rsidP="00121DB6">
            <w:pPr>
              <w:numPr>
                <w:ilvl w:val="0"/>
                <w:numId w:val="1"/>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Corte Constitucional. Sentencia C-1153 de 2005 M.P. Marco Gerardo Monroy Cabra.</w:t>
            </w:r>
          </w:p>
          <w:p w14:paraId="71E77DC5" w14:textId="77777777" w:rsidR="00121DB6" w:rsidRPr="00480DE0" w:rsidRDefault="00121DB6" w:rsidP="00121DB6">
            <w:pPr>
              <w:numPr>
                <w:ilvl w:val="0"/>
                <w:numId w:val="1"/>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Corte Constitucional. Sentencia C-233 de 4 de abril de 2002. M.P: Álvaro Tafur Galvis. </w:t>
            </w:r>
          </w:p>
          <w:p w14:paraId="58D0F25E" w14:textId="77777777" w:rsidR="00121DB6" w:rsidRPr="00480DE0" w:rsidRDefault="00121DB6" w:rsidP="00121DB6">
            <w:pPr>
              <w:numPr>
                <w:ilvl w:val="0"/>
                <w:numId w:val="1"/>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Corte Constitucional. Sentencia C-551 de 9 de julio de 2003. M.P: Eduardo Montealegre Lynett. </w:t>
            </w:r>
          </w:p>
          <w:p w14:paraId="62EED2A5" w14:textId="77777777" w:rsidR="00121DB6" w:rsidRPr="00480DE0" w:rsidRDefault="00121DB6" w:rsidP="00121DB6">
            <w:pPr>
              <w:numPr>
                <w:ilvl w:val="0"/>
                <w:numId w:val="1"/>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Corte Constitucional. Sentencia C-652 de 5 de agosto de 2003. M.P: Jaime Córdoba Triviño. </w:t>
            </w:r>
          </w:p>
          <w:p w14:paraId="7F13DD41" w14:textId="77777777" w:rsidR="00121DB6" w:rsidRPr="00480DE0" w:rsidRDefault="00121DB6" w:rsidP="00121DB6">
            <w:pPr>
              <w:numPr>
                <w:ilvl w:val="0"/>
                <w:numId w:val="1"/>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Corte Constitucional. Sentencia C-353 de 20 de mayo de 2009. M.P: Jorge Iván Palacio </w:t>
            </w:r>
            <w:proofErr w:type="spellStart"/>
            <w:r w:rsidRPr="00480DE0">
              <w:rPr>
                <w:rFonts w:ascii="Verdana" w:eastAsia="Arial MT" w:hAnsi="Verdana" w:cs="Arial"/>
                <w:lang w:eastAsia="es-ES" w:bidi="es-ES"/>
              </w:rPr>
              <w:t>Palacio</w:t>
            </w:r>
            <w:proofErr w:type="spellEnd"/>
            <w:r w:rsidRPr="00480DE0">
              <w:rPr>
                <w:rFonts w:ascii="Verdana" w:eastAsia="Arial MT" w:hAnsi="Verdana" w:cs="Arial"/>
                <w:lang w:eastAsia="es-ES" w:bidi="es-ES"/>
              </w:rPr>
              <w:t xml:space="preserve">. </w:t>
            </w:r>
          </w:p>
          <w:p w14:paraId="381BF43C" w14:textId="77777777" w:rsidR="00121DB6" w:rsidRPr="00480DE0" w:rsidRDefault="00121DB6" w:rsidP="00121DB6">
            <w:pPr>
              <w:numPr>
                <w:ilvl w:val="0"/>
                <w:numId w:val="1"/>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Corte Constitucional. Sentencia C-541 de 30 de junio de 2010, M.P: Gabriel Eduardo Mendoza Martelo.</w:t>
            </w:r>
          </w:p>
        </w:tc>
      </w:tr>
    </w:tbl>
    <w:p w14:paraId="6B997EF5" w14:textId="77777777" w:rsidR="00121DB6" w:rsidRPr="00480DE0" w:rsidRDefault="00121DB6" w:rsidP="00121DB6">
      <w:pPr>
        <w:widowControl w:val="0"/>
        <w:autoSpaceDE w:val="0"/>
        <w:autoSpaceDN w:val="0"/>
        <w:spacing w:after="0" w:line="276" w:lineRule="auto"/>
        <w:jc w:val="both"/>
        <w:rPr>
          <w:rFonts w:ascii="Verdana" w:eastAsia="Aptos" w:hAnsi="Verdana" w:cs="Arial"/>
        </w:rPr>
      </w:pPr>
    </w:p>
    <w:p w14:paraId="7AA85D49" w14:textId="77777777" w:rsidR="00121DB6" w:rsidRPr="00480DE0" w:rsidRDefault="00121DB6" w:rsidP="00121DB6">
      <w:pPr>
        <w:widowControl w:val="0"/>
        <w:autoSpaceDE w:val="0"/>
        <w:autoSpaceDN w:val="0"/>
        <w:spacing w:before="1" w:after="0" w:line="240" w:lineRule="auto"/>
        <w:outlineLvl w:val="0"/>
        <w:rPr>
          <w:rFonts w:ascii="Verdana" w:eastAsia="Arial" w:hAnsi="Verdana" w:cs="Arial"/>
          <w:b/>
          <w:bCs/>
          <w:lang w:val="es-ES"/>
        </w:rPr>
      </w:pPr>
      <w:r w:rsidRPr="00480DE0">
        <w:rPr>
          <w:rFonts w:ascii="Verdana" w:eastAsia="Arial" w:hAnsi="Verdana" w:cs="Arial"/>
          <w:b/>
          <w:bCs/>
          <w:lang w:val="es-ES"/>
        </w:rPr>
        <w:t>5. Doctrina de la Agencia Nacional de Contratación Pública:</w:t>
      </w:r>
    </w:p>
    <w:p w14:paraId="280FA318" w14:textId="77777777" w:rsidR="00121DB6" w:rsidRPr="00480DE0" w:rsidRDefault="00121DB6" w:rsidP="00121DB6">
      <w:pPr>
        <w:widowControl w:val="0"/>
        <w:autoSpaceDE w:val="0"/>
        <w:autoSpaceDN w:val="0"/>
        <w:spacing w:after="0" w:line="276" w:lineRule="auto"/>
        <w:jc w:val="both"/>
        <w:rPr>
          <w:rFonts w:ascii="Verdana" w:eastAsia="Aptos" w:hAnsi="Verdana" w:cs="Arial"/>
        </w:rPr>
      </w:pPr>
    </w:p>
    <w:p w14:paraId="7AF0A702" w14:textId="77777777" w:rsidR="00121DB6" w:rsidRPr="00480DE0" w:rsidRDefault="00121DB6" w:rsidP="00121DB6">
      <w:pPr>
        <w:widowControl w:val="0"/>
        <w:autoSpaceDE w:val="0"/>
        <w:autoSpaceDN w:val="0"/>
        <w:spacing w:after="0" w:line="276" w:lineRule="auto"/>
        <w:jc w:val="both"/>
        <w:rPr>
          <w:rFonts w:ascii="Verdana" w:eastAsia="Aptos" w:hAnsi="Verdana" w:cs="Arial"/>
          <w:shd w:val="clear" w:color="auto" w:fill="FFFFFF"/>
          <w:lang w:val="es-ES"/>
        </w:rPr>
      </w:pPr>
      <w:r w:rsidRPr="00480DE0">
        <w:rPr>
          <w:rFonts w:ascii="Verdana" w:eastAsia="Calibri" w:hAnsi="Verdana" w:cs="Arial"/>
          <w:bCs/>
          <w:shd w:val="clear" w:color="auto" w:fill="FFFFFF"/>
        </w:rPr>
        <w:t xml:space="preserve">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 </w:t>
      </w:r>
      <w:r w:rsidRPr="00480DE0">
        <w:rPr>
          <w:rFonts w:ascii="Verdana" w:eastAsia="Calibri" w:hAnsi="Verdana" w:cs="Arial"/>
          <w:bCs/>
          <w:shd w:val="clear" w:color="auto" w:fill="FFFFFF"/>
          <w:lang w:val="es-ES"/>
        </w:rPr>
        <w:t xml:space="preserve">En tal sentido, recoge los conceptos expuestos, sin perjuicio de otras consideraciones. </w:t>
      </w:r>
      <w:r w:rsidRPr="00480DE0">
        <w:rPr>
          <w:rFonts w:ascii="Verdana" w:eastAsia="Aptos" w:hAnsi="Verdana" w:cs="Arial"/>
          <w:shd w:val="clear" w:color="auto" w:fill="FFFFFF"/>
          <w:lang w:val="es-ES"/>
        </w:rPr>
        <w:t xml:space="preserve">Estos y otros conceptos se encuentran </w:t>
      </w:r>
      <w:r w:rsidRPr="00480DE0">
        <w:rPr>
          <w:rFonts w:ascii="Verdana" w:eastAsia="Aptos" w:hAnsi="Verdana" w:cs="Arial"/>
          <w:shd w:val="clear" w:color="auto" w:fill="FFFFFF"/>
          <w:lang w:val="es-ES"/>
        </w:rPr>
        <w:lastRenderedPageBreak/>
        <w:t xml:space="preserve">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480DE0">
          <w:rPr>
            <w:rFonts w:ascii="Verdana" w:eastAsia="Aptos" w:hAnsi="Verdana" w:cs="Arial"/>
            <w:color w:val="0000FF"/>
            <w:u w:val="single"/>
            <w:shd w:val="clear" w:color="auto" w:fill="FFFFFF"/>
            <w:lang w:val="es-ES"/>
          </w:rPr>
          <w:t>https://relatoria.colombiacompra.gov.co/</w:t>
        </w:r>
      </w:hyperlink>
      <w:r w:rsidRPr="00480DE0">
        <w:rPr>
          <w:rFonts w:ascii="Verdana" w:eastAsia="Aptos" w:hAnsi="Verdana" w:cs="Arial"/>
          <w:shd w:val="clear" w:color="auto" w:fill="FFFFFF"/>
          <w:lang w:val="es-ES"/>
        </w:rPr>
        <w:t xml:space="preserve">. </w:t>
      </w:r>
    </w:p>
    <w:p w14:paraId="7D43E904" w14:textId="77777777" w:rsidR="00121DB6" w:rsidRPr="00480DE0" w:rsidRDefault="00121DB6" w:rsidP="00121DB6">
      <w:pPr>
        <w:spacing w:before="120" w:after="120"/>
        <w:ind w:firstLine="709"/>
        <w:jc w:val="both"/>
        <w:rPr>
          <w:rFonts w:ascii="Verdana" w:eastAsia="Aptos" w:hAnsi="Verdana" w:cs="Times New Roman"/>
        </w:rPr>
      </w:pPr>
      <w:r w:rsidRPr="00480DE0">
        <w:rPr>
          <w:rFonts w:ascii="Verdana" w:eastAsia="Aptos" w:hAnsi="Verdana" w:cs="Times New Roman"/>
        </w:rPr>
        <w:t xml:space="preserve">La sostenibilidad no es una opción, es una obligación. Por ello, la Agencia Nacional de Contratación Pública –Colombia Compra Eficiente– te invita a realizar el </w:t>
      </w:r>
      <w:r w:rsidRPr="00480DE0">
        <w:rPr>
          <w:rFonts w:ascii="Verdana" w:eastAsia="Aptos" w:hAnsi="Verdana" w:cs="Times New Roman"/>
          <w:b/>
          <w:bCs/>
        </w:rPr>
        <w:t>Curso de Contratación Pública Sostenible y Socialmente Responsable</w:t>
      </w:r>
      <w:r w:rsidRPr="00480DE0">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80DE0">
        <w:rPr>
          <w:rFonts w:ascii="Verdana" w:eastAsia="Aptos" w:hAnsi="Verdana" w:cs="Times New Roman"/>
        </w:rPr>
        <w:br/>
      </w:r>
      <w:hyperlink r:id="rId13" w:tgtFrame="_new" w:history="1">
        <w:r w:rsidRPr="00480DE0">
          <w:rPr>
            <w:rFonts w:ascii="Verdana" w:eastAsia="Aptos" w:hAnsi="Verdana" w:cs="Times New Roman"/>
            <w:color w:val="0000FF"/>
            <w:u w:val="single"/>
          </w:rPr>
          <w:t>https://formacionvirtual.colombiacompra.gov.co/mod/page/view.php?id=3718</w:t>
        </w:r>
      </w:hyperlink>
    </w:p>
    <w:p w14:paraId="314F30DF" w14:textId="77777777" w:rsidR="00121DB6" w:rsidRPr="00480DE0" w:rsidRDefault="00121DB6" w:rsidP="00121DB6">
      <w:pPr>
        <w:ind w:firstLine="708"/>
        <w:jc w:val="both"/>
        <w:rPr>
          <w:rFonts w:ascii="Verdana" w:eastAsia="Aptos" w:hAnsi="Verdana" w:cs="Times New Roman"/>
        </w:rPr>
      </w:pPr>
      <w:r w:rsidRPr="00480DE0">
        <w:rPr>
          <w:rFonts w:ascii="Verdana" w:eastAsia="Aptos" w:hAnsi="Verdana" w:cs="Times New Roman"/>
        </w:rPr>
        <w:t xml:space="preserve">De otro lado, te contamos que esta Agencia ha da un paso decisivo en la estandarización y modernización del </w:t>
      </w:r>
      <w:r w:rsidRPr="00480DE0">
        <w:rPr>
          <w:rFonts w:ascii="Verdana" w:eastAsia="Aptos" w:hAnsi="Verdana" w:cs="Times New Roman"/>
          <w:b/>
          <w:bCs/>
        </w:rPr>
        <w:t>sector  social</w:t>
      </w:r>
      <w:r w:rsidRPr="00480DE0">
        <w:rPr>
          <w:rFonts w:ascii="Verdana" w:eastAsia="Aptos" w:hAnsi="Verdana" w:cs="Times New Roman"/>
        </w:rPr>
        <w:t xml:space="preserve"> con la expedición de las </w:t>
      </w:r>
      <w:r w:rsidRPr="00480DE0">
        <w:rPr>
          <w:rFonts w:ascii="Verdana" w:eastAsia="Aptos" w:hAnsi="Verdana" w:cs="Times New Roman"/>
          <w:b/>
          <w:bCs/>
        </w:rPr>
        <w:t>Resoluciones 539, 540, 541, 952 y 953 de 2025</w:t>
      </w:r>
      <w:r w:rsidRPr="00480DE0">
        <w:rPr>
          <w:rFonts w:ascii="Verdana" w:eastAsia="Aptos" w:hAnsi="Verdana" w:cs="Times New Roman"/>
        </w:rPr>
        <w:t xml:space="preserve">, </w:t>
      </w:r>
      <w:r w:rsidRPr="00480DE0">
        <w:rPr>
          <w:rFonts w:ascii="Verdana" w:eastAsia="Aptos" w:hAnsi="Verdana" w:cs="Times New Roman"/>
          <w:b/>
          <w:bCs/>
        </w:rPr>
        <w:t>mediante las cuales adoptó Documentos Tipo</w:t>
      </w:r>
      <w:r w:rsidRPr="00480DE0">
        <w:rPr>
          <w:rFonts w:ascii="Verdana" w:eastAsia="Aptos" w:hAnsi="Verdana" w:cs="Times New Roman"/>
        </w:rPr>
        <w:t xml:space="preserve"> para las modalidades de selección de</w:t>
      </w:r>
      <w:r w:rsidRPr="00480DE0">
        <w:rPr>
          <w:rFonts w:ascii="Verdana" w:eastAsia="Aptos" w:hAnsi="Verdana" w:cs="Times New Roman"/>
          <w:b/>
          <w:bCs/>
        </w:rPr>
        <w:t xml:space="preserve"> licitación pública (versión 2), selección abreviada de menor cuantía, mínima cuantía, consultoría e interventoría</w:t>
      </w:r>
      <w:r w:rsidRPr="00480DE0">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80DE0">
          <w:rPr>
            <w:rFonts w:ascii="Verdana" w:eastAsia="Aptos" w:hAnsi="Verdana" w:cs="Times New Roman"/>
            <w:color w:val="0000FF"/>
            <w:u w:val="single"/>
          </w:rPr>
          <w:t>https://www.colombiacompra.gov.co/normativa-y-relatoria/documentos-tipo</w:t>
        </w:r>
      </w:hyperlink>
    </w:p>
    <w:p w14:paraId="46129C93" w14:textId="77777777" w:rsidR="00121DB6" w:rsidRPr="00480DE0" w:rsidRDefault="00121DB6" w:rsidP="00121DB6">
      <w:pPr>
        <w:spacing w:after="0"/>
        <w:ind w:firstLine="708"/>
        <w:jc w:val="both"/>
        <w:rPr>
          <w:rFonts w:ascii="Verdana" w:eastAsia="Aptos" w:hAnsi="Verdana" w:cs="Times New Roman"/>
        </w:rPr>
      </w:pPr>
      <w:r w:rsidRPr="00480DE0">
        <w:rPr>
          <w:rFonts w:ascii="Verdana" w:eastAsia="Aptos" w:hAnsi="Verdana" w:cs="Times New Roman"/>
        </w:rPr>
        <w:t xml:space="preserve">Si quieres conocer más sobre la aplicación de Documentos Tipo puedes consultar la última versión de la </w:t>
      </w:r>
      <w:r w:rsidRPr="00480DE0">
        <w:rPr>
          <w:rFonts w:ascii="Verdana" w:eastAsia="Aptos" w:hAnsi="Verdana" w:cs="Times New Roman"/>
          <w:b/>
          <w:bCs/>
        </w:rPr>
        <w:t>Guía para la comprensión e implementación de los Documentos Tipo de obra pública de infraestructura de transporte</w:t>
      </w:r>
      <w:r w:rsidRPr="00480DE0">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80DE0">
        <w:rPr>
          <w:rFonts w:ascii="Verdana" w:eastAsia="Aptos" w:hAnsi="Verdana" w:cs="Times New Roman"/>
        </w:rPr>
        <w:br/>
      </w:r>
      <w:hyperlink r:id="rId15" w:tgtFrame="_new" w:history="1">
        <w:r w:rsidRPr="00480DE0">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530D8AC5" w14:textId="77777777" w:rsidR="00121DB6" w:rsidRPr="00480DE0" w:rsidRDefault="00121DB6" w:rsidP="00121DB6">
      <w:pPr>
        <w:widowControl w:val="0"/>
        <w:autoSpaceDE w:val="0"/>
        <w:autoSpaceDN w:val="0"/>
        <w:spacing w:after="0" w:line="276" w:lineRule="auto"/>
        <w:jc w:val="both"/>
        <w:rPr>
          <w:rFonts w:ascii="Verdana" w:eastAsia="Aptos" w:hAnsi="Verdana" w:cs="Arial"/>
          <w:shd w:val="clear" w:color="auto" w:fill="FFFFFF"/>
          <w:lang w:val="es-ES"/>
        </w:rPr>
      </w:pPr>
    </w:p>
    <w:p w14:paraId="49917976" w14:textId="77777777" w:rsidR="00121DB6" w:rsidRPr="00480DE0" w:rsidRDefault="00121DB6" w:rsidP="00121DB6">
      <w:pPr>
        <w:spacing w:after="0" w:line="240" w:lineRule="auto"/>
        <w:jc w:val="both"/>
        <w:rPr>
          <w:rFonts w:ascii="Verdana" w:eastAsia="Aptos" w:hAnsi="Verdana" w:cs="Times New Roman"/>
        </w:rPr>
      </w:pPr>
      <w:r w:rsidRPr="00480DE0">
        <w:rPr>
          <w:rFonts w:ascii="Verdana" w:eastAsia="Aptos" w:hAnsi="Verdana" w:cs="Times New Roman"/>
        </w:rPr>
        <w:lastRenderedPageBreak/>
        <w:t xml:space="preserve">Por último, lo invitamos a seguirnos en las redes sociales en las cuales se difunde información institucional: </w:t>
      </w:r>
    </w:p>
    <w:p w14:paraId="6CED9229" w14:textId="77777777" w:rsidR="00121DB6" w:rsidRPr="00480DE0" w:rsidRDefault="00121DB6" w:rsidP="00121DB6">
      <w:pPr>
        <w:spacing w:after="0" w:line="240" w:lineRule="auto"/>
        <w:jc w:val="both"/>
        <w:rPr>
          <w:rFonts w:ascii="Verdana" w:eastAsia="Aptos" w:hAnsi="Verdana" w:cs="Times New Roman"/>
        </w:rPr>
      </w:pPr>
    </w:p>
    <w:p w14:paraId="710D171E" w14:textId="77777777" w:rsidR="00121DB6" w:rsidRPr="00480DE0" w:rsidRDefault="00121DB6" w:rsidP="00121DB6">
      <w:pPr>
        <w:spacing w:after="0" w:line="240" w:lineRule="auto"/>
        <w:jc w:val="both"/>
        <w:rPr>
          <w:rFonts w:ascii="Verdana" w:eastAsia="Aptos" w:hAnsi="Verdana" w:cs="Times New Roman"/>
        </w:rPr>
      </w:pPr>
      <w:r w:rsidRPr="00480DE0">
        <w:rPr>
          <w:rFonts w:ascii="Verdana" w:eastAsia="Aptos" w:hAnsi="Verdana" w:cs="Times New Roman"/>
        </w:rPr>
        <w:t xml:space="preserve">Twitter: </w:t>
      </w:r>
      <w:r w:rsidRPr="00480DE0">
        <w:rPr>
          <w:rFonts w:ascii="Verdana" w:eastAsia="Aptos" w:hAnsi="Verdana" w:cs="Arial"/>
          <w:color w:val="0000FF"/>
          <w:u w:val="single"/>
          <w:shd w:val="clear" w:color="auto" w:fill="FFFFFF"/>
          <w:lang w:val="es-ES"/>
        </w:rPr>
        <w:t>@colombiacompra</w:t>
      </w:r>
      <w:r w:rsidRPr="00480DE0">
        <w:rPr>
          <w:rFonts w:ascii="Verdana" w:eastAsia="Aptos" w:hAnsi="Verdana" w:cs="Times New Roman"/>
          <w:color w:val="156082"/>
        </w:rPr>
        <w:t xml:space="preserve"> </w:t>
      </w:r>
    </w:p>
    <w:p w14:paraId="1E3CCD37" w14:textId="77777777" w:rsidR="00121DB6" w:rsidRPr="00480DE0" w:rsidRDefault="00121DB6" w:rsidP="00121DB6">
      <w:pPr>
        <w:spacing w:after="0" w:line="240" w:lineRule="auto"/>
        <w:jc w:val="both"/>
        <w:rPr>
          <w:rFonts w:ascii="Verdana" w:eastAsia="Aptos" w:hAnsi="Verdana" w:cs="Times New Roman"/>
        </w:rPr>
      </w:pPr>
      <w:r w:rsidRPr="00480DE0">
        <w:rPr>
          <w:rFonts w:ascii="Verdana" w:eastAsia="Aptos" w:hAnsi="Verdana" w:cs="Times New Roman"/>
        </w:rPr>
        <w:t xml:space="preserve">Facebook: </w:t>
      </w:r>
      <w:proofErr w:type="spellStart"/>
      <w:r w:rsidRPr="00480DE0">
        <w:rPr>
          <w:rFonts w:ascii="Verdana" w:eastAsia="Aptos" w:hAnsi="Verdana" w:cs="Arial"/>
          <w:color w:val="0000FF"/>
          <w:u w:val="single"/>
          <w:shd w:val="clear" w:color="auto" w:fill="FFFFFF"/>
          <w:lang w:val="es-ES"/>
        </w:rPr>
        <w:t>ColombiaCompraEficiente</w:t>
      </w:r>
      <w:proofErr w:type="spellEnd"/>
    </w:p>
    <w:p w14:paraId="1D997F70" w14:textId="77777777" w:rsidR="00121DB6" w:rsidRPr="00480DE0" w:rsidRDefault="00121DB6" w:rsidP="00121DB6">
      <w:pPr>
        <w:spacing w:after="0" w:line="240" w:lineRule="auto"/>
        <w:jc w:val="both"/>
        <w:rPr>
          <w:rFonts w:ascii="Verdana" w:eastAsia="Aptos" w:hAnsi="Verdana" w:cs="Times New Roman"/>
        </w:rPr>
      </w:pPr>
      <w:r w:rsidRPr="00480DE0">
        <w:rPr>
          <w:rFonts w:ascii="Verdana" w:eastAsia="Aptos" w:hAnsi="Verdana" w:cs="Times New Roman"/>
        </w:rPr>
        <w:t xml:space="preserve">LinkedIn: </w:t>
      </w:r>
      <w:r w:rsidRPr="00480DE0">
        <w:rPr>
          <w:rFonts w:ascii="Verdana" w:eastAsia="Aptos" w:hAnsi="Verdana" w:cs="Arial"/>
          <w:color w:val="0000FF"/>
          <w:u w:val="single"/>
          <w:shd w:val="clear" w:color="auto" w:fill="FFFFFF"/>
          <w:lang w:val="es-ES"/>
        </w:rPr>
        <w:t>Agencia Nacional de Contratación Pública - Colombia Compra Eficiente</w:t>
      </w:r>
      <w:r w:rsidRPr="00480DE0">
        <w:rPr>
          <w:rFonts w:ascii="Verdana" w:eastAsia="Aptos" w:hAnsi="Verdana" w:cs="Times New Roman"/>
          <w:color w:val="156082"/>
        </w:rPr>
        <w:t xml:space="preserve"> </w:t>
      </w:r>
      <w:r w:rsidRPr="00480DE0">
        <w:rPr>
          <w:rFonts w:ascii="Verdana" w:eastAsia="Aptos" w:hAnsi="Verdana" w:cs="Times New Roman"/>
        </w:rPr>
        <w:t xml:space="preserve">Instagram: </w:t>
      </w:r>
      <w:r w:rsidRPr="00480DE0">
        <w:rPr>
          <w:rFonts w:ascii="Verdana" w:eastAsia="Aptos" w:hAnsi="Verdana" w:cs="Arial"/>
          <w:color w:val="0000FF"/>
          <w:u w:val="single"/>
          <w:shd w:val="clear" w:color="auto" w:fill="FFFFFF"/>
          <w:lang w:val="es-ES"/>
        </w:rPr>
        <w:t>@colombiacompraeficiente_cce</w:t>
      </w:r>
    </w:p>
    <w:p w14:paraId="24BAB7F7" w14:textId="77777777" w:rsidR="00121DB6" w:rsidRPr="00480DE0" w:rsidRDefault="00121DB6" w:rsidP="00121DB6">
      <w:pPr>
        <w:widowControl w:val="0"/>
        <w:autoSpaceDE w:val="0"/>
        <w:autoSpaceDN w:val="0"/>
        <w:spacing w:after="0" w:line="276" w:lineRule="auto"/>
        <w:jc w:val="both"/>
        <w:rPr>
          <w:rFonts w:ascii="Verdana" w:eastAsia="Aptos" w:hAnsi="Verdana" w:cs="Arial"/>
        </w:rPr>
      </w:pPr>
    </w:p>
    <w:p w14:paraId="2A305520" w14:textId="77777777" w:rsidR="00121DB6" w:rsidRPr="00480DE0" w:rsidRDefault="00121DB6" w:rsidP="00121DB6">
      <w:pPr>
        <w:widowControl w:val="0"/>
        <w:autoSpaceDE w:val="0"/>
        <w:autoSpaceDN w:val="0"/>
        <w:spacing w:after="0" w:line="276" w:lineRule="auto"/>
        <w:jc w:val="both"/>
        <w:rPr>
          <w:rFonts w:ascii="Verdana" w:eastAsia="Aptos" w:hAnsi="Verdana" w:cs="Arial"/>
          <w:lang w:val="es-ES_tradnl"/>
        </w:rPr>
      </w:pPr>
      <w:r w:rsidRPr="00480DE0">
        <w:rPr>
          <w:rFonts w:ascii="Verdana" w:eastAsia="Aptos" w:hAnsi="Verdana" w:cs="Arial"/>
        </w:rPr>
        <w:t xml:space="preserve">Este concepto tiene el alcance previsto en el artículo 28 del Código de Procedimiento Administrativo y de lo Contencioso Administrativo </w:t>
      </w:r>
      <w:r w:rsidRPr="00480DE0">
        <w:rPr>
          <w:rFonts w:ascii="Verdana" w:eastAsia="Aptos" w:hAnsi="Verdana" w:cs="Arial"/>
          <w:lang w:val="es-ES_tradnl"/>
        </w:rPr>
        <w:t>y las expresiones aquí utilizadas con mayúscula inicial deben ser entendidas con el significado que les otorga el artículo 2.2.1.1.1.3.1. del Decreto 1082 de 2015.</w:t>
      </w:r>
    </w:p>
    <w:p w14:paraId="1B3E70AA" w14:textId="77777777" w:rsidR="00121DB6" w:rsidRPr="00480DE0" w:rsidRDefault="00121DB6" w:rsidP="00121DB6">
      <w:pPr>
        <w:widowControl w:val="0"/>
        <w:autoSpaceDE w:val="0"/>
        <w:autoSpaceDN w:val="0"/>
        <w:spacing w:after="0" w:line="276" w:lineRule="auto"/>
        <w:jc w:val="both"/>
        <w:rPr>
          <w:rFonts w:ascii="Verdana" w:eastAsia="Aptos" w:hAnsi="Verdana" w:cs="Arial"/>
        </w:rPr>
      </w:pPr>
    </w:p>
    <w:p w14:paraId="4574DA89" w14:textId="77777777" w:rsidR="00121DB6" w:rsidRPr="00480DE0" w:rsidRDefault="00121DB6" w:rsidP="00121DB6">
      <w:pPr>
        <w:spacing w:after="0" w:line="240" w:lineRule="auto"/>
        <w:rPr>
          <w:rFonts w:ascii="Verdana" w:eastAsia="Aptos" w:hAnsi="Verdana" w:cs="Arial"/>
          <w:lang w:eastAsia="es-CO"/>
        </w:rPr>
      </w:pPr>
      <w:r w:rsidRPr="00480DE0">
        <w:rPr>
          <w:rFonts w:ascii="Verdana" w:eastAsia="Times New Roman" w:hAnsi="Verdana" w:cs="Arial"/>
          <w:lang w:eastAsia="es-CO"/>
        </w:rPr>
        <w:t>Atentamente,</w:t>
      </w:r>
      <w:r w:rsidRPr="00480DE0">
        <w:rPr>
          <w:rFonts w:ascii="Verdana" w:eastAsia="Aptos" w:hAnsi="Verdana" w:cs="Arial"/>
          <w:lang w:eastAsia="es-CO"/>
        </w:rPr>
        <w:t xml:space="preserve"> </w:t>
      </w:r>
    </w:p>
    <w:p w14:paraId="2EF09D20" w14:textId="77777777" w:rsidR="00121DB6" w:rsidRPr="00480DE0" w:rsidRDefault="00121DB6" w:rsidP="00121DB6">
      <w:pPr>
        <w:spacing w:after="0" w:line="276" w:lineRule="auto"/>
        <w:ind w:firstLine="709"/>
        <w:jc w:val="both"/>
        <w:rPr>
          <w:rFonts w:ascii="Verdana" w:eastAsia="Calibri" w:hAnsi="Verdana" w:cs="Arial"/>
          <w:lang w:val="es-ES" w:eastAsia="es-ES"/>
        </w:rPr>
      </w:pPr>
    </w:p>
    <w:p w14:paraId="5FC8A8EB" w14:textId="4A18192C" w:rsidR="00121DB6" w:rsidRDefault="002D4E45" w:rsidP="002D4E45">
      <w:pPr>
        <w:spacing w:after="0" w:line="276" w:lineRule="auto"/>
        <w:jc w:val="center"/>
        <w:rPr>
          <w:rFonts w:ascii="Verdana" w:eastAsia="Aptos" w:hAnsi="Verdana" w:cs="Arial"/>
          <w:lang w:val="es-ES_tradnl" w:eastAsia="es-CO"/>
        </w:rPr>
      </w:pPr>
      <w:r>
        <w:rPr>
          <w:noProof/>
        </w:rPr>
        <w:drawing>
          <wp:inline distT="0" distB="0" distL="0" distR="0" wp14:anchorId="4C4AF3A8" wp14:editId="38D7CE74">
            <wp:extent cx="3771900" cy="1409700"/>
            <wp:effectExtent l="0" t="0" r="0" b="0"/>
            <wp:docPr id="31584501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p w14:paraId="30052679" w14:textId="77777777" w:rsidR="00121DB6" w:rsidRPr="00480DE0" w:rsidRDefault="00121DB6" w:rsidP="00121DB6">
      <w:pPr>
        <w:spacing w:after="0" w:line="276" w:lineRule="auto"/>
        <w:jc w:val="center"/>
        <w:rPr>
          <w:rFonts w:ascii="Verdana" w:eastAsia="Aptos" w:hAnsi="Verdana" w:cs="Arial"/>
          <w:lang w:val="es-ES_tradnl" w:eastAsia="es-CO"/>
        </w:rPr>
      </w:pP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121DB6" w:rsidRPr="00480DE0" w14:paraId="48978619" w14:textId="77777777" w:rsidTr="00A76DC0">
        <w:trPr>
          <w:trHeight w:val="286"/>
        </w:trPr>
        <w:tc>
          <w:tcPr>
            <w:tcW w:w="901" w:type="dxa"/>
            <w:vAlign w:val="center"/>
            <w:hideMark/>
          </w:tcPr>
          <w:p w14:paraId="50A1C766"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696B6CEB"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Nasly Yeana Mosquera Rivas</w:t>
            </w:r>
          </w:p>
          <w:p w14:paraId="593E5D8B"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Analista T2–06 de la Subdirección de Gestión Contractual</w:t>
            </w:r>
          </w:p>
        </w:tc>
      </w:tr>
      <w:tr w:rsidR="00121DB6" w:rsidRPr="00480DE0" w14:paraId="148BD158" w14:textId="77777777" w:rsidTr="00A76DC0">
        <w:trPr>
          <w:trHeight w:val="299"/>
        </w:trPr>
        <w:tc>
          <w:tcPr>
            <w:tcW w:w="901" w:type="dxa"/>
            <w:vAlign w:val="center"/>
          </w:tcPr>
          <w:p w14:paraId="7800366F"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3B3539DC"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Juan David Cárdenas Cabeza</w:t>
            </w:r>
          </w:p>
          <w:p w14:paraId="03F97861"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Contratista de la Subdirección de Gestión Contractual</w:t>
            </w:r>
          </w:p>
        </w:tc>
      </w:tr>
      <w:tr w:rsidR="00121DB6" w:rsidRPr="00480DE0" w14:paraId="192CBD80" w14:textId="77777777" w:rsidTr="00A76DC0">
        <w:trPr>
          <w:trHeight w:val="272"/>
        </w:trPr>
        <w:tc>
          <w:tcPr>
            <w:tcW w:w="901" w:type="dxa"/>
            <w:vAlign w:val="center"/>
            <w:hideMark/>
          </w:tcPr>
          <w:p w14:paraId="52EAE7F9"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18D20E7B"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Carolina Quintero Gacharná</w:t>
            </w:r>
          </w:p>
          <w:p w14:paraId="4D82420D" w14:textId="77777777" w:rsidR="00121DB6" w:rsidRPr="00480DE0" w:rsidRDefault="00121DB6" w:rsidP="00A76DC0">
            <w:pPr>
              <w:rPr>
                <w:rFonts w:ascii="Verdana" w:eastAsia="Aptos" w:hAnsi="Verdana" w:cs="Arial"/>
                <w:sz w:val="14"/>
                <w:szCs w:val="14"/>
                <w:lang w:eastAsia="es-ES"/>
              </w:rPr>
            </w:pPr>
            <w:r w:rsidRPr="00480DE0">
              <w:rPr>
                <w:rFonts w:ascii="Verdana" w:eastAsia="Aptos" w:hAnsi="Verdana" w:cs="Arial"/>
                <w:sz w:val="14"/>
                <w:szCs w:val="14"/>
                <w:lang w:eastAsia="es-ES"/>
              </w:rPr>
              <w:t>Subdirectora de Gestión Contractual ANCP – CCE</w:t>
            </w:r>
          </w:p>
        </w:tc>
      </w:tr>
    </w:tbl>
    <w:p w14:paraId="646E83A2" w14:textId="77777777" w:rsidR="00121DB6" w:rsidRPr="00480DE0" w:rsidRDefault="00121DB6" w:rsidP="00121DB6">
      <w:pPr>
        <w:spacing w:after="0" w:line="240" w:lineRule="auto"/>
        <w:jc w:val="both"/>
        <w:rPr>
          <w:rFonts w:ascii="Aptos" w:eastAsia="Aptos" w:hAnsi="Aptos" w:cs="Times New Roman"/>
        </w:rPr>
      </w:pPr>
    </w:p>
    <w:p w14:paraId="7EBCB72A" w14:textId="77777777" w:rsidR="00121DB6" w:rsidRPr="000E2B93" w:rsidRDefault="00121DB6" w:rsidP="00121DB6">
      <w:pPr>
        <w:spacing w:after="0" w:line="240" w:lineRule="auto"/>
        <w:jc w:val="both"/>
        <w:textAlignment w:val="baseline"/>
        <w:rPr>
          <w:rFonts w:ascii="Verdana" w:eastAsia="Verdana" w:hAnsi="Verdana" w:cs="Verdana"/>
          <w:lang w:eastAsia="es-CO"/>
        </w:rPr>
      </w:pPr>
    </w:p>
    <w:p w14:paraId="28CBB3E1" w14:textId="31D6F49D" w:rsidR="00121DB6" w:rsidRPr="000E2B93" w:rsidRDefault="00121DB6" w:rsidP="00121DB6">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62FF8573" w14:textId="77777777" w:rsidR="00121DB6" w:rsidRDefault="00121DB6"/>
    <w:sectPr w:rsidR="00121DB6" w:rsidSect="00121DB6">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8413C7" w14:textId="77777777" w:rsidR="00031A6C" w:rsidRDefault="00031A6C">
      <w:pPr>
        <w:spacing w:after="0" w:line="240" w:lineRule="auto"/>
      </w:pPr>
      <w:r>
        <w:separator/>
      </w:r>
    </w:p>
  </w:endnote>
  <w:endnote w:type="continuationSeparator" w:id="0">
    <w:p w14:paraId="4966EA6D" w14:textId="77777777" w:rsidR="00031A6C" w:rsidRDefault="00031A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68D46" w14:textId="77777777" w:rsidR="00121DB6" w:rsidRDefault="00121DB6">
    <w:pPr>
      <w:pStyle w:val="Piedepgina"/>
    </w:pPr>
  </w:p>
  <w:p w14:paraId="5CB68F5E" w14:textId="77777777" w:rsidR="00121DB6" w:rsidRPr="00174B77" w:rsidRDefault="00121DB6"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2A6FA4A" w14:textId="77777777" w:rsidR="00121DB6" w:rsidRDefault="00121DB6"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3ADCCD5D" w14:textId="77777777" w:rsidR="00121DB6" w:rsidRPr="00E41027" w:rsidRDefault="00121DB6"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43BF3284" w14:textId="77777777" w:rsidR="00121DB6" w:rsidRDefault="00121DB6"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39440" w14:textId="77777777" w:rsidR="00031A6C" w:rsidRDefault="00031A6C">
      <w:pPr>
        <w:spacing w:after="0" w:line="240" w:lineRule="auto"/>
      </w:pPr>
      <w:r>
        <w:separator/>
      </w:r>
    </w:p>
  </w:footnote>
  <w:footnote w:type="continuationSeparator" w:id="0">
    <w:p w14:paraId="54E58C53" w14:textId="77777777" w:rsidR="00031A6C" w:rsidRDefault="00031A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55ED3" w14:textId="77777777" w:rsidR="00121DB6" w:rsidRDefault="00121DB6"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50A18C0" wp14:editId="4F64709D">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B412255" wp14:editId="6CCEF4E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893665E" w14:textId="77777777" w:rsidR="00121DB6" w:rsidRDefault="00121DB6">
    <w:pPr>
      <w:pStyle w:val="Encabezado"/>
    </w:pPr>
  </w:p>
  <w:p w14:paraId="79CB1A4F" w14:textId="77777777" w:rsidR="00121DB6" w:rsidRPr="004A305D" w:rsidRDefault="00121DB6" w:rsidP="00B01B1A">
    <w:pPr>
      <w:spacing w:after="0" w:line="120" w:lineRule="auto"/>
      <w:rPr>
        <w:rFonts w:ascii="Century Gothic" w:eastAsia="Geo" w:hAnsi="Century Gothic" w:cs="Geo"/>
        <w:sz w:val="16"/>
        <w:szCs w:val="16"/>
        <w:lang w:eastAsia="es-CO"/>
      </w:rPr>
    </w:pPr>
  </w:p>
  <w:p w14:paraId="7FBD33B1" w14:textId="77777777" w:rsidR="00121DB6" w:rsidRDefault="00121DB6" w:rsidP="00844AE9">
    <w:pPr>
      <w:spacing w:after="0" w:line="240" w:lineRule="auto"/>
      <w:rPr>
        <w:rFonts w:ascii="Verdana" w:hAnsi="Verdana"/>
        <w:sz w:val="24"/>
        <w:szCs w:val="24"/>
      </w:rPr>
    </w:pPr>
  </w:p>
  <w:p w14:paraId="18751C31" w14:textId="77777777" w:rsidR="00121DB6" w:rsidRPr="00C925AC" w:rsidRDefault="00121DB6" w:rsidP="00844AE9">
    <w:pPr>
      <w:spacing w:after="0" w:line="240" w:lineRule="auto"/>
      <w:rPr>
        <w:rFonts w:ascii="Verdana" w:hAnsi="Verdana"/>
        <w:sz w:val="24"/>
        <w:szCs w:val="24"/>
      </w:rPr>
    </w:pPr>
  </w:p>
  <w:p w14:paraId="5FC74643" w14:textId="77777777" w:rsidR="00121DB6" w:rsidRPr="00C925AC" w:rsidRDefault="00121DB6"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DB6"/>
    <w:rsid w:val="00031A6C"/>
    <w:rsid w:val="00121DB6"/>
    <w:rsid w:val="0023477F"/>
    <w:rsid w:val="002D4E45"/>
    <w:rsid w:val="002D5154"/>
    <w:rsid w:val="00325708"/>
    <w:rsid w:val="003358BF"/>
    <w:rsid w:val="006215FE"/>
    <w:rsid w:val="007F289F"/>
    <w:rsid w:val="00BA2536"/>
    <w:rsid w:val="00BD2644"/>
    <w:rsid w:val="00D2416E"/>
    <w:rsid w:val="00D956E3"/>
    <w:rsid w:val="00DC4306"/>
    <w:rsid w:val="00ED086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820E4"/>
  <w15:chartTrackingRefBased/>
  <w15:docId w15:val="{1E5FC9FE-3E58-4DD6-AB46-6D89FEFC9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DB6"/>
    <w:pPr>
      <w:spacing w:line="259" w:lineRule="auto"/>
    </w:pPr>
    <w:rPr>
      <w:kern w:val="0"/>
      <w:sz w:val="22"/>
      <w:szCs w:val="22"/>
      <w14:ligatures w14:val="none"/>
    </w:rPr>
  </w:style>
  <w:style w:type="paragraph" w:styleId="Ttulo1">
    <w:name w:val="heading 1"/>
    <w:basedOn w:val="Normal"/>
    <w:next w:val="Normal"/>
    <w:link w:val="Ttulo1Car"/>
    <w:uiPriority w:val="9"/>
    <w:qFormat/>
    <w:rsid w:val="00121D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21D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21DB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21DB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21DB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21DB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21DB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21DB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21DB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21DB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21DB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21DB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21DB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21DB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21DB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21DB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21DB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21DB6"/>
    <w:rPr>
      <w:rFonts w:eastAsiaTheme="majorEastAsia" w:cstheme="majorBidi"/>
      <w:color w:val="272727" w:themeColor="text1" w:themeTint="D8"/>
    </w:rPr>
  </w:style>
  <w:style w:type="paragraph" w:styleId="Ttulo">
    <w:name w:val="Title"/>
    <w:basedOn w:val="Normal"/>
    <w:next w:val="Normal"/>
    <w:link w:val="TtuloCar"/>
    <w:uiPriority w:val="10"/>
    <w:qFormat/>
    <w:rsid w:val="00121D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21DB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21DB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21DB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21DB6"/>
    <w:pPr>
      <w:spacing w:before="160"/>
      <w:jc w:val="center"/>
    </w:pPr>
    <w:rPr>
      <w:i/>
      <w:iCs/>
      <w:color w:val="404040" w:themeColor="text1" w:themeTint="BF"/>
    </w:rPr>
  </w:style>
  <w:style w:type="character" w:customStyle="1" w:styleId="CitaCar">
    <w:name w:val="Cita Car"/>
    <w:basedOn w:val="Fuentedeprrafopredeter"/>
    <w:link w:val="Cita"/>
    <w:uiPriority w:val="29"/>
    <w:rsid w:val="00121DB6"/>
    <w:rPr>
      <w:i/>
      <w:iCs/>
      <w:color w:val="404040" w:themeColor="text1" w:themeTint="BF"/>
    </w:rPr>
  </w:style>
  <w:style w:type="paragraph" w:styleId="Prrafodelista">
    <w:name w:val="List Paragraph"/>
    <w:basedOn w:val="Normal"/>
    <w:uiPriority w:val="34"/>
    <w:qFormat/>
    <w:rsid w:val="00121DB6"/>
    <w:pPr>
      <w:ind w:left="720"/>
      <w:contextualSpacing/>
    </w:pPr>
  </w:style>
  <w:style w:type="character" w:styleId="nfasisintenso">
    <w:name w:val="Intense Emphasis"/>
    <w:basedOn w:val="Fuentedeprrafopredeter"/>
    <w:uiPriority w:val="21"/>
    <w:qFormat/>
    <w:rsid w:val="00121DB6"/>
    <w:rPr>
      <w:i/>
      <w:iCs/>
      <w:color w:val="0F4761" w:themeColor="accent1" w:themeShade="BF"/>
    </w:rPr>
  </w:style>
  <w:style w:type="paragraph" w:styleId="Citadestacada">
    <w:name w:val="Intense Quote"/>
    <w:basedOn w:val="Normal"/>
    <w:next w:val="Normal"/>
    <w:link w:val="CitadestacadaCar"/>
    <w:uiPriority w:val="30"/>
    <w:qFormat/>
    <w:rsid w:val="00121D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21DB6"/>
    <w:rPr>
      <w:i/>
      <w:iCs/>
      <w:color w:val="0F4761" w:themeColor="accent1" w:themeShade="BF"/>
    </w:rPr>
  </w:style>
  <w:style w:type="character" w:styleId="Referenciaintensa">
    <w:name w:val="Intense Reference"/>
    <w:basedOn w:val="Fuentedeprrafopredeter"/>
    <w:uiPriority w:val="32"/>
    <w:qFormat/>
    <w:rsid w:val="00121DB6"/>
    <w:rPr>
      <w:b/>
      <w:bCs/>
      <w:smallCaps/>
      <w:color w:val="0F4761" w:themeColor="accent1" w:themeShade="BF"/>
      <w:spacing w:val="5"/>
    </w:rPr>
  </w:style>
  <w:style w:type="paragraph" w:styleId="Encabezado">
    <w:name w:val="header"/>
    <w:basedOn w:val="Normal"/>
    <w:link w:val="EncabezadoCar"/>
    <w:uiPriority w:val="99"/>
    <w:unhideWhenUsed/>
    <w:rsid w:val="00121DB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21DB6"/>
    <w:rPr>
      <w:kern w:val="0"/>
      <w:sz w:val="22"/>
      <w:szCs w:val="22"/>
      <w14:ligatures w14:val="none"/>
    </w:rPr>
  </w:style>
  <w:style w:type="paragraph" w:styleId="Piedepgina">
    <w:name w:val="footer"/>
    <w:basedOn w:val="Normal"/>
    <w:link w:val="PiedepginaCar"/>
    <w:uiPriority w:val="99"/>
    <w:unhideWhenUsed/>
    <w:rsid w:val="00121DB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21DB6"/>
    <w:rPr>
      <w:kern w:val="0"/>
      <w:sz w:val="22"/>
      <w:szCs w:val="22"/>
      <w14:ligatures w14:val="none"/>
    </w:rPr>
  </w:style>
  <w:style w:type="table" w:styleId="Tablaconcuadrcula">
    <w:name w:val="Table Grid"/>
    <w:basedOn w:val="Tablanormal"/>
    <w:uiPriority w:val="39"/>
    <w:qFormat/>
    <w:rsid w:val="00121DB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59"/>
    <w:qFormat/>
    <w:rsid w:val="00121DB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rolinaneira.abogada@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362AD51-3C26-4554-AF12-0BDE62A513FC}">
  <ds:schemaRefs>
    <ds:schemaRef ds:uri="http://schemas.microsoft.com/sharepoint/v3/contenttype/forms"/>
  </ds:schemaRefs>
</ds:datastoreItem>
</file>

<file path=customXml/itemProps2.xml><?xml version="1.0" encoding="utf-8"?>
<ds:datastoreItem xmlns:ds="http://schemas.openxmlformats.org/officeDocument/2006/customXml" ds:itemID="{FF6AE44D-E86F-4A00-A5DA-6385816A4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755827-FA71-4DEA-BE95-D8C9104C2D90}">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16</Pages>
  <Words>5634</Words>
  <Characters>30991</Characters>
  <Application>Microsoft Office Word</Application>
  <DocSecurity>0</DocSecurity>
  <Lines>258</Lines>
  <Paragraphs>73</Paragraphs>
  <ScaleCrop>false</ScaleCrop>
  <Company/>
  <LinksUpToDate>false</LinksUpToDate>
  <CharactersWithSpaces>36552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Betty Elena Díaz Fernandez</cp:lastModifiedBy>
  <cp:revision>2</cp:revision>
  <dcterms:created xsi:type="dcterms:W3CDTF">2026-04-10T20:54:00Z</dcterms:created>
  <dcterms:modified xsi:type="dcterms:W3CDTF">2026-04-10T20:54:00Z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