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E544B" w14:textId="24EAC769" w:rsidR="007E0255" w:rsidRPr="007E0255" w:rsidRDefault="007E0255" w:rsidP="000F7D6E">
      <w:pPr>
        <w:spacing w:after="0" w:line="240" w:lineRule="auto"/>
        <w:jc w:val="both"/>
        <w:rPr>
          <w:rFonts w:ascii="Verdana" w:hAnsi="Verdana"/>
          <w:b/>
          <w:bCs/>
        </w:rPr>
      </w:pPr>
      <w:r w:rsidRPr="007E0255">
        <w:rPr>
          <w:rFonts w:ascii="Verdana" w:hAnsi="Verdana"/>
          <w:b/>
          <w:bCs/>
        </w:rPr>
        <w:t xml:space="preserve">CONTRATO </w:t>
      </w:r>
      <w:r w:rsidR="002B7DC5" w:rsidRPr="007E0255">
        <w:rPr>
          <w:rFonts w:ascii="Verdana" w:hAnsi="Verdana"/>
          <w:b/>
          <w:bCs/>
        </w:rPr>
        <w:t>DE PRESTACIÓN DE</w:t>
      </w:r>
      <w:r w:rsidRPr="007E0255">
        <w:rPr>
          <w:rFonts w:ascii="Verdana" w:hAnsi="Verdana"/>
          <w:b/>
          <w:bCs/>
        </w:rPr>
        <w:t xml:space="preserve"> SERVICIOS – Concepto</w:t>
      </w:r>
      <w:r w:rsidR="002B7DC5">
        <w:rPr>
          <w:rFonts w:ascii="Verdana" w:hAnsi="Verdana"/>
          <w:b/>
          <w:bCs/>
        </w:rPr>
        <w:t xml:space="preserve"> </w:t>
      </w:r>
    </w:p>
    <w:p w14:paraId="51F4A580" w14:textId="77777777" w:rsidR="007E0255" w:rsidRPr="007E0255" w:rsidRDefault="007E0255" w:rsidP="000F7D6E">
      <w:pPr>
        <w:spacing w:after="0" w:line="240" w:lineRule="auto"/>
        <w:jc w:val="both"/>
        <w:rPr>
          <w:rFonts w:ascii="Verdana" w:hAnsi="Verdana"/>
        </w:rPr>
      </w:pPr>
    </w:p>
    <w:p w14:paraId="317DFAB0" w14:textId="69279204" w:rsidR="007E0255" w:rsidRPr="002B7DC5" w:rsidRDefault="007E0255" w:rsidP="000F7D6E">
      <w:pPr>
        <w:spacing w:after="0" w:line="240" w:lineRule="auto"/>
        <w:jc w:val="both"/>
        <w:rPr>
          <w:rFonts w:ascii="Verdana" w:hAnsi="Verdana"/>
          <w:sz w:val="20"/>
          <w:szCs w:val="20"/>
        </w:rPr>
      </w:pPr>
      <w:r w:rsidRPr="002B7DC5">
        <w:rPr>
          <w:rFonts w:ascii="Verdana" w:hAnsi="Verdana"/>
          <w:sz w:val="20"/>
          <w:szCs w:val="20"/>
        </w:rPr>
        <w:t xml:space="preserve">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w:t>
      </w:r>
      <w:r w:rsidR="002B7DC5" w:rsidRPr="002B7DC5">
        <w:rPr>
          <w:rFonts w:ascii="Verdana" w:hAnsi="Verdana"/>
          <w:sz w:val="20"/>
          <w:szCs w:val="20"/>
        </w:rPr>
        <w:t>3º, de</w:t>
      </w:r>
      <w:r w:rsidRPr="002B7DC5">
        <w:rPr>
          <w:rFonts w:ascii="Verdana" w:hAnsi="Verdana"/>
          <w:sz w:val="20"/>
          <w:szCs w:val="20"/>
        </w:rPr>
        <w:t xml:space="preserve"> la Ley 80 de 1993</w:t>
      </w:r>
    </w:p>
    <w:p w14:paraId="49070DF3" w14:textId="77777777" w:rsidR="007E0255" w:rsidRPr="007E0255" w:rsidRDefault="007E0255" w:rsidP="000F7D6E">
      <w:pPr>
        <w:spacing w:after="0" w:line="240" w:lineRule="auto"/>
        <w:jc w:val="both"/>
        <w:rPr>
          <w:rFonts w:ascii="Verdana" w:hAnsi="Verdana"/>
        </w:rPr>
      </w:pPr>
    </w:p>
    <w:p w14:paraId="2EAEFF37" w14:textId="0E7E2602" w:rsidR="007E0255" w:rsidRPr="007E0255" w:rsidRDefault="007E0255" w:rsidP="000F7D6E">
      <w:pPr>
        <w:spacing w:after="0" w:line="240" w:lineRule="auto"/>
        <w:jc w:val="both"/>
        <w:rPr>
          <w:rFonts w:ascii="Verdana" w:hAnsi="Verdana"/>
          <w:b/>
          <w:bCs/>
        </w:rPr>
      </w:pPr>
      <w:r w:rsidRPr="007E0255">
        <w:rPr>
          <w:rFonts w:ascii="Verdana" w:hAnsi="Verdana"/>
          <w:b/>
          <w:bCs/>
        </w:rPr>
        <w:t>SUPERNUMERARIO – Naturaleza</w:t>
      </w:r>
    </w:p>
    <w:p w14:paraId="0A81B5F4" w14:textId="77777777" w:rsidR="007E0255" w:rsidRPr="007E0255" w:rsidRDefault="007E0255" w:rsidP="000F7D6E">
      <w:pPr>
        <w:spacing w:after="0" w:line="240" w:lineRule="auto"/>
        <w:jc w:val="both"/>
        <w:rPr>
          <w:rFonts w:ascii="Verdana" w:hAnsi="Verdana"/>
        </w:rPr>
      </w:pPr>
    </w:p>
    <w:p w14:paraId="2D2E045E" w14:textId="77777777" w:rsidR="007E0255" w:rsidRPr="002B7DC5" w:rsidRDefault="007E0255" w:rsidP="000F7D6E">
      <w:pPr>
        <w:spacing w:after="0" w:line="240" w:lineRule="auto"/>
        <w:jc w:val="both"/>
        <w:rPr>
          <w:rFonts w:ascii="Verdana" w:hAnsi="Verdana"/>
          <w:sz w:val="20"/>
          <w:szCs w:val="20"/>
        </w:rPr>
      </w:pPr>
      <w:r w:rsidRPr="002B7DC5">
        <w:rPr>
          <w:rFonts w:ascii="Verdana" w:hAnsi="Verdana"/>
          <w:sz w:val="20"/>
          <w:szCs w:val="20"/>
        </w:rPr>
        <w:t>De lo anterior se puede colegir que la Corte Constitucional mantiene la postura que los supernumerarios son empleados públicos que por consiguiente tienen una relación laboral y tienen los mismos derechos salariales y prestaciones que los empleados de la entidad.</w:t>
      </w:r>
    </w:p>
    <w:p w14:paraId="596A62DD" w14:textId="77777777" w:rsidR="007E0255" w:rsidRPr="007E0255" w:rsidRDefault="007E0255" w:rsidP="000F7D6E">
      <w:pPr>
        <w:spacing w:after="0" w:line="240" w:lineRule="auto"/>
        <w:jc w:val="both"/>
        <w:rPr>
          <w:rFonts w:ascii="Verdana" w:hAnsi="Verdana"/>
        </w:rPr>
      </w:pPr>
    </w:p>
    <w:p w14:paraId="615F9485" w14:textId="3EC67425" w:rsidR="007E0255" w:rsidRPr="007E0255" w:rsidRDefault="007E0255" w:rsidP="000F7D6E">
      <w:pPr>
        <w:spacing w:after="0" w:line="240" w:lineRule="auto"/>
        <w:jc w:val="both"/>
        <w:rPr>
          <w:rFonts w:ascii="Verdana" w:hAnsi="Verdana"/>
          <w:b/>
          <w:bCs/>
        </w:rPr>
      </w:pPr>
      <w:r w:rsidRPr="007E0255">
        <w:rPr>
          <w:rFonts w:ascii="Verdana" w:hAnsi="Verdana"/>
          <w:b/>
          <w:bCs/>
        </w:rPr>
        <w:t>SUPERNUMERARIO – Prohibición de suscribir contratos de prestación de servicios</w:t>
      </w:r>
    </w:p>
    <w:p w14:paraId="2AD1A329" w14:textId="77777777" w:rsidR="007E0255" w:rsidRPr="007E0255" w:rsidRDefault="007E0255" w:rsidP="000F7D6E">
      <w:pPr>
        <w:spacing w:after="0" w:line="240" w:lineRule="auto"/>
        <w:jc w:val="both"/>
        <w:rPr>
          <w:rFonts w:ascii="Verdana" w:hAnsi="Verdana"/>
        </w:rPr>
      </w:pPr>
    </w:p>
    <w:p w14:paraId="0FB4E9A7" w14:textId="772E1F98" w:rsidR="00E66F0C" w:rsidRPr="002B7DC5" w:rsidRDefault="007E0255" w:rsidP="000F7D6E">
      <w:pPr>
        <w:spacing w:after="0" w:line="240" w:lineRule="auto"/>
        <w:jc w:val="both"/>
        <w:rPr>
          <w:rFonts w:ascii="Verdana" w:hAnsi="Verdana"/>
          <w:sz w:val="20"/>
          <w:szCs w:val="20"/>
        </w:rPr>
      </w:pPr>
      <w:r w:rsidRPr="002B7DC5">
        <w:rPr>
          <w:rFonts w:ascii="Verdana" w:hAnsi="Verdana"/>
          <w:sz w:val="20"/>
          <w:szCs w:val="20"/>
        </w:rPr>
        <w:t xml:space="preserve">En conclusión, de acuerdo con la Corte Constitucional7 y la línea del DAFP, los supernumerarios no pueden celebrar contratos de prestación de servicios conforme a los dispuesto en el </w:t>
      </w:r>
      <w:r w:rsidR="002B7DC5" w:rsidRPr="002B7DC5">
        <w:rPr>
          <w:rFonts w:ascii="Verdana" w:hAnsi="Verdana"/>
          <w:sz w:val="20"/>
          <w:szCs w:val="20"/>
        </w:rPr>
        <w:t>artículo</w:t>
      </w:r>
      <w:r w:rsidRPr="002B7DC5">
        <w:rPr>
          <w:rFonts w:ascii="Verdana" w:hAnsi="Verdana"/>
          <w:sz w:val="20"/>
          <w:szCs w:val="20"/>
        </w:rPr>
        <w:t xml:space="preserve"> 128 de la Constitución Nacional y el </w:t>
      </w:r>
      <w:r w:rsidR="002B7DC5" w:rsidRPr="002B7DC5">
        <w:rPr>
          <w:rFonts w:ascii="Verdana" w:hAnsi="Verdana"/>
          <w:sz w:val="20"/>
          <w:szCs w:val="20"/>
        </w:rPr>
        <w:t>artículo</w:t>
      </w:r>
      <w:r w:rsidRPr="002B7DC5">
        <w:rPr>
          <w:rFonts w:ascii="Verdana" w:hAnsi="Verdana"/>
          <w:sz w:val="20"/>
          <w:szCs w:val="20"/>
        </w:rPr>
        <w:t xml:space="preserve"> 19 de la ley 4 de 1992, ya que tienen una asignación del tesoro público en calidad de empleado público temporal mediante una relación laboral. La situación administrativa planteada imposibilita a estos sujetos tener una doble asignación del tesoro público. En consecuencia, suscribir un contrato de prestación de servicios en estas condiciones administrativas es enfrentar algunas de las circunstancias del régimen de inhabilidad e incompatibilidad conforme a las líneas tanto de la Corte como del DAFP.</w:t>
      </w:r>
    </w:p>
    <w:p w14:paraId="4FAEE660" w14:textId="238FFC76" w:rsidR="00E66F0C" w:rsidRDefault="00E66F0C" w:rsidP="000F7D6E">
      <w:pPr>
        <w:spacing w:after="0" w:line="240" w:lineRule="auto"/>
        <w:rPr>
          <w:rFonts w:ascii="Verdana" w:hAnsi="Verdana"/>
        </w:rPr>
      </w:pPr>
    </w:p>
    <w:p w14:paraId="4C9957AC" w14:textId="6EAC3488" w:rsidR="00E66F0C" w:rsidRDefault="00E66F0C" w:rsidP="000F7D6E">
      <w:pPr>
        <w:spacing w:after="0" w:line="240" w:lineRule="auto"/>
        <w:rPr>
          <w:rFonts w:ascii="Verdana" w:hAnsi="Verdana"/>
        </w:rPr>
      </w:pPr>
    </w:p>
    <w:p w14:paraId="789B38A3" w14:textId="77777777" w:rsidR="00E66F0C" w:rsidRDefault="00E66F0C" w:rsidP="000F7D6E">
      <w:pPr>
        <w:spacing w:after="0" w:line="240" w:lineRule="auto"/>
        <w:rPr>
          <w:rFonts w:ascii="Verdana" w:hAnsi="Verdana"/>
        </w:rPr>
      </w:pPr>
    </w:p>
    <w:p w14:paraId="1787D224" w14:textId="77777777" w:rsidR="00E66F0C" w:rsidRDefault="00E66F0C" w:rsidP="000F7D6E">
      <w:pPr>
        <w:spacing w:after="0" w:line="240" w:lineRule="auto"/>
        <w:rPr>
          <w:rFonts w:ascii="Verdana" w:hAnsi="Verdana"/>
        </w:rPr>
      </w:pPr>
    </w:p>
    <w:p w14:paraId="10A49439" w14:textId="77777777" w:rsidR="00E66F0C" w:rsidRDefault="00E66F0C" w:rsidP="000F7D6E">
      <w:pPr>
        <w:spacing w:after="0" w:line="240" w:lineRule="auto"/>
        <w:rPr>
          <w:rFonts w:ascii="Verdana" w:hAnsi="Verdana"/>
        </w:rPr>
      </w:pPr>
    </w:p>
    <w:p w14:paraId="18AC490A" w14:textId="77777777" w:rsidR="00E66F0C" w:rsidRDefault="00E66F0C" w:rsidP="000F7D6E">
      <w:pPr>
        <w:spacing w:after="0" w:line="240" w:lineRule="auto"/>
        <w:rPr>
          <w:rFonts w:ascii="Verdana" w:hAnsi="Verdana"/>
        </w:rPr>
      </w:pPr>
    </w:p>
    <w:p w14:paraId="166B3404" w14:textId="77777777" w:rsidR="00E66F0C" w:rsidRDefault="00E66F0C" w:rsidP="000F7D6E">
      <w:pPr>
        <w:spacing w:after="0" w:line="240" w:lineRule="auto"/>
        <w:rPr>
          <w:rFonts w:ascii="Verdana" w:hAnsi="Verdana"/>
        </w:rPr>
      </w:pPr>
    </w:p>
    <w:p w14:paraId="734D3299" w14:textId="77777777" w:rsidR="00E66F0C" w:rsidRDefault="00E66F0C" w:rsidP="000F7D6E">
      <w:pPr>
        <w:spacing w:after="0" w:line="240" w:lineRule="auto"/>
        <w:rPr>
          <w:rFonts w:ascii="Verdana" w:hAnsi="Verdana"/>
        </w:rPr>
      </w:pPr>
    </w:p>
    <w:p w14:paraId="1C3D7630" w14:textId="77777777" w:rsidR="00E66F0C" w:rsidRDefault="00E66F0C" w:rsidP="003C2C84">
      <w:pPr>
        <w:spacing w:after="0" w:line="240" w:lineRule="auto"/>
        <w:rPr>
          <w:rFonts w:ascii="Verdana" w:hAnsi="Verdana"/>
        </w:rPr>
      </w:pPr>
    </w:p>
    <w:p w14:paraId="5B6AD396" w14:textId="77777777" w:rsidR="00E32B87" w:rsidRDefault="00E32B87" w:rsidP="00FF4E35">
      <w:pPr>
        <w:spacing w:after="0" w:line="240" w:lineRule="auto"/>
        <w:rPr>
          <w:rFonts w:ascii="Verdana" w:hAnsi="Verdana"/>
        </w:rPr>
      </w:pPr>
    </w:p>
    <w:p w14:paraId="6893B28F" w14:textId="23552D49" w:rsidR="00E32B87" w:rsidRDefault="00E32B87" w:rsidP="00FF4E35">
      <w:pPr>
        <w:spacing w:after="0" w:line="240" w:lineRule="auto"/>
        <w:rPr>
          <w:rFonts w:ascii="Verdana" w:eastAsia="Calibri" w:hAnsi="Verdana" w:cs="Arial"/>
          <w:lang w:eastAsia="es-ES_tradnl"/>
        </w:rPr>
      </w:pPr>
    </w:p>
    <w:p w14:paraId="01FC9EE3" w14:textId="77777777" w:rsidR="00E32B87" w:rsidRDefault="00E32B87" w:rsidP="00FF4E35">
      <w:pPr>
        <w:spacing w:after="0" w:line="240" w:lineRule="auto"/>
        <w:rPr>
          <w:rFonts w:ascii="Verdana" w:eastAsia="Calibri" w:hAnsi="Verdana" w:cs="Arial"/>
          <w:lang w:eastAsia="es-ES_tradnl"/>
        </w:rPr>
      </w:pPr>
    </w:p>
    <w:p w14:paraId="60103E03" w14:textId="77777777" w:rsidR="00710F57" w:rsidRDefault="00710F57" w:rsidP="00FF4E35">
      <w:pPr>
        <w:spacing w:after="0" w:line="240" w:lineRule="auto"/>
        <w:rPr>
          <w:rFonts w:ascii="Verdana" w:eastAsia="Calibri" w:hAnsi="Verdana" w:cs="Arial"/>
          <w:lang w:eastAsia="es-ES_tradnl"/>
        </w:rPr>
      </w:pPr>
    </w:p>
    <w:p w14:paraId="16189786" w14:textId="77777777" w:rsidR="00710F57" w:rsidRDefault="00710F57" w:rsidP="00FF4E35">
      <w:pPr>
        <w:spacing w:after="0" w:line="240" w:lineRule="auto"/>
        <w:rPr>
          <w:rFonts w:ascii="Verdana" w:eastAsia="Calibri" w:hAnsi="Verdana" w:cs="Arial"/>
          <w:lang w:eastAsia="es-ES_tradnl"/>
        </w:rPr>
      </w:pPr>
    </w:p>
    <w:p w14:paraId="7C97B128" w14:textId="77777777" w:rsidR="00710F57" w:rsidRDefault="00710F57" w:rsidP="00FF4E35">
      <w:pPr>
        <w:spacing w:after="0" w:line="240" w:lineRule="auto"/>
        <w:rPr>
          <w:rFonts w:ascii="Verdana" w:eastAsia="Calibri" w:hAnsi="Verdana" w:cs="Arial"/>
          <w:lang w:eastAsia="es-ES_tradnl"/>
        </w:rPr>
      </w:pPr>
    </w:p>
    <w:p w14:paraId="2020DF3C" w14:textId="2D95592C" w:rsidR="00FF4E35" w:rsidRDefault="00710F57" w:rsidP="00FF4E35">
      <w:pPr>
        <w:spacing w:after="0" w:line="240" w:lineRule="auto"/>
        <w:rPr>
          <w:rFonts w:ascii="Verdana" w:eastAsia="Calibri" w:hAnsi="Verdana" w:cs="Arial"/>
          <w:lang w:eastAsia="es-ES_tradnl"/>
        </w:rPr>
      </w:pPr>
      <w:r w:rsidRPr="00F23F96">
        <w:rPr>
          <w:rFonts w:ascii="Verdana" w:eastAsia="Calibri" w:hAnsi="Verdana" w:cs="Arial"/>
          <w:noProof/>
          <w:lang w:eastAsia="es-ES_tradnl"/>
        </w:rPr>
        <w:lastRenderedPageBreak/>
        <w:drawing>
          <wp:anchor distT="0" distB="0" distL="114300" distR="114300" simplePos="0" relativeHeight="251658240" behindDoc="1" locked="0" layoutInCell="1" allowOverlap="1" wp14:anchorId="51E2AE68" wp14:editId="5EBEF5B1">
            <wp:simplePos x="0" y="0"/>
            <wp:positionH relativeFrom="margin">
              <wp:posOffset>3086100</wp:posOffset>
            </wp:positionH>
            <wp:positionV relativeFrom="paragraph">
              <wp:posOffset>80645</wp:posOffset>
            </wp:positionV>
            <wp:extent cx="2514600" cy="834390"/>
            <wp:effectExtent l="0" t="0" r="0" b="3810"/>
            <wp:wrapSquare wrapText="bothSides"/>
            <wp:docPr id="21411264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12646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14600" cy="834390"/>
                    </a:xfrm>
                    <a:prstGeom prst="rect">
                      <a:avLst/>
                    </a:prstGeom>
                  </pic:spPr>
                </pic:pic>
              </a:graphicData>
            </a:graphic>
            <wp14:sizeRelH relativeFrom="page">
              <wp14:pctWidth>0</wp14:pctWidth>
            </wp14:sizeRelH>
            <wp14:sizeRelV relativeFrom="page">
              <wp14:pctHeight>0</wp14:pctHeight>
            </wp14:sizeRelV>
          </wp:anchor>
        </w:drawing>
      </w:r>
      <w:r w:rsidR="00E32B87" w:rsidRPr="00E32B87">
        <w:rPr>
          <w:rFonts w:ascii="Verdana" w:eastAsia="Calibri" w:hAnsi="Verdana" w:cs="Arial"/>
          <w:lang w:eastAsia="es-ES_tradnl"/>
        </w:rPr>
        <w:t xml:space="preserve">Bogotá D.C., 20 de </w:t>
      </w:r>
      <w:r w:rsidRPr="00E32B87">
        <w:rPr>
          <w:rFonts w:ascii="Verdana" w:eastAsia="Calibri" w:hAnsi="Verdana" w:cs="Arial"/>
          <w:lang w:eastAsia="es-ES_tradnl"/>
        </w:rPr>
        <w:t>abril</w:t>
      </w:r>
      <w:r w:rsidR="00E32B87" w:rsidRPr="00E32B87">
        <w:rPr>
          <w:rFonts w:ascii="Verdana" w:eastAsia="Calibri" w:hAnsi="Verdana" w:cs="Arial"/>
          <w:lang w:eastAsia="es-ES_tradnl"/>
        </w:rPr>
        <w:t xml:space="preserve"> de 2026</w:t>
      </w:r>
      <w:r w:rsidR="00F23F96" w:rsidRPr="00F23F96">
        <w:rPr>
          <w:noProof/>
        </w:rPr>
        <w:t xml:space="preserve"> </w:t>
      </w:r>
    </w:p>
    <w:p w14:paraId="341BB4BE" w14:textId="77777777" w:rsidR="00710F57" w:rsidRDefault="00710F57" w:rsidP="007E0255">
      <w:pPr>
        <w:spacing w:after="0" w:line="240" w:lineRule="auto"/>
        <w:rPr>
          <w:rFonts w:ascii="Verdana" w:eastAsia="Calibri" w:hAnsi="Verdana" w:cs="Arial"/>
          <w:lang w:eastAsia="es-ES_tradnl"/>
        </w:rPr>
      </w:pPr>
    </w:p>
    <w:p w14:paraId="30E8BD53" w14:textId="0D76ABE7" w:rsidR="007E0255" w:rsidRPr="000C57FF" w:rsidRDefault="007E0255" w:rsidP="007E0255">
      <w:pPr>
        <w:spacing w:after="0" w:line="240" w:lineRule="auto"/>
        <w:rPr>
          <w:rFonts w:ascii="Verdana" w:eastAsia="Calibri" w:hAnsi="Verdana" w:cs="Arial"/>
          <w:lang w:eastAsia="es-ES_tradnl"/>
        </w:rPr>
      </w:pPr>
      <w:r w:rsidRPr="000C57FF">
        <w:rPr>
          <w:rFonts w:ascii="Verdana" w:eastAsia="Calibri" w:hAnsi="Verdana" w:cs="Arial"/>
          <w:lang w:eastAsia="es-ES_tradnl"/>
        </w:rPr>
        <w:t>Señora</w:t>
      </w:r>
    </w:p>
    <w:p w14:paraId="6BB3F2EA" w14:textId="46A7C74B" w:rsidR="007E0255" w:rsidRPr="000C57FF" w:rsidRDefault="007E0255" w:rsidP="007E0255">
      <w:pPr>
        <w:spacing w:after="0" w:line="240" w:lineRule="auto"/>
        <w:rPr>
          <w:rFonts w:ascii="Verdana" w:eastAsia="Calibri" w:hAnsi="Verdana" w:cs="Arial"/>
          <w:b/>
          <w:bCs/>
          <w:lang w:eastAsia="es-ES_tradnl"/>
        </w:rPr>
      </w:pPr>
      <w:r w:rsidRPr="000C57FF">
        <w:rPr>
          <w:rFonts w:ascii="Verdana" w:eastAsia="Calibri" w:hAnsi="Verdana" w:cs="Arial"/>
          <w:b/>
          <w:bCs/>
          <w:lang w:eastAsia="es-ES_tradnl"/>
        </w:rPr>
        <w:t>Yesika Fernanda Clavijo Latorre</w:t>
      </w:r>
    </w:p>
    <w:p w14:paraId="717AEC12" w14:textId="77777777" w:rsidR="007E0255" w:rsidRPr="000C57FF" w:rsidRDefault="007E0255" w:rsidP="007E0255">
      <w:pPr>
        <w:spacing w:after="0" w:line="240" w:lineRule="auto"/>
        <w:rPr>
          <w:rFonts w:ascii="Verdana" w:eastAsia="Calibri" w:hAnsi="Verdana" w:cs="Arial"/>
          <w:lang w:eastAsia="es-ES_tradnl"/>
        </w:rPr>
      </w:pPr>
      <w:r w:rsidRPr="000C57FF">
        <w:rPr>
          <w:rFonts w:ascii="Verdana" w:eastAsia="Calibri" w:hAnsi="Verdana" w:cs="Arial"/>
          <w:lang w:eastAsia="es-ES_tradnl"/>
        </w:rPr>
        <w:t>Yesicafernandaclavijolatorre@gmail.com</w:t>
      </w:r>
    </w:p>
    <w:p w14:paraId="13BF727E" w14:textId="77777777" w:rsidR="007E0255" w:rsidRPr="000C57FF" w:rsidRDefault="007E0255" w:rsidP="007E0255">
      <w:pPr>
        <w:spacing w:after="0" w:line="240" w:lineRule="auto"/>
        <w:rPr>
          <w:rFonts w:ascii="Verdana" w:eastAsia="Calibri" w:hAnsi="Verdana" w:cs="Arial"/>
          <w:lang w:eastAsia="es-ES_tradnl"/>
        </w:rPr>
      </w:pPr>
      <w:r w:rsidRPr="000C57FF">
        <w:rPr>
          <w:rFonts w:ascii="Verdana" w:eastAsia="Calibri" w:hAnsi="Verdana" w:cs="Arial"/>
          <w:lang w:eastAsia="es-ES_tradnl"/>
        </w:rPr>
        <w:t>Bogotá, Cundinamarca</w:t>
      </w:r>
    </w:p>
    <w:p w14:paraId="3297FA4E" w14:textId="77777777" w:rsidR="007E0255" w:rsidRPr="000C57FF" w:rsidRDefault="007E0255" w:rsidP="007E0255">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E0255" w:rsidRPr="000C57FF" w14:paraId="68A6EB98" w14:textId="77777777" w:rsidTr="004F10D7">
        <w:trPr>
          <w:trHeight w:val="190"/>
        </w:trPr>
        <w:tc>
          <w:tcPr>
            <w:tcW w:w="2689" w:type="dxa"/>
          </w:tcPr>
          <w:p w14:paraId="0B6A5476" w14:textId="77777777" w:rsidR="007E0255" w:rsidRPr="000C57FF" w:rsidRDefault="007E0255" w:rsidP="004F10D7">
            <w:pPr>
              <w:jc w:val="both"/>
              <w:rPr>
                <w:rFonts w:ascii="Verdana" w:eastAsia="Calibri" w:hAnsi="Verdana" w:cs="Arial"/>
                <w:b/>
                <w:bCs/>
                <w:lang w:eastAsia="es-ES_tradnl"/>
              </w:rPr>
            </w:pPr>
          </w:p>
        </w:tc>
        <w:tc>
          <w:tcPr>
            <w:tcW w:w="6100" w:type="dxa"/>
          </w:tcPr>
          <w:p w14:paraId="0936E958" w14:textId="77777777" w:rsidR="007E0255" w:rsidRPr="000C57FF" w:rsidRDefault="007E0255" w:rsidP="004F10D7">
            <w:pPr>
              <w:jc w:val="both"/>
              <w:rPr>
                <w:rFonts w:ascii="Verdana" w:eastAsia="Calibri" w:hAnsi="Verdana" w:cs="Arial"/>
                <w:b/>
                <w:bCs/>
                <w:lang w:eastAsia="es-ES"/>
              </w:rPr>
            </w:pPr>
            <w:r w:rsidRPr="000C57FF">
              <w:rPr>
                <w:rFonts w:ascii="Verdana" w:eastAsia="Calibri" w:hAnsi="Verdana" w:cs="Arial"/>
                <w:b/>
                <w:bCs/>
                <w:lang w:eastAsia="es-ES"/>
              </w:rPr>
              <w:t>Concepto C- 378 de 2026</w:t>
            </w:r>
          </w:p>
          <w:p w14:paraId="1AA28A78" w14:textId="77777777" w:rsidR="007E0255" w:rsidRPr="000C57FF" w:rsidRDefault="007E0255" w:rsidP="004F10D7">
            <w:pPr>
              <w:jc w:val="both"/>
              <w:rPr>
                <w:rFonts w:ascii="Verdana" w:eastAsia="Calibri" w:hAnsi="Verdana" w:cs="Arial"/>
                <w:b/>
                <w:bCs/>
                <w:lang w:eastAsia="es-ES"/>
              </w:rPr>
            </w:pPr>
          </w:p>
        </w:tc>
      </w:tr>
      <w:tr w:rsidR="007E0255" w:rsidRPr="000C57FF" w14:paraId="0AFEFF5E" w14:textId="77777777" w:rsidTr="004F10D7">
        <w:trPr>
          <w:trHeight w:val="884"/>
        </w:trPr>
        <w:tc>
          <w:tcPr>
            <w:tcW w:w="2689" w:type="dxa"/>
          </w:tcPr>
          <w:p w14:paraId="66A9036D" w14:textId="77777777" w:rsidR="007E0255" w:rsidRPr="000C57FF" w:rsidRDefault="007E0255" w:rsidP="004F10D7">
            <w:pPr>
              <w:jc w:val="both"/>
              <w:rPr>
                <w:rFonts w:ascii="Verdana" w:eastAsia="Calibri" w:hAnsi="Verdana" w:cs="Arial"/>
                <w:lang w:eastAsia="es-ES_tradnl"/>
              </w:rPr>
            </w:pPr>
            <w:r w:rsidRPr="000C57FF">
              <w:rPr>
                <w:rFonts w:ascii="Verdana" w:eastAsia="Calibri" w:hAnsi="Verdana" w:cs="Arial"/>
                <w:b/>
                <w:lang w:eastAsia="es-ES_tradnl"/>
              </w:rPr>
              <w:t>Tema:</w:t>
            </w:r>
            <w:r w:rsidRPr="000C57FF">
              <w:rPr>
                <w:rFonts w:ascii="Verdana" w:eastAsia="Calibri" w:hAnsi="Verdana" w:cs="Arial"/>
                <w:lang w:eastAsia="es-ES_tradnl"/>
              </w:rPr>
              <w:t xml:space="preserve">                   </w:t>
            </w:r>
          </w:p>
        </w:tc>
        <w:tc>
          <w:tcPr>
            <w:tcW w:w="6100" w:type="dxa"/>
          </w:tcPr>
          <w:p w14:paraId="7CF56B4C" w14:textId="459601FF" w:rsidR="007E0255" w:rsidRPr="000C57FF" w:rsidRDefault="007E0255" w:rsidP="004F10D7">
            <w:pPr>
              <w:jc w:val="both"/>
              <w:rPr>
                <w:rFonts w:ascii="Verdana" w:eastAsia="Calibri" w:hAnsi="Verdana" w:cs="Arial"/>
                <w:lang w:val="es-ES" w:eastAsia="es-ES"/>
              </w:rPr>
            </w:pPr>
            <w:r w:rsidRPr="000C57FF">
              <w:rPr>
                <w:rFonts w:ascii="Verdana" w:eastAsia="Calibri" w:hAnsi="Verdana" w:cs="Arial"/>
                <w:lang w:val="es-ES" w:eastAsia="es-ES"/>
              </w:rPr>
              <w:t xml:space="preserve">CONTRATO DE </w:t>
            </w:r>
            <w:r w:rsidR="00710F57" w:rsidRPr="000C57FF">
              <w:rPr>
                <w:rFonts w:ascii="Verdana" w:eastAsia="Calibri" w:hAnsi="Verdana" w:cs="Arial"/>
                <w:lang w:val="es-ES" w:eastAsia="es-ES"/>
              </w:rPr>
              <w:t>PRESTACIÓN DE SERVICIOS –</w:t>
            </w:r>
          </w:p>
          <w:p w14:paraId="6E2248BB" w14:textId="36AFF4AA" w:rsidR="007E0255" w:rsidRPr="000C57FF" w:rsidRDefault="007E0255" w:rsidP="004F10D7">
            <w:pPr>
              <w:jc w:val="both"/>
              <w:rPr>
                <w:rFonts w:ascii="Verdana" w:eastAsia="Calibri" w:hAnsi="Verdana" w:cs="Arial"/>
                <w:lang w:val="es-ES" w:eastAsia="es-ES"/>
              </w:rPr>
            </w:pPr>
            <w:r w:rsidRPr="000C57FF">
              <w:rPr>
                <w:rFonts w:ascii="Verdana" w:eastAsia="Calibri" w:hAnsi="Verdana" w:cs="Arial"/>
                <w:lang w:val="es-ES" w:eastAsia="es-ES"/>
              </w:rPr>
              <w:t>Concepto / SUPERNUMERARIO – Naturaleza / SUPERNUMERARIO – Prohibición de suscribir contratos de prestación de servicios</w:t>
            </w:r>
          </w:p>
          <w:p w14:paraId="344D0D2B" w14:textId="77777777" w:rsidR="007E0255" w:rsidRPr="000C57FF" w:rsidRDefault="007E0255" w:rsidP="004F10D7">
            <w:pPr>
              <w:jc w:val="both"/>
              <w:rPr>
                <w:rFonts w:ascii="Verdana" w:eastAsia="Calibri" w:hAnsi="Verdana" w:cs="Arial"/>
                <w:lang w:val="es-ES" w:eastAsia="es-ES"/>
              </w:rPr>
            </w:pPr>
            <w:r w:rsidRPr="000C57FF">
              <w:rPr>
                <w:rFonts w:ascii="Verdana" w:eastAsia="Calibri" w:hAnsi="Verdana" w:cs="Arial"/>
                <w:lang w:val="es-ES" w:eastAsia="es-ES"/>
              </w:rPr>
              <w:t xml:space="preserve">                </w:t>
            </w:r>
          </w:p>
        </w:tc>
      </w:tr>
      <w:tr w:rsidR="007E0255" w:rsidRPr="000C57FF" w14:paraId="4C5C17D0" w14:textId="77777777" w:rsidTr="004F10D7">
        <w:tc>
          <w:tcPr>
            <w:tcW w:w="2689" w:type="dxa"/>
          </w:tcPr>
          <w:p w14:paraId="73977D55" w14:textId="77777777" w:rsidR="007E0255" w:rsidRPr="00710F57" w:rsidRDefault="007E0255" w:rsidP="004F10D7">
            <w:pPr>
              <w:jc w:val="both"/>
              <w:rPr>
                <w:rFonts w:ascii="Verdana" w:eastAsia="Calibri" w:hAnsi="Verdana" w:cs="Arial"/>
                <w:b/>
                <w:lang w:eastAsia="es-ES_tradnl"/>
              </w:rPr>
            </w:pPr>
            <w:r w:rsidRPr="00710F57">
              <w:rPr>
                <w:rFonts w:ascii="Verdana" w:eastAsia="Calibri" w:hAnsi="Verdana" w:cs="Arial"/>
                <w:b/>
                <w:lang w:eastAsia="es-ES_tradnl"/>
              </w:rPr>
              <w:t>Radicación:</w:t>
            </w:r>
            <w:r w:rsidRPr="00710F57">
              <w:rPr>
                <w:rFonts w:ascii="Verdana" w:eastAsia="Calibri" w:hAnsi="Verdana" w:cs="Arial"/>
                <w:lang w:eastAsia="es-ES_tradnl"/>
              </w:rPr>
              <w:t xml:space="preserve">               </w:t>
            </w:r>
          </w:p>
        </w:tc>
        <w:tc>
          <w:tcPr>
            <w:tcW w:w="6100" w:type="dxa"/>
          </w:tcPr>
          <w:p w14:paraId="15B00AF6" w14:textId="77777777" w:rsidR="007E0255" w:rsidRPr="00710F57" w:rsidRDefault="007E0255" w:rsidP="004F10D7">
            <w:pPr>
              <w:jc w:val="both"/>
              <w:rPr>
                <w:rFonts w:ascii="Verdana" w:hAnsi="Verdana" w:cs="Segoe UI"/>
                <w:shd w:val="clear" w:color="auto" w:fill="FFFFFF"/>
              </w:rPr>
            </w:pPr>
            <w:r w:rsidRPr="00710F57">
              <w:rPr>
                <w:rFonts w:ascii="Verdana" w:eastAsia="Calibri" w:hAnsi="Verdana" w:cs="Arial"/>
                <w:lang w:eastAsia="es-ES_tradnl"/>
              </w:rPr>
              <w:t>Respuesta a consulta con radicado No.</w:t>
            </w:r>
            <w:r w:rsidRPr="00710F57">
              <w:rPr>
                <w:rFonts w:ascii="Verdana" w:hAnsi="Verdana" w:cs="Segoe UI"/>
                <w:shd w:val="clear" w:color="auto" w:fill="FFFFFF"/>
              </w:rPr>
              <w:t xml:space="preserve"> 1_2026_03_10_003299 acumulada 1_2026_03_06_003169/</w:t>
            </w:r>
          </w:p>
          <w:p w14:paraId="1DA13432" w14:textId="77777777" w:rsidR="007E0255" w:rsidRPr="00710F57" w:rsidRDefault="007E0255" w:rsidP="004F10D7">
            <w:pPr>
              <w:jc w:val="both"/>
              <w:rPr>
                <w:rFonts w:ascii="Verdana" w:eastAsia="Calibri" w:hAnsi="Verdana" w:cs="Arial"/>
                <w:lang w:eastAsia="es-ES_tradnl"/>
              </w:rPr>
            </w:pPr>
            <w:r w:rsidRPr="00710F57">
              <w:rPr>
                <w:rFonts w:ascii="Verdana" w:hAnsi="Verdana" w:cs="Segoe UI"/>
                <w:shd w:val="clear" w:color="auto" w:fill="FFFFFF"/>
              </w:rPr>
              <w:t>1_2026_03_06_003170</w:t>
            </w:r>
          </w:p>
        </w:tc>
      </w:tr>
    </w:tbl>
    <w:p w14:paraId="6A43CC8C" w14:textId="77777777" w:rsidR="00E32B87" w:rsidRDefault="00E32B87" w:rsidP="00FF4E35">
      <w:pPr>
        <w:spacing w:after="0" w:line="276" w:lineRule="auto"/>
        <w:jc w:val="both"/>
        <w:rPr>
          <w:rFonts w:ascii="Verdana" w:eastAsia="Calibri" w:hAnsi="Verdana" w:cs="Arial"/>
          <w:lang w:eastAsia="es-ES"/>
        </w:rPr>
      </w:pPr>
    </w:p>
    <w:p w14:paraId="2E2D2D0B" w14:textId="028959B9" w:rsidR="00FF4E35" w:rsidRPr="00960F72" w:rsidRDefault="00FF4E35" w:rsidP="00FF4E35">
      <w:pPr>
        <w:spacing w:after="0" w:line="276" w:lineRule="auto"/>
        <w:jc w:val="both"/>
        <w:rPr>
          <w:rFonts w:ascii="Verdana" w:eastAsia="Calibri" w:hAnsi="Verdana" w:cs="Arial"/>
          <w:lang w:eastAsia="es-ES"/>
        </w:rPr>
      </w:pPr>
      <w:r>
        <w:rPr>
          <w:rFonts w:ascii="Verdana" w:eastAsia="Calibri" w:hAnsi="Verdana" w:cs="Arial"/>
          <w:lang w:eastAsia="es-ES"/>
        </w:rPr>
        <w:t>Estimad</w:t>
      </w:r>
      <w:r w:rsidR="007E0255">
        <w:rPr>
          <w:rFonts w:ascii="Verdana" w:eastAsia="Calibri" w:hAnsi="Verdana" w:cs="Arial"/>
          <w:lang w:eastAsia="es-ES"/>
        </w:rPr>
        <w:t>a</w:t>
      </w:r>
      <w:r w:rsidR="007211E4">
        <w:rPr>
          <w:rFonts w:ascii="Verdana" w:eastAsia="Calibri" w:hAnsi="Verdana" w:cs="Arial"/>
          <w:lang w:eastAsia="es-ES"/>
        </w:rPr>
        <w:t xml:space="preserve"> </w:t>
      </w:r>
      <w:r w:rsidR="003C2C84">
        <w:rPr>
          <w:rFonts w:ascii="Verdana" w:eastAsia="Calibri" w:hAnsi="Verdana" w:cs="Arial"/>
          <w:lang w:eastAsia="es-ES"/>
        </w:rPr>
        <w:t>señor</w:t>
      </w:r>
      <w:r w:rsidR="007E0255">
        <w:rPr>
          <w:rFonts w:ascii="Verdana" w:eastAsia="Calibri" w:hAnsi="Verdana" w:cs="Arial"/>
          <w:lang w:eastAsia="es-ES"/>
        </w:rPr>
        <w:t>a</w:t>
      </w:r>
      <w:r w:rsidR="003C2C84">
        <w:rPr>
          <w:rFonts w:ascii="Verdana" w:eastAsia="Calibri" w:hAnsi="Verdana" w:cs="Arial"/>
          <w:lang w:eastAsia="es-ES"/>
        </w:rPr>
        <w:t xml:space="preserve"> </w:t>
      </w:r>
      <w:r w:rsidR="007E0255">
        <w:rPr>
          <w:rFonts w:ascii="Verdana" w:eastAsia="Calibri" w:hAnsi="Verdana" w:cs="Arial"/>
          <w:lang w:eastAsia="es-ES"/>
        </w:rPr>
        <w:t>Clavijo</w:t>
      </w:r>
      <w:r>
        <w:rPr>
          <w:rFonts w:ascii="Verdana" w:eastAsia="Calibri" w:hAnsi="Verdana" w:cs="Arial"/>
          <w:lang w:eastAsia="es-ES"/>
        </w:rPr>
        <w:t>:</w:t>
      </w:r>
    </w:p>
    <w:p w14:paraId="1625D0E5" w14:textId="77777777" w:rsidR="00FF4E35" w:rsidRPr="00960F72" w:rsidRDefault="00FF4E35" w:rsidP="00FF4E35">
      <w:pPr>
        <w:tabs>
          <w:tab w:val="left" w:pos="3768"/>
        </w:tabs>
        <w:spacing w:after="0" w:line="276" w:lineRule="auto"/>
        <w:jc w:val="both"/>
        <w:rPr>
          <w:rFonts w:ascii="Verdana" w:eastAsia="Calibri" w:hAnsi="Verdana" w:cs="Arial"/>
          <w:lang w:eastAsia="es-ES"/>
        </w:rPr>
      </w:pPr>
    </w:p>
    <w:p w14:paraId="43CBA91F" w14:textId="585E0323" w:rsidR="00FF4E35" w:rsidRPr="00960F72" w:rsidRDefault="00FF4E35" w:rsidP="00FF4E35">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la Agencia Nacional de Contratación Pública – Colombia Compra Eficiente–</w:t>
      </w:r>
      <w:r w:rsidR="000F485C" w:rsidRPr="00960F72">
        <w:rPr>
          <w:rFonts w:ascii="Verdana" w:eastAsia="Calibri" w:hAnsi="Verdana" w:cs="Arial"/>
          <w:lang w:eastAsia="es-ES"/>
        </w:rPr>
        <w:t xml:space="preserve"> responde su solicitud de consulta de fecha del </w:t>
      </w:r>
      <w:r w:rsidR="007E0255">
        <w:rPr>
          <w:rFonts w:ascii="Verdana" w:eastAsia="Calibri" w:hAnsi="Verdana" w:cs="Arial"/>
          <w:lang w:eastAsia="es-ES"/>
        </w:rPr>
        <w:t>06</w:t>
      </w:r>
      <w:r w:rsidR="000F485C">
        <w:rPr>
          <w:rFonts w:ascii="Verdana" w:eastAsia="Calibri" w:hAnsi="Verdana" w:cs="Arial"/>
          <w:lang w:eastAsia="es-ES"/>
        </w:rPr>
        <w:t xml:space="preserve"> </w:t>
      </w:r>
      <w:r w:rsidR="000F485C" w:rsidRPr="00960F72">
        <w:rPr>
          <w:rFonts w:ascii="Verdana" w:eastAsia="Calibri" w:hAnsi="Verdana" w:cs="Arial"/>
          <w:lang w:eastAsia="es-ES"/>
        </w:rPr>
        <w:t xml:space="preserve">de </w:t>
      </w:r>
      <w:r w:rsidR="007E0255">
        <w:rPr>
          <w:rFonts w:ascii="Verdana" w:eastAsia="Calibri" w:hAnsi="Verdana" w:cs="Arial"/>
          <w:lang w:eastAsia="es-ES"/>
        </w:rPr>
        <w:t>marzo</w:t>
      </w:r>
      <w:r w:rsidR="000F485C" w:rsidRPr="00960F72">
        <w:rPr>
          <w:rFonts w:ascii="Verdana" w:eastAsia="Calibri" w:hAnsi="Verdana" w:cs="Arial"/>
          <w:lang w:eastAsia="es-ES"/>
        </w:rPr>
        <w:t xml:space="preserve"> de 202</w:t>
      </w:r>
      <w:r w:rsidR="00C56C01">
        <w:rPr>
          <w:rFonts w:ascii="Verdana" w:eastAsia="Calibri" w:hAnsi="Verdana" w:cs="Arial"/>
          <w:lang w:eastAsia="es-ES"/>
        </w:rPr>
        <w:t>6</w:t>
      </w:r>
      <w:r w:rsidR="000F485C" w:rsidRPr="00960F72">
        <w:rPr>
          <w:rFonts w:ascii="Verdana" w:eastAsia="Calibri" w:hAnsi="Verdana" w:cs="Arial"/>
          <w:lang w:eastAsia="es-ES"/>
        </w:rPr>
        <w:t xml:space="preserve">, en la cual manifiesta lo siguiente: </w:t>
      </w:r>
    </w:p>
    <w:p w14:paraId="2D78E36D" w14:textId="77777777" w:rsidR="00E32B87" w:rsidRDefault="00E32B87" w:rsidP="007E0255">
      <w:pPr>
        <w:spacing w:after="0" w:line="276" w:lineRule="auto"/>
        <w:ind w:left="709" w:right="709"/>
        <w:jc w:val="both"/>
        <w:rPr>
          <w:rFonts w:ascii="Verdana" w:eastAsia="Calibri" w:hAnsi="Verdana" w:cs="Arial"/>
          <w:lang w:eastAsia="es-ES"/>
        </w:rPr>
      </w:pPr>
    </w:p>
    <w:p w14:paraId="162414BA" w14:textId="460AF57F" w:rsidR="000F485C" w:rsidRPr="003C2C84" w:rsidRDefault="00FF4E35" w:rsidP="007E0255">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197C13">
        <w:rPr>
          <w:rFonts w:ascii="Verdana" w:eastAsia="Calibri" w:hAnsi="Verdana" w:cs="Arial"/>
          <w:sz w:val="20"/>
          <w:szCs w:val="20"/>
          <w:lang w:eastAsia="es-ES"/>
        </w:rPr>
        <w:t>…</w:t>
      </w:r>
      <w:r w:rsidR="007E0255" w:rsidRPr="000C57FF">
        <w:rPr>
          <w:rFonts w:ascii="Verdana" w:eastAsia="Calibri" w:hAnsi="Verdana" w:cs="Arial"/>
          <w:sz w:val="20"/>
          <w:szCs w:val="20"/>
          <w:lang w:eastAsia="es-ES"/>
        </w:rPr>
        <w:t xml:space="preserve">Hola buenas noches, quisiera comentar mi caso ya que tengo un contrato por prestación de servicios en un hospital ya leí mi contrato y no tengo </w:t>
      </w:r>
      <w:proofErr w:type="gramStart"/>
      <w:r w:rsidR="007E0255" w:rsidRPr="000C57FF">
        <w:rPr>
          <w:rFonts w:ascii="Verdana" w:eastAsia="Calibri" w:hAnsi="Verdana" w:cs="Arial"/>
          <w:sz w:val="20"/>
          <w:szCs w:val="20"/>
          <w:lang w:eastAsia="es-ES"/>
        </w:rPr>
        <w:t>ningún cláusula</w:t>
      </w:r>
      <w:proofErr w:type="gramEnd"/>
      <w:r w:rsidR="007E0255" w:rsidRPr="000C57FF">
        <w:rPr>
          <w:rFonts w:ascii="Verdana" w:eastAsia="Calibri" w:hAnsi="Verdana" w:cs="Arial"/>
          <w:sz w:val="20"/>
          <w:szCs w:val="20"/>
          <w:lang w:eastAsia="es-ES"/>
        </w:rPr>
        <w:t xml:space="preserve"> donde se manifieste que no puedo tener otro trabajo he trabajado en las elecciones en la registraduría desde el 2015 solo por temporada electoral esto quiere decir por solo 10 días en las elecciones. Me presenté nuevamente y salí elegida para trabajar en las elecciones de congreso se este año por mi experiencia ya estoy en la lista de seleccionados. Tengo entendí que por ser un trabajo de solo diez días como </w:t>
      </w:r>
      <w:proofErr w:type="spellStart"/>
      <w:r w:rsidR="007E0255" w:rsidRPr="000C57FF">
        <w:rPr>
          <w:rFonts w:ascii="Verdana" w:eastAsia="Calibri" w:hAnsi="Verdana" w:cs="Arial"/>
          <w:sz w:val="20"/>
          <w:szCs w:val="20"/>
          <w:lang w:eastAsia="es-ES"/>
        </w:rPr>
        <w:t>supernumerio</w:t>
      </w:r>
      <w:proofErr w:type="spellEnd"/>
      <w:r w:rsidR="007E0255" w:rsidRPr="000C57FF">
        <w:rPr>
          <w:rFonts w:ascii="Verdana" w:eastAsia="Calibri" w:hAnsi="Verdana" w:cs="Arial"/>
          <w:sz w:val="20"/>
          <w:szCs w:val="20"/>
          <w:lang w:eastAsia="es-ES"/>
        </w:rPr>
        <w:t xml:space="preserve"> auxiliar administrativo no hay problema pero me están amenazando de la registraduría de mi pueblo que yo debo pasar un oficio de manera voluntaria diciendo que no puedo </w:t>
      </w:r>
      <w:proofErr w:type="spellStart"/>
      <w:r w:rsidR="007E0255" w:rsidRPr="000C57FF">
        <w:rPr>
          <w:rFonts w:ascii="Verdana" w:eastAsia="Calibri" w:hAnsi="Verdana" w:cs="Arial"/>
          <w:sz w:val="20"/>
          <w:szCs w:val="20"/>
          <w:lang w:eastAsia="es-ES"/>
        </w:rPr>
        <w:t>acow</w:t>
      </w:r>
      <w:proofErr w:type="spellEnd"/>
      <w:r w:rsidR="007E0255" w:rsidRPr="000C57FF">
        <w:rPr>
          <w:rFonts w:ascii="Verdana" w:eastAsia="Calibri" w:hAnsi="Verdana" w:cs="Arial"/>
          <w:sz w:val="20"/>
          <w:szCs w:val="20"/>
          <w:lang w:eastAsia="es-ES"/>
        </w:rPr>
        <w:t xml:space="preserve"> el trabajo por </w:t>
      </w:r>
      <w:r w:rsidR="007E0255" w:rsidRPr="000C57FF">
        <w:rPr>
          <w:rFonts w:ascii="Verdana" w:eastAsia="Calibri" w:hAnsi="Verdana" w:cs="Arial"/>
          <w:sz w:val="20"/>
          <w:szCs w:val="20"/>
          <w:lang w:eastAsia="es-ES"/>
        </w:rPr>
        <w:lastRenderedPageBreak/>
        <w:t xml:space="preserve">voluntad propia </w:t>
      </w:r>
      <w:proofErr w:type="spellStart"/>
      <w:r w:rsidR="007E0255" w:rsidRPr="000C57FF">
        <w:rPr>
          <w:rFonts w:ascii="Verdana" w:eastAsia="Calibri" w:hAnsi="Verdana" w:cs="Arial"/>
          <w:sz w:val="20"/>
          <w:szCs w:val="20"/>
          <w:lang w:eastAsia="es-ES"/>
        </w:rPr>
        <w:t>por que</w:t>
      </w:r>
      <w:proofErr w:type="spellEnd"/>
      <w:r w:rsidR="007E0255" w:rsidRPr="000C57FF">
        <w:rPr>
          <w:rFonts w:ascii="Verdana" w:eastAsia="Calibri" w:hAnsi="Verdana" w:cs="Arial"/>
          <w:sz w:val="20"/>
          <w:szCs w:val="20"/>
          <w:lang w:eastAsia="es-ES"/>
        </w:rPr>
        <w:t xml:space="preserve"> no puedo trabajar por tener mi contrato de prestación de servicios pero como les manifestó el de la registraduría es tan solo por 10 días y no tengo problema con mi otro trabajo ya que no se me cruzan los horarios ellos me amenazan con que me pueden inhabilitar. Pero quisiera que ayudaran y me informaran ya que he buscado y dice que por ser los diez no hay ninguna inhabilidad gracias.”</w:t>
      </w:r>
    </w:p>
    <w:p w14:paraId="7C100784" w14:textId="77777777" w:rsidR="00FF4E35" w:rsidRPr="00755387" w:rsidRDefault="00FF4E35" w:rsidP="001F1B6C">
      <w:pPr>
        <w:spacing w:after="0" w:line="276" w:lineRule="auto"/>
        <w:ind w:right="709"/>
        <w:jc w:val="both"/>
        <w:rPr>
          <w:rFonts w:ascii="Verdana" w:eastAsia="Calibri" w:hAnsi="Verdana" w:cs="Arial"/>
          <w:lang w:eastAsia="es-ES"/>
        </w:rPr>
      </w:pPr>
    </w:p>
    <w:p w14:paraId="0DFD3B2F" w14:textId="77777777" w:rsidR="00FF4E35" w:rsidRPr="00960F72" w:rsidRDefault="00FF4E35" w:rsidP="00FF4E35">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6D420AA" w14:textId="77777777" w:rsidR="00FF4E35" w:rsidRPr="00960F72" w:rsidRDefault="00FF4E35" w:rsidP="00FF4E35">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786CC341" w14:textId="77777777" w:rsidR="00B76769" w:rsidRPr="00960F72" w:rsidRDefault="00B76769" w:rsidP="00C56C01">
      <w:pPr>
        <w:spacing w:after="0" w:line="276" w:lineRule="auto"/>
        <w:jc w:val="both"/>
        <w:rPr>
          <w:rFonts w:ascii="Verdana" w:eastAsia="Calibri" w:hAnsi="Verdana" w:cs="Arial"/>
          <w:lang w:eastAsia="es-ES"/>
        </w:rPr>
      </w:pPr>
    </w:p>
    <w:p w14:paraId="3DF14463" w14:textId="77777777" w:rsidR="00FF4E35" w:rsidRPr="00960F72"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BD9647A" w14:textId="77777777" w:rsidR="00FF4E35" w:rsidRPr="00960F72" w:rsidRDefault="00FF4E35" w:rsidP="00FF4E35">
      <w:pPr>
        <w:tabs>
          <w:tab w:val="left" w:pos="426"/>
        </w:tabs>
        <w:spacing w:after="0" w:line="276" w:lineRule="auto"/>
        <w:jc w:val="both"/>
        <w:rPr>
          <w:rFonts w:ascii="Verdana" w:eastAsia="Century Gothic" w:hAnsi="Verdana" w:cs="Century Gothic"/>
        </w:rPr>
      </w:pPr>
    </w:p>
    <w:p w14:paraId="5F67146F" w14:textId="77777777" w:rsidR="0020600F" w:rsidRDefault="00FF4E35" w:rsidP="00936316">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20600F" w:rsidRPr="0020600F">
        <w:rPr>
          <w:rFonts w:ascii="Verdana" w:eastAsia="Century Gothic" w:hAnsi="Verdana" w:cs="Century Gothic"/>
        </w:rPr>
        <w:t>¿Puede una persona que tiene un contrato de prestación de servicios con una entidad pública vincularse simultáneamente como supernumeraria en otra entidad del Estad</w:t>
      </w:r>
      <w:r w:rsidR="0020600F">
        <w:rPr>
          <w:rFonts w:ascii="Verdana" w:eastAsia="Century Gothic" w:hAnsi="Verdana" w:cs="Century Gothic"/>
        </w:rPr>
        <w:t>o?</w:t>
      </w:r>
    </w:p>
    <w:p w14:paraId="0DD14D14" w14:textId="4BDC599F" w:rsidR="00FF4E35" w:rsidRPr="0020600F" w:rsidRDefault="00FF4E35" w:rsidP="00936316">
      <w:pPr>
        <w:spacing w:after="0" w:line="276" w:lineRule="auto"/>
        <w:jc w:val="both"/>
        <w:rPr>
          <w:rFonts w:ascii="Verdana" w:eastAsia="Century Gothic" w:hAnsi="Verdana" w:cs="Century Gothic"/>
        </w:rPr>
      </w:pPr>
      <w:r w:rsidRPr="00960F72">
        <w:rPr>
          <w:rFonts w:ascii="Verdana" w:eastAsia="Century Gothic" w:hAnsi="Verdana" w:cs="Century Gothic"/>
          <w:b/>
          <w:bCs/>
        </w:rPr>
        <w:t>Respuesta:</w:t>
      </w:r>
    </w:p>
    <w:p w14:paraId="01A94701" w14:textId="77777777" w:rsidR="00AB6D32" w:rsidRPr="00027E7B" w:rsidRDefault="00AB6D32" w:rsidP="00AB6D32">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4E35" w:rsidRPr="00960F72" w14:paraId="3B88F257" w14:textId="77777777" w:rsidTr="00054434">
        <w:tc>
          <w:tcPr>
            <w:tcW w:w="8828" w:type="dxa"/>
          </w:tcPr>
          <w:p w14:paraId="558FF418" w14:textId="77777777" w:rsidR="007E0255" w:rsidRPr="000C57FF" w:rsidRDefault="007E0255" w:rsidP="007E0255">
            <w:pPr>
              <w:spacing w:line="276" w:lineRule="auto"/>
              <w:ind w:firstLine="709"/>
              <w:contextualSpacing/>
              <w:jc w:val="both"/>
              <w:rPr>
                <w:rFonts w:ascii="Verdana" w:hAnsi="Verdana" w:cs="Arial"/>
                <w:lang w:eastAsia="es-ES"/>
              </w:rPr>
            </w:pPr>
            <w:r w:rsidRPr="000C57FF">
              <w:rPr>
                <w:rFonts w:ascii="Verdana" w:hAnsi="Verdana" w:cs="Arial"/>
                <w:lang w:eastAsia="es-ES"/>
              </w:rPr>
              <w:lastRenderedPageBreak/>
              <w:t>Para responder el problema jurídico, es importante precisar que la Corte Constitucional mantiene la postura de que los supernumerarios son empleados públicos que, por consiguiente, tienen una relación laboral con el Estado y los mismos derechos salariales y prestacionales que los empleados de la entidad. En ese sentido, desde el momento en que una persona se vincula como supernumeraria adquiere la calidad de empleada pública temporal y su remuneración proviene del tesoro público, independientemente de la duración de dicho vínculo.</w:t>
            </w:r>
          </w:p>
          <w:p w14:paraId="0E941044" w14:textId="77777777" w:rsidR="007E0255" w:rsidRPr="000C57FF" w:rsidRDefault="007E0255" w:rsidP="007E0255">
            <w:pPr>
              <w:spacing w:line="276" w:lineRule="auto"/>
              <w:ind w:firstLine="709"/>
              <w:contextualSpacing/>
              <w:jc w:val="both"/>
              <w:rPr>
                <w:rFonts w:ascii="Verdana" w:hAnsi="Verdana" w:cs="Arial"/>
                <w:lang w:eastAsia="es-ES"/>
              </w:rPr>
            </w:pPr>
          </w:p>
          <w:p w14:paraId="6140C87C" w14:textId="77777777" w:rsidR="007E0255" w:rsidRPr="000C57FF" w:rsidRDefault="007E0255" w:rsidP="007E0255">
            <w:pPr>
              <w:spacing w:line="276" w:lineRule="auto"/>
              <w:ind w:firstLine="709"/>
              <w:contextualSpacing/>
              <w:jc w:val="both"/>
              <w:rPr>
                <w:rFonts w:ascii="Verdana" w:hAnsi="Verdana" w:cs="Arial"/>
                <w:lang w:eastAsia="es-ES"/>
              </w:rPr>
            </w:pPr>
            <w:r w:rsidRPr="000C57FF">
              <w:rPr>
                <w:rFonts w:ascii="Verdana" w:hAnsi="Verdana" w:cs="Arial"/>
                <w:lang w:eastAsia="es-ES"/>
              </w:rPr>
              <w:t>En lo que atañe al caso concreto, es necesario analizar el artículo 128 de la Constitución Política de Colombia de 1991, que establece la prohibición de recibir más de una asignación que provenga del tesoro público, salvo los casos expresamente exceptuados por la ley. De igual forma, el artículo 19 de la Ley 4 de 1992 no contempló dentro de las excepciones a dicha prohibición la posibilidad de que un supernumerario reciba simultáneamente honorarios derivados de un contrato de prestación de servicios con otra entidad pública.</w:t>
            </w:r>
          </w:p>
          <w:p w14:paraId="0D581757" w14:textId="77777777" w:rsidR="007E0255" w:rsidRPr="000C57FF" w:rsidRDefault="007E0255" w:rsidP="007E0255">
            <w:pPr>
              <w:spacing w:line="276" w:lineRule="auto"/>
              <w:ind w:firstLine="709"/>
              <w:contextualSpacing/>
              <w:jc w:val="both"/>
              <w:rPr>
                <w:rFonts w:ascii="Verdana" w:hAnsi="Verdana" w:cs="Arial"/>
                <w:lang w:eastAsia="es-ES"/>
              </w:rPr>
            </w:pPr>
          </w:p>
          <w:p w14:paraId="0784135D" w14:textId="77777777" w:rsidR="007E0255" w:rsidRPr="000C57FF" w:rsidRDefault="007E0255" w:rsidP="007E0255">
            <w:pPr>
              <w:spacing w:line="276" w:lineRule="auto"/>
              <w:ind w:firstLine="709"/>
              <w:contextualSpacing/>
              <w:jc w:val="both"/>
              <w:rPr>
                <w:rFonts w:ascii="Verdana" w:hAnsi="Verdana" w:cs="Arial"/>
                <w:lang w:eastAsia="es-ES"/>
              </w:rPr>
            </w:pPr>
            <w:r w:rsidRPr="000C57FF">
              <w:rPr>
                <w:rFonts w:ascii="Verdana" w:hAnsi="Verdana" w:cs="Arial"/>
                <w:lang w:eastAsia="es-ES"/>
              </w:rPr>
              <w:t>Ahora bien, en relación con el argumento según el cual la brevedad del vínculo como supernumerario, en este caso, diez días, o la compatibilidad horaria entre los dos vínculos excluirían la prohibición, debe señalarse que el artículo 128 constitucional no distingue entre vínculos de larga o corta duración, ni admite excepciones fundadas en razones de horario. Lo determinante es que durante el período en que coexistan los dos vínculos, la persona recibiría simultáneamente honorarios del tesoro público por el contrato de prestación de servicios y una asignación salarial del tesoro público en calidad de supernumeraria, sin que dicha situación se enmarque en ninguna de las excepciones previstas en el artículo 19 de la Ley 4 de 1992.</w:t>
            </w:r>
          </w:p>
          <w:p w14:paraId="70E79772" w14:textId="77777777" w:rsidR="007E0255" w:rsidRPr="000C57FF" w:rsidRDefault="007E0255" w:rsidP="007E0255">
            <w:pPr>
              <w:spacing w:line="276" w:lineRule="auto"/>
              <w:ind w:firstLine="709"/>
              <w:contextualSpacing/>
              <w:jc w:val="both"/>
              <w:rPr>
                <w:rFonts w:ascii="Verdana" w:hAnsi="Verdana" w:cs="Arial"/>
                <w:lang w:eastAsia="es-ES"/>
              </w:rPr>
            </w:pPr>
          </w:p>
          <w:p w14:paraId="7FA9E73F" w14:textId="77777777" w:rsidR="007E0255" w:rsidRPr="000C57FF" w:rsidRDefault="007E0255" w:rsidP="007E0255">
            <w:pPr>
              <w:spacing w:line="276" w:lineRule="auto"/>
              <w:ind w:firstLine="709"/>
              <w:contextualSpacing/>
              <w:jc w:val="both"/>
              <w:rPr>
                <w:rFonts w:ascii="Verdana" w:hAnsi="Verdana" w:cs="Arial"/>
                <w:lang w:eastAsia="es-ES"/>
              </w:rPr>
            </w:pPr>
            <w:r w:rsidRPr="000C57FF">
              <w:rPr>
                <w:rFonts w:ascii="Verdana" w:hAnsi="Verdana" w:cs="Arial"/>
                <w:lang w:eastAsia="es-ES"/>
              </w:rPr>
              <w:t xml:space="preserve">En el mismo sentido, el Departamento Administrativo de la Función Pública ha expresado que los supernumerarios, al desempeñar empleos donde suplen vacancias temporales o se vinculan para desarrollar actividades de carácter netamente transitorio, cuyas obligaciones laborales deben estar definidas previamente en el presupuesto correspondiente, junto con su clasificación y nomenclatura acorde con los empleos de planta permanente, no pueden recibir doble asignación que provenga del tesoro público. En </w:t>
            </w:r>
            <w:r w:rsidRPr="000C57FF">
              <w:rPr>
                <w:rFonts w:ascii="Verdana" w:hAnsi="Verdana" w:cs="Arial"/>
                <w:lang w:eastAsia="es-ES"/>
              </w:rPr>
              <w:lastRenderedPageBreak/>
              <w:t>consecuencia, la remuneración y vinculación como contratista para quien es supernumerario es una situación que no se encuentra contemplada dentro de las excepciones establecidas en el artículo 19 de la Ley 4 de 1992, por lo que quien está vinculado como supernumerario no podrá suscribir un contrato de prestación de servicios con otra entidad pública, pues se vulneraría la prohibición establecida en el artículo 128 constitucional.</w:t>
            </w:r>
          </w:p>
          <w:p w14:paraId="34195F63" w14:textId="77777777" w:rsidR="007E0255" w:rsidRPr="000C57FF" w:rsidRDefault="007E0255" w:rsidP="007E0255">
            <w:pPr>
              <w:spacing w:line="276" w:lineRule="auto"/>
              <w:ind w:firstLine="709"/>
              <w:contextualSpacing/>
              <w:jc w:val="both"/>
              <w:rPr>
                <w:rFonts w:ascii="Verdana" w:hAnsi="Verdana" w:cs="Arial"/>
                <w:lang w:eastAsia="es-ES"/>
              </w:rPr>
            </w:pPr>
          </w:p>
          <w:p w14:paraId="4C6D2A69" w14:textId="77777777" w:rsidR="007E0255" w:rsidRPr="000C57FF" w:rsidRDefault="007E0255" w:rsidP="007E0255">
            <w:pPr>
              <w:spacing w:line="276" w:lineRule="auto"/>
              <w:ind w:firstLine="709"/>
              <w:contextualSpacing/>
              <w:jc w:val="both"/>
              <w:rPr>
                <w:rFonts w:ascii="Verdana" w:hAnsi="Verdana" w:cs="Arial"/>
                <w:lang w:eastAsia="es-ES"/>
              </w:rPr>
            </w:pPr>
            <w:r w:rsidRPr="000C57FF">
              <w:rPr>
                <w:rFonts w:ascii="Verdana" w:hAnsi="Verdana" w:cs="Arial"/>
                <w:lang w:eastAsia="es-ES"/>
              </w:rPr>
              <w:t xml:space="preserve">Igualmente, el hecho de que el contrato de prestación de servicios no contenga una cláusula expresa que prohíba la coexistencia de otros vínculos no desvirtúa la aplicación de la restricción constitucional, pues esta </w:t>
            </w:r>
            <w:proofErr w:type="spellStart"/>
            <w:r w:rsidRPr="000C57FF">
              <w:rPr>
                <w:rFonts w:ascii="Verdana" w:hAnsi="Verdana" w:cs="Arial"/>
                <w:lang w:eastAsia="es-ES"/>
              </w:rPr>
              <w:t>opera</w:t>
            </w:r>
            <w:proofErr w:type="spellEnd"/>
            <w:r w:rsidRPr="000C57FF">
              <w:rPr>
                <w:rFonts w:ascii="Verdana" w:hAnsi="Verdana" w:cs="Arial"/>
                <w:lang w:eastAsia="es-ES"/>
              </w:rPr>
              <w:t xml:space="preserve"> por mandato de la norma superior y no requiere ser reproducida contractualmente para ser exigible.</w:t>
            </w:r>
          </w:p>
          <w:p w14:paraId="1300E8FF" w14:textId="77777777" w:rsidR="007E0255" w:rsidRPr="000C57FF" w:rsidRDefault="007E0255" w:rsidP="007E0255">
            <w:pPr>
              <w:spacing w:line="276" w:lineRule="auto"/>
              <w:ind w:firstLine="709"/>
              <w:contextualSpacing/>
              <w:jc w:val="both"/>
              <w:rPr>
                <w:rFonts w:ascii="Verdana" w:hAnsi="Verdana" w:cs="Arial"/>
                <w:lang w:eastAsia="es-ES"/>
              </w:rPr>
            </w:pPr>
          </w:p>
          <w:p w14:paraId="24F732DD" w14:textId="77777777" w:rsidR="007E0255" w:rsidRPr="000C57FF" w:rsidRDefault="007E0255" w:rsidP="007E0255">
            <w:pPr>
              <w:spacing w:line="276" w:lineRule="auto"/>
              <w:ind w:firstLine="709"/>
              <w:contextualSpacing/>
              <w:jc w:val="both"/>
              <w:rPr>
                <w:rFonts w:ascii="Verdana" w:hAnsi="Verdana" w:cs="Arial"/>
                <w:lang w:eastAsia="es-ES"/>
              </w:rPr>
            </w:pPr>
            <w:r w:rsidRPr="000C57FF">
              <w:rPr>
                <w:rFonts w:ascii="Verdana" w:hAnsi="Verdana" w:cs="Arial"/>
                <w:lang w:eastAsia="es-ES"/>
              </w:rPr>
              <w:t>En conclusión, de acuerdo con la Corte Constitucional y la línea del DAFP, una persona que tiene un contrato de prestación de servicios con una entidad pública no puede vincularse simultáneamente como supernumeraria en otra entidad del Estado, conforme a lo dispuesto en el artículo 128 de la Constitución Nacional y el artículo 19 de la Ley 4 de 1992, independientemente de la duración del vínculo como supernumeraria y de la compatibilidad horaria entre los dos vínculos, dado que ambas asignaciones provienen del tesoro público y no existe excepción legal aplicable al caso concreto.</w:t>
            </w:r>
          </w:p>
          <w:p w14:paraId="3A6712EA" w14:textId="77777777" w:rsidR="007E0255" w:rsidRPr="000C57FF" w:rsidRDefault="007E0255" w:rsidP="007E0255">
            <w:pPr>
              <w:spacing w:line="276" w:lineRule="auto"/>
              <w:ind w:firstLine="709"/>
              <w:contextualSpacing/>
              <w:jc w:val="both"/>
              <w:rPr>
                <w:rFonts w:ascii="Verdana" w:hAnsi="Verdana" w:cs="Arial"/>
                <w:lang w:eastAsia="es-ES"/>
              </w:rPr>
            </w:pPr>
          </w:p>
          <w:p w14:paraId="068F1E45" w14:textId="3625388A" w:rsidR="0017121C" w:rsidRPr="00EB66F0" w:rsidRDefault="007E0255" w:rsidP="007E0255">
            <w:pPr>
              <w:spacing w:line="276" w:lineRule="auto"/>
              <w:ind w:firstLine="709"/>
              <w:contextualSpacing/>
              <w:jc w:val="both"/>
              <w:rPr>
                <w:rFonts w:ascii="Verdana" w:hAnsi="Verdana" w:cs="Arial"/>
                <w:lang w:eastAsia="es-ES"/>
              </w:rPr>
            </w:pPr>
            <w:r w:rsidRPr="000C57FF">
              <w:rPr>
                <w:rFonts w:ascii="Verdana" w:hAnsi="Verdana" w:cs="Arial"/>
                <w:lang w:eastAsia="es-ES"/>
              </w:rPr>
              <w:t>Finalmente, al margen de la explicación precedente, debe advertirse que el análisis requerido para resolver problemas específicos en torno a situaciones de incompatibilidad debe ser realizado por quienes tengan interés en ello. Por lo anterior, previo concepto de sus asesores, la solución de situaciones particulares corresponde a los interesados adoptar la decisión correspondiente y, en caso de conflicto, a las autoridades judiciales, fiscales y disciplinarias.</w:t>
            </w:r>
          </w:p>
        </w:tc>
      </w:tr>
    </w:tbl>
    <w:p w14:paraId="333EF663" w14:textId="77777777" w:rsidR="00FF4E35"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lastRenderedPageBreak/>
        <w:t>Razones de la respuesta:</w:t>
      </w:r>
    </w:p>
    <w:p w14:paraId="0A57C864" w14:textId="77777777" w:rsidR="007211E4" w:rsidRDefault="007211E4" w:rsidP="007211E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4ACE080" w14:textId="77777777" w:rsidR="00D52F90" w:rsidRDefault="00D52F90" w:rsidP="00D52F9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BC0573B" w14:textId="77777777" w:rsidR="007E0255" w:rsidRDefault="007E0255" w:rsidP="00936316">
      <w:pPr>
        <w:spacing w:after="0" w:line="276" w:lineRule="auto"/>
        <w:jc w:val="both"/>
        <w:rPr>
          <w:rFonts w:ascii="Verdana" w:eastAsia="Calibri" w:hAnsi="Verdana" w:cs="Arial"/>
          <w:lang w:val="es-ES"/>
        </w:rPr>
      </w:pPr>
    </w:p>
    <w:p w14:paraId="75251844" w14:textId="77777777"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 xml:space="preserve">El contrato de prestación de servicios es uno de los tipos contractuales consagrados en el Estatuto General de Contratación de la Administración Pública, </w:t>
      </w:r>
      <w:r w:rsidRPr="007E0255">
        <w:rPr>
          <w:rFonts w:ascii="Verdana" w:eastAsia="Calibri" w:hAnsi="Verdana" w:cs="Arial"/>
          <w:lang w:val="es-ES"/>
        </w:rPr>
        <w:lastRenderedPageBreak/>
        <w:t>que pueden celebrar las Entidades Estatales. Se trata de un contrato típico, ya que se encuentra definido en la ley. Concretamente, el artículo 32, numeral 3º, de la Ley 80 de 1993, establece:</w:t>
      </w:r>
    </w:p>
    <w:p w14:paraId="2B20D906" w14:textId="77777777" w:rsidR="007E0255" w:rsidRPr="007E0255" w:rsidRDefault="007E0255" w:rsidP="007E0255">
      <w:pPr>
        <w:spacing w:after="0" w:line="276" w:lineRule="auto"/>
        <w:jc w:val="both"/>
        <w:rPr>
          <w:rFonts w:ascii="Verdana" w:eastAsia="Calibri" w:hAnsi="Verdana" w:cs="Arial"/>
          <w:lang w:val="es-ES"/>
        </w:rPr>
      </w:pPr>
    </w:p>
    <w:p w14:paraId="26327972"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 xml:space="preserve">“Son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w:t>
      </w:r>
      <w:proofErr w:type="gramStart"/>
      <w:r w:rsidRPr="007E0255">
        <w:rPr>
          <w:rFonts w:ascii="Verdana" w:eastAsia="Calibri" w:hAnsi="Verdana" w:cs="Arial"/>
          <w:sz w:val="20"/>
          <w:szCs w:val="20"/>
          <w:lang w:val="es-ES"/>
        </w:rPr>
        <w:t>indispensable ”</w:t>
      </w:r>
      <w:proofErr w:type="gramEnd"/>
    </w:p>
    <w:p w14:paraId="7969E214" w14:textId="77777777" w:rsidR="007E0255" w:rsidRPr="007E0255" w:rsidRDefault="007E0255" w:rsidP="007E0255">
      <w:pPr>
        <w:spacing w:after="0" w:line="240" w:lineRule="auto"/>
        <w:jc w:val="both"/>
        <w:rPr>
          <w:rFonts w:ascii="Verdana" w:eastAsia="Calibri" w:hAnsi="Verdana" w:cs="Arial"/>
          <w:lang w:val="es-ES"/>
        </w:rPr>
      </w:pPr>
    </w:p>
    <w:p w14:paraId="6E130708" w14:textId="77777777"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De otro lado, la celebración de dicho contrato se debe efectuar a través de la modalidad de la contratación directa. Así lo prevé el artículo 2, numeral 4º, literal h), de la Ley 1150 de 2007, que dispone:</w:t>
      </w:r>
    </w:p>
    <w:p w14:paraId="6B01C227" w14:textId="77777777" w:rsidR="007E0255" w:rsidRPr="007E0255" w:rsidRDefault="007E0255" w:rsidP="007E0255">
      <w:pPr>
        <w:spacing w:after="0" w:line="276" w:lineRule="auto"/>
        <w:jc w:val="both"/>
        <w:rPr>
          <w:rFonts w:ascii="Verdana" w:eastAsia="Calibri" w:hAnsi="Verdana" w:cs="Arial"/>
          <w:lang w:val="es-ES"/>
        </w:rPr>
      </w:pPr>
    </w:p>
    <w:p w14:paraId="3D8242EF" w14:textId="77777777" w:rsidR="007E0255" w:rsidRPr="007E0255" w:rsidRDefault="007E0255" w:rsidP="007E0255">
      <w:pPr>
        <w:spacing w:after="0" w:line="276" w:lineRule="auto"/>
        <w:ind w:left="851" w:right="616"/>
        <w:jc w:val="both"/>
        <w:rPr>
          <w:rFonts w:ascii="Verdana" w:eastAsia="Calibri" w:hAnsi="Verdana" w:cs="Arial"/>
          <w:sz w:val="20"/>
          <w:szCs w:val="20"/>
          <w:lang w:val="es-ES"/>
        </w:rPr>
      </w:pPr>
      <w:r w:rsidRPr="007E0255">
        <w:rPr>
          <w:rFonts w:ascii="Verdana" w:eastAsia="Calibri" w:hAnsi="Verdana" w:cs="Arial"/>
          <w:sz w:val="20"/>
          <w:szCs w:val="20"/>
          <w:lang w:val="es-ES"/>
        </w:rPr>
        <w:t xml:space="preserve">“…Contratación directa. La modalidad de selección de contratación </w:t>
      </w:r>
      <w:proofErr w:type="gramStart"/>
      <w:r w:rsidRPr="007E0255">
        <w:rPr>
          <w:rFonts w:ascii="Verdana" w:eastAsia="Calibri" w:hAnsi="Verdana" w:cs="Arial"/>
          <w:sz w:val="20"/>
          <w:szCs w:val="20"/>
          <w:lang w:val="es-ES"/>
        </w:rPr>
        <w:t>directa,</w:t>
      </w:r>
      <w:proofErr w:type="gramEnd"/>
      <w:r w:rsidRPr="007E0255">
        <w:rPr>
          <w:rFonts w:ascii="Verdana" w:eastAsia="Calibri" w:hAnsi="Verdana" w:cs="Arial"/>
          <w:sz w:val="20"/>
          <w:szCs w:val="20"/>
          <w:lang w:val="es-ES"/>
        </w:rPr>
        <w:t xml:space="preserve"> solamente procederá en los siguientes casos: […]”</w:t>
      </w:r>
    </w:p>
    <w:p w14:paraId="494EB2E6" w14:textId="77777777" w:rsidR="007E0255" w:rsidRPr="007E0255" w:rsidRDefault="007E0255" w:rsidP="007E0255">
      <w:pPr>
        <w:spacing w:after="0" w:line="276" w:lineRule="auto"/>
        <w:ind w:left="851" w:right="616"/>
        <w:jc w:val="both"/>
        <w:rPr>
          <w:rFonts w:ascii="Verdana" w:eastAsia="Calibri" w:hAnsi="Verdana" w:cs="Arial"/>
          <w:sz w:val="20"/>
          <w:szCs w:val="20"/>
          <w:lang w:val="es-ES"/>
        </w:rPr>
      </w:pPr>
    </w:p>
    <w:p w14:paraId="6B3206DB" w14:textId="77777777" w:rsidR="007E0255" w:rsidRPr="007E0255" w:rsidRDefault="007E0255" w:rsidP="007E0255">
      <w:pPr>
        <w:spacing w:after="0" w:line="276" w:lineRule="auto"/>
        <w:ind w:left="851" w:right="616"/>
        <w:jc w:val="both"/>
        <w:rPr>
          <w:rFonts w:ascii="Verdana" w:eastAsia="Calibri" w:hAnsi="Verdana" w:cs="Arial"/>
          <w:sz w:val="20"/>
          <w:szCs w:val="20"/>
          <w:lang w:val="es-ES"/>
        </w:rPr>
      </w:pPr>
      <w:r w:rsidRPr="007E0255">
        <w:rPr>
          <w:rFonts w:ascii="Verdana" w:eastAsia="Calibri" w:hAnsi="Verdana" w:cs="Arial"/>
          <w:sz w:val="20"/>
          <w:szCs w:val="20"/>
          <w:lang w:val="es-ES"/>
        </w:rPr>
        <w:t>“[…] h) Para la prestación de servicios profesionales y de apoyo a la gestión, o para la ejecución de trabajos artísticos que sólo puedan encomendarse a determinadas personas naturales; […]”.</w:t>
      </w:r>
    </w:p>
    <w:p w14:paraId="793DEF93" w14:textId="77777777" w:rsidR="007E0255" w:rsidRPr="007E0255" w:rsidRDefault="007E0255" w:rsidP="007E0255">
      <w:pPr>
        <w:spacing w:after="0" w:line="276" w:lineRule="auto"/>
        <w:jc w:val="both"/>
        <w:rPr>
          <w:rFonts w:ascii="Verdana" w:eastAsia="Calibri" w:hAnsi="Verdana" w:cs="Arial"/>
          <w:lang w:val="es-ES"/>
        </w:rPr>
      </w:pPr>
    </w:p>
    <w:p w14:paraId="581CC985" w14:textId="77777777"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En lo relacionado con los supernumerarios el artículo 83 del Decreto 1042 de 1978 lo regula de la siguiente forma:</w:t>
      </w:r>
    </w:p>
    <w:p w14:paraId="636BDB8A" w14:textId="77777777" w:rsidR="007E0255" w:rsidRPr="007E0255" w:rsidRDefault="007E0255" w:rsidP="007E0255">
      <w:pPr>
        <w:spacing w:after="0" w:line="276" w:lineRule="auto"/>
        <w:jc w:val="both"/>
        <w:rPr>
          <w:rFonts w:ascii="Verdana" w:eastAsia="Calibri" w:hAnsi="Verdana" w:cs="Arial"/>
          <w:lang w:val="es-ES"/>
        </w:rPr>
      </w:pPr>
    </w:p>
    <w:p w14:paraId="3BD23060"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De los supernumerarios. Para suplir las vacancias temporales de los empleados públicos en caso de licencias o vacaciones, podrá vincularse personal supernumerario.</w:t>
      </w:r>
    </w:p>
    <w:p w14:paraId="0996944B"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También podrán vincularse supernumerarios para desarrollar actividades de carácter netamente transitorio.</w:t>
      </w:r>
    </w:p>
    <w:p w14:paraId="70C3A44F"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(Inciso segundo derogado tácitamente por el artículo 21 de la Ley 909 de 2004 - Ver Sentencia C- 422 de 2012)</w:t>
      </w:r>
    </w:p>
    <w:p w14:paraId="1C836B34"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La remuneración de los supernumerarios se fijará de acuerdo con las escalas de remuneración establecidas en el presente Decreto, según las funciones que deban desarrollarse.</w:t>
      </w:r>
    </w:p>
    <w:p w14:paraId="78B47125"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Sin embargo, las entidades deberán suministrar al personal supernumerario atención médica en caso de enfermedad o accidente de trabajo.</w:t>
      </w:r>
    </w:p>
    <w:p w14:paraId="3D658EAE"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lastRenderedPageBreak/>
        <w:t>La vinculación de supernumerarios se hará mediante resolución administrativa, en la cual deberá constar expresamente el término durante el cual se prestarán los servicios y la asignación mensual que vaya a pagarse.</w:t>
      </w:r>
    </w:p>
    <w:p w14:paraId="7C1F74F6"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p>
    <w:p w14:paraId="5DD6F3B5" w14:textId="77777777"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Sobre la norma anterior, la Corte Constitucional manifestó lo siguiente:</w:t>
      </w:r>
    </w:p>
    <w:p w14:paraId="1A5047CA" w14:textId="77777777" w:rsidR="007E0255" w:rsidRPr="007E0255" w:rsidRDefault="007E0255" w:rsidP="007E0255">
      <w:pPr>
        <w:spacing w:after="0" w:line="276" w:lineRule="auto"/>
        <w:jc w:val="both"/>
        <w:rPr>
          <w:rFonts w:ascii="Verdana" w:eastAsia="Calibri" w:hAnsi="Verdana" w:cs="Arial"/>
          <w:lang w:val="es-ES"/>
        </w:rPr>
      </w:pPr>
    </w:p>
    <w:p w14:paraId="261B5209" w14:textId="483C1674" w:rsidR="007E0255" w:rsidRPr="0020600F" w:rsidRDefault="007E0255" w:rsidP="000F7D6E">
      <w:pPr>
        <w:spacing w:after="0" w:line="240" w:lineRule="auto"/>
        <w:ind w:left="709" w:right="616"/>
        <w:jc w:val="both"/>
        <w:rPr>
          <w:rFonts w:ascii="Verdana" w:eastAsia="Calibri" w:hAnsi="Verdana" w:cs="Arial"/>
          <w:sz w:val="20"/>
          <w:szCs w:val="20"/>
          <w:lang w:val="es-ES"/>
        </w:rPr>
      </w:pPr>
      <w:r w:rsidRPr="0020600F">
        <w:rPr>
          <w:rFonts w:ascii="Verdana" w:eastAsia="Calibri" w:hAnsi="Verdana" w:cs="Arial"/>
          <w:sz w:val="20"/>
          <w:szCs w:val="20"/>
          <w:lang w:val="es-ES"/>
        </w:rPr>
        <w:t xml:space="preserve">Resulta claro que la vinculación de empleados supernumerarios para llevar a cabo actividades meramente </w:t>
      </w:r>
      <w:proofErr w:type="gramStart"/>
      <w:r w:rsidRPr="0020600F">
        <w:rPr>
          <w:rFonts w:ascii="Verdana" w:eastAsia="Calibri" w:hAnsi="Verdana" w:cs="Arial"/>
          <w:sz w:val="20"/>
          <w:szCs w:val="20"/>
          <w:lang w:val="es-ES"/>
        </w:rPr>
        <w:t>temporales,</w:t>
      </w:r>
      <w:proofErr w:type="gramEnd"/>
      <w:r w:rsidRPr="0020600F">
        <w:rPr>
          <w:rFonts w:ascii="Verdana" w:eastAsia="Calibri" w:hAnsi="Verdana" w:cs="Arial"/>
          <w:sz w:val="20"/>
          <w:szCs w:val="20"/>
          <w:lang w:val="es-ES"/>
        </w:rPr>
        <w:t xml:space="preserve"> constituye un modo excepcional de vinculación laboral con la Administración Pública. Difiere del contrato de prestación de servicios profesionales por varios conceptos, especialmente porque en este último, aunque puede haber cierto grado de sujeción, no se involucra el elemento de subordinación de tipo laboral que se halla presente en el primero, y porque la vinculación de personal supernumerario se lleva a cabo mediante resolución, en la cual deberá expresarse el término durante el cual se prestarán los servicios y el salario que se devengará, que se fijará teniendo en cuenta las escalas de remuneración establecidas en la, ley. Se trata pues de una verdadera relación laboral regida por normas de derecho administrativo, que en esencia es temporal”</w:t>
      </w:r>
      <w:r w:rsidRPr="0020600F">
        <w:rPr>
          <w:rStyle w:val="Refdenotaalpie"/>
          <w:rFonts w:ascii="Verdana" w:eastAsia="Calibri" w:hAnsi="Verdana" w:cs="Arial"/>
          <w:sz w:val="20"/>
          <w:szCs w:val="20"/>
          <w:lang w:val="es-ES"/>
        </w:rPr>
        <w:footnoteReference w:id="2"/>
      </w:r>
      <w:r w:rsidRPr="0020600F">
        <w:rPr>
          <w:rFonts w:ascii="Verdana" w:eastAsia="Calibri" w:hAnsi="Verdana" w:cs="Arial"/>
          <w:sz w:val="20"/>
          <w:szCs w:val="20"/>
          <w:lang w:val="es-ES"/>
        </w:rPr>
        <w:t xml:space="preserve"> (Negrilla fuera del texto original)</w:t>
      </w:r>
      <w:r w:rsidR="000F7D6E" w:rsidRPr="0020600F">
        <w:rPr>
          <w:rFonts w:ascii="Verdana" w:eastAsia="Calibri" w:hAnsi="Verdana" w:cs="Arial"/>
          <w:sz w:val="20"/>
          <w:szCs w:val="20"/>
          <w:lang w:val="es-ES"/>
        </w:rPr>
        <w:t xml:space="preserve"> </w:t>
      </w:r>
      <w:r w:rsidRPr="0020600F">
        <w:rPr>
          <w:rFonts w:ascii="Verdana" w:eastAsia="Calibri" w:hAnsi="Verdana" w:cs="Arial"/>
          <w:sz w:val="20"/>
          <w:szCs w:val="20"/>
          <w:lang w:val="es-ES"/>
        </w:rPr>
        <w:t>De lo anterior se puede colegir que la Corte Constitucional mantiene la postura que los supernumerarios son empleados públicos que por consiguiente tienen una relación laboral y tienen los mismos derechos salariales y prestaciones que los empleados de la entidad.</w:t>
      </w:r>
    </w:p>
    <w:p w14:paraId="0126F638" w14:textId="77777777" w:rsidR="007E0255" w:rsidRPr="0020600F" w:rsidRDefault="007E0255" w:rsidP="007E0255">
      <w:pPr>
        <w:spacing w:after="0" w:line="276" w:lineRule="auto"/>
        <w:jc w:val="both"/>
        <w:rPr>
          <w:rFonts w:ascii="Verdana" w:eastAsia="Calibri" w:hAnsi="Verdana" w:cs="Arial"/>
          <w:sz w:val="20"/>
          <w:szCs w:val="20"/>
          <w:lang w:val="es-ES"/>
        </w:rPr>
      </w:pPr>
    </w:p>
    <w:p w14:paraId="4EC078BE" w14:textId="7001DC5A"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 xml:space="preserve">En lo que atañe al caso concreto sobre si los supernumerarios pueden celebrar de forma </w:t>
      </w:r>
      <w:r w:rsidR="000F7D6E" w:rsidRPr="007E0255">
        <w:rPr>
          <w:rFonts w:ascii="Verdana" w:eastAsia="Calibri" w:hAnsi="Verdana" w:cs="Arial"/>
          <w:lang w:val="es-ES"/>
        </w:rPr>
        <w:t>simultánea</w:t>
      </w:r>
      <w:r w:rsidRPr="007E0255">
        <w:rPr>
          <w:rFonts w:ascii="Verdana" w:eastAsia="Calibri" w:hAnsi="Verdana" w:cs="Arial"/>
          <w:lang w:val="es-ES"/>
        </w:rPr>
        <w:t xml:space="preserve"> a esas funciones un contrato de prestación de servicios, es necesario analizar la Constitución Política de Colombia de 1991, en el artículo</w:t>
      </w:r>
    </w:p>
    <w:p w14:paraId="48E4E5EB" w14:textId="77777777"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128, que incluye la prohibición de recibir más de una asignación que provenga del tesoro público. Al respecto señala la Carta:</w:t>
      </w:r>
    </w:p>
    <w:p w14:paraId="105545F6" w14:textId="77777777" w:rsidR="007E0255" w:rsidRPr="007E0255" w:rsidRDefault="007E0255" w:rsidP="007E0255">
      <w:pPr>
        <w:spacing w:after="0" w:line="276" w:lineRule="auto"/>
        <w:jc w:val="both"/>
        <w:rPr>
          <w:rFonts w:ascii="Verdana" w:eastAsia="Calibri" w:hAnsi="Verdana" w:cs="Arial"/>
          <w:lang w:val="es-ES"/>
        </w:rPr>
      </w:pPr>
    </w:p>
    <w:p w14:paraId="32699CD3" w14:textId="77777777"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“Artículo 128. Nadie podrá desempeñar simultáneamente más de un empleo público ni recibir más de una asignación que provenga del tesoro público, o de empresas o de instituciones en las que tenga parte mayoritaria el Estado, salvo los casos expresamente determinados por la ley. Entiéndese por tesoro público el de la Nación, el de las entidades territoriales y el de las descentralizadas”.</w:t>
      </w:r>
    </w:p>
    <w:p w14:paraId="18B215CF" w14:textId="77777777" w:rsidR="007E0255" w:rsidRPr="007E0255" w:rsidRDefault="007E0255" w:rsidP="007E0255">
      <w:pPr>
        <w:spacing w:after="0" w:line="276" w:lineRule="auto"/>
        <w:jc w:val="both"/>
        <w:rPr>
          <w:rFonts w:ascii="Verdana" w:eastAsia="Calibri" w:hAnsi="Verdana" w:cs="Arial"/>
          <w:lang w:val="es-ES"/>
        </w:rPr>
      </w:pPr>
    </w:p>
    <w:p w14:paraId="02FB60CC" w14:textId="77777777"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lastRenderedPageBreak/>
        <w:t>En este contexto, la Corte Constitucional manteniendo una misma línea interpretativa en sus sentencias, ahondó sobre el concepto de asignación del tesoro público y establece el alcance del artículo 128 de la C.N. Al respecto expresó:</w:t>
      </w:r>
    </w:p>
    <w:p w14:paraId="00BD273D" w14:textId="77777777" w:rsidR="007E0255" w:rsidRPr="007E0255" w:rsidRDefault="007E0255" w:rsidP="007E0255">
      <w:pPr>
        <w:spacing w:after="0" w:line="276" w:lineRule="auto"/>
        <w:jc w:val="both"/>
        <w:rPr>
          <w:rFonts w:ascii="Verdana" w:eastAsia="Calibri" w:hAnsi="Verdana" w:cs="Arial"/>
          <w:lang w:val="es-ES"/>
        </w:rPr>
      </w:pPr>
    </w:p>
    <w:p w14:paraId="020DFE3E" w14:textId="4BB22590" w:rsidR="007E0255" w:rsidRDefault="007E0255" w:rsidP="000F7D6E">
      <w:pPr>
        <w:spacing w:after="0" w:line="240" w:lineRule="auto"/>
        <w:ind w:left="851" w:right="616"/>
        <w:jc w:val="both"/>
        <w:rPr>
          <w:rFonts w:ascii="Verdana" w:eastAsia="Calibri" w:hAnsi="Verdana" w:cs="Arial"/>
          <w:sz w:val="20"/>
          <w:szCs w:val="20"/>
          <w:lang w:val="es-ES"/>
        </w:rPr>
      </w:pPr>
      <w:r w:rsidRPr="007E0255">
        <w:rPr>
          <w:rFonts w:ascii="Verdana" w:eastAsia="Calibri" w:hAnsi="Verdana" w:cs="Arial"/>
          <w:sz w:val="20"/>
          <w:szCs w:val="20"/>
          <w:lang w:val="es-ES"/>
        </w:rPr>
        <w:t xml:space="preserve">Si bien es cierto que en el artículo 128 C.P. se consagra una incompatibilidad, no lo es menos que ésta se encuentra en íntima relación de conexidad con la remuneración de los servidores estatales; basta ver que en ella se </w:t>
      </w:r>
      <w:r w:rsidR="004112F0" w:rsidRPr="007E0255">
        <w:rPr>
          <w:rFonts w:ascii="Verdana" w:eastAsia="Calibri" w:hAnsi="Verdana" w:cs="Arial"/>
          <w:sz w:val="20"/>
          <w:szCs w:val="20"/>
          <w:lang w:val="es-ES"/>
        </w:rPr>
        <w:t>prohíbe</w:t>
      </w:r>
      <w:r w:rsidRPr="007E0255">
        <w:rPr>
          <w:rFonts w:ascii="Verdana" w:eastAsia="Calibri" w:hAnsi="Verdana" w:cs="Arial"/>
          <w:sz w:val="20"/>
          <w:szCs w:val="20"/>
          <w:lang w:val="es-ES"/>
        </w:rPr>
        <w:t xml:space="preserve"> la concurrencia de dos o </w:t>
      </w:r>
      <w:proofErr w:type="spellStart"/>
      <w:r w:rsidRPr="007E0255">
        <w:rPr>
          <w:rFonts w:ascii="Verdana" w:eastAsia="Calibri" w:hAnsi="Verdana" w:cs="Arial"/>
          <w:sz w:val="20"/>
          <w:szCs w:val="20"/>
          <w:lang w:val="es-ES"/>
        </w:rPr>
        <w:t>mas</w:t>
      </w:r>
      <w:proofErr w:type="spellEnd"/>
      <w:r w:rsidRPr="007E0255">
        <w:rPr>
          <w:rFonts w:ascii="Verdana" w:eastAsia="Calibri" w:hAnsi="Verdana" w:cs="Arial"/>
          <w:sz w:val="20"/>
          <w:szCs w:val="20"/>
          <w:lang w:val="es-ES"/>
        </w:rPr>
        <w:t xml:space="preserve"> cargos públicos en una misma persona, tanto como recibir </w:t>
      </w:r>
      <w:proofErr w:type="spellStart"/>
      <w:r w:rsidRPr="007E0255">
        <w:rPr>
          <w:rFonts w:ascii="Verdana" w:eastAsia="Calibri" w:hAnsi="Verdana" w:cs="Arial"/>
          <w:sz w:val="20"/>
          <w:szCs w:val="20"/>
          <w:lang w:val="es-ES"/>
        </w:rPr>
        <w:t>mas</w:t>
      </w:r>
      <w:proofErr w:type="spellEnd"/>
      <w:r w:rsidRPr="007E0255">
        <w:rPr>
          <w:rFonts w:ascii="Verdana" w:eastAsia="Calibri" w:hAnsi="Verdana" w:cs="Arial"/>
          <w:sz w:val="20"/>
          <w:szCs w:val="20"/>
          <w:lang w:val="es-ES"/>
        </w:rPr>
        <w:t xml:space="preserve"> de una asignación que provenga del erario. El término "asignación" comprende toda clase de remuneración que emane del tesoro público, llámese sueldo, honorario, mesada pensional, etc. Siendo así, bien podía el legislador ordinario establecer dicha incompatibilidad dentro de la citada Ley 4a. de 1992, sin contrariar mandato constitucional alguno. Aún en el remoto caso de que se hubiere </w:t>
      </w:r>
      <w:r w:rsidR="004112F0" w:rsidRPr="007E0255">
        <w:rPr>
          <w:rFonts w:ascii="Verdana" w:eastAsia="Calibri" w:hAnsi="Verdana" w:cs="Arial"/>
          <w:sz w:val="20"/>
          <w:szCs w:val="20"/>
          <w:lang w:val="es-ES"/>
        </w:rPr>
        <w:t>concluido</w:t>
      </w:r>
      <w:r w:rsidRPr="007E0255">
        <w:rPr>
          <w:rFonts w:ascii="Verdana" w:eastAsia="Calibri" w:hAnsi="Verdana" w:cs="Arial"/>
          <w:sz w:val="20"/>
          <w:szCs w:val="20"/>
          <w:lang w:val="es-ES"/>
        </w:rPr>
        <w:t xml:space="preserve"> que el régimen de inhabilidades e incompatibilidades para los funcionarios públicos debía ser regulado por medio de ley ordinaria, el artículo 19, objeto de acusación, tampoco sería inconstitucional, por cuanto el legislador estaba perfectamente facultado para hacerlo.</w:t>
      </w:r>
      <w:r w:rsidR="000F7D6E">
        <w:rPr>
          <w:rStyle w:val="Refdenotaalpie"/>
          <w:rFonts w:ascii="Verdana" w:eastAsia="Calibri" w:hAnsi="Verdana" w:cs="Arial"/>
          <w:sz w:val="20"/>
          <w:szCs w:val="20"/>
          <w:lang w:val="es-ES"/>
        </w:rPr>
        <w:footnoteReference w:id="3"/>
      </w:r>
    </w:p>
    <w:p w14:paraId="7C8F11BC" w14:textId="77777777" w:rsidR="000F7D6E" w:rsidRPr="000F7D6E" w:rsidRDefault="000F7D6E" w:rsidP="000F7D6E">
      <w:pPr>
        <w:spacing w:after="0" w:line="240" w:lineRule="auto"/>
        <w:ind w:left="851" w:right="616"/>
        <w:jc w:val="both"/>
        <w:rPr>
          <w:rFonts w:ascii="Verdana" w:eastAsia="Calibri" w:hAnsi="Verdana" w:cs="Arial"/>
          <w:sz w:val="20"/>
          <w:szCs w:val="20"/>
          <w:lang w:val="es-ES"/>
        </w:rPr>
      </w:pPr>
    </w:p>
    <w:p w14:paraId="4CA315E4" w14:textId="3D32B575"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 xml:space="preserve">De esta manera la Corte Constitucional nuevamente insiste en que los supernumerarios ostentan un empleo público, ejecutan una relación laboral y devengan un salario que constituye una asignación del tesoro público, encontrándose de esta forma inmersos en la prohibición constitucional del </w:t>
      </w:r>
      <w:r w:rsidR="000F7D6E" w:rsidRPr="007E0255">
        <w:rPr>
          <w:rFonts w:ascii="Verdana" w:eastAsia="Calibri" w:hAnsi="Verdana" w:cs="Arial"/>
          <w:lang w:val="es-ES"/>
        </w:rPr>
        <w:t>artículo</w:t>
      </w:r>
      <w:r w:rsidRPr="007E0255">
        <w:rPr>
          <w:rFonts w:ascii="Verdana" w:eastAsia="Calibri" w:hAnsi="Verdana" w:cs="Arial"/>
          <w:lang w:val="es-ES"/>
        </w:rPr>
        <w:t xml:space="preserve"> 128 de la </w:t>
      </w:r>
      <w:r w:rsidR="004112F0" w:rsidRPr="007E0255">
        <w:rPr>
          <w:rFonts w:ascii="Verdana" w:eastAsia="Calibri" w:hAnsi="Verdana" w:cs="Arial"/>
          <w:lang w:val="es-ES"/>
        </w:rPr>
        <w:t>Constitucional. De</w:t>
      </w:r>
      <w:r w:rsidRPr="007E0255">
        <w:rPr>
          <w:rFonts w:ascii="Verdana" w:eastAsia="Calibri" w:hAnsi="Verdana" w:cs="Arial"/>
          <w:lang w:val="es-ES"/>
        </w:rPr>
        <w:t xml:space="preserve"> acuerdo con lo anterior se hace necesario observar las excepciones del </w:t>
      </w:r>
      <w:r w:rsidR="000F7D6E" w:rsidRPr="007E0255">
        <w:rPr>
          <w:rFonts w:ascii="Verdana" w:eastAsia="Calibri" w:hAnsi="Verdana" w:cs="Arial"/>
          <w:lang w:val="es-ES"/>
        </w:rPr>
        <w:t>artículo</w:t>
      </w:r>
      <w:r w:rsidRPr="007E0255">
        <w:rPr>
          <w:rFonts w:ascii="Verdana" w:eastAsia="Calibri" w:hAnsi="Verdana" w:cs="Arial"/>
          <w:lang w:val="es-ES"/>
        </w:rPr>
        <w:t xml:space="preserve"> 128 de la Carta Política consagradas en el </w:t>
      </w:r>
      <w:r w:rsidR="004112F0" w:rsidRPr="007E0255">
        <w:rPr>
          <w:rFonts w:ascii="Verdana" w:eastAsia="Calibri" w:hAnsi="Verdana" w:cs="Arial"/>
          <w:lang w:val="es-ES"/>
        </w:rPr>
        <w:t>artículo</w:t>
      </w:r>
      <w:r w:rsidRPr="007E0255">
        <w:rPr>
          <w:rFonts w:ascii="Verdana" w:eastAsia="Calibri" w:hAnsi="Verdana" w:cs="Arial"/>
          <w:lang w:val="es-ES"/>
        </w:rPr>
        <w:t xml:space="preserve"> 19 de la Ley 4 de 1992, el cual ordena lo siguiente:</w:t>
      </w:r>
    </w:p>
    <w:p w14:paraId="278BBA6D" w14:textId="77777777" w:rsidR="007E0255" w:rsidRPr="007E0255" w:rsidRDefault="007E0255" w:rsidP="007E0255">
      <w:pPr>
        <w:spacing w:after="0" w:line="276" w:lineRule="auto"/>
        <w:jc w:val="both"/>
        <w:rPr>
          <w:rFonts w:ascii="Verdana" w:eastAsia="Calibri" w:hAnsi="Verdana" w:cs="Arial"/>
          <w:lang w:val="es-ES"/>
        </w:rPr>
      </w:pPr>
    </w:p>
    <w:p w14:paraId="367B9EF8"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Nadie podrá desempeñar simultáneamente más de un empleo público, ni recibir más de una asignación que provenga del Tesoro Público, o de empresas o de instituciones en las que tenga parte mayoritaria el Estado. Exceptúense las siguientes asignaciones:</w:t>
      </w:r>
    </w:p>
    <w:p w14:paraId="3F8E72D9"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a)</w:t>
      </w:r>
      <w:r w:rsidRPr="007E0255">
        <w:rPr>
          <w:rFonts w:ascii="Verdana" w:eastAsia="Calibri" w:hAnsi="Verdana" w:cs="Arial"/>
          <w:sz w:val="20"/>
          <w:szCs w:val="20"/>
          <w:lang w:val="es-ES"/>
        </w:rPr>
        <w:tab/>
        <w:t>Las que reciban los profesores universitarios que se desempeñen como asesores de la Rama Legislativa;</w:t>
      </w:r>
    </w:p>
    <w:p w14:paraId="56D8D81B"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b)</w:t>
      </w:r>
      <w:r w:rsidRPr="007E0255">
        <w:rPr>
          <w:rFonts w:ascii="Verdana" w:eastAsia="Calibri" w:hAnsi="Verdana" w:cs="Arial"/>
          <w:sz w:val="20"/>
          <w:szCs w:val="20"/>
          <w:lang w:val="es-ES"/>
        </w:rPr>
        <w:tab/>
        <w:t>Las percibidas por el personal con asignación de retiro o pensión militar o policial de la Fuerza Pública;</w:t>
      </w:r>
    </w:p>
    <w:p w14:paraId="57E76584"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c)</w:t>
      </w:r>
      <w:r w:rsidRPr="007E0255">
        <w:rPr>
          <w:rFonts w:ascii="Verdana" w:eastAsia="Calibri" w:hAnsi="Verdana" w:cs="Arial"/>
          <w:sz w:val="20"/>
          <w:szCs w:val="20"/>
          <w:lang w:val="es-ES"/>
        </w:rPr>
        <w:tab/>
        <w:t>Las percibidas por concepto de sustitución pensional;</w:t>
      </w:r>
    </w:p>
    <w:p w14:paraId="632E4D65"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lastRenderedPageBreak/>
        <w:t>d)</w:t>
      </w:r>
      <w:r w:rsidRPr="007E0255">
        <w:rPr>
          <w:rFonts w:ascii="Verdana" w:eastAsia="Calibri" w:hAnsi="Verdana" w:cs="Arial"/>
          <w:sz w:val="20"/>
          <w:szCs w:val="20"/>
          <w:lang w:val="es-ES"/>
        </w:rPr>
        <w:tab/>
        <w:t>Los honorarios percibidos por concepto de hora-cátedra;</w:t>
      </w:r>
    </w:p>
    <w:p w14:paraId="025C10BC"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e)</w:t>
      </w:r>
      <w:r w:rsidRPr="007E0255">
        <w:rPr>
          <w:rFonts w:ascii="Verdana" w:eastAsia="Calibri" w:hAnsi="Verdana" w:cs="Arial"/>
          <w:sz w:val="20"/>
          <w:szCs w:val="20"/>
          <w:lang w:val="es-ES"/>
        </w:rPr>
        <w:tab/>
        <w:t>Los honorarios percibidos por concepto de servicios profesionales de salud;</w:t>
      </w:r>
    </w:p>
    <w:p w14:paraId="20FAA523"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f)</w:t>
      </w:r>
      <w:r w:rsidRPr="007E0255">
        <w:rPr>
          <w:rFonts w:ascii="Verdana" w:eastAsia="Calibri" w:hAnsi="Verdana" w:cs="Arial"/>
          <w:sz w:val="20"/>
          <w:szCs w:val="20"/>
          <w:lang w:val="es-ES"/>
        </w:rPr>
        <w:tab/>
        <w:t xml:space="preserve">Los honorarios percibidos por los miembros de las Juntas Directivas, </w:t>
      </w:r>
      <w:proofErr w:type="gramStart"/>
      <w:r w:rsidRPr="007E0255">
        <w:rPr>
          <w:rFonts w:ascii="Verdana" w:eastAsia="Calibri" w:hAnsi="Verdana" w:cs="Arial"/>
          <w:sz w:val="20"/>
          <w:szCs w:val="20"/>
          <w:lang w:val="es-ES"/>
        </w:rPr>
        <w:t>en razón de</w:t>
      </w:r>
      <w:proofErr w:type="gramEnd"/>
      <w:r w:rsidRPr="007E0255">
        <w:rPr>
          <w:rFonts w:ascii="Verdana" w:eastAsia="Calibri" w:hAnsi="Verdana" w:cs="Arial"/>
          <w:sz w:val="20"/>
          <w:szCs w:val="20"/>
          <w:lang w:val="es-ES"/>
        </w:rPr>
        <w:t xml:space="preserve"> su asistencia a las mismas, siempre que no se trate de más de dos juntas;</w:t>
      </w:r>
    </w:p>
    <w:p w14:paraId="4A9DE2F8"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g)</w:t>
      </w:r>
      <w:r w:rsidRPr="007E0255">
        <w:rPr>
          <w:rFonts w:ascii="Verdana" w:eastAsia="Calibri" w:hAnsi="Verdana" w:cs="Arial"/>
          <w:sz w:val="20"/>
          <w:szCs w:val="20"/>
          <w:lang w:val="es-ES"/>
        </w:rPr>
        <w:tab/>
        <w:t xml:space="preserve">Las que a la fecha de </w:t>
      </w:r>
      <w:proofErr w:type="gramStart"/>
      <w:r w:rsidRPr="007E0255">
        <w:rPr>
          <w:rFonts w:ascii="Verdana" w:eastAsia="Calibri" w:hAnsi="Verdana" w:cs="Arial"/>
          <w:sz w:val="20"/>
          <w:szCs w:val="20"/>
          <w:lang w:val="es-ES"/>
        </w:rPr>
        <w:t>entrar en vigencia</w:t>
      </w:r>
      <w:proofErr w:type="gramEnd"/>
      <w:r w:rsidRPr="007E0255">
        <w:rPr>
          <w:rFonts w:ascii="Verdana" w:eastAsia="Calibri" w:hAnsi="Verdana" w:cs="Arial"/>
          <w:sz w:val="20"/>
          <w:szCs w:val="20"/>
          <w:lang w:val="es-ES"/>
        </w:rPr>
        <w:t xml:space="preserve"> la presente Ley beneficien a los servidores oficiales docentes pensionados.</w:t>
      </w:r>
    </w:p>
    <w:p w14:paraId="261917DE" w14:textId="77777777" w:rsidR="007E0255" w:rsidRPr="007E0255" w:rsidRDefault="007E0255" w:rsidP="007E0255">
      <w:pPr>
        <w:spacing w:after="0" w:line="240" w:lineRule="auto"/>
        <w:ind w:left="709" w:right="616"/>
        <w:jc w:val="both"/>
        <w:rPr>
          <w:rFonts w:ascii="Verdana" w:eastAsia="Calibri" w:hAnsi="Verdana" w:cs="Arial"/>
          <w:sz w:val="20"/>
          <w:szCs w:val="20"/>
          <w:lang w:val="es-ES"/>
        </w:rPr>
      </w:pPr>
      <w:r w:rsidRPr="007E0255">
        <w:rPr>
          <w:rFonts w:ascii="Verdana" w:eastAsia="Calibri" w:hAnsi="Verdana" w:cs="Arial"/>
          <w:sz w:val="20"/>
          <w:szCs w:val="20"/>
          <w:lang w:val="es-ES"/>
        </w:rPr>
        <w:t xml:space="preserve">PARÁGRAFO. No se podrán recibir honorarios que sumados correspondan a más de ocho (8) horas diarias de trabajo a varias </w:t>
      </w:r>
      <w:proofErr w:type="gramStart"/>
      <w:r w:rsidRPr="007E0255">
        <w:rPr>
          <w:rFonts w:ascii="Verdana" w:eastAsia="Calibri" w:hAnsi="Verdana" w:cs="Arial"/>
          <w:sz w:val="20"/>
          <w:szCs w:val="20"/>
          <w:lang w:val="es-ES"/>
        </w:rPr>
        <w:t>entidades ”</w:t>
      </w:r>
      <w:proofErr w:type="gramEnd"/>
    </w:p>
    <w:p w14:paraId="2BB555F9" w14:textId="77777777" w:rsidR="007E0255" w:rsidRPr="007E0255" w:rsidRDefault="007E0255" w:rsidP="007E0255">
      <w:pPr>
        <w:spacing w:after="0" w:line="276" w:lineRule="auto"/>
        <w:jc w:val="both"/>
        <w:rPr>
          <w:rFonts w:ascii="Verdana" w:eastAsia="Calibri" w:hAnsi="Verdana" w:cs="Arial"/>
          <w:lang w:val="es-ES"/>
        </w:rPr>
      </w:pPr>
    </w:p>
    <w:p w14:paraId="5A5CC2EE" w14:textId="6411DEA2"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 xml:space="preserve">Conforme a lo dispuesto en la normativa ibidem, se observa que el legislador no contempló la posibilidad de celebrar contratos de prestación de servicios por parte de los empleados supernumerarios. En el </w:t>
      </w:r>
      <w:r w:rsidR="0020600F" w:rsidRPr="007E0255">
        <w:rPr>
          <w:rFonts w:ascii="Verdana" w:eastAsia="Calibri" w:hAnsi="Verdana" w:cs="Arial"/>
          <w:lang w:val="es-ES"/>
        </w:rPr>
        <w:t>artículo</w:t>
      </w:r>
      <w:r w:rsidRPr="007E0255">
        <w:rPr>
          <w:rFonts w:ascii="Verdana" w:eastAsia="Calibri" w:hAnsi="Verdana" w:cs="Arial"/>
          <w:lang w:val="es-ES"/>
        </w:rPr>
        <w:t xml:space="preserve"> 19 de la Ley 4 de 1992 no está la excepción de celebrar contratos de prestación de servicios para las personas que tienen una asignación en el tesoro público, específicamente para las personas que tienen una relación laboral con el Estado en la que se encuentra la figura de los supernumerarios.</w:t>
      </w:r>
      <w:r w:rsidR="0020600F">
        <w:rPr>
          <w:rFonts w:ascii="Verdana" w:eastAsia="Calibri" w:hAnsi="Verdana" w:cs="Arial"/>
          <w:lang w:val="es-ES"/>
        </w:rPr>
        <w:t xml:space="preserve"> </w:t>
      </w:r>
      <w:r w:rsidRPr="007E0255">
        <w:rPr>
          <w:rFonts w:ascii="Verdana" w:eastAsia="Calibri" w:hAnsi="Verdana" w:cs="Arial"/>
          <w:lang w:val="es-ES"/>
        </w:rPr>
        <w:t>En el mismo sentido de la norma y en concordancia con la línea de la Corte Constitucional, el Departamento Administrativo de la Función Pública ha expresado lo siguiente:</w:t>
      </w:r>
    </w:p>
    <w:p w14:paraId="33AF03D9" w14:textId="77777777" w:rsidR="007E0255" w:rsidRPr="007E0255" w:rsidRDefault="007E0255" w:rsidP="007E0255">
      <w:pPr>
        <w:spacing w:after="0" w:line="276" w:lineRule="auto"/>
        <w:jc w:val="both"/>
        <w:rPr>
          <w:rFonts w:ascii="Verdana" w:eastAsia="Calibri" w:hAnsi="Verdana" w:cs="Arial"/>
          <w:lang w:val="es-ES"/>
        </w:rPr>
      </w:pPr>
    </w:p>
    <w:p w14:paraId="38C6AC3E" w14:textId="2F3E9F94" w:rsid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 xml:space="preserve">Teniendo en cuenta las consideraciones jurisprudenciales relacionadas en precedencia, </w:t>
      </w:r>
      <w:r w:rsidR="0020600F">
        <w:rPr>
          <w:rFonts w:ascii="Verdana" w:eastAsia="Calibri" w:hAnsi="Verdana" w:cs="Arial"/>
          <w:lang w:val="es-ES"/>
        </w:rPr>
        <w:t xml:space="preserve">se considera entonces que los </w:t>
      </w:r>
      <w:r w:rsidRPr="007E0255">
        <w:rPr>
          <w:rFonts w:ascii="Verdana" w:eastAsia="Calibri" w:hAnsi="Verdana" w:cs="Arial"/>
          <w:lang w:val="es-ES"/>
        </w:rPr>
        <w:t>supernumerarios, al desempeñar empleos donde suplen vacancias temporales o se vinculan</w:t>
      </w:r>
      <w:r w:rsidR="0020600F">
        <w:rPr>
          <w:rFonts w:ascii="Verdana" w:eastAsia="Calibri" w:hAnsi="Verdana" w:cs="Arial"/>
          <w:lang w:val="es-ES"/>
        </w:rPr>
        <w:t xml:space="preserve"> </w:t>
      </w:r>
      <w:r w:rsidRPr="007E0255">
        <w:rPr>
          <w:rFonts w:ascii="Verdana" w:eastAsia="Calibri" w:hAnsi="Verdana" w:cs="Arial"/>
          <w:lang w:val="es-ES"/>
        </w:rPr>
        <w:t>para desarrollar actividades de carácter netamente transitorio, cuyas obligaciones laborales deben estar definidas previamente en el presupuesto correspondiente, junto con su clasificación y nomenclatura acorde con los empleos de planta permanente, no pueden recibir doble asignación que provenga del tesoro público.</w:t>
      </w:r>
    </w:p>
    <w:p w14:paraId="4050D0EC" w14:textId="77777777" w:rsidR="000F7D6E" w:rsidRPr="007E0255" w:rsidRDefault="000F7D6E" w:rsidP="007E0255">
      <w:pPr>
        <w:spacing w:after="0" w:line="276" w:lineRule="auto"/>
        <w:jc w:val="both"/>
        <w:rPr>
          <w:rFonts w:ascii="Verdana" w:eastAsia="Calibri" w:hAnsi="Verdana" w:cs="Arial"/>
          <w:lang w:val="es-ES"/>
        </w:rPr>
      </w:pPr>
    </w:p>
    <w:p w14:paraId="38CA8A1C" w14:textId="55612BFB" w:rsidR="007E0255" w:rsidRP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De esta manera, en el caso objeto de consulta, la remuneración y vinculación como contratista para quien es supernumerario, es una situación que no se encuentra contemplada dentro de las excepciones establecidas en el artículo 19 de la Ley 4 de 1992. Por consiguiente,</w:t>
      </w:r>
      <w:r w:rsidR="0020600F">
        <w:rPr>
          <w:rFonts w:ascii="Verdana" w:eastAsia="Calibri" w:hAnsi="Verdana" w:cs="Arial"/>
          <w:lang w:val="es-ES"/>
        </w:rPr>
        <w:t xml:space="preserve"> a criterio de esta Agencia </w:t>
      </w:r>
      <w:r w:rsidRPr="007E0255">
        <w:rPr>
          <w:rFonts w:ascii="Verdana" w:eastAsia="Calibri" w:hAnsi="Verdana" w:cs="Arial"/>
          <w:lang w:val="es-ES"/>
        </w:rPr>
        <w:t xml:space="preserve">quien está vinculado como supernumerario no podrá suscribir un contrato de prestación de </w:t>
      </w:r>
      <w:r w:rsidRPr="007E0255">
        <w:rPr>
          <w:rFonts w:ascii="Verdana" w:eastAsia="Calibri" w:hAnsi="Verdana" w:cs="Arial"/>
          <w:lang w:val="es-ES"/>
        </w:rPr>
        <w:lastRenderedPageBreak/>
        <w:t>servicios con otra entidad pública, pues se vulneraría la prohibición establecida en el artículo 128 Constitucional.</w:t>
      </w:r>
      <w:r w:rsidR="000F7D6E">
        <w:rPr>
          <w:rStyle w:val="Refdenotaalpie"/>
          <w:rFonts w:ascii="Verdana" w:eastAsia="Calibri" w:hAnsi="Verdana" w:cs="Arial"/>
          <w:lang w:val="es-ES"/>
        </w:rPr>
        <w:footnoteReference w:id="4"/>
      </w:r>
    </w:p>
    <w:p w14:paraId="4D2127DE" w14:textId="77777777" w:rsidR="007E0255" w:rsidRPr="007E0255" w:rsidRDefault="007E0255" w:rsidP="007E0255">
      <w:pPr>
        <w:spacing w:after="0" w:line="276" w:lineRule="auto"/>
        <w:jc w:val="both"/>
        <w:rPr>
          <w:rFonts w:ascii="Verdana" w:eastAsia="Calibri" w:hAnsi="Verdana" w:cs="Arial"/>
          <w:lang w:val="es-ES"/>
        </w:rPr>
      </w:pPr>
    </w:p>
    <w:p w14:paraId="48004A57" w14:textId="5D681E8C" w:rsidR="007E0255" w:rsidRDefault="007E0255" w:rsidP="007E0255">
      <w:pPr>
        <w:spacing w:after="0" w:line="276" w:lineRule="auto"/>
        <w:jc w:val="both"/>
        <w:rPr>
          <w:rFonts w:ascii="Verdana" w:eastAsia="Calibri" w:hAnsi="Verdana" w:cs="Arial"/>
          <w:lang w:val="es-ES"/>
        </w:rPr>
      </w:pPr>
      <w:r w:rsidRPr="007E0255">
        <w:rPr>
          <w:rFonts w:ascii="Verdana" w:eastAsia="Calibri" w:hAnsi="Verdana" w:cs="Arial"/>
          <w:lang w:val="es-ES"/>
        </w:rPr>
        <w:t>En conclusión, de acuerdo con la Corte Constitucional</w:t>
      </w:r>
      <w:r w:rsidR="000F7D6E">
        <w:rPr>
          <w:rStyle w:val="Refdenotaalpie"/>
          <w:rFonts w:ascii="Verdana" w:eastAsia="Calibri" w:hAnsi="Verdana" w:cs="Arial"/>
          <w:lang w:val="es-ES"/>
        </w:rPr>
        <w:footnoteReference w:id="5"/>
      </w:r>
      <w:r w:rsidRPr="007E0255">
        <w:rPr>
          <w:rFonts w:ascii="Verdana" w:eastAsia="Calibri" w:hAnsi="Verdana" w:cs="Arial"/>
          <w:lang w:val="es-ES"/>
        </w:rPr>
        <w:t xml:space="preserve">, los supernumerarios no pueden celebrar contratos de prestación de servicios conforme a los dispuesto en el </w:t>
      </w:r>
      <w:r w:rsidR="004112F0" w:rsidRPr="007E0255">
        <w:rPr>
          <w:rFonts w:ascii="Verdana" w:eastAsia="Calibri" w:hAnsi="Verdana" w:cs="Arial"/>
          <w:lang w:val="es-ES"/>
        </w:rPr>
        <w:t>artículo</w:t>
      </w:r>
      <w:r w:rsidRPr="007E0255">
        <w:rPr>
          <w:rFonts w:ascii="Verdana" w:eastAsia="Calibri" w:hAnsi="Verdana" w:cs="Arial"/>
          <w:lang w:val="es-ES"/>
        </w:rPr>
        <w:t xml:space="preserve"> 128 de la Constitución Nacional y el </w:t>
      </w:r>
      <w:r w:rsidR="004112F0" w:rsidRPr="007E0255">
        <w:rPr>
          <w:rFonts w:ascii="Verdana" w:eastAsia="Calibri" w:hAnsi="Verdana" w:cs="Arial"/>
          <w:lang w:val="es-ES"/>
        </w:rPr>
        <w:t>artículo</w:t>
      </w:r>
      <w:r w:rsidRPr="007E0255">
        <w:rPr>
          <w:rFonts w:ascii="Verdana" w:eastAsia="Calibri" w:hAnsi="Verdana" w:cs="Arial"/>
          <w:lang w:val="es-ES"/>
        </w:rPr>
        <w:t xml:space="preserve"> 19 de la ley 4 de 1992, ya que tienen una asignación del tesoro público en calidad de empleado público temporal mediante una relación laboral. La situación administrativa planteada imposibilita a estos sujetos tener una doble asignación del tesoro público. En consecuencia, suscribir un contrato de prestación de servicios en estas condiciones administrativas es enfrentar algunas de las circunstancias del régimen de inhabilidad e incompatibilidad conforme a las líneas tanto de la Corte como del DAFP.</w:t>
      </w:r>
    </w:p>
    <w:p w14:paraId="0CCC69FB" w14:textId="77777777" w:rsidR="004112F0" w:rsidRDefault="004112F0" w:rsidP="007E0255">
      <w:pPr>
        <w:spacing w:after="0" w:line="276" w:lineRule="auto"/>
        <w:jc w:val="both"/>
        <w:rPr>
          <w:rFonts w:ascii="Verdana" w:eastAsia="Calibri" w:hAnsi="Verdana" w:cs="Arial"/>
          <w:lang w:val="es-ES"/>
        </w:rPr>
      </w:pPr>
    </w:p>
    <w:p w14:paraId="54F9F725" w14:textId="05F9CC99" w:rsidR="0020600F" w:rsidRPr="004112F0" w:rsidRDefault="004112F0" w:rsidP="007E0255">
      <w:pPr>
        <w:spacing w:after="0" w:line="276" w:lineRule="auto"/>
        <w:jc w:val="both"/>
        <w:rPr>
          <w:rFonts w:ascii="Verdana" w:eastAsia="Calibri" w:hAnsi="Verdana" w:cs="Arial"/>
        </w:rPr>
      </w:pPr>
      <w:r w:rsidRPr="004112F0">
        <w:rPr>
          <w:rFonts w:ascii="Verdana" w:eastAsia="Calibri" w:hAnsi="Verdana" w:cs="Arial"/>
        </w:rPr>
        <w:t>En suma, corresponde a cada entidad determinar en cada caso concreto si la persona que pretende vincularse como supernumeraria tiene o no un contrato de prestación de servicios vigente con otra entidad pública. Para lo anterior, la entidad deberá verificar la situación administrativa del aspirante a fin de establecer si se configura la prohibición de doble asignación del tesoro público prevista en el artículo 128 de la Constitución Nacional y el artículo 19 de la Ley 4 de 1992. En cualquier caso, la vinculación como supernumerario de quien tenga un contrato de prestación de servicios vigente con otra entidad pública vulnera el régimen de inhabilidades e incompatibilidades, independientemente de la duración del vínculo o de la compatibilidad horaria entre los dos vínculos.</w:t>
      </w:r>
    </w:p>
    <w:p w14:paraId="431015AF" w14:textId="77777777" w:rsidR="007E0255" w:rsidRPr="00045AE0" w:rsidRDefault="007E0255" w:rsidP="00936316">
      <w:pPr>
        <w:spacing w:after="0" w:line="276" w:lineRule="auto"/>
        <w:jc w:val="both"/>
        <w:rPr>
          <w:rFonts w:ascii="Verdana" w:eastAsia="Calibri" w:hAnsi="Verdana" w:cs="Arial"/>
          <w:lang w:val="es-ES"/>
        </w:rPr>
      </w:pPr>
    </w:p>
    <w:p w14:paraId="1C4717BB" w14:textId="77777777" w:rsidR="00D52F90" w:rsidRPr="00593A5F" w:rsidRDefault="00D52F90" w:rsidP="00D52F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E6621A2" w14:textId="77777777" w:rsidR="00D52F90" w:rsidRPr="00593A5F" w:rsidRDefault="00D52F90" w:rsidP="00D52F9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52F90" w:rsidRPr="002407CE" w14:paraId="1013BE72" w14:textId="77777777" w:rsidTr="00CC386B">
        <w:trPr>
          <w:trHeight w:val="870"/>
          <w:jc w:val="center"/>
        </w:trPr>
        <w:tc>
          <w:tcPr>
            <w:tcW w:w="8647" w:type="dxa"/>
          </w:tcPr>
          <w:p w14:paraId="2D1BB7CA" w14:textId="77777777" w:rsidR="004112F0" w:rsidRDefault="004112F0" w:rsidP="00B0384E">
            <w:pPr>
              <w:pStyle w:val="Textoindependiente"/>
              <w:numPr>
                <w:ilvl w:val="0"/>
                <w:numId w:val="19"/>
              </w:numPr>
              <w:tabs>
                <w:tab w:val="left" w:pos="823"/>
              </w:tabs>
            </w:pPr>
            <w:r>
              <w:t>Ley</w:t>
            </w:r>
            <w:r>
              <w:rPr>
                <w:spacing w:val="-12"/>
              </w:rPr>
              <w:t xml:space="preserve"> </w:t>
            </w:r>
            <w:r>
              <w:t>80</w:t>
            </w:r>
            <w:r>
              <w:rPr>
                <w:spacing w:val="-10"/>
              </w:rPr>
              <w:t xml:space="preserve"> </w:t>
            </w:r>
            <w:r>
              <w:t>de</w:t>
            </w:r>
            <w:r>
              <w:rPr>
                <w:spacing w:val="-10"/>
              </w:rPr>
              <w:t xml:space="preserve"> </w:t>
            </w:r>
            <w:r>
              <w:t>1993</w:t>
            </w:r>
            <w:r>
              <w:rPr>
                <w:spacing w:val="-5"/>
              </w:rPr>
              <w:t xml:space="preserve"> </w:t>
            </w:r>
            <w:r>
              <w:t>artículo</w:t>
            </w:r>
            <w:r>
              <w:rPr>
                <w:spacing w:val="-10"/>
              </w:rPr>
              <w:t xml:space="preserve"> </w:t>
            </w:r>
            <w:r>
              <w:t>32,</w:t>
            </w:r>
            <w:r>
              <w:rPr>
                <w:spacing w:val="-7"/>
              </w:rPr>
              <w:t xml:space="preserve"> </w:t>
            </w:r>
            <w:r>
              <w:t>numeral</w:t>
            </w:r>
            <w:r>
              <w:rPr>
                <w:spacing w:val="-8"/>
              </w:rPr>
              <w:t xml:space="preserve"> </w:t>
            </w:r>
            <w:r>
              <w:rPr>
                <w:spacing w:val="-10"/>
              </w:rPr>
              <w:t>3</w:t>
            </w:r>
          </w:p>
          <w:p w14:paraId="1B668F82" w14:textId="77777777" w:rsidR="004112F0" w:rsidRDefault="004112F0" w:rsidP="00B0384E">
            <w:pPr>
              <w:pStyle w:val="Textoindependiente"/>
              <w:numPr>
                <w:ilvl w:val="0"/>
                <w:numId w:val="19"/>
              </w:numPr>
              <w:tabs>
                <w:tab w:val="left" w:pos="823"/>
              </w:tabs>
            </w:pPr>
            <w:r>
              <w:rPr>
                <w:spacing w:val="-2"/>
              </w:rPr>
              <w:t>Constitución</w:t>
            </w:r>
            <w:r>
              <w:rPr>
                <w:spacing w:val="-4"/>
              </w:rPr>
              <w:t xml:space="preserve"> </w:t>
            </w:r>
            <w:r>
              <w:rPr>
                <w:spacing w:val="-2"/>
              </w:rPr>
              <w:t>Nacional</w:t>
            </w:r>
            <w:r>
              <w:rPr>
                <w:spacing w:val="-3"/>
              </w:rPr>
              <w:t xml:space="preserve"> </w:t>
            </w:r>
            <w:r>
              <w:rPr>
                <w:spacing w:val="-2"/>
              </w:rPr>
              <w:t>articulo</w:t>
            </w:r>
            <w:r>
              <w:rPr>
                <w:spacing w:val="-3"/>
              </w:rPr>
              <w:t xml:space="preserve"> </w:t>
            </w:r>
            <w:r>
              <w:rPr>
                <w:spacing w:val="-5"/>
              </w:rPr>
              <w:t>128</w:t>
            </w:r>
          </w:p>
          <w:p w14:paraId="489C40DF" w14:textId="77777777" w:rsidR="004112F0" w:rsidRDefault="004112F0" w:rsidP="00B0384E">
            <w:pPr>
              <w:pStyle w:val="Textoindependiente"/>
              <w:numPr>
                <w:ilvl w:val="0"/>
                <w:numId w:val="19"/>
              </w:numPr>
              <w:tabs>
                <w:tab w:val="left" w:pos="823"/>
              </w:tabs>
            </w:pPr>
            <w:r>
              <w:t>Ley</w:t>
            </w:r>
            <w:r>
              <w:rPr>
                <w:spacing w:val="-10"/>
              </w:rPr>
              <w:t xml:space="preserve"> </w:t>
            </w:r>
            <w:r>
              <w:t>4</w:t>
            </w:r>
            <w:r>
              <w:rPr>
                <w:spacing w:val="-7"/>
              </w:rPr>
              <w:t xml:space="preserve"> </w:t>
            </w:r>
            <w:r>
              <w:t>de</w:t>
            </w:r>
            <w:r>
              <w:rPr>
                <w:spacing w:val="-7"/>
              </w:rPr>
              <w:t xml:space="preserve"> </w:t>
            </w:r>
            <w:r>
              <w:t>1992,</w:t>
            </w:r>
            <w:r>
              <w:rPr>
                <w:spacing w:val="-5"/>
              </w:rPr>
              <w:t xml:space="preserve"> </w:t>
            </w:r>
            <w:r>
              <w:t>articulo</w:t>
            </w:r>
            <w:r>
              <w:rPr>
                <w:spacing w:val="-9"/>
              </w:rPr>
              <w:t xml:space="preserve"> </w:t>
            </w:r>
            <w:r>
              <w:rPr>
                <w:spacing w:val="-5"/>
              </w:rPr>
              <w:t>19</w:t>
            </w:r>
          </w:p>
          <w:p w14:paraId="7E562B30" w14:textId="77777777" w:rsidR="00B0384E" w:rsidRDefault="004112F0" w:rsidP="00B0384E">
            <w:pPr>
              <w:pStyle w:val="Textoindependiente"/>
              <w:numPr>
                <w:ilvl w:val="0"/>
                <w:numId w:val="19"/>
              </w:numPr>
              <w:tabs>
                <w:tab w:val="left" w:pos="823"/>
              </w:tabs>
              <w:spacing w:line="268" w:lineRule="exact"/>
            </w:pPr>
            <w:r>
              <w:t>Ley</w:t>
            </w:r>
            <w:r>
              <w:rPr>
                <w:spacing w:val="-15"/>
              </w:rPr>
              <w:t xml:space="preserve"> </w:t>
            </w:r>
            <w:r>
              <w:t>1150</w:t>
            </w:r>
            <w:r>
              <w:rPr>
                <w:spacing w:val="-4"/>
              </w:rPr>
              <w:t xml:space="preserve"> </w:t>
            </w:r>
            <w:r>
              <w:t>de</w:t>
            </w:r>
            <w:r>
              <w:rPr>
                <w:spacing w:val="-8"/>
              </w:rPr>
              <w:t xml:space="preserve"> </w:t>
            </w:r>
            <w:r>
              <w:t>2007</w:t>
            </w:r>
            <w:r>
              <w:rPr>
                <w:spacing w:val="-9"/>
              </w:rPr>
              <w:t xml:space="preserve"> </w:t>
            </w:r>
            <w:r>
              <w:t>el</w:t>
            </w:r>
            <w:r>
              <w:rPr>
                <w:spacing w:val="-9"/>
              </w:rPr>
              <w:t xml:space="preserve"> </w:t>
            </w:r>
            <w:r>
              <w:t>artículo</w:t>
            </w:r>
            <w:r>
              <w:rPr>
                <w:spacing w:val="-9"/>
              </w:rPr>
              <w:t xml:space="preserve"> </w:t>
            </w:r>
            <w:r>
              <w:t>2,</w:t>
            </w:r>
            <w:r>
              <w:rPr>
                <w:spacing w:val="-8"/>
              </w:rPr>
              <w:t xml:space="preserve"> </w:t>
            </w:r>
            <w:r>
              <w:t>numeral</w:t>
            </w:r>
            <w:r>
              <w:rPr>
                <w:spacing w:val="-9"/>
              </w:rPr>
              <w:t xml:space="preserve"> </w:t>
            </w:r>
            <w:r>
              <w:t>4º,</w:t>
            </w:r>
            <w:r>
              <w:rPr>
                <w:spacing w:val="-9"/>
              </w:rPr>
              <w:t xml:space="preserve"> </w:t>
            </w:r>
            <w:r>
              <w:t>literal</w:t>
            </w:r>
            <w:r>
              <w:rPr>
                <w:spacing w:val="-10"/>
              </w:rPr>
              <w:t xml:space="preserve"> </w:t>
            </w:r>
            <w:r>
              <w:rPr>
                <w:spacing w:val="-5"/>
              </w:rPr>
              <w:t>h)</w:t>
            </w:r>
          </w:p>
          <w:p w14:paraId="2FA14D2B" w14:textId="77777777" w:rsidR="00B0384E" w:rsidRDefault="004112F0" w:rsidP="00B0384E">
            <w:pPr>
              <w:pStyle w:val="Textoindependiente"/>
              <w:numPr>
                <w:ilvl w:val="0"/>
                <w:numId w:val="19"/>
              </w:numPr>
              <w:tabs>
                <w:tab w:val="left" w:pos="822"/>
              </w:tabs>
              <w:spacing w:line="268" w:lineRule="exact"/>
            </w:pPr>
            <w:r>
              <w:lastRenderedPageBreak/>
              <w:t>Corte</w:t>
            </w:r>
            <w:r w:rsidRPr="00B0384E">
              <w:rPr>
                <w:spacing w:val="-15"/>
              </w:rPr>
              <w:t xml:space="preserve"> </w:t>
            </w:r>
            <w:r>
              <w:t>Constitucional.</w:t>
            </w:r>
            <w:r w:rsidRPr="00B0384E">
              <w:rPr>
                <w:spacing w:val="-14"/>
              </w:rPr>
              <w:t xml:space="preserve"> </w:t>
            </w:r>
            <w:r>
              <w:t>Sentencia</w:t>
            </w:r>
            <w:r w:rsidRPr="00B0384E">
              <w:rPr>
                <w:spacing w:val="-13"/>
              </w:rPr>
              <w:t xml:space="preserve"> </w:t>
            </w:r>
            <w:r>
              <w:t>C-401</w:t>
            </w:r>
            <w:r w:rsidRPr="00B0384E">
              <w:rPr>
                <w:spacing w:val="-10"/>
              </w:rPr>
              <w:t xml:space="preserve"> </w:t>
            </w:r>
            <w:r>
              <w:t>de</w:t>
            </w:r>
            <w:r w:rsidRPr="00B0384E">
              <w:rPr>
                <w:spacing w:val="-14"/>
              </w:rPr>
              <w:t xml:space="preserve"> </w:t>
            </w:r>
            <w:r>
              <w:t>1998.</w:t>
            </w:r>
            <w:r w:rsidRPr="00B0384E">
              <w:rPr>
                <w:spacing w:val="-13"/>
              </w:rPr>
              <w:t xml:space="preserve"> </w:t>
            </w:r>
            <w:r>
              <w:t>M.P</w:t>
            </w:r>
            <w:r w:rsidRPr="00B0384E">
              <w:rPr>
                <w:spacing w:val="-10"/>
              </w:rPr>
              <w:t xml:space="preserve"> </w:t>
            </w:r>
            <w:r w:rsidRPr="00B0384E">
              <w:rPr>
                <w:spacing w:val="-2"/>
              </w:rPr>
              <w:t xml:space="preserve">Vladimiro </w:t>
            </w:r>
            <w:r>
              <w:t>Naranjo</w:t>
            </w:r>
            <w:r w:rsidRPr="00B0384E">
              <w:rPr>
                <w:spacing w:val="-12"/>
              </w:rPr>
              <w:t xml:space="preserve"> </w:t>
            </w:r>
            <w:r w:rsidRPr="00B0384E">
              <w:rPr>
                <w:spacing w:val="-4"/>
              </w:rPr>
              <w:t>Meza</w:t>
            </w:r>
          </w:p>
          <w:p w14:paraId="729E9414" w14:textId="77777777" w:rsidR="00B0384E" w:rsidRDefault="004112F0" w:rsidP="00B0384E">
            <w:pPr>
              <w:pStyle w:val="Textoindependiente"/>
              <w:numPr>
                <w:ilvl w:val="0"/>
                <w:numId w:val="19"/>
              </w:numPr>
              <w:tabs>
                <w:tab w:val="left" w:pos="822"/>
              </w:tabs>
              <w:spacing w:line="268" w:lineRule="exact"/>
            </w:pPr>
            <w:r>
              <w:t>Corte</w:t>
            </w:r>
            <w:r w:rsidRPr="00B0384E">
              <w:rPr>
                <w:spacing w:val="-14"/>
              </w:rPr>
              <w:t xml:space="preserve"> </w:t>
            </w:r>
            <w:r>
              <w:t>Constitucional.</w:t>
            </w:r>
            <w:r w:rsidRPr="00B0384E">
              <w:rPr>
                <w:spacing w:val="-14"/>
              </w:rPr>
              <w:t xml:space="preserve"> </w:t>
            </w:r>
            <w:r>
              <w:t>Sentencia</w:t>
            </w:r>
            <w:r w:rsidRPr="00B0384E">
              <w:rPr>
                <w:spacing w:val="-15"/>
              </w:rPr>
              <w:t xml:space="preserve"> </w:t>
            </w:r>
            <w:r>
              <w:t>C-133</w:t>
            </w:r>
            <w:r w:rsidRPr="00B0384E">
              <w:rPr>
                <w:spacing w:val="-11"/>
              </w:rPr>
              <w:t xml:space="preserve"> </w:t>
            </w:r>
            <w:r>
              <w:t>de</w:t>
            </w:r>
            <w:r w:rsidRPr="00B0384E">
              <w:rPr>
                <w:spacing w:val="-13"/>
              </w:rPr>
              <w:t xml:space="preserve"> </w:t>
            </w:r>
            <w:r>
              <w:t>1993.</w:t>
            </w:r>
            <w:r w:rsidRPr="00B0384E">
              <w:rPr>
                <w:spacing w:val="-12"/>
              </w:rPr>
              <w:t xml:space="preserve"> </w:t>
            </w:r>
            <w:r>
              <w:t>M.P</w:t>
            </w:r>
            <w:r w:rsidRPr="00B0384E">
              <w:rPr>
                <w:spacing w:val="-12"/>
              </w:rPr>
              <w:t xml:space="preserve"> </w:t>
            </w:r>
            <w:r>
              <w:t>Vladimiro Naranjo Meza</w:t>
            </w:r>
          </w:p>
          <w:p w14:paraId="6E6396F8" w14:textId="1800D2AA" w:rsidR="004112F0" w:rsidRDefault="004112F0" w:rsidP="00B0384E">
            <w:pPr>
              <w:pStyle w:val="Textoindependiente"/>
              <w:numPr>
                <w:ilvl w:val="0"/>
                <w:numId w:val="19"/>
              </w:numPr>
              <w:tabs>
                <w:tab w:val="left" w:pos="822"/>
              </w:tabs>
              <w:spacing w:line="268" w:lineRule="exact"/>
            </w:pPr>
            <w:r>
              <w:t>Departamento</w:t>
            </w:r>
            <w:r w:rsidRPr="00B0384E">
              <w:rPr>
                <w:spacing w:val="-14"/>
              </w:rPr>
              <w:t xml:space="preserve"> </w:t>
            </w:r>
            <w:r>
              <w:t>Administrativo</w:t>
            </w:r>
            <w:r w:rsidRPr="00B0384E">
              <w:rPr>
                <w:spacing w:val="-14"/>
              </w:rPr>
              <w:t xml:space="preserve"> </w:t>
            </w:r>
            <w:r>
              <w:t>De</w:t>
            </w:r>
            <w:r w:rsidRPr="00B0384E">
              <w:rPr>
                <w:spacing w:val="-14"/>
              </w:rPr>
              <w:t xml:space="preserve"> </w:t>
            </w:r>
            <w:r>
              <w:t>La</w:t>
            </w:r>
            <w:r w:rsidRPr="00B0384E">
              <w:rPr>
                <w:spacing w:val="-15"/>
              </w:rPr>
              <w:t xml:space="preserve"> </w:t>
            </w:r>
            <w:r>
              <w:t>Función</w:t>
            </w:r>
            <w:r w:rsidRPr="00B0384E">
              <w:rPr>
                <w:spacing w:val="-15"/>
              </w:rPr>
              <w:t xml:space="preserve"> </w:t>
            </w:r>
            <w:r>
              <w:t>Pública. Concepto 209621 del 06 de julio de 2022</w:t>
            </w:r>
          </w:p>
          <w:p w14:paraId="5E76D69A" w14:textId="228A423C" w:rsidR="00D52F90" w:rsidRPr="004112F0" w:rsidRDefault="00D52F90" w:rsidP="004112F0">
            <w:pPr>
              <w:pStyle w:val="Textoindependiente"/>
              <w:tabs>
                <w:tab w:val="left" w:pos="823"/>
              </w:tabs>
              <w:spacing w:line="268" w:lineRule="exact"/>
            </w:pPr>
          </w:p>
        </w:tc>
      </w:tr>
    </w:tbl>
    <w:p w14:paraId="607DCF7D" w14:textId="77777777" w:rsidR="00D52F90" w:rsidRPr="002407CE" w:rsidRDefault="00D52F90" w:rsidP="00D52F90">
      <w:pPr>
        <w:widowControl w:val="0"/>
        <w:autoSpaceDE w:val="0"/>
        <w:autoSpaceDN w:val="0"/>
        <w:spacing w:after="0" w:line="276" w:lineRule="auto"/>
        <w:jc w:val="both"/>
        <w:rPr>
          <w:rFonts w:ascii="Verdana" w:hAnsi="Verdana" w:cs="Arial"/>
        </w:rPr>
      </w:pPr>
    </w:p>
    <w:p w14:paraId="558DD177" w14:textId="77777777" w:rsidR="00D52F90" w:rsidRPr="00593A5F" w:rsidRDefault="00D52F90" w:rsidP="00D52F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CA9A104" w14:textId="77777777" w:rsidR="00D52F90" w:rsidRPr="00593A5F" w:rsidRDefault="00D52F90" w:rsidP="00D52F90">
      <w:pPr>
        <w:widowControl w:val="0"/>
        <w:autoSpaceDE w:val="0"/>
        <w:autoSpaceDN w:val="0"/>
        <w:spacing w:after="0" w:line="276" w:lineRule="auto"/>
        <w:jc w:val="both"/>
        <w:rPr>
          <w:rFonts w:ascii="Verdana" w:hAnsi="Verdana" w:cs="Arial"/>
        </w:rPr>
      </w:pPr>
    </w:p>
    <w:p w14:paraId="35EF4CDA" w14:textId="650DC6CB" w:rsidR="000E2CB2" w:rsidRPr="00B0384E" w:rsidRDefault="000E2CB2" w:rsidP="00B0384E">
      <w:pPr>
        <w:spacing w:after="0" w:line="276" w:lineRule="auto"/>
        <w:jc w:val="both"/>
        <w:rPr>
          <w:rStyle w:val="normaltextrun"/>
          <w:rFonts w:ascii="Verdana" w:eastAsia="Calibri" w:hAnsi="Verdana" w:cs="Arial"/>
          <w:lang w:val="es-ES" w:eastAsia="es-ES"/>
        </w:rPr>
      </w:pPr>
      <w:r w:rsidRPr="000B7B3D">
        <w:rPr>
          <w:rFonts w:ascii="Verdana" w:eastAsia="Calibri" w:hAnsi="Verdana" w:cs="Arial"/>
          <w:lang w:val="es-ES" w:eastAsia="es-ES"/>
        </w:rPr>
        <w:t>La Agencia Nacional de Contratación Pública – Colombia Compra Eficiente ha</w:t>
      </w:r>
      <w:r w:rsidR="00B0384E" w:rsidRPr="00B0384E">
        <w:t xml:space="preserve"> </w:t>
      </w:r>
      <w:proofErr w:type="spellStart"/>
      <w:r w:rsidR="00B0384E" w:rsidRPr="00B0384E">
        <w:rPr>
          <w:rFonts w:ascii="Verdana" w:eastAsia="Calibri" w:hAnsi="Verdana" w:cs="Arial"/>
          <w:lang w:val="es-ES" w:eastAsia="es-ES"/>
        </w:rPr>
        <w:t>ha</w:t>
      </w:r>
      <w:proofErr w:type="spellEnd"/>
      <w:r w:rsidR="00B0384E" w:rsidRPr="00B0384E">
        <w:rPr>
          <w:rFonts w:ascii="Verdana" w:eastAsia="Calibri" w:hAnsi="Verdana" w:cs="Arial"/>
          <w:lang w:val="es-ES" w:eastAsia="es-ES"/>
        </w:rPr>
        <w:t xml:space="preserve"> analizado los contratos de prestación de servicios, así como los requisitos para su celebración, entre otros, en los conceptos con radicado: 4201913000006452 del 07 de octubre de 2019, 4201912000006434 del 30 de octubre de 2019,</w:t>
      </w:r>
      <w:r w:rsidR="00B0384E">
        <w:rPr>
          <w:rFonts w:ascii="Verdana" w:eastAsia="Calibri" w:hAnsi="Verdana" w:cs="Arial"/>
          <w:lang w:val="es-ES" w:eastAsia="es-ES"/>
        </w:rPr>
        <w:t xml:space="preserve"> </w:t>
      </w:r>
      <w:r w:rsidR="00B0384E" w:rsidRPr="00B0384E">
        <w:rPr>
          <w:rFonts w:ascii="Verdana" w:eastAsia="Calibri" w:hAnsi="Verdana" w:cs="Arial"/>
          <w:lang w:val="es-ES" w:eastAsia="es-ES"/>
        </w:rPr>
        <w:t>4201913000006444 del 01 de noviembre de 2019, 4201913000006331 del 07 de noviembre de 2019, 4201912000006692 del 12 de noviembre de 2019de noviembre  de  2019,  4201912000006692  del  12  de  noviembre  de</w:t>
      </w:r>
      <w:r w:rsidR="00B0384E">
        <w:rPr>
          <w:rFonts w:ascii="Verdana" w:eastAsia="Calibri" w:hAnsi="Verdana" w:cs="Arial"/>
          <w:lang w:val="es-ES" w:eastAsia="es-ES"/>
        </w:rPr>
        <w:t xml:space="preserve"> </w:t>
      </w:r>
      <w:r w:rsidR="00B0384E" w:rsidRPr="00B0384E">
        <w:rPr>
          <w:rFonts w:ascii="Verdana" w:eastAsia="Calibri" w:hAnsi="Verdana" w:cs="Arial"/>
          <w:lang w:val="es-ES" w:eastAsia="es-ES"/>
        </w:rPr>
        <w:t>20194201912000007378 del 11 de diciembre de 2019, 4201912000007781</w:t>
      </w:r>
      <w:r w:rsidR="00B0384E">
        <w:rPr>
          <w:rFonts w:ascii="Verdana" w:eastAsia="Calibri" w:hAnsi="Verdana" w:cs="Arial"/>
          <w:lang w:val="es-ES" w:eastAsia="es-ES"/>
        </w:rPr>
        <w:t xml:space="preserve">  </w:t>
      </w:r>
      <w:r w:rsidR="00B0384E" w:rsidRPr="00B0384E">
        <w:rPr>
          <w:rFonts w:ascii="Verdana" w:eastAsia="Calibri" w:hAnsi="Verdana" w:cs="Arial"/>
          <w:lang w:val="es-ES" w:eastAsia="es-ES"/>
        </w:rPr>
        <w:t>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C−282del 12 de mayo de 2020, C−238 del 18 de mayo de 2020, C−260 del 18 de mayo de 2020, C−288 del 21 de mayo de 2020, C−293 del 12 de mayo de 2020, C−313 del 21 de mayo de 2020, C−345 del 21 de mayo de 2020, C−359 del 04de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w:t>
      </w:r>
      <w:r w:rsidR="00B0384E">
        <w:rPr>
          <w:rFonts w:ascii="Verdana" w:eastAsia="Calibri" w:hAnsi="Verdana" w:cs="Arial"/>
          <w:lang w:val="es-ES" w:eastAsia="es-ES"/>
        </w:rPr>
        <w:t>, C-735 de 2024</w:t>
      </w:r>
      <w:r w:rsidRPr="000B7B3D">
        <w:rPr>
          <w:rFonts w:ascii="Verdana" w:hAnsi="Verdana" w:cs="Arial"/>
        </w:rPr>
        <w:t xml:space="preserve">. </w:t>
      </w:r>
      <w:r w:rsidRPr="000B7B3D">
        <w:rPr>
          <w:rStyle w:val="normaltextrun"/>
          <w:rFonts w:ascii="Verdana" w:hAnsi="Verdana" w:cs="Arial"/>
          <w:shd w:val="clear" w:color="auto" w:fill="FFFFFF"/>
          <w:lang w:val="es-ES"/>
        </w:rPr>
        <w:t>Es</w:t>
      </w:r>
      <w:r w:rsidRPr="000B7B3D">
        <w:rPr>
          <w:rFonts w:ascii="Verdana" w:hAnsi="Verdana"/>
        </w:rPr>
        <w:t>tos y otros conceptos se encuentran disponibles para consulta en el Sistema de relatoría de la Agencia, al cual se puede acceder a través del siguiente enlace:</w:t>
      </w:r>
      <w:r w:rsidRPr="000B7B3D">
        <w:rPr>
          <w:rStyle w:val="normaltextrun"/>
          <w:rFonts w:ascii="Verdana" w:hAnsi="Verdana" w:cs="Arial"/>
          <w:shd w:val="clear" w:color="auto" w:fill="FFFFFF"/>
          <w:lang w:val="es-ES"/>
        </w:rPr>
        <w:t xml:space="preserve"> </w:t>
      </w:r>
      <w:hyperlink r:id="rId12" w:history="1">
        <w:r w:rsidRPr="000B7B3D">
          <w:rPr>
            <w:rStyle w:val="Hipervnculo"/>
            <w:rFonts w:ascii="Verdana" w:hAnsi="Verdana" w:cs="Arial"/>
            <w:shd w:val="clear" w:color="auto" w:fill="FFFFFF"/>
            <w:lang w:val="es-ES"/>
          </w:rPr>
          <w:t>https://relatoria.colombiacompra.gov.co/busqueda/conceptos</w:t>
        </w:r>
      </w:hyperlink>
      <w:r w:rsidRPr="000B7B3D">
        <w:rPr>
          <w:rStyle w:val="normaltextrun"/>
          <w:rFonts w:ascii="Verdana" w:hAnsi="Verdana" w:cs="Arial"/>
          <w:color w:val="FF0000"/>
          <w:shd w:val="clear" w:color="auto" w:fill="FFFFFF"/>
          <w:lang w:val="es-ES"/>
        </w:rPr>
        <w:t xml:space="preserve">. </w:t>
      </w:r>
    </w:p>
    <w:p w14:paraId="68CEADCA" w14:textId="77777777" w:rsidR="00D52F90" w:rsidRDefault="00D52F90" w:rsidP="00D52F9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A11F3FD" w14:textId="77777777" w:rsidR="00B0384E" w:rsidRPr="00C15525" w:rsidRDefault="00B0384E" w:rsidP="00B0384E">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3" w:tgtFrame="_new" w:history="1">
        <w:r w:rsidRPr="00C15525">
          <w:rPr>
            <w:rFonts w:ascii="Verdana" w:hAnsi="Verdana"/>
            <w:color w:val="0000FF"/>
            <w:u w:val="single"/>
          </w:rPr>
          <w:t>https://formacionvirtual.colombiacompra.gov.co/mod/page/view.php?id=3718</w:t>
        </w:r>
      </w:hyperlink>
    </w:p>
    <w:p w14:paraId="0DCA07E8" w14:textId="77777777" w:rsidR="00B0384E" w:rsidRPr="00C15525" w:rsidRDefault="00B0384E" w:rsidP="00B0384E">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15525">
          <w:rPr>
            <w:rFonts w:ascii="Verdana" w:hAnsi="Verdana"/>
            <w:color w:val="0000FF"/>
            <w:u w:val="single"/>
          </w:rPr>
          <w:t>https://www.colombiacompra.gov.co/normativa-y-relatoria/documentos-tipo</w:t>
        </w:r>
      </w:hyperlink>
    </w:p>
    <w:p w14:paraId="1A9DFE57" w14:textId="77777777" w:rsidR="00B0384E" w:rsidRPr="00C15525" w:rsidRDefault="00B0384E" w:rsidP="00B0384E">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5"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A3305C8" w14:textId="77777777" w:rsidR="00B0384E" w:rsidRPr="00C15525" w:rsidRDefault="00B0384E" w:rsidP="00B0384E">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C15525">
        <w:rPr>
          <w:rFonts w:ascii="Verdana" w:hAnsi="Verdana"/>
        </w:rPr>
        <w:lastRenderedPageBreak/>
        <w:t xml:space="preserve">marco de nuestras funciones a través de nuestros diferentes canales de atención: </w:t>
      </w:r>
    </w:p>
    <w:p w14:paraId="527189A5" w14:textId="77777777" w:rsidR="00B0384E" w:rsidRPr="00C15525" w:rsidRDefault="00B0384E" w:rsidP="00B0384E">
      <w:pPr>
        <w:spacing w:after="0"/>
        <w:jc w:val="both"/>
        <w:rPr>
          <w:rFonts w:ascii="Verdana" w:hAnsi="Verdana"/>
        </w:rPr>
      </w:pPr>
    </w:p>
    <w:p w14:paraId="68BA5D6C" w14:textId="77777777" w:rsidR="00B0384E" w:rsidRPr="00C15525" w:rsidRDefault="00B0384E" w:rsidP="00B0384E">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509EFA4F" w14:textId="77777777" w:rsidR="00B0384E" w:rsidRPr="00C15525" w:rsidRDefault="00B0384E" w:rsidP="00B0384E">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7DF58F1F" w14:textId="77777777" w:rsidR="00B0384E" w:rsidRPr="00C15525" w:rsidRDefault="00B0384E" w:rsidP="00B0384E">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6" w:history="1">
        <w:r w:rsidRPr="00C15525">
          <w:rPr>
            <w:rFonts w:ascii="Verdana" w:eastAsia="Verdana" w:hAnsi="Verdana" w:cs="Verdana"/>
            <w:color w:val="0000FF"/>
            <w:u w:val="single"/>
            <w:lang w:val="es-MX"/>
          </w:rPr>
          <w:t>ventanilladeradicacion@colombiacompra.gov.co</w:t>
        </w:r>
      </w:hyperlink>
    </w:p>
    <w:p w14:paraId="5080A414" w14:textId="77777777" w:rsidR="00B0384E" w:rsidRPr="00C15525" w:rsidRDefault="00B0384E" w:rsidP="00B0384E">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7" w:history="1">
        <w:r w:rsidRPr="00C15525">
          <w:rPr>
            <w:rFonts w:ascii="Verdana" w:eastAsia="Verdana" w:hAnsi="Verdana" w:cs="Verdana"/>
            <w:color w:val="0000FF"/>
            <w:u w:val="single"/>
            <w:lang w:val="es-MX"/>
          </w:rPr>
          <w:t>https://www.colombiacompra.gov.co/pqrsd/informacion-importante-antes-de-formular-una-pqrsd</w:t>
        </w:r>
      </w:hyperlink>
    </w:p>
    <w:p w14:paraId="72236B01" w14:textId="77777777" w:rsidR="00B0384E" w:rsidRPr="00C15525" w:rsidRDefault="00B0384E" w:rsidP="00B0384E">
      <w:pPr>
        <w:spacing w:after="0" w:line="240" w:lineRule="auto"/>
        <w:ind w:left="720"/>
        <w:jc w:val="both"/>
        <w:rPr>
          <w:rFonts w:ascii="Verdana" w:hAnsi="Verdana"/>
        </w:rPr>
      </w:pPr>
    </w:p>
    <w:p w14:paraId="53CCFA1A" w14:textId="77777777" w:rsidR="00B0384E" w:rsidRPr="00C15525" w:rsidRDefault="00B0384E" w:rsidP="00B0384E">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8"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79A39148" w14:textId="77777777" w:rsidR="00B0384E" w:rsidRPr="00C15525" w:rsidRDefault="00B0384E" w:rsidP="00B0384E">
      <w:pPr>
        <w:spacing w:after="0" w:line="240" w:lineRule="auto"/>
        <w:rPr>
          <w:rFonts w:ascii="Verdana" w:hAnsi="Verdana"/>
        </w:rPr>
      </w:pPr>
    </w:p>
    <w:p w14:paraId="13096F32" w14:textId="77777777" w:rsidR="00B0384E" w:rsidRPr="00C15525" w:rsidRDefault="00B0384E" w:rsidP="00B0384E">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6BFB8456" w14:textId="77777777" w:rsidR="00B0384E" w:rsidRPr="00C15525" w:rsidRDefault="00B0384E" w:rsidP="00B0384E">
      <w:pPr>
        <w:spacing w:after="0" w:line="240" w:lineRule="auto"/>
        <w:jc w:val="both"/>
        <w:rPr>
          <w:rFonts w:ascii="Verdana" w:hAnsi="Verdana"/>
        </w:rPr>
      </w:pPr>
    </w:p>
    <w:p w14:paraId="2B10D9C5" w14:textId="77777777" w:rsidR="00B0384E" w:rsidRPr="00C15525" w:rsidRDefault="00B0384E" w:rsidP="00B0384E">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407F1E3A" w14:textId="77777777" w:rsidR="00B0384E" w:rsidRPr="00C15525" w:rsidRDefault="00B0384E" w:rsidP="00B0384E">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67B771BB" w14:textId="77777777" w:rsidR="00B0384E" w:rsidRPr="00C15525" w:rsidRDefault="00B0384E" w:rsidP="00B0384E">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03930AE6" w14:textId="77777777" w:rsidR="00B0384E" w:rsidRPr="00C15525" w:rsidRDefault="00B0384E" w:rsidP="00B0384E">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p w14:paraId="0FE57033" w14:textId="77777777" w:rsidR="00D52F90" w:rsidRPr="00593A5F" w:rsidRDefault="00D52F90" w:rsidP="00D52F90">
      <w:pPr>
        <w:widowControl w:val="0"/>
        <w:autoSpaceDE w:val="0"/>
        <w:autoSpaceDN w:val="0"/>
        <w:spacing w:after="0" w:line="276" w:lineRule="auto"/>
        <w:jc w:val="both"/>
        <w:rPr>
          <w:rFonts w:ascii="Verdana" w:hAnsi="Verdana" w:cs="Arial"/>
        </w:rPr>
      </w:pPr>
    </w:p>
    <w:p w14:paraId="700E1DCE" w14:textId="77777777" w:rsidR="00D52F90" w:rsidRPr="00593A5F" w:rsidRDefault="00D52F90" w:rsidP="00D52F9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C8913D6" w14:textId="2D08B860" w:rsidR="00FF4E35" w:rsidRDefault="00E32B87" w:rsidP="00FF4E35">
      <w:pPr>
        <w:spacing w:after="0" w:line="276" w:lineRule="auto"/>
        <w:jc w:val="center"/>
        <w:rPr>
          <w:rFonts w:ascii="Verdana" w:hAnsi="Verdana"/>
          <w:lang w:val="es-ES_tradnl"/>
        </w:rPr>
      </w:pPr>
      <w:r>
        <w:rPr>
          <w:rFonts w:ascii="Verdana" w:hAnsi="Verdana"/>
          <w:noProof/>
          <w:lang w:val="es-ES_tradnl"/>
        </w:rPr>
        <w:drawing>
          <wp:inline distT="0" distB="0" distL="0" distR="0" wp14:anchorId="42961191" wp14:editId="641E8C6D">
            <wp:extent cx="3639058" cy="1343212"/>
            <wp:effectExtent l="0" t="0" r="0" b="0"/>
            <wp:docPr id="179835964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359649"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4E35" w:rsidRPr="00D53651" w14:paraId="6D4D1759" w14:textId="77777777" w:rsidTr="00054434">
        <w:trPr>
          <w:trHeight w:val="315"/>
        </w:trPr>
        <w:tc>
          <w:tcPr>
            <w:tcW w:w="893" w:type="dxa"/>
            <w:vAlign w:val="center"/>
            <w:hideMark/>
          </w:tcPr>
          <w:p w14:paraId="21CAD50E"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D5C4B88" w14:textId="77777777" w:rsidR="00FF4E35" w:rsidRPr="00D53651" w:rsidRDefault="00FF4E35" w:rsidP="00054434">
            <w:pPr>
              <w:spacing w:line="276" w:lineRule="auto"/>
              <w:jc w:val="both"/>
              <w:rPr>
                <w:rFonts w:ascii="Verdana" w:hAnsi="Verdana"/>
                <w:sz w:val="16"/>
                <w:szCs w:val="16"/>
              </w:rPr>
            </w:pPr>
            <w:r>
              <w:rPr>
                <w:rFonts w:ascii="Verdana" w:hAnsi="Verdana"/>
                <w:sz w:val="16"/>
                <w:szCs w:val="16"/>
              </w:rPr>
              <w:t>Gloria Elizabeth Arango Builes</w:t>
            </w:r>
          </w:p>
          <w:p w14:paraId="58CA8B41"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FF4E35" w:rsidRPr="00D53651" w14:paraId="74E33B9B" w14:textId="77777777" w:rsidTr="00054434">
        <w:trPr>
          <w:trHeight w:val="330"/>
        </w:trPr>
        <w:tc>
          <w:tcPr>
            <w:tcW w:w="893" w:type="dxa"/>
            <w:vAlign w:val="center"/>
            <w:hideMark/>
          </w:tcPr>
          <w:p w14:paraId="4185B043"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AFAAE0A" w14:textId="77777777" w:rsidR="00B0384E" w:rsidRPr="008A3CF3" w:rsidRDefault="00B0384E" w:rsidP="00B0384E">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 xml:space="preserve">Adriana </w:t>
            </w:r>
            <w:proofErr w:type="spellStart"/>
            <w:r>
              <w:rPr>
                <w:rFonts w:ascii="Verdana" w:hAnsi="Verdana" w:cs="Segoe UI"/>
                <w:sz w:val="16"/>
                <w:szCs w:val="16"/>
              </w:rPr>
              <w:t>Katerine</w:t>
            </w:r>
            <w:proofErr w:type="spellEnd"/>
            <w:r>
              <w:rPr>
                <w:rFonts w:ascii="Verdana" w:hAnsi="Verdana" w:cs="Segoe UI"/>
                <w:sz w:val="16"/>
                <w:szCs w:val="16"/>
              </w:rPr>
              <w:t xml:space="preserve"> López Rodríguez</w:t>
            </w:r>
          </w:p>
          <w:p w14:paraId="4B6ECE0A"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FF4E35" w:rsidRPr="00D53651" w14:paraId="2B500943" w14:textId="77777777" w:rsidTr="00054434">
        <w:trPr>
          <w:trHeight w:val="300"/>
        </w:trPr>
        <w:tc>
          <w:tcPr>
            <w:tcW w:w="893" w:type="dxa"/>
            <w:vAlign w:val="center"/>
            <w:hideMark/>
          </w:tcPr>
          <w:p w14:paraId="4C72B1AD"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67172A2A"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EB971CF"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rPr>
              <w:lastRenderedPageBreak/>
              <w:t>Subdirectora</w:t>
            </w:r>
            <w:r w:rsidRPr="00D53651">
              <w:rPr>
                <w:rFonts w:ascii="Verdana" w:hAnsi="Verdana"/>
                <w:sz w:val="16"/>
                <w:szCs w:val="16"/>
                <w:lang w:val="pt-BR"/>
              </w:rPr>
              <w:t xml:space="preserve"> de Gestión Contratual ANCP – CCE</w:t>
            </w:r>
          </w:p>
        </w:tc>
      </w:tr>
    </w:tbl>
    <w:p w14:paraId="38801AF1" w14:textId="77777777" w:rsidR="00FF4E35" w:rsidRPr="000931E9" w:rsidRDefault="00FF4E35" w:rsidP="00FF4E35"/>
    <w:p w14:paraId="259673F5" w14:textId="77777777" w:rsidR="00FF4E35" w:rsidRPr="0044528D" w:rsidRDefault="00FF4E35" w:rsidP="00FF4E35">
      <w:pPr>
        <w:spacing w:after="0"/>
        <w:rPr>
          <w:rFonts w:ascii="Verdana" w:hAnsi="Verdana"/>
        </w:rPr>
      </w:pPr>
    </w:p>
    <w:p w14:paraId="17EB40C5" w14:textId="77777777" w:rsidR="00FF4E35" w:rsidRPr="00FA01E0" w:rsidRDefault="00FF4E35" w:rsidP="00FF4E35">
      <w:pPr>
        <w:spacing w:after="0" w:line="276" w:lineRule="auto"/>
        <w:jc w:val="both"/>
        <w:rPr>
          <w:rFonts w:ascii="Verdana" w:eastAsia="Calibri" w:hAnsi="Verdana" w:cs="Arial"/>
          <w:lang w:val="es-ES"/>
        </w:rPr>
      </w:pPr>
    </w:p>
    <w:p w14:paraId="372072F9" w14:textId="77777777" w:rsidR="00FF4E35" w:rsidRPr="00514983" w:rsidRDefault="00FF4E35" w:rsidP="00FF4E35"/>
    <w:p w14:paraId="0F293BF4" w14:textId="551CF3ED" w:rsidR="00127233" w:rsidRPr="00FF4E35" w:rsidRDefault="00127233" w:rsidP="00FF4E35"/>
    <w:sectPr w:rsidR="00127233" w:rsidRPr="00FF4E35"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81431" w14:textId="77777777" w:rsidR="00BD3DCB" w:rsidRDefault="00BD3DCB" w:rsidP="004A1847">
      <w:pPr>
        <w:spacing w:after="0" w:line="240" w:lineRule="auto"/>
      </w:pPr>
      <w:r>
        <w:separator/>
      </w:r>
    </w:p>
  </w:endnote>
  <w:endnote w:type="continuationSeparator" w:id="0">
    <w:p w14:paraId="028E0A86" w14:textId="77777777" w:rsidR="00BD3DCB" w:rsidRDefault="00BD3DCB" w:rsidP="004A1847">
      <w:pPr>
        <w:spacing w:after="0" w:line="240" w:lineRule="auto"/>
      </w:pPr>
      <w:r>
        <w:continuationSeparator/>
      </w:r>
    </w:p>
  </w:endnote>
  <w:endnote w:type="continuationNotice" w:id="1">
    <w:p w14:paraId="25E730FD" w14:textId="77777777" w:rsidR="00BD3DCB" w:rsidRDefault="00BD3D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p w14:paraId="18BA0211" w14:textId="77777777" w:rsidR="00715A97" w:rsidRDefault="00715A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3B828" w14:textId="77777777" w:rsidR="00BD3DCB" w:rsidRDefault="00BD3DCB" w:rsidP="004A1847">
      <w:pPr>
        <w:spacing w:after="0" w:line="240" w:lineRule="auto"/>
      </w:pPr>
      <w:r>
        <w:separator/>
      </w:r>
    </w:p>
  </w:footnote>
  <w:footnote w:type="continuationSeparator" w:id="0">
    <w:p w14:paraId="413CA738" w14:textId="77777777" w:rsidR="00BD3DCB" w:rsidRDefault="00BD3DCB" w:rsidP="004A1847">
      <w:pPr>
        <w:spacing w:after="0" w:line="240" w:lineRule="auto"/>
      </w:pPr>
      <w:r>
        <w:continuationSeparator/>
      </w:r>
    </w:p>
  </w:footnote>
  <w:footnote w:type="continuationNotice" w:id="1">
    <w:p w14:paraId="33D50BA2" w14:textId="77777777" w:rsidR="00BD3DCB" w:rsidRDefault="00BD3DCB">
      <w:pPr>
        <w:spacing w:after="0" w:line="240" w:lineRule="auto"/>
      </w:pPr>
    </w:p>
  </w:footnote>
  <w:footnote w:id="2">
    <w:p w14:paraId="080C500A" w14:textId="77777777" w:rsidR="007E0255" w:rsidRPr="000F7D6E" w:rsidRDefault="007E0255" w:rsidP="007E0255">
      <w:pPr>
        <w:spacing w:before="93"/>
        <w:ind w:left="239"/>
        <w:jc w:val="both"/>
        <w:rPr>
          <w:rFonts w:ascii="Verdana" w:hAnsi="Verdana"/>
          <w:sz w:val="16"/>
          <w:szCs w:val="16"/>
        </w:rPr>
      </w:pPr>
      <w:r w:rsidRPr="000F7D6E">
        <w:rPr>
          <w:rStyle w:val="Refdenotaalpie"/>
          <w:rFonts w:ascii="Verdana" w:hAnsi="Verdana"/>
          <w:sz w:val="16"/>
          <w:szCs w:val="16"/>
        </w:rPr>
        <w:footnoteRef/>
      </w:r>
      <w:r w:rsidRPr="000F7D6E">
        <w:rPr>
          <w:rFonts w:ascii="Verdana" w:hAnsi="Verdana"/>
          <w:sz w:val="16"/>
          <w:szCs w:val="16"/>
        </w:rPr>
        <w:t xml:space="preserve"> CORTE</w:t>
      </w:r>
      <w:r w:rsidRPr="000F7D6E">
        <w:rPr>
          <w:rFonts w:ascii="Verdana" w:hAnsi="Verdana"/>
          <w:spacing w:val="-9"/>
          <w:sz w:val="16"/>
          <w:szCs w:val="16"/>
        </w:rPr>
        <w:t xml:space="preserve"> </w:t>
      </w:r>
      <w:r w:rsidRPr="000F7D6E">
        <w:rPr>
          <w:rFonts w:ascii="Verdana" w:hAnsi="Verdana"/>
          <w:sz w:val="16"/>
          <w:szCs w:val="16"/>
        </w:rPr>
        <w:t>CONSTITUCIONAL.</w:t>
      </w:r>
      <w:r w:rsidRPr="000F7D6E">
        <w:rPr>
          <w:rFonts w:ascii="Verdana" w:hAnsi="Verdana"/>
          <w:spacing w:val="-9"/>
          <w:sz w:val="16"/>
          <w:szCs w:val="16"/>
        </w:rPr>
        <w:t xml:space="preserve"> </w:t>
      </w:r>
      <w:r w:rsidRPr="000F7D6E">
        <w:rPr>
          <w:rFonts w:ascii="Verdana" w:hAnsi="Verdana"/>
          <w:sz w:val="16"/>
          <w:szCs w:val="16"/>
        </w:rPr>
        <w:t>Sentencia</w:t>
      </w:r>
      <w:r w:rsidRPr="000F7D6E">
        <w:rPr>
          <w:rFonts w:ascii="Verdana" w:hAnsi="Verdana"/>
          <w:spacing w:val="-9"/>
          <w:sz w:val="16"/>
          <w:szCs w:val="16"/>
        </w:rPr>
        <w:t xml:space="preserve"> </w:t>
      </w:r>
      <w:r w:rsidRPr="000F7D6E">
        <w:rPr>
          <w:rFonts w:ascii="Verdana" w:hAnsi="Verdana"/>
          <w:sz w:val="16"/>
          <w:szCs w:val="16"/>
        </w:rPr>
        <w:t>C-401</w:t>
      </w:r>
      <w:r w:rsidRPr="000F7D6E">
        <w:rPr>
          <w:rFonts w:ascii="Verdana" w:hAnsi="Verdana"/>
          <w:spacing w:val="-9"/>
          <w:sz w:val="16"/>
          <w:szCs w:val="16"/>
        </w:rPr>
        <w:t xml:space="preserve"> </w:t>
      </w:r>
      <w:r w:rsidRPr="000F7D6E">
        <w:rPr>
          <w:rFonts w:ascii="Verdana" w:hAnsi="Verdana"/>
          <w:sz w:val="16"/>
          <w:szCs w:val="16"/>
        </w:rPr>
        <w:t>de</w:t>
      </w:r>
      <w:r w:rsidRPr="000F7D6E">
        <w:rPr>
          <w:rFonts w:ascii="Verdana" w:hAnsi="Verdana"/>
          <w:spacing w:val="-10"/>
          <w:sz w:val="16"/>
          <w:szCs w:val="16"/>
        </w:rPr>
        <w:t xml:space="preserve"> </w:t>
      </w:r>
      <w:r w:rsidRPr="000F7D6E">
        <w:rPr>
          <w:rFonts w:ascii="Verdana" w:hAnsi="Verdana"/>
          <w:sz w:val="16"/>
          <w:szCs w:val="16"/>
        </w:rPr>
        <w:t>1998.</w:t>
      </w:r>
      <w:r w:rsidRPr="000F7D6E">
        <w:rPr>
          <w:rFonts w:ascii="Verdana" w:hAnsi="Verdana"/>
          <w:spacing w:val="-9"/>
          <w:sz w:val="16"/>
          <w:szCs w:val="16"/>
        </w:rPr>
        <w:t xml:space="preserve"> </w:t>
      </w:r>
      <w:r w:rsidRPr="000F7D6E">
        <w:rPr>
          <w:rFonts w:ascii="Verdana" w:hAnsi="Verdana"/>
          <w:sz w:val="16"/>
          <w:szCs w:val="16"/>
        </w:rPr>
        <w:t>M.P</w:t>
      </w:r>
      <w:r w:rsidRPr="000F7D6E">
        <w:rPr>
          <w:rFonts w:ascii="Verdana" w:hAnsi="Verdana"/>
          <w:spacing w:val="-8"/>
          <w:sz w:val="16"/>
          <w:szCs w:val="16"/>
        </w:rPr>
        <w:t xml:space="preserve"> </w:t>
      </w:r>
      <w:r w:rsidRPr="000F7D6E">
        <w:rPr>
          <w:rFonts w:ascii="Verdana" w:hAnsi="Verdana"/>
          <w:sz w:val="16"/>
          <w:szCs w:val="16"/>
        </w:rPr>
        <w:t>Vladimiro</w:t>
      </w:r>
      <w:r w:rsidRPr="000F7D6E">
        <w:rPr>
          <w:rFonts w:ascii="Verdana" w:hAnsi="Verdana"/>
          <w:spacing w:val="-6"/>
          <w:sz w:val="16"/>
          <w:szCs w:val="16"/>
        </w:rPr>
        <w:t xml:space="preserve"> </w:t>
      </w:r>
      <w:r w:rsidRPr="000F7D6E">
        <w:rPr>
          <w:rFonts w:ascii="Verdana" w:hAnsi="Verdana"/>
          <w:sz w:val="16"/>
          <w:szCs w:val="16"/>
        </w:rPr>
        <w:t>Naranjo</w:t>
      </w:r>
      <w:r w:rsidRPr="000F7D6E">
        <w:rPr>
          <w:rFonts w:ascii="Verdana" w:hAnsi="Verdana"/>
          <w:spacing w:val="-8"/>
          <w:sz w:val="16"/>
          <w:szCs w:val="16"/>
        </w:rPr>
        <w:t xml:space="preserve"> </w:t>
      </w:r>
      <w:r w:rsidRPr="000F7D6E">
        <w:rPr>
          <w:rFonts w:ascii="Verdana" w:hAnsi="Verdana"/>
          <w:spacing w:val="-4"/>
          <w:sz w:val="16"/>
          <w:szCs w:val="16"/>
        </w:rPr>
        <w:t>Meza</w:t>
      </w:r>
    </w:p>
    <w:p w14:paraId="73EB924F" w14:textId="5B67504B" w:rsidR="007E0255" w:rsidRPr="007E0255" w:rsidRDefault="007E0255">
      <w:pPr>
        <w:pStyle w:val="Textonotapie"/>
        <w:rPr>
          <w:lang w:val="es-ES"/>
        </w:rPr>
      </w:pPr>
    </w:p>
  </w:footnote>
  <w:footnote w:id="3">
    <w:p w14:paraId="3F6CB69B" w14:textId="7508514A" w:rsidR="000F7D6E" w:rsidRPr="000F7D6E" w:rsidRDefault="000F7D6E">
      <w:pPr>
        <w:pStyle w:val="Textonotapie"/>
        <w:rPr>
          <w:lang w:val="es-ES"/>
        </w:rPr>
      </w:pPr>
      <w:r>
        <w:rPr>
          <w:rStyle w:val="Refdenotaalpie"/>
        </w:rPr>
        <w:footnoteRef/>
      </w:r>
      <w:r>
        <w:t xml:space="preserve"> </w:t>
      </w:r>
      <w:r w:rsidRPr="000F7D6E">
        <w:t>Corte Constitucional. Sentencia C-133 de 1993. M.P Vladimiro Naranjo Meza</w:t>
      </w:r>
    </w:p>
  </w:footnote>
  <w:footnote w:id="4">
    <w:p w14:paraId="12E539CD" w14:textId="77777777" w:rsidR="000F7D6E" w:rsidRDefault="000F7D6E" w:rsidP="000F7D6E">
      <w:pPr>
        <w:pStyle w:val="Textonotapie"/>
      </w:pPr>
      <w:r>
        <w:rPr>
          <w:rStyle w:val="Refdenotaalpie"/>
        </w:rPr>
        <w:footnoteRef/>
      </w:r>
      <w:r>
        <w:t xml:space="preserve"> DEPARTAMENTO ADMINISTRATIVO DE LA FUNCIÓN PÚBLICA. Concepto 209621 del 06 de julio de</w:t>
      </w:r>
    </w:p>
    <w:p w14:paraId="67414CE3" w14:textId="7EE72C1C" w:rsidR="000F7D6E" w:rsidRPr="000F7D6E" w:rsidRDefault="000F7D6E" w:rsidP="000F7D6E">
      <w:pPr>
        <w:pStyle w:val="Textonotapie"/>
        <w:rPr>
          <w:lang w:val="es-ES"/>
        </w:rPr>
      </w:pPr>
      <w:r>
        <w:t>2022</w:t>
      </w:r>
    </w:p>
  </w:footnote>
  <w:footnote w:id="5">
    <w:p w14:paraId="5EFE9380" w14:textId="16E24A69" w:rsidR="000F7D6E" w:rsidRPr="000F7D6E" w:rsidRDefault="000F7D6E">
      <w:pPr>
        <w:pStyle w:val="Textonotapie"/>
        <w:rPr>
          <w:lang w:val="es-ES"/>
        </w:rPr>
      </w:pPr>
      <w:r>
        <w:rPr>
          <w:rStyle w:val="Refdenotaalpie"/>
        </w:rPr>
        <w:footnoteRef/>
      </w:r>
      <w:r>
        <w:t xml:space="preserve"> </w:t>
      </w:r>
      <w:r w:rsidRPr="000F7D6E">
        <w:t>CORTE CONSTITUCIONAL. Sentencia C-133 de 1993. M.P Vladimiro Naranjo Meza, la sentencia C-401 de 1998. M.P Vladimiro Naranjo Meza y la Sentencia C-422 de 2012. M.P Mauricio González Cuervo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62C13705" w14:textId="03B0E4C8" w:rsidR="00715A97" w:rsidRPr="00E32B87" w:rsidRDefault="00C925AC" w:rsidP="00E32B8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1DEF57"/>
    <w:multiLevelType w:val="hybridMultilevel"/>
    <w:tmpl w:val="CEAAF71A"/>
    <w:lvl w:ilvl="0" w:tplc="630C2B56">
      <w:numFmt w:val="bullet"/>
      <w:lvlText w:val="•"/>
      <w:lvlJc w:val="left"/>
      <w:pPr>
        <w:ind w:left="822" w:hanging="360"/>
      </w:pPr>
      <w:rPr>
        <w:rFonts w:ascii="Verdana" w:eastAsia="Verdana" w:hAnsi="Verdana" w:cs="Verdana" w:hint="default"/>
        <w:b/>
        <w:bCs/>
        <w:i w:val="0"/>
        <w:iCs w:val="0"/>
        <w:spacing w:val="0"/>
        <w:w w:val="44"/>
        <w:sz w:val="22"/>
        <w:szCs w:val="22"/>
        <w:lang w:val="es-ES" w:eastAsia="en-US" w:bidi="ar-SA"/>
      </w:rPr>
    </w:lvl>
    <w:lvl w:ilvl="1" w:tplc="D0A271A0">
      <w:numFmt w:val="bullet"/>
      <w:lvlText w:val="•"/>
      <w:lvlJc w:val="left"/>
      <w:pPr>
        <w:ind w:left="1601" w:hanging="360"/>
      </w:pPr>
      <w:rPr>
        <w:rFonts w:hint="default"/>
        <w:lang w:val="es-ES" w:eastAsia="en-US" w:bidi="ar-SA"/>
      </w:rPr>
    </w:lvl>
    <w:lvl w:ilvl="2" w:tplc="7EB8C5B4">
      <w:numFmt w:val="bullet"/>
      <w:lvlText w:val="•"/>
      <w:lvlJc w:val="left"/>
      <w:pPr>
        <w:ind w:left="2383" w:hanging="360"/>
      </w:pPr>
      <w:rPr>
        <w:rFonts w:hint="default"/>
        <w:lang w:val="es-ES" w:eastAsia="en-US" w:bidi="ar-SA"/>
      </w:rPr>
    </w:lvl>
    <w:lvl w:ilvl="3" w:tplc="45C4D560">
      <w:numFmt w:val="bullet"/>
      <w:lvlText w:val="•"/>
      <w:lvlJc w:val="left"/>
      <w:pPr>
        <w:ind w:left="3165" w:hanging="360"/>
      </w:pPr>
      <w:rPr>
        <w:rFonts w:hint="default"/>
        <w:lang w:val="es-ES" w:eastAsia="en-US" w:bidi="ar-SA"/>
      </w:rPr>
    </w:lvl>
    <w:lvl w:ilvl="4" w:tplc="40EC2BAE">
      <w:numFmt w:val="bullet"/>
      <w:lvlText w:val="•"/>
      <w:lvlJc w:val="left"/>
      <w:pPr>
        <w:ind w:left="3946" w:hanging="360"/>
      </w:pPr>
      <w:rPr>
        <w:rFonts w:hint="default"/>
        <w:lang w:val="es-ES" w:eastAsia="en-US" w:bidi="ar-SA"/>
      </w:rPr>
    </w:lvl>
    <w:lvl w:ilvl="5" w:tplc="21B8D798">
      <w:numFmt w:val="bullet"/>
      <w:lvlText w:val="•"/>
      <w:lvlJc w:val="left"/>
      <w:pPr>
        <w:ind w:left="4728" w:hanging="360"/>
      </w:pPr>
      <w:rPr>
        <w:rFonts w:hint="default"/>
        <w:lang w:val="es-ES" w:eastAsia="en-US" w:bidi="ar-SA"/>
      </w:rPr>
    </w:lvl>
    <w:lvl w:ilvl="6" w:tplc="767620B0">
      <w:numFmt w:val="bullet"/>
      <w:lvlText w:val="•"/>
      <w:lvlJc w:val="left"/>
      <w:pPr>
        <w:ind w:left="5510" w:hanging="360"/>
      </w:pPr>
      <w:rPr>
        <w:rFonts w:hint="default"/>
        <w:lang w:val="es-ES" w:eastAsia="en-US" w:bidi="ar-SA"/>
      </w:rPr>
    </w:lvl>
    <w:lvl w:ilvl="7" w:tplc="66D453F2">
      <w:numFmt w:val="bullet"/>
      <w:lvlText w:val="•"/>
      <w:lvlJc w:val="left"/>
      <w:pPr>
        <w:ind w:left="6291" w:hanging="360"/>
      </w:pPr>
      <w:rPr>
        <w:rFonts w:hint="default"/>
        <w:lang w:val="es-ES" w:eastAsia="en-US" w:bidi="ar-SA"/>
      </w:rPr>
    </w:lvl>
    <w:lvl w:ilvl="8" w:tplc="FE20A2A4">
      <w:numFmt w:val="bullet"/>
      <w:lvlText w:val="•"/>
      <w:lvlJc w:val="left"/>
      <w:pPr>
        <w:ind w:left="7073" w:hanging="360"/>
      </w:pPr>
      <w:rPr>
        <w:rFonts w:hint="default"/>
        <w:lang w:val="es-ES" w:eastAsia="en-US" w:bidi="ar-SA"/>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5C3288B"/>
    <w:multiLevelType w:val="hybridMultilevel"/>
    <w:tmpl w:val="E46EECA0"/>
    <w:lvl w:ilvl="0" w:tplc="47002D8C">
      <w:numFmt w:val="bullet"/>
      <w:lvlText w:val=""/>
      <w:lvlJc w:val="left"/>
      <w:pPr>
        <w:ind w:left="823" w:hanging="363"/>
      </w:pPr>
      <w:rPr>
        <w:rFonts w:ascii="Symbol" w:eastAsia="Symbol" w:hAnsi="Symbol" w:cs="Symbol" w:hint="default"/>
        <w:b w:val="0"/>
        <w:bCs w:val="0"/>
        <w:i w:val="0"/>
        <w:iCs w:val="0"/>
        <w:spacing w:val="0"/>
        <w:w w:val="98"/>
        <w:sz w:val="22"/>
        <w:szCs w:val="22"/>
        <w:lang w:val="es-ES" w:eastAsia="en-US" w:bidi="ar-SA"/>
      </w:rPr>
    </w:lvl>
    <w:lvl w:ilvl="1" w:tplc="9EF49C38">
      <w:numFmt w:val="bullet"/>
      <w:lvlText w:val="•"/>
      <w:lvlJc w:val="left"/>
      <w:pPr>
        <w:ind w:left="1601" w:hanging="363"/>
      </w:pPr>
      <w:rPr>
        <w:rFonts w:hint="default"/>
        <w:lang w:val="es-ES" w:eastAsia="en-US" w:bidi="ar-SA"/>
      </w:rPr>
    </w:lvl>
    <w:lvl w:ilvl="2" w:tplc="B80893E4">
      <w:numFmt w:val="bullet"/>
      <w:lvlText w:val="•"/>
      <w:lvlJc w:val="left"/>
      <w:pPr>
        <w:ind w:left="2383" w:hanging="363"/>
      </w:pPr>
      <w:rPr>
        <w:rFonts w:hint="default"/>
        <w:lang w:val="es-ES" w:eastAsia="en-US" w:bidi="ar-SA"/>
      </w:rPr>
    </w:lvl>
    <w:lvl w:ilvl="3" w:tplc="319822AA">
      <w:numFmt w:val="bullet"/>
      <w:lvlText w:val="•"/>
      <w:lvlJc w:val="left"/>
      <w:pPr>
        <w:ind w:left="3165" w:hanging="363"/>
      </w:pPr>
      <w:rPr>
        <w:rFonts w:hint="default"/>
        <w:lang w:val="es-ES" w:eastAsia="en-US" w:bidi="ar-SA"/>
      </w:rPr>
    </w:lvl>
    <w:lvl w:ilvl="4" w:tplc="166ED856">
      <w:numFmt w:val="bullet"/>
      <w:lvlText w:val="•"/>
      <w:lvlJc w:val="left"/>
      <w:pPr>
        <w:ind w:left="3946" w:hanging="363"/>
      </w:pPr>
      <w:rPr>
        <w:rFonts w:hint="default"/>
        <w:lang w:val="es-ES" w:eastAsia="en-US" w:bidi="ar-SA"/>
      </w:rPr>
    </w:lvl>
    <w:lvl w:ilvl="5" w:tplc="DAA2F876">
      <w:numFmt w:val="bullet"/>
      <w:lvlText w:val="•"/>
      <w:lvlJc w:val="left"/>
      <w:pPr>
        <w:ind w:left="4728" w:hanging="363"/>
      </w:pPr>
      <w:rPr>
        <w:rFonts w:hint="default"/>
        <w:lang w:val="es-ES" w:eastAsia="en-US" w:bidi="ar-SA"/>
      </w:rPr>
    </w:lvl>
    <w:lvl w:ilvl="6" w:tplc="71C88FCA">
      <w:numFmt w:val="bullet"/>
      <w:lvlText w:val="•"/>
      <w:lvlJc w:val="left"/>
      <w:pPr>
        <w:ind w:left="5510" w:hanging="363"/>
      </w:pPr>
      <w:rPr>
        <w:rFonts w:hint="default"/>
        <w:lang w:val="es-ES" w:eastAsia="en-US" w:bidi="ar-SA"/>
      </w:rPr>
    </w:lvl>
    <w:lvl w:ilvl="7" w:tplc="C600646C">
      <w:numFmt w:val="bullet"/>
      <w:lvlText w:val="•"/>
      <w:lvlJc w:val="left"/>
      <w:pPr>
        <w:ind w:left="6291" w:hanging="363"/>
      </w:pPr>
      <w:rPr>
        <w:rFonts w:hint="default"/>
        <w:lang w:val="es-ES" w:eastAsia="en-US" w:bidi="ar-SA"/>
      </w:rPr>
    </w:lvl>
    <w:lvl w:ilvl="8" w:tplc="14BCB4C4">
      <w:numFmt w:val="bullet"/>
      <w:lvlText w:val="•"/>
      <w:lvlJc w:val="left"/>
      <w:pPr>
        <w:ind w:left="7073" w:hanging="363"/>
      </w:pPr>
      <w:rPr>
        <w:rFonts w:hint="default"/>
        <w:lang w:val="es-ES" w:eastAsia="en-US" w:bidi="ar-SA"/>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DFE6C8D"/>
    <w:multiLevelType w:val="hybridMultilevel"/>
    <w:tmpl w:val="78E2F300"/>
    <w:lvl w:ilvl="0" w:tplc="0409000F">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4"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0081945"/>
    <w:multiLevelType w:val="hybridMultilevel"/>
    <w:tmpl w:val="2B28EC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F8FD38A"/>
    <w:multiLevelType w:val="hybridMultilevel"/>
    <w:tmpl w:val="B60459EA"/>
    <w:lvl w:ilvl="0" w:tplc="BE3699F6">
      <w:numFmt w:val="bullet"/>
      <w:lvlText w:val=""/>
      <w:lvlJc w:val="left"/>
      <w:pPr>
        <w:ind w:left="822" w:hanging="360"/>
      </w:pPr>
      <w:rPr>
        <w:rFonts w:ascii="Symbol" w:eastAsia="Symbol" w:hAnsi="Symbol" w:cs="Symbol" w:hint="default"/>
        <w:b w:val="0"/>
        <w:bCs w:val="0"/>
        <w:i w:val="0"/>
        <w:iCs w:val="0"/>
        <w:spacing w:val="0"/>
        <w:w w:val="98"/>
        <w:sz w:val="22"/>
        <w:szCs w:val="22"/>
        <w:lang w:val="es-ES" w:eastAsia="en-US" w:bidi="ar-SA"/>
      </w:rPr>
    </w:lvl>
    <w:lvl w:ilvl="1" w:tplc="E6D87B9E">
      <w:numFmt w:val="bullet"/>
      <w:lvlText w:val="•"/>
      <w:lvlJc w:val="left"/>
      <w:pPr>
        <w:ind w:left="1601" w:hanging="360"/>
      </w:pPr>
      <w:rPr>
        <w:rFonts w:hint="default"/>
        <w:lang w:val="es-ES" w:eastAsia="en-US" w:bidi="ar-SA"/>
      </w:rPr>
    </w:lvl>
    <w:lvl w:ilvl="2" w:tplc="CD085728">
      <w:numFmt w:val="bullet"/>
      <w:lvlText w:val="•"/>
      <w:lvlJc w:val="left"/>
      <w:pPr>
        <w:ind w:left="2383" w:hanging="360"/>
      </w:pPr>
      <w:rPr>
        <w:rFonts w:hint="default"/>
        <w:lang w:val="es-ES" w:eastAsia="en-US" w:bidi="ar-SA"/>
      </w:rPr>
    </w:lvl>
    <w:lvl w:ilvl="3" w:tplc="0E96EEA0">
      <w:numFmt w:val="bullet"/>
      <w:lvlText w:val="•"/>
      <w:lvlJc w:val="left"/>
      <w:pPr>
        <w:ind w:left="3165" w:hanging="360"/>
      </w:pPr>
      <w:rPr>
        <w:rFonts w:hint="default"/>
        <w:lang w:val="es-ES" w:eastAsia="en-US" w:bidi="ar-SA"/>
      </w:rPr>
    </w:lvl>
    <w:lvl w:ilvl="4" w:tplc="1104297A">
      <w:numFmt w:val="bullet"/>
      <w:lvlText w:val="•"/>
      <w:lvlJc w:val="left"/>
      <w:pPr>
        <w:ind w:left="3946" w:hanging="360"/>
      </w:pPr>
      <w:rPr>
        <w:rFonts w:hint="default"/>
        <w:lang w:val="es-ES" w:eastAsia="en-US" w:bidi="ar-SA"/>
      </w:rPr>
    </w:lvl>
    <w:lvl w:ilvl="5" w:tplc="87AC6D2C">
      <w:numFmt w:val="bullet"/>
      <w:lvlText w:val="•"/>
      <w:lvlJc w:val="left"/>
      <w:pPr>
        <w:ind w:left="4728" w:hanging="360"/>
      </w:pPr>
      <w:rPr>
        <w:rFonts w:hint="default"/>
        <w:lang w:val="es-ES" w:eastAsia="en-US" w:bidi="ar-SA"/>
      </w:rPr>
    </w:lvl>
    <w:lvl w:ilvl="6" w:tplc="CD720CDE">
      <w:numFmt w:val="bullet"/>
      <w:lvlText w:val="•"/>
      <w:lvlJc w:val="left"/>
      <w:pPr>
        <w:ind w:left="5510" w:hanging="360"/>
      </w:pPr>
      <w:rPr>
        <w:rFonts w:hint="default"/>
        <w:lang w:val="es-ES" w:eastAsia="en-US" w:bidi="ar-SA"/>
      </w:rPr>
    </w:lvl>
    <w:lvl w:ilvl="7" w:tplc="F31AB1BE">
      <w:numFmt w:val="bullet"/>
      <w:lvlText w:val="•"/>
      <w:lvlJc w:val="left"/>
      <w:pPr>
        <w:ind w:left="6291" w:hanging="360"/>
      </w:pPr>
      <w:rPr>
        <w:rFonts w:hint="default"/>
        <w:lang w:val="es-ES" w:eastAsia="en-US" w:bidi="ar-SA"/>
      </w:rPr>
    </w:lvl>
    <w:lvl w:ilvl="8" w:tplc="61546386">
      <w:numFmt w:val="bullet"/>
      <w:lvlText w:val="•"/>
      <w:lvlJc w:val="left"/>
      <w:pPr>
        <w:ind w:left="7073" w:hanging="360"/>
      </w:pPr>
      <w:rPr>
        <w:rFonts w:hint="default"/>
        <w:lang w:val="es-ES" w:eastAsia="en-US" w:bidi="ar-SA"/>
      </w:rPr>
    </w:lvl>
  </w:abstractNum>
  <w:abstractNum w:abstractNumId="1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6"/>
  </w:num>
  <w:num w:numId="8" w16cid:durableId="152644682">
    <w:abstractNumId w:val="19"/>
  </w:num>
  <w:num w:numId="9" w16cid:durableId="1317221377">
    <w:abstractNumId w:val="10"/>
  </w:num>
  <w:num w:numId="10" w16cid:durableId="1471245386">
    <w:abstractNumId w:val="18"/>
  </w:num>
  <w:num w:numId="11" w16cid:durableId="289172385">
    <w:abstractNumId w:val="11"/>
  </w:num>
  <w:num w:numId="12" w16cid:durableId="1470781324">
    <w:abstractNumId w:val="1"/>
  </w:num>
  <w:num w:numId="13" w16cid:durableId="1512908409">
    <w:abstractNumId w:val="4"/>
  </w:num>
  <w:num w:numId="14" w16cid:durableId="895897244">
    <w:abstractNumId w:val="21"/>
  </w:num>
  <w:num w:numId="15" w16cid:durableId="390349800">
    <w:abstractNumId w:val="17"/>
  </w:num>
  <w:num w:numId="16" w16cid:durableId="341274352">
    <w:abstractNumId w:val="0"/>
  </w:num>
  <w:num w:numId="17" w16cid:durableId="153255849">
    <w:abstractNumId w:val="14"/>
  </w:num>
  <w:num w:numId="18" w16cid:durableId="484509577">
    <w:abstractNumId w:val="13"/>
  </w:num>
  <w:num w:numId="19" w16cid:durableId="679089576">
    <w:abstractNumId w:val="12"/>
  </w:num>
  <w:num w:numId="20" w16cid:durableId="1290623316">
    <w:abstractNumId w:val="3"/>
  </w:num>
  <w:num w:numId="21" w16cid:durableId="879898548">
    <w:abstractNumId w:val="15"/>
  </w:num>
  <w:num w:numId="22" w16cid:durableId="73092471">
    <w:abstractNumId w:val="9"/>
  </w:num>
  <w:num w:numId="23" w16cid:durableId="234245444">
    <w:abstractNumId w:val="7"/>
  </w:num>
  <w:num w:numId="24" w16cid:durableId="15321894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BF3"/>
    <w:rsid w:val="00040FB5"/>
    <w:rsid w:val="00046945"/>
    <w:rsid w:val="000505CC"/>
    <w:rsid w:val="00061B2A"/>
    <w:rsid w:val="00073941"/>
    <w:rsid w:val="000751C3"/>
    <w:rsid w:val="00082362"/>
    <w:rsid w:val="000A683E"/>
    <w:rsid w:val="000B19B9"/>
    <w:rsid w:val="000B3A84"/>
    <w:rsid w:val="000D0334"/>
    <w:rsid w:val="000D5DA7"/>
    <w:rsid w:val="000E2CB2"/>
    <w:rsid w:val="000F1C13"/>
    <w:rsid w:val="000F485C"/>
    <w:rsid w:val="000F6486"/>
    <w:rsid w:val="000F7D6E"/>
    <w:rsid w:val="00116940"/>
    <w:rsid w:val="00125105"/>
    <w:rsid w:val="00127233"/>
    <w:rsid w:val="00153F68"/>
    <w:rsid w:val="0015699B"/>
    <w:rsid w:val="0017121C"/>
    <w:rsid w:val="00197C13"/>
    <w:rsid w:val="001A33BF"/>
    <w:rsid w:val="001E3C78"/>
    <w:rsid w:val="001E4177"/>
    <w:rsid w:val="001F0B24"/>
    <w:rsid w:val="001F1B6C"/>
    <w:rsid w:val="001F7DC6"/>
    <w:rsid w:val="002010E9"/>
    <w:rsid w:val="0020600F"/>
    <w:rsid w:val="0022400B"/>
    <w:rsid w:val="002421BB"/>
    <w:rsid w:val="00250BBB"/>
    <w:rsid w:val="0025796E"/>
    <w:rsid w:val="00262196"/>
    <w:rsid w:val="002707A2"/>
    <w:rsid w:val="002859DE"/>
    <w:rsid w:val="002951A0"/>
    <w:rsid w:val="002962BC"/>
    <w:rsid w:val="002A093D"/>
    <w:rsid w:val="002A0DD0"/>
    <w:rsid w:val="002A21EE"/>
    <w:rsid w:val="002A49AC"/>
    <w:rsid w:val="002A64FD"/>
    <w:rsid w:val="002B21B6"/>
    <w:rsid w:val="002B7DC5"/>
    <w:rsid w:val="002C1DA9"/>
    <w:rsid w:val="002C7A84"/>
    <w:rsid w:val="002E2BF8"/>
    <w:rsid w:val="002E4FD9"/>
    <w:rsid w:val="002F455A"/>
    <w:rsid w:val="0030657A"/>
    <w:rsid w:val="00317145"/>
    <w:rsid w:val="00322A85"/>
    <w:rsid w:val="00324168"/>
    <w:rsid w:val="00330834"/>
    <w:rsid w:val="003448F4"/>
    <w:rsid w:val="00374F5E"/>
    <w:rsid w:val="00377E3E"/>
    <w:rsid w:val="003A0A74"/>
    <w:rsid w:val="003A779E"/>
    <w:rsid w:val="003C2C84"/>
    <w:rsid w:val="003D0F4D"/>
    <w:rsid w:val="003D5B0D"/>
    <w:rsid w:val="003E0499"/>
    <w:rsid w:val="003E19D8"/>
    <w:rsid w:val="003E3482"/>
    <w:rsid w:val="003E4F80"/>
    <w:rsid w:val="003E6439"/>
    <w:rsid w:val="003F3941"/>
    <w:rsid w:val="00406575"/>
    <w:rsid w:val="004112F0"/>
    <w:rsid w:val="00414C74"/>
    <w:rsid w:val="0042722E"/>
    <w:rsid w:val="0044528D"/>
    <w:rsid w:val="0045379B"/>
    <w:rsid w:val="00466E39"/>
    <w:rsid w:val="004A1847"/>
    <w:rsid w:val="004A305D"/>
    <w:rsid w:val="004E2672"/>
    <w:rsid w:val="004F21C4"/>
    <w:rsid w:val="004F685F"/>
    <w:rsid w:val="005566E8"/>
    <w:rsid w:val="00566F47"/>
    <w:rsid w:val="00574867"/>
    <w:rsid w:val="00591460"/>
    <w:rsid w:val="005A65E0"/>
    <w:rsid w:val="005B5E22"/>
    <w:rsid w:val="005C3777"/>
    <w:rsid w:val="005C5CDC"/>
    <w:rsid w:val="005D476C"/>
    <w:rsid w:val="005E4EC4"/>
    <w:rsid w:val="005F44A9"/>
    <w:rsid w:val="00601929"/>
    <w:rsid w:val="006200BF"/>
    <w:rsid w:val="006219F8"/>
    <w:rsid w:val="006302F7"/>
    <w:rsid w:val="00634EC8"/>
    <w:rsid w:val="0063753D"/>
    <w:rsid w:val="00646B9F"/>
    <w:rsid w:val="00665D70"/>
    <w:rsid w:val="006900D9"/>
    <w:rsid w:val="006D495A"/>
    <w:rsid w:val="006E3691"/>
    <w:rsid w:val="00706C16"/>
    <w:rsid w:val="00710F57"/>
    <w:rsid w:val="00715A97"/>
    <w:rsid w:val="007211E4"/>
    <w:rsid w:val="007340C3"/>
    <w:rsid w:val="00745719"/>
    <w:rsid w:val="0075235A"/>
    <w:rsid w:val="00756841"/>
    <w:rsid w:val="007649AB"/>
    <w:rsid w:val="00771D0C"/>
    <w:rsid w:val="00774956"/>
    <w:rsid w:val="00774B21"/>
    <w:rsid w:val="007833AC"/>
    <w:rsid w:val="00797CFC"/>
    <w:rsid w:val="007A2AE8"/>
    <w:rsid w:val="007B268C"/>
    <w:rsid w:val="007B7171"/>
    <w:rsid w:val="007C0C0F"/>
    <w:rsid w:val="007C1427"/>
    <w:rsid w:val="007C3DC2"/>
    <w:rsid w:val="007D7696"/>
    <w:rsid w:val="007E0255"/>
    <w:rsid w:val="007E5497"/>
    <w:rsid w:val="00806F5F"/>
    <w:rsid w:val="00820278"/>
    <w:rsid w:val="008258C9"/>
    <w:rsid w:val="0083205F"/>
    <w:rsid w:val="00844AE9"/>
    <w:rsid w:val="00862A50"/>
    <w:rsid w:val="00867F95"/>
    <w:rsid w:val="008843B6"/>
    <w:rsid w:val="00891928"/>
    <w:rsid w:val="00897BAA"/>
    <w:rsid w:val="008A446D"/>
    <w:rsid w:val="008B25F1"/>
    <w:rsid w:val="008D180B"/>
    <w:rsid w:val="008E6AC9"/>
    <w:rsid w:val="008F0EA7"/>
    <w:rsid w:val="0092291E"/>
    <w:rsid w:val="00923EEF"/>
    <w:rsid w:val="00936316"/>
    <w:rsid w:val="009379B5"/>
    <w:rsid w:val="009419F9"/>
    <w:rsid w:val="0095685E"/>
    <w:rsid w:val="00961B09"/>
    <w:rsid w:val="00965334"/>
    <w:rsid w:val="0097093E"/>
    <w:rsid w:val="009A0DFA"/>
    <w:rsid w:val="009A1C6F"/>
    <w:rsid w:val="009B2D26"/>
    <w:rsid w:val="009C71FA"/>
    <w:rsid w:val="009C72E7"/>
    <w:rsid w:val="009C7F7E"/>
    <w:rsid w:val="009D3058"/>
    <w:rsid w:val="009F0808"/>
    <w:rsid w:val="009F3A13"/>
    <w:rsid w:val="009F6069"/>
    <w:rsid w:val="00A122D3"/>
    <w:rsid w:val="00A14468"/>
    <w:rsid w:val="00A17F13"/>
    <w:rsid w:val="00A20739"/>
    <w:rsid w:val="00A23AF9"/>
    <w:rsid w:val="00A25DBD"/>
    <w:rsid w:val="00A33C78"/>
    <w:rsid w:val="00A3517F"/>
    <w:rsid w:val="00A420B1"/>
    <w:rsid w:val="00A9046E"/>
    <w:rsid w:val="00AB0ADB"/>
    <w:rsid w:val="00AB31F6"/>
    <w:rsid w:val="00AB504F"/>
    <w:rsid w:val="00AB6D32"/>
    <w:rsid w:val="00B00C0E"/>
    <w:rsid w:val="00B01B1A"/>
    <w:rsid w:val="00B0381D"/>
    <w:rsid w:val="00B0384E"/>
    <w:rsid w:val="00B175EE"/>
    <w:rsid w:val="00B227E5"/>
    <w:rsid w:val="00B23176"/>
    <w:rsid w:val="00B270C8"/>
    <w:rsid w:val="00B44A47"/>
    <w:rsid w:val="00B61460"/>
    <w:rsid w:val="00B72CD3"/>
    <w:rsid w:val="00B72FFF"/>
    <w:rsid w:val="00B76769"/>
    <w:rsid w:val="00B95BC2"/>
    <w:rsid w:val="00BC3AE6"/>
    <w:rsid w:val="00BC3D36"/>
    <w:rsid w:val="00BD3DCB"/>
    <w:rsid w:val="00BD54A6"/>
    <w:rsid w:val="00BD7F72"/>
    <w:rsid w:val="00BF7425"/>
    <w:rsid w:val="00C004C2"/>
    <w:rsid w:val="00C04FB3"/>
    <w:rsid w:val="00C11D8B"/>
    <w:rsid w:val="00C15139"/>
    <w:rsid w:val="00C330EB"/>
    <w:rsid w:val="00C50D69"/>
    <w:rsid w:val="00C5365C"/>
    <w:rsid w:val="00C56C01"/>
    <w:rsid w:val="00C638AE"/>
    <w:rsid w:val="00C705A6"/>
    <w:rsid w:val="00C754BE"/>
    <w:rsid w:val="00C76B1C"/>
    <w:rsid w:val="00C925AC"/>
    <w:rsid w:val="00CB3620"/>
    <w:rsid w:val="00CB6357"/>
    <w:rsid w:val="00CC1B26"/>
    <w:rsid w:val="00CD60B2"/>
    <w:rsid w:val="00CE6EAC"/>
    <w:rsid w:val="00D361FD"/>
    <w:rsid w:val="00D423A2"/>
    <w:rsid w:val="00D4399A"/>
    <w:rsid w:val="00D44E26"/>
    <w:rsid w:val="00D520D8"/>
    <w:rsid w:val="00D52F90"/>
    <w:rsid w:val="00D63AC2"/>
    <w:rsid w:val="00D7383B"/>
    <w:rsid w:val="00D7788A"/>
    <w:rsid w:val="00DA231B"/>
    <w:rsid w:val="00DC39FC"/>
    <w:rsid w:val="00DE1DE5"/>
    <w:rsid w:val="00DF5254"/>
    <w:rsid w:val="00E01B03"/>
    <w:rsid w:val="00E02524"/>
    <w:rsid w:val="00E16408"/>
    <w:rsid w:val="00E20894"/>
    <w:rsid w:val="00E245AB"/>
    <w:rsid w:val="00E2764C"/>
    <w:rsid w:val="00E27F2E"/>
    <w:rsid w:val="00E32B87"/>
    <w:rsid w:val="00E50AFE"/>
    <w:rsid w:val="00E525BD"/>
    <w:rsid w:val="00E55867"/>
    <w:rsid w:val="00E66F0C"/>
    <w:rsid w:val="00E75C92"/>
    <w:rsid w:val="00E771DC"/>
    <w:rsid w:val="00E819B4"/>
    <w:rsid w:val="00E84CB2"/>
    <w:rsid w:val="00E8772A"/>
    <w:rsid w:val="00E90F6B"/>
    <w:rsid w:val="00E92C27"/>
    <w:rsid w:val="00EA0E3D"/>
    <w:rsid w:val="00EB43D7"/>
    <w:rsid w:val="00EB5DC2"/>
    <w:rsid w:val="00EB66F0"/>
    <w:rsid w:val="00EC38A7"/>
    <w:rsid w:val="00EE1AA8"/>
    <w:rsid w:val="00F00543"/>
    <w:rsid w:val="00F035B6"/>
    <w:rsid w:val="00F23F2F"/>
    <w:rsid w:val="00F23F96"/>
    <w:rsid w:val="00F23FEA"/>
    <w:rsid w:val="00F31EDC"/>
    <w:rsid w:val="00F367C0"/>
    <w:rsid w:val="00F40F57"/>
    <w:rsid w:val="00F462B3"/>
    <w:rsid w:val="00F5664F"/>
    <w:rsid w:val="00F666C4"/>
    <w:rsid w:val="00F76AFC"/>
    <w:rsid w:val="00FA47C0"/>
    <w:rsid w:val="00FB5DD1"/>
    <w:rsid w:val="00FC2B5D"/>
    <w:rsid w:val="00FD01ED"/>
    <w:rsid w:val="00FE6859"/>
    <w:rsid w:val="00FF1449"/>
    <w:rsid w:val="00FF4E35"/>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F4E3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4E35"/>
    <w:rPr>
      <w:rFonts w:ascii="Geomanist Light" w:hAnsi="Geomanist Light"/>
      <w:lang w:val="es-ES"/>
    </w:rPr>
  </w:style>
  <w:style w:type="character" w:customStyle="1" w:styleId="NormalWebCar">
    <w:name w:val="Normal (Web) Car"/>
    <w:link w:val="NormalWeb"/>
    <w:uiPriority w:val="99"/>
    <w:locked/>
    <w:rsid w:val="00FF4E35"/>
    <w:rPr>
      <w:rFonts w:ascii="Times New Roman" w:eastAsia="Times New Roman" w:hAnsi="Times New Roman" w:cs="Times New Roman"/>
      <w:sz w:val="24"/>
      <w:szCs w:val="24"/>
      <w:lang w:eastAsia="es-CO"/>
    </w:rPr>
  </w:style>
  <w:style w:type="character" w:customStyle="1" w:styleId="baj">
    <w:name w:val="b_aj"/>
    <w:basedOn w:val="Fuentedeprrafopredeter"/>
    <w:rsid w:val="00FF4E35"/>
  </w:style>
  <w:style w:type="paragraph" w:styleId="Sinespaciado">
    <w:name w:val="No Spacing"/>
    <w:aliases w:val="No Indent"/>
    <w:uiPriority w:val="3"/>
    <w:qFormat/>
    <w:rsid w:val="00AB6D32"/>
    <w:pPr>
      <w:spacing w:after="0" w:line="240" w:lineRule="auto"/>
    </w:pPr>
    <w:rPr>
      <w:sz w:val="24"/>
      <w:lang w:val="es-MX"/>
    </w:rPr>
  </w:style>
  <w:style w:type="paragraph" w:styleId="Textoindependiente">
    <w:name w:val="Body Text"/>
    <w:basedOn w:val="Normal"/>
    <w:link w:val="TextoindependienteCar"/>
    <w:uiPriority w:val="1"/>
    <w:qFormat/>
    <w:rsid w:val="004112F0"/>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4112F0"/>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05698">
      <w:bodyDiv w:val="1"/>
      <w:marLeft w:val="0"/>
      <w:marRight w:val="0"/>
      <w:marTop w:val="0"/>
      <w:marBottom w:val="0"/>
      <w:divBdr>
        <w:top w:val="none" w:sz="0" w:space="0" w:color="auto"/>
        <w:left w:val="none" w:sz="0" w:space="0" w:color="auto"/>
        <w:bottom w:val="none" w:sz="0" w:space="0" w:color="auto"/>
        <w:right w:val="none" w:sz="0" w:space="0" w:color="auto"/>
      </w:divBdr>
      <w:divsChild>
        <w:div w:id="2103068432">
          <w:marLeft w:val="0"/>
          <w:marRight w:val="0"/>
          <w:marTop w:val="0"/>
          <w:marBottom w:val="0"/>
          <w:divBdr>
            <w:top w:val="none" w:sz="0" w:space="0" w:color="auto"/>
            <w:left w:val="none" w:sz="0" w:space="0" w:color="auto"/>
            <w:bottom w:val="none" w:sz="0" w:space="0" w:color="auto"/>
            <w:right w:val="none" w:sz="0" w:space="0" w:color="auto"/>
          </w:divBdr>
          <w:divsChild>
            <w:div w:id="1361664977">
              <w:marLeft w:val="0"/>
              <w:marRight w:val="0"/>
              <w:marTop w:val="0"/>
              <w:marBottom w:val="0"/>
              <w:divBdr>
                <w:top w:val="none" w:sz="0" w:space="0" w:color="auto"/>
                <w:left w:val="none" w:sz="0" w:space="0" w:color="auto"/>
                <w:bottom w:val="none" w:sz="0" w:space="0" w:color="auto"/>
                <w:right w:val="none" w:sz="0" w:space="0" w:color="auto"/>
              </w:divBdr>
              <w:divsChild>
                <w:div w:id="1516072876">
                  <w:marLeft w:val="0"/>
                  <w:marRight w:val="0"/>
                  <w:marTop w:val="0"/>
                  <w:marBottom w:val="0"/>
                  <w:divBdr>
                    <w:top w:val="none" w:sz="0" w:space="0" w:color="auto"/>
                    <w:left w:val="none" w:sz="0" w:space="0" w:color="auto"/>
                    <w:bottom w:val="none" w:sz="0" w:space="0" w:color="auto"/>
                    <w:right w:val="none" w:sz="0" w:space="0" w:color="auto"/>
                  </w:divBdr>
                  <w:divsChild>
                    <w:div w:id="601453044">
                      <w:marLeft w:val="0"/>
                      <w:marRight w:val="0"/>
                      <w:marTop w:val="0"/>
                      <w:marBottom w:val="0"/>
                      <w:divBdr>
                        <w:top w:val="none" w:sz="0" w:space="0" w:color="auto"/>
                        <w:left w:val="none" w:sz="0" w:space="0" w:color="auto"/>
                        <w:bottom w:val="none" w:sz="0" w:space="0" w:color="auto"/>
                        <w:right w:val="none" w:sz="0" w:space="0" w:color="auto"/>
                      </w:divBdr>
                      <w:divsChild>
                        <w:div w:id="1130783542">
                          <w:marLeft w:val="0"/>
                          <w:marRight w:val="0"/>
                          <w:marTop w:val="0"/>
                          <w:marBottom w:val="0"/>
                          <w:divBdr>
                            <w:top w:val="none" w:sz="0" w:space="0" w:color="auto"/>
                            <w:left w:val="none" w:sz="0" w:space="0" w:color="auto"/>
                            <w:bottom w:val="none" w:sz="0" w:space="0" w:color="auto"/>
                            <w:right w:val="none" w:sz="0" w:space="0" w:color="auto"/>
                          </w:divBdr>
                          <w:divsChild>
                            <w:div w:id="2147043178">
                              <w:marLeft w:val="0"/>
                              <w:marRight w:val="0"/>
                              <w:marTop w:val="0"/>
                              <w:marBottom w:val="0"/>
                              <w:divBdr>
                                <w:top w:val="none" w:sz="0" w:space="0" w:color="auto"/>
                                <w:left w:val="none" w:sz="0" w:space="0" w:color="auto"/>
                                <w:bottom w:val="none" w:sz="0" w:space="0" w:color="auto"/>
                                <w:right w:val="none" w:sz="0" w:space="0" w:color="auto"/>
                              </w:divBdr>
                              <w:divsChild>
                                <w:div w:id="1623026375">
                                  <w:marLeft w:val="0"/>
                                  <w:marRight w:val="0"/>
                                  <w:marTop w:val="0"/>
                                  <w:marBottom w:val="0"/>
                                  <w:divBdr>
                                    <w:top w:val="none" w:sz="0" w:space="0" w:color="auto"/>
                                    <w:left w:val="none" w:sz="0" w:space="0" w:color="auto"/>
                                    <w:bottom w:val="none" w:sz="0" w:space="0" w:color="auto"/>
                                    <w:right w:val="none" w:sz="0" w:space="0" w:color="auto"/>
                                  </w:divBdr>
                                  <w:divsChild>
                                    <w:div w:id="99144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4523698">
          <w:marLeft w:val="0"/>
          <w:marRight w:val="0"/>
          <w:marTop w:val="0"/>
          <w:marBottom w:val="0"/>
          <w:divBdr>
            <w:top w:val="none" w:sz="0" w:space="0" w:color="auto"/>
            <w:left w:val="none" w:sz="0" w:space="0" w:color="auto"/>
            <w:bottom w:val="none" w:sz="0" w:space="0" w:color="auto"/>
            <w:right w:val="none" w:sz="0" w:space="0" w:color="auto"/>
          </w:divBdr>
          <w:divsChild>
            <w:div w:id="1771045945">
              <w:marLeft w:val="0"/>
              <w:marRight w:val="0"/>
              <w:marTop w:val="0"/>
              <w:marBottom w:val="0"/>
              <w:divBdr>
                <w:top w:val="none" w:sz="0" w:space="0" w:color="auto"/>
                <w:left w:val="none" w:sz="0" w:space="0" w:color="auto"/>
                <w:bottom w:val="none" w:sz="0" w:space="0" w:color="auto"/>
                <w:right w:val="none" w:sz="0" w:space="0" w:color="auto"/>
              </w:divBdr>
              <w:divsChild>
                <w:div w:id="1193424609">
                  <w:marLeft w:val="0"/>
                  <w:marRight w:val="0"/>
                  <w:marTop w:val="0"/>
                  <w:marBottom w:val="0"/>
                  <w:divBdr>
                    <w:top w:val="none" w:sz="0" w:space="0" w:color="auto"/>
                    <w:left w:val="none" w:sz="0" w:space="0" w:color="auto"/>
                    <w:bottom w:val="none" w:sz="0" w:space="0" w:color="auto"/>
                    <w:right w:val="none" w:sz="0" w:space="0" w:color="auto"/>
                  </w:divBdr>
                  <w:divsChild>
                    <w:div w:id="828254546">
                      <w:marLeft w:val="0"/>
                      <w:marRight w:val="0"/>
                      <w:marTop w:val="0"/>
                      <w:marBottom w:val="0"/>
                      <w:divBdr>
                        <w:top w:val="none" w:sz="0" w:space="0" w:color="auto"/>
                        <w:left w:val="none" w:sz="0" w:space="0" w:color="auto"/>
                        <w:bottom w:val="none" w:sz="0" w:space="0" w:color="auto"/>
                        <w:right w:val="none" w:sz="0" w:space="0" w:color="auto"/>
                      </w:divBdr>
                      <w:divsChild>
                        <w:div w:id="490828622">
                          <w:marLeft w:val="0"/>
                          <w:marRight w:val="0"/>
                          <w:marTop w:val="0"/>
                          <w:marBottom w:val="0"/>
                          <w:divBdr>
                            <w:top w:val="none" w:sz="0" w:space="0" w:color="auto"/>
                            <w:left w:val="none" w:sz="0" w:space="0" w:color="auto"/>
                            <w:bottom w:val="none" w:sz="0" w:space="0" w:color="auto"/>
                            <w:right w:val="none" w:sz="0" w:space="0" w:color="auto"/>
                          </w:divBdr>
                          <w:divsChild>
                            <w:div w:id="1546016486">
                              <w:marLeft w:val="0"/>
                              <w:marRight w:val="0"/>
                              <w:marTop w:val="0"/>
                              <w:marBottom w:val="0"/>
                              <w:divBdr>
                                <w:top w:val="none" w:sz="0" w:space="0" w:color="auto"/>
                                <w:left w:val="none" w:sz="0" w:space="0" w:color="auto"/>
                                <w:bottom w:val="none" w:sz="0" w:space="0" w:color="auto"/>
                                <w:right w:val="none" w:sz="0" w:space="0" w:color="auto"/>
                              </w:divBdr>
                              <w:divsChild>
                                <w:div w:id="2003921169">
                                  <w:marLeft w:val="0"/>
                                  <w:marRight w:val="0"/>
                                  <w:marTop w:val="0"/>
                                  <w:marBottom w:val="0"/>
                                  <w:divBdr>
                                    <w:top w:val="none" w:sz="0" w:space="0" w:color="auto"/>
                                    <w:left w:val="none" w:sz="0" w:space="0" w:color="auto"/>
                                    <w:bottom w:val="none" w:sz="0" w:space="0" w:color="auto"/>
                                    <w:right w:val="none" w:sz="0" w:space="0" w:color="auto"/>
                                  </w:divBdr>
                                  <w:divsChild>
                                    <w:div w:id="128812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55204">
                              <w:marLeft w:val="0"/>
                              <w:marRight w:val="0"/>
                              <w:marTop w:val="0"/>
                              <w:marBottom w:val="0"/>
                              <w:divBdr>
                                <w:top w:val="none" w:sz="0" w:space="0" w:color="auto"/>
                                <w:left w:val="none" w:sz="0" w:space="0" w:color="auto"/>
                                <w:bottom w:val="none" w:sz="0" w:space="0" w:color="auto"/>
                                <w:right w:val="none" w:sz="0" w:space="0" w:color="auto"/>
                              </w:divBdr>
                              <w:divsChild>
                                <w:div w:id="488252556">
                                  <w:marLeft w:val="0"/>
                                  <w:marRight w:val="0"/>
                                  <w:marTop w:val="0"/>
                                  <w:marBottom w:val="0"/>
                                  <w:divBdr>
                                    <w:top w:val="none" w:sz="0" w:space="0" w:color="auto"/>
                                    <w:left w:val="none" w:sz="0" w:space="0" w:color="auto"/>
                                    <w:bottom w:val="none" w:sz="0" w:space="0" w:color="auto"/>
                                    <w:right w:val="none" w:sz="0" w:space="0" w:color="auto"/>
                                  </w:divBdr>
                                  <w:divsChild>
                                    <w:div w:id="420219669">
                                      <w:marLeft w:val="0"/>
                                      <w:marRight w:val="0"/>
                                      <w:marTop w:val="0"/>
                                      <w:marBottom w:val="0"/>
                                      <w:divBdr>
                                        <w:top w:val="none" w:sz="0" w:space="0" w:color="auto"/>
                                        <w:left w:val="none" w:sz="0" w:space="0" w:color="auto"/>
                                        <w:bottom w:val="none" w:sz="0" w:space="0" w:color="auto"/>
                                        <w:right w:val="none" w:sz="0" w:space="0" w:color="auto"/>
                                      </w:divBdr>
                                      <w:divsChild>
                                        <w:div w:id="1725327354">
                                          <w:marLeft w:val="0"/>
                                          <w:marRight w:val="0"/>
                                          <w:marTop w:val="0"/>
                                          <w:marBottom w:val="0"/>
                                          <w:divBdr>
                                            <w:top w:val="none" w:sz="0" w:space="0" w:color="auto"/>
                                            <w:left w:val="none" w:sz="0" w:space="0" w:color="auto"/>
                                            <w:bottom w:val="none" w:sz="0" w:space="0" w:color="auto"/>
                                            <w:right w:val="none" w:sz="0" w:space="0" w:color="auto"/>
                                          </w:divBdr>
                                          <w:divsChild>
                                            <w:div w:id="1943604558">
                                              <w:marLeft w:val="0"/>
                                              <w:marRight w:val="0"/>
                                              <w:marTop w:val="0"/>
                                              <w:marBottom w:val="0"/>
                                              <w:divBdr>
                                                <w:top w:val="none" w:sz="0" w:space="0" w:color="auto"/>
                                                <w:left w:val="none" w:sz="0" w:space="0" w:color="auto"/>
                                                <w:bottom w:val="none" w:sz="0" w:space="0" w:color="auto"/>
                                                <w:right w:val="none" w:sz="0" w:space="0" w:color="auto"/>
                                              </w:divBdr>
                                              <w:divsChild>
                                                <w:div w:id="141940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66572503">
      <w:bodyDiv w:val="1"/>
      <w:marLeft w:val="0"/>
      <w:marRight w:val="0"/>
      <w:marTop w:val="0"/>
      <w:marBottom w:val="0"/>
      <w:divBdr>
        <w:top w:val="none" w:sz="0" w:space="0" w:color="auto"/>
        <w:left w:val="none" w:sz="0" w:space="0" w:color="auto"/>
        <w:bottom w:val="none" w:sz="0" w:space="0" w:color="auto"/>
        <w:right w:val="none" w:sz="0" w:space="0" w:color="auto"/>
      </w:divBdr>
    </w:div>
    <w:div w:id="589042537">
      <w:bodyDiv w:val="1"/>
      <w:marLeft w:val="0"/>
      <w:marRight w:val="0"/>
      <w:marTop w:val="0"/>
      <w:marBottom w:val="0"/>
      <w:divBdr>
        <w:top w:val="none" w:sz="0" w:space="0" w:color="auto"/>
        <w:left w:val="none" w:sz="0" w:space="0" w:color="auto"/>
        <w:bottom w:val="none" w:sz="0" w:space="0" w:color="auto"/>
        <w:right w:val="none" w:sz="0" w:space="0" w:color="auto"/>
      </w:divBdr>
    </w:div>
    <w:div w:id="60365897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45547496">
      <w:bodyDiv w:val="1"/>
      <w:marLeft w:val="0"/>
      <w:marRight w:val="0"/>
      <w:marTop w:val="0"/>
      <w:marBottom w:val="0"/>
      <w:divBdr>
        <w:top w:val="none" w:sz="0" w:space="0" w:color="auto"/>
        <w:left w:val="none" w:sz="0" w:space="0" w:color="auto"/>
        <w:bottom w:val="none" w:sz="0" w:space="0" w:color="auto"/>
        <w:right w:val="none" w:sz="0" w:space="0" w:color="auto"/>
      </w:divBdr>
    </w:div>
    <w:div w:id="69719471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7872011">
      <w:bodyDiv w:val="1"/>
      <w:marLeft w:val="0"/>
      <w:marRight w:val="0"/>
      <w:marTop w:val="0"/>
      <w:marBottom w:val="0"/>
      <w:divBdr>
        <w:top w:val="none" w:sz="0" w:space="0" w:color="auto"/>
        <w:left w:val="none" w:sz="0" w:space="0" w:color="auto"/>
        <w:bottom w:val="none" w:sz="0" w:space="0" w:color="auto"/>
        <w:right w:val="none" w:sz="0" w:space="0" w:color="auto"/>
      </w:divBdr>
    </w:div>
    <w:div w:id="800148887">
      <w:bodyDiv w:val="1"/>
      <w:marLeft w:val="0"/>
      <w:marRight w:val="0"/>
      <w:marTop w:val="0"/>
      <w:marBottom w:val="0"/>
      <w:divBdr>
        <w:top w:val="none" w:sz="0" w:space="0" w:color="auto"/>
        <w:left w:val="none" w:sz="0" w:space="0" w:color="auto"/>
        <w:bottom w:val="none" w:sz="0" w:space="0" w:color="auto"/>
        <w:right w:val="none" w:sz="0" w:space="0" w:color="auto"/>
      </w:divBdr>
    </w:div>
    <w:div w:id="925262889">
      <w:bodyDiv w:val="1"/>
      <w:marLeft w:val="0"/>
      <w:marRight w:val="0"/>
      <w:marTop w:val="0"/>
      <w:marBottom w:val="0"/>
      <w:divBdr>
        <w:top w:val="none" w:sz="0" w:space="0" w:color="auto"/>
        <w:left w:val="none" w:sz="0" w:space="0" w:color="auto"/>
        <w:bottom w:val="none" w:sz="0" w:space="0" w:color="auto"/>
        <w:right w:val="none" w:sz="0" w:space="0" w:color="auto"/>
      </w:divBdr>
    </w:div>
    <w:div w:id="957300418">
      <w:bodyDiv w:val="1"/>
      <w:marLeft w:val="0"/>
      <w:marRight w:val="0"/>
      <w:marTop w:val="0"/>
      <w:marBottom w:val="0"/>
      <w:divBdr>
        <w:top w:val="none" w:sz="0" w:space="0" w:color="auto"/>
        <w:left w:val="none" w:sz="0" w:space="0" w:color="auto"/>
        <w:bottom w:val="none" w:sz="0" w:space="0" w:color="auto"/>
        <w:right w:val="none" w:sz="0" w:space="0" w:color="auto"/>
      </w:divBdr>
    </w:div>
    <w:div w:id="102217282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0795291">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07859741">
      <w:bodyDiv w:val="1"/>
      <w:marLeft w:val="0"/>
      <w:marRight w:val="0"/>
      <w:marTop w:val="0"/>
      <w:marBottom w:val="0"/>
      <w:divBdr>
        <w:top w:val="none" w:sz="0" w:space="0" w:color="auto"/>
        <w:left w:val="none" w:sz="0" w:space="0" w:color="auto"/>
        <w:bottom w:val="none" w:sz="0" w:space="0" w:color="auto"/>
        <w:right w:val="none" w:sz="0" w:space="0" w:color="auto"/>
      </w:divBdr>
    </w:div>
    <w:div w:id="1398167633">
      <w:bodyDiv w:val="1"/>
      <w:marLeft w:val="0"/>
      <w:marRight w:val="0"/>
      <w:marTop w:val="0"/>
      <w:marBottom w:val="0"/>
      <w:divBdr>
        <w:top w:val="none" w:sz="0" w:space="0" w:color="auto"/>
        <w:left w:val="none" w:sz="0" w:space="0" w:color="auto"/>
        <w:bottom w:val="none" w:sz="0" w:space="0" w:color="auto"/>
        <w:right w:val="none" w:sz="0" w:space="0" w:color="auto"/>
      </w:divBdr>
    </w:div>
    <w:div w:id="1488861115">
      <w:bodyDiv w:val="1"/>
      <w:marLeft w:val="0"/>
      <w:marRight w:val="0"/>
      <w:marTop w:val="0"/>
      <w:marBottom w:val="0"/>
      <w:divBdr>
        <w:top w:val="none" w:sz="0" w:space="0" w:color="auto"/>
        <w:left w:val="none" w:sz="0" w:space="0" w:color="auto"/>
        <w:bottom w:val="none" w:sz="0" w:space="0" w:color="auto"/>
        <w:right w:val="none" w:sz="0" w:space="0" w:color="auto"/>
      </w:divBdr>
    </w:div>
    <w:div w:id="1512834143">
      <w:bodyDiv w:val="1"/>
      <w:marLeft w:val="0"/>
      <w:marRight w:val="0"/>
      <w:marTop w:val="0"/>
      <w:marBottom w:val="0"/>
      <w:divBdr>
        <w:top w:val="none" w:sz="0" w:space="0" w:color="auto"/>
        <w:left w:val="none" w:sz="0" w:space="0" w:color="auto"/>
        <w:bottom w:val="none" w:sz="0" w:space="0" w:color="auto"/>
        <w:right w:val="none" w:sz="0" w:space="0" w:color="auto"/>
      </w:divBdr>
      <w:divsChild>
        <w:div w:id="499740282">
          <w:marLeft w:val="0"/>
          <w:marRight w:val="0"/>
          <w:marTop w:val="0"/>
          <w:marBottom w:val="0"/>
          <w:divBdr>
            <w:top w:val="none" w:sz="0" w:space="0" w:color="auto"/>
            <w:left w:val="none" w:sz="0" w:space="0" w:color="auto"/>
            <w:bottom w:val="none" w:sz="0" w:space="0" w:color="auto"/>
            <w:right w:val="none" w:sz="0" w:space="0" w:color="auto"/>
          </w:divBdr>
        </w:div>
      </w:divsChild>
    </w:div>
    <w:div w:id="1561408021">
      <w:bodyDiv w:val="1"/>
      <w:marLeft w:val="0"/>
      <w:marRight w:val="0"/>
      <w:marTop w:val="0"/>
      <w:marBottom w:val="0"/>
      <w:divBdr>
        <w:top w:val="none" w:sz="0" w:space="0" w:color="auto"/>
        <w:left w:val="none" w:sz="0" w:space="0" w:color="auto"/>
        <w:bottom w:val="none" w:sz="0" w:space="0" w:color="auto"/>
        <w:right w:val="none" w:sz="0" w:space="0" w:color="auto"/>
      </w:divBdr>
    </w:div>
    <w:div w:id="1695492555">
      <w:bodyDiv w:val="1"/>
      <w:marLeft w:val="0"/>
      <w:marRight w:val="0"/>
      <w:marTop w:val="0"/>
      <w:marBottom w:val="0"/>
      <w:divBdr>
        <w:top w:val="none" w:sz="0" w:space="0" w:color="auto"/>
        <w:left w:val="none" w:sz="0" w:space="0" w:color="auto"/>
        <w:bottom w:val="none" w:sz="0" w:space="0" w:color="auto"/>
        <w:right w:val="none" w:sz="0" w:space="0" w:color="auto"/>
      </w:divBdr>
    </w:div>
    <w:div w:id="1906447131">
      <w:bodyDiv w:val="1"/>
      <w:marLeft w:val="0"/>
      <w:marRight w:val="0"/>
      <w:marTop w:val="0"/>
      <w:marBottom w:val="0"/>
      <w:divBdr>
        <w:top w:val="none" w:sz="0" w:space="0" w:color="auto"/>
        <w:left w:val="none" w:sz="0" w:space="0" w:color="auto"/>
        <w:bottom w:val="none" w:sz="0" w:space="0" w:color="auto"/>
        <w:right w:val="none" w:sz="0" w:space="0" w:color="auto"/>
      </w:divBdr>
    </w:div>
    <w:div w:id="1936092925">
      <w:bodyDiv w:val="1"/>
      <w:marLeft w:val="0"/>
      <w:marRight w:val="0"/>
      <w:marTop w:val="0"/>
      <w:marBottom w:val="0"/>
      <w:divBdr>
        <w:top w:val="none" w:sz="0" w:space="0" w:color="auto"/>
        <w:left w:val="none" w:sz="0" w:space="0" w:color="auto"/>
        <w:bottom w:val="none" w:sz="0" w:space="0" w:color="auto"/>
        <w:right w:val="none" w:sz="0" w:space="0" w:color="auto"/>
      </w:divBdr>
      <w:divsChild>
        <w:div w:id="1437823479">
          <w:marLeft w:val="0"/>
          <w:marRight w:val="0"/>
          <w:marTop w:val="0"/>
          <w:marBottom w:val="0"/>
          <w:divBdr>
            <w:top w:val="none" w:sz="0" w:space="0" w:color="auto"/>
            <w:left w:val="none" w:sz="0" w:space="0" w:color="auto"/>
            <w:bottom w:val="none" w:sz="0" w:space="0" w:color="auto"/>
            <w:right w:val="none" w:sz="0" w:space="0" w:color="auto"/>
          </w:divBdr>
          <w:divsChild>
            <w:div w:id="1399671538">
              <w:marLeft w:val="0"/>
              <w:marRight w:val="0"/>
              <w:marTop w:val="0"/>
              <w:marBottom w:val="0"/>
              <w:divBdr>
                <w:top w:val="none" w:sz="0" w:space="0" w:color="auto"/>
                <w:left w:val="none" w:sz="0" w:space="0" w:color="auto"/>
                <w:bottom w:val="none" w:sz="0" w:space="0" w:color="auto"/>
                <w:right w:val="none" w:sz="0" w:space="0" w:color="auto"/>
              </w:divBdr>
              <w:divsChild>
                <w:div w:id="1321933017">
                  <w:marLeft w:val="0"/>
                  <w:marRight w:val="0"/>
                  <w:marTop w:val="0"/>
                  <w:marBottom w:val="0"/>
                  <w:divBdr>
                    <w:top w:val="none" w:sz="0" w:space="0" w:color="auto"/>
                    <w:left w:val="none" w:sz="0" w:space="0" w:color="auto"/>
                    <w:bottom w:val="none" w:sz="0" w:space="0" w:color="auto"/>
                    <w:right w:val="none" w:sz="0" w:space="0" w:color="auto"/>
                  </w:divBdr>
                  <w:divsChild>
                    <w:div w:id="875701046">
                      <w:marLeft w:val="0"/>
                      <w:marRight w:val="0"/>
                      <w:marTop w:val="0"/>
                      <w:marBottom w:val="0"/>
                      <w:divBdr>
                        <w:top w:val="none" w:sz="0" w:space="0" w:color="auto"/>
                        <w:left w:val="none" w:sz="0" w:space="0" w:color="auto"/>
                        <w:bottom w:val="none" w:sz="0" w:space="0" w:color="auto"/>
                        <w:right w:val="none" w:sz="0" w:space="0" w:color="auto"/>
                      </w:divBdr>
                      <w:divsChild>
                        <w:div w:id="1775396148">
                          <w:marLeft w:val="0"/>
                          <w:marRight w:val="0"/>
                          <w:marTop w:val="0"/>
                          <w:marBottom w:val="0"/>
                          <w:divBdr>
                            <w:top w:val="none" w:sz="0" w:space="0" w:color="auto"/>
                            <w:left w:val="none" w:sz="0" w:space="0" w:color="auto"/>
                            <w:bottom w:val="none" w:sz="0" w:space="0" w:color="auto"/>
                            <w:right w:val="none" w:sz="0" w:space="0" w:color="auto"/>
                          </w:divBdr>
                          <w:divsChild>
                            <w:div w:id="1408922248">
                              <w:marLeft w:val="0"/>
                              <w:marRight w:val="0"/>
                              <w:marTop w:val="0"/>
                              <w:marBottom w:val="0"/>
                              <w:divBdr>
                                <w:top w:val="none" w:sz="0" w:space="0" w:color="auto"/>
                                <w:left w:val="none" w:sz="0" w:space="0" w:color="auto"/>
                                <w:bottom w:val="none" w:sz="0" w:space="0" w:color="auto"/>
                                <w:right w:val="none" w:sz="0" w:space="0" w:color="auto"/>
                              </w:divBdr>
                              <w:divsChild>
                                <w:div w:id="463163893">
                                  <w:marLeft w:val="0"/>
                                  <w:marRight w:val="0"/>
                                  <w:marTop w:val="0"/>
                                  <w:marBottom w:val="0"/>
                                  <w:divBdr>
                                    <w:top w:val="none" w:sz="0" w:space="0" w:color="auto"/>
                                    <w:left w:val="none" w:sz="0" w:space="0" w:color="auto"/>
                                    <w:bottom w:val="none" w:sz="0" w:space="0" w:color="auto"/>
                                    <w:right w:val="none" w:sz="0" w:space="0" w:color="auto"/>
                                  </w:divBdr>
                                  <w:divsChild>
                                    <w:div w:id="160846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5217401">
          <w:marLeft w:val="0"/>
          <w:marRight w:val="0"/>
          <w:marTop w:val="0"/>
          <w:marBottom w:val="0"/>
          <w:divBdr>
            <w:top w:val="none" w:sz="0" w:space="0" w:color="auto"/>
            <w:left w:val="none" w:sz="0" w:space="0" w:color="auto"/>
            <w:bottom w:val="none" w:sz="0" w:space="0" w:color="auto"/>
            <w:right w:val="none" w:sz="0" w:space="0" w:color="auto"/>
          </w:divBdr>
          <w:divsChild>
            <w:div w:id="1420522058">
              <w:marLeft w:val="0"/>
              <w:marRight w:val="0"/>
              <w:marTop w:val="0"/>
              <w:marBottom w:val="0"/>
              <w:divBdr>
                <w:top w:val="none" w:sz="0" w:space="0" w:color="auto"/>
                <w:left w:val="none" w:sz="0" w:space="0" w:color="auto"/>
                <w:bottom w:val="none" w:sz="0" w:space="0" w:color="auto"/>
                <w:right w:val="none" w:sz="0" w:space="0" w:color="auto"/>
              </w:divBdr>
              <w:divsChild>
                <w:div w:id="1308588069">
                  <w:marLeft w:val="0"/>
                  <w:marRight w:val="0"/>
                  <w:marTop w:val="0"/>
                  <w:marBottom w:val="0"/>
                  <w:divBdr>
                    <w:top w:val="none" w:sz="0" w:space="0" w:color="auto"/>
                    <w:left w:val="none" w:sz="0" w:space="0" w:color="auto"/>
                    <w:bottom w:val="none" w:sz="0" w:space="0" w:color="auto"/>
                    <w:right w:val="none" w:sz="0" w:space="0" w:color="auto"/>
                  </w:divBdr>
                  <w:divsChild>
                    <w:div w:id="630214550">
                      <w:marLeft w:val="0"/>
                      <w:marRight w:val="0"/>
                      <w:marTop w:val="0"/>
                      <w:marBottom w:val="0"/>
                      <w:divBdr>
                        <w:top w:val="none" w:sz="0" w:space="0" w:color="auto"/>
                        <w:left w:val="none" w:sz="0" w:space="0" w:color="auto"/>
                        <w:bottom w:val="none" w:sz="0" w:space="0" w:color="auto"/>
                        <w:right w:val="none" w:sz="0" w:space="0" w:color="auto"/>
                      </w:divBdr>
                      <w:divsChild>
                        <w:div w:id="2134982551">
                          <w:marLeft w:val="0"/>
                          <w:marRight w:val="0"/>
                          <w:marTop w:val="0"/>
                          <w:marBottom w:val="0"/>
                          <w:divBdr>
                            <w:top w:val="none" w:sz="0" w:space="0" w:color="auto"/>
                            <w:left w:val="none" w:sz="0" w:space="0" w:color="auto"/>
                            <w:bottom w:val="none" w:sz="0" w:space="0" w:color="auto"/>
                            <w:right w:val="none" w:sz="0" w:space="0" w:color="auto"/>
                          </w:divBdr>
                          <w:divsChild>
                            <w:div w:id="1723942971">
                              <w:marLeft w:val="0"/>
                              <w:marRight w:val="0"/>
                              <w:marTop w:val="0"/>
                              <w:marBottom w:val="0"/>
                              <w:divBdr>
                                <w:top w:val="none" w:sz="0" w:space="0" w:color="auto"/>
                                <w:left w:val="none" w:sz="0" w:space="0" w:color="auto"/>
                                <w:bottom w:val="none" w:sz="0" w:space="0" w:color="auto"/>
                                <w:right w:val="none" w:sz="0" w:space="0" w:color="auto"/>
                              </w:divBdr>
                              <w:divsChild>
                                <w:div w:id="1429110158">
                                  <w:marLeft w:val="0"/>
                                  <w:marRight w:val="0"/>
                                  <w:marTop w:val="0"/>
                                  <w:marBottom w:val="0"/>
                                  <w:divBdr>
                                    <w:top w:val="none" w:sz="0" w:space="0" w:color="auto"/>
                                    <w:left w:val="none" w:sz="0" w:space="0" w:color="auto"/>
                                    <w:bottom w:val="none" w:sz="0" w:space="0" w:color="auto"/>
                                    <w:right w:val="none" w:sz="0" w:space="0" w:color="auto"/>
                                  </w:divBdr>
                                  <w:divsChild>
                                    <w:div w:id="78925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469146">
                              <w:marLeft w:val="0"/>
                              <w:marRight w:val="0"/>
                              <w:marTop w:val="0"/>
                              <w:marBottom w:val="0"/>
                              <w:divBdr>
                                <w:top w:val="none" w:sz="0" w:space="0" w:color="auto"/>
                                <w:left w:val="none" w:sz="0" w:space="0" w:color="auto"/>
                                <w:bottom w:val="none" w:sz="0" w:space="0" w:color="auto"/>
                                <w:right w:val="none" w:sz="0" w:space="0" w:color="auto"/>
                              </w:divBdr>
                              <w:divsChild>
                                <w:div w:id="797722540">
                                  <w:marLeft w:val="0"/>
                                  <w:marRight w:val="0"/>
                                  <w:marTop w:val="0"/>
                                  <w:marBottom w:val="0"/>
                                  <w:divBdr>
                                    <w:top w:val="none" w:sz="0" w:space="0" w:color="auto"/>
                                    <w:left w:val="none" w:sz="0" w:space="0" w:color="auto"/>
                                    <w:bottom w:val="none" w:sz="0" w:space="0" w:color="auto"/>
                                    <w:right w:val="none" w:sz="0" w:space="0" w:color="auto"/>
                                  </w:divBdr>
                                  <w:divsChild>
                                    <w:div w:id="595990217">
                                      <w:marLeft w:val="0"/>
                                      <w:marRight w:val="0"/>
                                      <w:marTop w:val="0"/>
                                      <w:marBottom w:val="0"/>
                                      <w:divBdr>
                                        <w:top w:val="none" w:sz="0" w:space="0" w:color="auto"/>
                                        <w:left w:val="none" w:sz="0" w:space="0" w:color="auto"/>
                                        <w:bottom w:val="none" w:sz="0" w:space="0" w:color="auto"/>
                                        <w:right w:val="none" w:sz="0" w:space="0" w:color="auto"/>
                                      </w:divBdr>
                                      <w:divsChild>
                                        <w:div w:id="260770287">
                                          <w:marLeft w:val="0"/>
                                          <w:marRight w:val="0"/>
                                          <w:marTop w:val="0"/>
                                          <w:marBottom w:val="0"/>
                                          <w:divBdr>
                                            <w:top w:val="none" w:sz="0" w:space="0" w:color="auto"/>
                                            <w:left w:val="none" w:sz="0" w:space="0" w:color="auto"/>
                                            <w:bottom w:val="none" w:sz="0" w:space="0" w:color="auto"/>
                                            <w:right w:val="none" w:sz="0" w:space="0" w:color="auto"/>
                                          </w:divBdr>
                                          <w:divsChild>
                                            <w:div w:id="175001823">
                                              <w:marLeft w:val="0"/>
                                              <w:marRight w:val="0"/>
                                              <w:marTop w:val="0"/>
                                              <w:marBottom w:val="0"/>
                                              <w:divBdr>
                                                <w:top w:val="none" w:sz="0" w:space="0" w:color="auto"/>
                                                <w:left w:val="none" w:sz="0" w:space="0" w:color="auto"/>
                                                <w:bottom w:val="none" w:sz="0" w:space="0" w:color="auto"/>
                                                <w:right w:val="none" w:sz="0" w:space="0" w:color="auto"/>
                                              </w:divBdr>
                                              <w:divsChild>
                                                <w:div w:id="65719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4479013">
      <w:bodyDiv w:val="1"/>
      <w:marLeft w:val="0"/>
      <w:marRight w:val="0"/>
      <w:marTop w:val="0"/>
      <w:marBottom w:val="0"/>
      <w:divBdr>
        <w:top w:val="none" w:sz="0" w:space="0" w:color="auto"/>
        <w:left w:val="none" w:sz="0" w:space="0" w:color="auto"/>
        <w:bottom w:val="none" w:sz="0" w:space="0" w:color="auto"/>
        <w:right w:val="none" w:sz="0" w:space="0" w:color="auto"/>
      </w:divBdr>
    </w:div>
    <w:div w:id="2055107565">
      <w:bodyDiv w:val="1"/>
      <w:marLeft w:val="0"/>
      <w:marRight w:val="0"/>
      <w:marTop w:val="0"/>
      <w:marBottom w:val="0"/>
      <w:divBdr>
        <w:top w:val="none" w:sz="0" w:space="0" w:color="auto"/>
        <w:left w:val="none" w:sz="0" w:space="0" w:color="auto"/>
        <w:bottom w:val="none" w:sz="0" w:space="0" w:color="auto"/>
        <w:right w:val="none" w:sz="0" w:space="0" w:color="auto"/>
      </w:divBdr>
      <w:divsChild>
        <w:div w:id="1573394240">
          <w:marLeft w:val="0"/>
          <w:marRight w:val="0"/>
          <w:marTop w:val="0"/>
          <w:marBottom w:val="0"/>
          <w:divBdr>
            <w:top w:val="none" w:sz="0" w:space="0" w:color="auto"/>
            <w:left w:val="none" w:sz="0" w:space="0" w:color="auto"/>
            <w:bottom w:val="none" w:sz="0" w:space="0" w:color="auto"/>
            <w:right w:val="none" w:sz="0" w:space="0" w:color="auto"/>
          </w:divBdr>
        </w:div>
      </w:divsChild>
    </w:div>
    <w:div w:id="2066292000">
      <w:bodyDiv w:val="1"/>
      <w:marLeft w:val="0"/>
      <w:marRight w:val="0"/>
      <w:marTop w:val="0"/>
      <w:marBottom w:val="0"/>
      <w:divBdr>
        <w:top w:val="none" w:sz="0" w:space="0" w:color="auto"/>
        <w:left w:val="none" w:sz="0" w:space="0" w:color="auto"/>
        <w:bottom w:val="none" w:sz="0" w:space="0" w:color="auto"/>
        <w:right w:val="none" w:sz="0" w:space="0" w:color="auto"/>
      </w:divBdr>
    </w:div>
    <w:div w:id="212233984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419F5C-6194-493C-99DA-EFB3786D941B}">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D7C21438-C1F7-404D-ADD9-7BCCD6E09A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36</TotalTime>
  <Pages>14</Pages>
  <Words>4098</Words>
  <Characters>22544</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2026-04-12T22:04:00Z</dcterms:created>
  <dcterms:modified xsi:type="dcterms:W3CDTF">2026-04-29T14:33:00Z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