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13C81" w14:textId="0884591F" w:rsidR="000679B2" w:rsidRPr="000679B2" w:rsidRDefault="000679B2" w:rsidP="000679B2">
      <w:pPr>
        <w:spacing w:after="0"/>
        <w:jc w:val="both"/>
        <w:rPr>
          <w:rFonts w:ascii="Verdana" w:eastAsia="Verdana" w:hAnsi="Verdana" w:cs="Verdana"/>
        </w:rPr>
      </w:pPr>
      <w:bookmarkStart w:id="0" w:name="_Hlk143780582"/>
      <w:r w:rsidRPr="000679B2">
        <w:rPr>
          <w:rFonts w:ascii="Verdana" w:eastAsia="Aptos" w:hAnsi="Verdana" w:cs="Arial"/>
          <w:b/>
          <w:color w:val="000000"/>
          <w:kern w:val="2"/>
          <w:lang w:val="es-ES_tradnl"/>
          <w14:ligatures w14:val="standardContextual"/>
        </w:rPr>
        <w:t>CAUSALES DE RECHAZO – Principio de legalidad – Configuración – Documentos Tipo</w:t>
      </w:r>
    </w:p>
    <w:p w14:paraId="522AFFCC" w14:textId="77777777" w:rsidR="000679B2" w:rsidRPr="000679B2" w:rsidRDefault="000679B2" w:rsidP="000679B2">
      <w:pPr>
        <w:spacing w:after="0" w:line="276" w:lineRule="auto"/>
        <w:jc w:val="both"/>
        <w:rPr>
          <w:rFonts w:ascii="Verdana" w:eastAsia="Aptos" w:hAnsi="Verdana" w:cs="Arial"/>
          <w:b/>
          <w:color w:val="000000"/>
          <w:kern w:val="2"/>
          <w:lang w:val="es-ES_tradnl"/>
          <w14:ligatures w14:val="standardContextual"/>
        </w:rPr>
      </w:pPr>
    </w:p>
    <w:p w14:paraId="56A41444" w14:textId="21EB3991" w:rsidR="000679B2" w:rsidRPr="008332A5" w:rsidRDefault="000679B2" w:rsidP="008332A5">
      <w:pPr>
        <w:spacing w:after="0" w:line="240" w:lineRule="auto"/>
        <w:jc w:val="both"/>
        <w:rPr>
          <w:rFonts w:ascii="Verdana" w:eastAsia="Aptos" w:hAnsi="Verdana" w:cs="Arial"/>
          <w:bCs/>
          <w:color w:val="000000"/>
          <w:kern w:val="2"/>
          <w:sz w:val="20"/>
          <w:szCs w:val="20"/>
          <w:lang w:val="es-ES_tradnl"/>
          <w14:ligatures w14:val="standardContextual"/>
        </w:rPr>
      </w:pPr>
      <w:r w:rsidRPr="008332A5">
        <w:rPr>
          <w:rFonts w:ascii="Verdana" w:eastAsia="Aptos" w:hAnsi="Verdana" w:cs="Arial"/>
          <w:bCs/>
          <w:color w:val="000000"/>
          <w:kern w:val="2"/>
          <w:sz w:val="20"/>
          <w:szCs w:val="20"/>
          <w:lang w:val="es-ES_tradnl"/>
          <w14:ligatures w14:val="standardContextual"/>
        </w:rPr>
        <w:t xml:space="preserve">[…] </w:t>
      </w:r>
      <w:r w:rsidR="008332A5" w:rsidRPr="008332A5">
        <w:rPr>
          <w:rFonts w:ascii="Verdana" w:eastAsia="Calibri" w:hAnsi="Verdana" w:cs="Arial"/>
          <w:kern w:val="2"/>
          <w:sz w:val="20"/>
          <w:szCs w:val="20"/>
          <w:lang w:val="es-ES_tradnl"/>
          <w14:ligatures w14:val="standardContextual"/>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w:t>
      </w:r>
      <w:r w:rsidR="008332A5" w:rsidRPr="008332A5">
        <w:rPr>
          <w:rFonts w:ascii="Verdana" w:eastAsia="Calibri" w:hAnsi="Verdana" w:cs="Arial"/>
          <w:i/>
          <w:iCs/>
          <w:kern w:val="2"/>
          <w:sz w:val="20"/>
          <w:szCs w:val="20"/>
          <w:vertAlign w:val="superscript"/>
          <w:lang w:val="es-ES_tradnl"/>
          <w14:ligatures w14:val="standardContextual"/>
        </w:rPr>
        <w:t xml:space="preserve"> </w:t>
      </w:r>
      <w:r w:rsidR="008332A5" w:rsidRPr="008332A5">
        <w:rPr>
          <w:rFonts w:ascii="Verdana" w:eastAsia="Calibri" w:hAnsi="Verdana" w:cs="Arial"/>
          <w:kern w:val="2"/>
          <w:sz w:val="20"/>
          <w:szCs w:val="20"/>
          <w:lang w:val="es-ES_tradnl"/>
          <w14:ligatures w14:val="standardContextual"/>
        </w:rPr>
        <w:t>señala:</w:t>
      </w:r>
    </w:p>
    <w:p w14:paraId="6FAA68C4" w14:textId="77777777" w:rsidR="000679B2" w:rsidRPr="008332A5" w:rsidRDefault="000679B2" w:rsidP="008332A5">
      <w:pPr>
        <w:spacing w:after="0" w:line="240" w:lineRule="auto"/>
        <w:jc w:val="both"/>
        <w:rPr>
          <w:rFonts w:ascii="Verdana" w:eastAsia="Aptos" w:hAnsi="Verdana" w:cs="Arial"/>
          <w:bCs/>
          <w:color w:val="000000"/>
          <w:kern w:val="2"/>
          <w:sz w:val="20"/>
          <w:szCs w:val="20"/>
          <w:lang w:val="es-ES_tradnl"/>
          <w14:ligatures w14:val="standardContextual"/>
        </w:rPr>
      </w:pPr>
      <w:r w:rsidRPr="008332A5">
        <w:rPr>
          <w:rFonts w:ascii="Verdana" w:eastAsia="Aptos" w:hAnsi="Verdana" w:cs="Arial"/>
          <w:bCs/>
          <w:color w:val="000000"/>
          <w:kern w:val="2"/>
          <w:sz w:val="20"/>
          <w:szCs w:val="20"/>
          <w:lang w:val="es-ES_tradnl"/>
          <w14:ligatures w14:val="standardContextual"/>
        </w:rPr>
        <w:t>[…]</w:t>
      </w:r>
    </w:p>
    <w:p w14:paraId="77820EE7" w14:textId="36C72432" w:rsidR="000679B2" w:rsidRPr="008332A5" w:rsidRDefault="008332A5" w:rsidP="008332A5">
      <w:pPr>
        <w:snapToGrid w:val="0"/>
        <w:spacing w:after="0" w:line="240" w:lineRule="auto"/>
        <w:jc w:val="both"/>
        <w:rPr>
          <w:rFonts w:ascii="Verdana" w:eastAsia="Calibri" w:hAnsi="Verdana" w:cs="Arial"/>
          <w:kern w:val="2"/>
          <w:sz w:val="20"/>
          <w:szCs w:val="20"/>
          <w:lang w:val="es-ES_tradnl"/>
          <w14:ligatures w14:val="standardContextual"/>
        </w:rPr>
      </w:pPr>
      <w:r w:rsidRPr="008332A5">
        <w:rPr>
          <w:rFonts w:ascii="Verdana" w:eastAsia="Calibri" w:hAnsi="Verdana" w:cs="Arial"/>
          <w:kern w:val="2"/>
          <w:sz w:val="20"/>
          <w:szCs w:val="20"/>
          <w:lang w:val="es-ES_tradnl"/>
          <w14:ligatures w14:val="standardContextual"/>
        </w:rPr>
        <w:t xml:space="preserve">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 sostuvo: </w:t>
      </w:r>
      <w:r w:rsidR="000679B2" w:rsidRPr="008332A5">
        <w:rPr>
          <w:rFonts w:ascii="Verdana" w:eastAsia="Aptos" w:hAnsi="Verdana" w:cs="Arial"/>
          <w:bCs/>
          <w:color w:val="000000"/>
          <w:kern w:val="2"/>
          <w:sz w:val="20"/>
          <w:szCs w:val="20"/>
          <w:lang w:val="es-ES_tradnl"/>
          <w14:ligatures w14:val="standardContextual"/>
        </w:rPr>
        <w:t>[…]</w:t>
      </w:r>
    </w:p>
    <w:p w14:paraId="53829CBE" w14:textId="77777777" w:rsidR="000679B2" w:rsidRPr="000679B2" w:rsidRDefault="000679B2" w:rsidP="000679B2">
      <w:pPr>
        <w:spacing w:after="0" w:line="276" w:lineRule="auto"/>
        <w:jc w:val="both"/>
        <w:rPr>
          <w:rFonts w:ascii="Verdana" w:eastAsia="Aptos" w:hAnsi="Verdana" w:cs="Arial"/>
          <w:b/>
          <w:color w:val="000000"/>
          <w:kern w:val="2"/>
          <w:lang w:val="es-ES_tradnl"/>
          <w14:ligatures w14:val="standardContextual"/>
        </w:rPr>
      </w:pPr>
    </w:p>
    <w:p w14:paraId="54C4035B" w14:textId="77777777" w:rsidR="000679B2" w:rsidRPr="000679B2" w:rsidRDefault="000679B2" w:rsidP="000679B2">
      <w:pPr>
        <w:spacing w:after="0" w:line="276" w:lineRule="auto"/>
        <w:jc w:val="both"/>
        <w:rPr>
          <w:rFonts w:ascii="Verdana" w:eastAsia="Aptos" w:hAnsi="Verdana" w:cs="Times New Roman"/>
          <w:kern w:val="2"/>
          <w14:ligatures w14:val="standardContextual"/>
        </w:rPr>
      </w:pPr>
      <w:r w:rsidRPr="000679B2">
        <w:rPr>
          <w:rFonts w:ascii="Verdana" w:eastAsia="Aptos" w:hAnsi="Verdana" w:cs="Arial"/>
          <w:b/>
          <w:color w:val="000000"/>
          <w:kern w:val="2"/>
          <w:lang w:val="es-ES_tradnl"/>
          <w14:ligatures w14:val="standardContextual"/>
        </w:rPr>
        <w:t>DOCUMENTOS TIPO – Infraestructura social – Causales de rechazo – Literal U</w:t>
      </w:r>
    </w:p>
    <w:p w14:paraId="7EC1AE32" w14:textId="77777777" w:rsidR="000679B2" w:rsidRPr="000679B2" w:rsidRDefault="000679B2" w:rsidP="000679B2">
      <w:pPr>
        <w:spacing w:after="0" w:line="276" w:lineRule="auto"/>
        <w:jc w:val="both"/>
        <w:rPr>
          <w:rFonts w:ascii="Verdana" w:eastAsia="Geomanist Light" w:hAnsi="Verdana" w:cs="Arial"/>
          <w:lang w:val="es-ES_tradnl"/>
        </w:rPr>
      </w:pPr>
    </w:p>
    <w:p w14:paraId="7924A9E9" w14:textId="77777777" w:rsidR="008332A5" w:rsidRDefault="000679B2" w:rsidP="008332A5">
      <w:pPr>
        <w:snapToGrid w:val="0"/>
        <w:spacing w:after="0" w:line="240" w:lineRule="auto"/>
        <w:jc w:val="both"/>
        <w:rPr>
          <w:rFonts w:ascii="Verdana" w:eastAsia="Aptos" w:hAnsi="Verdana" w:cs="Arial"/>
          <w:kern w:val="2"/>
          <w:sz w:val="20"/>
          <w:szCs w:val="20"/>
          <w:lang w:val="es-MX"/>
          <w14:ligatures w14:val="standardContextual"/>
        </w:rPr>
      </w:pPr>
      <w:r w:rsidRPr="008332A5">
        <w:rPr>
          <w:rFonts w:ascii="Verdana" w:eastAsia="Aptos" w:hAnsi="Verdana" w:cs="Arial"/>
          <w:kern w:val="2"/>
          <w:sz w:val="20"/>
          <w:szCs w:val="20"/>
          <w:lang w:val="es-MX"/>
          <w14:ligatures w14:val="standardContextual"/>
        </w:rPr>
        <w:t>[…] </w:t>
      </w:r>
      <w:r w:rsidR="008332A5" w:rsidRPr="008332A5">
        <w:rPr>
          <w:rFonts w:ascii="Verdana" w:eastAsia="Aptos" w:hAnsi="Verdana" w:cs="Arial"/>
          <w:kern w:val="2"/>
          <w:sz w:val="20"/>
          <w:szCs w:val="20"/>
          <w:lang w:val="es-MX"/>
          <w14:ligatures w14:val="standardContextual"/>
        </w:rPr>
        <w:t xml:space="preserve">la causal de rechazo aplicará cuando el oferente presente, en el Sobre No. 2, más de una oferta, no permitiendo saber cuál de las dos ofertas corresponde al ofrecimiento económico realizado por el proponente por el bien o servicio a contratar. </w:t>
      </w:r>
    </w:p>
    <w:p w14:paraId="2414B70C" w14:textId="77777777" w:rsidR="008332A5" w:rsidRPr="008332A5" w:rsidRDefault="008332A5" w:rsidP="008332A5">
      <w:pPr>
        <w:snapToGrid w:val="0"/>
        <w:spacing w:after="0" w:line="240" w:lineRule="auto"/>
        <w:jc w:val="both"/>
        <w:rPr>
          <w:rFonts w:ascii="Verdana" w:eastAsia="Aptos" w:hAnsi="Verdana" w:cs="Arial"/>
          <w:kern w:val="2"/>
          <w:sz w:val="20"/>
          <w:szCs w:val="20"/>
          <w:lang w:val="es-MX"/>
          <w14:ligatures w14:val="standardContextual"/>
        </w:rPr>
      </w:pPr>
    </w:p>
    <w:p w14:paraId="3FB7A622" w14:textId="4418F6D2" w:rsidR="000679B2" w:rsidRPr="008332A5" w:rsidRDefault="008332A5" w:rsidP="008332A5">
      <w:pPr>
        <w:snapToGrid w:val="0"/>
        <w:spacing w:after="0" w:line="240" w:lineRule="auto"/>
        <w:jc w:val="both"/>
        <w:rPr>
          <w:rFonts w:ascii="Verdana" w:eastAsia="Aptos" w:hAnsi="Verdana" w:cs="Arial"/>
          <w:kern w:val="2"/>
          <w:sz w:val="20"/>
          <w:szCs w:val="20"/>
          <w:lang w:val="es-MX"/>
          <w14:ligatures w14:val="standardContextual"/>
        </w:rPr>
      </w:pPr>
      <w:r w:rsidRPr="008332A5">
        <w:rPr>
          <w:rFonts w:ascii="Verdana" w:eastAsia="Aptos" w:hAnsi="Verdana" w:cs="Arial"/>
          <w:kern w:val="2"/>
          <w:sz w:val="20"/>
          <w:szCs w:val="20"/>
          <w:lang w:val="es-MX"/>
          <w14:ligatures w14:val="standardContextual"/>
        </w:rPr>
        <w:t>Conviene señalar que la causal de rechazo también está indicando que la misma aplicará cuando la oferta “</w:t>
      </w:r>
      <w:r w:rsidRPr="008332A5">
        <w:rPr>
          <w:rFonts w:ascii="Verdana" w:eastAsia="Aptos" w:hAnsi="Verdana" w:cs="Arial"/>
          <w:i/>
          <w:iCs/>
          <w:kern w:val="2"/>
          <w:sz w:val="20"/>
          <w:szCs w:val="20"/>
          <w:lang w:val="es-MX"/>
          <w14:ligatures w14:val="standardContextual"/>
        </w:rPr>
        <w:t xml:space="preserve">no se presente conforme con las condiciones establecidas en el numeral 2.3.2 Sobre 2”. </w:t>
      </w:r>
      <w:r w:rsidRPr="008332A5">
        <w:rPr>
          <w:rFonts w:ascii="Verdana" w:eastAsia="Aptos" w:hAnsi="Verdana" w:cs="Arial"/>
          <w:kern w:val="2"/>
          <w:sz w:val="20"/>
          <w:szCs w:val="20"/>
          <w:lang w:val="es-MX"/>
          <w14:ligatures w14:val="standardContextual"/>
        </w:rPr>
        <w:t>En este numeral (2.3.2) del documento base de infraestructura social, se establece la necesidad por parte de la entidad de definir las reglas de presentación de la oferta económica en el formulario de SECOP II y en el anexo complementario, según corresponda, así como las reglas de prevalencia al respecto, tal y como se señala a continuación:</w:t>
      </w:r>
      <w:r>
        <w:rPr>
          <w:rFonts w:ascii="Verdana" w:eastAsia="Aptos" w:hAnsi="Verdana" w:cs="Arial"/>
          <w:kern w:val="2"/>
          <w:sz w:val="20"/>
          <w:szCs w:val="20"/>
          <w:lang w:val="es-MX"/>
          <w14:ligatures w14:val="standardContextual"/>
        </w:rPr>
        <w:t xml:space="preserve"> </w:t>
      </w:r>
      <w:r w:rsidR="000679B2" w:rsidRPr="008332A5">
        <w:rPr>
          <w:rFonts w:ascii="Verdana" w:eastAsia="Aptos" w:hAnsi="Verdana" w:cs="Arial"/>
          <w:kern w:val="2"/>
          <w:sz w:val="20"/>
          <w:szCs w:val="20"/>
          <w:lang w:val="es-MX"/>
          <w14:ligatures w14:val="standardContextual"/>
        </w:rPr>
        <w:t>[…]</w:t>
      </w:r>
    </w:p>
    <w:p w14:paraId="036D4BE2" w14:textId="77777777" w:rsidR="000679B2" w:rsidRPr="000679B2" w:rsidRDefault="000679B2" w:rsidP="000679B2">
      <w:pPr>
        <w:spacing w:after="0" w:line="276" w:lineRule="auto"/>
        <w:jc w:val="both"/>
        <w:rPr>
          <w:rFonts w:ascii="Verdana" w:eastAsia="Aptos" w:hAnsi="Verdana" w:cs="Arial"/>
          <w:color w:val="000000"/>
          <w:kern w:val="2"/>
          <w:lang w:val="es-ES_tradnl"/>
          <w14:ligatures w14:val="standardContextual"/>
        </w:rPr>
      </w:pPr>
    </w:p>
    <w:p w14:paraId="1304D54D" w14:textId="77777777" w:rsidR="000679B2" w:rsidRPr="000679B2" w:rsidRDefault="000679B2" w:rsidP="00CB411B">
      <w:pPr>
        <w:spacing w:after="0" w:line="276" w:lineRule="auto"/>
        <w:jc w:val="both"/>
        <w:rPr>
          <w:rFonts w:ascii="Verdana" w:eastAsia="Calibri" w:hAnsi="Verdana" w:cs="Times New Roman"/>
          <w:lang w:val="es-ES_tradnl"/>
        </w:rPr>
      </w:pPr>
      <w:r w:rsidRPr="000679B2">
        <w:rPr>
          <w:rFonts w:ascii="Verdana" w:eastAsia="Calibri" w:hAnsi="Verdana" w:cs="Arial"/>
          <w:b/>
          <w:bCs/>
          <w:kern w:val="2"/>
          <w:lang w:val="es-ES" w:eastAsia="es-ES"/>
          <w14:ligatures w14:val="standardContextual"/>
        </w:rPr>
        <w:t>DOCUMENTOS TIPO – Oferta económica – Sobre No. 2 – Correcciones aritméticas</w:t>
      </w:r>
    </w:p>
    <w:p w14:paraId="3B77A74A" w14:textId="77777777" w:rsidR="000679B2" w:rsidRPr="000679B2" w:rsidRDefault="000679B2" w:rsidP="000679B2">
      <w:pPr>
        <w:spacing w:after="0" w:line="240" w:lineRule="auto"/>
        <w:rPr>
          <w:rFonts w:ascii="Verdana" w:eastAsia="Calibri" w:hAnsi="Verdana" w:cs="Times New Roman"/>
          <w:lang w:val="es-ES_tradnl"/>
        </w:rPr>
      </w:pPr>
    </w:p>
    <w:p w14:paraId="337587BC" w14:textId="77777777" w:rsidR="008332A5" w:rsidRDefault="000679B2" w:rsidP="008332A5">
      <w:pPr>
        <w:snapToGrid w:val="0"/>
        <w:spacing w:after="0" w:line="240" w:lineRule="auto"/>
        <w:jc w:val="both"/>
        <w:rPr>
          <w:rFonts w:ascii="Verdana" w:eastAsia="Aptos" w:hAnsi="Verdana" w:cs="Arial"/>
          <w:kern w:val="2"/>
          <w:sz w:val="20"/>
          <w:szCs w:val="20"/>
          <w:lang w:val="es-MX"/>
          <w14:ligatures w14:val="standardContextual"/>
        </w:rPr>
      </w:pPr>
      <w:r w:rsidRPr="008332A5">
        <w:rPr>
          <w:rFonts w:ascii="Verdana" w:eastAsia="Aptos" w:hAnsi="Verdana" w:cs="Arial"/>
          <w:kern w:val="2"/>
          <w:sz w:val="20"/>
          <w:szCs w:val="20"/>
          <w:lang w:val="es-MX"/>
          <w14:ligatures w14:val="standardContextual"/>
        </w:rPr>
        <w:t xml:space="preserve">[…] </w:t>
      </w:r>
      <w:r w:rsidR="008332A5" w:rsidRPr="008332A5">
        <w:rPr>
          <w:rFonts w:ascii="Verdana" w:eastAsia="Aptos" w:hAnsi="Verdana" w:cs="Arial"/>
          <w:kern w:val="2"/>
          <w:sz w:val="20"/>
          <w:szCs w:val="20"/>
          <w:lang w:val="es-MX"/>
          <w14:ligatures w14:val="standardContextual"/>
        </w:rPr>
        <w:t>es necesario precisar que la anterior causal de rechazo no está relacionada con el ejercicio de correcciones aritméticas que realiza la entidad una vez hace la apertura de las ofertas económicas (Sobre No. 2) en audiencia. Esto, toda vez que la causal opera sobre la oferta que remitió el proveedor y las reglas de presentación definidas por la entidad contratnate, mas no sobre los ajustes por correcciones aritméticas que puede sufrir la oferta económica, los cuales se encuentran regulados en el numeral 4.1.2 “CORRECIONES ARTIMÉTICAS” del documento base.</w:t>
      </w:r>
    </w:p>
    <w:p w14:paraId="1C98B1A1" w14:textId="77777777" w:rsidR="008332A5" w:rsidRPr="008332A5" w:rsidRDefault="008332A5" w:rsidP="008332A5">
      <w:pPr>
        <w:snapToGrid w:val="0"/>
        <w:spacing w:after="0" w:line="240" w:lineRule="auto"/>
        <w:jc w:val="both"/>
        <w:rPr>
          <w:rFonts w:ascii="Verdana" w:eastAsia="Aptos" w:hAnsi="Verdana" w:cs="Arial"/>
          <w:kern w:val="2"/>
          <w:sz w:val="20"/>
          <w:szCs w:val="20"/>
          <w:lang w:val="es-MX"/>
          <w14:ligatures w14:val="standardContextual"/>
        </w:rPr>
      </w:pPr>
    </w:p>
    <w:p w14:paraId="754323D8" w14:textId="224E7948" w:rsidR="000679B2" w:rsidRPr="008332A5" w:rsidRDefault="008332A5" w:rsidP="008332A5">
      <w:pPr>
        <w:snapToGrid w:val="0"/>
        <w:spacing w:after="0" w:line="240" w:lineRule="auto"/>
        <w:jc w:val="both"/>
        <w:rPr>
          <w:rFonts w:ascii="Verdana" w:eastAsia="Aptos" w:hAnsi="Verdana" w:cs="Arial"/>
          <w:kern w:val="2"/>
          <w:sz w:val="20"/>
          <w:szCs w:val="20"/>
          <w:lang w:val="es-MX"/>
          <w14:ligatures w14:val="standardContextual"/>
        </w:rPr>
      </w:pPr>
      <w:r w:rsidRPr="008332A5">
        <w:rPr>
          <w:rFonts w:ascii="Verdana" w:eastAsia="Aptos" w:hAnsi="Verdana" w:cs="Arial"/>
          <w:kern w:val="2"/>
          <w:sz w:val="20"/>
          <w:szCs w:val="20"/>
          <w:lang w:val="es-MX"/>
          <w14:ligatures w14:val="standardContextual"/>
        </w:rPr>
        <w:t xml:space="preserve">Finalmente, debe indicarse que el factor económico se calificará sobre la oferta económica presentada una vez realizado el procedimiento de corrección aritmética, si es </w:t>
      </w:r>
      <w:r w:rsidRPr="008332A5">
        <w:rPr>
          <w:rFonts w:ascii="Verdana" w:eastAsia="Aptos" w:hAnsi="Verdana" w:cs="Arial"/>
          <w:kern w:val="2"/>
          <w:sz w:val="20"/>
          <w:szCs w:val="20"/>
          <w:lang w:val="es-MX"/>
          <w14:ligatures w14:val="standardContextual"/>
        </w:rPr>
        <w:lastRenderedPageBreak/>
        <w:t xml:space="preserve">requerido, pues así lo señala el numeral 4.1 “OFERTA ECONÓMICA” de los documentos base de infraestructura de transporte e infraestructura social: </w:t>
      </w:r>
      <w:r w:rsidR="000679B2" w:rsidRPr="008332A5">
        <w:rPr>
          <w:rFonts w:ascii="Verdana" w:eastAsia="Aptos" w:hAnsi="Verdana" w:cs="Arial"/>
          <w:kern w:val="2"/>
          <w:sz w:val="20"/>
          <w:szCs w:val="20"/>
          <w:lang w:val="es-MX"/>
          <w14:ligatures w14:val="standardContextual"/>
        </w:rPr>
        <w:t>[…]</w:t>
      </w:r>
    </w:p>
    <w:p w14:paraId="17BCE50A"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01067700"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2C87A3A7"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2EAD9BCC"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60F8E092"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21D09D26"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645DD971"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5F753B69"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3ACDE0DF"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2010F3CA"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58442D1C"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302E1A16"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18EC980E"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47BA5A80"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4516919A"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632AE2B1"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74144986"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71E0DD29"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149350F0"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504DEBF8"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5448DC2A"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64E734F5"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126866E1"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0258EACB"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70113A3A"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24DC4EA9"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675D3291"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604DD6A1"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32634454"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4BCF6EC0"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6636EDC3"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5CCC5A7F"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159846E3"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060BCF28"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1E429C13"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14F890C5"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4BC5413F" w14:textId="77777777" w:rsidR="008332A5" w:rsidRDefault="008332A5" w:rsidP="008332A5">
      <w:pPr>
        <w:snapToGrid w:val="0"/>
        <w:spacing w:after="0" w:line="276" w:lineRule="auto"/>
        <w:ind w:firstLine="709"/>
        <w:jc w:val="both"/>
        <w:rPr>
          <w:rFonts w:ascii="Verdana" w:eastAsia="Aptos" w:hAnsi="Verdana" w:cs="Arial"/>
          <w:kern w:val="2"/>
          <w:sz w:val="20"/>
          <w:szCs w:val="20"/>
          <w:lang w:val="es-MX"/>
          <w14:ligatures w14:val="standardContextual"/>
        </w:rPr>
      </w:pPr>
    </w:p>
    <w:p w14:paraId="5F59D965" w14:textId="77777777" w:rsidR="008332A5" w:rsidRPr="008332A5" w:rsidRDefault="008332A5" w:rsidP="008332A5">
      <w:pPr>
        <w:snapToGrid w:val="0"/>
        <w:spacing w:after="0" w:line="276" w:lineRule="auto"/>
        <w:ind w:firstLine="709"/>
        <w:jc w:val="both"/>
        <w:rPr>
          <w:rFonts w:ascii="Verdana" w:eastAsia="Aptos" w:hAnsi="Verdana" w:cs="Arial"/>
          <w:kern w:val="2"/>
          <w:lang w:val="es-MX"/>
          <w14:ligatures w14:val="standardContextual"/>
        </w:rPr>
      </w:pPr>
    </w:p>
    <w:p w14:paraId="0BE28D6A" w14:textId="136C9092" w:rsidR="000679B2" w:rsidRPr="004B42EF" w:rsidRDefault="000679B2" w:rsidP="000679B2">
      <w:pPr>
        <w:spacing w:after="0" w:line="240" w:lineRule="auto"/>
        <w:jc w:val="both"/>
        <w:rPr>
          <w:rFonts w:ascii="Verdana" w:eastAsia="Verdana" w:hAnsi="Verdana" w:cs="Verdana"/>
        </w:rPr>
      </w:pPr>
      <w:r w:rsidRPr="30821638">
        <w:rPr>
          <w:rFonts w:ascii="Verdana" w:eastAsia="Verdana" w:hAnsi="Verdana" w:cs="Verdana"/>
        </w:rPr>
        <w:lastRenderedPageBreak/>
        <w:t xml:space="preserve">Bogotá D.C., </w:t>
      </w:r>
      <w:r w:rsidR="004B42EF">
        <w:rPr>
          <w:rFonts w:ascii="Verdana" w:eastAsia="Verdana" w:hAnsi="Verdana" w:cs="Verdana"/>
        </w:rPr>
        <w:t>20 Abril 2026</w:t>
      </w:r>
    </w:p>
    <w:p w14:paraId="5FE093A5" w14:textId="76292EA4" w:rsidR="000679B2" w:rsidRPr="000679B2" w:rsidRDefault="004B42EF" w:rsidP="004B42EF">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24EF3A6C" wp14:editId="53C2A74D">
            <wp:extent cx="2565510" cy="696216"/>
            <wp:effectExtent l="0" t="0" r="0" b="2540"/>
            <wp:docPr id="8393996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399615" name="Imagen 839399615"/>
                    <pic:cNvPicPr/>
                  </pic:nvPicPr>
                  <pic:blipFill>
                    <a:blip r:embed="rId10">
                      <a:extLst>
                        <a:ext uri="{28A0092B-C50C-407E-A947-70E740481C1C}">
                          <a14:useLocalDpi xmlns:a14="http://schemas.microsoft.com/office/drawing/2010/main" val="0"/>
                        </a:ext>
                      </a:extLst>
                    </a:blip>
                    <a:stretch>
                      <a:fillRect/>
                    </a:stretch>
                  </pic:blipFill>
                  <pic:spPr>
                    <a:xfrm>
                      <a:off x="0" y="0"/>
                      <a:ext cx="2583724" cy="701159"/>
                    </a:xfrm>
                    <a:prstGeom prst="rect">
                      <a:avLst/>
                    </a:prstGeom>
                  </pic:spPr>
                </pic:pic>
              </a:graphicData>
            </a:graphic>
          </wp:inline>
        </w:drawing>
      </w:r>
    </w:p>
    <w:p w14:paraId="458D0A11" w14:textId="77777777" w:rsidR="000679B2" w:rsidRPr="000679B2" w:rsidRDefault="000679B2" w:rsidP="000679B2">
      <w:pPr>
        <w:spacing w:after="0" w:line="240" w:lineRule="auto"/>
        <w:jc w:val="both"/>
        <w:rPr>
          <w:rFonts w:ascii="Verdana" w:eastAsia="Calibri" w:hAnsi="Verdana" w:cs="Arial"/>
          <w:lang w:val="es-ES_tradnl" w:eastAsia="es-ES"/>
        </w:rPr>
      </w:pPr>
      <w:r w:rsidRPr="000679B2">
        <w:rPr>
          <w:rFonts w:ascii="Verdana" w:eastAsia="Calibri" w:hAnsi="Verdana" w:cs="Arial"/>
          <w:lang w:val="es-ES_tradnl" w:eastAsia="es-ES"/>
        </w:rPr>
        <w:t>Señor</w:t>
      </w:r>
    </w:p>
    <w:p w14:paraId="4EC801F2" w14:textId="77777777" w:rsidR="000679B2" w:rsidRPr="000679B2" w:rsidRDefault="000679B2" w:rsidP="000679B2">
      <w:pPr>
        <w:spacing w:after="0" w:line="240" w:lineRule="auto"/>
        <w:rPr>
          <w:rFonts w:ascii="Verdana" w:eastAsia="Calibri" w:hAnsi="Verdana" w:cs="Arial"/>
          <w:b/>
          <w:bCs/>
          <w:lang w:val="es-ES" w:eastAsia="es-ES"/>
        </w:rPr>
      </w:pPr>
      <w:r w:rsidRPr="000679B2">
        <w:rPr>
          <w:rFonts w:ascii="Verdana" w:eastAsia="Calibri" w:hAnsi="Verdana" w:cs="Arial"/>
          <w:b/>
          <w:bCs/>
          <w:lang w:val="es-ES" w:eastAsia="es-ES"/>
        </w:rPr>
        <w:t>Pedro David Ricardo Hernández</w:t>
      </w:r>
    </w:p>
    <w:p w14:paraId="69FF7D99" w14:textId="77777777" w:rsidR="000679B2" w:rsidRPr="000679B2" w:rsidRDefault="000679B2" w:rsidP="000679B2">
      <w:pPr>
        <w:spacing w:after="0" w:line="240" w:lineRule="auto"/>
        <w:rPr>
          <w:rFonts w:ascii="Verdana" w:eastAsia="Calibri" w:hAnsi="Verdana" w:cs="Arial"/>
          <w:lang w:val="es-ES_tradnl" w:eastAsia="es-ES"/>
        </w:rPr>
      </w:pPr>
      <w:r w:rsidRPr="000679B2">
        <w:rPr>
          <w:rFonts w:ascii="Verdana" w:eastAsia="Calibri" w:hAnsi="Verdana" w:cs="Arial"/>
          <w:lang w:val="es-ES_tradnl" w:eastAsia="es-ES"/>
        </w:rPr>
        <w:t>La Estrella, Antioquia</w:t>
      </w:r>
    </w:p>
    <w:p w14:paraId="09824AE0" w14:textId="77777777" w:rsidR="000679B2" w:rsidRPr="000679B2" w:rsidRDefault="000679B2" w:rsidP="000679B2">
      <w:pPr>
        <w:spacing w:after="0" w:line="240" w:lineRule="auto"/>
        <w:rPr>
          <w:rFonts w:ascii="Verdana" w:eastAsia="Calibri" w:hAnsi="Verdana" w:cs="Arial"/>
          <w:b/>
          <w:bCs/>
          <w:lang w:val="es-ES_tradnl" w:eastAsia="es-ES_tradnl"/>
        </w:rPr>
      </w:pPr>
    </w:p>
    <w:p w14:paraId="667F2341" w14:textId="77777777" w:rsidR="000679B2" w:rsidRPr="000679B2" w:rsidRDefault="000679B2" w:rsidP="000679B2">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679B2" w:rsidRPr="000679B2" w14:paraId="70DC5AF6" w14:textId="77777777" w:rsidTr="00F51763">
        <w:trPr>
          <w:trHeight w:val="884"/>
        </w:trPr>
        <w:tc>
          <w:tcPr>
            <w:tcW w:w="2689" w:type="dxa"/>
          </w:tcPr>
          <w:p w14:paraId="36785113" w14:textId="77777777" w:rsidR="000679B2" w:rsidRPr="000679B2" w:rsidRDefault="000679B2" w:rsidP="000679B2">
            <w:pPr>
              <w:jc w:val="both"/>
              <w:rPr>
                <w:rFonts w:ascii="Verdana" w:eastAsia="Calibri" w:hAnsi="Verdana" w:cs="Arial"/>
                <w:b/>
                <w:bCs/>
                <w:lang w:val="es-ES_tradnl" w:eastAsia="es-ES_tradnl"/>
              </w:rPr>
            </w:pPr>
          </w:p>
        </w:tc>
        <w:tc>
          <w:tcPr>
            <w:tcW w:w="6100" w:type="dxa"/>
          </w:tcPr>
          <w:p w14:paraId="40CB2549" w14:textId="77777777" w:rsidR="000679B2" w:rsidRPr="000679B2" w:rsidRDefault="000679B2" w:rsidP="000679B2">
            <w:pPr>
              <w:jc w:val="both"/>
              <w:rPr>
                <w:rFonts w:ascii="Verdana" w:eastAsia="Calibri" w:hAnsi="Verdana" w:cs="Arial"/>
                <w:b/>
                <w:bCs/>
                <w:lang w:val="es-ES_tradnl" w:eastAsia="es-ES"/>
              </w:rPr>
            </w:pPr>
            <w:r w:rsidRPr="000679B2">
              <w:rPr>
                <w:rFonts w:ascii="Verdana" w:eastAsia="Calibri" w:hAnsi="Verdana" w:cs="Arial"/>
                <w:b/>
                <w:bCs/>
                <w:lang w:val="es-ES_tradnl" w:eastAsia="es-ES"/>
              </w:rPr>
              <w:t>Concepto C – 383 de 2026</w:t>
            </w:r>
          </w:p>
          <w:p w14:paraId="4C624420" w14:textId="77777777" w:rsidR="000679B2" w:rsidRPr="000679B2" w:rsidRDefault="000679B2" w:rsidP="000679B2">
            <w:pPr>
              <w:tabs>
                <w:tab w:val="left" w:pos="1137"/>
              </w:tabs>
              <w:rPr>
                <w:rFonts w:ascii="Verdana" w:eastAsia="Calibri" w:hAnsi="Verdana" w:cs="Arial"/>
                <w:lang w:val="es-ES_tradnl" w:eastAsia="es-ES"/>
              </w:rPr>
            </w:pPr>
            <w:r w:rsidRPr="000679B2">
              <w:rPr>
                <w:rFonts w:ascii="Verdana" w:eastAsia="Calibri" w:hAnsi="Verdana" w:cs="Arial"/>
                <w:lang w:val="es-ES_tradnl" w:eastAsia="es-ES"/>
              </w:rPr>
              <w:tab/>
            </w:r>
          </w:p>
        </w:tc>
      </w:tr>
      <w:tr w:rsidR="000679B2" w:rsidRPr="000679B2" w14:paraId="5FB5E103" w14:textId="77777777" w:rsidTr="00F51763">
        <w:trPr>
          <w:trHeight w:val="884"/>
        </w:trPr>
        <w:tc>
          <w:tcPr>
            <w:tcW w:w="2689" w:type="dxa"/>
          </w:tcPr>
          <w:p w14:paraId="509A7951" w14:textId="77777777" w:rsidR="000679B2" w:rsidRPr="000679B2" w:rsidRDefault="000679B2" w:rsidP="000679B2">
            <w:pPr>
              <w:jc w:val="both"/>
              <w:rPr>
                <w:rFonts w:ascii="Verdana" w:eastAsia="Calibri" w:hAnsi="Verdana" w:cs="Arial"/>
                <w:lang w:val="es-ES_tradnl" w:eastAsia="es-ES_tradnl"/>
              </w:rPr>
            </w:pPr>
            <w:r w:rsidRPr="000679B2">
              <w:rPr>
                <w:rFonts w:ascii="Verdana" w:eastAsia="Calibri" w:hAnsi="Verdana" w:cs="Arial"/>
                <w:b/>
                <w:lang w:val="es-ES_tradnl" w:eastAsia="es-ES_tradnl"/>
              </w:rPr>
              <w:t>Temas:</w:t>
            </w:r>
            <w:r w:rsidRPr="000679B2">
              <w:rPr>
                <w:rFonts w:ascii="Verdana" w:eastAsia="Calibri" w:hAnsi="Verdana" w:cs="Arial"/>
                <w:lang w:val="es-ES_tradnl" w:eastAsia="es-ES_tradnl"/>
              </w:rPr>
              <w:t xml:space="preserve">                   </w:t>
            </w:r>
          </w:p>
        </w:tc>
        <w:tc>
          <w:tcPr>
            <w:tcW w:w="6100" w:type="dxa"/>
          </w:tcPr>
          <w:p w14:paraId="512CEC45" w14:textId="77777777" w:rsidR="000679B2" w:rsidRPr="000679B2" w:rsidRDefault="000679B2" w:rsidP="000679B2">
            <w:pPr>
              <w:spacing w:line="276" w:lineRule="auto"/>
              <w:jc w:val="both"/>
              <w:rPr>
                <w:rFonts w:ascii="Verdana" w:eastAsia="Calibri" w:hAnsi="Verdana" w:cs="Times New Roman"/>
                <w:bCs/>
                <w:lang w:val="es-ES_tradnl"/>
              </w:rPr>
            </w:pPr>
            <w:r w:rsidRPr="000679B2">
              <w:rPr>
                <w:rFonts w:ascii="Verdana" w:eastAsia="Aptos" w:hAnsi="Verdana" w:cs="Arial"/>
                <w:bCs/>
                <w:color w:val="000000"/>
                <w:lang w:val="es-ES_tradnl"/>
              </w:rPr>
              <w:t xml:space="preserve">CAUSALES DE RECHAZO – Principio de legalidad – Configuración – Documentos Tipo / DOCUMENTOS TIPO – Infraestructura social – Causales de rechazo – Literal U / </w:t>
            </w:r>
            <w:r w:rsidRPr="000679B2">
              <w:rPr>
                <w:rFonts w:ascii="Verdana" w:eastAsia="Calibri" w:hAnsi="Verdana" w:cs="Arial"/>
                <w:bCs/>
                <w:lang w:val="es-ES" w:eastAsia="es-ES"/>
              </w:rPr>
              <w:t>DOCUMENTOS TIPO – Oferta económica – Sobre No. 2 – Correcciones aritméticas</w:t>
            </w:r>
          </w:p>
          <w:p w14:paraId="4370F6B9" w14:textId="77777777" w:rsidR="000679B2" w:rsidRPr="000679B2" w:rsidRDefault="000679B2" w:rsidP="000679B2">
            <w:pPr>
              <w:spacing w:line="276" w:lineRule="auto"/>
              <w:jc w:val="both"/>
              <w:rPr>
                <w:rFonts w:ascii="Verdana" w:eastAsia="Calibri" w:hAnsi="Verdana" w:cs="Arial"/>
                <w:bCs/>
                <w:highlight w:val="yellow"/>
                <w:lang w:val="es-ES_tradnl" w:eastAsia="es-ES"/>
              </w:rPr>
            </w:pPr>
          </w:p>
        </w:tc>
      </w:tr>
      <w:tr w:rsidR="000679B2" w:rsidRPr="000679B2" w14:paraId="54254571" w14:textId="77777777" w:rsidTr="00F51763">
        <w:tc>
          <w:tcPr>
            <w:tcW w:w="2689" w:type="dxa"/>
          </w:tcPr>
          <w:p w14:paraId="5F8606B5" w14:textId="77777777" w:rsidR="000679B2" w:rsidRPr="000679B2" w:rsidRDefault="000679B2" w:rsidP="000679B2">
            <w:pPr>
              <w:jc w:val="both"/>
              <w:rPr>
                <w:rFonts w:ascii="Verdana" w:eastAsia="Calibri" w:hAnsi="Verdana" w:cs="Arial"/>
                <w:b/>
                <w:lang w:val="es-ES_tradnl" w:eastAsia="es-ES_tradnl"/>
              </w:rPr>
            </w:pPr>
            <w:r w:rsidRPr="000679B2">
              <w:rPr>
                <w:rFonts w:ascii="Verdana" w:eastAsia="Calibri" w:hAnsi="Verdana" w:cs="Arial"/>
                <w:b/>
                <w:lang w:val="es-ES_tradnl" w:eastAsia="es-ES_tradnl"/>
              </w:rPr>
              <w:t>Radicación:</w:t>
            </w:r>
            <w:r w:rsidRPr="000679B2">
              <w:rPr>
                <w:rFonts w:ascii="Verdana" w:eastAsia="Calibri" w:hAnsi="Verdana" w:cs="Arial"/>
                <w:lang w:val="es-ES_tradnl" w:eastAsia="es-ES_tradnl"/>
              </w:rPr>
              <w:t xml:space="preserve">               </w:t>
            </w:r>
          </w:p>
        </w:tc>
        <w:tc>
          <w:tcPr>
            <w:tcW w:w="6100" w:type="dxa"/>
          </w:tcPr>
          <w:p w14:paraId="33BC26B2" w14:textId="77777777" w:rsidR="000679B2" w:rsidRPr="000679B2" w:rsidRDefault="000679B2" w:rsidP="000679B2">
            <w:pPr>
              <w:jc w:val="both"/>
              <w:rPr>
                <w:rFonts w:ascii="Verdana" w:eastAsia="Calibri" w:hAnsi="Verdana" w:cs="Arial"/>
                <w:lang w:val="es-ES_tradnl" w:eastAsia="es-ES_tradnl"/>
              </w:rPr>
            </w:pPr>
            <w:r w:rsidRPr="000679B2">
              <w:rPr>
                <w:rFonts w:ascii="Verdana" w:eastAsia="Calibri" w:hAnsi="Verdana" w:cs="Arial"/>
                <w:lang w:val="es-ES_tradnl" w:eastAsia="es-ES_tradnl"/>
              </w:rPr>
              <w:t>Respuesta a consulta con radicado No. 1_2026_03_06_003161</w:t>
            </w:r>
          </w:p>
        </w:tc>
      </w:tr>
    </w:tbl>
    <w:p w14:paraId="34E5E488" w14:textId="77777777" w:rsidR="000679B2" w:rsidRPr="000679B2" w:rsidRDefault="000679B2" w:rsidP="000679B2">
      <w:pPr>
        <w:spacing w:after="0" w:line="240" w:lineRule="auto"/>
        <w:jc w:val="both"/>
        <w:rPr>
          <w:rFonts w:ascii="Verdana" w:eastAsia="Calibri" w:hAnsi="Verdana" w:cs="Arial"/>
          <w:lang w:val="es-ES_tradnl" w:eastAsia="es-ES_tradnl"/>
        </w:rPr>
      </w:pPr>
    </w:p>
    <w:p w14:paraId="727CFF22" w14:textId="77777777" w:rsidR="000679B2" w:rsidRPr="000679B2" w:rsidRDefault="000679B2" w:rsidP="000679B2">
      <w:pPr>
        <w:spacing w:after="0" w:line="240" w:lineRule="auto"/>
        <w:jc w:val="both"/>
        <w:rPr>
          <w:rFonts w:ascii="Verdana" w:eastAsia="Calibri" w:hAnsi="Verdana" w:cs="Arial"/>
          <w:lang w:val="es-ES_tradnl" w:eastAsia="es-ES_tradnl"/>
        </w:rPr>
      </w:pPr>
    </w:p>
    <w:p w14:paraId="4054B15D" w14:textId="77777777" w:rsidR="000679B2" w:rsidRPr="000679B2" w:rsidRDefault="000679B2" w:rsidP="000679B2">
      <w:pPr>
        <w:spacing w:after="0" w:line="276" w:lineRule="auto"/>
        <w:jc w:val="both"/>
        <w:rPr>
          <w:rFonts w:ascii="Verdana" w:eastAsia="Calibri" w:hAnsi="Verdana" w:cs="Arial"/>
          <w:lang w:val="es-ES" w:eastAsia="es-ES"/>
        </w:rPr>
      </w:pPr>
      <w:r w:rsidRPr="000679B2">
        <w:rPr>
          <w:rFonts w:ascii="Verdana" w:eastAsia="Calibri" w:hAnsi="Verdana" w:cs="Arial"/>
          <w:lang w:val="es-ES" w:eastAsia="es-ES"/>
        </w:rPr>
        <w:t>Estimado señor:</w:t>
      </w:r>
    </w:p>
    <w:p w14:paraId="0C2519ED" w14:textId="77777777" w:rsidR="000679B2" w:rsidRPr="000679B2" w:rsidRDefault="000679B2" w:rsidP="000679B2">
      <w:pPr>
        <w:tabs>
          <w:tab w:val="left" w:pos="3768"/>
        </w:tabs>
        <w:spacing w:after="0" w:line="276" w:lineRule="auto"/>
        <w:jc w:val="both"/>
        <w:rPr>
          <w:rFonts w:ascii="Verdana" w:eastAsia="Calibri" w:hAnsi="Verdana" w:cs="Arial"/>
          <w:lang w:val="es-ES_tradnl" w:eastAsia="es-ES"/>
        </w:rPr>
      </w:pPr>
      <w:r w:rsidRPr="000679B2">
        <w:rPr>
          <w:rFonts w:ascii="Verdana" w:eastAsia="Calibri" w:hAnsi="Verdana" w:cs="Arial"/>
          <w:lang w:val="es-ES_tradnl" w:eastAsia="es-ES"/>
        </w:rPr>
        <w:tab/>
      </w:r>
    </w:p>
    <w:p w14:paraId="0660441C" w14:textId="77777777" w:rsidR="000679B2" w:rsidRPr="000679B2" w:rsidRDefault="000679B2" w:rsidP="000679B2">
      <w:pPr>
        <w:snapToGrid w:val="0"/>
        <w:spacing w:after="0" w:line="276" w:lineRule="auto"/>
        <w:jc w:val="both"/>
        <w:rPr>
          <w:rFonts w:ascii="Verdana" w:eastAsia="Calibri" w:hAnsi="Verdana" w:cs="Arial"/>
          <w:lang w:val="es-ES_tradnl" w:eastAsia="es-ES"/>
        </w:rPr>
      </w:pPr>
      <w:r w:rsidRPr="000679B2">
        <w:rPr>
          <w:rFonts w:ascii="Verdana" w:eastAsia="Calibri" w:hAnsi="Verdana" w:cs="Arial"/>
          <w:lang w:val="es-ES_tradnl" w:eastAsia="es-ES"/>
        </w:rPr>
        <w:t>En ejercicio de la competencia otorgada por los artículos 3, numeral 5º, y 11, numeral 8º, del Decreto Ley 4170 de 2011,</w:t>
      </w:r>
      <w:r w:rsidRPr="000679B2">
        <w:rPr>
          <w:rFonts w:ascii="Verdana" w:eastAsia="Arial MT" w:hAnsi="Verdana" w:cs="Arial MT"/>
          <w:lang w:val="es-ES_tradnl" w:eastAsia="es-ES"/>
        </w:rPr>
        <w:t xml:space="preserve"> </w:t>
      </w:r>
      <w:r w:rsidRPr="000679B2">
        <w:rPr>
          <w:rFonts w:ascii="Verdana" w:eastAsia="Calibri" w:hAnsi="Verdana" w:cs="Arial"/>
          <w:lang w:val="es-ES_tradnl"/>
        </w:rPr>
        <w:t xml:space="preserve">así como lo establecido en la </w:t>
      </w:r>
      <w:r w:rsidRPr="000679B2">
        <w:rPr>
          <w:rFonts w:ascii="Verdana" w:eastAsia="Calibri" w:hAnsi="Verdana" w:cs="Arial"/>
          <w:kern w:val="2"/>
          <w:lang w:val="es-ES_tradnl" w:eastAsia="es-MX"/>
          <w14:ligatures w14:val="standardContextual"/>
        </w:rPr>
        <w:t xml:space="preserve">Resolución 469 de 2025 </w:t>
      </w:r>
      <w:r w:rsidRPr="000679B2">
        <w:rPr>
          <w:rFonts w:ascii="Verdana" w:eastAsia="Calibri" w:hAnsi="Verdana" w:cs="Arial"/>
          <w:lang w:val="es-ES_tradnl"/>
        </w:rPr>
        <w:t xml:space="preserve">expedida por esta Entidad, </w:t>
      </w:r>
      <w:r w:rsidRPr="000679B2">
        <w:rPr>
          <w:rFonts w:ascii="Verdana" w:eastAsia="Calibri" w:hAnsi="Verdana" w:cs="Arial"/>
          <w:lang w:val="es-ES_tradnl" w:eastAsia="es-ES"/>
        </w:rPr>
        <w:t>la Agencia Nacional de Contratación Pública –Colombia Compra Eficiente– responde su solicitud de consulta de fecha 6 de marzo de 2026. En relación con los documentos tipo, usted pregunta lo siguiente:</w:t>
      </w:r>
    </w:p>
    <w:p w14:paraId="3621A3B0" w14:textId="77777777" w:rsidR="000679B2" w:rsidRPr="000679B2" w:rsidRDefault="000679B2" w:rsidP="000679B2">
      <w:pPr>
        <w:tabs>
          <w:tab w:val="left" w:pos="142"/>
          <w:tab w:val="left" w:pos="1275"/>
        </w:tabs>
        <w:snapToGrid w:val="0"/>
        <w:spacing w:after="0" w:line="276" w:lineRule="auto"/>
        <w:jc w:val="both"/>
        <w:rPr>
          <w:rFonts w:ascii="Verdana" w:eastAsia="Century Gothic" w:hAnsi="Verdana" w:cs="Century Gothic"/>
          <w:b/>
          <w:bCs/>
          <w:lang w:val="es-ES_tradnl"/>
        </w:rPr>
      </w:pPr>
      <w:r w:rsidRPr="000679B2">
        <w:rPr>
          <w:rFonts w:ascii="Verdana" w:eastAsia="Century Gothic" w:hAnsi="Verdana" w:cs="Century Gothic"/>
          <w:b/>
          <w:bCs/>
          <w:lang w:val="es-ES_tradnl"/>
        </w:rPr>
        <w:tab/>
      </w:r>
      <w:r w:rsidRPr="000679B2">
        <w:rPr>
          <w:rFonts w:ascii="Verdana" w:eastAsia="Century Gothic" w:hAnsi="Verdana" w:cs="Century Gothic"/>
          <w:b/>
          <w:bCs/>
          <w:lang w:val="es-ES_tradnl"/>
        </w:rPr>
        <w:tab/>
      </w:r>
    </w:p>
    <w:p w14:paraId="439175A6" w14:textId="77777777" w:rsidR="000679B2" w:rsidRPr="000679B2" w:rsidRDefault="000679B2" w:rsidP="000679B2">
      <w:pPr>
        <w:snapToGrid w:val="0"/>
        <w:spacing w:after="0" w:line="240" w:lineRule="auto"/>
        <w:ind w:left="720" w:right="709"/>
        <w:jc w:val="both"/>
        <w:rPr>
          <w:rFonts w:ascii="Verdana" w:eastAsia="Century Gothic" w:hAnsi="Verdana" w:cs="Century Gothic"/>
          <w:sz w:val="21"/>
          <w:szCs w:val="21"/>
          <w:lang w:val="es-ES"/>
        </w:rPr>
      </w:pPr>
      <w:r w:rsidRPr="000679B2">
        <w:rPr>
          <w:rFonts w:ascii="Verdana" w:eastAsia="Century Gothic" w:hAnsi="Verdana" w:cs="Century Gothic"/>
          <w:sz w:val="21"/>
          <w:szCs w:val="21"/>
          <w:lang w:val="es-ES"/>
        </w:rPr>
        <w:t xml:space="preserve">“Teniendo en cuenta la Causal de Rechazo de los Documentos Base de Infraestructura de Transporte e Infraestructura Social que establece: "PRESENTAR MAS DE UNA OFERTA ECONÓMICA CON VALORES DISTINTOS EN EL SOBRE 2" y con base en el concepto C-790 de 2022, expedido por la Colombia Compra Eficiente que establece: "Esto implica que, en las ofertas presentadas electrónicamente en los procesos adelantados en el SECOP II debe existir coincidencia entre la </w:t>
      </w:r>
      <w:r w:rsidRPr="000679B2">
        <w:rPr>
          <w:rFonts w:ascii="Verdana" w:eastAsia="Century Gothic" w:hAnsi="Verdana" w:cs="Century Gothic"/>
          <w:sz w:val="21"/>
          <w:szCs w:val="21"/>
          <w:lang w:val="es-ES"/>
        </w:rPr>
        <w:lastRenderedPageBreak/>
        <w:t>información que se consigna en el cuestionario de lista de precios que se diligencia dentro de la plataforma, y la consignada en el Formulario 1 que se anexe a modo de soporte, so pena de que se aplique la causal de rechazo contemplada", me permito consultar:</w:t>
      </w:r>
    </w:p>
    <w:p w14:paraId="3E5B2B8F" w14:textId="77777777" w:rsidR="000679B2" w:rsidRPr="000679B2" w:rsidRDefault="000679B2" w:rsidP="000679B2">
      <w:pPr>
        <w:snapToGrid w:val="0"/>
        <w:spacing w:after="0" w:line="240" w:lineRule="auto"/>
        <w:ind w:left="720" w:right="709"/>
        <w:jc w:val="both"/>
        <w:rPr>
          <w:rFonts w:ascii="Verdana" w:eastAsia="Century Gothic" w:hAnsi="Verdana" w:cs="Century Gothic"/>
          <w:sz w:val="21"/>
          <w:szCs w:val="21"/>
          <w:lang w:val="es-ES"/>
        </w:rPr>
      </w:pPr>
    </w:p>
    <w:p w14:paraId="4AA2E703" w14:textId="77777777" w:rsidR="000679B2" w:rsidRPr="000679B2" w:rsidRDefault="000679B2" w:rsidP="000679B2">
      <w:pPr>
        <w:snapToGrid w:val="0"/>
        <w:spacing w:after="0" w:line="240" w:lineRule="auto"/>
        <w:ind w:left="720" w:right="709"/>
        <w:jc w:val="both"/>
        <w:rPr>
          <w:rFonts w:ascii="Verdana" w:eastAsia="Century Gothic" w:hAnsi="Verdana" w:cs="Century Gothic"/>
          <w:sz w:val="21"/>
          <w:szCs w:val="21"/>
          <w:lang w:val="es-ES"/>
        </w:rPr>
      </w:pPr>
      <w:r w:rsidRPr="000679B2">
        <w:rPr>
          <w:rFonts w:ascii="Verdana" w:eastAsia="Century Gothic" w:hAnsi="Verdana" w:cs="Century Gothic"/>
          <w:sz w:val="21"/>
          <w:szCs w:val="21"/>
          <w:lang w:val="es-ES"/>
        </w:rPr>
        <w:t>¿EL VALOR QUE SE DEBE TENER EN CUENTA DEL FORMULARIO 1 ES EL VALOR TOTAL PRESENTADO O EL VALOR TOTAL CORREGIDO (DESPUES DE EFECTUAR LAS CORRECCIONES ARITMÉTICAS)?”</w:t>
      </w:r>
    </w:p>
    <w:p w14:paraId="668544AA" w14:textId="77777777" w:rsidR="000679B2" w:rsidRPr="000679B2" w:rsidRDefault="000679B2" w:rsidP="000679B2">
      <w:pPr>
        <w:snapToGrid w:val="0"/>
        <w:spacing w:after="0" w:line="240" w:lineRule="auto"/>
        <w:ind w:left="720" w:right="709"/>
        <w:jc w:val="both"/>
        <w:rPr>
          <w:rFonts w:ascii="Verdana" w:eastAsia="Century Gothic" w:hAnsi="Verdana" w:cs="Century Gothic"/>
          <w:lang w:val="es-ES_tradnl"/>
        </w:rPr>
      </w:pPr>
    </w:p>
    <w:p w14:paraId="21A82126" w14:textId="77777777" w:rsidR="000679B2" w:rsidRPr="000679B2" w:rsidRDefault="000679B2" w:rsidP="000679B2">
      <w:pPr>
        <w:spacing w:after="120" w:line="276" w:lineRule="auto"/>
        <w:ind w:firstLine="709"/>
        <w:jc w:val="both"/>
        <w:rPr>
          <w:rFonts w:ascii="Verdana" w:eastAsia="Calibri" w:hAnsi="Verdana" w:cs="Arial"/>
          <w:lang w:val="es-ES" w:eastAsia="es-ES"/>
        </w:rPr>
      </w:pPr>
      <w:r w:rsidRPr="000679B2">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679B2">
        <w:rPr>
          <w:rFonts w:ascii="Calibri" w:eastAsia="Calibri" w:hAnsi="Calibri" w:cs="Times New Roman"/>
        </w:rPr>
        <w:tab/>
      </w:r>
    </w:p>
    <w:p w14:paraId="4A0C7E27" w14:textId="77777777" w:rsidR="000679B2" w:rsidRPr="000679B2" w:rsidRDefault="000679B2" w:rsidP="000679B2">
      <w:pPr>
        <w:snapToGrid w:val="0"/>
        <w:spacing w:after="0" w:line="276" w:lineRule="auto"/>
        <w:ind w:firstLine="709"/>
        <w:jc w:val="both"/>
        <w:rPr>
          <w:rFonts w:ascii="Verdana" w:eastAsia="Calibri" w:hAnsi="Verdana" w:cs="Arial"/>
          <w:lang w:val="es-ES_tradnl" w:eastAsia="es-ES"/>
        </w:rPr>
      </w:pPr>
      <w:r w:rsidRPr="000679B2">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C5085B8" w14:textId="77777777" w:rsidR="000679B2" w:rsidRPr="000679B2" w:rsidRDefault="000679B2" w:rsidP="000679B2">
      <w:pPr>
        <w:snapToGrid w:val="0"/>
        <w:spacing w:after="0" w:line="276" w:lineRule="auto"/>
        <w:ind w:firstLine="709"/>
        <w:jc w:val="both"/>
        <w:rPr>
          <w:rFonts w:ascii="Verdana" w:eastAsia="Calibri" w:hAnsi="Verdana" w:cs="Arial"/>
          <w:lang w:val="es-ES_tradnl" w:eastAsia="es-ES"/>
        </w:rPr>
      </w:pPr>
    </w:p>
    <w:p w14:paraId="1826BEBC" w14:textId="77777777" w:rsidR="000679B2" w:rsidRPr="000679B2" w:rsidRDefault="000679B2" w:rsidP="000679B2">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679B2">
        <w:rPr>
          <w:rFonts w:ascii="Verdana" w:eastAsia="Century Gothic" w:hAnsi="Verdana" w:cs="Century Gothic"/>
          <w:b/>
          <w:bCs/>
          <w:lang w:val="es-ES_tradnl"/>
        </w:rPr>
        <w:t>Problema planteado:</w:t>
      </w:r>
    </w:p>
    <w:p w14:paraId="216FF270" w14:textId="77777777" w:rsidR="000679B2" w:rsidRPr="000679B2" w:rsidRDefault="000679B2" w:rsidP="000679B2">
      <w:pPr>
        <w:tabs>
          <w:tab w:val="left" w:pos="426"/>
        </w:tabs>
        <w:snapToGrid w:val="0"/>
        <w:spacing w:after="0" w:line="276" w:lineRule="auto"/>
        <w:jc w:val="both"/>
        <w:rPr>
          <w:rFonts w:ascii="Verdana" w:eastAsia="Century Gothic" w:hAnsi="Verdana" w:cs="Century Gothic"/>
          <w:lang w:val="es-ES_tradnl"/>
        </w:rPr>
      </w:pPr>
    </w:p>
    <w:p w14:paraId="5EB478BE" w14:textId="77777777" w:rsidR="000679B2" w:rsidRPr="000679B2" w:rsidRDefault="000679B2" w:rsidP="000679B2">
      <w:pPr>
        <w:snapToGrid w:val="0"/>
        <w:spacing w:after="0" w:line="276" w:lineRule="auto"/>
        <w:jc w:val="both"/>
        <w:rPr>
          <w:rFonts w:ascii="Verdana" w:eastAsia="Century Gothic" w:hAnsi="Verdana" w:cs="Century Gothic"/>
          <w:lang w:val="es-ES"/>
        </w:rPr>
      </w:pPr>
      <w:r w:rsidRPr="000679B2">
        <w:rPr>
          <w:rFonts w:ascii="Verdana" w:eastAsia="Century Gothic" w:hAnsi="Verdana" w:cs="Century Gothic"/>
          <w:lang w:val="es-ES"/>
        </w:rPr>
        <w:t>De acuerdo con el contenido de su solicitud, esta Agencia resolverá el siguiente problema jurídico relacionado con los documentos tipo de infraestructura de transporte y social: ¿cuál es el alcance de la causal de rechazo relacionada con la presentación de más de una oferta con valores distintos, a propósito de la calificación de la oferta con eventuales correcciones aritméticas?</w:t>
      </w:r>
    </w:p>
    <w:p w14:paraId="4C890ADB" w14:textId="77777777" w:rsidR="000679B2" w:rsidRPr="000679B2" w:rsidRDefault="000679B2" w:rsidP="000679B2">
      <w:pPr>
        <w:snapToGrid w:val="0"/>
        <w:spacing w:after="0" w:line="276" w:lineRule="auto"/>
        <w:jc w:val="both"/>
        <w:rPr>
          <w:rFonts w:ascii="Verdana" w:eastAsia="Century Gothic" w:hAnsi="Verdana" w:cs="Century Gothic"/>
          <w:lang w:val="es-ES"/>
        </w:rPr>
      </w:pPr>
    </w:p>
    <w:p w14:paraId="40725ABC" w14:textId="77777777" w:rsidR="000679B2" w:rsidRPr="000679B2" w:rsidRDefault="000679B2" w:rsidP="000679B2">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679B2">
        <w:rPr>
          <w:rFonts w:ascii="Verdana" w:eastAsia="Century Gothic" w:hAnsi="Verdana" w:cs="Century Gothic"/>
          <w:b/>
          <w:bCs/>
          <w:lang w:val="es-ES_tradnl"/>
        </w:rPr>
        <w:t>Respuesta:</w:t>
      </w:r>
    </w:p>
    <w:p w14:paraId="7E0FBCB4" w14:textId="77777777" w:rsidR="000679B2" w:rsidRPr="000679B2" w:rsidRDefault="000679B2" w:rsidP="000679B2">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679B2" w:rsidRPr="000679B2" w14:paraId="2A1F83C5" w14:textId="77777777" w:rsidTr="00F51763">
        <w:tc>
          <w:tcPr>
            <w:tcW w:w="8828" w:type="dxa"/>
          </w:tcPr>
          <w:p w14:paraId="3CC74080" w14:textId="77777777" w:rsidR="000679B2" w:rsidRPr="000679B2" w:rsidRDefault="000679B2" w:rsidP="000679B2">
            <w:pPr>
              <w:snapToGrid w:val="0"/>
              <w:spacing w:before="120" w:line="276" w:lineRule="auto"/>
              <w:jc w:val="both"/>
              <w:rPr>
                <w:rFonts w:ascii="Verdana" w:eastAsia="Aptos" w:hAnsi="Verdana" w:cs="Arial"/>
                <w:lang w:val="es-MX"/>
              </w:rPr>
            </w:pPr>
            <w:r w:rsidRPr="000679B2">
              <w:rPr>
                <w:rFonts w:ascii="Verdana" w:eastAsia="Calibri" w:hAnsi="Verdana" w:cs="Arial"/>
                <w:lang w:val="es-ES_tradnl"/>
              </w:rPr>
              <w:lastRenderedPageBreak/>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w:t>
            </w:r>
          </w:p>
          <w:p w14:paraId="430232C3" w14:textId="77777777" w:rsidR="000679B2" w:rsidRPr="000679B2" w:rsidRDefault="000679B2" w:rsidP="000679B2">
            <w:pPr>
              <w:snapToGrid w:val="0"/>
              <w:spacing w:before="120" w:line="276" w:lineRule="auto"/>
              <w:ind w:firstLine="709"/>
              <w:jc w:val="both"/>
              <w:rPr>
                <w:rFonts w:ascii="Verdana" w:eastAsia="Aptos" w:hAnsi="Verdana" w:cs="Arial"/>
                <w:lang w:val="es-MX"/>
              </w:rPr>
            </w:pPr>
            <w:r w:rsidRPr="000679B2">
              <w:rPr>
                <w:rFonts w:ascii="Verdana" w:eastAsia="Aptos" w:hAnsi="Verdana" w:cs="Arial"/>
                <w:lang w:val="es-MX"/>
              </w:rPr>
              <w:t xml:space="preserve">La causal de rechazo a la que se hace referencia en la petición es la del literal U del numeral 1.15 “CAUSALES DE RECHAZO”, la cual establece lo siguiente: </w:t>
            </w:r>
          </w:p>
          <w:p w14:paraId="46622886" w14:textId="77777777" w:rsidR="000679B2" w:rsidRPr="000679B2" w:rsidRDefault="000679B2" w:rsidP="000679B2">
            <w:pPr>
              <w:spacing w:line="276" w:lineRule="auto"/>
              <w:ind w:left="720"/>
              <w:contextualSpacing/>
              <w:jc w:val="both"/>
              <w:rPr>
                <w:rFonts w:ascii="Verdana" w:eastAsia="Aptos" w:hAnsi="Verdana" w:cs="Arial"/>
                <w:lang w:val="es-MX"/>
              </w:rPr>
            </w:pPr>
          </w:p>
          <w:p w14:paraId="3EB973AC" w14:textId="77777777" w:rsidR="000679B2" w:rsidRPr="000679B2" w:rsidRDefault="000679B2" w:rsidP="000679B2">
            <w:pPr>
              <w:ind w:left="709" w:right="709"/>
              <w:contextualSpacing/>
              <w:jc w:val="both"/>
              <w:rPr>
                <w:rFonts w:ascii="Verdana" w:eastAsia="Aptos" w:hAnsi="Verdana" w:cs="Arial"/>
                <w:sz w:val="21"/>
                <w:szCs w:val="21"/>
                <w:lang w:val="es-MX"/>
              </w:rPr>
            </w:pPr>
            <w:r w:rsidRPr="000679B2">
              <w:rPr>
                <w:rFonts w:ascii="Verdana" w:eastAsia="Aptos" w:hAnsi="Verdana" w:cs="Arial"/>
                <w:i/>
                <w:iCs/>
                <w:sz w:val="21"/>
                <w:szCs w:val="21"/>
                <w:lang w:val="es-MX"/>
              </w:rPr>
              <w:t>“Presentar más de una oferta económica con valores distintos en el Sobre 2 o que no se presente conforme con las condiciones establecidas en el numeral 2.3.2 Sobre 2”.</w:t>
            </w:r>
          </w:p>
          <w:p w14:paraId="6B9762E6" w14:textId="77777777" w:rsidR="000679B2" w:rsidRPr="000679B2" w:rsidRDefault="000679B2" w:rsidP="000679B2">
            <w:pPr>
              <w:spacing w:line="276" w:lineRule="auto"/>
              <w:ind w:left="720"/>
              <w:contextualSpacing/>
              <w:jc w:val="both"/>
              <w:rPr>
                <w:rFonts w:ascii="Verdana" w:eastAsia="Aptos" w:hAnsi="Verdana" w:cs="Arial"/>
                <w:lang w:val="es-MX"/>
              </w:rPr>
            </w:pPr>
          </w:p>
          <w:p w14:paraId="29BA1475" w14:textId="77777777" w:rsidR="000679B2" w:rsidRPr="000679B2" w:rsidRDefault="000679B2" w:rsidP="000679B2">
            <w:pPr>
              <w:snapToGrid w:val="0"/>
              <w:spacing w:after="120" w:line="276" w:lineRule="auto"/>
              <w:ind w:firstLine="709"/>
              <w:jc w:val="both"/>
              <w:rPr>
                <w:rFonts w:ascii="Verdana" w:eastAsia="Aptos" w:hAnsi="Verdana" w:cs="Arial"/>
                <w:lang w:val="es-MX"/>
              </w:rPr>
            </w:pPr>
            <w:r w:rsidRPr="000679B2">
              <w:rPr>
                <w:rFonts w:ascii="Verdana" w:eastAsia="Aptos" w:hAnsi="Verdana" w:cs="Arial"/>
                <w:lang w:val="es-MX"/>
              </w:rPr>
              <w:t xml:space="preserve">En este caso, la causal de rechazo aplicará cuando el oferente presente, en el Sobre No. 2, más de una oferta, no permitiendo saber cuál de las dos ofertas corresponde al ofrecimiento económico realizado por el proponente por el bien o servicio a contratar. </w:t>
            </w:r>
          </w:p>
          <w:p w14:paraId="62AF8C91" w14:textId="77777777" w:rsidR="000679B2" w:rsidRPr="000679B2" w:rsidRDefault="000679B2" w:rsidP="000679B2">
            <w:pPr>
              <w:snapToGrid w:val="0"/>
              <w:spacing w:line="276" w:lineRule="auto"/>
              <w:ind w:firstLine="709"/>
              <w:jc w:val="both"/>
              <w:rPr>
                <w:rFonts w:ascii="Verdana" w:eastAsia="Aptos" w:hAnsi="Verdana" w:cs="Arial"/>
                <w:lang w:val="es-MX"/>
              </w:rPr>
            </w:pPr>
            <w:r w:rsidRPr="000679B2">
              <w:rPr>
                <w:rFonts w:ascii="Verdana" w:eastAsia="Aptos" w:hAnsi="Verdana" w:cs="Arial"/>
                <w:lang w:val="es-MX"/>
              </w:rPr>
              <w:t>Conviene señalar que la causal de rechazo también está indicando que la misma aplicará cuando la oferta “</w:t>
            </w:r>
            <w:r w:rsidRPr="000679B2">
              <w:rPr>
                <w:rFonts w:ascii="Verdana" w:eastAsia="Aptos" w:hAnsi="Verdana" w:cs="Arial"/>
                <w:i/>
                <w:iCs/>
                <w:lang w:val="es-MX"/>
              </w:rPr>
              <w:t xml:space="preserve">no se presente conforme con las condiciones establecidas en el numeral 2.3.2 Sobre 2”. </w:t>
            </w:r>
            <w:r w:rsidRPr="000679B2">
              <w:rPr>
                <w:rFonts w:ascii="Verdana" w:eastAsia="Aptos" w:hAnsi="Verdana" w:cs="Arial"/>
                <w:lang w:val="es-MX"/>
              </w:rPr>
              <w:t>En este numeral (2.3.2) del documento base de infraestructura social, se establece la necesidad por parte de la entidad de definir las reglas de presentación de la oferta económica en el formulario de SECOP II y en el anexo complementario, según corresponda, así como las reglas de prevalencia al respecto, tal y como se señala a continuación:</w:t>
            </w:r>
          </w:p>
          <w:p w14:paraId="03B07C22" w14:textId="77777777" w:rsidR="000679B2" w:rsidRPr="000679B2" w:rsidRDefault="000679B2" w:rsidP="000679B2">
            <w:pPr>
              <w:spacing w:line="276" w:lineRule="auto"/>
              <w:ind w:left="720"/>
              <w:contextualSpacing/>
              <w:jc w:val="both"/>
              <w:rPr>
                <w:rFonts w:ascii="Verdana" w:eastAsia="Aptos" w:hAnsi="Verdana" w:cs="Arial"/>
                <w:lang w:val="es-MX"/>
              </w:rPr>
            </w:pPr>
          </w:p>
          <w:p w14:paraId="2496D595" w14:textId="77777777" w:rsidR="000679B2" w:rsidRPr="000679B2" w:rsidRDefault="000679B2" w:rsidP="000679B2">
            <w:pPr>
              <w:ind w:left="709" w:right="709"/>
              <w:contextualSpacing/>
              <w:jc w:val="both"/>
              <w:rPr>
                <w:rFonts w:ascii="Arial" w:eastAsia="Arial" w:hAnsi="Arial" w:cs="Arial"/>
                <w:i/>
                <w:iCs/>
                <w:sz w:val="21"/>
                <w:szCs w:val="21"/>
                <w:highlight w:val="lightGray"/>
                <w:lang w:val="es-MX"/>
              </w:rPr>
            </w:pPr>
            <w:r w:rsidRPr="000679B2">
              <w:rPr>
                <w:rFonts w:ascii="Verdana" w:eastAsia="Aptos" w:hAnsi="Verdana" w:cs="Arial"/>
                <w:i/>
                <w:iCs/>
                <w:sz w:val="21"/>
                <w:szCs w:val="21"/>
                <w:lang w:val="es-ES_tradnl"/>
              </w:rPr>
              <w:t>“</w:t>
            </w:r>
            <w:r w:rsidRPr="000679B2">
              <w:rPr>
                <w:rFonts w:ascii="Verdana" w:eastAsia="Aptos" w:hAnsi="Verdana" w:cs="Arial"/>
                <w:i/>
                <w:iCs/>
                <w:sz w:val="21"/>
                <w:szCs w:val="21"/>
                <w:highlight w:val="lightGray"/>
                <w:lang w:val="es-ES_tradnl"/>
              </w:rPr>
              <w:t>[</w:t>
            </w:r>
            <w:r w:rsidRPr="000679B2">
              <w:rPr>
                <w:rFonts w:ascii="Verdana" w:eastAsia="Arial" w:hAnsi="Verdana" w:cs="Arial"/>
                <w:i/>
                <w:iCs/>
                <w:sz w:val="21"/>
                <w:szCs w:val="21"/>
                <w:highlight w:val="lightGray"/>
                <w:lang w:val="es-MX"/>
              </w:rPr>
              <w:t>Nota 5: La entidad deberá definir en esta nota, desde la publicación del prepliego, para los casos en que se presente discrepancia entre el Formulario 1 – Presupuesto Oficial y el cuestionario transaccional de SECOP II, para efectos de la evaluación económica, cual de estos, según  el caso prevalecerá frente al otro, para ello deberá tener en cuenta la Guía que se encuentre vigente sobre el uso del SECOP II modalidades – licitación Pública de Obra, para dar cumplimiento a lo indicado la Agencia establece las siguientes opciones:</w:t>
            </w:r>
            <w:r w:rsidRPr="000679B2">
              <w:rPr>
                <w:rFonts w:ascii="Arial" w:eastAsia="Arial" w:hAnsi="Arial" w:cs="Arial"/>
                <w:i/>
                <w:iCs/>
                <w:sz w:val="21"/>
                <w:szCs w:val="21"/>
                <w:highlight w:val="lightGray"/>
                <w:lang w:val="es-MX"/>
              </w:rPr>
              <w:t>​</w:t>
            </w:r>
          </w:p>
          <w:p w14:paraId="498C7591" w14:textId="77777777" w:rsidR="000679B2" w:rsidRPr="000679B2" w:rsidRDefault="000679B2" w:rsidP="000679B2">
            <w:pPr>
              <w:ind w:left="709" w:right="709"/>
              <w:contextualSpacing/>
              <w:jc w:val="both"/>
              <w:rPr>
                <w:rFonts w:ascii="Verdana" w:eastAsia="Arial" w:hAnsi="Verdana" w:cs="Arial"/>
                <w:i/>
                <w:iCs/>
                <w:sz w:val="21"/>
                <w:szCs w:val="21"/>
                <w:highlight w:val="lightGray"/>
                <w:lang w:val="es-MX"/>
              </w:rPr>
            </w:pPr>
          </w:p>
          <w:p w14:paraId="2C871D9C" w14:textId="77777777" w:rsidR="000679B2" w:rsidRPr="000679B2" w:rsidRDefault="000679B2" w:rsidP="000679B2">
            <w:pPr>
              <w:numPr>
                <w:ilvl w:val="0"/>
                <w:numId w:val="18"/>
              </w:numPr>
              <w:tabs>
                <w:tab w:val="num" w:pos="1428"/>
              </w:tabs>
              <w:ind w:left="709" w:right="709" w:firstLine="0"/>
              <w:jc w:val="both"/>
              <w:rPr>
                <w:rFonts w:ascii="Verdana" w:eastAsia="Arial" w:hAnsi="Verdana" w:cs="Arial"/>
                <w:i/>
                <w:iCs/>
                <w:sz w:val="21"/>
                <w:szCs w:val="21"/>
                <w:highlight w:val="lightGray"/>
                <w:lang w:val="es-MX"/>
              </w:rPr>
            </w:pPr>
            <w:r w:rsidRPr="000679B2">
              <w:rPr>
                <w:rFonts w:ascii="Verdana" w:eastAsia="Arial" w:hAnsi="Verdana" w:cs="Arial"/>
                <w:i/>
                <w:iCs/>
                <w:sz w:val="21"/>
                <w:szCs w:val="21"/>
                <w:highlight w:val="lightGray"/>
                <w:lang w:val="es-MX"/>
              </w:rPr>
              <w:t>En casos donde en la plataforma SECOP II cuente con la misma cantidad de ítems que los de Formulario 1 de Oferta Económica</w:t>
            </w:r>
            <w:r w:rsidRPr="000679B2">
              <w:rPr>
                <w:rFonts w:ascii="Arial" w:eastAsia="Arial" w:hAnsi="Arial" w:cs="Arial"/>
                <w:i/>
                <w:iCs/>
                <w:sz w:val="21"/>
                <w:szCs w:val="21"/>
                <w:highlight w:val="lightGray"/>
                <w:lang w:val="es-MX"/>
              </w:rPr>
              <w:t>​</w:t>
            </w:r>
            <w:r w:rsidRPr="000679B2">
              <w:rPr>
                <w:rFonts w:ascii="Verdana" w:eastAsia="Arial" w:hAnsi="Verdana" w:cs="Arial"/>
                <w:i/>
                <w:iCs/>
                <w:sz w:val="21"/>
                <w:szCs w:val="21"/>
                <w:highlight w:val="lightGray"/>
                <w:lang w:val="es-MX"/>
              </w:rPr>
              <w:t>, prevalecerá el SECOP II sobre el Formulario 1 de Oferta Económica</w:t>
            </w:r>
            <w:r w:rsidRPr="000679B2">
              <w:rPr>
                <w:rFonts w:ascii="Arial" w:eastAsia="Arial" w:hAnsi="Arial" w:cs="Arial"/>
                <w:i/>
                <w:iCs/>
                <w:sz w:val="21"/>
                <w:szCs w:val="21"/>
                <w:highlight w:val="lightGray"/>
                <w:lang w:val="es-MX"/>
              </w:rPr>
              <w:t>​</w:t>
            </w:r>
          </w:p>
          <w:p w14:paraId="5687ACA8" w14:textId="77777777" w:rsidR="000679B2" w:rsidRPr="000679B2" w:rsidRDefault="000679B2" w:rsidP="000679B2">
            <w:pPr>
              <w:numPr>
                <w:ilvl w:val="0"/>
                <w:numId w:val="18"/>
              </w:numPr>
              <w:tabs>
                <w:tab w:val="num" w:pos="1428"/>
              </w:tabs>
              <w:ind w:left="709" w:right="709" w:firstLine="0"/>
              <w:jc w:val="both"/>
              <w:rPr>
                <w:rFonts w:ascii="Verdana" w:eastAsia="Arial" w:hAnsi="Verdana" w:cs="Arial"/>
                <w:i/>
                <w:iCs/>
                <w:sz w:val="21"/>
                <w:szCs w:val="21"/>
                <w:highlight w:val="lightGray"/>
                <w:lang w:val="es-MX"/>
              </w:rPr>
            </w:pPr>
            <w:r w:rsidRPr="000679B2">
              <w:rPr>
                <w:rFonts w:ascii="Verdana" w:eastAsia="Arial" w:hAnsi="Verdana" w:cs="Arial"/>
                <w:i/>
                <w:iCs/>
                <w:sz w:val="21"/>
                <w:szCs w:val="21"/>
                <w:highlight w:val="lightGray"/>
                <w:lang w:val="es-MX"/>
              </w:rPr>
              <w:lastRenderedPageBreak/>
              <w:t>En casos donde en la plataforma SECOP II solo se indique una pregunta precio, prevalecerá el Formulario 1 de Oferta Económica Sobre el SECOP II</w:t>
            </w:r>
            <w:r w:rsidRPr="000679B2">
              <w:rPr>
                <w:rFonts w:ascii="Arial" w:eastAsia="Arial" w:hAnsi="Arial" w:cs="Arial"/>
                <w:i/>
                <w:iCs/>
                <w:sz w:val="21"/>
                <w:szCs w:val="21"/>
                <w:highlight w:val="lightGray"/>
                <w:lang w:val="es-MX"/>
              </w:rPr>
              <w:t>​</w:t>
            </w:r>
          </w:p>
          <w:p w14:paraId="2DF791B5" w14:textId="77777777" w:rsidR="000679B2" w:rsidRPr="000679B2" w:rsidRDefault="000679B2" w:rsidP="000679B2">
            <w:pPr>
              <w:numPr>
                <w:ilvl w:val="0"/>
                <w:numId w:val="18"/>
              </w:numPr>
              <w:tabs>
                <w:tab w:val="num" w:pos="1428"/>
              </w:tabs>
              <w:ind w:left="709" w:right="709" w:firstLine="0"/>
              <w:jc w:val="both"/>
              <w:rPr>
                <w:rFonts w:ascii="Verdana" w:eastAsia="Arial" w:hAnsi="Verdana" w:cs="Arial"/>
                <w:i/>
                <w:iCs/>
                <w:sz w:val="21"/>
                <w:szCs w:val="21"/>
                <w:highlight w:val="lightGray"/>
                <w:lang w:val="es-MX"/>
              </w:rPr>
            </w:pPr>
            <w:r w:rsidRPr="000679B2">
              <w:rPr>
                <w:rFonts w:ascii="Verdana" w:eastAsia="Arial" w:hAnsi="Verdana" w:cs="Arial"/>
                <w:i/>
                <w:iCs/>
                <w:sz w:val="21"/>
                <w:szCs w:val="21"/>
                <w:highlight w:val="lightGray"/>
                <w:lang w:val="es-MX"/>
              </w:rPr>
              <w:t>En los casos que la entidad adjudique el proceso por el valor del presupuesto oficial, pero la evaluación la realice sobre el valor de los ítems relacionados en el Formulario 1 de Oferta Económica, deberá establecer en este acápite claramente, que el proponente deberá indicar en el cuestionario de la plataforma SECOP II el valor total del presupuesto, pero  su evaluación económica se realizara sobre los valores que relacione en el Formulario 1 de Oferta Económica, en consecuencia no prevalecerá un documento sobre otro, sino que se complementaran.</w:t>
            </w:r>
          </w:p>
          <w:p w14:paraId="0D9D9D15" w14:textId="77777777" w:rsidR="000679B2" w:rsidRPr="000679B2" w:rsidRDefault="000679B2" w:rsidP="000679B2">
            <w:pPr>
              <w:ind w:left="709" w:right="709"/>
              <w:jc w:val="both"/>
              <w:rPr>
                <w:rFonts w:ascii="Verdana" w:eastAsia="Arial" w:hAnsi="Verdana" w:cs="Arial"/>
                <w:i/>
                <w:iCs/>
                <w:sz w:val="21"/>
                <w:szCs w:val="21"/>
                <w:lang w:val="es-MX"/>
              </w:rPr>
            </w:pPr>
            <w:r w:rsidRPr="000679B2">
              <w:rPr>
                <w:rFonts w:ascii="Verdana" w:eastAsia="Arial" w:hAnsi="Verdana" w:cs="Arial"/>
                <w:i/>
                <w:iCs/>
                <w:sz w:val="21"/>
                <w:szCs w:val="21"/>
                <w:highlight w:val="lightGray"/>
                <w:lang w:val="es-MX"/>
              </w:rPr>
              <w:t>En caso de discrepancias entre el Formulario 1 – Presupuesto Oficial y el cuestionario transaccional de SECOP II, y cuando según las reglas anteriores, la entidad verificada las prevalencias determine que no se cumple con las condiciones de la oferta económica deberá aplicar la causal de rechazo que corresponda.</w:t>
            </w:r>
            <w:r w:rsidRPr="000679B2">
              <w:rPr>
                <w:rFonts w:ascii="Verdana" w:eastAsia="Arial" w:hAnsi="Verdana" w:cs="Arial"/>
                <w:i/>
                <w:iCs/>
                <w:sz w:val="21"/>
                <w:szCs w:val="21"/>
                <w:lang w:val="es-MX"/>
              </w:rPr>
              <w:t xml:space="preserve">]” </w:t>
            </w:r>
          </w:p>
          <w:p w14:paraId="729FD750" w14:textId="77777777" w:rsidR="000679B2" w:rsidRPr="000679B2" w:rsidRDefault="000679B2" w:rsidP="000679B2">
            <w:pPr>
              <w:spacing w:line="276" w:lineRule="auto"/>
              <w:ind w:left="720"/>
              <w:contextualSpacing/>
              <w:jc w:val="both"/>
              <w:rPr>
                <w:rFonts w:ascii="Verdana" w:eastAsia="Aptos" w:hAnsi="Verdana" w:cs="Arial"/>
                <w:lang w:val="es-MX"/>
              </w:rPr>
            </w:pPr>
          </w:p>
          <w:p w14:paraId="79140A1A" w14:textId="00918A56" w:rsidR="000679B2" w:rsidRPr="000679B2" w:rsidRDefault="000679B2" w:rsidP="000679B2">
            <w:pPr>
              <w:snapToGrid w:val="0"/>
              <w:spacing w:after="120" w:line="276" w:lineRule="auto"/>
              <w:ind w:firstLine="709"/>
              <w:jc w:val="both"/>
              <w:rPr>
                <w:rFonts w:ascii="Verdana" w:eastAsia="Aptos" w:hAnsi="Verdana" w:cs="Arial"/>
                <w:lang w:val="es-MX"/>
              </w:rPr>
            </w:pPr>
            <w:r w:rsidRPr="000679B2">
              <w:rPr>
                <w:rFonts w:ascii="Verdana" w:eastAsia="Aptos" w:hAnsi="Verdana" w:cs="Arial"/>
                <w:lang w:val="es-MX"/>
              </w:rPr>
              <w:t xml:space="preserve">En todo caso, es necesario precisar que la anterior causal de rechazo no está relacionada con el ejercicio de correcciones aritméticas que realiza la entidad una vez hace la apertura de las ofertas económicas (Sobre No. 2) en audiencia. Esto, toda vez que la causal opera sobre la oferta que remitió el proveedor y las reglas de presentación definidas por la entidad </w:t>
            </w:r>
            <w:r w:rsidR="00155A42" w:rsidRPr="000679B2">
              <w:rPr>
                <w:rFonts w:ascii="Verdana" w:eastAsia="Aptos" w:hAnsi="Verdana" w:cs="Arial"/>
                <w:lang w:val="es-MX"/>
              </w:rPr>
              <w:t>contratante</w:t>
            </w:r>
            <w:r w:rsidRPr="000679B2">
              <w:rPr>
                <w:rFonts w:ascii="Verdana" w:eastAsia="Aptos" w:hAnsi="Verdana" w:cs="Arial"/>
                <w:lang w:val="es-MX"/>
              </w:rPr>
              <w:t>, mas no sobre los ajustes por correcciones aritméticas que puede sufrir la oferta económica, los cuales se encuentran regulados en el numeral 4.1.2 “CORRECIONES ARTIMÉTICAS” del documento base.</w:t>
            </w:r>
          </w:p>
          <w:p w14:paraId="10D472F8" w14:textId="1556C3C0" w:rsidR="000679B2" w:rsidRPr="00E65B04" w:rsidRDefault="000679B2" w:rsidP="00E65B04">
            <w:pPr>
              <w:snapToGrid w:val="0"/>
              <w:spacing w:line="276" w:lineRule="auto"/>
              <w:ind w:firstLine="709"/>
              <w:jc w:val="both"/>
              <w:rPr>
                <w:rFonts w:ascii="Verdana" w:eastAsia="Aptos" w:hAnsi="Verdana" w:cs="Arial"/>
                <w:kern w:val="2"/>
                <w:lang w:val="es-MX"/>
                <w14:ligatures w14:val="standardContextual"/>
              </w:rPr>
            </w:pPr>
            <w:r w:rsidRPr="000679B2">
              <w:rPr>
                <w:rFonts w:ascii="Verdana" w:eastAsia="Aptos" w:hAnsi="Verdana" w:cs="Arial"/>
                <w:lang w:val="es-MX"/>
              </w:rPr>
              <w:t>Finalmente, debe indicarse que el factor económico se calificará sobre la oferta económica presentada una vez realizado el procedimiento de corrección aritmética, si es requerido, pues así lo señala el numeral 4.1 “OFERTA ECONÓMICA”</w:t>
            </w:r>
            <w:r w:rsidR="00E65B04">
              <w:rPr>
                <w:rFonts w:ascii="Verdana" w:eastAsia="Aptos" w:hAnsi="Verdana" w:cs="Arial"/>
                <w:lang w:val="es-MX"/>
              </w:rPr>
              <w:t xml:space="preserve"> </w:t>
            </w:r>
            <w:r w:rsidR="00E65B04">
              <w:rPr>
                <w:rFonts w:ascii="Verdana" w:eastAsia="Aptos" w:hAnsi="Verdana" w:cs="Arial"/>
                <w:kern w:val="2"/>
                <w:lang w:val="es-MX"/>
                <w14:ligatures w14:val="standardContextual"/>
              </w:rPr>
              <w:t>de los documentos base de infraestructura de transporte e infraestructura social</w:t>
            </w:r>
            <w:r w:rsidRPr="000679B2">
              <w:rPr>
                <w:rFonts w:ascii="Verdana" w:eastAsia="Aptos" w:hAnsi="Verdana" w:cs="Arial"/>
                <w:lang w:val="es-MX"/>
              </w:rPr>
              <w:t>:</w:t>
            </w:r>
          </w:p>
          <w:p w14:paraId="414B60BF" w14:textId="77777777" w:rsidR="000679B2" w:rsidRPr="000679B2" w:rsidRDefault="000679B2" w:rsidP="000679B2">
            <w:pPr>
              <w:spacing w:line="276" w:lineRule="auto"/>
              <w:ind w:left="720"/>
              <w:contextualSpacing/>
              <w:jc w:val="both"/>
              <w:rPr>
                <w:rFonts w:ascii="Verdana" w:eastAsia="Aptos" w:hAnsi="Verdana" w:cs="Arial"/>
                <w:lang w:val="es-MX"/>
              </w:rPr>
            </w:pPr>
          </w:p>
          <w:p w14:paraId="03CB5243" w14:textId="77777777" w:rsidR="000679B2" w:rsidRPr="000679B2" w:rsidRDefault="000679B2" w:rsidP="000679B2">
            <w:pPr>
              <w:ind w:left="709" w:right="709"/>
              <w:jc w:val="both"/>
              <w:rPr>
                <w:rFonts w:ascii="Verdana" w:eastAsia="Aptos" w:hAnsi="Verdana" w:cs="Arial"/>
                <w:i/>
                <w:iCs/>
                <w:lang w:val="es-MX"/>
              </w:rPr>
            </w:pPr>
            <w:r w:rsidRPr="000679B2">
              <w:rPr>
                <w:rFonts w:ascii="Verdana" w:eastAsia="Aptos" w:hAnsi="Verdana" w:cs="Arial"/>
                <w:i/>
                <w:iCs/>
                <w:lang w:val="es-MX"/>
              </w:rPr>
              <w:t>“Para calificar este factor se tendrá en cuenta el valor total indicado en la propuesta económica o el obtenido de la corrección aritmética. La propuesta económica deberá ser allegada en el Sobre No. 2”.</w:t>
            </w:r>
          </w:p>
        </w:tc>
      </w:tr>
    </w:tbl>
    <w:p w14:paraId="160EF596" w14:textId="77777777" w:rsidR="000679B2" w:rsidRPr="000679B2" w:rsidRDefault="000679B2" w:rsidP="000679B2">
      <w:pPr>
        <w:tabs>
          <w:tab w:val="left" w:pos="142"/>
          <w:tab w:val="left" w:pos="284"/>
        </w:tabs>
        <w:snapToGrid w:val="0"/>
        <w:spacing w:after="0" w:line="276" w:lineRule="auto"/>
        <w:jc w:val="both"/>
        <w:rPr>
          <w:rFonts w:ascii="Verdana" w:eastAsia="Century Gothic" w:hAnsi="Verdana" w:cs="Century Gothic"/>
          <w:b/>
          <w:bCs/>
          <w:lang w:val="es-ES_tradnl"/>
        </w:rPr>
      </w:pPr>
    </w:p>
    <w:p w14:paraId="56F026E0" w14:textId="77777777" w:rsidR="000679B2" w:rsidRPr="000679B2" w:rsidRDefault="000679B2" w:rsidP="000679B2">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679B2">
        <w:rPr>
          <w:rFonts w:ascii="Verdana" w:eastAsia="Century Gothic" w:hAnsi="Verdana" w:cs="Century Gothic"/>
          <w:b/>
          <w:bCs/>
          <w:lang w:val="es-ES_tradnl"/>
        </w:rPr>
        <w:t>Razones de la respuesta:</w:t>
      </w:r>
    </w:p>
    <w:p w14:paraId="56103FBB" w14:textId="77777777" w:rsidR="000679B2" w:rsidRPr="000679B2" w:rsidRDefault="000679B2" w:rsidP="000679B2">
      <w:pPr>
        <w:snapToGrid w:val="0"/>
        <w:spacing w:after="0" w:line="276" w:lineRule="auto"/>
        <w:jc w:val="both"/>
        <w:rPr>
          <w:rFonts w:ascii="Verdana" w:eastAsia="Calibri" w:hAnsi="Verdana" w:cs="Arial"/>
          <w:lang w:val="es-ES_tradnl"/>
        </w:rPr>
      </w:pPr>
    </w:p>
    <w:p w14:paraId="4869D967" w14:textId="77777777" w:rsidR="000679B2" w:rsidRPr="000679B2" w:rsidRDefault="000679B2" w:rsidP="000679B2">
      <w:pPr>
        <w:snapToGrid w:val="0"/>
        <w:spacing w:after="0" w:line="276" w:lineRule="auto"/>
        <w:jc w:val="both"/>
        <w:rPr>
          <w:rFonts w:ascii="Verdana" w:eastAsia="Calibri" w:hAnsi="Verdana" w:cs="Arial"/>
          <w:lang w:val="es-ES_tradnl"/>
        </w:rPr>
      </w:pPr>
      <w:r w:rsidRPr="000679B2">
        <w:rPr>
          <w:rFonts w:ascii="Verdana" w:eastAsia="Calibri" w:hAnsi="Verdana" w:cs="Arial"/>
          <w:lang w:val="es-ES_tradnl"/>
        </w:rPr>
        <w:lastRenderedPageBreak/>
        <w:t xml:space="preserve">Lo anterior se sustenta en las siguientes consideraciones: </w:t>
      </w:r>
    </w:p>
    <w:p w14:paraId="1FC6108C" w14:textId="77777777" w:rsidR="000679B2" w:rsidRPr="000679B2" w:rsidRDefault="000679B2" w:rsidP="000679B2">
      <w:pPr>
        <w:snapToGrid w:val="0"/>
        <w:spacing w:after="0" w:line="276" w:lineRule="auto"/>
        <w:jc w:val="both"/>
        <w:rPr>
          <w:rFonts w:ascii="Verdana" w:eastAsia="Calibri" w:hAnsi="Verdana" w:cs="Arial"/>
          <w:lang w:val="es-ES_tradnl"/>
        </w:rPr>
      </w:pPr>
    </w:p>
    <w:p w14:paraId="0C759352" w14:textId="77777777" w:rsidR="000679B2" w:rsidRPr="000679B2" w:rsidRDefault="000679B2" w:rsidP="000679B2">
      <w:pPr>
        <w:snapToGrid w:val="0"/>
        <w:spacing w:after="120" w:line="276" w:lineRule="auto"/>
        <w:jc w:val="both"/>
        <w:rPr>
          <w:rFonts w:ascii="Verdana" w:eastAsia="Calibri" w:hAnsi="Verdana" w:cs="Arial"/>
          <w:lang w:val="es-ES"/>
        </w:rPr>
      </w:pPr>
      <w:r w:rsidRPr="000679B2">
        <w:rPr>
          <w:rFonts w:ascii="Verdana" w:eastAsia="Calibri" w:hAnsi="Verdana" w:cs="Arial"/>
          <w:lang w:val="es-ES"/>
        </w:rPr>
        <w:t>La Agencia Nacional de Contratación Pública – Colombia Compra Eficiente expidió los documentos tipo para procesos de contratación de obra pública de infraestructura de transporte adelantados bajo las modalidades de selección de licitación pública –versión 4–, selección abreviada de menor cuantía –versión 3– y mínima cuantía –versión 2 con modificaciones–, mediante las resoluciones 465, 463 y 464 de 2024, respectivamente. Estos documentos tipo entraron en vigor para procesos de contratación cuyo aviso de convocatoria o invitación se publique a partir del 3 de febrero de 2025.</w:t>
      </w:r>
      <w:r w:rsidRPr="000679B2">
        <w:rPr>
          <w:rFonts w:ascii="Verdana" w:eastAsia="Calibri" w:hAnsi="Verdana" w:cs="Arial"/>
          <w:vertAlign w:val="superscript"/>
          <w:lang w:val="es-ES"/>
        </w:rPr>
        <w:footnoteReference w:id="1"/>
      </w:r>
      <w:r w:rsidRPr="000679B2">
        <w:rPr>
          <w:rFonts w:ascii="Verdana" w:eastAsia="Calibri" w:hAnsi="Verdana" w:cs="Arial"/>
          <w:lang w:val="es-ES"/>
        </w:rPr>
        <w:t xml:space="preserve"> </w:t>
      </w:r>
    </w:p>
    <w:p w14:paraId="15A156B5" w14:textId="77777777" w:rsidR="000679B2" w:rsidRPr="000679B2" w:rsidRDefault="000679B2" w:rsidP="000679B2">
      <w:pPr>
        <w:snapToGrid w:val="0"/>
        <w:spacing w:after="120" w:line="276" w:lineRule="auto"/>
        <w:ind w:firstLine="709"/>
        <w:jc w:val="both"/>
        <w:rPr>
          <w:rFonts w:ascii="Verdana" w:eastAsia="Calibri" w:hAnsi="Verdana" w:cs="Arial"/>
          <w:lang w:val="es-ES"/>
        </w:rPr>
      </w:pPr>
      <w:r w:rsidRPr="000679B2">
        <w:rPr>
          <w:rFonts w:ascii="Verdana" w:eastAsia="Calibri" w:hAnsi="Verdana" w:cs="Arial"/>
          <w:lang w:val="es-ES"/>
        </w:rPr>
        <w:t>A su vez, esta entidad también adoptó los pliegos tipo para procesos de contratación de infraestructura social adelantados bajo las modalidades de selección de licitación pública –versión 2–, selección abreviada de menor cuantía –versión 1– y mínima cuantía –versión 1–, en virtud de las resoluciones 539, 540 y 541 de 2025, respectivamente. Los referidos documentos tipo entraron en vigor el presente año, para procesos con aviso de convocatoria o invitación publicado a partir del 16 de febrero de 2026.</w:t>
      </w:r>
      <w:r w:rsidRPr="000679B2">
        <w:rPr>
          <w:rFonts w:ascii="Verdana" w:eastAsia="Calibri" w:hAnsi="Verdana" w:cs="Arial"/>
          <w:vertAlign w:val="superscript"/>
          <w:lang w:val="es-ES"/>
        </w:rPr>
        <w:footnoteReference w:id="2"/>
      </w:r>
    </w:p>
    <w:p w14:paraId="69880DC8" w14:textId="77777777" w:rsidR="000679B2" w:rsidRPr="000679B2" w:rsidRDefault="000679B2" w:rsidP="000679B2">
      <w:pPr>
        <w:snapToGrid w:val="0"/>
        <w:spacing w:after="0" w:line="276" w:lineRule="auto"/>
        <w:ind w:firstLine="709"/>
        <w:jc w:val="both"/>
        <w:rPr>
          <w:rFonts w:ascii="Verdana" w:eastAsia="Calibri" w:hAnsi="Verdana" w:cs="Arial"/>
          <w:kern w:val="2"/>
          <w:lang w:val="es-ES"/>
          <w14:ligatures w14:val="standardContextual"/>
        </w:rPr>
      </w:pPr>
      <w:r w:rsidRPr="000679B2">
        <w:rPr>
          <w:rFonts w:ascii="Verdana" w:eastAsia="Calibri" w:hAnsi="Verdana" w:cs="Arial"/>
          <w:kern w:val="2"/>
          <w:lang w:val="es-ES_tradnl"/>
          <w14:ligatures w14:val="standardContextual"/>
        </w:rPr>
        <w:t>Teniendo en cuenta su consulta, es importante señalar que, 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w:t>
      </w:r>
      <w:r w:rsidRPr="000679B2">
        <w:rPr>
          <w:rFonts w:ascii="Verdana" w:eastAsia="Calibri" w:hAnsi="Verdana" w:cs="Arial"/>
          <w:i/>
          <w:iCs/>
          <w:kern w:val="2"/>
          <w:vertAlign w:val="superscript"/>
          <w:lang w:val="es-ES_tradnl"/>
          <w14:ligatures w14:val="standardContextual"/>
        </w:rPr>
        <w:footnoteReference w:id="3"/>
      </w:r>
      <w:r w:rsidRPr="000679B2">
        <w:rPr>
          <w:rFonts w:ascii="Verdana" w:eastAsia="Calibri" w:hAnsi="Verdana" w:cs="Arial"/>
          <w:kern w:val="2"/>
          <w:lang w:val="es-ES_tradnl"/>
          <w14:ligatures w14:val="standardContextual"/>
        </w:rPr>
        <w:t xml:space="preserve"> señala:</w:t>
      </w:r>
    </w:p>
    <w:p w14:paraId="23859C0E" w14:textId="77777777" w:rsidR="000679B2" w:rsidRPr="000679B2" w:rsidRDefault="000679B2" w:rsidP="000679B2">
      <w:pPr>
        <w:tabs>
          <w:tab w:val="left" w:pos="709"/>
        </w:tabs>
        <w:spacing w:after="0" w:line="276" w:lineRule="auto"/>
        <w:jc w:val="both"/>
        <w:rPr>
          <w:rFonts w:ascii="Verdana" w:eastAsia="Calibri" w:hAnsi="Verdana" w:cs="Arial"/>
          <w:kern w:val="2"/>
          <w:lang w:val="es-ES_tradnl"/>
          <w14:ligatures w14:val="standardContextual"/>
        </w:rPr>
      </w:pPr>
    </w:p>
    <w:p w14:paraId="57C09C3A" w14:textId="77777777" w:rsidR="000679B2" w:rsidRPr="000679B2" w:rsidRDefault="000679B2" w:rsidP="000679B2">
      <w:pPr>
        <w:tabs>
          <w:tab w:val="left" w:pos="709"/>
        </w:tabs>
        <w:spacing w:after="0" w:line="240" w:lineRule="auto"/>
        <w:ind w:left="709" w:right="709"/>
        <w:jc w:val="both"/>
        <w:rPr>
          <w:rFonts w:ascii="Verdana" w:eastAsia="Calibri" w:hAnsi="Verdana" w:cs="Arial"/>
          <w:kern w:val="2"/>
          <w:sz w:val="21"/>
          <w:szCs w:val="21"/>
          <w:lang w:val="es-ES"/>
          <w14:ligatures w14:val="standardContextual"/>
        </w:rPr>
      </w:pPr>
      <w:r w:rsidRPr="000679B2">
        <w:rPr>
          <w:rFonts w:ascii="Verdana" w:eastAsia="Calibri" w:hAnsi="Verdana" w:cs="Arial"/>
          <w:kern w:val="2"/>
          <w:sz w:val="21"/>
          <w:szCs w:val="21"/>
          <w:lang w:val="es-ES"/>
          <w14:ligatures w14:val="standardContextual"/>
        </w:rPr>
        <w:t xml:space="preserve">“Quiere con esto destacar la Sala que las causales de rechazo de las propuestas pueden ser legales y por lo mismo generan el efecto del descarte o exclusión de la oferta </w:t>
      </w:r>
      <w:proofErr w:type="spellStart"/>
      <w:r w:rsidRPr="000679B2">
        <w:rPr>
          <w:rFonts w:ascii="Verdana" w:eastAsia="Calibri" w:hAnsi="Verdana" w:cs="Arial"/>
          <w:kern w:val="2"/>
          <w:sz w:val="21"/>
          <w:szCs w:val="21"/>
          <w:lang w:val="es-ES"/>
          <w14:ligatures w14:val="standardContextual"/>
        </w:rPr>
        <w:t>ope</w:t>
      </w:r>
      <w:proofErr w:type="spellEnd"/>
      <w:r w:rsidRPr="000679B2">
        <w:rPr>
          <w:rFonts w:ascii="Verdana" w:eastAsia="Calibri" w:hAnsi="Verdana" w:cs="Arial"/>
          <w:kern w:val="2"/>
          <w:sz w:val="21"/>
          <w:szCs w:val="21"/>
          <w:lang w:val="es-ES"/>
          <w14:ligatures w14:val="standardContextual"/>
        </w:rPr>
        <w:t xml:space="preserve"> </w:t>
      </w:r>
      <w:proofErr w:type="spellStart"/>
      <w:r w:rsidRPr="000679B2">
        <w:rPr>
          <w:rFonts w:ascii="Verdana" w:eastAsia="Calibri" w:hAnsi="Verdana" w:cs="Arial"/>
          <w:kern w:val="2"/>
          <w:sz w:val="21"/>
          <w:szCs w:val="21"/>
          <w:lang w:val="es-ES"/>
          <w14:ligatures w14:val="standardContextual"/>
        </w:rPr>
        <w:t>legis</w:t>
      </w:r>
      <w:proofErr w:type="spellEnd"/>
      <w:r w:rsidRPr="000679B2">
        <w:rPr>
          <w:rFonts w:ascii="Verdana" w:eastAsia="Calibri" w:hAnsi="Verdana" w:cs="Arial"/>
          <w:kern w:val="2"/>
          <w:sz w:val="21"/>
          <w:szCs w:val="21"/>
          <w:lang w:val="es-ES"/>
          <w14:ligatures w14:val="standardContextual"/>
        </w:rPr>
        <w:t xml:space="preserve">,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w:t>
      </w:r>
      <w:r w:rsidRPr="000679B2">
        <w:rPr>
          <w:rFonts w:ascii="Verdana" w:eastAsia="Calibri" w:hAnsi="Verdana" w:cs="Arial"/>
          <w:kern w:val="2"/>
          <w:sz w:val="21"/>
          <w:szCs w:val="21"/>
          <w:lang w:val="es-ES"/>
          <w14:ligatures w14:val="standardContextual"/>
        </w:rPr>
        <w:lastRenderedPageBreak/>
        <w:t>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1336406E" w14:textId="77777777" w:rsidR="000679B2" w:rsidRPr="000679B2" w:rsidRDefault="000679B2" w:rsidP="000679B2">
      <w:pPr>
        <w:spacing w:after="0" w:line="276" w:lineRule="auto"/>
        <w:ind w:firstLine="708"/>
        <w:jc w:val="both"/>
        <w:rPr>
          <w:rFonts w:ascii="Verdana" w:eastAsia="Calibri" w:hAnsi="Verdana" w:cs="Arial"/>
          <w:kern w:val="2"/>
          <w:lang w:val="es-ES_tradnl"/>
          <w14:ligatures w14:val="standardContextual"/>
        </w:rPr>
      </w:pPr>
    </w:p>
    <w:p w14:paraId="235269E5" w14:textId="77777777" w:rsidR="000679B2" w:rsidRPr="000679B2" w:rsidRDefault="000679B2" w:rsidP="000679B2">
      <w:pPr>
        <w:snapToGrid w:val="0"/>
        <w:spacing w:after="0" w:line="276" w:lineRule="auto"/>
        <w:ind w:firstLine="709"/>
        <w:jc w:val="both"/>
        <w:rPr>
          <w:rFonts w:ascii="Verdana" w:eastAsia="Calibri" w:hAnsi="Verdana" w:cs="Arial"/>
          <w:kern w:val="2"/>
          <w:lang w:val="es-ES_tradnl"/>
          <w14:ligatures w14:val="standardContextual"/>
        </w:rPr>
      </w:pPr>
      <w:bookmarkStart w:id="1" w:name="_Hlk207200434"/>
      <w:r w:rsidRPr="000679B2">
        <w:rPr>
          <w:rFonts w:ascii="Verdana" w:eastAsia="Calibri" w:hAnsi="Verdana" w:cs="Arial"/>
          <w:kern w:val="2"/>
          <w:lang w:val="es-ES_tradnl"/>
          <w14:ligatures w14:val="standardContextu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0679B2">
        <w:rPr>
          <w:rFonts w:ascii="Aptos" w:eastAsia="Aptos" w:hAnsi="Aptos" w:cs="Times New Roman"/>
          <w:i/>
          <w:kern w:val="2"/>
          <w:sz w:val="24"/>
          <w:szCs w:val="24"/>
          <w:vertAlign w:val="superscript"/>
          <w:lang w:val="es-ES_tradnl"/>
          <w14:ligatures w14:val="standardContextual"/>
        </w:rPr>
        <w:footnoteReference w:id="4"/>
      </w:r>
      <w:r w:rsidRPr="000679B2">
        <w:rPr>
          <w:rFonts w:ascii="Verdana" w:eastAsia="Calibri" w:hAnsi="Verdana" w:cs="Arial"/>
          <w:kern w:val="2"/>
          <w:lang w:val="es-ES_tradnl"/>
          <w14:ligatures w14:val="standardContextual"/>
        </w:rPr>
        <w:t xml:space="preserve"> sostuvo: </w:t>
      </w:r>
    </w:p>
    <w:bookmarkEnd w:id="1"/>
    <w:p w14:paraId="2BB536EE" w14:textId="77777777" w:rsidR="000679B2" w:rsidRPr="000679B2" w:rsidRDefault="000679B2" w:rsidP="000679B2">
      <w:pPr>
        <w:spacing w:after="0" w:line="276" w:lineRule="auto"/>
        <w:ind w:left="709" w:right="709"/>
        <w:jc w:val="both"/>
        <w:rPr>
          <w:rFonts w:ascii="Verdana" w:eastAsia="Times New Roman" w:hAnsi="Verdana" w:cs="Arial"/>
          <w:bCs/>
          <w:iCs/>
          <w:kern w:val="2"/>
          <w:lang w:val="es-ES_tradnl" w:eastAsia="es-MX"/>
          <w14:ligatures w14:val="standardContextual"/>
        </w:rPr>
      </w:pPr>
    </w:p>
    <w:p w14:paraId="62091FE7" w14:textId="77777777" w:rsidR="000679B2" w:rsidRPr="000679B2" w:rsidRDefault="000679B2" w:rsidP="000679B2">
      <w:pPr>
        <w:spacing w:after="0" w:line="240" w:lineRule="auto"/>
        <w:ind w:left="709" w:right="709"/>
        <w:jc w:val="both"/>
        <w:rPr>
          <w:rFonts w:ascii="Verdana" w:eastAsia="Times New Roman" w:hAnsi="Verdana" w:cs="Arial"/>
          <w:bCs/>
          <w:iCs/>
          <w:kern w:val="2"/>
          <w:sz w:val="21"/>
          <w:szCs w:val="21"/>
          <w:lang w:val="es-ES_tradnl" w:eastAsia="es-MX"/>
          <w14:ligatures w14:val="standardContextual"/>
        </w:rPr>
      </w:pPr>
      <w:r w:rsidRPr="000679B2">
        <w:rPr>
          <w:rFonts w:ascii="Verdana" w:eastAsia="Times New Roman" w:hAnsi="Verdana" w:cs="Arial"/>
          <w:bCs/>
          <w:iCs/>
          <w:kern w:val="2"/>
          <w:sz w:val="21"/>
          <w:szCs w:val="21"/>
          <w:lang w:val="es-ES_tradnl" w:eastAsia="es-MX"/>
          <w14:ligatures w14:val="standardContextual"/>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1319B9C9" w14:textId="77777777" w:rsidR="000679B2" w:rsidRPr="000679B2" w:rsidRDefault="000679B2" w:rsidP="000679B2">
      <w:pPr>
        <w:spacing w:after="0" w:line="276" w:lineRule="auto"/>
        <w:ind w:left="709" w:right="709"/>
        <w:jc w:val="both"/>
        <w:rPr>
          <w:rFonts w:ascii="Verdana" w:eastAsia="Times New Roman" w:hAnsi="Verdana" w:cs="Arial"/>
          <w:bCs/>
          <w:iCs/>
          <w:kern w:val="2"/>
          <w:lang w:val="es-ES_tradnl" w:eastAsia="es-MX"/>
          <w14:ligatures w14:val="standardContextual"/>
        </w:rPr>
      </w:pPr>
    </w:p>
    <w:p w14:paraId="5CF917D4" w14:textId="77777777" w:rsidR="000679B2" w:rsidRPr="000679B2" w:rsidRDefault="000679B2" w:rsidP="000679B2">
      <w:pPr>
        <w:snapToGrid w:val="0"/>
        <w:spacing w:after="120" w:line="276" w:lineRule="auto"/>
        <w:ind w:firstLine="709"/>
        <w:jc w:val="both"/>
        <w:rPr>
          <w:rFonts w:ascii="Verdana" w:eastAsia="Calibri" w:hAnsi="Verdana" w:cs="Arial"/>
          <w:kern w:val="2"/>
          <w:lang w:val="es-ES"/>
          <w14:ligatures w14:val="standardContextual"/>
        </w:rPr>
      </w:pPr>
      <w:r w:rsidRPr="000679B2">
        <w:rPr>
          <w:rFonts w:ascii="Verdana" w:eastAsia="Calibri" w:hAnsi="Verdana" w:cs="Arial"/>
          <w:kern w:val="2"/>
          <w:lang w:val="es-ES"/>
          <w14:ligatures w14:val="standardContextual"/>
        </w:rPr>
        <w:t xml:space="preserve">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w:t>
      </w:r>
      <w:r w:rsidRPr="000679B2">
        <w:rPr>
          <w:rFonts w:ascii="Verdana" w:eastAsia="Calibri" w:hAnsi="Verdana" w:cs="Arial"/>
          <w:kern w:val="2"/>
          <w:lang w:val="es-ES"/>
          <w14:ligatures w14:val="standardContextual"/>
        </w:rPr>
        <w:lastRenderedPageBreak/>
        <w:t>no establecen de manera literal una causal de rechazo, en los términos expuestos, no podrán rechazarse las propuestas.</w:t>
      </w:r>
    </w:p>
    <w:p w14:paraId="5B14089D" w14:textId="77777777" w:rsidR="000679B2" w:rsidRPr="000679B2" w:rsidRDefault="000679B2" w:rsidP="000679B2">
      <w:pPr>
        <w:spacing w:after="120" w:line="276" w:lineRule="auto"/>
        <w:ind w:firstLine="709"/>
        <w:jc w:val="both"/>
        <w:rPr>
          <w:rFonts w:ascii="Verdana" w:eastAsia="Calibri" w:hAnsi="Verdana" w:cs="Arial"/>
          <w:kern w:val="2"/>
          <w:lang w:val="es-ES_tradnl"/>
          <w14:ligatures w14:val="standardContextual"/>
        </w:rPr>
      </w:pPr>
      <w:r w:rsidRPr="000679B2">
        <w:rPr>
          <w:rFonts w:ascii="Verdana" w:eastAsia="Calibri" w:hAnsi="Verdana" w:cs="Arial"/>
          <w:lang w:val="es-MX" w:eastAsia="es-MX"/>
        </w:rPr>
        <w:t>Adicionalmente, la Agencia Nacional de Contratación Pública – Colombia Compra Eficiente, mediante los conceptos con radicados Nos. 2201913000007117 del 25 de septiembre de 2019, 2201913000009538 del 23 de diciembre de 2019, C-716 del 30 de octubre de 2020 y C-128 del 2 de agosto de 2024, entre otros, ha señalado que las causales de rechazo de las ofertas establecidas en los documentos tipo son taxativas, descartándose que la entidad introduzca nuevas, salvo las contempladas directamente en la ley. Igualmente, por la naturaleza de las causales de rechazo, su aplicación es estricta, lo que –a juicio de la Agencia Nacional de Contratación Pública– significa que su interpretación gramatical prevalece sobre una interpretación extensiva o de otra índole, mediante la cual se pretenda ampliar su alcance.</w:t>
      </w:r>
    </w:p>
    <w:p w14:paraId="2A9B5EC1" w14:textId="77777777" w:rsidR="000679B2" w:rsidRPr="000679B2" w:rsidRDefault="000679B2" w:rsidP="000679B2">
      <w:pPr>
        <w:snapToGrid w:val="0"/>
        <w:spacing w:before="120" w:after="0" w:line="276" w:lineRule="auto"/>
        <w:ind w:firstLine="709"/>
        <w:jc w:val="both"/>
        <w:rPr>
          <w:rFonts w:ascii="Verdana" w:eastAsia="Aptos" w:hAnsi="Verdana" w:cs="Arial"/>
          <w:kern w:val="2"/>
          <w:lang w:val="es-MX"/>
          <w14:ligatures w14:val="standardContextual"/>
        </w:rPr>
      </w:pPr>
      <w:r w:rsidRPr="000679B2">
        <w:rPr>
          <w:rFonts w:ascii="Verdana" w:eastAsia="Aptos" w:hAnsi="Verdana" w:cs="Arial"/>
          <w:color w:val="000000"/>
          <w:kern w:val="2"/>
          <w:bdr w:val="none" w:sz="0" w:space="0" w:color="auto" w:frame="1"/>
          <w:lang w:val="es-ES_tradnl"/>
          <w14:ligatures w14:val="standardContextual"/>
        </w:rPr>
        <w:t xml:space="preserve">Ahora bien, los documentos tipo contienen parámetros obligatorios para las entidades estatales sometidas al Estatuto General de Contratación de la Administración Pública que adelanten la tipología contractual que estos se encarguen de desarrollar. </w:t>
      </w:r>
      <w:r w:rsidRPr="000679B2">
        <w:rPr>
          <w:rFonts w:ascii="Verdana" w:eastAsia="Aptos" w:hAnsi="Verdana" w:cs="Arial"/>
          <w:kern w:val="2"/>
          <w:lang w:val="es-MX"/>
          <w14:ligatures w14:val="standardContextual"/>
        </w:rPr>
        <w:t xml:space="preserve">La causal de rechazo a la que se hace referencia en la petición es la del literal U del numeral 1.15 “CAUSALES DE RECHAZO”, la cual establece lo siguiente: </w:t>
      </w:r>
    </w:p>
    <w:p w14:paraId="258EE549" w14:textId="77777777" w:rsidR="000679B2" w:rsidRPr="000679B2" w:rsidRDefault="000679B2" w:rsidP="000679B2">
      <w:pPr>
        <w:spacing w:after="0" w:line="276" w:lineRule="auto"/>
        <w:ind w:left="720"/>
        <w:contextualSpacing/>
        <w:jc w:val="both"/>
        <w:rPr>
          <w:rFonts w:ascii="Verdana" w:eastAsia="Aptos" w:hAnsi="Verdana" w:cs="Arial"/>
          <w:kern w:val="2"/>
          <w:lang w:val="es-MX"/>
          <w14:ligatures w14:val="standardContextual"/>
        </w:rPr>
      </w:pPr>
    </w:p>
    <w:p w14:paraId="75FEECD2" w14:textId="77777777" w:rsidR="000679B2" w:rsidRPr="000679B2" w:rsidRDefault="000679B2" w:rsidP="000679B2">
      <w:pPr>
        <w:spacing w:after="0" w:line="240" w:lineRule="auto"/>
        <w:ind w:left="709" w:right="709"/>
        <w:contextualSpacing/>
        <w:jc w:val="both"/>
        <w:rPr>
          <w:rFonts w:ascii="Verdana" w:eastAsia="Aptos" w:hAnsi="Verdana" w:cs="Arial"/>
          <w:kern w:val="2"/>
          <w:sz w:val="21"/>
          <w:szCs w:val="21"/>
          <w:lang w:val="es-MX"/>
          <w14:ligatures w14:val="standardContextual"/>
        </w:rPr>
      </w:pPr>
      <w:r w:rsidRPr="000679B2">
        <w:rPr>
          <w:rFonts w:ascii="Verdana" w:eastAsia="Aptos" w:hAnsi="Verdana" w:cs="Arial"/>
          <w:i/>
          <w:iCs/>
          <w:kern w:val="2"/>
          <w:sz w:val="21"/>
          <w:szCs w:val="21"/>
          <w:lang w:val="es-MX"/>
          <w14:ligatures w14:val="standardContextual"/>
        </w:rPr>
        <w:t>“Presentar más de una oferta económica con valores distintos en el Sobre 2 o que no se presente conforme con las condiciones establecidas en el numeral 2.3.2 Sobre 2”.</w:t>
      </w:r>
    </w:p>
    <w:p w14:paraId="4FD0232F" w14:textId="77777777" w:rsidR="000679B2" w:rsidRPr="000679B2" w:rsidRDefault="000679B2" w:rsidP="000679B2">
      <w:pPr>
        <w:spacing w:after="0" w:line="276" w:lineRule="auto"/>
        <w:ind w:left="720"/>
        <w:contextualSpacing/>
        <w:jc w:val="both"/>
        <w:rPr>
          <w:rFonts w:ascii="Verdana" w:eastAsia="Aptos" w:hAnsi="Verdana" w:cs="Arial"/>
          <w:kern w:val="2"/>
          <w:lang w:val="es-MX"/>
          <w14:ligatures w14:val="standardContextual"/>
        </w:rPr>
      </w:pPr>
    </w:p>
    <w:p w14:paraId="7EE29551" w14:textId="77777777" w:rsidR="000679B2" w:rsidRPr="000679B2" w:rsidRDefault="000679B2" w:rsidP="000679B2">
      <w:pPr>
        <w:snapToGrid w:val="0"/>
        <w:spacing w:after="120" w:line="276" w:lineRule="auto"/>
        <w:ind w:firstLine="709"/>
        <w:jc w:val="both"/>
        <w:rPr>
          <w:rFonts w:ascii="Verdana" w:eastAsia="Aptos" w:hAnsi="Verdana" w:cs="Arial"/>
          <w:kern w:val="2"/>
          <w:lang w:val="es-MX"/>
          <w14:ligatures w14:val="standardContextual"/>
        </w:rPr>
      </w:pPr>
      <w:r w:rsidRPr="000679B2">
        <w:rPr>
          <w:rFonts w:ascii="Verdana" w:eastAsia="Aptos" w:hAnsi="Verdana" w:cs="Arial"/>
          <w:kern w:val="2"/>
          <w:lang w:val="es-MX"/>
          <w14:ligatures w14:val="standardContextual"/>
        </w:rPr>
        <w:t xml:space="preserve">En este caso, la causal de rechazo aplicará cuando el oferente presente, en el Sobre No. 2, más de una oferta, no permitiendo saber cuál de las dos ofertas corresponde al ofrecimiento económico realizado por el proponente por el bien o servicio a contratar. </w:t>
      </w:r>
    </w:p>
    <w:p w14:paraId="55873D0F" w14:textId="77777777" w:rsidR="000679B2" w:rsidRPr="000679B2" w:rsidRDefault="000679B2" w:rsidP="000679B2">
      <w:pPr>
        <w:snapToGrid w:val="0"/>
        <w:spacing w:after="0" w:line="276" w:lineRule="auto"/>
        <w:ind w:firstLine="709"/>
        <w:jc w:val="both"/>
        <w:rPr>
          <w:rFonts w:ascii="Verdana" w:eastAsia="Aptos" w:hAnsi="Verdana" w:cs="Arial"/>
          <w:kern w:val="2"/>
          <w:lang w:val="es-MX"/>
          <w14:ligatures w14:val="standardContextual"/>
        </w:rPr>
      </w:pPr>
      <w:r w:rsidRPr="000679B2">
        <w:rPr>
          <w:rFonts w:ascii="Verdana" w:eastAsia="Aptos" w:hAnsi="Verdana" w:cs="Arial"/>
          <w:kern w:val="2"/>
          <w:lang w:val="es-MX"/>
          <w14:ligatures w14:val="standardContextual"/>
        </w:rPr>
        <w:t>Conviene señalar que la causal de rechazo también está indicando que la misma aplicará cuando la oferta “</w:t>
      </w:r>
      <w:r w:rsidRPr="000679B2">
        <w:rPr>
          <w:rFonts w:ascii="Verdana" w:eastAsia="Aptos" w:hAnsi="Verdana" w:cs="Arial"/>
          <w:i/>
          <w:iCs/>
          <w:kern w:val="2"/>
          <w:lang w:val="es-MX"/>
          <w14:ligatures w14:val="standardContextual"/>
        </w:rPr>
        <w:t xml:space="preserve">no se presente conforme con las condiciones establecidas en el numeral 2.3.2 Sobre 2”. </w:t>
      </w:r>
      <w:r w:rsidRPr="000679B2">
        <w:rPr>
          <w:rFonts w:ascii="Verdana" w:eastAsia="Aptos" w:hAnsi="Verdana" w:cs="Arial"/>
          <w:kern w:val="2"/>
          <w:lang w:val="es-MX"/>
          <w14:ligatures w14:val="standardContextual"/>
        </w:rPr>
        <w:t>En este numeral (2.3.2) del documento base de infraestructura social, se establece la necesidad por parte de la entidad de definir las reglas de presentación de la oferta económica en el formulario de SECOP II y en el anexo complementario, según corresponda, así como las reglas de prevalencia al respecto, tal y como se señala a continuación:</w:t>
      </w:r>
    </w:p>
    <w:p w14:paraId="403E535F" w14:textId="77777777" w:rsidR="000679B2" w:rsidRPr="000679B2" w:rsidRDefault="000679B2" w:rsidP="000679B2">
      <w:pPr>
        <w:spacing w:after="0" w:line="276" w:lineRule="auto"/>
        <w:ind w:left="720"/>
        <w:contextualSpacing/>
        <w:jc w:val="both"/>
        <w:rPr>
          <w:rFonts w:ascii="Verdana" w:eastAsia="Aptos" w:hAnsi="Verdana" w:cs="Arial"/>
          <w:kern w:val="2"/>
          <w:lang w:val="es-MX"/>
          <w14:ligatures w14:val="standardContextual"/>
        </w:rPr>
      </w:pPr>
    </w:p>
    <w:p w14:paraId="32114512" w14:textId="77777777" w:rsidR="000679B2" w:rsidRPr="000679B2" w:rsidRDefault="000679B2" w:rsidP="000679B2">
      <w:pPr>
        <w:spacing w:after="0" w:line="240" w:lineRule="auto"/>
        <w:ind w:left="709" w:right="709"/>
        <w:contextualSpacing/>
        <w:jc w:val="both"/>
        <w:rPr>
          <w:rFonts w:ascii="Arial" w:eastAsia="Arial" w:hAnsi="Arial" w:cs="Arial"/>
          <w:i/>
          <w:iCs/>
          <w:kern w:val="2"/>
          <w:sz w:val="21"/>
          <w:szCs w:val="21"/>
          <w:highlight w:val="lightGray"/>
          <w:lang w:val="es-MX"/>
          <w14:ligatures w14:val="standardContextual"/>
        </w:rPr>
      </w:pPr>
      <w:r w:rsidRPr="000679B2">
        <w:rPr>
          <w:rFonts w:ascii="Verdana" w:eastAsia="Aptos" w:hAnsi="Verdana" w:cs="Arial"/>
          <w:i/>
          <w:iCs/>
          <w:kern w:val="2"/>
          <w:sz w:val="21"/>
          <w:szCs w:val="21"/>
          <w:lang w:val="es-ES_tradnl"/>
          <w14:ligatures w14:val="standardContextual"/>
        </w:rPr>
        <w:lastRenderedPageBreak/>
        <w:t>“</w:t>
      </w:r>
      <w:r w:rsidRPr="000679B2">
        <w:rPr>
          <w:rFonts w:ascii="Verdana" w:eastAsia="Aptos" w:hAnsi="Verdana" w:cs="Arial"/>
          <w:i/>
          <w:iCs/>
          <w:kern w:val="2"/>
          <w:sz w:val="21"/>
          <w:szCs w:val="21"/>
          <w:highlight w:val="lightGray"/>
          <w:lang w:val="es-ES_tradnl"/>
          <w14:ligatures w14:val="standardContextual"/>
        </w:rPr>
        <w:t>[</w:t>
      </w:r>
      <w:r w:rsidRPr="000679B2">
        <w:rPr>
          <w:rFonts w:ascii="Verdana" w:eastAsia="Arial" w:hAnsi="Verdana" w:cs="Arial"/>
          <w:i/>
          <w:iCs/>
          <w:kern w:val="2"/>
          <w:sz w:val="21"/>
          <w:szCs w:val="21"/>
          <w:highlight w:val="lightGray"/>
          <w:lang w:val="es-MX"/>
          <w14:ligatures w14:val="standardContextual"/>
        </w:rPr>
        <w:t>Nota 5: La entidad deberá definir en esta nota, desde la publicación del prepliego, para los casos en que se presente discrepancia entre el Formulario 1 – Presupuesto Oficial y el cuestionario transaccional de SECOP II, para efectos de la evaluación económica, cual de estos, según  el caso prevalecerá frente al otro, para ello deberá tener en cuenta la Guía que se encuentre vigente sobre el uso del SECOP II modalidades – licitación Pública de Obra, para dar cumplimiento a lo indicado la Agencia establece las siguientes opciones:</w:t>
      </w:r>
      <w:r w:rsidRPr="000679B2">
        <w:rPr>
          <w:rFonts w:ascii="Arial" w:eastAsia="Arial" w:hAnsi="Arial" w:cs="Arial"/>
          <w:i/>
          <w:iCs/>
          <w:kern w:val="2"/>
          <w:sz w:val="21"/>
          <w:szCs w:val="21"/>
          <w:highlight w:val="lightGray"/>
          <w:lang w:val="es-MX"/>
          <w14:ligatures w14:val="standardContextual"/>
        </w:rPr>
        <w:t>​</w:t>
      </w:r>
    </w:p>
    <w:p w14:paraId="5B938A0C" w14:textId="77777777" w:rsidR="000679B2" w:rsidRPr="000679B2" w:rsidRDefault="000679B2" w:rsidP="000679B2">
      <w:pPr>
        <w:spacing w:after="0" w:line="240" w:lineRule="auto"/>
        <w:ind w:left="709" w:right="709"/>
        <w:contextualSpacing/>
        <w:jc w:val="both"/>
        <w:rPr>
          <w:rFonts w:ascii="Verdana" w:eastAsia="Arial" w:hAnsi="Verdana" w:cs="Arial"/>
          <w:i/>
          <w:iCs/>
          <w:kern w:val="2"/>
          <w:sz w:val="21"/>
          <w:szCs w:val="21"/>
          <w:highlight w:val="lightGray"/>
          <w:lang w:val="es-MX"/>
          <w14:ligatures w14:val="standardContextual"/>
        </w:rPr>
      </w:pPr>
    </w:p>
    <w:p w14:paraId="4623C547" w14:textId="77777777" w:rsidR="000679B2" w:rsidRPr="000679B2" w:rsidRDefault="000679B2" w:rsidP="000679B2">
      <w:pPr>
        <w:numPr>
          <w:ilvl w:val="0"/>
          <w:numId w:val="18"/>
        </w:numPr>
        <w:tabs>
          <w:tab w:val="num" w:pos="1428"/>
        </w:tabs>
        <w:spacing w:after="0" w:line="240" w:lineRule="auto"/>
        <w:ind w:left="709" w:right="709" w:firstLine="0"/>
        <w:jc w:val="both"/>
        <w:rPr>
          <w:rFonts w:ascii="Verdana" w:eastAsia="Arial" w:hAnsi="Verdana" w:cs="Arial"/>
          <w:i/>
          <w:iCs/>
          <w:kern w:val="2"/>
          <w:sz w:val="21"/>
          <w:szCs w:val="21"/>
          <w:highlight w:val="lightGray"/>
          <w:lang w:val="es-MX"/>
          <w14:ligatures w14:val="standardContextual"/>
        </w:rPr>
      </w:pPr>
      <w:r w:rsidRPr="000679B2">
        <w:rPr>
          <w:rFonts w:ascii="Verdana" w:eastAsia="Arial" w:hAnsi="Verdana" w:cs="Arial"/>
          <w:i/>
          <w:iCs/>
          <w:kern w:val="2"/>
          <w:sz w:val="21"/>
          <w:szCs w:val="21"/>
          <w:highlight w:val="lightGray"/>
          <w:lang w:val="es-MX"/>
          <w14:ligatures w14:val="standardContextual"/>
        </w:rPr>
        <w:t>En casos donde en la plataforma SECOP II cuente con la misma cantidad de ítems que los de Formulario 1 de Oferta Económica</w:t>
      </w:r>
      <w:r w:rsidRPr="000679B2">
        <w:rPr>
          <w:rFonts w:ascii="Arial" w:eastAsia="Arial" w:hAnsi="Arial" w:cs="Arial"/>
          <w:i/>
          <w:iCs/>
          <w:kern w:val="2"/>
          <w:sz w:val="21"/>
          <w:szCs w:val="21"/>
          <w:highlight w:val="lightGray"/>
          <w:lang w:val="es-MX"/>
          <w14:ligatures w14:val="standardContextual"/>
        </w:rPr>
        <w:t>​</w:t>
      </w:r>
      <w:r w:rsidRPr="000679B2">
        <w:rPr>
          <w:rFonts w:ascii="Verdana" w:eastAsia="Arial" w:hAnsi="Verdana" w:cs="Arial"/>
          <w:i/>
          <w:iCs/>
          <w:kern w:val="2"/>
          <w:sz w:val="21"/>
          <w:szCs w:val="21"/>
          <w:highlight w:val="lightGray"/>
          <w:lang w:val="es-MX"/>
          <w14:ligatures w14:val="standardContextual"/>
        </w:rPr>
        <w:t>, prevalecerá el SECOP II sobre el Formulario 1 de Oferta Económica</w:t>
      </w:r>
      <w:r w:rsidRPr="000679B2">
        <w:rPr>
          <w:rFonts w:ascii="Arial" w:eastAsia="Arial" w:hAnsi="Arial" w:cs="Arial"/>
          <w:i/>
          <w:iCs/>
          <w:kern w:val="2"/>
          <w:sz w:val="21"/>
          <w:szCs w:val="21"/>
          <w:highlight w:val="lightGray"/>
          <w:lang w:val="es-MX"/>
          <w14:ligatures w14:val="standardContextual"/>
        </w:rPr>
        <w:t>​</w:t>
      </w:r>
    </w:p>
    <w:p w14:paraId="6554033E" w14:textId="77777777" w:rsidR="000679B2" w:rsidRPr="000679B2" w:rsidRDefault="000679B2" w:rsidP="000679B2">
      <w:pPr>
        <w:numPr>
          <w:ilvl w:val="0"/>
          <w:numId w:val="18"/>
        </w:numPr>
        <w:tabs>
          <w:tab w:val="num" w:pos="1428"/>
        </w:tabs>
        <w:spacing w:after="0" w:line="240" w:lineRule="auto"/>
        <w:ind w:left="709" w:right="709" w:firstLine="0"/>
        <w:jc w:val="both"/>
        <w:rPr>
          <w:rFonts w:ascii="Verdana" w:eastAsia="Arial" w:hAnsi="Verdana" w:cs="Arial"/>
          <w:i/>
          <w:iCs/>
          <w:kern w:val="2"/>
          <w:sz w:val="21"/>
          <w:szCs w:val="21"/>
          <w:highlight w:val="lightGray"/>
          <w:lang w:val="es-MX"/>
          <w14:ligatures w14:val="standardContextual"/>
        </w:rPr>
      </w:pPr>
      <w:r w:rsidRPr="000679B2">
        <w:rPr>
          <w:rFonts w:ascii="Verdana" w:eastAsia="Arial" w:hAnsi="Verdana" w:cs="Arial"/>
          <w:i/>
          <w:iCs/>
          <w:kern w:val="2"/>
          <w:sz w:val="21"/>
          <w:szCs w:val="21"/>
          <w:highlight w:val="lightGray"/>
          <w:lang w:val="es-MX"/>
          <w14:ligatures w14:val="standardContextual"/>
        </w:rPr>
        <w:t>En casos donde en la plataforma SECOP II solo se indique una pregunta precio, prevalecerá el Formulario 1 de Oferta Económica Sobre el SECOP II</w:t>
      </w:r>
      <w:r w:rsidRPr="000679B2">
        <w:rPr>
          <w:rFonts w:ascii="Arial" w:eastAsia="Arial" w:hAnsi="Arial" w:cs="Arial"/>
          <w:i/>
          <w:iCs/>
          <w:kern w:val="2"/>
          <w:sz w:val="21"/>
          <w:szCs w:val="21"/>
          <w:highlight w:val="lightGray"/>
          <w:lang w:val="es-MX"/>
          <w14:ligatures w14:val="standardContextual"/>
        </w:rPr>
        <w:t>​</w:t>
      </w:r>
    </w:p>
    <w:p w14:paraId="630D422E" w14:textId="77777777" w:rsidR="000679B2" w:rsidRPr="000679B2" w:rsidRDefault="000679B2" w:rsidP="000679B2">
      <w:pPr>
        <w:numPr>
          <w:ilvl w:val="0"/>
          <w:numId w:val="18"/>
        </w:numPr>
        <w:tabs>
          <w:tab w:val="num" w:pos="1428"/>
        </w:tabs>
        <w:spacing w:after="0" w:line="240" w:lineRule="auto"/>
        <w:ind w:left="709" w:right="709" w:firstLine="0"/>
        <w:jc w:val="both"/>
        <w:rPr>
          <w:rFonts w:ascii="Verdana" w:eastAsia="Arial" w:hAnsi="Verdana" w:cs="Arial"/>
          <w:i/>
          <w:iCs/>
          <w:kern w:val="2"/>
          <w:sz w:val="21"/>
          <w:szCs w:val="21"/>
          <w:highlight w:val="lightGray"/>
          <w:lang w:val="es-MX"/>
          <w14:ligatures w14:val="standardContextual"/>
        </w:rPr>
      </w:pPr>
      <w:r w:rsidRPr="000679B2">
        <w:rPr>
          <w:rFonts w:ascii="Verdana" w:eastAsia="Arial" w:hAnsi="Verdana" w:cs="Arial"/>
          <w:i/>
          <w:iCs/>
          <w:kern w:val="2"/>
          <w:sz w:val="21"/>
          <w:szCs w:val="21"/>
          <w:highlight w:val="lightGray"/>
          <w:lang w:val="es-MX"/>
          <w14:ligatures w14:val="standardContextual"/>
        </w:rPr>
        <w:t>En los casos que la entidad adjudique el proceso por el valor del presupuesto oficial, pero la evaluación la realice sobre el valor de los ítems relacionados en el Formulario 1 de Oferta Económica, deberá establecer en este acápite claramente, que el proponente deberá indicar en el cuestionario de la plataforma SECOP II el valor total del presupuesto, pero  su evaluación económica se realizara sobre los valores que relacione en el Formulario 1 de Oferta Económica, en consecuencia no prevalecerá un documento sobre otro, sino que se complementaran.</w:t>
      </w:r>
    </w:p>
    <w:p w14:paraId="0EB0C4B1" w14:textId="77777777" w:rsidR="000679B2" w:rsidRPr="000679B2" w:rsidRDefault="000679B2" w:rsidP="000679B2">
      <w:pPr>
        <w:spacing w:after="0" w:line="240" w:lineRule="auto"/>
        <w:ind w:left="709" w:right="709"/>
        <w:jc w:val="both"/>
        <w:rPr>
          <w:rFonts w:ascii="Verdana" w:eastAsia="Arial" w:hAnsi="Verdana" w:cs="Arial"/>
          <w:i/>
          <w:iCs/>
          <w:kern w:val="2"/>
          <w:sz w:val="21"/>
          <w:szCs w:val="21"/>
          <w:lang w:val="es-MX"/>
          <w14:ligatures w14:val="standardContextual"/>
        </w:rPr>
      </w:pPr>
      <w:r w:rsidRPr="000679B2">
        <w:rPr>
          <w:rFonts w:ascii="Verdana" w:eastAsia="Arial" w:hAnsi="Verdana" w:cs="Arial"/>
          <w:i/>
          <w:iCs/>
          <w:kern w:val="2"/>
          <w:sz w:val="21"/>
          <w:szCs w:val="21"/>
          <w:highlight w:val="lightGray"/>
          <w:lang w:val="es-MX"/>
          <w14:ligatures w14:val="standardContextual"/>
        </w:rPr>
        <w:t>En caso de discrepancias entre el Formulario 1 – Presupuesto Oficial y el cuestionario transaccional de SECOP II, y cuando según las reglas anteriores, la entidad verificada las prevalencias determine que no se cumple con las condiciones de la oferta económica deberá aplicar la causal de rechazo que corresponda.</w:t>
      </w:r>
      <w:r w:rsidRPr="000679B2">
        <w:rPr>
          <w:rFonts w:ascii="Verdana" w:eastAsia="Arial" w:hAnsi="Verdana" w:cs="Arial"/>
          <w:i/>
          <w:iCs/>
          <w:kern w:val="2"/>
          <w:sz w:val="21"/>
          <w:szCs w:val="21"/>
          <w:lang w:val="es-MX"/>
          <w14:ligatures w14:val="standardContextual"/>
        </w:rPr>
        <w:t xml:space="preserve">]” </w:t>
      </w:r>
    </w:p>
    <w:p w14:paraId="2E7675F2" w14:textId="77777777" w:rsidR="000679B2" w:rsidRPr="000679B2" w:rsidRDefault="000679B2" w:rsidP="000679B2">
      <w:pPr>
        <w:spacing w:after="0" w:line="276" w:lineRule="auto"/>
        <w:ind w:left="720"/>
        <w:contextualSpacing/>
        <w:jc w:val="both"/>
        <w:rPr>
          <w:rFonts w:ascii="Verdana" w:eastAsia="Aptos" w:hAnsi="Verdana" w:cs="Arial"/>
          <w:kern w:val="2"/>
          <w:lang w:val="es-MX"/>
          <w14:ligatures w14:val="standardContextual"/>
        </w:rPr>
      </w:pPr>
    </w:p>
    <w:p w14:paraId="11978EDF" w14:textId="77777777" w:rsidR="000679B2" w:rsidRPr="000679B2" w:rsidRDefault="000679B2" w:rsidP="000679B2">
      <w:pPr>
        <w:snapToGrid w:val="0"/>
        <w:spacing w:after="120" w:line="276" w:lineRule="auto"/>
        <w:ind w:firstLine="709"/>
        <w:jc w:val="both"/>
        <w:rPr>
          <w:rFonts w:ascii="Verdana" w:eastAsia="Aptos" w:hAnsi="Verdana" w:cs="Arial"/>
          <w:kern w:val="2"/>
          <w:lang w:val="es-MX"/>
          <w14:ligatures w14:val="standardContextual"/>
        </w:rPr>
      </w:pPr>
      <w:r w:rsidRPr="000679B2">
        <w:rPr>
          <w:rFonts w:ascii="Verdana" w:eastAsia="Aptos" w:hAnsi="Verdana" w:cs="Arial"/>
          <w:kern w:val="2"/>
          <w:lang w:val="es-MX"/>
          <w14:ligatures w14:val="standardContextual"/>
        </w:rPr>
        <w:t>En todo caso, es necesario precisar que la anterior causal de rechazo no está relacionada con el ejercicio de correcciones aritméticas que realiza la entidad una vez hace la apertura de las ofertas económicas (Sobre No. 2) en audiencia. Esto, toda vez que la causal opera sobre la oferta que remitió el proveedor y las reglas de presentación definidas por la entidad contratnate, mas no sobre los ajustes por correcciones aritméticas que puede sufrir la oferta económica, los cuales se encuentran regulados en el numeral 4.1.2 “CORRECIONES ARTIMÉTICAS” del documento base.</w:t>
      </w:r>
    </w:p>
    <w:p w14:paraId="7E50BF33" w14:textId="711D758C" w:rsidR="000679B2" w:rsidRPr="000679B2" w:rsidRDefault="000679B2" w:rsidP="000679B2">
      <w:pPr>
        <w:snapToGrid w:val="0"/>
        <w:spacing w:after="0" w:line="276" w:lineRule="auto"/>
        <w:ind w:firstLine="709"/>
        <w:jc w:val="both"/>
        <w:rPr>
          <w:rFonts w:ascii="Verdana" w:eastAsia="Aptos" w:hAnsi="Verdana" w:cs="Arial"/>
          <w:kern w:val="2"/>
          <w:lang w:val="es-MX"/>
          <w14:ligatures w14:val="standardContextual"/>
        </w:rPr>
      </w:pPr>
      <w:r w:rsidRPr="000679B2">
        <w:rPr>
          <w:rFonts w:ascii="Verdana" w:eastAsia="Aptos" w:hAnsi="Verdana" w:cs="Arial"/>
          <w:kern w:val="2"/>
          <w:lang w:val="es-MX"/>
          <w14:ligatures w14:val="standardContextual"/>
        </w:rPr>
        <w:t xml:space="preserve">Finalmente, debe indicarse que el factor económico se calificará sobre la oferta económica presentada una vez realizado el procedimiento de corrección aritmética, si es requerido, pues así lo señala el numeral 4.1 “OFERTA </w:t>
      </w:r>
      <w:r w:rsidRPr="000679B2">
        <w:rPr>
          <w:rFonts w:ascii="Verdana" w:eastAsia="Aptos" w:hAnsi="Verdana" w:cs="Arial"/>
          <w:kern w:val="2"/>
          <w:lang w:val="es-MX"/>
          <w14:ligatures w14:val="standardContextual"/>
        </w:rPr>
        <w:lastRenderedPageBreak/>
        <w:t>ECONÓMICA”</w:t>
      </w:r>
      <w:r w:rsidR="006E5286">
        <w:rPr>
          <w:rFonts w:ascii="Verdana" w:eastAsia="Aptos" w:hAnsi="Verdana" w:cs="Arial"/>
          <w:kern w:val="2"/>
          <w:lang w:val="es-MX"/>
          <w14:ligatures w14:val="standardContextual"/>
        </w:rPr>
        <w:t xml:space="preserve"> de</w:t>
      </w:r>
      <w:r w:rsidR="005A6252">
        <w:rPr>
          <w:rFonts w:ascii="Verdana" w:eastAsia="Aptos" w:hAnsi="Verdana" w:cs="Arial"/>
          <w:kern w:val="2"/>
          <w:lang w:val="es-MX"/>
          <w14:ligatures w14:val="standardContextual"/>
        </w:rPr>
        <w:t xml:space="preserve"> los documentos base </w:t>
      </w:r>
      <w:r w:rsidR="006E5286">
        <w:rPr>
          <w:rFonts w:ascii="Verdana" w:eastAsia="Aptos" w:hAnsi="Verdana" w:cs="Arial"/>
          <w:kern w:val="2"/>
          <w:lang w:val="es-MX"/>
          <w14:ligatures w14:val="standardContextual"/>
        </w:rPr>
        <w:t>de infraestructura de transporte e infraestructura social</w:t>
      </w:r>
      <w:r w:rsidRPr="000679B2">
        <w:rPr>
          <w:rFonts w:ascii="Verdana" w:eastAsia="Aptos" w:hAnsi="Verdana" w:cs="Arial"/>
          <w:kern w:val="2"/>
          <w:lang w:val="es-MX"/>
          <w14:ligatures w14:val="standardContextual"/>
        </w:rPr>
        <w:t>:</w:t>
      </w:r>
    </w:p>
    <w:p w14:paraId="7AC3FE96" w14:textId="77777777" w:rsidR="000679B2" w:rsidRPr="000679B2" w:rsidRDefault="000679B2" w:rsidP="000679B2">
      <w:pPr>
        <w:spacing w:after="0" w:line="276" w:lineRule="auto"/>
        <w:ind w:left="720"/>
        <w:contextualSpacing/>
        <w:jc w:val="both"/>
        <w:rPr>
          <w:rFonts w:ascii="Verdana" w:eastAsia="Aptos" w:hAnsi="Verdana" w:cs="Arial"/>
          <w:kern w:val="2"/>
          <w:lang w:val="es-MX"/>
          <w14:ligatures w14:val="standardContextual"/>
        </w:rPr>
      </w:pPr>
    </w:p>
    <w:p w14:paraId="4C0AB275" w14:textId="77777777" w:rsidR="000679B2" w:rsidRPr="000679B2" w:rsidRDefault="000679B2" w:rsidP="000679B2">
      <w:pPr>
        <w:spacing w:after="0" w:line="240" w:lineRule="auto"/>
        <w:ind w:left="709" w:right="709"/>
        <w:jc w:val="both"/>
        <w:rPr>
          <w:rFonts w:ascii="Verdana" w:eastAsia="Aptos" w:hAnsi="Verdana" w:cs="Arial"/>
          <w:i/>
          <w:iCs/>
          <w:kern w:val="2"/>
          <w:lang w:val="es-MX"/>
          <w14:ligatures w14:val="standardContextual"/>
        </w:rPr>
      </w:pPr>
      <w:r w:rsidRPr="000679B2">
        <w:rPr>
          <w:rFonts w:ascii="Verdana" w:eastAsia="Aptos" w:hAnsi="Verdana" w:cs="Arial"/>
          <w:i/>
          <w:iCs/>
          <w:kern w:val="2"/>
          <w:lang w:val="es-MX"/>
          <w14:ligatures w14:val="standardContextual"/>
        </w:rPr>
        <w:t>“Para calificar este factor se tendrá en cuenta el valor total indicado en la propuesta económica o el obtenido de la corrección aritmética. La propuesta económica deberá ser allegada en el Sobre No. 2”.</w:t>
      </w:r>
    </w:p>
    <w:p w14:paraId="516D16FB" w14:textId="77777777" w:rsidR="000679B2" w:rsidRPr="000679B2" w:rsidRDefault="000679B2" w:rsidP="000679B2">
      <w:pPr>
        <w:spacing w:after="0" w:line="276" w:lineRule="auto"/>
        <w:ind w:left="709" w:right="709"/>
        <w:jc w:val="both"/>
        <w:rPr>
          <w:rFonts w:ascii="Verdana" w:eastAsia="Aptos" w:hAnsi="Verdana" w:cs="Arial"/>
          <w:i/>
          <w:iCs/>
          <w:kern w:val="2"/>
          <w:lang w:val="es-MX"/>
          <w14:ligatures w14:val="standardContextual"/>
        </w:rPr>
      </w:pPr>
    </w:p>
    <w:p w14:paraId="61178B46" w14:textId="77777777" w:rsidR="000679B2" w:rsidRPr="000679B2" w:rsidRDefault="000679B2" w:rsidP="000679B2">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679B2">
        <w:rPr>
          <w:rFonts w:ascii="Verdana" w:eastAsia="Century Gothic" w:hAnsi="Verdana" w:cs="Century Gothic"/>
          <w:b/>
          <w:bCs/>
          <w:lang w:val="es-ES_tradnl"/>
        </w:rPr>
        <w:t>Referencias normativas, jurisprudenciales y otras fuentes:</w:t>
      </w:r>
    </w:p>
    <w:p w14:paraId="5F46F271" w14:textId="77777777" w:rsidR="000679B2" w:rsidRPr="000679B2" w:rsidRDefault="000679B2" w:rsidP="000679B2">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0679B2" w:rsidRPr="000679B2" w14:paraId="156343B5" w14:textId="77777777" w:rsidTr="00F51763">
        <w:trPr>
          <w:trHeight w:val="870"/>
        </w:trPr>
        <w:tc>
          <w:tcPr>
            <w:tcW w:w="8647" w:type="dxa"/>
          </w:tcPr>
          <w:p w14:paraId="3FCFB61D" w14:textId="77777777" w:rsidR="000679B2" w:rsidRPr="000679B2" w:rsidRDefault="000679B2" w:rsidP="000679B2">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0679B2">
              <w:rPr>
                <w:rFonts w:ascii="Verdana" w:eastAsia="Calibri" w:hAnsi="Verdana" w:cs="Arial"/>
                <w:lang w:val="es-ES_tradnl"/>
              </w:rPr>
              <w:t>Ley 2022 de 2020, artículo 1.</w:t>
            </w:r>
          </w:p>
          <w:p w14:paraId="1E8A40F1" w14:textId="77777777" w:rsidR="000679B2" w:rsidRPr="000679B2" w:rsidRDefault="000679B2" w:rsidP="000679B2">
            <w:pPr>
              <w:numPr>
                <w:ilvl w:val="0"/>
                <w:numId w:val="17"/>
              </w:numPr>
              <w:snapToGrid w:val="0"/>
              <w:spacing w:after="120" w:line="276" w:lineRule="auto"/>
              <w:jc w:val="both"/>
              <w:rPr>
                <w:rFonts w:ascii="Verdana" w:eastAsia="Calibri" w:hAnsi="Verdana" w:cs="Arial"/>
                <w:lang w:val="es-ES"/>
              </w:rPr>
            </w:pPr>
            <w:r w:rsidRPr="154F93E3">
              <w:rPr>
                <w:rFonts w:ascii="Verdana" w:eastAsia="Calibri" w:hAnsi="Verdana" w:cs="Arial"/>
                <w:lang w:val="es-ES"/>
              </w:rPr>
              <w:t xml:space="preserve">Consejo de Estado. Sección Tercera. Sentencia del 27 de abril de 2011. </w:t>
            </w:r>
            <w:proofErr w:type="spellStart"/>
            <w:r w:rsidRPr="154F93E3">
              <w:rPr>
                <w:rFonts w:ascii="Verdana" w:eastAsia="Calibri" w:hAnsi="Verdana" w:cs="Arial"/>
                <w:lang w:val="es-ES"/>
              </w:rPr>
              <w:t>Exp</w:t>
            </w:r>
            <w:proofErr w:type="spellEnd"/>
            <w:r w:rsidRPr="154F93E3">
              <w:rPr>
                <w:rFonts w:ascii="Verdana" w:eastAsia="Calibri" w:hAnsi="Verdana" w:cs="Arial"/>
                <w:lang w:val="es-ES"/>
              </w:rPr>
              <w:t>. 18.293. C.P. Ruth Stella Correa Palacio.</w:t>
            </w:r>
          </w:p>
          <w:p w14:paraId="38EA1F30" w14:textId="77777777" w:rsidR="000679B2" w:rsidRPr="000679B2" w:rsidRDefault="000679B2" w:rsidP="000679B2">
            <w:pPr>
              <w:numPr>
                <w:ilvl w:val="0"/>
                <w:numId w:val="17"/>
              </w:numPr>
              <w:snapToGrid w:val="0"/>
              <w:spacing w:after="120" w:line="276" w:lineRule="auto"/>
              <w:jc w:val="both"/>
              <w:rPr>
                <w:rFonts w:ascii="Verdana" w:eastAsia="Calibri" w:hAnsi="Verdana" w:cs="Arial"/>
                <w:lang w:val="es-ES"/>
              </w:rPr>
            </w:pPr>
            <w:r w:rsidRPr="154F93E3">
              <w:rPr>
                <w:rFonts w:ascii="Verdana" w:eastAsia="Calibri" w:hAnsi="Verdana" w:cs="Arial"/>
                <w:lang w:val="es-ES"/>
              </w:rPr>
              <w:t xml:space="preserve">Consejo de Estado. Sección Tercera. Sentencia del 21 de noviembre de 2013. </w:t>
            </w:r>
            <w:proofErr w:type="spellStart"/>
            <w:r w:rsidRPr="154F93E3">
              <w:rPr>
                <w:rFonts w:ascii="Verdana" w:eastAsia="Calibri" w:hAnsi="Verdana" w:cs="Arial"/>
                <w:lang w:val="es-ES"/>
              </w:rPr>
              <w:t>Exp</w:t>
            </w:r>
            <w:proofErr w:type="spellEnd"/>
            <w:r w:rsidRPr="154F93E3">
              <w:rPr>
                <w:rFonts w:ascii="Verdana" w:eastAsia="Calibri" w:hAnsi="Verdana" w:cs="Arial"/>
                <w:lang w:val="es-ES"/>
              </w:rPr>
              <w:t>. 25397. C.P. Carlos Alberto Zambrano Barrera.</w:t>
            </w:r>
          </w:p>
          <w:p w14:paraId="08BB52C7" w14:textId="77777777" w:rsidR="000679B2" w:rsidRPr="000679B2" w:rsidRDefault="000679B2" w:rsidP="000679B2">
            <w:pPr>
              <w:numPr>
                <w:ilvl w:val="0"/>
                <w:numId w:val="17"/>
              </w:numPr>
              <w:snapToGrid w:val="0"/>
              <w:spacing w:after="120" w:line="276" w:lineRule="auto"/>
              <w:jc w:val="both"/>
              <w:rPr>
                <w:rFonts w:ascii="Verdana" w:eastAsia="Calibri" w:hAnsi="Verdana" w:cs="Arial"/>
                <w:lang w:val="es-ES_tradnl"/>
              </w:rPr>
            </w:pPr>
            <w:r w:rsidRPr="000679B2">
              <w:rPr>
                <w:rFonts w:ascii="Verdana" w:eastAsia="Aptos" w:hAnsi="Verdana" w:cs="Arial"/>
                <w:lang w:val="es-ES_tradnl"/>
              </w:rPr>
              <w:t xml:space="preserve">Documentos tipo adoptados por la Agencia Nacional de Contratación Pública – Colombia Compra Eficiente. Disponibles en: </w:t>
            </w:r>
            <w:hyperlink r:id="rId11" w:history="1">
              <w:r w:rsidRPr="000679B2">
                <w:rPr>
                  <w:rFonts w:ascii="Verdana" w:eastAsia="Aptos" w:hAnsi="Verdana" w:cs="Arial"/>
                  <w:color w:val="0000FF"/>
                  <w:u w:val="single"/>
                  <w:lang w:val="es-ES_tradnl"/>
                </w:rPr>
                <w:t>https://www.colombiacompra.gov.co/normativa-y-relatoria/documentos-tipo</w:t>
              </w:r>
            </w:hyperlink>
            <w:r w:rsidRPr="000679B2">
              <w:rPr>
                <w:rFonts w:ascii="Verdana" w:eastAsia="Aptos" w:hAnsi="Verdana" w:cs="Arial"/>
                <w:lang w:val="es-ES_tradnl"/>
              </w:rPr>
              <w:t xml:space="preserve">. </w:t>
            </w:r>
          </w:p>
        </w:tc>
      </w:tr>
    </w:tbl>
    <w:p w14:paraId="1C293F10" w14:textId="77777777" w:rsidR="000679B2" w:rsidRPr="000679B2" w:rsidRDefault="000679B2" w:rsidP="000679B2">
      <w:pPr>
        <w:widowControl w:val="0"/>
        <w:autoSpaceDE w:val="0"/>
        <w:autoSpaceDN w:val="0"/>
        <w:snapToGrid w:val="0"/>
        <w:spacing w:after="0" w:line="276" w:lineRule="auto"/>
        <w:jc w:val="both"/>
        <w:rPr>
          <w:rFonts w:ascii="Verdana" w:eastAsia="Calibri" w:hAnsi="Verdana" w:cs="Arial"/>
          <w:lang w:val="es-ES_tradnl"/>
        </w:rPr>
      </w:pPr>
    </w:p>
    <w:p w14:paraId="75650726" w14:textId="77777777" w:rsidR="000679B2" w:rsidRPr="000679B2" w:rsidRDefault="000679B2" w:rsidP="000679B2">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679B2">
        <w:rPr>
          <w:rFonts w:ascii="Verdana" w:eastAsia="Century Gothic" w:hAnsi="Verdana" w:cs="Century Gothic"/>
          <w:b/>
          <w:bCs/>
          <w:lang w:val="es-ES_tradnl"/>
        </w:rPr>
        <w:t>Doctrina de la Agencia Nacional de Contratación Pública:</w:t>
      </w:r>
    </w:p>
    <w:p w14:paraId="3FD041CE" w14:textId="77777777" w:rsidR="000679B2" w:rsidRPr="000679B2" w:rsidRDefault="000679B2" w:rsidP="000679B2">
      <w:pPr>
        <w:widowControl w:val="0"/>
        <w:autoSpaceDE w:val="0"/>
        <w:autoSpaceDN w:val="0"/>
        <w:snapToGrid w:val="0"/>
        <w:spacing w:after="0" w:line="276" w:lineRule="auto"/>
        <w:jc w:val="both"/>
        <w:rPr>
          <w:rFonts w:ascii="Verdana" w:eastAsia="Calibri" w:hAnsi="Verdana" w:cs="Arial"/>
          <w:lang w:val="es-ES_tradnl"/>
        </w:rPr>
      </w:pPr>
    </w:p>
    <w:p w14:paraId="33793F33" w14:textId="77777777" w:rsidR="000679B2" w:rsidRPr="000679B2" w:rsidRDefault="000679B2" w:rsidP="000679B2">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0679B2">
        <w:rPr>
          <w:rFonts w:ascii="Verdana" w:eastAsia="Calibri" w:hAnsi="Verdana" w:cs="Arial"/>
          <w:kern w:val="2"/>
          <w:shd w:val="clear" w:color="auto" w:fill="FFFFFF"/>
          <w:lang w:val="es-ES_tradnl"/>
          <w14:ligatures w14:val="standardContextual"/>
        </w:rPr>
        <w:t>Esta Agencia se refirió se</w:t>
      </w:r>
      <w:r w:rsidRPr="000679B2">
        <w:rPr>
          <w:rFonts w:ascii="Aptos" w:eastAsia="Aptos" w:hAnsi="Aptos" w:cs="Times New Roman"/>
          <w:kern w:val="2"/>
          <w:sz w:val="24"/>
          <w:szCs w:val="24"/>
          <w14:ligatures w14:val="standardContextual"/>
        </w:rPr>
        <w:t xml:space="preserve"> </w:t>
      </w:r>
      <w:r w:rsidRPr="000679B2">
        <w:rPr>
          <w:rFonts w:ascii="Verdana" w:eastAsia="Calibri" w:hAnsi="Verdana" w:cs="Arial"/>
          <w:kern w:val="2"/>
          <w:shd w:val="clear" w:color="auto" w:fill="FFFFFF"/>
          <w:lang w:val="es-ES_tradnl"/>
          <w14:ligatures w14:val="standardContextual"/>
        </w:rPr>
        <w:t xml:space="preserve">refirió a las causales de rechazo incorporadas en los pliegos de condiciones, en los conceptos 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 C-128 del 2 de agosto de 2024, C-047 del 28 de febrero de 2025, C-326 del 25 de abril de 2025, C-1610 del 4 de diciembre de 2025, entre otros. </w:t>
      </w:r>
      <w:r w:rsidRPr="000679B2">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0679B2">
          <w:rPr>
            <w:rFonts w:ascii="Verdana" w:eastAsia="Times New Roman" w:hAnsi="Verdana" w:cs="Arial"/>
            <w:kern w:val="2"/>
            <w:shd w:val="clear" w:color="auto" w:fill="FFFFFF"/>
            <w:lang w:val="es-ES"/>
            <w14:ligatures w14:val="standardContextual"/>
          </w:rPr>
          <w:t>https://relatoria.colombiacompra.gov.co/</w:t>
        </w:r>
      </w:hyperlink>
      <w:r w:rsidRPr="000679B2">
        <w:rPr>
          <w:rFonts w:ascii="Verdana" w:eastAsia="Times New Roman" w:hAnsi="Verdana" w:cs="Arial"/>
          <w:kern w:val="2"/>
          <w:shd w:val="clear" w:color="auto" w:fill="FFFFFF"/>
          <w:lang w:val="es-ES"/>
          <w14:ligatures w14:val="standardContextual"/>
        </w:rPr>
        <w:t>.</w:t>
      </w:r>
    </w:p>
    <w:p w14:paraId="4D7A4651" w14:textId="77777777" w:rsidR="000679B2" w:rsidRPr="000679B2" w:rsidRDefault="000679B2" w:rsidP="000679B2">
      <w:pPr>
        <w:spacing w:after="0" w:line="240" w:lineRule="auto"/>
        <w:jc w:val="both"/>
        <w:rPr>
          <w:rFonts w:ascii="Verdana" w:eastAsia="Calibri" w:hAnsi="Verdana" w:cs="Arial"/>
          <w:color w:val="000000"/>
          <w:kern w:val="2"/>
          <w:shd w:val="clear" w:color="auto" w:fill="FFFFFF"/>
          <w:lang w:val="es-ES_tradnl"/>
          <w14:ligatures w14:val="standardContextual"/>
        </w:rPr>
      </w:pPr>
    </w:p>
    <w:p w14:paraId="66E87381" w14:textId="77777777" w:rsidR="000679B2" w:rsidRPr="000679B2" w:rsidRDefault="000679B2" w:rsidP="000679B2">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0679B2">
        <w:rPr>
          <w:rFonts w:ascii="Verdana" w:eastAsia="Calibri" w:hAnsi="Verdana" w:cs="Arial"/>
          <w:kern w:val="2"/>
          <w:shd w:val="clear" w:color="auto" w:fill="FFFFFF"/>
          <w:lang w:val="es-ES_tradnl"/>
          <w14:ligatures w14:val="standardContextual"/>
        </w:rPr>
        <w:t>La</w:t>
      </w:r>
      <w:r w:rsidRPr="000679B2">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0679B2">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0679B2">
        <w:rPr>
          <w:rFonts w:ascii="Verdana" w:eastAsia="Calibri" w:hAnsi="Verdana" w:cs="Arial"/>
          <w:b/>
          <w:bCs/>
          <w:kern w:val="2"/>
          <w:shd w:val="clear" w:color="auto" w:fill="FFFFFF"/>
          <w:lang w:val="es-ES_tradnl"/>
          <w14:ligatures w14:val="standardContextual"/>
        </w:rPr>
        <w:t>Documentos Tipo</w:t>
      </w:r>
      <w:r w:rsidRPr="000679B2">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0679B2">
        <w:rPr>
          <w:rFonts w:ascii="Verdana" w:eastAsia="Calibri" w:hAnsi="Verdana" w:cs="Arial"/>
          <w:b/>
          <w:bCs/>
          <w:kern w:val="2"/>
          <w:shd w:val="clear" w:color="auto" w:fill="FFFFFF"/>
          <w:lang w:val="es-ES_tradnl"/>
          <w14:ligatures w14:val="standardContextual"/>
        </w:rPr>
        <w:t>transparencia</w:t>
      </w:r>
      <w:r w:rsidRPr="000679B2">
        <w:rPr>
          <w:rFonts w:ascii="Verdana" w:eastAsia="Calibri" w:hAnsi="Verdana" w:cs="Arial"/>
          <w:kern w:val="2"/>
          <w:shd w:val="clear" w:color="auto" w:fill="FFFFFF"/>
          <w:lang w:val="es-ES_tradnl"/>
          <w14:ligatures w14:val="standardContextual"/>
        </w:rPr>
        <w:t> y promover un proceso de </w:t>
      </w:r>
      <w:r w:rsidRPr="000679B2">
        <w:rPr>
          <w:rFonts w:ascii="Verdana" w:eastAsia="Calibri" w:hAnsi="Verdana" w:cs="Arial"/>
          <w:b/>
          <w:bCs/>
          <w:kern w:val="2"/>
          <w:shd w:val="clear" w:color="auto" w:fill="FFFFFF"/>
          <w:lang w:val="es-ES_tradnl"/>
          <w14:ligatures w14:val="standardContextual"/>
        </w:rPr>
        <w:t>selección objetiva</w:t>
      </w:r>
      <w:r w:rsidRPr="000679B2">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7EA41325" w14:textId="77777777" w:rsidR="000679B2" w:rsidRPr="000679B2" w:rsidRDefault="000679B2" w:rsidP="000679B2">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777F793C" w14:textId="77777777" w:rsidR="000679B2" w:rsidRPr="000679B2" w:rsidRDefault="000679B2" w:rsidP="000679B2">
      <w:pPr>
        <w:spacing w:after="0" w:line="276" w:lineRule="auto"/>
        <w:jc w:val="both"/>
        <w:rPr>
          <w:rFonts w:ascii="Verdana" w:eastAsia="Aptos" w:hAnsi="Verdana" w:cs="Times New Roman"/>
          <w:kern w:val="2"/>
          <w:lang w:val="es-ES_tradnl"/>
          <w14:ligatures w14:val="standardContextual"/>
        </w:rPr>
      </w:pPr>
      <w:r w:rsidRPr="000679B2">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0679B2">
        <w:rPr>
          <w:rFonts w:ascii="Verdana" w:eastAsia="Aptos" w:hAnsi="Verdana" w:cs="Times New Roman"/>
          <w:b/>
          <w:bCs/>
          <w:kern w:val="2"/>
          <w:lang w:val="es-ES_tradnl"/>
          <w14:ligatures w14:val="standardContextual"/>
        </w:rPr>
        <w:t>Curso de Contratación Pública Sostenible y Socialmente Responsable</w:t>
      </w:r>
      <w:r w:rsidRPr="000679B2">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0679B2">
        <w:rPr>
          <w:rFonts w:ascii="Verdana" w:eastAsia="Aptos" w:hAnsi="Verdana" w:cs="Times New Roman"/>
          <w:kern w:val="2"/>
          <w:lang w:val="es-ES_tradnl"/>
          <w14:ligatures w14:val="standardContextual"/>
        </w:rPr>
        <w:br/>
      </w:r>
      <w:hyperlink r:id="rId13" w:tgtFrame="_new" w:history="1">
        <w:r w:rsidRPr="000679B2">
          <w:rPr>
            <w:rFonts w:ascii="Verdana" w:eastAsia="Aptos" w:hAnsi="Verdana" w:cs="Times New Roman"/>
            <w:color w:val="0000FF"/>
            <w:kern w:val="2"/>
            <w:u w:val="single"/>
            <w:lang w:val="es-ES_tradnl"/>
            <w14:ligatures w14:val="standardContextual"/>
          </w:rPr>
          <w:t>https://formacionvirtual.colombiacompra.gov.co/mod/page/view.php?id=3718</w:t>
        </w:r>
      </w:hyperlink>
    </w:p>
    <w:p w14:paraId="705AEA4E" w14:textId="77777777" w:rsidR="000679B2" w:rsidRPr="000679B2" w:rsidRDefault="000679B2" w:rsidP="000679B2">
      <w:pPr>
        <w:spacing w:after="0" w:line="276" w:lineRule="auto"/>
        <w:jc w:val="both"/>
        <w:rPr>
          <w:rFonts w:ascii="Verdana" w:eastAsia="Aptos" w:hAnsi="Verdana" w:cs="Times New Roman"/>
          <w:kern w:val="2"/>
          <w:lang w:val="es-ES_tradnl"/>
          <w14:ligatures w14:val="standardContextual"/>
        </w:rPr>
      </w:pPr>
    </w:p>
    <w:p w14:paraId="6ADBA7BF" w14:textId="77777777" w:rsidR="000679B2" w:rsidRPr="000679B2" w:rsidRDefault="000679B2" w:rsidP="000679B2">
      <w:pPr>
        <w:spacing w:after="0" w:line="276" w:lineRule="auto"/>
        <w:jc w:val="both"/>
        <w:rPr>
          <w:rFonts w:ascii="Verdana" w:eastAsia="Aptos" w:hAnsi="Verdana" w:cs="Times New Roman"/>
          <w:kern w:val="2"/>
          <w:lang w:val="es-ES_tradnl"/>
          <w14:ligatures w14:val="standardContextual"/>
        </w:rPr>
      </w:pPr>
      <w:r w:rsidRPr="000679B2">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0679B2">
        <w:rPr>
          <w:rFonts w:ascii="Verdana" w:eastAsia="Aptos" w:hAnsi="Verdana" w:cs="Times New Roman"/>
          <w:b/>
          <w:bCs/>
          <w:kern w:val="2"/>
          <w:lang w:val="es-ES_tradnl"/>
          <w14:ligatures w14:val="standardContextual"/>
        </w:rPr>
        <w:t>sector  social</w:t>
      </w:r>
      <w:r w:rsidRPr="000679B2">
        <w:rPr>
          <w:rFonts w:ascii="Verdana" w:eastAsia="Aptos" w:hAnsi="Verdana" w:cs="Times New Roman"/>
          <w:kern w:val="2"/>
          <w:lang w:val="es-ES_tradnl"/>
          <w14:ligatures w14:val="standardContextual"/>
        </w:rPr>
        <w:t xml:space="preserve"> con la expedición de las </w:t>
      </w:r>
      <w:r w:rsidRPr="000679B2">
        <w:rPr>
          <w:rFonts w:ascii="Verdana" w:eastAsia="Aptos" w:hAnsi="Verdana" w:cs="Times New Roman"/>
          <w:b/>
          <w:bCs/>
          <w:kern w:val="2"/>
          <w:lang w:val="es-ES_tradnl"/>
          <w14:ligatures w14:val="standardContextual"/>
        </w:rPr>
        <w:t>Resoluciones 539, 540, 541, 952 y 953 de 2025</w:t>
      </w:r>
      <w:r w:rsidRPr="000679B2">
        <w:rPr>
          <w:rFonts w:ascii="Verdana" w:eastAsia="Aptos" w:hAnsi="Verdana" w:cs="Times New Roman"/>
          <w:kern w:val="2"/>
          <w:lang w:val="es-ES_tradnl"/>
          <w14:ligatures w14:val="standardContextual"/>
        </w:rPr>
        <w:t xml:space="preserve">, </w:t>
      </w:r>
      <w:r w:rsidRPr="000679B2">
        <w:rPr>
          <w:rFonts w:ascii="Verdana" w:eastAsia="Aptos" w:hAnsi="Verdana" w:cs="Times New Roman"/>
          <w:b/>
          <w:bCs/>
          <w:kern w:val="2"/>
          <w:lang w:val="es-ES_tradnl"/>
          <w14:ligatures w14:val="standardContextual"/>
        </w:rPr>
        <w:t>mediante las cuales adoptó Documentos Tipo</w:t>
      </w:r>
      <w:r w:rsidRPr="000679B2">
        <w:rPr>
          <w:rFonts w:ascii="Verdana" w:eastAsia="Aptos" w:hAnsi="Verdana" w:cs="Times New Roman"/>
          <w:kern w:val="2"/>
          <w:lang w:val="es-ES_tradnl"/>
          <w14:ligatures w14:val="standardContextual"/>
        </w:rPr>
        <w:t xml:space="preserve"> para las modalidades de selección de</w:t>
      </w:r>
      <w:r w:rsidRPr="000679B2">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0679B2">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0679B2">
          <w:rPr>
            <w:rFonts w:ascii="Verdana" w:eastAsia="Aptos" w:hAnsi="Verdana" w:cs="Times New Roman"/>
            <w:color w:val="0000FF"/>
            <w:kern w:val="2"/>
            <w:u w:val="single"/>
            <w:lang w:val="es-ES_tradnl"/>
            <w14:ligatures w14:val="standardContextual"/>
          </w:rPr>
          <w:t>https://www.colombiacompra.gov.co/normativa-y-relatoria/documentos-tipo</w:t>
        </w:r>
      </w:hyperlink>
    </w:p>
    <w:p w14:paraId="07BF3C82" w14:textId="77777777" w:rsidR="000679B2" w:rsidRPr="000679B2" w:rsidRDefault="000679B2" w:rsidP="000679B2">
      <w:pPr>
        <w:spacing w:after="0" w:line="276" w:lineRule="auto"/>
        <w:jc w:val="both"/>
        <w:rPr>
          <w:rFonts w:ascii="Verdana" w:eastAsia="Aptos" w:hAnsi="Verdana" w:cs="Times New Roman"/>
          <w:kern w:val="2"/>
          <w:lang w:val="es-ES_tradnl"/>
          <w14:ligatures w14:val="standardContextual"/>
        </w:rPr>
      </w:pPr>
    </w:p>
    <w:p w14:paraId="4E80ECEA" w14:textId="77777777" w:rsidR="000679B2" w:rsidRPr="000679B2" w:rsidRDefault="000679B2" w:rsidP="000679B2">
      <w:pPr>
        <w:spacing w:after="0" w:line="276" w:lineRule="auto"/>
        <w:jc w:val="both"/>
        <w:rPr>
          <w:rFonts w:ascii="Verdana" w:eastAsia="Aptos" w:hAnsi="Verdana" w:cs="Times New Roman"/>
          <w:kern w:val="2"/>
          <w:lang w:val="es-ES_tradnl"/>
          <w14:ligatures w14:val="standardContextual"/>
        </w:rPr>
      </w:pPr>
      <w:r w:rsidRPr="000679B2">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0679B2">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0679B2">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w:t>
      </w:r>
      <w:r w:rsidRPr="000679B2">
        <w:rPr>
          <w:rFonts w:ascii="Verdana" w:eastAsia="Aptos" w:hAnsi="Verdana" w:cs="Times New Roman"/>
          <w:kern w:val="2"/>
          <w:lang w:val="es-ES_tradnl"/>
          <w14:ligatures w14:val="standardContextual"/>
        </w:rPr>
        <w:lastRenderedPageBreak/>
        <w:t xml:space="preserve">de control y demás interesados, con el propósito de facilitar la adecuada implementación de estos instrumentos en los procesos contractuales. </w:t>
      </w:r>
      <w:proofErr w:type="gramStart"/>
      <w:r w:rsidRPr="000679B2">
        <w:rPr>
          <w:rFonts w:ascii="Verdana" w:eastAsia="Aptos" w:hAnsi="Verdana" w:cs="Times New Roman"/>
          <w:kern w:val="2"/>
          <w:lang w:val="es-ES_tradnl"/>
          <w14:ligatures w14:val="standardContextual"/>
        </w:rPr>
        <w:t>Además</w:t>
      </w:r>
      <w:proofErr w:type="gramEnd"/>
      <w:r w:rsidRPr="000679B2">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0679B2">
        <w:rPr>
          <w:rFonts w:ascii="Verdana" w:eastAsia="Aptos" w:hAnsi="Verdana" w:cs="Times New Roman"/>
          <w:kern w:val="2"/>
          <w:lang w:val="es-ES_tradnl"/>
          <w14:ligatures w14:val="standardContextual"/>
        </w:rPr>
        <w:br/>
      </w:r>
      <w:hyperlink r:id="rId15" w:tgtFrame="_new" w:history="1">
        <w:r w:rsidRPr="000679B2">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430DB4DC" w14:textId="77777777" w:rsidR="000679B2" w:rsidRPr="000679B2" w:rsidRDefault="000679B2" w:rsidP="000679B2">
      <w:pPr>
        <w:widowControl w:val="0"/>
        <w:autoSpaceDE w:val="0"/>
        <w:autoSpaceDN w:val="0"/>
        <w:spacing w:after="0" w:line="276" w:lineRule="auto"/>
        <w:jc w:val="both"/>
        <w:rPr>
          <w:rFonts w:ascii="Verdana" w:eastAsia="Calibri" w:hAnsi="Verdana" w:cs="Arial"/>
          <w:shd w:val="clear" w:color="auto" w:fill="FFFFFF"/>
          <w:lang w:val="es-ES_tradnl"/>
        </w:rPr>
      </w:pPr>
    </w:p>
    <w:p w14:paraId="7FE02C51" w14:textId="77777777" w:rsidR="000679B2" w:rsidRPr="000679B2" w:rsidRDefault="000679B2" w:rsidP="000679B2">
      <w:pPr>
        <w:spacing w:after="0" w:line="276" w:lineRule="auto"/>
        <w:jc w:val="both"/>
        <w:rPr>
          <w:rFonts w:ascii="Verdana" w:eastAsia="Calibri" w:hAnsi="Verdana" w:cs="Times New Roman"/>
          <w:lang w:val="es-ES_tradnl"/>
        </w:rPr>
      </w:pPr>
      <w:r w:rsidRPr="000679B2">
        <w:rPr>
          <w:rFonts w:ascii="Verdana" w:eastAsia="Calibri" w:hAnsi="Verdana" w:cs="Times New Roman"/>
          <w:lang w:val="es-ES_tradnl"/>
        </w:rPr>
        <w:t xml:space="preserve">Por último, los invitamos a seguirnos en las redes sociales, en las cuales se difunde información institucional: </w:t>
      </w:r>
    </w:p>
    <w:p w14:paraId="56111BCE" w14:textId="77777777" w:rsidR="000679B2" w:rsidRPr="000679B2" w:rsidRDefault="000679B2" w:rsidP="000679B2">
      <w:pPr>
        <w:spacing w:after="0" w:line="240" w:lineRule="auto"/>
        <w:jc w:val="both"/>
        <w:rPr>
          <w:rFonts w:ascii="Verdana" w:eastAsia="Calibri" w:hAnsi="Verdana" w:cs="Times New Roman"/>
          <w:kern w:val="2"/>
          <w:lang w:val="es-ES_tradnl" w:eastAsia="es-MX"/>
          <w14:ligatures w14:val="standardContextual"/>
        </w:rPr>
      </w:pPr>
    </w:p>
    <w:p w14:paraId="69649BC1" w14:textId="77777777" w:rsidR="000679B2" w:rsidRPr="000679B2" w:rsidRDefault="000679B2" w:rsidP="000679B2">
      <w:pPr>
        <w:spacing w:after="0" w:line="240" w:lineRule="auto"/>
        <w:jc w:val="both"/>
        <w:rPr>
          <w:rFonts w:ascii="Verdana" w:eastAsia="Calibri" w:hAnsi="Verdana" w:cs="Times New Roman"/>
          <w:kern w:val="2"/>
          <w:lang w:val="es-ES_tradnl" w:eastAsia="es-MX"/>
          <w14:ligatures w14:val="standardContextual"/>
        </w:rPr>
      </w:pPr>
      <w:r w:rsidRPr="000679B2">
        <w:rPr>
          <w:rFonts w:ascii="Verdana" w:eastAsia="Calibri" w:hAnsi="Verdana" w:cs="Times New Roman"/>
          <w:kern w:val="2"/>
          <w:lang w:val="es-ES_tradnl" w:eastAsia="es-MX"/>
          <w14:ligatures w14:val="standardContextual"/>
        </w:rPr>
        <w:t xml:space="preserve">X: </w:t>
      </w:r>
      <w:r w:rsidRPr="000679B2">
        <w:rPr>
          <w:rFonts w:ascii="Verdana" w:eastAsia="Calibri" w:hAnsi="Verdana" w:cs="Times New Roman"/>
          <w:kern w:val="2"/>
          <w:u w:val="single"/>
          <w:lang w:val="es-ES_tradnl" w:eastAsia="es-MX"/>
          <w14:ligatures w14:val="standardContextual"/>
        </w:rPr>
        <w:t>@colombiacompra</w:t>
      </w:r>
      <w:r w:rsidRPr="000679B2">
        <w:rPr>
          <w:rFonts w:ascii="Verdana" w:eastAsia="Calibri" w:hAnsi="Verdana" w:cs="Times New Roman"/>
          <w:kern w:val="2"/>
          <w:lang w:val="es-ES_tradnl" w:eastAsia="es-MX"/>
          <w14:ligatures w14:val="standardContextual"/>
        </w:rPr>
        <w:t xml:space="preserve"> </w:t>
      </w:r>
    </w:p>
    <w:p w14:paraId="53B826DC" w14:textId="77777777" w:rsidR="000679B2" w:rsidRPr="000679B2" w:rsidRDefault="000679B2" w:rsidP="000679B2">
      <w:pPr>
        <w:spacing w:after="0" w:line="240" w:lineRule="auto"/>
        <w:jc w:val="both"/>
        <w:rPr>
          <w:rFonts w:ascii="Verdana" w:eastAsia="Calibri" w:hAnsi="Verdana" w:cs="Times New Roman"/>
          <w:kern w:val="2"/>
          <w:lang w:val="es-ES" w:eastAsia="es-MX"/>
          <w14:ligatures w14:val="standardContextual"/>
        </w:rPr>
      </w:pPr>
      <w:r w:rsidRPr="000679B2">
        <w:rPr>
          <w:rFonts w:ascii="Verdana" w:eastAsia="Calibri" w:hAnsi="Verdana" w:cs="Times New Roman"/>
          <w:kern w:val="2"/>
          <w:lang w:val="es-ES" w:eastAsia="es-MX"/>
          <w14:ligatures w14:val="standardContextual"/>
        </w:rPr>
        <w:t xml:space="preserve">Facebook: </w:t>
      </w:r>
      <w:proofErr w:type="spellStart"/>
      <w:r w:rsidRPr="000679B2">
        <w:rPr>
          <w:rFonts w:ascii="Verdana" w:eastAsia="Calibri" w:hAnsi="Verdana" w:cs="Times New Roman"/>
          <w:kern w:val="2"/>
          <w:u w:val="single"/>
          <w:lang w:val="es-ES" w:eastAsia="es-MX"/>
          <w14:ligatures w14:val="standardContextual"/>
        </w:rPr>
        <w:t>ColombiaCompraEficiente</w:t>
      </w:r>
      <w:proofErr w:type="spellEnd"/>
    </w:p>
    <w:p w14:paraId="5AB7A767" w14:textId="77777777" w:rsidR="000679B2" w:rsidRPr="000679B2" w:rsidRDefault="000679B2" w:rsidP="000679B2">
      <w:pPr>
        <w:spacing w:after="0" w:line="240" w:lineRule="auto"/>
        <w:jc w:val="both"/>
        <w:rPr>
          <w:rFonts w:ascii="Verdana" w:eastAsia="Calibri" w:hAnsi="Verdana" w:cs="Times New Roman"/>
          <w:kern w:val="2"/>
          <w:lang w:val="es-ES_tradnl" w:eastAsia="es-MX"/>
          <w14:ligatures w14:val="standardContextual"/>
        </w:rPr>
      </w:pPr>
      <w:r w:rsidRPr="000679B2">
        <w:rPr>
          <w:rFonts w:ascii="Verdana" w:eastAsia="Calibri" w:hAnsi="Verdana" w:cs="Times New Roman"/>
          <w:kern w:val="2"/>
          <w:lang w:val="es-ES_tradnl" w:eastAsia="es-MX"/>
          <w14:ligatures w14:val="standardContextual"/>
        </w:rPr>
        <w:t xml:space="preserve">LinkedIn: </w:t>
      </w:r>
      <w:r w:rsidRPr="000679B2">
        <w:rPr>
          <w:rFonts w:ascii="Verdana" w:eastAsia="Calibri" w:hAnsi="Verdana" w:cs="Times New Roman"/>
          <w:kern w:val="2"/>
          <w:u w:val="single"/>
          <w:lang w:val="es-ES_tradnl" w:eastAsia="es-MX"/>
          <w14:ligatures w14:val="standardContextual"/>
        </w:rPr>
        <w:t>Agencia Nacional de Contratación Pública - Colombia Compra Eficiente</w:t>
      </w:r>
      <w:r w:rsidRPr="000679B2">
        <w:rPr>
          <w:rFonts w:ascii="Verdana" w:eastAsia="Calibri" w:hAnsi="Verdana" w:cs="Times New Roman"/>
          <w:kern w:val="2"/>
          <w:lang w:val="es-ES_tradnl" w:eastAsia="es-MX"/>
          <w14:ligatures w14:val="standardContextual"/>
        </w:rPr>
        <w:t xml:space="preserve"> Instagram: </w:t>
      </w:r>
      <w:r w:rsidRPr="000679B2">
        <w:rPr>
          <w:rFonts w:ascii="Verdana" w:eastAsia="Calibri" w:hAnsi="Verdana" w:cs="Times New Roman"/>
          <w:kern w:val="2"/>
          <w:u w:val="single"/>
          <w:lang w:val="es-ES_tradnl" w:eastAsia="es-MX"/>
          <w14:ligatures w14:val="standardContextual"/>
        </w:rPr>
        <w:t>@colombiacompraeficiente_cce</w:t>
      </w:r>
    </w:p>
    <w:p w14:paraId="529E0052" w14:textId="77777777" w:rsidR="000679B2" w:rsidRPr="000679B2" w:rsidRDefault="000679B2" w:rsidP="000679B2">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127F24D4" w14:textId="77777777" w:rsidR="000679B2" w:rsidRPr="000679B2" w:rsidRDefault="000679B2" w:rsidP="000679B2">
      <w:pPr>
        <w:widowControl w:val="0"/>
        <w:autoSpaceDE w:val="0"/>
        <w:autoSpaceDN w:val="0"/>
        <w:spacing w:after="0" w:line="276" w:lineRule="auto"/>
        <w:jc w:val="both"/>
        <w:rPr>
          <w:rFonts w:ascii="Verdana" w:eastAsia="Calibri" w:hAnsi="Verdana" w:cs="Arial"/>
          <w:kern w:val="2"/>
          <w:lang w:val="es-ES_tradnl"/>
          <w14:ligatures w14:val="standardContextual"/>
        </w:rPr>
      </w:pPr>
      <w:r w:rsidRPr="000679B2">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2B4A718" w14:textId="77777777" w:rsidR="000679B2" w:rsidRPr="000679B2" w:rsidRDefault="000679B2" w:rsidP="000679B2">
      <w:pPr>
        <w:widowControl w:val="0"/>
        <w:autoSpaceDE w:val="0"/>
        <w:autoSpaceDN w:val="0"/>
        <w:spacing w:after="0" w:line="276" w:lineRule="auto"/>
        <w:jc w:val="both"/>
        <w:rPr>
          <w:rFonts w:ascii="Verdana" w:eastAsia="Calibri" w:hAnsi="Verdana" w:cs="Arial"/>
          <w:lang w:val="es-ES_tradnl"/>
        </w:rPr>
      </w:pPr>
    </w:p>
    <w:p w14:paraId="577B0189" w14:textId="77777777" w:rsidR="000679B2" w:rsidRPr="000679B2" w:rsidRDefault="000679B2" w:rsidP="000679B2">
      <w:pPr>
        <w:spacing w:after="0" w:line="240" w:lineRule="auto"/>
        <w:rPr>
          <w:rFonts w:ascii="Verdana" w:eastAsia="Calibri" w:hAnsi="Verdana" w:cs="Arial"/>
          <w:lang w:val="es-ES_tradnl" w:eastAsia="es-CO"/>
        </w:rPr>
      </w:pPr>
      <w:r w:rsidRPr="000679B2">
        <w:rPr>
          <w:rFonts w:ascii="Verdana" w:eastAsia="Times New Roman" w:hAnsi="Verdana" w:cs="Arial"/>
          <w:lang w:val="es-ES_tradnl" w:eastAsia="es-CO"/>
        </w:rPr>
        <w:t>Atentamente,</w:t>
      </w:r>
      <w:r w:rsidRPr="000679B2">
        <w:rPr>
          <w:rFonts w:ascii="Verdana" w:eastAsia="Calibri" w:hAnsi="Verdana" w:cs="Arial"/>
          <w:lang w:val="es-ES_tradnl" w:eastAsia="es-CO"/>
        </w:rPr>
        <w:t xml:space="preserve"> </w:t>
      </w:r>
    </w:p>
    <w:p w14:paraId="24F6B8FE" w14:textId="3D2FF7DB" w:rsidR="000679B2" w:rsidRPr="000679B2" w:rsidRDefault="00E12D94" w:rsidP="000679B2">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74445C6E" wp14:editId="7D9AD9EC">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679B2" w:rsidRPr="000679B2" w14:paraId="790883C8" w14:textId="77777777" w:rsidTr="00F51763">
        <w:trPr>
          <w:trHeight w:val="315"/>
        </w:trPr>
        <w:tc>
          <w:tcPr>
            <w:tcW w:w="893" w:type="dxa"/>
            <w:vAlign w:val="center"/>
            <w:hideMark/>
          </w:tcPr>
          <w:p w14:paraId="2823A20C" w14:textId="77777777" w:rsidR="000679B2" w:rsidRPr="000679B2" w:rsidRDefault="000679B2" w:rsidP="000679B2">
            <w:pPr>
              <w:rPr>
                <w:rFonts w:ascii="Verdana" w:eastAsia="Calibri" w:hAnsi="Verdana" w:cs="Arial"/>
                <w:sz w:val="16"/>
                <w:szCs w:val="16"/>
                <w:lang w:val="es-ES_tradnl" w:eastAsia="es-ES"/>
              </w:rPr>
            </w:pPr>
            <w:r w:rsidRPr="000679B2">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7A0C5B8E" w14:textId="77777777" w:rsidR="000679B2" w:rsidRPr="000679B2" w:rsidRDefault="000679B2" w:rsidP="000679B2">
            <w:pPr>
              <w:rPr>
                <w:rFonts w:ascii="Verdana" w:eastAsia="Arial" w:hAnsi="Verdana" w:cs="Arial"/>
                <w:sz w:val="16"/>
                <w:szCs w:val="16"/>
                <w:lang w:val="es-ES"/>
              </w:rPr>
            </w:pPr>
            <w:r w:rsidRPr="000679B2">
              <w:rPr>
                <w:rFonts w:ascii="Verdana" w:eastAsia="Arial" w:hAnsi="Verdana" w:cs="Arial"/>
                <w:sz w:val="16"/>
                <w:szCs w:val="16"/>
                <w:lang w:val="es-ES"/>
              </w:rPr>
              <w:t>Kevin Arlid Herrera Santa</w:t>
            </w:r>
          </w:p>
          <w:p w14:paraId="47215570" w14:textId="77777777" w:rsidR="000679B2" w:rsidRPr="000679B2" w:rsidRDefault="000679B2" w:rsidP="000679B2">
            <w:pPr>
              <w:rPr>
                <w:rFonts w:ascii="Verdana" w:eastAsia="Arial" w:hAnsi="Verdana" w:cs="Arial"/>
                <w:sz w:val="16"/>
                <w:szCs w:val="16"/>
                <w:lang w:val="es-ES_tradnl"/>
              </w:rPr>
            </w:pPr>
            <w:r w:rsidRPr="000679B2">
              <w:rPr>
                <w:rFonts w:ascii="Verdana" w:eastAsia="Arial" w:hAnsi="Verdana" w:cs="Arial"/>
                <w:sz w:val="16"/>
                <w:szCs w:val="16"/>
                <w:lang w:val="es-ES_tradnl"/>
              </w:rPr>
              <w:t xml:space="preserve">Contratista de la Subdirección de Gestión Contractual </w:t>
            </w:r>
          </w:p>
          <w:p w14:paraId="64D79775" w14:textId="77777777" w:rsidR="000679B2" w:rsidRPr="000679B2" w:rsidRDefault="000679B2" w:rsidP="000679B2">
            <w:pPr>
              <w:rPr>
                <w:rFonts w:ascii="Verdana" w:eastAsia="Arial" w:hAnsi="Verdana" w:cs="Arial"/>
                <w:sz w:val="16"/>
                <w:szCs w:val="16"/>
                <w:lang w:val="es-ES_tradnl"/>
              </w:rPr>
            </w:pPr>
            <w:r w:rsidRPr="000679B2">
              <w:rPr>
                <w:rFonts w:ascii="Verdana" w:eastAsia="Arial" w:hAnsi="Verdana" w:cs="Arial"/>
                <w:sz w:val="16"/>
                <w:szCs w:val="16"/>
                <w:lang w:val="es-ES_tradnl"/>
              </w:rPr>
              <w:t xml:space="preserve">Alejandro Gamboa Cárdenas </w:t>
            </w:r>
          </w:p>
          <w:p w14:paraId="3DDA4151" w14:textId="77777777" w:rsidR="000679B2" w:rsidRPr="000679B2" w:rsidRDefault="000679B2" w:rsidP="000679B2">
            <w:pPr>
              <w:rPr>
                <w:rFonts w:ascii="Verdana" w:eastAsia="Arial" w:hAnsi="Verdana" w:cs="Arial"/>
                <w:sz w:val="16"/>
                <w:szCs w:val="16"/>
                <w:lang w:val="es-ES_tradnl"/>
              </w:rPr>
            </w:pPr>
            <w:r w:rsidRPr="000679B2">
              <w:rPr>
                <w:rFonts w:ascii="Verdana" w:eastAsia="Arial" w:hAnsi="Verdana" w:cs="Arial"/>
                <w:sz w:val="16"/>
                <w:szCs w:val="16"/>
                <w:lang w:val="es-ES_tradnl"/>
              </w:rPr>
              <w:t>Contratista de la Subdirección de Gestión Contractual</w:t>
            </w:r>
          </w:p>
        </w:tc>
      </w:tr>
      <w:tr w:rsidR="000679B2" w:rsidRPr="000679B2" w14:paraId="48FC0D4C" w14:textId="77777777" w:rsidTr="00F51763">
        <w:trPr>
          <w:trHeight w:val="330"/>
        </w:trPr>
        <w:tc>
          <w:tcPr>
            <w:tcW w:w="893" w:type="dxa"/>
            <w:vAlign w:val="center"/>
            <w:hideMark/>
          </w:tcPr>
          <w:p w14:paraId="56B49B2C" w14:textId="77777777" w:rsidR="000679B2" w:rsidRPr="000679B2" w:rsidRDefault="000679B2" w:rsidP="000679B2">
            <w:pPr>
              <w:rPr>
                <w:rFonts w:ascii="Verdana" w:eastAsia="Calibri" w:hAnsi="Verdana" w:cs="Arial"/>
                <w:sz w:val="16"/>
                <w:szCs w:val="16"/>
                <w:lang w:val="es-ES_tradnl" w:eastAsia="es-ES"/>
              </w:rPr>
            </w:pPr>
            <w:r w:rsidRPr="000679B2">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69B1C937" w14:textId="77777777" w:rsidR="000679B2" w:rsidRPr="000679B2" w:rsidRDefault="000679B2" w:rsidP="000679B2">
            <w:pPr>
              <w:textAlignment w:val="baseline"/>
              <w:rPr>
                <w:rFonts w:ascii="Verdana" w:eastAsia="Times New Roman" w:hAnsi="Verdana" w:cs="Segoe UI"/>
                <w:sz w:val="16"/>
                <w:szCs w:val="16"/>
                <w:lang w:val="es-ES" w:eastAsia="es-ES"/>
              </w:rPr>
            </w:pPr>
            <w:r w:rsidRPr="000679B2">
              <w:rPr>
                <w:rFonts w:ascii="Verdana" w:eastAsia="Times New Roman" w:hAnsi="Verdana" w:cs="Segoe UI"/>
                <w:sz w:val="16"/>
                <w:szCs w:val="16"/>
                <w:lang w:val="es-ES" w:eastAsia="es-ES"/>
              </w:rPr>
              <w:t xml:space="preserve">Adriana </w:t>
            </w:r>
            <w:proofErr w:type="spellStart"/>
            <w:r w:rsidRPr="000679B2">
              <w:rPr>
                <w:rFonts w:ascii="Verdana" w:eastAsia="Times New Roman" w:hAnsi="Verdana" w:cs="Segoe UI"/>
                <w:sz w:val="16"/>
                <w:szCs w:val="16"/>
                <w:lang w:val="es-ES" w:eastAsia="es-ES"/>
              </w:rPr>
              <w:t>Katerine</w:t>
            </w:r>
            <w:proofErr w:type="spellEnd"/>
            <w:r w:rsidRPr="000679B2">
              <w:rPr>
                <w:rFonts w:ascii="Verdana" w:eastAsia="Times New Roman" w:hAnsi="Verdana" w:cs="Segoe UI"/>
                <w:sz w:val="16"/>
                <w:szCs w:val="16"/>
                <w:lang w:val="es-ES" w:eastAsia="es-ES"/>
              </w:rPr>
              <w:t xml:space="preserve"> López Rodríguez</w:t>
            </w:r>
          </w:p>
          <w:p w14:paraId="648121D6" w14:textId="77777777" w:rsidR="000679B2" w:rsidRPr="000679B2" w:rsidRDefault="000679B2" w:rsidP="000679B2">
            <w:pPr>
              <w:textAlignment w:val="baseline"/>
              <w:rPr>
                <w:rFonts w:ascii="Verdana" w:eastAsia="Times New Roman" w:hAnsi="Verdana" w:cs="Segoe UI"/>
                <w:sz w:val="16"/>
                <w:szCs w:val="16"/>
                <w:lang w:val="es-ES_tradnl" w:eastAsia="es-ES_tradnl"/>
              </w:rPr>
            </w:pPr>
            <w:r w:rsidRPr="000679B2">
              <w:rPr>
                <w:rFonts w:ascii="Verdana" w:eastAsia="Times New Roman" w:hAnsi="Verdana" w:cs="Arial"/>
                <w:sz w:val="16"/>
                <w:szCs w:val="16"/>
                <w:lang w:val="es-ES_tradnl" w:eastAsia="es-ES_tradnl"/>
              </w:rPr>
              <w:t>Contratista de la Subdirección de Gestión Contractual </w:t>
            </w:r>
          </w:p>
        </w:tc>
      </w:tr>
      <w:tr w:rsidR="000679B2" w:rsidRPr="000679B2" w14:paraId="158D5E27" w14:textId="77777777" w:rsidTr="00F51763">
        <w:trPr>
          <w:trHeight w:val="300"/>
        </w:trPr>
        <w:tc>
          <w:tcPr>
            <w:tcW w:w="893" w:type="dxa"/>
            <w:vAlign w:val="center"/>
          </w:tcPr>
          <w:p w14:paraId="0896EE6F" w14:textId="77777777" w:rsidR="000679B2" w:rsidRPr="000679B2" w:rsidRDefault="000679B2" w:rsidP="000679B2">
            <w:pPr>
              <w:rPr>
                <w:rFonts w:ascii="Verdana" w:eastAsia="Calibri" w:hAnsi="Verdana" w:cs="Arial"/>
                <w:sz w:val="16"/>
                <w:szCs w:val="16"/>
                <w:lang w:val="es-ES_tradnl" w:eastAsia="es-ES"/>
              </w:rPr>
            </w:pPr>
            <w:r w:rsidRPr="000679B2">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2145D94A" w14:textId="77777777" w:rsidR="000679B2" w:rsidRPr="000679B2" w:rsidRDefault="000679B2" w:rsidP="000679B2">
            <w:pPr>
              <w:rPr>
                <w:rFonts w:ascii="Verdana" w:eastAsia="Calibri" w:hAnsi="Verdana" w:cs="Arial"/>
                <w:sz w:val="16"/>
                <w:szCs w:val="16"/>
                <w:lang w:val="es-ES" w:eastAsia="es-ES"/>
              </w:rPr>
            </w:pPr>
            <w:r w:rsidRPr="000679B2">
              <w:rPr>
                <w:rFonts w:ascii="Verdana" w:eastAsia="Calibri" w:hAnsi="Verdana" w:cs="Arial"/>
                <w:sz w:val="16"/>
                <w:szCs w:val="16"/>
                <w:lang w:val="es-ES" w:eastAsia="es-ES"/>
              </w:rPr>
              <w:t>Carolina Quintero Gacharná</w:t>
            </w:r>
          </w:p>
          <w:p w14:paraId="0FADB1DE" w14:textId="77777777" w:rsidR="000679B2" w:rsidRPr="000679B2" w:rsidRDefault="000679B2" w:rsidP="000679B2">
            <w:pPr>
              <w:rPr>
                <w:rFonts w:ascii="Verdana" w:eastAsia="Calibri" w:hAnsi="Verdana" w:cs="Arial"/>
                <w:sz w:val="16"/>
                <w:szCs w:val="16"/>
                <w:lang w:val="es-ES_tradnl" w:eastAsia="es-ES"/>
              </w:rPr>
            </w:pPr>
            <w:r w:rsidRPr="000679B2">
              <w:rPr>
                <w:rFonts w:ascii="Verdana" w:eastAsia="Calibri" w:hAnsi="Verdana" w:cs="Arial"/>
                <w:sz w:val="16"/>
                <w:szCs w:val="16"/>
                <w:lang w:val="es-ES_tradnl" w:eastAsia="es-ES"/>
              </w:rPr>
              <w:t>Subdirectora de Gestión Contractual ANCP – CCE</w:t>
            </w:r>
          </w:p>
        </w:tc>
      </w:tr>
    </w:tbl>
    <w:p w14:paraId="69BC4D14" w14:textId="78C8CA9B"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E40C11" w14:textId="77777777" w:rsidR="00B85F03" w:rsidRDefault="00B85F03" w:rsidP="004A1847">
      <w:pPr>
        <w:spacing w:after="0" w:line="240" w:lineRule="auto"/>
      </w:pPr>
      <w:r>
        <w:separator/>
      </w:r>
    </w:p>
  </w:endnote>
  <w:endnote w:type="continuationSeparator" w:id="0">
    <w:p w14:paraId="79FC9CC6" w14:textId="77777777" w:rsidR="00B85F03" w:rsidRDefault="00B85F0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0CEF9" w14:textId="77777777" w:rsidR="00B85F03" w:rsidRDefault="00B85F03" w:rsidP="004A1847">
      <w:pPr>
        <w:spacing w:after="0" w:line="240" w:lineRule="auto"/>
      </w:pPr>
      <w:r>
        <w:separator/>
      </w:r>
    </w:p>
  </w:footnote>
  <w:footnote w:type="continuationSeparator" w:id="0">
    <w:p w14:paraId="3236D5EE" w14:textId="77777777" w:rsidR="00B85F03" w:rsidRDefault="00B85F03" w:rsidP="004A1847">
      <w:pPr>
        <w:spacing w:after="0" w:line="240" w:lineRule="auto"/>
      </w:pPr>
      <w:r>
        <w:continuationSeparator/>
      </w:r>
    </w:p>
  </w:footnote>
  <w:footnote w:id="1">
    <w:p w14:paraId="69557AF0" w14:textId="77777777" w:rsidR="000679B2" w:rsidRPr="00C472FF" w:rsidRDefault="000679B2" w:rsidP="000679B2">
      <w:pPr>
        <w:pStyle w:val="Textonotapie"/>
        <w:ind w:firstLine="709"/>
        <w:jc w:val="both"/>
        <w:rPr>
          <w:rFonts w:ascii="Verdana" w:hAnsi="Verdana"/>
          <w:sz w:val="18"/>
          <w:szCs w:val="18"/>
        </w:rPr>
      </w:pPr>
      <w:r w:rsidRPr="00C472FF">
        <w:rPr>
          <w:rStyle w:val="Refdenotaalpie"/>
          <w:rFonts w:ascii="Verdana" w:hAnsi="Verdana"/>
          <w:sz w:val="18"/>
          <w:szCs w:val="18"/>
        </w:rPr>
        <w:footnoteRef/>
      </w:r>
      <w:r w:rsidRPr="00C472FF">
        <w:rPr>
          <w:rFonts w:ascii="Verdana" w:hAnsi="Verdana"/>
          <w:sz w:val="18"/>
          <w:szCs w:val="18"/>
        </w:rPr>
        <w:t xml:space="preserve"> </w:t>
      </w:r>
      <w:r>
        <w:rPr>
          <w:rFonts w:ascii="Verdana" w:hAnsi="Verdana"/>
          <w:sz w:val="18"/>
          <w:szCs w:val="18"/>
        </w:rPr>
        <w:t xml:space="preserve">Los Documentos Tipo expedidos por la Agencia Nacional de Contraración Pública – Colombia Compra Eficiente, pueden ser consultados a través del siguiente enlace: </w:t>
      </w:r>
      <w:hyperlink r:id="rId1" w:history="1">
        <w:r w:rsidRPr="00207769">
          <w:rPr>
            <w:rStyle w:val="Hipervnculo"/>
            <w:rFonts w:ascii="Verdana" w:hAnsi="Verdana"/>
            <w:sz w:val="18"/>
            <w:szCs w:val="18"/>
          </w:rPr>
          <w:t>https://www.colombiacompra.gov.co/normativa-y-relatoria/documentos-tipo</w:t>
        </w:r>
      </w:hyperlink>
      <w:r>
        <w:rPr>
          <w:rFonts w:ascii="Verdana" w:hAnsi="Verdana"/>
          <w:sz w:val="18"/>
          <w:szCs w:val="18"/>
        </w:rPr>
        <w:t xml:space="preserve"> </w:t>
      </w:r>
    </w:p>
  </w:footnote>
  <w:footnote w:id="2">
    <w:p w14:paraId="0F5A2846" w14:textId="77777777" w:rsidR="000679B2" w:rsidRPr="00C472FF" w:rsidRDefault="000679B2" w:rsidP="000679B2">
      <w:pPr>
        <w:pStyle w:val="Textonotapie"/>
        <w:ind w:firstLine="709"/>
        <w:jc w:val="both"/>
        <w:rPr>
          <w:rFonts w:ascii="Verdana" w:hAnsi="Verdana"/>
          <w:sz w:val="18"/>
          <w:szCs w:val="18"/>
        </w:rPr>
      </w:pPr>
      <w:r w:rsidRPr="00C472FF">
        <w:rPr>
          <w:rStyle w:val="Refdenotaalpie"/>
          <w:rFonts w:ascii="Verdana" w:hAnsi="Verdana"/>
          <w:sz w:val="18"/>
          <w:szCs w:val="18"/>
        </w:rPr>
        <w:footnoteRef/>
      </w:r>
      <w:r w:rsidRPr="00C472FF">
        <w:rPr>
          <w:rFonts w:ascii="Verdana" w:hAnsi="Verdana"/>
          <w:sz w:val="18"/>
          <w:szCs w:val="18"/>
        </w:rPr>
        <w:t xml:space="preserve"> </w:t>
      </w:r>
      <w:r w:rsidRPr="00E92A25">
        <w:rPr>
          <w:rFonts w:ascii="Verdana" w:hAnsi="Verdana"/>
          <w:i/>
          <w:iCs/>
          <w:sz w:val="18"/>
          <w:szCs w:val="18"/>
        </w:rPr>
        <w:t>Ibidem.</w:t>
      </w:r>
      <w:r>
        <w:rPr>
          <w:rFonts w:ascii="Verdana" w:hAnsi="Verdana"/>
          <w:sz w:val="18"/>
          <w:szCs w:val="18"/>
        </w:rPr>
        <w:t xml:space="preserve"> </w:t>
      </w:r>
    </w:p>
  </w:footnote>
  <w:footnote w:id="3">
    <w:p w14:paraId="10C7CC2A" w14:textId="77777777" w:rsidR="000679B2" w:rsidRPr="00C472FF" w:rsidRDefault="000679B2" w:rsidP="000679B2">
      <w:pPr>
        <w:pStyle w:val="Textonotapie"/>
        <w:ind w:firstLine="709"/>
        <w:jc w:val="both"/>
        <w:rPr>
          <w:rFonts w:ascii="Verdana" w:eastAsia="Times New Roman" w:hAnsi="Verdana" w:cs="Arial"/>
          <w:sz w:val="18"/>
          <w:szCs w:val="18"/>
          <w:lang w:val="es-CO" w:eastAsia="es-CO"/>
        </w:rPr>
      </w:pPr>
      <w:r w:rsidRPr="00C472FF">
        <w:rPr>
          <w:rStyle w:val="Refdenotaalpie"/>
          <w:rFonts w:ascii="Verdana" w:hAnsi="Verdana" w:cs="Arial"/>
          <w:sz w:val="18"/>
          <w:szCs w:val="18"/>
        </w:rPr>
        <w:footnoteRef/>
      </w:r>
      <w:r w:rsidRPr="00C472FF">
        <w:rPr>
          <w:rFonts w:ascii="Verdana" w:hAnsi="Verdana" w:cs="Arial"/>
          <w:sz w:val="18"/>
          <w:szCs w:val="18"/>
        </w:rPr>
        <w:t xml:space="preserve"> </w:t>
      </w:r>
      <w:r w:rsidRPr="00C472FF">
        <w:rPr>
          <w:rFonts w:ascii="Verdana" w:eastAsia="Times New Roman" w:hAnsi="Verdana" w:cs="Arial"/>
          <w:sz w:val="18"/>
          <w:szCs w:val="18"/>
          <w:lang w:val="es-CO" w:eastAsia="es-CO"/>
        </w:rPr>
        <w:t xml:space="preserve">Consejo de Estado. Sección Tercera. Sentencia del 27 de abril de 2011. </w:t>
      </w:r>
      <w:r w:rsidRPr="00C472FF">
        <w:rPr>
          <w:rFonts w:ascii="Verdana" w:eastAsia="Times New Roman" w:hAnsi="Verdana" w:cs="Arial"/>
          <w:sz w:val="18"/>
          <w:szCs w:val="18"/>
          <w:lang w:val="es-CO" w:eastAsia="es-CO"/>
        </w:rPr>
        <w:t>Exp. 18.293. C.P. Ruth Stella Correa Palacio.</w:t>
      </w:r>
    </w:p>
  </w:footnote>
  <w:footnote w:id="4">
    <w:p w14:paraId="5BF02CB7" w14:textId="77777777" w:rsidR="000679B2" w:rsidRPr="00C472FF" w:rsidRDefault="000679B2" w:rsidP="000679B2">
      <w:pPr>
        <w:pStyle w:val="Textonotapie"/>
        <w:ind w:firstLine="709"/>
        <w:jc w:val="both"/>
        <w:rPr>
          <w:rFonts w:ascii="Verdana" w:eastAsia="Times New Roman" w:hAnsi="Verdana" w:cs="Arial"/>
          <w:sz w:val="18"/>
          <w:szCs w:val="18"/>
          <w:lang w:val="es-CO" w:eastAsia="es-CO"/>
        </w:rPr>
      </w:pPr>
      <w:r w:rsidRPr="00C472FF">
        <w:rPr>
          <w:rStyle w:val="Refdenotaalpie"/>
          <w:rFonts w:ascii="Verdana" w:hAnsi="Verdana" w:cs="Arial"/>
          <w:sz w:val="18"/>
          <w:szCs w:val="18"/>
        </w:rPr>
        <w:footnoteRef/>
      </w:r>
      <w:r w:rsidRPr="00C472FF">
        <w:rPr>
          <w:rFonts w:ascii="Verdana" w:hAnsi="Verdana" w:cs="Arial"/>
          <w:sz w:val="18"/>
          <w:szCs w:val="18"/>
        </w:rPr>
        <w:t xml:space="preserve"> </w:t>
      </w:r>
      <w:r w:rsidRPr="00C472FF">
        <w:rPr>
          <w:rFonts w:ascii="Verdana" w:eastAsia="Times New Roman" w:hAnsi="Verdana" w:cs="Arial"/>
          <w:sz w:val="18"/>
          <w:szCs w:val="18"/>
          <w:lang w:val="es-CO" w:eastAsia="es-CO"/>
        </w:rPr>
        <w:t xml:space="preserve">Consejo de Estado. Sección Tercera. Sentencia del 21 de noviembre de 2013. </w:t>
      </w:r>
      <w:r w:rsidRPr="00C472FF">
        <w:rPr>
          <w:rFonts w:ascii="Verdana" w:eastAsia="Times New Roman" w:hAnsi="Verdana" w:cs="Arial"/>
          <w:sz w:val="18"/>
          <w:szCs w:val="18"/>
          <w:lang w:val="es-CO" w:eastAsia="es-CO"/>
        </w:rPr>
        <w:t>Exp. 25397. C.P. Carlos Alberto Zambrano Barrera.</w:t>
      </w:r>
    </w:p>
    <w:p w14:paraId="27F050EF" w14:textId="77777777" w:rsidR="000679B2" w:rsidRPr="00C472FF" w:rsidRDefault="000679B2" w:rsidP="000679B2">
      <w:pPr>
        <w:pStyle w:val="Textonotapie"/>
        <w:ind w:firstLine="709"/>
        <w:jc w:val="both"/>
        <w:rPr>
          <w:rFonts w:ascii="Verdana" w:eastAsia="Calibri" w:hAnsi="Verdana" w:cs="Arial"/>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80D6296"/>
    <w:multiLevelType w:val="multilevel"/>
    <w:tmpl w:val="E2B4D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3916168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2E0"/>
    <w:rsid w:val="00016F78"/>
    <w:rsid w:val="00046945"/>
    <w:rsid w:val="00061B2A"/>
    <w:rsid w:val="000679B2"/>
    <w:rsid w:val="00082362"/>
    <w:rsid w:val="000A0D68"/>
    <w:rsid w:val="000A683E"/>
    <w:rsid w:val="000B19B9"/>
    <w:rsid w:val="000D0334"/>
    <w:rsid w:val="000D5DA7"/>
    <w:rsid w:val="000F6486"/>
    <w:rsid w:val="00116940"/>
    <w:rsid w:val="00125105"/>
    <w:rsid w:val="00127233"/>
    <w:rsid w:val="00155A42"/>
    <w:rsid w:val="0015699B"/>
    <w:rsid w:val="001859E8"/>
    <w:rsid w:val="001A33BF"/>
    <w:rsid w:val="001E4177"/>
    <w:rsid w:val="001F0B24"/>
    <w:rsid w:val="001F7DC6"/>
    <w:rsid w:val="00223474"/>
    <w:rsid w:val="0022400B"/>
    <w:rsid w:val="002421BB"/>
    <w:rsid w:val="0025796E"/>
    <w:rsid w:val="002707A2"/>
    <w:rsid w:val="00271614"/>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1597E"/>
    <w:rsid w:val="0042722E"/>
    <w:rsid w:val="0044528D"/>
    <w:rsid w:val="0045489C"/>
    <w:rsid w:val="00466E39"/>
    <w:rsid w:val="004A1847"/>
    <w:rsid w:val="004A305D"/>
    <w:rsid w:val="004B42EF"/>
    <w:rsid w:val="004F21C4"/>
    <w:rsid w:val="004F685F"/>
    <w:rsid w:val="00526714"/>
    <w:rsid w:val="0053545C"/>
    <w:rsid w:val="005566E8"/>
    <w:rsid w:val="00574867"/>
    <w:rsid w:val="00591460"/>
    <w:rsid w:val="005A6252"/>
    <w:rsid w:val="005A65E0"/>
    <w:rsid w:val="005C3777"/>
    <w:rsid w:val="005C5CDC"/>
    <w:rsid w:val="005D476C"/>
    <w:rsid w:val="006200BF"/>
    <w:rsid w:val="006219F8"/>
    <w:rsid w:val="006302F7"/>
    <w:rsid w:val="00645089"/>
    <w:rsid w:val="00646B9F"/>
    <w:rsid w:val="00665D70"/>
    <w:rsid w:val="006900D9"/>
    <w:rsid w:val="006E5286"/>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332A5"/>
    <w:rsid w:val="00844AE9"/>
    <w:rsid w:val="00867F95"/>
    <w:rsid w:val="008843B6"/>
    <w:rsid w:val="00891928"/>
    <w:rsid w:val="008A446D"/>
    <w:rsid w:val="008A6DBF"/>
    <w:rsid w:val="008B25F1"/>
    <w:rsid w:val="008D180B"/>
    <w:rsid w:val="008E5ED5"/>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A478E"/>
    <w:rsid w:val="00AB0ADB"/>
    <w:rsid w:val="00B00C0E"/>
    <w:rsid w:val="00B01B1A"/>
    <w:rsid w:val="00B0381D"/>
    <w:rsid w:val="00B409A4"/>
    <w:rsid w:val="00B44A47"/>
    <w:rsid w:val="00B533A8"/>
    <w:rsid w:val="00B72CD3"/>
    <w:rsid w:val="00B72FFF"/>
    <w:rsid w:val="00B85F03"/>
    <w:rsid w:val="00BC3D36"/>
    <w:rsid w:val="00BD54A6"/>
    <w:rsid w:val="00BD7F72"/>
    <w:rsid w:val="00BF7425"/>
    <w:rsid w:val="00C04FB3"/>
    <w:rsid w:val="00C11D8B"/>
    <w:rsid w:val="00C15139"/>
    <w:rsid w:val="00C330EB"/>
    <w:rsid w:val="00C50D69"/>
    <w:rsid w:val="00C5365C"/>
    <w:rsid w:val="00C746F4"/>
    <w:rsid w:val="00C754BE"/>
    <w:rsid w:val="00C76B1C"/>
    <w:rsid w:val="00C925AC"/>
    <w:rsid w:val="00CB411B"/>
    <w:rsid w:val="00CB6357"/>
    <w:rsid w:val="00CC1B26"/>
    <w:rsid w:val="00D361FD"/>
    <w:rsid w:val="00D423A2"/>
    <w:rsid w:val="00D44E26"/>
    <w:rsid w:val="00D520D8"/>
    <w:rsid w:val="00D63AC2"/>
    <w:rsid w:val="00D7383B"/>
    <w:rsid w:val="00D7788A"/>
    <w:rsid w:val="00DA231B"/>
    <w:rsid w:val="00DC39FC"/>
    <w:rsid w:val="00DF5254"/>
    <w:rsid w:val="00E02524"/>
    <w:rsid w:val="00E12D94"/>
    <w:rsid w:val="00E16408"/>
    <w:rsid w:val="00E20894"/>
    <w:rsid w:val="00E245AB"/>
    <w:rsid w:val="00E2764C"/>
    <w:rsid w:val="00E27F2E"/>
    <w:rsid w:val="00E456BA"/>
    <w:rsid w:val="00E50AFE"/>
    <w:rsid w:val="00E65B04"/>
    <w:rsid w:val="00E70B19"/>
    <w:rsid w:val="00E75C92"/>
    <w:rsid w:val="00E771DC"/>
    <w:rsid w:val="00E8772A"/>
    <w:rsid w:val="00E90F6B"/>
    <w:rsid w:val="00E92C27"/>
    <w:rsid w:val="00EA0E3D"/>
    <w:rsid w:val="00EC38A7"/>
    <w:rsid w:val="00EE1AA8"/>
    <w:rsid w:val="00F05F72"/>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54F93E3"/>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679B2"/>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D587A88-AABF-4C0F-9A88-30CB927C5B94}"/>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13</Pages>
  <Words>4037</Words>
  <Characters>22205</Characters>
  <Application>Microsoft Office Word</Application>
  <DocSecurity>0</DocSecurity>
  <Lines>185</Lines>
  <Paragraphs>52</Paragraphs>
  <ScaleCrop>false</ScaleCrop>
  <Company/>
  <LinksUpToDate>false</LinksUpToDate>
  <CharactersWithSpaces>26190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5</cp:revision>
  <cp:lastPrinted>2023-01-10T21:18:00Z</cp:lastPrinted>
  <dcterms:created xsi:type="dcterms:W3CDTF">2026-04-20T23:26:00Z</dcterms:created>
  <dcterms:modified xsi:type="dcterms:W3CDTF">2026-04-21T01:50:00Z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