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9026E2" w14:textId="77777777" w:rsidR="002A0DD0" w:rsidRPr="00E02524" w:rsidRDefault="002A0DD0" w:rsidP="30821638">
      <w:pPr>
        <w:spacing w:after="0" w:line="240" w:lineRule="auto"/>
        <w:jc w:val="both"/>
        <w:rPr>
          <w:rFonts w:ascii="Verdana" w:eastAsia="Verdana" w:hAnsi="Verdana" w:cs="Verdana"/>
          <w:b/>
          <w:bCs/>
          <w:lang w:val="es-MX"/>
        </w:rPr>
      </w:pPr>
      <w:bookmarkStart w:id="0" w:name="_Hlk143780582"/>
    </w:p>
    <w:p w14:paraId="4B8436D5" w14:textId="77777777" w:rsidR="00DA2A79" w:rsidRPr="00DA2A79" w:rsidRDefault="00DA2A79" w:rsidP="00DA2A79">
      <w:pPr>
        <w:spacing w:after="0" w:line="276" w:lineRule="auto"/>
        <w:jc w:val="both"/>
        <w:rPr>
          <w:rFonts w:ascii="Verdana" w:eastAsia="Calibri" w:hAnsi="Verdana" w:cs="Arial"/>
          <w:b/>
          <w:bCs/>
          <w:lang w:val="es-ES_tradnl" w:eastAsia="es-MX"/>
        </w:rPr>
      </w:pPr>
      <w:r w:rsidRPr="00DA2A79">
        <w:rPr>
          <w:rFonts w:ascii="Verdana" w:eastAsia="Calibri" w:hAnsi="Verdana" w:cs="Arial"/>
          <w:b/>
          <w:bCs/>
          <w:lang w:val="es-ES_tradnl" w:eastAsia="es-MX"/>
        </w:rPr>
        <w:t xml:space="preserve">DOCUMENTOS TIPO – Fundamento normativo – Obligatoriedad </w:t>
      </w:r>
    </w:p>
    <w:p w14:paraId="2A385D9A" w14:textId="77777777" w:rsidR="00DA2A79" w:rsidRPr="00DA2A79" w:rsidRDefault="00DA2A79" w:rsidP="00DA2A79">
      <w:pPr>
        <w:spacing w:after="0" w:line="276" w:lineRule="auto"/>
        <w:jc w:val="both"/>
        <w:rPr>
          <w:rFonts w:ascii="Verdana" w:eastAsia="Calibri" w:hAnsi="Verdana" w:cs="Arial"/>
          <w:b/>
          <w:bCs/>
          <w:sz w:val="20"/>
          <w:szCs w:val="20"/>
          <w:lang w:val="es-ES_tradnl" w:eastAsia="es-MX"/>
        </w:rPr>
      </w:pPr>
    </w:p>
    <w:p w14:paraId="4F6B96B7" w14:textId="77777777" w:rsidR="00DA2A79" w:rsidRPr="00DA2A79" w:rsidRDefault="00DA2A79" w:rsidP="00DA2A79">
      <w:pPr>
        <w:tabs>
          <w:tab w:val="left" w:pos="709"/>
        </w:tabs>
        <w:spacing w:after="0" w:line="240" w:lineRule="auto"/>
        <w:jc w:val="both"/>
        <w:rPr>
          <w:rFonts w:ascii="Verdana" w:eastAsia="Calibri" w:hAnsi="Verdana" w:cs="Arial"/>
          <w:sz w:val="20"/>
          <w:szCs w:val="20"/>
          <w:lang w:val="es-ES" w:eastAsia="es-MX"/>
        </w:rPr>
      </w:pPr>
      <w:r w:rsidRPr="00DA2A79">
        <w:rPr>
          <w:rFonts w:ascii="Verdana" w:eastAsia="Calibri" w:hAnsi="Verdana" w:cs="Arial"/>
          <w:sz w:val="20"/>
          <w:szCs w:val="20"/>
          <w:lang w:val="es-ES" w:eastAsia="es-MX"/>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6D81C60A" w14:textId="77777777" w:rsidR="00DA2A79" w:rsidRPr="00DA2A79" w:rsidRDefault="00DA2A79" w:rsidP="00DA2A79">
      <w:pPr>
        <w:spacing w:after="0" w:line="276" w:lineRule="auto"/>
        <w:jc w:val="both"/>
        <w:rPr>
          <w:rFonts w:ascii="Verdana" w:eastAsia="Calibri" w:hAnsi="Verdana" w:cs="Arial"/>
          <w:b/>
          <w:bCs/>
          <w:lang w:val="es-ES_tradnl" w:eastAsia="es-MX"/>
        </w:rPr>
      </w:pPr>
    </w:p>
    <w:p w14:paraId="26976C7D" w14:textId="77777777" w:rsidR="00DA2A79" w:rsidRPr="00DA2A79" w:rsidRDefault="00DA2A79" w:rsidP="00DA2A79">
      <w:pPr>
        <w:widowControl w:val="0"/>
        <w:autoSpaceDE w:val="0"/>
        <w:autoSpaceDN w:val="0"/>
        <w:spacing w:after="0" w:line="276" w:lineRule="auto"/>
        <w:jc w:val="both"/>
        <w:rPr>
          <w:rFonts w:ascii="Verdana" w:eastAsia="Calibri" w:hAnsi="Verdana" w:cs="Times New Roman"/>
          <w:b/>
          <w:bCs/>
          <w:lang w:val="es-ES" w:eastAsia="es-MX"/>
        </w:rPr>
      </w:pPr>
      <w:r w:rsidRPr="00DA2A79">
        <w:rPr>
          <w:rFonts w:ascii="Verdana" w:eastAsia="Calibri" w:hAnsi="Verdana" w:cs="Arial"/>
          <w:b/>
          <w:bCs/>
          <w:lang w:val="es-ES_tradnl" w:eastAsia="es-MX"/>
        </w:rPr>
        <w:t>SECTOR SOCIAL</w:t>
      </w:r>
      <w:r w:rsidRPr="00DA2A79">
        <w:rPr>
          <w:rFonts w:ascii="Verdana" w:eastAsia="Calibri" w:hAnsi="Verdana" w:cs="Times New Roman"/>
          <w:lang w:val="es-ES" w:eastAsia="es-MX"/>
        </w:rPr>
        <w:t xml:space="preserve"> </w:t>
      </w:r>
      <w:r w:rsidRPr="00DA2A79">
        <w:rPr>
          <w:rFonts w:ascii="Verdana" w:eastAsia="Calibri" w:hAnsi="Verdana" w:cs="Times New Roman"/>
          <w:b/>
          <w:bCs/>
          <w:lang w:val="es-ES" w:eastAsia="es-MX"/>
        </w:rPr>
        <w:t>– Documentos tipo – Vigentes</w:t>
      </w:r>
    </w:p>
    <w:p w14:paraId="1A29BED2" w14:textId="77777777" w:rsidR="00DA2A79" w:rsidRPr="00DA2A79" w:rsidRDefault="00DA2A79" w:rsidP="00DA2A79">
      <w:pPr>
        <w:widowControl w:val="0"/>
        <w:autoSpaceDE w:val="0"/>
        <w:autoSpaceDN w:val="0"/>
        <w:spacing w:after="0" w:line="276" w:lineRule="auto"/>
        <w:jc w:val="both"/>
        <w:rPr>
          <w:rFonts w:ascii="Verdana" w:eastAsia="Calibri" w:hAnsi="Verdana" w:cs="Times New Roman"/>
          <w:b/>
          <w:bCs/>
          <w:lang w:val="es-ES" w:eastAsia="es-MX"/>
        </w:rPr>
      </w:pPr>
    </w:p>
    <w:p w14:paraId="4E8A35BC" w14:textId="77777777" w:rsidR="00DA2A79" w:rsidRPr="00DA2A79" w:rsidRDefault="00DA2A79" w:rsidP="00DA2A79">
      <w:pPr>
        <w:widowControl w:val="0"/>
        <w:autoSpaceDE w:val="0"/>
        <w:autoSpaceDN w:val="0"/>
        <w:spacing w:after="0" w:line="240" w:lineRule="auto"/>
        <w:jc w:val="both"/>
        <w:rPr>
          <w:rFonts w:ascii="Verdana" w:eastAsia="Calibri" w:hAnsi="Verdana" w:cs="Times New Roman"/>
          <w:b/>
          <w:bCs/>
          <w:sz w:val="20"/>
          <w:szCs w:val="20"/>
          <w:lang w:val="es-ES" w:eastAsia="es-MX"/>
        </w:rPr>
      </w:pPr>
      <w:r w:rsidRPr="00DA2A79">
        <w:rPr>
          <w:rFonts w:ascii="Verdana" w:eastAsia="Aptos" w:hAnsi="Verdana" w:cs="Times New Roman"/>
          <w:sz w:val="20"/>
          <w:szCs w:val="20"/>
          <w:lang w:eastAsia="es-MX"/>
        </w:rPr>
        <w:t xml:space="preserve">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de salud, cultura, recreación y deporte, institucional y vivienda, en los procesos de selección cuyo aviso de convocatoria se publique a partir del 16 de febrero de 2026. </w:t>
      </w:r>
    </w:p>
    <w:p w14:paraId="273C5706" w14:textId="77777777" w:rsidR="00DA2A79" w:rsidRPr="00DA2A79" w:rsidRDefault="00DA2A79" w:rsidP="00DA2A79">
      <w:pPr>
        <w:widowControl w:val="0"/>
        <w:autoSpaceDE w:val="0"/>
        <w:autoSpaceDN w:val="0"/>
        <w:spacing w:after="0" w:line="276" w:lineRule="auto"/>
        <w:jc w:val="both"/>
        <w:rPr>
          <w:rFonts w:ascii="Verdana" w:eastAsia="Calibri" w:hAnsi="Verdana" w:cs="Times New Roman"/>
          <w:lang w:val="es-ES" w:eastAsia="es-MX"/>
        </w:rPr>
      </w:pPr>
    </w:p>
    <w:p w14:paraId="50E33FF8" w14:textId="77777777" w:rsidR="00DA2A79" w:rsidRPr="00DA2A79" w:rsidRDefault="00DA2A79" w:rsidP="00DA2A79">
      <w:pPr>
        <w:spacing w:after="0" w:line="276" w:lineRule="auto"/>
        <w:jc w:val="both"/>
        <w:rPr>
          <w:rFonts w:ascii="Verdana" w:eastAsia="Calibri" w:hAnsi="Verdana" w:cs="Times New Roman"/>
          <w:sz w:val="20"/>
          <w:szCs w:val="20"/>
          <w:lang w:val="es-ES" w:eastAsia="es-MX"/>
        </w:rPr>
      </w:pPr>
      <w:r w:rsidRPr="00DA2A79">
        <w:rPr>
          <w:rFonts w:ascii="Verdana" w:eastAsia="Calibri" w:hAnsi="Verdana" w:cs="Times New Roman"/>
          <w:b/>
          <w:bCs/>
          <w:lang w:val="es-ES" w:eastAsia="es-MX"/>
        </w:rPr>
        <w:t xml:space="preserve">DOCUMENTOS TIPO – Aplicación – Matriz de Experiencia </w:t>
      </w:r>
    </w:p>
    <w:p w14:paraId="3919EF2D" w14:textId="77777777" w:rsidR="00DA2A79" w:rsidRPr="00DA2A79" w:rsidRDefault="00DA2A79" w:rsidP="00DA2A79">
      <w:pPr>
        <w:spacing w:after="0" w:line="240" w:lineRule="auto"/>
        <w:rPr>
          <w:rFonts w:ascii="Verdana" w:eastAsia="Geomanist Light" w:hAnsi="Verdana" w:cs="Arial"/>
          <w:lang w:val="es-MX" w:eastAsia="es-MX"/>
        </w:rPr>
      </w:pPr>
    </w:p>
    <w:p w14:paraId="32F96245" w14:textId="77777777" w:rsidR="00DA2A79" w:rsidRPr="00DA2A79" w:rsidRDefault="00DA2A79" w:rsidP="00DA2A79">
      <w:pPr>
        <w:widowControl w:val="0"/>
        <w:autoSpaceDE w:val="0"/>
        <w:autoSpaceDN w:val="0"/>
        <w:spacing w:after="0" w:line="240" w:lineRule="auto"/>
        <w:jc w:val="both"/>
        <w:rPr>
          <w:rFonts w:ascii="Verdana" w:eastAsia="Calibri" w:hAnsi="Verdana" w:cs="Times New Roman"/>
          <w:sz w:val="20"/>
          <w:szCs w:val="20"/>
          <w:lang w:val="es-ES" w:eastAsia="es-MX"/>
        </w:rPr>
      </w:pPr>
      <w:r w:rsidRPr="00DA2A79">
        <w:rPr>
          <w:rFonts w:ascii="Verdana" w:eastAsia="Calibri" w:hAnsi="Verdana" w:cs="Times New Roman"/>
          <w:sz w:val="20"/>
          <w:szCs w:val="20"/>
          <w:lang w:val="es-ES" w:eastAsia="es-MX"/>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243BD180" w14:textId="77777777" w:rsidR="00DA2A79" w:rsidRPr="00DA2A79" w:rsidRDefault="00DA2A79" w:rsidP="00DA2A79">
      <w:pPr>
        <w:widowControl w:val="0"/>
        <w:autoSpaceDE w:val="0"/>
        <w:autoSpaceDN w:val="0"/>
        <w:spacing w:after="0" w:line="240" w:lineRule="auto"/>
        <w:jc w:val="both"/>
        <w:rPr>
          <w:rFonts w:ascii="Verdana" w:eastAsia="Calibri" w:hAnsi="Verdana" w:cs="Times New Roman"/>
          <w:sz w:val="20"/>
          <w:szCs w:val="20"/>
          <w:lang w:val="es-ES" w:eastAsia="es-MX"/>
        </w:rPr>
      </w:pPr>
    </w:p>
    <w:p w14:paraId="25E0EC93" w14:textId="77777777" w:rsidR="00DA2A79" w:rsidRPr="00DA2A79" w:rsidRDefault="00DA2A79" w:rsidP="00DA2A79">
      <w:pPr>
        <w:widowControl w:val="0"/>
        <w:autoSpaceDE w:val="0"/>
        <w:autoSpaceDN w:val="0"/>
        <w:spacing w:after="0" w:line="240" w:lineRule="auto"/>
        <w:jc w:val="both"/>
        <w:rPr>
          <w:rFonts w:ascii="Verdana" w:eastAsia="Calibri" w:hAnsi="Verdana" w:cs="Times New Roman"/>
          <w:sz w:val="20"/>
          <w:szCs w:val="20"/>
          <w:lang w:val="es-ES" w:eastAsia="es-MX"/>
        </w:rPr>
      </w:pPr>
      <w:r w:rsidRPr="00DA2A79">
        <w:rPr>
          <w:rFonts w:ascii="Verdana" w:eastAsia="Calibri" w:hAnsi="Verdana" w:cs="Times New Roman"/>
          <w:sz w:val="20"/>
          <w:szCs w:val="20"/>
          <w:lang w:val="es-ES" w:eastAsia="es-MX"/>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40E08B69" w14:textId="77777777" w:rsidR="00DA2A79" w:rsidRPr="00DA2A79" w:rsidRDefault="00DA2A79" w:rsidP="00DA2A79">
      <w:pPr>
        <w:widowControl w:val="0"/>
        <w:autoSpaceDE w:val="0"/>
        <w:autoSpaceDN w:val="0"/>
        <w:spacing w:after="0" w:line="240" w:lineRule="auto"/>
        <w:jc w:val="both"/>
        <w:rPr>
          <w:rFonts w:ascii="Verdana" w:eastAsia="Calibri" w:hAnsi="Verdana" w:cs="Times New Roman"/>
          <w:sz w:val="20"/>
          <w:szCs w:val="20"/>
          <w:lang w:val="es-ES" w:eastAsia="es-MX"/>
        </w:rPr>
      </w:pPr>
    </w:p>
    <w:p w14:paraId="015103FB" w14:textId="77777777" w:rsidR="00DA2A79" w:rsidRPr="00DA2A79" w:rsidRDefault="00DA2A79" w:rsidP="00DA2A79">
      <w:pPr>
        <w:widowControl w:val="0"/>
        <w:autoSpaceDE w:val="0"/>
        <w:autoSpaceDN w:val="0"/>
        <w:spacing w:after="0" w:line="240" w:lineRule="auto"/>
        <w:jc w:val="both"/>
        <w:rPr>
          <w:rFonts w:ascii="Verdana" w:eastAsia="Calibri" w:hAnsi="Verdana" w:cs="Times New Roman"/>
          <w:b/>
          <w:bCs/>
          <w:lang w:val="es-ES" w:eastAsia="es-MX"/>
        </w:rPr>
      </w:pPr>
      <w:r w:rsidRPr="00DA2A79">
        <w:rPr>
          <w:rFonts w:ascii="Verdana" w:eastAsia="Calibri" w:hAnsi="Verdana" w:cs="Times New Roman"/>
          <w:b/>
          <w:bCs/>
          <w:lang w:val="es-ES" w:eastAsia="es-MX"/>
        </w:rPr>
        <w:t>NSR10 – Subgrupo de ocupación institucional – Documentos tipo – Sector social – Aplicación</w:t>
      </w:r>
    </w:p>
    <w:p w14:paraId="1C125694" w14:textId="77777777" w:rsidR="00DA2A79" w:rsidRPr="00DA2A79" w:rsidRDefault="00DA2A79" w:rsidP="00DA2A79">
      <w:pPr>
        <w:snapToGrid w:val="0"/>
        <w:spacing w:after="0" w:line="240" w:lineRule="auto"/>
        <w:ind w:right="709"/>
        <w:jc w:val="both"/>
        <w:rPr>
          <w:rFonts w:ascii="Verdana" w:eastAsia="Arial" w:hAnsi="Verdana" w:cs="Aptos"/>
          <w:i/>
          <w:iCs/>
          <w:sz w:val="20"/>
          <w:szCs w:val="20"/>
          <w:lang w:val="es-ES" w:eastAsia="es-ES"/>
        </w:rPr>
      </w:pPr>
    </w:p>
    <w:p w14:paraId="06902D8F" w14:textId="43CBEBF8" w:rsidR="00DA2A79" w:rsidRPr="00DA2A79" w:rsidRDefault="00DA2A79" w:rsidP="00DA2A79">
      <w:pPr>
        <w:spacing w:after="0" w:line="276" w:lineRule="auto"/>
        <w:jc w:val="both"/>
        <w:rPr>
          <w:rFonts w:ascii="Verdana" w:eastAsia="Calibri" w:hAnsi="Verdana" w:cs="Times New Roman"/>
          <w:kern w:val="2"/>
          <w:sz w:val="20"/>
          <w:szCs w:val="20"/>
          <w:lang w:val="es-ES"/>
          <w14:ligatures w14:val="standardContextual"/>
        </w:rPr>
      </w:pPr>
      <w:r w:rsidRPr="00DA2A79">
        <w:rPr>
          <w:rFonts w:ascii="Verdana" w:eastAsia="Aptos" w:hAnsi="Verdana" w:cs="Times New Roman"/>
          <w:color w:val="000000"/>
          <w:kern w:val="2"/>
          <w:sz w:val="20"/>
          <w:szCs w:val="20"/>
          <w:lang w:eastAsia="es-CO"/>
          <w14:ligatures w14:val="standardContextual"/>
        </w:rPr>
        <w:t xml:space="preserve">La nota general 1 de la </w:t>
      </w:r>
      <w:r w:rsidRPr="00DA2A79">
        <w:rPr>
          <w:rFonts w:ascii="Verdana" w:eastAsia="Arial" w:hAnsi="Verdana" w:cs="Aptos"/>
          <w:kern w:val="2"/>
          <w:sz w:val="20"/>
          <w:szCs w:val="20"/>
          <w:lang w:eastAsia="es-ES"/>
          <w14:ligatures w14:val="standardContextual"/>
        </w:rPr>
        <w:t>Matriz 1</w:t>
      </w:r>
      <w:r w:rsidRPr="00DA2A79">
        <w:rPr>
          <w:rFonts w:ascii="Verdana" w:eastAsia="Calibri" w:hAnsi="Verdana" w:cs="Times New Roman"/>
          <w:kern w:val="2"/>
          <w:sz w:val="20"/>
          <w:szCs w:val="20"/>
          <w:lang w:val="es-ES"/>
          <w14:ligatures w14:val="standardContextual"/>
        </w:rPr>
        <w:t>– Experiencia del Sec</w:t>
      </w:r>
      <w:r w:rsidR="00A72000">
        <w:rPr>
          <w:rFonts w:ascii="Verdana" w:eastAsia="Calibri" w:hAnsi="Verdana" w:cs="Times New Roman"/>
          <w:kern w:val="2"/>
          <w:sz w:val="20"/>
          <w:szCs w:val="20"/>
          <w:lang w:val="es-ES"/>
          <w14:ligatures w14:val="standardContextual"/>
        </w:rPr>
        <w:t xml:space="preserve">tor Institucional </w:t>
      </w:r>
      <w:r w:rsidRPr="00DA2A79">
        <w:rPr>
          <w:rFonts w:ascii="Verdana" w:eastAsia="Calibri" w:hAnsi="Verdana" w:cs="Times New Roman"/>
          <w:kern w:val="2"/>
          <w:sz w:val="20"/>
          <w:szCs w:val="20"/>
          <w:lang w:val="es-ES"/>
          <w14:ligatures w14:val="standardContextual"/>
        </w:rPr>
        <w:t xml:space="preserve">en las distintas modalidades de los Documentos Tipo adoptados por esta Agencia indica que “(l)as </w:t>
      </w:r>
      <w:r w:rsidRPr="00DA2A79">
        <w:rPr>
          <w:rFonts w:ascii="Verdana" w:eastAsia="Calibri" w:hAnsi="Verdana" w:cs="Times New Roman"/>
          <w:kern w:val="2"/>
          <w:sz w:val="20"/>
          <w:szCs w:val="20"/>
          <w:lang w:val="es-ES"/>
          <w14:ligatures w14:val="standardContextual"/>
        </w:rPr>
        <w:lastRenderedPageBreak/>
        <w:t>definiciones contenidas en esta Matriz deben enmarcarse en la normativa vigente en la materia, así como en la NSR 10 o aquellas que los modifiquen, adicionen o sustituyan, así como a las definiciones contenidas en el "Anexo - Glosario del Sector Social"”.</w:t>
      </w:r>
    </w:p>
    <w:p w14:paraId="643071FE" w14:textId="77777777" w:rsidR="00DA2A79" w:rsidRPr="00DA2A79" w:rsidRDefault="00DA2A79" w:rsidP="00DA2A79">
      <w:pPr>
        <w:spacing w:after="0" w:line="276" w:lineRule="auto"/>
        <w:jc w:val="both"/>
        <w:rPr>
          <w:rFonts w:ascii="Verdana" w:eastAsia="Calibri" w:hAnsi="Verdana" w:cs="Times New Roman"/>
          <w:kern w:val="2"/>
          <w:sz w:val="20"/>
          <w:szCs w:val="20"/>
          <w:lang w:val="es-ES"/>
          <w14:ligatures w14:val="standardContextual"/>
        </w:rPr>
      </w:pPr>
    </w:p>
    <w:p w14:paraId="319217D2" w14:textId="77777777" w:rsidR="00DA2A79" w:rsidRPr="00DA2A79" w:rsidRDefault="00DA2A79" w:rsidP="00DA2A79">
      <w:pPr>
        <w:spacing w:after="0" w:line="276" w:lineRule="auto"/>
        <w:jc w:val="both"/>
        <w:rPr>
          <w:rFonts w:ascii="Verdana" w:eastAsia="Calibri" w:hAnsi="Verdana" w:cs="Arial"/>
          <w:kern w:val="2"/>
          <w:sz w:val="20"/>
          <w:szCs w:val="20"/>
          <w:lang w:val="es-ES_tradnl"/>
          <w14:ligatures w14:val="standardContextual"/>
        </w:rPr>
      </w:pPr>
      <w:r w:rsidRPr="00DA2A79">
        <w:rPr>
          <w:rFonts w:ascii="Verdana" w:eastAsia="Calibri" w:hAnsi="Verdana" w:cs="Times New Roman"/>
          <w:kern w:val="2"/>
          <w:sz w:val="20"/>
          <w:szCs w:val="20"/>
          <w14:ligatures w14:val="standardContextual"/>
        </w:rPr>
        <w:t xml:space="preserve">La nota general 1 contenida en la Matriz 1 – Experiencia de los Documentos Tipo indicados, es congruente con </w:t>
      </w:r>
      <w:r w:rsidRPr="00DA2A79">
        <w:rPr>
          <w:rFonts w:ascii="Verdana" w:eastAsia="Calibri" w:hAnsi="Verdana" w:cs="Arial"/>
          <w:kern w:val="2"/>
          <w:sz w:val="20"/>
          <w:szCs w:val="20"/>
          <w:lang w:val="es-ES_tradnl"/>
          <w14:ligatures w14:val="standardContextual"/>
        </w:rPr>
        <w:t>el numeral 1.10 del documento base que dispone que “</w:t>
      </w:r>
      <w:r w:rsidRPr="00DA2A79">
        <w:rPr>
          <w:rFonts w:ascii="Verdana" w:eastAsia="Calibri" w:hAnsi="Verdana" w:cs="Arial"/>
          <w:kern w:val="2"/>
          <w:sz w:val="20"/>
          <w:szCs w:val="20"/>
          <w:lang w:val="es-MX"/>
          <w14:ligatures w14:val="standardContextual"/>
        </w:rPr>
        <w:t>[p]ara los fines de este Pliego de Condiciones, a menos que expresamente se estipule de otra manera, los términos deben entenderse de acuerdo con la definición contenida en el artículo 2.2.1.1.1.3.1 del Decreto 1082 de 2015, el glosario aplicable a la obra pública de infraestructura social y demás normas, decretos reglamentarios y legislación aplicable en la materia</w:t>
      </w:r>
      <w:r w:rsidRPr="00DA2A79">
        <w:rPr>
          <w:rFonts w:ascii="Verdana" w:eastAsia="Calibri" w:hAnsi="Verdana" w:cs="Arial"/>
          <w:kern w:val="2"/>
          <w:sz w:val="20"/>
          <w:szCs w:val="20"/>
          <w:lang w:val="es-ES_tradnl"/>
          <w14:ligatures w14:val="standardContextual"/>
        </w:rPr>
        <w:t>”.</w:t>
      </w:r>
    </w:p>
    <w:p w14:paraId="4CA89CCB" w14:textId="77777777" w:rsidR="00DA2A79" w:rsidRPr="00DA2A79" w:rsidRDefault="00DA2A79" w:rsidP="00DA2A79">
      <w:pPr>
        <w:spacing w:after="0" w:line="276" w:lineRule="auto"/>
        <w:jc w:val="both"/>
        <w:rPr>
          <w:rFonts w:ascii="Verdana" w:eastAsia="Calibri" w:hAnsi="Verdana" w:cs="Arial"/>
          <w:kern w:val="2"/>
          <w:sz w:val="20"/>
          <w:szCs w:val="20"/>
          <w:lang w:val="es-ES_tradnl"/>
          <w14:ligatures w14:val="standardContextual"/>
        </w:rPr>
      </w:pPr>
    </w:p>
    <w:p w14:paraId="7B93F8DA" w14:textId="77777777" w:rsidR="00DA2A79" w:rsidRPr="00DA2A79" w:rsidRDefault="00DA2A79" w:rsidP="00DA2A79">
      <w:pPr>
        <w:spacing w:after="0" w:line="276" w:lineRule="auto"/>
        <w:jc w:val="both"/>
        <w:rPr>
          <w:rFonts w:ascii="Verdana" w:eastAsia="Calibri" w:hAnsi="Verdana" w:cs="Arial"/>
          <w:color w:val="0D0D0D"/>
          <w:sz w:val="20"/>
          <w:szCs w:val="20"/>
          <w:lang w:eastAsia="es-MX"/>
        </w:rPr>
      </w:pPr>
      <w:r w:rsidRPr="00DA2A79">
        <w:rPr>
          <w:rFonts w:ascii="Verdana" w:eastAsia="Calibri" w:hAnsi="Verdana" w:cs="Arial"/>
          <w:kern w:val="2"/>
          <w:sz w:val="20"/>
          <w:szCs w:val="20"/>
          <w:lang w:val="es-ES_tradnl"/>
          <w14:ligatures w14:val="standardContextual"/>
        </w:rPr>
        <w:t xml:space="preserve">De esta forma, considerando que las actividades señaladas recaen sobre </w:t>
      </w:r>
      <w:r w:rsidRPr="00DA2A79">
        <w:rPr>
          <w:rFonts w:ascii="Verdana" w:eastAsia="Aptos" w:hAnsi="Verdana" w:cs="Calibri"/>
          <w:kern w:val="2"/>
          <w:sz w:val="20"/>
          <w:szCs w:val="20"/>
          <w14:ligatures w14:val="standardContextual"/>
        </w:rPr>
        <w:t xml:space="preserve">obras en proyectos de infraestructura de servicio público, para determinar qué abarca este tipo de infraestructura, debe indicarse que de conformidad con la norma </w:t>
      </w:r>
      <w:r w:rsidRPr="00DA2A79">
        <w:rPr>
          <w:rFonts w:ascii="Verdana" w:eastAsia="Calibri" w:hAnsi="Verdana" w:cs="Arial"/>
          <w:color w:val="0D0D0D"/>
          <w:kern w:val="2"/>
          <w:sz w:val="20"/>
          <w:szCs w:val="20"/>
          <w14:ligatures w14:val="standardContextual"/>
        </w:rPr>
        <w:t xml:space="preserve">NSR-10 </w:t>
      </w:r>
      <w:r w:rsidRPr="00DA2A79">
        <w:rPr>
          <w:rFonts w:ascii="Verdana" w:eastAsia="Calibri" w:hAnsi="Verdana" w:cs="Arial"/>
          <w:color w:val="0D0D0D"/>
          <w:sz w:val="20"/>
          <w:szCs w:val="20"/>
          <w:lang w:eastAsia="es-MX"/>
        </w:rPr>
        <w:t>en el Subgrupo de Ocupación Institucional de Servicio Público (I-5) “se clasifican las edificaciones o espacios destinados a funciones administrativas y prestación de servicios públicos necesarios para el buen funcionamiento de las ciudades”. Entre las edificaciones o espacios que pertenecen a este Subgrupo se encuentran las siguientes: “Centros de comunicación o administrativos o administrativos de servicios municipales, distritales o gubernamentales, juzgados y otros similares”.</w:t>
      </w:r>
    </w:p>
    <w:p w14:paraId="76BEAC9E" w14:textId="77777777" w:rsidR="00DA2A79" w:rsidRPr="00DA2A79" w:rsidRDefault="00DA2A79" w:rsidP="00DA2A79">
      <w:pPr>
        <w:spacing w:after="0" w:line="276" w:lineRule="auto"/>
        <w:jc w:val="both"/>
        <w:rPr>
          <w:rFonts w:ascii="Verdana" w:eastAsia="Calibri" w:hAnsi="Verdana" w:cs="Arial"/>
          <w:color w:val="0D0D0D"/>
          <w:lang w:eastAsia="es-MX"/>
        </w:rPr>
      </w:pPr>
    </w:p>
    <w:p w14:paraId="0BF1191F" w14:textId="77777777" w:rsidR="00DA2A79" w:rsidRPr="00DA2A79" w:rsidRDefault="00DA2A79" w:rsidP="00DA2A79">
      <w:pPr>
        <w:spacing w:after="0" w:line="240" w:lineRule="auto"/>
        <w:jc w:val="both"/>
        <w:rPr>
          <w:rFonts w:ascii="Verdana" w:eastAsia="Calibri" w:hAnsi="Verdana" w:cs="Times New Roman"/>
          <w:b/>
          <w:bCs/>
          <w:lang w:val="es-ES" w:eastAsia="es-MX"/>
        </w:rPr>
      </w:pPr>
      <w:r w:rsidRPr="00DA2A79">
        <w:rPr>
          <w:rFonts w:ascii="Verdana" w:eastAsia="Calibri" w:hAnsi="Verdana" w:cs="Times New Roman"/>
          <w:b/>
          <w:bCs/>
          <w:lang w:val="es-ES" w:eastAsia="es-MX"/>
        </w:rPr>
        <w:t xml:space="preserve">TERMINALES DE TRANSPORTE TERRESTRE – Documentos tipo – Complementarios – Sector Institucional – Aplicación </w:t>
      </w:r>
    </w:p>
    <w:p w14:paraId="3B5D6725" w14:textId="77777777" w:rsidR="00DA2A79" w:rsidRPr="00DA2A79" w:rsidRDefault="00DA2A79" w:rsidP="00DA2A79">
      <w:pPr>
        <w:spacing w:after="0" w:line="278" w:lineRule="auto"/>
        <w:jc w:val="both"/>
        <w:rPr>
          <w:rFonts w:ascii="Verdana" w:eastAsia="Calibri" w:hAnsi="Verdana" w:cs="Arial"/>
          <w:color w:val="0D0D0D"/>
          <w:lang w:eastAsia="es-MX"/>
        </w:rPr>
      </w:pPr>
    </w:p>
    <w:p w14:paraId="094AC8B7" w14:textId="77777777" w:rsidR="00DA2A79" w:rsidRPr="00DA2A79" w:rsidRDefault="00DA2A79" w:rsidP="00DA2A79">
      <w:pPr>
        <w:spacing w:after="0" w:line="240" w:lineRule="auto"/>
        <w:jc w:val="both"/>
        <w:rPr>
          <w:rFonts w:ascii="Verdana" w:eastAsia="Calibri" w:hAnsi="Verdana" w:cs="Arial"/>
          <w:sz w:val="20"/>
          <w:szCs w:val="20"/>
          <w:lang w:val="es-ES" w:eastAsia="es-MX"/>
        </w:rPr>
      </w:pPr>
      <w:r w:rsidRPr="00DA2A79">
        <w:rPr>
          <w:rFonts w:ascii="Verdana" w:eastAsia="Calibri" w:hAnsi="Verdana" w:cs="Arial"/>
          <w:sz w:val="20"/>
          <w:szCs w:val="20"/>
          <w:lang w:val="es-ES" w:eastAsia="es-MX"/>
        </w:rPr>
        <w:t>Sobre la definición en comento, en Departamento Administrativo de la Función Pública, señaló que “(…) los terminales de transporte terrestre automotor son considerados como el conjunto de instalaciones que funcionan como una unidad de servicios permanentes, junto a los equipos, órganos de administración, servicios a los usuarios, a las empresas de transporte y a su parque automotor, donde se concentran las empresas autorizadas o habilitadas que cubren rutas que tienen como origen, destino o tránsito el respectivo municipio o localidad”.</w:t>
      </w:r>
    </w:p>
    <w:p w14:paraId="1502D8E5" w14:textId="77777777" w:rsidR="00DA2A79" w:rsidRPr="00DA2A79" w:rsidRDefault="00DA2A79" w:rsidP="00DA2A79">
      <w:pPr>
        <w:spacing w:after="0" w:line="240" w:lineRule="auto"/>
        <w:jc w:val="both"/>
        <w:rPr>
          <w:rFonts w:ascii="Verdana" w:eastAsia="Calibri" w:hAnsi="Verdana" w:cs="Arial"/>
          <w:sz w:val="20"/>
          <w:szCs w:val="20"/>
          <w:lang w:val="es-ES" w:eastAsia="es-MX"/>
        </w:rPr>
      </w:pPr>
    </w:p>
    <w:p w14:paraId="29477673" w14:textId="77777777" w:rsidR="00DA2A79" w:rsidRPr="00DA2A79" w:rsidRDefault="00DA2A79" w:rsidP="00DA2A79">
      <w:pPr>
        <w:spacing w:after="0" w:line="240" w:lineRule="auto"/>
        <w:jc w:val="both"/>
        <w:rPr>
          <w:rFonts w:ascii="Verdana" w:eastAsia="Calibri" w:hAnsi="Verdana" w:cs="Arial"/>
          <w:sz w:val="20"/>
          <w:szCs w:val="20"/>
          <w:lang w:val="es-ES" w:eastAsia="es-MX"/>
        </w:rPr>
      </w:pPr>
      <w:r w:rsidRPr="00DA2A79">
        <w:rPr>
          <w:rFonts w:ascii="Verdana" w:eastAsia="Calibri" w:hAnsi="Verdana" w:cs="Arial"/>
          <w:sz w:val="20"/>
          <w:szCs w:val="20"/>
          <w:lang w:val="es-ES" w:eastAsia="es-MX"/>
        </w:rPr>
        <w:t xml:space="preserve">Por su parte, el artículo 4 “prestación de este servicio público” del Decreto </w:t>
      </w:r>
      <w:hyperlink r:id="rId10" w:anchor="0" w:history="1">
        <w:r w:rsidRPr="00DA2A79">
          <w:rPr>
            <w:rFonts w:ascii="Verdana" w:eastAsia="Calibri" w:hAnsi="Verdana" w:cs="Arial"/>
            <w:sz w:val="20"/>
            <w:szCs w:val="20"/>
            <w:lang w:val="es-ES" w:eastAsia="es-MX"/>
          </w:rPr>
          <w:t>2762</w:t>
        </w:r>
      </w:hyperlink>
      <w:r w:rsidRPr="00DA2A79">
        <w:rPr>
          <w:rFonts w:ascii="Verdana" w:eastAsia="Calibri" w:hAnsi="Verdana" w:cs="Arial"/>
          <w:sz w:val="20"/>
          <w:szCs w:val="20"/>
          <w:lang w:val="es-ES" w:eastAsia="es-MX"/>
        </w:rPr>
        <w:t> de 2001, señala que “(…) El servicio público a que se refiere este decreto será prestado por personas jurídicas que cumplan con los requisitos establecidos en el mismo y demás normas que lo complementen o adicionen”. Por lo anterior, “(…) las actividades que desarrollan en los terminales de transporte terrestre automotor se consideran como servicio público, entendiendo estas actividades como aquellas que se refieren a la operación en general a la actividad transportadora”.</w:t>
      </w:r>
    </w:p>
    <w:p w14:paraId="3597E887" w14:textId="77777777" w:rsidR="00DA2A79" w:rsidRPr="00DA2A79" w:rsidRDefault="00DA2A79" w:rsidP="00DA2A79">
      <w:pPr>
        <w:spacing w:after="0" w:line="240" w:lineRule="auto"/>
        <w:jc w:val="both"/>
        <w:rPr>
          <w:rFonts w:ascii="Verdana" w:eastAsia="Calibri" w:hAnsi="Verdana" w:cs="Arial"/>
          <w:sz w:val="20"/>
          <w:szCs w:val="20"/>
          <w:lang w:eastAsia="es-MX"/>
        </w:rPr>
      </w:pPr>
    </w:p>
    <w:p w14:paraId="1FC05936" w14:textId="77777777" w:rsidR="00DA2A79" w:rsidRPr="00DA2A79" w:rsidRDefault="00DA2A79" w:rsidP="00DA2A79">
      <w:pPr>
        <w:spacing w:after="0" w:line="240" w:lineRule="auto"/>
        <w:jc w:val="both"/>
        <w:rPr>
          <w:rFonts w:ascii="Verdana" w:eastAsia="Calibri" w:hAnsi="Verdana" w:cs="Arial"/>
          <w:sz w:val="20"/>
          <w:szCs w:val="20"/>
          <w:lang w:eastAsia="es-MX"/>
        </w:rPr>
      </w:pPr>
      <w:r w:rsidRPr="00DA2A79">
        <w:rPr>
          <w:rFonts w:ascii="Verdana" w:eastAsia="Calibri" w:hAnsi="Verdana" w:cs="Arial"/>
          <w:sz w:val="20"/>
          <w:szCs w:val="20"/>
          <w:lang w:eastAsia="es-MX"/>
        </w:rPr>
        <w:lastRenderedPageBreak/>
        <w:t>De acuerdo con lo anterior, y considerando que el tipo de obra 2, “Proyectos de infraestructura institucional de servicios públicos”, recae sobre el Subgrupo de Ocupación Institucional —con el alcance señalado previamente—, y que la actividad transportadora de un terminal de transporte se considera una actividad de servicio público, es viable concluir que los terminales de transporte prestan un servicio público. Por lo tanto, este tipo de edificaciones debe clasificarse dentro del Subgrupo de Ocupación Institucional de Servicio Público.</w:t>
      </w:r>
    </w:p>
    <w:p w14:paraId="312B421D" w14:textId="77777777" w:rsidR="00DA2A79" w:rsidRPr="00DA2A79" w:rsidRDefault="00DA2A79" w:rsidP="00DA2A79">
      <w:pPr>
        <w:widowControl w:val="0"/>
        <w:autoSpaceDE w:val="0"/>
        <w:autoSpaceDN w:val="0"/>
        <w:spacing w:after="0" w:line="240" w:lineRule="auto"/>
        <w:jc w:val="both"/>
        <w:rPr>
          <w:rFonts w:ascii="Verdana" w:eastAsia="Calibri" w:hAnsi="Verdana" w:cs="Arial"/>
          <w:lang w:val="es-ES" w:eastAsia="es-MX"/>
        </w:rPr>
      </w:pPr>
    </w:p>
    <w:p w14:paraId="63940FAD" w14:textId="77777777" w:rsidR="00DA2A79" w:rsidRPr="00DA2A79" w:rsidRDefault="00DA2A79" w:rsidP="00DA2A79">
      <w:pPr>
        <w:widowControl w:val="0"/>
        <w:autoSpaceDE w:val="0"/>
        <w:autoSpaceDN w:val="0"/>
        <w:spacing w:after="0" w:line="240" w:lineRule="auto"/>
        <w:jc w:val="both"/>
        <w:rPr>
          <w:rFonts w:ascii="Verdana" w:eastAsia="Calibri" w:hAnsi="Verdana" w:cs="Arial"/>
          <w:lang w:val="es-ES" w:eastAsia="es-MX"/>
        </w:rPr>
      </w:pPr>
    </w:p>
    <w:p w14:paraId="422A4214" w14:textId="77777777" w:rsidR="00DA2A79" w:rsidRPr="00DA2A79" w:rsidRDefault="00DA2A79" w:rsidP="00DA2A79">
      <w:pPr>
        <w:widowControl w:val="0"/>
        <w:autoSpaceDE w:val="0"/>
        <w:autoSpaceDN w:val="0"/>
        <w:spacing w:after="0" w:line="240" w:lineRule="auto"/>
        <w:jc w:val="both"/>
        <w:rPr>
          <w:rFonts w:ascii="Verdana" w:eastAsia="Calibri" w:hAnsi="Verdana" w:cs="Arial"/>
          <w:lang w:val="es-ES" w:eastAsia="es-MX"/>
        </w:rPr>
      </w:pPr>
    </w:p>
    <w:p w14:paraId="6A35D81F" w14:textId="77777777" w:rsidR="00DA2A79" w:rsidRPr="00DA2A79" w:rsidRDefault="00DA2A79" w:rsidP="00DA2A79">
      <w:pPr>
        <w:widowControl w:val="0"/>
        <w:autoSpaceDE w:val="0"/>
        <w:autoSpaceDN w:val="0"/>
        <w:spacing w:after="0" w:line="240" w:lineRule="auto"/>
        <w:jc w:val="both"/>
        <w:rPr>
          <w:rFonts w:ascii="Verdana" w:eastAsia="Calibri" w:hAnsi="Verdana" w:cs="Arial"/>
          <w:lang w:val="es-ES" w:eastAsia="es-MX"/>
        </w:rPr>
      </w:pPr>
    </w:p>
    <w:p w14:paraId="2EB11BD1" w14:textId="77777777" w:rsidR="00DA2A79" w:rsidRPr="00DA2A79" w:rsidRDefault="00DA2A79" w:rsidP="00DA2A79">
      <w:pPr>
        <w:widowControl w:val="0"/>
        <w:autoSpaceDE w:val="0"/>
        <w:autoSpaceDN w:val="0"/>
        <w:spacing w:after="0" w:line="240" w:lineRule="auto"/>
        <w:jc w:val="both"/>
        <w:rPr>
          <w:rFonts w:ascii="Verdana" w:eastAsia="Calibri" w:hAnsi="Verdana" w:cs="Arial"/>
          <w:lang w:val="es-ES" w:eastAsia="es-MX"/>
        </w:rPr>
      </w:pPr>
    </w:p>
    <w:p w14:paraId="5B84F2BF" w14:textId="77777777" w:rsidR="00DA2A79" w:rsidRPr="00DA2A79" w:rsidRDefault="00DA2A79" w:rsidP="00DA2A79">
      <w:pPr>
        <w:widowControl w:val="0"/>
        <w:autoSpaceDE w:val="0"/>
        <w:autoSpaceDN w:val="0"/>
        <w:spacing w:after="0" w:line="240" w:lineRule="auto"/>
        <w:jc w:val="both"/>
        <w:rPr>
          <w:rFonts w:ascii="Verdana" w:eastAsia="Calibri" w:hAnsi="Verdana" w:cs="Arial"/>
          <w:lang w:val="es-ES" w:eastAsia="es-MX"/>
        </w:rPr>
      </w:pPr>
    </w:p>
    <w:p w14:paraId="166170B7" w14:textId="77777777" w:rsidR="00DA2A79" w:rsidRPr="00DA2A79" w:rsidRDefault="00DA2A79" w:rsidP="00DA2A79">
      <w:pPr>
        <w:widowControl w:val="0"/>
        <w:autoSpaceDE w:val="0"/>
        <w:autoSpaceDN w:val="0"/>
        <w:spacing w:after="0" w:line="240" w:lineRule="auto"/>
        <w:jc w:val="both"/>
        <w:rPr>
          <w:rFonts w:ascii="Verdana" w:eastAsia="Calibri" w:hAnsi="Verdana" w:cs="Arial"/>
          <w:lang w:val="es-ES" w:eastAsia="es-MX"/>
        </w:rPr>
      </w:pPr>
    </w:p>
    <w:p w14:paraId="332DE277" w14:textId="77777777" w:rsidR="00DA2A79" w:rsidRPr="00DA2A79" w:rsidRDefault="00DA2A79" w:rsidP="00DA2A79">
      <w:pPr>
        <w:widowControl w:val="0"/>
        <w:autoSpaceDE w:val="0"/>
        <w:autoSpaceDN w:val="0"/>
        <w:spacing w:after="0" w:line="240" w:lineRule="auto"/>
        <w:jc w:val="both"/>
        <w:rPr>
          <w:rFonts w:ascii="Verdana" w:eastAsia="Calibri" w:hAnsi="Verdana" w:cs="Arial"/>
          <w:lang w:val="es-ES" w:eastAsia="es-MX"/>
        </w:rPr>
      </w:pPr>
    </w:p>
    <w:p w14:paraId="0255BBBD" w14:textId="77777777" w:rsidR="00DA2A79" w:rsidRPr="00DA2A79" w:rsidRDefault="00DA2A79" w:rsidP="00DA2A79">
      <w:pPr>
        <w:widowControl w:val="0"/>
        <w:autoSpaceDE w:val="0"/>
        <w:autoSpaceDN w:val="0"/>
        <w:spacing w:after="0" w:line="240" w:lineRule="auto"/>
        <w:jc w:val="both"/>
        <w:rPr>
          <w:rFonts w:ascii="Verdana" w:eastAsia="Calibri" w:hAnsi="Verdana" w:cs="Arial"/>
          <w:lang w:val="es-ES" w:eastAsia="es-MX"/>
        </w:rPr>
      </w:pPr>
    </w:p>
    <w:p w14:paraId="2E0FE03B" w14:textId="77777777" w:rsidR="00DA2A79" w:rsidRPr="00DA2A79" w:rsidRDefault="00DA2A79" w:rsidP="00DA2A79">
      <w:pPr>
        <w:widowControl w:val="0"/>
        <w:autoSpaceDE w:val="0"/>
        <w:autoSpaceDN w:val="0"/>
        <w:spacing w:after="0" w:line="240" w:lineRule="auto"/>
        <w:jc w:val="both"/>
        <w:rPr>
          <w:rFonts w:ascii="Verdana" w:eastAsia="Calibri" w:hAnsi="Verdana" w:cs="Arial"/>
          <w:lang w:val="es-ES" w:eastAsia="es-MX"/>
        </w:rPr>
      </w:pPr>
    </w:p>
    <w:p w14:paraId="321A1579" w14:textId="77777777" w:rsidR="00DA2A79" w:rsidRPr="00DA2A79" w:rsidRDefault="00DA2A79" w:rsidP="00DA2A79">
      <w:pPr>
        <w:widowControl w:val="0"/>
        <w:autoSpaceDE w:val="0"/>
        <w:autoSpaceDN w:val="0"/>
        <w:spacing w:after="0" w:line="240" w:lineRule="auto"/>
        <w:jc w:val="both"/>
        <w:rPr>
          <w:rFonts w:ascii="Verdana" w:eastAsia="Calibri" w:hAnsi="Verdana" w:cs="Arial"/>
          <w:lang w:val="es-ES" w:eastAsia="es-MX"/>
        </w:rPr>
      </w:pPr>
    </w:p>
    <w:p w14:paraId="2DB68BDD" w14:textId="77777777" w:rsidR="00DA2A79" w:rsidRPr="00DA2A79" w:rsidRDefault="00DA2A79" w:rsidP="00DA2A79">
      <w:pPr>
        <w:widowControl w:val="0"/>
        <w:autoSpaceDE w:val="0"/>
        <w:autoSpaceDN w:val="0"/>
        <w:spacing w:after="0" w:line="240" w:lineRule="auto"/>
        <w:jc w:val="both"/>
        <w:rPr>
          <w:rFonts w:ascii="Verdana" w:eastAsia="Calibri" w:hAnsi="Verdana" w:cs="Arial"/>
          <w:lang w:val="es-ES" w:eastAsia="es-MX"/>
        </w:rPr>
      </w:pPr>
    </w:p>
    <w:p w14:paraId="4F206D02" w14:textId="77777777" w:rsidR="00DA2A79" w:rsidRPr="00DA2A79" w:rsidRDefault="00DA2A79" w:rsidP="00DA2A79">
      <w:pPr>
        <w:widowControl w:val="0"/>
        <w:autoSpaceDE w:val="0"/>
        <w:autoSpaceDN w:val="0"/>
        <w:spacing w:after="0" w:line="240" w:lineRule="auto"/>
        <w:jc w:val="both"/>
        <w:rPr>
          <w:rFonts w:ascii="Verdana" w:eastAsia="Calibri" w:hAnsi="Verdana" w:cs="Arial"/>
          <w:lang w:val="es-ES" w:eastAsia="es-MX"/>
        </w:rPr>
      </w:pPr>
    </w:p>
    <w:p w14:paraId="2A02C9C2" w14:textId="77777777" w:rsidR="00DA2A79" w:rsidRPr="00DA2A79" w:rsidRDefault="00DA2A79" w:rsidP="00DA2A79">
      <w:pPr>
        <w:widowControl w:val="0"/>
        <w:autoSpaceDE w:val="0"/>
        <w:autoSpaceDN w:val="0"/>
        <w:spacing w:after="0" w:line="240" w:lineRule="auto"/>
        <w:jc w:val="both"/>
        <w:rPr>
          <w:rFonts w:ascii="Verdana" w:eastAsia="Calibri" w:hAnsi="Verdana" w:cs="Arial"/>
          <w:lang w:val="es-ES" w:eastAsia="es-MX"/>
        </w:rPr>
      </w:pPr>
    </w:p>
    <w:p w14:paraId="4802DDC2" w14:textId="77777777" w:rsidR="00DA2A79" w:rsidRPr="00DA2A79" w:rsidRDefault="00DA2A79" w:rsidP="00DA2A79">
      <w:pPr>
        <w:widowControl w:val="0"/>
        <w:autoSpaceDE w:val="0"/>
        <w:autoSpaceDN w:val="0"/>
        <w:spacing w:after="0" w:line="240" w:lineRule="auto"/>
        <w:jc w:val="both"/>
        <w:rPr>
          <w:rFonts w:ascii="Verdana" w:eastAsia="Calibri" w:hAnsi="Verdana" w:cs="Arial"/>
          <w:lang w:val="es-ES" w:eastAsia="es-MX"/>
        </w:rPr>
      </w:pPr>
    </w:p>
    <w:p w14:paraId="310243DA" w14:textId="77777777" w:rsidR="00DA2A79" w:rsidRPr="00DA2A79" w:rsidRDefault="00DA2A79" w:rsidP="00DA2A79">
      <w:pPr>
        <w:widowControl w:val="0"/>
        <w:autoSpaceDE w:val="0"/>
        <w:autoSpaceDN w:val="0"/>
        <w:spacing w:after="0" w:line="240" w:lineRule="auto"/>
        <w:jc w:val="both"/>
        <w:rPr>
          <w:rFonts w:ascii="Verdana" w:eastAsia="Calibri" w:hAnsi="Verdana" w:cs="Arial"/>
          <w:lang w:val="es-ES" w:eastAsia="es-MX"/>
        </w:rPr>
      </w:pPr>
    </w:p>
    <w:p w14:paraId="3EF1DD02" w14:textId="77777777" w:rsidR="00DA2A79" w:rsidRPr="00DA2A79" w:rsidRDefault="00DA2A79" w:rsidP="00DA2A79">
      <w:pPr>
        <w:widowControl w:val="0"/>
        <w:autoSpaceDE w:val="0"/>
        <w:autoSpaceDN w:val="0"/>
        <w:spacing w:after="0" w:line="240" w:lineRule="auto"/>
        <w:jc w:val="both"/>
        <w:rPr>
          <w:rFonts w:ascii="Verdana" w:eastAsia="Calibri" w:hAnsi="Verdana" w:cs="Arial"/>
          <w:lang w:val="es-ES" w:eastAsia="es-MX"/>
        </w:rPr>
      </w:pPr>
    </w:p>
    <w:p w14:paraId="5FB87542" w14:textId="77777777" w:rsidR="00DA2A79" w:rsidRPr="00DA2A79" w:rsidRDefault="00DA2A79" w:rsidP="00DA2A79">
      <w:pPr>
        <w:widowControl w:val="0"/>
        <w:autoSpaceDE w:val="0"/>
        <w:autoSpaceDN w:val="0"/>
        <w:spacing w:after="0" w:line="240" w:lineRule="auto"/>
        <w:jc w:val="both"/>
        <w:rPr>
          <w:rFonts w:ascii="Verdana" w:eastAsia="Calibri" w:hAnsi="Verdana" w:cs="Arial"/>
          <w:lang w:val="es-ES" w:eastAsia="es-MX"/>
        </w:rPr>
      </w:pPr>
    </w:p>
    <w:p w14:paraId="42775585" w14:textId="77777777" w:rsidR="00DA2A79" w:rsidRPr="00DA2A79" w:rsidRDefault="00DA2A79" w:rsidP="00DA2A79">
      <w:pPr>
        <w:widowControl w:val="0"/>
        <w:autoSpaceDE w:val="0"/>
        <w:autoSpaceDN w:val="0"/>
        <w:spacing w:after="0" w:line="240" w:lineRule="auto"/>
        <w:jc w:val="both"/>
        <w:rPr>
          <w:rFonts w:ascii="Verdana" w:eastAsia="Calibri" w:hAnsi="Verdana" w:cs="Arial"/>
          <w:lang w:val="es-ES" w:eastAsia="es-MX"/>
        </w:rPr>
      </w:pPr>
    </w:p>
    <w:p w14:paraId="7718A269" w14:textId="77777777" w:rsidR="00DA2A79" w:rsidRPr="00DA2A79" w:rsidRDefault="00DA2A79" w:rsidP="00DA2A79">
      <w:pPr>
        <w:widowControl w:val="0"/>
        <w:autoSpaceDE w:val="0"/>
        <w:autoSpaceDN w:val="0"/>
        <w:spacing w:after="0" w:line="240" w:lineRule="auto"/>
        <w:jc w:val="both"/>
        <w:rPr>
          <w:rFonts w:ascii="Verdana" w:eastAsia="Calibri" w:hAnsi="Verdana" w:cs="Arial"/>
          <w:lang w:val="es-ES" w:eastAsia="es-MX"/>
        </w:rPr>
      </w:pPr>
    </w:p>
    <w:p w14:paraId="071B80D9" w14:textId="77777777" w:rsidR="00DA2A79" w:rsidRPr="00DA2A79" w:rsidRDefault="00DA2A79" w:rsidP="00DA2A79">
      <w:pPr>
        <w:widowControl w:val="0"/>
        <w:autoSpaceDE w:val="0"/>
        <w:autoSpaceDN w:val="0"/>
        <w:spacing w:after="0" w:line="240" w:lineRule="auto"/>
        <w:jc w:val="both"/>
        <w:rPr>
          <w:rFonts w:ascii="Verdana" w:eastAsia="Calibri" w:hAnsi="Verdana" w:cs="Arial"/>
          <w:lang w:val="es-ES" w:eastAsia="es-MX"/>
        </w:rPr>
      </w:pPr>
    </w:p>
    <w:p w14:paraId="452AAB1F" w14:textId="77777777" w:rsidR="00DA2A79" w:rsidRPr="00DA2A79" w:rsidRDefault="00DA2A79" w:rsidP="00DA2A79">
      <w:pPr>
        <w:widowControl w:val="0"/>
        <w:autoSpaceDE w:val="0"/>
        <w:autoSpaceDN w:val="0"/>
        <w:spacing w:after="0" w:line="240" w:lineRule="auto"/>
        <w:jc w:val="both"/>
        <w:rPr>
          <w:rFonts w:ascii="Verdana" w:eastAsia="Calibri" w:hAnsi="Verdana" w:cs="Arial"/>
          <w:lang w:val="es-ES" w:eastAsia="es-MX"/>
        </w:rPr>
      </w:pPr>
    </w:p>
    <w:p w14:paraId="10F39723" w14:textId="77777777" w:rsidR="00DA2A79" w:rsidRPr="00DA2A79" w:rsidRDefault="00DA2A79" w:rsidP="00DA2A79">
      <w:pPr>
        <w:widowControl w:val="0"/>
        <w:autoSpaceDE w:val="0"/>
        <w:autoSpaceDN w:val="0"/>
        <w:spacing w:after="0" w:line="240" w:lineRule="auto"/>
        <w:jc w:val="both"/>
        <w:rPr>
          <w:rFonts w:ascii="Verdana" w:eastAsia="Calibri" w:hAnsi="Verdana" w:cs="Arial"/>
          <w:lang w:val="es-ES" w:eastAsia="es-MX"/>
        </w:rPr>
      </w:pPr>
    </w:p>
    <w:p w14:paraId="6BF9C924" w14:textId="77777777" w:rsidR="00DA2A79" w:rsidRPr="00DA2A79" w:rsidRDefault="00DA2A79" w:rsidP="00DA2A79">
      <w:pPr>
        <w:widowControl w:val="0"/>
        <w:autoSpaceDE w:val="0"/>
        <w:autoSpaceDN w:val="0"/>
        <w:spacing w:after="0" w:line="240" w:lineRule="auto"/>
        <w:jc w:val="both"/>
        <w:rPr>
          <w:rFonts w:ascii="Verdana" w:eastAsia="Calibri" w:hAnsi="Verdana" w:cs="Arial"/>
          <w:lang w:val="es-ES" w:eastAsia="es-MX"/>
        </w:rPr>
      </w:pPr>
    </w:p>
    <w:p w14:paraId="68A66974" w14:textId="77777777" w:rsidR="00DA2A79" w:rsidRPr="00DA2A79" w:rsidRDefault="00DA2A79" w:rsidP="00DA2A79">
      <w:pPr>
        <w:widowControl w:val="0"/>
        <w:autoSpaceDE w:val="0"/>
        <w:autoSpaceDN w:val="0"/>
        <w:spacing w:after="0" w:line="240" w:lineRule="auto"/>
        <w:jc w:val="both"/>
        <w:rPr>
          <w:rFonts w:ascii="Verdana" w:eastAsia="Calibri" w:hAnsi="Verdana" w:cs="Arial"/>
          <w:lang w:val="es-ES" w:eastAsia="es-MX"/>
        </w:rPr>
      </w:pPr>
    </w:p>
    <w:p w14:paraId="53287F40" w14:textId="77777777" w:rsidR="00DA2A79" w:rsidRPr="00DA2A79" w:rsidRDefault="00DA2A79" w:rsidP="00DA2A79">
      <w:pPr>
        <w:widowControl w:val="0"/>
        <w:autoSpaceDE w:val="0"/>
        <w:autoSpaceDN w:val="0"/>
        <w:spacing w:after="0" w:line="240" w:lineRule="auto"/>
        <w:jc w:val="both"/>
        <w:rPr>
          <w:rFonts w:ascii="Verdana" w:eastAsia="Calibri" w:hAnsi="Verdana" w:cs="Arial"/>
          <w:lang w:val="es-ES" w:eastAsia="es-MX"/>
        </w:rPr>
      </w:pPr>
    </w:p>
    <w:p w14:paraId="53A69A9B" w14:textId="77777777" w:rsidR="00DA2A79" w:rsidRPr="00DA2A79" w:rsidRDefault="00DA2A79" w:rsidP="00DA2A79">
      <w:pPr>
        <w:widowControl w:val="0"/>
        <w:autoSpaceDE w:val="0"/>
        <w:autoSpaceDN w:val="0"/>
        <w:spacing w:after="0" w:line="240" w:lineRule="auto"/>
        <w:jc w:val="both"/>
        <w:rPr>
          <w:rFonts w:ascii="Verdana" w:eastAsia="Calibri" w:hAnsi="Verdana" w:cs="Times New Roman"/>
          <w:b/>
          <w:bCs/>
          <w:lang w:val="es-ES_tradnl" w:eastAsia="es-MX"/>
        </w:rPr>
      </w:pPr>
    </w:p>
    <w:p w14:paraId="39861CC7" w14:textId="77777777" w:rsidR="00DA2A79" w:rsidRPr="00DA2A79" w:rsidRDefault="00DA2A79" w:rsidP="00DA2A79">
      <w:pPr>
        <w:widowControl w:val="0"/>
        <w:autoSpaceDE w:val="0"/>
        <w:autoSpaceDN w:val="0"/>
        <w:spacing w:after="0" w:line="240" w:lineRule="auto"/>
        <w:jc w:val="both"/>
        <w:rPr>
          <w:rFonts w:ascii="Verdana" w:eastAsia="Calibri" w:hAnsi="Verdana" w:cs="Times New Roman"/>
          <w:b/>
          <w:bCs/>
          <w:lang w:val="es-ES" w:eastAsia="es-MX"/>
        </w:rPr>
      </w:pPr>
    </w:p>
    <w:p w14:paraId="690ACA6B" w14:textId="77777777" w:rsidR="00DA2A79" w:rsidRPr="00DA2A79" w:rsidRDefault="00DA2A79" w:rsidP="00DA2A79">
      <w:pPr>
        <w:widowControl w:val="0"/>
        <w:autoSpaceDE w:val="0"/>
        <w:autoSpaceDN w:val="0"/>
        <w:spacing w:after="0" w:line="240" w:lineRule="auto"/>
        <w:jc w:val="both"/>
        <w:rPr>
          <w:rFonts w:ascii="Verdana" w:eastAsia="Calibri" w:hAnsi="Verdana" w:cs="Times New Roman"/>
          <w:b/>
          <w:bCs/>
          <w:lang w:val="es-ES" w:eastAsia="es-MX"/>
        </w:rPr>
      </w:pPr>
    </w:p>
    <w:p w14:paraId="5E0459B0" w14:textId="77777777" w:rsidR="00DA2A79" w:rsidRPr="00DA2A79" w:rsidRDefault="00DA2A79" w:rsidP="00DA2A79">
      <w:pPr>
        <w:widowControl w:val="0"/>
        <w:autoSpaceDE w:val="0"/>
        <w:autoSpaceDN w:val="0"/>
        <w:spacing w:after="0" w:line="240" w:lineRule="auto"/>
        <w:jc w:val="both"/>
        <w:rPr>
          <w:rFonts w:ascii="Verdana" w:eastAsia="Calibri" w:hAnsi="Verdana" w:cs="Times New Roman"/>
          <w:b/>
          <w:bCs/>
          <w:lang w:val="es-ES" w:eastAsia="es-MX"/>
        </w:rPr>
      </w:pPr>
    </w:p>
    <w:p w14:paraId="67F1A793" w14:textId="77777777" w:rsidR="00DA2A79" w:rsidRPr="00DA2A79" w:rsidRDefault="00DA2A79" w:rsidP="00DA2A79">
      <w:pPr>
        <w:widowControl w:val="0"/>
        <w:autoSpaceDE w:val="0"/>
        <w:autoSpaceDN w:val="0"/>
        <w:spacing w:after="0" w:line="240" w:lineRule="auto"/>
        <w:jc w:val="both"/>
        <w:rPr>
          <w:rFonts w:ascii="Verdana" w:eastAsia="Calibri" w:hAnsi="Verdana" w:cs="Times New Roman"/>
          <w:b/>
          <w:bCs/>
          <w:lang w:val="es-ES" w:eastAsia="es-MX"/>
        </w:rPr>
      </w:pPr>
    </w:p>
    <w:p w14:paraId="3CB6AF29" w14:textId="77777777" w:rsidR="00DA2A79" w:rsidRPr="00DA2A79" w:rsidRDefault="00DA2A79" w:rsidP="00DA2A79">
      <w:pPr>
        <w:widowControl w:val="0"/>
        <w:autoSpaceDE w:val="0"/>
        <w:autoSpaceDN w:val="0"/>
        <w:spacing w:after="0" w:line="240" w:lineRule="auto"/>
        <w:jc w:val="both"/>
        <w:rPr>
          <w:rFonts w:ascii="Verdana" w:eastAsia="Calibri" w:hAnsi="Verdana" w:cs="Times New Roman"/>
          <w:sz w:val="20"/>
          <w:szCs w:val="20"/>
          <w:lang w:val="es-ES" w:eastAsia="es-MX"/>
        </w:rPr>
      </w:pPr>
    </w:p>
    <w:p w14:paraId="476A7BEE" w14:textId="77777777" w:rsidR="00DA2A79" w:rsidRPr="00DA2A79" w:rsidRDefault="00DA2A79" w:rsidP="00DA2A79">
      <w:pPr>
        <w:spacing w:after="0" w:line="240" w:lineRule="auto"/>
        <w:jc w:val="both"/>
        <w:rPr>
          <w:rFonts w:ascii="Arial" w:eastAsia="Calibri" w:hAnsi="Arial" w:cs="Arial"/>
          <w:b/>
          <w:bCs/>
          <w:color w:val="000000"/>
          <w:sz w:val="24"/>
          <w:szCs w:val="24"/>
          <w:highlight w:val="yellow"/>
          <w:lang w:eastAsia="es-MX"/>
        </w:rPr>
      </w:pPr>
    </w:p>
    <w:p w14:paraId="5B21309A" w14:textId="77777777" w:rsidR="00DA2A79" w:rsidRPr="00DA2A79" w:rsidRDefault="00DA2A79" w:rsidP="00DA2A79">
      <w:pPr>
        <w:spacing w:after="0" w:line="240" w:lineRule="auto"/>
        <w:jc w:val="both"/>
        <w:rPr>
          <w:rFonts w:ascii="Arial" w:eastAsia="Calibri" w:hAnsi="Arial" w:cs="Arial"/>
          <w:b/>
          <w:bCs/>
          <w:color w:val="000000"/>
          <w:sz w:val="24"/>
          <w:szCs w:val="24"/>
          <w:lang w:eastAsia="es-MX"/>
        </w:rPr>
      </w:pPr>
    </w:p>
    <w:p w14:paraId="2352674D" w14:textId="77777777" w:rsidR="00DA2A79" w:rsidRPr="00DA2A79" w:rsidRDefault="00DA2A79" w:rsidP="00DA2A79">
      <w:pPr>
        <w:spacing w:after="0" w:line="240" w:lineRule="auto"/>
        <w:rPr>
          <w:rFonts w:ascii="Verdana" w:eastAsia="Geomanist Light" w:hAnsi="Verdana" w:cs="Arial"/>
          <w:lang w:val="es-ES_tradnl" w:eastAsia="es-MX"/>
        </w:rPr>
      </w:pPr>
    </w:p>
    <w:p w14:paraId="2B51C945" w14:textId="1A1251EC" w:rsidR="00DA2A79" w:rsidRDefault="00DA2A79" w:rsidP="00DA2A79">
      <w:pPr>
        <w:spacing w:after="0" w:line="240" w:lineRule="auto"/>
        <w:rPr>
          <w:rFonts w:ascii="Verdana" w:eastAsia="Aptos" w:hAnsi="Verdana" w:cs="Times New Roman"/>
          <w:kern w:val="2"/>
          <w:sz w:val="24"/>
          <w:szCs w:val="24"/>
          <w14:ligatures w14:val="standardContextual"/>
        </w:rPr>
      </w:pPr>
      <w:r w:rsidRPr="00DA2A79">
        <w:rPr>
          <w:rFonts w:ascii="Verdana" w:eastAsia="Aptos" w:hAnsi="Verdana" w:cs="Times New Roman"/>
          <w:kern w:val="2"/>
          <w:sz w:val="24"/>
          <w:szCs w:val="24"/>
          <w14:ligatures w14:val="standardContextual"/>
        </w:rPr>
        <w:lastRenderedPageBreak/>
        <w:t xml:space="preserve">Bogotá D.C., </w:t>
      </w:r>
      <w:r w:rsidR="00236AF1">
        <w:rPr>
          <w:rFonts w:ascii="Verdana" w:eastAsia="Aptos" w:hAnsi="Verdana" w:cs="Times New Roman"/>
          <w:kern w:val="2"/>
          <w:sz w:val="24"/>
          <w:szCs w:val="24"/>
          <w14:ligatures w14:val="standardContextual"/>
        </w:rPr>
        <w:t>15 de abril de 202</w:t>
      </w:r>
      <w:r w:rsidR="009D09A3">
        <w:rPr>
          <w:rFonts w:ascii="Verdana" w:eastAsia="Aptos" w:hAnsi="Verdana" w:cs="Times New Roman"/>
          <w:kern w:val="2"/>
          <w:sz w:val="24"/>
          <w:szCs w:val="24"/>
          <w14:ligatures w14:val="standardContextual"/>
        </w:rPr>
        <w:t>6</w:t>
      </w:r>
    </w:p>
    <w:p w14:paraId="280C22C5" w14:textId="4CDC010D" w:rsidR="00236AF1" w:rsidRDefault="00236AF1" w:rsidP="00DA2A79">
      <w:pPr>
        <w:spacing w:after="0" w:line="240" w:lineRule="auto"/>
        <w:rPr>
          <w:rFonts w:ascii="Verdana" w:eastAsia="Aptos" w:hAnsi="Verdana" w:cs="Times New Roman"/>
          <w:kern w:val="2"/>
          <w:sz w:val="24"/>
          <w:szCs w:val="24"/>
          <w14:ligatures w14:val="standardContextual"/>
        </w:rPr>
      </w:pPr>
    </w:p>
    <w:p w14:paraId="0478A7C8" w14:textId="210CEFEE" w:rsidR="00236AF1" w:rsidRPr="00DA2A79" w:rsidRDefault="00236AF1" w:rsidP="00236AF1">
      <w:pPr>
        <w:spacing w:after="0" w:line="240" w:lineRule="auto"/>
        <w:jc w:val="right"/>
        <w:rPr>
          <w:rFonts w:ascii="Verdana" w:eastAsia="Aptos" w:hAnsi="Verdana" w:cs="Times New Roman"/>
          <w:kern w:val="2"/>
          <w:sz w:val="24"/>
          <w:szCs w:val="24"/>
          <w14:ligatures w14:val="standardContextual"/>
        </w:rPr>
      </w:pPr>
    </w:p>
    <w:p w14:paraId="7BA31CCD" w14:textId="2F2131E1" w:rsidR="00DA2A79" w:rsidRPr="00DA2A79" w:rsidRDefault="009D09A3" w:rsidP="00DA2A79">
      <w:pPr>
        <w:spacing w:after="0" w:line="240" w:lineRule="auto"/>
        <w:rPr>
          <w:rFonts w:ascii="Verdana" w:eastAsia="Calibri" w:hAnsi="Verdana" w:cs="Arial"/>
          <w:lang w:val="es-ES" w:eastAsia="es-ES"/>
        </w:rPr>
      </w:pPr>
      <w:r w:rsidRPr="00236AF1">
        <w:rPr>
          <w:rFonts w:ascii="Verdana" w:eastAsia="Aptos" w:hAnsi="Verdana" w:cs="Times New Roman"/>
          <w:noProof/>
          <w:kern w:val="2"/>
          <w:sz w:val="24"/>
          <w:szCs w:val="24"/>
          <w14:ligatures w14:val="standardContextual"/>
        </w:rPr>
        <w:drawing>
          <wp:anchor distT="0" distB="0" distL="114300" distR="114300" simplePos="0" relativeHeight="251658240" behindDoc="0" locked="0" layoutInCell="1" allowOverlap="1" wp14:anchorId="5C4578EA" wp14:editId="27835CA2">
            <wp:simplePos x="0" y="0"/>
            <wp:positionH relativeFrom="margin">
              <wp:align>right</wp:align>
            </wp:positionH>
            <wp:positionV relativeFrom="paragraph">
              <wp:posOffset>10188</wp:posOffset>
            </wp:positionV>
            <wp:extent cx="2492375" cy="795020"/>
            <wp:effectExtent l="0" t="0" r="3175" b="5080"/>
            <wp:wrapSquare wrapText="bothSides"/>
            <wp:docPr id="164300582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005823" name=""/>
                    <pic:cNvPicPr/>
                  </pic:nvPicPr>
                  <pic:blipFill>
                    <a:blip r:embed="rId11">
                      <a:extLst>
                        <a:ext uri="{28A0092B-C50C-407E-A947-70E740481C1C}">
                          <a14:useLocalDpi xmlns:a14="http://schemas.microsoft.com/office/drawing/2010/main" val="0"/>
                        </a:ext>
                      </a:extLst>
                    </a:blip>
                    <a:stretch>
                      <a:fillRect/>
                    </a:stretch>
                  </pic:blipFill>
                  <pic:spPr>
                    <a:xfrm>
                      <a:off x="0" y="0"/>
                      <a:ext cx="2492375" cy="795020"/>
                    </a:xfrm>
                    <a:prstGeom prst="rect">
                      <a:avLst/>
                    </a:prstGeom>
                  </pic:spPr>
                </pic:pic>
              </a:graphicData>
            </a:graphic>
            <wp14:sizeRelH relativeFrom="margin">
              <wp14:pctWidth>0</wp14:pctWidth>
            </wp14:sizeRelH>
            <wp14:sizeRelV relativeFrom="margin">
              <wp14:pctHeight>0</wp14:pctHeight>
            </wp14:sizeRelV>
          </wp:anchor>
        </w:drawing>
      </w:r>
    </w:p>
    <w:p w14:paraId="3B94E247" w14:textId="77777777" w:rsidR="00DA2A79" w:rsidRPr="00DA2A79" w:rsidRDefault="00DA2A79" w:rsidP="00DA2A79">
      <w:pPr>
        <w:spacing w:after="0" w:line="240" w:lineRule="auto"/>
        <w:rPr>
          <w:rFonts w:ascii="Verdana" w:eastAsia="Calibri" w:hAnsi="Verdana" w:cs="Arial"/>
          <w:lang w:val="es-ES" w:eastAsia="es-ES"/>
        </w:rPr>
      </w:pPr>
      <w:r w:rsidRPr="00DA2A79">
        <w:rPr>
          <w:rFonts w:ascii="Verdana" w:eastAsia="Calibri" w:hAnsi="Verdana" w:cs="Arial"/>
          <w:lang w:val="es-ES" w:eastAsia="es-ES"/>
        </w:rPr>
        <w:t>Señora</w:t>
      </w:r>
    </w:p>
    <w:p w14:paraId="59B996BB" w14:textId="77777777" w:rsidR="00DA2A79" w:rsidRPr="00DA2A79" w:rsidRDefault="00DA2A79" w:rsidP="00DA2A79">
      <w:pPr>
        <w:spacing w:after="0" w:line="240" w:lineRule="auto"/>
        <w:rPr>
          <w:rFonts w:ascii="Verdana" w:eastAsia="Times New Roman" w:hAnsi="Verdana" w:cs="Times New Roman"/>
          <w:b/>
          <w:bCs/>
          <w:color w:val="242424"/>
          <w:shd w:val="clear" w:color="auto" w:fill="FFFFFF"/>
          <w:lang w:eastAsia="es-MX"/>
        </w:rPr>
      </w:pPr>
      <w:r w:rsidRPr="00DA2A79">
        <w:rPr>
          <w:rFonts w:ascii="Verdana" w:eastAsia="Times New Roman" w:hAnsi="Verdana" w:cs="Times New Roman"/>
          <w:b/>
          <w:bCs/>
          <w:color w:val="242424"/>
          <w:shd w:val="clear" w:color="auto" w:fill="FFFFFF"/>
          <w:lang w:eastAsia="es-MX"/>
        </w:rPr>
        <w:t>Viviana Marcela Cuadros Valbuena</w:t>
      </w:r>
    </w:p>
    <w:p w14:paraId="3FD87513" w14:textId="77777777" w:rsidR="00DA2A79" w:rsidRPr="00DA2A79" w:rsidRDefault="00DA2A79" w:rsidP="00DA2A79">
      <w:pPr>
        <w:spacing w:after="0" w:line="240" w:lineRule="auto"/>
        <w:rPr>
          <w:rFonts w:ascii="Verdana" w:eastAsia="Times New Roman" w:hAnsi="Verdana" w:cs="Times New Roman"/>
          <w:color w:val="242424"/>
          <w:shd w:val="clear" w:color="auto" w:fill="FFFFFF"/>
          <w:lang w:eastAsia="es-MX"/>
        </w:rPr>
      </w:pPr>
      <w:r w:rsidRPr="00DA2A79">
        <w:rPr>
          <w:rFonts w:ascii="Verdana" w:eastAsia="Times New Roman" w:hAnsi="Verdana" w:cs="Times New Roman"/>
          <w:color w:val="242424"/>
          <w:shd w:val="clear" w:color="auto" w:fill="FFFFFF"/>
          <w:lang w:eastAsia="es-MX"/>
        </w:rPr>
        <w:t>Bucaramanga, Santander</w:t>
      </w:r>
    </w:p>
    <w:p w14:paraId="6E103E61" w14:textId="77777777" w:rsidR="00DA2A79" w:rsidRPr="00DA2A79" w:rsidRDefault="00DA2A79" w:rsidP="00DA2A79">
      <w:pPr>
        <w:spacing w:after="0" w:line="240" w:lineRule="auto"/>
        <w:rPr>
          <w:rFonts w:ascii="Verdana" w:eastAsia="Times New Roman" w:hAnsi="Verdana" w:cs="Arial"/>
          <w:b/>
          <w:bCs/>
          <w:color w:val="242424"/>
          <w:shd w:val="clear" w:color="auto" w:fill="FFFFFF"/>
          <w:lang w:val="es-ES_tradnl" w:eastAsia="es-ES_tradnl"/>
        </w:rPr>
      </w:pPr>
    </w:p>
    <w:p w14:paraId="0035FF56" w14:textId="77777777" w:rsidR="00DA2A79" w:rsidRPr="00DA2A79" w:rsidRDefault="00DA2A79" w:rsidP="00DA2A79">
      <w:pPr>
        <w:spacing w:after="0" w:line="240" w:lineRule="auto"/>
        <w:rPr>
          <w:rFonts w:ascii="Verdana" w:eastAsia="Calibri" w:hAnsi="Verdana" w:cs="Arial"/>
          <w:b/>
          <w:bCs/>
          <w:lang w:val="es-ES_tradnl"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100"/>
      </w:tblGrid>
      <w:tr w:rsidR="00DA2A79" w:rsidRPr="00DA2A79" w14:paraId="3C6067CA" w14:textId="77777777" w:rsidTr="008A62F8">
        <w:trPr>
          <w:trHeight w:val="229"/>
        </w:trPr>
        <w:tc>
          <w:tcPr>
            <w:tcW w:w="2268" w:type="dxa"/>
          </w:tcPr>
          <w:p w14:paraId="32912F87" w14:textId="77777777" w:rsidR="00DA2A79" w:rsidRPr="00DA2A79" w:rsidRDefault="00DA2A79" w:rsidP="00DA2A79">
            <w:pPr>
              <w:jc w:val="both"/>
              <w:rPr>
                <w:rFonts w:ascii="Verdana" w:eastAsia="Calibri" w:hAnsi="Verdana" w:cs="Arial"/>
                <w:b/>
                <w:bCs/>
                <w:lang w:val="es-ES_tradnl" w:eastAsia="es-ES_tradnl"/>
              </w:rPr>
            </w:pPr>
          </w:p>
        </w:tc>
        <w:tc>
          <w:tcPr>
            <w:tcW w:w="6100" w:type="dxa"/>
          </w:tcPr>
          <w:p w14:paraId="06D92B1C" w14:textId="77777777" w:rsidR="00DA2A79" w:rsidRPr="00DA2A79" w:rsidRDefault="00DA2A79" w:rsidP="00DA2A79">
            <w:pPr>
              <w:jc w:val="both"/>
              <w:rPr>
                <w:rFonts w:ascii="Verdana" w:eastAsia="Calibri" w:hAnsi="Verdana" w:cs="Arial"/>
                <w:b/>
                <w:bCs/>
                <w:lang w:val="es-ES" w:eastAsia="es-ES"/>
              </w:rPr>
            </w:pPr>
            <w:r w:rsidRPr="00DA2A79">
              <w:rPr>
                <w:rFonts w:ascii="Verdana" w:eastAsia="Calibri" w:hAnsi="Verdana" w:cs="Arial"/>
                <w:b/>
                <w:bCs/>
                <w:lang w:val="es-ES" w:eastAsia="es-ES"/>
              </w:rPr>
              <w:t xml:space="preserve">Concepto </w:t>
            </w:r>
            <w:bookmarkStart w:id="1" w:name="OLE_LINK1"/>
            <w:r w:rsidRPr="00DA2A79">
              <w:rPr>
                <w:rFonts w:ascii="Verdana" w:eastAsia="Calibri" w:hAnsi="Verdana" w:cs="Arial"/>
                <w:b/>
                <w:bCs/>
                <w:lang w:val="es-ES" w:eastAsia="es-ES"/>
              </w:rPr>
              <w:t>C-385 de 2026</w:t>
            </w:r>
            <w:bookmarkEnd w:id="1"/>
          </w:p>
          <w:p w14:paraId="54578399" w14:textId="77777777" w:rsidR="00DA2A79" w:rsidRPr="00DA2A79" w:rsidRDefault="00DA2A79" w:rsidP="00DA2A79">
            <w:pPr>
              <w:jc w:val="both"/>
              <w:rPr>
                <w:rFonts w:ascii="Verdana" w:eastAsia="Calibri" w:hAnsi="Verdana" w:cs="Arial"/>
                <w:b/>
                <w:bCs/>
                <w:lang w:val="es-ES" w:eastAsia="es-ES"/>
              </w:rPr>
            </w:pPr>
          </w:p>
        </w:tc>
      </w:tr>
      <w:tr w:rsidR="00DA2A79" w:rsidRPr="00DA2A79" w14:paraId="110801FF" w14:textId="77777777" w:rsidTr="008A62F8">
        <w:trPr>
          <w:trHeight w:val="884"/>
        </w:trPr>
        <w:tc>
          <w:tcPr>
            <w:tcW w:w="2268" w:type="dxa"/>
          </w:tcPr>
          <w:p w14:paraId="597A76BD" w14:textId="77777777" w:rsidR="00DA2A79" w:rsidRPr="00DA2A79" w:rsidRDefault="00DA2A79" w:rsidP="00DA2A79">
            <w:pPr>
              <w:jc w:val="both"/>
              <w:rPr>
                <w:rFonts w:ascii="Verdana" w:eastAsia="Calibri" w:hAnsi="Verdana" w:cs="Arial"/>
                <w:lang w:val="es-ES_tradnl" w:eastAsia="es-ES_tradnl"/>
              </w:rPr>
            </w:pPr>
            <w:r w:rsidRPr="00DA2A79">
              <w:rPr>
                <w:rFonts w:ascii="Verdana" w:eastAsia="Calibri" w:hAnsi="Verdana" w:cs="Arial"/>
                <w:b/>
                <w:lang w:val="es-ES_tradnl" w:eastAsia="es-ES_tradnl"/>
              </w:rPr>
              <w:t>Temas:</w:t>
            </w:r>
            <w:r w:rsidRPr="00DA2A79">
              <w:rPr>
                <w:rFonts w:ascii="Verdana" w:eastAsia="Calibri" w:hAnsi="Verdana" w:cs="Arial"/>
                <w:lang w:val="es-ES_tradnl" w:eastAsia="es-ES_tradnl"/>
              </w:rPr>
              <w:t xml:space="preserve">                   </w:t>
            </w:r>
          </w:p>
        </w:tc>
        <w:tc>
          <w:tcPr>
            <w:tcW w:w="6100" w:type="dxa"/>
          </w:tcPr>
          <w:p w14:paraId="4A2A2001" w14:textId="77777777" w:rsidR="00DA2A79" w:rsidRPr="00DA2A79" w:rsidRDefault="00DA2A79" w:rsidP="00DA2A79">
            <w:pPr>
              <w:widowControl w:val="0"/>
              <w:autoSpaceDE w:val="0"/>
              <w:autoSpaceDN w:val="0"/>
              <w:jc w:val="both"/>
              <w:rPr>
                <w:rFonts w:ascii="Verdana" w:eastAsia="Calibri" w:hAnsi="Verdana" w:cs="Times New Roman"/>
                <w:lang w:val="es-ES" w:eastAsia="es-MX"/>
              </w:rPr>
            </w:pPr>
            <w:r w:rsidRPr="00DA2A79">
              <w:rPr>
                <w:rFonts w:ascii="Verdana" w:eastAsia="Calibri" w:hAnsi="Verdana" w:cs="Arial"/>
                <w:lang w:val="es-ES_tradnl" w:eastAsia="es-MX"/>
              </w:rPr>
              <w:t>DOCUMENTOS TIPO – Fundamento normativo – Obligatoriedad / SECTOR SOCIAL</w:t>
            </w:r>
            <w:r w:rsidRPr="00DA2A79">
              <w:rPr>
                <w:rFonts w:ascii="Verdana" w:eastAsia="Calibri" w:hAnsi="Verdana" w:cs="Times New Roman"/>
                <w:lang w:val="es-ES" w:eastAsia="es-MX"/>
              </w:rPr>
              <w:t xml:space="preserve"> – Documentos tipo – Vigentes / DOCUMENTOS TIPO – Aplicación – Matriz de Experiencia </w:t>
            </w:r>
            <w:r w:rsidRPr="00DA2A79">
              <w:rPr>
                <w:rFonts w:ascii="Verdana" w:eastAsia="Calibri" w:hAnsi="Verdana" w:cs="Times New Roman"/>
                <w:sz w:val="20"/>
                <w:szCs w:val="20"/>
                <w:lang w:val="es-ES" w:eastAsia="es-MX"/>
              </w:rPr>
              <w:t xml:space="preserve">/ </w:t>
            </w:r>
            <w:r w:rsidRPr="00DA2A79">
              <w:rPr>
                <w:rFonts w:ascii="Verdana" w:eastAsia="Calibri" w:hAnsi="Verdana" w:cs="Times New Roman"/>
                <w:lang w:val="es-ES" w:eastAsia="es-MX"/>
              </w:rPr>
              <w:t xml:space="preserve">NSR10 – Subgrupo de ocupación institucional – Documentos tipo – Sector social – Aplicación / TERMINALES DE TRANSPORTE TERRESTRE – Documentos tipo – Complementarios – Sector Institucional – Aplicación </w:t>
            </w:r>
          </w:p>
          <w:p w14:paraId="4D1A9D0E" w14:textId="77777777" w:rsidR="00DA2A79" w:rsidRPr="00DA2A79" w:rsidRDefault="00DA2A79" w:rsidP="00DA2A79">
            <w:pPr>
              <w:jc w:val="both"/>
              <w:rPr>
                <w:rFonts w:ascii="Verdana" w:eastAsia="Calibri" w:hAnsi="Verdana" w:cs="Arial"/>
                <w:bCs/>
                <w:lang w:val="es-ES" w:eastAsia="es-ES"/>
              </w:rPr>
            </w:pPr>
          </w:p>
        </w:tc>
      </w:tr>
      <w:tr w:rsidR="00DA2A79" w:rsidRPr="00DA2A79" w14:paraId="33A2AFA7" w14:textId="77777777" w:rsidTr="008A62F8">
        <w:tc>
          <w:tcPr>
            <w:tcW w:w="2268" w:type="dxa"/>
          </w:tcPr>
          <w:p w14:paraId="7B415A4A" w14:textId="77777777" w:rsidR="00DA2A79" w:rsidRPr="00DA2A79" w:rsidRDefault="00DA2A79" w:rsidP="00DA2A79">
            <w:pPr>
              <w:jc w:val="both"/>
              <w:rPr>
                <w:rFonts w:ascii="Verdana" w:eastAsia="Calibri" w:hAnsi="Verdana" w:cs="Arial"/>
                <w:b/>
                <w:lang w:val="es-ES_tradnl" w:eastAsia="es-ES_tradnl"/>
              </w:rPr>
            </w:pPr>
            <w:r w:rsidRPr="00DA2A79">
              <w:rPr>
                <w:rFonts w:ascii="Verdana" w:eastAsia="Calibri" w:hAnsi="Verdana" w:cs="Arial"/>
                <w:b/>
                <w:lang w:val="es-ES_tradnl" w:eastAsia="es-ES_tradnl"/>
              </w:rPr>
              <w:t>Radicación:</w:t>
            </w:r>
            <w:r w:rsidRPr="00DA2A79">
              <w:rPr>
                <w:rFonts w:ascii="Verdana" w:eastAsia="Calibri" w:hAnsi="Verdana" w:cs="Arial"/>
                <w:lang w:val="es-ES_tradnl" w:eastAsia="es-ES_tradnl"/>
              </w:rPr>
              <w:t xml:space="preserve">               </w:t>
            </w:r>
          </w:p>
        </w:tc>
        <w:tc>
          <w:tcPr>
            <w:tcW w:w="6100" w:type="dxa"/>
          </w:tcPr>
          <w:p w14:paraId="1531D41A" w14:textId="77777777" w:rsidR="00DA2A79" w:rsidRPr="00DA2A79" w:rsidRDefault="00DA2A79" w:rsidP="00DA2A79">
            <w:pPr>
              <w:ind w:left="3" w:hanging="3"/>
              <w:jc w:val="both"/>
              <w:rPr>
                <w:rFonts w:ascii="Verdana" w:eastAsia="Calibri" w:hAnsi="Verdana" w:cs="Arial"/>
                <w:lang w:val="es-ES_tradnl" w:eastAsia="es-ES_tradnl"/>
              </w:rPr>
            </w:pPr>
            <w:r w:rsidRPr="00DA2A79">
              <w:rPr>
                <w:rFonts w:ascii="Verdana" w:eastAsia="Calibri" w:hAnsi="Verdana" w:cs="Arial"/>
                <w:lang w:val="es-ES_tradnl" w:eastAsia="es-ES_tradnl"/>
              </w:rPr>
              <w:t>Respuesta a consulta con radicado No. 1_2026_03_09_003272</w:t>
            </w:r>
          </w:p>
        </w:tc>
      </w:tr>
    </w:tbl>
    <w:p w14:paraId="03397B14" w14:textId="77777777" w:rsidR="00DA2A79" w:rsidRPr="00DA2A79" w:rsidRDefault="00DA2A79" w:rsidP="00DA2A79">
      <w:pPr>
        <w:spacing w:after="0" w:line="240" w:lineRule="auto"/>
        <w:jc w:val="both"/>
        <w:rPr>
          <w:rFonts w:ascii="Verdana" w:eastAsia="Calibri" w:hAnsi="Verdana" w:cs="Arial"/>
          <w:lang w:val="es-ES_tradnl" w:eastAsia="es-ES_tradnl"/>
        </w:rPr>
      </w:pPr>
    </w:p>
    <w:p w14:paraId="4F3366D6" w14:textId="77777777" w:rsidR="00DA2A79" w:rsidRPr="00DA2A79" w:rsidRDefault="00DA2A79" w:rsidP="00DA2A79">
      <w:pPr>
        <w:spacing w:after="0" w:line="276" w:lineRule="auto"/>
        <w:jc w:val="both"/>
        <w:rPr>
          <w:rFonts w:ascii="Verdana" w:eastAsia="Calibri" w:hAnsi="Verdana" w:cs="Arial"/>
          <w:lang w:val="es-ES" w:eastAsia="es-ES"/>
        </w:rPr>
      </w:pPr>
      <w:r w:rsidRPr="00DA2A79">
        <w:rPr>
          <w:rFonts w:ascii="Verdana" w:eastAsia="Calibri" w:hAnsi="Verdana" w:cs="Arial"/>
          <w:lang w:val="es-ES" w:eastAsia="es-ES"/>
        </w:rPr>
        <w:t xml:space="preserve">Estimada señora </w:t>
      </w:r>
      <w:r w:rsidRPr="00DA2A79">
        <w:rPr>
          <w:rFonts w:ascii="Verdana" w:eastAsia="Times New Roman" w:hAnsi="Verdana" w:cs="Times New Roman"/>
          <w:color w:val="242424"/>
          <w:shd w:val="clear" w:color="auto" w:fill="FFFFFF"/>
          <w:lang w:eastAsia="es-MX"/>
        </w:rPr>
        <w:t>Cuadros Valbuena</w:t>
      </w:r>
      <w:r w:rsidRPr="00DA2A79">
        <w:rPr>
          <w:rFonts w:ascii="Verdana" w:eastAsia="Calibri" w:hAnsi="Verdana" w:cs="Arial"/>
          <w:lang w:val="es-ES" w:eastAsia="es-ES"/>
        </w:rPr>
        <w:t xml:space="preserve">: </w:t>
      </w:r>
    </w:p>
    <w:p w14:paraId="01FCFEE8" w14:textId="77777777" w:rsidR="00DA2A79" w:rsidRPr="00DA2A79" w:rsidRDefault="00DA2A79" w:rsidP="00DA2A79">
      <w:pPr>
        <w:tabs>
          <w:tab w:val="left" w:pos="3768"/>
        </w:tabs>
        <w:spacing w:after="0" w:line="276" w:lineRule="auto"/>
        <w:jc w:val="both"/>
        <w:rPr>
          <w:rFonts w:ascii="Verdana" w:eastAsia="Calibri" w:hAnsi="Verdana" w:cs="Arial"/>
          <w:lang w:val="es-ES" w:eastAsia="es-ES"/>
        </w:rPr>
      </w:pPr>
      <w:r w:rsidRPr="00DA2A79">
        <w:rPr>
          <w:rFonts w:ascii="Verdana" w:eastAsia="Calibri" w:hAnsi="Verdana" w:cs="Arial"/>
          <w:lang w:val="es-ES" w:eastAsia="es-ES"/>
        </w:rPr>
        <w:tab/>
      </w:r>
    </w:p>
    <w:p w14:paraId="61CBC89F" w14:textId="77777777" w:rsidR="00DA2A79" w:rsidRPr="00DA2A79" w:rsidRDefault="00DA2A79" w:rsidP="00DA2A79">
      <w:pPr>
        <w:spacing w:after="0" w:line="276" w:lineRule="auto"/>
        <w:jc w:val="both"/>
        <w:rPr>
          <w:rFonts w:ascii="Verdana" w:eastAsia="Calibri" w:hAnsi="Verdana" w:cs="Arial"/>
          <w:lang w:val="es-ES" w:eastAsia="es-ES"/>
        </w:rPr>
      </w:pPr>
      <w:r w:rsidRPr="00DA2A79">
        <w:rPr>
          <w:rFonts w:ascii="Verdana" w:eastAsia="Calibri" w:hAnsi="Verdana" w:cs="Arial"/>
          <w:lang w:val="es-ES" w:eastAsia="es-ES"/>
        </w:rPr>
        <w:t>En ejercicio de la competencia otorgada por los artículos 3, numeral 5º, y 11, numeral 8º, del Decreto Ley 4170 de 2011,</w:t>
      </w:r>
      <w:r w:rsidRPr="00DA2A79">
        <w:rPr>
          <w:rFonts w:ascii="Verdana" w:eastAsia="Arial MT" w:hAnsi="Verdana" w:cs="Arial MT"/>
          <w:lang w:val="es-ES" w:eastAsia="es-ES"/>
        </w:rPr>
        <w:t xml:space="preserve"> </w:t>
      </w:r>
      <w:r w:rsidRPr="00DA2A79">
        <w:rPr>
          <w:rFonts w:ascii="Verdana" w:eastAsia="Calibri" w:hAnsi="Verdana" w:cs="Arial"/>
          <w:lang w:eastAsia="es-MX"/>
        </w:rPr>
        <w:t xml:space="preserve">así como lo establecido por la </w:t>
      </w:r>
      <w:r w:rsidRPr="00DA2A79">
        <w:rPr>
          <w:rFonts w:ascii="Verdana" w:eastAsia="Aptos" w:hAnsi="Verdana" w:cs="Arial"/>
          <w:bCs/>
          <w:lang w:eastAsia="es-ES" w:bidi="es-ES"/>
        </w:rPr>
        <w:t>Resolución 469 de 2025 expedida por esta Entidad</w:t>
      </w:r>
      <w:r w:rsidRPr="00DA2A79">
        <w:rPr>
          <w:rFonts w:ascii="Verdana" w:eastAsia="Calibri" w:hAnsi="Verdana" w:cs="Arial"/>
          <w:lang w:eastAsia="es-MX"/>
        </w:rPr>
        <w:t xml:space="preserve">, </w:t>
      </w:r>
      <w:r w:rsidRPr="00DA2A79">
        <w:rPr>
          <w:rFonts w:ascii="Verdana" w:eastAsia="Calibri" w:hAnsi="Verdana" w:cs="Arial"/>
          <w:lang w:val="es-ES" w:eastAsia="es-ES"/>
        </w:rPr>
        <w:t xml:space="preserve">la Agencia Nacional de Contratación Pública – Colombia Compra Eficiente– responde su solicitud de consulta del 9 de marzo de 2026, en la cual manifiesta lo siguiente: </w:t>
      </w:r>
    </w:p>
    <w:p w14:paraId="61DC5A66" w14:textId="77777777" w:rsidR="00DA2A79" w:rsidRPr="00DA2A79" w:rsidRDefault="00DA2A79" w:rsidP="00DA2A79">
      <w:pPr>
        <w:tabs>
          <w:tab w:val="left" w:pos="142"/>
          <w:tab w:val="left" w:pos="284"/>
        </w:tabs>
        <w:spacing w:after="0" w:line="276" w:lineRule="auto"/>
        <w:ind w:left="709" w:right="709"/>
        <w:jc w:val="both"/>
        <w:rPr>
          <w:rFonts w:ascii="Verdana" w:eastAsia="Century Gothic" w:hAnsi="Verdana" w:cs="Century Gothic"/>
          <w:b/>
          <w:bCs/>
          <w:lang w:eastAsia="es-MX"/>
        </w:rPr>
      </w:pPr>
    </w:p>
    <w:p w14:paraId="5D84D558" w14:textId="77777777" w:rsidR="00DA2A79" w:rsidRPr="00DA2A79" w:rsidRDefault="00DA2A79" w:rsidP="00DA2A79">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DA2A79">
        <w:rPr>
          <w:rFonts w:ascii="Verdana" w:eastAsia="Times New Roman" w:hAnsi="Verdana" w:cs="Times New Roman"/>
          <w:color w:val="242424"/>
          <w:sz w:val="20"/>
          <w:szCs w:val="20"/>
          <w:lang w:eastAsia="es-MX"/>
        </w:rPr>
        <w:t>“</w:t>
      </w:r>
      <w:r w:rsidRPr="00DA2A79">
        <w:rPr>
          <w:rFonts w:ascii="Verdana" w:eastAsia="Aptos" w:hAnsi="Verdana" w:cs="Times New Roman"/>
          <w:kern w:val="2"/>
          <w:sz w:val="20"/>
          <w:szCs w:val="20"/>
          <w14:ligatures w14:val="standardContextual"/>
        </w:rPr>
        <w:t xml:space="preserve">Con base en este análisis, nuestra conclusión preliminar es que la construcción de un terminal de transporte terrestre, dadas sus características, no se encuentra cobijada ni por los Documentos Tipo de Infraestructura de Transporte ni por los Documentos Tipo de Infraestructura Social. Ante esta situación, solicitamos a Colombia Compra Eficiente su concepto oficial para determinar: </w:t>
      </w:r>
    </w:p>
    <w:p w14:paraId="4BF96616" w14:textId="77777777" w:rsidR="00DA2A79" w:rsidRPr="00DA2A79" w:rsidRDefault="00DA2A79" w:rsidP="00DA2A79">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DA2A79">
        <w:rPr>
          <w:rFonts w:ascii="Verdana" w:eastAsia="Aptos" w:hAnsi="Verdana" w:cs="Times New Roman"/>
          <w:kern w:val="2"/>
          <w:sz w:val="20"/>
          <w:szCs w:val="20"/>
          <w14:ligatures w14:val="standardContextual"/>
        </w:rPr>
        <w:t xml:space="preserve">1. ¿Confirman que la construcción de un terminal de transporte terrestre, con las características descritas, está excluida del ámbito de aplicación obligatorio de los Documentos Tipo de Infraestructura de Transporte y de Infraestructura Social? </w:t>
      </w:r>
    </w:p>
    <w:p w14:paraId="39CE4105" w14:textId="77777777" w:rsidR="00DA2A79" w:rsidRPr="00DA2A79" w:rsidRDefault="00DA2A79" w:rsidP="00DA2A79">
      <w:pPr>
        <w:shd w:val="clear" w:color="auto" w:fill="FFFFFF"/>
        <w:spacing w:after="0" w:line="240" w:lineRule="auto"/>
        <w:ind w:left="709" w:right="709"/>
        <w:jc w:val="both"/>
        <w:rPr>
          <w:rFonts w:ascii="Verdana" w:eastAsia="Times New Roman" w:hAnsi="Verdana" w:cs="Times New Roman"/>
          <w:color w:val="242424"/>
          <w:sz w:val="20"/>
          <w:szCs w:val="20"/>
          <w:lang w:eastAsia="es-MX"/>
        </w:rPr>
      </w:pPr>
      <w:r w:rsidRPr="00DA2A79">
        <w:rPr>
          <w:rFonts w:ascii="Verdana" w:eastAsia="Aptos" w:hAnsi="Verdana" w:cs="Times New Roman"/>
          <w:kern w:val="2"/>
          <w:sz w:val="20"/>
          <w:szCs w:val="20"/>
          <w14:ligatures w14:val="standardContextual"/>
        </w:rPr>
        <w:lastRenderedPageBreak/>
        <w:t>2. En caso negativo, ¿Indicar cuál es el sector de Documento Tipo aplicable, señalando dentro de la Matriz 1 de Experiencia, el tipo de infraestructura correspondiente y la actividad a contratar?</w:t>
      </w:r>
      <w:r w:rsidRPr="00DA2A79">
        <w:rPr>
          <w:rFonts w:ascii="Verdana" w:eastAsia="Times New Roman" w:hAnsi="Verdana" w:cs="Times New Roman"/>
          <w:color w:val="242424"/>
          <w:sz w:val="20"/>
          <w:szCs w:val="20"/>
          <w:lang w:eastAsia="es-MX"/>
        </w:rPr>
        <w:t>”.</w:t>
      </w:r>
    </w:p>
    <w:p w14:paraId="38A12D4A" w14:textId="77777777" w:rsidR="00DA2A79" w:rsidRPr="00DA2A79" w:rsidRDefault="00DA2A79" w:rsidP="00DA2A79">
      <w:pPr>
        <w:spacing w:after="0" w:line="240" w:lineRule="auto"/>
        <w:ind w:right="709"/>
        <w:jc w:val="both"/>
        <w:rPr>
          <w:rFonts w:ascii="Arial" w:eastAsia="Aptos" w:hAnsi="Arial" w:cs="Arial"/>
          <w:sz w:val="21"/>
          <w:szCs w:val="21"/>
          <w:lang w:eastAsia="es-MX"/>
        </w:rPr>
      </w:pPr>
    </w:p>
    <w:p w14:paraId="1A534CDF" w14:textId="77777777" w:rsidR="00DA2A79" w:rsidRPr="00DA2A79" w:rsidRDefault="00DA2A79" w:rsidP="00DA2A79">
      <w:pPr>
        <w:spacing w:after="120" w:line="276" w:lineRule="auto"/>
        <w:ind w:firstLine="709"/>
        <w:jc w:val="both"/>
        <w:rPr>
          <w:rFonts w:ascii="Verdana" w:eastAsia="Calibri" w:hAnsi="Verdana" w:cs="Arial"/>
          <w:color w:val="000000"/>
          <w:lang w:val="es-ES" w:eastAsia="es-ES"/>
        </w:rPr>
      </w:pPr>
      <w:r w:rsidRPr="00DA2A79">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DA2A79">
        <w:rPr>
          <w:rFonts w:ascii="Verdana" w:eastAsia="Calibri" w:hAnsi="Verdana" w:cs="Arial"/>
          <w:color w:val="000000"/>
          <w:lang w:val="es-ES_tradnl" w:eastAsia="es-ES_tradnl"/>
        </w:rPr>
        <w:tab/>
      </w:r>
    </w:p>
    <w:p w14:paraId="08B8CA73" w14:textId="77777777" w:rsidR="00DA2A79" w:rsidRPr="00DA2A79" w:rsidRDefault="00DA2A79" w:rsidP="00DA2A79">
      <w:pPr>
        <w:spacing w:after="0" w:line="276" w:lineRule="auto"/>
        <w:ind w:firstLine="709"/>
        <w:jc w:val="both"/>
        <w:rPr>
          <w:rFonts w:ascii="Verdana" w:eastAsia="Calibri" w:hAnsi="Verdana" w:cs="Arial"/>
          <w:color w:val="000000"/>
          <w:lang w:val="es-ES" w:eastAsia="es-ES"/>
        </w:rPr>
      </w:pPr>
      <w:r w:rsidRPr="00DA2A79">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DA2A79">
        <w:rPr>
          <w:rFonts w:ascii="Verdana" w:eastAsia="Calibri" w:hAnsi="Verdana" w:cs="Arial"/>
          <w:color w:val="7030A0"/>
          <w:lang w:val="es-ES" w:eastAsia="es-ES"/>
        </w:rPr>
        <w:t xml:space="preserve"> </w:t>
      </w:r>
      <w:r w:rsidRPr="00DA2A79">
        <w:rPr>
          <w:rFonts w:ascii="Verdana" w:eastAsia="Calibri" w:hAnsi="Verdana" w:cs="Arial"/>
          <w:color w:val="000000"/>
          <w:lang w:val="es-ES" w:eastAsia="es-ES"/>
        </w:rPr>
        <w:t>problema</w:t>
      </w:r>
      <w:r w:rsidRPr="00DA2A79">
        <w:rPr>
          <w:rFonts w:ascii="Verdana" w:eastAsia="Calibri" w:hAnsi="Verdana" w:cs="Arial"/>
          <w:color w:val="7030A0"/>
          <w:lang w:val="es-ES" w:eastAsia="es-ES"/>
        </w:rPr>
        <w:t xml:space="preserve"> </w:t>
      </w:r>
      <w:r w:rsidRPr="00DA2A79">
        <w:rPr>
          <w:rFonts w:ascii="Verdana" w:eastAsia="Calibri" w:hAnsi="Verdana" w:cs="Arial"/>
          <w:color w:val="000000"/>
          <w:lang w:val="es-ES" w:eastAsia="es-ES"/>
        </w:rPr>
        <w:t>jurídico</w:t>
      </w:r>
      <w:r w:rsidRPr="00DA2A79">
        <w:rPr>
          <w:rFonts w:ascii="Verdana" w:eastAsia="Calibri" w:hAnsi="Verdana" w:cs="Arial"/>
          <w:color w:val="7030A0"/>
          <w:lang w:val="es-ES" w:eastAsia="es-ES"/>
        </w:rPr>
        <w:t xml:space="preserve"> </w:t>
      </w:r>
      <w:r w:rsidRPr="00DA2A79">
        <w:rPr>
          <w:rFonts w:ascii="Verdana" w:eastAsia="Calibri" w:hAnsi="Verdana" w:cs="Arial"/>
          <w:color w:val="000000"/>
          <w:lang w:val="es-ES" w:eastAsia="es-ES"/>
        </w:rPr>
        <w:t xml:space="preserve">de su consulta. </w:t>
      </w:r>
    </w:p>
    <w:p w14:paraId="343B6389" w14:textId="77777777" w:rsidR="00DA2A79" w:rsidRPr="00DA2A79" w:rsidRDefault="00DA2A79" w:rsidP="00DA2A79">
      <w:pPr>
        <w:spacing w:after="0" w:line="276" w:lineRule="auto"/>
        <w:jc w:val="both"/>
        <w:rPr>
          <w:rFonts w:ascii="Verdana" w:eastAsia="Calibri" w:hAnsi="Verdana" w:cs="Arial"/>
          <w:lang w:val="es-ES" w:eastAsia="es-ES"/>
        </w:rPr>
      </w:pPr>
    </w:p>
    <w:p w14:paraId="65665CBA" w14:textId="77777777" w:rsidR="00DA2A79" w:rsidRPr="00DA2A79" w:rsidRDefault="00DA2A79" w:rsidP="00DA2A79">
      <w:pPr>
        <w:numPr>
          <w:ilvl w:val="0"/>
          <w:numId w:val="17"/>
        </w:numPr>
        <w:tabs>
          <w:tab w:val="left" w:pos="142"/>
          <w:tab w:val="left" w:pos="284"/>
        </w:tabs>
        <w:spacing w:after="0" w:line="276" w:lineRule="auto"/>
        <w:jc w:val="both"/>
        <w:rPr>
          <w:rFonts w:ascii="Verdana" w:eastAsia="Century Gothic" w:hAnsi="Verdana" w:cs="Century Gothic"/>
          <w:b/>
          <w:bCs/>
          <w:lang w:eastAsia="es-MX"/>
        </w:rPr>
      </w:pPr>
      <w:r w:rsidRPr="00DA2A79">
        <w:rPr>
          <w:rFonts w:ascii="Verdana" w:eastAsia="Century Gothic" w:hAnsi="Verdana" w:cs="Century Gothic"/>
          <w:b/>
          <w:bCs/>
          <w:lang w:eastAsia="es-MX"/>
        </w:rPr>
        <w:t>Problema planteado:</w:t>
      </w:r>
    </w:p>
    <w:p w14:paraId="2300433C" w14:textId="77777777" w:rsidR="00DA2A79" w:rsidRPr="00DA2A79" w:rsidRDefault="00DA2A79" w:rsidP="00DA2A79">
      <w:pPr>
        <w:tabs>
          <w:tab w:val="left" w:pos="426"/>
        </w:tabs>
        <w:spacing w:after="0" w:line="276" w:lineRule="auto"/>
        <w:jc w:val="both"/>
        <w:rPr>
          <w:rFonts w:ascii="Verdana" w:eastAsia="Century Gothic" w:hAnsi="Verdana" w:cs="Century Gothic"/>
          <w:lang w:val="es-ES" w:eastAsia="es-MX"/>
        </w:rPr>
      </w:pPr>
    </w:p>
    <w:p w14:paraId="5C200B58" w14:textId="11C463D0" w:rsidR="00DA2A79" w:rsidRPr="00DA2A79" w:rsidRDefault="00DA2A79" w:rsidP="00DA2A79">
      <w:pPr>
        <w:spacing w:after="0" w:line="276" w:lineRule="auto"/>
        <w:jc w:val="both"/>
        <w:rPr>
          <w:rFonts w:ascii="Verdana" w:eastAsia="Calibri" w:hAnsi="Verdana" w:cs="Arial"/>
          <w:bCs/>
          <w:lang w:val="es-ES_tradnl" w:eastAsia="es-ES_tradnl"/>
        </w:rPr>
      </w:pPr>
      <w:r w:rsidRPr="00DA2A79">
        <w:rPr>
          <w:rFonts w:ascii="Verdana" w:eastAsia="Century Gothic" w:hAnsi="Verdana" w:cs="Century Gothic"/>
          <w:lang w:eastAsia="es-MX"/>
        </w:rPr>
        <w:t xml:space="preserve">De acuerdo con el contenido de su solicitud, esta Agencia resolverá el siguiente problema jurídico: </w:t>
      </w:r>
      <w:r w:rsidRPr="00DA2A79">
        <w:rPr>
          <w:rFonts w:ascii="Verdana" w:eastAsia="Calibri" w:hAnsi="Verdana" w:cs="Arial"/>
          <w:color w:val="0D0D0D"/>
          <w:lang w:eastAsia="es-MX"/>
        </w:rPr>
        <w:t>¿</w:t>
      </w:r>
      <w:r w:rsidR="001E4AC6">
        <w:rPr>
          <w:rFonts w:ascii="Verdana" w:eastAsia="Calibri" w:hAnsi="Verdana" w:cs="Arial"/>
          <w:color w:val="0D0D0D"/>
          <w:lang w:eastAsia="es-MX"/>
        </w:rPr>
        <w:t>L</w:t>
      </w:r>
      <w:r w:rsidRPr="00DA2A79">
        <w:rPr>
          <w:rFonts w:ascii="Verdana" w:eastAsia="Calibri" w:hAnsi="Verdana" w:cs="Arial"/>
          <w:color w:val="0D0D0D"/>
          <w:lang w:eastAsia="es-MX"/>
        </w:rPr>
        <w:t>a construcción de un terminal de transporte terrestre debe adelantarse utilizando los documentos tipo expedidos por esta Agencia?</w:t>
      </w:r>
    </w:p>
    <w:p w14:paraId="546011CC" w14:textId="77777777" w:rsidR="00DA2A79" w:rsidRPr="00DA2A79" w:rsidRDefault="00DA2A79" w:rsidP="00DA2A79">
      <w:pPr>
        <w:spacing w:after="0" w:line="276" w:lineRule="auto"/>
        <w:jc w:val="both"/>
        <w:rPr>
          <w:rFonts w:ascii="Verdana" w:eastAsia="Century Gothic" w:hAnsi="Verdana" w:cs="Century Gothic"/>
          <w:lang w:val="es-ES_tradnl" w:eastAsia="es-MX"/>
        </w:rPr>
      </w:pPr>
    </w:p>
    <w:p w14:paraId="0497AF5B" w14:textId="77777777" w:rsidR="00DA2A79" w:rsidRPr="00DA2A79" w:rsidRDefault="00DA2A79" w:rsidP="00DA2A79">
      <w:pPr>
        <w:tabs>
          <w:tab w:val="left" w:pos="142"/>
          <w:tab w:val="left" w:pos="284"/>
        </w:tabs>
        <w:spacing w:after="0" w:line="276" w:lineRule="auto"/>
        <w:contextualSpacing/>
        <w:jc w:val="both"/>
        <w:rPr>
          <w:rFonts w:ascii="Verdana" w:eastAsia="Century Gothic" w:hAnsi="Verdana" w:cs="Century Gothic"/>
          <w:b/>
          <w:bCs/>
          <w:lang w:val="es-ES" w:eastAsia="es-MX"/>
        </w:rPr>
      </w:pPr>
      <w:r w:rsidRPr="00DA2A79">
        <w:rPr>
          <w:rFonts w:ascii="Verdana" w:eastAsia="Century Gothic" w:hAnsi="Verdana" w:cs="Century Gothic"/>
          <w:b/>
          <w:bCs/>
          <w:lang w:val="es-ES" w:eastAsia="es-MX"/>
        </w:rPr>
        <w:t>2. Respuestas:</w:t>
      </w:r>
    </w:p>
    <w:p w14:paraId="4A2EED48" w14:textId="77777777" w:rsidR="00DA2A79" w:rsidRPr="00DA2A79" w:rsidRDefault="00DA2A79" w:rsidP="00DA2A79">
      <w:pPr>
        <w:tabs>
          <w:tab w:val="left" w:pos="142"/>
          <w:tab w:val="left" w:pos="284"/>
        </w:tabs>
        <w:spacing w:after="0" w:line="276" w:lineRule="auto"/>
        <w:contextualSpacing/>
        <w:jc w:val="both"/>
        <w:rPr>
          <w:rFonts w:ascii="Verdana" w:eastAsia="Century Gothic" w:hAnsi="Verdana" w:cs="Century Gothic"/>
          <w:b/>
          <w:bCs/>
          <w:lang w:val="es-ES" w:eastAsia="es-MX"/>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A2A79" w:rsidRPr="00DA2A79" w14:paraId="2D6BA253" w14:textId="77777777" w:rsidTr="008A62F8">
        <w:trPr>
          <w:trHeight w:val="40"/>
        </w:trPr>
        <w:tc>
          <w:tcPr>
            <w:tcW w:w="8828" w:type="dxa"/>
            <w:tcBorders>
              <w:top w:val="dotted" w:sz="4" w:space="0" w:color="auto"/>
              <w:left w:val="dotted" w:sz="4" w:space="0" w:color="auto"/>
              <w:bottom w:val="dotted" w:sz="4" w:space="0" w:color="auto"/>
              <w:right w:val="dotted" w:sz="4" w:space="0" w:color="auto"/>
            </w:tcBorders>
          </w:tcPr>
          <w:p w14:paraId="0551B7FB" w14:textId="47911D24" w:rsidR="00DA2A79" w:rsidRPr="00DA2A79" w:rsidRDefault="00DA2A79" w:rsidP="009C7055">
            <w:pPr>
              <w:spacing w:after="120" w:line="276" w:lineRule="auto"/>
              <w:jc w:val="both"/>
              <w:rPr>
                <w:rFonts w:ascii="Verdana" w:eastAsia="Calibri" w:hAnsi="Verdana" w:cs="Arial"/>
                <w:lang w:eastAsia="es-MX"/>
              </w:rPr>
            </w:pPr>
            <w:r w:rsidRPr="00DA2A79">
              <w:rPr>
                <w:rFonts w:ascii="Verdana" w:eastAsia="Calibri" w:hAnsi="Verdana" w:cs="Arial"/>
                <w:lang w:eastAsia="es-MX"/>
              </w:rPr>
              <w:t xml:space="preserve">i) Sí, particularmente </w:t>
            </w:r>
            <w:r w:rsidR="001E4AC6">
              <w:rPr>
                <w:rFonts w:ascii="Verdana" w:eastAsia="Calibri" w:hAnsi="Verdana" w:cs="Arial"/>
                <w:lang w:eastAsia="es-MX"/>
              </w:rPr>
              <w:t>los</w:t>
            </w:r>
            <w:r w:rsidRPr="00DA2A79">
              <w:rPr>
                <w:rFonts w:ascii="Verdana" w:eastAsia="Calibri" w:hAnsi="Verdana" w:cs="Arial"/>
                <w:lang w:eastAsia="es-MX"/>
              </w:rPr>
              <w:t xml:space="preserve"> documentos tipo del Sector </w:t>
            </w:r>
            <w:r w:rsidR="00CE27D7">
              <w:rPr>
                <w:rFonts w:ascii="Verdana" w:eastAsia="Calibri" w:hAnsi="Verdana" w:cs="Arial"/>
                <w:lang w:eastAsia="es-MX"/>
              </w:rPr>
              <w:t>social en su subsector</w:t>
            </w:r>
            <w:r w:rsidRPr="00DA2A79">
              <w:rPr>
                <w:rFonts w:ascii="Verdana" w:eastAsia="Calibri" w:hAnsi="Verdana" w:cs="Arial"/>
                <w:lang w:eastAsia="es-MX"/>
              </w:rPr>
              <w:t xml:space="preserve"> Institucional, teniendo en cuenta las siguientes consideraciones: </w:t>
            </w:r>
          </w:p>
          <w:p w14:paraId="3541485C" w14:textId="77777777" w:rsidR="009C7055" w:rsidRPr="00DA2A79" w:rsidRDefault="009C7055" w:rsidP="009C7055">
            <w:pPr>
              <w:spacing w:after="120" w:line="276" w:lineRule="auto"/>
              <w:jc w:val="both"/>
              <w:rPr>
                <w:rFonts w:ascii="Verdana" w:eastAsia="Calibri" w:hAnsi="Verdana" w:cs="Times New Roman"/>
                <w:kern w:val="2"/>
                <w:lang w:val="es-ES"/>
                <w14:ligatures w14:val="standardContextual"/>
              </w:rPr>
            </w:pPr>
            <w:r w:rsidRPr="00DA2A79">
              <w:rPr>
                <w:rFonts w:ascii="Verdana" w:eastAsia="Calibri" w:hAnsi="Verdana" w:cs="Times New Roman"/>
                <w:kern w:val="2"/>
                <w:lang w:val="es-ES"/>
                <w14:ligatures w14:val="standardContextual"/>
              </w:rPr>
              <w:t>El artículo 17 de la Resolución 539 de 2025 y el artículo 16 de las Resoluciones 540 y 541 de 2025, adoptan los Documentos Tipo complementarios para los procesos de infraestructura social relacionados con el Sector Institucional -</w:t>
            </w:r>
            <w:r w:rsidRPr="00DA2A79">
              <w:rPr>
                <w:rFonts w:ascii="Verdana" w:eastAsia="Calibri" w:hAnsi="Verdana" w:cs="Times New Roman"/>
                <w:kern w:val="2"/>
                <w:lang w:val="es-ES"/>
                <w14:ligatures w14:val="standardContextual"/>
              </w:rPr>
              <w:lastRenderedPageBreak/>
              <w:t xml:space="preserve">según la modalidad que corresponda-. De acuerdo con el parágrafo segundo del artículo 17 y 16 de las citadas resoluciones, estos documentos aplican a los procesos contractuales que correspondan a las actividades definidas en la Matriz 1 – Experiencia del Sector Institucional. </w:t>
            </w:r>
          </w:p>
          <w:p w14:paraId="7C5D7D69" w14:textId="799B1EB3" w:rsidR="00DA2A79" w:rsidRPr="00DA2A79" w:rsidRDefault="00DA2A79" w:rsidP="00DA2A79">
            <w:pPr>
              <w:spacing w:after="120" w:line="276" w:lineRule="auto"/>
              <w:ind w:firstLine="708"/>
              <w:jc w:val="both"/>
              <w:rPr>
                <w:rFonts w:ascii="Verdana" w:eastAsia="Calibri" w:hAnsi="Verdana" w:cs="Times New Roman"/>
                <w:lang w:val="es-ES"/>
              </w:rPr>
            </w:pPr>
            <w:r w:rsidRPr="00DA2A79">
              <w:rPr>
                <w:rFonts w:ascii="Verdana" w:eastAsia="Calibri" w:hAnsi="Verdana" w:cs="Times New Roman"/>
                <w:lang w:val="es-ES" w:eastAsia="es-MX"/>
              </w:rPr>
              <w:t>L</w:t>
            </w:r>
            <w:r w:rsidRPr="00DA2A79">
              <w:rPr>
                <w:rFonts w:ascii="Verdana" w:eastAsia="Times New Roman" w:hAnsi="Verdana" w:cs="Times New Roman"/>
                <w:color w:val="000000"/>
                <w:lang w:eastAsia="es-CO"/>
              </w:rPr>
              <w:t>os documentos tipo complementarios del Sector Institucional, en la modalidad de licitación pública, selección abreviada de menor cuantía y mínima cuantía, en la Matriz 1</w:t>
            </w:r>
            <w:r w:rsidR="00C83628">
              <w:rPr>
                <w:rFonts w:ascii="Verdana" w:eastAsia="Times New Roman" w:hAnsi="Verdana" w:cs="Times New Roman"/>
                <w:color w:val="000000"/>
                <w:lang w:eastAsia="es-CO"/>
              </w:rPr>
              <w:t>- Experiencia</w:t>
            </w:r>
            <w:r w:rsidRPr="00DA2A79">
              <w:rPr>
                <w:rFonts w:ascii="Verdana" w:eastAsia="Times New Roman" w:hAnsi="Verdana" w:cs="Times New Roman"/>
                <w:color w:val="000000"/>
                <w:lang w:eastAsia="es-CO"/>
              </w:rPr>
              <w:t xml:space="preserve"> contienen los siguientes tipos de infraestructura:</w:t>
            </w:r>
            <w:r w:rsidRPr="00DA2A79">
              <w:rPr>
                <w:rFonts w:ascii="Times New Roman" w:eastAsia="Arial" w:hAnsi="Times New Roman" w:cs="Aptos"/>
                <w:lang w:eastAsia="es-ES"/>
              </w:rPr>
              <w:t xml:space="preserve"> </w:t>
            </w:r>
            <w:r w:rsidRPr="00DA2A79">
              <w:rPr>
                <w:rFonts w:ascii="Verdana" w:eastAsia="Arial" w:hAnsi="Verdana" w:cs="Aptos"/>
                <w:lang w:eastAsia="es-ES"/>
              </w:rPr>
              <w:t>“1) OBRAS EN PROYECTOS DE INFRAESTRUCTURA INSTITUCIONAL DE SEGURIDAD PUBLICA, 2) OBRAS EN PROYECTOS DE INFRAESTRUCTURA INSTITUCIONAL DE SERVICIO PÚBLICO, 3) OBRAS EN PROYECTOS DE INFRAESTRUCTURA INSTITUCIONAL - SITIOS DE RECLUSIÓN, 4) OBRAS EN VÍAS DE ACCESO O PARQUEADEROS O ZONAS DE CIRCULACIÓN (VEHICULAR O PEATONAL) O PLAZUELAS O PLAZAS O PLAZUELAS EN EDIFICACIONES INSTITUCIONALES, y 5) OBRAS PARA ATENCIÓN, PREVENCIÓN O MITIGACIÓN DE EMERGENCIAS DIFERENTES A CONTRATACIÓN DIRECTA PARA EL SECTOR INSTITUCIONAL”</w:t>
            </w:r>
            <w:r w:rsidRPr="00DA2A79">
              <w:rPr>
                <w:rFonts w:ascii="Verdana" w:eastAsia="Times New Roman" w:hAnsi="Verdana" w:cs="Arial"/>
                <w:lang w:eastAsia="es-MX"/>
              </w:rPr>
              <w:t>.</w:t>
            </w:r>
            <w:r w:rsidRPr="00DA2A79">
              <w:rPr>
                <w:rFonts w:ascii="Verdana" w:eastAsia="Calibri" w:hAnsi="Verdana" w:cs="Times New Roman"/>
                <w:lang w:eastAsia="es-MX"/>
              </w:rPr>
              <w:t xml:space="preserve"> Particularmente, en relación el problema jurídico planteado en este concepto, en el Capítulo dos (2) “</w:t>
            </w:r>
            <w:r w:rsidRPr="00DA2A79">
              <w:rPr>
                <w:rFonts w:ascii="Verdana" w:eastAsia="Arial" w:hAnsi="Verdana" w:cs="Aptos"/>
                <w:lang w:eastAsia="es-ES"/>
              </w:rPr>
              <w:t>Obras en proyectos de infraestructura institucional de servicio público”,</w:t>
            </w:r>
            <w:r w:rsidRPr="00DA2A79">
              <w:rPr>
                <w:rFonts w:ascii="Verdana" w:eastAsia="Calibri" w:hAnsi="Verdana" w:cs="Times New Roman"/>
                <w:lang w:eastAsia="es-MX"/>
              </w:rPr>
              <w:t xml:space="preserve"> se incluye la siguiente actividad que recae el proyecto por el que indaga en su solicitud:  </w:t>
            </w:r>
          </w:p>
          <w:p w14:paraId="29A126FF" w14:textId="77777777" w:rsidR="00DA2A79" w:rsidRPr="00DA2A79" w:rsidRDefault="00DA2A79" w:rsidP="00DA2A79">
            <w:pPr>
              <w:spacing w:line="276" w:lineRule="auto"/>
              <w:ind w:firstLine="708"/>
              <w:jc w:val="both"/>
              <w:rPr>
                <w:rFonts w:ascii="Verdana" w:eastAsia="Calibri" w:hAnsi="Verdana" w:cs="Times New Roman"/>
                <w:lang w:eastAsia="es-MX"/>
              </w:rPr>
            </w:pPr>
          </w:p>
          <w:p w14:paraId="2661D63C" w14:textId="77777777" w:rsidR="00DA2A79" w:rsidRPr="00DA2A79" w:rsidRDefault="00DA2A79" w:rsidP="00DA2A79">
            <w:pPr>
              <w:snapToGrid w:val="0"/>
              <w:ind w:left="709" w:right="709"/>
              <w:jc w:val="both"/>
              <w:rPr>
                <w:rFonts w:ascii="Verdana" w:eastAsia="Arial" w:hAnsi="Verdana" w:cs="Aptos"/>
                <w:i/>
                <w:iCs/>
                <w:sz w:val="21"/>
                <w:szCs w:val="21"/>
                <w:lang w:eastAsia="es-ES"/>
              </w:rPr>
            </w:pPr>
            <w:r w:rsidRPr="00DA2A79">
              <w:rPr>
                <w:rFonts w:ascii="Verdana" w:eastAsia="Calibri" w:hAnsi="Verdana" w:cs="Times New Roman"/>
                <w:sz w:val="21"/>
                <w:szCs w:val="21"/>
                <w:lang w:eastAsia="es-MX"/>
              </w:rPr>
              <w:t>“</w:t>
            </w:r>
            <w:r w:rsidRPr="00DA2A79">
              <w:rPr>
                <w:rFonts w:ascii="Verdana" w:eastAsia="Arial" w:hAnsi="Verdana" w:cs="Aptos"/>
                <w:i/>
                <w:iCs/>
                <w:sz w:val="21"/>
                <w:szCs w:val="21"/>
                <w:lang w:eastAsia="es-ES"/>
              </w:rPr>
              <w:t xml:space="preserve">2.1. PROYECTOS DE CONSTRUCCIÓN Y/O AMPLIACIÓN Y/O RECONSTRUCCIÓN DE INFRAESTRUCTURA DE SERVICIO PUBLICO”. </w:t>
            </w:r>
          </w:p>
          <w:p w14:paraId="12648E39" w14:textId="77777777" w:rsidR="00DA2A79" w:rsidRPr="00DA2A79" w:rsidRDefault="00DA2A79" w:rsidP="00DA2A79">
            <w:pPr>
              <w:snapToGrid w:val="0"/>
              <w:ind w:left="709" w:right="709"/>
              <w:jc w:val="both"/>
              <w:rPr>
                <w:rFonts w:ascii="Verdana" w:eastAsia="Arial" w:hAnsi="Verdana" w:cs="Aptos"/>
                <w:i/>
                <w:iCs/>
                <w:sz w:val="21"/>
                <w:szCs w:val="21"/>
                <w:lang w:eastAsia="es-ES"/>
              </w:rPr>
            </w:pPr>
          </w:p>
          <w:p w14:paraId="36B0CCB1" w14:textId="77777777" w:rsidR="00DA2A79" w:rsidRPr="00DA2A79" w:rsidRDefault="00DA2A79" w:rsidP="00DA2A79">
            <w:pPr>
              <w:spacing w:after="120" w:line="276" w:lineRule="auto"/>
              <w:ind w:firstLine="708"/>
              <w:jc w:val="both"/>
              <w:rPr>
                <w:rFonts w:ascii="Verdana" w:eastAsia="Aptos" w:hAnsi="Verdana" w:cs="Times New Roman"/>
                <w:color w:val="000000"/>
                <w:lang w:eastAsia="es-CO"/>
              </w:rPr>
            </w:pPr>
            <w:r w:rsidRPr="00DA2A79">
              <w:rPr>
                <w:rFonts w:ascii="Verdana" w:eastAsia="Times New Roman" w:hAnsi="Verdana" w:cs="Aptos"/>
                <w:lang w:eastAsia="es-MX"/>
              </w:rPr>
              <w:t xml:space="preserve">La actividad señala, contenida en la Matriz 1 – Experiencia de los documentos tipo del sector Institucional, de manera general corresponde a proyectos de construcción y/o ampliación y/o reconstrucción sobre </w:t>
            </w:r>
            <w:r w:rsidRPr="00DA2A79">
              <w:rPr>
                <w:rFonts w:ascii="Verdana" w:eastAsia="Arial" w:hAnsi="Verdana" w:cs="Aptos"/>
                <w:i/>
                <w:iCs/>
                <w:lang w:eastAsia="es-ES"/>
              </w:rPr>
              <w:t>infraestructura de servicio público</w:t>
            </w:r>
            <w:r w:rsidRPr="00DA2A79">
              <w:rPr>
                <w:rFonts w:ascii="Verdana" w:eastAsia="Times New Roman" w:hAnsi="Verdana" w:cs="Aptos"/>
                <w:lang w:eastAsia="es-MX"/>
              </w:rPr>
              <w:t>.</w:t>
            </w:r>
            <w:r w:rsidRPr="00DA2A79">
              <w:rPr>
                <w:rFonts w:ascii="Verdana" w:eastAsia="Aptos" w:hAnsi="Verdana" w:cs="Times New Roman"/>
                <w:color w:val="000000"/>
                <w:lang w:eastAsia="es-CO"/>
              </w:rPr>
              <w:t xml:space="preserve"> Esto es importante para precisar el ámbito de aplicación de los Documentos Tipo de este sector adoptados en de las Resoluciones 539, 540 y 541 de 2025.</w:t>
            </w:r>
          </w:p>
          <w:p w14:paraId="37A96DAE" w14:textId="6D533BCD" w:rsidR="00DA2A79" w:rsidRPr="00DA2A79" w:rsidRDefault="00DA2A79" w:rsidP="00DA2A79">
            <w:pPr>
              <w:spacing w:after="120" w:line="276" w:lineRule="auto"/>
              <w:ind w:firstLine="708"/>
              <w:jc w:val="both"/>
              <w:rPr>
                <w:rFonts w:ascii="Verdana" w:eastAsia="Calibri" w:hAnsi="Verdana" w:cs="Times New Roman"/>
                <w:lang w:val="es-ES"/>
              </w:rPr>
            </w:pPr>
            <w:r w:rsidRPr="00DA2A79">
              <w:rPr>
                <w:rFonts w:ascii="Verdana" w:eastAsia="Aptos" w:hAnsi="Verdana" w:cs="Times New Roman"/>
                <w:color w:val="000000"/>
                <w:lang w:eastAsia="es-CO"/>
              </w:rPr>
              <w:t xml:space="preserve">La nota general 1 de la </w:t>
            </w:r>
            <w:r w:rsidRPr="00DA2A79">
              <w:rPr>
                <w:rFonts w:ascii="Verdana" w:eastAsia="Arial" w:hAnsi="Verdana" w:cs="Aptos"/>
                <w:lang w:eastAsia="es-ES"/>
              </w:rPr>
              <w:t>Matriz 1</w:t>
            </w:r>
            <w:r w:rsidRPr="00DA2A79">
              <w:rPr>
                <w:rFonts w:ascii="Verdana" w:eastAsia="Calibri" w:hAnsi="Verdana" w:cs="Times New Roman"/>
                <w:lang w:val="es-ES"/>
              </w:rPr>
              <w:t xml:space="preserve">– Experiencia </w:t>
            </w:r>
            <w:r w:rsidRPr="00A72000">
              <w:rPr>
                <w:rFonts w:ascii="Verdana" w:eastAsia="Calibri" w:hAnsi="Verdana" w:cs="Times New Roman"/>
                <w:lang w:val="es-ES"/>
              </w:rPr>
              <w:t xml:space="preserve">del Sector </w:t>
            </w:r>
            <w:r w:rsidR="00A72000" w:rsidRPr="00A72000">
              <w:rPr>
                <w:rFonts w:ascii="Verdana" w:eastAsia="Calibri" w:hAnsi="Verdana" w:cs="Times New Roman"/>
                <w:lang w:val="es-ES"/>
              </w:rPr>
              <w:t>Institucional</w:t>
            </w:r>
            <w:r w:rsidRPr="00DA2A79">
              <w:rPr>
                <w:rFonts w:ascii="Verdana" w:eastAsia="Calibri" w:hAnsi="Verdana" w:cs="Times New Roman"/>
                <w:lang w:val="es-ES"/>
              </w:rPr>
              <w:t xml:space="preserve"> en las distintas modalidades de los Documentos Tipo adoptados por esta Agencia indica que “(l)as definiciones contenidas en esta Matriz deben enmarcarse en la normativa vigente en la materia, así como en la NSR 10 o aquellas que los </w:t>
            </w:r>
            <w:r w:rsidRPr="00DA2A79">
              <w:rPr>
                <w:rFonts w:ascii="Verdana" w:eastAsia="Calibri" w:hAnsi="Verdana" w:cs="Times New Roman"/>
                <w:lang w:val="es-ES"/>
              </w:rPr>
              <w:lastRenderedPageBreak/>
              <w:t>modifiquen, adicionen o sustituyan, así como a las definiciones contenidas en el "Anexo - Glosario del Sector Social"”.</w:t>
            </w:r>
          </w:p>
          <w:p w14:paraId="79E17BB5" w14:textId="77777777" w:rsidR="00DA2A79" w:rsidRPr="00DA2A79" w:rsidRDefault="00DA2A79" w:rsidP="00DA2A79">
            <w:pPr>
              <w:spacing w:after="120" w:line="276" w:lineRule="auto"/>
              <w:ind w:firstLine="708"/>
              <w:jc w:val="both"/>
              <w:rPr>
                <w:rFonts w:ascii="Verdana" w:eastAsia="Calibri" w:hAnsi="Verdana" w:cs="Arial"/>
                <w:lang w:val="es-ES_tradnl"/>
              </w:rPr>
            </w:pPr>
            <w:r w:rsidRPr="00DA2A79">
              <w:rPr>
                <w:rFonts w:ascii="Verdana" w:eastAsia="Calibri" w:hAnsi="Verdana" w:cs="Times New Roman"/>
              </w:rPr>
              <w:t xml:space="preserve">La nota general 1 contenida en la Matriz 1 – Experiencia de los Documentos Tipo indicados, es congruente con </w:t>
            </w:r>
            <w:r w:rsidRPr="00DA2A79">
              <w:rPr>
                <w:rFonts w:ascii="Verdana" w:eastAsia="Calibri" w:hAnsi="Verdana" w:cs="Arial"/>
                <w:lang w:val="es-ES_tradnl"/>
              </w:rPr>
              <w:t>el numeral 1.10 del documento base que dispone que “</w:t>
            </w:r>
            <w:r w:rsidRPr="00DA2A79">
              <w:rPr>
                <w:rFonts w:ascii="Verdana" w:eastAsia="Calibri" w:hAnsi="Verdana" w:cs="Arial"/>
                <w:lang w:val="es-MX"/>
              </w:rPr>
              <w:t>[p]ara los fines de este Pliego de Condiciones, a menos que expresamente se estipule de otra manera, los términos deben entenderse de acuerdo con la definición contenida en el artículo 2.2.1.1.1.3.1 del Decreto 1082 de 2015, el glosario aplicable a la obra pública de infraestructura social y demás normas, decretos reglamentarios y legislación aplicable en la materia</w:t>
            </w:r>
            <w:r w:rsidRPr="00DA2A79">
              <w:rPr>
                <w:rFonts w:ascii="Verdana" w:eastAsia="Calibri" w:hAnsi="Verdana" w:cs="Arial"/>
                <w:lang w:val="es-ES_tradnl"/>
              </w:rPr>
              <w:t>”.</w:t>
            </w:r>
          </w:p>
          <w:p w14:paraId="5A53C43D" w14:textId="77777777" w:rsidR="00DA2A79" w:rsidRPr="00DA2A79" w:rsidRDefault="00DA2A79" w:rsidP="00DA2A79">
            <w:pPr>
              <w:spacing w:after="120" w:line="276" w:lineRule="auto"/>
              <w:ind w:firstLine="708"/>
              <w:jc w:val="both"/>
              <w:rPr>
                <w:rFonts w:ascii="Verdana" w:eastAsia="Calibri" w:hAnsi="Verdana" w:cs="Arial"/>
                <w:color w:val="0D0D0D"/>
                <w:lang w:eastAsia="es-MX"/>
              </w:rPr>
            </w:pPr>
            <w:r w:rsidRPr="00DA2A79">
              <w:rPr>
                <w:rFonts w:ascii="Verdana" w:eastAsia="Calibri" w:hAnsi="Verdana" w:cs="Arial"/>
                <w:lang w:val="es-ES_tradnl"/>
              </w:rPr>
              <w:t xml:space="preserve">De esta forma, considerando que las actividades señaladas recaen sobre </w:t>
            </w:r>
            <w:r w:rsidRPr="00DA2A79">
              <w:rPr>
                <w:rFonts w:ascii="Verdana" w:eastAsia="Aptos" w:hAnsi="Verdana" w:cs="Calibri"/>
              </w:rPr>
              <w:t xml:space="preserve">obras en proyectos de infraestructura de servicio público, para determinar qué abarca este tipo de infraestructura, debe indicarse que de conformidad con la norma </w:t>
            </w:r>
            <w:r w:rsidRPr="00DA2A79">
              <w:rPr>
                <w:rFonts w:ascii="Verdana" w:eastAsia="Calibri" w:hAnsi="Verdana" w:cs="Arial"/>
                <w:color w:val="0D0D0D"/>
              </w:rPr>
              <w:t xml:space="preserve">NSR-10 </w:t>
            </w:r>
            <w:r w:rsidRPr="00DA2A79">
              <w:rPr>
                <w:rFonts w:ascii="Verdana" w:eastAsia="Calibri" w:hAnsi="Verdana" w:cs="Arial"/>
                <w:color w:val="0D0D0D"/>
                <w:lang w:eastAsia="es-MX"/>
              </w:rPr>
              <w:t>en el Subgrupo de Ocupación Institucional de Servicio Público (I-5) “se clasifican las edificaciones o espacios destinados a funciones administrativas y prestación de servicios públicos necesarios para el buen funcionamiento de las ciudades”</w:t>
            </w:r>
            <w:r w:rsidRPr="00DA2A79">
              <w:rPr>
                <w:rFonts w:ascii="Verdana" w:eastAsia="Calibri" w:hAnsi="Verdana" w:cs="Arial"/>
                <w:color w:val="0D0D0D"/>
                <w:vertAlign w:val="superscript"/>
                <w:lang w:eastAsia="es-MX"/>
              </w:rPr>
              <w:footnoteReference w:id="2"/>
            </w:r>
            <w:r w:rsidRPr="00DA2A79">
              <w:rPr>
                <w:rFonts w:ascii="Verdana" w:eastAsia="Calibri" w:hAnsi="Verdana" w:cs="Arial"/>
                <w:color w:val="0D0D0D"/>
                <w:lang w:eastAsia="es-MX"/>
              </w:rPr>
              <w:t>. Entre las edificaciones o espacios que pertenecen a este Subgrupo se encuentran las siguientes: “Centros de comunicación o administrativos o administrativos de servicios municipales, distritales o gubernamentales, juzgados y otros similares”</w:t>
            </w:r>
            <w:r w:rsidRPr="00DA2A79">
              <w:rPr>
                <w:rFonts w:ascii="Verdana" w:eastAsia="Calibri" w:hAnsi="Verdana" w:cs="Arial"/>
                <w:color w:val="0D0D0D"/>
                <w:vertAlign w:val="superscript"/>
                <w:lang w:eastAsia="es-MX"/>
              </w:rPr>
              <w:footnoteReference w:id="3"/>
            </w:r>
            <w:r w:rsidRPr="00DA2A79">
              <w:rPr>
                <w:rFonts w:ascii="Verdana" w:eastAsia="Calibri" w:hAnsi="Verdana" w:cs="Arial"/>
                <w:color w:val="0D0D0D"/>
                <w:lang w:eastAsia="es-MX"/>
              </w:rPr>
              <w:t>.</w:t>
            </w:r>
          </w:p>
          <w:p w14:paraId="5A9C512B" w14:textId="77777777" w:rsidR="00DA2A79" w:rsidRPr="00DA2A79" w:rsidRDefault="00DA2A79" w:rsidP="00DA2A79">
            <w:pPr>
              <w:spacing w:after="120" w:line="276" w:lineRule="auto"/>
              <w:ind w:firstLine="708"/>
              <w:jc w:val="both"/>
              <w:rPr>
                <w:rFonts w:ascii="Verdana" w:eastAsia="Calibri" w:hAnsi="Verdana" w:cs="Arial"/>
                <w:color w:val="0D0D0D"/>
                <w:lang w:eastAsia="es-MX"/>
              </w:rPr>
            </w:pPr>
            <w:r w:rsidRPr="00DA2A79">
              <w:rPr>
                <w:rFonts w:ascii="Verdana" w:eastAsia="Calibri" w:hAnsi="Verdana" w:cs="Arial"/>
                <w:color w:val="0D0D0D"/>
                <w:lang w:eastAsia="es-MX"/>
              </w:rPr>
              <w:t xml:space="preserve">En este sentido, el Subgrupo de Ocupación Institucional de Servicio Público corresponde a una categoría de clasificación establecida por la NSR-10 que agrupa a aquellas edificaciones o espacios destinados al ejercicio de funciones administrativas y a la prestación de servicios públicos esenciales para el adecuado funcionamiento de las ciudades. Este subgrupo comprende centros de comunicación, administrativos y sedes de servicios en distintos niveles, juzgados y otros similares. La expresión “Otros similares” evidencia que la enumeración no es taxativa, sino enunciativa, por lo incluye todas aquellas edificaciones que por su naturaleza y finalidad, están orientadas a la prestación de servicios públicos y al desarrollo de funciones institucionales del Estado.  </w:t>
            </w:r>
          </w:p>
          <w:p w14:paraId="39E2C5DF" w14:textId="77777777" w:rsidR="00DA2A79" w:rsidRPr="00DA2A79" w:rsidRDefault="00DA2A79" w:rsidP="00DA2A79">
            <w:pPr>
              <w:spacing w:after="120" w:line="276" w:lineRule="auto"/>
              <w:ind w:firstLine="708"/>
              <w:jc w:val="both"/>
              <w:rPr>
                <w:rFonts w:ascii="Verdana" w:eastAsia="Calibri" w:hAnsi="Verdana" w:cs="Arial"/>
                <w:lang w:val="es-ES" w:eastAsia="es-MX"/>
              </w:rPr>
            </w:pPr>
            <w:r w:rsidRPr="00DA2A79">
              <w:rPr>
                <w:rFonts w:ascii="Verdana" w:eastAsia="Calibri" w:hAnsi="Verdana" w:cs="Arial"/>
                <w:color w:val="0D0D0D"/>
                <w:lang w:eastAsia="es-MX"/>
              </w:rPr>
              <w:lastRenderedPageBreak/>
              <w:t>De acuerdo con la definición del Subgrupo de Ocupación Institucional y las edificaciones que este comprende, para efectos de atender el problema jurídico planteado en este concepto, en el que se indaga sí ¿la construcción de un terminal de transporte terrestre debe adelantarse utilizando los documentos tipo expedidos por esta Agencia? Sobre el particular le informamos que, de acuerdo con el Decreto </w:t>
            </w:r>
            <w:hyperlink r:id="rId12" w:anchor="0" w:history="1">
              <w:r w:rsidRPr="00DA2A79">
                <w:rPr>
                  <w:rFonts w:ascii="Verdana" w:eastAsia="Calibri" w:hAnsi="Verdana" w:cs="Arial"/>
                  <w:color w:val="0D0D0D"/>
                  <w:lang w:eastAsia="es-MX"/>
                </w:rPr>
                <w:t>2762</w:t>
              </w:r>
            </w:hyperlink>
            <w:r w:rsidRPr="00DA2A79">
              <w:rPr>
                <w:rFonts w:ascii="Verdana" w:eastAsia="Calibri" w:hAnsi="Verdana" w:cs="Arial"/>
                <w:color w:val="0D0D0D"/>
                <w:lang w:eastAsia="es-MX"/>
              </w:rPr>
              <w:t> de 2001 adicionado por el Decreto </w:t>
            </w:r>
            <w:hyperlink r:id="rId13" w:anchor="2028" w:history="1">
              <w:r w:rsidRPr="00DA2A79">
                <w:rPr>
                  <w:rFonts w:ascii="Verdana" w:eastAsia="Calibri" w:hAnsi="Verdana" w:cs="Arial"/>
                  <w:color w:val="0D0D0D"/>
                  <w:lang w:eastAsia="es-MX"/>
                </w:rPr>
                <w:t>2028</w:t>
              </w:r>
            </w:hyperlink>
            <w:r w:rsidRPr="00DA2A79">
              <w:rPr>
                <w:rFonts w:ascii="Verdana" w:eastAsia="Calibri" w:hAnsi="Verdana" w:cs="Arial"/>
                <w:color w:val="0D0D0D"/>
                <w:lang w:eastAsia="es-MX"/>
              </w:rPr>
              <w:t xml:space="preserve"> de 2006, </w:t>
            </w:r>
            <w:r w:rsidRPr="00DA2A79">
              <w:rPr>
                <w:rFonts w:ascii="Verdana" w:eastAsia="Calibri" w:hAnsi="Verdana" w:cs="Arial"/>
                <w:lang w:val="es-ES" w:eastAsia="es-MX"/>
              </w:rPr>
              <w:t>“(…) los terminales de transporte terrestre automotor son considerados como el conjunto de instalaciones que funcionan como una unidad de servicios permanentes, junto a los equipos, órganos de administración, servicios a los usuarios, a las empresas de transporte y a su parque automotor, donde se concentran las empresas autorizadas o habilitadas que cubren rutas que tienen como origen, destino o tránsito el respectivo municipio o localidad”.</w:t>
            </w:r>
          </w:p>
          <w:p w14:paraId="4BCDE164" w14:textId="77777777" w:rsidR="00DA2A79" w:rsidRPr="00DA2A79" w:rsidRDefault="00DA2A79" w:rsidP="00DA2A79">
            <w:pPr>
              <w:spacing w:after="120" w:line="276" w:lineRule="auto"/>
              <w:ind w:firstLine="708"/>
              <w:jc w:val="both"/>
              <w:rPr>
                <w:rFonts w:ascii="Verdana" w:eastAsia="Calibri" w:hAnsi="Verdana" w:cs="Arial"/>
                <w:lang w:val="es-ES" w:eastAsia="es-MX"/>
              </w:rPr>
            </w:pPr>
            <w:r w:rsidRPr="00DA2A79">
              <w:rPr>
                <w:rFonts w:ascii="Verdana" w:eastAsia="Calibri" w:hAnsi="Verdana" w:cs="Arial"/>
                <w:lang w:val="es-ES" w:eastAsia="es-MX"/>
              </w:rPr>
              <w:t xml:space="preserve">Por su parte, el artículo 4 “prestación de este servicio público” del Decreto </w:t>
            </w:r>
            <w:hyperlink r:id="rId14" w:anchor="0" w:history="1">
              <w:r w:rsidRPr="00DA2A79">
                <w:rPr>
                  <w:rFonts w:ascii="Verdana" w:eastAsia="Calibri" w:hAnsi="Verdana" w:cs="Arial"/>
                  <w:lang w:val="es-ES" w:eastAsia="es-MX"/>
                </w:rPr>
                <w:t>2762</w:t>
              </w:r>
            </w:hyperlink>
            <w:r w:rsidRPr="00DA2A79">
              <w:rPr>
                <w:rFonts w:ascii="Verdana" w:eastAsia="Calibri" w:hAnsi="Verdana" w:cs="Arial"/>
                <w:lang w:val="es-ES" w:eastAsia="es-MX"/>
              </w:rPr>
              <w:t> de 2001, señala que “(…) El servicio público a que se refiere este decreto será prestado por personas jurídicas que cumplan con los requisitos establecidos en el mismo y demás normas que lo complementen o adicionen”. Por lo anterior, “(…) las actividades que desarrollan en los terminales de transporte terrestre automotor se consideran como servicio público, entendiendo estas actividades como aquellas que se refieren a la operación en general a la actividad transportadora”.</w:t>
            </w:r>
          </w:p>
          <w:p w14:paraId="344C89F4" w14:textId="77777777" w:rsidR="00DA2A79" w:rsidRPr="00DA2A79" w:rsidRDefault="00DA2A79" w:rsidP="00DA2A79">
            <w:pPr>
              <w:spacing w:after="120" w:line="276" w:lineRule="auto"/>
              <w:ind w:firstLine="708"/>
              <w:jc w:val="both"/>
              <w:rPr>
                <w:rFonts w:ascii="Verdana" w:eastAsia="Calibri" w:hAnsi="Verdana" w:cs="Arial"/>
                <w:lang w:eastAsia="es-MX"/>
              </w:rPr>
            </w:pPr>
            <w:r w:rsidRPr="00DA2A79">
              <w:rPr>
                <w:rFonts w:ascii="Verdana" w:eastAsia="Calibri" w:hAnsi="Verdana" w:cs="Arial"/>
                <w:lang w:eastAsia="es-MX"/>
              </w:rPr>
              <w:t>De acuerdo con lo anterior, y considerando que el tipo de obra 2, “Proyectos de infraestructura institucional de servicios públicos”, recae sobre el Subgrupo de Ocupación Institucional —con el alcance señalado previamente—, y que la actividad transportadora de un terminal de transporte se considera una actividad de servicio público, es viable concluir que los terminales de transporte prestan un servicio público. Por lo tanto, este tipo de edificaciones debe clasificarse dentro del Subgrupo de Ocupación Institucional de Servicio Público.</w:t>
            </w:r>
          </w:p>
          <w:p w14:paraId="4F0BB849" w14:textId="6740D6F8" w:rsidR="00883EF5" w:rsidRPr="00DA2A79" w:rsidRDefault="00DA2A79" w:rsidP="00883EF5">
            <w:pPr>
              <w:spacing w:after="120" w:line="276" w:lineRule="auto"/>
              <w:ind w:firstLine="708"/>
              <w:jc w:val="both"/>
              <w:rPr>
                <w:rFonts w:ascii="Verdana" w:eastAsia="Calibri" w:hAnsi="Verdana" w:cs="Arial"/>
                <w:lang w:val="es-ES" w:eastAsia="es-MX"/>
              </w:rPr>
            </w:pPr>
            <w:r w:rsidRPr="00DA2A79">
              <w:rPr>
                <w:rFonts w:ascii="Verdana" w:eastAsia="Calibri" w:hAnsi="Verdana" w:cs="Arial"/>
                <w:lang w:val="es-ES" w:eastAsia="es-MX"/>
              </w:rPr>
              <w:t xml:space="preserve">Por lo anterior, la Agencia Nacional de Contratación Pública – Colombia Compra Eficiente le informa que a partir del 16 de febrero de 2026, si una entidad de aquellas obligadas a utilizar los documentos tipo expedidos por esta Entidad adelanta un proceso que tenga por objeto la(s) actividad(es) de </w:t>
            </w:r>
            <w:r w:rsidRPr="00DA2A79">
              <w:rPr>
                <w:rFonts w:ascii="Verdana" w:eastAsia="Times New Roman" w:hAnsi="Verdana" w:cs="Aptos"/>
                <w:lang w:eastAsia="es-MX"/>
              </w:rPr>
              <w:t xml:space="preserve">construcción y/o ampliación y/o reconstrucción sobre </w:t>
            </w:r>
            <w:r w:rsidRPr="00DA2A79">
              <w:rPr>
                <w:rFonts w:ascii="Verdana" w:eastAsia="Arial" w:hAnsi="Verdana" w:cs="Aptos"/>
                <w:i/>
                <w:iCs/>
                <w:lang w:eastAsia="es-ES"/>
              </w:rPr>
              <w:t xml:space="preserve">infraestructura de </w:t>
            </w:r>
            <w:r w:rsidRPr="00DA2A79">
              <w:rPr>
                <w:rFonts w:ascii="Verdana" w:eastAsia="Arial" w:hAnsi="Verdana" w:cs="Aptos"/>
                <w:i/>
                <w:iCs/>
                <w:lang w:eastAsia="es-ES"/>
              </w:rPr>
              <w:lastRenderedPageBreak/>
              <w:t>servicio público – terminales de transporte terrestre,</w:t>
            </w:r>
            <w:r w:rsidRPr="00DA2A79">
              <w:rPr>
                <w:rFonts w:ascii="Verdana" w:eastAsia="Times New Roman" w:hAnsi="Verdana" w:cs="Aptos"/>
                <w:lang w:eastAsia="es-MX"/>
              </w:rPr>
              <w:t xml:space="preserve"> </w:t>
            </w:r>
            <w:r w:rsidRPr="00DA2A79">
              <w:rPr>
                <w:rFonts w:ascii="Verdana" w:eastAsia="Calibri" w:hAnsi="Verdana" w:cs="Arial"/>
                <w:lang w:val="es-ES" w:eastAsia="es-MX"/>
              </w:rPr>
              <w:t xml:space="preserve">deberá implementar los documentos tipo </w:t>
            </w:r>
            <w:r w:rsidR="00883EF5">
              <w:rPr>
                <w:rFonts w:ascii="Verdana" w:eastAsia="Calibri" w:hAnsi="Verdana" w:cs="Arial"/>
                <w:lang w:val="es-ES" w:eastAsia="es-MX"/>
              </w:rPr>
              <w:t xml:space="preserve">del Sector Institucional. </w:t>
            </w:r>
          </w:p>
          <w:p w14:paraId="75A7476A" w14:textId="117E9940" w:rsidR="00DA2A79" w:rsidRPr="00DA2A79" w:rsidRDefault="00DA2A79" w:rsidP="00883EF5">
            <w:pPr>
              <w:spacing w:after="120" w:line="276" w:lineRule="auto"/>
              <w:ind w:firstLine="708"/>
              <w:jc w:val="both"/>
              <w:rPr>
                <w:rFonts w:ascii="Verdana" w:eastAsia="Calibri" w:hAnsi="Verdana" w:cs="Arial"/>
                <w:bCs/>
                <w:color w:val="000000"/>
                <w:kern w:val="2"/>
                <w14:ligatures w14:val="standardContextual"/>
              </w:rPr>
            </w:pPr>
            <w:r w:rsidRPr="00DA2A79">
              <w:rPr>
                <w:rFonts w:ascii="Verdana" w:eastAsia="Calibri" w:hAnsi="Verdana" w:cs="Arial"/>
                <w:bCs/>
                <w:color w:val="000000"/>
              </w:rPr>
              <w:t xml:space="preserve">Sin perjuicio de las aclaraciones anteriores, 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1 de cada documento tipo, y si en consecuencia deben aplicarse o no determinados documentos tipo, conforme a los parámetros indicados en este concepto. Lo anterior sin que pueda apartarse de su aplicación cuando materialmente el objeto a contratar corresponde con alguna actividad de contemplada en dicha matriz. </w:t>
            </w:r>
          </w:p>
        </w:tc>
      </w:tr>
    </w:tbl>
    <w:p w14:paraId="153F0486" w14:textId="77777777" w:rsidR="00DA2A79" w:rsidRPr="00DA2A79" w:rsidRDefault="00DA2A79" w:rsidP="00DA2A79">
      <w:pPr>
        <w:tabs>
          <w:tab w:val="left" w:pos="142"/>
          <w:tab w:val="left" w:pos="284"/>
        </w:tabs>
        <w:spacing w:after="0" w:line="276" w:lineRule="auto"/>
        <w:jc w:val="both"/>
        <w:rPr>
          <w:rFonts w:ascii="Verdana" w:eastAsia="Century Gothic" w:hAnsi="Verdana" w:cs="Century Gothic"/>
          <w:b/>
          <w:bCs/>
          <w:lang w:val="es-ES" w:eastAsia="es-MX"/>
        </w:rPr>
      </w:pPr>
    </w:p>
    <w:p w14:paraId="2D9D4F43" w14:textId="77777777" w:rsidR="00DA2A79" w:rsidRPr="00DA2A79" w:rsidRDefault="00DA2A79" w:rsidP="00DA2A79">
      <w:pPr>
        <w:tabs>
          <w:tab w:val="left" w:pos="142"/>
          <w:tab w:val="left" w:pos="284"/>
        </w:tabs>
        <w:spacing w:after="0" w:line="276" w:lineRule="auto"/>
        <w:jc w:val="both"/>
        <w:rPr>
          <w:rFonts w:ascii="Verdana" w:eastAsia="Century Gothic" w:hAnsi="Verdana" w:cs="Century Gothic"/>
          <w:b/>
          <w:bCs/>
          <w:lang w:val="es-ES" w:eastAsia="es-MX"/>
        </w:rPr>
      </w:pPr>
      <w:r w:rsidRPr="00DA2A79">
        <w:rPr>
          <w:rFonts w:ascii="Verdana" w:eastAsia="Century Gothic" w:hAnsi="Verdana" w:cs="Century Gothic"/>
          <w:b/>
          <w:bCs/>
          <w:lang w:val="es-ES" w:eastAsia="es-MX"/>
        </w:rPr>
        <w:t>3. Razones de la respuesta:</w:t>
      </w:r>
    </w:p>
    <w:p w14:paraId="06F69B3B" w14:textId="77777777" w:rsidR="00DA2A79" w:rsidRPr="00DA2A79" w:rsidRDefault="00DA2A79" w:rsidP="00DA2A79">
      <w:pPr>
        <w:spacing w:after="0" w:line="276" w:lineRule="auto"/>
        <w:jc w:val="both"/>
        <w:rPr>
          <w:rFonts w:ascii="Verdana" w:eastAsia="Calibri" w:hAnsi="Verdana" w:cs="Arial"/>
          <w:lang w:val="es-ES" w:eastAsia="es-MX"/>
        </w:rPr>
      </w:pPr>
    </w:p>
    <w:p w14:paraId="3DADCA66" w14:textId="77777777" w:rsidR="00DA2A79" w:rsidRPr="00DA2A79" w:rsidRDefault="00DA2A79" w:rsidP="00DA2A79">
      <w:pPr>
        <w:spacing w:after="0" w:line="276" w:lineRule="auto"/>
        <w:jc w:val="both"/>
        <w:rPr>
          <w:rFonts w:ascii="Verdana" w:eastAsia="Calibri" w:hAnsi="Verdana" w:cs="Arial"/>
          <w:lang w:val="es-ES" w:eastAsia="es-MX"/>
        </w:rPr>
      </w:pPr>
      <w:r w:rsidRPr="00DA2A79">
        <w:rPr>
          <w:rFonts w:ascii="Verdana" w:eastAsia="Calibri" w:hAnsi="Verdana" w:cs="Arial"/>
          <w:lang w:val="es-ES" w:eastAsia="es-MX"/>
        </w:rPr>
        <w:t xml:space="preserve">Lo anterior se sustenta en las siguientes consideraciones: </w:t>
      </w:r>
    </w:p>
    <w:p w14:paraId="4F3A8C16" w14:textId="77777777" w:rsidR="00DA2A79" w:rsidRPr="00DA2A79" w:rsidRDefault="00DA2A79" w:rsidP="00DA2A79">
      <w:pPr>
        <w:spacing w:after="0" w:line="276" w:lineRule="auto"/>
        <w:jc w:val="both"/>
        <w:rPr>
          <w:rFonts w:ascii="Verdana" w:eastAsia="Calibri" w:hAnsi="Verdana" w:cs="Arial"/>
          <w:lang w:val="es-ES" w:eastAsia="es-MX"/>
        </w:rPr>
      </w:pPr>
    </w:p>
    <w:p w14:paraId="141D0A73" w14:textId="77777777" w:rsidR="00DA2A79" w:rsidRPr="00DA2A79" w:rsidRDefault="00DA2A79" w:rsidP="00DA2A79">
      <w:pPr>
        <w:spacing w:after="120" w:line="276" w:lineRule="auto"/>
        <w:jc w:val="both"/>
        <w:rPr>
          <w:rFonts w:ascii="Verdana" w:eastAsia="Aptos" w:hAnsi="Verdana" w:cs="Arial"/>
          <w:lang w:eastAsia="es-MX"/>
        </w:rPr>
      </w:pPr>
      <w:r w:rsidRPr="00DA2A79">
        <w:rPr>
          <w:rFonts w:ascii="Verdana" w:eastAsia="Aptos" w:hAnsi="Verdana" w:cs="Arial"/>
          <w:lang w:eastAsia="es-MX"/>
        </w:rPr>
        <w:t>i. 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3926AB2E" w14:textId="77777777" w:rsidR="00DA2A79" w:rsidRPr="00DA2A79" w:rsidRDefault="00DA2A79" w:rsidP="00DA2A79">
      <w:pPr>
        <w:spacing w:after="120" w:line="276" w:lineRule="auto"/>
        <w:ind w:firstLine="708"/>
        <w:jc w:val="both"/>
        <w:rPr>
          <w:rFonts w:ascii="Verdana" w:eastAsia="Aptos" w:hAnsi="Verdana" w:cs="Arial"/>
          <w:lang w:eastAsia="es-MX"/>
        </w:rPr>
      </w:pPr>
      <w:r w:rsidRPr="00DA2A79">
        <w:rPr>
          <w:rFonts w:ascii="Verdana" w:eastAsia="Aptos" w:hAnsi="Verdana" w:cs="Arial"/>
          <w:lang w:val="es-ES" w:eastAsia="es-MX"/>
        </w:rPr>
        <w:t>Con sustento en esta competencia, esta Agencia expidió diversos grupos de documentos tipo aplicables principalmente a la contratación de obras públicas de infraestructura de transporte, de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1B81CF8A" w14:textId="77777777" w:rsidR="00DA2A79" w:rsidRPr="00DA2A79" w:rsidRDefault="00DA2A79" w:rsidP="00DA2A79">
      <w:pPr>
        <w:spacing w:after="120" w:line="276" w:lineRule="auto"/>
        <w:ind w:firstLine="708"/>
        <w:jc w:val="both"/>
        <w:rPr>
          <w:rFonts w:ascii="Verdana" w:eastAsia="Times New Roman" w:hAnsi="Verdana" w:cs="Times New Roman"/>
          <w:color w:val="000000"/>
          <w:lang w:eastAsia="es-CO"/>
        </w:rPr>
      </w:pPr>
      <w:r w:rsidRPr="00DA2A79">
        <w:rPr>
          <w:rFonts w:ascii="Verdana" w:eastAsia="Aptos" w:hAnsi="Verdana" w:cs="Arial"/>
          <w:lang w:eastAsia="es-MX"/>
        </w:rPr>
        <w:t xml:space="preserve">En el sector social, </w:t>
      </w:r>
      <w:r w:rsidRPr="00DA2A79">
        <w:rPr>
          <w:rFonts w:ascii="Verdana" w:eastAsia="Calibri" w:hAnsi="Verdana" w:cs="Arial"/>
          <w:lang w:val="es-MX" w:eastAsia="es-MX"/>
        </w:rPr>
        <w:t xml:space="preserve">la Agencia Nacional de Contratación Pública – Colombia Compra </w:t>
      </w:r>
      <w:r w:rsidRPr="00DA2A79">
        <w:rPr>
          <w:rFonts w:ascii="Verdana" w:eastAsia="Calibri" w:hAnsi="Verdana" w:cs="Arial"/>
          <w:lang w:eastAsia="es-MX"/>
        </w:rPr>
        <w:t xml:space="preserve">Eficiente </w:t>
      </w:r>
      <w:r w:rsidRPr="00DA2A79">
        <w:rPr>
          <w:rFonts w:ascii="Verdana" w:eastAsia="Times New Roman" w:hAnsi="Verdana" w:cs="Times New Roman"/>
          <w:color w:val="000000"/>
          <w:lang w:eastAsia="es-CO"/>
        </w:rPr>
        <w:t>en el segundo semestre del año 2025 adoptó las siguientes Resoluciones para contratar obra pública y concurso de méritos:</w:t>
      </w:r>
    </w:p>
    <w:p w14:paraId="5E03B414" w14:textId="77777777" w:rsidR="00DA2A79" w:rsidRPr="00DA2A79" w:rsidRDefault="00DA2A79" w:rsidP="00DA2A79">
      <w:pPr>
        <w:spacing w:after="120" w:line="276" w:lineRule="auto"/>
        <w:ind w:firstLine="708"/>
        <w:jc w:val="both"/>
        <w:rPr>
          <w:rFonts w:ascii="Verdana" w:eastAsia="Times New Roman" w:hAnsi="Verdana" w:cs="Times New Roman"/>
          <w:color w:val="000000"/>
          <w:lang w:eastAsia="es-CO"/>
        </w:rPr>
      </w:pPr>
      <w:r w:rsidRPr="00DA2A79">
        <w:rPr>
          <w:rFonts w:ascii="Verdana" w:eastAsia="Times New Roman" w:hAnsi="Verdana" w:cs="Times New Roman"/>
          <w:color w:val="000000"/>
          <w:lang w:eastAsia="es-CO"/>
        </w:rPr>
        <w:lastRenderedPageBreak/>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4F204007" w14:textId="77777777" w:rsidR="00DA2A79" w:rsidRPr="00DA2A79" w:rsidRDefault="00DA2A79" w:rsidP="00DA2A79">
      <w:pPr>
        <w:spacing w:after="120" w:line="276" w:lineRule="auto"/>
        <w:ind w:firstLine="708"/>
        <w:jc w:val="both"/>
        <w:rPr>
          <w:rFonts w:ascii="Verdana" w:eastAsia="Times New Roman" w:hAnsi="Verdana" w:cs="Times New Roman"/>
          <w:color w:val="000000"/>
          <w:lang w:eastAsia="es-CO"/>
        </w:rPr>
      </w:pPr>
      <w:r w:rsidRPr="00DA2A79">
        <w:rPr>
          <w:rFonts w:ascii="Verdana" w:eastAsia="Times New Roman" w:hAnsi="Verdana" w:cs="Times New Roman"/>
          <w:color w:val="000000"/>
          <w:lang w:eastAsia="es-CO"/>
        </w:rPr>
        <w:t xml:space="preserve"> ii)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23452170" w14:textId="77777777" w:rsidR="00DA2A79" w:rsidRPr="00DA2A79" w:rsidRDefault="00DA2A79" w:rsidP="00DA2A79">
      <w:pPr>
        <w:spacing w:after="120" w:line="276" w:lineRule="auto"/>
        <w:ind w:firstLine="708"/>
        <w:jc w:val="both"/>
        <w:rPr>
          <w:rFonts w:ascii="Verdana" w:eastAsia="Times New Roman" w:hAnsi="Verdana" w:cs="Times New Roman"/>
          <w:color w:val="000000"/>
          <w:lang w:eastAsia="es-CO"/>
        </w:rPr>
      </w:pPr>
      <w:r w:rsidRPr="00DA2A79">
        <w:rPr>
          <w:rFonts w:ascii="Verdana" w:eastAsia="Times New Roman" w:hAnsi="Verdana" w:cs="Times New Roman"/>
          <w:color w:val="000000"/>
          <w:lang w:eastAsia="es-CO"/>
        </w:rPr>
        <w:t xml:space="preserve">iii)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2E2097CF" w14:textId="77777777" w:rsidR="00DA2A79" w:rsidRPr="00DA2A79" w:rsidRDefault="00DA2A79" w:rsidP="00DA2A79">
      <w:pPr>
        <w:spacing w:after="120" w:line="276" w:lineRule="auto"/>
        <w:ind w:firstLine="708"/>
        <w:jc w:val="both"/>
        <w:rPr>
          <w:rFonts w:ascii="Verdana" w:eastAsia="Times New Roman" w:hAnsi="Verdana" w:cs="Times New Roman"/>
          <w:color w:val="000000"/>
          <w:lang w:eastAsia="es-CO"/>
        </w:rPr>
      </w:pPr>
      <w:r w:rsidRPr="00DA2A79">
        <w:rPr>
          <w:rFonts w:ascii="Verdana" w:eastAsia="Times New Roman" w:hAnsi="Verdana" w:cs="Times New Roman"/>
          <w:color w:val="000000"/>
          <w:lang w:eastAsia="es-CO"/>
        </w:rPr>
        <w:t>iv)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336CBD09" w14:textId="77777777" w:rsidR="00DA2A79" w:rsidRPr="00DA2A79" w:rsidRDefault="00DA2A79" w:rsidP="00DA2A79">
      <w:pPr>
        <w:spacing w:after="120" w:line="276" w:lineRule="auto"/>
        <w:ind w:firstLine="708"/>
        <w:jc w:val="both"/>
        <w:rPr>
          <w:rFonts w:ascii="Verdana" w:eastAsia="Times New Roman" w:hAnsi="Verdana" w:cs="Times New Roman"/>
          <w:color w:val="000000"/>
          <w:lang w:eastAsia="es-CO"/>
        </w:rPr>
      </w:pPr>
      <w:r w:rsidRPr="00DA2A79">
        <w:rPr>
          <w:rFonts w:ascii="Verdana" w:eastAsia="Times New Roman" w:hAnsi="Verdana" w:cs="Times New Roman"/>
          <w:color w:val="000000"/>
          <w:lang w:eastAsia="es-CO"/>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DA2A79">
        <w:rPr>
          <w:rFonts w:ascii="Verdana" w:eastAsia="Aptos" w:hAnsi="Verdana" w:cs="Times New Roman"/>
          <w:lang w:eastAsia="es-MX"/>
        </w:rPr>
        <w:t xml:space="preserve"> </w:t>
      </w:r>
    </w:p>
    <w:p w14:paraId="6D9CDE21" w14:textId="77777777" w:rsidR="00DA2A79" w:rsidRPr="00DA2A79" w:rsidRDefault="00DA2A79" w:rsidP="00DA2A79">
      <w:pPr>
        <w:spacing w:after="120" w:line="276" w:lineRule="auto"/>
        <w:ind w:firstLine="708"/>
        <w:jc w:val="both"/>
        <w:textAlignment w:val="baseline"/>
        <w:rPr>
          <w:rFonts w:ascii="Verdana" w:eastAsia="Calibri" w:hAnsi="Verdana" w:cs="Arial"/>
          <w:lang w:eastAsia="es-MX"/>
        </w:rPr>
      </w:pPr>
      <w:r w:rsidRPr="00DA2A79">
        <w:rPr>
          <w:rFonts w:ascii="Verdana" w:eastAsia="Aptos" w:hAnsi="Verdana" w:cs="Times New Roman"/>
          <w:lang w:eastAsia="es-MX"/>
        </w:rPr>
        <w:lastRenderedPageBreak/>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DA2A79">
        <w:rPr>
          <w:rFonts w:ascii="Verdana" w:eastAsia="Calibri" w:hAnsi="Verdana" w:cs="Arial"/>
          <w:vertAlign w:val="superscript"/>
          <w:lang w:eastAsia="es-MX"/>
        </w:rPr>
        <w:footnoteReference w:id="4"/>
      </w:r>
      <w:r w:rsidRPr="00DA2A79">
        <w:rPr>
          <w:rFonts w:ascii="Verdana" w:eastAsia="Calibri" w:hAnsi="Verdana" w:cs="Arial"/>
          <w:lang w:eastAsia="es-MX"/>
        </w:rPr>
        <w:t>.</w:t>
      </w:r>
    </w:p>
    <w:p w14:paraId="36028C5A" w14:textId="77777777" w:rsidR="00DA2A79" w:rsidRPr="00DA2A79" w:rsidRDefault="00DA2A79" w:rsidP="00DA2A79">
      <w:pPr>
        <w:widowControl w:val="0"/>
        <w:autoSpaceDE w:val="0"/>
        <w:autoSpaceDN w:val="0"/>
        <w:spacing w:after="120" w:line="276" w:lineRule="auto"/>
        <w:ind w:firstLine="708"/>
        <w:jc w:val="both"/>
        <w:rPr>
          <w:rFonts w:ascii="Verdana" w:eastAsia="Calibri" w:hAnsi="Verdana" w:cs="Arial"/>
          <w:kern w:val="2"/>
          <w14:ligatures w14:val="standardContextual"/>
        </w:rPr>
      </w:pPr>
      <w:r w:rsidRPr="00DA2A79">
        <w:rPr>
          <w:rFonts w:ascii="Verdana" w:eastAsia="Calibri" w:hAnsi="Verdana" w:cs="Arial"/>
          <w:kern w:val="2"/>
          <w14:ligatures w14:val="standardContextual"/>
        </w:rPr>
        <w:t xml:space="preserve">De acuerdo con el artículo tercero de las Resoluciones 539, 540 y 541 del 21 de agosto de 2025, los Documentos Tipo que estas adoptan son de carácter obligatorio en la actividad contractual de las Entidades Estatales sometidas al Estatuto General de Contratación de la Administración Pública. Asimismo, su aplicación es exigible a los patrimonios autónomos y a las personas naturales o jurídicas de derecho público que, por mandato legal, estén obligadas a su implementación. </w:t>
      </w:r>
    </w:p>
    <w:p w14:paraId="1ACF35FC" w14:textId="77777777" w:rsidR="00DA2A79" w:rsidRPr="00DA2A79" w:rsidRDefault="00DA2A79" w:rsidP="00DA2A79">
      <w:pPr>
        <w:widowControl w:val="0"/>
        <w:autoSpaceDE w:val="0"/>
        <w:autoSpaceDN w:val="0"/>
        <w:spacing w:after="120" w:line="276" w:lineRule="auto"/>
        <w:ind w:firstLine="708"/>
        <w:jc w:val="both"/>
        <w:rPr>
          <w:rFonts w:ascii="Verdana" w:eastAsia="Calibri" w:hAnsi="Verdana" w:cs="Arial"/>
          <w:kern w:val="2"/>
          <w14:ligatures w14:val="standardContextual"/>
        </w:rPr>
      </w:pPr>
      <w:r w:rsidRPr="00DA2A79">
        <w:rPr>
          <w:rFonts w:ascii="Verdana" w:eastAsia="Calibri" w:hAnsi="Verdana" w:cs="Arial"/>
          <w:kern w:val="2"/>
          <w14:ligatures w14:val="standardContextual"/>
        </w:rPr>
        <w:lastRenderedPageBreak/>
        <w:t xml:space="preserve">En consecuencia, los obligados a su aplicación, al adelantar sus procedimientos de selección, solo podrán modificarlos en los aspectos que los Documentos Tipo lo permitan. </w:t>
      </w:r>
      <w:r w:rsidRPr="00DA2A79">
        <w:rPr>
          <w:rFonts w:ascii="Verdana" w:eastAsia="Calibri" w:hAnsi="Verdana" w:cs="Times New Roman"/>
          <w:kern w:val="2"/>
          <w:lang w:val="es-ES"/>
          <w14:ligatures w14:val="standardContextual"/>
        </w:rPr>
        <w:t xml:space="preserve">Esto corresponde a aquellos aspectos que se encuentran entre corchetes y resaltados en gris </w:t>
      </w:r>
      <w:r w:rsidRPr="00DA2A79">
        <w:rPr>
          <w:rFonts w:ascii="Verdana" w:eastAsia="Calibri" w:hAnsi="Verdana" w:cs="Times New Roman"/>
          <w:kern w:val="2"/>
          <w:shd w:val="clear" w:color="auto" w:fill="E8E8E8"/>
          <w:lang w:val="es-ES"/>
          <w14:ligatures w14:val="standardContextual"/>
        </w:rPr>
        <w:t>–[texto]–,</w:t>
      </w:r>
      <w:r w:rsidRPr="00DA2A79">
        <w:rPr>
          <w:rFonts w:ascii="Verdana" w:eastAsia="Calibri" w:hAnsi="Verdana" w:cs="Times New Roman"/>
          <w:kern w:val="2"/>
          <w:lang w:val="es-ES"/>
          <w14:ligatures w14:val="standardContextual"/>
        </w:rPr>
        <w:t xml:space="preserve"> para lo cual deberán observarse las instrucciones contenidas en los mismos para su diligenciamiento.</w:t>
      </w:r>
    </w:p>
    <w:p w14:paraId="1A56BD7F" w14:textId="77777777" w:rsidR="00DA2A79" w:rsidRPr="00DA2A79" w:rsidRDefault="00DA2A79" w:rsidP="00DA2A79">
      <w:pPr>
        <w:widowControl w:val="0"/>
        <w:autoSpaceDE w:val="0"/>
        <w:autoSpaceDN w:val="0"/>
        <w:spacing w:after="120" w:line="276" w:lineRule="auto"/>
        <w:ind w:firstLine="708"/>
        <w:jc w:val="both"/>
        <w:rPr>
          <w:rFonts w:ascii="Verdana" w:eastAsia="Calibri" w:hAnsi="Verdana" w:cs="Times New Roman"/>
          <w:lang w:val="es-ES" w:eastAsia="es-MX"/>
        </w:rPr>
      </w:pPr>
      <w:r w:rsidRPr="00DA2A79">
        <w:rPr>
          <w:rFonts w:ascii="Verdana" w:eastAsia="Calibri" w:hAnsi="Verdana" w:cs="Times New Roman"/>
          <w:lang w:val="es-ES" w:eastAsia="es-MX"/>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0CB0666A" w14:textId="77777777" w:rsidR="00DA2A79" w:rsidRPr="00DA2A79" w:rsidRDefault="00DA2A79" w:rsidP="00DA2A79">
      <w:pPr>
        <w:widowControl w:val="0"/>
        <w:autoSpaceDE w:val="0"/>
        <w:autoSpaceDN w:val="0"/>
        <w:spacing w:after="120" w:line="276" w:lineRule="auto"/>
        <w:ind w:firstLine="708"/>
        <w:jc w:val="both"/>
        <w:rPr>
          <w:rFonts w:ascii="Verdana" w:eastAsia="Calibri" w:hAnsi="Verdana" w:cs="Times New Roman"/>
          <w:lang w:val="es-ES" w:eastAsia="es-MX"/>
        </w:rPr>
      </w:pPr>
      <w:r w:rsidRPr="00DA2A79">
        <w:rPr>
          <w:rFonts w:ascii="Verdana" w:eastAsia="Calibri" w:hAnsi="Verdana" w:cs="Times New Roman"/>
          <w:lang w:val="es-ES" w:eastAsia="es-MX"/>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6655A99A" w14:textId="77777777" w:rsidR="00DA2A79" w:rsidRPr="00DA2A79" w:rsidRDefault="00DA2A79" w:rsidP="00DA2A79">
      <w:pPr>
        <w:widowControl w:val="0"/>
        <w:autoSpaceDE w:val="0"/>
        <w:autoSpaceDN w:val="0"/>
        <w:spacing w:after="120" w:line="276" w:lineRule="auto"/>
        <w:ind w:firstLine="708"/>
        <w:jc w:val="both"/>
        <w:rPr>
          <w:rFonts w:ascii="Verdana" w:eastAsia="Calibri" w:hAnsi="Verdana" w:cs="Times New Roman"/>
          <w:lang w:val="es-ES" w:eastAsia="es-MX"/>
        </w:rPr>
      </w:pPr>
      <w:r w:rsidRPr="00DA2A79">
        <w:rPr>
          <w:rFonts w:ascii="Verdana" w:eastAsia="Calibri" w:hAnsi="Verdana" w:cs="Times New Roman"/>
          <w:lang w:val="es-ES" w:eastAsia="es-MX"/>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7F586284" w14:textId="77777777" w:rsidR="00DA2A79" w:rsidRPr="00DA2A79" w:rsidRDefault="00DA2A79" w:rsidP="00DA2A79">
      <w:pPr>
        <w:widowControl w:val="0"/>
        <w:autoSpaceDE w:val="0"/>
        <w:autoSpaceDN w:val="0"/>
        <w:spacing w:after="120" w:line="276" w:lineRule="auto"/>
        <w:ind w:firstLine="708"/>
        <w:jc w:val="both"/>
        <w:rPr>
          <w:rFonts w:ascii="Verdana" w:eastAsia="Calibri" w:hAnsi="Verdana" w:cs="Times New Roman"/>
          <w:lang w:val="es-ES" w:eastAsia="es-MX"/>
        </w:rPr>
      </w:pPr>
      <w:r w:rsidRPr="00DA2A79">
        <w:rPr>
          <w:rFonts w:ascii="Verdana" w:eastAsia="Calibri" w:hAnsi="Verdana" w:cs="Times New Roman"/>
          <w:lang w:val="es-ES" w:eastAsia="es-MX"/>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7CC85F88" w14:textId="77777777" w:rsidR="00DA2A79" w:rsidRPr="00DA2A79" w:rsidRDefault="00DA2A79" w:rsidP="00DA2A79">
      <w:pPr>
        <w:widowControl w:val="0"/>
        <w:autoSpaceDE w:val="0"/>
        <w:autoSpaceDN w:val="0"/>
        <w:spacing w:after="0" w:line="276" w:lineRule="auto"/>
        <w:ind w:firstLine="708"/>
        <w:jc w:val="both"/>
        <w:rPr>
          <w:rFonts w:ascii="Verdana" w:eastAsia="Calibri" w:hAnsi="Verdana" w:cs="Times New Roman"/>
          <w:lang w:val="es-ES" w:eastAsia="es-MX"/>
        </w:rPr>
      </w:pPr>
      <w:r w:rsidRPr="00DA2A79">
        <w:rPr>
          <w:rFonts w:ascii="Verdana" w:eastAsia="Calibri" w:hAnsi="Verdana" w:cs="Times New Roman"/>
          <w:lang w:val="es-ES" w:eastAsia="es-MX"/>
        </w:rPr>
        <w:t xml:space="preserve">De esta manera, para saber a qué actividades deben aplicarse los Documentos Tipo de licitación de obra pública de infraestructura social expedidos </w:t>
      </w:r>
      <w:r w:rsidRPr="00DA2A79">
        <w:rPr>
          <w:rFonts w:ascii="Verdana" w:eastAsia="Calibri" w:hAnsi="Verdana" w:cs="Times New Roman"/>
          <w:lang w:val="es-ES" w:eastAsia="es-MX"/>
        </w:rPr>
        <w:lastRenderedPageBreak/>
        <w:t>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2E05CEBB" w14:textId="77777777" w:rsidR="00DA2A79" w:rsidRPr="00DA2A79" w:rsidRDefault="00DA2A79" w:rsidP="00DA2A79">
      <w:pPr>
        <w:widowControl w:val="0"/>
        <w:autoSpaceDE w:val="0"/>
        <w:autoSpaceDN w:val="0"/>
        <w:spacing w:after="0" w:line="276" w:lineRule="auto"/>
        <w:ind w:firstLine="708"/>
        <w:jc w:val="both"/>
        <w:rPr>
          <w:rFonts w:ascii="Verdana" w:eastAsia="Calibri" w:hAnsi="Verdana" w:cs="Times New Roman"/>
          <w:lang w:val="es-ES" w:eastAsia="es-MX"/>
        </w:rPr>
      </w:pPr>
    </w:p>
    <w:p w14:paraId="2FD8AC2F" w14:textId="77777777" w:rsidR="00DA2A79" w:rsidRPr="00DA2A79" w:rsidRDefault="00DA2A79" w:rsidP="00DA2A79">
      <w:pPr>
        <w:spacing w:after="120" w:line="276" w:lineRule="auto"/>
        <w:jc w:val="both"/>
        <w:rPr>
          <w:rFonts w:ascii="Verdana" w:eastAsia="Calibri" w:hAnsi="Verdana" w:cs="Times New Roman"/>
          <w:kern w:val="2"/>
          <w:lang w:val="es-ES"/>
          <w14:ligatures w14:val="standardContextual"/>
        </w:rPr>
      </w:pPr>
      <w:r w:rsidRPr="00DA2A79">
        <w:rPr>
          <w:rFonts w:ascii="Verdana" w:eastAsia="Calibri" w:hAnsi="Verdana" w:cs="Times New Roman"/>
          <w:lang w:val="es-ES" w:eastAsia="es-MX"/>
        </w:rPr>
        <w:t xml:space="preserve">ii. </w:t>
      </w:r>
      <w:r w:rsidRPr="00DA2A79">
        <w:rPr>
          <w:rFonts w:ascii="Verdana" w:eastAsia="Calibri" w:hAnsi="Verdana" w:cs="Times New Roman"/>
          <w:kern w:val="2"/>
          <w:lang w:val="es-ES"/>
          <w14:ligatures w14:val="standardContextual"/>
        </w:rPr>
        <w:t xml:space="preserve">El artículo 17 de la Resolución 539 de 2025 y el artículo 16 de las Resoluciones 540 y 541 de 2025, adoptan los Documentos Tipo complementarios para los procesos de infraestructura social relacionados con el Sector Institucional -según la modalidad que corresponda-. De acuerdo con el parágrafo segundo del artículo 17 y 16 de las citadas resoluciones, estos documentos aplican a los procesos contractuales que correspondan a las actividades definidas en la Matriz 1 – Experiencia del Sector Institucional. </w:t>
      </w:r>
    </w:p>
    <w:p w14:paraId="26524F28" w14:textId="77777777" w:rsidR="00DA2A79" w:rsidRPr="00DA2A79" w:rsidRDefault="00DA2A79" w:rsidP="00DA2A79">
      <w:pPr>
        <w:spacing w:after="120" w:line="276" w:lineRule="auto"/>
        <w:ind w:firstLine="708"/>
        <w:jc w:val="both"/>
        <w:rPr>
          <w:rFonts w:ascii="Verdana" w:eastAsia="Calibri" w:hAnsi="Verdana" w:cs="Times New Roman"/>
          <w:kern w:val="2"/>
          <w:lang w:val="es-ES"/>
          <w14:ligatures w14:val="standardContextual"/>
        </w:rPr>
      </w:pPr>
      <w:r w:rsidRPr="00DA2A79">
        <w:rPr>
          <w:rFonts w:ascii="Verdana" w:eastAsia="Calibri" w:hAnsi="Verdana" w:cs="Times New Roman"/>
          <w:lang w:val="es-ES" w:eastAsia="es-MX"/>
        </w:rPr>
        <w:t>L</w:t>
      </w:r>
      <w:r w:rsidRPr="00DA2A79">
        <w:rPr>
          <w:rFonts w:ascii="Verdana" w:eastAsia="Times New Roman" w:hAnsi="Verdana" w:cs="Times New Roman"/>
          <w:color w:val="000000"/>
          <w:lang w:eastAsia="es-CO"/>
        </w:rPr>
        <w:t>os Documentos Tipo complementarios del Sector Institucional, en la modalidad de licitación pública, selección abreviada de menor cuantía y mínima cuantía, en la Matriz 1 contienen los siguientes tipos de infraestructura:</w:t>
      </w:r>
      <w:r w:rsidRPr="00DA2A79">
        <w:rPr>
          <w:rFonts w:ascii="Times New Roman" w:eastAsia="Arial" w:hAnsi="Times New Roman" w:cs="Aptos"/>
          <w:lang w:eastAsia="es-ES"/>
        </w:rPr>
        <w:t xml:space="preserve"> </w:t>
      </w:r>
      <w:r w:rsidRPr="00DA2A79">
        <w:rPr>
          <w:rFonts w:ascii="Verdana" w:eastAsia="Arial" w:hAnsi="Verdana" w:cs="Aptos"/>
          <w:lang w:eastAsia="es-ES"/>
        </w:rPr>
        <w:t>“1) OBRAS EN PROYECTOS DE INFRAESTRUCTURA INSTITUCIONAL DE SEGURIDAD PUBLICA, 2) OBRAS EN PROYECTOS DE INFRAESTRUCTURA INSTITUCIONAL DE SERVICIO PÚBLICO, 3) OBRAS EN PROYECTOS DE INFRAESTRUCTURA INSTITUCIONAL - SITIOS DE RECLUSIÓN, 4) OBRAS EN VÍAS DE ACCESO O PARQUEADEROS O ZONAS DE CIRCULACIÓN (VEHICULAR O PEATONAL) O PLAZUELAS O PLAZAS O PLAZUELAS EN EDIFICACIONES INSTITUCIONALES, y 5) OBRAS PARA ATENCIÓN, PREVENCIÓN O MITIGACIÓN DE EMERGENCIAS DIFERENTES A CONTRATACIÓN DIRECTA PARA EL SECTOR INSTITUCIONAL”</w:t>
      </w:r>
      <w:r w:rsidRPr="00DA2A79">
        <w:rPr>
          <w:rFonts w:ascii="Verdana" w:eastAsia="Times New Roman" w:hAnsi="Verdana" w:cs="Arial"/>
          <w:lang w:eastAsia="es-MX"/>
        </w:rPr>
        <w:t>.</w:t>
      </w:r>
      <w:r w:rsidRPr="00DA2A79">
        <w:rPr>
          <w:rFonts w:ascii="Verdana" w:eastAsia="Calibri" w:hAnsi="Verdana" w:cs="Times New Roman"/>
          <w:lang w:eastAsia="es-MX"/>
        </w:rPr>
        <w:t xml:space="preserve"> Particularmente, en relación el problema jurídico planteado en este concepto, en el Capítulo dos (2) “</w:t>
      </w:r>
      <w:r w:rsidRPr="00DA2A79">
        <w:rPr>
          <w:rFonts w:ascii="Verdana" w:eastAsia="Arial" w:hAnsi="Verdana" w:cs="Aptos"/>
          <w:lang w:eastAsia="es-ES"/>
        </w:rPr>
        <w:t>Obras en proyectos de infraestructura institucional de servicio público”,</w:t>
      </w:r>
      <w:r w:rsidRPr="00DA2A79">
        <w:rPr>
          <w:rFonts w:ascii="Verdana" w:eastAsia="Calibri" w:hAnsi="Verdana" w:cs="Times New Roman"/>
          <w:lang w:eastAsia="es-MX"/>
        </w:rPr>
        <w:t xml:space="preserve"> se incluye la siguiente actividad que recae el proyecto por el que indaga en su solicitud:  </w:t>
      </w:r>
    </w:p>
    <w:p w14:paraId="3EB38155" w14:textId="77777777" w:rsidR="00DA2A79" w:rsidRPr="00DA2A79" w:rsidRDefault="00DA2A79" w:rsidP="00DA2A79">
      <w:pPr>
        <w:spacing w:after="0" w:line="276" w:lineRule="auto"/>
        <w:ind w:firstLine="708"/>
        <w:jc w:val="both"/>
        <w:rPr>
          <w:rFonts w:ascii="Verdana" w:eastAsia="Calibri" w:hAnsi="Verdana" w:cs="Times New Roman"/>
          <w:lang w:eastAsia="es-MX"/>
        </w:rPr>
      </w:pPr>
    </w:p>
    <w:p w14:paraId="07755E84" w14:textId="77777777" w:rsidR="00DA2A79" w:rsidRPr="00DA2A79" w:rsidRDefault="00DA2A79" w:rsidP="00DA2A79">
      <w:pPr>
        <w:snapToGrid w:val="0"/>
        <w:spacing w:after="0" w:line="240" w:lineRule="auto"/>
        <w:ind w:left="709" w:right="709"/>
        <w:jc w:val="both"/>
        <w:rPr>
          <w:rFonts w:ascii="Verdana" w:eastAsia="Arial" w:hAnsi="Verdana" w:cs="Aptos"/>
          <w:i/>
          <w:iCs/>
          <w:sz w:val="21"/>
          <w:szCs w:val="21"/>
          <w:lang w:eastAsia="es-ES"/>
        </w:rPr>
      </w:pPr>
      <w:r w:rsidRPr="00DA2A79">
        <w:rPr>
          <w:rFonts w:ascii="Verdana" w:eastAsia="Calibri" w:hAnsi="Verdana" w:cs="Times New Roman"/>
          <w:sz w:val="21"/>
          <w:szCs w:val="21"/>
          <w:lang w:eastAsia="es-MX"/>
        </w:rPr>
        <w:t>“</w:t>
      </w:r>
      <w:r w:rsidRPr="00DA2A79">
        <w:rPr>
          <w:rFonts w:ascii="Verdana" w:eastAsia="Arial" w:hAnsi="Verdana" w:cs="Aptos"/>
          <w:i/>
          <w:iCs/>
          <w:sz w:val="21"/>
          <w:szCs w:val="21"/>
          <w:lang w:eastAsia="es-ES"/>
        </w:rPr>
        <w:t xml:space="preserve">2.1. PROYECTOS DE CONSTRUCCIÓN Y/O AMPLIACIÓN Y/O RECONSTRUCCIÓN DE INFRAESTRUCTURA DE SERVICIO PUBLICO”. </w:t>
      </w:r>
    </w:p>
    <w:p w14:paraId="3CB7B01E" w14:textId="77777777" w:rsidR="00DA2A79" w:rsidRPr="00DA2A79" w:rsidRDefault="00DA2A79" w:rsidP="00DA2A79">
      <w:pPr>
        <w:snapToGrid w:val="0"/>
        <w:spacing w:after="0" w:line="240" w:lineRule="auto"/>
        <w:ind w:left="709" w:right="709"/>
        <w:jc w:val="both"/>
        <w:rPr>
          <w:rFonts w:ascii="Verdana" w:eastAsia="Arial" w:hAnsi="Verdana" w:cs="Aptos"/>
          <w:i/>
          <w:iCs/>
          <w:sz w:val="21"/>
          <w:szCs w:val="21"/>
          <w:lang w:eastAsia="es-ES"/>
        </w:rPr>
      </w:pPr>
    </w:p>
    <w:p w14:paraId="6DEC3148" w14:textId="77777777" w:rsidR="00DA2A79" w:rsidRPr="00DA2A79" w:rsidRDefault="00DA2A79" w:rsidP="00DA2A79">
      <w:pPr>
        <w:spacing w:after="120" w:line="276" w:lineRule="auto"/>
        <w:ind w:firstLine="708"/>
        <w:jc w:val="both"/>
        <w:rPr>
          <w:rFonts w:ascii="Verdana" w:eastAsia="Aptos" w:hAnsi="Verdana" w:cs="Times New Roman"/>
          <w:color w:val="000000"/>
          <w:kern w:val="2"/>
          <w:lang w:eastAsia="es-CO"/>
          <w14:ligatures w14:val="standardContextual"/>
        </w:rPr>
      </w:pPr>
      <w:r w:rsidRPr="00DA2A79">
        <w:rPr>
          <w:rFonts w:ascii="Verdana" w:eastAsia="Times New Roman" w:hAnsi="Verdana" w:cs="Aptos"/>
          <w:lang w:eastAsia="es-MX"/>
        </w:rPr>
        <w:lastRenderedPageBreak/>
        <w:t xml:space="preserve">La actividad señala, contenida en la Matriz 1 – Experiencia de los Documentos Tipo del sector Institucional, de manera general corresponde a proyectos de construcción y/o ampliación y/o reconstrucción sobre </w:t>
      </w:r>
      <w:r w:rsidRPr="00DA2A79">
        <w:rPr>
          <w:rFonts w:ascii="Verdana" w:eastAsia="Arial" w:hAnsi="Verdana" w:cs="Aptos"/>
          <w:i/>
          <w:iCs/>
          <w:lang w:eastAsia="es-ES"/>
        </w:rPr>
        <w:t>infraestructura de servicio público</w:t>
      </w:r>
      <w:r w:rsidRPr="00DA2A79">
        <w:rPr>
          <w:rFonts w:ascii="Verdana" w:eastAsia="Times New Roman" w:hAnsi="Verdana" w:cs="Aptos"/>
          <w:lang w:eastAsia="es-MX"/>
        </w:rPr>
        <w:t>.</w:t>
      </w:r>
      <w:r w:rsidRPr="00DA2A79">
        <w:rPr>
          <w:rFonts w:ascii="Verdana" w:eastAsia="Aptos" w:hAnsi="Verdana" w:cs="Times New Roman"/>
          <w:color w:val="000000"/>
          <w:kern w:val="2"/>
          <w:lang w:eastAsia="es-CO"/>
          <w14:ligatures w14:val="standardContextual"/>
        </w:rPr>
        <w:t xml:space="preserve"> Esto es importante para precisar el ámbito de aplicación de los Documentos Tipo de este sector adoptados en de las Resoluciones 539, 540 y 541 de 2025.</w:t>
      </w:r>
    </w:p>
    <w:p w14:paraId="192B94D0" w14:textId="1129EBC9" w:rsidR="00DA2A79" w:rsidRPr="00DA2A79" w:rsidRDefault="00DA2A79" w:rsidP="00DA2A79">
      <w:pPr>
        <w:spacing w:after="120" w:line="276" w:lineRule="auto"/>
        <w:ind w:firstLine="708"/>
        <w:jc w:val="both"/>
        <w:rPr>
          <w:rFonts w:ascii="Verdana" w:eastAsia="Calibri" w:hAnsi="Verdana" w:cs="Times New Roman"/>
          <w:kern w:val="2"/>
          <w:lang w:val="es-ES"/>
          <w14:ligatures w14:val="standardContextual"/>
        </w:rPr>
      </w:pPr>
      <w:r w:rsidRPr="00DA2A79">
        <w:rPr>
          <w:rFonts w:ascii="Verdana" w:eastAsia="Aptos" w:hAnsi="Verdana" w:cs="Times New Roman"/>
          <w:color w:val="000000"/>
          <w:kern w:val="2"/>
          <w:lang w:eastAsia="es-CO"/>
          <w14:ligatures w14:val="standardContextual"/>
        </w:rPr>
        <w:t xml:space="preserve">La nota general 1 de la </w:t>
      </w:r>
      <w:r w:rsidRPr="00DA2A79">
        <w:rPr>
          <w:rFonts w:ascii="Verdana" w:eastAsia="Arial" w:hAnsi="Verdana" w:cs="Aptos"/>
          <w:kern w:val="2"/>
          <w:lang w:eastAsia="es-ES"/>
          <w14:ligatures w14:val="standardContextual"/>
        </w:rPr>
        <w:t>Matriz 1</w:t>
      </w:r>
      <w:r w:rsidRPr="00DA2A79">
        <w:rPr>
          <w:rFonts w:ascii="Verdana" w:eastAsia="Calibri" w:hAnsi="Verdana" w:cs="Times New Roman"/>
          <w:kern w:val="2"/>
          <w:lang w:val="es-ES"/>
          <w14:ligatures w14:val="standardContextual"/>
        </w:rPr>
        <w:t xml:space="preserve">– Experiencia del Sector </w:t>
      </w:r>
      <w:r w:rsidR="00A72000">
        <w:rPr>
          <w:rFonts w:ascii="Verdana" w:eastAsia="Calibri" w:hAnsi="Verdana" w:cs="Times New Roman"/>
          <w:kern w:val="2"/>
          <w:lang w:val="es-ES"/>
          <w14:ligatures w14:val="standardContextual"/>
        </w:rPr>
        <w:t>Institucional</w:t>
      </w:r>
      <w:r w:rsidRPr="00DA2A79">
        <w:rPr>
          <w:rFonts w:ascii="Verdana" w:eastAsia="Calibri" w:hAnsi="Verdana" w:cs="Times New Roman"/>
          <w:kern w:val="2"/>
          <w:lang w:val="es-ES"/>
          <w14:ligatures w14:val="standardContextual"/>
        </w:rPr>
        <w:t xml:space="preserve"> en las distintas modalidades de los Documentos Tipo adoptados por esta Agencia indica que “(l)as definiciones contenidas en esta Matriz deben enmarcarse en la normativa vigente en la materia, así como en la NSR 10 o aquellas que los modifiquen, adicionen o sustituyan, así como a las definiciones contenidas en el "Anexo - Glosario del Sector Social"”.</w:t>
      </w:r>
    </w:p>
    <w:p w14:paraId="37F8BA91" w14:textId="77777777" w:rsidR="00DA2A79" w:rsidRPr="00DA2A79" w:rsidRDefault="00DA2A79" w:rsidP="00DA2A79">
      <w:pPr>
        <w:spacing w:after="120" w:line="276" w:lineRule="auto"/>
        <w:ind w:firstLine="708"/>
        <w:jc w:val="both"/>
        <w:rPr>
          <w:rFonts w:ascii="Verdana" w:eastAsia="Calibri" w:hAnsi="Verdana" w:cs="Arial"/>
          <w:kern w:val="2"/>
          <w:lang w:val="es-ES_tradnl"/>
          <w14:ligatures w14:val="standardContextual"/>
        </w:rPr>
      </w:pPr>
      <w:r w:rsidRPr="00DA2A79">
        <w:rPr>
          <w:rFonts w:ascii="Verdana" w:eastAsia="Calibri" w:hAnsi="Verdana" w:cs="Times New Roman"/>
          <w:kern w:val="2"/>
          <w14:ligatures w14:val="standardContextual"/>
        </w:rPr>
        <w:t xml:space="preserve">La nota general 1 contenida en la Matriz 1 – Experiencia de los Documentos Tipo indicados, es congruente con </w:t>
      </w:r>
      <w:r w:rsidRPr="00DA2A79">
        <w:rPr>
          <w:rFonts w:ascii="Verdana" w:eastAsia="Calibri" w:hAnsi="Verdana" w:cs="Arial"/>
          <w:kern w:val="2"/>
          <w:lang w:val="es-ES_tradnl"/>
          <w14:ligatures w14:val="standardContextual"/>
        </w:rPr>
        <w:t>el numeral 1.10 del documento base que dispone que “</w:t>
      </w:r>
      <w:r w:rsidRPr="00DA2A79">
        <w:rPr>
          <w:rFonts w:ascii="Verdana" w:eastAsia="Calibri" w:hAnsi="Verdana" w:cs="Arial"/>
          <w:kern w:val="2"/>
          <w:lang w:val="es-MX"/>
          <w14:ligatures w14:val="standardContextual"/>
        </w:rPr>
        <w:t>[p]ara los fines de este Pliego de Condiciones, a menos que expresamente se estipule de otra manera, los términos deben entenderse de acuerdo con la definición contenida en el artículo 2.2.1.1.1.3.1 del Decreto 1082 de 2015, el glosario aplicable a la obra pública de infraestructura social y demás normas, decretos reglamentarios y legislación aplicable en la materia</w:t>
      </w:r>
      <w:r w:rsidRPr="00DA2A79">
        <w:rPr>
          <w:rFonts w:ascii="Verdana" w:eastAsia="Calibri" w:hAnsi="Verdana" w:cs="Arial"/>
          <w:kern w:val="2"/>
          <w:lang w:val="es-ES_tradnl"/>
          <w14:ligatures w14:val="standardContextual"/>
        </w:rPr>
        <w:t>”.</w:t>
      </w:r>
    </w:p>
    <w:p w14:paraId="5C1A1FB2" w14:textId="77777777" w:rsidR="00DA2A79" w:rsidRPr="00DA2A79" w:rsidRDefault="00DA2A79" w:rsidP="00DA2A79">
      <w:pPr>
        <w:spacing w:after="120" w:line="276" w:lineRule="auto"/>
        <w:ind w:firstLine="708"/>
        <w:jc w:val="both"/>
        <w:rPr>
          <w:rFonts w:ascii="Verdana" w:eastAsia="Calibri" w:hAnsi="Verdana" w:cs="Arial"/>
          <w:color w:val="0D0D0D"/>
          <w:lang w:eastAsia="es-MX"/>
        </w:rPr>
      </w:pPr>
      <w:r w:rsidRPr="00DA2A79">
        <w:rPr>
          <w:rFonts w:ascii="Verdana" w:eastAsia="Calibri" w:hAnsi="Verdana" w:cs="Arial"/>
          <w:kern w:val="2"/>
          <w:lang w:val="es-ES_tradnl"/>
          <w14:ligatures w14:val="standardContextual"/>
        </w:rPr>
        <w:t xml:space="preserve">De esta forma, considerando que las actividades señaladas recaen sobre </w:t>
      </w:r>
      <w:r w:rsidRPr="00DA2A79">
        <w:rPr>
          <w:rFonts w:ascii="Verdana" w:eastAsia="Aptos" w:hAnsi="Verdana" w:cs="Calibri"/>
          <w:kern w:val="2"/>
          <w14:ligatures w14:val="standardContextual"/>
        </w:rPr>
        <w:t xml:space="preserve">obras en proyectos de infraestructura de servicio público, para determinar qué abarca este tipo de infraestructura, debe indicarse que de conformidad con la norma </w:t>
      </w:r>
      <w:r w:rsidRPr="00DA2A79">
        <w:rPr>
          <w:rFonts w:ascii="Verdana" w:eastAsia="Calibri" w:hAnsi="Verdana" w:cs="Arial"/>
          <w:color w:val="0D0D0D"/>
          <w:kern w:val="2"/>
          <w14:ligatures w14:val="standardContextual"/>
        </w:rPr>
        <w:t xml:space="preserve">NSR-10 </w:t>
      </w:r>
      <w:r w:rsidRPr="00DA2A79">
        <w:rPr>
          <w:rFonts w:ascii="Verdana" w:eastAsia="Calibri" w:hAnsi="Verdana" w:cs="Arial"/>
          <w:color w:val="0D0D0D"/>
          <w:lang w:eastAsia="es-MX"/>
        </w:rPr>
        <w:t>en el Subgrupo de Ocupación Institucional de Servicio Público (I-5) “se clasifican las edificaciones o espacios destinados a funciones administrativas y prestación de servicios públicos necesarios para el buen funcionamiento de las ciudades”</w:t>
      </w:r>
      <w:r w:rsidRPr="00DA2A79">
        <w:rPr>
          <w:rFonts w:ascii="Verdana" w:eastAsia="Calibri" w:hAnsi="Verdana" w:cs="Arial"/>
          <w:color w:val="0D0D0D"/>
          <w:vertAlign w:val="superscript"/>
          <w:lang w:eastAsia="es-MX"/>
        </w:rPr>
        <w:footnoteReference w:id="5"/>
      </w:r>
      <w:r w:rsidRPr="00DA2A79">
        <w:rPr>
          <w:rFonts w:ascii="Verdana" w:eastAsia="Calibri" w:hAnsi="Verdana" w:cs="Arial"/>
          <w:color w:val="0D0D0D"/>
          <w:lang w:eastAsia="es-MX"/>
        </w:rPr>
        <w:t>. Entre las edificaciones o espacios que pertenecen a este Subgrupo se encuentran las siguientes: “Centros de comunicación o administrativos o administrativos de servicios municipales, distritales o gubernamentales, juzgados y otros similares”</w:t>
      </w:r>
      <w:r w:rsidRPr="00DA2A79">
        <w:rPr>
          <w:rFonts w:ascii="Verdana" w:eastAsia="Calibri" w:hAnsi="Verdana" w:cs="Arial"/>
          <w:color w:val="0D0D0D"/>
          <w:vertAlign w:val="superscript"/>
          <w:lang w:eastAsia="es-MX"/>
        </w:rPr>
        <w:footnoteReference w:id="6"/>
      </w:r>
      <w:r w:rsidRPr="00DA2A79">
        <w:rPr>
          <w:rFonts w:ascii="Verdana" w:eastAsia="Calibri" w:hAnsi="Verdana" w:cs="Arial"/>
          <w:color w:val="0D0D0D"/>
          <w:lang w:eastAsia="es-MX"/>
        </w:rPr>
        <w:t>.</w:t>
      </w:r>
    </w:p>
    <w:p w14:paraId="713ED364" w14:textId="77777777" w:rsidR="00DA2A79" w:rsidRPr="00DA2A79" w:rsidRDefault="00DA2A79" w:rsidP="00DA2A79">
      <w:pPr>
        <w:spacing w:after="120" w:line="276" w:lineRule="auto"/>
        <w:ind w:firstLine="708"/>
        <w:jc w:val="both"/>
        <w:rPr>
          <w:rFonts w:ascii="Verdana" w:eastAsia="Calibri" w:hAnsi="Verdana" w:cs="Arial"/>
          <w:color w:val="0D0D0D"/>
          <w:lang w:eastAsia="es-MX"/>
        </w:rPr>
      </w:pPr>
      <w:r w:rsidRPr="00DA2A79">
        <w:rPr>
          <w:rFonts w:ascii="Verdana" w:eastAsia="Calibri" w:hAnsi="Verdana" w:cs="Arial"/>
          <w:color w:val="0D0D0D"/>
          <w:lang w:eastAsia="es-MX"/>
        </w:rPr>
        <w:t xml:space="preserve">En este sentido, el Subgrupo de Ocupación Institucional de Servicio Público corresponde a una categoría de clasificación establecida por la NSR-10 que agrupa a aquellas edificaciones o espacios destinados al ejercicio de </w:t>
      </w:r>
      <w:r w:rsidRPr="00DA2A79">
        <w:rPr>
          <w:rFonts w:ascii="Verdana" w:eastAsia="Calibri" w:hAnsi="Verdana" w:cs="Arial"/>
          <w:color w:val="0D0D0D"/>
          <w:lang w:eastAsia="es-MX"/>
        </w:rPr>
        <w:lastRenderedPageBreak/>
        <w:t xml:space="preserve">funciones administrativas y a la prestación de servicios públicos esenciales para el adecuado funcionamiento de las ciudades. Este subgrupo comprende centros de comunicación, administrativos y sedes de servicios en distintos niveles, juzgados y otros similares. La expresión “Otros similares” evidencia que la enumeración no es taxativa, sino enunciativa, por lo incluye todas aquellas edificaciones que por su naturaleza y finalidad, están orientadas a la prestación de servicios públicos y al desarrollo de funciones institucionales del Estado.  </w:t>
      </w:r>
    </w:p>
    <w:p w14:paraId="12409A78" w14:textId="77777777" w:rsidR="00DA2A79" w:rsidRPr="00DA2A79" w:rsidRDefault="00DA2A79" w:rsidP="00DA2A79">
      <w:pPr>
        <w:spacing w:after="0" w:line="276" w:lineRule="auto"/>
        <w:ind w:firstLine="708"/>
        <w:jc w:val="both"/>
        <w:rPr>
          <w:rFonts w:ascii="Verdana" w:eastAsia="Calibri" w:hAnsi="Verdana" w:cs="Arial"/>
          <w:color w:val="0D0D0D"/>
          <w:lang w:eastAsia="es-MX"/>
        </w:rPr>
      </w:pPr>
      <w:r w:rsidRPr="00DA2A79">
        <w:rPr>
          <w:rFonts w:ascii="Verdana" w:eastAsia="Calibri" w:hAnsi="Verdana" w:cs="Arial"/>
          <w:color w:val="0D0D0D"/>
          <w:lang w:eastAsia="es-MX"/>
        </w:rPr>
        <w:t>De acuerdo con la definición del Subgrupo de Ocupación Institucional y las edificaciones que este comprende, para efectos de atender el problema jurídico planteado en este concepto, en el que se indaga sí ¿la construcción de un terminal de transporte terrestre debe adelantarse utilizando los Documentos Tipo expedidos por esta Agencia? Sobre el particular le informamos que, el Decreto </w:t>
      </w:r>
      <w:hyperlink r:id="rId15" w:anchor="0" w:history="1">
        <w:r w:rsidRPr="00DA2A79">
          <w:rPr>
            <w:rFonts w:ascii="Verdana" w:eastAsia="Calibri" w:hAnsi="Verdana" w:cs="Arial"/>
            <w:color w:val="0D0D0D"/>
            <w:lang w:eastAsia="es-MX"/>
          </w:rPr>
          <w:t>2762</w:t>
        </w:r>
      </w:hyperlink>
      <w:r w:rsidRPr="00DA2A79">
        <w:rPr>
          <w:rFonts w:ascii="Verdana" w:eastAsia="Calibri" w:hAnsi="Verdana" w:cs="Arial"/>
          <w:color w:val="0D0D0D"/>
          <w:lang w:eastAsia="es-MX"/>
        </w:rPr>
        <w:t> de 2001</w:t>
      </w:r>
      <w:r w:rsidRPr="00DA2A79">
        <w:rPr>
          <w:rFonts w:ascii="Verdana" w:eastAsia="Calibri" w:hAnsi="Verdana" w:cs="Arial"/>
          <w:color w:val="0D0D0D"/>
          <w:vertAlign w:val="superscript"/>
          <w:lang w:eastAsia="es-MX"/>
        </w:rPr>
        <w:footnoteReference w:id="7"/>
      </w:r>
      <w:r w:rsidRPr="00DA2A79">
        <w:rPr>
          <w:rFonts w:ascii="Verdana" w:eastAsia="Calibri" w:hAnsi="Verdana" w:cs="Arial"/>
          <w:color w:val="0D0D0D"/>
          <w:lang w:eastAsia="es-MX"/>
        </w:rPr>
        <w:t xml:space="preserve"> adicionado por el Decreto </w:t>
      </w:r>
      <w:hyperlink r:id="rId16" w:anchor="2028" w:history="1">
        <w:r w:rsidRPr="00DA2A79">
          <w:rPr>
            <w:rFonts w:ascii="Verdana" w:eastAsia="Calibri" w:hAnsi="Verdana" w:cs="Arial"/>
            <w:color w:val="0D0D0D"/>
            <w:lang w:eastAsia="es-MX"/>
          </w:rPr>
          <w:t>2028</w:t>
        </w:r>
      </w:hyperlink>
      <w:r w:rsidRPr="00DA2A79">
        <w:rPr>
          <w:rFonts w:ascii="Verdana" w:eastAsia="Calibri" w:hAnsi="Verdana" w:cs="Arial"/>
          <w:color w:val="0D0D0D"/>
          <w:lang w:eastAsia="es-MX"/>
        </w:rPr>
        <w:t> de 2006, definen los terminales de transportes en los siguientes términos:</w:t>
      </w:r>
    </w:p>
    <w:p w14:paraId="537299BA" w14:textId="77777777" w:rsidR="00DA2A79" w:rsidRPr="00DA2A79" w:rsidRDefault="00DA2A79" w:rsidP="00DA2A79">
      <w:pPr>
        <w:spacing w:after="0" w:line="276" w:lineRule="auto"/>
        <w:ind w:firstLine="708"/>
        <w:jc w:val="both"/>
        <w:rPr>
          <w:rFonts w:ascii="Verdana" w:eastAsia="Calibri" w:hAnsi="Verdana" w:cs="Arial"/>
          <w:color w:val="0D0D0D"/>
          <w:lang w:eastAsia="es-MX"/>
        </w:rPr>
      </w:pPr>
    </w:p>
    <w:p w14:paraId="6E804DE2" w14:textId="77777777" w:rsidR="00DA2A79" w:rsidRPr="00DA2A79" w:rsidRDefault="00DA2A79" w:rsidP="00DA2A79">
      <w:pPr>
        <w:shd w:val="clear" w:color="auto" w:fill="FFFFFF"/>
        <w:spacing w:after="120" w:line="240" w:lineRule="auto"/>
        <w:ind w:left="709" w:right="709"/>
        <w:jc w:val="both"/>
        <w:rPr>
          <w:rFonts w:ascii="Verdana" w:eastAsia="Times New Roman" w:hAnsi="Verdana" w:cs="Times New Roman"/>
          <w:color w:val="333333"/>
          <w:sz w:val="20"/>
          <w:szCs w:val="20"/>
          <w:lang w:eastAsia="es-MX"/>
        </w:rPr>
      </w:pPr>
      <w:r w:rsidRPr="00DA2A79">
        <w:rPr>
          <w:rFonts w:ascii="Verdana" w:eastAsia="Times New Roman" w:hAnsi="Verdana" w:cs="Times New Roman"/>
          <w:color w:val="333333"/>
          <w:sz w:val="20"/>
          <w:szCs w:val="20"/>
          <w:lang w:eastAsia="es-MX"/>
        </w:rPr>
        <w:t>“</w:t>
      </w:r>
      <w:r w:rsidRPr="00DA2A79">
        <w:rPr>
          <w:rFonts w:ascii="Verdana" w:eastAsia="Times New Roman" w:hAnsi="Verdana" w:cs="Times New Roman"/>
          <w:b/>
          <w:bCs/>
          <w:color w:val="333333"/>
          <w:sz w:val="20"/>
          <w:szCs w:val="20"/>
          <w:lang w:eastAsia="es-MX"/>
        </w:rPr>
        <w:t>ARTÍCULO </w:t>
      </w:r>
      <w:hyperlink r:id="rId17" w:anchor="5" w:history="1">
        <w:r w:rsidRPr="00DA2A79">
          <w:rPr>
            <w:rFonts w:ascii="Verdana" w:eastAsia="Times New Roman" w:hAnsi="Verdana" w:cs="Times New Roman"/>
            <w:b/>
            <w:bCs/>
            <w:color w:val="007BFF"/>
            <w:sz w:val="20"/>
            <w:szCs w:val="20"/>
            <w:u w:val="single"/>
            <w:lang w:eastAsia="es-MX"/>
          </w:rPr>
          <w:t>5</w:t>
        </w:r>
      </w:hyperlink>
      <w:r w:rsidRPr="00DA2A79">
        <w:rPr>
          <w:rFonts w:ascii="Verdana" w:eastAsia="Times New Roman" w:hAnsi="Verdana" w:cs="Times New Roman"/>
          <w:b/>
          <w:bCs/>
          <w:color w:val="333333"/>
          <w:sz w:val="20"/>
          <w:szCs w:val="20"/>
          <w:lang w:eastAsia="es-MX"/>
        </w:rPr>
        <w:t>.- Definición.</w:t>
      </w:r>
      <w:r w:rsidRPr="00DA2A79">
        <w:rPr>
          <w:rFonts w:ascii="Verdana" w:eastAsia="Times New Roman" w:hAnsi="Verdana" w:cs="Times New Roman"/>
          <w:color w:val="333333"/>
          <w:sz w:val="20"/>
          <w:szCs w:val="20"/>
          <w:lang w:eastAsia="es-MX"/>
        </w:rPr>
        <w:t> Son consideradas terminales de transporte terrestre automotor de pasajeros por carretera el conjunto de instalaciones que funcionan como una unidad de servicios permanentes, junto a los equipos, órganos de administración, servicios a los usuarios, a las empresas de transporte y a su parque automotor, donde se concentran las empresas autorizadas o habilitadas que cubren rutas que tienen como origen, destino o tránsito el respectivo municipio o localidad.</w:t>
      </w:r>
    </w:p>
    <w:p w14:paraId="4B38C4B9" w14:textId="77777777" w:rsidR="00DA2A79" w:rsidRPr="00DA2A79" w:rsidRDefault="00DA2A79" w:rsidP="00DA2A79">
      <w:pPr>
        <w:shd w:val="clear" w:color="auto" w:fill="FFFFFF"/>
        <w:spacing w:before="100" w:beforeAutospacing="1" w:after="120" w:line="240" w:lineRule="auto"/>
        <w:ind w:left="709" w:right="709"/>
        <w:jc w:val="both"/>
        <w:rPr>
          <w:rFonts w:ascii="Verdana" w:eastAsia="Times New Roman" w:hAnsi="Verdana" w:cs="Times New Roman"/>
          <w:color w:val="333333"/>
          <w:sz w:val="20"/>
          <w:szCs w:val="20"/>
          <w:lang w:eastAsia="es-MX"/>
        </w:rPr>
      </w:pPr>
      <w:r w:rsidRPr="00DA2A79">
        <w:rPr>
          <w:rFonts w:ascii="Verdana" w:eastAsia="Times New Roman" w:hAnsi="Verdana" w:cs="Times New Roman"/>
          <w:b/>
          <w:bCs/>
          <w:color w:val="333333"/>
          <w:sz w:val="20"/>
          <w:szCs w:val="20"/>
          <w:lang w:eastAsia="es-MX"/>
        </w:rPr>
        <w:t>PARÁGRAFO 1º.- </w:t>
      </w:r>
      <w:r w:rsidRPr="00DA2A79">
        <w:rPr>
          <w:rFonts w:ascii="Verdana" w:eastAsia="Times New Roman" w:hAnsi="Verdana" w:cs="Times New Roman"/>
          <w:color w:val="333333"/>
          <w:sz w:val="20"/>
          <w:szCs w:val="20"/>
          <w:lang w:eastAsia="es-MX"/>
        </w:rPr>
        <w:t>Las terminales de transporte público de pasajeros por carretera legalmente habilitadas podrán poner en funcionamiento, previa autorización del Ministerio de Transporte, Terminales de Operación Satélite, Periférica.</w:t>
      </w:r>
    </w:p>
    <w:p w14:paraId="5BDFBD27" w14:textId="77777777" w:rsidR="00DA2A79" w:rsidRPr="00DA2A79" w:rsidRDefault="00DA2A79" w:rsidP="00DA2A79">
      <w:pPr>
        <w:shd w:val="clear" w:color="auto" w:fill="FFFFFF"/>
        <w:spacing w:after="0" w:line="240" w:lineRule="auto"/>
        <w:ind w:left="709" w:right="709"/>
        <w:jc w:val="both"/>
        <w:rPr>
          <w:rFonts w:ascii="Verdana" w:eastAsia="Times New Roman" w:hAnsi="Verdana" w:cs="Times New Roman"/>
          <w:color w:val="333333"/>
          <w:sz w:val="20"/>
          <w:szCs w:val="20"/>
          <w:lang w:eastAsia="es-MX"/>
        </w:rPr>
      </w:pPr>
      <w:r w:rsidRPr="00DA2A79">
        <w:rPr>
          <w:rFonts w:ascii="Verdana" w:eastAsia="Times New Roman" w:hAnsi="Verdana" w:cs="Times New Roman"/>
          <w:b/>
          <w:bCs/>
          <w:color w:val="333333"/>
          <w:sz w:val="20"/>
          <w:szCs w:val="20"/>
          <w:lang w:eastAsia="es-MX"/>
        </w:rPr>
        <w:t>PARÁGRAFO 2º.- </w:t>
      </w:r>
      <w:r w:rsidRPr="00DA2A79">
        <w:rPr>
          <w:rFonts w:ascii="Verdana" w:eastAsia="Times New Roman" w:hAnsi="Verdana" w:cs="Times New Roman"/>
          <w:color w:val="333333"/>
          <w:sz w:val="20"/>
          <w:szCs w:val="20"/>
          <w:lang w:eastAsia="es-MX"/>
        </w:rPr>
        <w:t>Se entiende como Terminal de Operación Satélite, Periférica, toda unidad complementaria de servicios de la terminal de transporte principal, que depende económica, administrativa, financiera y operativamente de la persona jurídica que administre la misma, de la cual deben hacer uso las empresas de transporte terrestre automotor de pasajeros por carretera que cubren rutas autorizadas con origen, destino o tránsito el respectivo distrito o municipio.”</w:t>
      </w:r>
    </w:p>
    <w:p w14:paraId="31687A1A" w14:textId="77777777" w:rsidR="00DA2A79" w:rsidRPr="00DA2A79" w:rsidRDefault="00DA2A79" w:rsidP="00DA2A79">
      <w:pPr>
        <w:shd w:val="clear" w:color="auto" w:fill="FFFFFF"/>
        <w:spacing w:after="0" w:line="240" w:lineRule="auto"/>
        <w:ind w:left="709" w:right="709"/>
        <w:jc w:val="both"/>
        <w:rPr>
          <w:rFonts w:ascii="Verdana" w:eastAsia="Times New Roman" w:hAnsi="Verdana" w:cs="Times New Roman"/>
          <w:color w:val="333333"/>
          <w:sz w:val="20"/>
          <w:szCs w:val="20"/>
          <w:lang w:eastAsia="es-MX"/>
        </w:rPr>
      </w:pPr>
    </w:p>
    <w:p w14:paraId="102117BB" w14:textId="77777777" w:rsidR="00DA2A79" w:rsidRPr="00DA2A79" w:rsidRDefault="00DA2A79" w:rsidP="00DA2A79">
      <w:pPr>
        <w:spacing w:after="120" w:line="278" w:lineRule="auto"/>
        <w:ind w:firstLine="708"/>
        <w:jc w:val="both"/>
        <w:rPr>
          <w:rFonts w:ascii="Verdana" w:eastAsia="Calibri" w:hAnsi="Verdana" w:cs="Arial"/>
          <w:lang w:val="es-ES" w:eastAsia="es-MX"/>
        </w:rPr>
      </w:pPr>
      <w:r w:rsidRPr="00DA2A79">
        <w:rPr>
          <w:rFonts w:ascii="Verdana" w:eastAsia="Calibri" w:hAnsi="Verdana" w:cs="Arial"/>
          <w:lang w:val="es-ES" w:eastAsia="es-MX"/>
        </w:rPr>
        <w:t xml:space="preserve">Sobre la definición en comento, en Departamento Administrativo de la Función Pública, señaló que “(…) los terminales de transporte terrestre </w:t>
      </w:r>
      <w:r w:rsidRPr="00DA2A79">
        <w:rPr>
          <w:rFonts w:ascii="Verdana" w:eastAsia="Calibri" w:hAnsi="Verdana" w:cs="Arial"/>
          <w:lang w:val="es-ES" w:eastAsia="es-MX"/>
        </w:rPr>
        <w:lastRenderedPageBreak/>
        <w:t>automotor son considerados como el conjunto de instalaciones que funcionan como una unidad de servicios permanentes, junto a los equipos, órganos de administración, servicios a los usuarios, a las empresas de transporte y a su parque automotor, donde se concentran las empresas autorizadas o habilitadas que cubren rutas que tienen como origen, destino o tránsito el respectivo municipio o localidad”</w:t>
      </w:r>
      <w:r w:rsidRPr="00DA2A79">
        <w:rPr>
          <w:rFonts w:ascii="Verdana" w:eastAsia="Calibri" w:hAnsi="Verdana" w:cs="Arial"/>
          <w:vertAlign w:val="superscript"/>
          <w:lang w:val="es-ES" w:eastAsia="es-MX"/>
        </w:rPr>
        <w:footnoteReference w:id="8"/>
      </w:r>
      <w:r w:rsidRPr="00DA2A79">
        <w:rPr>
          <w:rFonts w:ascii="Verdana" w:eastAsia="Calibri" w:hAnsi="Verdana" w:cs="Arial"/>
          <w:lang w:val="es-ES" w:eastAsia="es-MX"/>
        </w:rPr>
        <w:t>.</w:t>
      </w:r>
    </w:p>
    <w:p w14:paraId="60982411" w14:textId="77777777" w:rsidR="00DA2A79" w:rsidRPr="00DA2A79" w:rsidRDefault="00DA2A79" w:rsidP="00DA2A79">
      <w:pPr>
        <w:spacing w:after="120" w:line="278" w:lineRule="auto"/>
        <w:ind w:firstLine="708"/>
        <w:jc w:val="both"/>
        <w:rPr>
          <w:rFonts w:ascii="Verdana" w:eastAsia="Calibri" w:hAnsi="Verdana" w:cs="Arial"/>
          <w:lang w:val="es-ES" w:eastAsia="es-MX"/>
        </w:rPr>
      </w:pPr>
      <w:r w:rsidRPr="00DA2A79">
        <w:rPr>
          <w:rFonts w:ascii="Verdana" w:eastAsia="Calibri" w:hAnsi="Verdana" w:cs="Arial"/>
          <w:lang w:val="es-ES" w:eastAsia="es-MX"/>
        </w:rPr>
        <w:t xml:space="preserve">Por su parte, el artículo 4 “prestación de este servicio público” del Decreto </w:t>
      </w:r>
      <w:hyperlink r:id="rId18" w:anchor="0" w:history="1">
        <w:r w:rsidRPr="00DA2A79">
          <w:rPr>
            <w:rFonts w:ascii="Verdana" w:eastAsia="Calibri" w:hAnsi="Verdana" w:cs="Arial"/>
            <w:lang w:val="es-ES" w:eastAsia="es-MX"/>
          </w:rPr>
          <w:t>2762</w:t>
        </w:r>
      </w:hyperlink>
      <w:r w:rsidRPr="00DA2A79">
        <w:rPr>
          <w:rFonts w:ascii="Verdana" w:eastAsia="Calibri" w:hAnsi="Verdana" w:cs="Arial"/>
          <w:lang w:val="es-ES" w:eastAsia="es-MX"/>
        </w:rPr>
        <w:t> de 2001, señala que “(…) El servicio público a que se refiere este decreto será prestado por personas jurídicas que cumplan con los requisitos establecidos en el mismo y demás normas que lo complementen o adicionen”. Por lo anterior, “(…) las actividades que desarrollan en los terminales de transporte terrestre automotor se consideran como servicio público, entendiendo estas actividades como aquellas que se refieren a la operación en general a la actividad transportadora”</w:t>
      </w:r>
      <w:r w:rsidRPr="00DA2A79">
        <w:rPr>
          <w:rFonts w:ascii="Verdana" w:eastAsia="Calibri" w:hAnsi="Verdana" w:cs="Arial"/>
          <w:vertAlign w:val="superscript"/>
          <w:lang w:val="es-ES" w:eastAsia="es-MX"/>
        </w:rPr>
        <w:footnoteReference w:id="9"/>
      </w:r>
      <w:r w:rsidRPr="00DA2A79">
        <w:rPr>
          <w:rFonts w:ascii="Verdana" w:eastAsia="Calibri" w:hAnsi="Verdana" w:cs="Arial"/>
          <w:lang w:val="es-ES" w:eastAsia="es-MX"/>
        </w:rPr>
        <w:t>.</w:t>
      </w:r>
    </w:p>
    <w:p w14:paraId="47AC96CA" w14:textId="77777777" w:rsidR="00DA2A79" w:rsidRPr="00DA2A79" w:rsidRDefault="00DA2A79" w:rsidP="00DA2A79">
      <w:pPr>
        <w:spacing w:after="120" w:line="278" w:lineRule="auto"/>
        <w:ind w:firstLine="708"/>
        <w:jc w:val="both"/>
        <w:rPr>
          <w:rFonts w:ascii="Verdana" w:eastAsia="Calibri" w:hAnsi="Verdana" w:cs="Arial"/>
          <w:lang w:eastAsia="es-MX"/>
        </w:rPr>
      </w:pPr>
      <w:r w:rsidRPr="00DA2A79">
        <w:rPr>
          <w:rFonts w:ascii="Verdana" w:eastAsia="Calibri" w:hAnsi="Verdana" w:cs="Arial"/>
          <w:lang w:eastAsia="es-MX"/>
        </w:rPr>
        <w:t>De acuerdo con lo anterior, y considerando que el tipo de obra 2, “Proyectos de infraestructura institucional de servicios públicos”, recae sobre el Subgrupo de Ocupación Institucional —con el alcance señalado previamente—, y que la actividad transportadora de un terminal de transporte se considera una actividad de servicio público, es viable concluir que los terminales de transporte prestan un servicio público. Por lo tanto, este tipo de edificaciones debe clasificarse dentro del Subgrupo de Ocupación Institucional de Servicio Público.</w:t>
      </w:r>
    </w:p>
    <w:p w14:paraId="1E659F00" w14:textId="51B80620" w:rsidR="00B613A8" w:rsidRPr="00DA2A79" w:rsidRDefault="00DA2A79" w:rsidP="00883EF5">
      <w:pPr>
        <w:spacing w:after="120" w:line="278" w:lineRule="auto"/>
        <w:ind w:firstLine="708"/>
        <w:jc w:val="both"/>
        <w:rPr>
          <w:rFonts w:ascii="Verdana" w:eastAsia="Calibri" w:hAnsi="Verdana" w:cs="Arial"/>
          <w:lang w:val="es-ES" w:eastAsia="es-MX"/>
        </w:rPr>
      </w:pPr>
      <w:r w:rsidRPr="00DA2A79">
        <w:rPr>
          <w:rFonts w:ascii="Verdana" w:eastAsia="Calibri" w:hAnsi="Verdana" w:cs="Arial"/>
          <w:lang w:val="es-ES" w:eastAsia="es-MX"/>
        </w:rPr>
        <w:t xml:space="preserve">Por lo anterior, la Agencia Nacional de Contratación Pública – Colombia Compra Eficiente le informa que a partir del 16 de febrero de 2026, si una entidad de aquellas obligadas a utilizar los Documentos Tipo expedidos por esta Entidad adelanta un proceso que tenga por objeto la(s) actividad(es) de </w:t>
      </w:r>
      <w:r w:rsidRPr="00DA2A79">
        <w:rPr>
          <w:rFonts w:ascii="Verdana" w:eastAsia="Times New Roman" w:hAnsi="Verdana" w:cs="Aptos"/>
          <w:lang w:eastAsia="es-MX"/>
        </w:rPr>
        <w:t xml:space="preserve">construcción y/o ampliación y/o reconstrucción sobre </w:t>
      </w:r>
      <w:r w:rsidRPr="00DA2A79">
        <w:rPr>
          <w:rFonts w:ascii="Verdana" w:eastAsia="Arial" w:hAnsi="Verdana" w:cs="Aptos"/>
          <w:i/>
          <w:iCs/>
          <w:lang w:eastAsia="es-ES"/>
        </w:rPr>
        <w:t>infraestructura de servicio público – terminales de transporte terrestre,</w:t>
      </w:r>
      <w:r w:rsidRPr="00DA2A79">
        <w:rPr>
          <w:rFonts w:ascii="Verdana" w:eastAsia="Times New Roman" w:hAnsi="Verdana" w:cs="Aptos"/>
          <w:lang w:eastAsia="es-MX"/>
        </w:rPr>
        <w:t xml:space="preserve"> </w:t>
      </w:r>
      <w:r w:rsidRPr="00DA2A79">
        <w:rPr>
          <w:rFonts w:ascii="Verdana" w:eastAsia="Calibri" w:hAnsi="Verdana" w:cs="Arial"/>
          <w:lang w:val="es-ES" w:eastAsia="es-MX"/>
        </w:rPr>
        <w:t xml:space="preserve">deberá implementar los Documentos Tipo </w:t>
      </w:r>
      <w:r w:rsidR="000F1F9B">
        <w:rPr>
          <w:rFonts w:ascii="Verdana" w:eastAsia="Calibri" w:hAnsi="Verdana" w:cs="Arial"/>
          <w:lang w:val="es-ES" w:eastAsia="es-MX"/>
        </w:rPr>
        <w:t>del Sector Institucional</w:t>
      </w:r>
      <w:r w:rsidR="00F32469">
        <w:rPr>
          <w:rFonts w:ascii="Verdana" w:eastAsia="Calibri" w:hAnsi="Verdana" w:cs="Arial"/>
          <w:lang w:val="es-ES" w:eastAsia="es-MX"/>
        </w:rPr>
        <w:t xml:space="preserve">. </w:t>
      </w:r>
    </w:p>
    <w:p w14:paraId="6DC036C7" w14:textId="343023D1" w:rsidR="00DA2A79" w:rsidRPr="00DA2A79" w:rsidRDefault="00DA2A79" w:rsidP="00883EF5">
      <w:pPr>
        <w:spacing w:after="120" w:line="278" w:lineRule="auto"/>
        <w:ind w:firstLine="708"/>
        <w:jc w:val="both"/>
        <w:rPr>
          <w:rFonts w:ascii="Verdana" w:eastAsia="Calibri" w:hAnsi="Verdana" w:cs="Arial"/>
          <w:bCs/>
          <w:color w:val="000000"/>
          <w:kern w:val="2"/>
          <w14:ligatures w14:val="standardContextual"/>
        </w:rPr>
      </w:pPr>
      <w:r w:rsidRPr="00DA2A79">
        <w:rPr>
          <w:rFonts w:ascii="Verdana" w:eastAsia="Aptos" w:hAnsi="Verdana" w:cs="Aptos"/>
          <w:kern w:val="2"/>
          <w14:ligatures w14:val="standardContextual"/>
        </w:rPr>
        <w:t xml:space="preserve">Sin perjuicio de las aclaraciones anteriores, debe advertirse que es la entidad contratante, al momento de adelantar sus actividades de planeación de </w:t>
      </w:r>
      <w:r w:rsidRPr="00DA2A79">
        <w:rPr>
          <w:rFonts w:ascii="Verdana" w:eastAsia="Aptos" w:hAnsi="Verdana" w:cs="Aptos"/>
          <w:kern w:val="2"/>
          <w14:ligatures w14:val="standardContextual"/>
        </w:rPr>
        <w:lastRenderedPageBreak/>
        <w:t>cada proceso contractual, quien debe determinar si de acuerdo con las particularidades del contrato a ejecutar, este encaja o no dentro de alguna de las actividades de la matriz 1 de cada Documento Tipo, y si en consecuencia deben aplicarse o no determinados Documentos Tipo, conforme a los parámetros indicados en este concepto. Lo anterior sin que pueda apartarse de su aplicación cuando materialmente el objeto a contratar corresponde con alguna actividad de contemplada en dicha matriz.</w:t>
      </w:r>
      <w:r w:rsidRPr="00DA2A79">
        <w:rPr>
          <w:rFonts w:ascii="Verdana" w:eastAsia="Times New Roman" w:hAnsi="Verdana" w:cs="Arial"/>
          <w:kern w:val="2"/>
          <w:sz w:val="24"/>
          <w:szCs w:val="24"/>
          <w:shd w:val="clear" w:color="auto" w:fill="FFFFFF"/>
          <w:lang w:val="es-ES_tradnl" w:eastAsia="es-ES_tradnl"/>
          <w14:ligatures w14:val="standardContextual"/>
        </w:rPr>
        <w:t xml:space="preserve"> </w:t>
      </w:r>
      <w:r w:rsidRPr="00DA2A79">
        <w:rPr>
          <w:rFonts w:ascii="Verdana" w:eastAsia="Calibri" w:hAnsi="Verdana" w:cs="Arial"/>
          <w:bCs/>
          <w:color w:val="000000"/>
          <w:kern w:val="2"/>
          <w14:ligatures w14:val="standardContextual"/>
        </w:rPr>
        <w:t xml:space="preserve"> </w:t>
      </w:r>
    </w:p>
    <w:p w14:paraId="02026DF4" w14:textId="77777777" w:rsidR="00DA2A79" w:rsidRPr="00DA2A79" w:rsidRDefault="00DA2A79" w:rsidP="00DA2A79">
      <w:pPr>
        <w:spacing w:after="0" w:line="276" w:lineRule="auto"/>
        <w:jc w:val="both"/>
        <w:rPr>
          <w:rFonts w:ascii="Verdana" w:eastAsia="Calibri" w:hAnsi="Verdana" w:cs="Times New Roman"/>
          <w:lang w:eastAsia="es-MX"/>
        </w:rPr>
      </w:pPr>
    </w:p>
    <w:p w14:paraId="3240CE48" w14:textId="77777777" w:rsidR="00DA2A79" w:rsidRPr="00DA2A79" w:rsidRDefault="00DA2A79" w:rsidP="00DA2A79">
      <w:pPr>
        <w:tabs>
          <w:tab w:val="left" w:pos="142"/>
          <w:tab w:val="left" w:pos="284"/>
        </w:tabs>
        <w:spacing w:after="0" w:line="276" w:lineRule="auto"/>
        <w:jc w:val="both"/>
        <w:rPr>
          <w:rFonts w:ascii="Verdana" w:eastAsia="Century Gothic" w:hAnsi="Verdana" w:cs="Century Gothic"/>
          <w:b/>
          <w:bCs/>
          <w:lang w:val="es-ES_tradnl" w:eastAsia="es-MX"/>
        </w:rPr>
      </w:pPr>
      <w:r w:rsidRPr="00DA2A79">
        <w:rPr>
          <w:rFonts w:ascii="Verdana" w:eastAsia="Century Gothic" w:hAnsi="Verdana" w:cs="Century Gothic"/>
          <w:b/>
          <w:bCs/>
          <w:lang w:val="es-ES_tradnl" w:eastAsia="es-MX"/>
        </w:rPr>
        <w:t>4. Referencias normativas, jurisprudenciales y otras fuentes:</w:t>
      </w:r>
    </w:p>
    <w:p w14:paraId="7B36732D" w14:textId="77777777" w:rsidR="00DA2A79" w:rsidRPr="00DA2A79" w:rsidRDefault="00DA2A79" w:rsidP="00DA2A79">
      <w:pPr>
        <w:spacing w:after="0"/>
        <w:ind w:left="-15840"/>
        <w:jc w:val="both"/>
        <w:rPr>
          <w:rFonts w:ascii="Verdana" w:eastAsia="Calibri" w:hAnsi="Verdana" w:cs="Arial"/>
          <w:b/>
          <w:bCs/>
          <w:lang w:eastAsia="es-MX"/>
        </w:rPr>
      </w:pPr>
      <w:r w:rsidRPr="00DA2A79">
        <w:rPr>
          <w:rFonts w:ascii="Verdana" w:eastAsia="Calibri" w:hAnsi="Verdana" w:cs="Arial"/>
          <w:b/>
          <w:bCs/>
          <w:lang w:eastAsia="es-MX"/>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DA2A79" w:rsidRPr="00DA2A79" w14:paraId="3F8311C4" w14:textId="77777777" w:rsidTr="008A62F8">
        <w:trPr>
          <w:trHeight w:val="870"/>
        </w:trPr>
        <w:tc>
          <w:tcPr>
            <w:tcW w:w="8647" w:type="dxa"/>
            <w:tcBorders>
              <w:top w:val="dotted" w:sz="4" w:space="0" w:color="auto"/>
              <w:left w:val="dotted" w:sz="4" w:space="0" w:color="auto"/>
              <w:bottom w:val="dotted" w:sz="4" w:space="0" w:color="auto"/>
              <w:right w:val="dotted" w:sz="4" w:space="0" w:color="auto"/>
            </w:tcBorders>
          </w:tcPr>
          <w:p w14:paraId="72ED8014" w14:textId="77777777" w:rsidR="00DA2A79" w:rsidRPr="00DA2A79" w:rsidRDefault="00DA2A79" w:rsidP="00DA2A79">
            <w:pPr>
              <w:contextualSpacing/>
              <w:jc w:val="both"/>
              <w:rPr>
                <w:rFonts w:ascii="Verdana" w:eastAsia="Calibri" w:hAnsi="Verdana" w:cs="Arial"/>
                <w:bCs/>
                <w:lang w:eastAsia="es-MX"/>
              </w:rPr>
            </w:pPr>
          </w:p>
          <w:p w14:paraId="1C576D56" w14:textId="77777777" w:rsidR="00DA2A79" w:rsidRPr="00DA2A79" w:rsidRDefault="00DA2A79" w:rsidP="00DA2A79">
            <w:pPr>
              <w:widowControl w:val="0"/>
              <w:numPr>
                <w:ilvl w:val="0"/>
                <w:numId w:val="16"/>
              </w:numPr>
              <w:autoSpaceDE w:val="0"/>
              <w:autoSpaceDN w:val="0"/>
              <w:spacing w:line="276" w:lineRule="auto"/>
              <w:ind w:left="714" w:hanging="357"/>
              <w:jc w:val="both"/>
              <w:rPr>
                <w:rFonts w:ascii="Verdana" w:eastAsia="Calibri" w:hAnsi="Verdana" w:cs="Arial"/>
                <w:lang w:val="es-ES_tradnl" w:eastAsia="es-MX"/>
              </w:rPr>
            </w:pPr>
            <w:r w:rsidRPr="00DA2A79">
              <w:rPr>
                <w:rFonts w:ascii="Verdana" w:eastAsia="Calibri" w:hAnsi="Verdana" w:cs="Arial"/>
                <w:lang w:val="es-ES_tradnl" w:eastAsia="es-MX"/>
              </w:rPr>
              <w:t xml:space="preserve">Ley 2022 de 2020, artículo 1. </w:t>
            </w:r>
          </w:p>
          <w:p w14:paraId="610A4FA3" w14:textId="77777777" w:rsidR="00DA2A79" w:rsidRPr="00DA2A79" w:rsidRDefault="00DA2A79" w:rsidP="00DA2A79">
            <w:pPr>
              <w:widowControl w:val="0"/>
              <w:numPr>
                <w:ilvl w:val="0"/>
                <w:numId w:val="16"/>
              </w:numPr>
              <w:autoSpaceDE w:val="0"/>
              <w:autoSpaceDN w:val="0"/>
              <w:spacing w:line="276" w:lineRule="auto"/>
              <w:jc w:val="both"/>
              <w:rPr>
                <w:rFonts w:ascii="Verdana" w:eastAsia="Calibri" w:hAnsi="Verdana" w:cs="Arial"/>
                <w:lang w:eastAsia="es-MX"/>
              </w:rPr>
            </w:pPr>
            <w:r w:rsidRPr="00DA2A79">
              <w:rPr>
                <w:rFonts w:ascii="Verdana" w:eastAsia="Calibri" w:hAnsi="Verdana" w:cs="Arial"/>
                <w:lang w:eastAsia="es-MX"/>
              </w:rPr>
              <w:t>Ley 1150 de 2007, artículo 2.</w:t>
            </w:r>
          </w:p>
          <w:p w14:paraId="639E006C" w14:textId="77777777" w:rsidR="00DA2A79" w:rsidRPr="00DA2A79" w:rsidRDefault="00DA2A79" w:rsidP="00DA2A79">
            <w:pPr>
              <w:widowControl w:val="0"/>
              <w:numPr>
                <w:ilvl w:val="0"/>
                <w:numId w:val="16"/>
              </w:numPr>
              <w:autoSpaceDE w:val="0"/>
              <w:autoSpaceDN w:val="0"/>
              <w:spacing w:line="276" w:lineRule="auto"/>
              <w:contextualSpacing/>
              <w:jc w:val="both"/>
              <w:rPr>
                <w:rFonts w:ascii="Verdana" w:eastAsia="Calibri" w:hAnsi="Verdana" w:cs="Arial"/>
                <w:lang w:eastAsia="es-MX"/>
              </w:rPr>
            </w:pPr>
            <w:r w:rsidRPr="00DA2A79">
              <w:rPr>
                <w:rFonts w:ascii="Verdana" w:eastAsia="Calibri" w:hAnsi="Verdana" w:cs="Arial"/>
                <w:lang w:val="es-ES_tradnl" w:eastAsia="es-MX"/>
              </w:rPr>
              <w:t xml:space="preserve">Documentos Tipo. Disponibles en: </w:t>
            </w:r>
            <w:hyperlink r:id="rId19" w:history="1">
              <w:r w:rsidRPr="00DA2A79">
                <w:rPr>
                  <w:rFonts w:ascii="Verdana" w:eastAsia="Calibri" w:hAnsi="Verdana" w:cs="Arial"/>
                  <w:color w:val="0000FF"/>
                  <w:u w:val="single"/>
                  <w:lang w:val="es-ES_tradnl" w:eastAsia="es-MX"/>
                </w:rPr>
                <w:t>https://www.colombiacompra.gov.co/documentos-tipo/documentos-tipo</w:t>
              </w:r>
            </w:hyperlink>
            <w:r w:rsidRPr="00DA2A79">
              <w:rPr>
                <w:rFonts w:ascii="Verdana" w:eastAsia="Calibri" w:hAnsi="Verdana" w:cs="Arial"/>
                <w:lang w:val="es-ES_tradnl" w:eastAsia="es-MX"/>
              </w:rPr>
              <w:t>.</w:t>
            </w:r>
          </w:p>
        </w:tc>
      </w:tr>
    </w:tbl>
    <w:p w14:paraId="224D6093" w14:textId="77777777" w:rsidR="00DA2A79" w:rsidRPr="00DA2A79" w:rsidRDefault="00DA2A79" w:rsidP="00DA2A79">
      <w:pPr>
        <w:tabs>
          <w:tab w:val="left" w:pos="142"/>
          <w:tab w:val="left" w:pos="284"/>
        </w:tabs>
        <w:spacing w:after="0" w:line="276" w:lineRule="auto"/>
        <w:jc w:val="both"/>
        <w:rPr>
          <w:rFonts w:ascii="Verdana" w:eastAsia="Calibri" w:hAnsi="Verdana" w:cs="Arial"/>
          <w:lang w:eastAsia="es-MX"/>
        </w:rPr>
      </w:pPr>
    </w:p>
    <w:p w14:paraId="0D7EAF1D" w14:textId="77777777" w:rsidR="00DA2A79" w:rsidRPr="00DA2A79" w:rsidRDefault="00DA2A79" w:rsidP="00DA2A79">
      <w:pPr>
        <w:tabs>
          <w:tab w:val="left" w:pos="142"/>
          <w:tab w:val="left" w:pos="284"/>
        </w:tabs>
        <w:spacing w:after="0" w:line="276" w:lineRule="auto"/>
        <w:jc w:val="both"/>
        <w:rPr>
          <w:rFonts w:ascii="Verdana" w:eastAsia="Century Gothic" w:hAnsi="Verdana" w:cs="Century Gothic"/>
          <w:b/>
          <w:bCs/>
          <w:lang w:val="es-ES" w:eastAsia="es-MX"/>
        </w:rPr>
      </w:pPr>
      <w:r w:rsidRPr="00DA2A79">
        <w:rPr>
          <w:rFonts w:ascii="Verdana" w:eastAsia="Calibri" w:hAnsi="Verdana" w:cs="Arial"/>
          <w:b/>
          <w:bCs/>
          <w:lang w:eastAsia="es-MX"/>
        </w:rPr>
        <w:t>5</w:t>
      </w:r>
      <w:r w:rsidRPr="00DA2A79">
        <w:rPr>
          <w:rFonts w:ascii="Verdana" w:eastAsia="Calibri" w:hAnsi="Verdana" w:cs="Arial"/>
          <w:lang w:eastAsia="es-MX"/>
        </w:rPr>
        <w:t>.</w:t>
      </w:r>
      <w:r w:rsidRPr="00DA2A79">
        <w:rPr>
          <w:rFonts w:ascii="Verdana" w:eastAsia="Century Gothic" w:hAnsi="Verdana" w:cs="Century Gothic"/>
          <w:b/>
          <w:bCs/>
          <w:lang w:val="es-ES" w:eastAsia="es-MX"/>
        </w:rPr>
        <w:t>Doctrina de la Agencia Nacional de Contratación Pública:</w:t>
      </w:r>
    </w:p>
    <w:p w14:paraId="5010987E" w14:textId="77777777" w:rsidR="00DA2A79" w:rsidRPr="00DA2A79" w:rsidRDefault="00DA2A79" w:rsidP="00DA2A79">
      <w:pPr>
        <w:widowControl w:val="0"/>
        <w:autoSpaceDE w:val="0"/>
        <w:autoSpaceDN w:val="0"/>
        <w:spacing w:after="0" w:line="276" w:lineRule="auto"/>
        <w:jc w:val="both"/>
        <w:rPr>
          <w:rFonts w:ascii="Verdana" w:eastAsia="Calibri" w:hAnsi="Verdana" w:cs="Arial"/>
          <w:lang w:eastAsia="es-MX"/>
        </w:rPr>
      </w:pPr>
    </w:p>
    <w:p w14:paraId="27B6F304" w14:textId="77777777" w:rsidR="00DA2A79" w:rsidRPr="00DA2A79" w:rsidRDefault="00DA2A79" w:rsidP="00DA2A79">
      <w:pPr>
        <w:spacing w:after="0" w:line="276" w:lineRule="auto"/>
        <w:jc w:val="both"/>
        <w:rPr>
          <w:rFonts w:ascii="Verdana" w:eastAsia="Calibri" w:hAnsi="Verdana" w:cs="Arial"/>
          <w:shd w:val="clear" w:color="auto" w:fill="FFFFFF"/>
          <w:lang w:val="es-ES" w:eastAsia="es-MX"/>
        </w:rPr>
      </w:pPr>
      <w:r w:rsidRPr="00DA2A79">
        <w:rPr>
          <w:rFonts w:ascii="Verdana" w:eastAsia="Calibri" w:hAnsi="Verdana" w:cs="Arial"/>
          <w:shd w:val="clear" w:color="auto" w:fill="FFFFFF"/>
          <w:lang w:val="es-ES" w:eastAsia="es-MX"/>
        </w:rPr>
        <w:t>La Agencia Nacional de Contratación Pública – Colombia Compra Eficiente se pronunció</w:t>
      </w:r>
      <w:r w:rsidRPr="00DA2A79">
        <w:rPr>
          <w:rFonts w:ascii="Verdana" w:eastAsia="Calibri" w:hAnsi="Verdana" w:cs="Times New Roman"/>
          <w:lang w:eastAsia="es-MX"/>
        </w:rPr>
        <w:t xml:space="preserve"> </w:t>
      </w:r>
      <w:r w:rsidRPr="00DA2A79">
        <w:rPr>
          <w:rFonts w:ascii="Verdana" w:eastAsia="Calibri" w:hAnsi="Verdana" w:cs="Arial"/>
          <w:shd w:val="clear" w:color="auto" w:fill="FFFFFF"/>
          <w:lang w:val="es-ES" w:eastAsia="es-MX"/>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DA2A79">
        <w:rPr>
          <w:rFonts w:ascii="Verdana" w:eastAsia="Calibri" w:hAnsi="Verdana" w:cs="Arial"/>
          <w:shd w:val="clear" w:color="auto" w:fill="FFFFFF"/>
          <w:lang w:val="es-ES" w:eastAsia="es-MX"/>
        </w:rPr>
        <w:tab/>
        <w:t xml:space="preserve">C-636 del 1 de noviembre de 2024, C-777 del 9 de diciembre de 2024, C-971 del 21 de enero de 2025, C-1813 del 31 de diciembre de 2025, C-182 del 19 de marzo de 2026, C-246 del 12 de marzo de 2026, y C-258 del 19 de marzo de 2026, entre otros. </w:t>
      </w:r>
    </w:p>
    <w:p w14:paraId="3095A0BE" w14:textId="77777777" w:rsidR="00DA2A79" w:rsidRPr="00DA2A79" w:rsidRDefault="00DA2A79" w:rsidP="00DA2A79">
      <w:pPr>
        <w:spacing w:after="0" w:line="240" w:lineRule="auto"/>
        <w:jc w:val="both"/>
        <w:rPr>
          <w:rFonts w:ascii="Verdana" w:eastAsia="Calibri" w:hAnsi="Verdana" w:cs="Arial"/>
          <w:color w:val="000000"/>
          <w:shd w:val="clear" w:color="auto" w:fill="FFFFFF"/>
          <w:lang w:eastAsia="es-MX"/>
        </w:rPr>
      </w:pPr>
    </w:p>
    <w:p w14:paraId="77446D04" w14:textId="77777777" w:rsidR="00DA2A79" w:rsidRPr="00DA2A79" w:rsidRDefault="00DA2A79" w:rsidP="00DA2A79">
      <w:pPr>
        <w:widowControl w:val="0"/>
        <w:autoSpaceDE w:val="0"/>
        <w:autoSpaceDN w:val="0"/>
        <w:spacing w:after="0" w:line="276" w:lineRule="auto"/>
        <w:jc w:val="both"/>
        <w:rPr>
          <w:rFonts w:ascii="Verdana" w:eastAsia="Calibri" w:hAnsi="Verdana" w:cs="Arial"/>
          <w:color w:val="0000FF"/>
          <w:u w:val="single"/>
          <w:shd w:val="clear" w:color="auto" w:fill="FFFFFF"/>
          <w:lang w:eastAsia="es-MX"/>
        </w:rPr>
      </w:pPr>
      <w:r w:rsidRPr="00DA2A79">
        <w:rPr>
          <w:rFonts w:ascii="Verdana" w:eastAsia="Calibri" w:hAnsi="Verdana" w:cs="Arial"/>
          <w:color w:val="000000"/>
          <w:shd w:val="clear" w:color="auto" w:fill="FFFFFF"/>
          <w:lang w:eastAsia="es-MX"/>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20" w:tgtFrame="_blank" w:tooltip="Dirección URL original: https://relatoria.colombiacompra.gov.co/. Haga clic o pulse si confía en este vínculo." w:history="1">
        <w:r w:rsidRPr="00DA2A79">
          <w:rPr>
            <w:rFonts w:ascii="Verdana" w:eastAsia="Calibri" w:hAnsi="Verdana" w:cs="Arial"/>
            <w:color w:val="0000FF"/>
            <w:u w:val="single"/>
            <w:shd w:val="clear" w:color="auto" w:fill="FFFFFF"/>
            <w:lang w:eastAsia="es-MX"/>
          </w:rPr>
          <w:t>https://relatoria.colombiacompra.gov.co/</w:t>
        </w:r>
      </w:hyperlink>
      <w:r w:rsidRPr="00DA2A79">
        <w:rPr>
          <w:rFonts w:ascii="Verdana" w:eastAsia="Calibri" w:hAnsi="Verdana" w:cs="Arial"/>
          <w:color w:val="0000FF"/>
          <w:u w:val="single"/>
          <w:shd w:val="clear" w:color="auto" w:fill="FFFFFF"/>
          <w:lang w:eastAsia="es-MX"/>
        </w:rPr>
        <w:t> .</w:t>
      </w:r>
    </w:p>
    <w:p w14:paraId="1717240C" w14:textId="77777777" w:rsidR="00DA2A79" w:rsidRPr="00DA2A79" w:rsidRDefault="00DA2A79" w:rsidP="00DA2A79">
      <w:pPr>
        <w:widowControl w:val="0"/>
        <w:autoSpaceDE w:val="0"/>
        <w:autoSpaceDN w:val="0"/>
        <w:spacing w:after="0" w:line="276" w:lineRule="auto"/>
        <w:jc w:val="both"/>
        <w:rPr>
          <w:rFonts w:ascii="Verdana" w:eastAsia="Calibri" w:hAnsi="Verdana" w:cs="Arial"/>
          <w:color w:val="0000FF"/>
          <w:u w:val="single"/>
          <w:shd w:val="clear" w:color="auto" w:fill="FFFFFF"/>
          <w:lang w:eastAsia="es-MX"/>
        </w:rPr>
      </w:pPr>
    </w:p>
    <w:p w14:paraId="6DCEA1EB" w14:textId="77777777" w:rsidR="00DA2A79" w:rsidRPr="00DA2A79" w:rsidRDefault="00DA2A79" w:rsidP="00DA2A79">
      <w:pPr>
        <w:spacing w:after="0" w:line="276" w:lineRule="auto"/>
        <w:jc w:val="both"/>
        <w:rPr>
          <w:rFonts w:ascii="Verdana" w:eastAsia="Times New Roman" w:hAnsi="Verdana" w:cs="Arial"/>
          <w:lang w:eastAsia="es-MX"/>
        </w:rPr>
      </w:pPr>
      <w:r w:rsidRPr="00DA2A79">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DA2A79">
        <w:rPr>
          <w:rFonts w:ascii="Verdana" w:eastAsia="Times New Roman" w:hAnsi="Verdana" w:cs="Arial"/>
          <w:b/>
          <w:bCs/>
          <w:lang w:eastAsia="es-MX"/>
        </w:rPr>
        <w:t>Curso de Contratación Pública Sostenible y Socialmente Responsable</w:t>
      </w:r>
      <w:r w:rsidRPr="00DA2A79">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DA2A79">
        <w:rPr>
          <w:rFonts w:ascii="Verdana" w:eastAsia="Times New Roman" w:hAnsi="Verdana" w:cs="Arial"/>
          <w:lang w:eastAsia="es-MX"/>
        </w:rPr>
        <w:br/>
      </w:r>
      <w:hyperlink r:id="rId21" w:tgtFrame="_new" w:history="1">
        <w:r w:rsidRPr="00DA2A79">
          <w:rPr>
            <w:rFonts w:ascii="Verdana" w:eastAsia="Times New Roman" w:hAnsi="Verdana" w:cs="Arial"/>
            <w:color w:val="0000FF"/>
            <w:u w:val="single"/>
            <w:lang w:eastAsia="es-MX"/>
          </w:rPr>
          <w:t>https://formacionvirtual.colombiacompra.gov.co/mod/page/view.php?id=3718</w:t>
        </w:r>
      </w:hyperlink>
    </w:p>
    <w:p w14:paraId="2B26B21A" w14:textId="77777777" w:rsidR="00DA2A79" w:rsidRPr="00DA2A79" w:rsidRDefault="00DA2A79" w:rsidP="00DA2A79">
      <w:pPr>
        <w:spacing w:after="0" w:line="276" w:lineRule="auto"/>
        <w:jc w:val="both"/>
        <w:rPr>
          <w:rFonts w:ascii="Verdana" w:eastAsia="Times New Roman" w:hAnsi="Verdana" w:cs="Arial"/>
          <w:lang w:eastAsia="es-MX"/>
        </w:rPr>
      </w:pPr>
      <w:r w:rsidRPr="00DA2A79">
        <w:rPr>
          <w:rFonts w:ascii="Verdana" w:eastAsia="Times New Roman" w:hAnsi="Verdana" w:cs="Arial"/>
          <w:lang w:eastAsia="es-MX"/>
        </w:rPr>
        <w:t xml:space="preserve">De otro lado, te contamos que esta Agencia ha da un paso decisivo en la estandarización y modernización del </w:t>
      </w:r>
      <w:r w:rsidRPr="00DA2A79">
        <w:rPr>
          <w:rFonts w:ascii="Verdana" w:eastAsia="Times New Roman" w:hAnsi="Verdana" w:cs="Arial"/>
          <w:b/>
          <w:bCs/>
          <w:lang w:eastAsia="es-MX"/>
        </w:rPr>
        <w:t>sector  social</w:t>
      </w:r>
      <w:r w:rsidRPr="00DA2A79">
        <w:rPr>
          <w:rFonts w:ascii="Verdana" w:eastAsia="Times New Roman" w:hAnsi="Verdana" w:cs="Arial"/>
          <w:lang w:eastAsia="es-MX"/>
        </w:rPr>
        <w:t xml:space="preserve"> con la expedición de las </w:t>
      </w:r>
      <w:r w:rsidRPr="00DA2A79">
        <w:rPr>
          <w:rFonts w:ascii="Verdana" w:eastAsia="Times New Roman" w:hAnsi="Verdana" w:cs="Arial"/>
          <w:b/>
          <w:bCs/>
          <w:lang w:eastAsia="es-MX"/>
        </w:rPr>
        <w:t>Resoluciones 539, 540, 541, 952 y 953 de 2025</w:t>
      </w:r>
      <w:r w:rsidRPr="00DA2A79">
        <w:rPr>
          <w:rFonts w:ascii="Verdana" w:eastAsia="Times New Roman" w:hAnsi="Verdana" w:cs="Arial"/>
          <w:lang w:eastAsia="es-MX"/>
        </w:rPr>
        <w:t xml:space="preserve">, </w:t>
      </w:r>
      <w:r w:rsidRPr="00DA2A79">
        <w:rPr>
          <w:rFonts w:ascii="Verdana" w:eastAsia="Times New Roman" w:hAnsi="Verdana" w:cs="Arial"/>
          <w:b/>
          <w:bCs/>
          <w:lang w:eastAsia="es-MX"/>
        </w:rPr>
        <w:t>mediante las cuales adoptó Documentos Tipo</w:t>
      </w:r>
      <w:r w:rsidRPr="00DA2A79">
        <w:rPr>
          <w:rFonts w:ascii="Verdana" w:eastAsia="Times New Roman" w:hAnsi="Verdana" w:cs="Arial"/>
          <w:lang w:eastAsia="es-MX"/>
        </w:rPr>
        <w:t xml:space="preserve"> para las modalidades de selección de</w:t>
      </w:r>
      <w:r w:rsidRPr="00DA2A79">
        <w:rPr>
          <w:rFonts w:ascii="Verdana" w:eastAsia="Times New Roman" w:hAnsi="Verdana" w:cs="Arial"/>
          <w:b/>
          <w:bCs/>
          <w:lang w:eastAsia="es-MX"/>
        </w:rPr>
        <w:t xml:space="preserve"> licitación pública (versión 2), selección abreviada de menor cuantía, mínima cuantía, consultoría e interventoría</w:t>
      </w:r>
      <w:r w:rsidRPr="00DA2A79">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22" w:tgtFrame="_new" w:history="1">
        <w:r w:rsidRPr="00DA2A79">
          <w:rPr>
            <w:rFonts w:ascii="Verdana" w:eastAsia="Times New Roman" w:hAnsi="Verdana" w:cs="Arial"/>
            <w:color w:val="0000FF"/>
            <w:u w:val="single"/>
            <w:lang w:eastAsia="es-MX"/>
          </w:rPr>
          <w:t>https://www.colombiacompra.gov.co/normativa-y-relatoria/documentos-tipo</w:t>
        </w:r>
      </w:hyperlink>
    </w:p>
    <w:p w14:paraId="068B6159" w14:textId="77777777" w:rsidR="00DA2A79" w:rsidRPr="00DA2A79" w:rsidRDefault="00DA2A79" w:rsidP="00DA2A79">
      <w:pPr>
        <w:spacing w:after="0" w:line="276" w:lineRule="auto"/>
        <w:jc w:val="both"/>
        <w:rPr>
          <w:rFonts w:ascii="Verdana" w:eastAsia="Times New Roman" w:hAnsi="Verdana" w:cs="Arial"/>
          <w:lang w:eastAsia="es-MX"/>
        </w:rPr>
      </w:pPr>
    </w:p>
    <w:p w14:paraId="2C2234E7" w14:textId="77777777" w:rsidR="00DA2A79" w:rsidRPr="00DA2A79" w:rsidRDefault="00DA2A79" w:rsidP="00DA2A79">
      <w:pPr>
        <w:spacing w:after="0" w:line="276" w:lineRule="auto"/>
        <w:jc w:val="both"/>
        <w:rPr>
          <w:rFonts w:ascii="Verdana" w:eastAsia="Times New Roman" w:hAnsi="Verdana" w:cs="Arial"/>
          <w:lang w:eastAsia="es-MX"/>
        </w:rPr>
      </w:pPr>
      <w:r w:rsidRPr="00DA2A79">
        <w:rPr>
          <w:rFonts w:ascii="Verdana" w:eastAsia="Times New Roman" w:hAnsi="Verdana" w:cs="Arial"/>
          <w:lang w:eastAsia="es-MX"/>
        </w:rPr>
        <w:t xml:space="preserve">Si quieres conocer más sobre la aplicación de Documentos Tipo puedes consultar la última versión de la </w:t>
      </w:r>
      <w:r w:rsidRPr="00DA2A79">
        <w:rPr>
          <w:rFonts w:ascii="Verdana" w:eastAsia="Times New Roman" w:hAnsi="Verdana" w:cs="Arial"/>
          <w:b/>
          <w:bCs/>
          <w:lang w:eastAsia="es-MX"/>
        </w:rPr>
        <w:t>Guía para la comprensión e implementación de los Documentos Tipo de obra pública de infraestructura de transporte</w:t>
      </w:r>
      <w:r w:rsidRPr="00DA2A79">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DA2A79">
        <w:rPr>
          <w:rFonts w:ascii="Verdana" w:eastAsia="Times New Roman" w:hAnsi="Verdana" w:cs="Arial"/>
          <w:lang w:eastAsia="es-MX"/>
        </w:rPr>
        <w:br/>
      </w:r>
      <w:hyperlink r:id="rId23" w:tgtFrame="_new" w:history="1">
        <w:r w:rsidRPr="00DA2A79">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375443C8" w14:textId="77777777" w:rsidR="00DA2A79" w:rsidRPr="00DA2A79" w:rsidRDefault="00DA2A79" w:rsidP="00DA2A79">
      <w:pPr>
        <w:spacing w:after="0"/>
        <w:jc w:val="both"/>
        <w:rPr>
          <w:rFonts w:ascii="Verdana" w:eastAsia="Aptos" w:hAnsi="Verdana" w:cs="Times New Roman"/>
          <w:color w:val="212121"/>
          <w:lang w:eastAsia="es-MX"/>
        </w:rPr>
      </w:pPr>
    </w:p>
    <w:p w14:paraId="36B91C89" w14:textId="77777777" w:rsidR="00DA2A79" w:rsidRPr="00DA2A79" w:rsidRDefault="00DA2A79" w:rsidP="00DA2A79">
      <w:pPr>
        <w:spacing w:after="0" w:line="240" w:lineRule="auto"/>
        <w:jc w:val="both"/>
        <w:rPr>
          <w:rFonts w:ascii="Verdana" w:eastAsia="Calibri" w:hAnsi="Verdana" w:cs="Times New Roman"/>
          <w:lang w:eastAsia="es-MX"/>
        </w:rPr>
      </w:pPr>
      <w:r w:rsidRPr="00DA2A79">
        <w:rPr>
          <w:rFonts w:ascii="Verdana" w:eastAsia="Aptos" w:hAnsi="Verdana" w:cs="Times New Roman"/>
          <w:lang w:eastAsia="es-MX"/>
        </w:rPr>
        <w:t xml:space="preserve">Por último, lo invitamos a seguirnos en las redes sociales en las cuales se difunde información institucional: </w:t>
      </w:r>
    </w:p>
    <w:p w14:paraId="7688752E" w14:textId="77777777" w:rsidR="00DA2A79" w:rsidRPr="00DA2A79" w:rsidRDefault="00DA2A79" w:rsidP="00DA2A79">
      <w:pPr>
        <w:spacing w:after="0" w:line="240" w:lineRule="auto"/>
        <w:jc w:val="both"/>
        <w:rPr>
          <w:rFonts w:ascii="Verdana" w:eastAsia="Aptos" w:hAnsi="Verdana" w:cs="Times New Roman"/>
          <w:lang w:eastAsia="es-MX"/>
        </w:rPr>
      </w:pPr>
    </w:p>
    <w:p w14:paraId="6C045580" w14:textId="77777777" w:rsidR="00DA2A79" w:rsidRPr="00DA2A79" w:rsidRDefault="00DA2A79" w:rsidP="00DA2A79">
      <w:pPr>
        <w:spacing w:after="0" w:line="240" w:lineRule="auto"/>
        <w:jc w:val="both"/>
        <w:rPr>
          <w:rFonts w:ascii="Verdana" w:eastAsia="Aptos" w:hAnsi="Verdana" w:cs="Times New Roman"/>
          <w:lang w:eastAsia="es-MX"/>
        </w:rPr>
      </w:pPr>
      <w:r w:rsidRPr="00DA2A79">
        <w:rPr>
          <w:rFonts w:ascii="Verdana" w:eastAsia="Aptos" w:hAnsi="Verdana" w:cs="Times New Roman"/>
          <w:lang w:eastAsia="es-MX"/>
        </w:rPr>
        <w:lastRenderedPageBreak/>
        <w:t xml:space="preserve">Twitter: </w:t>
      </w:r>
      <w:r w:rsidRPr="00DA2A79">
        <w:rPr>
          <w:rFonts w:ascii="Verdana" w:eastAsia="Calibri" w:hAnsi="Verdana" w:cs="Times New Roman"/>
          <w:color w:val="156082"/>
          <w:u w:val="single"/>
          <w:lang w:eastAsia="es-MX"/>
        </w:rPr>
        <w:t>@colombiacompra</w:t>
      </w:r>
      <w:r w:rsidRPr="00DA2A79">
        <w:rPr>
          <w:rFonts w:ascii="Verdana" w:eastAsia="Calibri" w:hAnsi="Verdana" w:cs="Times New Roman"/>
          <w:color w:val="156082"/>
          <w:lang w:eastAsia="es-MX"/>
        </w:rPr>
        <w:t xml:space="preserve"> </w:t>
      </w:r>
    </w:p>
    <w:p w14:paraId="7D511000" w14:textId="77777777" w:rsidR="00DA2A79" w:rsidRPr="00DA2A79" w:rsidRDefault="00DA2A79" w:rsidP="00DA2A79">
      <w:pPr>
        <w:spacing w:after="0" w:line="240" w:lineRule="auto"/>
        <w:jc w:val="both"/>
        <w:rPr>
          <w:rFonts w:ascii="Verdana" w:eastAsia="Aptos" w:hAnsi="Verdana" w:cs="Times New Roman"/>
          <w:lang w:eastAsia="es-MX"/>
        </w:rPr>
      </w:pPr>
      <w:r w:rsidRPr="00DA2A79">
        <w:rPr>
          <w:rFonts w:ascii="Verdana" w:eastAsia="Aptos" w:hAnsi="Verdana" w:cs="Times New Roman"/>
          <w:lang w:eastAsia="es-MX"/>
        </w:rPr>
        <w:t xml:space="preserve">Facebook: </w:t>
      </w:r>
      <w:r w:rsidRPr="00DA2A79">
        <w:rPr>
          <w:rFonts w:ascii="Verdana" w:eastAsia="Calibri" w:hAnsi="Verdana" w:cs="Times New Roman"/>
          <w:color w:val="156082"/>
          <w:u w:val="single"/>
          <w:lang w:eastAsia="es-MX"/>
        </w:rPr>
        <w:t>ColombiaCompraEficiente</w:t>
      </w:r>
    </w:p>
    <w:p w14:paraId="29DFBD9F" w14:textId="77777777" w:rsidR="00DA2A79" w:rsidRPr="00DA2A79" w:rsidRDefault="00DA2A79" w:rsidP="00DA2A79">
      <w:pPr>
        <w:spacing w:after="0" w:line="240" w:lineRule="auto"/>
        <w:jc w:val="both"/>
        <w:rPr>
          <w:rFonts w:ascii="Verdana" w:eastAsia="Aptos" w:hAnsi="Verdana" w:cs="Times New Roman"/>
          <w:lang w:eastAsia="es-MX"/>
        </w:rPr>
      </w:pPr>
      <w:r w:rsidRPr="00DA2A79">
        <w:rPr>
          <w:rFonts w:ascii="Verdana" w:eastAsia="Aptos" w:hAnsi="Verdana" w:cs="Times New Roman"/>
          <w:lang w:eastAsia="es-MX"/>
        </w:rPr>
        <w:t xml:space="preserve">LinkedIn: </w:t>
      </w:r>
      <w:r w:rsidRPr="00DA2A79">
        <w:rPr>
          <w:rFonts w:ascii="Verdana" w:eastAsia="Calibri" w:hAnsi="Verdana" w:cs="Times New Roman"/>
          <w:color w:val="156082"/>
          <w:u w:val="single"/>
          <w:lang w:eastAsia="es-MX"/>
        </w:rPr>
        <w:t>Agencia Nacional de Contratación Pública - Colombia Compra Eficiente</w:t>
      </w:r>
      <w:r w:rsidRPr="00DA2A79">
        <w:rPr>
          <w:rFonts w:ascii="Verdana" w:eastAsia="Calibri" w:hAnsi="Verdana" w:cs="Times New Roman"/>
          <w:color w:val="156082"/>
          <w:lang w:eastAsia="es-MX"/>
        </w:rPr>
        <w:t xml:space="preserve"> </w:t>
      </w:r>
      <w:r w:rsidRPr="00DA2A79">
        <w:rPr>
          <w:rFonts w:ascii="Verdana" w:eastAsia="Aptos" w:hAnsi="Verdana" w:cs="Times New Roman"/>
          <w:lang w:eastAsia="es-MX"/>
        </w:rPr>
        <w:t xml:space="preserve">Instagram: </w:t>
      </w:r>
      <w:r w:rsidRPr="00DA2A79">
        <w:rPr>
          <w:rFonts w:ascii="Verdana" w:eastAsia="Calibri" w:hAnsi="Verdana" w:cs="Times New Roman"/>
          <w:color w:val="156082"/>
          <w:u w:val="single"/>
          <w:lang w:eastAsia="es-MX"/>
        </w:rPr>
        <w:t>@colombiacompraeficiente_cce</w:t>
      </w:r>
    </w:p>
    <w:p w14:paraId="077A4CB7" w14:textId="77777777" w:rsidR="00DA2A79" w:rsidRPr="00DA2A79" w:rsidRDefault="00DA2A79" w:rsidP="00DA2A79">
      <w:pPr>
        <w:spacing w:after="0" w:line="276" w:lineRule="auto"/>
        <w:jc w:val="both"/>
        <w:rPr>
          <w:rFonts w:ascii="Verdana" w:eastAsia="Aptos" w:hAnsi="Verdana" w:cs="Times New Roman"/>
          <w:lang w:eastAsia="es-MX"/>
        </w:rPr>
      </w:pPr>
    </w:p>
    <w:p w14:paraId="79DDB4AF" w14:textId="77777777" w:rsidR="00DA2A79" w:rsidRPr="00DA2A79" w:rsidRDefault="00DA2A79" w:rsidP="00DA2A79">
      <w:pPr>
        <w:spacing w:after="0" w:line="276" w:lineRule="auto"/>
        <w:jc w:val="both"/>
        <w:rPr>
          <w:rFonts w:ascii="Verdana" w:eastAsia="Calibri" w:hAnsi="Verdana" w:cs="Times New Roman"/>
          <w:bCs/>
          <w:lang w:val="es-ES_tradnl" w:eastAsia="es-MX"/>
        </w:rPr>
      </w:pPr>
      <w:r w:rsidRPr="00DA2A79">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969A438" w14:textId="77777777" w:rsidR="00DA2A79" w:rsidRPr="00DA2A79" w:rsidRDefault="00DA2A79" w:rsidP="00DA2A79">
      <w:pPr>
        <w:spacing w:after="0" w:line="276" w:lineRule="auto"/>
        <w:jc w:val="both"/>
        <w:rPr>
          <w:rFonts w:ascii="Verdana" w:eastAsia="Calibri" w:hAnsi="Verdana" w:cs="Times New Roman"/>
          <w:lang w:eastAsia="es-MX"/>
        </w:rPr>
      </w:pPr>
    </w:p>
    <w:p w14:paraId="74CDE1EA" w14:textId="77777777" w:rsidR="00DA2A79" w:rsidRPr="00DA2A79" w:rsidRDefault="00DA2A79" w:rsidP="00DA2A79">
      <w:pPr>
        <w:spacing w:after="0" w:line="276" w:lineRule="auto"/>
        <w:jc w:val="both"/>
        <w:rPr>
          <w:rFonts w:ascii="Verdana" w:eastAsia="Calibri" w:hAnsi="Verdana" w:cs="Times New Roman"/>
          <w:lang w:eastAsia="es-MX"/>
        </w:rPr>
      </w:pPr>
      <w:r w:rsidRPr="00DA2A79">
        <w:rPr>
          <w:rFonts w:ascii="Verdana" w:eastAsia="Calibri" w:hAnsi="Verdana" w:cs="Times New Roman"/>
          <w:lang w:eastAsia="es-MX"/>
        </w:rPr>
        <w:t>Atentamente,</w:t>
      </w:r>
    </w:p>
    <w:p w14:paraId="1960CB97" w14:textId="6D93CFE9" w:rsidR="00DA2A79" w:rsidRPr="00DA2A79" w:rsidRDefault="000D5103" w:rsidP="00DA2A79">
      <w:pPr>
        <w:tabs>
          <w:tab w:val="left" w:pos="1320"/>
        </w:tabs>
        <w:spacing w:after="0"/>
        <w:jc w:val="center"/>
        <w:rPr>
          <w:rFonts w:ascii="Century Gothic" w:eastAsia="Calibri" w:hAnsi="Century Gothic" w:cs="Times New Roman"/>
          <w:lang w:eastAsia="es-MX"/>
        </w:rPr>
      </w:pPr>
      <w:r w:rsidRPr="004D5C25">
        <w:rPr>
          <w:rFonts w:ascii="Century Gothic" w:hAnsi="Century Gothic"/>
          <w:noProof/>
        </w:rPr>
        <w:drawing>
          <wp:inline distT="0" distB="0" distL="0" distR="0" wp14:anchorId="5A9C1827" wp14:editId="31576969">
            <wp:extent cx="2547937" cy="1093844"/>
            <wp:effectExtent l="0" t="0" r="508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24"/>
                    <a:stretch>
                      <a:fillRect/>
                    </a:stretch>
                  </pic:blipFill>
                  <pic:spPr>
                    <a:xfrm>
                      <a:off x="0" y="0"/>
                      <a:ext cx="2553823" cy="1096371"/>
                    </a:xfrm>
                    <a:prstGeom prst="rect">
                      <a:avLst/>
                    </a:prstGeom>
                  </pic:spPr>
                </pic:pic>
              </a:graphicData>
            </a:graphic>
          </wp:inline>
        </w:drawing>
      </w:r>
    </w:p>
    <w:p w14:paraId="316F23D1" w14:textId="77777777" w:rsidR="00DA2A79" w:rsidRPr="00DA2A79" w:rsidRDefault="00DA2A79" w:rsidP="00DA2A79">
      <w:pPr>
        <w:tabs>
          <w:tab w:val="left" w:pos="1320"/>
        </w:tabs>
        <w:spacing w:after="0"/>
        <w:jc w:val="center"/>
        <w:rPr>
          <w:rFonts w:ascii="Century Gothic" w:eastAsia="Calibri" w:hAnsi="Century Gothic" w:cs="Times New Roman"/>
          <w:lang w:eastAsia="es-MX"/>
        </w:rPr>
      </w:pP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DA2A79" w:rsidRPr="00DA2A79" w14:paraId="240AD194" w14:textId="77777777" w:rsidTr="008A62F8">
        <w:trPr>
          <w:trHeight w:val="323"/>
        </w:trPr>
        <w:tc>
          <w:tcPr>
            <w:tcW w:w="1041" w:type="dxa"/>
            <w:vAlign w:val="center"/>
            <w:hideMark/>
          </w:tcPr>
          <w:p w14:paraId="0FBDD91A" w14:textId="77777777" w:rsidR="00DA2A79" w:rsidRPr="00DA2A79" w:rsidRDefault="00DA2A79" w:rsidP="00DA2A79">
            <w:pPr>
              <w:rPr>
                <w:rFonts w:ascii="Verdana" w:eastAsia="Calibri" w:hAnsi="Verdana" w:cs="Arial"/>
                <w:sz w:val="16"/>
                <w:szCs w:val="16"/>
                <w:lang w:val="es-ES_tradnl" w:eastAsia="es-ES"/>
              </w:rPr>
            </w:pPr>
            <w:r w:rsidRPr="00DA2A79">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013E7B90" w14:textId="77777777" w:rsidR="00DA2A79" w:rsidRPr="00DA2A79" w:rsidRDefault="00DA2A79" w:rsidP="00DA2A79">
            <w:pPr>
              <w:rPr>
                <w:rFonts w:ascii="Verdana" w:eastAsia="Arial" w:hAnsi="Verdana" w:cs="Arial"/>
                <w:sz w:val="16"/>
                <w:szCs w:val="16"/>
                <w:lang w:val="es-ES" w:eastAsia="es-MX"/>
              </w:rPr>
            </w:pPr>
            <w:r w:rsidRPr="00DA2A79">
              <w:rPr>
                <w:rFonts w:ascii="Verdana" w:eastAsia="Arial" w:hAnsi="Verdana" w:cs="Arial"/>
                <w:sz w:val="16"/>
                <w:szCs w:val="16"/>
                <w:lang w:val="es-ES" w:eastAsia="es-MX"/>
              </w:rPr>
              <w:t xml:space="preserve">Carlos Mario Castrillón Endo </w:t>
            </w:r>
          </w:p>
          <w:p w14:paraId="5516F0DE" w14:textId="77777777" w:rsidR="00DA2A79" w:rsidRPr="00DA2A79" w:rsidRDefault="00DA2A79" w:rsidP="00DA2A79">
            <w:pPr>
              <w:rPr>
                <w:rFonts w:ascii="Verdana" w:eastAsia="Arial" w:hAnsi="Verdana" w:cs="Arial"/>
                <w:sz w:val="16"/>
                <w:szCs w:val="16"/>
                <w:lang w:val="es-ES_tradnl" w:eastAsia="es-MX"/>
              </w:rPr>
            </w:pPr>
            <w:r w:rsidRPr="00DA2A79">
              <w:rPr>
                <w:rFonts w:ascii="Verdana" w:eastAsia="Arial" w:hAnsi="Verdana" w:cs="Arial"/>
                <w:sz w:val="16"/>
                <w:szCs w:val="16"/>
                <w:lang w:val="es-ES_tradnl" w:eastAsia="es-MX"/>
              </w:rPr>
              <w:t>Contratista de la Subdirección de Gestión Contractual</w:t>
            </w:r>
          </w:p>
          <w:p w14:paraId="6C235F45" w14:textId="77777777" w:rsidR="00DA2A79" w:rsidRPr="00DA2A79" w:rsidRDefault="00DA2A79" w:rsidP="00DA2A79">
            <w:pPr>
              <w:rPr>
                <w:rFonts w:ascii="Verdana" w:eastAsia="Arial" w:hAnsi="Verdana" w:cs="Arial"/>
                <w:sz w:val="16"/>
                <w:szCs w:val="16"/>
                <w:lang w:val="es-ES_tradnl" w:eastAsia="es-MX"/>
              </w:rPr>
            </w:pPr>
          </w:p>
        </w:tc>
      </w:tr>
      <w:tr w:rsidR="00DA2A79" w:rsidRPr="00DA2A79" w14:paraId="671299F9" w14:textId="77777777" w:rsidTr="008A62F8">
        <w:trPr>
          <w:trHeight w:val="338"/>
        </w:trPr>
        <w:tc>
          <w:tcPr>
            <w:tcW w:w="1041" w:type="dxa"/>
            <w:vAlign w:val="center"/>
            <w:hideMark/>
          </w:tcPr>
          <w:p w14:paraId="4E16E9D0" w14:textId="77777777" w:rsidR="00DA2A79" w:rsidRPr="00DA2A79" w:rsidRDefault="00DA2A79" w:rsidP="00DA2A79">
            <w:pPr>
              <w:rPr>
                <w:rFonts w:ascii="Verdana" w:eastAsia="Calibri" w:hAnsi="Verdana" w:cs="Arial"/>
                <w:sz w:val="16"/>
                <w:szCs w:val="16"/>
                <w:lang w:val="es-ES_tradnl" w:eastAsia="es-ES"/>
              </w:rPr>
            </w:pPr>
            <w:r w:rsidRPr="00DA2A79">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6014C29A" w14:textId="77777777" w:rsidR="00DA2A79" w:rsidRPr="00DA2A79" w:rsidRDefault="00DA2A79" w:rsidP="00DA2A79">
            <w:pPr>
              <w:rPr>
                <w:rFonts w:ascii="Verdana" w:eastAsia="Arial" w:hAnsi="Verdana" w:cs="Arial"/>
                <w:sz w:val="16"/>
                <w:szCs w:val="16"/>
                <w:lang w:val="es-ES" w:eastAsia="es-MX"/>
              </w:rPr>
            </w:pPr>
            <w:r w:rsidRPr="00DA2A79">
              <w:rPr>
                <w:rFonts w:ascii="Verdana" w:eastAsia="Arial" w:hAnsi="Verdana" w:cs="Arial"/>
                <w:sz w:val="16"/>
                <w:szCs w:val="16"/>
                <w:lang w:val="es-ES" w:eastAsia="es-MX"/>
              </w:rPr>
              <w:t>Lida Milena Guanumen Pacheco</w:t>
            </w:r>
          </w:p>
          <w:p w14:paraId="177A7952" w14:textId="77777777" w:rsidR="00DA2A79" w:rsidRPr="00DA2A79" w:rsidRDefault="00DA2A79" w:rsidP="00DA2A79">
            <w:pPr>
              <w:rPr>
                <w:rFonts w:ascii="Verdana" w:eastAsia="Arial" w:hAnsi="Verdana" w:cs="Arial"/>
                <w:sz w:val="16"/>
                <w:szCs w:val="16"/>
                <w:lang w:val="es-ES" w:eastAsia="es-MX"/>
              </w:rPr>
            </w:pPr>
            <w:r w:rsidRPr="00DA2A79">
              <w:rPr>
                <w:rFonts w:ascii="Verdana" w:eastAsia="Arial" w:hAnsi="Verdana" w:cs="Arial"/>
                <w:sz w:val="16"/>
                <w:szCs w:val="16"/>
                <w:lang w:val="es-ES_tradnl" w:eastAsia="es-MX"/>
              </w:rPr>
              <w:t>Contratista de la Subdirección de Gestión Contractual</w:t>
            </w:r>
          </w:p>
          <w:p w14:paraId="508CFD6E" w14:textId="77777777" w:rsidR="00DA2A79" w:rsidRPr="00DA2A79" w:rsidRDefault="00DA2A79" w:rsidP="00DA2A79">
            <w:pPr>
              <w:rPr>
                <w:rFonts w:ascii="Verdana" w:eastAsia="Arial" w:hAnsi="Verdana" w:cs="Arial"/>
                <w:sz w:val="16"/>
                <w:szCs w:val="16"/>
                <w:lang w:val="es-ES" w:eastAsia="es-MX"/>
              </w:rPr>
            </w:pPr>
            <w:r w:rsidRPr="00DA2A79">
              <w:rPr>
                <w:rFonts w:ascii="Verdana" w:eastAsia="Arial" w:hAnsi="Verdana" w:cs="Arial"/>
                <w:sz w:val="16"/>
                <w:szCs w:val="16"/>
                <w:lang w:val="es-ES" w:eastAsia="es-MX"/>
              </w:rPr>
              <w:t>Martha Alicia Romero Vargas</w:t>
            </w:r>
          </w:p>
          <w:p w14:paraId="4BE3391B" w14:textId="77777777" w:rsidR="00DA2A79" w:rsidRPr="00DA2A79" w:rsidRDefault="00DA2A79" w:rsidP="00DA2A79">
            <w:pPr>
              <w:rPr>
                <w:rFonts w:ascii="Verdana" w:eastAsia="Arial" w:hAnsi="Verdana" w:cs="Arial"/>
                <w:sz w:val="16"/>
                <w:szCs w:val="16"/>
                <w:lang w:val="es-ES_tradnl" w:eastAsia="es-MX"/>
              </w:rPr>
            </w:pPr>
            <w:r w:rsidRPr="00DA2A79">
              <w:rPr>
                <w:rFonts w:ascii="Verdana" w:eastAsia="Arial" w:hAnsi="Verdana" w:cs="Arial"/>
                <w:sz w:val="16"/>
                <w:szCs w:val="16"/>
                <w:lang w:val="es-ES_tradnl" w:eastAsia="es-MX"/>
              </w:rPr>
              <w:t>Gestor T1-15 de la Subdirección de Gestión Contractual</w:t>
            </w:r>
          </w:p>
        </w:tc>
      </w:tr>
      <w:tr w:rsidR="00DA2A79" w:rsidRPr="00DA2A79" w14:paraId="3ED5C7E7" w14:textId="77777777" w:rsidTr="008A62F8">
        <w:trPr>
          <w:trHeight w:val="308"/>
        </w:trPr>
        <w:tc>
          <w:tcPr>
            <w:tcW w:w="1041" w:type="dxa"/>
            <w:vAlign w:val="center"/>
          </w:tcPr>
          <w:p w14:paraId="4FA9C524" w14:textId="77777777" w:rsidR="00DA2A79" w:rsidRPr="00DA2A79" w:rsidRDefault="00DA2A79" w:rsidP="00DA2A79">
            <w:pPr>
              <w:rPr>
                <w:rFonts w:ascii="Verdana" w:eastAsia="Calibri" w:hAnsi="Verdana" w:cs="Arial"/>
                <w:sz w:val="16"/>
                <w:szCs w:val="16"/>
                <w:lang w:val="es-ES_tradnl" w:eastAsia="es-ES"/>
              </w:rPr>
            </w:pPr>
            <w:r w:rsidRPr="00DA2A79">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3EFCCE32" w14:textId="77777777" w:rsidR="00DA2A79" w:rsidRPr="00DA2A79" w:rsidRDefault="00DA2A79" w:rsidP="00DA2A79">
            <w:pPr>
              <w:rPr>
                <w:rFonts w:ascii="Verdana" w:eastAsia="Calibri" w:hAnsi="Verdana" w:cs="Arial"/>
                <w:sz w:val="16"/>
                <w:szCs w:val="16"/>
                <w:lang w:val="es-ES" w:eastAsia="es-ES"/>
              </w:rPr>
            </w:pPr>
            <w:r w:rsidRPr="00DA2A79">
              <w:rPr>
                <w:rFonts w:ascii="Verdana" w:eastAsia="Calibri" w:hAnsi="Verdana" w:cs="Arial"/>
                <w:sz w:val="16"/>
                <w:szCs w:val="16"/>
                <w:lang w:val="es-ES" w:eastAsia="es-ES"/>
              </w:rPr>
              <w:t>Carolina Quintero Gacharná</w:t>
            </w:r>
          </w:p>
          <w:p w14:paraId="037F1F05" w14:textId="77777777" w:rsidR="00DA2A79" w:rsidRPr="00DA2A79" w:rsidRDefault="00DA2A79" w:rsidP="00DA2A79">
            <w:pPr>
              <w:rPr>
                <w:rFonts w:ascii="Verdana" w:eastAsia="Calibri" w:hAnsi="Verdana" w:cs="Arial"/>
                <w:sz w:val="16"/>
                <w:szCs w:val="16"/>
                <w:lang w:val="es-ES_tradnl" w:eastAsia="es-ES"/>
              </w:rPr>
            </w:pPr>
            <w:r w:rsidRPr="00DA2A79">
              <w:rPr>
                <w:rFonts w:ascii="Verdana" w:eastAsia="Calibri" w:hAnsi="Verdana" w:cs="Arial"/>
                <w:sz w:val="16"/>
                <w:szCs w:val="16"/>
                <w:lang w:val="es-ES_tradnl" w:eastAsia="es-ES"/>
              </w:rPr>
              <w:t>Subdirectora de Gestión Contractual ANCP – CCE</w:t>
            </w:r>
          </w:p>
        </w:tc>
      </w:tr>
    </w:tbl>
    <w:p w14:paraId="65B365BF" w14:textId="77777777" w:rsidR="00DA2A79" w:rsidRPr="000E2B93" w:rsidRDefault="00DA2A79" w:rsidP="30821638">
      <w:pPr>
        <w:spacing w:after="0" w:line="240" w:lineRule="auto"/>
        <w:jc w:val="both"/>
        <w:textAlignment w:val="baseline"/>
        <w:rPr>
          <w:rFonts w:ascii="Verdana" w:eastAsia="Verdana" w:hAnsi="Verdana" w:cs="Verdana"/>
          <w:lang w:eastAsia="es-CO"/>
        </w:rPr>
      </w:pPr>
    </w:p>
    <w:p w14:paraId="69BC4D14" w14:textId="73C1AF4D"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p w14:paraId="5DF0FF7B" w14:textId="3BF1D3B9" w:rsidR="545B112A" w:rsidRDefault="545B112A"/>
    <w:p w14:paraId="26A0CB84" w14:textId="77777777" w:rsidR="002E2BF8" w:rsidRPr="00E02524" w:rsidRDefault="002E2BF8" w:rsidP="30821638">
      <w:pPr>
        <w:spacing w:after="0"/>
        <w:jc w:val="both"/>
        <w:rPr>
          <w:rFonts w:ascii="Verdana" w:eastAsia="Verdana" w:hAnsi="Verdana" w:cs="Verdana"/>
          <w:lang w:val="es-ES"/>
        </w:rPr>
      </w:pPr>
    </w:p>
    <w:bookmarkEnd w:id="0"/>
    <w:p w14:paraId="0F293BF4" w14:textId="4A0FAE75" w:rsidR="00127233" w:rsidRPr="0015699B" w:rsidRDefault="00127233" w:rsidP="00DA2A79">
      <w:pPr>
        <w:spacing w:after="0" w:line="240" w:lineRule="auto"/>
        <w:jc w:val="both"/>
        <w:textAlignment w:val="baseline"/>
        <w:rPr>
          <w:rFonts w:ascii="Verdana" w:eastAsia="Verdana" w:hAnsi="Verdana" w:cs="Verdana"/>
          <w:lang w:eastAsia="es-CO"/>
        </w:rPr>
      </w:pPr>
    </w:p>
    <w:sectPr w:rsidR="00127233" w:rsidRPr="0015699B" w:rsidSect="007C0C0F">
      <w:headerReference w:type="default" r:id="rId25"/>
      <w:footerReference w:type="default" r:id="rId2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9BF029" w14:textId="77777777" w:rsidR="00624FF3" w:rsidRDefault="00624FF3" w:rsidP="004A1847">
      <w:pPr>
        <w:spacing w:after="0" w:line="240" w:lineRule="auto"/>
      </w:pPr>
      <w:r>
        <w:separator/>
      </w:r>
    </w:p>
  </w:endnote>
  <w:endnote w:type="continuationSeparator" w:id="0">
    <w:p w14:paraId="3118855D" w14:textId="77777777" w:rsidR="00624FF3" w:rsidRDefault="00624FF3" w:rsidP="004A1847">
      <w:pPr>
        <w:spacing w:after="0" w:line="240" w:lineRule="auto"/>
      </w:pPr>
      <w:r>
        <w:continuationSeparator/>
      </w:r>
    </w:p>
  </w:endnote>
  <w:endnote w:type="continuationNotice" w:id="1">
    <w:p w14:paraId="4E4707E2" w14:textId="77777777" w:rsidR="00624FF3" w:rsidRDefault="00624FF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38A1D5" w14:textId="77777777" w:rsidR="00624FF3" w:rsidRDefault="00624FF3" w:rsidP="004A1847">
      <w:pPr>
        <w:spacing w:after="0" w:line="240" w:lineRule="auto"/>
      </w:pPr>
      <w:r>
        <w:separator/>
      </w:r>
    </w:p>
  </w:footnote>
  <w:footnote w:type="continuationSeparator" w:id="0">
    <w:p w14:paraId="0AF78A76" w14:textId="77777777" w:rsidR="00624FF3" w:rsidRDefault="00624FF3" w:rsidP="004A1847">
      <w:pPr>
        <w:spacing w:after="0" w:line="240" w:lineRule="auto"/>
      </w:pPr>
      <w:r>
        <w:continuationSeparator/>
      </w:r>
    </w:p>
  </w:footnote>
  <w:footnote w:type="continuationNotice" w:id="1">
    <w:p w14:paraId="4D84F7C4" w14:textId="77777777" w:rsidR="00624FF3" w:rsidRDefault="00624FF3">
      <w:pPr>
        <w:spacing w:after="0" w:line="240" w:lineRule="auto"/>
      </w:pPr>
    </w:p>
  </w:footnote>
  <w:footnote w:id="2">
    <w:p w14:paraId="62EE3773" w14:textId="77777777" w:rsidR="00DA2A79" w:rsidRPr="00EB1E25" w:rsidRDefault="00DA2A79" w:rsidP="00DA2A79">
      <w:pPr>
        <w:pStyle w:val="Textonotapie"/>
        <w:ind w:firstLine="708"/>
        <w:jc w:val="both"/>
        <w:rPr>
          <w:rFonts w:ascii="Verdana" w:hAnsi="Verdana"/>
          <w:sz w:val="18"/>
          <w:szCs w:val="18"/>
          <w:lang w:val="es-ES_tradnl"/>
        </w:rPr>
      </w:pPr>
      <w:r w:rsidRPr="00EB1E25">
        <w:rPr>
          <w:rStyle w:val="Refdenotaalpie"/>
          <w:rFonts w:ascii="Verdana" w:hAnsi="Verdana"/>
          <w:sz w:val="18"/>
          <w:szCs w:val="18"/>
        </w:rPr>
        <w:footnoteRef/>
      </w:r>
      <w:r w:rsidRPr="00EB1E25">
        <w:rPr>
          <w:rFonts w:ascii="Verdana" w:hAnsi="Verdana"/>
          <w:sz w:val="18"/>
          <w:szCs w:val="18"/>
        </w:rPr>
        <w:t xml:space="preserve"> Reglamento Colombiano de Construcción Sismo Resistente NSR-10</w:t>
      </w:r>
    </w:p>
  </w:footnote>
  <w:footnote w:id="3">
    <w:p w14:paraId="67D229F1" w14:textId="77777777" w:rsidR="00DA2A79" w:rsidRPr="00EB1E25" w:rsidRDefault="00DA2A79" w:rsidP="00DA2A79">
      <w:pPr>
        <w:pStyle w:val="Textonotapie"/>
        <w:ind w:firstLine="708"/>
        <w:jc w:val="both"/>
        <w:rPr>
          <w:rFonts w:ascii="Verdana" w:hAnsi="Verdana"/>
          <w:sz w:val="18"/>
          <w:szCs w:val="18"/>
          <w:lang w:val="es-ES_tradnl"/>
        </w:rPr>
      </w:pPr>
      <w:r w:rsidRPr="00EB1E25">
        <w:rPr>
          <w:rStyle w:val="Refdenotaalpie"/>
          <w:rFonts w:ascii="Verdana" w:hAnsi="Verdana"/>
          <w:sz w:val="18"/>
          <w:szCs w:val="18"/>
        </w:rPr>
        <w:footnoteRef/>
      </w:r>
      <w:r w:rsidRPr="00EB1E25">
        <w:rPr>
          <w:rFonts w:ascii="Verdana" w:hAnsi="Verdana"/>
          <w:sz w:val="18"/>
          <w:szCs w:val="18"/>
        </w:rPr>
        <w:t xml:space="preserve"> </w:t>
      </w:r>
      <w:r w:rsidRPr="00EB1E25">
        <w:rPr>
          <w:rFonts w:ascii="Verdana" w:hAnsi="Verdana"/>
          <w:sz w:val="18"/>
          <w:szCs w:val="18"/>
          <w:lang w:val="es-ES_tradnl"/>
        </w:rPr>
        <w:t xml:space="preserve">Ibidem </w:t>
      </w:r>
    </w:p>
    <w:p w14:paraId="049FE35D" w14:textId="77777777" w:rsidR="00DA2A79" w:rsidRPr="00EB1E25" w:rsidRDefault="00DA2A79" w:rsidP="00DA2A79">
      <w:pPr>
        <w:pStyle w:val="Textonotapie"/>
        <w:ind w:firstLine="708"/>
        <w:jc w:val="both"/>
        <w:rPr>
          <w:rFonts w:ascii="Verdana" w:hAnsi="Verdana"/>
          <w:sz w:val="18"/>
          <w:szCs w:val="18"/>
          <w:lang w:val="es-ES_tradnl"/>
        </w:rPr>
      </w:pPr>
    </w:p>
  </w:footnote>
  <w:footnote w:id="4">
    <w:p w14:paraId="04E20DFA" w14:textId="77777777" w:rsidR="00DA2A79" w:rsidRPr="00EB1E25" w:rsidRDefault="00DA2A79" w:rsidP="00DA2A79">
      <w:pPr>
        <w:pStyle w:val="Textonotapie"/>
        <w:ind w:firstLine="708"/>
        <w:jc w:val="both"/>
        <w:rPr>
          <w:rFonts w:ascii="Verdana" w:hAnsi="Verdana"/>
          <w:sz w:val="18"/>
          <w:szCs w:val="18"/>
        </w:rPr>
      </w:pPr>
      <w:r w:rsidRPr="00EB1E25">
        <w:rPr>
          <w:rStyle w:val="Refdenotaalpie"/>
          <w:rFonts w:ascii="Verdana" w:hAnsi="Verdana"/>
          <w:sz w:val="18"/>
          <w:szCs w:val="18"/>
        </w:rPr>
        <w:footnoteRef/>
      </w:r>
      <w:r w:rsidRPr="00EB1E25">
        <w:rPr>
          <w:rFonts w:ascii="Verdana" w:hAnsi="Verdana"/>
          <w:sz w:val="18"/>
          <w:szCs w:val="18"/>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6F3EE338" w14:textId="77777777" w:rsidR="00DA2A79" w:rsidRPr="00EB1E25" w:rsidRDefault="00DA2A79" w:rsidP="00DA2A79">
      <w:pPr>
        <w:pStyle w:val="Textonotapie"/>
        <w:ind w:firstLine="708"/>
        <w:jc w:val="both"/>
        <w:rPr>
          <w:rFonts w:ascii="Verdana" w:hAnsi="Verdana"/>
          <w:sz w:val="18"/>
          <w:szCs w:val="18"/>
        </w:rPr>
      </w:pPr>
    </w:p>
    <w:p w14:paraId="5A9FCC69" w14:textId="77777777" w:rsidR="00DA2A79" w:rsidRPr="00EB1E25" w:rsidRDefault="00DA2A79" w:rsidP="00DA2A79">
      <w:pPr>
        <w:pStyle w:val="Textonotapie"/>
        <w:ind w:firstLine="708"/>
        <w:jc w:val="both"/>
        <w:rPr>
          <w:rFonts w:ascii="Verdana" w:hAnsi="Verdana"/>
          <w:sz w:val="18"/>
          <w:szCs w:val="18"/>
        </w:rPr>
      </w:pPr>
      <w:r w:rsidRPr="00EB1E25">
        <w:rPr>
          <w:rFonts w:ascii="Verdana" w:hAnsi="Verdana"/>
          <w:sz w:val="18"/>
          <w:szCs w:val="18"/>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3F71B5BB" w14:textId="77777777" w:rsidR="00DA2A79" w:rsidRPr="00EB1E25" w:rsidRDefault="00DA2A79" w:rsidP="00DA2A79">
      <w:pPr>
        <w:pStyle w:val="Textonotapie"/>
        <w:ind w:firstLine="708"/>
        <w:jc w:val="both"/>
        <w:rPr>
          <w:rFonts w:ascii="Verdana" w:hAnsi="Verdana"/>
          <w:sz w:val="18"/>
          <w:szCs w:val="18"/>
        </w:rPr>
      </w:pPr>
    </w:p>
    <w:p w14:paraId="08559BC2" w14:textId="77777777" w:rsidR="00DA2A79" w:rsidRPr="00EB1E25" w:rsidRDefault="00DA2A79" w:rsidP="00DA2A79">
      <w:pPr>
        <w:pStyle w:val="Textonotapie"/>
        <w:ind w:firstLine="708"/>
        <w:jc w:val="both"/>
        <w:rPr>
          <w:rFonts w:ascii="Verdana" w:hAnsi="Verdana"/>
          <w:sz w:val="18"/>
          <w:szCs w:val="18"/>
        </w:rPr>
      </w:pPr>
      <w:r w:rsidRPr="00EB1E25">
        <w:rPr>
          <w:rFonts w:ascii="Verdana" w:hAnsi="Verdana"/>
          <w:sz w:val="18"/>
          <w:szCs w:val="18"/>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57450644" w14:textId="77777777" w:rsidR="00DA2A79" w:rsidRPr="00EB1E25" w:rsidRDefault="00DA2A79" w:rsidP="00DA2A79">
      <w:pPr>
        <w:pStyle w:val="Textonotapie"/>
        <w:ind w:firstLine="708"/>
        <w:jc w:val="both"/>
        <w:rPr>
          <w:rFonts w:ascii="Verdana" w:hAnsi="Verdana"/>
          <w:sz w:val="18"/>
          <w:szCs w:val="18"/>
        </w:rPr>
      </w:pPr>
    </w:p>
    <w:p w14:paraId="0E0E3FAA" w14:textId="77777777" w:rsidR="00DA2A79" w:rsidRPr="00EB1E25" w:rsidRDefault="00DA2A79" w:rsidP="00DA2A79">
      <w:pPr>
        <w:pStyle w:val="Textonotapie"/>
        <w:ind w:firstLine="708"/>
        <w:jc w:val="both"/>
        <w:rPr>
          <w:rFonts w:ascii="Verdana" w:hAnsi="Verdana"/>
          <w:sz w:val="18"/>
          <w:szCs w:val="18"/>
        </w:rPr>
      </w:pPr>
      <w:r w:rsidRPr="00EB1E25">
        <w:rPr>
          <w:rFonts w:ascii="Verdana" w:hAnsi="Verdana"/>
          <w:sz w:val="18"/>
          <w:szCs w:val="18"/>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53AD11E2" w14:textId="77777777" w:rsidR="00DA2A79" w:rsidRPr="00EB1E25" w:rsidRDefault="00DA2A79" w:rsidP="00DA2A79">
      <w:pPr>
        <w:pStyle w:val="Textonotapie"/>
        <w:ind w:firstLine="708"/>
        <w:jc w:val="both"/>
        <w:rPr>
          <w:rFonts w:ascii="Verdana" w:hAnsi="Verdana"/>
          <w:sz w:val="18"/>
          <w:szCs w:val="18"/>
        </w:rPr>
      </w:pPr>
    </w:p>
    <w:p w14:paraId="3193DCA0" w14:textId="77777777" w:rsidR="00DA2A79" w:rsidRPr="00EB1E25" w:rsidRDefault="00DA2A79" w:rsidP="00DA2A79">
      <w:pPr>
        <w:pStyle w:val="Textonotapie"/>
        <w:ind w:firstLine="708"/>
        <w:jc w:val="both"/>
        <w:rPr>
          <w:rFonts w:ascii="Verdana" w:hAnsi="Verdana"/>
          <w:sz w:val="18"/>
          <w:szCs w:val="18"/>
        </w:rPr>
      </w:pPr>
      <w:r w:rsidRPr="00EB1E25">
        <w:rPr>
          <w:rFonts w:ascii="Verdana" w:hAnsi="Verdana"/>
          <w:sz w:val="18"/>
          <w:szCs w:val="18"/>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footnote>
  <w:footnote w:id="5">
    <w:p w14:paraId="1083B195" w14:textId="77777777" w:rsidR="00DA2A79" w:rsidRPr="00EB1E25" w:rsidRDefault="00DA2A79" w:rsidP="00DA2A79">
      <w:pPr>
        <w:pStyle w:val="Textonotapie"/>
        <w:ind w:firstLine="708"/>
        <w:jc w:val="both"/>
        <w:rPr>
          <w:rFonts w:ascii="Verdana" w:hAnsi="Verdana"/>
          <w:sz w:val="18"/>
          <w:szCs w:val="18"/>
          <w:lang w:val="es-ES_tradnl"/>
        </w:rPr>
      </w:pPr>
      <w:r w:rsidRPr="00EB1E25">
        <w:rPr>
          <w:rStyle w:val="Refdenotaalpie"/>
          <w:rFonts w:ascii="Verdana" w:hAnsi="Verdana"/>
          <w:sz w:val="18"/>
          <w:szCs w:val="18"/>
        </w:rPr>
        <w:footnoteRef/>
      </w:r>
      <w:r w:rsidRPr="00EB1E25">
        <w:rPr>
          <w:rFonts w:ascii="Verdana" w:hAnsi="Verdana"/>
          <w:sz w:val="18"/>
          <w:szCs w:val="18"/>
        </w:rPr>
        <w:t xml:space="preserve"> Reglamento Colombiano de Construcción Sismo Resistente NSR-10</w:t>
      </w:r>
    </w:p>
  </w:footnote>
  <w:footnote w:id="6">
    <w:p w14:paraId="2740513C" w14:textId="77777777" w:rsidR="00DA2A79" w:rsidRPr="00EB1E25" w:rsidRDefault="00DA2A79" w:rsidP="00DA2A79">
      <w:pPr>
        <w:pStyle w:val="Textonotapie"/>
        <w:ind w:firstLine="708"/>
        <w:jc w:val="both"/>
        <w:rPr>
          <w:rFonts w:ascii="Verdana" w:hAnsi="Verdana"/>
          <w:sz w:val="18"/>
          <w:szCs w:val="18"/>
          <w:lang w:val="es-ES_tradnl"/>
        </w:rPr>
      </w:pPr>
      <w:r w:rsidRPr="00EB1E25">
        <w:rPr>
          <w:rStyle w:val="Refdenotaalpie"/>
          <w:rFonts w:ascii="Verdana" w:hAnsi="Verdana"/>
          <w:sz w:val="18"/>
          <w:szCs w:val="18"/>
        </w:rPr>
        <w:footnoteRef/>
      </w:r>
      <w:r w:rsidRPr="00EB1E25">
        <w:rPr>
          <w:rFonts w:ascii="Verdana" w:hAnsi="Verdana"/>
          <w:sz w:val="18"/>
          <w:szCs w:val="18"/>
        </w:rPr>
        <w:t xml:space="preserve"> </w:t>
      </w:r>
      <w:r w:rsidRPr="00EB1E25">
        <w:rPr>
          <w:rFonts w:ascii="Verdana" w:hAnsi="Verdana"/>
          <w:sz w:val="18"/>
          <w:szCs w:val="18"/>
          <w:lang w:val="es-ES_tradnl"/>
        </w:rPr>
        <w:t xml:space="preserve">Ibidem </w:t>
      </w:r>
    </w:p>
    <w:p w14:paraId="697935CC" w14:textId="77777777" w:rsidR="00DA2A79" w:rsidRPr="00EB1E25" w:rsidRDefault="00DA2A79" w:rsidP="00DA2A79">
      <w:pPr>
        <w:pStyle w:val="Textonotapie"/>
        <w:ind w:firstLine="708"/>
        <w:jc w:val="both"/>
        <w:rPr>
          <w:rFonts w:ascii="Verdana" w:hAnsi="Verdana"/>
          <w:sz w:val="18"/>
          <w:szCs w:val="18"/>
          <w:lang w:val="es-ES_tradnl"/>
        </w:rPr>
      </w:pPr>
    </w:p>
  </w:footnote>
  <w:footnote w:id="7">
    <w:p w14:paraId="6A11CC7E" w14:textId="77777777" w:rsidR="00DA2A79" w:rsidRPr="00EB1E25" w:rsidRDefault="00DA2A79" w:rsidP="00DA2A79">
      <w:pPr>
        <w:pStyle w:val="Textonotapie"/>
        <w:ind w:firstLine="708"/>
        <w:jc w:val="both"/>
        <w:rPr>
          <w:rFonts w:ascii="Verdana" w:hAnsi="Verdana"/>
          <w:sz w:val="18"/>
          <w:szCs w:val="18"/>
          <w:lang w:val="es-ES_tradnl"/>
        </w:rPr>
      </w:pPr>
      <w:r w:rsidRPr="00EB1E25">
        <w:rPr>
          <w:rStyle w:val="Refdenotaalpie"/>
          <w:rFonts w:ascii="Verdana" w:hAnsi="Verdana"/>
          <w:sz w:val="18"/>
          <w:szCs w:val="18"/>
        </w:rPr>
        <w:footnoteRef/>
      </w:r>
      <w:r w:rsidRPr="00EB1E25">
        <w:rPr>
          <w:rFonts w:ascii="Verdana" w:hAnsi="Verdana"/>
          <w:sz w:val="18"/>
          <w:szCs w:val="18"/>
        </w:rPr>
        <w:t xml:space="preserve"> </w:t>
      </w:r>
      <w:r w:rsidRPr="00EB1E25">
        <w:rPr>
          <w:rFonts w:ascii="Verdana" w:eastAsia="Calibri" w:hAnsi="Verdana" w:cs="Arial"/>
          <w:color w:val="0D0D0D"/>
          <w:sz w:val="18"/>
          <w:szCs w:val="18"/>
          <w:lang w:eastAsia="es-MX"/>
        </w:rPr>
        <w:t xml:space="preserve">"Por el cual se reglamenta la creación, habilitación, homologación y operación de los terminales de transporte terrestre automotor de pasajeros por carretera". </w:t>
      </w:r>
    </w:p>
  </w:footnote>
  <w:footnote w:id="8">
    <w:p w14:paraId="47DEE181" w14:textId="77777777" w:rsidR="00DA2A79" w:rsidRDefault="00DA2A79" w:rsidP="00DA2A79">
      <w:pPr>
        <w:pStyle w:val="Textonotapie"/>
        <w:ind w:firstLine="708"/>
        <w:jc w:val="both"/>
        <w:rPr>
          <w:rFonts w:ascii="Verdana" w:hAnsi="Verdana"/>
          <w:color w:val="333333"/>
          <w:sz w:val="18"/>
          <w:szCs w:val="18"/>
          <w:shd w:val="clear" w:color="auto" w:fill="FFFFFF"/>
        </w:rPr>
      </w:pPr>
      <w:r w:rsidRPr="00EB1E25">
        <w:rPr>
          <w:rStyle w:val="Refdenotaalpie"/>
          <w:rFonts w:ascii="Verdana" w:hAnsi="Verdana"/>
          <w:sz w:val="18"/>
          <w:szCs w:val="18"/>
        </w:rPr>
        <w:footnoteRef/>
      </w:r>
      <w:r w:rsidRPr="00EB1E25">
        <w:rPr>
          <w:rFonts w:ascii="Verdana" w:hAnsi="Verdana"/>
          <w:sz w:val="18"/>
          <w:szCs w:val="18"/>
        </w:rPr>
        <w:t xml:space="preserve"> Departamento Administrativo de la Función Pública, </w:t>
      </w:r>
      <w:r w:rsidRPr="00EB1E25">
        <w:rPr>
          <w:rFonts w:ascii="Verdana" w:hAnsi="Verdana"/>
          <w:color w:val="333333"/>
          <w:sz w:val="18"/>
          <w:szCs w:val="18"/>
          <w:shd w:val="clear" w:color="auto" w:fill="FFFFFF"/>
        </w:rPr>
        <w:t>Radicado No.: 20156000042201, del 13 de marzo de 2015</w:t>
      </w:r>
      <w:r>
        <w:rPr>
          <w:rFonts w:ascii="Verdana" w:hAnsi="Verdana"/>
          <w:color w:val="333333"/>
          <w:sz w:val="18"/>
          <w:szCs w:val="18"/>
          <w:shd w:val="clear" w:color="auto" w:fill="FFFFFF"/>
        </w:rPr>
        <w:t>.</w:t>
      </w:r>
    </w:p>
    <w:p w14:paraId="4C7DE2A3" w14:textId="77777777" w:rsidR="00DA2A79" w:rsidRPr="00EB1E25" w:rsidRDefault="00DA2A79" w:rsidP="00DA2A79">
      <w:pPr>
        <w:pStyle w:val="Textonotapie"/>
        <w:ind w:firstLine="708"/>
        <w:jc w:val="both"/>
        <w:rPr>
          <w:rFonts w:ascii="Verdana" w:hAnsi="Verdana"/>
          <w:sz w:val="18"/>
          <w:szCs w:val="18"/>
          <w:lang w:val="es-ES_tradnl"/>
        </w:rPr>
      </w:pPr>
    </w:p>
  </w:footnote>
  <w:footnote w:id="9">
    <w:p w14:paraId="146C59B7" w14:textId="77777777" w:rsidR="00DA2A79" w:rsidRDefault="00DA2A79" w:rsidP="00DA2A79">
      <w:pPr>
        <w:pStyle w:val="Textonotapie"/>
        <w:ind w:firstLine="708"/>
        <w:rPr>
          <w:lang w:val="es-ES_tradnl"/>
        </w:rPr>
      </w:pPr>
      <w:r>
        <w:rPr>
          <w:rStyle w:val="Refdenotaalpie"/>
        </w:rPr>
        <w:footnoteRef/>
      </w:r>
      <w:r>
        <w:t xml:space="preserve"> </w:t>
      </w:r>
      <w:r>
        <w:rPr>
          <w:lang w:val="es-ES_tradnl"/>
        </w:rPr>
        <w:t>Ibidem.</w:t>
      </w:r>
    </w:p>
    <w:p w14:paraId="1BBA746F" w14:textId="77777777" w:rsidR="00DA2A79" w:rsidRPr="009E4DFB" w:rsidRDefault="00DA2A79" w:rsidP="00DA2A79">
      <w:pPr>
        <w:pStyle w:val="Textonotapie"/>
        <w:rPr>
          <w:lang w:val="es-ES_tradnl"/>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827985604">
    <w:abstractNumId w:val="9"/>
  </w:num>
  <w:num w:numId="17" w16cid:durableId="341274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46CE2"/>
    <w:rsid w:val="00061B2A"/>
    <w:rsid w:val="00082362"/>
    <w:rsid w:val="000A683E"/>
    <w:rsid w:val="000A7DD9"/>
    <w:rsid w:val="000B19B9"/>
    <w:rsid w:val="000D0334"/>
    <w:rsid w:val="000D5103"/>
    <w:rsid w:val="000D5DA7"/>
    <w:rsid w:val="000F1F9B"/>
    <w:rsid w:val="000F6486"/>
    <w:rsid w:val="00116940"/>
    <w:rsid w:val="00125105"/>
    <w:rsid w:val="00127233"/>
    <w:rsid w:val="0015699B"/>
    <w:rsid w:val="001A33BF"/>
    <w:rsid w:val="001E4177"/>
    <w:rsid w:val="001E4AC6"/>
    <w:rsid w:val="001F0B24"/>
    <w:rsid w:val="001F7C93"/>
    <w:rsid w:val="001F7DC6"/>
    <w:rsid w:val="0022400B"/>
    <w:rsid w:val="002261AF"/>
    <w:rsid w:val="00236AF1"/>
    <w:rsid w:val="002421BB"/>
    <w:rsid w:val="0025796E"/>
    <w:rsid w:val="002707A2"/>
    <w:rsid w:val="002951A0"/>
    <w:rsid w:val="002962BC"/>
    <w:rsid w:val="002A093D"/>
    <w:rsid w:val="002A0DD0"/>
    <w:rsid w:val="002A49AC"/>
    <w:rsid w:val="002A64FD"/>
    <w:rsid w:val="002C7A84"/>
    <w:rsid w:val="002E2BF8"/>
    <w:rsid w:val="002E4FD9"/>
    <w:rsid w:val="002F5E36"/>
    <w:rsid w:val="0030657A"/>
    <w:rsid w:val="00322A85"/>
    <w:rsid w:val="00324168"/>
    <w:rsid w:val="00330834"/>
    <w:rsid w:val="003448F4"/>
    <w:rsid w:val="00367FF5"/>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9179A"/>
    <w:rsid w:val="004A1847"/>
    <w:rsid w:val="004A305D"/>
    <w:rsid w:val="004D5147"/>
    <w:rsid w:val="004F21C4"/>
    <w:rsid w:val="004F685F"/>
    <w:rsid w:val="0050262E"/>
    <w:rsid w:val="00533A6D"/>
    <w:rsid w:val="005566E8"/>
    <w:rsid w:val="005609D0"/>
    <w:rsid w:val="00574867"/>
    <w:rsid w:val="00591460"/>
    <w:rsid w:val="005A65E0"/>
    <w:rsid w:val="005C3777"/>
    <w:rsid w:val="005C5CDC"/>
    <w:rsid w:val="005D476C"/>
    <w:rsid w:val="005E0B1B"/>
    <w:rsid w:val="006200BF"/>
    <w:rsid w:val="006219F8"/>
    <w:rsid w:val="00624FF3"/>
    <w:rsid w:val="006302F7"/>
    <w:rsid w:val="00646B9F"/>
    <w:rsid w:val="00665D70"/>
    <w:rsid w:val="006900D9"/>
    <w:rsid w:val="006C2CE9"/>
    <w:rsid w:val="00706C16"/>
    <w:rsid w:val="007340C3"/>
    <w:rsid w:val="0075235A"/>
    <w:rsid w:val="00756841"/>
    <w:rsid w:val="007649AB"/>
    <w:rsid w:val="00771D0C"/>
    <w:rsid w:val="007833AC"/>
    <w:rsid w:val="007B268C"/>
    <w:rsid w:val="007B7171"/>
    <w:rsid w:val="007C0C0F"/>
    <w:rsid w:val="007C284E"/>
    <w:rsid w:val="007C3DC2"/>
    <w:rsid w:val="007C4103"/>
    <w:rsid w:val="007D7741"/>
    <w:rsid w:val="007E5497"/>
    <w:rsid w:val="00806F5F"/>
    <w:rsid w:val="00820278"/>
    <w:rsid w:val="008258C9"/>
    <w:rsid w:val="00844AE9"/>
    <w:rsid w:val="00864620"/>
    <w:rsid w:val="00867F95"/>
    <w:rsid w:val="00883EF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055"/>
    <w:rsid w:val="009C71FA"/>
    <w:rsid w:val="009C72E7"/>
    <w:rsid w:val="009C7F7E"/>
    <w:rsid w:val="009D09A3"/>
    <w:rsid w:val="009D3058"/>
    <w:rsid w:val="009F3A13"/>
    <w:rsid w:val="00A00429"/>
    <w:rsid w:val="00A122D3"/>
    <w:rsid w:val="00A14468"/>
    <w:rsid w:val="00A17F13"/>
    <w:rsid w:val="00A20739"/>
    <w:rsid w:val="00A23AF9"/>
    <w:rsid w:val="00A33C78"/>
    <w:rsid w:val="00A72000"/>
    <w:rsid w:val="00AB0ADB"/>
    <w:rsid w:val="00B00C0E"/>
    <w:rsid w:val="00B01B1A"/>
    <w:rsid w:val="00B0381D"/>
    <w:rsid w:val="00B44A47"/>
    <w:rsid w:val="00B613A8"/>
    <w:rsid w:val="00B6226A"/>
    <w:rsid w:val="00B72CD3"/>
    <w:rsid w:val="00B72FFF"/>
    <w:rsid w:val="00BC3D36"/>
    <w:rsid w:val="00BD54A6"/>
    <w:rsid w:val="00BD7F72"/>
    <w:rsid w:val="00BF7425"/>
    <w:rsid w:val="00C04FB3"/>
    <w:rsid w:val="00C11D8B"/>
    <w:rsid w:val="00C15139"/>
    <w:rsid w:val="00C330EB"/>
    <w:rsid w:val="00C50D69"/>
    <w:rsid w:val="00C5365C"/>
    <w:rsid w:val="00C53894"/>
    <w:rsid w:val="00C754BE"/>
    <w:rsid w:val="00C76B1C"/>
    <w:rsid w:val="00C83628"/>
    <w:rsid w:val="00C925AC"/>
    <w:rsid w:val="00C97E3A"/>
    <w:rsid w:val="00CB6357"/>
    <w:rsid w:val="00CC1B26"/>
    <w:rsid w:val="00CE27D7"/>
    <w:rsid w:val="00D361FD"/>
    <w:rsid w:val="00D423A2"/>
    <w:rsid w:val="00D44E26"/>
    <w:rsid w:val="00D520D8"/>
    <w:rsid w:val="00D63AC2"/>
    <w:rsid w:val="00D7383B"/>
    <w:rsid w:val="00D7788A"/>
    <w:rsid w:val="00DA231B"/>
    <w:rsid w:val="00DA2A79"/>
    <w:rsid w:val="00DC39FC"/>
    <w:rsid w:val="00DF5254"/>
    <w:rsid w:val="00E02524"/>
    <w:rsid w:val="00E16408"/>
    <w:rsid w:val="00E20894"/>
    <w:rsid w:val="00E245AB"/>
    <w:rsid w:val="00E2764C"/>
    <w:rsid w:val="00E27F2E"/>
    <w:rsid w:val="00E50AFE"/>
    <w:rsid w:val="00E73BAC"/>
    <w:rsid w:val="00E75C92"/>
    <w:rsid w:val="00E771DC"/>
    <w:rsid w:val="00E8772A"/>
    <w:rsid w:val="00E90F6B"/>
    <w:rsid w:val="00E92C27"/>
    <w:rsid w:val="00EA0E3D"/>
    <w:rsid w:val="00EC38A7"/>
    <w:rsid w:val="00EE1AA8"/>
    <w:rsid w:val="00F20D4C"/>
    <w:rsid w:val="00F23FEA"/>
    <w:rsid w:val="00F31EDC"/>
    <w:rsid w:val="00F32469"/>
    <w:rsid w:val="00F462B3"/>
    <w:rsid w:val="00F5664F"/>
    <w:rsid w:val="00F666C4"/>
    <w:rsid w:val="00F72A62"/>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DA2A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DA2A79"/>
    <w:pPr>
      <w:spacing w:after="0" w:line="240" w:lineRule="exact"/>
    </w:pPr>
    <w:rPr>
      <w:vertAlign w:val="superscript"/>
    </w:rPr>
  </w:style>
  <w:style w:type="character" w:styleId="Refdecomentario">
    <w:name w:val="annotation reference"/>
    <w:basedOn w:val="Fuentedeprrafopredeter"/>
    <w:uiPriority w:val="99"/>
    <w:semiHidden/>
    <w:unhideWhenUsed/>
    <w:rsid w:val="00B6226A"/>
    <w:rPr>
      <w:sz w:val="16"/>
      <w:szCs w:val="16"/>
    </w:rPr>
  </w:style>
  <w:style w:type="paragraph" w:styleId="Textocomentario">
    <w:name w:val="annotation text"/>
    <w:basedOn w:val="Normal"/>
    <w:link w:val="TextocomentarioCar"/>
    <w:uiPriority w:val="99"/>
    <w:unhideWhenUsed/>
    <w:rsid w:val="00B6226A"/>
    <w:pPr>
      <w:spacing w:line="240" w:lineRule="auto"/>
    </w:pPr>
    <w:rPr>
      <w:sz w:val="20"/>
      <w:szCs w:val="20"/>
    </w:rPr>
  </w:style>
  <w:style w:type="character" w:customStyle="1" w:styleId="TextocomentarioCar">
    <w:name w:val="Texto comentario Car"/>
    <w:basedOn w:val="Fuentedeprrafopredeter"/>
    <w:link w:val="Textocomentario"/>
    <w:uiPriority w:val="99"/>
    <w:rsid w:val="00B6226A"/>
    <w:rPr>
      <w:sz w:val="20"/>
      <w:szCs w:val="20"/>
    </w:rPr>
  </w:style>
  <w:style w:type="paragraph" w:styleId="Asuntodelcomentario">
    <w:name w:val="annotation subject"/>
    <w:basedOn w:val="Textocomentario"/>
    <w:next w:val="Textocomentario"/>
    <w:link w:val="AsuntodelcomentarioCar"/>
    <w:uiPriority w:val="99"/>
    <w:semiHidden/>
    <w:unhideWhenUsed/>
    <w:rsid w:val="00B6226A"/>
    <w:rPr>
      <w:b/>
      <w:bCs/>
    </w:rPr>
  </w:style>
  <w:style w:type="character" w:customStyle="1" w:styleId="AsuntodelcomentarioCar">
    <w:name w:val="Asunto del comentario Car"/>
    <w:basedOn w:val="TextocomentarioCar"/>
    <w:link w:val="Asuntodelcomentario"/>
    <w:uiPriority w:val="99"/>
    <w:semiHidden/>
    <w:rsid w:val="00B6226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funcionpublica.gov.co/eva/gestornormativo/norma.php?i=20744" TargetMode="External"/><Relationship Id="rId18" Type="http://schemas.openxmlformats.org/officeDocument/2006/relationships/hyperlink" Target="https://www.funcionpublica.gov.co/eva/gestornormativo/norma.php?i=11067"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s://formacionvirtual.colombiacompra.gov.co/mod/page/view.php?id=3718" TargetMode="External"/><Relationship Id="rId7" Type="http://schemas.openxmlformats.org/officeDocument/2006/relationships/webSettings" Target="webSettings.xml"/><Relationship Id="rId12" Type="http://schemas.openxmlformats.org/officeDocument/2006/relationships/hyperlink" Target="https://www.funcionpublica.gov.co/eva/gestornormativo/norma.php?i=11067" TargetMode="External"/><Relationship Id="rId17" Type="http://schemas.openxmlformats.org/officeDocument/2006/relationships/hyperlink" Target="https://www.funcionpublica.gov.co/eva/gestornormativo/norma.php?i=11067"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funcionpublica.gov.co/eva/gestornormativo/norma.php?i=20744" TargetMode="External"/><Relationship Id="rId20"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image" Target="media/image3.png"/><Relationship Id="rId5" Type="http://schemas.openxmlformats.org/officeDocument/2006/relationships/styles" Target="styles.xml"/><Relationship Id="rId15" Type="http://schemas.openxmlformats.org/officeDocument/2006/relationships/hyperlink" Target="https://www.funcionpublica.gov.co/eva/gestornormativo/norma.php?i=11067" TargetMode="External"/><Relationship Id="rId23"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8" Type="http://schemas.openxmlformats.org/officeDocument/2006/relationships/theme" Target="theme/theme1.xml"/><Relationship Id="rId10" Type="http://schemas.openxmlformats.org/officeDocument/2006/relationships/hyperlink" Target="https://www.funcionpublica.gov.co/eva/gestornormativo/norma.php?i=11067" TargetMode="External"/><Relationship Id="rId19" Type="http://schemas.openxmlformats.org/officeDocument/2006/relationships/hyperlink" Target="https://www.colombiacompra.gov.co/documentos-tipo/documentos-tipo"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funcionpublica.gov.co/eva/gestornormativo/norma.php?i=11067" TargetMode="External"/><Relationship Id="rId22" Type="http://schemas.openxmlformats.org/officeDocument/2006/relationships/hyperlink" Target="https://www.colombiacompra.gov.co/normativa-y-relatoria/documentos-tipo"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2F297FEE-92B7-43B3-9744-CF5C9C68C2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19</Pages>
  <Words>5991</Words>
  <Characters>34454</Characters>
  <Application>Microsoft Office Word</Application>
  <DocSecurity>0</DocSecurity>
  <Lines>703</Lines>
  <Paragraphs>137</Paragraphs>
  <ScaleCrop>false</ScaleCrop>
  <Company/>
  <LinksUpToDate>false</LinksUpToDate>
  <CharactersWithSpaces>40308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2026-04-14T18:57:00Z</dcterms:created>
  <dcterms:modified xsi:type="dcterms:W3CDTF">2026-04-15T23:22:00Z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