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3E3FE" w14:textId="77777777" w:rsidR="00373CC5" w:rsidRPr="00373CC5" w:rsidRDefault="00373CC5" w:rsidP="001F7FA7">
      <w:pPr>
        <w:spacing w:after="0" w:line="240" w:lineRule="auto"/>
        <w:jc w:val="both"/>
        <w:rPr>
          <w:rFonts w:ascii="Verdana" w:hAnsi="Verdana" w:cs="Arial"/>
          <w:b/>
          <w:bCs/>
          <w:lang w:val="es-ES" w:eastAsia="es-ES"/>
        </w:rPr>
      </w:pPr>
      <w:bookmarkStart w:id="0" w:name="_Hlk143780582"/>
      <w:r w:rsidRPr="00373CC5">
        <w:rPr>
          <w:rFonts w:ascii="Verdana" w:hAnsi="Verdana" w:cs="Arial"/>
          <w:b/>
          <w:bCs/>
          <w:lang w:val="es-ES" w:eastAsia="es-ES"/>
        </w:rPr>
        <w:t xml:space="preserve">CONTRATO ESTATAL – Concepto </w:t>
      </w:r>
    </w:p>
    <w:p w14:paraId="454C905F" w14:textId="04480940" w:rsidR="00373CC5" w:rsidRPr="0076391A" w:rsidRDefault="00373CC5" w:rsidP="001F7FA7">
      <w:pPr>
        <w:spacing w:after="0" w:line="240" w:lineRule="auto"/>
        <w:jc w:val="both"/>
        <w:rPr>
          <w:rFonts w:ascii="Verdana" w:hAnsi="Verdana" w:cs="Arial"/>
          <w:bCs/>
          <w:sz w:val="20"/>
          <w:lang w:val="es-ES" w:eastAsia="es-ES"/>
        </w:rPr>
      </w:pPr>
    </w:p>
    <w:p w14:paraId="2D43A93E" w14:textId="14DE6584" w:rsidR="00373CC5" w:rsidRDefault="00373CC5" w:rsidP="001F7FA7">
      <w:pPr>
        <w:spacing w:after="0" w:line="240" w:lineRule="auto"/>
        <w:jc w:val="both"/>
        <w:rPr>
          <w:rFonts w:ascii="Verdana" w:hAnsi="Verdana" w:cs="Arial"/>
          <w:bCs/>
          <w:sz w:val="20"/>
          <w:lang w:eastAsia="es-ES"/>
        </w:rPr>
      </w:pPr>
      <w:r w:rsidRPr="0076391A">
        <w:rPr>
          <w:rFonts w:ascii="Verdana" w:hAnsi="Verdana" w:cs="Arial"/>
          <w:bCs/>
          <w:sz w:val="20"/>
          <w:lang w:eastAsia="es-ES"/>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2E93BCA" w14:textId="77777777" w:rsidR="0076391A" w:rsidRPr="0076391A" w:rsidRDefault="0076391A" w:rsidP="001F7FA7">
      <w:pPr>
        <w:spacing w:after="0" w:line="240" w:lineRule="auto"/>
        <w:jc w:val="both"/>
        <w:rPr>
          <w:rFonts w:ascii="Verdana" w:hAnsi="Verdana" w:cs="Arial"/>
          <w:bCs/>
          <w:sz w:val="20"/>
          <w:lang w:eastAsia="es-ES"/>
        </w:rPr>
      </w:pPr>
    </w:p>
    <w:p w14:paraId="5A977E44" w14:textId="1B9D46A8" w:rsidR="00373CC5" w:rsidRPr="0076391A" w:rsidRDefault="00373CC5" w:rsidP="001F7FA7">
      <w:pPr>
        <w:spacing w:after="0" w:line="240" w:lineRule="auto"/>
        <w:jc w:val="both"/>
        <w:rPr>
          <w:rFonts w:ascii="Verdana" w:hAnsi="Verdana" w:cs="Arial"/>
          <w:bCs/>
          <w:sz w:val="20"/>
          <w:lang w:eastAsia="es-ES"/>
        </w:rPr>
      </w:pPr>
      <w:r w:rsidRPr="0076391A">
        <w:rPr>
          <w:rFonts w:ascii="Verdana" w:hAnsi="Verdana" w:cs="Arial"/>
          <w:bCs/>
          <w:sz w:val="20"/>
          <w:lang w:eastAsia="es-ES"/>
        </w:rPr>
        <w:t>De esta manera, los contratos de las entidades sometidas al EGCAP se rigen generalmente por el derecho privado y excepcionalmente, por el derecho público, pues las normas civiles y comerciales son el derecho común de los contratos estatales</w:t>
      </w:r>
      <w:r w:rsidR="0076391A" w:rsidRPr="0076391A">
        <w:rPr>
          <w:rFonts w:ascii="Verdana" w:hAnsi="Verdana" w:cs="Arial"/>
          <w:bCs/>
          <w:sz w:val="20"/>
          <w:lang w:eastAsia="es-ES"/>
        </w:rPr>
        <w:t>.</w:t>
      </w:r>
    </w:p>
    <w:p w14:paraId="7BAC655B" w14:textId="77777777" w:rsidR="0076391A" w:rsidRPr="00373CC5" w:rsidRDefault="0076391A" w:rsidP="001F7FA7">
      <w:pPr>
        <w:spacing w:after="0" w:line="240" w:lineRule="auto"/>
        <w:jc w:val="both"/>
        <w:rPr>
          <w:rFonts w:ascii="Verdana" w:hAnsi="Verdana" w:cs="Arial"/>
          <w:b/>
          <w:bCs/>
          <w:lang w:val="es-ES" w:eastAsia="es-ES"/>
        </w:rPr>
      </w:pPr>
    </w:p>
    <w:p w14:paraId="548B6D74" w14:textId="535D81E2" w:rsidR="00373CC5" w:rsidRPr="00373CC5" w:rsidRDefault="00373CC5" w:rsidP="001F7FA7">
      <w:pPr>
        <w:spacing w:after="0" w:line="240" w:lineRule="auto"/>
        <w:jc w:val="both"/>
        <w:rPr>
          <w:rFonts w:ascii="Verdana" w:hAnsi="Verdana" w:cs="Arial"/>
          <w:b/>
          <w:bCs/>
          <w:lang w:val="es-ES" w:eastAsia="es-ES"/>
        </w:rPr>
      </w:pPr>
      <w:r w:rsidRPr="00373CC5">
        <w:rPr>
          <w:rFonts w:ascii="Verdana" w:hAnsi="Verdana" w:cs="Arial"/>
          <w:b/>
          <w:bCs/>
          <w:lang w:val="es-ES" w:eastAsia="es-ES"/>
        </w:rPr>
        <w:t xml:space="preserve">CONTRATO ESTATAL – Contratos Atípicos – Contratos Mixtos </w:t>
      </w:r>
    </w:p>
    <w:p w14:paraId="2AB1071A" w14:textId="5BADBF62" w:rsidR="00373CC5" w:rsidRPr="0076391A" w:rsidRDefault="00373CC5" w:rsidP="001F7FA7">
      <w:pPr>
        <w:spacing w:after="0" w:line="240" w:lineRule="auto"/>
        <w:jc w:val="both"/>
        <w:rPr>
          <w:rFonts w:ascii="Verdana" w:hAnsi="Verdana" w:cs="Arial"/>
          <w:bCs/>
          <w:sz w:val="20"/>
          <w:lang w:val="es-ES" w:eastAsia="es-ES"/>
        </w:rPr>
      </w:pPr>
    </w:p>
    <w:p w14:paraId="2923D33E" w14:textId="0E39225A" w:rsidR="0076391A" w:rsidRPr="0076391A" w:rsidRDefault="0076391A" w:rsidP="001F7FA7">
      <w:pPr>
        <w:spacing w:after="0" w:line="240" w:lineRule="auto"/>
        <w:jc w:val="both"/>
        <w:rPr>
          <w:rFonts w:ascii="Verdana" w:hAnsi="Verdana" w:cs="Arial"/>
          <w:bCs/>
          <w:sz w:val="20"/>
          <w:lang w:eastAsia="es-ES"/>
        </w:rPr>
      </w:pPr>
      <w:r w:rsidRPr="0076391A">
        <w:rPr>
          <w:rFonts w:ascii="Verdana" w:hAnsi="Verdana" w:cs="Arial"/>
          <w:bCs/>
          <w:sz w:val="20"/>
          <w:lang w:eastAsia="es-ES"/>
        </w:rPr>
        <w:t xml:space="preserve">Esta precisión es importante, porque el grueso de los </w:t>
      </w:r>
      <w:r w:rsidRPr="0076391A">
        <w:rPr>
          <w:rFonts w:ascii="Verdana" w:hAnsi="Verdana" w:cs="Arial"/>
          <w:bCs/>
          <w:i/>
          <w:iCs/>
          <w:sz w:val="20"/>
          <w:lang w:eastAsia="es-ES"/>
        </w:rPr>
        <w:t>contratos típicos</w:t>
      </w:r>
      <w:r w:rsidRPr="0076391A">
        <w:rPr>
          <w:rFonts w:ascii="Verdana" w:hAnsi="Verdana" w:cs="Arial"/>
          <w:bCs/>
          <w:sz w:val="20"/>
          <w:lang w:eastAsia="es-ES"/>
        </w:rPr>
        <w:t xml:space="preserve"> –v. gr. compraventa, arrendamiento, mutuo, comodato, depósito, suministro, transporte, etc.– se encuentran en el Código Civil y en el Código de Comercio, por lo que encuentran gran parte de su régimen jurídico. Sin embargo, no obsta para la existencia de </w:t>
      </w:r>
      <w:r w:rsidRPr="0076391A">
        <w:rPr>
          <w:rFonts w:ascii="Verdana" w:hAnsi="Verdana" w:cs="Arial"/>
          <w:bCs/>
          <w:i/>
          <w:iCs/>
          <w:sz w:val="20"/>
          <w:lang w:eastAsia="es-ES"/>
        </w:rPr>
        <w:t>contratos atípicos</w:t>
      </w:r>
      <w:r w:rsidRPr="0076391A">
        <w:rPr>
          <w:rFonts w:ascii="Verdana" w:hAnsi="Verdana" w:cs="Arial"/>
          <w:bCs/>
          <w:sz w:val="20"/>
          <w:lang w:eastAsia="es-ES"/>
        </w:rPr>
        <w:t xml:space="preserve">, pues –aunque no corresponden a un marco legal predefinido– en ellos obra con mayor alcance la libertad contractual. </w:t>
      </w:r>
    </w:p>
    <w:p w14:paraId="5E6BBD93" w14:textId="77777777" w:rsidR="0076391A" w:rsidRPr="0076391A" w:rsidRDefault="0076391A" w:rsidP="001F7FA7">
      <w:pPr>
        <w:spacing w:after="0" w:line="240" w:lineRule="auto"/>
        <w:jc w:val="both"/>
        <w:rPr>
          <w:rFonts w:ascii="Verdana" w:hAnsi="Verdana" w:cs="Arial"/>
          <w:bCs/>
          <w:sz w:val="20"/>
          <w:lang w:eastAsia="es-ES"/>
        </w:rPr>
      </w:pPr>
    </w:p>
    <w:p w14:paraId="66549840" w14:textId="0089253C" w:rsidR="0076391A" w:rsidRPr="0076391A" w:rsidRDefault="0076391A" w:rsidP="001F7FA7">
      <w:pPr>
        <w:spacing w:after="0" w:line="240" w:lineRule="auto"/>
        <w:jc w:val="both"/>
        <w:rPr>
          <w:rFonts w:ascii="Verdana" w:hAnsi="Verdana" w:cs="Arial"/>
          <w:bCs/>
          <w:sz w:val="20"/>
          <w:lang w:val="es-ES_tradnl" w:eastAsia="es-ES"/>
        </w:rPr>
      </w:pPr>
      <w:r w:rsidRPr="0076391A">
        <w:rPr>
          <w:rFonts w:ascii="Verdana" w:hAnsi="Verdana" w:cs="Arial"/>
          <w:bCs/>
          <w:sz w:val="20"/>
          <w:lang w:val="es-ES_tradnl" w:eastAsia="es-ES"/>
        </w:rPr>
        <w:t xml:space="preserve">El inciso primero del precitado artículo 32 de la Ley 80 de 1993 define los contratos estatales como “[…] todos los actos jurídicos generadores de obligaciones […] derivados del ejercicio de la autonomía de la voluntad […]”, por lo que las partes están facultadas para suscribir </w:t>
      </w:r>
      <w:r w:rsidRPr="0076391A">
        <w:rPr>
          <w:rFonts w:ascii="Verdana" w:hAnsi="Verdana" w:cs="Arial"/>
          <w:bCs/>
          <w:i/>
          <w:iCs/>
          <w:sz w:val="20"/>
          <w:lang w:val="es-ES_tradnl" w:eastAsia="es-ES"/>
        </w:rPr>
        <w:t>contratos mixtos</w:t>
      </w:r>
      <w:r w:rsidRPr="0076391A">
        <w:rPr>
          <w:rFonts w:ascii="Verdana" w:hAnsi="Verdana" w:cs="Arial"/>
          <w:bCs/>
          <w:sz w:val="20"/>
          <w:lang w:val="es-ES_tradnl" w:eastAsia="es-ES"/>
        </w:rPr>
        <w:t xml:space="preserve">. Como una forma de contratación atípica, estos se caracterizan por acumular prestaciones de varios contratos nominados para satisfacer una necesidad común, es decir, “Su finalidad económica es única y condensa el propósito perseguido por los contratantes. Las diversas prestaciones, aunque corresponden a diversos contratos típicos, se subordinan a esa finalidad e intención de las partes”. </w:t>
      </w:r>
    </w:p>
    <w:p w14:paraId="3393F163" w14:textId="77777777" w:rsidR="0076391A" w:rsidRPr="0076391A" w:rsidRDefault="0076391A" w:rsidP="001F7FA7">
      <w:pPr>
        <w:spacing w:after="0" w:line="240" w:lineRule="auto"/>
        <w:jc w:val="both"/>
        <w:rPr>
          <w:rFonts w:ascii="Verdana" w:hAnsi="Verdana" w:cs="Arial"/>
          <w:b/>
          <w:bCs/>
          <w:lang w:val="es-ES_tradnl" w:eastAsia="es-ES"/>
        </w:rPr>
      </w:pPr>
    </w:p>
    <w:p w14:paraId="5D1065F5" w14:textId="77777777" w:rsidR="00373CC5" w:rsidRPr="00373CC5" w:rsidRDefault="00373CC5" w:rsidP="001F7FA7">
      <w:pPr>
        <w:spacing w:after="0" w:line="240" w:lineRule="auto"/>
        <w:jc w:val="both"/>
        <w:rPr>
          <w:rFonts w:ascii="Verdana" w:hAnsi="Verdana" w:cs="Arial"/>
          <w:b/>
          <w:bCs/>
          <w:lang w:val="es-ES_tradnl" w:eastAsia="es-ES"/>
        </w:rPr>
      </w:pPr>
      <w:r w:rsidRPr="00373CC5">
        <w:rPr>
          <w:rFonts w:ascii="Verdana" w:hAnsi="Verdana" w:cs="Arial"/>
          <w:b/>
          <w:bCs/>
          <w:lang w:val="es-ES_tradnl" w:eastAsia="es-ES"/>
        </w:rPr>
        <w:t xml:space="preserve">CONTRATO DE CONCESIÓN ― Contrato estatal ― Concepto </w:t>
      </w:r>
    </w:p>
    <w:p w14:paraId="2BF71527" w14:textId="2F5A3B47" w:rsidR="00373CC5" w:rsidRPr="0076391A" w:rsidRDefault="00373CC5" w:rsidP="001F7FA7">
      <w:pPr>
        <w:spacing w:after="0" w:line="240" w:lineRule="auto"/>
        <w:jc w:val="both"/>
        <w:rPr>
          <w:rFonts w:ascii="Verdana" w:hAnsi="Verdana" w:cs="Arial"/>
          <w:bCs/>
          <w:sz w:val="20"/>
          <w:lang w:val="es-ES_tradnl" w:eastAsia="es-ES"/>
        </w:rPr>
      </w:pPr>
    </w:p>
    <w:p w14:paraId="77BFEA05" w14:textId="53EB688B" w:rsidR="0076391A" w:rsidRPr="0076391A" w:rsidRDefault="0076391A" w:rsidP="001F7FA7">
      <w:pPr>
        <w:spacing w:after="0" w:line="240" w:lineRule="auto"/>
        <w:jc w:val="both"/>
        <w:rPr>
          <w:rFonts w:ascii="Verdana" w:hAnsi="Verdana" w:cs="Arial"/>
          <w:bCs/>
          <w:sz w:val="20"/>
          <w:lang w:eastAsia="es-ES"/>
        </w:rPr>
      </w:pPr>
      <w:r w:rsidRPr="0076391A">
        <w:rPr>
          <w:rFonts w:ascii="Verdana" w:hAnsi="Verdana" w:cs="Arial"/>
          <w:bCs/>
          <w:sz w:val="20"/>
          <w:lang w:eastAsia="es-ES"/>
        </w:rPr>
        <w:t xml:space="preserve">Tal como está tipificado, el contrato de concesión en la Ley 80 de 1993, el Estado es el titular de la actividad o del bien y lo otorga a una persona que se denominará </w:t>
      </w:r>
      <w:r w:rsidRPr="0076391A">
        <w:rPr>
          <w:rFonts w:ascii="Verdana" w:hAnsi="Verdana" w:cs="Arial"/>
          <w:bCs/>
          <w:i/>
          <w:iCs/>
          <w:sz w:val="20"/>
          <w:lang w:eastAsia="es-ES"/>
        </w:rPr>
        <w:t>concesionario</w:t>
      </w:r>
      <w:r w:rsidRPr="0076391A">
        <w:rPr>
          <w:rFonts w:ascii="Verdana" w:hAnsi="Verdana" w:cs="Arial"/>
          <w:bCs/>
          <w:sz w:val="20"/>
          <w:lang w:eastAsia="es-ES"/>
        </w:rPr>
        <w:t xml:space="preserve">, para que este asuma el ejercicio del servicio público o la realización y explotación de una obra, por su propia cuenta y riesgo, pero con la permanente vigilancia de la entidad </w:t>
      </w:r>
      <w:r w:rsidRPr="0076391A">
        <w:rPr>
          <w:rFonts w:ascii="Verdana" w:hAnsi="Verdana" w:cs="Arial"/>
          <w:bCs/>
          <w:i/>
          <w:iCs/>
          <w:sz w:val="20"/>
          <w:lang w:eastAsia="es-ES"/>
        </w:rPr>
        <w:t>concedente</w:t>
      </w:r>
      <w:r w:rsidRPr="0076391A">
        <w:rPr>
          <w:rFonts w:ascii="Verdana" w:hAnsi="Verdana" w:cs="Arial"/>
          <w:bCs/>
          <w:sz w:val="20"/>
          <w:lang w:eastAsia="es-ES"/>
        </w:rPr>
        <w:t xml:space="preserve"> y como contraprestación recibirá un incentivo económico. La entidad concedente no se desprende de la potestad de dirección y control de la ejecución del contrato y debe ejercer la permanente vigilancia de la actividad que desarrolla el concesionario. </w:t>
      </w:r>
      <w:r w:rsidRPr="0076391A">
        <w:rPr>
          <w:rFonts w:ascii="Verdana" w:hAnsi="Verdana" w:cs="Arial"/>
          <w:bCs/>
          <w:sz w:val="20"/>
          <w:lang w:val="es-ES_tradnl" w:eastAsia="es-ES"/>
        </w:rPr>
        <w:t xml:space="preserve">Como se observa, en este tipo de contratos el contratista es, en principio, quien por su cuenta y riesgo ejecuta la prestación, operación, explotación u organización del servicio, así como la construcción, explotación o conservación del bien, a cambio de una remuneración. </w:t>
      </w:r>
    </w:p>
    <w:p w14:paraId="33A0E477" w14:textId="77777777" w:rsidR="0076391A" w:rsidRPr="0076391A" w:rsidRDefault="0076391A" w:rsidP="001F7FA7">
      <w:pPr>
        <w:spacing w:after="0" w:line="240" w:lineRule="auto"/>
        <w:jc w:val="both"/>
        <w:rPr>
          <w:rFonts w:ascii="Verdana" w:hAnsi="Verdana" w:cs="Arial"/>
          <w:b/>
          <w:bCs/>
          <w:lang w:eastAsia="es-ES"/>
        </w:rPr>
      </w:pPr>
    </w:p>
    <w:p w14:paraId="56D77259" w14:textId="094EB80A" w:rsidR="00373CC5" w:rsidRPr="00373CC5" w:rsidRDefault="00373CC5" w:rsidP="001F7FA7">
      <w:pPr>
        <w:spacing w:after="0" w:line="240" w:lineRule="auto"/>
        <w:jc w:val="both"/>
        <w:rPr>
          <w:rFonts w:ascii="Verdana" w:hAnsi="Verdana" w:cs="Arial"/>
          <w:b/>
          <w:lang w:val="es-ES" w:eastAsia="es-ES"/>
        </w:rPr>
      </w:pPr>
      <w:r w:rsidRPr="00373CC5">
        <w:rPr>
          <w:rFonts w:ascii="Verdana" w:hAnsi="Verdana" w:cs="Arial"/>
          <w:b/>
          <w:bCs/>
          <w:lang w:val="es-ES_tradnl" w:eastAsia="es-ES"/>
        </w:rPr>
        <w:t xml:space="preserve">CONTRATO DE CONCESIÓN – Características </w:t>
      </w:r>
    </w:p>
    <w:p w14:paraId="7CBA9CCC" w14:textId="7DBFB7A2" w:rsidR="00373CC5" w:rsidRPr="0076391A" w:rsidRDefault="00373CC5" w:rsidP="001F7FA7">
      <w:pPr>
        <w:spacing w:after="0" w:line="240" w:lineRule="auto"/>
        <w:jc w:val="both"/>
        <w:rPr>
          <w:rFonts w:ascii="Verdana" w:hAnsi="Verdana" w:cs="Arial"/>
          <w:sz w:val="20"/>
          <w:lang w:val="es-ES" w:eastAsia="es-ES"/>
        </w:rPr>
      </w:pPr>
    </w:p>
    <w:p w14:paraId="445ECFA5" w14:textId="70158C2F" w:rsidR="0076391A" w:rsidRDefault="0076391A" w:rsidP="001F7FA7">
      <w:pPr>
        <w:spacing w:after="0" w:line="240" w:lineRule="auto"/>
        <w:jc w:val="both"/>
        <w:rPr>
          <w:rFonts w:ascii="Verdana" w:hAnsi="Verdana" w:cs="Arial"/>
          <w:bCs/>
          <w:sz w:val="20"/>
          <w:lang w:eastAsia="es-ES"/>
        </w:rPr>
      </w:pPr>
      <w:r w:rsidRPr="0076391A">
        <w:rPr>
          <w:rFonts w:ascii="Verdana" w:hAnsi="Verdana" w:cs="Arial"/>
          <w:bCs/>
          <w:sz w:val="20"/>
          <w:lang w:val="es-ES_tradnl" w:eastAsia="es-ES"/>
        </w:rPr>
        <w:t>De esta manera, como característica fundamental de estos contratos se resalta “</w:t>
      </w:r>
      <w:r w:rsidRPr="0076391A">
        <w:rPr>
          <w:rFonts w:ascii="Verdana" w:hAnsi="Verdana" w:cs="Arial"/>
          <w:bCs/>
          <w:sz w:val="20"/>
          <w:lang w:eastAsia="es-ES"/>
        </w:rPr>
        <w:t xml:space="preserve">la vinculación de recursos del sector privado, a manera de inversión, en proyectos de interés público que permitan maximizar el gasto estatal en la satisfacción de otras necesidades”. Así mismo, es de la esencia del contrato de concesión la asunción de riesgos por parte del concesionario, lo que significa que tendrá derecho a la utilidad generada pero también asumirá las pérdidas derivadas de la gestión del servicio o bien concesionado. </w:t>
      </w:r>
    </w:p>
    <w:p w14:paraId="05AFE0D6" w14:textId="77777777" w:rsidR="0076391A" w:rsidRPr="0076391A" w:rsidRDefault="0076391A" w:rsidP="001F7FA7">
      <w:pPr>
        <w:spacing w:after="0" w:line="240" w:lineRule="auto"/>
        <w:jc w:val="both"/>
        <w:rPr>
          <w:rFonts w:ascii="Verdana" w:hAnsi="Verdana" w:cs="Arial"/>
          <w:bCs/>
          <w:sz w:val="20"/>
          <w:lang w:val="es-ES" w:eastAsia="es-ES"/>
        </w:rPr>
      </w:pPr>
    </w:p>
    <w:p w14:paraId="0450D53F" w14:textId="015B1425" w:rsidR="0076391A" w:rsidRPr="0076391A" w:rsidRDefault="0076391A" w:rsidP="001F7FA7">
      <w:pPr>
        <w:spacing w:after="0" w:line="240" w:lineRule="auto"/>
        <w:jc w:val="both"/>
        <w:rPr>
          <w:rFonts w:ascii="Verdana" w:hAnsi="Verdana" w:cs="Arial"/>
          <w:bCs/>
          <w:sz w:val="20"/>
          <w:lang w:eastAsia="es-ES"/>
        </w:rPr>
      </w:pPr>
      <w:r w:rsidRPr="0076391A">
        <w:rPr>
          <w:rFonts w:ascii="Verdana" w:hAnsi="Verdana" w:cs="Arial"/>
          <w:bCs/>
          <w:sz w:val="20"/>
          <w:lang w:val="es-ES" w:eastAsia="es-ES"/>
        </w:rPr>
        <w:t xml:space="preserve">Así mismo, la Corte Constitucional expresó que el contrato de concesión, presenta las siguientes características: </w:t>
      </w:r>
      <w:r w:rsidRPr="0076391A">
        <w:rPr>
          <w:rFonts w:ascii="Verdana" w:hAnsi="Verdana" w:cs="Arial"/>
          <w:bCs/>
          <w:sz w:val="20"/>
          <w:lang w:eastAsia="es-ES"/>
        </w:rPr>
        <w:t>a) una convención entre un ente estatal -concedente- y otra persona -concesionario-; b) Se alude a un servicio público o a una obra destinada al servicio o uso público; c) puede tener por objeto la construcción, explotación o conservación total o parcial de una obra que se destina al servicio o uso público; d) existe la permanente vigilancia del ente estatal, lo cual se justifica por cuanto se trata de prestar un servicio público o construir o explotar un bien de uso público, que se actúa bajo el control del ente concedente, lo cual implica la facultad de este de dar instrucciones en torno a la forma como se explota el bien o se presta el servicio; e) el concesionario debe asumir, así sea parcialmente, los riesgos del éxito o fracaso de su gestión, y por ello obra por su cuenta y riesgo; f) en este tipo de contratos deben estipularse las cláusulas excepcionales al derecho común, como son los de terminación, interpretación y modificación unilaterales, de sometimiento a las leyes nacionales y de caducidad; g) Dada la naturaleza especial del contrato de concesión, existen unas cláusulas que son de la esencia del contrato, como la de reversión, que aunque no se pacten en forma expresa, deben entenderse implícitas en el mismo contrato.</w:t>
      </w:r>
    </w:p>
    <w:p w14:paraId="3EF4C174" w14:textId="77777777" w:rsidR="0076391A" w:rsidRPr="0076391A" w:rsidRDefault="0076391A" w:rsidP="001F7FA7">
      <w:pPr>
        <w:spacing w:after="0" w:line="240" w:lineRule="auto"/>
        <w:jc w:val="both"/>
        <w:rPr>
          <w:rFonts w:ascii="Verdana" w:hAnsi="Verdana" w:cs="Arial"/>
          <w:sz w:val="20"/>
          <w:lang w:eastAsia="es-ES"/>
        </w:rPr>
      </w:pPr>
    </w:p>
    <w:p w14:paraId="736556B8" w14:textId="77777777" w:rsidR="00373CC5" w:rsidRPr="00373CC5" w:rsidRDefault="00373CC5" w:rsidP="001F7FA7">
      <w:pPr>
        <w:spacing w:after="0" w:line="240" w:lineRule="auto"/>
        <w:jc w:val="both"/>
        <w:rPr>
          <w:rFonts w:ascii="Verdana" w:hAnsi="Verdana" w:cs="Arial"/>
          <w:b/>
          <w:lang w:val="es-ES" w:eastAsia="es-ES"/>
        </w:rPr>
      </w:pPr>
      <w:r w:rsidRPr="00373CC5">
        <w:rPr>
          <w:rFonts w:ascii="Verdana" w:hAnsi="Verdana" w:cs="Arial"/>
          <w:b/>
          <w:lang w:val="es-ES" w:eastAsia="es-ES"/>
        </w:rPr>
        <w:t xml:space="preserve">LICORES DESTILADOS – Monopolio rentístico – Fundamento normativo </w:t>
      </w:r>
    </w:p>
    <w:p w14:paraId="5FA98BB9" w14:textId="646BA94F" w:rsidR="00373CC5" w:rsidRPr="0076391A" w:rsidRDefault="00373CC5" w:rsidP="001F7FA7">
      <w:pPr>
        <w:spacing w:after="0" w:line="240" w:lineRule="auto"/>
        <w:jc w:val="both"/>
        <w:rPr>
          <w:rFonts w:ascii="Verdana" w:hAnsi="Verdana" w:cs="Arial"/>
          <w:sz w:val="20"/>
          <w:lang w:val="es-ES" w:eastAsia="es-ES"/>
        </w:rPr>
      </w:pPr>
    </w:p>
    <w:p w14:paraId="4965E85D" w14:textId="34FF6975" w:rsidR="0076391A" w:rsidRDefault="0076391A" w:rsidP="001F7FA7">
      <w:pPr>
        <w:spacing w:after="0" w:line="240" w:lineRule="auto"/>
        <w:jc w:val="both"/>
        <w:rPr>
          <w:rFonts w:ascii="Verdana" w:hAnsi="Verdana" w:cs="Arial"/>
          <w:sz w:val="20"/>
          <w:lang w:val="es-ES" w:eastAsia="es-ES"/>
        </w:rPr>
      </w:pPr>
      <w:r w:rsidRPr="0076391A">
        <w:rPr>
          <w:rFonts w:ascii="Verdana" w:hAnsi="Verdana" w:cs="Arial"/>
          <w:sz w:val="20"/>
          <w:lang w:val="es-ES" w:eastAsia="es-ES"/>
        </w:rPr>
        <w:t xml:space="preserve">El artículo 336 superior dispone que “Ningún monopolio podrá establecerse sino como arbitrio rentístico, con una finalidad de interés público o social y en virtud de la ley” –inciso 1–, y agrega lo siguiente: “La organización, administración, control y explotación de los monopolios rentísticos estarán sometidos a un régimen propio, fijado por la ley de iniciativa gubernamental” –inciso 3–. De esta manera, la Constitución Política de 1991 ordena que “Las rentas obtenidas en el ejercicio del monopolio de licores, estarán destinadas preferentemente a los servicios de salud y educación” –inciso 5–. </w:t>
      </w:r>
    </w:p>
    <w:p w14:paraId="457D7A88" w14:textId="77777777" w:rsidR="0076391A" w:rsidRPr="0076391A" w:rsidRDefault="0076391A" w:rsidP="001F7FA7">
      <w:pPr>
        <w:spacing w:after="0" w:line="240" w:lineRule="auto"/>
        <w:jc w:val="both"/>
        <w:rPr>
          <w:rFonts w:ascii="Verdana" w:hAnsi="Verdana" w:cs="Arial"/>
          <w:sz w:val="20"/>
          <w:lang w:val="es-ES" w:eastAsia="es-ES"/>
        </w:rPr>
      </w:pPr>
    </w:p>
    <w:p w14:paraId="6590088E" w14:textId="7CEC4903" w:rsidR="0076391A" w:rsidRDefault="0076391A" w:rsidP="001F7FA7">
      <w:pPr>
        <w:spacing w:after="0" w:line="240" w:lineRule="auto"/>
        <w:jc w:val="both"/>
        <w:rPr>
          <w:rFonts w:ascii="Verdana" w:hAnsi="Verdana" w:cs="Arial"/>
          <w:sz w:val="20"/>
          <w:lang w:val="es-ES" w:eastAsia="es-ES"/>
        </w:rPr>
      </w:pPr>
      <w:r w:rsidRPr="0076391A">
        <w:rPr>
          <w:rFonts w:ascii="Verdana" w:hAnsi="Verdana" w:cs="Arial"/>
          <w:sz w:val="20"/>
          <w:lang w:val="es-ES" w:eastAsia="es-ES"/>
        </w:rPr>
        <w:t xml:space="preserve">Dentro de este marco, la Ley 1816 de 2016 establece el monopolio rentístico de licores destilados, el cual se define como “[…] la facultad exclusiva del Estado para explotar directamente o a través de terceros la producción e introducción de licores destilados y para organizar, regular, fiscalizar y vigilar la producción e introducción de licores destilados en los términos de la presente ley” –artículo 2, inciso 1–. Esta norma debe interpretarse en concordancia con el artículo 7 de la mencionada ley, el cual –de acuerdo </w:t>
      </w:r>
      <w:r w:rsidRPr="0076391A">
        <w:rPr>
          <w:rFonts w:ascii="Verdana" w:hAnsi="Verdana" w:cs="Arial"/>
          <w:sz w:val="20"/>
          <w:lang w:val="es-ES" w:eastAsia="es-ES"/>
        </w:rPr>
        <w:lastRenderedPageBreak/>
        <w:t xml:space="preserve">con la modificación del artículo 12 de la Ley 2158 de 2021– consagra dos (2) formas para su explotación. </w:t>
      </w:r>
    </w:p>
    <w:p w14:paraId="0FB9EE08" w14:textId="77777777" w:rsidR="00F140DD" w:rsidRPr="0076391A" w:rsidRDefault="00F140DD" w:rsidP="001F7FA7">
      <w:pPr>
        <w:spacing w:after="0" w:line="240" w:lineRule="auto"/>
        <w:jc w:val="both"/>
        <w:rPr>
          <w:rFonts w:ascii="Verdana" w:hAnsi="Verdana" w:cs="Arial"/>
          <w:sz w:val="20"/>
          <w:lang w:val="es-ES" w:eastAsia="es-ES"/>
        </w:rPr>
      </w:pPr>
    </w:p>
    <w:p w14:paraId="180D76BB" w14:textId="0B84062A" w:rsidR="0076391A" w:rsidRPr="0076391A" w:rsidRDefault="0076391A" w:rsidP="001F7FA7">
      <w:pPr>
        <w:spacing w:after="0" w:line="240" w:lineRule="auto"/>
        <w:jc w:val="both"/>
        <w:rPr>
          <w:rFonts w:ascii="Verdana" w:hAnsi="Verdana" w:cs="Arial"/>
          <w:sz w:val="20"/>
          <w:lang w:val="es-ES" w:eastAsia="es-ES"/>
        </w:rPr>
      </w:pPr>
      <w:r w:rsidRPr="0076391A">
        <w:rPr>
          <w:rFonts w:ascii="Verdana" w:hAnsi="Verdana" w:cs="Arial"/>
          <w:sz w:val="20"/>
          <w:lang w:val="es-ES" w:eastAsia="es-ES"/>
        </w:rPr>
        <w:t>Por un lado, indica que “Los departamentos ejercerán el monopolio de producción de licores destilados directamente, que incluye la contratación de terceros para la producción de licores destilados y alcohol potable con destino a la fabricación de licores sobre los cuales el departamento contratante ostente la titularidad de la propiedad industrial” –inciso 1–. Sin embargo, el Departamento tiene la opción de “[…] permitir temporalmente que, la producción sea realizada por terceros mediante la suscripción de contratos adjudicados mediante licitación pública, en los términos del artículo 8° de la presente ley” –inciso 2–.</w:t>
      </w:r>
    </w:p>
    <w:p w14:paraId="114B15B1" w14:textId="77777777" w:rsidR="0076391A" w:rsidRPr="00373CC5" w:rsidRDefault="0076391A" w:rsidP="001F7FA7">
      <w:pPr>
        <w:spacing w:after="0" w:line="240" w:lineRule="auto"/>
        <w:jc w:val="both"/>
        <w:rPr>
          <w:rFonts w:ascii="Verdana" w:hAnsi="Verdana" w:cs="Arial"/>
          <w:b/>
          <w:lang w:val="es-ES" w:eastAsia="es-ES"/>
        </w:rPr>
      </w:pPr>
    </w:p>
    <w:p w14:paraId="7114737A" w14:textId="1C6C418F" w:rsidR="00373CC5" w:rsidRPr="00373CC5" w:rsidRDefault="00373CC5" w:rsidP="001F7FA7">
      <w:pPr>
        <w:spacing w:after="0" w:line="240" w:lineRule="auto"/>
        <w:jc w:val="both"/>
        <w:rPr>
          <w:rFonts w:ascii="Verdana" w:hAnsi="Verdana" w:cs="Arial"/>
          <w:b/>
          <w:lang w:val="es-ES" w:eastAsia="es-ES"/>
        </w:rPr>
      </w:pPr>
      <w:r w:rsidRPr="00373CC5">
        <w:rPr>
          <w:rFonts w:ascii="Verdana" w:hAnsi="Verdana" w:cs="Arial"/>
          <w:b/>
          <w:lang w:val="es-ES" w:eastAsia="es-ES"/>
        </w:rPr>
        <w:t xml:space="preserve">LICORES DESTILADOS – Departamentos – Explotación directa </w:t>
      </w:r>
    </w:p>
    <w:p w14:paraId="4CB7F4E5" w14:textId="03774F12" w:rsidR="00373CC5" w:rsidRDefault="00373CC5" w:rsidP="001F7FA7">
      <w:pPr>
        <w:spacing w:after="0" w:line="240" w:lineRule="auto"/>
        <w:jc w:val="both"/>
        <w:rPr>
          <w:rFonts w:ascii="Verdana" w:hAnsi="Verdana" w:cs="Arial"/>
          <w:b/>
          <w:lang w:val="es-ES" w:eastAsia="es-ES"/>
        </w:rPr>
      </w:pPr>
    </w:p>
    <w:p w14:paraId="13210ED4" w14:textId="55C4DD41" w:rsidR="0076391A" w:rsidRDefault="0076391A" w:rsidP="001F7FA7">
      <w:pPr>
        <w:spacing w:after="0" w:line="240" w:lineRule="auto"/>
        <w:jc w:val="both"/>
        <w:rPr>
          <w:rFonts w:ascii="Verdana" w:hAnsi="Verdana" w:cs="Arial"/>
          <w:sz w:val="20"/>
          <w:lang w:val="es-ES" w:eastAsia="es-ES"/>
        </w:rPr>
      </w:pPr>
      <w:r w:rsidRPr="00F140DD">
        <w:rPr>
          <w:rFonts w:ascii="Verdana" w:hAnsi="Verdana" w:cs="Arial"/>
          <w:sz w:val="20"/>
          <w:lang w:val="es-ES" w:eastAsia="es-ES"/>
        </w:rPr>
        <w:t>En el primer supuesto, es decir, cuando el Departamento ejerce el monopolio de la producción de licores destilados directamente mediante contratación de terceros, el artículo 7 de la Ley 1816 de 2016 no consagra una excepción explícita al EGCAP. De hecho, el artículo 14.2 de la Ley 80 de 1993 dispone que en los contratos que tengan por objeto el ejercicio de una actividad que constituya monopolio estatal rigen las potestades exorbitantes. Incluso, tratándose de entidades descentralizadas funcionalmente como las empresas industriales y comerciales del Estado o las sociedades de economía mixta, el artículo 14 de la Ley 1150 de 2007 las somete a las reglas generales del sistema de compras pública, siempre que no desarrollen actividades comerciales en competencia con el sector privado y/o público, nacional o internacional o en mercados regulados. Esto significa que la gestión contractual para la operación del monopolio analizado se realiza a través del EGCAP, aspecto que impacta en el régimen de los procedimientos de selección.</w:t>
      </w:r>
    </w:p>
    <w:p w14:paraId="7C68F85A" w14:textId="77777777" w:rsidR="00F140DD" w:rsidRPr="00F140DD" w:rsidRDefault="00F140DD" w:rsidP="001F7FA7">
      <w:pPr>
        <w:spacing w:after="0" w:line="240" w:lineRule="auto"/>
        <w:jc w:val="both"/>
        <w:rPr>
          <w:rFonts w:ascii="Verdana" w:hAnsi="Verdana" w:cs="Arial"/>
          <w:sz w:val="20"/>
          <w:lang w:val="es-ES" w:eastAsia="es-ES"/>
        </w:rPr>
      </w:pPr>
    </w:p>
    <w:p w14:paraId="7B6A4465" w14:textId="4F6ABBEB" w:rsidR="00373CC5" w:rsidRPr="00373CC5" w:rsidRDefault="00373CC5" w:rsidP="001F7FA7">
      <w:pPr>
        <w:spacing w:after="0" w:line="240" w:lineRule="auto"/>
        <w:jc w:val="both"/>
        <w:rPr>
          <w:rFonts w:ascii="Verdana" w:hAnsi="Verdana" w:cs="Arial"/>
          <w:b/>
          <w:lang w:val="es-ES" w:eastAsia="es-ES"/>
        </w:rPr>
      </w:pPr>
      <w:r w:rsidRPr="00373CC5">
        <w:rPr>
          <w:rFonts w:ascii="Verdana" w:hAnsi="Verdana" w:cs="Arial"/>
          <w:b/>
          <w:lang w:val="es-ES" w:eastAsia="es-ES"/>
        </w:rPr>
        <w:t xml:space="preserve">LICORES DESTILADOS – Departamentos – Monopolio Indirecto – Licitación Pública – Subasta Ascendente </w:t>
      </w:r>
    </w:p>
    <w:p w14:paraId="0400714F" w14:textId="04155B76" w:rsidR="00373CC5" w:rsidRPr="0076391A" w:rsidRDefault="00373CC5" w:rsidP="001F7FA7">
      <w:pPr>
        <w:spacing w:after="0" w:line="240" w:lineRule="auto"/>
        <w:jc w:val="both"/>
        <w:rPr>
          <w:rFonts w:ascii="Verdana" w:hAnsi="Verdana" w:cs="Arial"/>
          <w:sz w:val="20"/>
          <w:lang w:val="es-ES" w:eastAsia="es-ES"/>
        </w:rPr>
      </w:pPr>
    </w:p>
    <w:p w14:paraId="04BE06CF" w14:textId="77777777" w:rsidR="0076391A" w:rsidRPr="0076391A" w:rsidRDefault="0076391A" w:rsidP="001F7FA7">
      <w:pPr>
        <w:spacing w:after="0" w:line="240" w:lineRule="auto"/>
        <w:jc w:val="both"/>
        <w:rPr>
          <w:rFonts w:ascii="Verdana" w:hAnsi="Verdana" w:cs="Arial"/>
          <w:sz w:val="20"/>
          <w:lang w:eastAsia="es-ES"/>
        </w:rPr>
      </w:pPr>
      <w:r w:rsidRPr="0076391A">
        <w:rPr>
          <w:rFonts w:ascii="Verdana" w:hAnsi="Verdana" w:cs="Arial"/>
          <w:sz w:val="20"/>
          <w:lang w:eastAsia="es-ES"/>
        </w:rPr>
        <w:t>En el segundo supuesto, el inciso segundo del artículo 7 regula el ejercicio indirecto del monopolio sobre la producción. En este escenario, el legislador previó la posibilidad de que los particulares produzcan de manera temporal, mediante la celebración de contratos adjudicados a través de una licitación pública, bajo la forma de subasta ascendente sobre los derechos de explotación cuyo valor mínimo será fijado por la Asamblea, conforme a lo dispuesto en el artículo 8 de la Ley 1816 de 2016 […]</w:t>
      </w:r>
    </w:p>
    <w:p w14:paraId="4240A5BD" w14:textId="77777777" w:rsidR="0076391A" w:rsidRPr="0076391A" w:rsidRDefault="0076391A" w:rsidP="001F7FA7">
      <w:pPr>
        <w:spacing w:after="0" w:line="240" w:lineRule="auto"/>
        <w:jc w:val="both"/>
        <w:rPr>
          <w:rFonts w:ascii="Verdana" w:hAnsi="Verdana" w:cs="Arial"/>
          <w:sz w:val="20"/>
          <w:lang w:eastAsia="es-ES"/>
        </w:rPr>
      </w:pPr>
    </w:p>
    <w:p w14:paraId="46DFEDE8" w14:textId="324954A2" w:rsidR="0076391A" w:rsidRPr="0076391A" w:rsidRDefault="0076391A" w:rsidP="001F7FA7">
      <w:pPr>
        <w:spacing w:after="0" w:line="240" w:lineRule="auto"/>
        <w:jc w:val="both"/>
        <w:rPr>
          <w:rFonts w:ascii="Verdana" w:hAnsi="Verdana" w:cs="Arial"/>
          <w:sz w:val="20"/>
          <w:lang w:eastAsia="es-ES"/>
        </w:rPr>
      </w:pPr>
      <w:r w:rsidRPr="0076391A">
        <w:rPr>
          <w:rFonts w:ascii="Verdana" w:hAnsi="Verdana" w:cs="Arial"/>
          <w:sz w:val="20"/>
          <w:lang w:val="es-ES" w:eastAsia="es-ES"/>
        </w:rPr>
        <w:t>Teniendo en cuenta lo expuesto, se advierte que, e</w:t>
      </w:r>
      <w:r w:rsidRPr="0076391A">
        <w:rPr>
          <w:rFonts w:ascii="Verdana" w:hAnsi="Verdana" w:cs="Arial"/>
          <w:sz w:val="20"/>
          <w:lang w:eastAsia="es-ES"/>
        </w:rPr>
        <w:t xml:space="preserve">n los supuestos en que el Departamento opta por celebrar contratos con terceros para el ejercicio del monopolio sobre la producción de licores destilados, se configura un tipo contractual especial, mediante la cual se habilita a un particular, por un tiempo determinado, para explotar una actividad reservada constitucional y legalmente al ente territorial. En este esquema, el Departamento conserva la titularidad del monopolio como arbitrio rentístico y transfiere de manera temporal a un tercero el ejercicio de la actividad productiva, a </w:t>
      </w:r>
      <w:r w:rsidRPr="0076391A">
        <w:rPr>
          <w:rFonts w:ascii="Verdana" w:hAnsi="Verdana" w:cs="Arial"/>
          <w:sz w:val="20"/>
          <w:lang w:eastAsia="es-ES"/>
        </w:rPr>
        <w:lastRenderedPageBreak/>
        <w:t xml:space="preserve">cambio del pago de la participación y de los derechos de explotación definidos en la modalidad de licitación pública mediante subasta ascendente. </w:t>
      </w:r>
    </w:p>
    <w:p w14:paraId="42626355" w14:textId="77777777" w:rsidR="0076391A" w:rsidRPr="0076391A" w:rsidRDefault="0076391A" w:rsidP="001F7FA7">
      <w:pPr>
        <w:spacing w:after="0" w:line="240" w:lineRule="auto"/>
        <w:jc w:val="both"/>
        <w:rPr>
          <w:rFonts w:ascii="Verdana" w:hAnsi="Verdana" w:cs="Arial"/>
          <w:b/>
          <w:lang w:eastAsia="es-ES"/>
        </w:rPr>
      </w:pPr>
    </w:p>
    <w:p w14:paraId="01C45438" w14:textId="7F48C6A2" w:rsidR="00373CC5" w:rsidRPr="00373CC5" w:rsidRDefault="00373CC5" w:rsidP="001F7FA7">
      <w:pPr>
        <w:spacing w:after="0" w:line="240" w:lineRule="auto"/>
        <w:jc w:val="both"/>
        <w:rPr>
          <w:rFonts w:ascii="Verdana" w:hAnsi="Verdana" w:cs="Arial"/>
          <w:b/>
          <w:lang w:val="es-ES" w:eastAsia="es-ES"/>
        </w:rPr>
      </w:pPr>
      <w:r w:rsidRPr="00373CC5">
        <w:rPr>
          <w:rFonts w:ascii="Verdana" w:hAnsi="Verdana" w:cs="Arial"/>
          <w:b/>
          <w:lang w:val="es-ES" w:eastAsia="es-ES"/>
        </w:rPr>
        <w:t>MONOPOLIO INDIRECTO – Contrato – Características – Monopolio – Arbitrio Rentístico</w:t>
      </w:r>
    </w:p>
    <w:p w14:paraId="12963255" w14:textId="77777777" w:rsidR="00373CC5" w:rsidRPr="0076391A" w:rsidRDefault="00373CC5" w:rsidP="001F7FA7">
      <w:pPr>
        <w:spacing w:after="0" w:line="240" w:lineRule="auto"/>
        <w:jc w:val="both"/>
        <w:rPr>
          <w:rFonts w:ascii="Verdana" w:eastAsia="Verdana" w:hAnsi="Verdana" w:cs="Verdana"/>
          <w:sz w:val="20"/>
          <w:lang w:val="es-ES"/>
        </w:rPr>
      </w:pPr>
    </w:p>
    <w:p w14:paraId="0028146D" w14:textId="366F6CB0" w:rsidR="00373CC5" w:rsidRPr="0076391A" w:rsidRDefault="0076391A" w:rsidP="001F7FA7">
      <w:pPr>
        <w:spacing w:after="0" w:line="240" w:lineRule="auto"/>
        <w:jc w:val="both"/>
        <w:rPr>
          <w:rFonts w:ascii="Verdana" w:eastAsia="Verdana" w:hAnsi="Verdana" w:cs="Verdana"/>
          <w:sz w:val="20"/>
        </w:rPr>
      </w:pPr>
      <w:r w:rsidRPr="0076391A">
        <w:rPr>
          <w:rFonts w:ascii="Verdana" w:eastAsia="Verdana" w:hAnsi="Verdana" w:cs="Verdana"/>
          <w:sz w:val="20"/>
        </w:rPr>
        <w:t xml:space="preserve">Por tanto, se trata de una concesión </w:t>
      </w:r>
      <w:r w:rsidRPr="0076391A">
        <w:rPr>
          <w:rFonts w:ascii="Verdana" w:eastAsia="Verdana" w:hAnsi="Verdana" w:cs="Verdana"/>
          <w:i/>
          <w:sz w:val="20"/>
        </w:rPr>
        <w:t>sui generis</w:t>
      </w:r>
      <w:r w:rsidRPr="0076391A">
        <w:rPr>
          <w:rFonts w:ascii="Verdana" w:eastAsia="Verdana" w:hAnsi="Verdana" w:cs="Verdana"/>
          <w:sz w:val="20"/>
        </w:rPr>
        <w:t>, propia del régimen de monopolios rentístico definido en el artículo 336 de la Constitución Política y la Ley 1816 de 2016, caracterizada por: a) la reserva legal de la actividad en cabeza del departamento; ii) la transferencia solo del ejercicio del monopolio, mas no de su titularidad; iii) la sujeción a reglas especiales en materia de selección, duración, prórrogas -entre 5 o 10 años, prorrogables hasta por la mitad del tiempo inicial- y remuneración; y iv) el fin primordial de garantizar ingresos fiscales para la entidad territorial, que está asociada a la financiación preferente de los servicios de educación y salud y al de garantizar la protección de la salud pública. En consecuencia, aunque el contrato comparte elementos funcionales con la concesión regulada en la Ley 80 de 1993, su naturaleza jurídica se explica a partir del régimen del monopolio como arbitrio rentístico y no del Estatuto General de Contratación en su regulación ordinaria de las concesiones.</w:t>
      </w:r>
    </w:p>
    <w:p w14:paraId="53942A9D" w14:textId="433D058E" w:rsidR="00373CC5" w:rsidRDefault="00373CC5" w:rsidP="00C637D2">
      <w:pPr>
        <w:spacing w:after="0"/>
        <w:rPr>
          <w:rFonts w:ascii="Verdana" w:eastAsia="Verdana" w:hAnsi="Verdana" w:cs="Verdana"/>
        </w:rPr>
      </w:pPr>
    </w:p>
    <w:p w14:paraId="170AEDEF" w14:textId="41D7DCE8" w:rsidR="00F140DD" w:rsidRDefault="00F140DD" w:rsidP="00C637D2">
      <w:pPr>
        <w:spacing w:after="0"/>
        <w:rPr>
          <w:rFonts w:ascii="Verdana" w:eastAsia="Verdana" w:hAnsi="Verdana" w:cs="Verdana"/>
        </w:rPr>
      </w:pPr>
    </w:p>
    <w:p w14:paraId="114292E4" w14:textId="1A563ACB" w:rsidR="00F140DD" w:rsidRDefault="00F140DD" w:rsidP="00C637D2">
      <w:pPr>
        <w:spacing w:after="0"/>
        <w:rPr>
          <w:rFonts w:ascii="Verdana" w:eastAsia="Verdana" w:hAnsi="Verdana" w:cs="Verdana"/>
        </w:rPr>
      </w:pPr>
    </w:p>
    <w:p w14:paraId="791A3CFB" w14:textId="77B4D865" w:rsidR="00F140DD" w:rsidRDefault="00F140DD" w:rsidP="00C637D2">
      <w:pPr>
        <w:spacing w:after="0"/>
        <w:rPr>
          <w:rFonts w:ascii="Verdana" w:eastAsia="Verdana" w:hAnsi="Verdana" w:cs="Verdana"/>
        </w:rPr>
      </w:pPr>
    </w:p>
    <w:p w14:paraId="6FDE8610" w14:textId="2CC1989F" w:rsidR="00F140DD" w:rsidRDefault="00F140DD" w:rsidP="00C637D2">
      <w:pPr>
        <w:spacing w:after="0"/>
        <w:rPr>
          <w:rFonts w:ascii="Verdana" w:eastAsia="Verdana" w:hAnsi="Verdana" w:cs="Verdana"/>
        </w:rPr>
      </w:pPr>
    </w:p>
    <w:p w14:paraId="1A08C862" w14:textId="3E4F3F75" w:rsidR="00F140DD" w:rsidRDefault="00F140DD" w:rsidP="00C637D2">
      <w:pPr>
        <w:spacing w:after="0"/>
        <w:rPr>
          <w:rFonts w:ascii="Verdana" w:eastAsia="Verdana" w:hAnsi="Verdana" w:cs="Verdana"/>
        </w:rPr>
      </w:pPr>
    </w:p>
    <w:p w14:paraId="01423204" w14:textId="70B67407" w:rsidR="00F140DD" w:rsidRDefault="00F140DD" w:rsidP="00C637D2">
      <w:pPr>
        <w:spacing w:after="0"/>
        <w:rPr>
          <w:rFonts w:ascii="Verdana" w:eastAsia="Verdana" w:hAnsi="Verdana" w:cs="Verdana"/>
        </w:rPr>
      </w:pPr>
    </w:p>
    <w:p w14:paraId="228E2D3A" w14:textId="45909DE5" w:rsidR="00F140DD" w:rsidRDefault="00F140DD" w:rsidP="00C637D2">
      <w:pPr>
        <w:spacing w:after="0"/>
        <w:rPr>
          <w:rFonts w:ascii="Verdana" w:eastAsia="Verdana" w:hAnsi="Verdana" w:cs="Verdana"/>
        </w:rPr>
      </w:pPr>
    </w:p>
    <w:p w14:paraId="58063946" w14:textId="434E60EE" w:rsidR="00F140DD" w:rsidRDefault="00F140DD" w:rsidP="00C637D2">
      <w:pPr>
        <w:spacing w:after="0"/>
        <w:rPr>
          <w:rFonts w:ascii="Verdana" w:eastAsia="Verdana" w:hAnsi="Verdana" w:cs="Verdana"/>
        </w:rPr>
      </w:pPr>
    </w:p>
    <w:p w14:paraId="30E95996" w14:textId="4440DB62" w:rsidR="00F140DD" w:rsidRDefault="00F140DD" w:rsidP="00C637D2">
      <w:pPr>
        <w:spacing w:after="0"/>
        <w:rPr>
          <w:rFonts w:ascii="Verdana" w:eastAsia="Verdana" w:hAnsi="Verdana" w:cs="Verdana"/>
        </w:rPr>
      </w:pPr>
    </w:p>
    <w:p w14:paraId="072D1C6B" w14:textId="1ED39C2B" w:rsidR="00F140DD" w:rsidRDefault="00F140DD" w:rsidP="00C637D2">
      <w:pPr>
        <w:spacing w:after="0"/>
        <w:rPr>
          <w:rFonts w:ascii="Verdana" w:eastAsia="Verdana" w:hAnsi="Verdana" w:cs="Verdana"/>
        </w:rPr>
      </w:pPr>
    </w:p>
    <w:p w14:paraId="371AD9F0" w14:textId="1A4C8B7F" w:rsidR="00F140DD" w:rsidRDefault="00F140DD" w:rsidP="00C637D2">
      <w:pPr>
        <w:spacing w:after="0"/>
        <w:rPr>
          <w:rFonts w:ascii="Verdana" w:eastAsia="Verdana" w:hAnsi="Verdana" w:cs="Verdana"/>
        </w:rPr>
      </w:pPr>
    </w:p>
    <w:p w14:paraId="05903E4A" w14:textId="15402A05" w:rsidR="00F140DD" w:rsidRDefault="00F140DD" w:rsidP="00C637D2">
      <w:pPr>
        <w:spacing w:after="0"/>
        <w:rPr>
          <w:rFonts w:ascii="Verdana" w:eastAsia="Verdana" w:hAnsi="Verdana" w:cs="Verdana"/>
        </w:rPr>
      </w:pPr>
    </w:p>
    <w:p w14:paraId="5998CBFF" w14:textId="67EDA528" w:rsidR="00F140DD" w:rsidRDefault="00F140DD" w:rsidP="00C637D2">
      <w:pPr>
        <w:spacing w:after="0"/>
        <w:rPr>
          <w:rFonts w:ascii="Verdana" w:eastAsia="Verdana" w:hAnsi="Verdana" w:cs="Verdana"/>
        </w:rPr>
      </w:pPr>
    </w:p>
    <w:p w14:paraId="22E5EEC3" w14:textId="47E172E4" w:rsidR="00F140DD" w:rsidRDefault="00F140DD" w:rsidP="00C637D2">
      <w:pPr>
        <w:spacing w:after="0"/>
        <w:rPr>
          <w:rFonts w:ascii="Verdana" w:eastAsia="Verdana" w:hAnsi="Verdana" w:cs="Verdana"/>
        </w:rPr>
      </w:pPr>
    </w:p>
    <w:p w14:paraId="2F01733D" w14:textId="53D479F2" w:rsidR="00F140DD" w:rsidRDefault="00F140DD" w:rsidP="00C637D2">
      <w:pPr>
        <w:spacing w:after="0"/>
        <w:rPr>
          <w:rFonts w:ascii="Verdana" w:eastAsia="Verdana" w:hAnsi="Verdana" w:cs="Verdana"/>
        </w:rPr>
      </w:pPr>
    </w:p>
    <w:p w14:paraId="195720B1" w14:textId="1FC1E9F0" w:rsidR="00F140DD" w:rsidRDefault="00F140DD" w:rsidP="00C637D2">
      <w:pPr>
        <w:spacing w:after="0"/>
        <w:rPr>
          <w:rFonts w:ascii="Verdana" w:eastAsia="Verdana" w:hAnsi="Verdana" w:cs="Verdana"/>
        </w:rPr>
      </w:pPr>
    </w:p>
    <w:p w14:paraId="6D385E32" w14:textId="279DD7D8" w:rsidR="00F140DD" w:rsidRDefault="00F140DD" w:rsidP="00C637D2">
      <w:pPr>
        <w:spacing w:after="0"/>
        <w:rPr>
          <w:rFonts w:ascii="Verdana" w:eastAsia="Verdana" w:hAnsi="Verdana" w:cs="Verdana"/>
        </w:rPr>
      </w:pPr>
    </w:p>
    <w:p w14:paraId="6D6E38DB" w14:textId="521B374F" w:rsidR="00F140DD" w:rsidRDefault="00F140DD" w:rsidP="00C637D2">
      <w:pPr>
        <w:spacing w:after="0"/>
        <w:rPr>
          <w:rFonts w:ascii="Verdana" w:eastAsia="Verdana" w:hAnsi="Verdana" w:cs="Verdana"/>
        </w:rPr>
      </w:pPr>
    </w:p>
    <w:p w14:paraId="4E97C131" w14:textId="7EC028C2" w:rsidR="00F140DD" w:rsidRDefault="00F140DD" w:rsidP="00C637D2">
      <w:pPr>
        <w:spacing w:after="0"/>
        <w:rPr>
          <w:rFonts w:ascii="Verdana" w:eastAsia="Verdana" w:hAnsi="Verdana" w:cs="Verdana"/>
        </w:rPr>
      </w:pPr>
    </w:p>
    <w:p w14:paraId="73B17368" w14:textId="77777777" w:rsidR="00373CC5" w:rsidRDefault="00373CC5" w:rsidP="00C637D2">
      <w:pPr>
        <w:spacing w:after="0"/>
        <w:rPr>
          <w:rFonts w:ascii="Verdana" w:eastAsia="Verdana" w:hAnsi="Verdana" w:cs="Verdana"/>
        </w:rPr>
      </w:pPr>
    </w:p>
    <w:p w14:paraId="42C0B8E7" w14:textId="22AA209A" w:rsidR="00C637D2" w:rsidRDefault="00373CC5" w:rsidP="00C637D2">
      <w:pPr>
        <w:spacing w:after="0"/>
        <w:rPr>
          <w:rFonts w:ascii="Verdana" w:hAnsi="Verdana"/>
        </w:rPr>
      </w:pPr>
      <w:r w:rsidRPr="00373CC5">
        <w:rPr>
          <w:rFonts w:ascii="Verdana" w:hAnsi="Verdana"/>
          <w:noProof/>
          <w:lang w:val="en-US"/>
        </w:rPr>
        <w:lastRenderedPageBreak/>
        <w:drawing>
          <wp:anchor distT="0" distB="0" distL="114300" distR="114300" simplePos="0" relativeHeight="251658240" behindDoc="0" locked="0" layoutInCell="1" allowOverlap="1" wp14:anchorId="2EB7FB4C" wp14:editId="133AD380">
            <wp:simplePos x="0" y="0"/>
            <wp:positionH relativeFrom="column">
              <wp:posOffset>2987040</wp:posOffset>
            </wp:positionH>
            <wp:positionV relativeFrom="paragraph">
              <wp:posOffset>224790</wp:posOffset>
            </wp:positionV>
            <wp:extent cx="2590800" cy="714375"/>
            <wp:effectExtent l="0" t="0" r="0"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90800" cy="714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22 de abril de 2026</w:t>
      </w:r>
      <w:r w:rsidR="00C637D2">
        <w:tab/>
      </w:r>
      <w:r w:rsidR="00C637D2">
        <w:br/>
      </w:r>
    </w:p>
    <w:p w14:paraId="7682584C" w14:textId="77777777" w:rsidR="00C637D2" w:rsidRPr="001743CA" w:rsidRDefault="00C637D2" w:rsidP="00C637D2">
      <w:pPr>
        <w:spacing w:after="0" w:line="240" w:lineRule="auto"/>
        <w:rPr>
          <w:rFonts w:ascii="Verdana" w:hAnsi="Verdana"/>
        </w:rPr>
      </w:pPr>
    </w:p>
    <w:p w14:paraId="01824869" w14:textId="77777777" w:rsidR="00C637D2" w:rsidRPr="007B7951" w:rsidRDefault="00C637D2" w:rsidP="00C637D2">
      <w:pPr>
        <w:spacing w:after="0" w:line="240" w:lineRule="auto"/>
        <w:rPr>
          <w:rFonts w:ascii="Verdana" w:eastAsia="Calibri" w:hAnsi="Verdana" w:cs="Times New Roman"/>
        </w:rPr>
      </w:pPr>
      <w:r w:rsidRPr="007B7951">
        <w:rPr>
          <w:rFonts w:ascii="Verdana" w:eastAsia="Calibri" w:hAnsi="Verdana" w:cs="Times New Roman"/>
        </w:rPr>
        <w:t>Señor</w:t>
      </w:r>
    </w:p>
    <w:p w14:paraId="7E208DBA" w14:textId="77777777" w:rsidR="00C637D2" w:rsidRPr="007B7951" w:rsidRDefault="00C637D2" w:rsidP="00C637D2">
      <w:pPr>
        <w:spacing w:after="0" w:line="240" w:lineRule="auto"/>
        <w:rPr>
          <w:rFonts w:ascii="Verdana" w:eastAsia="Calibri" w:hAnsi="Verdana" w:cs="Times New Roman"/>
          <w:b/>
        </w:rPr>
      </w:pPr>
      <w:r w:rsidRPr="007B7951">
        <w:rPr>
          <w:rFonts w:ascii="Verdana" w:eastAsia="Calibri" w:hAnsi="Verdana" w:cs="Times New Roman"/>
          <w:b/>
        </w:rPr>
        <w:t>Claudia Andrés Padilla Martínez</w:t>
      </w:r>
    </w:p>
    <w:p w14:paraId="41EA1182" w14:textId="77777777" w:rsidR="00C637D2" w:rsidRDefault="00C637D2" w:rsidP="00C637D2">
      <w:pPr>
        <w:spacing w:after="0" w:line="240" w:lineRule="auto"/>
        <w:rPr>
          <w:rFonts w:ascii="Verdana" w:eastAsia="Calibri" w:hAnsi="Verdana" w:cs="Times New Roman"/>
        </w:rPr>
      </w:pPr>
      <w:hyperlink r:id="rId12" w:history="1">
        <w:r w:rsidRPr="009A30CD">
          <w:rPr>
            <w:rStyle w:val="Hipervnculo"/>
            <w:rFonts w:ascii="Verdana" w:eastAsia="Calibri" w:hAnsi="Verdana" w:cs="Times New Roman"/>
          </w:rPr>
          <w:t>andrea26@hotmail.com</w:t>
        </w:r>
      </w:hyperlink>
    </w:p>
    <w:p w14:paraId="4BAE6DAF" w14:textId="77777777" w:rsidR="00C637D2" w:rsidRPr="001743CA" w:rsidRDefault="00C637D2" w:rsidP="00C637D2">
      <w:pPr>
        <w:spacing w:after="0" w:line="240" w:lineRule="auto"/>
        <w:rPr>
          <w:rFonts w:ascii="Verdana" w:eastAsia="Calibri" w:hAnsi="Verdana" w:cs="Times New Roman"/>
        </w:rPr>
      </w:pPr>
      <w:r>
        <w:rPr>
          <w:rFonts w:ascii="Verdana" w:eastAsia="Calibri" w:hAnsi="Verdana" w:cs="Times New Roman"/>
        </w:rPr>
        <w:t>Armenia, Quindio</w:t>
      </w:r>
    </w:p>
    <w:p w14:paraId="7DB2BB05" w14:textId="77777777" w:rsidR="00C637D2" w:rsidRPr="00B57A1B" w:rsidRDefault="00C637D2" w:rsidP="00C637D2">
      <w:pPr>
        <w:spacing w:after="0" w:line="240" w:lineRule="auto"/>
        <w:rPr>
          <w:rFonts w:ascii="Verdana" w:eastAsia="Calibri" w:hAnsi="Verdana" w:cs="Times New Roman"/>
        </w:rPr>
      </w:pPr>
    </w:p>
    <w:p w14:paraId="4CBDB6F6" w14:textId="77777777" w:rsidR="00C637D2" w:rsidRPr="00B57A1B" w:rsidRDefault="00C637D2" w:rsidP="00C637D2">
      <w:pPr>
        <w:spacing w:after="0" w:line="240" w:lineRule="auto"/>
        <w:rPr>
          <w:rFonts w:ascii="Verdana" w:eastAsia="Calibri" w:hAnsi="Verdana" w:cs="Times New Roman"/>
        </w:rPr>
      </w:pPr>
    </w:p>
    <w:p w14:paraId="2520D6DB" w14:textId="77777777" w:rsidR="00C637D2" w:rsidRPr="00B57A1B" w:rsidRDefault="00C637D2" w:rsidP="00C637D2">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C–387 de 2026</w:t>
      </w:r>
    </w:p>
    <w:p w14:paraId="77DF6114" w14:textId="77777777" w:rsidR="00C637D2" w:rsidRPr="00B57A1B" w:rsidRDefault="00C637D2" w:rsidP="00C637D2">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C637D2" w:rsidRPr="00B57A1B" w14:paraId="18E9994E" w14:textId="77777777" w:rsidTr="00C406A3">
        <w:trPr>
          <w:trHeight w:val="645"/>
        </w:trPr>
        <w:tc>
          <w:tcPr>
            <w:tcW w:w="2685" w:type="dxa"/>
            <w:hideMark/>
          </w:tcPr>
          <w:p w14:paraId="4F9C2E15" w14:textId="77777777" w:rsidR="00C637D2" w:rsidRPr="00B57A1B" w:rsidRDefault="00C637D2" w:rsidP="00C406A3">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35A0B22C" w14:textId="6606A7DA" w:rsidR="00C637D2" w:rsidRPr="00C279C5" w:rsidRDefault="00C637D2" w:rsidP="00C406A3">
            <w:pPr>
              <w:spacing w:line="276" w:lineRule="auto"/>
              <w:jc w:val="both"/>
              <w:rPr>
                <w:rFonts w:ascii="Verdana" w:hAnsi="Verdana" w:cs="Arial"/>
                <w:lang w:val="es-ES" w:eastAsia="es-ES"/>
              </w:rPr>
            </w:pPr>
            <w:r w:rsidRPr="00A76DF5">
              <w:rPr>
                <w:rFonts w:ascii="Verdana" w:hAnsi="Verdana" w:cs="Arial"/>
                <w:bCs/>
                <w:lang w:val="es-ES" w:eastAsia="es-ES"/>
              </w:rPr>
              <w:t xml:space="preserve">CONTRATO ESTATAL – Concepto / </w:t>
            </w:r>
            <w:r>
              <w:rPr>
                <w:rFonts w:ascii="Verdana" w:hAnsi="Verdana" w:cs="Arial"/>
                <w:bCs/>
                <w:lang w:val="es-ES" w:eastAsia="es-ES"/>
              </w:rPr>
              <w:t xml:space="preserve">CONTRATO ESTATAL – Contratos Atípicos – Contratos Mixtos / </w:t>
            </w:r>
            <w:r w:rsidRPr="00A76DF5">
              <w:rPr>
                <w:rFonts w:ascii="Verdana" w:hAnsi="Verdana" w:cs="Arial"/>
                <w:bCs/>
                <w:lang w:val="es-ES_tradnl" w:eastAsia="es-ES"/>
              </w:rPr>
              <w:t>CONTRATO DE CONCESIÓ</w:t>
            </w:r>
            <w:r>
              <w:rPr>
                <w:rFonts w:ascii="Verdana" w:hAnsi="Verdana" w:cs="Arial"/>
                <w:bCs/>
                <w:lang w:val="es-ES_tradnl" w:eastAsia="es-ES"/>
              </w:rPr>
              <w:t xml:space="preserve">N ― Contrato estatal ― Concepto / CONTRATO DE CONCESIÓN – Características </w:t>
            </w:r>
            <w:r w:rsidRPr="00C279C5">
              <w:rPr>
                <w:rFonts w:ascii="Verdana" w:hAnsi="Verdana" w:cs="Arial"/>
                <w:lang w:val="es-ES" w:eastAsia="es-ES"/>
              </w:rPr>
              <w:t>/ LICORES DESTILADOS – Monopolio rentístico – Fundamento normativo / LICORES DESTILADOS – Depart</w:t>
            </w:r>
            <w:r>
              <w:rPr>
                <w:rFonts w:ascii="Verdana" w:hAnsi="Verdana" w:cs="Arial"/>
                <w:lang w:val="es-ES" w:eastAsia="es-ES"/>
              </w:rPr>
              <w:t>amentos – Explotación directa / LICORES DESTILADOS – Departamentos – Monopolio Indirecto – Licitación Pública – Subasta Ascendente / MONOPOLIO INDIRECTO – Contrato – Características – Monopolio – Arbitrio Rentístico</w:t>
            </w:r>
          </w:p>
          <w:p w14:paraId="70E013F4" w14:textId="77777777" w:rsidR="00C637D2" w:rsidRDefault="00C637D2" w:rsidP="00C406A3">
            <w:pPr>
              <w:spacing w:line="276" w:lineRule="auto"/>
              <w:jc w:val="both"/>
              <w:rPr>
                <w:rFonts w:ascii="Verdana" w:hAnsi="Verdana" w:cs="Arial"/>
                <w:lang w:val="es-ES" w:eastAsia="es-ES"/>
              </w:rPr>
            </w:pPr>
          </w:p>
          <w:p w14:paraId="5F6A6CE7" w14:textId="77777777" w:rsidR="00C637D2" w:rsidRPr="00B57A1B" w:rsidRDefault="00C637D2" w:rsidP="00C406A3">
            <w:pPr>
              <w:spacing w:line="276" w:lineRule="auto"/>
              <w:jc w:val="both"/>
              <w:rPr>
                <w:rFonts w:ascii="Verdana" w:hAnsi="Verdana" w:cs="Arial"/>
                <w:lang w:val="es-ES" w:eastAsia="es-ES"/>
              </w:rPr>
            </w:pPr>
          </w:p>
        </w:tc>
        <w:tc>
          <w:tcPr>
            <w:tcW w:w="6237" w:type="dxa"/>
          </w:tcPr>
          <w:p w14:paraId="10E0BE1A" w14:textId="77777777" w:rsidR="00C637D2" w:rsidRPr="002D0E1D" w:rsidRDefault="00C637D2" w:rsidP="00C406A3">
            <w:pPr>
              <w:spacing w:line="256" w:lineRule="auto"/>
              <w:rPr>
                <w:rFonts w:ascii="Verdana" w:hAnsi="Verdana"/>
                <w:lang w:val="es-ES"/>
              </w:rPr>
            </w:pPr>
          </w:p>
        </w:tc>
      </w:tr>
      <w:tr w:rsidR="00C637D2" w:rsidRPr="00B57A1B" w14:paraId="38CBCB82" w14:textId="77777777" w:rsidTr="00C406A3">
        <w:tc>
          <w:tcPr>
            <w:tcW w:w="2685" w:type="dxa"/>
          </w:tcPr>
          <w:p w14:paraId="54AAFF1B" w14:textId="77777777" w:rsidR="00C637D2" w:rsidRPr="00B57A1B" w:rsidRDefault="00C637D2" w:rsidP="00C406A3">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3F098A5F" w14:textId="77777777" w:rsidR="00C637D2" w:rsidRPr="002D0E1D" w:rsidRDefault="00C637D2" w:rsidP="00C406A3">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Pr="00E240E3">
              <w:rPr>
                <w:rFonts w:ascii="Verdana" w:hAnsi="Verdana"/>
              </w:rPr>
              <w:t>1_2026_03_10_003335</w:t>
            </w:r>
          </w:p>
          <w:p w14:paraId="6C0E3700" w14:textId="77777777" w:rsidR="00C637D2" w:rsidRPr="00B57A1B" w:rsidRDefault="00C637D2" w:rsidP="00C406A3">
            <w:pPr>
              <w:spacing w:line="257" w:lineRule="auto"/>
              <w:jc w:val="both"/>
              <w:rPr>
                <w:rFonts w:ascii="Verdana" w:hAnsi="Verdana"/>
              </w:rPr>
            </w:pPr>
          </w:p>
        </w:tc>
        <w:tc>
          <w:tcPr>
            <w:tcW w:w="6237" w:type="dxa"/>
          </w:tcPr>
          <w:p w14:paraId="7860E8B1" w14:textId="77777777" w:rsidR="00C637D2" w:rsidRPr="00B57A1B" w:rsidRDefault="00C637D2" w:rsidP="00C406A3">
            <w:pPr>
              <w:spacing w:line="256" w:lineRule="auto"/>
              <w:rPr>
                <w:rFonts w:ascii="Verdana" w:hAnsi="Verdana"/>
                <w:lang w:val="es-ES_tradnl"/>
              </w:rPr>
            </w:pPr>
          </w:p>
        </w:tc>
      </w:tr>
    </w:tbl>
    <w:p w14:paraId="7D4B01C8" w14:textId="77777777" w:rsidR="00C637D2" w:rsidRDefault="00C637D2" w:rsidP="00C637D2">
      <w:pPr>
        <w:spacing w:after="0" w:line="256" w:lineRule="auto"/>
        <w:rPr>
          <w:rFonts w:ascii="Verdana" w:eastAsia="Calibri" w:hAnsi="Verdana" w:cs="Times New Roman"/>
          <w:lang w:val="es-ES"/>
        </w:rPr>
      </w:pPr>
    </w:p>
    <w:p w14:paraId="41904167" w14:textId="77777777" w:rsidR="00C637D2" w:rsidRPr="00B57A1B" w:rsidRDefault="00C637D2" w:rsidP="00C637D2">
      <w:pPr>
        <w:spacing w:after="0" w:line="256" w:lineRule="auto"/>
        <w:rPr>
          <w:rFonts w:ascii="Verdana" w:eastAsia="Calibri" w:hAnsi="Verdana" w:cs="Times New Roman"/>
          <w:lang w:val="es-ES"/>
        </w:rPr>
      </w:pPr>
      <w:r>
        <w:rPr>
          <w:rFonts w:ascii="Verdana" w:eastAsia="Calibri" w:hAnsi="Verdana" w:cs="Times New Roman"/>
          <w:lang w:val="es-ES"/>
        </w:rPr>
        <w:t>Estimada Señora Claudia</w:t>
      </w:r>
      <w:r w:rsidRPr="00B57A1B">
        <w:rPr>
          <w:rFonts w:ascii="Verdana" w:eastAsia="Calibri" w:hAnsi="Verdana" w:cs="Times New Roman"/>
          <w:lang w:val="es-ES"/>
        </w:rPr>
        <w:t xml:space="preserve">: </w:t>
      </w:r>
    </w:p>
    <w:p w14:paraId="5629EE0C" w14:textId="77777777" w:rsidR="00C637D2" w:rsidRPr="00B57A1B" w:rsidRDefault="00C637D2" w:rsidP="00C637D2">
      <w:pPr>
        <w:spacing w:after="0" w:line="256" w:lineRule="auto"/>
        <w:rPr>
          <w:rFonts w:ascii="Verdana" w:eastAsia="Calibri" w:hAnsi="Verdana" w:cs="Times New Roman"/>
          <w:lang w:val="es-ES"/>
        </w:rPr>
      </w:pPr>
    </w:p>
    <w:p w14:paraId="219E3633" w14:textId="77777777" w:rsidR="00C637D2" w:rsidRDefault="00C637D2" w:rsidP="00C637D2">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consulta del 10 de marzo de 2026</w:t>
      </w:r>
      <w:r w:rsidRPr="00B57A1B">
        <w:rPr>
          <w:rFonts w:ascii="Verdana" w:eastAsia="Calibri" w:hAnsi="Verdana" w:cs="Times New Roman"/>
          <w:bCs/>
          <w:lang w:val="es-ES" w:bidi="es-ES"/>
        </w:rPr>
        <w:t xml:space="preserve">, en la cual manifiesta: </w:t>
      </w:r>
    </w:p>
    <w:p w14:paraId="4D921553" w14:textId="77777777" w:rsidR="00C637D2" w:rsidRDefault="00C637D2" w:rsidP="00C637D2">
      <w:pPr>
        <w:spacing w:after="0" w:line="276" w:lineRule="auto"/>
        <w:jc w:val="both"/>
        <w:rPr>
          <w:rFonts w:ascii="Verdana" w:eastAsia="Calibri" w:hAnsi="Verdana" w:cs="Times New Roman"/>
          <w:bCs/>
          <w:lang w:val="es-ES" w:bidi="es-ES"/>
        </w:rPr>
      </w:pPr>
    </w:p>
    <w:p w14:paraId="7848DFF9" w14:textId="77777777" w:rsidR="00C637D2" w:rsidRPr="007B7951" w:rsidRDefault="00C637D2" w:rsidP="00C637D2">
      <w:pPr>
        <w:spacing w:after="0" w:line="240" w:lineRule="auto"/>
        <w:ind w:left="709" w:right="709"/>
        <w:jc w:val="both"/>
        <w:rPr>
          <w:rFonts w:ascii="Verdana" w:eastAsia="Calibri" w:hAnsi="Verdana" w:cs="Times New Roman"/>
          <w:bCs/>
          <w:sz w:val="20"/>
          <w:szCs w:val="20"/>
          <w:lang w:bidi="es-ES"/>
        </w:rPr>
      </w:pPr>
      <w:r w:rsidRPr="007B7951">
        <w:rPr>
          <w:rFonts w:ascii="Verdana" w:eastAsia="Calibri" w:hAnsi="Verdana" w:cs="Times New Roman"/>
          <w:bCs/>
          <w:sz w:val="20"/>
          <w:szCs w:val="20"/>
          <w:lang w:val="es-ES" w:bidi="es-ES"/>
        </w:rPr>
        <w:t xml:space="preserve">“El Departamento del Quindío de conformidad en lo establecido en el artículo 8 de la Ley 1816 de 2016, pretende adelantar mediante la modalidad de licitación pública (procedimiento de subasta ascendente), la </w:t>
      </w:r>
      <w:r w:rsidRPr="007B7951">
        <w:rPr>
          <w:rFonts w:ascii="Verdana" w:eastAsia="Calibri" w:hAnsi="Verdana" w:cs="Times New Roman"/>
          <w:bCs/>
          <w:sz w:val="20"/>
          <w:szCs w:val="20"/>
          <w:lang w:val="es-ES" w:bidi="es-ES"/>
        </w:rPr>
        <w:lastRenderedPageBreak/>
        <w:t xml:space="preserve">adjudicación de contratos cuyo objeto consistirá en </w:t>
      </w:r>
      <w:r w:rsidRPr="007B7951">
        <w:rPr>
          <w:rFonts w:ascii="Verdana" w:eastAsia="Calibri" w:hAnsi="Verdana" w:cs="Times New Roman"/>
          <w:b/>
          <w:bCs/>
          <w:sz w:val="20"/>
          <w:szCs w:val="20"/>
          <w:lang w:val="es-ES" w:bidi="es-ES"/>
        </w:rPr>
        <w:t>‘CONCEDER PERMISOS DE PRODUCCIÓN DE LICORES DESTILADOS EN EL DEPARTAMENTO DE QUINDÍO, EN EJERCICIO DEL MONOPOLIO COMO ARBIRIO RENTÍSTICO’</w:t>
      </w:r>
      <w:r w:rsidRPr="007B7951">
        <w:rPr>
          <w:rFonts w:ascii="Verdana" w:eastAsia="Calibri" w:hAnsi="Verdana" w:cs="Times New Roman"/>
          <w:bCs/>
          <w:sz w:val="20"/>
          <w:szCs w:val="20"/>
          <w:lang w:val="es-ES" w:bidi="es-ES"/>
        </w:rPr>
        <w:t>, para lo cual requiere si la ti</w:t>
      </w:r>
      <w:r w:rsidRPr="007B7951">
        <w:rPr>
          <w:rFonts w:ascii="Verdana" w:eastAsia="Calibri" w:hAnsi="Verdana" w:cs="Times New Roman"/>
          <w:bCs/>
          <w:sz w:val="20"/>
          <w:szCs w:val="20"/>
          <w:lang w:bidi="es-ES"/>
        </w:rPr>
        <w:t xml:space="preserve">pología del contrato es la señalada en el artículo 32, numeral 4 de la Ley 80 de 1993 </w:t>
      </w:r>
      <w:r w:rsidRPr="007B7951">
        <w:rPr>
          <w:rFonts w:ascii="Verdana" w:eastAsia="Calibri" w:hAnsi="Verdana" w:cs="Times New Roman"/>
          <w:b/>
          <w:bCs/>
          <w:sz w:val="20"/>
          <w:szCs w:val="20"/>
          <w:lang w:bidi="es-ES"/>
        </w:rPr>
        <w:t>CONTRATO DE CONCESIÓN</w:t>
      </w:r>
      <w:r w:rsidRPr="007B7951">
        <w:rPr>
          <w:rFonts w:ascii="Verdana" w:eastAsia="Calibri" w:hAnsi="Verdana" w:cs="Times New Roman"/>
          <w:bCs/>
          <w:sz w:val="20"/>
          <w:szCs w:val="20"/>
          <w:lang w:bidi="es-ES"/>
        </w:rPr>
        <w:t xml:space="preserve"> […]”</w:t>
      </w:r>
    </w:p>
    <w:p w14:paraId="1EC556F5" w14:textId="77777777" w:rsidR="00C637D2" w:rsidRPr="00812F2C" w:rsidRDefault="00C637D2" w:rsidP="00C637D2">
      <w:pPr>
        <w:spacing w:after="0" w:line="240" w:lineRule="auto"/>
        <w:ind w:left="709" w:right="709"/>
        <w:jc w:val="both"/>
        <w:rPr>
          <w:rFonts w:ascii="Verdana" w:eastAsia="Calibri" w:hAnsi="Verdana" w:cs="Times New Roman"/>
          <w:bCs/>
          <w:sz w:val="21"/>
          <w:szCs w:val="21"/>
          <w:lang w:bidi="es-ES"/>
        </w:rPr>
      </w:pPr>
    </w:p>
    <w:p w14:paraId="13A5C674" w14:textId="77777777" w:rsidR="00C637D2" w:rsidRPr="00B57A1B" w:rsidRDefault="00C637D2" w:rsidP="00C637D2">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Times New Roman"/>
          <w:lang w:val="es-ES"/>
        </w:rPr>
        <w:t xml:space="preserve">la Agencia Nacional de Contratación Pública - </w:t>
      </w:r>
      <w:r w:rsidRPr="00B57A1B">
        <w:rPr>
          <w:rFonts w:ascii="Verdana" w:eastAsia="Calibri" w:hAnsi="Verdana" w:cs="Times New Roman"/>
          <w:lang w:val="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9BB14A0" w14:textId="77777777" w:rsidR="00C637D2" w:rsidRPr="00B57A1B" w:rsidRDefault="00C637D2" w:rsidP="00C637D2">
      <w:pPr>
        <w:spacing w:after="0" w:line="276" w:lineRule="auto"/>
        <w:ind w:firstLine="709"/>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791318B6" w14:textId="77777777" w:rsidR="00C637D2" w:rsidRPr="00B57A1B" w:rsidRDefault="00C637D2" w:rsidP="00C637D2">
      <w:pPr>
        <w:spacing w:after="0" w:line="276" w:lineRule="auto"/>
        <w:rPr>
          <w:rFonts w:ascii="Verdana" w:eastAsia="Calibri" w:hAnsi="Verdana" w:cs="Times New Roman"/>
          <w:lang w:val="es-ES"/>
        </w:rPr>
      </w:pPr>
    </w:p>
    <w:p w14:paraId="6CA7EF1B" w14:textId="77777777" w:rsidR="00C637D2" w:rsidRPr="00B57A1B" w:rsidRDefault="00C637D2" w:rsidP="00C637D2">
      <w:pPr>
        <w:numPr>
          <w:ilvl w:val="0"/>
          <w:numId w:val="16"/>
        </w:numPr>
        <w:spacing w:after="0" w:line="276" w:lineRule="auto"/>
        <w:rPr>
          <w:rFonts w:ascii="Verdana" w:eastAsia="Calibri" w:hAnsi="Verdana" w:cs="Times New Roman"/>
          <w:b/>
          <w:bCs/>
          <w:lang w:val="es-ES"/>
        </w:rPr>
      </w:pPr>
      <w:r w:rsidRPr="00B57A1B">
        <w:rPr>
          <w:rFonts w:ascii="Verdana" w:eastAsia="Calibri" w:hAnsi="Verdana" w:cs="Times New Roman"/>
          <w:b/>
          <w:bCs/>
          <w:lang w:val="es-ES"/>
        </w:rPr>
        <w:t>Problema planteado:</w:t>
      </w:r>
    </w:p>
    <w:p w14:paraId="018CDBB8" w14:textId="77777777" w:rsidR="00C637D2" w:rsidRPr="00B57A1B" w:rsidRDefault="00C637D2" w:rsidP="00C637D2">
      <w:pPr>
        <w:spacing w:after="0" w:line="276" w:lineRule="auto"/>
        <w:rPr>
          <w:rFonts w:ascii="Verdana" w:eastAsia="Calibri" w:hAnsi="Verdana" w:cs="Times New Roman"/>
        </w:rPr>
      </w:pPr>
    </w:p>
    <w:p w14:paraId="13D5CD88" w14:textId="77777777" w:rsidR="00C637D2" w:rsidRPr="00372ADE" w:rsidRDefault="00C637D2" w:rsidP="00C637D2">
      <w:pPr>
        <w:spacing w:after="0" w:line="276" w:lineRule="auto"/>
        <w:jc w:val="both"/>
        <w:rPr>
          <w:rFonts w:ascii="Verdana" w:eastAsia="Calibri" w:hAnsi="Verdana" w:cs="Times New Roman"/>
          <w:iC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w:t>
      </w:r>
      <w:r w:rsidRPr="00372ADE">
        <w:rPr>
          <w:rFonts w:ascii="Verdana" w:eastAsia="Calibri" w:hAnsi="Verdana" w:cs="Times New Roman"/>
          <w:iCs/>
        </w:rPr>
        <w:t>¿La adjudicación de permisos para la producc</w:t>
      </w:r>
      <w:r>
        <w:rPr>
          <w:rFonts w:ascii="Verdana" w:eastAsia="Calibri" w:hAnsi="Verdana" w:cs="Times New Roman"/>
          <w:iCs/>
        </w:rPr>
        <w:t xml:space="preserve">ión de licores destilados en un </w:t>
      </w:r>
      <w:r w:rsidRPr="00372ADE">
        <w:rPr>
          <w:rFonts w:ascii="Verdana" w:eastAsia="Calibri" w:hAnsi="Verdana" w:cs="Times New Roman"/>
          <w:iCs/>
        </w:rPr>
        <w:t xml:space="preserve">Departamento, en ejercicio del monopolio rentístico previsto en la Ley 1816 de 2016 y mediante licitación pública con subasta </w:t>
      </w:r>
      <w:r>
        <w:rPr>
          <w:rFonts w:ascii="Verdana" w:eastAsia="Calibri" w:hAnsi="Verdana" w:cs="Times New Roman"/>
          <w:iCs/>
        </w:rPr>
        <w:t>ascendente, debe estructurarse</w:t>
      </w:r>
      <w:r w:rsidRPr="00372ADE">
        <w:rPr>
          <w:rFonts w:ascii="Verdana" w:eastAsia="Calibri" w:hAnsi="Verdana" w:cs="Times New Roman"/>
          <w:iCs/>
        </w:rPr>
        <w:t xml:space="preserve"> como un contrato de concesión conforme al artículo 32 numeral 4 de la Ley </w:t>
      </w:r>
      <w:r>
        <w:rPr>
          <w:rFonts w:ascii="Verdana" w:eastAsia="Calibri" w:hAnsi="Verdana" w:cs="Times New Roman"/>
          <w:iCs/>
        </w:rPr>
        <w:t>80 de 1993, o corresponde a otro tipo contractual</w:t>
      </w:r>
      <w:r w:rsidRPr="00372ADE">
        <w:rPr>
          <w:rFonts w:ascii="Verdana" w:eastAsia="Calibri" w:hAnsi="Verdana" w:cs="Times New Roman"/>
          <w:iCs/>
        </w:rPr>
        <w:t>?</w:t>
      </w:r>
    </w:p>
    <w:p w14:paraId="0C3A89EA" w14:textId="77777777" w:rsidR="00C637D2" w:rsidRPr="00C279C5" w:rsidRDefault="00C637D2" w:rsidP="00C637D2">
      <w:pPr>
        <w:spacing w:after="0" w:line="276" w:lineRule="auto"/>
        <w:jc w:val="both"/>
        <w:rPr>
          <w:rFonts w:ascii="Verdana" w:eastAsia="Calibri" w:hAnsi="Verdana" w:cs="Times New Roman"/>
          <w:i/>
          <w:iCs/>
        </w:rPr>
      </w:pPr>
    </w:p>
    <w:p w14:paraId="3CC99B21" w14:textId="77777777" w:rsidR="00C637D2" w:rsidRPr="00B57A1B" w:rsidRDefault="00C637D2" w:rsidP="00C637D2">
      <w:pPr>
        <w:numPr>
          <w:ilvl w:val="0"/>
          <w:numId w:val="16"/>
        </w:numPr>
        <w:spacing w:after="0" w:line="27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1D511D44" w14:textId="77777777" w:rsidR="00C637D2" w:rsidRPr="00B57A1B" w:rsidRDefault="00C637D2" w:rsidP="00C637D2">
      <w:pPr>
        <w:spacing w:after="0" w:line="276" w:lineRule="auto"/>
        <w:rPr>
          <w:rFonts w:ascii="Verdana" w:eastAsia="Calibri" w:hAnsi="Verdana" w:cs="Times New Roman"/>
          <w:b/>
          <w:bCs/>
          <w:lang w:val="es-ES"/>
        </w:rPr>
      </w:pPr>
    </w:p>
    <w:tbl>
      <w:tblPr>
        <w:tblStyle w:val="Tablaconcuadrcula"/>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C637D2" w:rsidRPr="00B57A1B" w14:paraId="4A9E2A84" w14:textId="77777777" w:rsidTr="00C406A3">
        <w:trPr>
          <w:trHeight w:val="345"/>
        </w:trPr>
        <w:tc>
          <w:tcPr>
            <w:tcW w:w="8784" w:type="dxa"/>
            <w:tcBorders>
              <w:bottom w:val="single" w:sz="4" w:space="0" w:color="auto"/>
            </w:tcBorders>
          </w:tcPr>
          <w:p w14:paraId="4BDC7472" w14:textId="77777777" w:rsidR="00C637D2" w:rsidRPr="00AE72BF" w:rsidRDefault="00C637D2" w:rsidP="00C406A3">
            <w:pPr>
              <w:spacing w:after="120" w:line="276" w:lineRule="auto"/>
              <w:jc w:val="both"/>
              <w:rPr>
                <w:rFonts w:ascii="Verdana" w:eastAsia="Arial" w:hAnsi="Verdana" w:cs="Arial"/>
                <w:color w:val="000000"/>
              </w:rPr>
            </w:pPr>
            <w:r>
              <w:rPr>
                <w:rFonts w:ascii="Verdana" w:hAnsi="Verdana" w:cs="Arial"/>
                <w:lang w:val="es-ES" w:eastAsia="es-ES"/>
              </w:rPr>
              <w:t xml:space="preserve">De acuerdo con el problema jurídico, </w:t>
            </w:r>
            <w:r>
              <w:rPr>
                <w:rFonts w:ascii="Verdana" w:eastAsia="Arial" w:hAnsi="Verdana" w:cs="Arial"/>
                <w:color w:val="000000"/>
                <w:lang w:val="es-ES"/>
              </w:rPr>
              <w:t>se precisa que, e</w:t>
            </w:r>
            <w:r w:rsidRPr="00AE72BF">
              <w:rPr>
                <w:rFonts w:ascii="Verdana" w:eastAsia="Arial" w:hAnsi="Verdana" w:cs="Arial"/>
                <w:color w:val="000000"/>
              </w:rPr>
              <w:t xml:space="preserve">n </w:t>
            </w:r>
            <w:r>
              <w:rPr>
                <w:rFonts w:ascii="Verdana" w:eastAsia="Arial" w:hAnsi="Verdana" w:cs="Arial"/>
                <w:color w:val="000000"/>
              </w:rPr>
              <w:t>aquel</w:t>
            </w:r>
            <w:r w:rsidRPr="00AE72BF">
              <w:rPr>
                <w:rFonts w:ascii="Verdana" w:eastAsia="Arial" w:hAnsi="Verdana" w:cs="Arial"/>
                <w:color w:val="000000"/>
              </w:rPr>
              <w:t xml:space="preserve">los </w:t>
            </w:r>
            <w:r>
              <w:rPr>
                <w:rFonts w:ascii="Verdana" w:eastAsia="Arial" w:hAnsi="Verdana" w:cs="Arial"/>
                <w:color w:val="000000"/>
              </w:rPr>
              <w:t xml:space="preserve">supuestos </w:t>
            </w:r>
            <w:r w:rsidRPr="00AE72BF">
              <w:rPr>
                <w:rFonts w:ascii="Verdana" w:eastAsia="Arial" w:hAnsi="Verdana" w:cs="Arial"/>
                <w:color w:val="000000"/>
              </w:rPr>
              <w:t xml:space="preserve">en </w:t>
            </w:r>
            <w:r>
              <w:rPr>
                <w:rFonts w:ascii="Verdana" w:eastAsia="Arial" w:hAnsi="Verdana" w:cs="Arial"/>
                <w:color w:val="000000"/>
              </w:rPr>
              <w:t xml:space="preserve">los </w:t>
            </w:r>
            <w:r w:rsidRPr="00AE72BF">
              <w:rPr>
                <w:rFonts w:ascii="Verdana" w:eastAsia="Arial" w:hAnsi="Verdana" w:cs="Arial"/>
                <w:color w:val="000000"/>
              </w:rPr>
              <w:t xml:space="preserve">que el </w:t>
            </w:r>
            <w:r>
              <w:rPr>
                <w:rFonts w:ascii="Verdana" w:eastAsia="Arial" w:hAnsi="Verdana" w:cs="Arial"/>
                <w:color w:val="000000"/>
              </w:rPr>
              <w:t>D</w:t>
            </w:r>
            <w:r w:rsidRPr="00AE72BF">
              <w:rPr>
                <w:rFonts w:ascii="Verdana" w:eastAsia="Arial" w:hAnsi="Verdana" w:cs="Arial"/>
                <w:color w:val="000000"/>
              </w:rPr>
              <w:t>epartamento opta por celebrar contratos con terceros para el ejercicio del monopolio sobre la producción de lico</w:t>
            </w:r>
            <w:r>
              <w:rPr>
                <w:rFonts w:ascii="Verdana" w:eastAsia="Arial" w:hAnsi="Verdana" w:cs="Arial"/>
                <w:color w:val="000000"/>
              </w:rPr>
              <w:t>res destilados, se configura un</w:t>
            </w:r>
            <w:r w:rsidRPr="00AE72BF">
              <w:rPr>
                <w:rFonts w:ascii="Verdana" w:eastAsia="Arial" w:hAnsi="Verdana" w:cs="Arial"/>
                <w:color w:val="000000"/>
              </w:rPr>
              <w:t xml:space="preserve"> </w:t>
            </w:r>
            <w:r>
              <w:rPr>
                <w:rFonts w:ascii="Verdana" w:eastAsia="Arial" w:hAnsi="Verdana" w:cs="Arial"/>
                <w:color w:val="000000"/>
              </w:rPr>
              <w:t xml:space="preserve">tipo contractual </w:t>
            </w:r>
            <w:r w:rsidRPr="00AE72BF">
              <w:rPr>
                <w:rFonts w:ascii="Verdana" w:eastAsia="Arial" w:hAnsi="Verdana" w:cs="Arial"/>
                <w:color w:val="000000"/>
              </w:rPr>
              <w:t>especial</w:t>
            </w:r>
            <w:r>
              <w:rPr>
                <w:rFonts w:ascii="Verdana" w:eastAsia="Arial" w:hAnsi="Verdana" w:cs="Arial"/>
                <w:color w:val="000000"/>
              </w:rPr>
              <w:t xml:space="preserve"> y atípico,</w:t>
            </w:r>
            <w:r w:rsidRPr="00AE72BF">
              <w:rPr>
                <w:rFonts w:ascii="Verdana" w:eastAsia="Arial" w:hAnsi="Verdana" w:cs="Arial"/>
                <w:color w:val="000000"/>
              </w:rPr>
              <w:t xml:space="preserve"> mediante </w:t>
            </w:r>
            <w:r>
              <w:rPr>
                <w:rFonts w:ascii="Verdana" w:eastAsia="Arial" w:hAnsi="Verdana" w:cs="Arial"/>
                <w:color w:val="000000"/>
              </w:rPr>
              <w:t>e</w:t>
            </w:r>
            <w:r w:rsidRPr="00AE72BF">
              <w:rPr>
                <w:rFonts w:ascii="Verdana" w:eastAsia="Arial" w:hAnsi="Verdana" w:cs="Arial"/>
                <w:color w:val="000000"/>
              </w:rPr>
              <w:t xml:space="preserve">l cual se habilita a un particular, por un tiempo determinado, para explotar una actividad reservada constitucional y legalmente al ente territorial. En este esquema, el </w:t>
            </w:r>
            <w:r>
              <w:rPr>
                <w:rFonts w:ascii="Verdana" w:eastAsia="Arial" w:hAnsi="Verdana" w:cs="Arial"/>
                <w:color w:val="000000"/>
              </w:rPr>
              <w:t>D</w:t>
            </w:r>
            <w:r w:rsidRPr="00AE72BF">
              <w:rPr>
                <w:rFonts w:ascii="Verdana" w:eastAsia="Arial" w:hAnsi="Verdana" w:cs="Arial"/>
                <w:color w:val="000000"/>
              </w:rPr>
              <w:t xml:space="preserve">epartamento conserva la titularidad del monopolio como arbitrio rentístico y transfiere de manera temporal a un tercero el ejercicio de la actividad productiva, a cambio del pago de la participación y de los derechos de explotación definidos en </w:t>
            </w:r>
            <w:r>
              <w:rPr>
                <w:rFonts w:ascii="Verdana" w:eastAsia="Arial" w:hAnsi="Verdana" w:cs="Arial"/>
                <w:color w:val="000000"/>
              </w:rPr>
              <w:t xml:space="preserve">la modalidad de licitación pública mediante subasta ascendente. </w:t>
            </w:r>
          </w:p>
          <w:p w14:paraId="636C22D6" w14:textId="77777777" w:rsidR="00C637D2" w:rsidRPr="00AE72BF" w:rsidRDefault="00C637D2" w:rsidP="00C406A3">
            <w:pPr>
              <w:spacing w:after="120" w:line="276" w:lineRule="auto"/>
              <w:ind w:firstLine="708"/>
              <w:jc w:val="both"/>
              <w:rPr>
                <w:rFonts w:ascii="Verdana" w:eastAsia="Arial" w:hAnsi="Verdana" w:cs="Arial"/>
                <w:color w:val="000000"/>
              </w:rPr>
            </w:pPr>
            <w:r w:rsidRPr="00AE72BF">
              <w:rPr>
                <w:rFonts w:ascii="Verdana" w:eastAsia="Arial" w:hAnsi="Verdana" w:cs="Arial"/>
                <w:color w:val="000000"/>
              </w:rPr>
              <w:t xml:space="preserve">Este tipo </w:t>
            </w:r>
            <w:r>
              <w:rPr>
                <w:rFonts w:ascii="Verdana" w:eastAsia="Arial" w:hAnsi="Verdana" w:cs="Arial"/>
                <w:color w:val="000000"/>
              </w:rPr>
              <w:t xml:space="preserve">contractual </w:t>
            </w:r>
            <w:r w:rsidRPr="00AE72BF">
              <w:rPr>
                <w:rFonts w:ascii="Verdana" w:eastAsia="Arial" w:hAnsi="Verdana" w:cs="Arial"/>
                <w:color w:val="000000"/>
              </w:rPr>
              <w:t xml:space="preserve">presenta </w:t>
            </w:r>
            <w:r>
              <w:rPr>
                <w:rFonts w:ascii="Verdana" w:eastAsia="Arial" w:hAnsi="Verdana" w:cs="Arial"/>
                <w:color w:val="000000"/>
              </w:rPr>
              <w:t xml:space="preserve">características propias </w:t>
            </w:r>
            <w:r w:rsidRPr="00AE72BF">
              <w:rPr>
                <w:rFonts w:ascii="Verdana" w:eastAsia="Arial" w:hAnsi="Verdana" w:cs="Arial"/>
                <w:color w:val="000000"/>
              </w:rPr>
              <w:t>de la concesión, en la medida en que el particular asume la operación y explotación de una actividad económica de titularidad pública, percibe los ingresos derivados de su eje</w:t>
            </w:r>
            <w:r>
              <w:rPr>
                <w:rFonts w:ascii="Verdana" w:eastAsia="Arial" w:hAnsi="Verdana" w:cs="Arial"/>
                <w:color w:val="000000"/>
              </w:rPr>
              <w:t xml:space="preserve">rcicio y, a su vez, remunera a los Departamentos </w:t>
            </w:r>
            <w:r w:rsidRPr="00AE72BF">
              <w:rPr>
                <w:rFonts w:ascii="Verdana" w:eastAsia="Arial" w:hAnsi="Verdana" w:cs="Arial"/>
                <w:color w:val="000000"/>
              </w:rPr>
              <w:t xml:space="preserve">mediante las rentas </w:t>
            </w:r>
            <w:r>
              <w:rPr>
                <w:rFonts w:ascii="Verdana" w:eastAsia="Arial" w:hAnsi="Verdana" w:cs="Arial"/>
                <w:color w:val="000000"/>
              </w:rPr>
              <w:t xml:space="preserve">generadas por </w:t>
            </w:r>
            <w:r w:rsidRPr="00AE72BF">
              <w:rPr>
                <w:rFonts w:ascii="Verdana" w:eastAsia="Arial" w:hAnsi="Verdana" w:cs="Arial"/>
                <w:color w:val="000000"/>
              </w:rPr>
              <w:t>el monopolio. Sin embargo, no puede asimilarse en sentido estricto al contrato de concesión regulado en el numeral 4 del artículo 32 de la Ley 80 de 1993, por cuanto no tiene por objeto la prestación de un servicio público o la construcción, operación o mantenimiento de una obra pública, sino el ejercicio de un monopolio rentístico sometido a un régimen constitucional y legal especial.</w:t>
            </w:r>
          </w:p>
          <w:p w14:paraId="46815B63" w14:textId="77777777" w:rsidR="00C637D2" w:rsidRDefault="00C637D2" w:rsidP="00C406A3">
            <w:pPr>
              <w:spacing w:after="120" w:line="276" w:lineRule="auto"/>
              <w:ind w:firstLine="709"/>
              <w:jc w:val="both"/>
              <w:rPr>
                <w:rFonts w:ascii="Verdana" w:eastAsia="Arial" w:hAnsi="Verdana" w:cs="Arial"/>
                <w:color w:val="000000"/>
              </w:rPr>
            </w:pPr>
            <w:r>
              <w:rPr>
                <w:rFonts w:ascii="Verdana" w:eastAsia="Arial" w:hAnsi="Verdana" w:cs="Arial"/>
                <w:color w:val="000000"/>
              </w:rPr>
              <w:t>En consecuencia</w:t>
            </w:r>
            <w:r w:rsidRPr="00AE72BF">
              <w:rPr>
                <w:rFonts w:ascii="Verdana" w:eastAsia="Arial" w:hAnsi="Verdana" w:cs="Arial"/>
                <w:color w:val="000000"/>
              </w:rPr>
              <w:t xml:space="preserve">, se trata de una concesión </w:t>
            </w:r>
            <w:r w:rsidRPr="00686594">
              <w:rPr>
                <w:rFonts w:ascii="Verdana" w:eastAsia="Arial" w:hAnsi="Verdana" w:cs="Arial"/>
                <w:i/>
                <w:color w:val="000000"/>
              </w:rPr>
              <w:t>sui generis</w:t>
            </w:r>
            <w:r w:rsidRPr="00AE72BF">
              <w:rPr>
                <w:rFonts w:ascii="Verdana" w:eastAsia="Arial" w:hAnsi="Verdana" w:cs="Arial"/>
                <w:color w:val="000000"/>
              </w:rPr>
              <w:t>, propia del r</w:t>
            </w:r>
            <w:r>
              <w:rPr>
                <w:rFonts w:ascii="Verdana" w:eastAsia="Arial" w:hAnsi="Verdana" w:cs="Arial"/>
                <w:color w:val="000000"/>
              </w:rPr>
              <w:t>égimen de monopolios rentísticos definido en el artículo 336 de la Constitución Política y la Ley 1816 de 2016, caracterizada por: a</w:t>
            </w:r>
            <w:r w:rsidRPr="00AE72BF">
              <w:rPr>
                <w:rFonts w:ascii="Verdana" w:eastAsia="Arial" w:hAnsi="Verdana" w:cs="Arial"/>
                <w:color w:val="000000"/>
              </w:rPr>
              <w:t>) la reserva legal de la actividad en cabeza</w:t>
            </w:r>
            <w:r>
              <w:rPr>
                <w:rFonts w:ascii="Verdana" w:eastAsia="Arial" w:hAnsi="Verdana" w:cs="Arial"/>
                <w:color w:val="000000"/>
              </w:rPr>
              <w:t xml:space="preserve"> del departamento; </w:t>
            </w:r>
            <w:r w:rsidRPr="00AE72BF">
              <w:rPr>
                <w:rFonts w:ascii="Verdana" w:eastAsia="Arial" w:hAnsi="Verdana" w:cs="Arial"/>
                <w:color w:val="000000"/>
              </w:rPr>
              <w:t xml:space="preserve">ii) la transferencia </w:t>
            </w:r>
            <w:r>
              <w:rPr>
                <w:rFonts w:ascii="Verdana" w:eastAsia="Arial" w:hAnsi="Verdana" w:cs="Arial"/>
                <w:color w:val="000000"/>
              </w:rPr>
              <w:t xml:space="preserve">solo </w:t>
            </w:r>
            <w:r w:rsidRPr="00AE72BF">
              <w:rPr>
                <w:rFonts w:ascii="Verdana" w:eastAsia="Arial" w:hAnsi="Verdana" w:cs="Arial"/>
                <w:color w:val="000000"/>
              </w:rPr>
              <w:t>del ejercicio del monopo</w:t>
            </w:r>
            <w:r>
              <w:rPr>
                <w:rFonts w:ascii="Verdana" w:eastAsia="Arial" w:hAnsi="Verdana" w:cs="Arial"/>
                <w:color w:val="000000"/>
              </w:rPr>
              <w:t xml:space="preserve">lio, mas no de su titularidad; </w:t>
            </w:r>
            <w:r w:rsidRPr="00AE72BF">
              <w:rPr>
                <w:rFonts w:ascii="Verdana" w:eastAsia="Arial" w:hAnsi="Verdana" w:cs="Arial"/>
                <w:color w:val="000000"/>
              </w:rPr>
              <w:t>iii) la sujeción a reglas especiales en materia de selección, duració</w:t>
            </w:r>
            <w:r>
              <w:rPr>
                <w:rFonts w:ascii="Verdana" w:eastAsia="Arial" w:hAnsi="Verdana" w:cs="Arial"/>
                <w:color w:val="000000"/>
              </w:rPr>
              <w:t xml:space="preserve">n, prórrogas </w:t>
            </w:r>
            <w:r w:rsidRPr="00A76DF5">
              <w:rPr>
                <w:rFonts w:ascii="Verdana" w:eastAsia="Arial" w:hAnsi="Verdana" w:cs="Arial"/>
                <w:color w:val="000000"/>
              </w:rPr>
              <w:t>-entre 5 o 10 años, prorrogables hasta por la mitad del tiempo inicial-</w:t>
            </w:r>
            <w:r w:rsidRPr="003C182D">
              <w:rPr>
                <w:rFonts w:ascii="Verdana" w:eastAsia="Arial" w:hAnsi="Verdana" w:cs="Arial"/>
                <w:color w:val="000000"/>
              </w:rPr>
              <w:t xml:space="preserve"> y remuneración</w:t>
            </w:r>
            <w:r>
              <w:rPr>
                <w:rFonts w:ascii="Verdana" w:eastAsia="Arial" w:hAnsi="Verdana" w:cs="Arial"/>
                <w:color w:val="000000"/>
              </w:rPr>
              <w:t xml:space="preserve">; y </w:t>
            </w:r>
            <w:r w:rsidRPr="00AE72BF">
              <w:rPr>
                <w:rFonts w:ascii="Verdana" w:eastAsia="Arial" w:hAnsi="Verdana" w:cs="Arial"/>
                <w:color w:val="000000"/>
              </w:rPr>
              <w:t xml:space="preserve">iv) </w:t>
            </w:r>
            <w:r>
              <w:rPr>
                <w:rFonts w:ascii="Verdana" w:eastAsia="Arial" w:hAnsi="Verdana" w:cs="Arial"/>
                <w:color w:val="000000"/>
              </w:rPr>
              <w:t xml:space="preserve">el fin </w:t>
            </w:r>
            <w:r w:rsidRPr="00AE72BF">
              <w:rPr>
                <w:rFonts w:ascii="Verdana" w:eastAsia="Arial" w:hAnsi="Verdana" w:cs="Arial"/>
                <w:color w:val="000000"/>
              </w:rPr>
              <w:t>primordial de garantizar ingresos fiscales para la entidad territorial</w:t>
            </w:r>
            <w:r>
              <w:rPr>
                <w:rFonts w:ascii="Verdana" w:eastAsia="Arial" w:hAnsi="Verdana" w:cs="Arial"/>
                <w:color w:val="000000"/>
              </w:rPr>
              <w:t>, que está</w:t>
            </w:r>
            <w:r w:rsidRPr="00672B45">
              <w:rPr>
                <w:rFonts w:ascii="Arial" w:eastAsia="Times New Roman" w:hAnsi="Arial" w:cs="Arial"/>
                <w:color w:val="000000"/>
                <w:sz w:val="21"/>
                <w:szCs w:val="21"/>
              </w:rPr>
              <w:t xml:space="preserve"> </w:t>
            </w:r>
            <w:r>
              <w:rPr>
                <w:rFonts w:ascii="Arial" w:eastAsia="Times New Roman" w:hAnsi="Arial" w:cs="Arial"/>
                <w:color w:val="000000"/>
                <w:sz w:val="21"/>
                <w:szCs w:val="21"/>
              </w:rPr>
              <w:t>a</w:t>
            </w:r>
            <w:r w:rsidRPr="00672B45">
              <w:rPr>
                <w:rFonts w:ascii="Verdana" w:eastAsia="Arial" w:hAnsi="Verdana" w:cs="Arial"/>
                <w:color w:val="000000"/>
              </w:rPr>
              <w:t xml:space="preserve">sociada a la financiación preferente de los servicios de educación y salud y al de garantizar la </w:t>
            </w:r>
            <w:r>
              <w:rPr>
                <w:rFonts w:ascii="Verdana" w:eastAsia="Arial" w:hAnsi="Verdana" w:cs="Arial"/>
                <w:color w:val="000000"/>
              </w:rPr>
              <w:t xml:space="preserve">protección de la salud pública. </w:t>
            </w:r>
          </w:p>
          <w:p w14:paraId="6B9BB12A" w14:textId="77777777" w:rsidR="00C637D2" w:rsidRPr="00AE72BF" w:rsidRDefault="00C637D2" w:rsidP="00C406A3">
            <w:pPr>
              <w:spacing w:after="120" w:line="276" w:lineRule="auto"/>
              <w:ind w:firstLine="709"/>
              <w:jc w:val="both"/>
              <w:rPr>
                <w:rFonts w:ascii="Verdana" w:eastAsia="Arial" w:hAnsi="Verdana" w:cs="Arial"/>
                <w:color w:val="000000"/>
              </w:rPr>
            </w:pPr>
            <w:r>
              <w:rPr>
                <w:rFonts w:ascii="Verdana" w:eastAsia="Arial" w:hAnsi="Verdana" w:cs="Arial"/>
                <w:color w:val="000000"/>
              </w:rPr>
              <w:lastRenderedPageBreak/>
              <w:t>Así</w:t>
            </w:r>
            <w:r w:rsidRPr="00AE72BF">
              <w:rPr>
                <w:rFonts w:ascii="Verdana" w:eastAsia="Arial" w:hAnsi="Verdana" w:cs="Arial"/>
                <w:color w:val="000000"/>
              </w:rPr>
              <w:t>, aunque el contrato comparte elemento</w:t>
            </w:r>
            <w:r>
              <w:rPr>
                <w:rFonts w:ascii="Verdana" w:eastAsia="Arial" w:hAnsi="Verdana" w:cs="Arial"/>
                <w:color w:val="000000"/>
              </w:rPr>
              <w:t>s funcionales con la concesión prevista en la Ley 80 de 1993</w:t>
            </w:r>
            <w:r w:rsidRPr="00AE72BF">
              <w:rPr>
                <w:rFonts w:ascii="Verdana" w:eastAsia="Arial" w:hAnsi="Verdana" w:cs="Arial"/>
                <w:color w:val="000000"/>
              </w:rPr>
              <w:t>, su naturaleza jurídica se explica a partir del régimen del monopolio como arbitrio rentístico y no del Estatuto General de Contratación en su regulación ordinaria de las concesiones.</w:t>
            </w:r>
          </w:p>
          <w:p w14:paraId="4EE88E0B" w14:textId="77777777" w:rsidR="00C637D2" w:rsidRPr="00A76DF5" w:rsidRDefault="00C637D2" w:rsidP="00C406A3">
            <w:pPr>
              <w:spacing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p>
        </w:tc>
      </w:tr>
    </w:tbl>
    <w:p w14:paraId="30D1E0B9" w14:textId="77777777" w:rsidR="00C637D2" w:rsidRPr="00B57A1B" w:rsidRDefault="00C637D2" w:rsidP="00C637D2">
      <w:pPr>
        <w:spacing w:after="0" w:line="276" w:lineRule="auto"/>
        <w:jc w:val="both"/>
        <w:rPr>
          <w:rFonts w:ascii="Verdana" w:eastAsia="Calibri" w:hAnsi="Verdana" w:cs="Arial"/>
          <w:bCs/>
          <w:color w:val="000000" w:themeColor="text1"/>
        </w:rPr>
      </w:pPr>
    </w:p>
    <w:p w14:paraId="7EA6D9B7" w14:textId="77777777" w:rsidR="00C637D2" w:rsidRPr="00B57A1B" w:rsidRDefault="00C637D2" w:rsidP="00C637D2">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1FB50BE" w14:textId="77777777" w:rsidR="00C637D2" w:rsidRPr="00B57A1B" w:rsidRDefault="00C637D2" w:rsidP="00C637D2">
      <w:pPr>
        <w:spacing w:after="0" w:line="276" w:lineRule="auto"/>
        <w:rPr>
          <w:rFonts w:ascii="Verdana" w:eastAsia="Calibri" w:hAnsi="Verdana" w:cs="Times New Roman"/>
          <w:b/>
          <w:bCs/>
          <w:lang w:val="es-ES"/>
        </w:rPr>
      </w:pPr>
    </w:p>
    <w:p w14:paraId="01556E41" w14:textId="77777777" w:rsidR="00C637D2" w:rsidRPr="00B57A1B" w:rsidRDefault="00C637D2" w:rsidP="00C637D2">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4573764D" w14:textId="77777777" w:rsidR="00C637D2" w:rsidRDefault="00C637D2" w:rsidP="00C637D2">
      <w:pPr>
        <w:spacing w:after="0" w:line="276" w:lineRule="auto"/>
        <w:jc w:val="both"/>
        <w:rPr>
          <w:rFonts w:ascii="Verdana" w:eastAsia="Calibri" w:hAnsi="Verdana" w:cs="Arial"/>
          <w:lang w:val="es-ES"/>
        </w:rPr>
      </w:pPr>
      <w:bookmarkStart w:id="1" w:name="_Hlk78820161"/>
    </w:p>
    <w:p w14:paraId="798E34C6" w14:textId="77777777" w:rsidR="00C637D2" w:rsidRPr="00CB68C5" w:rsidRDefault="00C637D2" w:rsidP="00C637D2">
      <w:pPr>
        <w:spacing w:after="120" w:line="276" w:lineRule="auto"/>
        <w:jc w:val="both"/>
        <w:rPr>
          <w:rFonts w:ascii="Verdana" w:hAnsi="Verdana" w:cs="Arial"/>
        </w:rPr>
      </w:pPr>
      <w:r w:rsidRPr="003C1E50">
        <w:rPr>
          <w:rFonts w:ascii="Verdana" w:hAnsi="Verdana" w:cs="Arial"/>
          <w:lang w:val="es-ES"/>
        </w:rPr>
        <w:t xml:space="preserve">i. </w:t>
      </w:r>
      <w:r w:rsidRPr="00CB68C5">
        <w:rPr>
          <w:rFonts w:ascii="Verdana" w:eastAsia="Calibri" w:hAnsi="Verdana" w:cs="Arial"/>
          <w:lang w:val="es-ES"/>
        </w:rPr>
        <w:t>El Estatuto General de Contratación de la Administración Pública</w:t>
      </w:r>
      <w:r>
        <w:rPr>
          <w:rFonts w:ascii="Verdana" w:eastAsia="Calibri" w:hAnsi="Verdana" w:cs="Arial"/>
          <w:lang w:val="es-ES"/>
        </w:rPr>
        <w:t xml:space="preserve"> – en adelante EGCAP –</w:t>
      </w:r>
      <w:r w:rsidRPr="00CB68C5">
        <w:rPr>
          <w:rFonts w:ascii="Verdana" w:eastAsia="Calibri" w:hAnsi="Verdana" w:cs="Arial"/>
          <w:lang w:val="es-ES"/>
        </w:rPr>
        <w:t xml:space="preserve">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el inciso prim</w:t>
      </w:r>
      <w:r>
        <w:rPr>
          <w:rFonts w:ascii="Verdana" w:hAnsi="Verdana" w:cs="Arial"/>
        </w:rPr>
        <w:t xml:space="preserve">ero del artículo 13 dispone: </w:t>
      </w:r>
      <w:r w:rsidRPr="00CB68C5">
        <w:rPr>
          <w:rFonts w:ascii="Verdana" w:hAnsi="Verdana" w:cs="Arial"/>
        </w:rPr>
        <w:t xml:space="preserve">“Los contratos que celebren las entidades a que se refiere el artículo 2o. del presente estatuto se regirán por las disposiciones comerciales y civiles pertinentes, salvo en las materias particularmente reguladas en esta ley”. </w:t>
      </w:r>
    </w:p>
    <w:p w14:paraId="5F8B7C33" w14:textId="77777777" w:rsidR="00C637D2" w:rsidRPr="00CB68C5" w:rsidRDefault="00C637D2" w:rsidP="00C637D2">
      <w:pPr>
        <w:spacing w:after="120" w:line="276" w:lineRule="auto"/>
        <w:ind w:firstLine="709"/>
        <w:jc w:val="both"/>
        <w:rPr>
          <w:rFonts w:ascii="Verdana" w:hAnsi="Verdana" w:cs="Arial"/>
        </w:rPr>
      </w:pPr>
      <w:r w:rsidRPr="00CB68C5">
        <w:rPr>
          <w:rFonts w:ascii="Verdana" w:hAnsi="Verdana" w:cs="Arial"/>
        </w:rPr>
        <w:t>Dicha idea también se reitera en el EGCAP considerando que</w:t>
      </w:r>
      <w:r>
        <w:rPr>
          <w:rFonts w:ascii="Verdana" w:hAnsi="Verdana" w:cs="Arial"/>
        </w:rPr>
        <w:t>:</w:t>
      </w:r>
      <w:r w:rsidRPr="00CB68C5">
        <w:rPr>
          <w:rFonts w:ascii="Verdana" w:hAnsi="Verdana" w:cs="Arial"/>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05289C81" w14:textId="77777777" w:rsidR="00C637D2" w:rsidRPr="00CB68C5" w:rsidRDefault="00C637D2" w:rsidP="00C637D2">
      <w:pPr>
        <w:spacing w:after="0" w:line="276" w:lineRule="auto"/>
        <w:ind w:firstLine="709"/>
        <w:jc w:val="both"/>
        <w:rPr>
          <w:rFonts w:ascii="Verdana" w:hAnsi="Verdana" w:cs="Arial"/>
        </w:rPr>
      </w:pPr>
      <w:r w:rsidRPr="00CB68C5">
        <w:rPr>
          <w:rFonts w:ascii="Verdana" w:hAnsi="Verdana" w:cs="Arial"/>
        </w:rPr>
        <w:t xml:space="preserve">De esta manera, los contratos de las entidades sometidas al </w:t>
      </w:r>
      <w:r>
        <w:rPr>
          <w:rFonts w:ascii="Verdana" w:hAnsi="Verdana" w:cs="Arial"/>
        </w:rPr>
        <w:t>EGCAP</w:t>
      </w:r>
      <w:r w:rsidRPr="00CB68C5">
        <w:rPr>
          <w:rFonts w:ascii="Verdana" w:hAnsi="Verdana" w:cs="Arial"/>
        </w:rPr>
        <w:t xml:space="preserve"> se rigen generalmente por el derecho privado y excepcionalmente</w:t>
      </w:r>
      <w:r>
        <w:rPr>
          <w:rFonts w:ascii="Verdana" w:hAnsi="Verdana" w:cs="Arial"/>
        </w:rPr>
        <w:t>,</w:t>
      </w:r>
      <w:r w:rsidRPr="00CB68C5">
        <w:rPr>
          <w:rFonts w:ascii="Verdana" w:hAnsi="Verdana" w:cs="Arial"/>
        </w:rPr>
        <w:t xml:space="preserve"> por el derecho </w:t>
      </w:r>
      <w:r w:rsidRPr="00CB68C5">
        <w:rPr>
          <w:rFonts w:ascii="Verdana" w:hAnsi="Verdana" w:cs="Arial"/>
        </w:rPr>
        <w:lastRenderedPageBreak/>
        <w:t>público, pues las normas civiles y comerciales son el derecho común de los contratos estatales</w:t>
      </w:r>
      <w:r w:rsidRPr="00CB68C5">
        <w:rPr>
          <w:rStyle w:val="Refdenotaalpie"/>
          <w:rFonts w:ascii="Verdana" w:hAnsi="Verdana" w:cs="Arial"/>
        </w:rPr>
        <w:footnoteReference w:id="1"/>
      </w:r>
      <w:r w:rsidRPr="00CB68C5">
        <w:rPr>
          <w:rFonts w:ascii="Verdana" w:hAnsi="Verdana" w:cs="Arial"/>
        </w:rPr>
        <w:t>. Para la doctrina, la mixtura del régimen contractual:</w:t>
      </w:r>
    </w:p>
    <w:p w14:paraId="0208AA87" w14:textId="77777777" w:rsidR="00C637D2" w:rsidRPr="00CB68C5" w:rsidRDefault="00C637D2" w:rsidP="00C637D2">
      <w:pPr>
        <w:spacing w:after="0" w:line="276" w:lineRule="auto"/>
        <w:ind w:firstLine="709"/>
        <w:jc w:val="both"/>
        <w:rPr>
          <w:rFonts w:ascii="Verdana" w:hAnsi="Verdana" w:cs="Arial"/>
        </w:rPr>
      </w:pPr>
    </w:p>
    <w:p w14:paraId="2182B039" w14:textId="77777777" w:rsidR="00C637D2" w:rsidRPr="00E85787" w:rsidRDefault="00C637D2" w:rsidP="00C637D2">
      <w:pPr>
        <w:spacing w:after="0" w:line="240" w:lineRule="auto"/>
        <w:ind w:left="709" w:right="709"/>
        <w:jc w:val="both"/>
        <w:rPr>
          <w:rFonts w:ascii="Verdana" w:hAnsi="Verdana" w:cs="Arial"/>
          <w:sz w:val="20"/>
          <w:szCs w:val="20"/>
        </w:rPr>
      </w:pPr>
      <w:r w:rsidRPr="00E85787">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2DAF3082" w14:textId="77777777" w:rsidR="00C637D2" w:rsidRPr="00E85787" w:rsidRDefault="00C637D2" w:rsidP="00C637D2">
      <w:pPr>
        <w:spacing w:after="0" w:line="240" w:lineRule="auto"/>
        <w:ind w:right="709"/>
        <w:jc w:val="both"/>
        <w:rPr>
          <w:rFonts w:ascii="Verdana" w:hAnsi="Verdana" w:cs="Arial"/>
          <w:sz w:val="20"/>
          <w:szCs w:val="20"/>
        </w:rPr>
      </w:pPr>
      <w:r w:rsidRPr="00E85787">
        <w:rPr>
          <w:rFonts w:ascii="Verdana" w:hAnsi="Verdana" w:cs="Arial"/>
          <w:sz w:val="20"/>
          <w:szCs w:val="20"/>
        </w:rPr>
        <w:tab/>
      </w:r>
    </w:p>
    <w:p w14:paraId="34E4C5BE" w14:textId="77777777" w:rsidR="00C637D2" w:rsidRPr="00E85787" w:rsidRDefault="00C637D2" w:rsidP="00C637D2">
      <w:pPr>
        <w:spacing w:after="0" w:line="240" w:lineRule="auto"/>
        <w:ind w:left="709" w:right="709"/>
        <w:jc w:val="both"/>
        <w:rPr>
          <w:rFonts w:ascii="Verdana" w:hAnsi="Verdana" w:cs="Arial"/>
          <w:sz w:val="20"/>
          <w:szCs w:val="20"/>
        </w:rPr>
      </w:pPr>
      <w:r w:rsidRPr="00E85787">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E85787">
        <w:rPr>
          <w:rStyle w:val="Refdenotaalpie"/>
          <w:rFonts w:ascii="Verdana" w:hAnsi="Verdana" w:cs="Arial"/>
          <w:sz w:val="20"/>
          <w:szCs w:val="20"/>
        </w:rPr>
        <w:footnoteReference w:id="2"/>
      </w:r>
      <w:r w:rsidRPr="00E85787">
        <w:rPr>
          <w:rFonts w:ascii="Verdana" w:hAnsi="Verdana" w:cs="Arial"/>
          <w:sz w:val="20"/>
          <w:szCs w:val="20"/>
        </w:rPr>
        <w:t xml:space="preserve">. </w:t>
      </w:r>
    </w:p>
    <w:p w14:paraId="4782CDAF" w14:textId="77777777" w:rsidR="00C637D2" w:rsidRPr="00CB68C5" w:rsidRDefault="00C637D2" w:rsidP="00C637D2">
      <w:pPr>
        <w:spacing w:after="0" w:line="276" w:lineRule="auto"/>
        <w:ind w:left="709" w:right="709"/>
        <w:jc w:val="both"/>
        <w:rPr>
          <w:rFonts w:ascii="Verdana" w:hAnsi="Verdana" w:cs="Arial"/>
        </w:rPr>
      </w:pPr>
      <w:r w:rsidRPr="00CB68C5">
        <w:rPr>
          <w:rFonts w:ascii="Verdana" w:hAnsi="Verdana" w:cs="Arial"/>
        </w:rPr>
        <w:t xml:space="preserve"> </w:t>
      </w:r>
    </w:p>
    <w:p w14:paraId="00198D3E" w14:textId="77777777" w:rsidR="00C637D2" w:rsidRDefault="00C637D2" w:rsidP="00C637D2">
      <w:pPr>
        <w:spacing w:after="12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r>
        <w:rPr>
          <w:rFonts w:ascii="Verdana" w:hAnsi="Verdana" w:cs="Arial"/>
        </w:rPr>
        <w:tab/>
      </w:r>
    </w:p>
    <w:p w14:paraId="6F4C2EC1" w14:textId="77777777" w:rsidR="00C637D2" w:rsidRDefault="00C637D2" w:rsidP="00C637D2">
      <w:pPr>
        <w:spacing w:after="0" w:line="276" w:lineRule="auto"/>
        <w:jc w:val="both"/>
        <w:rPr>
          <w:rFonts w:ascii="Verdana" w:hAnsi="Verdana" w:cs="Arial"/>
        </w:rPr>
      </w:pPr>
      <w:r>
        <w:rPr>
          <w:rFonts w:ascii="Verdana" w:hAnsi="Verdana" w:cs="Arial"/>
        </w:rPr>
        <w:tab/>
      </w:r>
      <w:r w:rsidRPr="00CB68C5">
        <w:rPr>
          <w:rFonts w:ascii="Verdana" w:hAnsi="Verdana" w:cs="Arial"/>
        </w:rPr>
        <w:t xml:space="preserve">Esta precisión es importante, porque </w:t>
      </w:r>
      <w:r>
        <w:rPr>
          <w:rFonts w:ascii="Verdana" w:hAnsi="Verdana" w:cs="Arial"/>
        </w:rPr>
        <w:t xml:space="preserve">el grueso de los </w:t>
      </w:r>
      <w:r w:rsidRPr="00082689">
        <w:rPr>
          <w:rFonts w:ascii="Verdana" w:hAnsi="Verdana" w:cs="Arial"/>
          <w:i/>
          <w:iCs/>
        </w:rPr>
        <w:t>contratos típicos</w:t>
      </w:r>
      <w:r>
        <w:rPr>
          <w:rFonts w:ascii="Verdana" w:hAnsi="Verdana" w:cs="Arial"/>
        </w:rPr>
        <w:t xml:space="preserve"> –v. gr. compraventa, arrendamiento, mutuo, comodato, depósito, suministro, transporte, etc.–</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 y</w:t>
      </w:r>
      <w:r>
        <w:rPr>
          <w:rFonts w:ascii="Verdana" w:hAnsi="Verdana" w:cs="Arial"/>
        </w:rPr>
        <w:t xml:space="preserve"> en el Código de Comercio, por lo que</w:t>
      </w:r>
      <w:r w:rsidRPr="00CB68C5">
        <w:rPr>
          <w:rFonts w:ascii="Verdana" w:hAnsi="Verdana" w:cs="Arial"/>
        </w:rPr>
        <w:t xml:space="preserve"> encuentra</w:t>
      </w:r>
      <w:r>
        <w:rPr>
          <w:rFonts w:ascii="Verdana" w:hAnsi="Verdana" w:cs="Arial"/>
        </w:rPr>
        <w:t>n</w:t>
      </w:r>
      <w:r w:rsidRPr="00CB68C5">
        <w:rPr>
          <w:rFonts w:ascii="Verdana" w:hAnsi="Verdana" w:cs="Arial"/>
        </w:rPr>
        <w:t xml:space="preserve"> gran parte de su régimen jurídico</w:t>
      </w:r>
      <w:r>
        <w:rPr>
          <w:rFonts w:ascii="Verdana" w:hAnsi="Verdana" w:cs="Arial"/>
        </w:rPr>
        <w:t xml:space="preserve">. Sin embargo, no obsta para la existencia de </w:t>
      </w:r>
      <w:r w:rsidRPr="009D4B09">
        <w:rPr>
          <w:rFonts w:ascii="Verdana" w:hAnsi="Verdana" w:cs="Arial"/>
          <w:i/>
          <w:iCs/>
        </w:rPr>
        <w:t>contratos atípicos</w:t>
      </w:r>
      <w:r>
        <w:rPr>
          <w:rFonts w:ascii="Verdana" w:hAnsi="Verdana" w:cs="Arial"/>
        </w:rPr>
        <w:t>, pues –aunque no corresponden a un marco legal predefinido– en ellos obra con mayor alcance la libertad contractual. Como explica la doctrina:</w:t>
      </w:r>
    </w:p>
    <w:p w14:paraId="58AA9AE6" w14:textId="77777777" w:rsidR="00C637D2" w:rsidRPr="00145C2B" w:rsidRDefault="00C637D2" w:rsidP="00C637D2">
      <w:pPr>
        <w:spacing w:after="0" w:line="276" w:lineRule="auto"/>
        <w:jc w:val="both"/>
        <w:rPr>
          <w:rFonts w:ascii="Verdana" w:hAnsi="Verdana" w:cs="Arial"/>
          <w:sz w:val="20"/>
          <w:szCs w:val="20"/>
        </w:rPr>
      </w:pPr>
    </w:p>
    <w:p w14:paraId="240549B1" w14:textId="77777777" w:rsidR="00C637D2" w:rsidRPr="00145C2B" w:rsidRDefault="00C637D2" w:rsidP="00C637D2">
      <w:pPr>
        <w:spacing w:after="0" w:line="240" w:lineRule="auto"/>
        <w:ind w:left="709" w:right="709"/>
        <w:jc w:val="both"/>
        <w:rPr>
          <w:rFonts w:ascii="Verdana" w:hAnsi="Verdana" w:cs="Arial"/>
          <w:sz w:val="20"/>
          <w:szCs w:val="20"/>
        </w:rPr>
      </w:pPr>
      <w:r w:rsidRPr="00145C2B">
        <w:rPr>
          <w:rFonts w:ascii="Verdana" w:hAnsi="Verdana" w:cs="Arial"/>
          <w:sz w:val="20"/>
          <w:szCs w:val="20"/>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sidRPr="00145C2B">
        <w:rPr>
          <w:rStyle w:val="Refdenotaalpie"/>
          <w:rFonts w:ascii="Verdana" w:hAnsi="Verdana" w:cs="Arial"/>
          <w:sz w:val="20"/>
          <w:szCs w:val="20"/>
        </w:rPr>
        <w:footnoteReference w:id="3"/>
      </w:r>
      <w:r w:rsidRPr="00145C2B">
        <w:rPr>
          <w:rFonts w:ascii="Verdana" w:hAnsi="Verdana" w:cs="Arial"/>
          <w:sz w:val="20"/>
          <w:szCs w:val="20"/>
        </w:rPr>
        <w:t>.</w:t>
      </w:r>
    </w:p>
    <w:p w14:paraId="79E8C07F" w14:textId="77777777" w:rsidR="00C637D2" w:rsidRDefault="00C637D2" w:rsidP="00C637D2">
      <w:pPr>
        <w:spacing w:after="0" w:line="276" w:lineRule="auto"/>
        <w:jc w:val="both"/>
        <w:rPr>
          <w:rFonts w:ascii="Verdana" w:hAnsi="Verdana" w:cs="Arial"/>
        </w:rPr>
      </w:pPr>
    </w:p>
    <w:p w14:paraId="712DC6FD" w14:textId="77777777" w:rsidR="00C637D2" w:rsidRPr="00D239E3" w:rsidRDefault="00C637D2" w:rsidP="00C637D2">
      <w:pPr>
        <w:spacing w:after="120" w:line="276" w:lineRule="auto"/>
        <w:ind w:firstLine="567"/>
        <w:jc w:val="both"/>
        <w:rPr>
          <w:rFonts w:ascii="Verdana" w:eastAsia="Calibri" w:hAnsi="Verdana"/>
          <w:color w:val="000000" w:themeColor="text1"/>
          <w:lang w:val="es-ES_tradnl"/>
        </w:rPr>
      </w:pPr>
      <w:r w:rsidRPr="005F70F5">
        <w:rPr>
          <w:rFonts w:ascii="Verdana" w:eastAsia="Calibri" w:hAnsi="Verdana"/>
          <w:color w:val="000000" w:themeColor="text1"/>
          <w:lang w:val="es-ES_tradnl"/>
        </w:rPr>
        <w:t xml:space="preserve">El inciso primero del </w:t>
      </w:r>
      <w:r>
        <w:rPr>
          <w:rFonts w:ascii="Verdana" w:eastAsia="Calibri" w:hAnsi="Verdana"/>
          <w:color w:val="000000" w:themeColor="text1"/>
          <w:lang w:val="es-ES_tradnl"/>
        </w:rPr>
        <w:t xml:space="preserve">precitado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por lo que las partes están facultadas para suscribir </w:t>
      </w:r>
      <w:r w:rsidRPr="005F70F5">
        <w:rPr>
          <w:rFonts w:ascii="Verdana" w:eastAsia="Calibri" w:hAnsi="Verdana"/>
          <w:i/>
          <w:iCs/>
          <w:color w:val="000000" w:themeColor="text1"/>
          <w:lang w:val="es-ES_tradnl"/>
        </w:rPr>
        <w:t>contratos mixtos</w:t>
      </w:r>
      <w:r w:rsidRPr="005F70F5">
        <w:rPr>
          <w:rFonts w:ascii="Verdana" w:eastAsia="Calibri" w:hAnsi="Verdana"/>
          <w:color w:val="000000" w:themeColor="text1"/>
          <w:lang w:val="es-ES_tradnl"/>
        </w:rPr>
        <w:t xml:space="preserve">. Como una forma de contratación atípica, estos se caracterizan por acumular prestaciones de varios contratos nominados para satisfacer una necesidad común, es decir,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Su finalidad económica es única y condensa el propósito perseguido por los contratantes. Las diversas </w:t>
      </w:r>
      <w:r w:rsidRPr="00D239E3">
        <w:rPr>
          <w:rFonts w:ascii="Verdana" w:eastAsia="Calibri" w:hAnsi="Verdana"/>
          <w:color w:val="000000" w:themeColor="text1"/>
          <w:lang w:val="es-ES_tradnl"/>
        </w:rPr>
        <w:t>prestaciones, aunque corresponden a diversos contratos típicos, se subordinan a esa finalidad e intención de las partes”</w:t>
      </w:r>
      <w:r w:rsidRPr="00D239E3">
        <w:rPr>
          <w:rStyle w:val="Refdenotaalpie"/>
          <w:rFonts w:ascii="Verdana" w:eastAsia="Calibri" w:hAnsi="Verdana"/>
          <w:color w:val="000000" w:themeColor="text1"/>
          <w:lang w:val="es-ES_tradnl"/>
        </w:rPr>
        <w:footnoteReference w:id="4"/>
      </w:r>
      <w:r w:rsidRPr="00D239E3">
        <w:rPr>
          <w:rFonts w:ascii="Verdana" w:eastAsia="Calibri" w:hAnsi="Verdana"/>
          <w:color w:val="000000" w:themeColor="text1"/>
          <w:lang w:val="es-ES_tradnl"/>
        </w:rPr>
        <w:t xml:space="preserve">. </w:t>
      </w:r>
    </w:p>
    <w:p w14:paraId="0437C5AF" w14:textId="77777777" w:rsidR="00C637D2" w:rsidRDefault="00C637D2" w:rsidP="00C637D2">
      <w:pPr>
        <w:spacing w:after="0" w:line="276" w:lineRule="auto"/>
        <w:ind w:firstLine="709"/>
        <w:jc w:val="both"/>
        <w:rPr>
          <w:rFonts w:ascii="Verdana" w:eastAsia="Calibri" w:hAnsi="Verdana"/>
          <w:color w:val="000000" w:themeColor="text1"/>
          <w:lang w:val="es-ES_tradnl"/>
        </w:rPr>
      </w:pPr>
      <w:r w:rsidRPr="00D239E3">
        <w:rPr>
          <w:rFonts w:ascii="Verdana" w:eastAsia="Calibri" w:hAnsi="Verdana"/>
          <w:color w:val="000000" w:themeColor="text1"/>
        </w:rPr>
        <w:t xml:space="preserve">En este contexto, es importante diferenciar los </w:t>
      </w:r>
      <w:r>
        <w:rPr>
          <w:rFonts w:ascii="Verdana" w:eastAsia="Calibri" w:hAnsi="Verdana"/>
          <w:color w:val="000000" w:themeColor="text1"/>
          <w:sz w:val="20"/>
          <w:szCs w:val="20"/>
        </w:rPr>
        <w:t>“</w:t>
      </w:r>
      <w:r w:rsidRPr="00D239E3">
        <w:rPr>
          <w:rFonts w:ascii="Verdana" w:eastAsia="Calibri" w:hAnsi="Verdana"/>
          <w:color w:val="000000" w:themeColor="text1"/>
        </w:rPr>
        <w:t>contratos mixtos</w:t>
      </w:r>
      <w:r>
        <w:rPr>
          <w:rFonts w:ascii="Verdana" w:eastAsia="Calibri" w:hAnsi="Verdana"/>
          <w:color w:val="000000" w:themeColor="text1"/>
        </w:rPr>
        <w:t>”</w:t>
      </w:r>
      <w:r w:rsidRPr="00D239E3">
        <w:rPr>
          <w:rFonts w:ascii="Verdana" w:eastAsia="Calibri" w:hAnsi="Verdana"/>
          <w:color w:val="000000" w:themeColor="text1"/>
        </w:rPr>
        <w:t xml:space="preserve"> de las </w:t>
      </w:r>
      <w:r>
        <w:rPr>
          <w:rFonts w:ascii="Verdana" w:eastAsia="Calibri" w:hAnsi="Verdana"/>
          <w:color w:val="000000" w:themeColor="text1"/>
        </w:rPr>
        <w:t>“</w:t>
      </w:r>
      <w:r w:rsidRPr="00D239E3">
        <w:rPr>
          <w:rFonts w:ascii="Verdana" w:eastAsia="Calibri" w:hAnsi="Verdana"/>
          <w:color w:val="000000" w:themeColor="text1"/>
        </w:rPr>
        <w:t>uniones de contratos</w:t>
      </w:r>
      <w:r>
        <w:rPr>
          <w:rFonts w:ascii="Verdana" w:eastAsia="Calibri" w:hAnsi="Verdana"/>
          <w:color w:val="000000" w:themeColor="text1"/>
        </w:rPr>
        <w:t>”</w:t>
      </w:r>
      <w:r w:rsidRPr="00D239E3">
        <w:rPr>
          <w:rFonts w:ascii="Verdana" w:eastAsia="Calibri" w:hAnsi="Verdana"/>
          <w:color w:val="000000" w:themeColor="text1"/>
        </w:rPr>
        <w:t xml:space="preserve">. En el </w:t>
      </w:r>
      <w:r w:rsidRPr="00D239E3">
        <w:rPr>
          <w:rFonts w:ascii="Verdana" w:eastAsia="Calibri" w:hAnsi="Verdana"/>
          <w:i/>
          <w:iCs/>
          <w:color w:val="000000" w:themeColor="text1"/>
        </w:rPr>
        <w:t>contrato mixto</w:t>
      </w:r>
      <w:r w:rsidRPr="00D239E3">
        <w:rPr>
          <w:rFonts w:ascii="Verdana" w:eastAsia="Calibri" w:hAnsi="Verdana"/>
          <w:color w:val="000000" w:themeColor="text1"/>
        </w:rPr>
        <w:t xml:space="preserve"> existe un solo acuerdo con elementos de diversos tipos de contrato, mientras que en las </w:t>
      </w:r>
      <w:r w:rsidRPr="00D239E3">
        <w:rPr>
          <w:rFonts w:ascii="Verdana" w:eastAsia="Calibri" w:hAnsi="Verdana"/>
          <w:i/>
          <w:iCs/>
          <w:color w:val="000000" w:themeColor="text1"/>
        </w:rPr>
        <w:t>uniones de contrato</w:t>
      </w:r>
      <w:r w:rsidRPr="00D239E3">
        <w:rPr>
          <w:rFonts w:ascii="Verdana" w:eastAsia="Calibri" w:hAnsi="Verdana"/>
          <w:color w:val="000000" w:themeColor="text1"/>
        </w:rPr>
        <w:t xml:space="preserve"> cada uno de ellos mantiene su régimen y autonomía. Para esta distinción corresponde identificar la causa del contrato, es decir, el móvil para celebrarlo: si existe unidad causal corresponde a un </w:t>
      </w:r>
      <w:r>
        <w:rPr>
          <w:rFonts w:ascii="Verdana" w:eastAsia="Calibri" w:hAnsi="Verdana"/>
          <w:color w:val="000000" w:themeColor="text1"/>
          <w:sz w:val="20"/>
          <w:szCs w:val="20"/>
        </w:rPr>
        <w:t>“</w:t>
      </w:r>
      <w:r w:rsidRPr="00D239E3">
        <w:rPr>
          <w:rFonts w:ascii="Verdana" w:eastAsia="Calibri" w:hAnsi="Verdana"/>
          <w:color w:val="000000" w:themeColor="text1"/>
        </w:rPr>
        <w:t>contrato mixto</w:t>
      </w:r>
      <w:r>
        <w:rPr>
          <w:rFonts w:ascii="Verdana" w:eastAsia="Calibri" w:hAnsi="Verdana"/>
          <w:color w:val="000000" w:themeColor="text1"/>
        </w:rPr>
        <w:t>”</w:t>
      </w:r>
      <w:r w:rsidRPr="00D239E3">
        <w:rPr>
          <w:rFonts w:ascii="Verdana" w:eastAsia="Calibri" w:hAnsi="Verdana"/>
          <w:color w:val="000000" w:themeColor="text1"/>
        </w:rPr>
        <w:t xml:space="preserve">; de lo contrario, es una </w:t>
      </w:r>
      <w:r>
        <w:rPr>
          <w:rFonts w:ascii="Verdana" w:eastAsia="Calibri" w:hAnsi="Verdana"/>
          <w:color w:val="000000" w:themeColor="text1"/>
        </w:rPr>
        <w:t>“</w:t>
      </w:r>
      <w:r w:rsidRPr="00D239E3">
        <w:rPr>
          <w:rFonts w:ascii="Verdana" w:eastAsia="Calibri" w:hAnsi="Verdana"/>
          <w:color w:val="000000" w:themeColor="text1"/>
        </w:rPr>
        <w:t>unión de contratos</w:t>
      </w:r>
      <w:r>
        <w:rPr>
          <w:rFonts w:ascii="Verdana" w:eastAsia="Calibri" w:hAnsi="Verdana"/>
          <w:color w:val="000000" w:themeColor="text1"/>
        </w:rPr>
        <w:t>”</w:t>
      </w:r>
      <w:r w:rsidRPr="00D239E3">
        <w:rPr>
          <w:rStyle w:val="Refdenotaalpie"/>
          <w:rFonts w:ascii="Verdana" w:eastAsia="Calibri" w:hAnsi="Verdana"/>
          <w:color w:val="000000" w:themeColor="text1"/>
        </w:rPr>
        <w:footnoteReference w:id="5"/>
      </w:r>
      <w:r w:rsidRPr="00D239E3">
        <w:rPr>
          <w:rFonts w:ascii="Verdana" w:eastAsia="Calibri" w:hAnsi="Verdana"/>
          <w:color w:val="000000" w:themeColor="text1"/>
        </w:rPr>
        <w:t>.</w:t>
      </w:r>
      <w:r w:rsidRPr="00D239E3">
        <w:rPr>
          <w:rFonts w:ascii="Verdana" w:eastAsia="Calibri" w:hAnsi="Verdana"/>
          <w:color w:val="000000" w:themeColor="text1"/>
          <w:lang w:val="es-ES_tradnl"/>
        </w:rPr>
        <w:t xml:space="preserve"> </w:t>
      </w:r>
    </w:p>
    <w:p w14:paraId="6AA78218" w14:textId="77777777" w:rsidR="00C637D2" w:rsidRDefault="00C637D2" w:rsidP="00C637D2">
      <w:pPr>
        <w:spacing w:after="0" w:line="276" w:lineRule="auto"/>
        <w:ind w:firstLine="709"/>
        <w:jc w:val="both"/>
        <w:rPr>
          <w:rFonts w:ascii="Verdana" w:eastAsia="Calibri" w:hAnsi="Verdana"/>
          <w:color w:val="000000" w:themeColor="text1"/>
          <w:lang w:val="es-ES_tradnl"/>
        </w:rPr>
      </w:pPr>
    </w:p>
    <w:p w14:paraId="3736C369" w14:textId="77777777" w:rsidR="00C637D2" w:rsidRPr="007D35B5" w:rsidRDefault="00C637D2" w:rsidP="00C637D2">
      <w:pPr>
        <w:tabs>
          <w:tab w:val="left" w:pos="0"/>
        </w:tabs>
        <w:spacing w:after="0" w:line="276" w:lineRule="auto"/>
        <w:jc w:val="both"/>
        <w:rPr>
          <w:rFonts w:ascii="Verdana" w:eastAsia="Calibri" w:hAnsi="Verdana" w:cs="Arial"/>
          <w:bCs/>
          <w:color w:val="000000" w:themeColor="text1"/>
          <w:lang w:val="es-ES_tradnl"/>
        </w:rPr>
      </w:pPr>
      <w:r>
        <w:rPr>
          <w:rFonts w:ascii="Verdana" w:eastAsia="Arial" w:hAnsi="Verdana" w:cs="Arial"/>
          <w:color w:val="000000"/>
          <w:lang w:val="es-ES"/>
        </w:rPr>
        <w:lastRenderedPageBreak/>
        <w:t xml:space="preserve">ii. Dentro de los contratos estatales típicos se encuentra el contrato de concesión, que </w:t>
      </w:r>
      <w:r w:rsidRPr="007D35B5">
        <w:rPr>
          <w:rFonts w:ascii="Verdana" w:eastAsia="Calibri" w:hAnsi="Verdana" w:cs="Arial"/>
          <w:bCs/>
          <w:color w:val="000000" w:themeColor="text1"/>
          <w:lang w:val="es-ES_tradnl"/>
        </w:rPr>
        <w:t xml:space="preserve">ha sido tradicionalmente uno de los contratos estatales paradigmáticos. Esto debido a que, a través de él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durante el plazo del contrato. En tal sentido, el </w:t>
      </w:r>
      <w:bookmarkStart w:id="2" w:name="_Hlk182373185"/>
      <w:r w:rsidRPr="007D35B5">
        <w:rPr>
          <w:rFonts w:ascii="Verdana" w:eastAsia="Calibri" w:hAnsi="Verdana" w:cs="Arial"/>
          <w:bCs/>
          <w:color w:val="000000" w:themeColor="text1"/>
          <w:lang w:val="es-ES_tradnl"/>
        </w:rPr>
        <w:t>numeral 4° del artículo 32 de la Ley 80 de 1993</w:t>
      </w:r>
      <w:bookmarkEnd w:id="2"/>
      <w:r w:rsidRPr="007D35B5">
        <w:rPr>
          <w:rFonts w:ascii="Verdana" w:eastAsia="Calibri" w:hAnsi="Verdana" w:cs="Arial"/>
          <w:bCs/>
          <w:color w:val="000000" w:themeColor="text1"/>
          <w:lang w:val="es-ES_tradnl"/>
        </w:rPr>
        <w:t>, los define así:</w:t>
      </w:r>
    </w:p>
    <w:p w14:paraId="4AF3742D" w14:textId="77777777" w:rsidR="00C637D2" w:rsidRPr="007D35B5" w:rsidRDefault="00C637D2" w:rsidP="00C637D2">
      <w:pPr>
        <w:tabs>
          <w:tab w:val="left" w:pos="0"/>
        </w:tabs>
        <w:spacing w:after="0" w:line="276" w:lineRule="auto"/>
        <w:jc w:val="both"/>
        <w:rPr>
          <w:rFonts w:ascii="Verdana" w:eastAsia="Calibri" w:hAnsi="Verdana" w:cs="Arial"/>
          <w:bCs/>
          <w:color w:val="000000" w:themeColor="text1"/>
          <w:lang w:val="es-ES_tradnl"/>
        </w:rPr>
      </w:pPr>
    </w:p>
    <w:p w14:paraId="78BCC4CD" w14:textId="77777777" w:rsidR="00C637D2" w:rsidRPr="007D35B5" w:rsidRDefault="00C637D2" w:rsidP="00C637D2">
      <w:pPr>
        <w:tabs>
          <w:tab w:val="left" w:pos="0"/>
        </w:tabs>
        <w:spacing w:after="0" w:line="240" w:lineRule="auto"/>
        <w:ind w:left="709" w:right="709"/>
        <w:jc w:val="both"/>
        <w:rPr>
          <w:rFonts w:ascii="Verdana" w:eastAsia="Calibri" w:hAnsi="Verdana" w:cs="Arial"/>
          <w:bCs/>
          <w:color w:val="000000" w:themeColor="text1"/>
          <w:sz w:val="20"/>
          <w:szCs w:val="20"/>
          <w:lang w:val="es-ES_tradnl"/>
        </w:rPr>
      </w:pPr>
      <w:r w:rsidRPr="007D35B5">
        <w:rPr>
          <w:rFonts w:ascii="Verdana" w:eastAsia="Calibri" w:hAnsi="Verdana" w:cs="Arial"/>
          <w:bCs/>
          <w:color w:val="000000" w:themeColor="text1"/>
          <w:sz w:val="20"/>
          <w:szCs w:val="20"/>
          <w:lang w:val="es-ES_tradnl"/>
        </w:rPr>
        <w:t>“4. 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 acuerden”.</w:t>
      </w:r>
    </w:p>
    <w:p w14:paraId="7CD6E03C" w14:textId="77777777" w:rsidR="00C637D2" w:rsidRPr="007D35B5" w:rsidRDefault="00C637D2" w:rsidP="00C637D2">
      <w:pPr>
        <w:tabs>
          <w:tab w:val="left" w:pos="0"/>
        </w:tabs>
        <w:spacing w:after="0" w:line="276" w:lineRule="auto"/>
        <w:jc w:val="both"/>
        <w:rPr>
          <w:rFonts w:ascii="Verdana" w:eastAsia="Calibri" w:hAnsi="Verdana" w:cs="Arial"/>
          <w:bCs/>
          <w:color w:val="000000" w:themeColor="text1"/>
          <w:lang w:val="es-ES_tradnl"/>
        </w:rPr>
      </w:pPr>
    </w:p>
    <w:p w14:paraId="5A655010" w14:textId="77777777" w:rsidR="00C637D2" w:rsidRPr="007D35B5" w:rsidRDefault="00C637D2" w:rsidP="00C637D2">
      <w:pPr>
        <w:tabs>
          <w:tab w:val="left" w:pos="0"/>
        </w:tabs>
        <w:spacing w:after="120" w:line="276" w:lineRule="auto"/>
        <w:ind w:firstLine="709"/>
        <w:jc w:val="both"/>
        <w:rPr>
          <w:rFonts w:ascii="Verdana" w:eastAsia="Calibri" w:hAnsi="Verdana" w:cs="Arial"/>
          <w:bCs/>
          <w:color w:val="000000" w:themeColor="text1"/>
        </w:rPr>
      </w:pPr>
      <w:r w:rsidRPr="007D35B5">
        <w:rPr>
          <w:rFonts w:ascii="Verdana" w:eastAsia="Calibri" w:hAnsi="Verdana" w:cs="Arial"/>
          <w:bCs/>
          <w:color w:val="000000" w:themeColor="text1"/>
        </w:rPr>
        <w:t>Tal como está tipificado</w:t>
      </w:r>
      <w:r>
        <w:rPr>
          <w:rFonts w:ascii="Verdana" w:eastAsia="Calibri" w:hAnsi="Verdana" w:cs="Arial"/>
          <w:bCs/>
          <w:color w:val="000000" w:themeColor="text1"/>
        </w:rPr>
        <w:t>,</w:t>
      </w:r>
      <w:r w:rsidRPr="007D35B5">
        <w:rPr>
          <w:rFonts w:ascii="Verdana" w:eastAsia="Calibri" w:hAnsi="Verdana" w:cs="Arial"/>
          <w:bCs/>
          <w:color w:val="000000" w:themeColor="text1"/>
        </w:rPr>
        <w:t xml:space="preserve"> el contrato de concesión en la Ley 80 de 1993, el Estado es el titular de la actividad o del bien y lo otorga a una persona que se denominará </w:t>
      </w:r>
      <w:r w:rsidRPr="007D35B5">
        <w:rPr>
          <w:rFonts w:ascii="Verdana" w:eastAsia="Calibri" w:hAnsi="Verdana" w:cs="Arial"/>
          <w:bCs/>
          <w:i/>
          <w:iCs/>
          <w:color w:val="000000" w:themeColor="text1"/>
        </w:rPr>
        <w:t>concesionario</w:t>
      </w:r>
      <w:r w:rsidRPr="007D35B5">
        <w:rPr>
          <w:rFonts w:ascii="Verdana" w:eastAsia="Calibri" w:hAnsi="Verdana" w:cs="Arial"/>
          <w:bCs/>
          <w:color w:val="000000" w:themeColor="text1"/>
        </w:rPr>
        <w:t xml:space="preserve">, para que este asuma el ejercicio del servicio público o la realización y explotación de una obra, por su propia cuenta y riesgo, pero con la permanente vigilancia de la entidad </w:t>
      </w:r>
      <w:r w:rsidRPr="007D35B5">
        <w:rPr>
          <w:rFonts w:ascii="Verdana" w:eastAsia="Calibri" w:hAnsi="Verdana" w:cs="Arial"/>
          <w:bCs/>
          <w:i/>
          <w:iCs/>
          <w:color w:val="000000" w:themeColor="text1"/>
        </w:rPr>
        <w:t>concedente</w:t>
      </w:r>
      <w:r w:rsidRPr="007D35B5">
        <w:rPr>
          <w:rFonts w:ascii="Verdana" w:eastAsia="Calibri" w:hAnsi="Verdana" w:cs="Arial"/>
          <w:bCs/>
          <w:color w:val="000000" w:themeColor="text1"/>
        </w:rPr>
        <w:t xml:space="preserve"> y como contraprestación recibirá un incentivo económico. La entidad concedente no se desprende de la potestad de dirección y control de la ejecución del contrato y debe ejercer la permanente vigilancia de la actividad que desarrolla el concesionario</w:t>
      </w:r>
      <w:r w:rsidRPr="007D35B5">
        <w:rPr>
          <w:rStyle w:val="Refdenotaalpie"/>
          <w:rFonts w:ascii="Verdana" w:eastAsia="Calibri" w:hAnsi="Verdana" w:cs="Arial"/>
          <w:bCs/>
          <w:color w:val="000000" w:themeColor="text1"/>
        </w:rPr>
        <w:footnoteReference w:id="6"/>
      </w:r>
      <w:r w:rsidRPr="007D35B5">
        <w:rPr>
          <w:rFonts w:ascii="Verdana" w:eastAsia="Calibri" w:hAnsi="Verdana" w:cs="Arial"/>
          <w:bCs/>
          <w:color w:val="000000" w:themeColor="text1"/>
        </w:rPr>
        <w:t xml:space="preserve">. </w:t>
      </w:r>
      <w:r w:rsidRPr="007D35B5">
        <w:rPr>
          <w:rFonts w:ascii="Verdana" w:eastAsia="Calibri" w:hAnsi="Verdana" w:cs="Arial"/>
          <w:bCs/>
          <w:color w:val="000000" w:themeColor="text1"/>
          <w:lang w:val="es-ES_tradnl"/>
        </w:rPr>
        <w:t>Como se observa, en este tipo de contratos el contratista es, en principio, quien por su cuenta y riesgo ejecuta la prestación, operación, explotación u organización del servicio, así como la construcción, explotación o conservación del bien, a cambio de una remuneración</w:t>
      </w:r>
      <w:r w:rsidRPr="007D35B5">
        <w:rPr>
          <w:rFonts w:ascii="Verdana" w:eastAsia="Calibri" w:hAnsi="Verdana" w:cs="Arial"/>
          <w:bCs/>
          <w:color w:val="000000" w:themeColor="text1"/>
          <w:vertAlign w:val="superscript"/>
          <w:lang w:val="es-ES_tradnl"/>
        </w:rPr>
        <w:footnoteReference w:id="7"/>
      </w:r>
      <w:r w:rsidRPr="007D35B5">
        <w:rPr>
          <w:rFonts w:ascii="Verdana" w:eastAsia="Calibri" w:hAnsi="Verdana" w:cs="Arial"/>
          <w:bCs/>
          <w:color w:val="000000" w:themeColor="text1"/>
          <w:lang w:val="es-ES_tradnl"/>
        </w:rPr>
        <w:t xml:space="preserve">. </w:t>
      </w:r>
    </w:p>
    <w:p w14:paraId="7BBD4FCC" w14:textId="77777777" w:rsidR="00C637D2" w:rsidRPr="007D35B5" w:rsidRDefault="00C637D2" w:rsidP="00C637D2">
      <w:pPr>
        <w:tabs>
          <w:tab w:val="left" w:pos="0"/>
        </w:tabs>
        <w:spacing w:after="0" w:line="276" w:lineRule="auto"/>
        <w:ind w:firstLine="709"/>
        <w:jc w:val="both"/>
        <w:rPr>
          <w:rFonts w:ascii="Verdana" w:eastAsia="Calibri" w:hAnsi="Verdana" w:cs="Arial"/>
          <w:bCs/>
          <w:color w:val="000000" w:themeColor="text1"/>
        </w:rPr>
      </w:pPr>
      <w:r w:rsidRPr="007D35B5">
        <w:rPr>
          <w:rFonts w:ascii="Verdana" w:eastAsia="Calibri" w:hAnsi="Verdana" w:cs="Arial"/>
          <w:bCs/>
          <w:color w:val="000000" w:themeColor="text1"/>
          <w:lang w:val="es-ES_tradnl"/>
        </w:rPr>
        <w:lastRenderedPageBreak/>
        <w:t>De esta manera, como característica fundamental de estos contratos se resalta “</w:t>
      </w:r>
      <w:r w:rsidRPr="007D35B5">
        <w:rPr>
          <w:rFonts w:ascii="Verdana" w:eastAsia="Calibri" w:hAnsi="Verdana" w:cs="Arial"/>
          <w:bCs/>
          <w:color w:val="000000" w:themeColor="text1"/>
        </w:rPr>
        <w:t>la vinculación de recursos del sector privado, a manera de inversión, en proyectos de interés público que permitan maximizar el gasto estatal en la satisfacción de otras necesidades”</w:t>
      </w:r>
      <w:r w:rsidRPr="007D35B5">
        <w:rPr>
          <w:rStyle w:val="Refdenotaalpie"/>
          <w:rFonts w:ascii="Verdana" w:eastAsia="Calibri" w:hAnsi="Verdana" w:cs="Arial"/>
          <w:bCs/>
          <w:color w:val="000000" w:themeColor="text1"/>
          <w:lang w:val="es-ES_tradnl"/>
        </w:rPr>
        <w:footnoteReference w:id="8"/>
      </w:r>
      <w:r w:rsidRPr="007D35B5">
        <w:rPr>
          <w:rFonts w:ascii="Verdana" w:eastAsia="Calibri" w:hAnsi="Verdana" w:cs="Arial"/>
          <w:bCs/>
          <w:color w:val="000000" w:themeColor="text1"/>
        </w:rPr>
        <w:t xml:space="preserve">. Así mismo, es de la esencia del contrato de concesión la asunción de riesgos por parte del concesionario, lo que significa que tendrá derecho a la utilidad generada pero también asumirá las pérdidas derivadas de la gestión del servicio o bien concesionado. </w:t>
      </w:r>
      <w:r w:rsidRPr="007D35B5">
        <w:rPr>
          <w:rFonts w:ascii="Verdana" w:eastAsia="Calibri" w:hAnsi="Verdana" w:cs="Arial"/>
          <w:bCs/>
          <w:color w:val="000000" w:themeColor="text1"/>
          <w:lang w:val="es-ES_tradnl"/>
        </w:rPr>
        <w:t>En palabras de la Corte Constitucional:</w:t>
      </w:r>
    </w:p>
    <w:p w14:paraId="28AB4B15" w14:textId="77777777" w:rsidR="00C637D2" w:rsidRPr="007D35B5" w:rsidRDefault="00C637D2" w:rsidP="00C637D2">
      <w:pPr>
        <w:shd w:val="clear" w:color="auto" w:fill="FFFFFF"/>
        <w:spacing w:after="0" w:line="240" w:lineRule="auto"/>
        <w:ind w:left="720"/>
        <w:jc w:val="both"/>
        <w:rPr>
          <w:rFonts w:ascii="Verdana" w:eastAsia="Calibri" w:hAnsi="Verdana" w:cs="Arial"/>
          <w:bCs/>
          <w:color w:val="000000" w:themeColor="text1"/>
          <w:lang w:val="es-ES_tradnl"/>
        </w:rPr>
      </w:pPr>
    </w:p>
    <w:p w14:paraId="4E6C35C7" w14:textId="77777777" w:rsidR="00C637D2" w:rsidRPr="007D35B5" w:rsidRDefault="00C637D2" w:rsidP="00C637D2">
      <w:pPr>
        <w:spacing w:after="0" w:line="240" w:lineRule="auto"/>
        <w:ind w:left="709" w:right="709"/>
        <w:jc w:val="both"/>
        <w:rPr>
          <w:rFonts w:ascii="Verdana" w:eastAsia="Calibri" w:hAnsi="Verdana" w:cs="Arial"/>
          <w:color w:val="000000" w:themeColor="text1"/>
          <w:sz w:val="20"/>
          <w:szCs w:val="20"/>
          <w:lang w:val="es-ES"/>
        </w:rPr>
      </w:pPr>
      <w:r w:rsidRPr="007D35B5">
        <w:rPr>
          <w:rFonts w:ascii="Verdana" w:eastAsia="Calibri" w:hAnsi="Verdana" w:cs="Arial"/>
          <w:color w:val="000000" w:themeColor="text1"/>
          <w:sz w:val="20"/>
          <w:szCs w:val="20"/>
          <w:lang w:val="es-ES"/>
        </w:rPr>
        <w:t>“Los contratos de concesión son entonces instrumentos a través de los cuales el Estado promueve el concurso de la inversión privada para el cumplimiento de sus fines. Estos contratos adquieren especial importancia en contextos en los que existen restricciones presupuestales, pues permiten la realización de importantes obras de infraestructura (vial, energética, de transporte, de telecomunicaciones, etc.) con el apoyo de los recursos y conocimientos privados; de este modo facilitan que los recursos públicos se enfoquen en otras necesidades de la actuación estatal”</w:t>
      </w:r>
      <w:r w:rsidRPr="007D35B5">
        <w:rPr>
          <w:rFonts w:ascii="Verdana" w:eastAsia="Calibri" w:hAnsi="Verdana" w:cs="Arial"/>
          <w:color w:val="000000" w:themeColor="text1"/>
          <w:sz w:val="20"/>
          <w:szCs w:val="20"/>
          <w:vertAlign w:val="superscript"/>
          <w:lang w:val="es-ES"/>
        </w:rPr>
        <w:footnoteReference w:id="9"/>
      </w:r>
      <w:r w:rsidRPr="007D35B5">
        <w:rPr>
          <w:rFonts w:ascii="Verdana" w:eastAsia="Calibri" w:hAnsi="Verdana" w:cs="Arial"/>
          <w:color w:val="000000" w:themeColor="text1"/>
          <w:sz w:val="20"/>
          <w:szCs w:val="20"/>
          <w:lang w:val="es-ES"/>
        </w:rPr>
        <w:t xml:space="preserve">. </w:t>
      </w:r>
    </w:p>
    <w:p w14:paraId="2857E245" w14:textId="77777777" w:rsidR="00C637D2" w:rsidRPr="007D35B5" w:rsidRDefault="00C637D2" w:rsidP="00C637D2">
      <w:pPr>
        <w:tabs>
          <w:tab w:val="left" w:pos="0"/>
        </w:tabs>
        <w:spacing w:after="0" w:line="276" w:lineRule="auto"/>
        <w:ind w:firstLine="709"/>
        <w:jc w:val="both"/>
        <w:rPr>
          <w:rFonts w:ascii="Verdana" w:eastAsia="Calibri" w:hAnsi="Verdana" w:cs="Arial"/>
          <w:bCs/>
          <w:color w:val="000000" w:themeColor="text1"/>
          <w:lang w:val="es-ES"/>
        </w:rPr>
      </w:pPr>
    </w:p>
    <w:p w14:paraId="4E9035C6" w14:textId="77777777" w:rsidR="00C637D2" w:rsidRPr="00AF3C2F" w:rsidRDefault="00C637D2" w:rsidP="00C637D2">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Así mismo, la Corte Constitucional expresó que el contrato de concesión</w:t>
      </w:r>
      <w:r>
        <w:rPr>
          <w:rStyle w:val="Refdenotaalpie"/>
          <w:rFonts w:ascii="Verdana" w:eastAsia="Calibri" w:hAnsi="Verdana" w:cs="Arial"/>
          <w:color w:val="000000" w:themeColor="text1"/>
          <w:lang w:val="es-ES"/>
        </w:rPr>
        <w:footnoteReference w:id="10"/>
      </w:r>
      <w:r>
        <w:rPr>
          <w:rFonts w:ascii="Verdana" w:eastAsia="Calibri" w:hAnsi="Verdana" w:cs="Arial"/>
          <w:color w:val="000000" w:themeColor="text1"/>
          <w:lang w:val="es-ES"/>
        </w:rPr>
        <w:t xml:space="preserve">, presenta las siguientes características: </w:t>
      </w:r>
      <w:r w:rsidRPr="00AF3C2F">
        <w:rPr>
          <w:rFonts w:ascii="Work Sans" w:eastAsia="Times New Roman" w:hAnsi="Work Sans" w:cs="Times New Roman"/>
          <w:color w:val="333333"/>
          <w:sz w:val="25"/>
          <w:szCs w:val="25"/>
        </w:rPr>
        <w:t xml:space="preserve"> </w:t>
      </w:r>
      <w:r>
        <w:rPr>
          <w:rFonts w:ascii="Verdana" w:eastAsia="Calibri" w:hAnsi="Verdana" w:cs="Arial"/>
          <w:color w:val="000000" w:themeColor="text1"/>
        </w:rPr>
        <w:t>a) u</w:t>
      </w:r>
      <w:r w:rsidRPr="00AF3C2F">
        <w:rPr>
          <w:rFonts w:ascii="Verdana" w:eastAsia="Calibri" w:hAnsi="Verdana" w:cs="Arial"/>
          <w:color w:val="000000" w:themeColor="text1"/>
        </w:rPr>
        <w:t>na</w:t>
      </w:r>
      <w:r>
        <w:rPr>
          <w:rFonts w:ascii="Verdana" w:eastAsia="Calibri" w:hAnsi="Verdana" w:cs="Arial"/>
          <w:color w:val="000000" w:themeColor="text1"/>
        </w:rPr>
        <w:t xml:space="preserve"> </w:t>
      </w:r>
      <w:r w:rsidRPr="007708A9">
        <w:rPr>
          <w:rFonts w:ascii="Verdana" w:eastAsia="Calibri" w:hAnsi="Verdana" w:cs="Arial"/>
          <w:bCs/>
          <w:color w:val="000000" w:themeColor="text1"/>
        </w:rPr>
        <w:t>convención</w:t>
      </w:r>
      <w:r>
        <w:rPr>
          <w:rFonts w:ascii="Verdana" w:eastAsia="Calibri" w:hAnsi="Verdana" w:cs="Arial"/>
          <w:color w:val="000000" w:themeColor="text1"/>
        </w:rPr>
        <w:t xml:space="preserve"> </w:t>
      </w:r>
      <w:r w:rsidRPr="00AF3C2F">
        <w:rPr>
          <w:rFonts w:ascii="Verdana" w:eastAsia="Calibri" w:hAnsi="Verdana" w:cs="Arial"/>
          <w:color w:val="000000" w:themeColor="text1"/>
        </w:rPr>
        <w:t>entre un ente estatal -concedente- y otra persona -concesionario-;</w:t>
      </w:r>
      <w:r>
        <w:rPr>
          <w:rFonts w:ascii="Verdana" w:eastAsia="Calibri" w:hAnsi="Verdana" w:cs="Arial"/>
          <w:color w:val="000000" w:themeColor="text1"/>
        </w:rPr>
        <w:t xml:space="preserve"> b) Se alude </w:t>
      </w:r>
      <w:r w:rsidRPr="00AF3C2F">
        <w:rPr>
          <w:rFonts w:ascii="Verdana" w:eastAsia="Calibri" w:hAnsi="Verdana" w:cs="Arial"/>
          <w:color w:val="000000" w:themeColor="text1"/>
        </w:rPr>
        <w:t>a un servicio público o a una obra destinada al servicio o uso públic</w:t>
      </w:r>
      <w:r>
        <w:rPr>
          <w:rFonts w:ascii="Verdana" w:eastAsia="Calibri" w:hAnsi="Verdana" w:cs="Arial"/>
          <w:color w:val="000000" w:themeColor="text1"/>
        </w:rPr>
        <w:t>o; c) p</w:t>
      </w:r>
      <w:r w:rsidRPr="00AF3C2F">
        <w:rPr>
          <w:rFonts w:ascii="Verdana" w:eastAsia="Calibri" w:hAnsi="Verdana" w:cs="Arial"/>
          <w:color w:val="000000" w:themeColor="text1"/>
        </w:rPr>
        <w:t xml:space="preserve">uede tener por objeto la construcción, explotación o conservación total o parcial de una obra </w:t>
      </w:r>
      <w:r>
        <w:rPr>
          <w:rFonts w:ascii="Verdana" w:eastAsia="Calibri" w:hAnsi="Verdana" w:cs="Arial"/>
          <w:color w:val="000000" w:themeColor="text1"/>
        </w:rPr>
        <w:t xml:space="preserve">que se destina </w:t>
      </w:r>
      <w:r w:rsidRPr="00AF3C2F">
        <w:rPr>
          <w:rFonts w:ascii="Verdana" w:eastAsia="Calibri" w:hAnsi="Verdana" w:cs="Arial"/>
          <w:color w:val="000000" w:themeColor="text1"/>
        </w:rPr>
        <w:t>al servicio o uso público;</w:t>
      </w:r>
      <w:r>
        <w:rPr>
          <w:rFonts w:ascii="Verdana" w:eastAsia="Calibri" w:hAnsi="Verdana" w:cs="Arial"/>
          <w:color w:val="000000" w:themeColor="text1"/>
        </w:rPr>
        <w:t xml:space="preserve"> d) </w:t>
      </w:r>
      <w:r w:rsidRPr="00AF3C2F">
        <w:rPr>
          <w:rFonts w:ascii="Verdana" w:eastAsia="Calibri" w:hAnsi="Verdana" w:cs="Arial"/>
          <w:color w:val="000000" w:themeColor="text1"/>
        </w:rPr>
        <w:t>existe la permanente vigilancia del ente estatal, lo cual se justifica por cuanto se trata de prestar un servicio público o construir o e</w:t>
      </w:r>
      <w:r>
        <w:rPr>
          <w:rFonts w:ascii="Verdana" w:eastAsia="Calibri" w:hAnsi="Verdana" w:cs="Arial"/>
          <w:color w:val="000000" w:themeColor="text1"/>
        </w:rPr>
        <w:t xml:space="preserve">xplotar un bien de uso público, que </w:t>
      </w:r>
      <w:r w:rsidRPr="00AF3C2F">
        <w:rPr>
          <w:rFonts w:ascii="Verdana" w:eastAsia="Calibri" w:hAnsi="Verdana" w:cs="Arial"/>
          <w:color w:val="000000" w:themeColor="text1"/>
        </w:rPr>
        <w:t xml:space="preserve">se actúa bajo el control del ente concedente, </w:t>
      </w:r>
      <w:r>
        <w:rPr>
          <w:rFonts w:ascii="Verdana" w:eastAsia="Calibri" w:hAnsi="Verdana" w:cs="Arial"/>
          <w:color w:val="000000" w:themeColor="text1"/>
        </w:rPr>
        <w:t>lo cual implica la facultad de este de</w:t>
      </w:r>
      <w:r w:rsidRPr="00AF3C2F">
        <w:rPr>
          <w:rFonts w:ascii="Verdana" w:eastAsia="Calibri" w:hAnsi="Verdana" w:cs="Arial"/>
          <w:color w:val="000000" w:themeColor="text1"/>
        </w:rPr>
        <w:t xml:space="preserve"> dar instrucciones en torno a la forma como se explota </w:t>
      </w:r>
      <w:r>
        <w:rPr>
          <w:rFonts w:ascii="Verdana" w:eastAsia="Calibri" w:hAnsi="Verdana" w:cs="Arial"/>
          <w:color w:val="000000" w:themeColor="text1"/>
        </w:rPr>
        <w:t xml:space="preserve">el bien o se presta el servicio; e) el </w:t>
      </w:r>
      <w:r w:rsidRPr="00AF3C2F">
        <w:rPr>
          <w:rFonts w:ascii="Verdana" w:eastAsia="Calibri" w:hAnsi="Verdana" w:cs="Arial"/>
          <w:color w:val="000000" w:themeColor="text1"/>
        </w:rPr>
        <w:t xml:space="preserve">concesionario debe </w:t>
      </w:r>
      <w:r w:rsidRPr="00AF3C2F">
        <w:rPr>
          <w:rFonts w:ascii="Verdana" w:eastAsia="Calibri" w:hAnsi="Verdana" w:cs="Arial"/>
          <w:color w:val="000000" w:themeColor="text1"/>
        </w:rPr>
        <w:lastRenderedPageBreak/>
        <w:t>asumir, así sea parcialmente, los riesgos del éxito o fracaso de su gestión, y por el</w:t>
      </w:r>
      <w:r>
        <w:rPr>
          <w:rFonts w:ascii="Verdana" w:eastAsia="Calibri" w:hAnsi="Verdana" w:cs="Arial"/>
          <w:color w:val="000000" w:themeColor="text1"/>
        </w:rPr>
        <w:t xml:space="preserve">lo obra por su cuenta y riesgo; f) en este tipo de contratos deben estipularse </w:t>
      </w:r>
      <w:r w:rsidRPr="00AF3C2F">
        <w:rPr>
          <w:rFonts w:ascii="Verdana" w:eastAsia="Calibri" w:hAnsi="Verdana" w:cs="Arial"/>
          <w:color w:val="000000" w:themeColor="text1"/>
        </w:rPr>
        <w:t xml:space="preserve">las cláusulas excepcionales al derecho común, como son los de terminación, interpretación y modificación unilaterales, de sometimiento a las </w:t>
      </w:r>
      <w:r>
        <w:rPr>
          <w:rFonts w:ascii="Verdana" w:eastAsia="Calibri" w:hAnsi="Verdana" w:cs="Arial"/>
          <w:color w:val="000000" w:themeColor="text1"/>
        </w:rPr>
        <w:t>leyes nacionales y de caducidad; g)</w:t>
      </w:r>
      <w:r w:rsidRPr="00AF3C2F">
        <w:rPr>
          <w:rFonts w:ascii="Verdana" w:eastAsia="Calibri" w:hAnsi="Verdana" w:cs="Arial"/>
          <w:b/>
          <w:bCs/>
          <w:color w:val="000000" w:themeColor="text1"/>
        </w:rPr>
        <w:t> </w:t>
      </w:r>
      <w:r w:rsidRPr="00AF3C2F">
        <w:rPr>
          <w:rFonts w:ascii="Verdana" w:eastAsia="Calibri" w:hAnsi="Verdana" w:cs="Arial"/>
          <w:color w:val="000000" w:themeColor="text1"/>
        </w:rPr>
        <w:t>Dada la naturaleza especial del contrato de concesión, </w:t>
      </w:r>
      <w:r w:rsidRPr="007708A9">
        <w:rPr>
          <w:rFonts w:ascii="Verdana" w:eastAsia="Calibri" w:hAnsi="Verdana" w:cs="Arial"/>
          <w:bCs/>
          <w:color w:val="000000" w:themeColor="text1"/>
        </w:rPr>
        <w:t>existen unas cláusulas que son de la esencia del contrato, como la de reversión,</w:t>
      </w:r>
      <w:r w:rsidRPr="00AF3C2F">
        <w:rPr>
          <w:rFonts w:ascii="Verdana" w:eastAsia="Calibri" w:hAnsi="Verdana" w:cs="Arial"/>
          <w:color w:val="000000" w:themeColor="text1"/>
        </w:rPr>
        <w:t> que aunque no se pacten en fo</w:t>
      </w:r>
      <w:r>
        <w:rPr>
          <w:rFonts w:ascii="Verdana" w:eastAsia="Calibri" w:hAnsi="Verdana" w:cs="Arial"/>
          <w:color w:val="000000" w:themeColor="text1"/>
        </w:rPr>
        <w:t>rma expresa, deben entenderse implí</w:t>
      </w:r>
      <w:r w:rsidRPr="00AF3C2F">
        <w:rPr>
          <w:rFonts w:ascii="Verdana" w:eastAsia="Calibri" w:hAnsi="Verdana" w:cs="Arial"/>
          <w:color w:val="000000" w:themeColor="text1"/>
        </w:rPr>
        <w:t>citas en el mismo contrato.</w:t>
      </w:r>
    </w:p>
    <w:p w14:paraId="0D6BDC6D" w14:textId="77777777" w:rsidR="00C637D2" w:rsidRPr="00963F67" w:rsidRDefault="00C637D2" w:rsidP="00C637D2">
      <w:pPr>
        <w:spacing w:after="0" w:line="276" w:lineRule="auto"/>
        <w:ind w:firstLine="709"/>
        <w:jc w:val="both"/>
        <w:rPr>
          <w:rFonts w:ascii="Verdana" w:eastAsia="Arial" w:hAnsi="Verdana" w:cs="Arial"/>
          <w:color w:val="000000"/>
          <w:lang w:val="es-ES"/>
        </w:rPr>
      </w:pPr>
      <w:r>
        <w:rPr>
          <w:rFonts w:ascii="Verdana" w:eastAsia="Calibri" w:hAnsi="Verdana" w:cs="Arial"/>
          <w:color w:val="000000" w:themeColor="text1"/>
          <w:lang w:val="es-ES"/>
        </w:rPr>
        <w:t xml:space="preserve">A </w:t>
      </w:r>
      <w:r w:rsidRPr="007D35B5">
        <w:rPr>
          <w:rFonts w:ascii="Verdana" w:eastAsia="Calibri" w:hAnsi="Verdana" w:cs="Arial"/>
          <w:color w:val="000000" w:themeColor="text1"/>
          <w:lang w:val="es-ES"/>
        </w:rPr>
        <w:t xml:space="preserve">partir de la tipificación de este contrato, y sin perjuicio de la existencia de regímenes especiales, las disposiciones </w:t>
      </w:r>
      <w:r>
        <w:rPr>
          <w:rFonts w:ascii="Verdana" w:eastAsia="Calibri" w:hAnsi="Verdana" w:cs="Arial"/>
          <w:color w:val="000000" w:themeColor="text1"/>
          <w:lang w:val="es-ES"/>
        </w:rPr>
        <w:t xml:space="preserve">del </w:t>
      </w:r>
      <w:r w:rsidRPr="007D35B5">
        <w:rPr>
          <w:rFonts w:ascii="Verdana" w:eastAsia="Calibri" w:hAnsi="Verdana" w:cs="Arial"/>
          <w:color w:val="000000" w:themeColor="text1"/>
          <w:lang w:val="es-ES"/>
        </w:rPr>
        <w:t>EGCAP</w:t>
      </w:r>
      <w:r>
        <w:rPr>
          <w:rFonts w:ascii="Verdana" w:eastAsia="Calibri" w:hAnsi="Verdana" w:cs="Arial"/>
          <w:color w:val="000000" w:themeColor="text1"/>
          <w:lang w:val="es-ES"/>
        </w:rPr>
        <w:t xml:space="preserve"> </w:t>
      </w:r>
      <w:r w:rsidRPr="007D35B5">
        <w:rPr>
          <w:rFonts w:ascii="Verdana" w:eastAsia="Calibri" w:hAnsi="Verdana" w:cs="Arial"/>
          <w:color w:val="000000" w:themeColor="text1"/>
          <w:lang w:val="es-ES"/>
        </w:rPr>
        <w:t>eran las que aplicaban principalmente las entidades públicas en la celebración de los contratos de concesión.</w:t>
      </w:r>
      <w:r>
        <w:rPr>
          <w:rFonts w:ascii="Verdana" w:eastAsia="Calibri" w:hAnsi="Verdana" w:cs="Arial"/>
          <w:color w:val="000000" w:themeColor="text1"/>
          <w:lang w:val="es-ES"/>
        </w:rPr>
        <w:t xml:space="preserve"> No obstante, en la actualidad, las concesiones establecidas en la Ley 80 de 1993 son una forma de colaboración público-privada</w:t>
      </w:r>
      <w:r w:rsidRPr="00963F67">
        <w:rPr>
          <w:rFonts w:ascii="Verdana" w:eastAsia="Arial" w:hAnsi="Verdana" w:cs="Arial"/>
          <w:bCs/>
          <w:color w:val="000000"/>
          <w:vertAlign w:val="superscript"/>
          <w:lang w:val="es-ES_tradnl"/>
        </w:rPr>
        <w:footnoteReference w:id="11"/>
      </w:r>
      <w:r>
        <w:rPr>
          <w:rFonts w:ascii="Verdana" w:eastAsia="Calibri" w:hAnsi="Verdana" w:cs="Arial"/>
          <w:color w:val="000000" w:themeColor="text1"/>
          <w:lang w:val="es-ES"/>
        </w:rPr>
        <w:t xml:space="preserve">, esto es, un mecanismo a través del cual el sector privado participa en la gestión pública, representada en la ejecución de actividades de infraestructura o de otros servicios, </w:t>
      </w:r>
      <w:r w:rsidRPr="00963F67">
        <w:rPr>
          <w:rFonts w:ascii="Verdana" w:eastAsia="Arial" w:hAnsi="Verdana" w:cs="Arial"/>
          <w:bCs/>
          <w:color w:val="000000"/>
          <w:lang w:val="es-ES_tradnl"/>
        </w:rPr>
        <w:t xml:space="preserve">vinculando capital, conocimientos y experiencia, así como un mayor riesgo que el que ordinariamente se asume en otras tipologías contractuales. </w:t>
      </w:r>
    </w:p>
    <w:p w14:paraId="7DF3FFDC" w14:textId="77777777" w:rsidR="00C637D2" w:rsidRPr="00963F67" w:rsidRDefault="00C637D2" w:rsidP="00C637D2">
      <w:pPr>
        <w:spacing w:after="0" w:line="276" w:lineRule="auto"/>
        <w:jc w:val="both"/>
        <w:rPr>
          <w:rFonts w:ascii="Verdana" w:eastAsia="Arial" w:hAnsi="Verdana" w:cs="Arial"/>
          <w:color w:val="000000"/>
          <w:lang w:val="es-ES_tradnl"/>
        </w:rPr>
      </w:pPr>
    </w:p>
    <w:p w14:paraId="14AB98F4" w14:textId="77777777" w:rsidR="00C637D2" w:rsidRDefault="00C637D2" w:rsidP="00C637D2">
      <w:pPr>
        <w:spacing w:after="120" w:line="276" w:lineRule="auto"/>
        <w:jc w:val="both"/>
        <w:rPr>
          <w:rFonts w:ascii="Verdana" w:eastAsia="Arial" w:hAnsi="Verdana" w:cs="Arial"/>
          <w:color w:val="000000"/>
          <w:lang w:val="es-ES"/>
        </w:rPr>
      </w:pPr>
      <w:r>
        <w:rPr>
          <w:rFonts w:ascii="Verdana" w:eastAsia="Arial" w:hAnsi="Verdana" w:cs="Arial"/>
          <w:color w:val="000000"/>
          <w:lang w:val="es-ES"/>
        </w:rPr>
        <w:t>iii. El artículo 336 superior dispone que “</w:t>
      </w:r>
      <w:r w:rsidRPr="003B3C64">
        <w:rPr>
          <w:rFonts w:ascii="Verdana" w:eastAsia="Arial" w:hAnsi="Verdana" w:cs="Arial"/>
          <w:color w:val="000000"/>
          <w:lang w:val="es-ES"/>
        </w:rPr>
        <w:t>Ningún monopolio podrá establecerse sino como arbitrio rentístico, con una finalidad de interés público o social y en virtud de la ley</w:t>
      </w:r>
      <w:r>
        <w:rPr>
          <w:rFonts w:ascii="Verdana" w:eastAsia="Arial" w:hAnsi="Verdana" w:cs="Arial"/>
          <w:color w:val="000000"/>
          <w:lang w:val="es-ES"/>
        </w:rPr>
        <w:t>” –inciso 1–, y agrega lo siguiente: “</w:t>
      </w:r>
      <w:r w:rsidRPr="003B3C64">
        <w:rPr>
          <w:rFonts w:ascii="Verdana" w:eastAsia="Arial" w:hAnsi="Verdana" w:cs="Arial"/>
          <w:color w:val="000000"/>
          <w:lang w:val="es-ES"/>
        </w:rPr>
        <w:t>La organización, administración, control y explotación de los monopolios rentísticos estarán sometidos a un régimen propio, fijado por la ley de iniciativa gubernamental</w:t>
      </w:r>
      <w:r>
        <w:rPr>
          <w:rFonts w:ascii="Verdana" w:eastAsia="Arial" w:hAnsi="Verdana" w:cs="Arial"/>
          <w:color w:val="000000"/>
          <w:lang w:val="es-ES"/>
        </w:rPr>
        <w:t>” –inciso 3–</w:t>
      </w:r>
      <w:r w:rsidRPr="003B3C64">
        <w:rPr>
          <w:rFonts w:ascii="Verdana" w:eastAsia="Arial" w:hAnsi="Verdana" w:cs="Arial"/>
          <w:color w:val="000000"/>
          <w:lang w:val="es-ES"/>
        </w:rPr>
        <w:t>.</w:t>
      </w:r>
      <w:r>
        <w:rPr>
          <w:rFonts w:ascii="Verdana" w:eastAsia="Arial" w:hAnsi="Verdana" w:cs="Arial"/>
          <w:color w:val="000000"/>
          <w:lang w:val="es-ES"/>
        </w:rPr>
        <w:t xml:space="preserve"> De esta manera, la Constitución Política de 1991 ordena que “</w:t>
      </w:r>
      <w:r w:rsidRPr="003B3C64">
        <w:rPr>
          <w:rFonts w:ascii="Verdana" w:eastAsia="Arial" w:hAnsi="Verdana" w:cs="Arial"/>
          <w:color w:val="000000"/>
          <w:lang w:val="es-ES"/>
        </w:rPr>
        <w:t>Las rentas obtenidas en el ejercicio del monopolio de licores, estarán destinadas preferentemente a los servicios de salud y educación</w:t>
      </w:r>
      <w:r>
        <w:rPr>
          <w:rFonts w:ascii="Verdana" w:eastAsia="Arial" w:hAnsi="Verdana" w:cs="Arial"/>
          <w:color w:val="000000"/>
          <w:lang w:val="es-ES"/>
        </w:rPr>
        <w:t>” –inciso 5–</w:t>
      </w:r>
      <w:r w:rsidRPr="003B3C64">
        <w:rPr>
          <w:rFonts w:ascii="Verdana" w:eastAsia="Arial" w:hAnsi="Verdana" w:cs="Arial"/>
          <w:color w:val="000000"/>
          <w:lang w:val="es-ES"/>
        </w:rPr>
        <w:t>.</w:t>
      </w:r>
      <w:r>
        <w:rPr>
          <w:rFonts w:ascii="Verdana" w:eastAsia="Arial" w:hAnsi="Verdana" w:cs="Arial"/>
          <w:color w:val="000000"/>
          <w:lang w:val="es-ES"/>
        </w:rPr>
        <w:t xml:space="preserve"> </w:t>
      </w:r>
    </w:p>
    <w:p w14:paraId="16179033" w14:textId="77777777" w:rsidR="00C637D2" w:rsidRDefault="00C637D2" w:rsidP="00C637D2">
      <w:pPr>
        <w:spacing w:after="120" w:line="276" w:lineRule="auto"/>
        <w:ind w:firstLine="708"/>
        <w:jc w:val="both"/>
        <w:rPr>
          <w:rFonts w:ascii="Verdana" w:eastAsia="Arial" w:hAnsi="Verdana" w:cs="Arial"/>
          <w:color w:val="000000"/>
          <w:lang w:val="es-ES"/>
        </w:rPr>
      </w:pPr>
      <w:r>
        <w:rPr>
          <w:rFonts w:ascii="Verdana" w:eastAsia="Arial" w:hAnsi="Verdana" w:cs="Arial"/>
          <w:color w:val="000000"/>
          <w:lang w:val="es-ES"/>
        </w:rPr>
        <w:t xml:space="preserve">Dentro de este marco, la Ley 1816 de 2016 establece el monopolio rentístico de licores destilados, el cual se define como “[…] </w:t>
      </w:r>
      <w:r w:rsidRPr="003B3C64">
        <w:rPr>
          <w:rFonts w:ascii="Verdana" w:eastAsia="Arial" w:hAnsi="Verdana" w:cs="Arial"/>
          <w:color w:val="000000"/>
          <w:lang w:val="es-ES"/>
        </w:rPr>
        <w:t xml:space="preserve">la facultad exclusiva del Estado para explotar directamente o a través de terceros la producción e </w:t>
      </w:r>
      <w:r w:rsidRPr="003B3C64">
        <w:rPr>
          <w:rFonts w:ascii="Verdana" w:eastAsia="Arial" w:hAnsi="Verdana" w:cs="Arial"/>
          <w:color w:val="000000"/>
          <w:lang w:val="es-ES"/>
        </w:rPr>
        <w:lastRenderedPageBreak/>
        <w:t>introducción de licores destilados y para organizar, regular, fiscalizar y vigilar la producción e introducción de licores destilados en los términos de la presente ley</w:t>
      </w:r>
      <w:r>
        <w:rPr>
          <w:rFonts w:ascii="Verdana" w:eastAsia="Arial" w:hAnsi="Verdana" w:cs="Arial"/>
          <w:color w:val="000000"/>
          <w:lang w:val="es-ES"/>
        </w:rPr>
        <w:t>” –artículo 2, inciso 1–. Esta norma debe interpretarse en concordancia con el artículo 7 de la mencionada ley, el cual –de acuerdo con la modificación del artículo 12 de la Ley 2158 de 2021– consagra dos (2) formas para su explotación</w:t>
      </w:r>
      <w:r>
        <w:rPr>
          <w:rStyle w:val="Refdenotaalpie"/>
          <w:rFonts w:ascii="Verdana" w:eastAsia="Arial" w:hAnsi="Verdana" w:cs="Arial"/>
          <w:color w:val="000000"/>
          <w:lang w:val="es-ES"/>
        </w:rPr>
        <w:footnoteReference w:id="12"/>
      </w:r>
      <w:r>
        <w:rPr>
          <w:rFonts w:ascii="Verdana" w:eastAsia="Arial" w:hAnsi="Verdana" w:cs="Arial"/>
          <w:color w:val="000000"/>
          <w:lang w:val="es-ES"/>
        </w:rPr>
        <w:t xml:space="preserve">. </w:t>
      </w:r>
    </w:p>
    <w:p w14:paraId="2103B9EA" w14:textId="77777777" w:rsidR="00C637D2" w:rsidRDefault="00C637D2" w:rsidP="00C637D2">
      <w:pPr>
        <w:spacing w:after="120" w:line="276" w:lineRule="auto"/>
        <w:ind w:firstLine="708"/>
        <w:jc w:val="both"/>
        <w:rPr>
          <w:rFonts w:ascii="Verdana" w:eastAsia="Arial" w:hAnsi="Verdana" w:cs="Arial"/>
          <w:color w:val="000000"/>
          <w:lang w:val="es-ES"/>
        </w:rPr>
      </w:pPr>
      <w:r>
        <w:rPr>
          <w:rFonts w:ascii="Verdana" w:eastAsia="Arial" w:hAnsi="Verdana" w:cs="Arial"/>
          <w:color w:val="000000"/>
          <w:lang w:val="es-ES"/>
        </w:rPr>
        <w:t>Por un lado, indica que “</w:t>
      </w:r>
      <w:r w:rsidRPr="005616E1">
        <w:rPr>
          <w:rFonts w:ascii="Verdana" w:eastAsia="Arial" w:hAnsi="Verdana" w:cs="Arial"/>
          <w:color w:val="000000"/>
          <w:lang w:val="es-ES"/>
        </w:rPr>
        <w:t>Los departamentos ejercerán el monopolio de producción de licores destilados directamente, que incluye la contratación de terceros para la producción de licores destilados y alcohol potable con destino a la fabricación de licores sobre los cuales el departamento contratante ostente la titularidad de la propiedad industria</w:t>
      </w:r>
      <w:r>
        <w:rPr>
          <w:rFonts w:ascii="Verdana" w:eastAsia="Arial" w:hAnsi="Verdana" w:cs="Arial"/>
          <w:color w:val="000000"/>
          <w:lang w:val="es-ES"/>
        </w:rPr>
        <w:t>l” –inciso 1–</w:t>
      </w:r>
      <w:r w:rsidRPr="005616E1">
        <w:rPr>
          <w:rFonts w:ascii="Verdana" w:eastAsia="Arial" w:hAnsi="Verdana" w:cs="Arial"/>
          <w:color w:val="000000"/>
          <w:lang w:val="es-ES"/>
        </w:rPr>
        <w:t>.</w:t>
      </w:r>
      <w:r>
        <w:rPr>
          <w:rFonts w:ascii="Verdana" w:eastAsia="Arial" w:hAnsi="Verdana" w:cs="Arial"/>
          <w:color w:val="000000"/>
          <w:lang w:val="es-ES"/>
        </w:rPr>
        <w:t xml:space="preserve"> Sin embargo, el Departamento tiene la opción de “[…] </w:t>
      </w:r>
      <w:r w:rsidRPr="005616E1">
        <w:rPr>
          <w:rFonts w:ascii="Verdana" w:eastAsia="Arial" w:hAnsi="Verdana" w:cs="Arial"/>
          <w:color w:val="000000"/>
          <w:lang w:val="es-ES"/>
        </w:rPr>
        <w:t>permitir temporalmente que, la producción sea realizada por terceros mediante la suscripción de contratos adjudicados mediante licitación pública, en los términos del artículo 8° de la presente ley</w:t>
      </w:r>
      <w:r>
        <w:rPr>
          <w:rFonts w:ascii="Verdana" w:eastAsia="Arial" w:hAnsi="Verdana" w:cs="Arial"/>
          <w:color w:val="000000"/>
          <w:lang w:val="es-ES"/>
        </w:rPr>
        <w:t>” –inciso 2–.</w:t>
      </w:r>
    </w:p>
    <w:p w14:paraId="27000121" w14:textId="77777777" w:rsidR="00C637D2" w:rsidRDefault="00C637D2" w:rsidP="00C637D2">
      <w:pPr>
        <w:spacing w:after="120" w:line="276" w:lineRule="auto"/>
        <w:jc w:val="both"/>
        <w:rPr>
          <w:rFonts w:ascii="Verdana" w:eastAsia="Arial" w:hAnsi="Verdana" w:cs="Arial"/>
          <w:color w:val="000000"/>
          <w:lang w:val="es-ES"/>
        </w:rPr>
      </w:pPr>
      <w:r>
        <w:rPr>
          <w:rFonts w:ascii="Verdana" w:eastAsia="Arial" w:hAnsi="Verdana" w:cs="Arial"/>
          <w:color w:val="000000"/>
          <w:lang w:val="es-ES"/>
        </w:rPr>
        <w:tab/>
        <w:t xml:space="preserve">En el primer supuesto, es decir, cuando el </w:t>
      </w:r>
      <w:r w:rsidRPr="005616E1">
        <w:rPr>
          <w:rFonts w:ascii="Verdana" w:eastAsia="Arial" w:hAnsi="Verdana" w:cs="Arial"/>
          <w:color w:val="000000"/>
          <w:lang w:val="es-ES"/>
        </w:rPr>
        <w:t xml:space="preserve">Departamento ejerce el monopolio de </w:t>
      </w:r>
      <w:r>
        <w:rPr>
          <w:rFonts w:ascii="Verdana" w:eastAsia="Arial" w:hAnsi="Verdana" w:cs="Arial"/>
          <w:color w:val="000000"/>
          <w:lang w:val="es-ES"/>
        </w:rPr>
        <w:t xml:space="preserve">la </w:t>
      </w:r>
      <w:r w:rsidRPr="005616E1">
        <w:rPr>
          <w:rFonts w:ascii="Verdana" w:eastAsia="Arial" w:hAnsi="Verdana" w:cs="Arial"/>
          <w:color w:val="000000"/>
          <w:lang w:val="es-ES"/>
        </w:rPr>
        <w:t>producción de licores destilados directamente mediante contratación de terceros</w:t>
      </w:r>
      <w:r>
        <w:rPr>
          <w:rFonts w:ascii="Verdana" w:eastAsia="Arial" w:hAnsi="Verdana" w:cs="Arial"/>
          <w:color w:val="000000"/>
          <w:lang w:val="es-ES"/>
        </w:rPr>
        <w:t>, el artículo 7 de la Ley 1816 de 2016 no consagra una excepción explícita al EGCAP. De hecho, el artículo 14.2 de la Ley 80 de 1993 dispone que en los</w:t>
      </w:r>
      <w:r w:rsidRPr="008A33A2">
        <w:rPr>
          <w:rFonts w:ascii="Verdana" w:eastAsia="Arial" w:hAnsi="Verdana" w:cs="Arial"/>
          <w:color w:val="000000"/>
          <w:lang w:val="es-ES"/>
        </w:rPr>
        <w:t xml:space="preserve"> contratos que tengan por objeto el ejercicio de una actividad que constituya monopolio estatal</w:t>
      </w:r>
      <w:r>
        <w:rPr>
          <w:rFonts w:ascii="Verdana" w:eastAsia="Arial" w:hAnsi="Verdana" w:cs="Arial"/>
          <w:color w:val="000000"/>
          <w:lang w:val="es-ES"/>
        </w:rPr>
        <w:t xml:space="preserve"> rigen las potestades exorbitantes. Incluso, tratándose de entidades descentralizadas funcionalmente como las empresas industriales y comerciales del Estado o las sociedades de economía mixta, el artículo 14 de la Ley 1150 de 2007 las somete a las reglas generales del sistema </w:t>
      </w:r>
      <w:r>
        <w:rPr>
          <w:rFonts w:ascii="Verdana" w:eastAsia="Arial" w:hAnsi="Verdana" w:cs="Arial"/>
          <w:color w:val="000000"/>
          <w:lang w:val="es-ES"/>
        </w:rPr>
        <w:lastRenderedPageBreak/>
        <w:t>de compras pública, siempre que no</w:t>
      </w:r>
      <w:r w:rsidRPr="008A33A2">
        <w:rPr>
          <w:rFonts w:ascii="Verdana" w:eastAsia="Arial" w:hAnsi="Verdana" w:cs="Arial"/>
          <w:color w:val="000000"/>
          <w:lang w:val="es-ES"/>
        </w:rPr>
        <w:t xml:space="preserve"> desarrollen actividades comerciales en competencia con el sector privado y/o público, nacional o internacional o en mercados regulados</w:t>
      </w:r>
      <w:r>
        <w:rPr>
          <w:rFonts w:ascii="Verdana" w:eastAsia="Arial" w:hAnsi="Verdana" w:cs="Arial"/>
          <w:color w:val="000000"/>
          <w:lang w:val="es-ES"/>
        </w:rPr>
        <w:t>. Esto significa que la gestión contractual para la operación del monopolio analizado se realiza a través del EGCAP, aspecto que impacta en el régimen de los procedimientos de selección.</w:t>
      </w:r>
    </w:p>
    <w:p w14:paraId="46380E87" w14:textId="77777777" w:rsidR="00C637D2" w:rsidRPr="009E3ADE" w:rsidRDefault="00C637D2" w:rsidP="00C637D2">
      <w:pPr>
        <w:spacing w:after="120" w:line="276" w:lineRule="auto"/>
        <w:jc w:val="both"/>
        <w:rPr>
          <w:rFonts w:ascii="Verdana" w:eastAsia="Arial" w:hAnsi="Verdana" w:cs="Arial"/>
          <w:color w:val="000000"/>
          <w:lang w:val="es-ES"/>
        </w:rPr>
      </w:pPr>
      <w:r>
        <w:rPr>
          <w:rFonts w:ascii="Verdana" w:eastAsia="Arial" w:hAnsi="Verdana" w:cs="Arial"/>
          <w:color w:val="000000"/>
          <w:lang w:val="es-ES"/>
        </w:rPr>
        <w:tab/>
        <w:t>De igual modo, e</w:t>
      </w:r>
      <w:r w:rsidRPr="009E3ADE">
        <w:rPr>
          <w:rFonts w:ascii="Verdana" w:eastAsia="Arial" w:hAnsi="Verdana" w:cs="Arial"/>
          <w:color w:val="000000"/>
          <w:lang w:val="es-ES"/>
        </w:rPr>
        <w:t>l Ministerio de Hacienda precisó la forma en la que se lleva a cabo la producción de forma directa, dando claridad a la expresión “que incluye la contratación de terceros para la producción de licores destilados”. En una Circular Externa señaló que: “en esta modalidad no se requiere de la suscripción de contratos que autoricen la producción, toda vez que esta se realiza por el mismo departamento, por intermedio de su licorera o a través de contratos de maquila”</w:t>
      </w:r>
      <w:r w:rsidRPr="009E3ADE">
        <w:rPr>
          <w:rFonts w:ascii="Verdana" w:eastAsia="Arial" w:hAnsi="Verdana" w:cs="Arial"/>
          <w:color w:val="000000"/>
          <w:vertAlign w:val="superscript"/>
          <w:lang w:val="es-ES"/>
        </w:rPr>
        <w:footnoteReference w:id="13"/>
      </w:r>
      <w:r w:rsidRPr="009E3ADE">
        <w:rPr>
          <w:rFonts w:ascii="Verdana" w:eastAsia="Arial" w:hAnsi="Verdana" w:cs="Arial"/>
          <w:color w:val="000000"/>
          <w:lang w:val="es-ES"/>
        </w:rPr>
        <w:t>. De igual manera lo entendió la exposición de motivos del proyecto que se convertiría en la Ley 1816 de 2016: “El monopolio de producción puede ser ejercido directamente por parte del departamento –incluye la maquila– por terceros (sic)”</w:t>
      </w:r>
      <w:r w:rsidRPr="009E3ADE">
        <w:rPr>
          <w:rFonts w:ascii="Verdana" w:eastAsia="Arial" w:hAnsi="Verdana" w:cs="Arial"/>
          <w:color w:val="000000"/>
          <w:vertAlign w:val="superscript"/>
          <w:lang w:val="es-ES"/>
        </w:rPr>
        <w:footnoteReference w:id="14"/>
      </w:r>
      <w:r w:rsidRPr="009E3ADE">
        <w:rPr>
          <w:rFonts w:ascii="Verdana" w:eastAsia="Arial" w:hAnsi="Verdana" w:cs="Arial"/>
          <w:color w:val="000000"/>
          <w:lang w:val="es-ES"/>
        </w:rPr>
        <w:t>.</w:t>
      </w:r>
      <w:r>
        <w:rPr>
          <w:rFonts w:ascii="Verdana" w:eastAsia="Arial" w:hAnsi="Verdana" w:cs="Arial"/>
          <w:color w:val="000000"/>
          <w:lang w:val="es-ES"/>
        </w:rPr>
        <w:t xml:space="preserve"> </w:t>
      </w:r>
      <w:r w:rsidRPr="009E3ADE">
        <w:rPr>
          <w:rFonts w:ascii="Verdana" w:eastAsia="Arial" w:hAnsi="Verdana" w:cs="Arial"/>
          <w:color w:val="000000"/>
          <w:lang w:val="es-ES"/>
        </w:rPr>
        <w:t>Así las cosas, para el ejercicio directo del monopolio sobre la producción, el departamento produce el licor, bien sea a través de su licorera oficial o través de la contratación de terceros -contrato de maquila- para la producción de licores sobre los cuales ostenta la titularidad de la propiedad industrial.</w:t>
      </w:r>
    </w:p>
    <w:p w14:paraId="6F922C14" w14:textId="77777777" w:rsidR="00C637D2" w:rsidRDefault="00C637D2" w:rsidP="00C637D2">
      <w:pPr>
        <w:spacing w:after="0" w:line="276" w:lineRule="auto"/>
        <w:ind w:firstLine="709"/>
        <w:jc w:val="both"/>
        <w:rPr>
          <w:rFonts w:ascii="Verdana" w:eastAsia="Arial" w:hAnsi="Verdana" w:cs="Arial"/>
          <w:color w:val="000000"/>
        </w:rPr>
      </w:pPr>
      <w:r w:rsidRPr="002B0BF7">
        <w:rPr>
          <w:rFonts w:ascii="Verdana" w:eastAsia="Arial" w:hAnsi="Verdana" w:cs="Arial"/>
          <w:color w:val="000000"/>
        </w:rPr>
        <w:t xml:space="preserve">En el segundo supuesto, el inciso segundo del artículo 7 regula el ejercicio indirecto del monopolio sobre la producción. En este escenario, el legislador previó la posibilidad de que los particulares produzcan de manera temporal, mediante la celebración de contratos adjudicados </w:t>
      </w:r>
      <w:r>
        <w:rPr>
          <w:rFonts w:ascii="Verdana" w:eastAsia="Arial" w:hAnsi="Verdana" w:cs="Arial"/>
          <w:color w:val="000000"/>
        </w:rPr>
        <w:t xml:space="preserve">a través de una </w:t>
      </w:r>
      <w:r w:rsidRPr="002B0BF7">
        <w:rPr>
          <w:rFonts w:ascii="Verdana" w:eastAsia="Arial" w:hAnsi="Verdana" w:cs="Arial"/>
          <w:color w:val="000000"/>
        </w:rPr>
        <w:t>licitación pública,</w:t>
      </w:r>
      <w:r>
        <w:rPr>
          <w:rFonts w:ascii="Verdana" w:eastAsia="Arial" w:hAnsi="Verdana" w:cs="Arial"/>
          <w:color w:val="000000"/>
        </w:rPr>
        <w:t xml:space="preserve"> bajo la forma de subasta ascendente </w:t>
      </w:r>
      <w:r w:rsidRPr="00172B4E">
        <w:rPr>
          <w:rFonts w:ascii="Verdana" w:eastAsia="Arial" w:hAnsi="Verdana" w:cs="Arial"/>
          <w:color w:val="000000"/>
        </w:rPr>
        <w:t>sobre los derechos de explotación cuyo valor mínimo será fijado por la Asamblea</w:t>
      </w:r>
      <w:r>
        <w:rPr>
          <w:rFonts w:ascii="Verdana" w:eastAsia="Arial" w:hAnsi="Verdana" w:cs="Arial"/>
          <w:color w:val="000000"/>
        </w:rPr>
        <w:t>, conforme a lo dispuesto en el artículo 8 de la Ley 1816 de 2016, cuyo tenor literal prescribe:</w:t>
      </w:r>
    </w:p>
    <w:p w14:paraId="55B1EFB4" w14:textId="77777777" w:rsidR="00C637D2" w:rsidRDefault="00C637D2" w:rsidP="00C637D2">
      <w:pPr>
        <w:spacing w:after="0" w:line="276" w:lineRule="auto"/>
        <w:jc w:val="both"/>
        <w:rPr>
          <w:rFonts w:ascii="Verdana" w:eastAsia="Arial" w:hAnsi="Verdana" w:cs="Arial"/>
          <w:bCs/>
          <w:color w:val="000000"/>
        </w:rPr>
      </w:pPr>
    </w:p>
    <w:p w14:paraId="2645B0B9" w14:textId="77777777" w:rsidR="00C637D2" w:rsidRDefault="00C637D2" w:rsidP="00C637D2">
      <w:pPr>
        <w:spacing w:after="0" w:line="240" w:lineRule="auto"/>
        <w:ind w:left="709" w:right="709"/>
        <w:jc w:val="both"/>
        <w:rPr>
          <w:rFonts w:ascii="Verdana" w:eastAsia="Arial" w:hAnsi="Verdana" w:cs="Arial"/>
          <w:color w:val="000000"/>
          <w:sz w:val="20"/>
        </w:rPr>
      </w:pPr>
      <w:r>
        <w:rPr>
          <w:rFonts w:ascii="Verdana" w:eastAsia="Arial" w:hAnsi="Verdana" w:cs="Arial"/>
          <w:bCs/>
          <w:color w:val="000000"/>
          <w:sz w:val="20"/>
        </w:rPr>
        <w:t>“</w:t>
      </w:r>
      <w:r w:rsidRPr="007370B3">
        <w:rPr>
          <w:rFonts w:ascii="Verdana" w:eastAsia="Arial" w:hAnsi="Verdana" w:cs="Arial"/>
          <w:bCs/>
          <w:color w:val="000000"/>
          <w:sz w:val="20"/>
        </w:rPr>
        <w:t xml:space="preserve">Artículo 8°. </w:t>
      </w:r>
      <w:r w:rsidRPr="007370B3">
        <w:rPr>
          <w:rFonts w:ascii="Verdana" w:eastAsia="Arial" w:hAnsi="Verdana" w:cs="Arial"/>
          <w:i/>
          <w:iCs/>
          <w:color w:val="000000"/>
          <w:sz w:val="20"/>
        </w:rPr>
        <w:t>Contratos para el ejercicio del monopolio como arbitrio rentístico sobre la producción de licores destilados</w:t>
      </w:r>
      <w:r w:rsidRPr="007370B3">
        <w:rPr>
          <w:rFonts w:ascii="Verdana" w:eastAsia="Arial" w:hAnsi="Verdana" w:cs="Arial"/>
          <w:color w:val="000000"/>
          <w:sz w:val="20"/>
        </w:rPr>
        <w:t>. Los contratos se adjudicarán mediante licitación pública a iniciativa del Gobernador. La entidad estatal deberá utilizar un procedimiento de subasta ascendente sobre los derechos de explotación cuyo valor mínimo será fijado por la Asamblea, conforme se establece en este artículo. </w:t>
      </w:r>
    </w:p>
    <w:p w14:paraId="5A996500" w14:textId="77777777" w:rsidR="00C637D2" w:rsidRPr="007370B3" w:rsidRDefault="00C637D2" w:rsidP="00C637D2">
      <w:pPr>
        <w:spacing w:after="0" w:line="240" w:lineRule="auto"/>
        <w:ind w:left="709" w:right="709"/>
        <w:jc w:val="both"/>
        <w:rPr>
          <w:rFonts w:ascii="Verdana" w:eastAsia="Arial" w:hAnsi="Verdana" w:cs="Arial"/>
          <w:color w:val="000000"/>
          <w:sz w:val="20"/>
        </w:rPr>
      </w:pPr>
    </w:p>
    <w:p w14:paraId="49C488E4" w14:textId="77777777" w:rsidR="00C637D2" w:rsidRDefault="00C637D2" w:rsidP="00C637D2">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El proceso de licitación, las reglas para la celebración, ejecución y terminación de los contratos se sujetarán a las normas de la presente ley, sin perjuicio de las reglas generales previstas en las normas de contratación estatal vigentes. </w:t>
      </w:r>
    </w:p>
    <w:p w14:paraId="13C46F25" w14:textId="77777777" w:rsidR="00C637D2" w:rsidRPr="007370B3" w:rsidRDefault="00C637D2" w:rsidP="00C637D2">
      <w:pPr>
        <w:spacing w:after="0" w:line="240" w:lineRule="auto"/>
        <w:ind w:left="709" w:right="709"/>
        <w:jc w:val="both"/>
        <w:rPr>
          <w:rFonts w:ascii="Verdana" w:eastAsia="Arial" w:hAnsi="Verdana" w:cs="Arial"/>
          <w:color w:val="000000"/>
          <w:sz w:val="20"/>
        </w:rPr>
      </w:pPr>
    </w:p>
    <w:p w14:paraId="71E88986" w14:textId="77777777" w:rsidR="00C637D2" w:rsidRDefault="00C637D2" w:rsidP="00C637D2">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El valor mínimo de los derechos de explotación, para los términos del proceso de licitación al que se refiere el presente artículo, será definido por la Asamblea como un porcentaje mínimo sobre las ventas, igual para todos los productos, que no podrá depender de volúmenes, precios, marcas o tipos de producto. Dicho valor, debe estar soportado por un estudio técnico que verifique su idoneidad y compatibilidad con los principios del artículo 6° de la presente ley. </w:t>
      </w:r>
    </w:p>
    <w:p w14:paraId="00F0C488" w14:textId="77777777" w:rsidR="00C637D2" w:rsidRPr="007370B3" w:rsidRDefault="00C637D2" w:rsidP="00C637D2">
      <w:pPr>
        <w:spacing w:after="0" w:line="240" w:lineRule="auto"/>
        <w:ind w:left="709" w:right="709"/>
        <w:jc w:val="both"/>
        <w:rPr>
          <w:rFonts w:ascii="Verdana" w:eastAsia="Arial" w:hAnsi="Verdana" w:cs="Arial"/>
          <w:color w:val="000000"/>
          <w:sz w:val="20"/>
        </w:rPr>
      </w:pPr>
    </w:p>
    <w:p w14:paraId="2FB049C8" w14:textId="77777777" w:rsidR="00C637D2" w:rsidRPr="007370B3" w:rsidRDefault="00C637D2" w:rsidP="00C637D2">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Los contratos tendrán una duración de entre cinco (5) y diez (10) años. Podrán prorrogarse por una vez y hasta por la mitad del tiempo inicial, caso en el cual el contratista continuará remunerando al departamento los derechos de explotación resultantes del proceso licitatorio del contrato inicial. Así mismo, las prórrogas no podrán ser ni automáticas ni gratuitas. </w:t>
      </w:r>
    </w:p>
    <w:p w14:paraId="190B563A" w14:textId="77777777" w:rsidR="00C637D2" w:rsidRPr="007370B3" w:rsidRDefault="00C637D2" w:rsidP="00C637D2">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El proceso de adjudicación de los contratos deberá cumplir los principios de competencia, igualdad en el trato y en el acceso a mercados, y no discriminación, de conformidad con las reglas definidas en la presente ley</w:t>
      </w:r>
      <w:r>
        <w:rPr>
          <w:rFonts w:ascii="Verdana" w:eastAsia="Arial" w:hAnsi="Verdana" w:cs="Arial"/>
          <w:color w:val="000000"/>
          <w:sz w:val="20"/>
        </w:rPr>
        <w:t>”</w:t>
      </w:r>
      <w:r w:rsidRPr="007370B3">
        <w:rPr>
          <w:rFonts w:ascii="Verdana" w:eastAsia="Arial" w:hAnsi="Verdana" w:cs="Arial"/>
          <w:color w:val="000000"/>
          <w:sz w:val="20"/>
        </w:rPr>
        <w:t>. </w:t>
      </w:r>
    </w:p>
    <w:p w14:paraId="62F7A282" w14:textId="77777777" w:rsidR="00C637D2" w:rsidRDefault="00C637D2" w:rsidP="00C637D2">
      <w:pPr>
        <w:spacing w:after="0" w:line="276" w:lineRule="auto"/>
        <w:jc w:val="both"/>
        <w:rPr>
          <w:rFonts w:ascii="Verdana" w:eastAsia="Arial" w:hAnsi="Verdana" w:cs="Arial"/>
          <w:color w:val="000000"/>
        </w:rPr>
      </w:pPr>
    </w:p>
    <w:p w14:paraId="51223698" w14:textId="77777777" w:rsidR="00C637D2" w:rsidRDefault="00C637D2" w:rsidP="00C637D2">
      <w:pPr>
        <w:spacing w:after="0" w:line="276" w:lineRule="auto"/>
        <w:ind w:firstLine="709"/>
        <w:jc w:val="both"/>
        <w:rPr>
          <w:rFonts w:ascii="Verdana" w:eastAsia="Arial" w:hAnsi="Verdana" w:cs="Arial"/>
          <w:color w:val="000000"/>
          <w:lang w:val="es-ES"/>
        </w:rPr>
      </w:pPr>
      <w:r w:rsidRPr="002B0BF7">
        <w:rPr>
          <w:rFonts w:ascii="Verdana" w:eastAsia="Arial" w:hAnsi="Verdana" w:cs="Arial"/>
          <w:color w:val="000000"/>
        </w:rPr>
        <w:t xml:space="preserve">En tales eventos, se entiende que el </w:t>
      </w:r>
      <w:r>
        <w:rPr>
          <w:rFonts w:ascii="Verdana" w:eastAsia="Arial" w:hAnsi="Verdana" w:cs="Arial"/>
          <w:color w:val="000000"/>
        </w:rPr>
        <w:t>D</w:t>
      </w:r>
      <w:r w:rsidRPr="002B0BF7">
        <w:rPr>
          <w:rFonts w:ascii="Verdana" w:eastAsia="Arial" w:hAnsi="Verdana" w:cs="Arial"/>
          <w:color w:val="000000"/>
        </w:rPr>
        <w:t>epartamento ejerce el monopolio por intermedio de un particular, quien, durante un plazo determinado</w:t>
      </w:r>
      <w:r w:rsidRPr="00564D81">
        <w:t xml:space="preserve"> </w:t>
      </w:r>
      <w:r>
        <w:t>-</w:t>
      </w:r>
      <w:r w:rsidRPr="00564D81">
        <w:rPr>
          <w:rFonts w:ascii="Verdana" w:eastAsia="Arial" w:hAnsi="Verdana" w:cs="Arial"/>
          <w:color w:val="000000"/>
        </w:rPr>
        <w:t>entre 5 o 10 años, prorrogables hasta por la mitad del tiempo inicial</w:t>
      </w:r>
      <w:r>
        <w:rPr>
          <w:rFonts w:ascii="Verdana" w:eastAsia="Arial" w:hAnsi="Verdana" w:cs="Arial"/>
          <w:color w:val="000000"/>
        </w:rPr>
        <w:t>-</w:t>
      </w:r>
      <w:r w:rsidRPr="00564D81">
        <w:rPr>
          <w:rFonts w:ascii="Verdana" w:eastAsia="Arial" w:hAnsi="Verdana" w:cs="Arial"/>
          <w:color w:val="000000"/>
        </w:rPr>
        <w:t>,</w:t>
      </w:r>
      <w:r w:rsidRPr="002B0BF7">
        <w:rPr>
          <w:rFonts w:ascii="Verdana" w:eastAsia="Arial" w:hAnsi="Verdana" w:cs="Arial"/>
          <w:color w:val="000000"/>
        </w:rPr>
        <w:t xml:space="preserve"> se encarga de la producción del licor y reconoce al Estado la participación correspondiente y los derechos de explotación, en su condición de titular de estas rentas.</w:t>
      </w:r>
      <w:r>
        <w:rPr>
          <w:rFonts w:ascii="Verdana" w:eastAsia="Arial" w:hAnsi="Verdana" w:cs="Arial"/>
          <w:color w:val="000000"/>
        </w:rPr>
        <w:t xml:space="preserve"> En este sentido, </w:t>
      </w:r>
      <w:r w:rsidRPr="009E3ADE">
        <w:rPr>
          <w:rFonts w:ascii="Verdana" w:eastAsia="Arial" w:hAnsi="Verdana" w:cs="Arial"/>
          <w:color w:val="000000"/>
          <w:lang w:val="es-ES"/>
        </w:rPr>
        <w:t>el departamento mantiene su monopolio, pero lo entrega de forma temporal a un tercero, quien percibirá las ganancias que dejen las ventas y el consumo, pero deberá entregar al departamento las rentas del monopolio: participación y derechos de explotación. La decisión sobre cualquiera de estas modalidades es exclusiva del departamento, quien es autónomo para determinar cuál es la forma más conveniente de ejercer su monopolio, dentro de los términos del régimen especial, de sus finalidades y principios.</w:t>
      </w:r>
    </w:p>
    <w:p w14:paraId="289553D1" w14:textId="77777777" w:rsidR="00C637D2" w:rsidRDefault="00C637D2" w:rsidP="00C637D2">
      <w:pPr>
        <w:spacing w:after="0" w:line="276" w:lineRule="auto"/>
        <w:jc w:val="both"/>
        <w:rPr>
          <w:rFonts w:ascii="Verdana" w:eastAsia="Arial" w:hAnsi="Verdana" w:cs="Arial"/>
          <w:color w:val="000000"/>
          <w:lang w:val="es-ES"/>
        </w:rPr>
      </w:pPr>
    </w:p>
    <w:p w14:paraId="03BD304D" w14:textId="77777777" w:rsidR="00C637D2" w:rsidRPr="00AE72BF" w:rsidRDefault="00C637D2" w:rsidP="00C637D2">
      <w:pPr>
        <w:spacing w:after="120" w:line="276" w:lineRule="auto"/>
        <w:jc w:val="both"/>
        <w:rPr>
          <w:rFonts w:ascii="Verdana" w:eastAsia="Arial" w:hAnsi="Verdana" w:cs="Arial"/>
          <w:color w:val="000000"/>
        </w:rPr>
      </w:pPr>
      <w:r>
        <w:rPr>
          <w:rFonts w:ascii="Verdana" w:eastAsia="Arial" w:hAnsi="Verdana" w:cs="Arial"/>
          <w:color w:val="000000"/>
          <w:lang w:val="es-ES"/>
        </w:rPr>
        <w:t>iv. Teniendo en cuenta lo expuesto, se advierte que, e</w:t>
      </w:r>
      <w:r w:rsidRPr="00AE72BF">
        <w:rPr>
          <w:rFonts w:ascii="Verdana" w:eastAsia="Arial" w:hAnsi="Verdana" w:cs="Arial"/>
          <w:color w:val="000000"/>
        </w:rPr>
        <w:t xml:space="preserve">n los </w:t>
      </w:r>
      <w:r>
        <w:rPr>
          <w:rFonts w:ascii="Verdana" w:eastAsia="Arial" w:hAnsi="Verdana" w:cs="Arial"/>
          <w:color w:val="000000"/>
        </w:rPr>
        <w:t xml:space="preserve">supuestos </w:t>
      </w:r>
      <w:r w:rsidRPr="00AE72BF">
        <w:rPr>
          <w:rFonts w:ascii="Verdana" w:eastAsia="Arial" w:hAnsi="Verdana" w:cs="Arial"/>
          <w:color w:val="000000"/>
        </w:rPr>
        <w:t xml:space="preserve">en que el </w:t>
      </w:r>
      <w:r>
        <w:rPr>
          <w:rFonts w:ascii="Verdana" w:eastAsia="Arial" w:hAnsi="Verdana" w:cs="Arial"/>
          <w:color w:val="000000"/>
        </w:rPr>
        <w:t>D</w:t>
      </w:r>
      <w:r w:rsidRPr="00AE72BF">
        <w:rPr>
          <w:rFonts w:ascii="Verdana" w:eastAsia="Arial" w:hAnsi="Verdana" w:cs="Arial"/>
          <w:color w:val="000000"/>
        </w:rPr>
        <w:t>epartamento opta por celebrar contratos con terceros para el ejercicio del monopolio sobre la producción de lico</w:t>
      </w:r>
      <w:r>
        <w:rPr>
          <w:rFonts w:ascii="Verdana" w:eastAsia="Arial" w:hAnsi="Verdana" w:cs="Arial"/>
          <w:color w:val="000000"/>
        </w:rPr>
        <w:t>res destilados, se configura un</w:t>
      </w:r>
      <w:r w:rsidRPr="00AE72BF">
        <w:rPr>
          <w:rFonts w:ascii="Verdana" w:eastAsia="Arial" w:hAnsi="Verdana" w:cs="Arial"/>
          <w:color w:val="000000"/>
        </w:rPr>
        <w:t xml:space="preserve"> </w:t>
      </w:r>
      <w:r>
        <w:rPr>
          <w:rFonts w:ascii="Verdana" w:eastAsia="Arial" w:hAnsi="Verdana" w:cs="Arial"/>
          <w:color w:val="000000"/>
        </w:rPr>
        <w:t xml:space="preserve">tipo contractual </w:t>
      </w:r>
      <w:r w:rsidRPr="00AE72BF">
        <w:rPr>
          <w:rFonts w:ascii="Verdana" w:eastAsia="Arial" w:hAnsi="Verdana" w:cs="Arial"/>
          <w:color w:val="000000"/>
        </w:rPr>
        <w:t>especial</w:t>
      </w:r>
      <w:r>
        <w:rPr>
          <w:rFonts w:ascii="Verdana" w:eastAsia="Arial" w:hAnsi="Verdana" w:cs="Arial"/>
          <w:color w:val="000000"/>
        </w:rPr>
        <w:t>,</w:t>
      </w:r>
      <w:r w:rsidRPr="00AE72BF">
        <w:rPr>
          <w:rFonts w:ascii="Verdana" w:eastAsia="Arial" w:hAnsi="Verdana" w:cs="Arial"/>
          <w:color w:val="000000"/>
        </w:rPr>
        <w:t xml:space="preserve"> mediante la cual se habilita a un particular, por un tiempo </w:t>
      </w:r>
      <w:r w:rsidRPr="00AE72BF">
        <w:rPr>
          <w:rFonts w:ascii="Verdana" w:eastAsia="Arial" w:hAnsi="Verdana" w:cs="Arial"/>
          <w:color w:val="000000"/>
        </w:rPr>
        <w:lastRenderedPageBreak/>
        <w:t xml:space="preserve">determinado, para explotar una actividad reservada constitucional y legalmente al ente territorial. En este esquema, el </w:t>
      </w:r>
      <w:r>
        <w:rPr>
          <w:rFonts w:ascii="Verdana" w:eastAsia="Arial" w:hAnsi="Verdana" w:cs="Arial"/>
          <w:color w:val="000000"/>
        </w:rPr>
        <w:t>D</w:t>
      </w:r>
      <w:r w:rsidRPr="00AE72BF">
        <w:rPr>
          <w:rFonts w:ascii="Verdana" w:eastAsia="Arial" w:hAnsi="Verdana" w:cs="Arial"/>
          <w:color w:val="000000"/>
        </w:rPr>
        <w:t xml:space="preserve">epartamento conserva la titularidad del monopolio como arbitrio rentístico y transfiere de manera temporal a un tercero el ejercicio de la actividad productiva, a cambio del pago de la participación y de los derechos de explotación definidos en </w:t>
      </w:r>
      <w:r>
        <w:rPr>
          <w:rFonts w:ascii="Verdana" w:eastAsia="Arial" w:hAnsi="Verdana" w:cs="Arial"/>
          <w:color w:val="000000"/>
        </w:rPr>
        <w:t xml:space="preserve">la modalidad de licitación pública mediante subasta ascendente. </w:t>
      </w:r>
    </w:p>
    <w:p w14:paraId="0BF2B65E" w14:textId="77777777" w:rsidR="00C637D2" w:rsidRPr="00AE72BF" w:rsidRDefault="00C637D2" w:rsidP="00C637D2">
      <w:pPr>
        <w:spacing w:after="120" w:line="276" w:lineRule="auto"/>
        <w:ind w:firstLine="708"/>
        <w:jc w:val="both"/>
        <w:rPr>
          <w:rFonts w:ascii="Verdana" w:eastAsia="Arial" w:hAnsi="Verdana" w:cs="Arial"/>
          <w:color w:val="000000"/>
        </w:rPr>
      </w:pPr>
      <w:r w:rsidRPr="00AE72BF">
        <w:rPr>
          <w:rFonts w:ascii="Verdana" w:eastAsia="Arial" w:hAnsi="Verdana" w:cs="Arial"/>
          <w:color w:val="000000"/>
        </w:rPr>
        <w:t xml:space="preserve">Este tipo </w:t>
      </w:r>
      <w:r>
        <w:rPr>
          <w:rFonts w:ascii="Verdana" w:eastAsia="Arial" w:hAnsi="Verdana" w:cs="Arial"/>
          <w:color w:val="000000"/>
        </w:rPr>
        <w:t xml:space="preserve">contractual </w:t>
      </w:r>
      <w:r w:rsidRPr="00AE72BF">
        <w:rPr>
          <w:rFonts w:ascii="Verdana" w:eastAsia="Arial" w:hAnsi="Verdana" w:cs="Arial"/>
          <w:color w:val="000000"/>
        </w:rPr>
        <w:t xml:space="preserve">presenta </w:t>
      </w:r>
      <w:r>
        <w:rPr>
          <w:rFonts w:ascii="Verdana" w:eastAsia="Arial" w:hAnsi="Verdana" w:cs="Arial"/>
          <w:color w:val="000000"/>
        </w:rPr>
        <w:t xml:space="preserve">características propias </w:t>
      </w:r>
      <w:r w:rsidRPr="00AE72BF">
        <w:rPr>
          <w:rFonts w:ascii="Verdana" w:eastAsia="Arial" w:hAnsi="Verdana" w:cs="Arial"/>
          <w:color w:val="000000"/>
        </w:rPr>
        <w:t>de la concesión, en la medida en que el particular asume la operación y explotación de una actividad económica de titularidad pública, percibe los ingresos derivados de su eje</w:t>
      </w:r>
      <w:r>
        <w:rPr>
          <w:rFonts w:ascii="Verdana" w:eastAsia="Arial" w:hAnsi="Verdana" w:cs="Arial"/>
          <w:color w:val="000000"/>
        </w:rPr>
        <w:t xml:space="preserve">rcicio y, a su vez, remunera a los departamentos </w:t>
      </w:r>
      <w:r w:rsidRPr="00AE72BF">
        <w:rPr>
          <w:rFonts w:ascii="Verdana" w:eastAsia="Arial" w:hAnsi="Verdana" w:cs="Arial"/>
          <w:color w:val="000000"/>
        </w:rPr>
        <w:t>mediante las rentas del monopolio. Sin embargo, no puede asimilarse en sentido estricto al contrato de concesión regulado en el numeral 4 del artículo 32 de la Ley 80 de 1993, por cuanto no tiene por objeto la prestación de un servicio público o la construcción, operación o mantenimiento de una obra pública, sino el ejercicio de un monopolio rentístico sometido a un régimen constitucional y legal especial.</w:t>
      </w:r>
    </w:p>
    <w:p w14:paraId="794AF70E" w14:textId="77777777" w:rsidR="00C637D2" w:rsidRPr="00AE72BF" w:rsidRDefault="00C637D2" w:rsidP="00C637D2">
      <w:pPr>
        <w:spacing w:after="0" w:line="276" w:lineRule="auto"/>
        <w:ind w:firstLine="709"/>
        <w:jc w:val="both"/>
        <w:rPr>
          <w:rFonts w:ascii="Verdana" w:eastAsia="Arial" w:hAnsi="Verdana" w:cs="Arial"/>
          <w:color w:val="000000"/>
        </w:rPr>
      </w:pPr>
      <w:r>
        <w:rPr>
          <w:rFonts w:ascii="Verdana" w:eastAsia="Arial" w:hAnsi="Verdana" w:cs="Arial"/>
          <w:color w:val="000000"/>
        </w:rPr>
        <w:t>Por tanto</w:t>
      </w:r>
      <w:r w:rsidRPr="00AE72BF">
        <w:rPr>
          <w:rFonts w:ascii="Verdana" w:eastAsia="Arial" w:hAnsi="Verdana" w:cs="Arial"/>
          <w:color w:val="000000"/>
        </w:rPr>
        <w:t xml:space="preserve">, se trata de una concesión </w:t>
      </w:r>
      <w:r w:rsidRPr="00686594">
        <w:rPr>
          <w:rFonts w:ascii="Verdana" w:eastAsia="Arial" w:hAnsi="Verdana" w:cs="Arial"/>
          <w:i/>
          <w:color w:val="000000"/>
        </w:rPr>
        <w:t>sui generis</w:t>
      </w:r>
      <w:r w:rsidRPr="00AE72BF">
        <w:rPr>
          <w:rFonts w:ascii="Verdana" w:eastAsia="Arial" w:hAnsi="Verdana" w:cs="Arial"/>
          <w:color w:val="000000"/>
        </w:rPr>
        <w:t>, propia del r</w:t>
      </w:r>
      <w:r>
        <w:rPr>
          <w:rFonts w:ascii="Verdana" w:eastAsia="Arial" w:hAnsi="Verdana" w:cs="Arial"/>
          <w:color w:val="000000"/>
        </w:rPr>
        <w:t>égimen de monopolios rentístico definido en el artículo 336 de la Constitución Política y la Ley 1816 de 2016, caracterizada por: a</w:t>
      </w:r>
      <w:r w:rsidRPr="00AE72BF">
        <w:rPr>
          <w:rFonts w:ascii="Verdana" w:eastAsia="Arial" w:hAnsi="Verdana" w:cs="Arial"/>
          <w:color w:val="000000"/>
        </w:rPr>
        <w:t>) la reserva legal de la actividad en cabeza</w:t>
      </w:r>
      <w:r>
        <w:rPr>
          <w:rFonts w:ascii="Verdana" w:eastAsia="Arial" w:hAnsi="Verdana" w:cs="Arial"/>
          <w:color w:val="000000"/>
        </w:rPr>
        <w:t xml:space="preserve"> del departamento; </w:t>
      </w:r>
      <w:r w:rsidRPr="00AE72BF">
        <w:rPr>
          <w:rFonts w:ascii="Verdana" w:eastAsia="Arial" w:hAnsi="Verdana" w:cs="Arial"/>
          <w:color w:val="000000"/>
        </w:rPr>
        <w:t xml:space="preserve">ii) la transferencia </w:t>
      </w:r>
      <w:r>
        <w:rPr>
          <w:rFonts w:ascii="Verdana" w:eastAsia="Arial" w:hAnsi="Verdana" w:cs="Arial"/>
          <w:color w:val="000000"/>
        </w:rPr>
        <w:t xml:space="preserve">solo </w:t>
      </w:r>
      <w:r w:rsidRPr="00AE72BF">
        <w:rPr>
          <w:rFonts w:ascii="Verdana" w:eastAsia="Arial" w:hAnsi="Verdana" w:cs="Arial"/>
          <w:color w:val="000000"/>
        </w:rPr>
        <w:t>del ejercicio del monopo</w:t>
      </w:r>
      <w:r>
        <w:rPr>
          <w:rFonts w:ascii="Verdana" w:eastAsia="Arial" w:hAnsi="Verdana" w:cs="Arial"/>
          <w:color w:val="000000"/>
        </w:rPr>
        <w:t xml:space="preserve">lio, mas no de su titularidad; </w:t>
      </w:r>
      <w:r w:rsidRPr="00AE72BF">
        <w:rPr>
          <w:rFonts w:ascii="Verdana" w:eastAsia="Arial" w:hAnsi="Verdana" w:cs="Arial"/>
          <w:color w:val="000000"/>
        </w:rPr>
        <w:t>iii) la sujeción a reglas especiales en materia de selección, duració</w:t>
      </w:r>
      <w:r>
        <w:rPr>
          <w:rFonts w:ascii="Verdana" w:eastAsia="Arial" w:hAnsi="Verdana" w:cs="Arial"/>
          <w:color w:val="000000"/>
        </w:rPr>
        <w:t xml:space="preserve">n, prórrogas </w:t>
      </w:r>
      <w:r w:rsidRPr="00A76DF5">
        <w:rPr>
          <w:rFonts w:ascii="Verdana" w:eastAsia="Arial" w:hAnsi="Verdana" w:cs="Arial"/>
          <w:color w:val="000000"/>
        </w:rPr>
        <w:t>-entre 5 o 10 años, prorrogables hasta por la mitad del tiempo inicial-</w:t>
      </w:r>
      <w:r w:rsidRPr="003C182D">
        <w:rPr>
          <w:rFonts w:ascii="Verdana" w:eastAsia="Arial" w:hAnsi="Verdana" w:cs="Arial"/>
          <w:color w:val="000000"/>
        </w:rPr>
        <w:t xml:space="preserve"> y remuneración;</w:t>
      </w:r>
      <w:r>
        <w:rPr>
          <w:rFonts w:ascii="Verdana" w:eastAsia="Arial" w:hAnsi="Verdana" w:cs="Arial"/>
          <w:color w:val="000000"/>
        </w:rPr>
        <w:t xml:space="preserve"> y </w:t>
      </w:r>
      <w:r w:rsidRPr="00AE72BF">
        <w:rPr>
          <w:rFonts w:ascii="Verdana" w:eastAsia="Arial" w:hAnsi="Verdana" w:cs="Arial"/>
          <w:color w:val="000000"/>
        </w:rPr>
        <w:t xml:space="preserve">iv) </w:t>
      </w:r>
      <w:r>
        <w:rPr>
          <w:rFonts w:ascii="Verdana" w:eastAsia="Arial" w:hAnsi="Verdana" w:cs="Arial"/>
          <w:color w:val="000000"/>
        </w:rPr>
        <w:t xml:space="preserve">el fin </w:t>
      </w:r>
      <w:r w:rsidRPr="00AE72BF">
        <w:rPr>
          <w:rFonts w:ascii="Verdana" w:eastAsia="Arial" w:hAnsi="Verdana" w:cs="Arial"/>
          <w:color w:val="000000"/>
        </w:rPr>
        <w:t>primordial de garantizar ingresos fiscales para la entidad territorial</w:t>
      </w:r>
      <w:r>
        <w:rPr>
          <w:rFonts w:ascii="Verdana" w:eastAsia="Arial" w:hAnsi="Verdana" w:cs="Arial"/>
          <w:color w:val="000000"/>
        </w:rPr>
        <w:t>, que está</w:t>
      </w:r>
      <w:r w:rsidRPr="00672B45">
        <w:rPr>
          <w:rFonts w:ascii="Arial" w:eastAsia="Times New Roman" w:hAnsi="Arial" w:cs="Arial"/>
          <w:color w:val="000000"/>
          <w:sz w:val="21"/>
          <w:szCs w:val="21"/>
        </w:rPr>
        <w:t xml:space="preserve"> </w:t>
      </w:r>
      <w:r>
        <w:rPr>
          <w:rFonts w:ascii="Arial" w:eastAsia="Times New Roman" w:hAnsi="Arial" w:cs="Arial"/>
          <w:color w:val="000000"/>
          <w:sz w:val="21"/>
          <w:szCs w:val="21"/>
        </w:rPr>
        <w:t>a</w:t>
      </w:r>
      <w:r w:rsidRPr="00672B45">
        <w:rPr>
          <w:rFonts w:ascii="Verdana" w:eastAsia="Arial" w:hAnsi="Verdana" w:cs="Arial"/>
          <w:color w:val="000000"/>
        </w:rPr>
        <w:t xml:space="preserve">sociada a la financiación preferente de los servicios de educación y salud y al de garantizar la </w:t>
      </w:r>
      <w:r>
        <w:rPr>
          <w:rFonts w:ascii="Verdana" w:eastAsia="Arial" w:hAnsi="Verdana" w:cs="Arial"/>
          <w:color w:val="000000"/>
        </w:rPr>
        <w:t xml:space="preserve">protección de la salud pública. </w:t>
      </w:r>
      <w:r w:rsidRPr="00AE72BF">
        <w:rPr>
          <w:rFonts w:ascii="Verdana" w:eastAsia="Arial" w:hAnsi="Verdana" w:cs="Arial"/>
          <w:color w:val="000000"/>
        </w:rPr>
        <w:t>En consecuencia, aunque el contrato comparte elemento</w:t>
      </w:r>
      <w:r>
        <w:rPr>
          <w:rFonts w:ascii="Verdana" w:eastAsia="Arial" w:hAnsi="Verdana" w:cs="Arial"/>
          <w:color w:val="000000"/>
        </w:rPr>
        <w:t>s funcionales con la concesión regulada en la Ley 80 de 1993</w:t>
      </w:r>
      <w:r w:rsidRPr="00AE72BF">
        <w:rPr>
          <w:rFonts w:ascii="Verdana" w:eastAsia="Arial" w:hAnsi="Verdana" w:cs="Arial"/>
          <w:color w:val="000000"/>
        </w:rPr>
        <w:t>, su naturaleza jurídica se explica a partir del régimen del monopolio como arbitrio rentístico y no del Estatuto General de Contratación en su regulación ordinaria de las concesiones.</w:t>
      </w:r>
    </w:p>
    <w:p w14:paraId="4BF4DC28" w14:textId="77777777" w:rsidR="00C637D2" w:rsidRPr="00666713" w:rsidRDefault="00C637D2" w:rsidP="00C637D2">
      <w:pPr>
        <w:spacing w:after="0" w:line="276" w:lineRule="auto"/>
        <w:jc w:val="both"/>
        <w:rPr>
          <w:rFonts w:ascii="Verdana" w:hAnsi="Verdana" w:cs="Arial"/>
          <w:bCs/>
        </w:rPr>
      </w:pPr>
    </w:p>
    <w:bookmarkEnd w:id="1"/>
    <w:p w14:paraId="0BAEBEFB" w14:textId="77777777" w:rsidR="00C637D2" w:rsidRPr="00B16AC6" w:rsidRDefault="00C637D2" w:rsidP="00C637D2">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w:t>
      </w:r>
      <w:r w:rsidRPr="00B17041">
        <w:rPr>
          <w:rFonts w:ascii="Verdana" w:hAnsi="Verdana" w:cs="Arial"/>
          <w:lang w:val="es-ES_tradnl" w:eastAsia="es-ES"/>
        </w:rPr>
        <w:t xml:space="preserve">debe ser realizado por quienes tengan interés en ello, de acuerdo con lo explicado la aclaración preliminar del presente oficio. De esta manera, las afirmaciones aquí realizadas no pueden ser interpretadas como juicios de valor sobre circunstancias concretas relacionadas </w:t>
      </w:r>
      <w:r w:rsidRPr="00B17041">
        <w:rPr>
          <w:rFonts w:ascii="Verdana" w:hAnsi="Verdana" w:cs="Arial"/>
          <w:lang w:val="es-ES_tradnl" w:eastAsia="es-ES"/>
        </w:rPr>
        <w:lastRenderedPageBreak/>
        <w:t>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9E14B7F" w14:textId="77777777" w:rsidR="00C637D2" w:rsidRPr="00B17041" w:rsidRDefault="00C637D2" w:rsidP="00C637D2">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31A1656" w14:textId="77777777" w:rsidR="00C637D2" w:rsidRPr="00CD0DCD" w:rsidRDefault="00C637D2" w:rsidP="00C637D2">
      <w:pPr>
        <w:spacing w:after="0" w:line="276" w:lineRule="auto"/>
        <w:jc w:val="both"/>
        <w:rPr>
          <w:rFonts w:ascii="Verdana" w:eastAsia="Calibri" w:hAnsi="Verdana" w:cs="Arial"/>
          <w:lang w:val="es-ES" w:eastAsia="es-MX"/>
        </w:rPr>
      </w:pPr>
    </w:p>
    <w:p w14:paraId="7AD7BADA" w14:textId="77777777" w:rsidR="00C637D2" w:rsidRPr="00B57A1B" w:rsidRDefault="00C637D2" w:rsidP="00C637D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Referencias normativas</w:t>
      </w:r>
      <w:r>
        <w:rPr>
          <w:rFonts w:ascii="Verdana" w:eastAsia="Century Gothic" w:hAnsi="Verdana" w:cs="Century Gothic"/>
          <w:b/>
          <w:bCs/>
          <w:lang w:val="es-ES"/>
        </w:rPr>
        <w:t>:</w:t>
      </w:r>
    </w:p>
    <w:p w14:paraId="412846B0" w14:textId="77777777" w:rsidR="00C637D2" w:rsidRPr="00B57A1B" w:rsidRDefault="00C637D2" w:rsidP="00C637D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637D2" w:rsidRPr="00B57A1B" w14:paraId="3D5E8707" w14:textId="77777777" w:rsidTr="00C406A3">
        <w:trPr>
          <w:trHeight w:val="487"/>
          <w:jc w:val="center"/>
        </w:trPr>
        <w:tc>
          <w:tcPr>
            <w:tcW w:w="8647" w:type="dxa"/>
          </w:tcPr>
          <w:p w14:paraId="412CB3C4" w14:textId="77777777" w:rsidR="00C637D2" w:rsidRPr="00C279C5" w:rsidRDefault="00C637D2" w:rsidP="00C406A3">
            <w:pPr>
              <w:numPr>
                <w:ilvl w:val="0"/>
                <w:numId w:val="17"/>
              </w:numPr>
              <w:spacing w:before="120"/>
              <w:rPr>
                <w:rFonts w:ascii="Verdana" w:hAnsi="Verdana" w:cs="Arial"/>
                <w:shd w:val="clear" w:color="auto" w:fill="FFFFFF"/>
                <w:lang w:val="es-ES"/>
              </w:rPr>
            </w:pPr>
            <w:r>
              <w:rPr>
                <w:rFonts w:ascii="Verdana" w:hAnsi="Verdana" w:cs="Arial"/>
                <w:shd w:val="clear" w:color="auto" w:fill="FFFFFF"/>
              </w:rPr>
              <w:t xml:space="preserve"> </w:t>
            </w:r>
            <w:r w:rsidRPr="00C279C5">
              <w:rPr>
                <w:rFonts w:ascii="Verdana" w:hAnsi="Verdana" w:cs="Arial"/>
                <w:shd w:val="clear" w:color="auto" w:fill="FFFFFF"/>
                <w:lang w:val="es-ES"/>
              </w:rPr>
              <w:t>Constituc</w:t>
            </w:r>
            <w:r>
              <w:rPr>
                <w:rFonts w:ascii="Verdana" w:hAnsi="Verdana" w:cs="Arial"/>
                <w:shd w:val="clear" w:color="auto" w:fill="FFFFFF"/>
                <w:lang w:val="es-ES"/>
              </w:rPr>
              <w:t>ión Política de 1991, artículo 336.</w:t>
            </w:r>
          </w:p>
          <w:p w14:paraId="6AF93A45" w14:textId="77777777" w:rsidR="00C637D2" w:rsidRPr="00C279C5" w:rsidRDefault="00C637D2" w:rsidP="00C406A3">
            <w:pPr>
              <w:widowControl w:val="0"/>
              <w:numPr>
                <w:ilvl w:val="0"/>
                <w:numId w:val="17"/>
              </w:numPr>
              <w:autoSpaceDE w:val="0"/>
              <w:autoSpaceDN w:val="0"/>
              <w:spacing w:before="120" w:after="120" w:line="276" w:lineRule="auto"/>
              <w:jc w:val="both"/>
              <w:rPr>
                <w:rFonts w:ascii="Verdana" w:hAnsi="Verdana" w:cs="Arial"/>
                <w:shd w:val="clear" w:color="auto" w:fill="FFFFFF"/>
                <w:lang w:val="es-ES"/>
              </w:rPr>
            </w:pPr>
            <w:r w:rsidRPr="00C279C5">
              <w:rPr>
                <w:rFonts w:ascii="Verdana" w:hAnsi="Verdana" w:cs="Arial"/>
                <w:shd w:val="clear" w:color="auto" w:fill="FFFFFF"/>
                <w:lang w:val="es-ES"/>
              </w:rPr>
              <w:t xml:space="preserve">Ley </w:t>
            </w:r>
            <w:r>
              <w:rPr>
                <w:rFonts w:ascii="Verdana" w:hAnsi="Verdana" w:cs="Arial"/>
                <w:shd w:val="clear" w:color="auto" w:fill="FFFFFF"/>
                <w:lang w:val="es-ES"/>
              </w:rPr>
              <w:t>80 de 1993, artículo 32.</w:t>
            </w:r>
          </w:p>
          <w:p w14:paraId="763D61A0" w14:textId="77777777" w:rsidR="00C637D2" w:rsidRPr="00C279C5" w:rsidRDefault="00C637D2" w:rsidP="00C406A3">
            <w:pPr>
              <w:widowControl w:val="0"/>
              <w:numPr>
                <w:ilvl w:val="0"/>
                <w:numId w:val="17"/>
              </w:numPr>
              <w:autoSpaceDE w:val="0"/>
              <w:autoSpaceDN w:val="0"/>
              <w:spacing w:before="120" w:after="120" w:line="276" w:lineRule="auto"/>
              <w:jc w:val="both"/>
              <w:rPr>
                <w:rFonts w:ascii="Verdana" w:hAnsi="Verdana" w:cs="Arial"/>
                <w:shd w:val="clear" w:color="auto" w:fill="FFFFFF"/>
                <w:lang w:val="es-ES"/>
              </w:rPr>
            </w:pPr>
            <w:r>
              <w:rPr>
                <w:rFonts w:ascii="Verdana" w:hAnsi="Verdana" w:cs="Arial"/>
                <w:shd w:val="clear" w:color="auto" w:fill="FFFFFF"/>
                <w:lang w:val="es-ES"/>
              </w:rPr>
              <w:t>Ley 1816 de 2016, artículos 2, 7 y 8</w:t>
            </w:r>
            <w:r w:rsidRPr="00C279C5">
              <w:rPr>
                <w:rFonts w:ascii="Verdana" w:hAnsi="Verdana" w:cs="Arial"/>
                <w:shd w:val="clear" w:color="auto" w:fill="FFFFFF"/>
                <w:lang w:val="es-ES"/>
              </w:rPr>
              <w:t>.</w:t>
            </w:r>
          </w:p>
          <w:p w14:paraId="2BD71B02" w14:textId="77777777" w:rsidR="00C637D2" w:rsidRPr="00C279C5" w:rsidRDefault="00C637D2" w:rsidP="00C406A3">
            <w:pPr>
              <w:widowControl w:val="0"/>
              <w:numPr>
                <w:ilvl w:val="0"/>
                <w:numId w:val="17"/>
              </w:numPr>
              <w:autoSpaceDE w:val="0"/>
              <w:autoSpaceDN w:val="0"/>
              <w:spacing w:before="120" w:after="120" w:line="276" w:lineRule="auto"/>
              <w:jc w:val="both"/>
              <w:rPr>
                <w:rFonts w:ascii="Verdana" w:hAnsi="Verdana" w:cs="Arial"/>
                <w:shd w:val="clear" w:color="auto" w:fill="FFFFFF"/>
                <w:lang w:val="es-ES"/>
              </w:rPr>
            </w:pPr>
            <w:r w:rsidRPr="00C279C5">
              <w:rPr>
                <w:rFonts w:ascii="Verdana" w:hAnsi="Verdana" w:cs="Arial"/>
                <w:shd w:val="clear" w:color="auto" w:fill="FFFFFF"/>
                <w:lang w:val="es-ES"/>
              </w:rPr>
              <w:t>Ley 1150 de 2017, artículos 2, 13 y 14.</w:t>
            </w:r>
          </w:p>
          <w:p w14:paraId="7633D425" w14:textId="77777777" w:rsidR="00C637D2" w:rsidRPr="00B57A1B" w:rsidRDefault="00C637D2" w:rsidP="00C406A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279C5">
              <w:rPr>
                <w:rFonts w:ascii="Verdana" w:hAnsi="Verdana" w:cs="Arial"/>
                <w:shd w:val="clear" w:color="auto" w:fill="FFFFFF"/>
              </w:rPr>
              <w:t>Decreto 111 de 1996, artículo 110.</w:t>
            </w:r>
          </w:p>
        </w:tc>
      </w:tr>
    </w:tbl>
    <w:p w14:paraId="6E6EED7C" w14:textId="77777777" w:rsidR="00C637D2" w:rsidRPr="00B57A1B" w:rsidRDefault="00C637D2" w:rsidP="00C637D2">
      <w:pPr>
        <w:widowControl w:val="0"/>
        <w:autoSpaceDE w:val="0"/>
        <w:autoSpaceDN w:val="0"/>
        <w:spacing w:after="0" w:line="276" w:lineRule="auto"/>
        <w:jc w:val="both"/>
        <w:rPr>
          <w:rFonts w:ascii="Verdana" w:hAnsi="Verdana" w:cs="Arial"/>
        </w:rPr>
      </w:pPr>
    </w:p>
    <w:p w14:paraId="30999500" w14:textId="77777777" w:rsidR="00C637D2" w:rsidRPr="00B57A1B" w:rsidRDefault="00C637D2" w:rsidP="00C637D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0EF5EAA8" w14:textId="77777777" w:rsidR="00C637D2" w:rsidRPr="00B57A1B" w:rsidRDefault="00C637D2" w:rsidP="00C637D2">
      <w:pPr>
        <w:widowControl w:val="0"/>
        <w:autoSpaceDE w:val="0"/>
        <w:autoSpaceDN w:val="0"/>
        <w:spacing w:after="0" w:line="276" w:lineRule="auto"/>
        <w:jc w:val="both"/>
        <w:rPr>
          <w:rFonts w:ascii="Verdana" w:hAnsi="Verdana" w:cs="Arial"/>
        </w:rPr>
      </w:pPr>
    </w:p>
    <w:p w14:paraId="0B37F7B7" w14:textId="77777777" w:rsidR="00C637D2" w:rsidRPr="00A76DF5" w:rsidRDefault="00C637D2" w:rsidP="00C637D2">
      <w:pPr>
        <w:widowControl w:val="0"/>
        <w:autoSpaceDE w:val="0"/>
        <w:autoSpaceDN w:val="0"/>
        <w:spacing w:after="0" w:line="276" w:lineRule="auto"/>
        <w:jc w:val="both"/>
        <w:rPr>
          <w:rFonts w:ascii="Verdana" w:hAnsi="Verdana" w:cs="Arial"/>
          <w:shd w:val="clear" w:color="auto" w:fill="FFFFFF"/>
        </w:rPr>
      </w:pPr>
      <w:r w:rsidRPr="00A76DF5">
        <w:rPr>
          <w:rFonts w:ascii="Verdana" w:hAnsi="Verdana" w:cs="Arial"/>
          <w:shd w:val="clear" w:color="auto" w:fill="FFFFFF"/>
        </w:rPr>
        <w:t xml:space="preserve">Esta Subdirección se ha pronunciado sobre el Monopolio Rentístico en los conceptos </w:t>
      </w:r>
      <w:r w:rsidRPr="00A76DF5">
        <w:rPr>
          <w:rFonts w:ascii="Verdana" w:eastAsia="Arial" w:hAnsi="Verdana" w:cs="Arial"/>
          <w:lang w:val="es-ES"/>
        </w:rPr>
        <w:t>con radicado 2201913000009359 del 17 de diciembre de 2019, C- 617 del 4 de junio de 2025, entre otros.</w:t>
      </w:r>
      <w:r w:rsidRPr="00A76DF5">
        <w:rPr>
          <w:rFonts w:ascii="Verdana" w:hAnsi="Verdana" w:cs="Arial"/>
          <w:bCs/>
          <w:shd w:val="clear" w:color="auto" w:fill="FFFFFF"/>
          <w:lang w:val="es-ES"/>
        </w:rPr>
        <w:t xml:space="preserve"> </w:t>
      </w:r>
      <w:r w:rsidRPr="00A76DF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D26E24C" w14:textId="77777777" w:rsidR="00C637D2" w:rsidRPr="00A76DF5" w:rsidRDefault="00C637D2" w:rsidP="00C637D2">
      <w:pPr>
        <w:spacing w:after="0" w:line="256" w:lineRule="auto"/>
        <w:jc w:val="both"/>
        <w:rPr>
          <w:rFonts w:ascii="Verdana" w:eastAsia="Calibri" w:hAnsi="Verdana" w:cs="Times New Roman"/>
        </w:rPr>
      </w:pPr>
      <w:hyperlink r:id="rId13" w:history="1">
        <w:r w:rsidRPr="00A76DF5">
          <w:rPr>
            <w:rStyle w:val="Hipervnculo"/>
            <w:rFonts w:ascii="Verdana" w:eastAsia="Calibri" w:hAnsi="Verdana" w:cs="Times New Roman"/>
            <w:lang w:val="es-ES"/>
          </w:rPr>
          <w:t>https://relatoria.colombiacompra.gov.co/busqueda/conceptos</w:t>
        </w:r>
      </w:hyperlink>
      <w:r w:rsidRPr="00A76DF5">
        <w:rPr>
          <w:rFonts w:ascii="Verdana" w:eastAsia="Calibri" w:hAnsi="Verdana" w:cs="Times New Roman"/>
        </w:rPr>
        <w:t xml:space="preserve">. </w:t>
      </w:r>
    </w:p>
    <w:p w14:paraId="57C46E00" w14:textId="77777777" w:rsidR="00C637D2" w:rsidRPr="009037F6" w:rsidRDefault="00C637D2" w:rsidP="00C637D2">
      <w:pPr>
        <w:spacing w:after="0"/>
        <w:jc w:val="both"/>
        <w:rPr>
          <w:rFonts w:ascii="Verdana" w:hAnsi="Verdana"/>
        </w:rPr>
      </w:pPr>
    </w:p>
    <w:p w14:paraId="25BCE186" w14:textId="77777777" w:rsidR="00C637D2" w:rsidRPr="00231A97" w:rsidRDefault="00C637D2" w:rsidP="00C637D2">
      <w:pPr>
        <w:spacing w:after="0" w:line="256" w:lineRule="auto"/>
        <w:jc w:val="both"/>
        <w:rPr>
          <w:rFonts w:ascii="Verdana" w:eastAsia="Calibri" w:hAnsi="Verdana" w:cs="Times New Roman"/>
        </w:rPr>
      </w:pPr>
      <w:r w:rsidRPr="00231A97">
        <w:rPr>
          <w:rFonts w:ascii="Verdana" w:eastAsia="Calibri" w:hAnsi="Verdana" w:cs="Times New Roman"/>
        </w:rPr>
        <w:lastRenderedPageBreak/>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5A249E41" w14:textId="77777777" w:rsidR="00C637D2" w:rsidRDefault="00C637D2" w:rsidP="00C637D2">
      <w:pPr>
        <w:spacing w:after="0" w:line="256" w:lineRule="auto"/>
        <w:jc w:val="both"/>
        <w:rPr>
          <w:rFonts w:ascii="Verdana" w:eastAsia="Calibri" w:hAnsi="Verdana" w:cs="Times New Roman"/>
        </w:rPr>
      </w:pPr>
    </w:p>
    <w:p w14:paraId="49D815E1" w14:textId="77777777" w:rsidR="00C637D2" w:rsidRPr="00231A97" w:rsidRDefault="00C637D2" w:rsidP="00C637D2">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01CC32A8" w14:textId="77777777" w:rsidR="00C637D2" w:rsidRDefault="00C637D2" w:rsidP="00C637D2">
      <w:pPr>
        <w:spacing w:after="0" w:line="256" w:lineRule="auto"/>
        <w:jc w:val="both"/>
        <w:rPr>
          <w:rFonts w:ascii="Verdana" w:eastAsia="Calibri" w:hAnsi="Verdana" w:cs="Times New Roman"/>
        </w:rPr>
      </w:pPr>
    </w:p>
    <w:p w14:paraId="11C00950" w14:textId="77777777" w:rsidR="00C637D2" w:rsidRPr="00231A97" w:rsidRDefault="00C637D2" w:rsidP="00C637D2">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0F31F0F9" w14:textId="77777777" w:rsidR="00C637D2" w:rsidRPr="009037F6" w:rsidRDefault="00C637D2" w:rsidP="00C637D2">
      <w:pPr>
        <w:spacing w:after="0" w:line="240" w:lineRule="auto"/>
        <w:jc w:val="both"/>
        <w:rPr>
          <w:rFonts w:ascii="Verdana" w:hAnsi="Verdana"/>
        </w:rPr>
      </w:pPr>
    </w:p>
    <w:p w14:paraId="09F63FB3" w14:textId="77777777" w:rsidR="00C637D2" w:rsidRPr="00116940" w:rsidRDefault="00C637D2" w:rsidP="00C637D2">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6F67531" w14:textId="77777777" w:rsidR="00C637D2" w:rsidRPr="00116940" w:rsidRDefault="00C637D2" w:rsidP="00C637D2">
      <w:pPr>
        <w:spacing w:after="0"/>
        <w:jc w:val="both"/>
        <w:rPr>
          <w:rFonts w:ascii="Verdana" w:hAnsi="Verdana"/>
        </w:rPr>
      </w:pPr>
    </w:p>
    <w:p w14:paraId="77FAB75B" w14:textId="77777777" w:rsidR="00C637D2" w:rsidRPr="00116940" w:rsidRDefault="00C637D2" w:rsidP="00C637D2">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859271A" w14:textId="77777777" w:rsidR="00C637D2" w:rsidRPr="00116940" w:rsidRDefault="00C637D2" w:rsidP="00C637D2">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F3DF2D4" w14:textId="77777777" w:rsidR="00C637D2" w:rsidRPr="00116940" w:rsidRDefault="00C637D2" w:rsidP="00C637D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46997573" w14:textId="77777777" w:rsidR="00C637D2" w:rsidRPr="00116940" w:rsidRDefault="00C637D2" w:rsidP="00C637D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083B8CBB" w14:textId="77777777" w:rsidR="00C637D2" w:rsidRPr="00116940" w:rsidRDefault="00C637D2" w:rsidP="00C637D2">
      <w:pPr>
        <w:spacing w:after="0" w:line="240" w:lineRule="auto"/>
        <w:ind w:left="720"/>
        <w:jc w:val="both"/>
        <w:rPr>
          <w:rFonts w:ascii="Verdana" w:hAnsi="Verdana"/>
        </w:rPr>
      </w:pPr>
    </w:p>
    <w:p w14:paraId="6F928E24" w14:textId="77777777" w:rsidR="00C637D2" w:rsidRPr="00116940" w:rsidRDefault="00C637D2" w:rsidP="00C637D2">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463DB5C" w14:textId="77777777" w:rsidR="00C637D2" w:rsidRPr="00116940" w:rsidRDefault="00C637D2" w:rsidP="00C637D2">
      <w:pPr>
        <w:spacing w:after="0" w:line="240" w:lineRule="auto"/>
        <w:rPr>
          <w:rFonts w:ascii="Verdana" w:hAnsi="Verdana"/>
        </w:rPr>
      </w:pPr>
    </w:p>
    <w:p w14:paraId="65E341FE" w14:textId="77777777" w:rsidR="00C637D2" w:rsidRPr="00116940" w:rsidRDefault="00C637D2" w:rsidP="00C637D2">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A67AADA" w14:textId="77777777" w:rsidR="00C637D2" w:rsidRPr="00116940" w:rsidRDefault="00C637D2" w:rsidP="00C637D2">
      <w:pPr>
        <w:spacing w:after="0" w:line="240" w:lineRule="auto"/>
        <w:jc w:val="both"/>
        <w:rPr>
          <w:rFonts w:ascii="Verdana" w:hAnsi="Verdana"/>
        </w:rPr>
      </w:pPr>
    </w:p>
    <w:p w14:paraId="56125784" w14:textId="77777777" w:rsidR="00C637D2" w:rsidRPr="00116940" w:rsidRDefault="00C637D2" w:rsidP="00C637D2">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8B4597E" w14:textId="77777777" w:rsidR="00C637D2" w:rsidRPr="00116940" w:rsidRDefault="00C637D2" w:rsidP="00C637D2">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9D9F7E3" w14:textId="77777777" w:rsidR="00C637D2" w:rsidRPr="00116940" w:rsidRDefault="00C637D2" w:rsidP="00C637D2">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A079363" w14:textId="77777777" w:rsidR="00C637D2" w:rsidRPr="00116940" w:rsidRDefault="00C637D2" w:rsidP="00C637D2">
      <w:pPr>
        <w:spacing w:after="0" w:line="240" w:lineRule="auto"/>
        <w:jc w:val="both"/>
        <w:rPr>
          <w:rFonts w:ascii="Verdana" w:hAnsi="Verdana"/>
        </w:rPr>
      </w:pPr>
    </w:p>
    <w:p w14:paraId="2FAE013A" w14:textId="77777777" w:rsidR="00C637D2" w:rsidRPr="009037F6" w:rsidRDefault="00C637D2" w:rsidP="00C637D2">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171D3C1" w14:textId="77777777" w:rsidR="00C637D2" w:rsidRPr="00492C4A" w:rsidRDefault="00C637D2" w:rsidP="00C637D2">
      <w:pPr>
        <w:spacing w:after="0" w:line="256" w:lineRule="auto"/>
        <w:jc w:val="both"/>
        <w:rPr>
          <w:rFonts w:ascii="Verdana" w:eastAsia="Calibri" w:hAnsi="Verdana" w:cs="Times New Roman"/>
          <w:lang w:val="es-ES_tradnl"/>
        </w:rPr>
      </w:pPr>
    </w:p>
    <w:p w14:paraId="46D56A1B" w14:textId="00C4E71E" w:rsidR="00C637D2" w:rsidRDefault="00C637D2" w:rsidP="00C637D2">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1CE31609" w14:textId="77777777" w:rsidR="00373CC5" w:rsidRPr="00E85787" w:rsidRDefault="00373CC5" w:rsidP="00C637D2">
      <w:pPr>
        <w:spacing w:after="0" w:line="256" w:lineRule="auto"/>
        <w:jc w:val="both"/>
        <w:rPr>
          <w:rFonts w:ascii="Verdana" w:eastAsia="Calibri" w:hAnsi="Verdana" w:cs="Times New Roman"/>
        </w:rPr>
      </w:pPr>
    </w:p>
    <w:p w14:paraId="0454633B" w14:textId="30DCB361" w:rsidR="00C637D2" w:rsidRPr="0060360B" w:rsidRDefault="00373CC5" w:rsidP="00C637D2">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1DDA52ED" wp14:editId="4F15A8C1">
            <wp:extent cx="3397630" cy="1261241"/>
            <wp:effectExtent l="0" t="0" r="0" b="0"/>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437689" cy="1276112"/>
                    </a:xfrm>
                    <a:prstGeom prst="rect">
                      <a:avLst/>
                    </a:prstGeom>
                  </pic:spPr>
                </pic:pic>
              </a:graphicData>
            </a:graphic>
          </wp:inline>
        </w:drawing>
      </w:r>
    </w:p>
    <w:p w14:paraId="346F849C" w14:textId="77777777" w:rsidR="00C637D2" w:rsidRPr="0060360B" w:rsidRDefault="00C637D2" w:rsidP="00C637D2">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C637D2" w:rsidRPr="0060360B" w14:paraId="44E06634" w14:textId="77777777" w:rsidTr="00C406A3">
        <w:trPr>
          <w:trHeight w:val="409"/>
        </w:trPr>
        <w:tc>
          <w:tcPr>
            <w:tcW w:w="817" w:type="dxa"/>
            <w:tcBorders>
              <w:top w:val="nil"/>
              <w:left w:val="nil"/>
              <w:bottom w:val="nil"/>
              <w:right w:val="nil"/>
            </w:tcBorders>
            <w:vAlign w:val="center"/>
            <w:hideMark/>
          </w:tcPr>
          <w:p w14:paraId="353F14A9"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00875E1"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José Luis Sánchez Cardona</w:t>
            </w:r>
          </w:p>
          <w:p w14:paraId="6F9F1473"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w:t>
            </w:r>
          </w:p>
        </w:tc>
      </w:tr>
      <w:tr w:rsidR="00C637D2" w:rsidRPr="0060360B" w14:paraId="4F2B70A0" w14:textId="77777777" w:rsidTr="00C406A3">
        <w:trPr>
          <w:trHeight w:val="409"/>
        </w:trPr>
        <w:tc>
          <w:tcPr>
            <w:tcW w:w="817" w:type="dxa"/>
            <w:tcBorders>
              <w:top w:val="nil"/>
              <w:left w:val="nil"/>
              <w:bottom w:val="nil"/>
              <w:right w:val="nil"/>
            </w:tcBorders>
            <w:vAlign w:val="center"/>
            <w:hideMark/>
          </w:tcPr>
          <w:p w14:paraId="6FBDBE6A"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D3EED6E"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Diana Lucía Saavedra Castañeda</w:t>
            </w:r>
          </w:p>
          <w:p w14:paraId="522777CA"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 </w:t>
            </w:r>
          </w:p>
        </w:tc>
      </w:tr>
      <w:tr w:rsidR="00C637D2" w:rsidRPr="0060360B" w14:paraId="2D817190" w14:textId="77777777" w:rsidTr="00C406A3">
        <w:trPr>
          <w:trHeight w:val="389"/>
        </w:trPr>
        <w:tc>
          <w:tcPr>
            <w:tcW w:w="817" w:type="dxa"/>
            <w:tcBorders>
              <w:top w:val="nil"/>
              <w:left w:val="nil"/>
              <w:bottom w:val="nil"/>
              <w:right w:val="nil"/>
            </w:tcBorders>
            <w:vAlign w:val="center"/>
            <w:hideMark/>
          </w:tcPr>
          <w:p w14:paraId="508C87B6"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lastRenderedPageBreak/>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A3F25F0"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Carolina Quintero Gacharná</w:t>
            </w:r>
          </w:p>
          <w:p w14:paraId="239F3358" w14:textId="77777777" w:rsidR="00C637D2" w:rsidRPr="0060360B" w:rsidRDefault="00C637D2" w:rsidP="00C406A3">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Subdirectora de Gestión Contractual ANCP – CCE</w:t>
            </w:r>
          </w:p>
        </w:tc>
      </w:tr>
    </w:tbl>
    <w:p w14:paraId="59EE7CCC" w14:textId="77777777" w:rsidR="00C637D2" w:rsidRPr="0024624F" w:rsidRDefault="00C637D2" w:rsidP="00C637D2">
      <w:pPr>
        <w:spacing w:after="0"/>
        <w:rPr>
          <w:rFonts w:ascii="Verdana" w:hAnsi="Verdana"/>
        </w:rPr>
      </w:pPr>
    </w:p>
    <w:p w14:paraId="2D3695FF" w14:textId="665DAAB4" w:rsidR="00C637D2" w:rsidRPr="000E2B93" w:rsidRDefault="00C637D2" w:rsidP="00C637D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5BC76369" w:rsidR="00127233" w:rsidRPr="00C637D2" w:rsidRDefault="00127233" w:rsidP="00C637D2"/>
    <w:sectPr w:rsidR="00127233" w:rsidRPr="00C637D2"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5F221" w14:textId="77777777" w:rsidR="009A0515" w:rsidRDefault="009A0515" w:rsidP="004A1847">
      <w:pPr>
        <w:spacing w:after="0" w:line="240" w:lineRule="auto"/>
      </w:pPr>
      <w:r>
        <w:separator/>
      </w:r>
    </w:p>
  </w:endnote>
  <w:endnote w:type="continuationSeparator" w:id="0">
    <w:p w14:paraId="70230C1A" w14:textId="77777777" w:rsidR="009A0515" w:rsidRDefault="009A051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Work Sans">
    <w:altName w:val="Times New Roman"/>
    <w:charset w:val="00"/>
    <w:family w:val="auto"/>
    <w:pitch w:val="variable"/>
    <w:sig w:usb0="A00000FF" w:usb1="5000E07B"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E429B" w:rsidRDefault="00BE429B">
    <w:pPr>
      <w:pStyle w:val="Piedepgina"/>
    </w:pPr>
  </w:p>
  <w:p w14:paraId="594D6D9F" w14:textId="443382DF"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1F7FA7" w:rsidRPr="001F7FA7">
      <w:rPr>
        <w:rFonts w:ascii="Verdana" w:eastAsiaTheme="minorEastAsia" w:hAnsi="Verdana"/>
        <w:b/>
        <w:bCs/>
        <w:noProof/>
        <w:sz w:val="16"/>
        <w:szCs w:val="16"/>
      </w:rPr>
      <w:t>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877D5" w14:textId="77777777" w:rsidR="009A0515" w:rsidRDefault="009A0515" w:rsidP="004A1847">
      <w:pPr>
        <w:spacing w:after="0" w:line="240" w:lineRule="auto"/>
      </w:pPr>
      <w:r>
        <w:separator/>
      </w:r>
    </w:p>
  </w:footnote>
  <w:footnote w:type="continuationSeparator" w:id="0">
    <w:p w14:paraId="06DEA6F6" w14:textId="77777777" w:rsidR="009A0515" w:rsidRDefault="009A0515" w:rsidP="004A1847">
      <w:pPr>
        <w:spacing w:after="0" w:line="240" w:lineRule="auto"/>
      </w:pPr>
      <w:r>
        <w:continuationSeparator/>
      </w:r>
    </w:p>
  </w:footnote>
  <w:footnote w:id="1">
    <w:p w14:paraId="5B384273" w14:textId="77777777" w:rsidR="00C637D2" w:rsidRPr="00963F67" w:rsidRDefault="00C637D2" w:rsidP="00C637D2">
      <w:pPr>
        <w:pStyle w:val="Textonotapie"/>
        <w:ind w:firstLine="708"/>
        <w:jc w:val="both"/>
        <w:rPr>
          <w:rFonts w:ascii="Verdana" w:hAnsi="Verdana" w:cs="Arial"/>
          <w:sz w:val="16"/>
          <w:szCs w:val="16"/>
        </w:rPr>
      </w:pPr>
      <w:r w:rsidRPr="005F70F5">
        <w:rPr>
          <w:rStyle w:val="Refdenotaalpie"/>
          <w:rFonts w:ascii="Verdana" w:hAnsi="Verdana" w:cs="Arial"/>
          <w:sz w:val="16"/>
          <w:szCs w:val="16"/>
        </w:rPr>
        <w:footnoteRef/>
      </w:r>
      <w:r w:rsidRPr="005F70F5">
        <w:rPr>
          <w:rFonts w:ascii="Verdana" w:hAnsi="Verdana" w:cs="Arial"/>
          <w:sz w:val="16"/>
          <w:szCs w:val="16"/>
        </w:rPr>
        <w:t xml:space="preserve"> </w:t>
      </w:r>
      <w:r w:rsidRPr="00CF37B7">
        <w:rPr>
          <w:rFonts w:ascii="Verdana" w:hAnsi="Verdana" w:cs="Arial"/>
          <w:sz w:val="16"/>
          <w:szCs w:val="16"/>
        </w:rPr>
        <w:t xml:space="preserve">Cfr. BENAVIDES, José Luis. El contrato estatal: entre el derecho público y el derecho privado. Segunda edición. Bogotá: Universidad Externado de Colombia, 2009. pp. 78-79.  </w:t>
      </w:r>
    </w:p>
  </w:footnote>
  <w:footnote w:id="2">
    <w:p w14:paraId="185A2CEB" w14:textId="77777777" w:rsidR="00C637D2" w:rsidRPr="00CF37B7" w:rsidRDefault="00C637D2" w:rsidP="00C637D2">
      <w:pPr>
        <w:pStyle w:val="Textonotapie"/>
        <w:ind w:firstLine="708"/>
        <w:jc w:val="both"/>
        <w:rPr>
          <w:rFonts w:ascii="Verdana" w:hAnsi="Verdana" w:cs="Arial"/>
          <w:sz w:val="16"/>
          <w:szCs w:val="16"/>
          <w:lang w:val="es-ES"/>
        </w:rPr>
      </w:pPr>
      <w:r w:rsidRPr="00CF37B7">
        <w:rPr>
          <w:rStyle w:val="Refdenotaalpie"/>
          <w:rFonts w:ascii="Verdana" w:hAnsi="Verdana" w:cs="Arial"/>
          <w:sz w:val="16"/>
          <w:szCs w:val="16"/>
        </w:rPr>
        <w:footnoteRef/>
      </w:r>
      <w:r w:rsidRPr="00CF37B7">
        <w:rPr>
          <w:rFonts w:ascii="Verdana" w:hAnsi="Verdana" w:cs="Arial"/>
          <w:sz w:val="16"/>
          <w:szCs w:val="16"/>
        </w:rPr>
        <w:t xml:space="preserve"> BETANCUR JARAMILLO, Carlos. Derecho procesal administrativo. Octava edición. Medellín: Señal Editora, 2013. p. 627. </w:t>
      </w:r>
    </w:p>
  </w:footnote>
  <w:footnote w:id="3">
    <w:p w14:paraId="5679DF81" w14:textId="77777777" w:rsidR="00C637D2" w:rsidRPr="00F55564" w:rsidRDefault="00C637D2" w:rsidP="00C637D2">
      <w:pPr>
        <w:pStyle w:val="Textonotapie"/>
        <w:ind w:firstLine="708"/>
        <w:jc w:val="both"/>
        <w:rPr>
          <w:rFonts w:ascii="Verdana" w:hAnsi="Verdana"/>
          <w:sz w:val="16"/>
          <w:szCs w:val="16"/>
        </w:rPr>
      </w:pPr>
      <w:r w:rsidRPr="00CF37B7">
        <w:rPr>
          <w:rStyle w:val="Refdenotaalpie"/>
          <w:rFonts w:ascii="Verdana" w:hAnsi="Verdana"/>
          <w:sz w:val="16"/>
          <w:szCs w:val="16"/>
        </w:rPr>
        <w:footnoteRef/>
      </w:r>
      <w:r w:rsidRPr="00CF37B7">
        <w:rPr>
          <w:rFonts w:ascii="Verdana" w:hAnsi="Verdana"/>
          <w:sz w:val="16"/>
          <w:szCs w:val="16"/>
        </w:rPr>
        <w:t xml:space="preserve"> OSPINA FERNÁNDEZ, Guillermo &amp; OSPINA ACOSTA, Eduardo. Teoría General del Contrato y del Negocio Jurídico. Séptima edición. Bogotá: Temis, 2021. p. 50.</w:t>
      </w:r>
    </w:p>
  </w:footnote>
  <w:footnote w:id="4">
    <w:p w14:paraId="1C80312E" w14:textId="77777777" w:rsidR="00C637D2" w:rsidRPr="00CF37B7" w:rsidRDefault="00C637D2" w:rsidP="00C637D2">
      <w:pPr>
        <w:pStyle w:val="Textonotapie"/>
        <w:ind w:firstLine="708"/>
        <w:jc w:val="both"/>
        <w:rPr>
          <w:rFonts w:ascii="Verdana" w:hAnsi="Verdana"/>
          <w:sz w:val="16"/>
          <w:szCs w:val="16"/>
        </w:rPr>
      </w:pPr>
      <w:r w:rsidRPr="00CF37B7">
        <w:rPr>
          <w:rStyle w:val="Refdenotaalpie"/>
          <w:rFonts w:ascii="Verdana" w:hAnsi="Verdana"/>
          <w:sz w:val="16"/>
          <w:szCs w:val="16"/>
        </w:rPr>
        <w:footnoteRef/>
      </w:r>
      <w:r w:rsidRPr="00CF37B7">
        <w:rPr>
          <w:rFonts w:ascii="Verdana" w:hAnsi="Verdana"/>
          <w:sz w:val="16"/>
          <w:szCs w:val="16"/>
        </w:rPr>
        <w:t xml:space="preserve"> SUÁREZ BELTRÁN, Gonzalo. Estudios de derecho público contractual: Bogotá: Legis, 2014. p. 238. Al respecto, la doctrina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5">
    <w:p w14:paraId="7CEB78F7" w14:textId="77777777" w:rsidR="00C637D2" w:rsidRPr="002305B0" w:rsidRDefault="00C637D2" w:rsidP="00C637D2">
      <w:pPr>
        <w:pStyle w:val="Textonotapie"/>
        <w:ind w:firstLine="708"/>
        <w:jc w:val="both"/>
        <w:rPr>
          <w:rFonts w:ascii="Verdana" w:hAnsi="Verdana"/>
          <w:sz w:val="16"/>
          <w:szCs w:val="16"/>
        </w:rPr>
      </w:pPr>
      <w:r w:rsidRPr="002305B0">
        <w:rPr>
          <w:rStyle w:val="Refdenotaalpie"/>
          <w:rFonts w:ascii="Verdana" w:hAnsi="Verdana"/>
          <w:sz w:val="16"/>
          <w:szCs w:val="16"/>
        </w:rPr>
        <w:footnoteRef/>
      </w:r>
      <w:r w:rsidRPr="002305B0">
        <w:rPr>
          <w:rFonts w:ascii="Verdana" w:hAnsi="Verdana"/>
          <w:sz w:val="16"/>
          <w:szCs w:val="16"/>
        </w:rPr>
        <w:t xml:space="preserve"> CONSEJO DE ESTADO. Sala de Consulta y Servicio Civil. Concepto del 5 de septiembre de 2018. Rad. 2.386. C.P. Edgar González López.</w:t>
      </w:r>
    </w:p>
  </w:footnote>
  <w:footnote w:id="6">
    <w:p w14:paraId="708C91F7" w14:textId="77777777" w:rsidR="00C637D2" w:rsidRPr="00BE5A9D" w:rsidRDefault="00C637D2" w:rsidP="00C637D2">
      <w:pPr>
        <w:pStyle w:val="Textonotapie"/>
        <w:ind w:firstLine="708"/>
        <w:contextualSpacing/>
        <w:rPr>
          <w:rFonts w:ascii="Verdana" w:hAnsi="Verdana"/>
          <w:sz w:val="12"/>
          <w:szCs w:val="12"/>
          <w:lang w:val="es-CO"/>
        </w:rPr>
      </w:pPr>
      <w:r w:rsidRPr="002305B0">
        <w:rPr>
          <w:rStyle w:val="Refdenotaalpie"/>
          <w:rFonts w:ascii="Verdana" w:hAnsi="Verdana"/>
          <w:sz w:val="16"/>
          <w:szCs w:val="16"/>
        </w:rPr>
        <w:footnoteRef/>
      </w:r>
      <w:r w:rsidRPr="002305B0">
        <w:rPr>
          <w:rFonts w:ascii="Verdana" w:hAnsi="Verdana"/>
          <w:sz w:val="16"/>
          <w:szCs w:val="16"/>
        </w:rPr>
        <w:t xml:space="preserve"> </w:t>
      </w:r>
      <w:r w:rsidRPr="002305B0">
        <w:rPr>
          <w:rFonts w:ascii="Verdana" w:hAnsi="Verdana"/>
          <w:sz w:val="16"/>
          <w:szCs w:val="16"/>
          <w:lang w:val="es-CO"/>
        </w:rPr>
        <w:t>OSORIO ARTURO, Edna Lorena. Asociaciones Público – Privadas en Colombia. El contrato de APP. Una mirada legal – Infraestructura Social – Hospitales. Página 183.</w:t>
      </w:r>
      <w:r w:rsidRPr="00BE5A9D">
        <w:rPr>
          <w:rFonts w:ascii="Verdana" w:hAnsi="Verdana"/>
          <w:sz w:val="12"/>
          <w:szCs w:val="12"/>
          <w:lang w:val="es-CO"/>
        </w:rPr>
        <w:t xml:space="preserve"> </w:t>
      </w:r>
    </w:p>
  </w:footnote>
  <w:footnote w:id="7">
    <w:p w14:paraId="5BC8A2D8" w14:textId="77777777" w:rsidR="00C637D2" w:rsidRPr="00564D81" w:rsidRDefault="00C637D2" w:rsidP="00C637D2">
      <w:pPr>
        <w:tabs>
          <w:tab w:val="left" w:pos="0"/>
        </w:tabs>
        <w:spacing w:after="0" w:line="240" w:lineRule="auto"/>
        <w:ind w:firstLine="709"/>
        <w:contextualSpacing/>
        <w:jc w:val="both"/>
        <w:rPr>
          <w:rFonts w:ascii="Verdana" w:eastAsia="Calibri" w:hAnsi="Verdana" w:cs="Arial"/>
          <w:bCs/>
          <w:color w:val="000000" w:themeColor="text1"/>
          <w:sz w:val="16"/>
          <w:szCs w:val="16"/>
          <w:lang w:val="es-ES_tradnl"/>
        </w:rPr>
      </w:pPr>
      <w:r w:rsidRPr="00564D81">
        <w:rPr>
          <w:rStyle w:val="Refdenotaalpie"/>
          <w:rFonts w:ascii="Verdana" w:hAnsi="Verdana" w:cs="Arial"/>
          <w:sz w:val="16"/>
          <w:szCs w:val="16"/>
          <w:lang w:val="es-ES_tradnl"/>
        </w:rPr>
        <w:footnoteRef/>
      </w:r>
      <w:r w:rsidRPr="00564D81">
        <w:rPr>
          <w:rFonts w:ascii="Verdana" w:hAnsi="Verdana" w:cs="Arial"/>
          <w:sz w:val="16"/>
          <w:szCs w:val="16"/>
          <w:lang w:val="es-ES_tradnl"/>
        </w:rPr>
        <w:t xml:space="preserve"> </w:t>
      </w:r>
      <w:r w:rsidRPr="00564D81">
        <w:rPr>
          <w:rFonts w:ascii="Verdana" w:eastAsia="Calibri" w:hAnsi="Verdana" w:cs="Arial"/>
          <w:bCs/>
          <w:color w:val="000000" w:themeColor="text1"/>
          <w:sz w:val="16"/>
          <w:szCs w:val="16"/>
          <w:lang w:val="es-ES_tradnl"/>
        </w:rPr>
        <w:t>El Consejo de Estado ha destacado sus características: “</w:t>
      </w:r>
      <w:r w:rsidRPr="00564D81">
        <w:rPr>
          <w:rFonts w:ascii="Verdana" w:hAnsi="Verdana" w:cs="Arial"/>
          <w:sz w:val="16"/>
          <w:szCs w:val="16"/>
          <w:lang w:val="es-ES_tradnl"/>
        </w:rPr>
        <w:t xml:space="preserve">[…] </w:t>
      </w:r>
      <w:r w:rsidRPr="00564D81">
        <w:rPr>
          <w:rFonts w:ascii="Verdana" w:eastAsia="Calibri" w:hAnsi="Verdana" w:cs="Arial"/>
          <w:bCs/>
          <w:color w:val="000000" w:themeColor="text1"/>
          <w:sz w:val="16"/>
          <w:szCs w:val="16"/>
          <w:lang w:val="es-ES_tradnl"/>
        </w:rPr>
        <w:t>la jurisprudencia de la Sección Tercera de esta Corporación ha señalado como características propias del contrato de concesión que: i) dentro de su celebración interviene una entidad estatal que actúa como concedente y una persona natural o jurídica denominada concesionario; ii) El concesionario es quien asume la gestión y riesgo de un servicio que corresponde al Estado sustituyendo a éste en el cumplimiento de dicha carga; iii) La entidad estatal mantiene durante la ejecución del contrato la inspección, vigilancia y control de la labor a ejecutar por parte del concesionario; iv) el concesionario recibe una remuneración o contraprestación, la cual se pacta, de diversas maneras (tasas, tarifas, derechos, participación en la explotación del bien, entre otros); y que v) los bienes construidos o adecuados durante la concesión deben revertirse al Estado, aunque ello no se pacte expresamente en el contrato”. Consejo de Estado. Sección Tercera. Sentencia del 23 de octubre de 2017. Consejero Ponente: Jaime Orlando Santofimio Gamboa. Exp. 53.477.</w:t>
      </w:r>
    </w:p>
  </w:footnote>
  <w:footnote w:id="8">
    <w:p w14:paraId="3B1C2AE3" w14:textId="77777777" w:rsidR="00C637D2" w:rsidRPr="00564D81" w:rsidRDefault="00C637D2" w:rsidP="00C637D2">
      <w:pPr>
        <w:pStyle w:val="Textonotapie"/>
        <w:ind w:firstLine="709"/>
        <w:contextualSpacing/>
        <w:jc w:val="both"/>
        <w:rPr>
          <w:rFonts w:ascii="Verdana" w:hAnsi="Verdana" w:cs="Arial"/>
          <w:sz w:val="16"/>
          <w:szCs w:val="16"/>
          <w:lang w:val="pt-BR"/>
        </w:rPr>
      </w:pPr>
      <w:r w:rsidRPr="00564D81">
        <w:rPr>
          <w:rStyle w:val="Refdenotaalpie"/>
          <w:rFonts w:ascii="Verdana" w:hAnsi="Verdana" w:cs="Arial"/>
          <w:sz w:val="16"/>
          <w:szCs w:val="16"/>
        </w:rPr>
        <w:footnoteRef/>
      </w:r>
      <w:r w:rsidRPr="00564D81">
        <w:rPr>
          <w:rFonts w:ascii="Verdana" w:hAnsi="Verdana" w:cs="Arial"/>
          <w:sz w:val="16"/>
          <w:szCs w:val="16"/>
        </w:rPr>
        <w:t xml:space="preserve"> QUIÑONES GUZMÁN, Juan Carlos. Contratos de Asociación Publico – Privada e Infraestructura de Transporte. </w:t>
      </w:r>
      <w:r w:rsidRPr="00564D81">
        <w:rPr>
          <w:rFonts w:ascii="Verdana" w:hAnsi="Verdana" w:cs="Arial"/>
          <w:sz w:val="16"/>
          <w:szCs w:val="16"/>
          <w:lang w:val="es-ES_tradnl"/>
        </w:rPr>
        <w:t xml:space="preserve">Primera edición 20202. </w:t>
      </w:r>
      <w:r w:rsidRPr="00564D81">
        <w:rPr>
          <w:rFonts w:ascii="Verdana" w:hAnsi="Verdana" w:cs="Arial"/>
          <w:sz w:val="16"/>
          <w:szCs w:val="16"/>
          <w:lang w:val="pt-BR"/>
        </w:rPr>
        <w:t>Página 6.</w:t>
      </w:r>
    </w:p>
  </w:footnote>
  <w:footnote w:id="9">
    <w:p w14:paraId="42A607F4" w14:textId="77777777" w:rsidR="00C637D2" w:rsidRPr="00564D81" w:rsidRDefault="00C637D2" w:rsidP="00C637D2">
      <w:pPr>
        <w:spacing w:after="0" w:line="240" w:lineRule="auto"/>
        <w:ind w:firstLine="709"/>
        <w:contextualSpacing/>
        <w:jc w:val="both"/>
        <w:rPr>
          <w:rFonts w:ascii="Verdana" w:hAnsi="Verdana" w:cs="Arial"/>
          <w:sz w:val="16"/>
          <w:szCs w:val="16"/>
          <w:lang w:val="pt-BR"/>
        </w:rPr>
      </w:pPr>
      <w:r w:rsidRPr="00564D81">
        <w:rPr>
          <w:rStyle w:val="Refdenotaalpie"/>
          <w:rFonts w:ascii="Verdana" w:hAnsi="Verdana" w:cs="Arial"/>
          <w:sz w:val="16"/>
          <w:szCs w:val="16"/>
        </w:rPr>
        <w:footnoteRef/>
      </w:r>
      <w:r w:rsidRPr="00564D81">
        <w:rPr>
          <w:rFonts w:ascii="Verdana" w:hAnsi="Verdana" w:cs="Arial"/>
          <w:sz w:val="16"/>
          <w:szCs w:val="16"/>
          <w:lang w:val="pt-BR"/>
        </w:rPr>
        <w:t xml:space="preserve"> </w:t>
      </w:r>
      <w:bookmarkStart w:id="3" w:name="_Hlk182373531"/>
      <w:r w:rsidRPr="00564D81">
        <w:rPr>
          <w:rFonts w:ascii="Verdana" w:hAnsi="Verdana" w:cs="Arial"/>
          <w:sz w:val="16"/>
          <w:szCs w:val="16"/>
          <w:lang w:val="pt-BR"/>
        </w:rPr>
        <w:t>Corte Constitucional. Sentencia C-300 de 2012. M.P.  Jorge Ignacio Pretelt Chaljub.</w:t>
      </w:r>
      <w:bookmarkEnd w:id="3"/>
    </w:p>
  </w:footnote>
  <w:footnote w:id="10">
    <w:p w14:paraId="768BEC09" w14:textId="77777777" w:rsidR="00C637D2" w:rsidRPr="00564D81" w:rsidRDefault="00C637D2" w:rsidP="00C637D2">
      <w:pPr>
        <w:pStyle w:val="Textonotapie"/>
        <w:ind w:firstLine="708"/>
        <w:jc w:val="both"/>
        <w:rPr>
          <w:lang w:val="es-ES"/>
        </w:rPr>
      </w:pPr>
      <w:r w:rsidRPr="00564D81">
        <w:rPr>
          <w:rStyle w:val="Refdenotaalpie"/>
          <w:rFonts w:ascii="Verdana" w:hAnsi="Verdana"/>
          <w:sz w:val="16"/>
          <w:szCs w:val="16"/>
        </w:rPr>
        <w:footnoteRef/>
      </w:r>
      <w:r w:rsidRPr="00564D81">
        <w:rPr>
          <w:rFonts w:ascii="Verdana" w:hAnsi="Verdana"/>
          <w:sz w:val="16"/>
          <w:szCs w:val="16"/>
        </w:rPr>
        <w:t xml:space="preserve"> Corte Constitucional. Sentencia C-250 de 1996. M.P. Hernando Herrera Vergara.</w:t>
      </w:r>
      <w:r>
        <w:t xml:space="preserve"> </w:t>
      </w:r>
    </w:p>
  </w:footnote>
  <w:footnote w:id="11">
    <w:p w14:paraId="70EB11A6" w14:textId="77777777" w:rsidR="00C637D2" w:rsidRPr="00963F67" w:rsidRDefault="00C637D2" w:rsidP="00C637D2">
      <w:pPr>
        <w:pStyle w:val="Textonotapie"/>
        <w:ind w:firstLine="709"/>
        <w:contextualSpacing/>
        <w:jc w:val="both"/>
        <w:rPr>
          <w:rFonts w:ascii="Verdana" w:hAnsi="Verdana" w:cs="Arial"/>
          <w:sz w:val="16"/>
          <w:szCs w:val="16"/>
          <w:lang w:val="pt-BR"/>
        </w:rPr>
      </w:pPr>
      <w:r w:rsidRPr="00963F67">
        <w:rPr>
          <w:rStyle w:val="Refdenotaalpie"/>
          <w:rFonts w:ascii="Verdana" w:hAnsi="Verdana" w:cs="Arial"/>
          <w:sz w:val="16"/>
          <w:szCs w:val="16"/>
          <w:lang w:val="es-ES_tradnl"/>
        </w:rPr>
        <w:footnoteRef/>
      </w:r>
      <w:r w:rsidRPr="00963F67">
        <w:rPr>
          <w:rFonts w:ascii="Verdana" w:hAnsi="Verdana" w:cs="Arial"/>
          <w:sz w:val="16"/>
          <w:szCs w:val="16"/>
          <w:lang w:val="es-ES_tradnl"/>
        </w:rPr>
        <w:t xml:space="preserve"> La doctrina ha señalado que “[…] durante la década de los ochenta y de los noventa, las más variadas instituciones anglosajonas empiezan a proponer toda una serie de definiciones de la citada colaboración público privada (o en términos anglosajones </w:t>
      </w:r>
      <w:r w:rsidRPr="00963F67">
        <w:rPr>
          <w:rFonts w:ascii="Verdana" w:hAnsi="Verdana" w:cs="Arial"/>
          <w:i/>
          <w:iCs/>
          <w:sz w:val="16"/>
          <w:szCs w:val="16"/>
          <w:lang w:val="es-ES_tradnl"/>
        </w:rPr>
        <w:t>public private partnerships –</w:t>
      </w:r>
      <w:r w:rsidRPr="00963F67">
        <w:rPr>
          <w:rFonts w:ascii="Verdana" w:hAnsi="Verdana" w:cs="Arial"/>
          <w:sz w:val="16"/>
          <w:szCs w:val="16"/>
          <w:lang w:val="es-ES_tradnl"/>
        </w:rPr>
        <w:t xml:space="preserve">PPP–, en adelante), para hacer referencia a una amplia gama de operaciones, técnicas y metodologías aglutinadas bajo un enfoque o idea común: incentivar el interés particular en la ejecución de cometidos públicos asumiendo los riesgos inherentes a dicha ejecución, de modo que cada sector aporta sus recursos y conocimientos con el fin de acometer la construcción de una infraestructura o la gestión de un servicio público de la manera más eficiente posible. HERNANDO RYDINGS, María. La colaboración público privada. Fórmulas contractuales. Madrid: Civitas. </w:t>
      </w:r>
      <w:r>
        <w:rPr>
          <w:rFonts w:ascii="Verdana" w:hAnsi="Verdana" w:cs="Arial"/>
          <w:sz w:val="16"/>
          <w:szCs w:val="16"/>
          <w:lang w:val="pt-BR"/>
        </w:rPr>
        <w:t>pp.</w:t>
      </w:r>
      <w:r w:rsidRPr="00963F67">
        <w:rPr>
          <w:rFonts w:ascii="Verdana" w:hAnsi="Verdana" w:cs="Arial"/>
          <w:sz w:val="16"/>
          <w:szCs w:val="16"/>
          <w:lang w:val="pt-BR"/>
        </w:rPr>
        <w:t xml:space="preserve"> 37-38.</w:t>
      </w:r>
    </w:p>
  </w:footnote>
  <w:footnote w:id="12">
    <w:p w14:paraId="0510FB3A" w14:textId="77777777" w:rsidR="00C637D2" w:rsidRPr="002B0BF7" w:rsidRDefault="00C637D2" w:rsidP="00C637D2">
      <w:pPr>
        <w:pStyle w:val="Textonotapie"/>
        <w:ind w:firstLine="708"/>
        <w:jc w:val="both"/>
        <w:rPr>
          <w:rFonts w:ascii="Verdana" w:hAnsi="Verdana"/>
          <w:sz w:val="16"/>
          <w:szCs w:val="16"/>
          <w:lang w:val="es-CO"/>
        </w:rPr>
      </w:pPr>
      <w:r w:rsidRPr="002B0BF7">
        <w:rPr>
          <w:rStyle w:val="Refdenotaalpie"/>
          <w:rFonts w:ascii="Verdana" w:hAnsi="Verdana"/>
          <w:sz w:val="16"/>
          <w:szCs w:val="16"/>
        </w:rPr>
        <w:footnoteRef/>
      </w:r>
      <w:r w:rsidRPr="002B0BF7">
        <w:rPr>
          <w:rFonts w:ascii="Verdana" w:hAnsi="Verdana"/>
          <w:sz w:val="16"/>
          <w:szCs w:val="16"/>
        </w:rPr>
        <w:t xml:space="preserve"> </w:t>
      </w:r>
      <w:r w:rsidRPr="002B0BF7">
        <w:rPr>
          <w:rFonts w:ascii="Verdana" w:hAnsi="Verdana"/>
          <w:bCs/>
          <w:sz w:val="16"/>
          <w:szCs w:val="16"/>
          <w:lang w:val="es-CO"/>
        </w:rPr>
        <w:t>Artículo 7. Monopolio como arbitrio rentístico sobre la producción de licores destilados.</w:t>
      </w:r>
      <w:r w:rsidRPr="002B0BF7">
        <w:rPr>
          <w:rFonts w:ascii="Verdana" w:hAnsi="Verdana"/>
          <w:sz w:val="16"/>
          <w:szCs w:val="16"/>
          <w:lang w:val="es-CO"/>
        </w:rPr>
        <w:t> Los departamentos ejercerán el monopolio de producción de licores destilados directamente, que incluye la contratación de terceros para la producción de licores destilados y alcohol potable con destino a la fabricación de licores sobre los cuales el departamento contratante ostente la titularidad de la propiedad industrial.  </w:t>
      </w:r>
    </w:p>
    <w:p w14:paraId="7782A587" w14:textId="77777777" w:rsidR="00C637D2" w:rsidRPr="002B0BF7" w:rsidRDefault="00C637D2" w:rsidP="00C637D2">
      <w:pPr>
        <w:pStyle w:val="Textonotapie"/>
        <w:ind w:firstLine="708"/>
        <w:jc w:val="both"/>
        <w:rPr>
          <w:rFonts w:ascii="Verdana" w:hAnsi="Verdana"/>
          <w:sz w:val="16"/>
          <w:szCs w:val="16"/>
          <w:lang w:val="es-CO"/>
        </w:rPr>
      </w:pPr>
      <w:r w:rsidRPr="002B0BF7">
        <w:rPr>
          <w:rFonts w:ascii="Verdana" w:hAnsi="Verdana"/>
          <w:sz w:val="16"/>
          <w:szCs w:val="16"/>
          <w:lang w:val="es-CO"/>
        </w:rPr>
        <w:t>También, podrán permitir temporalmente que, la producción sea realizada por terceros mediante la suscripción de contratos adjudicados mediante licitación pública, en los términos del artículo 8 de la presente ley.  </w:t>
      </w:r>
    </w:p>
    <w:p w14:paraId="6A15147E" w14:textId="77777777" w:rsidR="00C637D2" w:rsidRPr="002B0BF7" w:rsidRDefault="00C637D2" w:rsidP="00C637D2">
      <w:pPr>
        <w:pStyle w:val="Textonotapie"/>
        <w:ind w:firstLine="708"/>
        <w:jc w:val="both"/>
        <w:rPr>
          <w:rFonts w:ascii="Verdana" w:hAnsi="Verdana"/>
          <w:sz w:val="16"/>
          <w:szCs w:val="16"/>
          <w:lang w:val="es-CO"/>
        </w:rPr>
      </w:pPr>
      <w:r w:rsidRPr="002B0BF7">
        <w:rPr>
          <w:rFonts w:ascii="Verdana" w:hAnsi="Verdana"/>
          <w:bCs/>
          <w:sz w:val="16"/>
          <w:szCs w:val="16"/>
          <w:lang w:val="es-CO"/>
        </w:rPr>
        <w:t>PARÁGRAFO.</w:t>
      </w:r>
      <w:r w:rsidRPr="002B0BF7">
        <w:rPr>
          <w:rFonts w:ascii="Verdana" w:hAnsi="Verdana"/>
          <w:sz w:val="16"/>
          <w:szCs w:val="16"/>
          <w:lang w:val="es-CO"/>
        </w:rPr>
        <w:t> Los cabildos indígenas y asociaciones de cabildos indígenas legalmente constituidos y reconocidos por el Ministerio del Interior en virtud de su autonomía constitucional, continuarán la producción de sus bebidas alcohólicas tradicionales y ancestrales para su propio consumo, máxime cuando se empleen en el ejercicio de su medicina tradicional. Estas prácticas formarán parte de sus usos, costumbres, cosmovisión y derecho mayor.  </w:t>
      </w:r>
    </w:p>
    <w:p w14:paraId="45C007B4" w14:textId="77777777" w:rsidR="00C637D2" w:rsidRPr="002B0BF7" w:rsidRDefault="00C637D2" w:rsidP="00C637D2">
      <w:pPr>
        <w:pStyle w:val="Textonotapie"/>
        <w:ind w:firstLine="708"/>
        <w:jc w:val="both"/>
        <w:rPr>
          <w:rFonts w:ascii="Verdana" w:hAnsi="Verdana"/>
          <w:sz w:val="16"/>
          <w:szCs w:val="16"/>
          <w:lang w:val="es-CO"/>
        </w:rPr>
      </w:pPr>
      <w:r w:rsidRPr="002B0BF7">
        <w:rPr>
          <w:rFonts w:ascii="Verdana" w:hAnsi="Verdana"/>
          <w:sz w:val="16"/>
          <w:szCs w:val="16"/>
          <w:lang w:val="es-CO"/>
        </w:rPr>
        <w:t>Los Consejos comunitarios de las comunidades raizales y palenqueras y las asociaciones de consejos comunitarios legalmente constituidos y reconocidos por el Ministerio del Interior, continuarán con la producción de las bebidas alcohólicas tradicionales y ancestrales para su propio consumo, en el marco de sus usos, costumbres, cosmovisión y derecho mayor.  </w:t>
      </w:r>
    </w:p>
    <w:p w14:paraId="72F46DBD" w14:textId="77777777" w:rsidR="00C637D2" w:rsidRPr="002B0BF7" w:rsidRDefault="00C637D2" w:rsidP="00C637D2">
      <w:pPr>
        <w:pStyle w:val="Textonotapie"/>
        <w:rPr>
          <w:lang w:val="es-CO"/>
        </w:rPr>
      </w:pPr>
    </w:p>
  </w:footnote>
  <w:footnote w:id="13">
    <w:p w14:paraId="2622D456" w14:textId="77777777" w:rsidR="00C637D2" w:rsidRPr="00E85787" w:rsidRDefault="00C637D2" w:rsidP="00C637D2">
      <w:pPr>
        <w:pStyle w:val="Textonotapie"/>
        <w:ind w:left="119" w:firstLine="720"/>
        <w:jc w:val="both"/>
        <w:rPr>
          <w:rFonts w:ascii="Verdana" w:hAnsi="Verdana"/>
          <w:sz w:val="16"/>
          <w:szCs w:val="16"/>
        </w:rPr>
      </w:pPr>
      <w:r w:rsidRPr="00E85787">
        <w:rPr>
          <w:rStyle w:val="Refdenotaalpie"/>
          <w:rFonts w:ascii="Verdana" w:hAnsi="Verdana"/>
          <w:sz w:val="16"/>
          <w:szCs w:val="16"/>
        </w:rPr>
        <w:footnoteRef/>
      </w:r>
      <w:r w:rsidRPr="00E85787">
        <w:rPr>
          <w:rFonts w:ascii="Verdana" w:hAnsi="Verdana"/>
          <w:sz w:val="16"/>
          <w:szCs w:val="16"/>
        </w:rPr>
        <w:t xml:space="preserve"> Ministerio de Hacienda. Circular Externa 033 del 15 de diciembre de 2017.</w:t>
      </w:r>
    </w:p>
  </w:footnote>
  <w:footnote w:id="14">
    <w:p w14:paraId="2138B7A4" w14:textId="77777777" w:rsidR="00C637D2" w:rsidRPr="00E85787" w:rsidRDefault="00C637D2" w:rsidP="00C637D2">
      <w:pPr>
        <w:spacing w:after="0" w:line="252" w:lineRule="auto"/>
        <w:ind w:left="119" w:right="322" w:firstLine="707"/>
        <w:jc w:val="both"/>
        <w:rPr>
          <w:rFonts w:ascii="Verdana" w:hAnsi="Verdana"/>
          <w:sz w:val="16"/>
          <w:szCs w:val="16"/>
        </w:rPr>
      </w:pPr>
      <w:r w:rsidRPr="00E85787">
        <w:rPr>
          <w:rStyle w:val="Refdenotaalpie"/>
          <w:rFonts w:ascii="Verdana" w:hAnsi="Verdana"/>
          <w:sz w:val="16"/>
          <w:szCs w:val="16"/>
        </w:rPr>
        <w:footnoteRef/>
      </w:r>
      <w:r w:rsidRPr="00E85787">
        <w:rPr>
          <w:rFonts w:ascii="Verdana" w:hAnsi="Verdana"/>
          <w:sz w:val="16"/>
          <w:szCs w:val="16"/>
        </w:rPr>
        <w:t xml:space="preserve"> Congreso de la República. Gaceta del Congreso No. 880 del 5 de noviembre de 2015. Proyecto de Ley 152 de 2015 Cámara. p. 13.</w:t>
      </w:r>
    </w:p>
    <w:p w14:paraId="17E9E499" w14:textId="77777777" w:rsidR="00C637D2" w:rsidRPr="00172B4E" w:rsidRDefault="00C637D2" w:rsidP="00C637D2">
      <w:pPr>
        <w:pStyle w:val="Textonotapie"/>
        <w:ind w:left="119"/>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ED1A63"/>
    <w:multiLevelType w:val="multilevel"/>
    <w:tmpl w:val="383E0706"/>
    <w:lvl w:ilvl="0">
      <w:start w:val="2"/>
      <w:numFmt w:val="decimal"/>
      <w:lvlText w:val="%1"/>
      <w:lvlJc w:val="left"/>
      <w:pPr>
        <w:ind w:left="545" w:hanging="426"/>
        <w:jc w:val="left"/>
      </w:pPr>
      <w:rPr>
        <w:rFonts w:hint="default"/>
        <w:lang w:val="es-ES" w:eastAsia="en-US" w:bidi="ar-SA"/>
      </w:rPr>
    </w:lvl>
    <w:lvl w:ilvl="1">
      <w:start w:val="2"/>
      <w:numFmt w:val="decimal"/>
      <w:lvlText w:val="%1.%2."/>
      <w:lvlJc w:val="left"/>
      <w:pPr>
        <w:ind w:left="545" w:hanging="426"/>
        <w:jc w:val="left"/>
      </w:pPr>
      <w:rPr>
        <w:rFonts w:ascii="Arial" w:eastAsia="Arial" w:hAnsi="Arial" w:cs="Arial" w:hint="default"/>
        <w:b/>
        <w:bCs/>
        <w:color w:val="auto"/>
        <w:spacing w:val="-1"/>
        <w:w w:val="100"/>
        <w:sz w:val="22"/>
        <w:szCs w:val="22"/>
        <w:lang w:val="es-ES" w:eastAsia="en-US" w:bidi="ar-SA"/>
      </w:rPr>
    </w:lvl>
    <w:lvl w:ilvl="2">
      <w:numFmt w:val="bullet"/>
      <w:lvlText w:val="•"/>
      <w:lvlJc w:val="left"/>
      <w:pPr>
        <w:ind w:left="2264" w:hanging="426"/>
      </w:pPr>
      <w:rPr>
        <w:rFonts w:hint="default"/>
        <w:lang w:val="es-ES" w:eastAsia="en-US" w:bidi="ar-SA"/>
      </w:rPr>
    </w:lvl>
    <w:lvl w:ilvl="3">
      <w:numFmt w:val="bullet"/>
      <w:lvlText w:val="•"/>
      <w:lvlJc w:val="left"/>
      <w:pPr>
        <w:ind w:left="3126" w:hanging="426"/>
      </w:pPr>
      <w:rPr>
        <w:rFonts w:hint="default"/>
        <w:lang w:val="es-ES" w:eastAsia="en-US" w:bidi="ar-SA"/>
      </w:rPr>
    </w:lvl>
    <w:lvl w:ilvl="4">
      <w:numFmt w:val="bullet"/>
      <w:lvlText w:val="•"/>
      <w:lvlJc w:val="left"/>
      <w:pPr>
        <w:ind w:left="3988" w:hanging="426"/>
      </w:pPr>
      <w:rPr>
        <w:rFonts w:hint="default"/>
        <w:lang w:val="es-ES" w:eastAsia="en-US" w:bidi="ar-SA"/>
      </w:rPr>
    </w:lvl>
    <w:lvl w:ilvl="5">
      <w:numFmt w:val="bullet"/>
      <w:lvlText w:val="•"/>
      <w:lvlJc w:val="left"/>
      <w:pPr>
        <w:ind w:left="4850" w:hanging="426"/>
      </w:pPr>
      <w:rPr>
        <w:rFonts w:hint="default"/>
        <w:lang w:val="es-ES" w:eastAsia="en-US" w:bidi="ar-SA"/>
      </w:rPr>
    </w:lvl>
    <w:lvl w:ilvl="6">
      <w:numFmt w:val="bullet"/>
      <w:lvlText w:val="•"/>
      <w:lvlJc w:val="left"/>
      <w:pPr>
        <w:ind w:left="5712" w:hanging="426"/>
      </w:pPr>
      <w:rPr>
        <w:rFonts w:hint="default"/>
        <w:lang w:val="es-ES" w:eastAsia="en-US" w:bidi="ar-SA"/>
      </w:rPr>
    </w:lvl>
    <w:lvl w:ilvl="7">
      <w:numFmt w:val="bullet"/>
      <w:lvlText w:val="•"/>
      <w:lvlJc w:val="left"/>
      <w:pPr>
        <w:ind w:left="6574" w:hanging="426"/>
      </w:pPr>
      <w:rPr>
        <w:rFonts w:hint="default"/>
        <w:lang w:val="es-ES" w:eastAsia="en-US" w:bidi="ar-SA"/>
      </w:rPr>
    </w:lvl>
    <w:lvl w:ilvl="8">
      <w:numFmt w:val="bullet"/>
      <w:lvlText w:val="•"/>
      <w:lvlJc w:val="left"/>
      <w:pPr>
        <w:ind w:left="7436" w:hanging="426"/>
      </w:pPr>
      <w:rPr>
        <w:rFonts w:hint="default"/>
        <w:lang w:val="es-ES" w:eastAsia="en-US" w:bidi="ar-SA"/>
      </w:rPr>
    </w:lvl>
  </w:abstractNum>
  <w:abstractNum w:abstractNumId="11" w15:restartNumberingAfterBreak="0">
    <w:nsid w:val="4BFF2C67"/>
    <w:multiLevelType w:val="hybridMultilevel"/>
    <w:tmpl w:val="526A2D98"/>
    <w:lvl w:ilvl="0" w:tplc="78B05360">
      <w:start w:val="1"/>
      <w:numFmt w:val="lowerLetter"/>
      <w:lvlText w:val="%1)"/>
      <w:lvlJc w:val="left"/>
      <w:pPr>
        <w:ind w:left="6635" w:hanging="255"/>
        <w:jc w:val="left"/>
      </w:pPr>
      <w:rPr>
        <w:rFonts w:ascii="Arial" w:eastAsia="Arial" w:hAnsi="Arial" w:cs="Arial" w:hint="default"/>
        <w:b/>
        <w:bCs/>
        <w:color w:val="auto"/>
        <w:spacing w:val="-1"/>
        <w:w w:val="100"/>
        <w:sz w:val="22"/>
        <w:szCs w:val="22"/>
        <w:lang w:val="es-ES" w:eastAsia="en-US" w:bidi="ar-SA"/>
      </w:rPr>
    </w:lvl>
    <w:lvl w:ilvl="1" w:tplc="AF5CC766">
      <w:numFmt w:val="bullet"/>
      <w:lvlText w:val="•"/>
      <w:lvlJc w:val="left"/>
      <w:pPr>
        <w:ind w:left="7518" w:hanging="255"/>
      </w:pPr>
      <w:rPr>
        <w:rFonts w:hint="default"/>
        <w:lang w:val="es-ES" w:eastAsia="en-US" w:bidi="ar-SA"/>
      </w:rPr>
    </w:lvl>
    <w:lvl w:ilvl="2" w:tplc="4716AE38">
      <w:numFmt w:val="bullet"/>
      <w:lvlText w:val="•"/>
      <w:lvlJc w:val="left"/>
      <w:pPr>
        <w:ind w:left="8396" w:hanging="255"/>
      </w:pPr>
      <w:rPr>
        <w:rFonts w:hint="default"/>
        <w:lang w:val="es-ES" w:eastAsia="en-US" w:bidi="ar-SA"/>
      </w:rPr>
    </w:lvl>
    <w:lvl w:ilvl="3" w:tplc="4FEEDA3A">
      <w:numFmt w:val="bullet"/>
      <w:lvlText w:val="•"/>
      <w:lvlJc w:val="left"/>
      <w:pPr>
        <w:ind w:left="9274" w:hanging="255"/>
      </w:pPr>
      <w:rPr>
        <w:rFonts w:hint="default"/>
        <w:lang w:val="es-ES" w:eastAsia="en-US" w:bidi="ar-SA"/>
      </w:rPr>
    </w:lvl>
    <w:lvl w:ilvl="4" w:tplc="946C6000">
      <w:numFmt w:val="bullet"/>
      <w:lvlText w:val="•"/>
      <w:lvlJc w:val="left"/>
      <w:pPr>
        <w:ind w:left="10152" w:hanging="255"/>
      </w:pPr>
      <w:rPr>
        <w:rFonts w:hint="default"/>
        <w:lang w:val="es-ES" w:eastAsia="en-US" w:bidi="ar-SA"/>
      </w:rPr>
    </w:lvl>
    <w:lvl w:ilvl="5" w:tplc="72AA52BC">
      <w:numFmt w:val="bullet"/>
      <w:lvlText w:val="•"/>
      <w:lvlJc w:val="left"/>
      <w:pPr>
        <w:ind w:left="11030" w:hanging="255"/>
      </w:pPr>
      <w:rPr>
        <w:rFonts w:hint="default"/>
        <w:lang w:val="es-ES" w:eastAsia="en-US" w:bidi="ar-SA"/>
      </w:rPr>
    </w:lvl>
    <w:lvl w:ilvl="6" w:tplc="48787EF0">
      <w:numFmt w:val="bullet"/>
      <w:lvlText w:val="•"/>
      <w:lvlJc w:val="left"/>
      <w:pPr>
        <w:ind w:left="11908" w:hanging="255"/>
      </w:pPr>
      <w:rPr>
        <w:rFonts w:hint="default"/>
        <w:lang w:val="es-ES" w:eastAsia="en-US" w:bidi="ar-SA"/>
      </w:rPr>
    </w:lvl>
    <w:lvl w:ilvl="7" w:tplc="251266EE">
      <w:numFmt w:val="bullet"/>
      <w:lvlText w:val="•"/>
      <w:lvlJc w:val="left"/>
      <w:pPr>
        <w:ind w:left="12786" w:hanging="255"/>
      </w:pPr>
      <w:rPr>
        <w:rFonts w:hint="default"/>
        <w:lang w:val="es-ES" w:eastAsia="en-US" w:bidi="ar-SA"/>
      </w:rPr>
    </w:lvl>
    <w:lvl w:ilvl="8" w:tplc="59B6FA36">
      <w:numFmt w:val="bullet"/>
      <w:lvlText w:val="•"/>
      <w:lvlJc w:val="left"/>
      <w:pPr>
        <w:ind w:left="13664" w:hanging="255"/>
      </w:pPr>
      <w:rPr>
        <w:rFonts w:hint="default"/>
        <w:lang w:val="es-ES" w:eastAsia="en-US" w:bidi="ar-SA"/>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4674874">
    <w:abstractNumId w:val="6"/>
  </w:num>
  <w:num w:numId="2" w16cid:durableId="693388643">
    <w:abstractNumId w:val="1"/>
  </w:num>
  <w:num w:numId="3" w16cid:durableId="1774326658">
    <w:abstractNumId w:val="4"/>
  </w:num>
  <w:num w:numId="4" w16cid:durableId="58353276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95871741">
    <w:abstractNumId w:val="1"/>
  </w:num>
  <w:num w:numId="6" w16cid:durableId="1063678644">
    <w:abstractNumId w:val="15"/>
  </w:num>
  <w:num w:numId="7" w16cid:durableId="1679383664">
    <w:abstractNumId w:val="5"/>
  </w:num>
  <w:num w:numId="8" w16cid:durableId="1543011397">
    <w:abstractNumId w:val="14"/>
  </w:num>
  <w:num w:numId="9" w16cid:durableId="1642273315">
    <w:abstractNumId w:val="7"/>
  </w:num>
  <w:num w:numId="10" w16cid:durableId="1793790196">
    <w:abstractNumId w:val="13"/>
  </w:num>
  <w:num w:numId="11" w16cid:durableId="1329290388">
    <w:abstractNumId w:val="8"/>
  </w:num>
  <w:num w:numId="12" w16cid:durableId="533926498">
    <w:abstractNumId w:val="0"/>
  </w:num>
  <w:num w:numId="13" w16cid:durableId="1933396746">
    <w:abstractNumId w:val="2"/>
  </w:num>
  <w:num w:numId="14" w16cid:durableId="26955719">
    <w:abstractNumId w:val="16"/>
  </w:num>
  <w:num w:numId="15" w16cid:durableId="943535757">
    <w:abstractNumId w:val="12"/>
  </w:num>
  <w:num w:numId="16" w16cid:durableId="1766223007">
    <w:abstractNumId w:val="3"/>
  </w:num>
  <w:num w:numId="17" w16cid:durableId="1780371482">
    <w:abstractNumId w:val="9"/>
  </w:num>
  <w:num w:numId="18" w16cid:durableId="1248075715">
    <w:abstractNumId w:val="17"/>
  </w:num>
  <w:num w:numId="19" w16cid:durableId="994262119">
    <w:abstractNumId w:val="11"/>
  </w:num>
  <w:num w:numId="20" w16cid:durableId="11447845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0CF"/>
    <w:rsid w:val="00016F78"/>
    <w:rsid w:val="00046945"/>
    <w:rsid w:val="00055945"/>
    <w:rsid w:val="00061B2A"/>
    <w:rsid w:val="00082362"/>
    <w:rsid w:val="000A683E"/>
    <w:rsid w:val="000B19B9"/>
    <w:rsid w:val="000C7D33"/>
    <w:rsid w:val="000D0334"/>
    <w:rsid w:val="000D5DA7"/>
    <w:rsid w:val="000F6486"/>
    <w:rsid w:val="00116940"/>
    <w:rsid w:val="00125105"/>
    <w:rsid w:val="00127233"/>
    <w:rsid w:val="0015699B"/>
    <w:rsid w:val="00172B4E"/>
    <w:rsid w:val="001743CA"/>
    <w:rsid w:val="001821C6"/>
    <w:rsid w:val="001A33BF"/>
    <w:rsid w:val="001E4177"/>
    <w:rsid w:val="001F0B24"/>
    <w:rsid w:val="001F7DC6"/>
    <w:rsid w:val="001F7FA7"/>
    <w:rsid w:val="00211230"/>
    <w:rsid w:val="0022400B"/>
    <w:rsid w:val="002305B0"/>
    <w:rsid w:val="002421BB"/>
    <w:rsid w:val="00246CBB"/>
    <w:rsid w:val="00252059"/>
    <w:rsid w:val="0025796E"/>
    <w:rsid w:val="002707A2"/>
    <w:rsid w:val="002951A0"/>
    <w:rsid w:val="002962BC"/>
    <w:rsid w:val="002A093D"/>
    <w:rsid w:val="002A0DD0"/>
    <w:rsid w:val="002A49AC"/>
    <w:rsid w:val="002A58CD"/>
    <w:rsid w:val="002A64FD"/>
    <w:rsid w:val="002B0BF7"/>
    <w:rsid w:val="002B730F"/>
    <w:rsid w:val="002C7A84"/>
    <w:rsid w:val="002E2BF8"/>
    <w:rsid w:val="002E4FD9"/>
    <w:rsid w:val="003004D2"/>
    <w:rsid w:val="0030657A"/>
    <w:rsid w:val="00322A85"/>
    <w:rsid w:val="00324168"/>
    <w:rsid w:val="00325055"/>
    <w:rsid w:val="00330834"/>
    <w:rsid w:val="003448F4"/>
    <w:rsid w:val="0036053B"/>
    <w:rsid w:val="0037015E"/>
    <w:rsid w:val="00372ADE"/>
    <w:rsid w:val="00373CC5"/>
    <w:rsid w:val="00374F5E"/>
    <w:rsid w:val="00377E3E"/>
    <w:rsid w:val="003A779E"/>
    <w:rsid w:val="003C182D"/>
    <w:rsid w:val="003C5FD9"/>
    <w:rsid w:val="003D0F4D"/>
    <w:rsid w:val="003D5B0D"/>
    <w:rsid w:val="003E0499"/>
    <w:rsid w:val="003E4F80"/>
    <w:rsid w:val="003E6439"/>
    <w:rsid w:val="003F3941"/>
    <w:rsid w:val="00406575"/>
    <w:rsid w:val="00406E17"/>
    <w:rsid w:val="00414C74"/>
    <w:rsid w:val="0042722E"/>
    <w:rsid w:val="00442203"/>
    <w:rsid w:val="0044528D"/>
    <w:rsid w:val="00466E39"/>
    <w:rsid w:val="00470178"/>
    <w:rsid w:val="00474655"/>
    <w:rsid w:val="004A1847"/>
    <w:rsid w:val="004A305D"/>
    <w:rsid w:val="004D5C33"/>
    <w:rsid w:val="004F21C4"/>
    <w:rsid w:val="004F685F"/>
    <w:rsid w:val="00550055"/>
    <w:rsid w:val="005566E8"/>
    <w:rsid w:val="00560ECB"/>
    <w:rsid w:val="00564D81"/>
    <w:rsid w:val="00574867"/>
    <w:rsid w:val="00591460"/>
    <w:rsid w:val="005A65E0"/>
    <w:rsid w:val="005C3777"/>
    <w:rsid w:val="005C47DD"/>
    <w:rsid w:val="005C5CDC"/>
    <w:rsid w:val="005D476C"/>
    <w:rsid w:val="005E7C99"/>
    <w:rsid w:val="005F1A8F"/>
    <w:rsid w:val="00601091"/>
    <w:rsid w:val="00603964"/>
    <w:rsid w:val="006200BF"/>
    <w:rsid w:val="006219F8"/>
    <w:rsid w:val="006302F7"/>
    <w:rsid w:val="00646B9F"/>
    <w:rsid w:val="006506D8"/>
    <w:rsid w:val="006571B8"/>
    <w:rsid w:val="00665D70"/>
    <w:rsid w:val="00666713"/>
    <w:rsid w:val="00672B45"/>
    <w:rsid w:val="00686594"/>
    <w:rsid w:val="006900D9"/>
    <w:rsid w:val="00706C16"/>
    <w:rsid w:val="0071632A"/>
    <w:rsid w:val="007340C3"/>
    <w:rsid w:val="007370B3"/>
    <w:rsid w:val="00747A86"/>
    <w:rsid w:val="0075235A"/>
    <w:rsid w:val="00756841"/>
    <w:rsid w:val="0076391A"/>
    <w:rsid w:val="007649AB"/>
    <w:rsid w:val="007708A9"/>
    <w:rsid w:val="00771D0C"/>
    <w:rsid w:val="007833AC"/>
    <w:rsid w:val="007A1830"/>
    <w:rsid w:val="007B268C"/>
    <w:rsid w:val="007B7171"/>
    <w:rsid w:val="007C0C0F"/>
    <w:rsid w:val="007C3DC2"/>
    <w:rsid w:val="007D1AA3"/>
    <w:rsid w:val="007E5497"/>
    <w:rsid w:val="007E7F6F"/>
    <w:rsid w:val="00806F5F"/>
    <w:rsid w:val="00820278"/>
    <w:rsid w:val="008258C9"/>
    <w:rsid w:val="008316FF"/>
    <w:rsid w:val="00844AE9"/>
    <w:rsid w:val="00867F95"/>
    <w:rsid w:val="008843B6"/>
    <w:rsid w:val="008853C8"/>
    <w:rsid w:val="00891928"/>
    <w:rsid w:val="008A3E33"/>
    <w:rsid w:val="008A446D"/>
    <w:rsid w:val="008B25F1"/>
    <w:rsid w:val="008D180B"/>
    <w:rsid w:val="008F0EA7"/>
    <w:rsid w:val="00923EEF"/>
    <w:rsid w:val="009419F9"/>
    <w:rsid w:val="00945E3D"/>
    <w:rsid w:val="0095685E"/>
    <w:rsid w:val="00961B09"/>
    <w:rsid w:val="00963F67"/>
    <w:rsid w:val="00965334"/>
    <w:rsid w:val="0097093E"/>
    <w:rsid w:val="00982C6E"/>
    <w:rsid w:val="009A0515"/>
    <w:rsid w:val="009A0DFA"/>
    <w:rsid w:val="009A4D8B"/>
    <w:rsid w:val="009A589D"/>
    <w:rsid w:val="009B2D26"/>
    <w:rsid w:val="009C71FA"/>
    <w:rsid w:val="009C72E7"/>
    <w:rsid w:val="009C7F7E"/>
    <w:rsid w:val="009D3058"/>
    <w:rsid w:val="009D53A2"/>
    <w:rsid w:val="009E3ADE"/>
    <w:rsid w:val="009F3A13"/>
    <w:rsid w:val="00A02AB0"/>
    <w:rsid w:val="00A122D3"/>
    <w:rsid w:val="00A14468"/>
    <w:rsid w:val="00A17F13"/>
    <w:rsid w:val="00A20739"/>
    <w:rsid w:val="00A23AF9"/>
    <w:rsid w:val="00A33C78"/>
    <w:rsid w:val="00A7153D"/>
    <w:rsid w:val="00A76DF5"/>
    <w:rsid w:val="00A91B5D"/>
    <w:rsid w:val="00A96668"/>
    <w:rsid w:val="00AB0ADB"/>
    <w:rsid w:val="00AE72BF"/>
    <w:rsid w:val="00AF3C2F"/>
    <w:rsid w:val="00B00412"/>
    <w:rsid w:val="00B00C0E"/>
    <w:rsid w:val="00B01B1A"/>
    <w:rsid w:val="00B1459F"/>
    <w:rsid w:val="00B44A47"/>
    <w:rsid w:val="00B470E2"/>
    <w:rsid w:val="00B72CD3"/>
    <w:rsid w:val="00B72FFF"/>
    <w:rsid w:val="00B77287"/>
    <w:rsid w:val="00BC3D36"/>
    <w:rsid w:val="00BD54A6"/>
    <w:rsid w:val="00BD7F72"/>
    <w:rsid w:val="00BE429B"/>
    <w:rsid w:val="00BF7425"/>
    <w:rsid w:val="00C04FB3"/>
    <w:rsid w:val="00C11D8B"/>
    <w:rsid w:val="00C16B06"/>
    <w:rsid w:val="00C279C5"/>
    <w:rsid w:val="00C330EB"/>
    <w:rsid w:val="00C50D69"/>
    <w:rsid w:val="00C5365C"/>
    <w:rsid w:val="00C637D2"/>
    <w:rsid w:val="00C754BE"/>
    <w:rsid w:val="00C76B1C"/>
    <w:rsid w:val="00C925AC"/>
    <w:rsid w:val="00CA6D4B"/>
    <w:rsid w:val="00CB6357"/>
    <w:rsid w:val="00CC1B26"/>
    <w:rsid w:val="00D01973"/>
    <w:rsid w:val="00D24E1B"/>
    <w:rsid w:val="00D361FD"/>
    <w:rsid w:val="00D423A2"/>
    <w:rsid w:val="00D42F91"/>
    <w:rsid w:val="00D44E26"/>
    <w:rsid w:val="00D520D8"/>
    <w:rsid w:val="00D532F2"/>
    <w:rsid w:val="00D63AC2"/>
    <w:rsid w:val="00D7383B"/>
    <w:rsid w:val="00D7788A"/>
    <w:rsid w:val="00DA231B"/>
    <w:rsid w:val="00DC39FC"/>
    <w:rsid w:val="00DC6822"/>
    <w:rsid w:val="00DF3306"/>
    <w:rsid w:val="00DF5254"/>
    <w:rsid w:val="00E02524"/>
    <w:rsid w:val="00E16408"/>
    <w:rsid w:val="00E20894"/>
    <w:rsid w:val="00E240E3"/>
    <w:rsid w:val="00E245AB"/>
    <w:rsid w:val="00E2764C"/>
    <w:rsid w:val="00E27F2E"/>
    <w:rsid w:val="00E50AFE"/>
    <w:rsid w:val="00E75C92"/>
    <w:rsid w:val="00E771DC"/>
    <w:rsid w:val="00E85787"/>
    <w:rsid w:val="00E8772A"/>
    <w:rsid w:val="00E90F6B"/>
    <w:rsid w:val="00E92C27"/>
    <w:rsid w:val="00E94B76"/>
    <w:rsid w:val="00EA0E3D"/>
    <w:rsid w:val="00EC38A7"/>
    <w:rsid w:val="00ED0AD9"/>
    <w:rsid w:val="00EE1AA8"/>
    <w:rsid w:val="00F076D3"/>
    <w:rsid w:val="00F140DD"/>
    <w:rsid w:val="00F23FEA"/>
    <w:rsid w:val="00F27B7B"/>
    <w:rsid w:val="00F31EDC"/>
    <w:rsid w:val="00F462B3"/>
    <w:rsid w:val="00F5664F"/>
    <w:rsid w:val="00F666C4"/>
    <w:rsid w:val="00F7501A"/>
    <w:rsid w:val="00F76AFC"/>
    <w:rsid w:val="00FA47C0"/>
    <w:rsid w:val="00FB5DD1"/>
    <w:rsid w:val="00FC2B5D"/>
    <w:rsid w:val="00FD2581"/>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D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paragraph" w:styleId="Textoindependiente">
    <w:name w:val="Body Text"/>
    <w:basedOn w:val="Normal"/>
    <w:link w:val="TextoindependienteCar"/>
    <w:uiPriority w:val="99"/>
    <w:semiHidden/>
    <w:unhideWhenUsed/>
    <w:rsid w:val="009E3ADE"/>
    <w:pPr>
      <w:spacing w:after="120"/>
    </w:pPr>
  </w:style>
  <w:style w:type="character" w:customStyle="1" w:styleId="TextoindependienteCar">
    <w:name w:val="Texto independiente Car"/>
    <w:basedOn w:val="Fuentedeprrafopredeter"/>
    <w:link w:val="Textoindependiente"/>
    <w:uiPriority w:val="99"/>
    <w:semiHidden/>
    <w:rsid w:val="009E3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589895930">
      <w:bodyDiv w:val="1"/>
      <w:marLeft w:val="0"/>
      <w:marRight w:val="0"/>
      <w:marTop w:val="0"/>
      <w:marBottom w:val="0"/>
      <w:divBdr>
        <w:top w:val="none" w:sz="0" w:space="0" w:color="auto"/>
        <w:left w:val="none" w:sz="0" w:space="0" w:color="auto"/>
        <w:bottom w:val="none" w:sz="0" w:space="0" w:color="auto"/>
        <w:right w:val="none" w:sz="0" w:space="0" w:color="auto"/>
      </w:divBdr>
      <w:divsChild>
        <w:div w:id="808983154">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73917908">
      <w:bodyDiv w:val="1"/>
      <w:marLeft w:val="0"/>
      <w:marRight w:val="0"/>
      <w:marTop w:val="0"/>
      <w:marBottom w:val="0"/>
      <w:divBdr>
        <w:top w:val="none" w:sz="0" w:space="0" w:color="auto"/>
        <w:left w:val="none" w:sz="0" w:space="0" w:color="auto"/>
        <w:bottom w:val="none" w:sz="0" w:space="0" w:color="auto"/>
        <w:right w:val="none" w:sz="0" w:space="0" w:color="auto"/>
      </w:divBdr>
      <w:divsChild>
        <w:div w:id="1731002816">
          <w:marLeft w:val="0"/>
          <w:marRight w:val="0"/>
          <w:marTop w:val="0"/>
          <w:marBottom w:val="0"/>
          <w:divBdr>
            <w:top w:val="none" w:sz="0" w:space="0" w:color="auto"/>
            <w:left w:val="none" w:sz="0" w:space="0" w:color="auto"/>
            <w:bottom w:val="none" w:sz="0" w:space="0" w:color="auto"/>
            <w:right w:val="none" w:sz="0" w:space="0" w:color="auto"/>
          </w:divBdr>
        </w:div>
      </w:divsChild>
    </w:div>
    <w:div w:id="686831439">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9077774">
      <w:bodyDiv w:val="1"/>
      <w:marLeft w:val="0"/>
      <w:marRight w:val="0"/>
      <w:marTop w:val="0"/>
      <w:marBottom w:val="0"/>
      <w:divBdr>
        <w:top w:val="none" w:sz="0" w:space="0" w:color="auto"/>
        <w:left w:val="none" w:sz="0" w:space="0" w:color="auto"/>
        <w:bottom w:val="none" w:sz="0" w:space="0" w:color="auto"/>
        <w:right w:val="none" w:sz="0" w:space="0" w:color="auto"/>
      </w:divBdr>
      <w:divsChild>
        <w:div w:id="1871189545">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3477859">
      <w:bodyDiv w:val="1"/>
      <w:marLeft w:val="0"/>
      <w:marRight w:val="0"/>
      <w:marTop w:val="0"/>
      <w:marBottom w:val="0"/>
      <w:divBdr>
        <w:top w:val="none" w:sz="0" w:space="0" w:color="auto"/>
        <w:left w:val="none" w:sz="0" w:space="0" w:color="auto"/>
        <w:bottom w:val="none" w:sz="0" w:space="0" w:color="auto"/>
        <w:right w:val="none" w:sz="0" w:space="0" w:color="auto"/>
      </w:divBdr>
      <w:divsChild>
        <w:div w:id="1147435762">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031442673">
      <w:bodyDiv w:val="1"/>
      <w:marLeft w:val="0"/>
      <w:marRight w:val="0"/>
      <w:marTop w:val="0"/>
      <w:marBottom w:val="0"/>
      <w:divBdr>
        <w:top w:val="none" w:sz="0" w:space="0" w:color="auto"/>
        <w:left w:val="none" w:sz="0" w:space="0" w:color="auto"/>
        <w:bottom w:val="none" w:sz="0" w:space="0" w:color="auto"/>
        <w:right w:val="none" w:sz="0" w:space="0" w:color="auto"/>
      </w:divBdr>
    </w:div>
    <w:div w:id="2074421641">
      <w:bodyDiv w:val="1"/>
      <w:marLeft w:val="0"/>
      <w:marRight w:val="0"/>
      <w:marTop w:val="0"/>
      <w:marBottom w:val="0"/>
      <w:divBdr>
        <w:top w:val="none" w:sz="0" w:space="0" w:color="auto"/>
        <w:left w:val="none" w:sz="0" w:space="0" w:color="auto"/>
        <w:bottom w:val="none" w:sz="0" w:space="0" w:color="auto"/>
        <w:right w:val="none" w:sz="0" w:space="0" w:color="auto"/>
      </w:divBdr>
    </w:div>
    <w:div w:id="209821375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andrea26@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D84436-B82B-4837-B259-2151F9C39F20}">
  <ds:schemaRefs>
    <ds:schemaRef ds:uri="http://schemas.openxmlformats.org/officeDocument/2006/bibliography"/>
  </ds:schemaRefs>
</ds:datastoreItem>
</file>

<file path=customXml/itemProps2.xml><?xml version="1.0" encoding="utf-8"?>
<ds:datastoreItem xmlns:ds="http://schemas.openxmlformats.org/officeDocument/2006/customXml" ds:itemID="{4AB3AABF-1116-4C90-A9AC-364EE37370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21</Pages>
  <Words>6893</Words>
  <Characters>37916</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2026-04-23T02:51:00Z</dcterms:created>
  <dcterms:modified xsi:type="dcterms:W3CDTF">2026-04-23T13:49:00Z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