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BBD06" w14:textId="425C5703" w:rsidR="00101DAB" w:rsidRPr="00101DAB" w:rsidRDefault="00101DAB" w:rsidP="00101DAB">
      <w:pPr>
        <w:spacing w:after="0"/>
        <w:jc w:val="both"/>
        <w:rPr>
          <w:rFonts w:ascii="Verdana" w:eastAsia="Verdana" w:hAnsi="Verdana" w:cs="Verdana"/>
        </w:rPr>
      </w:pPr>
      <w:bookmarkStart w:id="0" w:name="_Hlk143780582"/>
      <w:r w:rsidRPr="00101DAB">
        <w:rPr>
          <w:rFonts w:ascii="Verdana" w:eastAsia="Calibri" w:hAnsi="Verdana" w:cs="Arial"/>
          <w:b/>
          <w:bCs/>
          <w:lang w:val="es-ES" w:eastAsia="es-ES"/>
        </w:rPr>
        <w:t>DOCUMENTOS TIPO DE INFRAESTRUCTURA SOCIAL – Generalidades – Versión 2</w:t>
      </w:r>
    </w:p>
    <w:p w14:paraId="780F8A35" w14:textId="77777777" w:rsidR="00101DAB" w:rsidRPr="00101DAB" w:rsidRDefault="00101DAB" w:rsidP="00101DAB">
      <w:pPr>
        <w:shd w:val="clear" w:color="auto" w:fill="FFFFFF"/>
        <w:spacing w:after="0" w:line="276" w:lineRule="auto"/>
        <w:contextualSpacing/>
        <w:jc w:val="both"/>
        <w:rPr>
          <w:rFonts w:ascii="Verdana" w:eastAsia="Calibri" w:hAnsi="Verdana" w:cs="Arial"/>
          <w:b/>
          <w:bCs/>
          <w:lang w:val="es-ES" w:eastAsia="es-ES"/>
        </w:rPr>
      </w:pPr>
    </w:p>
    <w:p w14:paraId="07361D5A" w14:textId="02D35B04" w:rsidR="00101DAB" w:rsidRPr="00B6174B" w:rsidRDefault="005213C2" w:rsidP="00714B8E">
      <w:pPr>
        <w:widowControl w:val="0"/>
        <w:autoSpaceDE w:val="0"/>
        <w:autoSpaceDN w:val="0"/>
        <w:spacing w:after="0" w:line="240" w:lineRule="auto"/>
        <w:jc w:val="both"/>
        <w:rPr>
          <w:rFonts w:ascii="Verdana" w:eastAsia="Arial MT" w:hAnsi="Verdana" w:cs="Arial MT"/>
          <w:sz w:val="20"/>
          <w:szCs w:val="20"/>
          <w:lang w:val="es-ES" w:eastAsia="es-MX"/>
        </w:rPr>
      </w:pPr>
      <w:r w:rsidRPr="00B6174B">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r w:rsidR="00714B8E">
        <w:rPr>
          <w:rFonts w:ascii="Verdana" w:eastAsia="Calibri" w:hAnsi="Verdana" w:cs="Times New Roman"/>
          <w:sz w:val="20"/>
          <w:szCs w:val="20"/>
          <w:lang w:val="es-ES" w:eastAsia="es-MX"/>
        </w:rPr>
        <w:t>.</w:t>
      </w:r>
    </w:p>
    <w:p w14:paraId="4210B02E" w14:textId="77777777" w:rsidR="00101DAB" w:rsidRPr="00B6174B" w:rsidRDefault="00101DAB" w:rsidP="00714B8E">
      <w:pPr>
        <w:widowControl w:val="0"/>
        <w:autoSpaceDE w:val="0"/>
        <w:autoSpaceDN w:val="0"/>
        <w:spacing w:after="0" w:line="240" w:lineRule="auto"/>
        <w:jc w:val="both"/>
        <w:rPr>
          <w:rFonts w:ascii="Verdana" w:eastAsia="Arial MT" w:hAnsi="Verdana" w:cs="Arial MT"/>
          <w:sz w:val="20"/>
          <w:szCs w:val="20"/>
          <w:lang w:val="es-ES" w:eastAsia="es-MX"/>
        </w:rPr>
      </w:pPr>
      <w:r w:rsidRPr="00B6174B">
        <w:rPr>
          <w:rFonts w:ascii="Verdana" w:eastAsia="Arial MT" w:hAnsi="Verdana" w:cs="Arial MT"/>
          <w:sz w:val="20"/>
          <w:szCs w:val="20"/>
          <w:lang w:val="es-ES" w:eastAsia="es-MX"/>
        </w:rPr>
        <w:t>[…]</w:t>
      </w:r>
    </w:p>
    <w:p w14:paraId="1543AE2E" w14:textId="7C329E7E" w:rsidR="00101DAB" w:rsidRPr="00B6174B" w:rsidRDefault="005213C2" w:rsidP="00714B8E">
      <w:pPr>
        <w:snapToGrid w:val="0"/>
        <w:spacing w:after="0" w:line="240" w:lineRule="auto"/>
        <w:jc w:val="both"/>
        <w:rPr>
          <w:rFonts w:ascii="Verdana" w:eastAsia="Calibri" w:hAnsi="Verdana" w:cs="Times New Roman"/>
          <w:sz w:val="20"/>
          <w:szCs w:val="20"/>
          <w:lang w:val="es-ES" w:eastAsia="es-MX"/>
        </w:rPr>
      </w:pPr>
      <w:r w:rsidRPr="00B6174B">
        <w:rPr>
          <w:rFonts w:ascii="Verdana" w:eastAsia="Calibri" w:hAnsi="Verdana" w:cs="Times New Roman"/>
          <w:sz w:val="20"/>
          <w:szCs w:val="20"/>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607DC98A" w14:textId="77777777" w:rsidR="00101DAB" w:rsidRPr="00101DAB" w:rsidRDefault="00101DAB" w:rsidP="00101DAB">
      <w:pPr>
        <w:shd w:val="clear" w:color="auto" w:fill="FFFFFF"/>
        <w:spacing w:after="0" w:line="276" w:lineRule="auto"/>
        <w:contextualSpacing/>
        <w:jc w:val="both"/>
        <w:rPr>
          <w:rFonts w:ascii="Verdana" w:eastAsia="Calibri" w:hAnsi="Verdana" w:cs="Arial"/>
          <w:b/>
          <w:bCs/>
          <w:lang w:val="es-ES" w:eastAsia="es-ES"/>
        </w:rPr>
      </w:pPr>
    </w:p>
    <w:p w14:paraId="54A9A120" w14:textId="77777777" w:rsidR="00101DAB" w:rsidRPr="00101DAB" w:rsidRDefault="00101DAB" w:rsidP="00101DAB">
      <w:pPr>
        <w:shd w:val="clear" w:color="auto" w:fill="FFFFFF"/>
        <w:spacing w:after="0" w:line="276" w:lineRule="auto"/>
        <w:contextualSpacing/>
        <w:jc w:val="both"/>
        <w:rPr>
          <w:rFonts w:ascii="Verdana" w:eastAsia="Calibri" w:hAnsi="Verdana" w:cs="Arial"/>
          <w:b/>
          <w:lang w:val="es-MX" w:eastAsia="es-ES_tradnl"/>
        </w:rPr>
      </w:pPr>
      <w:r w:rsidRPr="00101DAB">
        <w:rPr>
          <w:rFonts w:ascii="Verdana" w:eastAsia="Calibri" w:hAnsi="Verdana" w:cs="Arial"/>
          <w:b/>
          <w:bCs/>
          <w:lang w:val="es-ES" w:eastAsia="es-ES"/>
        </w:rPr>
        <w:t>DOCUMENTOS TIPO DE INFRAESTRUCTURA SOCIAL – Cultura, Recreación y Deporte – Matriz – Experiencia – Actividad 2.5</w:t>
      </w:r>
    </w:p>
    <w:p w14:paraId="0A973B58" w14:textId="77777777" w:rsidR="00101DAB" w:rsidRPr="00101DAB" w:rsidRDefault="00101DAB" w:rsidP="00101DAB">
      <w:pPr>
        <w:spacing w:after="0" w:line="276" w:lineRule="auto"/>
        <w:jc w:val="both"/>
        <w:rPr>
          <w:rFonts w:ascii="Verdana" w:eastAsia="Aptos" w:hAnsi="Verdana" w:cs="Aptos"/>
          <w:i/>
          <w:iCs/>
          <w:kern w:val="2"/>
          <w:lang w:val="es-ES_tradnl"/>
          <w14:ligatures w14:val="standardContextual"/>
        </w:rPr>
      </w:pPr>
    </w:p>
    <w:p w14:paraId="66CC55F7" w14:textId="560F4B3C" w:rsidR="00101DAB" w:rsidRPr="00714B8E" w:rsidRDefault="00101DAB" w:rsidP="00714B8E">
      <w:pPr>
        <w:spacing w:after="0" w:line="240" w:lineRule="auto"/>
        <w:jc w:val="both"/>
        <w:rPr>
          <w:rFonts w:ascii="Verdana" w:eastAsia="Aptos" w:hAnsi="Verdana" w:cs="Aptos"/>
          <w:kern w:val="2"/>
          <w:sz w:val="20"/>
          <w:szCs w:val="20"/>
          <w:lang w:val="es-ES_tradnl"/>
          <w14:ligatures w14:val="standardContextual"/>
        </w:rPr>
      </w:pPr>
      <w:r w:rsidRPr="00714B8E">
        <w:rPr>
          <w:rFonts w:ascii="Verdana" w:eastAsia="Aptos" w:hAnsi="Verdana" w:cs="Aptos"/>
          <w:i/>
          <w:iCs/>
          <w:kern w:val="2"/>
          <w:sz w:val="20"/>
          <w:szCs w:val="20"/>
          <w:lang w:val="es-ES_tradnl"/>
          <w14:ligatures w14:val="standardContextual"/>
        </w:rPr>
        <w:t xml:space="preserve">[…] </w:t>
      </w:r>
      <w:r w:rsidR="00B6174B" w:rsidRPr="00714B8E">
        <w:rPr>
          <w:rFonts w:ascii="Verdana" w:eastAsia="Aptos" w:hAnsi="Verdana" w:cs="Aptos"/>
          <w:i/>
          <w:iCs/>
          <w:kern w:val="2"/>
          <w:sz w:val="20"/>
          <w:szCs w:val="20"/>
          <w:lang w:val="es-ES_tradnl"/>
          <w14:ligatures w14:val="standardContextual"/>
        </w:rPr>
        <w:t>en primer lugar,</w:t>
      </w:r>
      <w:r w:rsidR="00B6174B" w:rsidRPr="00714B8E">
        <w:rPr>
          <w:rFonts w:ascii="Verdana" w:eastAsia="Aptos" w:hAnsi="Verdana" w:cs="Aptos"/>
          <w:kern w:val="2"/>
          <w:sz w:val="20"/>
          <w:szCs w:val="20"/>
          <w:lang w:val="es-ES_tradnl"/>
          <w14:ligatures w14:val="standardContextual"/>
        </w:rPr>
        <w:t xml:space="preserve"> conviene señalar que la Matriz de Experiencia de los documentos tipo del sector “cultura, recreación y deporte”, incluye en el capítulo </w:t>
      </w:r>
      <w:r w:rsidR="00B6174B" w:rsidRPr="00714B8E">
        <w:rPr>
          <w:rFonts w:ascii="Verdana" w:eastAsia="Aptos" w:hAnsi="Verdana" w:cs="Aptos"/>
          <w:i/>
          <w:iCs/>
          <w:kern w:val="2"/>
          <w:sz w:val="20"/>
          <w:szCs w:val="20"/>
          <w:lang w:val="es-ES_tradnl"/>
          <w14:ligatures w14:val="standardContextual"/>
        </w:rPr>
        <w:t>2 “OBRAS EN INFRAESTRUCTURA RECREO DEPORTIVA</w:t>
      </w:r>
      <w:r w:rsidR="00B6174B" w:rsidRPr="00714B8E">
        <w:rPr>
          <w:rFonts w:ascii="Verdana" w:eastAsia="Aptos" w:hAnsi="Verdana" w:cs="Aptos"/>
          <w:kern w:val="2"/>
          <w:sz w:val="20"/>
          <w:szCs w:val="20"/>
          <w:lang w:val="es-ES_tradnl"/>
          <w14:ligatures w14:val="standardContextual"/>
        </w:rPr>
        <w:t>” la siguiente actividad en la cual podría enmarcarse el proceso de selección por el cual se indaga:</w:t>
      </w:r>
    </w:p>
    <w:p w14:paraId="480ACB02" w14:textId="77777777" w:rsidR="00101DAB" w:rsidRPr="00714B8E" w:rsidRDefault="00101DAB" w:rsidP="00714B8E">
      <w:pPr>
        <w:spacing w:after="0" w:line="240" w:lineRule="auto"/>
        <w:jc w:val="both"/>
        <w:rPr>
          <w:rFonts w:ascii="Verdana" w:eastAsia="Aptos" w:hAnsi="Verdana" w:cs="Aptos"/>
          <w:kern w:val="2"/>
          <w:sz w:val="20"/>
          <w:szCs w:val="20"/>
          <w:lang w:val="es-ES_tradnl"/>
          <w14:ligatures w14:val="standardContextual"/>
        </w:rPr>
      </w:pPr>
      <w:r w:rsidRPr="00714B8E">
        <w:rPr>
          <w:rFonts w:ascii="Verdana" w:eastAsia="Aptos" w:hAnsi="Verdana" w:cs="Aptos"/>
          <w:kern w:val="2"/>
          <w:sz w:val="20"/>
          <w:szCs w:val="20"/>
          <w:lang w:val="es-ES_tradnl"/>
          <w14:ligatures w14:val="standardContextual"/>
        </w:rPr>
        <w:t>[…]</w:t>
      </w:r>
    </w:p>
    <w:p w14:paraId="611AE33E" w14:textId="60D3F609" w:rsidR="00101DAB" w:rsidRPr="00714B8E" w:rsidRDefault="00B6174B" w:rsidP="00714B8E">
      <w:pPr>
        <w:spacing w:after="0" w:line="240" w:lineRule="auto"/>
        <w:jc w:val="both"/>
        <w:rPr>
          <w:rFonts w:ascii="Verdana" w:eastAsia="Aptos" w:hAnsi="Verdana" w:cs="Aptos"/>
          <w:sz w:val="20"/>
          <w:szCs w:val="20"/>
          <w:lang w:val="es-ES_tradnl"/>
        </w:rPr>
      </w:pPr>
      <w:r w:rsidRPr="00714B8E">
        <w:rPr>
          <w:rFonts w:ascii="Verdana" w:eastAsia="Aptos" w:hAnsi="Verdana" w:cs="Aptos"/>
          <w:sz w:val="20"/>
          <w:szCs w:val="20"/>
          <w:lang w:val="es-ES_tradnl"/>
        </w:rPr>
        <w:t>Lo anterior en virtud que elementos como las graderías hacen parte de los escenarios deportivos, y, en tal sentido, el Manual de Escenarios deportivos del Ministerio del Deporte las define como:</w:t>
      </w:r>
    </w:p>
    <w:p w14:paraId="5F8CA15B" w14:textId="77777777" w:rsidR="00101DAB" w:rsidRPr="00714B8E" w:rsidRDefault="00101DAB" w:rsidP="00714B8E">
      <w:pPr>
        <w:spacing w:after="0" w:line="240" w:lineRule="auto"/>
        <w:jc w:val="both"/>
        <w:rPr>
          <w:rFonts w:ascii="Verdana" w:eastAsia="Aptos" w:hAnsi="Verdana" w:cs="Aptos"/>
          <w:kern w:val="2"/>
          <w:sz w:val="20"/>
          <w:szCs w:val="20"/>
          <w:lang w:val="es-ES_tradnl"/>
          <w14:ligatures w14:val="standardContextual"/>
        </w:rPr>
      </w:pPr>
      <w:r w:rsidRPr="00714B8E">
        <w:rPr>
          <w:rFonts w:ascii="Verdana" w:eastAsia="Aptos" w:hAnsi="Verdana" w:cs="Aptos"/>
          <w:kern w:val="2"/>
          <w:sz w:val="20"/>
          <w:szCs w:val="20"/>
          <w:lang w:val="es-ES_tradnl"/>
          <w14:ligatures w14:val="standardContextual"/>
        </w:rPr>
        <w:t>[…]</w:t>
      </w:r>
    </w:p>
    <w:p w14:paraId="3117061D" w14:textId="23EDA5D2" w:rsidR="00101DAB" w:rsidRPr="00714B8E" w:rsidRDefault="00101DAB" w:rsidP="00714B8E">
      <w:pPr>
        <w:spacing w:after="0" w:line="240" w:lineRule="auto"/>
        <w:jc w:val="both"/>
        <w:rPr>
          <w:rFonts w:ascii="Verdana" w:eastAsia="Aptos" w:hAnsi="Verdana" w:cs="Aptos"/>
          <w:i/>
          <w:iCs/>
          <w:kern w:val="2"/>
          <w:sz w:val="20"/>
          <w:szCs w:val="20"/>
          <w:lang w:val="es-ES_tradnl"/>
          <w14:ligatures w14:val="standardContextual"/>
        </w:rPr>
      </w:pPr>
      <w:r w:rsidRPr="00714B8E">
        <w:rPr>
          <w:rFonts w:ascii="Verdana" w:eastAsia="Aptos" w:hAnsi="Verdana" w:cs="Aptos"/>
          <w:i/>
          <w:iCs/>
          <w:kern w:val="2"/>
          <w:sz w:val="20"/>
          <w:szCs w:val="20"/>
          <w:lang w:val="es-ES_tradnl"/>
          <w14:ligatures w14:val="standardContextual"/>
        </w:rPr>
        <w:t xml:space="preserve">En segundo lugar, </w:t>
      </w:r>
      <w:r w:rsidRPr="00714B8E">
        <w:rPr>
          <w:rFonts w:ascii="Verdana" w:eastAsia="Aptos" w:hAnsi="Verdana" w:cs="Aptos"/>
          <w:kern w:val="2"/>
          <w:sz w:val="20"/>
          <w:szCs w:val="20"/>
          <w:lang w:val="es-ES_tradnl"/>
          <w14:ligatures w14:val="standardContextual"/>
        </w:rPr>
        <w:t xml:space="preserve">es preciso señalar que el documento base de los documentos tipo de </w:t>
      </w:r>
      <w:r w:rsidR="00B6174B" w:rsidRPr="00714B8E">
        <w:rPr>
          <w:rFonts w:ascii="Verdana" w:eastAsia="Aptos" w:hAnsi="Verdana" w:cs="Aptos"/>
          <w:i/>
          <w:iCs/>
          <w:kern w:val="2"/>
          <w:sz w:val="20"/>
          <w:szCs w:val="20"/>
          <w:lang w:val="es-ES_tradnl"/>
          <w14:ligatures w14:val="standardContextual"/>
        </w:rPr>
        <w:t xml:space="preserve">En segundo lugar, </w:t>
      </w:r>
      <w:r w:rsidR="00B6174B" w:rsidRPr="00714B8E">
        <w:rPr>
          <w:rFonts w:ascii="Verdana" w:eastAsia="Aptos" w:hAnsi="Verdana" w:cs="Aptos"/>
          <w:kern w:val="2"/>
          <w:sz w:val="20"/>
          <w:szCs w:val="20"/>
          <w:lang w:val="es-ES_tradnl"/>
          <w14:ligatures w14:val="standardContextual"/>
        </w:rPr>
        <w:t xml:space="preserve">es preciso señalar que el documento base de los documentos tipo de infraestructura social, en la parte introductoria, señala la obligatoriedad de la </w:t>
      </w:r>
      <w:r w:rsidR="00B6174B" w:rsidRPr="00714B8E">
        <w:rPr>
          <w:rFonts w:ascii="Verdana" w:eastAsia="Aptos" w:hAnsi="Verdana" w:cs="Aptos"/>
          <w:kern w:val="2"/>
          <w:sz w:val="20"/>
          <w:szCs w:val="20"/>
          <w:lang w:val="es-ES_tradnl"/>
          <w14:ligatures w14:val="standardContextual"/>
        </w:rPr>
        <w:lastRenderedPageBreak/>
        <w:t xml:space="preserve">implementación de los documentos tipo en función de las actividades definidas en la Matriz 1 de Experiencia de cada subsector. Es decir, si el objeto del proceso de selección se enmarca en alguna de esas actividades, la entidad tendrá la obligación de utilizar los documentos tipo, que para el caso de la presente petición corresponden a los de “cultura recreación y deporte”, en tal sentido se señala: </w:t>
      </w:r>
      <w:r w:rsidRPr="00714B8E">
        <w:rPr>
          <w:rFonts w:ascii="Verdana" w:eastAsia="Aptos" w:hAnsi="Verdana" w:cs="Aptos"/>
          <w:kern w:val="2"/>
          <w:sz w:val="20"/>
          <w:szCs w:val="20"/>
          <w:lang w:val="es-ES_tradnl"/>
          <w14:ligatures w14:val="standardContextual"/>
        </w:rPr>
        <w:t>[…]</w:t>
      </w:r>
    </w:p>
    <w:p w14:paraId="5B524925" w14:textId="77777777" w:rsidR="00101DAB" w:rsidRPr="00101DAB" w:rsidRDefault="00101DAB" w:rsidP="00101DAB">
      <w:pPr>
        <w:spacing w:after="0" w:line="276" w:lineRule="auto"/>
        <w:jc w:val="both"/>
        <w:rPr>
          <w:rFonts w:ascii="Verdana" w:eastAsia="Arial" w:hAnsi="Verdana" w:cs="Calibri"/>
          <w:sz w:val="20"/>
          <w:szCs w:val="20"/>
          <w:lang w:eastAsia="es-ES"/>
        </w:rPr>
      </w:pPr>
    </w:p>
    <w:p w14:paraId="7ECCFCA2" w14:textId="77777777" w:rsidR="00101DAB" w:rsidRPr="00101DAB" w:rsidRDefault="00101DAB" w:rsidP="00101DAB">
      <w:pPr>
        <w:spacing w:after="0" w:line="276" w:lineRule="auto"/>
        <w:jc w:val="both"/>
        <w:rPr>
          <w:rFonts w:ascii="Verdana" w:eastAsia="Arial" w:hAnsi="Verdana" w:cs="Calibri"/>
          <w:b/>
          <w:bCs/>
          <w:lang w:eastAsia="es-ES"/>
        </w:rPr>
      </w:pPr>
      <w:r w:rsidRPr="00101DAB">
        <w:rPr>
          <w:rFonts w:ascii="Verdana" w:eastAsia="Arial" w:hAnsi="Verdana" w:cs="Calibri"/>
          <w:b/>
          <w:bCs/>
          <w:lang w:eastAsia="es-ES"/>
        </w:rPr>
        <w:t>DOCUMENTOS TIPO DE INFRAESTRUCTURA SOCIAL – Inalterabilidad</w:t>
      </w:r>
    </w:p>
    <w:p w14:paraId="1904DE25" w14:textId="77777777" w:rsidR="00101DAB" w:rsidRPr="00101DAB" w:rsidRDefault="00101DAB" w:rsidP="00101DAB">
      <w:pPr>
        <w:spacing w:after="0" w:line="276" w:lineRule="auto"/>
        <w:jc w:val="both"/>
        <w:rPr>
          <w:rFonts w:ascii="Verdana" w:eastAsia="Arial" w:hAnsi="Verdana" w:cs="Calibri"/>
          <w:sz w:val="20"/>
          <w:szCs w:val="20"/>
          <w:lang w:eastAsia="es-ES"/>
        </w:rPr>
      </w:pPr>
    </w:p>
    <w:p w14:paraId="3C260F46" w14:textId="71855461" w:rsidR="00B6174B" w:rsidRDefault="00101DAB" w:rsidP="00714B8E">
      <w:pPr>
        <w:adjustRightInd w:val="0"/>
        <w:snapToGrid w:val="0"/>
        <w:spacing w:after="0" w:line="240" w:lineRule="auto"/>
        <w:jc w:val="both"/>
        <w:rPr>
          <w:rFonts w:ascii="Verdana" w:eastAsia="Calibri" w:hAnsi="Verdana" w:cs="Arial"/>
          <w:color w:val="000000"/>
          <w:kern w:val="2"/>
          <w:sz w:val="20"/>
          <w:szCs w:val="20"/>
          <w:lang w:val="es-ES"/>
          <w14:ligatures w14:val="standardContextual"/>
        </w:rPr>
      </w:pPr>
      <w:r w:rsidRPr="00714B8E">
        <w:rPr>
          <w:rFonts w:ascii="Verdana" w:eastAsia="Calibri" w:hAnsi="Verdana" w:cs="Calibri"/>
          <w:kern w:val="2"/>
          <w:sz w:val="20"/>
          <w:szCs w:val="20"/>
          <w:lang w:val="es-ES_tradnl"/>
          <w14:ligatures w14:val="standardContextual"/>
        </w:rPr>
        <w:t xml:space="preserve">[…] </w:t>
      </w:r>
      <w:r w:rsidR="00B6174B" w:rsidRPr="00714B8E">
        <w:rPr>
          <w:rFonts w:ascii="Verdana" w:eastAsia="Calibri" w:hAnsi="Verdana" w:cs="Calibri"/>
          <w:kern w:val="2"/>
          <w:sz w:val="20"/>
          <w:szCs w:val="20"/>
          <w:lang w:val="es-ES_tradnl"/>
          <w14:ligatures w14:val="standardContextual"/>
        </w:rPr>
        <w:t xml:space="preserve">es necesario tener en cuenta que, </w:t>
      </w:r>
      <w:r w:rsidR="00B6174B" w:rsidRPr="00714B8E">
        <w:rPr>
          <w:rFonts w:ascii="Verdana" w:eastAsia="Calibri" w:hAnsi="Verdana" w:cs="Arial"/>
          <w:color w:val="000000"/>
          <w:kern w:val="2"/>
          <w:sz w:val="20"/>
          <w:szCs w:val="20"/>
          <w:lang w:val="es-ES"/>
          <w14:ligatures w14:val="standardContextual"/>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B6174B" w:rsidRPr="00714B8E">
        <w:rPr>
          <w:rFonts w:ascii="Verdana" w:eastAsia="Calibri" w:hAnsi="Verdana" w:cs="Arial"/>
          <w:i/>
          <w:iCs/>
          <w:color w:val="000000"/>
          <w:kern w:val="2"/>
          <w:sz w:val="20"/>
          <w:szCs w:val="20"/>
          <w:lang w:val="es-ES"/>
          <w14:ligatures w14:val="standardContextual"/>
        </w:rPr>
        <w:t>Documentos del Proceso</w:t>
      </w:r>
      <w:r w:rsidR="00B6174B" w:rsidRPr="00714B8E">
        <w:rPr>
          <w:rFonts w:ascii="Verdana" w:eastAsia="Calibri" w:hAnsi="Verdana" w:cs="Arial"/>
          <w:color w:val="000000"/>
          <w:kern w:val="2"/>
          <w:sz w:val="20"/>
          <w:szCs w:val="20"/>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10FF064" w14:textId="77777777" w:rsidR="00714B8E" w:rsidRPr="00714B8E" w:rsidRDefault="00714B8E" w:rsidP="00714B8E">
      <w:pPr>
        <w:adjustRightInd w:val="0"/>
        <w:snapToGrid w:val="0"/>
        <w:spacing w:after="0" w:line="240" w:lineRule="auto"/>
        <w:jc w:val="both"/>
        <w:rPr>
          <w:rFonts w:ascii="Verdana" w:eastAsia="Calibri" w:hAnsi="Verdana" w:cs="Arial"/>
          <w:color w:val="000000"/>
          <w:kern w:val="2"/>
          <w:sz w:val="20"/>
          <w:szCs w:val="20"/>
          <w:lang w:val="es-ES"/>
          <w14:ligatures w14:val="standardContextual"/>
        </w:rPr>
      </w:pPr>
    </w:p>
    <w:p w14:paraId="1B24B3B8" w14:textId="77777777" w:rsidR="00B6174B" w:rsidRPr="00714B8E" w:rsidRDefault="00B6174B" w:rsidP="00714B8E">
      <w:pPr>
        <w:adjustRightInd w:val="0"/>
        <w:snapToGrid w:val="0"/>
        <w:spacing w:after="0" w:line="240" w:lineRule="auto"/>
        <w:jc w:val="both"/>
        <w:rPr>
          <w:rFonts w:ascii="Verdana" w:eastAsia="Calibri" w:hAnsi="Verdana" w:cs="Arial"/>
          <w:kern w:val="2"/>
          <w:sz w:val="20"/>
          <w:szCs w:val="20"/>
          <w:lang w:val="es-ES_tradnl"/>
          <w14:ligatures w14:val="standardContextual"/>
        </w:rPr>
      </w:pPr>
      <w:r w:rsidRPr="00714B8E">
        <w:rPr>
          <w:rFonts w:ascii="Verdana" w:eastAsia="Calibri" w:hAnsi="Verdana" w:cs="Arial"/>
          <w:kern w:val="2"/>
          <w:sz w:val="20"/>
          <w:szCs w:val="20"/>
          <w:lang w:val="es-MX"/>
          <w14:ligatures w14:val="standardContextual"/>
        </w:rPr>
        <w:t xml:space="preserve">Por regla general, estos aspectos modificables corresponden a aquellos incluidos en corchetes y resaltados en gris </w:t>
      </w:r>
      <w:r w:rsidRPr="00714B8E">
        <w:rPr>
          <w:rFonts w:ascii="Verdana" w:eastAsia="Aptos" w:hAnsi="Verdana" w:cs="Arial"/>
          <w:kern w:val="2"/>
          <w:sz w:val="20"/>
          <w:szCs w:val="20"/>
          <w:lang w:val="es-ES_tradnl"/>
          <w14:ligatures w14:val="standardContextual"/>
        </w:rPr>
        <w:t>–[</w:t>
      </w:r>
      <w:r w:rsidRPr="00714B8E">
        <w:rPr>
          <w:rFonts w:ascii="Verdana" w:eastAsia="Aptos" w:hAnsi="Verdana" w:cs="Arial"/>
          <w:kern w:val="2"/>
          <w:sz w:val="20"/>
          <w:szCs w:val="20"/>
          <w:highlight w:val="lightGray"/>
          <w:lang w:val="es-ES_tradnl"/>
          <w14:ligatures w14:val="standardContextual"/>
        </w:rPr>
        <w:t>texto de ejemplo</w:t>
      </w:r>
      <w:r w:rsidRPr="00714B8E">
        <w:rPr>
          <w:rFonts w:ascii="Verdana" w:eastAsia="Aptos" w:hAnsi="Verdana" w:cs="Arial"/>
          <w:kern w:val="2"/>
          <w:sz w:val="20"/>
          <w:szCs w:val="20"/>
          <w:lang w:val="es-ES_tradnl"/>
          <w14:ligatures w14:val="standardContextual"/>
        </w:rPr>
        <w:t xml:space="preserve">]–, los cuales </w:t>
      </w:r>
      <w:r w:rsidRPr="00714B8E">
        <w:rPr>
          <w:rFonts w:ascii="Verdana" w:eastAsia="Calibri" w:hAnsi="Verdana" w:cs="Arial"/>
          <w:kern w:val="2"/>
          <w:sz w:val="20"/>
          <w:szCs w:val="20"/>
          <w:lang w:val="es-ES_tradnl"/>
          <w14:ligatures w14:val="standardContextual"/>
        </w:rPr>
        <w:t xml:space="preserve">deben ser diligenciados la entidad contratante o el proponente, según corresponda, de acuerdo con las instrucciones que allí se señalen. </w:t>
      </w:r>
    </w:p>
    <w:p w14:paraId="0F3DD1B0" w14:textId="6A0F51AA" w:rsidR="00101DAB" w:rsidRPr="00101DAB" w:rsidRDefault="00101DAB" w:rsidP="00B6174B">
      <w:pPr>
        <w:adjustRightInd w:val="0"/>
        <w:snapToGrid w:val="0"/>
        <w:spacing w:after="0" w:line="240" w:lineRule="auto"/>
        <w:jc w:val="both"/>
        <w:rPr>
          <w:rFonts w:ascii="Verdana" w:eastAsia="Arial" w:hAnsi="Verdana" w:cs="Calibri"/>
          <w:lang w:eastAsia="es-ES"/>
        </w:rPr>
      </w:pPr>
    </w:p>
    <w:p w14:paraId="51A1FA45" w14:textId="77777777" w:rsidR="00101DAB" w:rsidRPr="00101DAB" w:rsidRDefault="00101DAB" w:rsidP="00101DAB">
      <w:pPr>
        <w:snapToGrid w:val="0"/>
        <w:spacing w:after="0" w:line="276" w:lineRule="auto"/>
        <w:jc w:val="both"/>
        <w:rPr>
          <w:rFonts w:ascii="Verdana" w:eastAsia="Aptos" w:hAnsi="Verdana" w:cs="Times New Roman"/>
          <w:b/>
          <w:bCs/>
          <w:lang w:eastAsia="es-MX"/>
        </w:rPr>
      </w:pPr>
      <w:r w:rsidRPr="00101DAB">
        <w:rPr>
          <w:rFonts w:ascii="Verdana" w:eastAsia="Aptos" w:hAnsi="Verdana" w:cs="Times New Roman"/>
          <w:b/>
          <w:bCs/>
          <w:lang w:eastAsia="es-MX"/>
        </w:rPr>
        <w:t>DOCUMENTOS TIPO DE INFRAESTRUCTURA SOCIAL – Anexo 5 – Glosario – Lugares o espacios deportivos</w:t>
      </w:r>
    </w:p>
    <w:p w14:paraId="348C31A9" w14:textId="77777777" w:rsidR="00714B8E" w:rsidRDefault="00714B8E" w:rsidP="00714B8E">
      <w:pPr>
        <w:adjustRightInd w:val="0"/>
        <w:snapToGrid w:val="0"/>
        <w:spacing w:after="0" w:line="276" w:lineRule="auto"/>
        <w:jc w:val="both"/>
        <w:rPr>
          <w:rFonts w:ascii="Verdana" w:eastAsia="Aptos" w:hAnsi="Verdana" w:cs="Aptos"/>
          <w:kern w:val="2"/>
          <w:sz w:val="20"/>
          <w:szCs w:val="20"/>
          <w:lang w:val="es-ES_tradnl"/>
          <w14:ligatures w14:val="standardContextual"/>
        </w:rPr>
      </w:pPr>
    </w:p>
    <w:p w14:paraId="16DD3712" w14:textId="658CD401" w:rsidR="00101DAB" w:rsidRPr="00714B8E" w:rsidRDefault="00101DAB" w:rsidP="00714B8E">
      <w:pPr>
        <w:adjustRightInd w:val="0"/>
        <w:snapToGrid w:val="0"/>
        <w:spacing w:after="0" w:line="240" w:lineRule="auto"/>
        <w:jc w:val="both"/>
        <w:rPr>
          <w:rFonts w:ascii="Verdana" w:eastAsia="Aptos" w:hAnsi="Verdana" w:cs="Aptos"/>
          <w:i/>
          <w:iCs/>
          <w:kern w:val="2"/>
          <w:sz w:val="20"/>
          <w:szCs w:val="20"/>
          <w:lang w:val="es-ES_tradnl"/>
          <w14:ligatures w14:val="standardContextual"/>
        </w:rPr>
      </w:pPr>
      <w:r w:rsidRPr="00714B8E">
        <w:rPr>
          <w:rFonts w:ascii="Verdana" w:eastAsia="Aptos" w:hAnsi="Verdana" w:cs="Aptos"/>
          <w:kern w:val="2"/>
          <w:sz w:val="20"/>
          <w:szCs w:val="20"/>
          <w:lang w:val="es-ES_tradnl"/>
          <w14:ligatures w14:val="standardContextual"/>
        </w:rPr>
        <w:t>[…]</w:t>
      </w:r>
      <w:r w:rsidR="00714B8E">
        <w:rPr>
          <w:rFonts w:ascii="Verdana" w:eastAsia="Aptos" w:hAnsi="Verdana" w:cs="Aptos"/>
          <w:kern w:val="2"/>
          <w:sz w:val="20"/>
          <w:szCs w:val="20"/>
          <w:lang w:val="es-ES_tradnl"/>
          <w14:ligatures w14:val="standardContextual"/>
        </w:rPr>
        <w:t xml:space="preserve"> </w:t>
      </w:r>
      <w:r w:rsidR="00B6174B" w:rsidRPr="00714B8E">
        <w:rPr>
          <w:rFonts w:ascii="Verdana" w:eastAsia="Aptos" w:hAnsi="Verdana" w:cs="Aptos"/>
          <w:kern w:val="2"/>
          <w:sz w:val="20"/>
          <w:szCs w:val="20"/>
          <w:lang w:val="es-ES_tradnl"/>
          <w14:ligatures w14:val="standardContextual"/>
        </w:rPr>
        <w:t>puede resultar pertinente revisar las siguientes definiciones contenidas en el “Anexo 5 – Glosario”, que hace parte de los documentos tipo del sector social, de manera que se pueda establecer si el proceso de selección se enmarca en la actividad 2.5 previamente descrita, la cual se encuentra relacionada con lugares de reunión deportivos definidos como</w:t>
      </w:r>
      <w:r w:rsidR="00B6174B" w:rsidRPr="00714B8E">
        <w:rPr>
          <w:rFonts w:ascii="Verdana" w:eastAsia="Aptos" w:hAnsi="Verdana" w:cs="Aptos"/>
          <w:i/>
          <w:iCs/>
          <w:kern w:val="2"/>
          <w:sz w:val="20"/>
          <w:szCs w:val="20"/>
          <w:lang w:val="es-ES_tradnl"/>
          <w14:ligatures w14:val="standardContextual"/>
        </w:rPr>
        <w:t xml:space="preserve"> “CANCHAS DEPORTIVAS Y/O ESCENARIOS Y/O COMPLEJOS Y/O ESPACIOS E INSTALACIONES RECREO DEPORTIVAS”. </w:t>
      </w:r>
      <w:r w:rsidR="00B6174B" w:rsidRPr="00714B8E">
        <w:rPr>
          <w:rFonts w:ascii="Verdana" w:eastAsia="Aptos" w:hAnsi="Verdana" w:cs="Aptos"/>
          <w:kern w:val="2"/>
          <w:sz w:val="20"/>
          <w:szCs w:val="20"/>
          <w:lang w:val="es-ES_tradnl"/>
          <w14:ligatures w14:val="standardContextual"/>
        </w:rPr>
        <w:t>Lo anterior, toda vez que este tipo de escenarios tienen contempladas “graderías y otras obras complementarias” como parte de su infraestructura:</w:t>
      </w:r>
    </w:p>
    <w:p w14:paraId="3F965D0B" w14:textId="77777777" w:rsidR="00101DAB" w:rsidRPr="00714B8E" w:rsidRDefault="00101DAB" w:rsidP="00714B8E">
      <w:pPr>
        <w:adjustRightInd w:val="0"/>
        <w:snapToGrid w:val="0"/>
        <w:spacing w:after="0" w:line="240" w:lineRule="auto"/>
        <w:jc w:val="both"/>
        <w:rPr>
          <w:rFonts w:ascii="Verdana" w:eastAsia="Aptos" w:hAnsi="Verdana" w:cs="Aptos"/>
          <w:kern w:val="2"/>
          <w:sz w:val="20"/>
          <w:szCs w:val="20"/>
          <w:lang w:val="es-ES_tradnl"/>
          <w14:ligatures w14:val="standardContextual"/>
        </w:rPr>
      </w:pPr>
      <w:r w:rsidRPr="00714B8E">
        <w:rPr>
          <w:rFonts w:ascii="Verdana" w:eastAsia="Aptos" w:hAnsi="Verdana" w:cs="Aptos"/>
          <w:kern w:val="2"/>
          <w:sz w:val="20"/>
          <w:szCs w:val="20"/>
          <w:lang w:val="es-ES_tradnl"/>
          <w14:ligatures w14:val="standardContextual"/>
        </w:rPr>
        <w:t>[…]</w:t>
      </w:r>
    </w:p>
    <w:p w14:paraId="57A68AAF" w14:textId="77777777" w:rsidR="00B6174B" w:rsidRPr="00714B8E" w:rsidRDefault="00B6174B" w:rsidP="00714B8E">
      <w:pPr>
        <w:spacing w:after="0" w:line="240" w:lineRule="auto"/>
        <w:jc w:val="both"/>
        <w:rPr>
          <w:rFonts w:ascii="Verdana" w:eastAsia="Aptos" w:hAnsi="Verdana" w:cs="Aptos"/>
          <w:kern w:val="2"/>
          <w:sz w:val="20"/>
          <w:szCs w:val="20"/>
          <w:lang w:val="es-ES_tradnl"/>
          <w14:ligatures w14:val="standardContextual"/>
        </w:rPr>
      </w:pPr>
      <w:r w:rsidRPr="00714B8E">
        <w:rPr>
          <w:rFonts w:ascii="Verdana" w:eastAsia="Aptos" w:hAnsi="Verdana" w:cs="Aptos"/>
          <w:kern w:val="2"/>
          <w:sz w:val="20"/>
          <w:szCs w:val="20"/>
          <w:lang w:val="es-ES_tradnl"/>
          <w14:ligatures w14:val="standardContextual"/>
        </w:rPr>
        <w:t xml:space="preserve">Adicionalmente, también puede revisarse  que el proceso de selección por el que se indaga se enmarque en algunas de las tipologías de ejecución que se describen en la actividad 2.5 y que se relacionan con: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w:t>
      </w:r>
      <w:r w:rsidRPr="00714B8E">
        <w:rPr>
          <w:rFonts w:ascii="Verdana" w:eastAsia="Aptos" w:hAnsi="Verdana" w:cs="Aptos"/>
          <w:kern w:val="2"/>
          <w:sz w:val="20"/>
          <w:szCs w:val="20"/>
          <w:lang w:val="es-ES_tradnl"/>
          <w14:ligatures w14:val="standardContextual"/>
        </w:rPr>
        <w:lastRenderedPageBreak/>
        <w:t>reparación y/o  restitución y/o reforzamiento estructural y/o actualización sísmica y/o repotenciación estructural”.</w:t>
      </w:r>
    </w:p>
    <w:p w14:paraId="69EEC0CF" w14:textId="77777777" w:rsidR="00101DAB" w:rsidRPr="00101DAB" w:rsidRDefault="00101DAB" w:rsidP="00101DAB">
      <w:pPr>
        <w:spacing w:after="0" w:line="240" w:lineRule="auto"/>
        <w:jc w:val="both"/>
        <w:rPr>
          <w:rFonts w:ascii="Verdana" w:eastAsia="Calibri" w:hAnsi="Verdana" w:cs="Arial"/>
          <w:color w:val="000000"/>
          <w:sz w:val="20"/>
          <w:szCs w:val="20"/>
          <w:lang w:val="es-ES" w:eastAsia="es-MX"/>
        </w:rPr>
      </w:pPr>
    </w:p>
    <w:p w14:paraId="2E558868" w14:textId="77777777" w:rsidR="00101DAB" w:rsidRDefault="00101DAB" w:rsidP="00101DAB">
      <w:pPr>
        <w:spacing w:after="0" w:line="240" w:lineRule="auto"/>
        <w:jc w:val="both"/>
        <w:rPr>
          <w:rFonts w:ascii="Verdana" w:eastAsia="Verdana" w:hAnsi="Verdana" w:cs="Verdana"/>
        </w:rPr>
      </w:pPr>
    </w:p>
    <w:p w14:paraId="48392FF8" w14:textId="77777777" w:rsidR="00101DAB" w:rsidRDefault="00101DAB" w:rsidP="00101DAB">
      <w:pPr>
        <w:spacing w:after="0" w:line="240" w:lineRule="auto"/>
        <w:jc w:val="both"/>
        <w:rPr>
          <w:rFonts w:ascii="Verdana" w:eastAsia="Verdana" w:hAnsi="Verdana" w:cs="Verdana"/>
        </w:rPr>
      </w:pPr>
    </w:p>
    <w:p w14:paraId="6421FA9E" w14:textId="77777777" w:rsidR="00101DAB" w:rsidRDefault="00101DAB" w:rsidP="00101DAB">
      <w:pPr>
        <w:spacing w:after="0" w:line="240" w:lineRule="auto"/>
        <w:jc w:val="both"/>
        <w:rPr>
          <w:rFonts w:ascii="Verdana" w:eastAsia="Verdana" w:hAnsi="Verdana" w:cs="Verdana"/>
        </w:rPr>
      </w:pPr>
    </w:p>
    <w:p w14:paraId="21981D50" w14:textId="77777777" w:rsidR="00101DAB" w:rsidRDefault="00101DAB" w:rsidP="00101DAB">
      <w:pPr>
        <w:spacing w:after="0" w:line="240" w:lineRule="auto"/>
        <w:jc w:val="both"/>
        <w:rPr>
          <w:rFonts w:ascii="Verdana" w:eastAsia="Verdana" w:hAnsi="Verdana" w:cs="Verdana"/>
        </w:rPr>
      </w:pPr>
    </w:p>
    <w:p w14:paraId="6F13E92A" w14:textId="77777777" w:rsidR="00101DAB" w:rsidRDefault="00101DAB" w:rsidP="00101DAB">
      <w:pPr>
        <w:spacing w:after="0" w:line="240" w:lineRule="auto"/>
        <w:jc w:val="both"/>
        <w:rPr>
          <w:rFonts w:ascii="Verdana" w:eastAsia="Verdana" w:hAnsi="Verdana" w:cs="Verdana"/>
        </w:rPr>
      </w:pPr>
    </w:p>
    <w:p w14:paraId="0B015D9F" w14:textId="77777777" w:rsidR="00101DAB" w:rsidRDefault="00101DAB" w:rsidP="00101DAB">
      <w:pPr>
        <w:spacing w:after="0" w:line="240" w:lineRule="auto"/>
        <w:jc w:val="both"/>
        <w:rPr>
          <w:rFonts w:ascii="Verdana" w:eastAsia="Verdana" w:hAnsi="Verdana" w:cs="Verdana"/>
        </w:rPr>
      </w:pPr>
    </w:p>
    <w:p w14:paraId="6F4D813B" w14:textId="77777777" w:rsidR="00101DAB" w:rsidRDefault="00101DAB" w:rsidP="00101DAB">
      <w:pPr>
        <w:spacing w:after="0" w:line="240" w:lineRule="auto"/>
        <w:jc w:val="both"/>
        <w:rPr>
          <w:rFonts w:ascii="Verdana" w:eastAsia="Verdana" w:hAnsi="Verdana" w:cs="Verdana"/>
        </w:rPr>
      </w:pPr>
    </w:p>
    <w:p w14:paraId="08B71E2E" w14:textId="77777777" w:rsidR="00101DAB" w:rsidRDefault="00101DAB" w:rsidP="00101DAB">
      <w:pPr>
        <w:spacing w:after="0" w:line="240" w:lineRule="auto"/>
        <w:jc w:val="both"/>
        <w:rPr>
          <w:rFonts w:ascii="Verdana" w:eastAsia="Verdana" w:hAnsi="Verdana" w:cs="Verdana"/>
        </w:rPr>
      </w:pPr>
    </w:p>
    <w:p w14:paraId="42B20000" w14:textId="77777777" w:rsidR="00101DAB" w:rsidRDefault="00101DAB" w:rsidP="00101DAB">
      <w:pPr>
        <w:spacing w:after="0" w:line="240" w:lineRule="auto"/>
        <w:jc w:val="both"/>
        <w:rPr>
          <w:rFonts w:ascii="Verdana" w:eastAsia="Verdana" w:hAnsi="Verdana" w:cs="Verdana"/>
        </w:rPr>
      </w:pPr>
    </w:p>
    <w:p w14:paraId="1ED59E85" w14:textId="77777777" w:rsidR="00101DAB" w:rsidRDefault="00101DAB" w:rsidP="00101DAB">
      <w:pPr>
        <w:spacing w:after="0" w:line="240" w:lineRule="auto"/>
        <w:jc w:val="both"/>
        <w:rPr>
          <w:rFonts w:ascii="Verdana" w:eastAsia="Verdana" w:hAnsi="Verdana" w:cs="Verdana"/>
        </w:rPr>
      </w:pPr>
    </w:p>
    <w:p w14:paraId="1FBD1535" w14:textId="77777777" w:rsidR="00101DAB" w:rsidRDefault="00101DAB" w:rsidP="00101DAB">
      <w:pPr>
        <w:spacing w:after="0" w:line="240" w:lineRule="auto"/>
        <w:jc w:val="both"/>
        <w:rPr>
          <w:rFonts w:ascii="Verdana" w:eastAsia="Verdana" w:hAnsi="Verdana" w:cs="Verdana"/>
        </w:rPr>
      </w:pPr>
    </w:p>
    <w:p w14:paraId="338C0ADD" w14:textId="77777777" w:rsidR="00101DAB" w:rsidRDefault="00101DAB" w:rsidP="00101DAB">
      <w:pPr>
        <w:spacing w:after="0" w:line="240" w:lineRule="auto"/>
        <w:jc w:val="both"/>
        <w:rPr>
          <w:rFonts w:ascii="Verdana" w:eastAsia="Verdana" w:hAnsi="Verdana" w:cs="Verdana"/>
        </w:rPr>
      </w:pPr>
    </w:p>
    <w:p w14:paraId="1BC8BEE4" w14:textId="77777777" w:rsidR="00101DAB" w:rsidRDefault="00101DAB" w:rsidP="00101DAB">
      <w:pPr>
        <w:spacing w:after="0" w:line="240" w:lineRule="auto"/>
        <w:jc w:val="both"/>
        <w:rPr>
          <w:rFonts w:ascii="Verdana" w:eastAsia="Verdana" w:hAnsi="Verdana" w:cs="Verdana"/>
        </w:rPr>
      </w:pPr>
    </w:p>
    <w:p w14:paraId="39F2F39C" w14:textId="77777777" w:rsidR="00101DAB" w:rsidRDefault="00101DAB" w:rsidP="00101DAB">
      <w:pPr>
        <w:spacing w:after="0" w:line="240" w:lineRule="auto"/>
        <w:jc w:val="both"/>
        <w:rPr>
          <w:rFonts w:ascii="Verdana" w:eastAsia="Verdana" w:hAnsi="Verdana" w:cs="Verdana"/>
        </w:rPr>
      </w:pPr>
    </w:p>
    <w:p w14:paraId="7EAEF70E" w14:textId="77777777" w:rsidR="00101DAB" w:rsidRDefault="00101DAB" w:rsidP="00101DAB">
      <w:pPr>
        <w:spacing w:after="0" w:line="240" w:lineRule="auto"/>
        <w:jc w:val="both"/>
        <w:rPr>
          <w:rFonts w:ascii="Verdana" w:eastAsia="Verdana" w:hAnsi="Verdana" w:cs="Verdana"/>
        </w:rPr>
      </w:pPr>
    </w:p>
    <w:p w14:paraId="1B411E68" w14:textId="77777777" w:rsidR="00101DAB" w:rsidRDefault="00101DAB" w:rsidP="00101DAB">
      <w:pPr>
        <w:spacing w:after="0" w:line="240" w:lineRule="auto"/>
        <w:jc w:val="both"/>
        <w:rPr>
          <w:rFonts w:ascii="Verdana" w:eastAsia="Verdana" w:hAnsi="Verdana" w:cs="Verdana"/>
        </w:rPr>
      </w:pPr>
    </w:p>
    <w:p w14:paraId="0482113F" w14:textId="77777777" w:rsidR="00101DAB" w:rsidRDefault="00101DAB" w:rsidP="00101DAB">
      <w:pPr>
        <w:spacing w:after="0" w:line="240" w:lineRule="auto"/>
        <w:jc w:val="both"/>
        <w:rPr>
          <w:rFonts w:ascii="Verdana" w:eastAsia="Verdana" w:hAnsi="Verdana" w:cs="Verdana"/>
        </w:rPr>
      </w:pPr>
    </w:p>
    <w:p w14:paraId="788C6C96" w14:textId="77777777" w:rsidR="00101DAB" w:rsidRDefault="00101DAB" w:rsidP="00101DAB">
      <w:pPr>
        <w:spacing w:after="0" w:line="240" w:lineRule="auto"/>
        <w:jc w:val="both"/>
        <w:rPr>
          <w:rFonts w:ascii="Verdana" w:eastAsia="Verdana" w:hAnsi="Verdana" w:cs="Verdana"/>
        </w:rPr>
      </w:pPr>
    </w:p>
    <w:p w14:paraId="213D7B2D" w14:textId="77777777" w:rsidR="00101DAB" w:rsidRDefault="00101DAB" w:rsidP="00101DAB">
      <w:pPr>
        <w:spacing w:after="0" w:line="240" w:lineRule="auto"/>
        <w:jc w:val="both"/>
        <w:rPr>
          <w:rFonts w:ascii="Verdana" w:eastAsia="Verdana" w:hAnsi="Verdana" w:cs="Verdana"/>
        </w:rPr>
      </w:pPr>
    </w:p>
    <w:p w14:paraId="1636AEE8" w14:textId="77777777" w:rsidR="00101DAB" w:rsidRDefault="00101DAB" w:rsidP="00101DAB">
      <w:pPr>
        <w:spacing w:after="0" w:line="240" w:lineRule="auto"/>
        <w:jc w:val="both"/>
        <w:rPr>
          <w:rFonts w:ascii="Verdana" w:eastAsia="Verdana" w:hAnsi="Verdana" w:cs="Verdana"/>
        </w:rPr>
      </w:pPr>
    </w:p>
    <w:p w14:paraId="275A29F4" w14:textId="77777777" w:rsidR="00101DAB" w:rsidRDefault="00101DAB" w:rsidP="00101DAB">
      <w:pPr>
        <w:spacing w:after="0" w:line="240" w:lineRule="auto"/>
        <w:jc w:val="both"/>
        <w:rPr>
          <w:rFonts w:ascii="Verdana" w:eastAsia="Verdana" w:hAnsi="Verdana" w:cs="Verdana"/>
        </w:rPr>
      </w:pPr>
    </w:p>
    <w:p w14:paraId="5CB32C50" w14:textId="77777777" w:rsidR="00101DAB" w:rsidRDefault="00101DAB" w:rsidP="00101DAB">
      <w:pPr>
        <w:spacing w:after="0" w:line="240" w:lineRule="auto"/>
        <w:jc w:val="both"/>
        <w:rPr>
          <w:rFonts w:ascii="Verdana" w:eastAsia="Verdana" w:hAnsi="Verdana" w:cs="Verdana"/>
        </w:rPr>
      </w:pPr>
    </w:p>
    <w:p w14:paraId="0B4769DF" w14:textId="77777777" w:rsidR="00101DAB" w:rsidRDefault="00101DAB" w:rsidP="00101DAB">
      <w:pPr>
        <w:spacing w:after="0" w:line="240" w:lineRule="auto"/>
        <w:jc w:val="both"/>
        <w:rPr>
          <w:rFonts w:ascii="Verdana" w:eastAsia="Verdana" w:hAnsi="Verdana" w:cs="Verdana"/>
        </w:rPr>
      </w:pPr>
    </w:p>
    <w:p w14:paraId="3FED6CEF" w14:textId="77777777" w:rsidR="00101DAB" w:rsidRDefault="00101DAB" w:rsidP="00101DAB">
      <w:pPr>
        <w:spacing w:after="0" w:line="240" w:lineRule="auto"/>
        <w:jc w:val="both"/>
        <w:rPr>
          <w:rFonts w:ascii="Verdana" w:eastAsia="Verdana" w:hAnsi="Verdana" w:cs="Verdana"/>
        </w:rPr>
      </w:pPr>
    </w:p>
    <w:p w14:paraId="41D44956" w14:textId="77777777" w:rsidR="00101DAB" w:rsidRDefault="00101DAB" w:rsidP="00101DAB">
      <w:pPr>
        <w:spacing w:after="0" w:line="240" w:lineRule="auto"/>
        <w:jc w:val="both"/>
        <w:rPr>
          <w:rFonts w:ascii="Verdana" w:eastAsia="Verdana" w:hAnsi="Verdana" w:cs="Verdana"/>
        </w:rPr>
      </w:pPr>
    </w:p>
    <w:p w14:paraId="273203FB" w14:textId="77777777" w:rsidR="00101DAB" w:rsidRDefault="00101DAB" w:rsidP="00101DAB">
      <w:pPr>
        <w:spacing w:after="0" w:line="240" w:lineRule="auto"/>
        <w:jc w:val="both"/>
        <w:rPr>
          <w:rFonts w:ascii="Verdana" w:eastAsia="Verdana" w:hAnsi="Verdana" w:cs="Verdana"/>
        </w:rPr>
      </w:pPr>
    </w:p>
    <w:p w14:paraId="691832E5" w14:textId="77777777" w:rsidR="00101DAB" w:rsidRDefault="00101DAB" w:rsidP="00101DAB">
      <w:pPr>
        <w:spacing w:after="0" w:line="240" w:lineRule="auto"/>
        <w:jc w:val="both"/>
        <w:rPr>
          <w:rFonts w:ascii="Verdana" w:eastAsia="Verdana" w:hAnsi="Verdana" w:cs="Verdana"/>
        </w:rPr>
      </w:pPr>
    </w:p>
    <w:p w14:paraId="2B8179D0" w14:textId="77777777" w:rsidR="00101DAB" w:rsidRDefault="00101DAB" w:rsidP="00101DAB">
      <w:pPr>
        <w:spacing w:after="0" w:line="240" w:lineRule="auto"/>
        <w:jc w:val="both"/>
        <w:rPr>
          <w:rFonts w:ascii="Verdana" w:eastAsia="Verdana" w:hAnsi="Verdana" w:cs="Verdana"/>
        </w:rPr>
      </w:pPr>
    </w:p>
    <w:p w14:paraId="4783186C" w14:textId="77777777" w:rsidR="00101DAB" w:rsidRDefault="00101DAB" w:rsidP="00101DAB">
      <w:pPr>
        <w:spacing w:after="0" w:line="240" w:lineRule="auto"/>
        <w:jc w:val="both"/>
        <w:rPr>
          <w:rFonts w:ascii="Verdana" w:eastAsia="Verdana" w:hAnsi="Verdana" w:cs="Verdana"/>
        </w:rPr>
      </w:pPr>
    </w:p>
    <w:p w14:paraId="1A418B75" w14:textId="77777777" w:rsidR="00101DAB" w:rsidRDefault="00101DAB" w:rsidP="00101DAB">
      <w:pPr>
        <w:spacing w:after="0" w:line="240" w:lineRule="auto"/>
        <w:jc w:val="both"/>
        <w:rPr>
          <w:rFonts w:ascii="Verdana" w:eastAsia="Verdana" w:hAnsi="Verdana" w:cs="Verdana"/>
        </w:rPr>
      </w:pPr>
    </w:p>
    <w:p w14:paraId="293B72E4" w14:textId="77777777" w:rsidR="00101DAB" w:rsidRDefault="00101DAB" w:rsidP="00101DAB">
      <w:pPr>
        <w:spacing w:after="0" w:line="240" w:lineRule="auto"/>
        <w:jc w:val="both"/>
        <w:rPr>
          <w:rFonts w:ascii="Verdana" w:eastAsia="Verdana" w:hAnsi="Verdana" w:cs="Verdana"/>
        </w:rPr>
      </w:pPr>
    </w:p>
    <w:p w14:paraId="4322D067" w14:textId="77777777" w:rsidR="00101DAB" w:rsidRDefault="00101DAB" w:rsidP="00101DAB">
      <w:pPr>
        <w:spacing w:after="0" w:line="240" w:lineRule="auto"/>
        <w:jc w:val="both"/>
        <w:rPr>
          <w:rFonts w:ascii="Verdana" w:eastAsia="Verdana" w:hAnsi="Verdana" w:cs="Verdana"/>
        </w:rPr>
      </w:pPr>
    </w:p>
    <w:p w14:paraId="3F7A9D46" w14:textId="77777777" w:rsidR="00101DAB" w:rsidRDefault="00101DAB" w:rsidP="00101DAB">
      <w:pPr>
        <w:spacing w:after="0" w:line="240" w:lineRule="auto"/>
        <w:jc w:val="both"/>
        <w:rPr>
          <w:rFonts w:ascii="Verdana" w:eastAsia="Verdana" w:hAnsi="Verdana" w:cs="Verdana"/>
        </w:rPr>
      </w:pPr>
    </w:p>
    <w:p w14:paraId="668AECB0" w14:textId="77777777" w:rsidR="00101DAB" w:rsidRDefault="00101DAB" w:rsidP="00101DAB">
      <w:pPr>
        <w:spacing w:after="0" w:line="240" w:lineRule="auto"/>
        <w:jc w:val="both"/>
        <w:rPr>
          <w:rFonts w:ascii="Verdana" w:eastAsia="Verdana" w:hAnsi="Verdana" w:cs="Verdana"/>
        </w:rPr>
      </w:pPr>
    </w:p>
    <w:p w14:paraId="7714EC93" w14:textId="77777777" w:rsidR="00101DAB" w:rsidRDefault="00101DAB" w:rsidP="00101DAB">
      <w:pPr>
        <w:spacing w:after="0" w:line="240" w:lineRule="auto"/>
        <w:jc w:val="both"/>
        <w:rPr>
          <w:rFonts w:ascii="Verdana" w:eastAsia="Verdana" w:hAnsi="Verdana" w:cs="Verdana"/>
        </w:rPr>
      </w:pPr>
    </w:p>
    <w:p w14:paraId="5DB97F9C" w14:textId="77777777" w:rsidR="00101DAB" w:rsidRDefault="00101DAB" w:rsidP="00101DAB">
      <w:pPr>
        <w:spacing w:after="0" w:line="240" w:lineRule="auto"/>
        <w:jc w:val="both"/>
        <w:rPr>
          <w:rFonts w:ascii="Verdana" w:eastAsia="Verdana" w:hAnsi="Verdana" w:cs="Verdana"/>
        </w:rPr>
      </w:pPr>
    </w:p>
    <w:p w14:paraId="52B312A5" w14:textId="77777777" w:rsidR="00714B8E" w:rsidRDefault="00714B8E" w:rsidP="00101DAB">
      <w:pPr>
        <w:spacing w:after="0" w:line="240" w:lineRule="auto"/>
        <w:jc w:val="both"/>
        <w:rPr>
          <w:rFonts w:ascii="Verdana" w:eastAsia="Verdana" w:hAnsi="Verdana" w:cs="Verdana"/>
        </w:rPr>
      </w:pPr>
    </w:p>
    <w:p w14:paraId="2366EF97" w14:textId="77777777" w:rsidR="00101DAB" w:rsidRDefault="00101DAB" w:rsidP="00101DAB">
      <w:pPr>
        <w:spacing w:after="0" w:line="240" w:lineRule="auto"/>
        <w:jc w:val="both"/>
        <w:rPr>
          <w:rFonts w:ascii="Verdana" w:eastAsia="Verdana" w:hAnsi="Verdana" w:cs="Verdana"/>
        </w:rPr>
      </w:pPr>
    </w:p>
    <w:p w14:paraId="53521B07" w14:textId="77777777" w:rsidR="00101DAB" w:rsidRDefault="00101DAB" w:rsidP="00101DAB">
      <w:pPr>
        <w:spacing w:after="0" w:line="240" w:lineRule="auto"/>
        <w:jc w:val="both"/>
        <w:rPr>
          <w:rFonts w:ascii="Verdana" w:eastAsia="Verdana" w:hAnsi="Verdana" w:cs="Verdana"/>
        </w:rPr>
      </w:pPr>
    </w:p>
    <w:p w14:paraId="21C13FEB" w14:textId="0F62078D" w:rsidR="00101DAB" w:rsidRPr="00EF4BF7" w:rsidRDefault="00101DAB" w:rsidP="00101DAB">
      <w:pPr>
        <w:spacing w:after="0" w:line="240" w:lineRule="auto"/>
        <w:jc w:val="both"/>
        <w:rPr>
          <w:rFonts w:ascii="Verdana" w:eastAsia="Verdana" w:hAnsi="Verdana" w:cs="Verdana"/>
        </w:rPr>
      </w:pPr>
      <w:r w:rsidRPr="30821638">
        <w:rPr>
          <w:rFonts w:ascii="Verdana" w:eastAsia="Verdana" w:hAnsi="Verdana" w:cs="Verdana"/>
        </w:rPr>
        <w:lastRenderedPageBreak/>
        <w:t>Bogotá D.C.,</w:t>
      </w:r>
      <w:r w:rsidR="00EF4BF7">
        <w:rPr>
          <w:rFonts w:ascii="Verdana" w:eastAsia="Verdana" w:hAnsi="Verdana" w:cs="Verdana"/>
        </w:rPr>
        <w:t xml:space="preserve"> 20 Abril 2026</w:t>
      </w:r>
    </w:p>
    <w:p w14:paraId="225EDBAB" w14:textId="0303178B" w:rsidR="00101DAB" w:rsidRPr="00101DAB" w:rsidRDefault="00EF4BF7" w:rsidP="00EF4BF7">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28AAD1AA" wp14:editId="3EC85F19">
            <wp:extent cx="1994673" cy="592403"/>
            <wp:effectExtent l="0" t="0" r="0" b="5080"/>
            <wp:docPr id="607930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3094" name="Imagen 6079309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7083" cy="596089"/>
                    </a:xfrm>
                    <a:prstGeom prst="rect">
                      <a:avLst/>
                    </a:prstGeom>
                  </pic:spPr>
                </pic:pic>
              </a:graphicData>
            </a:graphic>
          </wp:inline>
        </w:drawing>
      </w:r>
    </w:p>
    <w:p w14:paraId="2C1DF974" w14:textId="77777777" w:rsidR="00101DAB" w:rsidRPr="00101DAB" w:rsidRDefault="00101DAB" w:rsidP="00101DAB">
      <w:pPr>
        <w:spacing w:after="0" w:line="240" w:lineRule="auto"/>
        <w:jc w:val="both"/>
        <w:rPr>
          <w:rFonts w:ascii="Verdana" w:eastAsia="Calibri" w:hAnsi="Verdana" w:cs="Arial"/>
          <w:lang w:val="es-ES" w:eastAsia="es-ES"/>
        </w:rPr>
      </w:pPr>
      <w:r w:rsidRPr="00101DAB">
        <w:rPr>
          <w:rFonts w:ascii="Verdana" w:eastAsia="Calibri" w:hAnsi="Verdana" w:cs="Arial"/>
          <w:lang w:val="es-ES" w:eastAsia="es-ES"/>
        </w:rPr>
        <w:t>Señora</w:t>
      </w:r>
    </w:p>
    <w:p w14:paraId="14F791D0" w14:textId="77777777" w:rsidR="00101DAB" w:rsidRPr="00101DAB" w:rsidRDefault="00101DAB" w:rsidP="00101DAB">
      <w:pPr>
        <w:spacing w:after="0" w:line="240" w:lineRule="auto"/>
        <w:rPr>
          <w:rFonts w:ascii="Verdana" w:eastAsia="Calibri" w:hAnsi="Verdana" w:cs="Arial"/>
          <w:b/>
          <w:lang w:eastAsia="es-ES_tradnl"/>
        </w:rPr>
      </w:pPr>
      <w:r w:rsidRPr="00101DAB">
        <w:rPr>
          <w:rFonts w:ascii="Verdana" w:eastAsia="Calibri" w:hAnsi="Verdana" w:cs="Arial"/>
          <w:b/>
          <w:lang w:eastAsia="es-ES_tradnl"/>
        </w:rPr>
        <w:t>Iveth Lorena Solano Quintero</w:t>
      </w:r>
    </w:p>
    <w:p w14:paraId="78A194A7" w14:textId="77777777" w:rsidR="00101DAB" w:rsidRPr="00101DAB" w:rsidRDefault="00101DAB" w:rsidP="00101DAB">
      <w:pPr>
        <w:spacing w:after="0" w:line="240" w:lineRule="auto"/>
        <w:rPr>
          <w:rFonts w:ascii="Verdana" w:eastAsia="Calibri" w:hAnsi="Verdana" w:cs="Arial"/>
          <w:lang w:val="es-ES" w:eastAsia="es-ES"/>
        </w:rPr>
      </w:pPr>
      <w:r w:rsidRPr="00101DAB">
        <w:rPr>
          <w:rFonts w:ascii="Verdana" w:eastAsia="Calibri" w:hAnsi="Verdana" w:cs="Arial"/>
          <w:lang w:val="es-ES" w:eastAsia="es-ES"/>
        </w:rPr>
        <w:t>Coordinadora</w:t>
      </w:r>
    </w:p>
    <w:p w14:paraId="69D0BE6E" w14:textId="77777777" w:rsidR="00101DAB" w:rsidRPr="00101DAB" w:rsidRDefault="00101DAB" w:rsidP="00101DAB">
      <w:pPr>
        <w:spacing w:after="0" w:line="240" w:lineRule="auto"/>
        <w:rPr>
          <w:rFonts w:ascii="Verdana" w:eastAsia="Calibri" w:hAnsi="Verdana" w:cs="Arial"/>
          <w:lang w:val="es-ES" w:eastAsia="es-ES"/>
        </w:rPr>
      </w:pPr>
      <w:r w:rsidRPr="00101DAB">
        <w:rPr>
          <w:rFonts w:ascii="Verdana" w:eastAsia="Calibri" w:hAnsi="Verdana" w:cs="Arial"/>
          <w:lang w:val="es-ES" w:eastAsia="es-ES"/>
        </w:rPr>
        <w:t>Grupo de Análisis, Prevención e Innovación de Lucha contra la Corrupción</w:t>
      </w:r>
    </w:p>
    <w:p w14:paraId="0826743B" w14:textId="77777777" w:rsidR="00101DAB" w:rsidRPr="00101DAB" w:rsidRDefault="00101DAB" w:rsidP="00101DAB">
      <w:pPr>
        <w:spacing w:after="0" w:line="240" w:lineRule="auto"/>
        <w:rPr>
          <w:rFonts w:ascii="Verdana" w:eastAsia="Calibri" w:hAnsi="Verdana" w:cs="Arial"/>
          <w:lang w:val="es-ES" w:eastAsia="es-ES"/>
        </w:rPr>
      </w:pPr>
      <w:r w:rsidRPr="00101DAB">
        <w:rPr>
          <w:rFonts w:ascii="Verdana" w:eastAsia="Calibri" w:hAnsi="Verdana" w:cs="Arial"/>
          <w:lang w:val="es-ES" w:eastAsia="es-ES"/>
        </w:rPr>
        <w:t>Departamento Administrativo de la Presidencia de la República</w:t>
      </w:r>
    </w:p>
    <w:p w14:paraId="4645AEFC" w14:textId="77777777" w:rsidR="00101DAB" w:rsidRPr="00101DAB" w:rsidRDefault="00101DAB" w:rsidP="00101DAB">
      <w:pPr>
        <w:spacing w:after="0" w:line="240" w:lineRule="auto"/>
        <w:rPr>
          <w:rFonts w:ascii="Verdana" w:eastAsia="Calibri" w:hAnsi="Verdana" w:cs="Arial"/>
          <w:b/>
          <w:bCs/>
          <w:lang w:val="es-ES" w:eastAsia="es-ES"/>
        </w:rPr>
      </w:pPr>
      <w:r w:rsidRPr="00101DAB">
        <w:rPr>
          <w:rFonts w:ascii="Verdana" w:eastAsia="Calibri" w:hAnsi="Verdana" w:cs="Arial"/>
          <w:lang w:val="es-ES" w:eastAsia="es-ES"/>
        </w:rPr>
        <w:t>Bogotá, D.C.</w:t>
      </w:r>
    </w:p>
    <w:p w14:paraId="7A56D22F" w14:textId="77777777" w:rsidR="00101DAB" w:rsidRPr="00101DAB" w:rsidRDefault="00101DAB" w:rsidP="00101DAB">
      <w:pPr>
        <w:spacing w:after="0" w:line="240" w:lineRule="auto"/>
        <w:rPr>
          <w:rFonts w:ascii="Verdana" w:eastAsia="Calibri" w:hAnsi="Verdana" w:cs="Arial"/>
          <w:b/>
          <w:bCs/>
          <w:lang w:eastAsia="es-ES_tradnl"/>
        </w:rPr>
      </w:pPr>
    </w:p>
    <w:p w14:paraId="6FCA50B4" w14:textId="77777777" w:rsidR="00101DAB" w:rsidRPr="00101DAB" w:rsidRDefault="00101DAB" w:rsidP="00101DAB">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01DAB" w:rsidRPr="00101DAB" w14:paraId="48A5F545" w14:textId="77777777" w:rsidTr="00152DBB">
        <w:trPr>
          <w:trHeight w:val="884"/>
        </w:trPr>
        <w:tc>
          <w:tcPr>
            <w:tcW w:w="2689" w:type="dxa"/>
          </w:tcPr>
          <w:p w14:paraId="3F86FE81" w14:textId="77777777" w:rsidR="00101DAB" w:rsidRPr="00101DAB" w:rsidRDefault="00101DAB" w:rsidP="00101DAB">
            <w:pPr>
              <w:jc w:val="both"/>
              <w:rPr>
                <w:rFonts w:ascii="Verdana" w:eastAsia="Calibri" w:hAnsi="Verdana" w:cs="Arial"/>
                <w:b/>
                <w:bCs/>
                <w:lang w:eastAsia="es-ES_tradnl"/>
              </w:rPr>
            </w:pPr>
          </w:p>
        </w:tc>
        <w:tc>
          <w:tcPr>
            <w:tcW w:w="6100" w:type="dxa"/>
          </w:tcPr>
          <w:p w14:paraId="38DE711B" w14:textId="77777777" w:rsidR="00101DAB" w:rsidRPr="00101DAB" w:rsidRDefault="00101DAB" w:rsidP="00101DAB">
            <w:pPr>
              <w:jc w:val="both"/>
              <w:rPr>
                <w:rFonts w:ascii="Verdana" w:eastAsia="Calibri" w:hAnsi="Verdana" w:cs="Arial"/>
                <w:b/>
                <w:bCs/>
                <w:lang w:val="es-ES" w:eastAsia="es-ES"/>
              </w:rPr>
            </w:pPr>
            <w:r w:rsidRPr="00101DAB">
              <w:rPr>
                <w:rFonts w:ascii="Verdana" w:eastAsia="Calibri" w:hAnsi="Verdana" w:cs="Arial"/>
                <w:b/>
                <w:bCs/>
                <w:lang w:val="es-ES" w:eastAsia="es-ES"/>
              </w:rPr>
              <w:t>Concepto C – 388 de 2026</w:t>
            </w:r>
          </w:p>
        </w:tc>
      </w:tr>
      <w:tr w:rsidR="00101DAB" w:rsidRPr="00101DAB" w14:paraId="542DA423" w14:textId="77777777" w:rsidTr="00152DBB">
        <w:trPr>
          <w:trHeight w:val="884"/>
        </w:trPr>
        <w:tc>
          <w:tcPr>
            <w:tcW w:w="2689" w:type="dxa"/>
          </w:tcPr>
          <w:p w14:paraId="21BF3774" w14:textId="77777777" w:rsidR="00101DAB" w:rsidRPr="00101DAB" w:rsidRDefault="00101DAB" w:rsidP="00101DAB">
            <w:pPr>
              <w:jc w:val="both"/>
              <w:rPr>
                <w:rFonts w:ascii="Verdana" w:eastAsia="Calibri" w:hAnsi="Verdana" w:cs="Arial"/>
                <w:lang w:eastAsia="es-ES_tradnl"/>
              </w:rPr>
            </w:pPr>
            <w:r w:rsidRPr="00101DAB">
              <w:rPr>
                <w:rFonts w:ascii="Verdana" w:eastAsia="Calibri" w:hAnsi="Verdana" w:cs="Arial"/>
                <w:b/>
                <w:lang w:eastAsia="es-ES_tradnl"/>
              </w:rPr>
              <w:t>Temas:</w:t>
            </w:r>
            <w:r w:rsidRPr="00101DAB">
              <w:rPr>
                <w:rFonts w:ascii="Verdana" w:eastAsia="Calibri" w:hAnsi="Verdana" w:cs="Arial"/>
                <w:lang w:eastAsia="es-ES_tradnl"/>
              </w:rPr>
              <w:t xml:space="preserve">                   </w:t>
            </w:r>
          </w:p>
        </w:tc>
        <w:tc>
          <w:tcPr>
            <w:tcW w:w="6100" w:type="dxa"/>
          </w:tcPr>
          <w:p w14:paraId="3FBF1962" w14:textId="77777777" w:rsidR="00101DAB" w:rsidRPr="00101DAB" w:rsidRDefault="00101DAB" w:rsidP="00101DAB">
            <w:pPr>
              <w:snapToGrid w:val="0"/>
              <w:spacing w:line="276" w:lineRule="auto"/>
              <w:jc w:val="both"/>
              <w:rPr>
                <w:rFonts w:ascii="Verdana" w:eastAsia="Aptos" w:hAnsi="Verdana" w:cs="Times New Roman"/>
                <w:lang w:eastAsia="es-MX"/>
              </w:rPr>
            </w:pPr>
            <w:r w:rsidRPr="00101DAB">
              <w:rPr>
                <w:rFonts w:ascii="Verdana" w:eastAsia="Calibri" w:hAnsi="Verdana" w:cs="Arial"/>
                <w:lang w:val="es-ES" w:eastAsia="es-ES"/>
              </w:rPr>
              <w:t xml:space="preserve">DOCUMENTOS TIPO DE INFRAESTRUCTURA SOCIAL – Generalidades – Versión 2 / DOCUMENTOS TIPO DE INFRAESTRUCTURA SOCIAL – Cultura, Recreación y Deporte – Matriz – Experiencia – Actividad 2.5 / </w:t>
            </w:r>
            <w:r w:rsidRPr="00101DAB">
              <w:rPr>
                <w:rFonts w:ascii="Verdana" w:eastAsia="Arial" w:hAnsi="Verdana" w:cs="Calibri"/>
                <w:lang w:eastAsia="es-ES"/>
              </w:rPr>
              <w:t xml:space="preserve">DOCUMENTOS TIPO DE INFRAESTRUCTURA SOCIAL – Inalterabilidad / </w:t>
            </w:r>
            <w:r w:rsidRPr="00101DAB">
              <w:rPr>
                <w:rFonts w:ascii="Verdana" w:eastAsia="Aptos" w:hAnsi="Verdana" w:cs="Times New Roman"/>
                <w:lang w:eastAsia="es-MX"/>
              </w:rPr>
              <w:t>DOCUMENTOS TIPO DE INFRAESTRUCTURA SOCIAL – Anexo 5 – Glosario – Lugares o espacios deportivos</w:t>
            </w:r>
          </w:p>
          <w:p w14:paraId="213D9FF1" w14:textId="77777777" w:rsidR="00101DAB" w:rsidRPr="00101DAB" w:rsidRDefault="00101DAB" w:rsidP="00101DAB">
            <w:pPr>
              <w:shd w:val="clear" w:color="auto" w:fill="FFFFFF"/>
              <w:spacing w:line="276" w:lineRule="auto"/>
              <w:contextualSpacing/>
              <w:jc w:val="both"/>
              <w:rPr>
                <w:rFonts w:ascii="Verdana" w:eastAsia="Calibri" w:hAnsi="Verdana" w:cs="Arial"/>
                <w:highlight w:val="yellow"/>
                <w:lang w:val="es-ES" w:eastAsia="es-ES"/>
              </w:rPr>
            </w:pPr>
          </w:p>
        </w:tc>
      </w:tr>
      <w:tr w:rsidR="00101DAB" w:rsidRPr="00101DAB" w14:paraId="3192F355" w14:textId="77777777" w:rsidTr="00152DBB">
        <w:tc>
          <w:tcPr>
            <w:tcW w:w="2689" w:type="dxa"/>
          </w:tcPr>
          <w:p w14:paraId="75FEA668" w14:textId="77777777" w:rsidR="00101DAB" w:rsidRPr="00101DAB" w:rsidRDefault="00101DAB" w:rsidP="00101DAB">
            <w:pPr>
              <w:jc w:val="both"/>
              <w:rPr>
                <w:rFonts w:ascii="Verdana" w:eastAsia="Calibri" w:hAnsi="Verdana" w:cs="Arial"/>
                <w:b/>
                <w:lang w:eastAsia="es-ES_tradnl"/>
              </w:rPr>
            </w:pPr>
            <w:r w:rsidRPr="00101DAB">
              <w:rPr>
                <w:rFonts w:ascii="Verdana" w:eastAsia="Calibri" w:hAnsi="Verdana" w:cs="Arial"/>
                <w:b/>
                <w:lang w:eastAsia="es-ES_tradnl"/>
              </w:rPr>
              <w:t>Radicación:</w:t>
            </w:r>
            <w:r w:rsidRPr="00101DAB">
              <w:rPr>
                <w:rFonts w:ascii="Verdana" w:eastAsia="Calibri" w:hAnsi="Verdana" w:cs="Arial"/>
                <w:lang w:eastAsia="es-ES_tradnl"/>
              </w:rPr>
              <w:t xml:space="preserve">               </w:t>
            </w:r>
          </w:p>
        </w:tc>
        <w:tc>
          <w:tcPr>
            <w:tcW w:w="6100" w:type="dxa"/>
          </w:tcPr>
          <w:p w14:paraId="4542DFDD" w14:textId="77777777" w:rsidR="00101DAB" w:rsidRPr="00101DAB" w:rsidRDefault="00101DAB" w:rsidP="00101DAB">
            <w:pPr>
              <w:jc w:val="both"/>
              <w:rPr>
                <w:rFonts w:ascii="Verdana" w:eastAsia="Calibri" w:hAnsi="Verdana" w:cs="Arial"/>
                <w:lang w:eastAsia="es-ES_tradnl"/>
              </w:rPr>
            </w:pPr>
            <w:r w:rsidRPr="00101DAB">
              <w:rPr>
                <w:rFonts w:ascii="Verdana" w:eastAsia="Calibri" w:hAnsi="Verdana" w:cs="Arial"/>
                <w:lang w:eastAsia="es-ES_tradnl"/>
              </w:rPr>
              <w:t>Respuesta a consulta con radicado No. 1_2026_03_10_003303</w:t>
            </w:r>
          </w:p>
        </w:tc>
      </w:tr>
    </w:tbl>
    <w:p w14:paraId="6D8DD9BF" w14:textId="77777777" w:rsidR="00101DAB" w:rsidRPr="00101DAB" w:rsidRDefault="00101DAB" w:rsidP="00101DAB">
      <w:pPr>
        <w:spacing w:after="0" w:line="240" w:lineRule="auto"/>
        <w:jc w:val="both"/>
        <w:rPr>
          <w:rFonts w:ascii="Verdana" w:eastAsia="Calibri" w:hAnsi="Verdana" w:cs="Arial"/>
          <w:lang w:eastAsia="es-ES_tradnl"/>
        </w:rPr>
      </w:pPr>
    </w:p>
    <w:p w14:paraId="75E7545E" w14:textId="77777777" w:rsidR="00101DAB" w:rsidRPr="00101DAB" w:rsidRDefault="00101DAB" w:rsidP="00101DAB">
      <w:pPr>
        <w:spacing w:after="0" w:line="240" w:lineRule="auto"/>
        <w:jc w:val="both"/>
        <w:rPr>
          <w:rFonts w:ascii="Verdana" w:eastAsia="Calibri" w:hAnsi="Verdana" w:cs="Arial"/>
          <w:lang w:eastAsia="es-ES_tradnl"/>
        </w:rPr>
      </w:pPr>
    </w:p>
    <w:p w14:paraId="469C8E36" w14:textId="77777777" w:rsidR="00101DAB" w:rsidRPr="00101DAB" w:rsidRDefault="00101DAB" w:rsidP="00101DAB">
      <w:pPr>
        <w:spacing w:after="0" w:line="276" w:lineRule="auto"/>
        <w:jc w:val="both"/>
        <w:rPr>
          <w:rFonts w:ascii="Verdana" w:eastAsia="Calibri" w:hAnsi="Verdana" w:cs="Arial"/>
          <w:lang w:val="es-ES" w:eastAsia="es-ES"/>
        </w:rPr>
      </w:pPr>
      <w:r w:rsidRPr="00101DAB">
        <w:rPr>
          <w:rFonts w:ascii="Verdana" w:eastAsia="Calibri" w:hAnsi="Verdana" w:cs="Arial"/>
          <w:lang w:val="es-ES" w:eastAsia="es-ES"/>
        </w:rPr>
        <w:t xml:space="preserve">Estimada señora Solano Quintero: </w:t>
      </w:r>
    </w:p>
    <w:p w14:paraId="7F089564" w14:textId="77777777" w:rsidR="00101DAB" w:rsidRPr="00101DAB" w:rsidRDefault="00101DAB" w:rsidP="00101DAB">
      <w:pPr>
        <w:tabs>
          <w:tab w:val="left" w:pos="3768"/>
        </w:tabs>
        <w:spacing w:after="0" w:line="276" w:lineRule="auto"/>
        <w:jc w:val="both"/>
        <w:rPr>
          <w:rFonts w:ascii="Verdana" w:eastAsia="Calibri" w:hAnsi="Verdana" w:cs="Arial"/>
          <w:lang w:val="es-ES" w:eastAsia="es-ES"/>
        </w:rPr>
      </w:pPr>
      <w:r w:rsidRPr="00101DAB">
        <w:rPr>
          <w:rFonts w:ascii="Verdana" w:eastAsia="Calibri" w:hAnsi="Verdana" w:cs="Arial"/>
          <w:lang w:val="es-ES" w:eastAsia="es-ES"/>
        </w:rPr>
        <w:tab/>
      </w:r>
    </w:p>
    <w:p w14:paraId="07580D20" w14:textId="77777777" w:rsidR="00101DAB" w:rsidRPr="00101DAB" w:rsidRDefault="00101DAB" w:rsidP="00101DAB">
      <w:pPr>
        <w:spacing w:after="0" w:line="276" w:lineRule="auto"/>
        <w:jc w:val="both"/>
        <w:rPr>
          <w:rFonts w:ascii="Verdana" w:eastAsia="Calibri" w:hAnsi="Verdana" w:cs="Arial"/>
          <w:lang w:val="es-ES" w:eastAsia="es-ES"/>
        </w:rPr>
      </w:pPr>
      <w:r w:rsidRPr="00101DAB">
        <w:rPr>
          <w:rFonts w:ascii="Verdana" w:eastAsia="Calibri" w:hAnsi="Verdana" w:cs="Arial"/>
          <w:lang w:val="es-ES" w:eastAsia="es-ES"/>
        </w:rPr>
        <w:t>En ejercicio de la competencia otorgada por los artículos 3, numeral 5º, y 11, numeral 8º, del Decreto Ley 4170 de 2011,</w:t>
      </w:r>
      <w:r w:rsidRPr="00101DAB">
        <w:rPr>
          <w:rFonts w:ascii="Verdana" w:eastAsia="Arial MT" w:hAnsi="Verdana" w:cs="Arial MT"/>
          <w:lang w:val="es-ES" w:eastAsia="es-ES"/>
        </w:rPr>
        <w:t xml:space="preserve"> </w:t>
      </w:r>
      <w:r w:rsidRPr="00101DAB">
        <w:rPr>
          <w:rFonts w:ascii="Verdana" w:eastAsia="Calibri" w:hAnsi="Verdana" w:cs="Arial"/>
          <w:lang w:eastAsia="es-MX"/>
        </w:rPr>
        <w:t xml:space="preserve">así como lo establecido en la </w:t>
      </w:r>
      <w:r w:rsidRPr="00101DAB">
        <w:rPr>
          <w:rFonts w:ascii="Verdana" w:eastAsia="Calibri" w:hAnsi="Verdana" w:cs="Arial"/>
          <w:kern w:val="2"/>
          <w:lang w:val="es-ES_tradnl" w:eastAsia="es-MX"/>
          <w14:ligatures w14:val="standardContextual"/>
        </w:rPr>
        <w:t xml:space="preserve">Resolución 469 de 2025 </w:t>
      </w:r>
      <w:r w:rsidRPr="00101DAB">
        <w:rPr>
          <w:rFonts w:ascii="Verdana" w:eastAsia="Calibri" w:hAnsi="Verdana" w:cs="Arial"/>
          <w:lang w:eastAsia="es-MX"/>
        </w:rPr>
        <w:t xml:space="preserve">expedida por esta Entidad, </w:t>
      </w:r>
      <w:r w:rsidRPr="00101DAB">
        <w:rPr>
          <w:rFonts w:ascii="Verdana" w:eastAsia="Calibri" w:hAnsi="Verdana" w:cs="Arial"/>
          <w:lang w:val="es-ES" w:eastAsia="es-ES"/>
        </w:rPr>
        <w:t>la Agencia Nacional de Contratación Pública – Colombia Compra Eficiente responde su solicitud de consulta de fecha 9 de marzo de 2026, en la que manifiesta lo siguiente:</w:t>
      </w:r>
    </w:p>
    <w:p w14:paraId="57FC3866" w14:textId="77777777" w:rsidR="00101DAB" w:rsidRPr="00101DAB" w:rsidRDefault="00101DAB" w:rsidP="00101DAB">
      <w:pPr>
        <w:spacing w:after="0" w:line="276" w:lineRule="auto"/>
        <w:jc w:val="both"/>
        <w:rPr>
          <w:rFonts w:ascii="Verdana" w:eastAsia="Calibri" w:hAnsi="Verdana" w:cs="Arial"/>
          <w:lang w:val="es-ES" w:eastAsia="es-ES"/>
        </w:rPr>
      </w:pPr>
    </w:p>
    <w:p w14:paraId="020C8E9B"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r w:rsidRPr="00101DAB">
        <w:rPr>
          <w:rFonts w:ascii="Verdana" w:eastAsia="Calibri" w:hAnsi="Verdana" w:cs="Arial"/>
          <w:sz w:val="21"/>
          <w:szCs w:val="21"/>
          <w:lang w:val="es-ES" w:eastAsia="es-ES"/>
        </w:rPr>
        <w:t>"</w:t>
      </w:r>
      <w:r w:rsidRPr="00101DAB">
        <w:rPr>
          <w:rFonts w:ascii="Verdana" w:eastAsia="Times New Roman" w:hAnsi="Verdana" w:cs="Times New Roman"/>
          <w:sz w:val="21"/>
          <w:szCs w:val="21"/>
          <w:lang w:eastAsia="es-MX"/>
        </w:rPr>
        <w:t xml:space="preserve">Si, en virtud de la Resolución 539 de 2025 y del marco normativo aplicable a los Documentos Tipo de infraestructura social sector </w:t>
      </w:r>
      <w:r w:rsidRPr="00101DAB">
        <w:rPr>
          <w:rFonts w:ascii="Verdana" w:eastAsia="Times New Roman" w:hAnsi="Verdana" w:cs="Times New Roman"/>
          <w:sz w:val="21"/>
          <w:szCs w:val="21"/>
          <w:lang w:eastAsia="es-MX"/>
        </w:rPr>
        <w:lastRenderedPageBreak/>
        <w:t>deporte, el objeto contractual descrito como “construcción de graderías y obras complementarias” podría considerarse comprendido dentro de las tipologías de infraestructura deportiva previstas en la Matriz 1 – Experiencia de dichos documentos.</w:t>
      </w:r>
    </w:p>
    <w:p w14:paraId="36C772DA"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p>
    <w:p w14:paraId="1C8DE4ED"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r w:rsidRPr="00101DAB">
        <w:rPr>
          <w:rFonts w:ascii="Verdana" w:eastAsia="Times New Roman" w:hAnsi="Verdana" w:cs="Times New Roman"/>
          <w:sz w:val="21"/>
          <w:szCs w:val="21"/>
          <w:lang w:eastAsia="es-MX"/>
        </w:rPr>
        <w:t>2. Si, conforme a los criterios técnicos definidos por esa Agencia, la construcción de graderías asociadas a escenarios deportivos puede catalogarse como infraestructura deportiva sujeta a la aplicación obligatoria de los Documentos Tipo de obra pública.</w:t>
      </w:r>
    </w:p>
    <w:p w14:paraId="0A940668"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p>
    <w:p w14:paraId="6BC680FF"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r w:rsidRPr="00101DAB">
        <w:rPr>
          <w:rFonts w:ascii="Verdana" w:eastAsia="Times New Roman" w:hAnsi="Verdana" w:cs="Times New Roman"/>
          <w:sz w:val="21"/>
          <w:szCs w:val="21"/>
          <w:lang w:eastAsia="es-MX"/>
        </w:rPr>
        <w:t>3. En qué circunstancias resulta jurídicamente procedente que una entidad estatal se aparte de la aplicación de los Documentos Tipo, cuando considere que el objeto contractual no coincide plenamente con las tipologías previstas en las matrices expedidas por esa Agencia.</w:t>
      </w:r>
    </w:p>
    <w:p w14:paraId="394F9FD6"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p>
    <w:p w14:paraId="3EB3AF7B"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r w:rsidRPr="00101DAB">
        <w:rPr>
          <w:rFonts w:ascii="Verdana" w:eastAsia="Times New Roman" w:hAnsi="Verdana" w:cs="Times New Roman"/>
          <w:sz w:val="21"/>
          <w:szCs w:val="21"/>
          <w:lang w:eastAsia="es-MX"/>
        </w:rPr>
        <w:t>4. Si en casos como el descrito resulta posible o recomendable aplicar parcialmente los Documentos Tipo o realizar ajustes dentro de los márgenes permitidos por la regulación vigente, con el fin de preservar los principios de estandarización, transparencia y selección objetiva.</w:t>
      </w:r>
    </w:p>
    <w:p w14:paraId="0E5FDA41"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p>
    <w:p w14:paraId="0E44978E" w14:textId="77777777" w:rsidR="00101DAB" w:rsidRPr="00101DAB" w:rsidRDefault="00101DAB" w:rsidP="00101DAB">
      <w:pPr>
        <w:spacing w:after="0" w:line="240" w:lineRule="auto"/>
        <w:ind w:left="709" w:right="709"/>
        <w:jc w:val="both"/>
        <w:rPr>
          <w:rFonts w:ascii="Verdana" w:eastAsia="Times New Roman" w:hAnsi="Verdana" w:cs="Times New Roman"/>
          <w:sz w:val="21"/>
          <w:szCs w:val="21"/>
          <w:lang w:eastAsia="es-MX"/>
        </w:rPr>
      </w:pPr>
      <w:r w:rsidRPr="00101DAB">
        <w:rPr>
          <w:rFonts w:ascii="Verdana" w:eastAsia="Times New Roman" w:hAnsi="Verdana" w:cs="Times New Roman"/>
          <w:sz w:val="21"/>
          <w:szCs w:val="21"/>
          <w:lang w:eastAsia="es-MX"/>
        </w:rPr>
        <w:t>5. Cualquier criterio técnico o lineamiento adicional que considere pertinente para determinar la correcta aplicabilidad de los Documentos Tipo en proyectos que involucren construcción de graderías u obras complementarias asociadas a infraestructura deportiva”.</w:t>
      </w:r>
    </w:p>
    <w:p w14:paraId="7876CEF1" w14:textId="77777777" w:rsidR="00101DAB" w:rsidRPr="00101DAB" w:rsidRDefault="00101DAB" w:rsidP="00101DAB">
      <w:pPr>
        <w:spacing w:after="0" w:line="240" w:lineRule="auto"/>
        <w:ind w:left="709" w:right="709"/>
        <w:jc w:val="both"/>
        <w:rPr>
          <w:rFonts w:ascii="Verdana" w:eastAsia="Calibri" w:hAnsi="Verdana" w:cs="Arial"/>
          <w:sz w:val="21"/>
          <w:szCs w:val="21"/>
          <w:lang w:val="es-ES" w:eastAsia="es-ES"/>
        </w:rPr>
      </w:pPr>
    </w:p>
    <w:p w14:paraId="00EDE1C6" w14:textId="77777777" w:rsidR="00101DAB" w:rsidRPr="00101DAB" w:rsidRDefault="00101DAB" w:rsidP="00101DAB">
      <w:pPr>
        <w:spacing w:after="120" w:line="276" w:lineRule="auto"/>
        <w:ind w:firstLine="709"/>
        <w:jc w:val="both"/>
        <w:rPr>
          <w:rFonts w:ascii="Verdana" w:eastAsia="Calibri" w:hAnsi="Verdana" w:cs="Arial"/>
          <w:szCs w:val="24"/>
          <w:lang w:eastAsia="es-ES_tradnl"/>
        </w:rPr>
      </w:pPr>
      <w:r w:rsidRPr="00101DA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01DAB">
        <w:rPr>
          <w:rFonts w:ascii="Verdana" w:eastAsia="Calibri" w:hAnsi="Verdana" w:cs="Arial"/>
          <w:szCs w:val="24"/>
          <w:lang w:eastAsia="es-ES_tradnl"/>
        </w:rPr>
        <w:tab/>
      </w:r>
    </w:p>
    <w:p w14:paraId="40FB23E6" w14:textId="77777777" w:rsidR="00101DAB" w:rsidRPr="00101DAB" w:rsidRDefault="00101DAB" w:rsidP="00101DAB">
      <w:pPr>
        <w:spacing w:after="0" w:line="276" w:lineRule="auto"/>
        <w:ind w:firstLine="709"/>
        <w:jc w:val="both"/>
        <w:rPr>
          <w:rFonts w:ascii="Verdana" w:eastAsia="Calibri" w:hAnsi="Verdana" w:cs="Arial"/>
          <w:lang w:val="es-ES" w:eastAsia="es-ES"/>
        </w:rPr>
      </w:pPr>
      <w:r w:rsidRPr="00101DAB">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w:t>
      </w:r>
      <w:r w:rsidRPr="00101DAB">
        <w:rPr>
          <w:rFonts w:ascii="Verdana" w:eastAsia="Calibri" w:hAnsi="Verdana" w:cs="Arial"/>
          <w:lang w:val="es-ES" w:eastAsia="es-ES"/>
        </w:rPr>
        <w:lastRenderedPageBreak/>
        <w:t>concretas mencionadas en su petición, pero haciendo unas consideraciones sobre las normas generales relacionadas con el problema jurídico de su consulta.</w:t>
      </w:r>
      <w:r w:rsidRPr="00101DAB">
        <w:rPr>
          <w:rFonts w:ascii="Verdana" w:eastAsia="Calibri" w:hAnsi="Verdana" w:cs="Arial"/>
          <w:lang w:val="es-ES" w:eastAsia="es-ES"/>
        </w:rPr>
        <w:tab/>
      </w:r>
    </w:p>
    <w:p w14:paraId="7D9D0685" w14:textId="77777777" w:rsidR="00101DAB" w:rsidRPr="00101DAB" w:rsidRDefault="00101DAB" w:rsidP="00101DA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101DAB">
        <w:rPr>
          <w:rFonts w:ascii="Verdana" w:eastAsia="Century Gothic" w:hAnsi="Verdana" w:cs="Century Gothic"/>
          <w:b/>
          <w:bCs/>
          <w:lang w:val="es-ES" w:eastAsia="es-MX"/>
        </w:rPr>
        <w:t>Problema planteado:</w:t>
      </w:r>
    </w:p>
    <w:p w14:paraId="0C100B10" w14:textId="77777777" w:rsidR="00101DAB" w:rsidRPr="00101DAB" w:rsidRDefault="00101DAB" w:rsidP="00101DAB">
      <w:pPr>
        <w:tabs>
          <w:tab w:val="left" w:pos="426"/>
        </w:tabs>
        <w:spacing w:after="0" w:line="276" w:lineRule="auto"/>
        <w:jc w:val="both"/>
        <w:rPr>
          <w:rFonts w:ascii="Verdana" w:eastAsia="Century Gothic" w:hAnsi="Verdana" w:cs="Century Gothic"/>
          <w:lang w:val="es-ES" w:eastAsia="es-MX"/>
        </w:rPr>
      </w:pPr>
    </w:p>
    <w:p w14:paraId="5E852A45" w14:textId="77777777" w:rsidR="00101DAB" w:rsidRPr="00101DAB" w:rsidRDefault="00101DAB" w:rsidP="00101DAB">
      <w:pPr>
        <w:snapToGrid w:val="0"/>
        <w:spacing w:after="0" w:line="276" w:lineRule="auto"/>
        <w:jc w:val="both"/>
        <w:rPr>
          <w:rFonts w:ascii="Verdana" w:eastAsia="Century Gothic" w:hAnsi="Verdana" w:cs="Century Gothic"/>
          <w:lang w:eastAsia="es-MX"/>
        </w:rPr>
      </w:pPr>
      <w:r w:rsidRPr="00101DAB">
        <w:rPr>
          <w:rFonts w:ascii="Verdana" w:eastAsia="Century Gothic" w:hAnsi="Verdana" w:cs="Century Gothic"/>
          <w:lang w:eastAsia="es-MX"/>
        </w:rPr>
        <w:t xml:space="preserve">De acuerdo con el contenido de su solicitud, esta Agencia resolverá los siguientes problemas jurídicos: </w:t>
      </w:r>
    </w:p>
    <w:p w14:paraId="35B38184" w14:textId="77777777" w:rsidR="00101DAB" w:rsidRPr="00101DAB" w:rsidRDefault="00101DAB" w:rsidP="00101DAB">
      <w:pPr>
        <w:snapToGrid w:val="0"/>
        <w:spacing w:after="0" w:line="276" w:lineRule="auto"/>
        <w:jc w:val="both"/>
        <w:rPr>
          <w:rFonts w:ascii="Verdana" w:eastAsia="Century Gothic" w:hAnsi="Verdana" w:cs="Century Gothic"/>
          <w:lang w:eastAsia="es-MX"/>
        </w:rPr>
      </w:pPr>
    </w:p>
    <w:p w14:paraId="427C86BC" w14:textId="77777777" w:rsidR="00101DAB" w:rsidRPr="00101DAB" w:rsidRDefault="00101DAB" w:rsidP="00101DAB">
      <w:pPr>
        <w:numPr>
          <w:ilvl w:val="0"/>
          <w:numId w:val="18"/>
        </w:numPr>
        <w:snapToGrid w:val="0"/>
        <w:spacing w:after="0" w:line="276" w:lineRule="auto"/>
        <w:contextualSpacing/>
        <w:jc w:val="both"/>
        <w:rPr>
          <w:rFonts w:ascii="Verdana" w:eastAsia="Century Gothic" w:hAnsi="Verdana" w:cs="Century Gothic"/>
          <w:lang w:eastAsia="es-MX"/>
        </w:rPr>
      </w:pPr>
      <w:r w:rsidRPr="00101DAB">
        <w:rPr>
          <w:rFonts w:ascii="Verdana" w:eastAsia="Century Gothic" w:hAnsi="Verdana" w:cs="Century Gothic"/>
          <w:lang w:eastAsia="es-MX"/>
        </w:rPr>
        <w:t xml:space="preserve">¿Cuál es el alcance de los documentos tipo de infraestructura social, particularmente, los adicionales del sector </w:t>
      </w:r>
      <w:r w:rsidRPr="00101DAB">
        <w:rPr>
          <w:rFonts w:ascii="Verdana" w:eastAsia="Century Gothic" w:hAnsi="Verdana" w:cs="Century Gothic"/>
          <w:i/>
          <w:iCs/>
          <w:lang w:eastAsia="es-MX"/>
        </w:rPr>
        <w:t>cultura, recreación y deporte,</w:t>
      </w:r>
      <w:r w:rsidRPr="00101DAB">
        <w:rPr>
          <w:rFonts w:ascii="Verdana" w:eastAsia="Century Gothic" w:hAnsi="Verdana" w:cs="Century Gothic"/>
          <w:lang w:eastAsia="es-MX"/>
        </w:rPr>
        <w:t xml:space="preserve"> en lo que respecta a actividades relacionadas con graderías?</w:t>
      </w:r>
    </w:p>
    <w:p w14:paraId="3E49B5B6" w14:textId="77777777" w:rsidR="00101DAB" w:rsidRPr="00101DAB" w:rsidRDefault="00101DAB" w:rsidP="00101DAB">
      <w:pPr>
        <w:snapToGrid w:val="0"/>
        <w:spacing w:after="0" w:line="276" w:lineRule="auto"/>
        <w:jc w:val="both"/>
        <w:rPr>
          <w:rFonts w:ascii="Verdana" w:eastAsia="Century Gothic" w:hAnsi="Verdana" w:cs="Century Gothic"/>
          <w:lang w:eastAsia="es-MX"/>
        </w:rPr>
      </w:pPr>
    </w:p>
    <w:p w14:paraId="2CCCD1AC" w14:textId="77777777" w:rsidR="00101DAB" w:rsidRPr="00101DAB" w:rsidRDefault="00101DAB" w:rsidP="00101DAB">
      <w:pPr>
        <w:numPr>
          <w:ilvl w:val="0"/>
          <w:numId w:val="18"/>
        </w:numPr>
        <w:snapToGrid w:val="0"/>
        <w:spacing w:after="0" w:line="276" w:lineRule="auto"/>
        <w:contextualSpacing/>
        <w:jc w:val="both"/>
        <w:rPr>
          <w:rFonts w:ascii="Verdana" w:eastAsia="Century Gothic" w:hAnsi="Verdana" w:cs="Century Gothic"/>
          <w:lang w:eastAsia="es-MX"/>
        </w:rPr>
      </w:pPr>
      <w:r w:rsidRPr="00101DAB">
        <w:rPr>
          <w:rFonts w:ascii="Verdana" w:eastAsia="Century Gothic" w:hAnsi="Verdana" w:cs="Century Gothic"/>
          <w:lang w:eastAsia="es-MX"/>
        </w:rPr>
        <w:t>¿Cuál es el alcance de la obligatoriedad de los documentos tipo y la posibilidad de apartarse de los mismos?</w:t>
      </w:r>
    </w:p>
    <w:p w14:paraId="4894830F" w14:textId="77777777" w:rsidR="00101DAB" w:rsidRPr="00101DAB" w:rsidRDefault="00101DAB" w:rsidP="00101DAB">
      <w:pPr>
        <w:snapToGrid w:val="0"/>
        <w:spacing w:after="0" w:line="276" w:lineRule="auto"/>
        <w:jc w:val="both"/>
        <w:rPr>
          <w:rFonts w:ascii="Verdana" w:eastAsia="Calibri" w:hAnsi="Verdana" w:cs="Arial"/>
          <w:lang w:val="es-ES" w:eastAsia="es-MX"/>
        </w:rPr>
      </w:pPr>
    </w:p>
    <w:p w14:paraId="0474AC8C" w14:textId="77777777" w:rsidR="00101DAB" w:rsidRPr="00101DAB" w:rsidRDefault="00101DAB" w:rsidP="00101DA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101DAB">
        <w:rPr>
          <w:rFonts w:ascii="Verdana" w:eastAsia="Century Gothic" w:hAnsi="Verdana" w:cs="Century Gothic"/>
          <w:b/>
          <w:bCs/>
          <w:lang w:val="es-ES" w:eastAsia="es-MX"/>
        </w:rPr>
        <w:t>Respuesta:</w:t>
      </w:r>
    </w:p>
    <w:p w14:paraId="0B0C1F06" w14:textId="77777777" w:rsidR="00101DAB" w:rsidRPr="00101DAB" w:rsidRDefault="00101DAB" w:rsidP="00101DAB">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1DAB" w:rsidRPr="00101DAB" w14:paraId="652969C4" w14:textId="77777777" w:rsidTr="6A8C1A06">
        <w:tc>
          <w:tcPr>
            <w:tcW w:w="8828" w:type="dxa"/>
          </w:tcPr>
          <w:p w14:paraId="6B0EEA71" w14:textId="77777777" w:rsidR="00101DAB" w:rsidRPr="00101DAB" w:rsidRDefault="00101DAB" w:rsidP="00101DAB">
            <w:pPr>
              <w:spacing w:line="276" w:lineRule="auto"/>
              <w:jc w:val="both"/>
              <w:rPr>
                <w:rFonts w:ascii="Verdana" w:eastAsia="Aptos" w:hAnsi="Verdana" w:cs="Aptos"/>
                <w:lang w:val="es-ES_tradnl"/>
              </w:rPr>
            </w:pPr>
            <w:r w:rsidRPr="00101DAB">
              <w:rPr>
                <w:rFonts w:ascii="Verdana" w:eastAsia="Aptos" w:hAnsi="Verdana" w:cs="Aptos"/>
                <w:lang w:val="es-ES_tradnl"/>
              </w:rPr>
              <w:t xml:space="preserve">De conformidad con los documentos tipo de infraestructura social y teniendo en cuenta la solicitud, </w:t>
            </w:r>
            <w:r w:rsidRPr="00101DAB">
              <w:rPr>
                <w:rFonts w:ascii="Verdana" w:eastAsia="Aptos" w:hAnsi="Verdana" w:cs="Aptos"/>
                <w:i/>
                <w:iCs/>
                <w:lang w:val="es-ES_tradnl"/>
              </w:rPr>
              <w:t>en primer lugar,</w:t>
            </w:r>
            <w:r w:rsidRPr="00101DAB">
              <w:rPr>
                <w:rFonts w:ascii="Verdana" w:eastAsia="Aptos" w:hAnsi="Verdana" w:cs="Aptos"/>
                <w:lang w:val="es-ES_tradnl"/>
              </w:rPr>
              <w:t xml:space="preserve"> conviene señalar que la Matriz de Experiencia de los documentos tipo adicionales del sector “cultura, recreación y deporte”, incluye en el capítulo </w:t>
            </w:r>
            <w:r w:rsidRPr="00101DAB">
              <w:rPr>
                <w:rFonts w:ascii="Verdana" w:eastAsia="Aptos" w:hAnsi="Verdana" w:cs="Aptos"/>
                <w:i/>
                <w:iCs/>
                <w:lang w:val="es-ES_tradnl"/>
              </w:rPr>
              <w:t>2 “OBRAS EN INFRAESTRUCTURA RECREO DEPORTIVA</w:t>
            </w:r>
            <w:r w:rsidRPr="00101DAB">
              <w:rPr>
                <w:rFonts w:ascii="Verdana" w:eastAsia="Aptos" w:hAnsi="Verdana" w:cs="Aptos"/>
                <w:lang w:val="es-ES_tradnl"/>
              </w:rPr>
              <w:t>” la siguiente actividad en la cual podría enmarcarse el proceso de selección por el cual se indaga:</w:t>
            </w:r>
          </w:p>
          <w:p w14:paraId="3644D2E8" w14:textId="77777777" w:rsidR="00101DAB" w:rsidRPr="00101DAB" w:rsidRDefault="00101DAB" w:rsidP="00101DAB">
            <w:pPr>
              <w:spacing w:line="276" w:lineRule="auto"/>
              <w:ind w:left="1080"/>
              <w:contextualSpacing/>
              <w:jc w:val="both"/>
              <w:rPr>
                <w:rFonts w:ascii="Verdana" w:eastAsia="Aptos" w:hAnsi="Verdana" w:cs="Aptos"/>
                <w:i/>
                <w:iCs/>
                <w:lang w:val="es-ES_tradnl"/>
              </w:rPr>
            </w:pPr>
          </w:p>
          <w:p w14:paraId="095BF0D1" w14:textId="77777777" w:rsidR="00101DAB" w:rsidRPr="00101DAB" w:rsidRDefault="00101DAB" w:rsidP="00101DAB">
            <w:pPr>
              <w:snapToGrid w:val="0"/>
              <w:ind w:left="709" w:right="709"/>
              <w:jc w:val="both"/>
              <w:rPr>
                <w:rFonts w:ascii="Verdana" w:eastAsia="Aptos" w:hAnsi="Verdana" w:cs="Aptos"/>
                <w:i/>
                <w:iCs/>
                <w:sz w:val="21"/>
                <w:szCs w:val="21"/>
                <w:lang w:val="es-ES_tradnl"/>
              </w:rPr>
            </w:pPr>
            <w:r w:rsidRPr="00101DAB">
              <w:rPr>
                <w:rFonts w:ascii="Verdana" w:eastAsia="Aptos" w:hAnsi="Verdana" w:cs="Aptos"/>
                <w:sz w:val="21"/>
                <w:szCs w:val="21"/>
                <w:lang w:val="es-ES_tradnl"/>
              </w:rPr>
              <w:t>“</w:t>
            </w:r>
            <w:r w:rsidRPr="00101DAB">
              <w:rPr>
                <w:rFonts w:ascii="Verdana" w:eastAsia="Aptos" w:hAnsi="Verdana" w:cs="Aptos"/>
                <w:i/>
                <w:iCs/>
                <w:sz w:val="21"/>
                <w:szCs w:val="21"/>
                <w:lang w:val="es-ES_tradnl"/>
              </w:rPr>
              <w:t>2.5.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CANCHAS DEPORTIVAS Y/O ESCENARIOS Y/O COMPLEJOS Y/O ESPACIOS E INSTALACIONES RECREO DEPORTIVAS”</w:t>
            </w:r>
          </w:p>
          <w:p w14:paraId="27322FEF" w14:textId="77777777" w:rsidR="00101DAB" w:rsidRPr="00101DAB" w:rsidRDefault="00101DAB" w:rsidP="00101DAB">
            <w:pPr>
              <w:spacing w:line="276" w:lineRule="auto"/>
              <w:ind w:left="1080"/>
              <w:contextualSpacing/>
              <w:jc w:val="both"/>
              <w:rPr>
                <w:rFonts w:ascii="Verdana" w:eastAsia="Aptos" w:hAnsi="Verdana" w:cs="Aptos"/>
                <w:lang w:val="es-ES_tradnl"/>
              </w:rPr>
            </w:pPr>
          </w:p>
          <w:p w14:paraId="4B65AB88" w14:textId="77777777" w:rsidR="00101DAB" w:rsidRPr="00101DAB" w:rsidRDefault="00101DAB" w:rsidP="00101DAB">
            <w:pPr>
              <w:spacing w:line="276" w:lineRule="auto"/>
              <w:ind w:firstLine="709"/>
              <w:jc w:val="both"/>
              <w:rPr>
                <w:rFonts w:ascii="Verdana" w:eastAsia="Aptos" w:hAnsi="Verdana" w:cs="Aptos"/>
                <w:lang w:val="es-ES_tradnl"/>
              </w:rPr>
            </w:pPr>
            <w:r w:rsidRPr="00101DAB">
              <w:rPr>
                <w:rFonts w:ascii="Verdana" w:eastAsia="Aptos" w:hAnsi="Verdana" w:cs="Aptos"/>
                <w:lang w:val="es-ES_tradnl"/>
              </w:rPr>
              <w:lastRenderedPageBreak/>
              <w:t>Lo anterior en virtud que elementos como las graderías hacen parte de los escenarios deportivos, y, en tal sentido, el Manual de Escenarios deportivos del Ministerio del Deporte las define como:</w:t>
            </w:r>
          </w:p>
          <w:p w14:paraId="167253BB" w14:textId="77777777" w:rsidR="00101DAB" w:rsidRPr="00101DAB" w:rsidRDefault="00101DAB" w:rsidP="00101DAB">
            <w:pPr>
              <w:spacing w:line="276" w:lineRule="auto"/>
              <w:ind w:left="1080"/>
              <w:contextualSpacing/>
              <w:jc w:val="both"/>
              <w:rPr>
                <w:rFonts w:ascii="Verdana" w:eastAsia="Aptos" w:hAnsi="Verdana" w:cs="Aptos"/>
                <w:lang w:val="es-ES_tradnl"/>
              </w:rPr>
            </w:pPr>
          </w:p>
          <w:p w14:paraId="3B02DFCF" w14:textId="77777777" w:rsidR="00101DAB" w:rsidRPr="00101DAB" w:rsidRDefault="00101DAB" w:rsidP="00101DAB">
            <w:pPr>
              <w:snapToGrid w:val="0"/>
              <w:ind w:left="709" w:right="709"/>
              <w:jc w:val="both"/>
              <w:rPr>
                <w:rFonts w:ascii="Verdana" w:eastAsia="Aptos" w:hAnsi="Verdana" w:cs="Aptos"/>
                <w:i/>
                <w:iCs/>
                <w:sz w:val="21"/>
                <w:szCs w:val="21"/>
                <w:lang w:val="es-ES_tradnl"/>
              </w:rPr>
            </w:pPr>
            <w:r w:rsidRPr="00101DAB">
              <w:rPr>
                <w:rFonts w:ascii="Verdana" w:eastAsia="Aptos" w:hAnsi="Verdana" w:cs="Aptos"/>
                <w:i/>
                <w:iCs/>
                <w:sz w:val="21"/>
                <w:szCs w:val="21"/>
                <w:lang w:val="es-ES_tradnl"/>
              </w:rPr>
              <w:t>“Es el espacio donde se ubica el público durante el evento, diseñado para que, durante un evento, todos los espectadores estén sentados y tengan una visión completa del evento deportivo.</w:t>
            </w:r>
          </w:p>
          <w:p w14:paraId="7850EED9" w14:textId="77777777" w:rsidR="00101DAB" w:rsidRPr="00101DAB" w:rsidRDefault="00101DAB" w:rsidP="00101DAB">
            <w:pPr>
              <w:snapToGrid w:val="0"/>
              <w:ind w:left="709" w:right="709"/>
              <w:jc w:val="both"/>
              <w:rPr>
                <w:rFonts w:ascii="Verdana" w:eastAsia="Aptos" w:hAnsi="Verdana" w:cs="Aptos"/>
                <w:i/>
                <w:iCs/>
                <w:sz w:val="21"/>
                <w:szCs w:val="21"/>
                <w:lang w:val="es-ES_tradnl"/>
              </w:rPr>
            </w:pPr>
          </w:p>
          <w:p w14:paraId="53E7F530" w14:textId="77777777" w:rsidR="00101DAB" w:rsidRPr="00101DAB" w:rsidRDefault="00101DAB" w:rsidP="00101DAB">
            <w:pPr>
              <w:snapToGrid w:val="0"/>
              <w:ind w:left="709" w:right="709"/>
              <w:jc w:val="both"/>
              <w:rPr>
                <w:rFonts w:ascii="Verdana" w:eastAsia="Aptos" w:hAnsi="Verdana" w:cs="Aptos"/>
                <w:i/>
                <w:iCs/>
                <w:sz w:val="21"/>
                <w:szCs w:val="21"/>
                <w:lang w:val="es-ES_tradnl"/>
              </w:rPr>
            </w:pPr>
            <w:r w:rsidRPr="00101DAB">
              <w:rPr>
                <w:rFonts w:ascii="Verdana" w:eastAsia="Aptos" w:hAnsi="Verdana" w:cs="Aptos"/>
                <w:i/>
                <w:iCs/>
                <w:sz w:val="21"/>
                <w:szCs w:val="21"/>
                <w:lang w:val="es-ES_tradnl"/>
              </w:rPr>
              <w:t>Las graderías deben cumplir con las normas de accesibilidad y evacuación, garantizando así el correcto ingreso del público, deben ser incluyentes con las personas de movilidad reducida. Adicionalmente, contarán con todos los elementos de seguridad necesarios, barandas, cerramiento, iluminación de emergencia, señalética pintura de evacuación, entre otras.</w:t>
            </w:r>
          </w:p>
          <w:p w14:paraId="04B6241C" w14:textId="77777777" w:rsidR="00101DAB" w:rsidRPr="00101DAB" w:rsidRDefault="00101DAB" w:rsidP="00101DAB">
            <w:pPr>
              <w:snapToGrid w:val="0"/>
              <w:ind w:left="709" w:right="709"/>
              <w:jc w:val="both"/>
              <w:rPr>
                <w:rFonts w:ascii="Verdana" w:eastAsia="Aptos" w:hAnsi="Verdana" w:cs="Aptos"/>
                <w:i/>
                <w:iCs/>
                <w:sz w:val="21"/>
                <w:szCs w:val="21"/>
                <w:lang w:val="es-ES_tradnl"/>
              </w:rPr>
            </w:pPr>
            <w:r w:rsidRPr="00101DAB">
              <w:rPr>
                <w:rFonts w:ascii="Verdana" w:eastAsia="Aptos" w:hAnsi="Verdana" w:cs="Aptos"/>
                <w:i/>
                <w:iCs/>
                <w:sz w:val="21"/>
                <w:szCs w:val="21"/>
                <w:lang w:val="es-ES_tradnl"/>
              </w:rPr>
              <w:t>[…]”</w:t>
            </w:r>
          </w:p>
          <w:p w14:paraId="5A93E856" w14:textId="77777777" w:rsidR="00101DAB" w:rsidRPr="00101DAB" w:rsidRDefault="00101DAB" w:rsidP="00101DAB">
            <w:pPr>
              <w:spacing w:line="276" w:lineRule="auto"/>
              <w:jc w:val="both"/>
              <w:rPr>
                <w:rFonts w:ascii="Verdana" w:eastAsia="Aptos" w:hAnsi="Verdana" w:cs="Aptos"/>
                <w:lang w:val="es-ES_tradnl"/>
              </w:rPr>
            </w:pPr>
          </w:p>
          <w:p w14:paraId="774524D9" w14:textId="77777777" w:rsidR="00101DAB" w:rsidRPr="00101DAB" w:rsidRDefault="00101DAB" w:rsidP="00101DAB">
            <w:pPr>
              <w:spacing w:line="276" w:lineRule="auto"/>
              <w:ind w:firstLine="709"/>
              <w:jc w:val="both"/>
              <w:rPr>
                <w:rFonts w:ascii="Verdana" w:eastAsia="Aptos" w:hAnsi="Verdana" w:cs="Aptos"/>
                <w:i/>
                <w:iCs/>
                <w:lang w:val="es-ES_tradnl"/>
              </w:rPr>
            </w:pPr>
            <w:r w:rsidRPr="00101DAB">
              <w:rPr>
                <w:rFonts w:ascii="Verdana" w:eastAsia="Aptos" w:hAnsi="Verdana" w:cs="Aptos"/>
                <w:i/>
                <w:iCs/>
                <w:lang w:val="es-ES_tradnl"/>
              </w:rPr>
              <w:t xml:space="preserve">En segundo lugar, </w:t>
            </w:r>
            <w:r w:rsidRPr="00101DAB">
              <w:rPr>
                <w:rFonts w:ascii="Verdana" w:eastAsia="Aptos" w:hAnsi="Verdana" w:cs="Aptos"/>
                <w:lang w:val="es-ES_tradnl"/>
              </w:rPr>
              <w:t>es preciso señalar que el documento base de los documentos tipo de infraestructura social, en la parte introductoria, señala la obligatoriedad de la implementación de los documentos tipo en función de las actividades definidas en la Matriz 1 de Experiencia de cada subsector. Es decir, si el objeto del proceso de selección se enmarca en alguna de esas actividades, la entidad tendrá la obligación de utilizar los documentos tipo, que para el caso de la presente petición corresponden a los de “cultura recreación y deporte”, en tal sentido se señala:</w:t>
            </w:r>
          </w:p>
          <w:p w14:paraId="32A39178" w14:textId="77777777" w:rsidR="00101DAB" w:rsidRPr="00101DAB" w:rsidRDefault="00101DAB" w:rsidP="00101DAB">
            <w:pPr>
              <w:spacing w:line="276" w:lineRule="auto"/>
              <w:ind w:left="720"/>
              <w:jc w:val="both"/>
              <w:rPr>
                <w:rFonts w:ascii="Verdana" w:eastAsia="Aptos" w:hAnsi="Verdana" w:cs="Aptos"/>
                <w:i/>
                <w:iCs/>
                <w:lang w:val="es-ES_tradnl"/>
              </w:rPr>
            </w:pPr>
          </w:p>
          <w:p w14:paraId="48106D27" w14:textId="77777777" w:rsidR="00101DAB" w:rsidRPr="00101DAB" w:rsidRDefault="00101DAB" w:rsidP="00101DAB">
            <w:pPr>
              <w:snapToGrid w:val="0"/>
              <w:ind w:left="709" w:right="709"/>
              <w:jc w:val="both"/>
              <w:rPr>
                <w:rFonts w:ascii="Verdana" w:eastAsia="Aptos" w:hAnsi="Verdana" w:cs="Aptos"/>
                <w:i/>
                <w:iCs/>
                <w:sz w:val="21"/>
                <w:szCs w:val="21"/>
                <w:lang w:val="es-MX"/>
              </w:rPr>
            </w:pPr>
            <w:r w:rsidRPr="00101DAB">
              <w:rPr>
                <w:rFonts w:ascii="Verdana" w:eastAsia="Aptos" w:hAnsi="Verdana" w:cs="Aptos"/>
                <w:i/>
                <w:iCs/>
                <w:sz w:val="21"/>
                <w:szCs w:val="21"/>
                <w:lang w:val="es-MX"/>
              </w:rPr>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w:t>
            </w:r>
            <w:r w:rsidRPr="00101DAB">
              <w:rPr>
                <w:rFonts w:ascii="Verdana" w:eastAsia="Aptos" w:hAnsi="Verdana" w:cs="Aptos"/>
                <w:i/>
                <w:iCs/>
                <w:sz w:val="21"/>
                <w:szCs w:val="21"/>
                <w:u w:val="single"/>
                <w:lang w:val="es-MX"/>
              </w:rPr>
              <w:t xml:space="preserve"> </w:t>
            </w:r>
            <w:r w:rsidRPr="00101DAB">
              <w:rPr>
                <w:rFonts w:ascii="Verdana" w:eastAsia="Aptos" w:hAnsi="Verdana" w:cs="Aptos"/>
                <w:i/>
                <w:iCs/>
                <w:sz w:val="21"/>
                <w:szCs w:val="21"/>
                <w:lang w:val="es-MX"/>
              </w:rPr>
              <w:t>Experiencia aplicable en el proyecto de infraestructura social bien sea de salud, educación, institucional, vivienda y cultura, recreación y deporte, no tienen que aplicar los documentos tipo; sin perjuicio de lo previsto en el artículo 2.2.1.2.6.1.5. del Decreto 1082 de 2015.</w:t>
            </w:r>
          </w:p>
          <w:p w14:paraId="393852BA" w14:textId="77777777" w:rsidR="00101DAB" w:rsidRPr="00101DAB" w:rsidRDefault="00101DAB" w:rsidP="00101DAB">
            <w:pPr>
              <w:snapToGrid w:val="0"/>
              <w:ind w:left="709" w:right="709"/>
              <w:jc w:val="both"/>
              <w:rPr>
                <w:rFonts w:ascii="Verdana" w:eastAsia="Aptos" w:hAnsi="Verdana" w:cs="Aptos"/>
                <w:i/>
                <w:iCs/>
                <w:sz w:val="21"/>
                <w:szCs w:val="21"/>
                <w:lang w:val="es-ES_tradnl"/>
              </w:rPr>
            </w:pPr>
            <w:r w:rsidRPr="00101DAB">
              <w:rPr>
                <w:rFonts w:ascii="Verdana" w:eastAsia="Aptos" w:hAnsi="Verdana" w:cs="Aptos"/>
                <w:i/>
                <w:iCs/>
                <w:sz w:val="21"/>
                <w:szCs w:val="21"/>
                <w:lang w:val="es-ES_tradnl"/>
              </w:rPr>
              <w:t>[…]”</w:t>
            </w:r>
          </w:p>
          <w:p w14:paraId="40CA7014" w14:textId="77777777" w:rsidR="00101DAB" w:rsidRPr="00101DAB" w:rsidRDefault="00101DAB" w:rsidP="00101DAB">
            <w:pPr>
              <w:spacing w:line="276" w:lineRule="auto"/>
              <w:ind w:left="1416"/>
              <w:contextualSpacing/>
              <w:jc w:val="both"/>
              <w:rPr>
                <w:rFonts w:ascii="Verdana" w:eastAsia="Aptos" w:hAnsi="Verdana" w:cs="Aptos"/>
                <w:i/>
                <w:iCs/>
                <w:lang w:val="es-ES_tradnl"/>
              </w:rPr>
            </w:pPr>
          </w:p>
          <w:p w14:paraId="313A862F" w14:textId="77777777" w:rsidR="00101DAB" w:rsidRPr="00101DAB" w:rsidRDefault="00101DAB" w:rsidP="00101DAB">
            <w:pPr>
              <w:adjustRightInd w:val="0"/>
              <w:snapToGrid w:val="0"/>
              <w:spacing w:after="120" w:line="276" w:lineRule="auto"/>
              <w:ind w:firstLine="709"/>
              <w:jc w:val="both"/>
              <w:rPr>
                <w:rFonts w:ascii="Verdana" w:eastAsia="Aptos" w:hAnsi="Verdana" w:cs="Aptos"/>
                <w:lang w:val="es-ES_tradnl"/>
              </w:rPr>
            </w:pPr>
            <w:r w:rsidRPr="00101DAB">
              <w:rPr>
                <w:rFonts w:ascii="Verdana" w:eastAsia="Aptos" w:hAnsi="Verdana" w:cs="Aptos"/>
                <w:i/>
                <w:iCs/>
                <w:lang w:val="es-ES_tradnl"/>
              </w:rPr>
              <w:t>En tercer lugar,</w:t>
            </w:r>
            <w:r w:rsidRPr="00101DAB">
              <w:rPr>
                <w:rFonts w:ascii="Verdana" w:eastAsia="Aptos" w:hAnsi="Verdana" w:cs="Aptos"/>
                <w:lang w:val="es-ES_tradnl"/>
              </w:rPr>
              <w:t xml:space="preserve"> es necesario advertir que las entidades sometidas al Estatuto General de Contratación de la Administración Pública –EGCAP– que pretendan adelantar procesos de selección cuyo objeto se encuentre cobijado por alguna de las actividades definidas en la Matriz de Experiencia, tendrán la </w:t>
            </w:r>
            <w:r w:rsidRPr="00101DAB">
              <w:rPr>
                <w:rFonts w:ascii="Verdana" w:eastAsia="Aptos" w:hAnsi="Verdana" w:cs="Aptos"/>
                <w:lang w:val="es-ES_tradnl"/>
              </w:rPr>
              <w:lastRenderedPageBreak/>
              <w:t xml:space="preserve">obligación de usar los documentos tipo; en caso contrario, podrán usar los documentos tipo como buena práctica en su actividad contractual. </w:t>
            </w:r>
          </w:p>
          <w:p w14:paraId="2D3A8787" w14:textId="77777777" w:rsidR="00101DAB" w:rsidRPr="00101DAB" w:rsidRDefault="00101DAB" w:rsidP="00101DAB">
            <w:pPr>
              <w:adjustRightInd w:val="0"/>
              <w:snapToGrid w:val="0"/>
              <w:spacing w:after="120" w:line="276" w:lineRule="auto"/>
              <w:ind w:firstLine="709"/>
              <w:jc w:val="both"/>
              <w:rPr>
                <w:rFonts w:ascii="Verdana" w:eastAsia="Aptos" w:hAnsi="Verdana" w:cs="Aptos"/>
                <w:lang w:val="es-ES_tradnl"/>
              </w:rPr>
            </w:pPr>
            <w:r w:rsidRPr="00101DAB">
              <w:rPr>
                <w:rFonts w:ascii="Verdana" w:eastAsia="Aptos" w:hAnsi="Verdana" w:cs="Aptos"/>
                <w:lang w:val="es-ES_tradnl"/>
              </w:rPr>
              <w:t>De todas formas, corresponde a las entidades, de acuerdo con el alcance del proceso de selección definido en los estudios previos, definir si determinado objeto se enmarca técnicamente en alguna de las actividades incluidas en las Matrices de Experiencia de los diferentes sectores para los que la Agencia ha expedido pliegos tipo.</w:t>
            </w:r>
          </w:p>
          <w:p w14:paraId="396E0057" w14:textId="77777777" w:rsidR="00101DAB" w:rsidRPr="00101DAB" w:rsidRDefault="00101DAB" w:rsidP="00101DAB">
            <w:pPr>
              <w:adjustRightInd w:val="0"/>
              <w:snapToGrid w:val="0"/>
              <w:spacing w:after="120" w:line="276" w:lineRule="auto"/>
              <w:ind w:firstLine="709"/>
              <w:jc w:val="both"/>
              <w:rPr>
                <w:rFonts w:ascii="Verdana" w:eastAsia="Calibri" w:hAnsi="Verdana" w:cs="Arial"/>
                <w:color w:val="000000"/>
                <w:kern w:val="2"/>
                <w:lang w:val="es-ES"/>
                <w14:ligatures w14:val="standardContextual"/>
              </w:rPr>
            </w:pPr>
            <w:r w:rsidRPr="00101DAB">
              <w:rPr>
                <w:rFonts w:ascii="Verdana" w:eastAsia="Aptos" w:hAnsi="Verdana" w:cs="Aptos"/>
                <w:i/>
                <w:iCs/>
                <w:lang w:val="es-ES_tradnl"/>
              </w:rPr>
              <w:t xml:space="preserve">En cuarto lugar, </w:t>
            </w:r>
            <w:r w:rsidRPr="00101DAB">
              <w:rPr>
                <w:rFonts w:ascii="Verdana" w:eastAsia="Calibri" w:hAnsi="Verdana" w:cs="Calibri"/>
                <w:lang w:val="es-ES_tradnl"/>
              </w:rPr>
              <w:t xml:space="preserve">es necesario tener en cuenta que, </w:t>
            </w:r>
            <w:r w:rsidRPr="00101DAB">
              <w:rPr>
                <w:rFonts w:ascii="Verdana" w:eastAsia="Calibri" w:hAnsi="Verdana" w:cs="Arial"/>
                <w:color w:val="000000"/>
                <w:kern w:val="2"/>
                <w:lang w:val="es-ES"/>
                <w14:ligatures w14:val="standardContextual"/>
              </w:rPr>
              <w:t>todas las resoluciones</w:t>
            </w:r>
            <w:r w:rsidRPr="00101DAB">
              <w:rPr>
                <w:rFonts w:ascii="Verdana" w:eastAsia="Calibri" w:hAnsi="Verdana" w:cs="Arial"/>
                <w:color w:val="000000"/>
                <w:kern w:val="2"/>
                <w:vertAlign w:val="superscript"/>
                <w:lang w:val="es-ES"/>
                <w14:ligatures w14:val="standardContextual"/>
              </w:rPr>
              <w:t xml:space="preserve"> </w:t>
            </w:r>
            <w:r w:rsidRPr="00101DAB">
              <w:rPr>
                <w:rFonts w:ascii="Verdana" w:eastAsia="Calibri" w:hAnsi="Verdana" w:cs="Arial"/>
                <w:color w:val="000000"/>
                <w:kern w:val="2"/>
                <w:lang w:val="es-ES"/>
                <w14:ligatures w14:val="standardContextual"/>
              </w:rPr>
              <w:t xml:space="preserve">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01DAB">
              <w:rPr>
                <w:rFonts w:ascii="Verdana" w:eastAsia="Calibri" w:hAnsi="Verdana" w:cs="Arial"/>
                <w:i/>
                <w:iCs/>
                <w:color w:val="000000"/>
                <w:kern w:val="2"/>
                <w:lang w:val="es-ES"/>
                <w14:ligatures w14:val="standardContextual"/>
              </w:rPr>
              <w:t>Documentos del Proceso</w:t>
            </w:r>
            <w:r w:rsidRPr="00101DAB">
              <w:rPr>
                <w:rFonts w:ascii="Verdana" w:eastAsia="Calibri" w:hAnsi="Verdana" w:cs="Arial"/>
                <w:color w:val="000000"/>
                <w:kern w:val="2"/>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C0FC938" w14:textId="77777777" w:rsidR="00101DAB" w:rsidRPr="00101DAB" w:rsidRDefault="00101DAB" w:rsidP="00101DAB">
            <w:pPr>
              <w:adjustRightInd w:val="0"/>
              <w:snapToGrid w:val="0"/>
              <w:spacing w:after="120" w:line="276" w:lineRule="auto"/>
              <w:ind w:firstLine="709"/>
              <w:jc w:val="both"/>
              <w:rPr>
                <w:rFonts w:ascii="Verdana" w:eastAsia="Calibri" w:hAnsi="Verdana" w:cs="Arial"/>
                <w:lang w:val="es-ES_tradnl"/>
              </w:rPr>
            </w:pPr>
            <w:r w:rsidRPr="00101DAB">
              <w:rPr>
                <w:rFonts w:ascii="Verdana" w:eastAsia="Calibri" w:hAnsi="Verdana" w:cs="Arial"/>
                <w:kern w:val="2"/>
                <w:lang w:val="es-MX"/>
                <w14:ligatures w14:val="standardContextual"/>
              </w:rPr>
              <w:t xml:space="preserve">Por regla general, estos aspectos modificables corresponden a aquellos incluidos en corchetes y resaltados en gris </w:t>
            </w:r>
            <w:r w:rsidRPr="00101DAB">
              <w:rPr>
                <w:rFonts w:ascii="Verdana" w:eastAsia="Aptos" w:hAnsi="Verdana" w:cs="Arial"/>
                <w:kern w:val="2"/>
                <w:lang w:val="es-ES_tradnl"/>
                <w14:ligatures w14:val="standardContextual"/>
              </w:rPr>
              <w:t>–[</w:t>
            </w:r>
            <w:r w:rsidRPr="00101DAB">
              <w:rPr>
                <w:rFonts w:ascii="Verdana" w:eastAsia="Aptos" w:hAnsi="Verdana" w:cs="Arial"/>
                <w:kern w:val="2"/>
                <w:highlight w:val="lightGray"/>
                <w:lang w:val="es-ES_tradnl"/>
                <w14:ligatures w14:val="standardContextual"/>
              </w:rPr>
              <w:t>texto de ejemplo</w:t>
            </w:r>
            <w:r w:rsidRPr="00101DAB">
              <w:rPr>
                <w:rFonts w:ascii="Verdana" w:eastAsia="Aptos" w:hAnsi="Verdana" w:cs="Arial"/>
                <w:kern w:val="2"/>
                <w:lang w:val="es-ES_tradnl"/>
                <w14:ligatures w14:val="standardContextual"/>
              </w:rPr>
              <w:t xml:space="preserve">]–, los cuales </w:t>
            </w:r>
            <w:r w:rsidRPr="00101DAB">
              <w:rPr>
                <w:rFonts w:ascii="Verdana" w:eastAsia="Calibri" w:hAnsi="Verdana" w:cs="Arial"/>
                <w:kern w:val="2"/>
                <w:lang w:val="es-ES_tradnl"/>
                <w14:ligatures w14:val="standardContextual"/>
              </w:rPr>
              <w:t xml:space="preserve">deben ser diligenciados la entidad contratante o el proponente, según corresponda, de acuerdo con las instrucciones que allí se señalen. </w:t>
            </w:r>
          </w:p>
          <w:p w14:paraId="14A74B5A" w14:textId="77777777" w:rsidR="00101DAB" w:rsidRPr="00101DAB" w:rsidRDefault="00101DAB" w:rsidP="6A8C1A06">
            <w:pPr>
              <w:adjustRightInd w:val="0"/>
              <w:snapToGrid w:val="0"/>
              <w:spacing w:after="120" w:line="276" w:lineRule="auto"/>
              <w:ind w:firstLine="709"/>
              <w:jc w:val="both"/>
              <w:rPr>
                <w:rFonts w:ascii="Verdana" w:eastAsia="Aptos" w:hAnsi="Verdana" w:cs="Aptos"/>
                <w:lang w:val="es-ES"/>
              </w:rPr>
            </w:pPr>
            <w:r w:rsidRPr="6A8C1A06">
              <w:rPr>
                <w:rFonts w:ascii="Verdana" w:eastAsia="Aptos" w:hAnsi="Verdana" w:cs="Aptos"/>
                <w:lang w:val="es-ES"/>
              </w:rPr>
              <w:t xml:space="preserve">De esta manera, en los eventos en que el proceso de contratación no se enmarque en ninguna de las matrices de experiencia, la entidad podrá utilizar los documentos tipo como buenas prácticas para adelantar sus procesos. Sin embargo, cuando los pliegos tipo resulten aplicables, la entidad deberá utilizarlos, y no podrá fraccionar su aplicación o apartarse de su uso, salvo que existiera una norma legal que en ese sentido lo permitiera. </w:t>
            </w:r>
          </w:p>
          <w:p w14:paraId="710285A6" w14:textId="77777777" w:rsidR="00101DAB" w:rsidRPr="00101DAB" w:rsidRDefault="00101DAB" w:rsidP="00101DAB">
            <w:pPr>
              <w:adjustRightInd w:val="0"/>
              <w:snapToGrid w:val="0"/>
              <w:spacing w:after="120" w:line="276" w:lineRule="auto"/>
              <w:ind w:firstLine="709"/>
              <w:jc w:val="both"/>
              <w:rPr>
                <w:rFonts w:ascii="Verdana" w:eastAsia="Aptos" w:hAnsi="Verdana" w:cs="Aptos"/>
                <w:i/>
                <w:iCs/>
                <w:lang w:val="es-ES_tradnl"/>
              </w:rPr>
            </w:pPr>
            <w:r w:rsidRPr="00101DAB">
              <w:rPr>
                <w:rFonts w:ascii="Verdana" w:eastAsia="Aptos" w:hAnsi="Verdana" w:cs="Aptos"/>
                <w:i/>
                <w:iCs/>
                <w:lang w:val="es-ES_tradnl"/>
              </w:rPr>
              <w:t>Finalmente,</w:t>
            </w:r>
            <w:r w:rsidRPr="00101DAB">
              <w:rPr>
                <w:rFonts w:ascii="Verdana" w:eastAsia="Aptos" w:hAnsi="Verdana" w:cs="Aptos"/>
                <w:lang w:val="es-ES_tradnl"/>
              </w:rPr>
              <w:t xml:space="preserve"> puede resultar pertinente revisar las definiciones contenidas en el “Anexo 5 – Glosario”, que hace parte de los documentos tipo del sector social, de manera que se pueda establecer si el proceso de selección </w:t>
            </w:r>
            <w:r w:rsidRPr="00101DAB">
              <w:rPr>
                <w:rFonts w:ascii="Verdana" w:eastAsia="Aptos" w:hAnsi="Verdana" w:cs="Aptos"/>
                <w:lang w:val="es-ES_tradnl"/>
              </w:rPr>
              <w:lastRenderedPageBreak/>
              <w:t>se enmarca en la actividad 2.5 previamente descrita, la cual se encuentra relacionada con lugares de reunión deportivos definidos como</w:t>
            </w:r>
            <w:r w:rsidRPr="00101DAB">
              <w:rPr>
                <w:rFonts w:ascii="Verdana" w:eastAsia="Aptos" w:hAnsi="Verdana" w:cs="Aptos"/>
                <w:i/>
                <w:iCs/>
                <w:lang w:val="es-ES_tradnl"/>
              </w:rPr>
              <w:t xml:space="preserve"> “CANCHAS DEPORTIVAS Y/O ESCENARIOS Y/O COMPLEJOS Y/O ESPACIOS E INSTALACIONES RECREO DEPORTIVAS”. </w:t>
            </w:r>
            <w:r w:rsidRPr="00101DAB">
              <w:rPr>
                <w:rFonts w:ascii="Verdana" w:eastAsia="Aptos" w:hAnsi="Verdana" w:cs="Aptos"/>
                <w:lang w:val="es-ES_tradnl"/>
              </w:rPr>
              <w:t>Lo anterior, toda vez que este tipo de escenarios tienen contempladas “graderías y otras obras complementarias” como parte de su infraestructura.</w:t>
            </w:r>
          </w:p>
          <w:p w14:paraId="08CE15DD" w14:textId="77777777" w:rsidR="00101DAB" w:rsidRPr="00101DAB" w:rsidRDefault="00101DAB" w:rsidP="00101DAB">
            <w:pPr>
              <w:spacing w:line="276" w:lineRule="auto"/>
              <w:ind w:firstLine="709"/>
              <w:jc w:val="both"/>
              <w:rPr>
                <w:rFonts w:ascii="Verdana" w:eastAsia="Aptos" w:hAnsi="Verdana" w:cs="Aptos"/>
                <w:lang w:val="es-ES_tradnl"/>
              </w:rPr>
            </w:pPr>
            <w:r w:rsidRPr="00101DAB">
              <w:rPr>
                <w:rFonts w:ascii="Verdana" w:eastAsia="Aptos" w:hAnsi="Verdana" w:cs="Aptos"/>
                <w:lang w:val="es-ES_tradnl"/>
              </w:rPr>
              <w:t>Adicionalmente, también puede revisarse  que el proceso de selección por el que se indaga se enmarque en algunas de las tipologías de ejecución que se describen en la actividad 2.5 y que se relacionan con: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w:t>
            </w:r>
          </w:p>
        </w:tc>
      </w:tr>
    </w:tbl>
    <w:p w14:paraId="00CB8409" w14:textId="77777777" w:rsidR="00101DAB" w:rsidRPr="00101DAB" w:rsidRDefault="00101DAB" w:rsidP="00101DAB">
      <w:pPr>
        <w:tabs>
          <w:tab w:val="left" w:pos="142"/>
          <w:tab w:val="left" w:pos="284"/>
        </w:tabs>
        <w:snapToGrid w:val="0"/>
        <w:spacing w:after="0" w:line="276" w:lineRule="auto"/>
        <w:jc w:val="both"/>
        <w:rPr>
          <w:rFonts w:ascii="Verdana" w:eastAsia="Century Gothic" w:hAnsi="Verdana" w:cs="Century Gothic"/>
          <w:b/>
          <w:bCs/>
          <w:lang w:val="es-ES" w:eastAsia="es-MX"/>
        </w:rPr>
      </w:pPr>
    </w:p>
    <w:p w14:paraId="1A94FC1A" w14:textId="77777777" w:rsidR="00101DAB" w:rsidRPr="00101DAB" w:rsidRDefault="00101DAB" w:rsidP="00101DA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101DAB">
        <w:rPr>
          <w:rFonts w:ascii="Verdana" w:eastAsia="Century Gothic" w:hAnsi="Verdana" w:cs="Century Gothic"/>
          <w:b/>
          <w:bCs/>
          <w:lang w:val="es-ES" w:eastAsia="es-MX"/>
        </w:rPr>
        <w:t>Razones de la respuesta:</w:t>
      </w:r>
    </w:p>
    <w:p w14:paraId="60983914" w14:textId="77777777" w:rsidR="00101DAB" w:rsidRPr="00101DAB" w:rsidRDefault="00101DAB" w:rsidP="00101DAB">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4AD28C1E" w14:textId="77777777" w:rsidR="00101DAB" w:rsidRPr="00101DAB" w:rsidRDefault="00101DAB" w:rsidP="00101DAB">
      <w:pPr>
        <w:snapToGrid w:val="0"/>
        <w:spacing w:after="0" w:line="276" w:lineRule="auto"/>
        <w:jc w:val="both"/>
        <w:rPr>
          <w:rFonts w:ascii="Verdana" w:eastAsia="Calibri" w:hAnsi="Verdana" w:cs="Arial"/>
          <w:lang w:val="es-ES" w:eastAsia="es-MX"/>
        </w:rPr>
      </w:pPr>
      <w:r w:rsidRPr="00101DAB">
        <w:rPr>
          <w:rFonts w:ascii="Verdana" w:eastAsia="Calibri" w:hAnsi="Verdana" w:cs="Arial"/>
          <w:lang w:val="es-ES" w:eastAsia="es-MX"/>
        </w:rPr>
        <w:t xml:space="preserve">Lo anterior se sustenta en las siguientes consideraciones: </w:t>
      </w:r>
    </w:p>
    <w:p w14:paraId="0A5646F3" w14:textId="77777777" w:rsidR="00101DAB" w:rsidRPr="00101DAB" w:rsidRDefault="00101DAB" w:rsidP="00101DAB">
      <w:pPr>
        <w:spacing w:after="0" w:line="276" w:lineRule="auto"/>
        <w:jc w:val="both"/>
        <w:rPr>
          <w:rFonts w:ascii="Verdana" w:eastAsia="Calibri" w:hAnsi="Verdana" w:cs="Arial"/>
          <w:lang w:val="es-ES" w:eastAsia="es-MX"/>
        </w:rPr>
      </w:pPr>
    </w:p>
    <w:p w14:paraId="2AEC88E8" w14:textId="77777777" w:rsidR="00101DAB" w:rsidRPr="00101DAB" w:rsidRDefault="00101DAB" w:rsidP="00101DAB">
      <w:pPr>
        <w:snapToGrid w:val="0"/>
        <w:spacing w:after="120" w:line="276" w:lineRule="auto"/>
        <w:jc w:val="both"/>
        <w:rPr>
          <w:rFonts w:ascii="Verdana" w:eastAsia="Calibri" w:hAnsi="Verdana" w:cs="Times New Roman"/>
          <w:lang w:val="es-ES" w:eastAsia="es-MX"/>
        </w:rPr>
      </w:pPr>
      <w:r w:rsidRPr="00101DAB">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101DAB">
        <w:rPr>
          <w:rFonts w:ascii="Verdana" w:eastAsia="Calibri" w:hAnsi="Verdana" w:cs="Times New Roman"/>
          <w:lang w:val="es-ES" w:eastAsia="es-MX"/>
        </w:rPr>
        <w:tab/>
      </w:r>
    </w:p>
    <w:p w14:paraId="4F4D01B3" w14:textId="77777777" w:rsidR="00101DAB" w:rsidRPr="00101DAB" w:rsidRDefault="00101DAB" w:rsidP="00101DAB">
      <w:pPr>
        <w:snapToGrid w:val="0"/>
        <w:spacing w:after="120" w:line="276" w:lineRule="auto"/>
        <w:ind w:firstLine="709"/>
        <w:jc w:val="both"/>
        <w:rPr>
          <w:rFonts w:ascii="Verdana" w:eastAsia="Calibri" w:hAnsi="Verdana" w:cs="Times New Roman"/>
          <w:lang w:val="es-ES" w:eastAsia="es-MX"/>
        </w:rPr>
      </w:pPr>
      <w:r w:rsidRPr="00101DAB">
        <w:rPr>
          <w:rFonts w:ascii="Verdana" w:eastAsia="Calibri" w:hAnsi="Verdana" w:cs="Times New Roman"/>
          <w:lang w:val="es-ES" w:eastAsia="es-MX"/>
        </w:rPr>
        <w:t xml:space="preserve">Como puede observarse, la Resolución 219 de 2021 contiene un listado enunciativo de los sectores relacionados con los proyectos de infraestructura </w:t>
      </w:r>
      <w:r w:rsidRPr="00101DAB">
        <w:rPr>
          <w:rFonts w:ascii="Verdana" w:eastAsia="Calibri" w:hAnsi="Verdana" w:cs="Times New Roman"/>
          <w:lang w:val="es-ES" w:eastAsia="es-MX"/>
        </w:rPr>
        <w:lastRenderedPageBreak/>
        <w:t xml:space="preserve">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58470C90" w14:textId="77777777" w:rsidR="00101DAB" w:rsidRPr="00101DAB" w:rsidRDefault="00101DAB" w:rsidP="00101DAB">
      <w:pPr>
        <w:snapToGrid w:val="0"/>
        <w:spacing w:after="120" w:line="276" w:lineRule="auto"/>
        <w:ind w:firstLine="709"/>
        <w:jc w:val="both"/>
        <w:rPr>
          <w:rFonts w:ascii="Verdana" w:eastAsia="Calibri" w:hAnsi="Verdana" w:cs="Times New Roman"/>
          <w:lang w:val="es-ES" w:eastAsia="es-MX"/>
        </w:rPr>
      </w:pPr>
      <w:r w:rsidRPr="00101DAB">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101DAB">
        <w:rPr>
          <w:rFonts w:ascii="Verdana" w:eastAsia="Calibri" w:hAnsi="Verdana" w:cs="Times New Roman"/>
          <w:bCs/>
          <w:i/>
          <w:iCs/>
          <w:lang w:val="es-ES" w:eastAsia="es-MX"/>
        </w:rPr>
        <w:t>sector educ</w:t>
      </w:r>
      <w:r w:rsidRPr="00101DAB">
        <w:rPr>
          <w:rFonts w:ascii="Verdana" w:eastAsia="Calibri" w:hAnsi="Verdana" w:cs="Times New Roman"/>
          <w:bCs/>
          <w:i/>
          <w:lang w:val="es-ES" w:eastAsia="es-MX"/>
        </w:rPr>
        <w:t xml:space="preserve">ativo, salud, y cultura, recreación y deporte, </w:t>
      </w:r>
      <w:r w:rsidRPr="00101DAB">
        <w:rPr>
          <w:rFonts w:ascii="Verdana" w:eastAsia="Calibri" w:hAnsi="Verdana" w:cs="Times New Roman"/>
          <w:bCs/>
          <w:iCs/>
          <w:lang w:val="es-ES" w:eastAsia="es-MX"/>
        </w:rPr>
        <w:t>respectivamente</w:t>
      </w:r>
      <w:r w:rsidRPr="00101DAB">
        <w:rPr>
          <w:rFonts w:ascii="Verdana" w:eastAsia="Calibri" w:hAnsi="Verdana" w:cs="Times New Roman"/>
          <w:bCs/>
          <w:i/>
          <w:lang w:val="es-ES" w:eastAsia="es-MX"/>
        </w:rPr>
        <w:t xml:space="preserve">, </w:t>
      </w:r>
      <w:r w:rsidRPr="00101DAB">
        <w:rPr>
          <w:rFonts w:ascii="Verdana" w:eastAsia="Calibri" w:hAnsi="Verdana" w:cs="Times New Roman"/>
          <w:bCs/>
          <w:lang w:val="es-ES" w:eastAsia="es-MX"/>
        </w:rPr>
        <w:t xml:space="preserve">mediante las </w:t>
      </w:r>
      <w:r w:rsidRPr="00101DAB">
        <w:rPr>
          <w:rFonts w:ascii="Verdana" w:eastAsia="Calibri" w:hAnsi="Verdana" w:cs="Times New Roman"/>
          <w:lang w:val="es-ES" w:eastAsia="es-MX"/>
        </w:rPr>
        <w:t xml:space="preserve">Resoluciones 220, 392 y 454 de 2021. Estas Resoluciones, en el artículo 2, desarrollan el “Anexo – Glosario” y la </w:t>
      </w:r>
      <w:r w:rsidRPr="00101DAB">
        <w:rPr>
          <w:rFonts w:ascii="Verdana" w:eastAsia="Calibri" w:hAnsi="Verdana" w:cs="Times New Roman"/>
          <w:lang w:eastAsia="es-MX"/>
        </w:rPr>
        <w:t>“Matriz – Experiencia”</w:t>
      </w:r>
      <w:r w:rsidRPr="00101DAB">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38B9D6AA" w14:textId="77777777" w:rsidR="00101DAB" w:rsidRPr="00101DAB" w:rsidRDefault="00101DAB" w:rsidP="00101DAB">
      <w:pPr>
        <w:snapToGrid w:val="0"/>
        <w:spacing w:after="120" w:line="276" w:lineRule="auto"/>
        <w:ind w:firstLine="709"/>
        <w:jc w:val="both"/>
        <w:rPr>
          <w:rFonts w:ascii="Verdana" w:eastAsia="Calibri" w:hAnsi="Verdana" w:cs="Times New Roman"/>
          <w:lang w:val="es-ES" w:eastAsia="es-MX"/>
        </w:rPr>
      </w:pPr>
      <w:r w:rsidRPr="00101DAB">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4C6D163E" w14:textId="77777777" w:rsidR="00101DAB" w:rsidRPr="00101DAB" w:rsidRDefault="00101DAB" w:rsidP="00101DAB">
      <w:pPr>
        <w:snapToGrid w:val="0"/>
        <w:spacing w:after="120" w:line="276" w:lineRule="auto"/>
        <w:ind w:firstLine="709"/>
        <w:jc w:val="both"/>
        <w:rPr>
          <w:rFonts w:ascii="Verdana" w:eastAsia="Calibri" w:hAnsi="Verdana" w:cs="Times New Roman"/>
          <w:lang w:eastAsia="es-MX"/>
        </w:rPr>
      </w:pPr>
      <w:r w:rsidRPr="00101DAB">
        <w:rPr>
          <w:rFonts w:ascii="Verdana" w:eastAsia="Calibri" w:hAnsi="Verdana" w:cs="Times New Roman"/>
          <w:lang w:eastAsia="es-MX"/>
        </w:rPr>
        <w:t xml:space="preserve">Para la determinación de los requisitos mínimos de experiencia según la “Matriz – Experiencia”, el numeral 3.5.1 del documento base de los documentos </w:t>
      </w:r>
      <w:r w:rsidRPr="00101DAB">
        <w:rPr>
          <w:rFonts w:ascii="Verdana" w:eastAsia="Calibri" w:hAnsi="Verdana" w:cs="Times New Roman"/>
          <w:lang w:eastAsia="es-MX"/>
        </w:rPr>
        <w:lastRenderedPageBreak/>
        <w:t xml:space="preserve">tipo de licitación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0FFB243D" w14:textId="77777777" w:rsidR="00101DAB" w:rsidRPr="00101DAB" w:rsidRDefault="00101DAB" w:rsidP="00101DAB">
      <w:pPr>
        <w:snapToGrid w:val="0"/>
        <w:spacing w:after="120" w:line="276" w:lineRule="auto"/>
        <w:ind w:firstLine="709"/>
        <w:jc w:val="both"/>
        <w:rPr>
          <w:rFonts w:ascii="Verdana" w:eastAsia="Calibri" w:hAnsi="Verdana" w:cs="Times New Roman"/>
          <w:lang w:val="es-ES" w:eastAsia="es-MX"/>
        </w:rPr>
      </w:pPr>
      <w:r w:rsidRPr="00101DAB">
        <w:rPr>
          <w:rFonts w:ascii="Verdana" w:eastAsia="Calibri" w:hAnsi="Verdana" w:cs="Times New Roman"/>
          <w:lang w:val="es-ES" w:eastAsia="es-MX"/>
        </w:rPr>
        <w:t xml:space="preserve">La Matriz de Experiencia de los documentos tipo adicionales del sector cultura, recreación y deporte –versión 2–, se compone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30A9F83A" w14:textId="77777777" w:rsidR="00101DAB" w:rsidRPr="00101DAB" w:rsidRDefault="00101DAB" w:rsidP="00101DAB">
      <w:pPr>
        <w:snapToGrid w:val="0"/>
        <w:spacing w:after="120" w:line="276" w:lineRule="auto"/>
        <w:ind w:firstLine="709"/>
        <w:jc w:val="both"/>
        <w:rPr>
          <w:rFonts w:ascii="Verdana" w:eastAsia="Calibri" w:hAnsi="Verdana" w:cs="Times New Roman"/>
          <w:lang w:val="es-ES" w:eastAsia="es-MX"/>
        </w:rPr>
      </w:pPr>
      <w:r w:rsidRPr="00101DAB">
        <w:rPr>
          <w:rFonts w:ascii="Verdana" w:eastAsia="Calibri" w:hAnsi="Verdana" w:cs="Times New Roman"/>
          <w:lang w:val="es-ES" w:eastAsia="es-MX"/>
        </w:rPr>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03A4882A" w14:textId="77777777" w:rsidR="00101DAB" w:rsidRPr="00101DAB" w:rsidRDefault="00101DAB" w:rsidP="00101DAB">
      <w:pPr>
        <w:snapToGrid w:val="0"/>
        <w:spacing w:after="120" w:line="276" w:lineRule="auto"/>
        <w:ind w:firstLine="709"/>
        <w:jc w:val="both"/>
        <w:rPr>
          <w:rFonts w:ascii="Verdana" w:eastAsia="Calibri" w:hAnsi="Verdana" w:cs="Times New Roman"/>
          <w:lang w:eastAsia="es-MX"/>
        </w:rPr>
      </w:pPr>
      <w:r w:rsidRPr="00101DAB">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101DAB">
        <w:rPr>
          <w:rFonts w:ascii="Verdana" w:eastAsia="Calibri" w:hAnsi="Verdana" w:cs="Times New Roman"/>
          <w:lang w:eastAsia="es-MX"/>
        </w:rPr>
        <w:t>ii</w:t>
      </w:r>
      <w:proofErr w:type="spellEnd"/>
      <w:r w:rsidRPr="00101DAB">
        <w:rPr>
          <w:rFonts w:ascii="Verdana" w:eastAsia="Calibri" w:hAnsi="Verdana" w:cs="Times New Roman"/>
          <w:lang w:eastAsia="es-MX"/>
        </w:rPr>
        <w:t xml:space="preserve">) la actividad a contratar y </w:t>
      </w:r>
      <w:proofErr w:type="spellStart"/>
      <w:r w:rsidRPr="00101DAB">
        <w:rPr>
          <w:rFonts w:ascii="Verdana" w:eastAsia="Calibri" w:hAnsi="Verdana" w:cs="Times New Roman"/>
          <w:lang w:eastAsia="es-MX"/>
        </w:rPr>
        <w:t>iii</w:t>
      </w:r>
      <w:proofErr w:type="spellEnd"/>
      <w:r w:rsidRPr="00101DAB">
        <w:rPr>
          <w:rFonts w:ascii="Verdana" w:eastAsia="Calibri" w:hAnsi="Verdana" w:cs="Times New Roman"/>
          <w:lang w:eastAsia="es-MX"/>
        </w:rPr>
        <w:t>) la cuantía del proceso de contratación.</w:t>
      </w:r>
    </w:p>
    <w:p w14:paraId="5A08647C" w14:textId="77777777" w:rsidR="00101DAB" w:rsidRPr="00101DAB" w:rsidRDefault="00101DAB" w:rsidP="00101DAB">
      <w:pPr>
        <w:snapToGrid w:val="0"/>
        <w:spacing w:after="0" w:line="276" w:lineRule="auto"/>
        <w:ind w:firstLine="709"/>
        <w:jc w:val="both"/>
        <w:rPr>
          <w:rFonts w:ascii="Verdana" w:eastAsia="Calibri" w:hAnsi="Verdana" w:cs="Times New Roman"/>
          <w:lang w:eastAsia="es-MX"/>
        </w:rPr>
      </w:pPr>
      <w:r w:rsidRPr="00101DAB">
        <w:rPr>
          <w:rFonts w:ascii="Verdana" w:eastAsia="Calibri" w:hAnsi="Verdana" w:cs="Calibri"/>
          <w:kern w:val="2"/>
          <w14:ligatures w14:val="standardContextual"/>
        </w:rPr>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licitación de obra pública de infraestructura social, dispone:</w:t>
      </w:r>
    </w:p>
    <w:p w14:paraId="0F03CFDA" w14:textId="77777777" w:rsidR="00101DAB" w:rsidRPr="00101DAB" w:rsidRDefault="00101DAB" w:rsidP="00101DAB">
      <w:pPr>
        <w:spacing w:after="0" w:line="276" w:lineRule="auto"/>
        <w:jc w:val="both"/>
        <w:rPr>
          <w:rFonts w:ascii="Verdana" w:eastAsia="Calibri" w:hAnsi="Verdana" w:cs="Calibri"/>
          <w:kern w:val="2"/>
          <w14:ligatures w14:val="standardContextual"/>
        </w:rPr>
      </w:pPr>
    </w:p>
    <w:p w14:paraId="204999C4" w14:textId="77777777" w:rsidR="00101DAB" w:rsidRPr="00101DAB" w:rsidRDefault="00101DAB" w:rsidP="00101DAB">
      <w:pPr>
        <w:spacing w:after="0" w:line="240" w:lineRule="auto"/>
        <w:ind w:left="709" w:right="709"/>
        <w:jc w:val="both"/>
        <w:rPr>
          <w:rFonts w:ascii="Verdana" w:eastAsia="Calibri" w:hAnsi="Verdana" w:cs="Calibri"/>
          <w:kern w:val="2"/>
          <w:sz w:val="21"/>
          <w:szCs w:val="21"/>
          <w14:ligatures w14:val="standardContextual"/>
        </w:rPr>
      </w:pPr>
      <w:r w:rsidRPr="00101DAB">
        <w:rPr>
          <w:rFonts w:ascii="Verdana" w:eastAsia="Calibri" w:hAnsi="Verdana" w:cs="Calibri"/>
          <w:kern w:val="2"/>
          <w:sz w:val="21"/>
          <w:szCs w:val="21"/>
          <w14:ligatures w14:val="standardContextual"/>
        </w:rPr>
        <w:lastRenderedPageBreak/>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 Experiencia aplicable en el proyecto de infraestructura social bien sea de salud, educación, institucional, vivienda y cultura, recreación y deporte, no tienen que aplicar los documentos tipo; sin perjuicio de lo previsto en el artículo 2.2.1.2.6.1.5. del Decreto 1082 de 2015.</w:t>
      </w:r>
    </w:p>
    <w:p w14:paraId="429CB730" w14:textId="77777777" w:rsidR="00101DAB" w:rsidRPr="00101DAB" w:rsidRDefault="00101DAB" w:rsidP="00101DAB">
      <w:pPr>
        <w:spacing w:after="0" w:line="240" w:lineRule="auto"/>
        <w:ind w:left="709" w:right="709"/>
        <w:jc w:val="both"/>
        <w:rPr>
          <w:rFonts w:ascii="Verdana" w:eastAsia="Calibri" w:hAnsi="Verdana" w:cs="Calibri"/>
          <w:kern w:val="2"/>
          <w:sz w:val="21"/>
          <w:szCs w:val="21"/>
          <w14:ligatures w14:val="standardContextual"/>
        </w:rPr>
      </w:pPr>
    </w:p>
    <w:p w14:paraId="112C951E" w14:textId="77777777" w:rsidR="00101DAB" w:rsidRPr="00101DAB" w:rsidRDefault="00101DAB" w:rsidP="00101DAB">
      <w:pPr>
        <w:spacing w:after="0" w:line="240" w:lineRule="auto"/>
        <w:ind w:left="709" w:right="709"/>
        <w:jc w:val="both"/>
        <w:rPr>
          <w:rFonts w:ascii="Verdana" w:eastAsia="Calibri" w:hAnsi="Verdana" w:cs="Calibri"/>
          <w:kern w:val="2"/>
          <w:sz w:val="21"/>
          <w:szCs w:val="21"/>
          <w14:ligatures w14:val="standardContextual"/>
        </w:rPr>
      </w:pPr>
      <w:r w:rsidRPr="00101DAB">
        <w:rPr>
          <w:rFonts w:ascii="Verdana" w:eastAsia="Calibri" w:hAnsi="Verdana" w:cs="Calibri"/>
          <w:b/>
          <w:bCs/>
          <w:kern w:val="2"/>
          <w:sz w:val="21"/>
          <w:szCs w:val="21"/>
          <w14:ligatures w14:val="standardContextual"/>
        </w:rPr>
        <w:t>Nota 1:</w:t>
      </w:r>
      <w:r w:rsidRPr="00101DAB">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766149DB" w14:textId="77777777" w:rsidR="00101DAB" w:rsidRPr="00101DAB" w:rsidRDefault="00101DAB" w:rsidP="00101DAB">
      <w:pPr>
        <w:spacing w:after="0" w:line="240" w:lineRule="auto"/>
        <w:ind w:left="709" w:right="709"/>
        <w:jc w:val="both"/>
        <w:rPr>
          <w:rFonts w:ascii="Verdana" w:eastAsia="Calibri" w:hAnsi="Verdana" w:cs="Calibri"/>
          <w:kern w:val="2"/>
          <w:sz w:val="21"/>
          <w:szCs w:val="21"/>
          <w14:ligatures w14:val="standardContextual"/>
        </w:rPr>
      </w:pPr>
    </w:p>
    <w:p w14:paraId="0D5B4BFA" w14:textId="77777777" w:rsidR="00101DAB" w:rsidRPr="00101DAB" w:rsidRDefault="00101DAB" w:rsidP="00101DAB">
      <w:pPr>
        <w:spacing w:after="0" w:line="240" w:lineRule="auto"/>
        <w:ind w:left="709" w:right="709"/>
        <w:jc w:val="both"/>
        <w:rPr>
          <w:rFonts w:ascii="Verdana" w:eastAsia="Calibri" w:hAnsi="Verdana" w:cs="Calibri"/>
          <w:kern w:val="2"/>
          <w:sz w:val="21"/>
          <w:szCs w:val="21"/>
          <w14:ligatures w14:val="standardContextual"/>
        </w:rPr>
      </w:pPr>
      <w:r w:rsidRPr="00101DAB">
        <w:rPr>
          <w:rFonts w:ascii="Verdana" w:eastAsia="Calibri" w:hAnsi="Verdana" w:cs="Calibri"/>
          <w:b/>
          <w:bCs/>
          <w:kern w:val="2"/>
          <w:sz w:val="21"/>
          <w:szCs w:val="21"/>
          <w14:ligatures w14:val="standardContextual"/>
        </w:rPr>
        <w:t>Nota 2:</w:t>
      </w:r>
      <w:r w:rsidRPr="00101DAB">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027E5B37" w14:textId="77777777" w:rsidR="00101DAB" w:rsidRPr="00101DAB" w:rsidRDefault="00101DAB" w:rsidP="00101DAB">
      <w:pPr>
        <w:spacing w:after="0" w:line="276" w:lineRule="auto"/>
        <w:jc w:val="both"/>
        <w:rPr>
          <w:rFonts w:ascii="Verdana" w:eastAsia="Arial" w:hAnsi="Verdana" w:cs="Calibri"/>
          <w:lang w:eastAsia="es-ES"/>
        </w:rPr>
      </w:pPr>
    </w:p>
    <w:p w14:paraId="447DF298" w14:textId="77777777" w:rsidR="00101DAB" w:rsidRPr="00101DAB" w:rsidRDefault="00101DAB" w:rsidP="00101DAB">
      <w:pPr>
        <w:spacing w:after="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t xml:space="preserve">Teniendo en cuenta la solicitud, </w:t>
      </w:r>
      <w:r w:rsidRPr="00101DAB">
        <w:rPr>
          <w:rFonts w:ascii="Verdana" w:eastAsia="Aptos" w:hAnsi="Verdana" w:cs="Aptos"/>
          <w:i/>
          <w:iCs/>
          <w:kern w:val="2"/>
          <w:lang w:val="es-ES_tradnl"/>
          <w14:ligatures w14:val="standardContextual"/>
        </w:rPr>
        <w:t>en primer lugar,</w:t>
      </w:r>
      <w:r w:rsidRPr="00101DAB">
        <w:rPr>
          <w:rFonts w:ascii="Verdana" w:eastAsia="Aptos" w:hAnsi="Verdana" w:cs="Aptos"/>
          <w:kern w:val="2"/>
          <w:lang w:val="es-ES_tradnl"/>
          <w14:ligatures w14:val="standardContextual"/>
        </w:rPr>
        <w:t xml:space="preserve"> conviene señalar que la Matriz de Experiencia de los documentos tipo del sector “cultura, recreación y deporte”, incluye en el capítulo </w:t>
      </w:r>
      <w:r w:rsidRPr="00101DAB">
        <w:rPr>
          <w:rFonts w:ascii="Verdana" w:eastAsia="Aptos" w:hAnsi="Verdana" w:cs="Aptos"/>
          <w:i/>
          <w:iCs/>
          <w:kern w:val="2"/>
          <w:lang w:val="es-ES_tradnl"/>
          <w14:ligatures w14:val="standardContextual"/>
        </w:rPr>
        <w:t>2 “OBRAS EN INFRAESTRUCTURA RECREO DEPORTIVA</w:t>
      </w:r>
      <w:r w:rsidRPr="00101DAB">
        <w:rPr>
          <w:rFonts w:ascii="Verdana" w:eastAsia="Aptos" w:hAnsi="Verdana" w:cs="Aptos"/>
          <w:kern w:val="2"/>
          <w:lang w:val="es-ES_tradnl"/>
          <w14:ligatures w14:val="standardContextual"/>
        </w:rPr>
        <w:t>” la siguiente actividad en la cual podría enmarcarse el proceso de selección por el cual se indaga:</w:t>
      </w:r>
    </w:p>
    <w:p w14:paraId="2ED0921B" w14:textId="77777777" w:rsidR="00101DAB" w:rsidRPr="00101DAB" w:rsidRDefault="00101DAB" w:rsidP="00101DAB">
      <w:pPr>
        <w:spacing w:after="0" w:line="276" w:lineRule="auto"/>
        <w:ind w:left="1080"/>
        <w:contextualSpacing/>
        <w:jc w:val="both"/>
        <w:rPr>
          <w:rFonts w:ascii="Verdana" w:eastAsia="Aptos" w:hAnsi="Verdana" w:cs="Aptos"/>
          <w:i/>
          <w:iCs/>
          <w:kern w:val="2"/>
          <w:lang w:val="es-ES_tradnl"/>
          <w14:ligatures w14:val="standardContextual"/>
        </w:rPr>
      </w:pPr>
    </w:p>
    <w:p w14:paraId="1281DAF8"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kern w:val="2"/>
          <w:sz w:val="21"/>
          <w:szCs w:val="21"/>
          <w:lang w:val="es-ES_tradnl"/>
          <w14:ligatures w14:val="standardContextual"/>
        </w:rPr>
        <w:t>“</w:t>
      </w:r>
      <w:r w:rsidRPr="00101DAB">
        <w:rPr>
          <w:rFonts w:ascii="Verdana" w:eastAsia="Aptos" w:hAnsi="Verdana" w:cs="Aptos"/>
          <w:i/>
          <w:iCs/>
          <w:kern w:val="2"/>
          <w:sz w:val="21"/>
          <w:szCs w:val="21"/>
          <w:lang w:val="es-ES_tradnl"/>
          <w14:ligatures w14:val="standardContextual"/>
        </w:rPr>
        <w:t>2.5.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CANCHAS DEPORTIVAS Y/O ESCENARIOS Y/O COMPLEJOS Y/O ESPACIOS E INSTALACIONES RECREO DEPORTIVAS”</w:t>
      </w:r>
    </w:p>
    <w:p w14:paraId="1ABA28AC" w14:textId="77777777" w:rsidR="00101DAB" w:rsidRPr="00101DAB" w:rsidRDefault="00101DAB" w:rsidP="00101DAB">
      <w:pPr>
        <w:spacing w:after="0" w:line="276" w:lineRule="auto"/>
        <w:ind w:left="1080"/>
        <w:contextualSpacing/>
        <w:jc w:val="both"/>
        <w:rPr>
          <w:rFonts w:ascii="Verdana" w:eastAsia="Aptos" w:hAnsi="Verdana" w:cs="Aptos"/>
          <w:kern w:val="2"/>
          <w:lang w:val="es-ES_tradnl"/>
          <w14:ligatures w14:val="standardContextual"/>
        </w:rPr>
      </w:pPr>
    </w:p>
    <w:p w14:paraId="72B71A62" w14:textId="77777777" w:rsidR="00101DAB" w:rsidRPr="00101DAB" w:rsidRDefault="00101DAB" w:rsidP="00101DAB">
      <w:pPr>
        <w:spacing w:after="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lastRenderedPageBreak/>
        <w:t>Lo anterior en virtud que elementos como las graderías hacen parte de los escenarios deportivos, y, en tal sentido, el Manual de Escenarios deportivos del Ministerio del Deporte las define como:</w:t>
      </w:r>
    </w:p>
    <w:p w14:paraId="757C21E0" w14:textId="77777777" w:rsidR="00101DAB" w:rsidRPr="00101DAB" w:rsidRDefault="00101DAB" w:rsidP="00101DAB">
      <w:pPr>
        <w:spacing w:after="0" w:line="276" w:lineRule="auto"/>
        <w:ind w:left="1080"/>
        <w:contextualSpacing/>
        <w:jc w:val="both"/>
        <w:rPr>
          <w:rFonts w:ascii="Verdana" w:eastAsia="Aptos" w:hAnsi="Verdana" w:cs="Aptos"/>
          <w:kern w:val="2"/>
          <w:lang w:val="es-ES_tradnl"/>
          <w14:ligatures w14:val="standardContextual"/>
        </w:rPr>
      </w:pPr>
    </w:p>
    <w:p w14:paraId="362C8D61"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“Es el espacio donde se ubica el público durante el evento, diseñado para que, durante un evento, todos los espectadores estén sentados y tengan una visión completa del evento deportivo.</w:t>
      </w:r>
    </w:p>
    <w:p w14:paraId="66389794"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241C04B3"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Las graderías deben cumplir con las normas de accesibilidad y evacuación, garantizando así el correcto ingreso del público, deben ser incluyentes con las personas de movilidad reducida. Adicionalmente, contarán con todos los elementos de seguridad necesarios, barandas, cerramiento, iluminación de emergencia, señalética pintura de evacuación, entre otras.</w:t>
      </w:r>
    </w:p>
    <w:p w14:paraId="61ED0B23"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5DD11BD3"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Si el escenario contempla la instalación de la silletería, en las graderías, esta deberá estar fijada, ser confortable, con suficiente espacio entre las filas, a fin de garantizar que los espectadores puedan circular fácilmente.</w:t>
      </w:r>
    </w:p>
    <w:p w14:paraId="3A254CE3"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44037522"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El ancho de los asientos es importante para el confort de los espectadores, por lo que se recomienda un espacio mínimo de 45 centímetros, y se referencia que el ideal está entre 50 y 55 centímetros.</w:t>
      </w:r>
    </w:p>
    <w:p w14:paraId="53B17CEE"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5B129FA9"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En deportes como béisbol y sóftbol, donde no se tiene una duración determinada, se recomienda un ancho de 55 centímetros, para garantizar la comodidad de los aficionados. Se sugiere que los asientos estén numerados, ellos deben tener visible la fila y el número del asiento.</w:t>
      </w:r>
    </w:p>
    <w:p w14:paraId="7483F121"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04C67DEC"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Las graderías deberán contar con un espacio para la ubicación de personas con movilidad reducida, incluyendo a su acompañante. Este debe contemplar con buenas condiciones de visibilidad.</w:t>
      </w:r>
    </w:p>
    <w:p w14:paraId="4DD96ED2"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297D4EF3" w14:textId="77777777" w:rsidR="00101DAB" w:rsidRPr="00101DAB" w:rsidRDefault="00101DAB" w:rsidP="6A8C1A06">
      <w:pPr>
        <w:snapToGrid w:val="0"/>
        <w:spacing w:after="0" w:line="240" w:lineRule="auto"/>
        <w:ind w:left="709" w:right="709"/>
        <w:jc w:val="both"/>
        <w:rPr>
          <w:rFonts w:ascii="Verdana" w:eastAsia="Aptos" w:hAnsi="Verdana" w:cs="Aptos"/>
          <w:i/>
          <w:iCs/>
          <w:kern w:val="2"/>
          <w:sz w:val="21"/>
          <w:szCs w:val="21"/>
          <w:lang w:val="es-ES"/>
          <w14:ligatures w14:val="standardContextual"/>
        </w:rPr>
      </w:pPr>
      <w:r w:rsidRPr="6A8C1A06">
        <w:rPr>
          <w:rFonts w:ascii="Verdana" w:eastAsia="Aptos" w:hAnsi="Verdana" w:cs="Aptos"/>
          <w:i/>
          <w:iCs/>
          <w:kern w:val="2"/>
          <w:sz w:val="21"/>
          <w:szCs w:val="21"/>
          <w:lang w:val="es-ES"/>
          <w14:ligatures w14:val="standardContextual"/>
        </w:rPr>
        <w:t xml:space="preserve">La cantidad de puestos PMR depende del aforo fijo del escenario y aquí se cita la norma establecida en el Reglamento Colombiano de Construcción Sismo Resistente NSR-10, donde se estipula que todos los </w:t>
      </w:r>
      <w:proofErr w:type="gramStart"/>
      <w:r w:rsidRPr="6A8C1A06">
        <w:rPr>
          <w:rFonts w:ascii="Verdana" w:eastAsia="Aptos" w:hAnsi="Verdana" w:cs="Aptos"/>
          <w:i/>
          <w:iCs/>
          <w:kern w:val="2"/>
          <w:sz w:val="21"/>
          <w:szCs w:val="21"/>
          <w:lang w:val="es-ES"/>
          <w14:ligatures w14:val="standardContextual"/>
        </w:rPr>
        <w:t>sitios abierto</w:t>
      </w:r>
      <w:proofErr w:type="gramEnd"/>
      <w:r w:rsidRPr="6A8C1A06">
        <w:rPr>
          <w:rFonts w:ascii="Verdana" w:eastAsia="Aptos" w:hAnsi="Verdana" w:cs="Aptos"/>
          <w:i/>
          <w:iCs/>
          <w:kern w:val="2"/>
          <w:sz w:val="21"/>
          <w:szCs w:val="21"/>
          <w:lang w:val="es-ES"/>
          <w14:ligatures w14:val="standardContextual"/>
        </w:rPr>
        <w:t xml:space="preserve"> al público, de carácter recreacional o cultural deberán disponer de espacios para personas en silla de ruedas”.</w:t>
      </w:r>
    </w:p>
    <w:p w14:paraId="474A7FE4" w14:textId="77777777" w:rsidR="00101DAB" w:rsidRPr="00101DAB" w:rsidRDefault="00101DAB" w:rsidP="00101DAB">
      <w:pPr>
        <w:spacing w:after="0" w:line="276" w:lineRule="auto"/>
        <w:ind w:left="1080"/>
        <w:contextualSpacing/>
        <w:jc w:val="both"/>
        <w:rPr>
          <w:rFonts w:ascii="Verdana" w:eastAsia="Aptos" w:hAnsi="Verdana" w:cs="Aptos"/>
          <w:kern w:val="2"/>
          <w:lang w:val="es-ES_tradnl"/>
          <w14:ligatures w14:val="standardContextual"/>
        </w:rPr>
      </w:pPr>
    </w:p>
    <w:p w14:paraId="10192FD6" w14:textId="77777777" w:rsidR="00101DAB" w:rsidRPr="00101DAB" w:rsidRDefault="00101DAB" w:rsidP="00101DAB">
      <w:pPr>
        <w:spacing w:after="0" w:line="276" w:lineRule="auto"/>
        <w:ind w:firstLine="709"/>
        <w:jc w:val="both"/>
        <w:rPr>
          <w:rFonts w:ascii="Verdana" w:eastAsia="Aptos" w:hAnsi="Verdana" w:cs="Aptos"/>
          <w:i/>
          <w:iCs/>
          <w:kern w:val="2"/>
          <w:lang w:val="es-ES_tradnl"/>
          <w14:ligatures w14:val="standardContextual"/>
        </w:rPr>
      </w:pPr>
      <w:r w:rsidRPr="00101DAB">
        <w:rPr>
          <w:rFonts w:ascii="Verdana" w:eastAsia="Aptos" w:hAnsi="Verdana" w:cs="Aptos"/>
          <w:i/>
          <w:iCs/>
          <w:kern w:val="2"/>
          <w:lang w:val="es-ES_tradnl"/>
          <w14:ligatures w14:val="standardContextual"/>
        </w:rPr>
        <w:lastRenderedPageBreak/>
        <w:t xml:space="preserve">En segundo lugar, </w:t>
      </w:r>
      <w:r w:rsidRPr="00101DAB">
        <w:rPr>
          <w:rFonts w:ascii="Verdana" w:eastAsia="Aptos" w:hAnsi="Verdana" w:cs="Aptos"/>
          <w:kern w:val="2"/>
          <w:lang w:val="es-ES_tradnl"/>
          <w14:ligatures w14:val="standardContextual"/>
        </w:rPr>
        <w:t>es preciso señalar que el documento base de los documentos tipo de infraestructura social, en la parte introductoria, señala la obligatoriedad de la implementación de los documentos tipo en función de las actividades definidas en la Matriz 1 de Experiencia de cada subsector. Es decir, si el objeto del proceso de selección se enmarca en alguna de esas actividades, la entidad tendrá la obligación de utilizar los documentos tipo, que para el caso de la presente petición corresponden a los de “cultura recreación y deporte”, en tal sentido se señala:</w:t>
      </w:r>
    </w:p>
    <w:p w14:paraId="314CEEB3" w14:textId="77777777" w:rsidR="00101DAB" w:rsidRPr="00101DAB" w:rsidRDefault="00101DAB" w:rsidP="00101DAB">
      <w:pPr>
        <w:spacing w:after="0" w:line="276" w:lineRule="auto"/>
        <w:ind w:left="720"/>
        <w:jc w:val="both"/>
        <w:rPr>
          <w:rFonts w:ascii="Verdana" w:eastAsia="Aptos" w:hAnsi="Verdana" w:cs="Aptos"/>
          <w:i/>
          <w:iCs/>
          <w:kern w:val="2"/>
          <w:lang w:val="es-ES_tradnl"/>
          <w14:ligatures w14:val="standardContextual"/>
        </w:rPr>
      </w:pPr>
    </w:p>
    <w:p w14:paraId="6F6E0737"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MX"/>
          <w14:ligatures w14:val="standardContextual"/>
        </w:rPr>
      </w:pPr>
      <w:r w:rsidRPr="00101DAB">
        <w:rPr>
          <w:rFonts w:ascii="Verdana" w:eastAsia="Aptos" w:hAnsi="Verdana" w:cs="Aptos"/>
          <w:i/>
          <w:iCs/>
          <w:kern w:val="2"/>
          <w:sz w:val="21"/>
          <w:szCs w:val="21"/>
          <w:lang w:val="es-MX"/>
          <w14:ligatures w14:val="standardContextual"/>
        </w:rPr>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w:t>
      </w:r>
      <w:r w:rsidRPr="00101DAB">
        <w:rPr>
          <w:rFonts w:ascii="Verdana" w:eastAsia="Aptos" w:hAnsi="Verdana" w:cs="Aptos"/>
          <w:i/>
          <w:iCs/>
          <w:kern w:val="2"/>
          <w:sz w:val="21"/>
          <w:szCs w:val="21"/>
          <w:u w:val="single"/>
          <w:lang w:val="es-MX"/>
          <w14:ligatures w14:val="standardContextual"/>
        </w:rPr>
        <w:t xml:space="preserve"> </w:t>
      </w:r>
      <w:r w:rsidRPr="00101DAB">
        <w:rPr>
          <w:rFonts w:ascii="Verdana" w:eastAsia="Aptos" w:hAnsi="Verdana" w:cs="Aptos"/>
          <w:i/>
          <w:iCs/>
          <w:kern w:val="2"/>
          <w:sz w:val="21"/>
          <w:szCs w:val="21"/>
          <w:lang w:val="es-MX"/>
          <w14:ligatures w14:val="standardContextual"/>
        </w:rPr>
        <w:t>Experiencia aplicable en el proyecto de infraestructura social bien sea de salud, educación, institucional, vivienda y cultura, recreación y deporte, no tienen que aplicar los documentos tipo; sin perjuicio de lo previsto en el artículo 2.2.1.2.6.1.5. del Decreto 1082 de 2015.</w:t>
      </w:r>
    </w:p>
    <w:p w14:paraId="6B17C00A" w14:textId="77777777" w:rsidR="00101DAB" w:rsidRPr="00101DAB" w:rsidRDefault="00101DAB" w:rsidP="00101DAB">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i/>
          <w:iCs/>
          <w:kern w:val="2"/>
          <w:sz w:val="21"/>
          <w:szCs w:val="21"/>
          <w:lang w:val="es-ES_tradnl"/>
          <w14:ligatures w14:val="standardContextual"/>
        </w:rPr>
        <w:t>[…]”</w:t>
      </w:r>
    </w:p>
    <w:p w14:paraId="092F319A" w14:textId="77777777" w:rsidR="00101DAB" w:rsidRPr="00101DAB" w:rsidRDefault="00101DAB" w:rsidP="00101DAB">
      <w:pPr>
        <w:spacing w:after="0" w:line="276" w:lineRule="auto"/>
        <w:ind w:left="1416"/>
        <w:contextualSpacing/>
        <w:jc w:val="both"/>
        <w:rPr>
          <w:rFonts w:ascii="Verdana" w:eastAsia="Aptos" w:hAnsi="Verdana" w:cs="Aptos"/>
          <w:i/>
          <w:iCs/>
          <w:kern w:val="2"/>
          <w:lang w:val="es-ES_tradnl"/>
          <w14:ligatures w14:val="standardContextual"/>
        </w:rPr>
      </w:pPr>
    </w:p>
    <w:p w14:paraId="728E9F0F" w14:textId="77777777" w:rsidR="00101DAB" w:rsidRPr="00101DAB" w:rsidRDefault="00101DAB" w:rsidP="00101DAB">
      <w:pPr>
        <w:adjustRightInd w:val="0"/>
        <w:snapToGrid w:val="0"/>
        <w:spacing w:after="12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i/>
          <w:iCs/>
          <w:kern w:val="2"/>
          <w:lang w:val="es-ES_tradnl"/>
          <w14:ligatures w14:val="standardContextual"/>
        </w:rPr>
        <w:t>En tercer lugar,</w:t>
      </w:r>
      <w:r w:rsidRPr="00101DAB">
        <w:rPr>
          <w:rFonts w:ascii="Verdana" w:eastAsia="Aptos" w:hAnsi="Verdana" w:cs="Aptos"/>
          <w:kern w:val="2"/>
          <w:lang w:val="es-ES_tradnl"/>
          <w14:ligatures w14:val="standardContextual"/>
        </w:rPr>
        <w:t xml:space="preserve"> es necesario advertir que las entidades sometidas al Estatuto General de Contratación de la Administración Pública –EGCAP– que pretendan adelantar procesos de selección cuyo objeto se encuentre cobijado por alguna de las actividades definidas en la Matriz de Experiencia, tendrán la obligación de usar los documentos tipo; en caso contrario, podrán usar los documentos tipo como buena práctica en su actividad contractual. </w:t>
      </w:r>
    </w:p>
    <w:p w14:paraId="6478F28A" w14:textId="77777777" w:rsidR="00101DAB" w:rsidRPr="00101DAB" w:rsidRDefault="00101DAB" w:rsidP="00101DAB">
      <w:pPr>
        <w:adjustRightInd w:val="0"/>
        <w:snapToGrid w:val="0"/>
        <w:spacing w:after="12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t>De todas formas, corresponde a las entidades, de acuerdo con el alcance del proceso de selección definido en los estudios previos, definir si determinado objeto se enmarca técnicamente en alguna de las actividades incluidas en las Matrices de Experiencia de los diferentes sectores para los que la Agencia ha expedido pliegos tipo.</w:t>
      </w:r>
    </w:p>
    <w:p w14:paraId="0EFD8E26" w14:textId="77777777" w:rsidR="00101DAB" w:rsidRPr="00101DAB" w:rsidRDefault="00101DAB" w:rsidP="00101DAB">
      <w:pPr>
        <w:adjustRightInd w:val="0"/>
        <w:snapToGrid w:val="0"/>
        <w:spacing w:after="12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t>Igualmente, si la entidad contratante considera conveniente solicitar experiencia complementaria a la relacionada en la Matriz de Experiencia respectiva, podrá revisar lo previsto en el literal A del numeral 3</w:t>
      </w:r>
      <w:r w:rsidRPr="00101DAB">
        <w:rPr>
          <w:rFonts w:ascii="Verdana" w:eastAsia="Aptos" w:hAnsi="Verdana" w:cs="Aptos"/>
          <w:i/>
          <w:iCs/>
          <w:kern w:val="2"/>
          <w:lang w:val="es-ES_tradnl"/>
          <w14:ligatures w14:val="standardContextual"/>
        </w:rPr>
        <w:t>.5.1 “Características de los contratos presentados para acreditar la experiencia exigida</w:t>
      </w:r>
      <w:r w:rsidRPr="00101DAB">
        <w:rPr>
          <w:rFonts w:ascii="Verdana" w:eastAsia="Aptos" w:hAnsi="Verdana" w:cs="Aptos"/>
          <w:kern w:val="2"/>
          <w:lang w:val="es-ES_tradnl"/>
          <w14:ligatures w14:val="standardContextual"/>
        </w:rPr>
        <w:t xml:space="preserve">” del documento base, en donde podrá consultar las reglas de combinación de experiencia, que permiten utilizar la experiencia de la misma </w:t>
      </w:r>
      <w:r w:rsidRPr="00101DAB">
        <w:rPr>
          <w:rFonts w:ascii="Verdana" w:eastAsia="Aptos" w:hAnsi="Verdana" w:cs="Aptos"/>
          <w:kern w:val="2"/>
          <w:lang w:val="es-ES_tradnl"/>
          <w14:ligatures w14:val="standardContextual"/>
        </w:rPr>
        <w:lastRenderedPageBreak/>
        <w:t>matriz de un solo sector o las demás matrices de otros sectores, para solicitar experiencia en un máximo de una “actividad principal” y dos “actividades secundarias”.</w:t>
      </w:r>
    </w:p>
    <w:p w14:paraId="3042FE81" w14:textId="77777777" w:rsidR="00101DAB" w:rsidRPr="00101DAB" w:rsidRDefault="00101DAB" w:rsidP="00101DAB">
      <w:pPr>
        <w:adjustRightInd w:val="0"/>
        <w:snapToGrid w:val="0"/>
        <w:spacing w:after="12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t>Por otra parte, en los eventos en que se requiera solicitar experiencia sobre una de las actividades secundarias que no se encuentre incluida en ninguna de las Matrices de Experiencia de los diferentes pliegos tipo expedidos por la Agencia, se podrá revisar lo establecido en el literal M del aludido numeral 3.5.1 del documento base, que señala las consideraciones para “Obras, bienes o servicios adicionales a la obra pública de Infraestructura Social.”</w:t>
      </w:r>
    </w:p>
    <w:p w14:paraId="152A6545" w14:textId="77777777" w:rsidR="00101DAB" w:rsidRPr="00101DAB" w:rsidRDefault="00101DAB" w:rsidP="00101DAB">
      <w:pPr>
        <w:adjustRightInd w:val="0"/>
        <w:snapToGrid w:val="0"/>
        <w:spacing w:after="120" w:line="276" w:lineRule="auto"/>
        <w:ind w:firstLine="709"/>
        <w:jc w:val="both"/>
        <w:rPr>
          <w:rFonts w:ascii="Verdana" w:eastAsia="Calibri" w:hAnsi="Verdana" w:cs="Arial"/>
          <w:color w:val="000000"/>
          <w:kern w:val="2"/>
          <w:lang w:val="es-ES"/>
          <w14:ligatures w14:val="standardContextual"/>
        </w:rPr>
      </w:pPr>
      <w:r w:rsidRPr="00101DAB">
        <w:rPr>
          <w:rFonts w:ascii="Verdana" w:eastAsia="Aptos" w:hAnsi="Verdana" w:cs="Aptos"/>
          <w:i/>
          <w:iCs/>
          <w:kern w:val="2"/>
          <w:lang w:val="es-ES_tradnl"/>
          <w14:ligatures w14:val="standardContextual"/>
        </w:rPr>
        <w:t xml:space="preserve">En cuarto lugar, </w:t>
      </w:r>
      <w:r w:rsidRPr="00101DAB">
        <w:rPr>
          <w:rFonts w:ascii="Verdana" w:eastAsia="Calibri" w:hAnsi="Verdana" w:cs="Calibri"/>
          <w:kern w:val="2"/>
          <w:lang w:val="es-ES_tradnl"/>
          <w14:ligatures w14:val="standardContextual"/>
        </w:rPr>
        <w:t xml:space="preserve">es necesario tener en cuenta que, </w:t>
      </w:r>
      <w:r w:rsidRPr="00101DAB">
        <w:rPr>
          <w:rFonts w:ascii="Verdana" w:eastAsia="Calibri" w:hAnsi="Verdana" w:cs="Arial"/>
          <w:color w:val="000000"/>
          <w:kern w:val="2"/>
          <w:lang w:val="es-ES"/>
          <w14:ligatures w14:val="standardContextual"/>
        </w:rPr>
        <w:t>todas las resoluciones</w:t>
      </w:r>
      <w:r w:rsidRPr="00101DAB">
        <w:rPr>
          <w:rFonts w:ascii="Verdana" w:eastAsia="Calibri" w:hAnsi="Verdana" w:cs="Arial"/>
          <w:color w:val="000000"/>
          <w:kern w:val="2"/>
          <w:vertAlign w:val="superscript"/>
          <w:lang w:val="es-ES"/>
          <w14:ligatures w14:val="standardContextual"/>
        </w:rPr>
        <w:footnoteReference w:id="1"/>
      </w:r>
      <w:r w:rsidRPr="00101DAB">
        <w:rPr>
          <w:rFonts w:ascii="Verdana" w:eastAsia="Calibri" w:hAnsi="Verdana" w:cs="Arial"/>
          <w:color w:val="000000"/>
          <w:kern w:val="2"/>
          <w:lang w:val="es-ES"/>
          <w14:ligatures w14:val="standardContextual"/>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01DAB">
        <w:rPr>
          <w:rFonts w:ascii="Verdana" w:eastAsia="Calibri" w:hAnsi="Verdana" w:cs="Arial"/>
          <w:i/>
          <w:iCs/>
          <w:color w:val="000000"/>
          <w:kern w:val="2"/>
          <w:lang w:val="es-ES"/>
          <w14:ligatures w14:val="standardContextual"/>
        </w:rPr>
        <w:t>Documentos del Proceso</w:t>
      </w:r>
      <w:r w:rsidRPr="00101DAB">
        <w:rPr>
          <w:rFonts w:ascii="Verdana" w:eastAsia="Calibri" w:hAnsi="Verdana" w:cs="Arial"/>
          <w:color w:val="000000"/>
          <w:kern w:val="2"/>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67BC9B5" w14:textId="77777777" w:rsidR="00101DAB" w:rsidRPr="00101DAB" w:rsidRDefault="00101DAB" w:rsidP="00101DAB">
      <w:pPr>
        <w:adjustRightInd w:val="0"/>
        <w:snapToGrid w:val="0"/>
        <w:spacing w:after="120" w:line="276" w:lineRule="auto"/>
        <w:ind w:firstLine="709"/>
        <w:jc w:val="both"/>
        <w:rPr>
          <w:rFonts w:ascii="Verdana" w:eastAsia="Calibri" w:hAnsi="Verdana" w:cs="Arial"/>
          <w:kern w:val="2"/>
          <w:lang w:val="es-ES_tradnl"/>
          <w14:ligatures w14:val="standardContextual"/>
        </w:rPr>
      </w:pPr>
      <w:r w:rsidRPr="00101DAB">
        <w:rPr>
          <w:rFonts w:ascii="Verdana" w:eastAsia="Calibri" w:hAnsi="Verdana" w:cs="Arial"/>
          <w:kern w:val="2"/>
          <w:lang w:val="es-MX"/>
          <w14:ligatures w14:val="standardContextual"/>
        </w:rPr>
        <w:t xml:space="preserve">Por regla general, estos aspectos modificables corresponden a aquellos incluidos en corchetes y resaltados en gris </w:t>
      </w:r>
      <w:r w:rsidRPr="00101DAB">
        <w:rPr>
          <w:rFonts w:ascii="Verdana" w:eastAsia="Aptos" w:hAnsi="Verdana" w:cs="Arial"/>
          <w:kern w:val="2"/>
          <w:lang w:val="es-ES_tradnl"/>
          <w14:ligatures w14:val="standardContextual"/>
        </w:rPr>
        <w:t>–[</w:t>
      </w:r>
      <w:r w:rsidRPr="00101DAB">
        <w:rPr>
          <w:rFonts w:ascii="Verdana" w:eastAsia="Aptos" w:hAnsi="Verdana" w:cs="Arial"/>
          <w:kern w:val="2"/>
          <w:highlight w:val="lightGray"/>
          <w:lang w:val="es-ES_tradnl"/>
          <w14:ligatures w14:val="standardContextual"/>
        </w:rPr>
        <w:t>texto de ejemplo</w:t>
      </w:r>
      <w:r w:rsidRPr="00101DAB">
        <w:rPr>
          <w:rFonts w:ascii="Verdana" w:eastAsia="Aptos" w:hAnsi="Verdana" w:cs="Arial"/>
          <w:kern w:val="2"/>
          <w:lang w:val="es-ES_tradnl"/>
          <w14:ligatures w14:val="standardContextual"/>
        </w:rPr>
        <w:t xml:space="preserve">]–, los cuales </w:t>
      </w:r>
      <w:r w:rsidRPr="00101DAB">
        <w:rPr>
          <w:rFonts w:ascii="Verdana" w:eastAsia="Calibri" w:hAnsi="Verdana" w:cs="Arial"/>
          <w:kern w:val="2"/>
          <w:lang w:val="es-ES_tradnl"/>
          <w14:ligatures w14:val="standardContextual"/>
        </w:rPr>
        <w:t xml:space="preserve">deben ser diligenciados la entidad contratante o el proponente, según corresponda, de acuerdo con las instrucciones que allí se señalen. </w:t>
      </w:r>
    </w:p>
    <w:p w14:paraId="25F5DCBA" w14:textId="77777777" w:rsidR="00101DAB" w:rsidRPr="00101DAB" w:rsidRDefault="00101DAB" w:rsidP="00101DAB">
      <w:pPr>
        <w:adjustRightInd w:val="0"/>
        <w:snapToGrid w:val="0"/>
        <w:spacing w:after="12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t xml:space="preserve">Bajo este contexto, si para un proceso de selección especifico a la entidad le corresponde la implementación de los documentos tipo, conviene resaltar que los mismos tienen un carácter inalterable, por lo que no podrá modificar el documento base, ni los formatos, anexos, matrices y formularios, así como tampoco solicitar soportes o requisitos adicionales a los establecidos en el </w:t>
      </w:r>
      <w:r w:rsidRPr="00101DAB">
        <w:rPr>
          <w:rFonts w:ascii="Verdana" w:eastAsia="Aptos" w:hAnsi="Verdana" w:cs="Aptos"/>
          <w:kern w:val="2"/>
          <w:lang w:val="es-ES_tradnl"/>
          <w14:ligatures w14:val="standardContextual"/>
        </w:rPr>
        <w:lastRenderedPageBreak/>
        <w:t xml:space="preserve">Documento Tipo. Lo anterior, salvo en aquellas circunstancias en que el documento lo señale de forma expresa, que corresponderá a: </w:t>
      </w:r>
      <w:r w:rsidRPr="00101DAB">
        <w:rPr>
          <w:rFonts w:ascii="Verdana" w:eastAsia="Aptos" w:hAnsi="Verdana" w:cs="Aptos"/>
          <w:kern w:val="2"/>
          <w:highlight w:val="lightGray"/>
          <w:lang w:val="es-ES_tradnl"/>
          <w14:ligatures w14:val="standardContextual"/>
        </w:rPr>
        <w:t>[Los aspectos incluidos en corchetes y resaltados en gris los que deben ser diligenciados por la Entidad</w:t>
      </w:r>
      <w:r w:rsidRPr="00101DAB">
        <w:rPr>
          <w:rFonts w:ascii="Verdana" w:eastAsia="Aptos" w:hAnsi="Verdana" w:cs="Aptos"/>
          <w:kern w:val="2"/>
          <w:lang w:val="es-ES_tradnl"/>
          <w14:ligatures w14:val="standardContextual"/>
        </w:rPr>
        <w:t>].</w:t>
      </w:r>
    </w:p>
    <w:p w14:paraId="64219958" w14:textId="77777777" w:rsidR="00101DAB" w:rsidRPr="00101DAB" w:rsidRDefault="00101DAB" w:rsidP="6A8C1A06">
      <w:pPr>
        <w:adjustRightInd w:val="0"/>
        <w:snapToGrid w:val="0"/>
        <w:spacing w:after="120" w:line="276" w:lineRule="auto"/>
        <w:ind w:firstLine="709"/>
        <w:jc w:val="both"/>
        <w:rPr>
          <w:rFonts w:ascii="Verdana" w:eastAsia="Aptos" w:hAnsi="Verdana" w:cs="Aptos"/>
          <w:kern w:val="2"/>
          <w:lang w:val="es-ES"/>
          <w14:ligatures w14:val="standardContextual"/>
        </w:rPr>
      </w:pPr>
      <w:r w:rsidRPr="6A8C1A06">
        <w:rPr>
          <w:rFonts w:ascii="Verdana" w:eastAsia="Aptos" w:hAnsi="Verdana" w:cs="Aptos"/>
          <w:kern w:val="2"/>
          <w:lang w:val="es-ES"/>
          <w14:ligatures w14:val="standardContextual"/>
        </w:rPr>
        <w:t xml:space="preserve">De esta manera, en los eventos en que el proceso de contratación no se enmarque en ninguna de las matrices de experiencia, la entidad podrá utilizar los documentos tipo como buenas prácticas para adelantar sus procesos. Sin embargo, cuando los pliegos tipo resulten aplicables, la entidad deberá utilizarlos, y no podrá fraccionar su aplicación o apartarse de su uso, salvo que existiera una norma legal que en ese sentido lo permitiera. </w:t>
      </w:r>
    </w:p>
    <w:p w14:paraId="7804B3A2" w14:textId="77777777" w:rsidR="00101DAB" w:rsidRPr="00101DAB" w:rsidRDefault="00101DAB" w:rsidP="00101DAB">
      <w:pPr>
        <w:adjustRightInd w:val="0"/>
        <w:snapToGrid w:val="0"/>
        <w:spacing w:after="0" w:line="276" w:lineRule="auto"/>
        <w:ind w:firstLine="709"/>
        <w:jc w:val="both"/>
        <w:rPr>
          <w:rFonts w:ascii="Verdana" w:eastAsia="Aptos" w:hAnsi="Verdana" w:cs="Aptos"/>
          <w:i/>
          <w:iCs/>
          <w:kern w:val="2"/>
          <w:lang w:val="es-ES_tradnl"/>
          <w14:ligatures w14:val="standardContextual"/>
        </w:rPr>
      </w:pPr>
      <w:r w:rsidRPr="00101DAB">
        <w:rPr>
          <w:rFonts w:ascii="Verdana" w:eastAsia="Aptos" w:hAnsi="Verdana" w:cs="Aptos"/>
          <w:i/>
          <w:iCs/>
          <w:kern w:val="2"/>
          <w:lang w:val="es-ES_tradnl"/>
          <w14:ligatures w14:val="standardContextual"/>
        </w:rPr>
        <w:t>Finalmente,</w:t>
      </w:r>
      <w:r w:rsidRPr="00101DAB">
        <w:rPr>
          <w:rFonts w:ascii="Verdana" w:eastAsia="Aptos" w:hAnsi="Verdana" w:cs="Aptos"/>
          <w:kern w:val="2"/>
          <w:lang w:val="es-ES_tradnl"/>
          <w14:ligatures w14:val="standardContextual"/>
        </w:rPr>
        <w:t xml:space="preserve"> puede resultar pertinente revisar las siguientes definiciones contenidas en el “Anexo 5 – Glosario”, que hace parte de los documentos tipo del sector social, de manera que se pueda establecer si el proceso de selección se enmarca en la actividad 2.5 previamente descrita, la cual se encuentra relacionada con lugares de reunión deportivos definidos como</w:t>
      </w:r>
      <w:r w:rsidRPr="00101DAB">
        <w:rPr>
          <w:rFonts w:ascii="Verdana" w:eastAsia="Aptos" w:hAnsi="Verdana" w:cs="Aptos"/>
          <w:i/>
          <w:iCs/>
          <w:kern w:val="2"/>
          <w:lang w:val="es-ES_tradnl"/>
          <w14:ligatures w14:val="standardContextual"/>
        </w:rPr>
        <w:t xml:space="preserve"> “CANCHAS DEPORTIVAS Y/O ESCENARIOS Y/O COMPLEJOS Y/O ESPACIOS E INSTALACIONES RECREO DEPORTIVAS”. </w:t>
      </w:r>
      <w:r w:rsidRPr="00101DAB">
        <w:rPr>
          <w:rFonts w:ascii="Verdana" w:eastAsia="Aptos" w:hAnsi="Verdana" w:cs="Aptos"/>
          <w:kern w:val="2"/>
          <w:lang w:val="es-ES_tradnl"/>
          <w14:ligatures w14:val="standardContextual"/>
        </w:rPr>
        <w:t>Lo anterior, toda vez que este tipo de escenarios tienen contempladas “graderías y otras obras complementarias” como parte de su infraestructura:</w:t>
      </w:r>
    </w:p>
    <w:p w14:paraId="676C58EB" w14:textId="77777777" w:rsidR="00101DAB" w:rsidRPr="00101DAB" w:rsidRDefault="00101DAB" w:rsidP="00101DAB">
      <w:pPr>
        <w:spacing w:after="0" w:line="276" w:lineRule="auto"/>
        <w:ind w:left="1080"/>
        <w:contextualSpacing/>
        <w:jc w:val="both"/>
        <w:rPr>
          <w:rFonts w:ascii="Verdana" w:eastAsia="Aptos" w:hAnsi="Verdana" w:cs="Aptos"/>
          <w:kern w:val="2"/>
          <w:lang w:val="es-ES_tradnl"/>
          <w14:ligatures w14:val="standardContextual"/>
        </w:rPr>
      </w:pPr>
    </w:p>
    <w:p w14:paraId="429C0E01" w14:textId="77777777" w:rsidR="00101DAB" w:rsidRPr="00101DAB" w:rsidRDefault="00101DAB" w:rsidP="6A8C1A06">
      <w:pPr>
        <w:spacing w:after="0" w:line="240" w:lineRule="auto"/>
        <w:ind w:left="709" w:right="709"/>
        <w:jc w:val="both"/>
        <w:rPr>
          <w:rFonts w:ascii="Verdana" w:eastAsia="Aptos" w:hAnsi="Verdana" w:cs="Aptos"/>
          <w:i/>
          <w:iCs/>
          <w:kern w:val="2"/>
          <w:sz w:val="21"/>
          <w:szCs w:val="21"/>
          <w:lang w:val="es-ES"/>
          <w14:ligatures w14:val="standardContextual"/>
        </w:rPr>
      </w:pPr>
      <w:r w:rsidRPr="6A8C1A06">
        <w:rPr>
          <w:rFonts w:ascii="Verdana" w:eastAsia="Aptos" w:hAnsi="Verdana" w:cs="Aptos"/>
          <w:b/>
          <w:bCs/>
          <w:i/>
          <w:iCs/>
          <w:kern w:val="2"/>
          <w:sz w:val="21"/>
          <w:szCs w:val="21"/>
          <w:lang w:val="es-ES"/>
          <w14:ligatures w14:val="standardContextual"/>
        </w:rPr>
        <w:t>“2.104.</w:t>
      </w:r>
      <w:r w:rsidRPr="00101DAB">
        <w:rPr>
          <w:rFonts w:ascii="Verdana" w:eastAsia="Aptos" w:hAnsi="Verdana" w:cs="Aptos"/>
          <w:b/>
          <w:bCs/>
          <w:i/>
          <w:iCs/>
          <w:kern w:val="2"/>
          <w:sz w:val="21"/>
          <w:szCs w:val="21"/>
          <w:lang w:val="es-ES_tradnl"/>
          <w14:ligatures w14:val="standardContextual"/>
        </w:rPr>
        <w:tab/>
      </w:r>
      <w:r w:rsidRPr="6A8C1A06">
        <w:rPr>
          <w:rFonts w:ascii="Verdana" w:eastAsia="Aptos" w:hAnsi="Verdana" w:cs="Aptos"/>
          <w:b/>
          <w:bCs/>
          <w:i/>
          <w:iCs/>
          <w:kern w:val="2"/>
          <w:sz w:val="21"/>
          <w:szCs w:val="21"/>
          <w:lang w:val="es-ES"/>
          <w14:ligatures w14:val="standardContextual"/>
        </w:rPr>
        <w:t>Grupo de ocupación de lugares de reunión deportivos:</w:t>
      </w:r>
      <w:r w:rsidRPr="6A8C1A06">
        <w:rPr>
          <w:rFonts w:ascii="Verdana" w:eastAsia="Aptos" w:hAnsi="Verdana" w:cs="Aptos"/>
          <w:i/>
          <w:iCs/>
          <w:kern w:val="2"/>
          <w:sz w:val="21"/>
          <w:szCs w:val="21"/>
          <w:lang w:val="es-ES"/>
          <w14:ligatures w14:val="standardContextual"/>
        </w:rPr>
        <w:t xml:space="preserve"> En este grupo se clasifican las edificaciones o espacios utilizados para la realización de cualquier tipo de deporte, y en general, donde se reúnen o agrupan personas para presencia o realizar algún evento deportivo. Entre los cuales se encuentran: estadios, gimnasios, autódromos, velódromos, piscinas colectivas, clubes deportivos, carpas y espacios abiertos, plazas de toros, hipódromos, boleras, pistas, polígonos, conchas acústicas, coliseos de uso múltiple, aulas múltiples, malocas, parques, canchas deportivas, escenarios o complejos </w:t>
      </w:r>
      <w:proofErr w:type="gramStart"/>
      <w:r w:rsidRPr="6A8C1A06">
        <w:rPr>
          <w:rFonts w:ascii="Verdana" w:eastAsia="Aptos" w:hAnsi="Verdana" w:cs="Aptos"/>
          <w:i/>
          <w:iCs/>
          <w:kern w:val="2"/>
          <w:sz w:val="21"/>
          <w:szCs w:val="21"/>
          <w:lang w:val="es-ES"/>
          <w14:ligatures w14:val="standardContextual"/>
        </w:rPr>
        <w:t>recreo deportivos</w:t>
      </w:r>
      <w:proofErr w:type="gramEnd"/>
      <w:r w:rsidRPr="6A8C1A06">
        <w:rPr>
          <w:rFonts w:ascii="Verdana" w:eastAsia="Aptos" w:hAnsi="Verdana" w:cs="Aptos"/>
          <w:i/>
          <w:iCs/>
          <w:kern w:val="2"/>
          <w:sz w:val="21"/>
          <w:szCs w:val="21"/>
          <w:lang w:val="es-ES"/>
          <w14:ligatures w14:val="standardContextual"/>
        </w:rPr>
        <w:t>, polideportivos, placas deportivas, concha acústica, ciclo rutas y otros similares.”</w:t>
      </w:r>
    </w:p>
    <w:p w14:paraId="77D22602"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p>
    <w:p w14:paraId="54091F46"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b/>
          <w:bCs/>
          <w:i/>
          <w:iCs/>
          <w:kern w:val="2"/>
          <w:sz w:val="21"/>
          <w:szCs w:val="21"/>
          <w:lang w:val="es-ES_tradnl"/>
          <w14:ligatures w14:val="standardContextual"/>
        </w:rPr>
        <w:t>3.8.</w:t>
      </w:r>
      <w:r w:rsidRPr="00101DAB">
        <w:rPr>
          <w:rFonts w:ascii="Verdana" w:eastAsia="Aptos" w:hAnsi="Verdana" w:cs="Aptos"/>
          <w:b/>
          <w:bCs/>
          <w:i/>
          <w:iCs/>
          <w:kern w:val="2"/>
          <w:sz w:val="21"/>
          <w:szCs w:val="21"/>
          <w:lang w:val="es-ES_tradnl"/>
          <w14:ligatures w14:val="standardContextual"/>
        </w:rPr>
        <w:tab/>
        <w:t>Canchas o Campos Deportivos</w:t>
      </w:r>
      <w:r w:rsidRPr="00101DAB">
        <w:rPr>
          <w:rFonts w:ascii="Verdana" w:eastAsia="Aptos" w:hAnsi="Verdana" w:cs="Aptos"/>
          <w:i/>
          <w:iCs/>
          <w:kern w:val="2"/>
          <w:sz w:val="21"/>
          <w:szCs w:val="21"/>
          <w:lang w:val="es-ES_tradnl"/>
          <w14:ligatures w14:val="standardContextual"/>
        </w:rPr>
        <w:t>: Edificaciones deportivas cubiertas o al aire libre que permiten instalar espacios para la práctica de deportes individuales o de conjunto que requieren menores instalaciones y áreas complementarias para las necesidades técnicas y logísticas. Estos espacios son para un solo deporte y requieren precisión en las características técnicas de las áreas de competencia.</w:t>
      </w:r>
    </w:p>
    <w:p w14:paraId="7D01A6B4"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p>
    <w:p w14:paraId="43654545"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b/>
          <w:bCs/>
          <w:i/>
          <w:iCs/>
          <w:kern w:val="2"/>
          <w:sz w:val="21"/>
          <w:szCs w:val="21"/>
          <w:lang w:val="es-ES_tradnl"/>
          <w14:ligatures w14:val="standardContextual"/>
        </w:rPr>
        <w:lastRenderedPageBreak/>
        <w:t>3.21.</w:t>
      </w:r>
      <w:r w:rsidRPr="00101DAB">
        <w:rPr>
          <w:rFonts w:ascii="Verdana" w:eastAsia="Aptos" w:hAnsi="Verdana" w:cs="Aptos"/>
          <w:b/>
          <w:bCs/>
          <w:i/>
          <w:iCs/>
          <w:kern w:val="2"/>
          <w:sz w:val="21"/>
          <w:szCs w:val="21"/>
          <w:lang w:val="es-ES_tradnl"/>
          <w14:ligatures w14:val="standardContextual"/>
        </w:rPr>
        <w:tab/>
        <w:t>Complejo Deportivo</w:t>
      </w:r>
      <w:r w:rsidRPr="00101DAB">
        <w:rPr>
          <w:rFonts w:ascii="Verdana" w:eastAsia="Aptos" w:hAnsi="Verdana" w:cs="Aptos"/>
          <w:i/>
          <w:iCs/>
          <w:kern w:val="2"/>
          <w:sz w:val="21"/>
          <w:szCs w:val="21"/>
          <w:lang w:val="es-ES_tradnl"/>
          <w14:ligatures w14:val="standardContextual"/>
        </w:rPr>
        <w:t>: Espacio físico que agrupa escenarios, instalaciones o espacios deportivos especializados para el Desarrollo, Capacitación, Entrenamiento y Concentración de Deportistas. Se clasifican de acuerdo con su especialización.</w:t>
      </w:r>
    </w:p>
    <w:p w14:paraId="1F1F47E7"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p>
    <w:p w14:paraId="0E16289C"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b/>
          <w:bCs/>
          <w:i/>
          <w:iCs/>
          <w:kern w:val="2"/>
          <w:sz w:val="21"/>
          <w:szCs w:val="21"/>
          <w:lang w:val="es-ES_tradnl"/>
          <w14:ligatures w14:val="standardContextual"/>
        </w:rPr>
        <w:t>3.47.</w:t>
      </w:r>
      <w:r w:rsidRPr="00101DAB">
        <w:rPr>
          <w:rFonts w:ascii="Verdana" w:eastAsia="Aptos" w:hAnsi="Verdana" w:cs="Aptos"/>
          <w:b/>
          <w:bCs/>
          <w:i/>
          <w:iCs/>
          <w:kern w:val="2"/>
          <w:sz w:val="21"/>
          <w:szCs w:val="21"/>
          <w:lang w:val="es-ES_tradnl"/>
          <w14:ligatures w14:val="standardContextual"/>
        </w:rPr>
        <w:tab/>
        <w:t>Escenario Recreo Deportivo</w:t>
      </w:r>
      <w:r w:rsidRPr="00101DAB">
        <w:rPr>
          <w:rFonts w:ascii="Verdana" w:eastAsia="Aptos" w:hAnsi="Verdana" w:cs="Aptos"/>
          <w:i/>
          <w:iCs/>
          <w:kern w:val="2"/>
          <w:sz w:val="21"/>
          <w:szCs w:val="21"/>
          <w:lang w:val="es-ES_tradnl"/>
          <w14:ligatures w14:val="standardContextual"/>
        </w:rPr>
        <w:t>: Instalación construida o adecuada para la práctica de un deporte determinado y legalmente reconocido por el Estado colombiano por intermedio de la autoridad competente respectiva incluyendo todas sus dependencias internas y externas y vías de ingreso y egreso aledañas a dicho escenario.</w:t>
      </w:r>
    </w:p>
    <w:p w14:paraId="0320AB4A"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p>
    <w:p w14:paraId="1757D55B" w14:textId="77777777" w:rsidR="00101DAB" w:rsidRPr="00101DAB" w:rsidRDefault="00101DAB" w:rsidP="00101DAB">
      <w:pPr>
        <w:spacing w:after="0" w:line="240" w:lineRule="auto"/>
        <w:ind w:left="709" w:right="709"/>
        <w:jc w:val="both"/>
        <w:rPr>
          <w:rFonts w:ascii="Verdana" w:eastAsia="Aptos" w:hAnsi="Verdana" w:cs="Aptos"/>
          <w:i/>
          <w:iCs/>
          <w:kern w:val="2"/>
          <w:sz w:val="21"/>
          <w:szCs w:val="21"/>
          <w:lang w:val="es-ES_tradnl"/>
          <w14:ligatures w14:val="standardContextual"/>
        </w:rPr>
      </w:pPr>
      <w:r w:rsidRPr="00101DAB">
        <w:rPr>
          <w:rFonts w:ascii="Verdana" w:eastAsia="Aptos" w:hAnsi="Verdana" w:cs="Aptos"/>
          <w:b/>
          <w:bCs/>
          <w:i/>
          <w:iCs/>
          <w:kern w:val="2"/>
          <w:sz w:val="21"/>
          <w:szCs w:val="21"/>
          <w:lang w:val="es-ES_tradnl"/>
          <w14:ligatures w14:val="standardContextual"/>
        </w:rPr>
        <w:t>3.48.</w:t>
      </w:r>
      <w:r w:rsidRPr="00101DAB">
        <w:rPr>
          <w:rFonts w:ascii="Verdana" w:eastAsia="Aptos" w:hAnsi="Verdana" w:cs="Aptos"/>
          <w:b/>
          <w:bCs/>
          <w:i/>
          <w:iCs/>
          <w:kern w:val="2"/>
          <w:sz w:val="21"/>
          <w:szCs w:val="21"/>
          <w:lang w:val="es-ES_tradnl"/>
          <w14:ligatures w14:val="standardContextual"/>
        </w:rPr>
        <w:tab/>
        <w:t>Espacio Deportivo</w:t>
      </w:r>
      <w:r w:rsidRPr="00101DAB">
        <w:rPr>
          <w:rFonts w:ascii="Verdana" w:eastAsia="Aptos" w:hAnsi="Verdana" w:cs="Aptos"/>
          <w:i/>
          <w:iCs/>
          <w:kern w:val="2"/>
          <w:sz w:val="21"/>
          <w:szCs w:val="21"/>
          <w:lang w:val="es-ES_tradnl"/>
          <w14:ligatures w14:val="standardContextual"/>
        </w:rPr>
        <w:t>: Lugar para realizar una práctica deportiva, cubierto o al aire libre, que no cuenta con servicios auxiliares. Dentro de los espacios deportivos se encuentran 2 categorías: los espacios deportivos convencionales y los singulares”.</w:t>
      </w:r>
    </w:p>
    <w:p w14:paraId="1FA0C2A1" w14:textId="77777777" w:rsidR="00101DAB" w:rsidRPr="00101DAB" w:rsidRDefault="00101DAB" w:rsidP="00101DAB">
      <w:pPr>
        <w:spacing w:after="0" w:line="276" w:lineRule="auto"/>
        <w:ind w:left="708"/>
        <w:jc w:val="both"/>
        <w:rPr>
          <w:rFonts w:ascii="Verdana" w:eastAsia="Aptos" w:hAnsi="Verdana" w:cs="Aptos"/>
          <w:i/>
          <w:iCs/>
          <w:kern w:val="2"/>
          <w:lang w:val="es-ES_tradnl"/>
          <w14:ligatures w14:val="standardContextual"/>
        </w:rPr>
      </w:pPr>
    </w:p>
    <w:p w14:paraId="7557584D" w14:textId="77777777" w:rsidR="00101DAB" w:rsidRPr="00101DAB" w:rsidRDefault="00101DAB" w:rsidP="00101DAB">
      <w:pPr>
        <w:spacing w:after="0" w:line="276" w:lineRule="auto"/>
        <w:ind w:firstLine="709"/>
        <w:jc w:val="both"/>
        <w:rPr>
          <w:rFonts w:ascii="Verdana" w:eastAsia="Aptos" w:hAnsi="Verdana" w:cs="Aptos"/>
          <w:kern w:val="2"/>
          <w:lang w:val="es-ES_tradnl"/>
          <w14:ligatures w14:val="standardContextual"/>
        </w:rPr>
      </w:pPr>
      <w:r w:rsidRPr="00101DAB">
        <w:rPr>
          <w:rFonts w:ascii="Verdana" w:eastAsia="Aptos" w:hAnsi="Verdana" w:cs="Aptos"/>
          <w:kern w:val="2"/>
          <w:lang w:val="es-ES_tradnl"/>
          <w14:ligatures w14:val="standardContextual"/>
        </w:rPr>
        <w:t>Adicionalmente, también puede revisarse  que el proceso de selección por el que se indaga se enmarque en algunas de las tipologías de ejecución que se describen en la actividad 2.5 y que se relacionan con: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w:t>
      </w:r>
    </w:p>
    <w:p w14:paraId="32E37C8E" w14:textId="77777777" w:rsidR="00101DAB" w:rsidRPr="00101DAB" w:rsidRDefault="00101DAB" w:rsidP="00101DAB">
      <w:pPr>
        <w:widowControl w:val="0"/>
        <w:autoSpaceDE w:val="0"/>
        <w:autoSpaceDN w:val="0"/>
        <w:spacing w:after="0" w:line="276" w:lineRule="auto"/>
        <w:jc w:val="both"/>
        <w:rPr>
          <w:rFonts w:ascii="Verdana" w:eastAsia="Calibri" w:hAnsi="Verdana" w:cs="Arial"/>
          <w:lang w:eastAsia="es-MX"/>
        </w:rPr>
      </w:pPr>
    </w:p>
    <w:p w14:paraId="5C2E33B8" w14:textId="77777777" w:rsidR="00101DAB" w:rsidRPr="00101DAB" w:rsidRDefault="00101DAB" w:rsidP="00101DA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101DAB">
        <w:rPr>
          <w:rFonts w:ascii="Verdana" w:eastAsia="Century Gothic" w:hAnsi="Verdana" w:cs="Century Gothic"/>
          <w:b/>
          <w:bCs/>
          <w:lang w:val="es-ES" w:eastAsia="es-MX"/>
        </w:rPr>
        <w:t>Referencias normativas, jurisprudenciales y otras fuentes:</w:t>
      </w:r>
    </w:p>
    <w:p w14:paraId="7382F567" w14:textId="77777777" w:rsidR="00101DAB" w:rsidRPr="00101DAB" w:rsidRDefault="00101DAB" w:rsidP="00101DAB">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101DAB" w:rsidRPr="00101DAB" w14:paraId="3F37CA8E" w14:textId="77777777" w:rsidTr="00152DBB">
        <w:trPr>
          <w:trHeight w:val="870"/>
        </w:trPr>
        <w:tc>
          <w:tcPr>
            <w:tcW w:w="8647" w:type="dxa"/>
          </w:tcPr>
          <w:p w14:paraId="020D6F47" w14:textId="77777777" w:rsidR="00101DAB" w:rsidRPr="00101DAB" w:rsidRDefault="00101DAB" w:rsidP="00101DAB">
            <w:pPr>
              <w:widowControl w:val="0"/>
              <w:numPr>
                <w:ilvl w:val="0"/>
                <w:numId w:val="17"/>
              </w:numPr>
              <w:autoSpaceDE w:val="0"/>
              <w:autoSpaceDN w:val="0"/>
              <w:spacing w:after="120" w:line="276" w:lineRule="auto"/>
              <w:jc w:val="both"/>
              <w:rPr>
                <w:rFonts w:ascii="Verdana" w:eastAsia="Calibri" w:hAnsi="Verdana" w:cs="Arial"/>
                <w:lang w:eastAsia="es-MX"/>
              </w:rPr>
            </w:pPr>
            <w:r w:rsidRPr="00101DAB">
              <w:rPr>
                <w:rFonts w:ascii="Verdana" w:eastAsia="Calibri" w:hAnsi="Verdana" w:cs="Arial"/>
                <w:lang w:eastAsia="es-MX"/>
              </w:rPr>
              <w:t>Ley 2022 de 2020, artículo 1.</w:t>
            </w:r>
          </w:p>
          <w:p w14:paraId="587297D6" w14:textId="77777777" w:rsidR="00101DAB" w:rsidRPr="00101DAB" w:rsidRDefault="00101DAB" w:rsidP="00101DAB">
            <w:pPr>
              <w:widowControl w:val="0"/>
              <w:numPr>
                <w:ilvl w:val="0"/>
                <w:numId w:val="17"/>
              </w:numPr>
              <w:autoSpaceDE w:val="0"/>
              <w:autoSpaceDN w:val="0"/>
              <w:spacing w:after="120" w:line="276" w:lineRule="auto"/>
              <w:jc w:val="both"/>
              <w:rPr>
                <w:rFonts w:ascii="Verdana" w:eastAsia="Calibri" w:hAnsi="Verdana" w:cs="Arial"/>
                <w:lang w:eastAsia="es-MX"/>
              </w:rPr>
            </w:pPr>
            <w:r w:rsidRPr="00101DAB">
              <w:rPr>
                <w:rFonts w:ascii="Verdana" w:eastAsia="Calibri" w:hAnsi="Verdana" w:cs="Arial"/>
                <w:lang w:eastAsia="es-MX"/>
              </w:rPr>
              <w:t xml:space="preserve">Documentos tipo de obra pública de infraestructura social, y adicionales del sector </w:t>
            </w:r>
            <w:r w:rsidRPr="00101DAB">
              <w:rPr>
                <w:rFonts w:ascii="Verdana" w:eastAsia="Calibri" w:hAnsi="Verdana" w:cs="Arial"/>
                <w:i/>
                <w:iCs/>
                <w:lang w:eastAsia="es-MX"/>
              </w:rPr>
              <w:t>cultura, recreación y deporte.</w:t>
            </w:r>
            <w:r w:rsidRPr="00101DAB">
              <w:rPr>
                <w:rFonts w:ascii="Verdana" w:eastAsia="Calibri" w:hAnsi="Verdana" w:cs="Arial"/>
                <w:lang w:eastAsia="es-MX"/>
              </w:rPr>
              <w:t xml:space="preserve"> Disponibles en: </w:t>
            </w:r>
            <w:hyperlink r:id="rId11" w:history="1">
              <w:r w:rsidRPr="00101DAB">
                <w:rPr>
                  <w:rFonts w:ascii="Verdana" w:eastAsia="Calibri" w:hAnsi="Verdana" w:cs="Arial"/>
                  <w:color w:val="467886"/>
                  <w:u w:val="single"/>
                  <w:lang w:eastAsia="es-MX"/>
                </w:rPr>
                <w:t>https://www.colombiacompra.gov.co/normativa-y-relatoria/documentos-tipo</w:t>
              </w:r>
            </w:hyperlink>
            <w:r w:rsidRPr="00101DAB">
              <w:rPr>
                <w:rFonts w:ascii="Verdana" w:eastAsia="Calibri" w:hAnsi="Verdana" w:cs="Arial"/>
                <w:lang w:eastAsia="es-MX"/>
              </w:rPr>
              <w:t xml:space="preserve">. </w:t>
            </w:r>
          </w:p>
        </w:tc>
      </w:tr>
    </w:tbl>
    <w:p w14:paraId="5A6283F3" w14:textId="77777777" w:rsidR="00101DAB" w:rsidRPr="00101DAB" w:rsidRDefault="00101DAB" w:rsidP="00101DAB">
      <w:pPr>
        <w:tabs>
          <w:tab w:val="left" w:pos="142"/>
          <w:tab w:val="left" w:pos="284"/>
        </w:tabs>
        <w:spacing w:after="0" w:line="276" w:lineRule="auto"/>
        <w:jc w:val="both"/>
        <w:rPr>
          <w:rFonts w:ascii="Verdana" w:eastAsia="Calibri" w:hAnsi="Verdana" w:cs="Arial"/>
          <w:lang w:eastAsia="es-MX"/>
        </w:rPr>
      </w:pPr>
    </w:p>
    <w:p w14:paraId="106CDD5E" w14:textId="77777777" w:rsidR="00101DAB" w:rsidRPr="00101DAB" w:rsidRDefault="00101DAB" w:rsidP="00101DA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101DAB">
        <w:rPr>
          <w:rFonts w:ascii="Verdana" w:eastAsia="Century Gothic" w:hAnsi="Verdana" w:cs="Century Gothic"/>
          <w:b/>
          <w:bCs/>
          <w:lang w:val="es-ES" w:eastAsia="es-MX"/>
        </w:rPr>
        <w:t>Doctrina de la Agencia Nacional de Contratación Pública:</w:t>
      </w:r>
    </w:p>
    <w:p w14:paraId="3B751BB1" w14:textId="77777777" w:rsidR="00101DAB" w:rsidRPr="00101DAB" w:rsidRDefault="00101DAB" w:rsidP="00101DAB">
      <w:pPr>
        <w:widowControl w:val="0"/>
        <w:autoSpaceDE w:val="0"/>
        <w:autoSpaceDN w:val="0"/>
        <w:spacing w:after="0" w:line="276" w:lineRule="auto"/>
        <w:jc w:val="both"/>
        <w:rPr>
          <w:rFonts w:ascii="Verdana" w:eastAsia="Calibri" w:hAnsi="Verdana" w:cs="Arial"/>
          <w:lang w:eastAsia="es-MX"/>
        </w:rPr>
      </w:pPr>
    </w:p>
    <w:p w14:paraId="16B42627" w14:textId="77777777" w:rsidR="00101DAB" w:rsidRPr="00101DAB" w:rsidRDefault="00101DAB" w:rsidP="00101DAB">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101DAB">
        <w:rPr>
          <w:rFonts w:ascii="Verdana" w:eastAsia="Calibri" w:hAnsi="Verdana" w:cs="Arial"/>
          <w:shd w:val="clear" w:color="auto" w:fill="FFFFFF"/>
          <w:lang w:val="es-ES" w:eastAsia="es-MX"/>
        </w:rPr>
        <w:t>La Agencia Nacional de Contratación Pública – Colombia Compra Eficiente se pronunció</w:t>
      </w:r>
      <w:r w:rsidRPr="00101DAB">
        <w:rPr>
          <w:rFonts w:ascii="Aptos" w:eastAsia="Aptos" w:hAnsi="Aptos" w:cs="Times New Roman"/>
          <w:sz w:val="24"/>
          <w:szCs w:val="24"/>
          <w:lang w:eastAsia="es-MX"/>
        </w:rPr>
        <w:t xml:space="preserve"> </w:t>
      </w:r>
      <w:r w:rsidRPr="00101DAB">
        <w:rPr>
          <w:rFonts w:ascii="Verdana" w:eastAsia="Calibri" w:hAnsi="Verdana" w:cs="Arial"/>
          <w:shd w:val="clear" w:color="auto" w:fill="FFFFFF"/>
          <w:lang w:val="es-ES" w:eastAsia="es-MX"/>
        </w:rPr>
        <w:t xml:space="preserve">sobre el ámbito de aplicación de los documentos tipo de </w:t>
      </w:r>
      <w:r w:rsidRPr="00101DAB">
        <w:rPr>
          <w:rFonts w:ascii="Verdana" w:eastAsia="Calibri" w:hAnsi="Verdana" w:cs="Arial"/>
          <w:shd w:val="clear" w:color="auto" w:fill="FFFFFF"/>
          <w:lang w:val="es-ES" w:eastAsia="es-MX"/>
        </w:rPr>
        <w:lastRenderedPageBreak/>
        <w:t xml:space="preserve">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entre otros. </w:t>
      </w:r>
      <w:r w:rsidRPr="00101DAB">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101DAB">
          <w:rPr>
            <w:rFonts w:ascii="Verdana" w:eastAsia="Times New Roman" w:hAnsi="Verdana" w:cs="Arial"/>
            <w:kern w:val="2"/>
            <w:shd w:val="clear" w:color="auto" w:fill="FFFFFF"/>
            <w:lang w:val="es-ES"/>
            <w14:ligatures w14:val="standardContextual"/>
          </w:rPr>
          <w:t>https://relatoria.colombiacompra.gov.co/</w:t>
        </w:r>
      </w:hyperlink>
      <w:r w:rsidRPr="00101DAB">
        <w:rPr>
          <w:rFonts w:ascii="Verdana" w:eastAsia="Times New Roman" w:hAnsi="Verdana" w:cs="Arial"/>
          <w:kern w:val="2"/>
          <w:shd w:val="clear" w:color="auto" w:fill="FFFFFF"/>
          <w:lang w:val="es-ES"/>
          <w14:ligatures w14:val="standardContextual"/>
        </w:rPr>
        <w:t>.</w:t>
      </w:r>
    </w:p>
    <w:p w14:paraId="18285946" w14:textId="77777777" w:rsidR="00101DAB" w:rsidRPr="00101DAB" w:rsidRDefault="00101DAB" w:rsidP="00101DAB">
      <w:pPr>
        <w:spacing w:after="0" w:line="240" w:lineRule="auto"/>
        <w:jc w:val="both"/>
        <w:rPr>
          <w:rFonts w:ascii="Verdana" w:eastAsia="Calibri" w:hAnsi="Verdana" w:cs="Arial"/>
          <w:color w:val="000000"/>
          <w:kern w:val="2"/>
          <w:shd w:val="clear" w:color="auto" w:fill="FFFFFF"/>
          <w:lang w:val="es-ES_tradnl"/>
          <w14:ligatures w14:val="standardContextual"/>
        </w:rPr>
      </w:pPr>
    </w:p>
    <w:p w14:paraId="5EF58142" w14:textId="77777777" w:rsidR="00101DAB" w:rsidRPr="00101DAB" w:rsidRDefault="00101DAB" w:rsidP="00101DA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101DAB">
        <w:rPr>
          <w:rFonts w:ascii="Verdana" w:eastAsia="Calibri" w:hAnsi="Verdana" w:cs="Arial"/>
          <w:kern w:val="2"/>
          <w:shd w:val="clear" w:color="auto" w:fill="FFFFFF"/>
          <w:lang w:val="es-ES_tradnl"/>
          <w14:ligatures w14:val="standardContextual"/>
        </w:rPr>
        <w:t>La</w:t>
      </w:r>
      <w:r w:rsidRPr="00101DAB">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101DAB">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101DAB">
        <w:rPr>
          <w:rFonts w:ascii="Verdana" w:eastAsia="Calibri" w:hAnsi="Verdana" w:cs="Arial"/>
          <w:b/>
          <w:bCs/>
          <w:kern w:val="2"/>
          <w:shd w:val="clear" w:color="auto" w:fill="FFFFFF"/>
          <w:lang w:val="es-ES_tradnl"/>
          <w14:ligatures w14:val="standardContextual"/>
        </w:rPr>
        <w:t>Documentos Tipo</w:t>
      </w:r>
      <w:r w:rsidRPr="00101DAB">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101DAB">
        <w:rPr>
          <w:rFonts w:ascii="Verdana" w:eastAsia="Calibri" w:hAnsi="Verdana" w:cs="Arial"/>
          <w:b/>
          <w:bCs/>
          <w:kern w:val="2"/>
          <w:shd w:val="clear" w:color="auto" w:fill="FFFFFF"/>
          <w:lang w:val="es-ES_tradnl"/>
          <w14:ligatures w14:val="standardContextual"/>
        </w:rPr>
        <w:t>transparencia</w:t>
      </w:r>
      <w:r w:rsidRPr="00101DAB">
        <w:rPr>
          <w:rFonts w:ascii="Verdana" w:eastAsia="Calibri" w:hAnsi="Verdana" w:cs="Arial"/>
          <w:kern w:val="2"/>
          <w:shd w:val="clear" w:color="auto" w:fill="FFFFFF"/>
          <w:lang w:val="es-ES_tradnl"/>
          <w14:ligatures w14:val="standardContextual"/>
        </w:rPr>
        <w:t> y promover un proceso de </w:t>
      </w:r>
      <w:r w:rsidRPr="00101DAB">
        <w:rPr>
          <w:rFonts w:ascii="Verdana" w:eastAsia="Calibri" w:hAnsi="Verdana" w:cs="Arial"/>
          <w:b/>
          <w:bCs/>
          <w:kern w:val="2"/>
          <w:shd w:val="clear" w:color="auto" w:fill="FFFFFF"/>
          <w:lang w:val="es-ES_tradnl"/>
          <w14:ligatures w14:val="standardContextual"/>
        </w:rPr>
        <w:t>selección objetiva</w:t>
      </w:r>
      <w:r w:rsidRPr="00101DAB">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B6CAEFA" w14:textId="77777777" w:rsidR="00101DAB" w:rsidRPr="00101DAB" w:rsidRDefault="00101DAB" w:rsidP="00101DA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38152CF" w14:textId="77777777" w:rsidR="00101DAB" w:rsidRPr="00101DAB" w:rsidRDefault="00101DAB" w:rsidP="00101DAB">
      <w:pPr>
        <w:spacing w:after="0" w:line="276" w:lineRule="auto"/>
        <w:jc w:val="both"/>
        <w:rPr>
          <w:rFonts w:ascii="Verdana" w:eastAsia="Aptos" w:hAnsi="Verdana" w:cs="Times New Roman"/>
          <w:kern w:val="2"/>
          <w:lang w:val="es-ES_tradnl"/>
          <w14:ligatures w14:val="standardContextual"/>
        </w:rPr>
      </w:pPr>
      <w:r w:rsidRPr="00101DAB">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101DAB">
        <w:rPr>
          <w:rFonts w:ascii="Verdana" w:eastAsia="Aptos" w:hAnsi="Verdana" w:cs="Times New Roman"/>
          <w:b/>
          <w:bCs/>
          <w:kern w:val="2"/>
          <w:lang w:val="es-ES_tradnl"/>
          <w14:ligatures w14:val="standardContextual"/>
        </w:rPr>
        <w:t>Curso de Contratación Pública Sostenible y Socialmente Responsable</w:t>
      </w:r>
      <w:r w:rsidRPr="00101DAB">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01DAB">
        <w:rPr>
          <w:rFonts w:ascii="Verdana" w:eastAsia="Aptos" w:hAnsi="Verdana" w:cs="Times New Roman"/>
          <w:kern w:val="2"/>
          <w:lang w:val="es-ES_tradnl"/>
          <w14:ligatures w14:val="standardContextual"/>
        </w:rPr>
        <w:br/>
      </w:r>
      <w:hyperlink r:id="rId13" w:tgtFrame="_new" w:history="1">
        <w:r w:rsidRPr="00101DAB">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352AC8F" w14:textId="77777777" w:rsidR="00101DAB" w:rsidRPr="00101DAB" w:rsidRDefault="00101DAB" w:rsidP="00101DAB">
      <w:pPr>
        <w:spacing w:after="0" w:line="276" w:lineRule="auto"/>
        <w:jc w:val="both"/>
        <w:rPr>
          <w:rFonts w:ascii="Verdana" w:eastAsia="Aptos" w:hAnsi="Verdana" w:cs="Times New Roman"/>
          <w:kern w:val="2"/>
          <w:lang w:val="es-ES_tradnl"/>
          <w14:ligatures w14:val="standardContextual"/>
        </w:rPr>
      </w:pPr>
    </w:p>
    <w:p w14:paraId="45B2D03A" w14:textId="77777777" w:rsidR="00101DAB" w:rsidRPr="00101DAB" w:rsidRDefault="00101DAB" w:rsidP="00101DAB">
      <w:pPr>
        <w:spacing w:after="0" w:line="276" w:lineRule="auto"/>
        <w:jc w:val="both"/>
        <w:rPr>
          <w:rFonts w:ascii="Verdana" w:eastAsia="Aptos" w:hAnsi="Verdana" w:cs="Times New Roman"/>
          <w:kern w:val="2"/>
          <w:lang w:val="es-ES_tradnl"/>
          <w14:ligatures w14:val="standardContextual"/>
        </w:rPr>
      </w:pPr>
      <w:r w:rsidRPr="00101DAB">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101DAB">
        <w:rPr>
          <w:rFonts w:ascii="Verdana" w:eastAsia="Aptos" w:hAnsi="Verdana" w:cs="Times New Roman"/>
          <w:b/>
          <w:bCs/>
          <w:kern w:val="2"/>
          <w:lang w:val="es-ES_tradnl"/>
          <w14:ligatures w14:val="standardContextual"/>
        </w:rPr>
        <w:t>sector  social</w:t>
      </w:r>
      <w:r w:rsidRPr="00101DAB">
        <w:rPr>
          <w:rFonts w:ascii="Verdana" w:eastAsia="Aptos" w:hAnsi="Verdana" w:cs="Times New Roman"/>
          <w:kern w:val="2"/>
          <w:lang w:val="es-ES_tradnl"/>
          <w14:ligatures w14:val="standardContextual"/>
        </w:rPr>
        <w:t xml:space="preserve"> con la expedición de las </w:t>
      </w:r>
      <w:r w:rsidRPr="00101DAB">
        <w:rPr>
          <w:rFonts w:ascii="Verdana" w:eastAsia="Aptos" w:hAnsi="Verdana" w:cs="Times New Roman"/>
          <w:b/>
          <w:bCs/>
          <w:kern w:val="2"/>
          <w:lang w:val="es-ES_tradnl"/>
          <w14:ligatures w14:val="standardContextual"/>
        </w:rPr>
        <w:t>Resoluciones 539, 540, 541, 952 y 953 de 2025</w:t>
      </w:r>
      <w:r w:rsidRPr="00101DAB">
        <w:rPr>
          <w:rFonts w:ascii="Verdana" w:eastAsia="Aptos" w:hAnsi="Verdana" w:cs="Times New Roman"/>
          <w:kern w:val="2"/>
          <w:lang w:val="es-ES_tradnl"/>
          <w14:ligatures w14:val="standardContextual"/>
        </w:rPr>
        <w:t xml:space="preserve">, </w:t>
      </w:r>
      <w:r w:rsidRPr="00101DAB">
        <w:rPr>
          <w:rFonts w:ascii="Verdana" w:eastAsia="Aptos" w:hAnsi="Verdana" w:cs="Times New Roman"/>
          <w:b/>
          <w:bCs/>
          <w:kern w:val="2"/>
          <w:lang w:val="es-ES_tradnl"/>
          <w14:ligatures w14:val="standardContextual"/>
        </w:rPr>
        <w:t>mediante las cuales adoptó Documentos Tipo</w:t>
      </w:r>
      <w:r w:rsidRPr="00101DAB">
        <w:rPr>
          <w:rFonts w:ascii="Verdana" w:eastAsia="Aptos" w:hAnsi="Verdana" w:cs="Times New Roman"/>
          <w:kern w:val="2"/>
          <w:lang w:val="es-ES_tradnl"/>
          <w14:ligatures w14:val="standardContextual"/>
        </w:rPr>
        <w:t xml:space="preserve"> para las modalidades de selección de</w:t>
      </w:r>
      <w:r w:rsidRPr="00101DAB">
        <w:rPr>
          <w:rFonts w:ascii="Verdana" w:eastAsia="Aptos" w:hAnsi="Verdana" w:cs="Times New Roman"/>
          <w:b/>
          <w:bCs/>
          <w:kern w:val="2"/>
          <w:lang w:val="es-ES_tradnl"/>
          <w14:ligatures w14:val="standardContextual"/>
        </w:rPr>
        <w:t xml:space="preserve"> licitación </w:t>
      </w:r>
      <w:r w:rsidRPr="00101DAB">
        <w:rPr>
          <w:rFonts w:ascii="Verdana" w:eastAsia="Aptos" w:hAnsi="Verdana" w:cs="Times New Roman"/>
          <w:b/>
          <w:bCs/>
          <w:kern w:val="2"/>
          <w:lang w:val="es-ES_tradnl"/>
          <w14:ligatures w14:val="standardContextual"/>
        </w:rPr>
        <w:lastRenderedPageBreak/>
        <w:t>pública (versión 2), selección abreviada de menor cuantía, mínima cuantía, consultoría e interventoría</w:t>
      </w:r>
      <w:r w:rsidRPr="00101DAB">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01DAB">
          <w:rPr>
            <w:rFonts w:ascii="Verdana" w:eastAsia="Aptos" w:hAnsi="Verdana" w:cs="Times New Roman"/>
            <w:color w:val="0000FF"/>
            <w:kern w:val="2"/>
            <w:u w:val="single"/>
            <w:lang w:val="es-ES_tradnl"/>
            <w14:ligatures w14:val="standardContextual"/>
          </w:rPr>
          <w:t>https://www.colombiacompra.gov.co/normativa-y-relatoria/documentos-tipo</w:t>
        </w:r>
      </w:hyperlink>
    </w:p>
    <w:p w14:paraId="77EB18A9" w14:textId="77777777" w:rsidR="00101DAB" w:rsidRPr="00101DAB" w:rsidRDefault="00101DAB" w:rsidP="00101DAB">
      <w:pPr>
        <w:spacing w:after="0" w:line="276" w:lineRule="auto"/>
        <w:jc w:val="both"/>
        <w:rPr>
          <w:rFonts w:ascii="Verdana" w:eastAsia="Aptos" w:hAnsi="Verdana" w:cs="Times New Roman"/>
          <w:kern w:val="2"/>
          <w:lang w:val="es-ES_tradnl"/>
          <w14:ligatures w14:val="standardContextual"/>
        </w:rPr>
      </w:pPr>
    </w:p>
    <w:p w14:paraId="111DF233" w14:textId="77777777" w:rsidR="00101DAB" w:rsidRPr="00101DAB" w:rsidRDefault="00101DAB" w:rsidP="00101DAB">
      <w:pPr>
        <w:spacing w:after="0" w:line="276" w:lineRule="auto"/>
        <w:jc w:val="both"/>
        <w:rPr>
          <w:rFonts w:ascii="Verdana" w:eastAsia="Aptos" w:hAnsi="Verdana" w:cs="Times New Roman"/>
          <w:kern w:val="2"/>
          <w:lang w:val="es-ES_tradnl"/>
          <w14:ligatures w14:val="standardContextual"/>
        </w:rPr>
      </w:pPr>
      <w:r w:rsidRPr="00101DAB">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101DAB">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101DAB">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101DAB">
        <w:rPr>
          <w:rFonts w:ascii="Verdana" w:eastAsia="Aptos" w:hAnsi="Verdana" w:cs="Times New Roman"/>
          <w:kern w:val="2"/>
          <w:lang w:val="es-ES_tradnl"/>
          <w14:ligatures w14:val="standardContextual"/>
        </w:rPr>
        <w:t>Además</w:t>
      </w:r>
      <w:proofErr w:type="gramEnd"/>
      <w:r w:rsidRPr="00101DAB">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101DAB">
        <w:rPr>
          <w:rFonts w:ascii="Verdana" w:eastAsia="Aptos" w:hAnsi="Verdana" w:cs="Times New Roman"/>
          <w:kern w:val="2"/>
          <w:lang w:val="es-ES_tradnl"/>
          <w14:ligatures w14:val="standardContextual"/>
        </w:rPr>
        <w:br/>
      </w:r>
      <w:hyperlink r:id="rId15" w:tgtFrame="_new" w:history="1">
        <w:r w:rsidRPr="00101DAB">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44E14A18" w14:textId="77777777" w:rsidR="00101DAB" w:rsidRPr="00101DAB" w:rsidRDefault="00101DAB" w:rsidP="00101DAB">
      <w:pPr>
        <w:widowControl w:val="0"/>
        <w:autoSpaceDE w:val="0"/>
        <w:autoSpaceDN w:val="0"/>
        <w:spacing w:after="0" w:line="276" w:lineRule="auto"/>
        <w:jc w:val="both"/>
        <w:rPr>
          <w:rFonts w:ascii="Verdana" w:eastAsia="Calibri" w:hAnsi="Verdana" w:cs="Arial"/>
          <w:shd w:val="clear" w:color="auto" w:fill="FFFFFF"/>
          <w:lang w:val="es-ES_tradnl"/>
        </w:rPr>
      </w:pPr>
    </w:p>
    <w:p w14:paraId="11E46412" w14:textId="77777777" w:rsidR="00101DAB" w:rsidRPr="00101DAB" w:rsidRDefault="00101DAB" w:rsidP="00101DAB">
      <w:pPr>
        <w:spacing w:after="0" w:line="276" w:lineRule="auto"/>
        <w:jc w:val="both"/>
        <w:rPr>
          <w:rFonts w:ascii="Verdana" w:eastAsia="Calibri" w:hAnsi="Verdana" w:cs="Times New Roman"/>
          <w:lang w:val="es-ES_tradnl"/>
        </w:rPr>
      </w:pPr>
      <w:r w:rsidRPr="00101DAB">
        <w:rPr>
          <w:rFonts w:ascii="Verdana" w:eastAsia="Calibri" w:hAnsi="Verdana" w:cs="Times New Roman"/>
          <w:lang w:val="es-ES_tradnl"/>
        </w:rPr>
        <w:t xml:space="preserve">Por último, los invitamos a seguirnos en las redes sociales, en las cuales se difunde información institucional: </w:t>
      </w:r>
    </w:p>
    <w:p w14:paraId="01DFC8DB" w14:textId="77777777" w:rsidR="00101DAB" w:rsidRPr="00101DAB" w:rsidRDefault="00101DAB" w:rsidP="00101DAB">
      <w:pPr>
        <w:spacing w:after="0" w:line="240" w:lineRule="auto"/>
        <w:jc w:val="both"/>
        <w:rPr>
          <w:rFonts w:ascii="Verdana" w:eastAsia="Calibri" w:hAnsi="Verdana" w:cs="Times New Roman"/>
          <w:kern w:val="2"/>
          <w:lang w:val="es-ES_tradnl" w:eastAsia="es-MX"/>
          <w14:ligatures w14:val="standardContextual"/>
        </w:rPr>
      </w:pPr>
    </w:p>
    <w:p w14:paraId="01292386" w14:textId="77777777" w:rsidR="00101DAB" w:rsidRPr="00101DAB" w:rsidRDefault="00101DAB" w:rsidP="00101DAB">
      <w:pPr>
        <w:spacing w:after="0" w:line="240" w:lineRule="auto"/>
        <w:jc w:val="both"/>
        <w:rPr>
          <w:rFonts w:ascii="Verdana" w:eastAsia="Calibri" w:hAnsi="Verdana" w:cs="Times New Roman"/>
          <w:kern w:val="2"/>
          <w:lang w:val="es-ES_tradnl" w:eastAsia="es-MX"/>
          <w14:ligatures w14:val="standardContextual"/>
        </w:rPr>
      </w:pPr>
      <w:r w:rsidRPr="00101DAB">
        <w:rPr>
          <w:rFonts w:ascii="Verdana" w:eastAsia="Calibri" w:hAnsi="Verdana" w:cs="Times New Roman"/>
          <w:kern w:val="2"/>
          <w:lang w:val="es-ES_tradnl" w:eastAsia="es-MX"/>
          <w14:ligatures w14:val="standardContextual"/>
        </w:rPr>
        <w:t xml:space="preserve">X: </w:t>
      </w:r>
      <w:r w:rsidRPr="00101DAB">
        <w:rPr>
          <w:rFonts w:ascii="Verdana" w:eastAsia="Calibri" w:hAnsi="Verdana" w:cs="Times New Roman"/>
          <w:kern w:val="2"/>
          <w:u w:val="single"/>
          <w:lang w:val="es-ES_tradnl" w:eastAsia="es-MX"/>
          <w14:ligatures w14:val="standardContextual"/>
        </w:rPr>
        <w:t>@colombiacompra</w:t>
      </w:r>
      <w:r w:rsidRPr="00101DAB">
        <w:rPr>
          <w:rFonts w:ascii="Verdana" w:eastAsia="Calibri" w:hAnsi="Verdana" w:cs="Times New Roman"/>
          <w:kern w:val="2"/>
          <w:lang w:val="es-ES_tradnl" w:eastAsia="es-MX"/>
          <w14:ligatures w14:val="standardContextual"/>
        </w:rPr>
        <w:t xml:space="preserve"> </w:t>
      </w:r>
    </w:p>
    <w:p w14:paraId="2244745F" w14:textId="77777777" w:rsidR="00101DAB" w:rsidRPr="00101DAB" w:rsidRDefault="00101DAB" w:rsidP="00101DAB">
      <w:pPr>
        <w:spacing w:after="0" w:line="240" w:lineRule="auto"/>
        <w:jc w:val="both"/>
        <w:rPr>
          <w:rFonts w:ascii="Verdana" w:eastAsia="Calibri" w:hAnsi="Verdana" w:cs="Times New Roman"/>
          <w:kern w:val="2"/>
          <w:lang w:val="es-ES" w:eastAsia="es-MX"/>
          <w14:ligatures w14:val="standardContextual"/>
        </w:rPr>
      </w:pPr>
      <w:r w:rsidRPr="00101DAB">
        <w:rPr>
          <w:rFonts w:ascii="Verdana" w:eastAsia="Calibri" w:hAnsi="Verdana" w:cs="Times New Roman"/>
          <w:kern w:val="2"/>
          <w:lang w:val="es-ES" w:eastAsia="es-MX"/>
          <w14:ligatures w14:val="standardContextual"/>
        </w:rPr>
        <w:t xml:space="preserve">Facebook: </w:t>
      </w:r>
      <w:proofErr w:type="spellStart"/>
      <w:r w:rsidRPr="00101DAB">
        <w:rPr>
          <w:rFonts w:ascii="Verdana" w:eastAsia="Calibri" w:hAnsi="Verdana" w:cs="Times New Roman"/>
          <w:kern w:val="2"/>
          <w:u w:val="single"/>
          <w:lang w:val="es-ES" w:eastAsia="es-MX"/>
          <w14:ligatures w14:val="standardContextual"/>
        </w:rPr>
        <w:t>ColombiaCompraEficiente</w:t>
      </w:r>
      <w:proofErr w:type="spellEnd"/>
    </w:p>
    <w:p w14:paraId="37311CD3" w14:textId="77777777" w:rsidR="00101DAB" w:rsidRPr="00101DAB" w:rsidRDefault="00101DAB" w:rsidP="00101DAB">
      <w:pPr>
        <w:spacing w:after="0" w:line="240" w:lineRule="auto"/>
        <w:jc w:val="both"/>
        <w:rPr>
          <w:rFonts w:ascii="Verdana" w:eastAsia="Calibri" w:hAnsi="Verdana" w:cs="Times New Roman"/>
          <w:kern w:val="2"/>
          <w:lang w:val="es-ES_tradnl" w:eastAsia="es-MX"/>
          <w14:ligatures w14:val="standardContextual"/>
        </w:rPr>
      </w:pPr>
      <w:r w:rsidRPr="00101DAB">
        <w:rPr>
          <w:rFonts w:ascii="Verdana" w:eastAsia="Calibri" w:hAnsi="Verdana" w:cs="Times New Roman"/>
          <w:kern w:val="2"/>
          <w:lang w:val="es-ES_tradnl" w:eastAsia="es-MX"/>
          <w14:ligatures w14:val="standardContextual"/>
        </w:rPr>
        <w:t xml:space="preserve">LinkedIn: </w:t>
      </w:r>
      <w:r w:rsidRPr="00101DAB">
        <w:rPr>
          <w:rFonts w:ascii="Verdana" w:eastAsia="Calibri" w:hAnsi="Verdana" w:cs="Times New Roman"/>
          <w:kern w:val="2"/>
          <w:u w:val="single"/>
          <w:lang w:val="es-ES_tradnl" w:eastAsia="es-MX"/>
          <w14:ligatures w14:val="standardContextual"/>
        </w:rPr>
        <w:t>Agencia Nacional de Contratación Pública - Colombia Compra Eficiente</w:t>
      </w:r>
      <w:r w:rsidRPr="00101DAB">
        <w:rPr>
          <w:rFonts w:ascii="Verdana" w:eastAsia="Calibri" w:hAnsi="Verdana" w:cs="Times New Roman"/>
          <w:kern w:val="2"/>
          <w:lang w:val="es-ES_tradnl" w:eastAsia="es-MX"/>
          <w14:ligatures w14:val="standardContextual"/>
        </w:rPr>
        <w:t xml:space="preserve"> Instagram: </w:t>
      </w:r>
      <w:r w:rsidRPr="00101DAB">
        <w:rPr>
          <w:rFonts w:ascii="Verdana" w:eastAsia="Calibri" w:hAnsi="Verdana" w:cs="Times New Roman"/>
          <w:kern w:val="2"/>
          <w:u w:val="single"/>
          <w:lang w:val="es-ES_tradnl" w:eastAsia="es-MX"/>
          <w14:ligatures w14:val="standardContextual"/>
        </w:rPr>
        <w:t>@colombiacompraeficiente_cce</w:t>
      </w:r>
    </w:p>
    <w:p w14:paraId="722B99D0" w14:textId="77777777" w:rsidR="00101DAB" w:rsidRPr="00101DAB" w:rsidRDefault="00101DAB" w:rsidP="00101DAB">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0DB8A9EA" w14:textId="77777777" w:rsidR="00101DAB" w:rsidRPr="00101DAB" w:rsidRDefault="00101DAB" w:rsidP="00101DAB">
      <w:pPr>
        <w:widowControl w:val="0"/>
        <w:autoSpaceDE w:val="0"/>
        <w:autoSpaceDN w:val="0"/>
        <w:spacing w:after="0" w:line="276" w:lineRule="auto"/>
        <w:jc w:val="both"/>
        <w:rPr>
          <w:rFonts w:ascii="Verdana" w:eastAsia="Calibri" w:hAnsi="Verdana" w:cs="Arial"/>
          <w:lang w:eastAsia="es-MX"/>
        </w:rPr>
      </w:pPr>
      <w:r w:rsidRPr="00101DAB">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5B3879" w14:textId="77777777" w:rsidR="00101DAB" w:rsidRPr="00101DAB" w:rsidRDefault="00101DAB" w:rsidP="00101DAB">
      <w:pPr>
        <w:widowControl w:val="0"/>
        <w:autoSpaceDE w:val="0"/>
        <w:autoSpaceDN w:val="0"/>
        <w:spacing w:after="0" w:line="276" w:lineRule="auto"/>
        <w:jc w:val="both"/>
        <w:rPr>
          <w:rFonts w:ascii="Verdana" w:eastAsia="Calibri" w:hAnsi="Verdana" w:cs="Arial"/>
          <w:lang w:eastAsia="es-MX"/>
        </w:rPr>
      </w:pPr>
    </w:p>
    <w:p w14:paraId="469231DA" w14:textId="77777777" w:rsidR="00101DAB" w:rsidRPr="00101DAB" w:rsidRDefault="00101DAB" w:rsidP="00101DAB">
      <w:pPr>
        <w:spacing w:after="0" w:line="240" w:lineRule="auto"/>
        <w:rPr>
          <w:rFonts w:ascii="Verdana" w:eastAsia="Calibri" w:hAnsi="Verdana" w:cs="Arial"/>
          <w:lang w:eastAsia="es-CO"/>
        </w:rPr>
      </w:pPr>
      <w:r w:rsidRPr="00101DAB">
        <w:rPr>
          <w:rFonts w:ascii="Verdana" w:eastAsia="Times New Roman" w:hAnsi="Verdana" w:cs="Arial"/>
          <w:lang w:eastAsia="es-CO"/>
        </w:rPr>
        <w:t>Atentamente,</w:t>
      </w:r>
      <w:r w:rsidRPr="00101DAB">
        <w:rPr>
          <w:rFonts w:ascii="Verdana" w:eastAsia="Calibri" w:hAnsi="Verdana" w:cs="Arial"/>
          <w:lang w:eastAsia="es-CO"/>
        </w:rPr>
        <w:t xml:space="preserve"> </w:t>
      </w:r>
    </w:p>
    <w:p w14:paraId="718F655D" w14:textId="67C1A6EE" w:rsidR="00101DAB" w:rsidRPr="00101DAB" w:rsidRDefault="00B23B90" w:rsidP="00101DAB">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lastRenderedPageBreak/>
        <w:drawing>
          <wp:inline distT="0" distB="0" distL="0" distR="0" wp14:anchorId="0B2DE87B" wp14:editId="7B3C7F5C">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101DAB" w:rsidRPr="00101DAB" w14:paraId="57C23103" w14:textId="77777777" w:rsidTr="00152DBB">
        <w:trPr>
          <w:trHeight w:val="315"/>
        </w:trPr>
        <w:tc>
          <w:tcPr>
            <w:tcW w:w="893" w:type="dxa"/>
            <w:tcBorders>
              <w:top w:val="nil"/>
              <w:left w:val="nil"/>
              <w:bottom w:val="nil"/>
              <w:right w:val="nil"/>
            </w:tcBorders>
            <w:vAlign w:val="center"/>
            <w:hideMark/>
          </w:tcPr>
          <w:p w14:paraId="2530A1F7" w14:textId="77777777" w:rsidR="00101DAB" w:rsidRPr="00101DAB" w:rsidRDefault="00101DAB" w:rsidP="00101DAB">
            <w:pPr>
              <w:rPr>
                <w:rFonts w:ascii="Verdana" w:eastAsia="Calibri" w:hAnsi="Verdana" w:cs="Arial"/>
                <w:sz w:val="16"/>
                <w:szCs w:val="16"/>
                <w:lang w:eastAsia="es-ES"/>
              </w:rPr>
            </w:pPr>
            <w:r w:rsidRPr="00101DAB">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55C239E6" w14:textId="77777777" w:rsidR="00101DAB" w:rsidRPr="00101DAB" w:rsidRDefault="00101DAB" w:rsidP="00101DAB">
            <w:pPr>
              <w:rPr>
                <w:rFonts w:ascii="Verdana" w:eastAsia="Arial" w:hAnsi="Verdana" w:cs="Arial"/>
                <w:sz w:val="16"/>
                <w:szCs w:val="16"/>
                <w:lang w:eastAsia="es-MX"/>
              </w:rPr>
            </w:pPr>
            <w:r w:rsidRPr="00101DAB">
              <w:rPr>
                <w:rFonts w:ascii="Verdana" w:eastAsia="Arial" w:hAnsi="Verdana" w:cs="Arial"/>
                <w:sz w:val="16"/>
                <w:szCs w:val="16"/>
                <w:lang w:eastAsia="es-MX"/>
              </w:rPr>
              <w:t>Kevin Arlid Herrera Santa</w:t>
            </w:r>
          </w:p>
          <w:p w14:paraId="17341D1A" w14:textId="77777777" w:rsidR="00101DAB" w:rsidRPr="00101DAB" w:rsidRDefault="00101DAB" w:rsidP="00101DAB">
            <w:pPr>
              <w:rPr>
                <w:rFonts w:ascii="Verdana" w:eastAsia="Arial" w:hAnsi="Verdana" w:cs="Arial"/>
                <w:sz w:val="16"/>
                <w:szCs w:val="16"/>
                <w:lang w:eastAsia="es-MX"/>
              </w:rPr>
            </w:pPr>
            <w:r w:rsidRPr="00101DAB">
              <w:rPr>
                <w:rFonts w:ascii="Verdana" w:eastAsia="Arial" w:hAnsi="Verdana" w:cs="Arial"/>
                <w:sz w:val="16"/>
                <w:szCs w:val="16"/>
                <w:lang w:eastAsia="es-MX"/>
              </w:rPr>
              <w:t>Contratista de la Subdirección de Gestión Contractual</w:t>
            </w:r>
          </w:p>
          <w:p w14:paraId="454D1B2D" w14:textId="77777777" w:rsidR="00101DAB" w:rsidRPr="00101DAB" w:rsidRDefault="00101DAB" w:rsidP="00101DAB">
            <w:pPr>
              <w:rPr>
                <w:rFonts w:ascii="Verdana" w:eastAsia="Arial" w:hAnsi="Verdana" w:cs="Arial"/>
                <w:sz w:val="16"/>
                <w:szCs w:val="16"/>
                <w:lang w:eastAsia="es-MX"/>
              </w:rPr>
            </w:pPr>
            <w:r w:rsidRPr="00101DAB">
              <w:rPr>
                <w:rFonts w:ascii="Verdana" w:eastAsia="Arial" w:hAnsi="Verdana" w:cs="Arial"/>
                <w:sz w:val="16"/>
                <w:szCs w:val="16"/>
                <w:lang w:eastAsia="es-MX"/>
              </w:rPr>
              <w:t xml:space="preserve">Lida Milena </w:t>
            </w:r>
            <w:proofErr w:type="spellStart"/>
            <w:r w:rsidRPr="00101DAB">
              <w:rPr>
                <w:rFonts w:ascii="Verdana" w:eastAsia="Arial" w:hAnsi="Verdana" w:cs="Arial"/>
                <w:sz w:val="16"/>
                <w:szCs w:val="16"/>
                <w:lang w:eastAsia="es-MX"/>
              </w:rPr>
              <w:t>Guanumen</w:t>
            </w:r>
            <w:proofErr w:type="spellEnd"/>
            <w:r w:rsidRPr="00101DAB">
              <w:rPr>
                <w:rFonts w:ascii="Verdana" w:eastAsia="Arial" w:hAnsi="Verdana" w:cs="Arial"/>
                <w:sz w:val="16"/>
                <w:szCs w:val="16"/>
                <w:lang w:eastAsia="es-MX"/>
              </w:rPr>
              <w:t xml:space="preserve"> Pacheco</w:t>
            </w:r>
          </w:p>
          <w:p w14:paraId="3A18780C" w14:textId="77777777" w:rsidR="00101DAB" w:rsidRPr="00101DAB" w:rsidRDefault="00101DAB" w:rsidP="00101DAB">
            <w:pPr>
              <w:rPr>
                <w:rFonts w:ascii="Verdana" w:eastAsia="Arial" w:hAnsi="Verdana" w:cs="Arial"/>
                <w:sz w:val="16"/>
                <w:szCs w:val="16"/>
                <w:lang w:eastAsia="es-MX"/>
              </w:rPr>
            </w:pPr>
            <w:r w:rsidRPr="00101DAB">
              <w:rPr>
                <w:rFonts w:ascii="Verdana" w:eastAsia="Arial" w:hAnsi="Verdana" w:cs="Arial"/>
                <w:sz w:val="16"/>
                <w:szCs w:val="16"/>
                <w:lang w:eastAsia="es-MX"/>
              </w:rPr>
              <w:t>Contratista de la Subdirección de Gestión Contractual</w:t>
            </w:r>
          </w:p>
        </w:tc>
      </w:tr>
      <w:tr w:rsidR="00101DAB" w:rsidRPr="00101DAB" w14:paraId="063B8A65" w14:textId="77777777" w:rsidTr="00152DBB">
        <w:trPr>
          <w:trHeight w:val="330"/>
        </w:trPr>
        <w:tc>
          <w:tcPr>
            <w:tcW w:w="893" w:type="dxa"/>
            <w:tcBorders>
              <w:top w:val="nil"/>
              <w:left w:val="nil"/>
              <w:bottom w:val="nil"/>
              <w:right w:val="nil"/>
            </w:tcBorders>
            <w:vAlign w:val="center"/>
            <w:hideMark/>
          </w:tcPr>
          <w:p w14:paraId="4FDF12F6" w14:textId="77777777" w:rsidR="00101DAB" w:rsidRPr="00101DAB" w:rsidRDefault="00101DAB" w:rsidP="00101DAB">
            <w:pPr>
              <w:rPr>
                <w:rFonts w:ascii="Verdana" w:eastAsia="Calibri" w:hAnsi="Verdana" w:cs="Arial"/>
                <w:sz w:val="16"/>
                <w:szCs w:val="16"/>
                <w:lang w:eastAsia="es-ES"/>
              </w:rPr>
            </w:pPr>
            <w:r w:rsidRPr="00101DAB">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BE73D29" w14:textId="77777777" w:rsidR="00101DAB" w:rsidRPr="00101DAB" w:rsidRDefault="00101DAB" w:rsidP="00101DAB">
            <w:pPr>
              <w:textAlignment w:val="baseline"/>
              <w:rPr>
                <w:rFonts w:ascii="Verdana" w:eastAsia="Times New Roman" w:hAnsi="Verdana" w:cs="Segoe UI"/>
                <w:sz w:val="16"/>
                <w:szCs w:val="16"/>
                <w:lang w:val="es-ES" w:eastAsia="es-ES"/>
              </w:rPr>
            </w:pPr>
            <w:r w:rsidRPr="00101DAB">
              <w:rPr>
                <w:rFonts w:ascii="Verdana" w:eastAsia="Times New Roman" w:hAnsi="Verdana" w:cs="Segoe UI"/>
                <w:sz w:val="16"/>
                <w:szCs w:val="16"/>
                <w:lang w:val="es-ES" w:eastAsia="es-ES"/>
              </w:rPr>
              <w:t>Juan David Cárdenas Cabeza</w:t>
            </w:r>
          </w:p>
          <w:p w14:paraId="312226E9" w14:textId="77777777" w:rsidR="00101DAB" w:rsidRPr="00101DAB" w:rsidRDefault="00101DAB" w:rsidP="00101DAB">
            <w:pPr>
              <w:textAlignment w:val="baseline"/>
              <w:rPr>
                <w:rFonts w:ascii="Verdana" w:eastAsia="Times New Roman" w:hAnsi="Verdana" w:cs="Segoe UI"/>
                <w:sz w:val="16"/>
                <w:szCs w:val="16"/>
                <w:lang w:eastAsia="es-ES_tradnl"/>
              </w:rPr>
            </w:pPr>
            <w:r w:rsidRPr="00101DAB">
              <w:rPr>
                <w:rFonts w:ascii="Verdana" w:eastAsia="Times New Roman" w:hAnsi="Verdana" w:cs="Arial"/>
                <w:sz w:val="16"/>
                <w:szCs w:val="16"/>
                <w:lang w:val="es-ES_tradnl" w:eastAsia="es-ES_tradnl"/>
              </w:rPr>
              <w:t>Contratista de la Subdirección de Gestión Contractual </w:t>
            </w:r>
          </w:p>
        </w:tc>
      </w:tr>
      <w:tr w:rsidR="00101DAB" w:rsidRPr="00101DAB" w14:paraId="108BEE15" w14:textId="77777777" w:rsidTr="00152DBB">
        <w:trPr>
          <w:trHeight w:val="300"/>
        </w:trPr>
        <w:tc>
          <w:tcPr>
            <w:tcW w:w="893" w:type="dxa"/>
            <w:tcBorders>
              <w:top w:val="nil"/>
              <w:left w:val="nil"/>
              <w:bottom w:val="nil"/>
              <w:right w:val="nil"/>
            </w:tcBorders>
            <w:vAlign w:val="center"/>
          </w:tcPr>
          <w:p w14:paraId="3538FEB0" w14:textId="77777777" w:rsidR="00101DAB" w:rsidRPr="00101DAB" w:rsidRDefault="00101DAB" w:rsidP="00101DAB">
            <w:pPr>
              <w:rPr>
                <w:rFonts w:ascii="Verdana" w:eastAsia="Calibri" w:hAnsi="Verdana" w:cs="Arial"/>
                <w:sz w:val="16"/>
                <w:szCs w:val="16"/>
                <w:lang w:eastAsia="es-ES"/>
              </w:rPr>
            </w:pPr>
            <w:r w:rsidRPr="00101DAB">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68F700A" w14:textId="77777777" w:rsidR="00101DAB" w:rsidRPr="00101DAB" w:rsidRDefault="00101DAB" w:rsidP="00101DAB">
            <w:pPr>
              <w:rPr>
                <w:rFonts w:ascii="Verdana" w:eastAsia="Calibri" w:hAnsi="Verdana" w:cs="Arial"/>
                <w:sz w:val="16"/>
                <w:szCs w:val="16"/>
                <w:lang w:eastAsia="es-ES"/>
              </w:rPr>
            </w:pPr>
            <w:r w:rsidRPr="00101DAB">
              <w:rPr>
                <w:rFonts w:ascii="Verdana" w:eastAsia="Calibri" w:hAnsi="Verdana" w:cs="Arial"/>
                <w:sz w:val="16"/>
                <w:szCs w:val="16"/>
                <w:lang w:eastAsia="es-ES"/>
              </w:rPr>
              <w:t>Carolina Quintero Gacharná</w:t>
            </w:r>
          </w:p>
          <w:p w14:paraId="27CA2220" w14:textId="77777777" w:rsidR="00101DAB" w:rsidRPr="00101DAB" w:rsidRDefault="00101DAB" w:rsidP="00101DAB">
            <w:pPr>
              <w:rPr>
                <w:rFonts w:ascii="Verdana" w:eastAsia="Calibri" w:hAnsi="Verdana" w:cs="Arial"/>
                <w:sz w:val="16"/>
                <w:szCs w:val="16"/>
                <w:lang w:eastAsia="es-ES"/>
              </w:rPr>
            </w:pPr>
            <w:r w:rsidRPr="00101DAB">
              <w:rPr>
                <w:rFonts w:ascii="Verdana" w:eastAsia="Calibri" w:hAnsi="Verdana" w:cs="Arial"/>
                <w:sz w:val="16"/>
                <w:szCs w:val="16"/>
                <w:lang w:eastAsia="es-ES"/>
              </w:rPr>
              <w:t>Subdirectora de Gestión Contractual ANCP – CCE</w:t>
            </w:r>
          </w:p>
        </w:tc>
      </w:tr>
    </w:tbl>
    <w:p w14:paraId="633967E7" w14:textId="77777777" w:rsidR="00101DAB" w:rsidRPr="00101DAB" w:rsidRDefault="00101DAB" w:rsidP="00101DAB">
      <w:pPr>
        <w:spacing w:after="0" w:line="240" w:lineRule="auto"/>
        <w:jc w:val="both"/>
        <w:textAlignment w:val="baseline"/>
        <w:rPr>
          <w:rFonts w:ascii="Verdana" w:eastAsia="Verdana" w:hAnsi="Verdana" w:cs="Verdana"/>
          <w:lang w:eastAsia="es-CO"/>
        </w:rPr>
      </w:pPr>
    </w:p>
    <w:p w14:paraId="7C9026E2" w14:textId="2B5DF9C0" w:rsidR="002A0DD0" w:rsidRPr="00AD5DF9" w:rsidRDefault="00101DAB" w:rsidP="00AD5DF9">
      <w:pPr>
        <w:spacing w:after="0" w:line="240" w:lineRule="auto"/>
        <w:textAlignment w:val="baseline"/>
        <w:rPr>
          <w:rFonts w:ascii="Verdana" w:eastAsia="Verdana" w:hAnsi="Verdana" w:cs="Verdana"/>
          <w:lang w:eastAsia="es-CO"/>
        </w:rPr>
      </w:pPr>
      <w:r w:rsidRPr="00101DAB">
        <w:rPr>
          <w:rFonts w:ascii="Verdana" w:eastAsia="Verdana" w:hAnsi="Verdana" w:cs="Verdana"/>
          <w:lang w:eastAsia="es-CO"/>
        </w:rPr>
        <w:t> </w:t>
      </w:r>
    </w:p>
    <w:p w14:paraId="69BC4D14" w14:textId="0D314DE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D4C1D" w14:textId="77777777" w:rsidR="006D41FB" w:rsidRDefault="006D41FB" w:rsidP="004A1847">
      <w:pPr>
        <w:spacing w:after="0" w:line="240" w:lineRule="auto"/>
      </w:pPr>
      <w:r>
        <w:separator/>
      </w:r>
    </w:p>
  </w:endnote>
  <w:endnote w:type="continuationSeparator" w:id="0">
    <w:p w14:paraId="7B71E647" w14:textId="77777777" w:rsidR="006D41FB" w:rsidRDefault="006D41F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F92FD" w14:textId="77777777" w:rsidR="006D41FB" w:rsidRDefault="006D41FB" w:rsidP="004A1847">
      <w:pPr>
        <w:spacing w:after="0" w:line="240" w:lineRule="auto"/>
      </w:pPr>
      <w:r>
        <w:separator/>
      </w:r>
    </w:p>
  </w:footnote>
  <w:footnote w:type="continuationSeparator" w:id="0">
    <w:p w14:paraId="472C82A9" w14:textId="77777777" w:rsidR="006D41FB" w:rsidRDefault="006D41FB" w:rsidP="004A1847">
      <w:pPr>
        <w:spacing w:after="0" w:line="240" w:lineRule="auto"/>
      </w:pPr>
      <w:r>
        <w:continuationSeparator/>
      </w:r>
    </w:p>
  </w:footnote>
  <w:footnote w:id="1">
    <w:p w14:paraId="0B148709" w14:textId="77777777" w:rsidR="00101DAB" w:rsidRPr="00CD5B19" w:rsidRDefault="00101DAB" w:rsidP="00101DAB">
      <w:pPr>
        <w:pStyle w:val="Textonotapie"/>
        <w:adjustRightInd w:val="0"/>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w:t>
      </w:r>
      <w:r>
        <w:rPr>
          <w:rFonts w:ascii="Verdana" w:hAnsi="Verdana" w:cs="Arial"/>
          <w:color w:val="000000"/>
          <w:sz w:val="18"/>
          <w:szCs w:val="18"/>
          <w:lang w:val="es-ES"/>
        </w:rPr>
        <w:t>expedidas por esa Agencia</w:t>
      </w:r>
      <w:r w:rsidRPr="00CD5B19">
        <w:rPr>
          <w:rFonts w:ascii="Verdana" w:hAnsi="Verdana" w:cs="Arial"/>
          <w:color w:val="000000"/>
          <w:sz w:val="18"/>
          <w:szCs w:val="18"/>
          <w:lang w:val="es-ES"/>
        </w:rPr>
        <w:t xml:space="preserve">, dicha regla se observa en el artículo 3 de las Resoluciones </w:t>
      </w:r>
      <w:bookmarkStart w:id="1"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1"/>
      <w:r w:rsidRPr="00CD5B19">
        <w:rPr>
          <w:rFonts w:ascii="Verdana" w:hAnsi="Verdana" w:cs="Arial"/>
          <w:color w:val="000000"/>
          <w:sz w:val="18"/>
          <w:szCs w:val="18"/>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ECF72A4"/>
    <w:multiLevelType w:val="hybridMultilevel"/>
    <w:tmpl w:val="AA142B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3090215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0C1"/>
    <w:rsid w:val="00031A48"/>
    <w:rsid w:val="00046945"/>
    <w:rsid w:val="00061B2A"/>
    <w:rsid w:val="00082362"/>
    <w:rsid w:val="000A683E"/>
    <w:rsid w:val="000B19B9"/>
    <w:rsid w:val="000D0334"/>
    <w:rsid w:val="000D5DA7"/>
    <w:rsid w:val="000F6486"/>
    <w:rsid w:val="00101DAB"/>
    <w:rsid w:val="00116940"/>
    <w:rsid w:val="00125105"/>
    <w:rsid w:val="00127233"/>
    <w:rsid w:val="0015699B"/>
    <w:rsid w:val="001A33BF"/>
    <w:rsid w:val="001B327B"/>
    <w:rsid w:val="001C352A"/>
    <w:rsid w:val="001E4177"/>
    <w:rsid w:val="001F0B24"/>
    <w:rsid w:val="001F7DC6"/>
    <w:rsid w:val="0022400B"/>
    <w:rsid w:val="002421BB"/>
    <w:rsid w:val="0025796E"/>
    <w:rsid w:val="002707A2"/>
    <w:rsid w:val="002951A0"/>
    <w:rsid w:val="002962BC"/>
    <w:rsid w:val="002A093D"/>
    <w:rsid w:val="002A0DD0"/>
    <w:rsid w:val="002A49AC"/>
    <w:rsid w:val="002A64FD"/>
    <w:rsid w:val="002C1E80"/>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489C"/>
    <w:rsid w:val="00466E39"/>
    <w:rsid w:val="004A1847"/>
    <w:rsid w:val="004A305D"/>
    <w:rsid w:val="004F21C4"/>
    <w:rsid w:val="004F685F"/>
    <w:rsid w:val="005213C2"/>
    <w:rsid w:val="005566E8"/>
    <w:rsid w:val="00574867"/>
    <w:rsid w:val="00591460"/>
    <w:rsid w:val="005A65E0"/>
    <w:rsid w:val="005B6350"/>
    <w:rsid w:val="005C3777"/>
    <w:rsid w:val="005C5CDC"/>
    <w:rsid w:val="005D476C"/>
    <w:rsid w:val="006200BF"/>
    <w:rsid w:val="006219F8"/>
    <w:rsid w:val="006302F7"/>
    <w:rsid w:val="00646B9F"/>
    <w:rsid w:val="00665D70"/>
    <w:rsid w:val="006900D9"/>
    <w:rsid w:val="006D41FB"/>
    <w:rsid w:val="00706C16"/>
    <w:rsid w:val="00714B8E"/>
    <w:rsid w:val="007340C3"/>
    <w:rsid w:val="0075235A"/>
    <w:rsid w:val="00756841"/>
    <w:rsid w:val="007649AB"/>
    <w:rsid w:val="00771D0C"/>
    <w:rsid w:val="007833AC"/>
    <w:rsid w:val="007B268C"/>
    <w:rsid w:val="007B7171"/>
    <w:rsid w:val="007C0C0F"/>
    <w:rsid w:val="007C3DC2"/>
    <w:rsid w:val="007E5497"/>
    <w:rsid w:val="007F4394"/>
    <w:rsid w:val="00806F5F"/>
    <w:rsid w:val="00820278"/>
    <w:rsid w:val="00822120"/>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1838"/>
    <w:rsid w:val="009C71FA"/>
    <w:rsid w:val="009C72E7"/>
    <w:rsid w:val="009C7F7E"/>
    <w:rsid w:val="009D3058"/>
    <w:rsid w:val="009F3A13"/>
    <w:rsid w:val="00A122D3"/>
    <w:rsid w:val="00A14468"/>
    <w:rsid w:val="00A17F13"/>
    <w:rsid w:val="00A20739"/>
    <w:rsid w:val="00A23AF9"/>
    <w:rsid w:val="00A33C78"/>
    <w:rsid w:val="00AB0ADB"/>
    <w:rsid w:val="00AD5DF9"/>
    <w:rsid w:val="00B00C0E"/>
    <w:rsid w:val="00B01B1A"/>
    <w:rsid w:val="00B0381D"/>
    <w:rsid w:val="00B23B90"/>
    <w:rsid w:val="00B36CCB"/>
    <w:rsid w:val="00B44A47"/>
    <w:rsid w:val="00B6174B"/>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4BF7"/>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6A8C1A06"/>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101DA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81D348C-54B0-4C13-A69E-C1C920DFC93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20</Pages>
  <Words>6430</Words>
  <Characters>35369</Characters>
  <Application>Microsoft Office Word</Application>
  <DocSecurity>0</DocSecurity>
  <Lines>294</Lines>
  <Paragraphs>83</Paragraphs>
  <ScaleCrop>false</ScaleCrop>
  <Company/>
  <LinksUpToDate>false</LinksUpToDate>
  <CharactersWithSpaces>41716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2026-04-16T19:12:00Z</dcterms:created>
  <dcterms:modified xsi:type="dcterms:W3CDTF">2026-04-20T23:18:00Z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