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85422" w14:textId="77777777" w:rsidR="00045804" w:rsidRPr="00045804" w:rsidRDefault="00045804" w:rsidP="001945F3">
      <w:pPr>
        <w:spacing w:after="0" w:line="240" w:lineRule="auto"/>
        <w:jc w:val="both"/>
        <w:rPr>
          <w:rFonts w:ascii="Verdana" w:eastAsia="Verdana" w:hAnsi="Verdana" w:cs="Verdana"/>
          <w:b/>
          <w:lang w:val="es-ES_tradnl"/>
        </w:rPr>
      </w:pPr>
      <w:bookmarkStart w:id="0" w:name="_Hlk143780582"/>
      <w:r w:rsidRPr="00045804">
        <w:rPr>
          <w:rFonts w:ascii="Verdana" w:eastAsia="Verdana" w:hAnsi="Verdana" w:cs="Verdana"/>
          <w:b/>
          <w:lang w:val="es-ES_tradnl"/>
        </w:rPr>
        <w:t>LEY 1955 DE 2019 – Artículo 229 – Finalidad</w:t>
      </w:r>
    </w:p>
    <w:p w14:paraId="4F57B7B7" w14:textId="21BF224A" w:rsidR="00045804" w:rsidRDefault="00045804" w:rsidP="001945F3">
      <w:pPr>
        <w:spacing w:after="0" w:line="240" w:lineRule="auto"/>
        <w:jc w:val="both"/>
        <w:rPr>
          <w:rFonts w:ascii="Verdana" w:eastAsia="Verdana" w:hAnsi="Verdana" w:cs="Verdana"/>
          <w:b/>
          <w:lang w:val="es-ES_tradnl"/>
        </w:rPr>
      </w:pPr>
    </w:p>
    <w:p w14:paraId="12D01937" w14:textId="77777777" w:rsidR="00045804" w:rsidRPr="005750C1" w:rsidRDefault="00045804" w:rsidP="001945F3">
      <w:pPr>
        <w:spacing w:after="0" w:line="240" w:lineRule="auto"/>
        <w:jc w:val="both"/>
        <w:rPr>
          <w:rFonts w:ascii="Verdana" w:eastAsia="Verdana" w:hAnsi="Verdana" w:cs="Verdana"/>
          <w:sz w:val="20"/>
        </w:rPr>
      </w:pPr>
      <w:r w:rsidRPr="005750C1">
        <w:rPr>
          <w:rFonts w:ascii="Verdana" w:eastAsia="Verdana" w:hAnsi="Verdana" w:cs="Verdana"/>
          <w:sz w:val="20"/>
        </w:rPr>
        <w:t>Así, en el mercado de la compra pública se crean incentivos para fomentar el desarrollo de determinado tipo de proveedores, como ocurre con los incentivos a las Mipymes, a los emprendimientos y empresas de mujeres, entre otros. En esa orientación, el artículo 229 de la Ley 1955 de 2019, “Por el cual se expide el Plan Nacional de Desarrollo 2018-2022”,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w:t>
      </w:r>
    </w:p>
    <w:p w14:paraId="3C933930" w14:textId="77777777" w:rsidR="00045804" w:rsidRPr="00045804" w:rsidRDefault="00045804" w:rsidP="001945F3">
      <w:pPr>
        <w:spacing w:after="0" w:line="240" w:lineRule="auto"/>
        <w:jc w:val="both"/>
        <w:rPr>
          <w:rFonts w:ascii="Verdana" w:eastAsia="Verdana" w:hAnsi="Verdana" w:cs="Verdana"/>
          <w:b/>
        </w:rPr>
      </w:pPr>
    </w:p>
    <w:p w14:paraId="5872C23C" w14:textId="77777777" w:rsidR="00045804" w:rsidRPr="00045804" w:rsidRDefault="00045804" w:rsidP="001945F3">
      <w:pPr>
        <w:spacing w:after="0" w:line="240" w:lineRule="auto"/>
        <w:jc w:val="both"/>
        <w:rPr>
          <w:rFonts w:ascii="Verdana" w:eastAsia="Verdana" w:hAnsi="Verdana" w:cs="Verdana"/>
          <w:b/>
          <w:lang w:val="es-ES_tradnl"/>
        </w:rPr>
      </w:pPr>
      <w:r w:rsidRPr="00045804">
        <w:rPr>
          <w:rFonts w:ascii="Verdana" w:eastAsia="Verdana" w:hAnsi="Verdana" w:cs="Verdana"/>
          <w:b/>
          <w:lang w:val="es-ES_tradnl"/>
        </w:rPr>
        <w:t xml:space="preserve">LEY 2046 DE 2020 – Finalidad – Ámbito de aplicación - Compra pública de alimentos </w:t>
      </w:r>
    </w:p>
    <w:p w14:paraId="37C94CEE" w14:textId="7EF39323" w:rsidR="00045804" w:rsidRDefault="00045804" w:rsidP="001945F3">
      <w:pPr>
        <w:spacing w:after="0" w:line="240" w:lineRule="auto"/>
        <w:jc w:val="both"/>
        <w:rPr>
          <w:rFonts w:ascii="Verdana" w:eastAsia="Verdana" w:hAnsi="Verdana" w:cs="Verdana"/>
          <w:b/>
          <w:lang w:val="es-ES_tradnl"/>
        </w:rPr>
      </w:pPr>
    </w:p>
    <w:p w14:paraId="727A721F" w14:textId="77777777" w:rsidR="0001317C" w:rsidRDefault="0001317C" w:rsidP="001945F3">
      <w:pPr>
        <w:spacing w:after="0" w:line="240" w:lineRule="auto"/>
        <w:jc w:val="both"/>
        <w:rPr>
          <w:rFonts w:ascii="Verdana" w:eastAsia="Verdana" w:hAnsi="Verdana" w:cs="Verdana"/>
          <w:sz w:val="20"/>
        </w:rPr>
      </w:pPr>
      <w:r w:rsidRPr="0001317C">
        <w:rPr>
          <w:rFonts w:ascii="Verdana" w:eastAsia="Verdana" w:hAnsi="Verdana" w:cs="Verdana"/>
          <w:sz w:val="20"/>
        </w:rPr>
        <w:t>En cuanto al campo de aplicación, el artículo 3 ibidem prescribe lo siguiente: “Las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Por lo demás, también dispone en su inciso segundo que “Las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w:t>
      </w:r>
    </w:p>
    <w:p w14:paraId="2306B066" w14:textId="1A560E97" w:rsidR="0001317C" w:rsidRPr="0001317C" w:rsidRDefault="0001317C" w:rsidP="001945F3">
      <w:pPr>
        <w:spacing w:after="0" w:line="240" w:lineRule="auto"/>
        <w:jc w:val="both"/>
        <w:rPr>
          <w:rFonts w:ascii="Verdana" w:eastAsia="Verdana" w:hAnsi="Verdana" w:cs="Verdana"/>
          <w:sz w:val="20"/>
        </w:rPr>
      </w:pPr>
      <w:r w:rsidRPr="0001317C">
        <w:rPr>
          <w:rFonts w:ascii="Verdana" w:eastAsia="Verdana" w:hAnsi="Verdana" w:cs="Verdana"/>
          <w:sz w:val="20"/>
        </w:rPr>
        <w:t xml:space="preserve"> </w:t>
      </w:r>
    </w:p>
    <w:p w14:paraId="52A9F96B" w14:textId="77777777" w:rsidR="0001317C" w:rsidRPr="0001317C" w:rsidRDefault="0001317C" w:rsidP="001945F3">
      <w:pPr>
        <w:spacing w:after="0" w:line="240" w:lineRule="auto"/>
        <w:jc w:val="both"/>
        <w:rPr>
          <w:rFonts w:ascii="Verdana" w:eastAsia="Verdana" w:hAnsi="Verdana" w:cs="Verdana"/>
          <w:sz w:val="20"/>
        </w:rPr>
      </w:pPr>
      <w:r w:rsidRPr="0001317C">
        <w:rPr>
          <w:rFonts w:ascii="Verdana" w:eastAsia="Verdana" w:hAnsi="Verdana" w:cs="Verdana"/>
          <w:sz w:val="20"/>
        </w:rPr>
        <w:t>En efecto, este ámbito de aplicación no se limita a las entidades sujetas al Estatuto General de Contratación de la Administración Pública, sino que se extiende a otro tipo de Entidades Públicas de los distintos órdenes, las sociedades de economía mixta, entidades privadas que administren recursos públicos, así como los demás sujetos mencionados en la norma. Esta redacción evidencia la intención del legislador de otorgar un alcance general y comprensivo a las obligaciones allí contenidas, evitando limitar su aplicación a una categoría específica de entidades.</w:t>
      </w:r>
    </w:p>
    <w:p w14:paraId="6160B4AD" w14:textId="77777777" w:rsidR="0001317C" w:rsidRPr="0001317C" w:rsidRDefault="0001317C" w:rsidP="001945F3">
      <w:pPr>
        <w:spacing w:after="0" w:line="240" w:lineRule="auto"/>
        <w:jc w:val="both"/>
        <w:rPr>
          <w:rFonts w:ascii="Verdana" w:eastAsia="Verdana" w:hAnsi="Verdana" w:cs="Verdana"/>
          <w:b/>
        </w:rPr>
      </w:pPr>
    </w:p>
    <w:p w14:paraId="646B8DC8" w14:textId="77777777" w:rsidR="00045804" w:rsidRPr="00045804" w:rsidRDefault="00045804" w:rsidP="001945F3">
      <w:pPr>
        <w:spacing w:after="0" w:line="240" w:lineRule="auto"/>
        <w:jc w:val="both"/>
        <w:rPr>
          <w:rFonts w:ascii="Verdana" w:eastAsia="Verdana" w:hAnsi="Verdana" w:cs="Verdana"/>
          <w:b/>
        </w:rPr>
      </w:pPr>
      <w:r w:rsidRPr="00045804">
        <w:rPr>
          <w:rFonts w:ascii="Verdana" w:eastAsia="Verdana" w:hAnsi="Verdana" w:cs="Verdana"/>
          <w:b/>
        </w:rPr>
        <w:t xml:space="preserve">LEY 2046 DE 2020 – Artículo 7 – Incentivos contractuales – Puntajes adicionales – Promoción de la compra pública de alimentos </w:t>
      </w:r>
    </w:p>
    <w:p w14:paraId="46ED4C02" w14:textId="293A76CD" w:rsidR="00045804" w:rsidRDefault="00045804" w:rsidP="001945F3">
      <w:pPr>
        <w:spacing w:after="0" w:line="240" w:lineRule="auto"/>
        <w:jc w:val="both"/>
        <w:rPr>
          <w:rFonts w:ascii="Verdana" w:eastAsia="Verdana" w:hAnsi="Verdana" w:cs="Verdana"/>
          <w:b/>
        </w:rPr>
      </w:pPr>
    </w:p>
    <w:p w14:paraId="0C34B315" w14:textId="4878B02D" w:rsidR="001945F3" w:rsidRPr="001945F3" w:rsidRDefault="001945F3" w:rsidP="001945F3">
      <w:pPr>
        <w:spacing w:after="0" w:line="240" w:lineRule="auto"/>
        <w:jc w:val="both"/>
        <w:rPr>
          <w:rFonts w:ascii="Verdana" w:eastAsia="Verdana" w:hAnsi="Verdana" w:cs="Verdana"/>
          <w:sz w:val="20"/>
        </w:rPr>
      </w:pPr>
      <w:r>
        <w:rPr>
          <w:rFonts w:ascii="Verdana" w:eastAsia="Verdana" w:hAnsi="Verdana" w:cs="Verdana"/>
          <w:sz w:val="20"/>
        </w:rPr>
        <w:t xml:space="preserve">[…] </w:t>
      </w:r>
      <w:r w:rsidRPr="001945F3">
        <w:rPr>
          <w:rFonts w:ascii="Verdana" w:eastAsia="Verdana" w:hAnsi="Verdana" w:cs="Verdana"/>
          <w:sz w:val="20"/>
        </w:rPr>
        <w:t xml:space="preserve">la mayor pretensión de esta Ley fue lo regulado en el artículo 7, el cual estable los porcentajes mínimos de compra local a pequeños productores y productores de la agricultura campesina, familiar y comunitaria. En tal sentido, establece las siguientes reglas: “i) las entidades que están sujetas al ámbito de aplicación de esta ley tienen la obligación de adquirir alimentos comprados a pequeños productores agropecuarios </w:t>
      </w:r>
      <w:r w:rsidRPr="001945F3">
        <w:rPr>
          <w:rFonts w:ascii="Verdana" w:eastAsia="Verdana" w:hAnsi="Verdana" w:cs="Verdana"/>
          <w:sz w:val="20"/>
        </w:rPr>
        <w:lastRenderedPageBreak/>
        <w:t>locales y/o a productores de la Agricultura Campesina, Familiar o Comunitaria locales y sus organizaciones en un porcentaje mínimo del treinta por ciento (30%) del valor total de los recursos del presupuesto de cada entidad destinados a la compra de alimentos. En el evento que no se cumpla este porcentaje deben informar a la Mesa Técnica Nacional de Compra Pública de Alimentos, quien certifica y realiza las gestiones para otorgar un listado de pequeños productores; ii) También deben establecer en su Pliego de Condiciones un puntaje mínimo del diez por ciento (10%) de los puntos asignables a la calificación de las propuestas, que se asignan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 iii) Deben incluir en sus contratos la obligación por parte de sus contratistas que ejecuten u operen los programas institucionales en que se adquieran alimentos, de participar en los espacios de articulación que se definan por parte de la Mesa Técnica Nacional de Compras Públicas Locales de Alimentos y de participar en su rol de compradores de alimentos o de sus materias primas, en las ruedas de negocios que se realicen en virtud de lo establecido en la presente ley; iv) Establecerá en sus estudios previos, la zona geográfica para la compra pública local de alimentos a pequeños productores agropecuarios y/o a productores de la Agricultura Campesina, Familiar o Comunitaria locales o sus organizaciones, con base en una serie de criterios definidos en la norma. De igual modo, las entidades públicas deberán asegurar el cumplimiento de las obligaciones relativas a la compra de alimentos a pequeños productores locales y a quienes integran la Agricultura Campesina, Familiar o Comunitaria, priorizando en las Zomac la adquisición de productos originados en las mismas zonas donde desarrollan sus funciones misionales, y, en el marco de los programas de compras públicas, otorgando preferencia a las asociaciones de pequeños productores, tradicionales y artesanales del sector fiquero, así como a aquellos bienes cuyo empaque esté elaborado con fibra de fique.</w:t>
      </w:r>
    </w:p>
    <w:p w14:paraId="42EC69CB" w14:textId="77777777" w:rsidR="0001317C" w:rsidRPr="00045804" w:rsidRDefault="0001317C" w:rsidP="001945F3">
      <w:pPr>
        <w:spacing w:after="0" w:line="240" w:lineRule="auto"/>
        <w:jc w:val="both"/>
        <w:rPr>
          <w:rFonts w:ascii="Verdana" w:eastAsia="Verdana" w:hAnsi="Verdana" w:cs="Verdana"/>
          <w:b/>
        </w:rPr>
      </w:pPr>
    </w:p>
    <w:p w14:paraId="526F2D6C" w14:textId="537939A5" w:rsidR="00045804" w:rsidRPr="00045804" w:rsidRDefault="00045804" w:rsidP="001945F3">
      <w:pPr>
        <w:spacing w:after="0" w:line="240" w:lineRule="auto"/>
        <w:jc w:val="both"/>
        <w:rPr>
          <w:rFonts w:ascii="Verdana" w:eastAsia="Verdana" w:hAnsi="Verdana" w:cs="Verdana"/>
          <w:b/>
        </w:rPr>
      </w:pPr>
      <w:r w:rsidRPr="00045804">
        <w:rPr>
          <w:rFonts w:ascii="Verdana" w:eastAsia="Verdana" w:hAnsi="Verdana" w:cs="Verdana"/>
          <w:b/>
        </w:rPr>
        <w:t xml:space="preserve">DECRETO 248 DE 2021 – Decreto 1071 de 2015 – Reglamento – Incentivos contractuales – Contrato de promesa de proveeduría – </w:t>
      </w:r>
      <w:r w:rsidR="00E6293D">
        <w:rPr>
          <w:rFonts w:ascii="Verdana" w:eastAsia="Verdana" w:hAnsi="Verdana" w:cs="Verdana"/>
          <w:b/>
        </w:rPr>
        <w:t>N</w:t>
      </w:r>
      <w:r w:rsidRPr="00045804">
        <w:rPr>
          <w:rFonts w:ascii="Verdana" w:eastAsia="Verdana" w:hAnsi="Verdana" w:cs="Verdana"/>
          <w:b/>
        </w:rPr>
        <w:t xml:space="preserve">aturaleza dual – </w:t>
      </w:r>
      <w:r w:rsidR="00E6293D">
        <w:rPr>
          <w:rFonts w:ascii="Verdana" w:eastAsia="Verdana" w:hAnsi="Verdana" w:cs="Verdana"/>
          <w:b/>
        </w:rPr>
        <w:t>R</w:t>
      </w:r>
      <w:r w:rsidRPr="00045804">
        <w:rPr>
          <w:rFonts w:ascii="Verdana" w:eastAsia="Verdana" w:hAnsi="Verdana" w:cs="Verdana"/>
          <w:b/>
        </w:rPr>
        <w:t xml:space="preserve">equisito habilitante – </w:t>
      </w:r>
      <w:r w:rsidR="00E6293D">
        <w:rPr>
          <w:rFonts w:ascii="Verdana" w:eastAsia="Verdana" w:hAnsi="Verdana" w:cs="Verdana"/>
          <w:b/>
        </w:rPr>
        <w:t>F</w:t>
      </w:r>
      <w:r w:rsidRPr="00045804">
        <w:rPr>
          <w:rFonts w:ascii="Verdana" w:eastAsia="Verdana" w:hAnsi="Verdana" w:cs="Verdana"/>
          <w:b/>
        </w:rPr>
        <w:t xml:space="preserve">actor de evaluación </w:t>
      </w:r>
    </w:p>
    <w:p w14:paraId="1EC1806C" w14:textId="77777777" w:rsidR="001945F3" w:rsidRDefault="001945F3" w:rsidP="001945F3">
      <w:pPr>
        <w:spacing w:after="0" w:line="240" w:lineRule="auto"/>
        <w:jc w:val="both"/>
        <w:rPr>
          <w:rFonts w:ascii="Verdana" w:eastAsia="Verdana" w:hAnsi="Verdana" w:cs="Verdana"/>
          <w:sz w:val="20"/>
          <w:szCs w:val="20"/>
        </w:rPr>
      </w:pPr>
    </w:p>
    <w:p w14:paraId="353A75FD" w14:textId="13682E36" w:rsidR="0001317C" w:rsidRPr="0001317C" w:rsidRDefault="0001317C" w:rsidP="001945F3">
      <w:pPr>
        <w:spacing w:after="0" w:line="240" w:lineRule="auto"/>
        <w:jc w:val="both"/>
        <w:rPr>
          <w:rFonts w:ascii="Verdana" w:eastAsia="Verdana" w:hAnsi="Verdana" w:cs="Verdana"/>
          <w:bCs/>
          <w:sz w:val="20"/>
          <w:szCs w:val="20"/>
        </w:rPr>
      </w:pPr>
      <w:r w:rsidRPr="0001317C">
        <w:rPr>
          <w:rFonts w:ascii="Verdana" w:eastAsia="Verdana" w:hAnsi="Verdana" w:cs="Verdana"/>
          <w:sz w:val="20"/>
          <w:szCs w:val="20"/>
        </w:rPr>
        <w:t xml:space="preserve">A partir de la interpretación del Decreto 248 de 2021, que modifica el Decreto 1071 de 2015, </w:t>
      </w:r>
      <w:r w:rsidRPr="0001317C">
        <w:rPr>
          <w:rFonts w:ascii="Verdana" w:eastAsia="Verdana" w:hAnsi="Verdana" w:cs="Verdana"/>
          <w:bCs/>
          <w:sz w:val="20"/>
          <w:szCs w:val="20"/>
        </w:rPr>
        <w:t xml:space="preserve">se deriva que el contrato de promesa de proveeduría tiene una naturaleza dual, pues no solo es un requisito habilitante en los procesos para </w:t>
      </w:r>
      <w:r w:rsidRPr="0001317C">
        <w:rPr>
          <w:rFonts w:ascii="Verdana" w:eastAsia="Verdana" w:hAnsi="Verdana" w:cs="Verdana"/>
          <w:sz w:val="20"/>
          <w:szCs w:val="20"/>
        </w:rPr>
        <w:t xml:space="preserve">la adquisición, suministro y entrega de alimentos, sino que también </w:t>
      </w:r>
      <w:r w:rsidRPr="0001317C">
        <w:rPr>
          <w:rFonts w:ascii="Verdana" w:eastAsia="Verdana" w:hAnsi="Verdana" w:cs="Verdana"/>
          <w:bCs/>
          <w:sz w:val="20"/>
          <w:szCs w:val="20"/>
        </w:rPr>
        <w:t xml:space="preserve">es documento necesario para acreditar uno de los puntajes adicionales previstos en el reglamento citado. </w:t>
      </w:r>
      <w:r w:rsidRPr="0001317C">
        <w:rPr>
          <w:rFonts w:ascii="Verdana" w:eastAsia="Verdana" w:hAnsi="Verdana" w:cs="Verdana"/>
          <w:bCs/>
          <w:i/>
          <w:iCs/>
          <w:sz w:val="20"/>
          <w:szCs w:val="20"/>
        </w:rPr>
        <w:t>Por un lado</w:t>
      </w:r>
      <w:r w:rsidRPr="0001317C">
        <w:rPr>
          <w:rFonts w:ascii="Verdana" w:eastAsia="Verdana" w:hAnsi="Verdana" w:cs="Verdana"/>
          <w:bCs/>
          <w:sz w:val="20"/>
          <w:szCs w:val="20"/>
        </w:rPr>
        <w:t xml:space="preserve">, de acuerdo con el artículo 2.20.1.1.4, la suscripción de este contrato </w:t>
      </w:r>
      <w:r w:rsidRPr="0001317C">
        <w:rPr>
          <w:rFonts w:ascii="Verdana" w:eastAsia="Verdana" w:hAnsi="Verdana" w:cs="Verdana"/>
          <w:sz w:val="20"/>
          <w:szCs w:val="20"/>
        </w:rPr>
        <w:t xml:space="preserve">debe solicitarse a los proponentes en el pliego de condiciones, por lo que resulta una exigencia obligatoria del procedimiento de contratación. Incluso, una vez adjudicado, “[…] la entidad contratante deberá verificar como requisito de ejecución que el contratista haya celebrado el contrato de proveeduría con los pequeños productores y/o productores de la Agricultura Campesina, Familiar o Comunitaria locales y sus organizaciones”. Esto es </w:t>
      </w:r>
      <w:r w:rsidRPr="0001317C">
        <w:rPr>
          <w:rFonts w:ascii="Verdana" w:eastAsia="Verdana" w:hAnsi="Verdana" w:cs="Verdana"/>
          <w:bCs/>
          <w:sz w:val="20"/>
          <w:szCs w:val="20"/>
        </w:rPr>
        <w:t xml:space="preserve">congruente con el artículo 7 de la Ley 2046 de 2021 y el artículo </w:t>
      </w:r>
      <w:r w:rsidRPr="0001317C">
        <w:rPr>
          <w:rFonts w:ascii="Verdana" w:eastAsia="Verdana" w:hAnsi="Verdana" w:cs="Verdana"/>
          <w:bCs/>
          <w:sz w:val="20"/>
          <w:szCs w:val="20"/>
          <w:lang w:val="es-ES_tradnl"/>
        </w:rPr>
        <w:t xml:space="preserve">2.20.1.1.3. del Decreto 1071 de </w:t>
      </w:r>
      <w:r w:rsidRPr="0001317C">
        <w:rPr>
          <w:rFonts w:ascii="Verdana" w:eastAsia="Verdana" w:hAnsi="Verdana" w:cs="Verdana"/>
          <w:bCs/>
          <w:sz w:val="20"/>
          <w:szCs w:val="20"/>
          <w:lang w:val="es-ES_tradnl"/>
        </w:rPr>
        <w:lastRenderedPageBreak/>
        <w:t xml:space="preserve">2015, en la medida que </w:t>
      </w:r>
      <w:r w:rsidRPr="0001317C">
        <w:rPr>
          <w:rFonts w:ascii="Verdana" w:eastAsia="Verdana" w:hAnsi="Verdana" w:cs="Verdana"/>
          <w:sz w:val="20"/>
          <w:szCs w:val="20"/>
        </w:rPr>
        <w:t>un porcentaje mínimo del treinta por ciento (30%) del valor total de los recursos del presupuesto de cada entidad deben destinarse a la compra de alimentos a los sujetos mencionados.</w:t>
      </w:r>
    </w:p>
    <w:p w14:paraId="184B3DAA" w14:textId="77777777" w:rsidR="00045804" w:rsidRPr="00045804" w:rsidRDefault="00045804" w:rsidP="001945F3">
      <w:pPr>
        <w:spacing w:after="0" w:line="240" w:lineRule="auto"/>
        <w:jc w:val="both"/>
        <w:rPr>
          <w:rFonts w:ascii="Verdana" w:eastAsia="Verdana" w:hAnsi="Verdana" w:cs="Verdana"/>
          <w:b/>
        </w:rPr>
      </w:pPr>
    </w:p>
    <w:p w14:paraId="142B71C5" w14:textId="58E9B17F" w:rsidR="00045804" w:rsidRPr="00045804" w:rsidRDefault="00045804" w:rsidP="001945F3">
      <w:pPr>
        <w:spacing w:after="0" w:line="240" w:lineRule="auto"/>
        <w:jc w:val="both"/>
        <w:rPr>
          <w:rFonts w:ascii="Verdana" w:eastAsia="Verdana" w:hAnsi="Verdana" w:cs="Verdana"/>
          <w:b/>
        </w:rPr>
      </w:pPr>
      <w:r w:rsidRPr="00045804">
        <w:rPr>
          <w:rFonts w:ascii="Verdana" w:eastAsia="Verdana" w:hAnsi="Verdana" w:cs="Verdana"/>
          <w:b/>
        </w:rPr>
        <w:t>CONTRATO DE PROMESA DE PROVEEDURÍA – Requisito habilitante – Mínima Cuantía</w:t>
      </w:r>
    </w:p>
    <w:p w14:paraId="44359A89" w14:textId="77777777" w:rsidR="00045804" w:rsidRDefault="00045804" w:rsidP="001945F3">
      <w:pPr>
        <w:spacing w:after="0" w:line="240" w:lineRule="auto"/>
        <w:rPr>
          <w:rFonts w:ascii="Verdana" w:eastAsia="Verdana" w:hAnsi="Verdana" w:cs="Verdana"/>
        </w:rPr>
      </w:pPr>
    </w:p>
    <w:p w14:paraId="712DD019" w14:textId="17F65D17" w:rsidR="0001317C" w:rsidRDefault="0001317C" w:rsidP="001945F3">
      <w:pPr>
        <w:spacing w:after="0" w:line="240" w:lineRule="auto"/>
        <w:jc w:val="both"/>
        <w:rPr>
          <w:rFonts w:ascii="Verdana" w:eastAsia="Verdana" w:hAnsi="Verdana" w:cs="Verdana"/>
          <w:bCs/>
          <w:sz w:val="20"/>
        </w:rPr>
      </w:pPr>
      <w:r w:rsidRPr="0001317C">
        <w:rPr>
          <w:rFonts w:ascii="Verdana" w:eastAsia="Verdana" w:hAnsi="Verdana" w:cs="Verdana"/>
          <w:bCs/>
          <w:sz w:val="20"/>
        </w:rPr>
        <w:t>La mínima cuantía se caracteriza porque su único factor de evaluación es el menor precio. En consecuencia, la promesa del contrato de proveeduría opera exclusivamente como requisito habilitante, sin que pueda ser utilizarse como criterio de evaluación. Bajo esta lógica, las reglas relativas a la adquisición, suministro y entrega de alimentos deben interpretarse de manera armónica y sistemática con las particularidades de cada modalidad de selección, garantizando su correcta aplicación sin desnaturalizar los principios y reglas propios de la mínima cuantía.</w:t>
      </w:r>
    </w:p>
    <w:p w14:paraId="615E054F" w14:textId="77777777" w:rsidR="0001317C" w:rsidRPr="0001317C" w:rsidRDefault="0001317C" w:rsidP="001945F3">
      <w:pPr>
        <w:spacing w:after="0" w:line="240" w:lineRule="auto"/>
        <w:jc w:val="both"/>
        <w:rPr>
          <w:rFonts w:ascii="Verdana" w:eastAsia="Verdana" w:hAnsi="Verdana" w:cs="Verdana"/>
          <w:bCs/>
          <w:sz w:val="20"/>
        </w:rPr>
      </w:pPr>
    </w:p>
    <w:p w14:paraId="059536F0" w14:textId="77777777" w:rsidR="0001317C" w:rsidRPr="0001317C" w:rsidRDefault="0001317C" w:rsidP="001945F3">
      <w:pPr>
        <w:spacing w:after="0" w:line="240" w:lineRule="auto"/>
        <w:jc w:val="both"/>
        <w:rPr>
          <w:rFonts w:ascii="Verdana" w:eastAsia="Verdana" w:hAnsi="Verdana" w:cs="Verdana"/>
          <w:bCs/>
          <w:sz w:val="20"/>
        </w:rPr>
      </w:pPr>
      <w:r w:rsidRPr="0001317C">
        <w:rPr>
          <w:rFonts w:ascii="Verdana" w:eastAsia="Verdana" w:hAnsi="Verdana" w:cs="Verdana"/>
          <w:bCs/>
          <w:sz w:val="20"/>
        </w:rPr>
        <w:t>En tal entendido, en la Invitación Pública de un Proceso de Mínima Cuantía deberá exigirse a los proponentes la presentación de una promesa de contrato de proveeduría suscrita con pequeños productores agropecuarios locales y/o con productores de la Agricultura Campesina, Familiar y Comunitaria, así como con sus organizaciones, siempre que estos se encuentren registrados en el listado de productores individuales u organizaciones consolidado por las secretarías departamentales de agricultura —o la entidad que haga sus veces—, o en el Sistema Público de Información Alimentaria una vez este entre en funcionamiento. Dicha promesa de contrato de proveeduría deberá constar por escrito. De tal modo, la promesa de contrato de proveeduría se configura como un requisito habilitante indispensable para participar en un proceso de mínima cuantía, en tanto su función es acreditar la capacidad del proponente y no intervenir en la evaluación, cuyo único factor permitido es el menor precio.</w:t>
      </w:r>
    </w:p>
    <w:p w14:paraId="50F378AE" w14:textId="77777777" w:rsidR="00045804" w:rsidRDefault="00045804" w:rsidP="001945F3">
      <w:pPr>
        <w:spacing w:after="0" w:line="240" w:lineRule="auto"/>
        <w:rPr>
          <w:rFonts w:ascii="Verdana" w:eastAsia="Verdana" w:hAnsi="Verdana" w:cs="Verdana"/>
        </w:rPr>
      </w:pPr>
    </w:p>
    <w:p w14:paraId="040DC3BF" w14:textId="484F8C09" w:rsidR="00045804" w:rsidRDefault="00045804" w:rsidP="001945F3">
      <w:pPr>
        <w:spacing w:after="0" w:line="240" w:lineRule="auto"/>
        <w:rPr>
          <w:rFonts w:ascii="Verdana" w:eastAsia="Verdana" w:hAnsi="Verdana" w:cs="Verdana"/>
        </w:rPr>
      </w:pPr>
    </w:p>
    <w:p w14:paraId="2EBC1C39" w14:textId="3172C8D2" w:rsidR="001945F3" w:rsidRDefault="001945F3" w:rsidP="001945F3">
      <w:pPr>
        <w:spacing w:after="0" w:line="240" w:lineRule="auto"/>
        <w:rPr>
          <w:rFonts w:ascii="Verdana" w:eastAsia="Verdana" w:hAnsi="Verdana" w:cs="Verdana"/>
        </w:rPr>
      </w:pPr>
    </w:p>
    <w:p w14:paraId="1B8EFA6E" w14:textId="55AAF968" w:rsidR="001945F3" w:rsidRDefault="001945F3" w:rsidP="001945F3">
      <w:pPr>
        <w:spacing w:after="0" w:line="240" w:lineRule="auto"/>
        <w:rPr>
          <w:rFonts w:ascii="Verdana" w:eastAsia="Verdana" w:hAnsi="Verdana" w:cs="Verdana"/>
        </w:rPr>
      </w:pPr>
    </w:p>
    <w:p w14:paraId="1B2EE91E" w14:textId="5F700AFD" w:rsidR="001945F3" w:rsidRDefault="001945F3" w:rsidP="001945F3">
      <w:pPr>
        <w:spacing w:after="0" w:line="240" w:lineRule="auto"/>
        <w:rPr>
          <w:rFonts w:ascii="Verdana" w:eastAsia="Verdana" w:hAnsi="Verdana" w:cs="Verdana"/>
        </w:rPr>
      </w:pPr>
    </w:p>
    <w:p w14:paraId="68628657" w14:textId="5DE03B64" w:rsidR="001945F3" w:rsidRDefault="001945F3" w:rsidP="001945F3">
      <w:pPr>
        <w:spacing w:after="0" w:line="240" w:lineRule="auto"/>
        <w:rPr>
          <w:rFonts w:ascii="Verdana" w:eastAsia="Verdana" w:hAnsi="Verdana" w:cs="Verdana"/>
        </w:rPr>
      </w:pPr>
    </w:p>
    <w:p w14:paraId="7E534B62" w14:textId="1380D020" w:rsidR="001945F3" w:rsidRDefault="001945F3" w:rsidP="001945F3">
      <w:pPr>
        <w:spacing w:after="0" w:line="240" w:lineRule="auto"/>
        <w:rPr>
          <w:rFonts w:ascii="Verdana" w:eastAsia="Verdana" w:hAnsi="Verdana" w:cs="Verdana"/>
        </w:rPr>
      </w:pPr>
    </w:p>
    <w:p w14:paraId="4FBD20C8" w14:textId="503E38FC" w:rsidR="001945F3" w:rsidRDefault="001945F3" w:rsidP="001945F3">
      <w:pPr>
        <w:spacing w:after="0" w:line="240" w:lineRule="auto"/>
        <w:rPr>
          <w:rFonts w:ascii="Verdana" w:eastAsia="Verdana" w:hAnsi="Verdana" w:cs="Verdana"/>
        </w:rPr>
      </w:pPr>
    </w:p>
    <w:p w14:paraId="7E1D039E" w14:textId="2DAF9881" w:rsidR="001945F3" w:rsidRDefault="001945F3" w:rsidP="001945F3">
      <w:pPr>
        <w:spacing w:after="0" w:line="240" w:lineRule="auto"/>
        <w:rPr>
          <w:rFonts w:ascii="Verdana" w:eastAsia="Verdana" w:hAnsi="Verdana" w:cs="Verdana"/>
        </w:rPr>
      </w:pPr>
    </w:p>
    <w:p w14:paraId="447A5A57" w14:textId="0F529BAA" w:rsidR="001945F3" w:rsidRDefault="001945F3" w:rsidP="001945F3">
      <w:pPr>
        <w:spacing w:after="0" w:line="240" w:lineRule="auto"/>
        <w:rPr>
          <w:rFonts w:ascii="Verdana" w:eastAsia="Verdana" w:hAnsi="Verdana" w:cs="Verdana"/>
        </w:rPr>
      </w:pPr>
    </w:p>
    <w:p w14:paraId="6F2A7E8E" w14:textId="1891C68F" w:rsidR="001945F3" w:rsidRDefault="001945F3" w:rsidP="001945F3">
      <w:pPr>
        <w:spacing w:after="0" w:line="240" w:lineRule="auto"/>
        <w:rPr>
          <w:rFonts w:ascii="Verdana" w:eastAsia="Verdana" w:hAnsi="Verdana" w:cs="Verdana"/>
        </w:rPr>
      </w:pPr>
    </w:p>
    <w:p w14:paraId="2B7B0A7B" w14:textId="4840370D" w:rsidR="001945F3" w:rsidRDefault="001945F3" w:rsidP="001945F3">
      <w:pPr>
        <w:spacing w:after="0" w:line="240" w:lineRule="auto"/>
        <w:rPr>
          <w:rFonts w:ascii="Verdana" w:eastAsia="Verdana" w:hAnsi="Verdana" w:cs="Verdana"/>
        </w:rPr>
      </w:pPr>
    </w:p>
    <w:p w14:paraId="628CBE1E" w14:textId="597FDD4D" w:rsidR="001945F3" w:rsidRDefault="001945F3" w:rsidP="001945F3">
      <w:pPr>
        <w:spacing w:after="0" w:line="240" w:lineRule="auto"/>
        <w:rPr>
          <w:rFonts w:ascii="Verdana" w:eastAsia="Verdana" w:hAnsi="Verdana" w:cs="Verdana"/>
        </w:rPr>
      </w:pPr>
    </w:p>
    <w:p w14:paraId="1959BFEC" w14:textId="2CE66A4D" w:rsidR="001945F3" w:rsidRDefault="001945F3" w:rsidP="001945F3">
      <w:pPr>
        <w:spacing w:after="0" w:line="240" w:lineRule="auto"/>
        <w:rPr>
          <w:rFonts w:ascii="Verdana" w:eastAsia="Verdana" w:hAnsi="Verdana" w:cs="Verdana"/>
        </w:rPr>
      </w:pPr>
    </w:p>
    <w:p w14:paraId="1E88D88D" w14:textId="743FFB07" w:rsidR="001945F3" w:rsidRDefault="001945F3" w:rsidP="001945F3">
      <w:pPr>
        <w:spacing w:after="0" w:line="240" w:lineRule="auto"/>
        <w:rPr>
          <w:rFonts w:ascii="Verdana" w:eastAsia="Verdana" w:hAnsi="Verdana" w:cs="Verdana"/>
        </w:rPr>
      </w:pPr>
    </w:p>
    <w:p w14:paraId="558E3AD8" w14:textId="77777777" w:rsidR="001945F3" w:rsidRDefault="001945F3" w:rsidP="001945F3">
      <w:pPr>
        <w:spacing w:after="0" w:line="240" w:lineRule="auto"/>
        <w:rPr>
          <w:rFonts w:ascii="Verdana" w:eastAsia="Verdana" w:hAnsi="Verdana" w:cs="Verdana"/>
        </w:rPr>
      </w:pPr>
    </w:p>
    <w:p w14:paraId="621831C7" w14:textId="2DCA5CB8" w:rsidR="00045804" w:rsidRDefault="00045804" w:rsidP="00AA3D08">
      <w:pPr>
        <w:spacing w:after="0"/>
        <w:rPr>
          <w:rFonts w:ascii="Verdana" w:eastAsia="Verdana" w:hAnsi="Verdana" w:cs="Verdana"/>
        </w:rPr>
      </w:pPr>
      <w:r>
        <w:rPr>
          <w:rFonts w:ascii="Verdana" w:eastAsia="Verdana" w:hAnsi="Verdana" w:cs="Verdana"/>
        </w:rPr>
        <w:lastRenderedPageBreak/>
        <w:t>Bogotá D.C., 27 de abril de 2026</w:t>
      </w:r>
    </w:p>
    <w:p w14:paraId="4ACE8EF2" w14:textId="4753D1B7" w:rsidR="001945F3" w:rsidRDefault="001945F3" w:rsidP="00AA3D08">
      <w:pPr>
        <w:spacing w:after="0"/>
        <w:rPr>
          <w:rFonts w:ascii="Verdana" w:eastAsia="Verdana" w:hAnsi="Verdana" w:cs="Verdana"/>
        </w:rPr>
      </w:pPr>
      <w:r w:rsidRPr="001945F3">
        <w:rPr>
          <w:rFonts w:ascii="Verdana" w:eastAsia="Calibri" w:hAnsi="Verdana" w:cs="Times New Roman"/>
          <w:noProof/>
          <w:lang w:val="en-US"/>
        </w:rPr>
        <w:drawing>
          <wp:anchor distT="0" distB="0" distL="114300" distR="114300" simplePos="0" relativeHeight="251658240" behindDoc="0" locked="0" layoutInCell="1" allowOverlap="1" wp14:anchorId="140C1AB3" wp14:editId="5D745F8F">
            <wp:simplePos x="0" y="0"/>
            <wp:positionH relativeFrom="column">
              <wp:posOffset>2821586</wp:posOffset>
            </wp:positionH>
            <wp:positionV relativeFrom="paragraph">
              <wp:posOffset>8890</wp:posOffset>
            </wp:positionV>
            <wp:extent cx="2764155" cy="76708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64155" cy="7670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494AC2" w14:textId="4A495A8C" w:rsidR="00AA3D08" w:rsidRPr="00045804" w:rsidRDefault="00AA3D08" w:rsidP="00AA3D08">
      <w:pPr>
        <w:spacing w:after="0"/>
        <w:rPr>
          <w:rFonts w:ascii="Verdana" w:eastAsia="Verdana" w:hAnsi="Verdana" w:cs="Verdana"/>
        </w:rPr>
      </w:pPr>
    </w:p>
    <w:p w14:paraId="2BC5AE8C" w14:textId="498341FA" w:rsidR="00AA3D08" w:rsidRPr="003315B4" w:rsidRDefault="00AA3D08" w:rsidP="00AA3D08">
      <w:pPr>
        <w:spacing w:after="0" w:line="240" w:lineRule="auto"/>
        <w:rPr>
          <w:rFonts w:ascii="Verdana" w:eastAsia="Calibri" w:hAnsi="Verdana" w:cs="Times New Roman"/>
          <w:lang w:val="es-MX"/>
        </w:rPr>
      </w:pPr>
      <w:r w:rsidRPr="003315B4">
        <w:rPr>
          <w:rFonts w:ascii="Verdana" w:eastAsia="Calibri" w:hAnsi="Verdana" w:cs="Times New Roman"/>
          <w:lang w:val="es-MX"/>
        </w:rPr>
        <w:t>Señor</w:t>
      </w:r>
      <w:r w:rsidR="001945F3" w:rsidRPr="001945F3">
        <w:rPr>
          <w:rFonts w:ascii="Verdana" w:eastAsia="Calibri" w:hAnsi="Verdana" w:cs="Times New Roman"/>
          <w:lang w:val="es-MX"/>
        </w:rPr>
        <w:t xml:space="preserve"> </w:t>
      </w:r>
    </w:p>
    <w:p w14:paraId="59C601EE" w14:textId="77777777" w:rsidR="00AA3D08" w:rsidRDefault="00AA3D08" w:rsidP="00AA3D08">
      <w:pPr>
        <w:spacing w:after="0" w:line="240" w:lineRule="auto"/>
        <w:rPr>
          <w:rFonts w:ascii="Verdana" w:eastAsia="Calibri" w:hAnsi="Verdana" w:cs="Times New Roman"/>
          <w:b/>
        </w:rPr>
      </w:pPr>
      <w:r>
        <w:rPr>
          <w:rFonts w:ascii="Verdana" w:eastAsia="Calibri" w:hAnsi="Verdana" w:cs="Times New Roman"/>
          <w:b/>
        </w:rPr>
        <w:t>Ciudadano</w:t>
      </w:r>
    </w:p>
    <w:p w14:paraId="1C44F5D5" w14:textId="77777777" w:rsidR="00AA3D08" w:rsidRPr="003315B4" w:rsidRDefault="00AA3D08" w:rsidP="00AA3D08">
      <w:pPr>
        <w:spacing w:after="0" w:line="240" w:lineRule="auto"/>
        <w:rPr>
          <w:rFonts w:ascii="Verdana" w:eastAsia="Calibri" w:hAnsi="Verdana" w:cs="Times New Roman"/>
          <w:bCs/>
        </w:rPr>
      </w:pPr>
      <w:r>
        <w:rPr>
          <w:rFonts w:ascii="Verdana" w:eastAsia="Calibri" w:hAnsi="Verdana" w:cs="Times New Roman"/>
          <w:bCs/>
        </w:rPr>
        <w:t xml:space="preserve">Bogotá D.C. </w:t>
      </w:r>
    </w:p>
    <w:p w14:paraId="1C97B536" w14:textId="77777777" w:rsidR="00AA3D08" w:rsidRPr="008C3D38" w:rsidRDefault="00AA3D08" w:rsidP="00AA3D08">
      <w:pPr>
        <w:spacing w:after="0" w:line="240" w:lineRule="auto"/>
        <w:rPr>
          <w:rFonts w:ascii="Verdana" w:eastAsia="Calibri" w:hAnsi="Verdana" w:cs="Times New Roman"/>
        </w:rPr>
      </w:pPr>
    </w:p>
    <w:p w14:paraId="030FA160" w14:textId="77777777" w:rsidR="00AA3D08" w:rsidRPr="008C3D38" w:rsidRDefault="00AA3D08" w:rsidP="00AA3D08">
      <w:pPr>
        <w:spacing w:after="0" w:line="240" w:lineRule="auto"/>
        <w:rPr>
          <w:rFonts w:ascii="Verdana" w:eastAsia="Calibri" w:hAnsi="Verdana" w:cs="Times New Roman"/>
          <w:b/>
          <w:bCs/>
          <w:lang w:val="es-ES"/>
        </w:rPr>
      </w:pPr>
      <w:r w:rsidRPr="008C3D38">
        <w:rPr>
          <w:rFonts w:ascii="Verdana" w:eastAsia="Calibri" w:hAnsi="Verdana" w:cs="Times New Roman"/>
          <w:b/>
          <w:bCs/>
          <w:lang w:val="es-ES"/>
        </w:rPr>
        <w:t xml:space="preserve">                  </w:t>
      </w:r>
      <w:r>
        <w:rPr>
          <w:rFonts w:ascii="Verdana" w:eastAsia="Calibri" w:hAnsi="Verdana" w:cs="Times New Roman"/>
          <w:b/>
          <w:bCs/>
          <w:lang w:val="es-ES"/>
        </w:rPr>
        <w:t xml:space="preserve">                  Concepto C–391</w:t>
      </w:r>
      <w:r w:rsidRPr="008C3D38">
        <w:rPr>
          <w:rFonts w:ascii="Verdana" w:eastAsia="Calibri" w:hAnsi="Verdana" w:cs="Times New Roman"/>
          <w:b/>
          <w:bCs/>
          <w:lang w:val="es-ES"/>
        </w:rPr>
        <w:t xml:space="preserve"> de 2026</w:t>
      </w:r>
    </w:p>
    <w:p w14:paraId="09AEA1AA" w14:textId="77777777" w:rsidR="00AA3D08" w:rsidRPr="008C3D38" w:rsidRDefault="00AA3D08" w:rsidP="00AA3D08">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A3D08" w:rsidRPr="008C3D38" w14:paraId="31C362AA" w14:textId="77777777" w:rsidTr="00D87263">
        <w:trPr>
          <w:trHeight w:val="645"/>
        </w:trPr>
        <w:tc>
          <w:tcPr>
            <w:tcW w:w="2685" w:type="dxa"/>
            <w:hideMark/>
          </w:tcPr>
          <w:p w14:paraId="0B7CBCAC" w14:textId="77777777" w:rsidR="00AA3D08" w:rsidRPr="008C3D38" w:rsidRDefault="00AA3D08" w:rsidP="00D87263">
            <w:pPr>
              <w:rPr>
                <w:rFonts w:ascii="Verdana" w:hAnsi="Verdana"/>
                <w:b/>
                <w:bCs/>
                <w:lang w:val="es-ES_tradnl"/>
              </w:rPr>
            </w:pPr>
            <w:r w:rsidRPr="008C3D38">
              <w:rPr>
                <w:rFonts w:ascii="Verdana" w:hAnsi="Verdana"/>
                <w:b/>
                <w:bCs/>
                <w:lang w:val="es-ES_tradnl"/>
              </w:rPr>
              <w:t xml:space="preserve">Temas:                  </w:t>
            </w:r>
          </w:p>
        </w:tc>
        <w:tc>
          <w:tcPr>
            <w:tcW w:w="6241" w:type="dxa"/>
            <w:hideMark/>
          </w:tcPr>
          <w:p w14:paraId="4B5EC8A6" w14:textId="6027FCB6" w:rsidR="00AA3D08" w:rsidRPr="00D33A9D" w:rsidRDefault="00AA3D08" w:rsidP="00D87263">
            <w:pPr>
              <w:spacing w:line="276" w:lineRule="auto"/>
              <w:jc w:val="both"/>
              <w:rPr>
                <w:rFonts w:ascii="Verdana" w:hAnsi="Verdana" w:cs="Arial"/>
                <w:lang w:val="es-ES" w:eastAsia="es-ES"/>
              </w:rPr>
            </w:pPr>
            <w:r w:rsidRPr="008C3D38">
              <w:rPr>
                <w:rFonts w:ascii="Verdana" w:hAnsi="Verdana" w:cs="Arial"/>
                <w:lang w:val="es-ES_tradnl" w:eastAsia="es-ES"/>
              </w:rPr>
              <w:t>LEY 1955 DE 2019 – Artículo 229 – Finalidad / LEY 2046 DE 2020 – Finalidad – Ámbito de aplicación - Compra pública de alimentos</w:t>
            </w:r>
            <w:r>
              <w:rPr>
                <w:rFonts w:ascii="Verdana" w:hAnsi="Verdana" w:cs="Arial"/>
                <w:lang w:val="es-ES_tradnl" w:eastAsia="es-ES"/>
              </w:rPr>
              <w:t xml:space="preserve"> / </w:t>
            </w:r>
            <w:r w:rsidRPr="00D33A9D">
              <w:rPr>
                <w:rFonts w:ascii="Verdana" w:hAnsi="Verdana" w:cs="Arial"/>
                <w:lang w:eastAsia="es-ES"/>
              </w:rPr>
              <w:t>LEY 2046 DE 2020 – Artículo 7 – Incentivos contractuales – Puntajes adicionales – Promoción de la compra pública de alimentos / DECRETO 248 DE 2021 – Decreto 1071 de 2015 – Reglamento – Incentivos contractuales – Contrato de promesa de proveeduría – naturaleza dual – requisito habilitante – factor de evaluación</w:t>
            </w:r>
            <w:r>
              <w:rPr>
                <w:rFonts w:ascii="Verdana" w:hAnsi="Verdana" w:cs="Arial"/>
                <w:lang w:eastAsia="es-ES"/>
              </w:rPr>
              <w:t xml:space="preserve"> / CONTRATO DE PROMESA DE PROVEEDURÍA – Requisito habilitante – Mínima Cuantía </w:t>
            </w:r>
          </w:p>
          <w:p w14:paraId="0E445F67" w14:textId="77777777" w:rsidR="00AA3D08" w:rsidRPr="008C3D38" w:rsidRDefault="00AA3D08" w:rsidP="00D87263">
            <w:pPr>
              <w:snapToGrid w:val="0"/>
              <w:spacing w:line="276" w:lineRule="auto"/>
              <w:jc w:val="both"/>
              <w:rPr>
                <w:rFonts w:ascii="Verdana" w:hAnsi="Verdana" w:cs="Arial"/>
                <w:bCs/>
                <w:lang w:val="es-ES" w:eastAsia="es-ES"/>
              </w:rPr>
            </w:pPr>
          </w:p>
        </w:tc>
        <w:tc>
          <w:tcPr>
            <w:tcW w:w="6237" w:type="dxa"/>
          </w:tcPr>
          <w:p w14:paraId="700CAFDB" w14:textId="77777777" w:rsidR="00AA3D08" w:rsidRPr="008C3D38" w:rsidRDefault="00AA3D08" w:rsidP="00D87263">
            <w:pPr>
              <w:rPr>
                <w:rFonts w:ascii="Verdana" w:hAnsi="Verdana"/>
                <w:lang w:val="es-ES"/>
              </w:rPr>
            </w:pPr>
          </w:p>
        </w:tc>
      </w:tr>
      <w:tr w:rsidR="00AA3D08" w:rsidRPr="008C3D38" w14:paraId="5CA335A5" w14:textId="77777777" w:rsidTr="00D87263">
        <w:tc>
          <w:tcPr>
            <w:tcW w:w="2685" w:type="dxa"/>
          </w:tcPr>
          <w:p w14:paraId="2FACE236" w14:textId="77777777" w:rsidR="00AA3D08" w:rsidRPr="008C3D38" w:rsidRDefault="00AA3D08" w:rsidP="00D87263">
            <w:pPr>
              <w:rPr>
                <w:rFonts w:ascii="Verdana" w:hAnsi="Verdana"/>
                <w:b/>
                <w:bCs/>
                <w:lang w:val="es-ES_tradnl"/>
              </w:rPr>
            </w:pPr>
          </w:p>
          <w:p w14:paraId="166EEBEA" w14:textId="77777777" w:rsidR="00AA3D08" w:rsidRPr="008C3D38" w:rsidRDefault="00AA3D08" w:rsidP="00D87263">
            <w:pPr>
              <w:rPr>
                <w:rFonts w:ascii="Verdana" w:hAnsi="Verdana"/>
                <w:b/>
                <w:bCs/>
                <w:lang w:val="es-ES_tradnl"/>
              </w:rPr>
            </w:pPr>
            <w:r w:rsidRPr="008C3D38">
              <w:rPr>
                <w:rFonts w:ascii="Verdana" w:hAnsi="Verdana"/>
                <w:b/>
                <w:bCs/>
                <w:lang w:val="es-ES_tradnl"/>
              </w:rPr>
              <w:t xml:space="preserve">Radicación:               </w:t>
            </w:r>
          </w:p>
        </w:tc>
        <w:tc>
          <w:tcPr>
            <w:tcW w:w="6241" w:type="dxa"/>
          </w:tcPr>
          <w:p w14:paraId="385D2F9F" w14:textId="77777777" w:rsidR="00AA3D08" w:rsidRPr="008C3D38" w:rsidRDefault="00AA3D08" w:rsidP="00D87263">
            <w:pPr>
              <w:spacing w:line="276" w:lineRule="auto"/>
              <w:jc w:val="both"/>
              <w:rPr>
                <w:rFonts w:ascii="Verdana" w:hAnsi="Verdana"/>
                <w:lang w:val="es-ES_tradnl"/>
              </w:rPr>
            </w:pPr>
          </w:p>
          <w:p w14:paraId="69F8C8C4" w14:textId="77777777" w:rsidR="00AA3D08" w:rsidRPr="008C3D38" w:rsidRDefault="00AA3D08" w:rsidP="00D87263">
            <w:pPr>
              <w:spacing w:line="276" w:lineRule="auto"/>
              <w:jc w:val="both"/>
              <w:rPr>
                <w:rFonts w:ascii="Verdana" w:hAnsi="Verdana"/>
                <w:lang w:val="es-ES_tradnl"/>
              </w:rPr>
            </w:pPr>
            <w:r w:rsidRPr="008C3D38">
              <w:rPr>
                <w:rFonts w:ascii="Verdana" w:hAnsi="Verdana"/>
                <w:lang w:val="es-ES_tradnl"/>
              </w:rPr>
              <w:t xml:space="preserve">Respuesta a consulta con radicado </w:t>
            </w:r>
            <w:r w:rsidRPr="003F6DCC">
              <w:rPr>
                <w:rFonts w:ascii="Verdana" w:hAnsi="Verdana"/>
              </w:rPr>
              <w:t>1_2026_03_11_003392</w:t>
            </w:r>
          </w:p>
          <w:p w14:paraId="083AF786" w14:textId="77777777" w:rsidR="00AA3D08" w:rsidRPr="008C3D38" w:rsidRDefault="00AA3D08" w:rsidP="00D87263">
            <w:pPr>
              <w:spacing w:line="276" w:lineRule="auto"/>
              <w:jc w:val="both"/>
              <w:rPr>
                <w:rFonts w:ascii="Verdana" w:hAnsi="Verdana"/>
              </w:rPr>
            </w:pPr>
          </w:p>
          <w:p w14:paraId="59368DDE" w14:textId="77777777" w:rsidR="00AA3D08" w:rsidRPr="008C3D38" w:rsidRDefault="00AA3D08" w:rsidP="00D87263">
            <w:pPr>
              <w:spacing w:line="276" w:lineRule="auto"/>
              <w:jc w:val="both"/>
              <w:rPr>
                <w:rFonts w:ascii="Verdana" w:hAnsi="Verdana"/>
              </w:rPr>
            </w:pPr>
          </w:p>
        </w:tc>
        <w:tc>
          <w:tcPr>
            <w:tcW w:w="6237" w:type="dxa"/>
          </w:tcPr>
          <w:p w14:paraId="1CED74B6" w14:textId="77777777" w:rsidR="00AA3D08" w:rsidRPr="008C3D38" w:rsidRDefault="00AA3D08" w:rsidP="00D87263">
            <w:pPr>
              <w:rPr>
                <w:rFonts w:ascii="Verdana" w:hAnsi="Verdana"/>
              </w:rPr>
            </w:pPr>
          </w:p>
        </w:tc>
      </w:tr>
    </w:tbl>
    <w:p w14:paraId="7C4DD860" w14:textId="77777777" w:rsidR="00AA3D08" w:rsidRPr="008C3D38" w:rsidRDefault="00AA3D08" w:rsidP="00AA3D08">
      <w:pPr>
        <w:spacing w:after="0" w:line="256" w:lineRule="auto"/>
        <w:rPr>
          <w:rFonts w:ascii="Verdana" w:eastAsia="Calibri" w:hAnsi="Verdana" w:cs="Times New Roman"/>
          <w:lang w:val="es-ES"/>
        </w:rPr>
      </w:pPr>
      <w:r>
        <w:rPr>
          <w:rFonts w:ascii="Verdana" w:eastAsia="Calibri" w:hAnsi="Verdana" w:cs="Times New Roman"/>
          <w:lang w:val="es-ES"/>
        </w:rPr>
        <w:t>Estimado Ciudadano</w:t>
      </w:r>
      <w:r w:rsidRPr="008C3D38">
        <w:rPr>
          <w:rFonts w:ascii="Verdana" w:eastAsia="Calibri" w:hAnsi="Verdana" w:cs="Times New Roman"/>
          <w:lang w:val="es-ES"/>
        </w:rPr>
        <w:t xml:space="preserve">: </w:t>
      </w:r>
    </w:p>
    <w:p w14:paraId="5172C81F" w14:textId="77777777" w:rsidR="00AA3D08" w:rsidRPr="008C3D38" w:rsidRDefault="00AA3D08" w:rsidP="00AA3D08">
      <w:pPr>
        <w:spacing w:after="0" w:line="276" w:lineRule="auto"/>
        <w:rPr>
          <w:rFonts w:ascii="Verdana" w:eastAsia="Calibri" w:hAnsi="Verdana" w:cs="Times New Roman"/>
          <w:lang w:val="es-ES"/>
        </w:rPr>
      </w:pPr>
    </w:p>
    <w:p w14:paraId="3B7420CF" w14:textId="77777777" w:rsidR="00AA3D08" w:rsidRPr="008C3D38" w:rsidRDefault="00AA3D08" w:rsidP="00AA3D08">
      <w:pPr>
        <w:spacing w:after="0" w:line="276" w:lineRule="auto"/>
        <w:jc w:val="both"/>
        <w:rPr>
          <w:rFonts w:ascii="Verdana" w:eastAsia="Calibri" w:hAnsi="Verdana" w:cs="Times New Roman"/>
          <w:bCs/>
          <w:lang w:val="es-ES" w:bidi="es-ES"/>
        </w:rPr>
      </w:pPr>
      <w:r w:rsidRPr="008C3D38">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8C3D38">
        <w:rPr>
          <w:rFonts w:ascii="Verdana" w:eastAsia="Calibri" w:hAnsi="Verdana" w:cs="Times New Roman"/>
          <w:bCs/>
          <w:lang w:val="es-ES" w:bidi="es-ES"/>
        </w:rPr>
        <w:t>responde</w:t>
      </w:r>
      <w:r>
        <w:rPr>
          <w:rFonts w:ascii="Verdana" w:eastAsia="Calibri" w:hAnsi="Verdana" w:cs="Times New Roman"/>
          <w:bCs/>
          <w:lang w:val="es-ES" w:bidi="es-ES"/>
        </w:rPr>
        <w:t xml:space="preserve"> la solicitud de consulta del 11 de marzo de 2026</w:t>
      </w:r>
      <w:r w:rsidRPr="008C3D38">
        <w:rPr>
          <w:rFonts w:ascii="Verdana" w:eastAsia="Calibri" w:hAnsi="Verdana" w:cs="Times New Roman"/>
          <w:bCs/>
          <w:lang w:val="es-ES" w:bidi="es-ES"/>
        </w:rPr>
        <w:t xml:space="preserve">, en la cual manifiesta: </w:t>
      </w:r>
    </w:p>
    <w:p w14:paraId="711B6CFA" w14:textId="77777777" w:rsidR="00AA3D08" w:rsidRPr="00B909AD" w:rsidRDefault="00AA3D08" w:rsidP="00AA3D08">
      <w:pPr>
        <w:autoSpaceDE w:val="0"/>
        <w:autoSpaceDN w:val="0"/>
        <w:adjustRightInd w:val="0"/>
        <w:spacing w:after="0" w:line="240" w:lineRule="auto"/>
        <w:ind w:left="709" w:right="709"/>
        <w:jc w:val="both"/>
        <w:rPr>
          <w:rFonts w:ascii="Verdana" w:hAnsi="Verdana" w:cs="Arial"/>
          <w:color w:val="000000"/>
          <w:sz w:val="20"/>
          <w:szCs w:val="20"/>
        </w:rPr>
      </w:pPr>
    </w:p>
    <w:p w14:paraId="4430B379" w14:textId="77777777" w:rsidR="00AA3D08" w:rsidRPr="003F6DCC" w:rsidRDefault="00AA3D08" w:rsidP="00AA3D08">
      <w:pPr>
        <w:autoSpaceDE w:val="0"/>
        <w:autoSpaceDN w:val="0"/>
        <w:adjustRightInd w:val="0"/>
        <w:spacing w:after="0" w:line="240" w:lineRule="auto"/>
        <w:ind w:left="709" w:right="709"/>
        <w:jc w:val="both"/>
        <w:rPr>
          <w:rFonts w:ascii="Verdana" w:hAnsi="Verdana" w:cs="Arial"/>
          <w:color w:val="000000"/>
          <w:sz w:val="20"/>
          <w:szCs w:val="20"/>
        </w:rPr>
      </w:pPr>
      <w:r>
        <w:rPr>
          <w:rFonts w:ascii="Verdana" w:hAnsi="Verdana" w:cs="Arial"/>
          <w:color w:val="000000"/>
          <w:sz w:val="20"/>
          <w:szCs w:val="20"/>
        </w:rPr>
        <w:t>“</w:t>
      </w:r>
      <w:r w:rsidRPr="003F6DCC">
        <w:rPr>
          <w:rFonts w:ascii="Verdana" w:hAnsi="Verdana" w:cs="Arial"/>
          <w:color w:val="000000"/>
          <w:sz w:val="20"/>
          <w:szCs w:val="20"/>
        </w:rPr>
        <w:t>Solicito se informe respecto a la ap</w:t>
      </w:r>
      <w:r>
        <w:rPr>
          <w:rFonts w:ascii="Verdana" w:hAnsi="Verdana" w:cs="Arial"/>
          <w:color w:val="000000"/>
          <w:sz w:val="20"/>
          <w:szCs w:val="20"/>
        </w:rPr>
        <w:t xml:space="preserve">licación de compras públicas de </w:t>
      </w:r>
      <w:r w:rsidRPr="003F6DCC">
        <w:rPr>
          <w:rFonts w:ascii="Verdana" w:hAnsi="Verdana" w:cs="Arial"/>
          <w:color w:val="000000"/>
          <w:sz w:val="20"/>
          <w:szCs w:val="20"/>
        </w:rPr>
        <w:t>alimentos, si se realiza un proceso de mínima cuantía para suministro de</w:t>
      </w:r>
    </w:p>
    <w:p w14:paraId="1B61FE27" w14:textId="77777777" w:rsidR="00AA3D08" w:rsidRPr="003F6DCC" w:rsidRDefault="00AA3D08" w:rsidP="00AA3D08">
      <w:pPr>
        <w:autoSpaceDE w:val="0"/>
        <w:autoSpaceDN w:val="0"/>
        <w:adjustRightInd w:val="0"/>
        <w:spacing w:after="0" w:line="240" w:lineRule="auto"/>
        <w:ind w:left="709" w:right="709"/>
        <w:jc w:val="both"/>
        <w:rPr>
          <w:rFonts w:ascii="Verdana" w:hAnsi="Verdana" w:cs="Arial"/>
          <w:color w:val="000000"/>
          <w:sz w:val="20"/>
          <w:szCs w:val="20"/>
        </w:rPr>
      </w:pPr>
      <w:r w:rsidRPr="003F6DCC">
        <w:rPr>
          <w:rFonts w:ascii="Verdana" w:hAnsi="Verdana" w:cs="Arial"/>
          <w:color w:val="000000"/>
          <w:sz w:val="20"/>
          <w:szCs w:val="20"/>
        </w:rPr>
        <w:t>comida preparada, teniendo en cuenta que la norma Ley 2046 de 2020 y</w:t>
      </w:r>
      <w:r>
        <w:rPr>
          <w:rFonts w:ascii="Verdana" w:hAnsi="Verdana" w:cs="Arial"/>
          <w:color w:val="000000"/>
          <w:sz w:val="20"/>
          <w:szCs w:val="20"/>
        </w:rPr>
        <w:t xml:space="preserve"> </w:t>
      </w:r>
      <w:r w:rsidRPr="003F6DCC">
        <w:rPr>
          <w:rFonts w:ascii="Verdana" w:hAnsi="Verdana" w:cs="Arial"/>
          <w:color w:val="000000"/>
          <w:sz w:val="20"/>
          <w:szCs w:val="20"/>
        </w:rPr>
        <w:t>el Decreto 248 de 2021 establece que en la adquisición suministro y</w:t>
      </w:r>
      <w:r>
        <w:rPr>
          <w:rFonts w:ascii="Verdana" w:hAnsi="Verdana" w:cs="Arial"/>
          <w:color w:val="000000"/>
          <w:sz w:val="20"/>
          <w:szCs w:val="20"/>
        </w:rPr>
        <w:t xml:space="preserve"> </w:t>
      </w:r>
      <w:r w:rsidRPr="003F6DCC">
        <w:rPr>
          <w:rFonts w:ascii="Verdana" w:hAnsi="Verdana" w:cs="Arial"/>
          <w:color w:val="000000"/>
          <w:sz w:val="20"/>
          <w:szCs w:val="20"/>
        </w:rPr>
        <w:lastRenderedPageBreak/>
        <w:t>entrega de alimentos en cualquiera de sus modalidades de atención</w:t>
      </w:r>
      <w:r>
        <w:rPr>
          <w:rFonts w:ascii="Verdana" w:hAnsi="Verdana" w:cs="Arial"/>
          <w:color w:val="000000"/>
          <w:sz w:val="20"/>
          <w:szCs w:val="20"/>
        </w:rPr>
        <w:t xml:space="preserve"> </w:t>
      </w:r>
      <w:r w:rsidRPr="003F6DCC">
        <w:rPr>
          <w:rFonts w:ascii="Verdana" w:hAnsi="Verdana" w:cs="Arial"/>
          <w:color w:val="000000"/>
          <w:sz w:val="20"/>
          <w:szCs w:val="20"/>
        </w:rPr>
        <w:t>solicitarán a los proponentes en el pliego de condiciones, una promesa de</w:t>
      </w:r>
    </w:p>
    <w:p w14:paraId="195FE5CD" w14:textId="77777777" w:rsidR="00AA3D08" w:rsidRPr="003F6DCC" w:rsidRDefault="00AA3D08" w:rsidP="00AA3D08">
      <w:pPr>
        <w:autoSpaceDE w:val="0"/>
        <w:autoSpaceDN w:val="0"/>
        <w:adjustRightInd w:val="0"/>
        <w:spacing w:after="0" w:line="240" w:lineRule="auto"/>
        <w:ind w:left="709" w:right="709"/>
        <w:jc w:val="both"/>
        <w:rPr>
          <w:rFonts w:ascii="Verdana" w:hAnsi="Verdana" w:cs="Arial"/>
          <w:color w:val="000000"/>
          <w:sz w:val="20"/>
          <w:szCs w:val="20"/>
        </w:rPr>
      </w:pPr>
      <w:r w:rsidRPr="003F6DCC">
        <w:rPr>
          <w:rFonts w:ascii="Verdana" w:hAnsi="Verdana" w:cs="Arial"/>
          <w:color w:val="000000"/>
          <w:sz w:val="20"/>
          <w:szCs w:val="20"/>
        </w:rPr>
        <w:t>contrato de proveeduría</w:t>
      </w:r>
      <w:r>
        <w:rPr>
          <w:rFonts w:ascii="Verdana" w:hAnsi="Verdana" w:cs="Arial"/>
          <w:color w:val="000000"/>
          <w:sz w:val="20"/>
          <w:szCs w:val="20"/>
        </w:rPr>
        <w:t>.</w:t>
      </w:r>
      <w:r w:rsidRPr="003F6DCC">
        <w:rPr>
          <w:rFonts w:ascii="Verdana" w:hAnsi="Verdana" w:cs="Arial"/>
          <w:color w:val="000000"/>
          <w:sz w:val="20"/>
          <w:szCs w:val="20"/>
        </w:rPr>
        <w:t xml:space="preserve"> Lo anterior busca que se aclare ¿si en los</w:t>
      </w:r>
      <w:r>
        <w:rPr>
          <w:rFonts w:ascii="Verdana" w:hAnsi="Verdana" w:cs="Arial"/>
          <w:color w:val="000000"/>
          <w:sz w:val="20"/>
          <w:szCs w:val="20"/>
        </w:rPr>
        <w:t xml:space="preserve"> </w:t>
      </w:r>
      <w:r w:rsidRPr="003F6DCC">
        <w:rPr>
          <w:rFonts w:ascii="Verdana" w:hAnsi="Verdana" w:cs="Arial"/>
          <w:color w:val="000000"/>
          <w:sz w:val="20"/>
          <w:szCs w:val="20"/>
        </w:rPr>
        <w:t>procesos de mínima cuantía se debe solicitar la presentación del contrato</w:t>
      </w:r>
      <w:r>
        <w:rPr>
          <w:rFonts w:ascii="Verdana" w:hAnsi="Verdana" w:cs="Arial"/>
          <w:color w:val="000000"/>
          <w:sz w:val="20"/>
          <w:szCs w:val="20"/>
        </w:rPr>
        <w:t xml:space="preserve"> </w:t>
      </w:r>
      <w:r w:rsidRPr="003F6DCC">
        <w:rPr>
          <w:rFonts w:ascii="Verdana" w:hAnsi="Verdana" w:cs="Arial"/>
          <w:color w:val="000000"/>
          <w:sz w:val="20"/>
          <w:szCs w:val="20"/>
        </w:rPr>
        <w:t>de promesa de proveeduría?. Si este contrato de proveeduría lo realiza el</w:t>
      </w:r>
      <w:r>
        <w:rPr>
          <w:rFonts w:ascii="Verdana" w:hAnsi="Verdana" w:cs="Arial"/>
          <w:color w:val="000000"/>
          <w:sz w:val="20"/>
          <w:szCs w:val="20"/>
        </w:rPr>
        <w:t xml:space="preserve"> </w:t>
      </w:r>
      <w:r w:rsidRPr="003F6DCC">
        <w:rPr>
          <w:rFonts w:ascii="Verdana" w:hAnsi="Verdana" w:cs="Arial"/>
          <w:color w:val="000000"/>
          <w:sz w:val="20"/>
          <w:szCs w:val="20"/>
        </w:rPr>
        <w:t>contratista a libertad o es la entidad quien debe establecer a que</w:t>
      </w:r>
      <w:r>
        <w:rPr>
          <w:rFonts w:ascii="Verdana" w:hAnsi="Verdana" w:cs="Arial"/>
          <w:color w:val="000000"/>
          <w:sz w:val="20"/>
          <w:szCs w:val="20"/>
        </w:rPr>
        <w:t xml:space="preserve"> </w:t>
      </w:r>
      <w:r w:rsidRPr="003F6DCC">
        <w:rPr>
          <w:rFonts w:ascii="Verdana" w:hAnsi="Verdana" w:cs="Arial"/>
          <w:color w:val="000000"/>
          <w:sz w:val="20"/>
          <w:szCs w:val="20"/>
        </w:rPr>
        <w:t>productores locales se les debe adquirir los insumos, ello teniendo en</w:t>
      </w:r>
      <w:r>
        <w:rPr>
          <w:rFonts w:ascii="Verdana" w:hAnsi="Verdana" w:cs="Arial"/>
          <w:color w:val="000000"/>
          <w:sz w:val="20"/>
          <w:szCs w:val="20"/>
        </w:rPr>
        <w:t xml:space="preserve"> </w:t>
      </w:r>
      <w:r w:rsidRPr="003F6DCC">
        <w:rPr>
          <w:rFonts w:ascii="Verdana" w:hAnsi="Verdana" w:cs="Arial"/>
          <w:color w:val="000000"/>
          <w:sz w:val="20"/>
          <w:szCs w:val="20"/>
        </w:rPr>
        <w:t>cuenta que dice: "Cuando la oferta de alimentos producidos por pequeños</w:t>
      </w:r>
      <w:r>
        <w:rPr>
          <w:rFonts w:ascii="Verdana" w:hAnsi="Verdana" w:cs="Arial"/>
          <w:color w:val="000000"/>
          <w:sz w:val="20"/>
          <w:szCs w:val="20"/>
        </w:rPr>
        <w:t xml:space="preserve"> </w:t>
      </w:r>
      <w:r w:rsidRPr="003F6DCC">
        <w:rPr>
          <w:rFonts w:ascii="Verdana" w:hAnsi="Verdana" w:cs="Arial"/>
          <w:color w:val="000000"/>
          <w:sz w:val="20"/>
          <w:szCs w:val="20"/>
        </w:rPr>
        <w:t>productores sea inferior al mínimo de que trata el presente artículo la</w:t>
      </w:r>
      <w:r>
        <w:rPr>
          <w:rFonts w:ascii="Verdana" w:hAnsi="Verdana" w:cs="Arial"/>
          <w:color w:val="000000"/>
          <w:sz w:val="20"/>
          <w:szCs w:val="20"/>
        </w:rPr>
        <w:t xml:space="preserve"> </w:t>
      </w:r>
      <w:r w:rsidRPr="003F6DCC">
        <w:rPr>
          <w:rFonts w:ascii="Verdana" w:hAnsi="Verdana" w:cs="Arial"/>
          <w:color w:val="000000"/>
          <w:sz w:val="20"/>
          <w:szCs w:val="20"/>
        </w:rPr>
        <w:t>entidad deberá informar de dicha situación a la Secretaría Técnica de la</w:t>
      </w:r>
    </w:p>
    <w:p w14:paraId="0EFFB5D4" w14:textId="77777777" w:rsidR="00AA3D08" w:rsidRPr="00B909AD" w:rsidRDefault="00AA3D08" w:rsidP="00AA3D08">
      <w:pPr>
        <w:autoSpaceDE w:val="0"/>
        <w:autoSpaceDN w:val="0"/>
        <w:adjustRightInd w:val="0"/>
        <w:spacing w:after="0" w:line="240" w:lineRule="auto"/>
        <w:ind w:left="709" w:right="709"/>
        <w:jc w:val="both"/>
        <w:rPr>
          <w:rFonts w:ascii="Verdana" w:hAnsi="Verdana" w:cs="Arial"/>
          <w:color w:val="000000"/>
          <w:sz w:val="20"/>
          <w:szCs w:val="20"/>
        </w:rPr>
      </w:pPr>
      <w:r>
        <w:rPr>
          <w:rFonts w:ascii="Verdana" w:hAnsi="Verdana" w:cs="Arial"/>
          <w:color w:val="000000"/>
          <w:sz w:val="20"/>
          <w:szCs w:val="20"/>
        </w:rPr>
        <w:t>Mesa”</w:t>
      </w:r>
    </w:p>
    <w:p w14:paraId="02EF3D04" w14:textId="77777777" w:rsidR="00AA3D08" w:rsidRPr="008C3D38" w:rsidRDefault="00AA3D08" w:rsidP="00AA3D08">
      <w:pPr>
        <w:spacing w:after="0" w:line="276" w:lineRule="auto"/>
        <w:ind w:right="709"/>
        <w:jc w:val="both"/>
        <w:rPr>
          <w:rFonts w:ascii="Verdana" w:eastAsia="Calibri" w:hAnsi="Verdana" w:cs="Times New Roman"/>
          <w:bCs/>
          <w:lang w:val="es-ES" w:bidi="es-ES"/>
        </w:rPr>
      </w:pPr>
    </w:p>
    <w:p w14:paraId="2F04825E" w14:textId="77777777" w:rsidR="00AA3D08" w:rsidRPr="008C3D38" w:rsidRDefault="00AA3D08" w:rsidP="00AA3D08">
      <w:pPr>
        <w:spacing w:after="120" w:line="276" w:lineRule="auto"/>
        <w:ind w:firstLine="709"/>
        <w:jc w:val="both"/>
        <w:rPr>
          <w:rFonts w:ascii="Verdana" w:eastAsia="Calibri" w:hAnsi="Verdana" w:cs="Times New Roman"/>
          <w:lang w:val="es-ES"/>
        </w:rPr>
      </w:pPr>
      <w:r w:rsidRPr="008C3D38">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B0A27AA" w14:textId="77777777" w:rsidR="00AA3D08" w:rsidRPr="008C3D38" w:rsidRDefault="00AA3D08" w:rsidP="00AA3D08">
      <w:pPr>
        <w:spacing w:after="0" w:line="276" w:lineRule="auto"/>
        <w:ind w:firstLine="708"/>
        <w:jc w:val="both"/>
        <w:rPr>
          <w:rFonts w:ascii="Verdana" w:eastAsia="Calibri" w:hAnsi="Verdana" w:cs="Times New Roman"/>
          <w:lang w:val="es-ES"/>
        </w:rPr>
      </w:pPr>
      <w:r w:rsidRPr="008C3D38">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FA09B98" w14:textId="77777777" w:rsidR="00AA3D08" w:rsidRPr="008C3D38" w:rsidRDefault="00AA3D08" w:rsidP="00AA3D08">
      <w:pPr>
        <w:spacing w:after="0" w:line="276" w:lineRule="auto"/>
        <w:rPr>
          <w:rFonts w:ascii="Verdana" w:eastAsia="Calibri" w:hAnsi="Verdana" w:cs="Times New Roman"/>
          <w:lang w:val="es-ES"/>
        </w:rPr>
      </w:pPr>
    </w:p>
    <w:p w14:paraId="3F7DF335" w14:textId="77777777" w:rsidR="00AA3D08" w:rsidRPr="008C3D38" w:rsidRDefault="00AA3D08" w:rsidP="00AA3D08">
      <w:pPr>
        <w:numPr>
          <w:ilvl w:val="0"/>
          <w:numId w:val="16"/>
        </w:numPr>
        <w:spacing w:after="0" w:line="276" w:lineRule="auto"/>
        <w:rPr>
          <w:rFonts w:ascii="Verdana" w:eastAsia="Calibri" w:hAnsi="Verdana" w:cs="Times New Roman"/>
          <w:b/>
          <w:bCs/>
          <w:lang w:val="es-ES"/>
        </w:rPr>
      </w:pPr>
      <w:r w:rsidRPr="008C3D38">
        <w:rPr>
          <w:rFonts w:ascii="Verdana" w:eastAsia="Calibri" w:hAnsi="Verdana" w:cs="Times New Roman"/>
          <w:b/>
          <w:bCs/>
          <w:lang w:val="es-ES"/>
        </w:rPr>
        <w:t>Problema planteado:</w:t>
      </w:r>
    </w:p>
    <w:p w14:paraId="5DE7FBB0" w14:textId="77777777" w:rsidR="00AA3D08" w:rsidRPr="008C3D38" w:rsidRDefault="00AA3D08" w:rsidP="00AA3D08">
      <w:pPr>
        <w:spacing w:after="0" w:line="276" w:lineRule="auto"/>
        <w:rPr>
          <w:rFonts w:ascii="Verdana" w:eastAsia="Calibri" w:hAnsi="Verdana" w:cs="Times New Roman"/>
        </w:rPr>
      </w:pPr>
    </w:p>
    <w:p w14:paraId="27AF7B10" w14:textId="77777777" w:rsidR="00AA3D08" w:rsidRPr="007A3844" w:rsidRDefault="00AA3D08" w:rsidP="00AA3D08">
      <w:pPr>
        <w:spacing w:after="0" w:line="276" w:lineRule="auto"/>
        <w:jc w:val="both"/>
        <w:rPr>
          <w:rFonts w:ascii="Verdana" w:eastAsia="Calibri" w:hAnsi="Verdana" w:cs="Times New Roman"/>
        </w:rPr>
      </w:pPr>
      <w:r w:rsidRPr="008C3D38">
        <w:rPr>
          <w:rFonts w:ascii="Verdana" w:eastAsia="Calibri" w:hAnsi="Verdana" w:cs="Times New Roman"/>
        </w:rPr>
        <w:t xml:space="preserve">De acuerdo con el contenido de sus solicitudes, la Agencia procede a resolver </w:t>
      </w:r>
      <w:r>
        <w:rPr>
          <w:rFonts w:ascii="Verdana" w:eastAsia="Calibri" w:hAnsi="Verdana" w:cs="Times New Roman"/>
        </w:rPr>
        <w:t xml:space="preserve">los siguientes problemas jurídicos: i) </w:t>
      </w:r>
      <w:r w:rsidRPr="007A3844">
        <w:rPr>
          <w:rFonts w:ascii="Verdana" w:eastAsia="Calibri" w:hAnsi="Verdana" w:cs="Times New Roman"/>
        </w:rPr>
        <w:t>¿</w:t>
      </w:r>
      <w:r>
        <w:rPr>
          <w:rFonts w:ascii="Verdana" w:eastAsia="Calibri" w:hAnsi="Verdana" w:cs="Times New Roman"/>
        </w:rPr>
        <w:t xml:space="preserve">En un proceso de mínima cuantía </w:t>
      </w:r>
      <w:r w:rsidRPr="007A3844">
        <w:rPr>
          <w:rFonts w:ascii="Verdana" w:eastAsia="Calibri" w:hAnsi="Verdana" w:cs="Times New Roman"/>
        </w:rPr>
        <w:t>es</w:t>
      </w:r>
      <w:r>
        <w:rPr>
          <w:rFonts w:ascii="Verdana" w:eastAsia="Calibri" w:hAnsi="Verdana" w:cs="Times New Roman"/>
        </w:rPr>
        <w:t xml:space="preserve"> </w:t>
      </w:r>
      <w:r w:rsidRPr="007A3844">
        <w:rPr>
          <w:rFonts w:ascii="Verdana" w:eastAsia="Calibri" w:hAnsi="Verdana" w:cs="Times New Roman"/>
        </w:rPr>
        <w:t>obliga</w:t>
      </w:r>
      <w:r>
        <w:rPr>
          <w:rFonts w:ascii="Verdana" w:eastAsia="Calibri" w:hAnsi="Verdana" w:cs="Times New Roman"/>
        </w:rPr>
        <w:t xml:space="preserve">torio </w:t>
      </w:r>
      <w:r w:rsidRPr="007A3844">
        <w:rPr>
          <w:rFonts w:ascii="Verdana" w:eastAsia="Calibri" w:hAnsi="Verdana" w:cs="Times New Roman"/>
        </w:rPr>
        <w:t>exigir la presentación de la promesa de contrato de proveeduría?</w:t>
      </w:r>
      <w:r>
        <w:rPr>
          <w:rFonts w:ascii="Verdana" w:eastAsia="Calibri" w:hAnsi="Verdana" w:cs="Times New Roman"/>
        </w:rPr>
        <w:t xml:space="preserve">; ii) </w:t>
      </w:r>
      <w:r w:rsidRPr="00583749">
        <w:rPr>
          <w:rFonts w:ascii="Verdana" w:eastAsia="Calibri" w:hAnsi="Verdana" w:cs="Times New Roman"/>
        </w:rPr>
        <w:t xml:space="preserve">¿La identificación de </w:t>
      </w:r>
      <w:r>
        <w:rPr>
          <w:rFonts w:ascii="Verdana" w:eastAsia="Calibri" w:hAnsi="Verdana" w:cs="Times New Roman"/>
        </w:rPr>
        <w:t>l</w:t>
      </w:r>
      <w:r w:rsidRPr="00583749">
        <w:rPr>
          <w:rFonts w:ascii="Verdana" w:eastAsia="Calibri" w:hAnsi="Verdana" w:cs="Times New Roman"/>
        </w:rPr>
        <w:t>os productores</w:t>
      </w:r>
      <w:r>
        <w:rPr>
          <w:rFonts w:ascii="Verdana" w:eastAsia="Calibri" w:hAnsi="Verdana" w:cs="Times New Roman"/>
        </w:rPr>
        <w:t xml:space="preserve"> locales</w:t>
      </w:r>
      <w:r w:rsidRPr="00583749">
        <w:rPr>
          <w:rFonts w:ascii="Verdana" w:eastAsia="Calibri" w:hAnsi="Verdana" w:cs="Times New Roman"/>
        </w:rPr>
        <w:t xml:space="preserve"> </w:t>
      </w:r>
      <w:r>
        <w:rPr>
          <w:rFonts w:ascii="Verdana" w:eastAsia="Calibri" w:hAnsi="Verdana" w:cs="Times New Roman"/>
        </w:rPr>
        <w:t xml:space="preserve">con los que se celebra le </w:t>
      </w:r>
      <w:r w:rsidRPr="00583749">
        <w:rPr>
          <w:rFonts w:ascii="Verdana" w:eastAsia="Calibri" w:hAnsi="Verdana" w:cs="Times New Roman"/>
        </w:rPr>
        <w:lastRenderedPageBreak/>
        <w:t>corresponde</w:t>
      </w:r>
      <w:r>
        <w:rPr>
          <w:rFonts w:ascii="Verdana" w:eastAsia="Calibri" w:hAnsi="Verdana" w:cs="Times New Roman"/>
        </w:rPr>
        <w:t>n</w:t>
      </w:r>
      <w:r w:rsidRPr="00583749">
        <w:rPr>
          <w:rFonts w:ascii="Verdana" w:eastAsia="Calibri" w:hAnsi="Verdana" w:cs="Times New Roman"/>
        </w:rPr>
        <w:t xml:space="preserve"> a la gestión del contratista o debe </w:t>
      </w:r>
      <w:r>
        <w:rPr>
          <w:rFonts w:ascii="Verdana" w:eastAsia="Calibri" w:hAnsi="Verdana" w:cs="Times New Roman"/>
        </w:rPr>
        <w:t xml:space="preserve">ser definido </w:t>
      </w:r>
      <w:r w:rsidRPr="00583749">
        <w:rPr>
          <w:rFonts w:ascii="Verdana" w:eastAsia="Calibri" w:hAnsi="Verdana" w:cs="Times New Roman"/>
        </w:rPr>
        <w:t>por la entidad, e</w:t>
      </w:r>
      <w:r>
        <w:rPr>
          <w:rFonts w:ascii="Verdana" w:eastAsia="Calibri" w:hAnsi="Verdana" w:cs="Times New Roman"/>
        </w:rPr>
        <w:t>n especial,</w:t>
      </w:r>
      <w:r w:rsidRPr="00583749">
        <w:rPr>
          <w:rFonts w:ascii="Verdana" w:eastAsia="Calibri" w:hAnsi="Verdana" w:cs="Times New Roman"/>
        </w:rPr>
        <w:t xml:space="preserve"> cuando la oferta no alcanza el porcentaje mínimo exigido por la norma?</w:t>
      </w:r>
    </w:p>
    <w:p w14:paraId="1210CC6A" w14:textId="77777777" w:rsidR="00AA3D08" w:rsidRPr="008C3D38" w:rsidRDefault="00AA3D08" w:rsidP="00AA3D08">
      <w:pPr>
        <w:spacing w:after="0" w:line="240" w:lineRule="auto"/>
        <w:jc w:val="both"/>
        <w:rPr>
          <w:rFonts w:ascii="Verdana" w:eastAsia="Calibri" w:hAnsi="Verdana" w:cs="Times New Roman"/>
          <w:i/>
          <w:iCs/>
          <w:lang w:val="es-ES"/>
        </w:rPr>
      </w:pPr>
    </w:p>
    <w:p w14:paraId="297EA972" w14:textId="77777777" w:rsidR="00AA3D08" w:rsidRPr="008C3D38" w:rsidRDefault="00AA3D08" w:rsidP="00AA3D08">
      <w:pPr>
        <w:numPr>
          <w:ilvl w:val="0"/>
          <w:numId w:val="16"/>
        </w:numPr>
        <w:spacing w:after="0" w:line="276" w:lineRule="auto"/>
        <w:rPr>
          <w:rFonts w:ascii="Verdana" w:eastAsia="Calibri" w:hAnsi="Verdana" w:cs="Times New Roman"/>
          <w:b/>
          <w:bCs/>
          <w:lang w:val="es-ES"/>
        </w:rPr>
      </w:pPr>
      <w:r w:rsidRPr="008C3D38">
        <w:rPr>
          <w:rFonts w:ascii="Verdana" w:eastAsia="Calibri" w:hAnsi="Verdana" w:cs="Times New Roman"/>
          <w:b/>
          <w:bCs/>
          <w:lang w:val="es-ES"/>
        </w:rPr>
        <w:t>Respuesta:</w:t>
      </w:r>
    </w:p>
    <w:p w14:paraId="7B3730F5" w14:textId="77777777" w:rsidR="00AA3D08" w:rsidRPr="008C3D38" w:rsidRDefault="00AA3D08" w:rsidP="00AA3D08">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AA3D08" w:rsidRPr="008C3D38" w14:paraId="4C5E896B" w14:textId="77777777" w:rsidTr="00D87263">
        <w:trPr>
          <w:trHeight w:val="345"/>
          <w:jc w:val="center"/>
        </w:trPr>
        <w:tc>
          <w:tcPr>
            <w:tcW w:w="8784" w:type="dxa"/>
            <w:tcBorders>
              <w:bottom w:val="single" w:sz="4" w:space="0" w:color="auto"/>
            </w:tcBorders>
          </w:tcPr>
          <w:p w14:paraId="0F5E3033" w14:textId="77777777" w:rsidR="00AA3D08" w:rsidRDefault="00AA3D08" w:rsidP="00D87263">
            <w:pPr>
              <w:spacing w:line="276" w:lineRule="auto"/>
              <w:jc w:val="both"/>
              <w:rPr>
                <w:rFonts w:ascii="Verdana" w:hAnsi="Verdana" w:cs="Arial"/>
                <w:lang w:val="es-ES" w:eastAsia="es-ES"/>
              </w:rPr>
            </w:pPr>
            <w:r>
              <w:rPr>
                <w:rFonts w:ascii="Verdana" w:hAnsi="Verdana" w:cs="Arial"/>
                <w:lang w:val="es-ES" w:eastAsia="es-ES"/>
              </w:rPr>
              <w:t>En relación con los problemas jurídicos, objeto de consulta, se precisa lo siguiente:</w:t>
            </w:r>
          </w:p>
          <w:p w14:paraId="2B6BDE7C" w14:textId="77777777" w:rsidR="00AA3D08" w:rsidRDefault="00AA3D08" w:rsidP="00D87263">
            <w:pPr>
              <w:spacing w:line="276" w:lineRule="auto"/>
              <w:jc w:val="both"/>
              <w:rPr>
                <w:rFonts w:ascii="Verdana" w:hAnsi="Verdana" w:cs="Arial"/>
                <w:lang w:val="es-ES" w:eastAsia="es-ES"/>
              </w:rPr>
            </w:pPr>
          </w:p>
          <w:p w14:paraId="6442F93C" w14:textId="77777777" w:rsidR="00AA3D08" w:rsidRDefault="00AA3D08" w:rsidP="00D87263">
            <w:pPr>
              <w:shd w:val="clear" w:color="auto" w:fill="FFFFFF"/>
              <w:spacing w:after="120" w:line="276" w:lineRule="auto"/>
              <w:jc w:val="both"/>
              <w:rPr>
                <w:rFonts w:ascii="Verdana" w:eastAsia="Times New Roman" w:hAnsi="Verdana" w:cs="Arial"/>
                <w:bCs/>
                <w:lang w:eastAsia="es-CO"/>
              </w:rPr>
            </w:pPr>
            <w:r>
              <w:rPr>
                <w:rFonts w:ascii="Verdana" w:eastAsia="Times New Roman" w:hAnsi="Verdana" w:cs="Arial"/>
                <w:bCs/>
                <w:lang w:eastAsia="es-CO"/>
              </w:rPr>
              <w:t>i. Frente al primer problema jurídico de consulta, se precisa que</w:t>
            </w:r>
            <w:r w:rsidRPr="00620D95">
              <w:rPr>
                <w:rFonts w:ascii="Verdana" w:eastAsia="Times New Roman" w:hAnsi="Verdana" w:cs="Arial"/>
                <w:bCs/>
                <w:lang w:eastAsia="es-CO"/>
              </w:rPr>
              <w:t xml:space="preserve"> tratándose del proceso de mínima cuantía —modalidad de selección cuyo único factor de evaluación es el menor precio— debe entenderse que la promesa del contrato de proveeduría opera exclusivamente como </w:t>
            </w:r>
            <w:r w:rsidRPr="00620D95">
              <w:rPr>
                <w:rFonts w:ascii="Verdana" w:eastAsia="Times New Roman" w:hAnsi="Verdana" w:cs="Arial"/>
                <w:lang w:eastAsia="es-CO"/>
              </w:rPr>
              <w:t>requisito habilitante,</w:t>
            </w:r>
            <w:r w:rsidRPr="00620D95">
              <w:rPr>
                <w:rFonts w:ascii="Verdana" w:eastAsia="Times New Roman" w:hAnsi="Verdana" w:cs="Arial"/>
                <w:bCs/>
                <w:lang w:eastAsia="es-CO"/>
              </w:rPr>
              <w:t xml:space="preserve"> por lo que no puede </w:t>
            </w:r>
            <w:r>
              <w:rPr>
                <w:rFonts w:ascii="Verdana" w:eastAsia="Times New Roman" w:hAnsi="Verdana" w:cs="Arial"/>
                <w:bCs/>
                <w:lang w:eastAsia="es-CO"/>
              </w:rPr>
              <w:t xml:space="preserve">utilizarse </w:t>
            </w:r>
            <w:r w:rsidRPr="00620D95">
              <w:rPr>
                <w:rFonts w:ascii="Verdana" w:eastAsia="Times New Roman" w:hAnsi="Verdana" w:cs="Arial"/>
                <w:bCs/>
                <w:lang w:eastAsia="es-CO"/>
              </w:rPr>
              <w:t xml:space="preserve">como </w:t>
            </w:r>
            <w:r w:rsidRPr="00620D95">
              <w:rPr>
                <w:rFonts w:ascii="Verdana" w:eastAsia="Times New Roman" w:hAnsi="Verdana" w:cs="Arial"/>
                <w:lang w:eastAsia="es-CO"/>
              </w:rPr>
              <w:t>criterio de evaluación. En este contexto, las reglas relativas a la adquisición, suministro y entrega de alimentos deben interpretarse de manera armónica y sistemática</w:t>
            </w:r>
            <w:r w:rsidRPr="00620D95">
              <w:rPr>
                <w:rFonts w:ascii="Verdana" w:eastAsia="Times New Roman" w:hAnsi="Verdana" w:cs="Arial"/>
                <w:bCs/>
                <w:lang w:eastAsia="es-CO"/>
              </w:rPr>
              <w:t xml:space="preserve"> con las particularidades de cada modalidad de selección, garantizando su adecuada aplicación sin desnaturalizar l</w:t>
            </w:r>
            <w:r>
              <w:rPr>
                <w:rFonts w:ascii="Verdana" w:eastAsia="Times New Roman" w:hAnsi="Verdana" w:cs="Arial"/>
                <w:bCs/>
                <w:lang w:eastAsia="es-CO"/>
              </w:rPr>
              <w:t xml:space="preserve">as reglas y principios </w:t>
            </w:r>
            <w:r w:rsidRPr="00620D95">
              <w:rPr>
                <w:rFonts w:ascii="Verdana" w:eastAsia="Times New Roman" w:hAnsi="Verdana" w:cs="Arial"/>
                <w:bCs/>
                <w:lang w:eastAsia="es-CO"/>
              </w:rPr>
              <w:t>propios de la mínima cuantía.</w:t>
            </w:r>
            <w:r>
              <w:rPr>
                <w:rFonts w:ascii="Verdana" w:eastAsia="Times New Roman" w:hAnsi="Verdana" w:cs="Arial"/>
                <w:bCs/>
                <w:lang w:eastAsia="es-CO"/>
              </w:rPr>
              <w:t xml:space="preserve"> </w:t>
            </w:r>
          </w:p>
          <w:p w14:paraId="786069DB" w14:textId="77777777" w:rsidR="00AA3D08" w:rsidRDefault="00AA3D08" w:rsidP="00D87263">
            <w:pPr>
              <w:shd w:val="clear" w:color="auto" w:fill="FFFFFF"/>
              <w:spacing w:line="276" w:lineRule="auto"/>
              <w:ind w:firstLine="708"/>
              <w:jc w:val="both"/>
              <w:rPr>
                <w:rFonts w:ascii="Verdana" w:eastAsia="Times New Roman" w:hAnsi="Verdana" w:cs="Arial"/>
                <w:bCs/>
                <w:lang w:eastAsia="es-CO"/>
              </w:rPr>
            </w:pPr>
            <w:r w:rsidRPr="002D7EA4">
              <w:rPr>
                <w:rFonts w:ascii="Verdana" w:eastAsia="Times New Roman" w:hAnsi="Verdana" w:cs="Arial"/>
                <w:bCs/>
                <w:lang w:eastAsia="es-CO"/>
              </w:rPr>
              <w:t>E</w:t>
            </w:r>
            <w:r>
              <w:rPr>
                <w:rFonts w:ascii="Verdana" w:eastAsia="Times New Roman" w:hAnsi="Verdana" w:cs="Arial"/>
                <w:bCs/>
                <w:lang w:eastAsia="es-CO"/>
              </w:rPr>
              <w:t>n tal entendido</w:t>
            </w:r>
            <w:r w:rsidRPr="002D7EA4">
              <w:rPr>
                <w:rFonts w:ascii="Verdana" w:eastAsia="Times New Roman" w:hAnsi="Verdana" w:cs="Arial"/>
                <w:bCs/>
                <w:lang w:eastAsia="es-CO"/>
              </w:rPr>
              <w:t>, en la Invitación Pública</w:t>
            </w:r>
            <w:r>
              <w:rPr>
                <w:rFonts w:ascii="Verdana" w:eastAsia="Times New Roman" w:hAnsi="Verdana" w:cs="Arial"/>
                <w:bCs/>
                <w:lang w:eastAsia="es-CO"/>
              </w:rPr>
              <w:t xml:space="preserve"> de un Proceso de Mínima Cuantía</w:t>
            </w:r>
            <w:r w:rsidRPr="002D7EA4">
              <w:rPr>
                <w:rFonts w:ascii="Verdana" w:eastAsia="Times New Roman" w:hAnsi="Verdana" w:cs="Arial"/>
                <w:bCs/>
                <w:lang w:eastAsia="es-CO"/>
              </w:rPr>
              <w:t xml:space="preserve"> deberá exigirse a los proponentes la presentación de una promesa de contrato de proveeduría suscrita con pequeños productores agropecuarios locales y/o con productores de la Agricultura Campesina, Familiar y Comunitaria, así como con sus organizaciones, siempre que estos se encuentren registrados en el listado de productores individuales u organizaciones consolidado por las secretarías departamentales de agricultura —o la entidad que haga sus veces—, o en el Sistema Público de Información Alimentaria una vez este entre en funcionamiento. Dicha promesa de contrato de proveeduría deberá constar por escrito.</w:t>
            </w:r>
            <w:r>
              <w:rPr>
                <w:rFonts w:ascii="Verdana" w:eastAsia="Times New Roman" w:hAnsi="Verdana" w:cs="Arial"/>
                <w:bCs/>
                <w:lang w:eastAsia="es-CO"/>
              </w:rPr>
              <w:t xml:space="preserve"> </w:t>
            </w:r>
            <w:r w:rsidRPr="00B52007">
              <w:rPr>
                <w:rFonts w:ascii="Verdana" w:eastAsia="Times New Roman" w:hAnsi="Verdana" w:cs="Arial"/>
                <w:bCs/>
                <w:lang w:eastAsia="es-CO"/>
              </w:rPr>
              <w:t xml:space="preserve">De </w:t>
            </w:r>
            <w:r>
              <w:rPr>
                <w:rFonts w:ascii="Verdana" w:eastAsia="Times New Roman" w:hAnsi="Verdana" w:cs="Arial"/>
                <w:bCs/>
                <w:lang w:eastAsia="es-CO"/>
              </w:rPr>
              <w:t>tal</w:t>
            </w:r>
            <w:r w:rsidRPr="00B52007">
              <w:rPr>
                <w:rFonts w:ascii="Verdana" w:eastAsia="Times New Roman" w:hAnsi="Verdana" w:cs="Arial"/>
                <w:bCs/>
                <w:lang w:eastAsia="es-CO"/>
              </w:rPr>
              <w:t xml:space="preserve"> modo, la promesa de contrato de proveeduría se configura como un requisito habilitante indispensable para participar en un proceso de mínima cuantía, en tanto su función es acreditar la capacidad del proponente y no intervenir en la evaluación, cuyo único factor permitido es el menor precio.</w:t>
            </w:r>
            <w:r>
              <w:rPr>
                <w:rFonts w:ascii="Verdana" w:eastAsia="Times New Roman" w:hAnsi="Verdana" w:cs="Arial"/>
                <w:bCs/>
                <w:lang w:eastAsia="es-CO"/>
              </w:rPr>
              <w:t xml:space="preserve"> </w:t>
            </w:r>
          </w:p>
          <w:p w14:paraId="25C9E874" w14:textId="77777777" w:rsidR="00AA3D08" w:rsidRDefault="00AA3D08" w:rsidP="00D87263">
            <w:pPr>
              <w:shd w:val="clear" w:color="auto" w:fill="FFFFFF"/>
              <w:spacing w:line="276" w:lineRule="auto"/>
              <w:jc w:val="both"/>
              <w:rPr>
                <w:rFonts w:ascii="Verdana" w:eastAsia="Times New Roman" w:hAnsi="Verdana" w:cs="Arial"/>
                <w:bCs/>
                <w:lang w:eastAsia="es-CO"/>
              </w:rPr>
            </w:pPr>
          </w:p>
          <w:p w14:paraId="4DE76136" w14:textId="77777777" w:rsidR="00AA3D08" w:rsidRPr="00D33A9D" w:rsidRDefault="00AA3D08" w:rsidP="00D87263">
            <w:pPr>
              <w:spacing w:after="120" w:line="276" w:lineRule="auto"/>
              <w:jc w:val="both"/>
              <w:rPr>
                <w:rFonts w:ascii="Verdana" w:hAnsi="Verdana" w:cs="Arial"/>
                <w:bCs/>
              </w:rPr>
            </w:pPr>
            <w:r>
              <w:rPr>
                <w:rFonts w:ascii="Verdana" w:eastAsia="Times New Roman" w:hAnsi="Verdana" w:cs="Arial"/>
                <w:bCs/>
                <w:lang w:eastAsia="es-CO"/>
              </w:rPr>
              <w:t xml:space="preserve">ii. </w:t>
            </w:r>
            <w:r w:rsidRPr="00D33A9D">
              <w:rPr>
                <w:rFonts w:ascii="Verdana" w:hAnsi="Verdana" w:cs="Arial"/>
                <w:bCs/>
              </w:rPr>
              <w:t xml:space="preserve">En relación con el segundo problema jurídico, la normativa establece que cuando la oferta de alimentos provenientes de pequeños productores y/o de la Agricultura Campesina, Familiar o Comunitaria locales sea inferior al treinta </w:t>
            </w:r>
            <w:r w:rsidRPr="00D33A9D">
              <w:rPr>
                <w:rFonts w:ascii="Verdana" w:hAnsi="Verdana" w:cs="Arial"/>
                <w:bCs/>
              </w:rPr>
              <w:lastRenderedPageBreak/>
              <w:t>por ciento (30%), la entidad contratante debe informar esta situación a la Secretaría Técnica de la Mesa Técnica Nacional de Compras Públicas Locales dentro de los cinco (5) días hábiles siguientes a su verificación. Este deber de reporte constituye un mecanismo de control y seguimiento para garantizar el cumplimiento de los porcentajes mínimos de abastecimiento establecidos por la ley</w:t>
            </w:r>
            <w:r>
              <w:rPr>
                <w:rFonts w:ascii="Verdana" w:hAnsi="Verdana" w:cs="Arial"/>
                <w:bCs/>
              </w:rPr>
              <w:t xml:space="preserve"> y en el reglamento</w:t>
            </w:r>
            <w:r w:rsidRPr="00D33A9D">
              <w:rPr>
                <w:rFonts w:ascii="Verdana" w:hAnsi="Verdana" w:cs="Arial"/>
                <w:bCs/>
              </w:rPr>
              <w:t>.</w:t>
            </w:r>
          </w:p>
          <w:p w14:paraId="408941DD" w14:textId="77777777" w:rsidR="00AA3D08" w:rsidRPr="00D33A9D" w:rsidRDefault="00AA3D08" w:rsidP="00D87263">
            <w:pPr>
              <w:spacing w:after="120" w:line="276" w:lineRule="auto"/>
              <w:ind w:firstLine="709"/>
              <w:jc w:val="both"/>
              <w:rPr>
                <w:rFonts w:ascii="Verdana" w:eastAsia="Times New Roman" w:hAnsi="Verdana" w:cs="Arial"/>
                <w:bCs/>
                <w:lang w:eastAsia="es-CO"/>
              </w:rPr>
            </w:pPr>
            <w:r w:rsidRPr="00D33A9D">
              <w:rPr>
                <w:rFonts w:ascii="Verdana" w:eastAsia="Times New Roman" w:hAnsi="Verdana" w:cs="Arial"/>
                <w:bCs/>
                <w:lang w:eastAsia="es-CO"/>
              </w:rPr>
              <w:t>Una vez recibida la comunicación, la Secretaría Técnica dispone de un plazo de cinco (5) días hábiles para adelantar las gestiones necesarias y remitir a la entidad un listado de pequeños productores y/o productores de la Agricultura Campesina, Familiar o Comunitaria no locales que permitan suplir el porcentaje faltante. Este procedimiento asegura que, aun cuando la oferta local sea insuficiente, se mantenga la prioridad de vinculación de pequeños productores dentro de la cadena de abastecimiento público.</w:t>
            </w:r>
            <w:r w:rsidRPr="00AE627E">
              <w:rPr>
                <w:rFonts w:ascii="Verdana" w:eastAsia="Times New Roman" w:hAnsi="Verdana" w:cs="Arial"/>
                <w:lang w:eastAsia="es-CO"/>
              </w:rPr>
              <w:t xml:space="preserve"> </w:t>
            </w:r>
          </w:p>
          <w:p w14:paraId="6CB08EAE" w14:textId="77777777" w:rsidR="00AA3D08" w:rsidRPr="00D33A9D" w:rsidRDefault="00AA3D08" w:rsidP="00D87263">
            <w:pPr>
              <w:spacing w:after="120" w:line="276" w:lineRule="auto"/>
              <w:ind w:firstLine="709"/>
              <w:jc w:val="both"/>
              <w:rPr>
                <w:rFonts w:ascii="Verdana" w:eastAsia="Times New Roman" w:hAnsi="Verdana" w:cs="Arial"/>
                <w:bCs/>
                <w:lang w:eastAsia="es-CO"/>
              </w:rPr>
            </w:pPr>
            <w:r w:rsidRPr="006D5343">
              <w:rPr>
                <w:rFonts w:ascii="Verdana" w:eastAsia="Times New Roman" w:hAnsi="Verdana" w:cs="Arial"/>
                <w:bCs/>
                <w:lang w:eastAsia="es-CO"/>
              </w:rPr>
              <w:t>En este contexto, la identificación de los pequeños productores no puede quedar a la libre gestión del contratista, pues corresponde a la entidad contratante verificar el cumplimiento de los porcentajes mínimos exigidos por la norma y orientar el proceso de abastecimiento con base en los registros oficiales y en lo definido por la Mesa Técnica. Esta responsabilidad se refuerza cuando la oferta local resulta insuficiente, ya que la entidad debe garantizar que la obligación legal de inclusión de pequeños productores se cumpla de manera efectiva, trazable y conforme al procedimiento previsto. Un ejemplo de ello es lo dispuesto en el artículo 2.20.1.1.4., que regula la promesa de contrato de proveeduría y exige que las entidades que contraten la adquisición, suministro y entrega de alimentos soliciten a los proponentes una promesa suscrita con pequeños productores agropecuarios locales y/o productores de la Agricultura Campesina, Familiar y Comunitaria, inscritos en los registros consolidados por las secretarías departamentales de agricultura o en el Sistema Público de Información Alimentaria. Dicha promesa debe constar por escrito y, una vez presentada, la entidad debe verificar que el contrato de proveeduría se haya celebrado efectivamente con los pequeños productores y/o productores de la Agricultura Campesina, Familiar o Comunitaria locales y sus organizaciones.</w:t>
            </w:r>
            <w:r>
              <w:rPr>
                <w:rFonts w:ascii="Verdana" w:eastAsia="Times New Roman" w:hAnsi="Verdana" w:cs="Arial"/>
                <w:bCs/>
                <w:lang w:eastAsia="es-CO"/>
              </w:rPr>
              <w:t xml:space="preserve"> </w:t>
            </w:r>
          </w:p>
        </w:tc>
      </w:tr>
    </w:tbl>
    <w:p w14:paraId="61CAB066" w14:textId="77777777" w:rsidR="00AA3D08" w:rsidRPr="008C3D38" w:rsidRDefault="00AA3D08" w:rsidP="00AA3D08">
      <w:pPr>
        <w:spacing w:after="0" w:line="276" w:lineRule="auto"/>
        <w:jc w:val="both"/>
        <w:rPr>
          <w:rFonts w:ascii="Verdana" w:eastAsia="Calibri" w:hAnsi="Verdana" w:cs="Arial"/>
          <w:bCs/>
          <w:color w:val="000000" w:themeColor="text1"/>
        </w:rPr>
      </w:pPr>
      <w:bookmarkStart w:id="1" w:name="_Hlk78820161"/>
      <w:bookmarkStart w:id="2" w:name="_Hlk37703813"/>
    </w:p>
    <w:p w14:paraId="37DE33CA" w14:textId="77777777" w:rsidR="00AA3D08" w:rsidRPr="008C3D38" w:rsidRDefault="00AA3D08" w:rsidP="00AA3D08">
      <w:pPr>
        <w:numPr>
          <w:ilvl w:val="0"/>
          <w:numId w:val="16"/>
        </w:numPr>
        <w:tabs>
          <w:tab w:val="left" w:pos="2268"/>
        </w:tabs>
        <w:spacing w:after="0" w:line="276" w:lineRule="auto"/>
        <w:rPr>
          <w:rFonts w:ascii="Verdana" w:eastAsia="Calibri" w:hAnsi="Verdana" w:cs="Times New Roman"/>
          <w:b/>
          <w:bCs/>
          <w:lang w:val="es-ES"/>
        </w:rPr>
      </w:pPr>
      <w:r w:rsidRPr="008C3D38">
        <w:rPr>
          <w:rFonts w:ascii="Verdana" w:eastAsia="Calibri" w:hAnsi="Verdana" w:cs="Times New Roman"/>
          <w:b/>
          <w:bCs/>
          <w:lang w:val="es-ES"/>
        </w:rPr>
        <w:t>Razones de la respuesta:</w:t>
      </w:r>
    </w:p>
    <w:p w14:paraId="62759416" w14:textId="77777777" w:rsidR="00AA3D08" w:rsidRPr="008C3D38" w:rsidRDefault="00AA3D08" w:rsidP="00AA3D08">
      <w:pPr>
        <w:spacing w:after="0" w:line="276" w:lineRule="auto"/>
        <w:jc w:val="both"/>
        <w:rPr>
          <w:rFonts w:ascii="Verdana" w:eastAsia="Calibri" w:hAnsi="Verdana" w:cs="Arial"/>
          <w:lang w:val="es-ES"/>
        </w:rPr>
      </w:pPr>
    </w:p>
    <w:p w14:paraId="53BF09AD" w14:textId="77777777" w:rsidR="00AA3D08" w:rsidRPr="008C3D38" w:rsidRDefault="00AA3D08" w:rsidP="00AA3D08">
      <w:pPr>
        <w:spacing w:after="0" w:line="276" w:lineRule="auto"/>
        <w:jc w:val="both"/>
        <w:rPr>
          <w:rFonts w:ascii="Verdana" w:eastAsia="Calibri" w:hAnsi="Verdana" w:cs="Arial"/>
          <w:lang w:val="es-ES"/>
        </w:rPr>
      </w:pPr>
      <w:r w:rsidRPr="008C3D38">
        <w:rPr>
          <w:rFonts w:ascii="Verdana" w:eastAsia="Calibri" w:hAnsi="Verdana" w:cs="Arial"/>
          <w:lang w:val="es-ES"/>
        </w:rPr>
        <w:t>Lo anterior se sustenta en las siguientes consideraciones:</w:t>
      </w:r>
    </w:p>
    <w:bookmarkEnd w:id="1"/>
    <w:bookmarkEnd w:id="2"/>
    <w:p w14:paraId="62E30B16" w14:textId="77777777" w:rsidR="00AA3D08" w:rsidRPr="00AD400A" w:rsidRDefault="00AA3D08" w:rsidP="00AA3D08">
      <w:pPr>
        <w:spacing w:after="0" w:line="276" w:lineRule="auto"/>
        <w:jc w:val="both"/>
        <w:rPr>
          <w:rFonts w:ascii="Verdana" w:eastAsia="Calibri" w:hAnsi="Verdana" w:cs="Arial"/>
          <w:lang w:eastAsia="es-MX"/>
        </w:rPr>
      </w:pPr>
    </w:p>
    <w:p w14:paraId="3B2D31A5" w14:textId="77777777" w:rsidR="00AA3D08" w:rsidRPr="008C3D38" w:rsidRDefault="00AA3D08" w:rsidP="00AA3D08">
      <w:pPr>
        <w:spacing w:after="120" w:line="276" w:lineRule="auto"/>
        <w:jc w:val="both"/>
        <w:rPr>
          <w:rFonts w:ascii="Verdana" w:eastAsia="Century Gothic" w:hAnsi="Verdana" w:cs="Century Gothic"/>
        </w:rPr>
      </w:pPr>
      <w:r w:rsidRPr="00AD400A">
        <w:rPr>
          <w:rFonts w:ascii="Verdana" w:eastAsia="Calibri" w:hAnsi="Verdana" w:cs="Arial"/>
          <w:lang w:eastAsia="es-MX"/>
        </w:rPr>
        <w:t xml:space="preserve">i. </w:t>
      </w:r>
      <w:r w:rsidRPr="008C3D38">
        <w:rPr>
          <w:rFonts w:ascii="Verdana" w:eastAsia="Times New Roman" w:hAnsi="Verdana" w:cs="Arial"/>
          <w:lang w:eastAsia="es-CO"/>
        </w:rPr>
        <w:t>La contratación pública o sistema de compra pública se concibe como un mercado compuesto por la oferta de particulares, preferentemente, y la demanda de las Entidades Públicas de bienes y servicios. Particularmente, la compra pública de alimentos, a la cual se refiere en su consulta, además de lo dispuesto en el Estatuto General de Contratación de la Administración Pú</w:t>
      </w:r>
      <w:r>
        <w:rPr>
          <w:rFonts w:ascii="Verdana" w:eastAsia="Times New Roman" w:hAnsi="Verdana" w:cs="Arial"/>
          <w:lang w:eastAsia="es-CO"/>
        </w:rPr>
        <w:t xml:space="preserve">blica – en adelante EGCAP-, está </w:t>
      </w:r>
      <w:r w:rsidRPr="008C3D38">
        <w:rPr>
          <w:rFonts w:ascii="Verdana" w:eastAsia="Times New Roman" w:hAnsi="Verdana" w:cs="Arial"/>
          <w:lang w:eastAsia="es-CO"/>
        </w:rPr>
        <w:t xml:space="preserve">regulada en </w:t>
      </w:r>
      <w:r w:rsidRPr="008C3D38">
        <w:rPr>
          <w:rFonts w:ascii="Verdana" w:eastAsia="Century Gothic" w:hAnsi="Verdana" w:cs="Century Gothic"/>
        </w:rPr>
        <w:t xml:space="preserve">la Ley 1955 de 2019, la Ley 2046 de 2020 y el Decreto 248 de 2021, que modifica el Decreto 1071 de 2015. En ese </w:t>
      </w:r>
      <w:r>
        <w:rPr>
          <w:rFonts w:ascii="Verdana" w:eastAsia="Century Gothic" w:hAnsi="Verdana" w:cs="Century Gothic"/>
        </w:rPr>
        <w:t>sentido,</w:t>
      </w:r>
      <w:r w:rsidRPr="008C3D38">
        <w:rPr>
          <w:rFonts w:ascii="Verdana" w:eastAsia="Century Gothic" w:hAnsi="Verdana" w:cs="Century Gothic"/>
        </w:rPr>
        <w:t xml:space="preserve"> resulta importante referirse al </w:t>
      </w:r>
      <w:r w:rsidRPr="008C3D38">
        <w:rPr>
          <w:rFonts w:ascii="Verdana" w:eastAsia="Century Gothic" w:hAnsi="Verdana" w:cs="Century Gothic"/>
          <w:lang w:val="es-ES"/>
        </w:rPr>
        <w:t>c</w:t>
      </w:r>
      <w:r w:rsidRPr="008C3D38">
        <w:rPr>
          <w:rFonts w:ascii="Verdana" w:eastAsia="Century Gothic" w:hAnsi="Verdana" w:cs="Century Gothic"/>
        </w:rPr>
        <w:t xml:space="preserve">ontexto y finalidad de los incentivos y estímulos regulados el artículo 229 de la Ley 1955 de 2019 y en la Ley 2046 de 2020. </w:t>
      </w:r>
    </w:p>
    <w:p w14:paraId="4FD65AEF" w14:textId="77777777" w:rsidR="00AA3D08" w:rsidRPr="008C3D38" w:rsidRDefault="00AA3D08" w:rsidP="00AA3D08">
      <w:pPr>
        <w:spacing w:after="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Así, en el mercado de la compra pública se crean incentivos para fomentar el desarrollo de determinado tipo de proveedores, como ocurre con los incentivos a las Mipymes, a los emprendimientos y empresas de mujeres, entre otros. En esa orientación, el artículo 229 de la Ley 1955 de 2019, “Por el cual se expide el Plan Nacional de Desarrollo 2018-2022”,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 En lo pertinente, la norma dispone que: </w:t>
      </w:r>
    </w:p>
    <w:p w14:paraId="6D6B746A" w14:textId="77777777" w:rsidR="00AA3D08" w:rsidRPr="008C3D38" w:rsidRDefault="00AA3D08" w:rsidP="00AA3D08">
      <w:pPr>
        <w:spacing w:after="0" w:line="276" w:lineRule="auto"/>
        <w:jc w:val="both"/>
        <w:rPr>
          <w:rFonts w:ascii="Verdana" w:eastAsia="Times New Roman" w:hAnsi="Verdana" w:cs="Arial"/>
          <w:lang w:eastAsia="es-CO"/>
        </w:rPr>
      </w:pPr>
    </w:p>
    <w:p w14:paraId="4E5DEE6F" w14:textId="77777777" w:rsidR="00AA3D08" w:rsidRPr="008C3D38" w:rsidRDefault="00AA3D08" w:rsidP="00AA3D0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Las entidades públicas descentralizadas del orden nacional y las entidades territoriales cada vez que requieran productos de origen agropecuario para atender la demanda de los programas institucionales de servicios de alimentación deberán establecer en sus pliegos de condiciones puntajes adicionales y estrategias de ponderación que mejoren las calificaciones de los proponentes cuando presenten contratos de proveeduría suscritos con productores nacionales. El Gobierno nacional en un plazo máximo de no más de tres (3) meses establecerá el esquema de puntajes adicionales, previo análisis de la Agencia de Contratación Colombia Compra Eficiente.</w:t>
      </w:r>
    </w:p>
    <w:p w14:paraId="0490EFC5" w14:textId="77777777" w:rsidR="00AA3D08" w:rsidRPr="008C3D38" w:rsidRDefault="00AA3D08" w:rsidP="00AA3D08">
      <w:pPr>
        <w:spacing w:after="0" w:line="240" w:lineRule="auto"/>
        <w:ind w:left="709" w:right="709"/>
        <w:jc w:val="both"/>
        <w:rPr>
          <w:rFonts w:ascii="Verdana" w:eastAsia="Times New Roman" w:hAnsi="Verdana" w:cs="Arial"/>
          <w:sz w:val="20"/>
          <w:szCs w:val="20"/>
          <w:lang w:eastAsia="es-CO"/>
        </w:rPr>
      </w:pPr>
    </w:p>
    <w:p w14:paraId="474B0B11" w14:textId="77777777" w:rsidR="00AA3D08" w:rsidRPr="008C3D38" w:rsidRDefault="00AA3D08" w:rsidP="00AA3D0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Sin perjuicio de lo anterior, las entidades públicas contratantes deberán adquirir hasta el cuarenta por ciento (40%) de alimentos procesados o sin procesar, en donde los insumos y los productos hayan sido adquiridos de productores agropecuarios locales.</w:t>
      </w:r>
    </w:p>
    <w:p w14:paraId="24F4755A" w14:textId="77777777" w:rsidR="00AA3D08" w:rsidRPr="008C3D38" w:rsidRDefault="00AA3D08" w:rsidP="00AA3D08">
      <w:pPr>
        <w:spacing w:after="0" w:line="240" w:lineRule="auto"/>
        <w:ind w:left="709" w:right="709"/>
        <w:jc w:val="both"/>
        <w:rPr>
          <w:rFonts w:ascii="Verdana" w:eastAsia="Times New Roman" w:hAnsi="Verdana" w:cs="Arial"/>
          <w:sz w:val="20"/>
          <w:szCs w:val="20"/>
          <w:lang w:eastAsia="es-CO"/>
        </w:rPr>
      </w:pPr>
    </w:p>
    <w:p w14:paraId="5146BFEE" w14:textId="77777777" w:rsidR="00AA3D08" w:rsidRPr="008C3D38" w:rsidRDefault="00AA3D08" w:rsidP="00AA3D0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Adicionalmente, podrá establecerse un diez por ciento (10%) de puntaje adicional, a los proveedores que realicen el suministro que se pretenda contratar vinculando pequeños productores.</w:t>
      </w:r>
    </w:p>
    <w:p w14:paraId="223DFD2E" w14:textId="77777777" w:rsidR="00AA3D08" w:rsidRPr="008C3D38" w:rsidRDefault="00AA3D08" w:rsidP="00AA3D0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 xml:space="preserve">[…] </w:t>
      </w:r>
    </w:p>
    <w:p w14:paraId="3F26A0E2" w14:textId="77777777" w:rsidR="00AA3D08" w:rsidRPr="008C3D38" w:rsidRDefault="00AA3D08" w:rsidP="00AA3D08">
      <w:pPr>
        <w:spacing w:after="0" w:line="276" w:lineRule="auto"/>
        <w:jc w:val="both"/>
        <w:rPr>
          <w:rFonts w:ascii="Verdana" w:eastAsia="Times New Roman" w:hAnsi="Verdana" w:cs="Arial"/>
          <w:lang w:eastAsia="es-CO"/>
        </w:rPr>
      </w:pPr>
    </w:p>
    <w:p w14:paraId="47F6C968" w14:textId="77777777" w:rsidR="00AA3D08" w:rsidRPr="008C3D38" w:rsidRDefault="00AA3D08" w:rsidP="00AA3D0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Posteriormente, también se expidió la Ley 2046 del 6 de agosto de 2020, “Por la cual se establecen mecanismos para promover la participación de pequeños productores locales agropecuarios y de la agricultura campesina, familiar y comunitaria en los mercados de compras públicas de alimentos”. De acuerdo con el artículo 14, “La presente Ley rige a partir de la fecha de publicación y deroga todas las disposiciones que le sean contrarias”, lo que significa que es obligatoria para sus destinatarios desde esa fecha. Esto, sin perjuicio de la posibilidad de que el Gobierno Nacional, en ejercicio de la potestad prevista en el artículo 189.11 de la Constitución Política, expida el decreto correspondiente que permita la cumplida ejecución de esta ley.</w:t>
      </w:r>
    </w:p>
    <w:p w14:paraId="6199634F" w14:textId="77777777" w:rsidR="00AA3D08" w:rsidRPr="008C3D38" w:rsidRDefault="00AA3D08" w:rsidP="00AA3D0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La exposición de motivos de la citada Ley explicó, entre otras cosas, lo siguiente: “[…] los parámetros del Estatuto de Contratación, no incluyen, como regla general, la posibilidad de participación de las organizaciones campesinas, indígenas, afros y raizales productoras de alimentos, pues las exigencias técnicas, logísticas y financieras para poder responder a las condiciones contractuales y operativas definidas por las entidades públicas, solo pueden ser satisfechas por empresas intermediarias que llevan bastante tiempo n el mercado”. </w:t>
      </w:r>
    </w:p>
    <w:p w14:paraId="5483C74F" w14:textId="77777777" w:rsidR="00AA3D08" w:rsidRPr="008C3D38" w:rsidRDefault="00AA3D08" w:rsidP="00AA3D0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Por lo demás, también agrega que “[…] el Juez constitucional ha brindado algunas soluciones de carácter jurisprudencial, que pregonan la evidente necesidad de incluir en los pliegos de condiciones de los distintos procesos de selección, las medidas o acciones afirmativas, que son mandatos con carácter imperativo, tendientes a reequilibrar a aquellas personas, poblaciones o grupos discriminados, que por razones políticas, económicas, culturales o sociales no han tenido las mismas oportunidades que otros sectores de la población”. De este modo, la Ley 2046 de 2020 pretende la creación de incentivos que beneficien a la agricultura en el territorio nacional. </w:t>
      </w:r>
    </w:p>
    <w:p w14:paraId="5E81F3F8" w14:textId="77777777" w:rsidR="00AA3D08" w:rsidRPr="008C3D38" w:rsidRDefault="00AA3D08" w:rsidP="00AA3D0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 En este contexto, de acuerdo con el artículo 1, el objeto de la ley “[…] consiste en establecer condiciones e instrumentos de abastecimiento alimentario </w:t>
      </w:r>
      <w:r w:rsidRPr="008C3D38">
        <w:rPr>
          <w:rFonts w:ascii="Verdana" w:eastAsia="Times New Roman" w:hAnsi="Verdana" w:cs="Arial"/>
          <w:lang w:eastAsia="es-CO"/>
        </w:rPr>
        <w:lastRenderedPageBreak/>
        <w:t>para que todos los programas públicos de suministro y distribución de alimentos promuevan la participación de pequeños productores locales y productores locales agropecuarios cuyos sistemas productivos pertenezcan a la Agricultura Campesina, Familiar y Comunitaria, o de sus organizaciones legalmente constituidas”.</w:t>
      </w:r>
    </w:p>
    <w:p w14:paraId="3A795BDE" w14:textId="77777777" w:rsidR="00AA3D08" w:rsidRPr="008C3D38" w:rsidRDefault="00AA3D08" w:rsidP="00AA3D0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En cuanto al campo de aplicación, el artículo 3 ibidem prescribe lo siguiente: “Las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Por lo demás, también dispone en su inciso segundo que “Las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 </w:t>
      </w:r>
    </w:p>
    <w:p w14:paraId="5CC62744" w14:textId="77777777" w:rsidR="00AA3D08" w:rsidRPr="008C3D38" w:rsidRDefault="00AA3D08" w:rsidP="00AA3D08">
      <w:pPr>
        <w:spacing w:after="120" w:line="276" w:lineRule="auto"/>
        <w:ind w:firstLine="708"/>
        <w:jc w:val="both"/>
        <w:rPr>
          <w:rFonts w:ascii="Verdana" w:hAnsi="Verdana" w:cs="Arial"/>
        </w:rPr>
      </w:pPr>
      <w:r w:rsidRPr="008C3D38">
        <w:rPr>
          <w:rFonts w:ascii="Verdana" w:eastAsia="Times New Roman" w:hAnsi="Verdana" w:cs="Arial"/>
          <w:lang w:eastAsia="es-CO"/>
        </w:rPr>
        <w:t>En efecto, este ámbito de aplicación no se limita a las entidades sujetas al Estatuto General de Contratación de la Administración Pública, sino que se extiende a otro tipo de Entidades Públicas de los distintos órdenes, las sociedades de economía mixta, entidades privadas que administren recursos públicos, así como los demás sujetos mencionados en la norma</w:t>
      </w:r>
      <w:r w:rsidRPr="008C3D38">
        <w:rPr>
          <w:rFonts w:ascii="Verdana" w:hAnsi="Verdana" w:cs="Arial"/>
        </w:rPr>
        <w:t>. Esta redacción evidencia la intención del legislador de otorgar un alcance general y comprensivo a las obligaciones allí contenidas, evitando limitar su aplicación a una categoría específica de entidades.</w:t>
      </w:r>
    </w:p>
    <w:p w14:paraId="38DD50D1" w14:textId="77777777" w:rsidR="00AA3D08" w:rsidRDefault="00AA3D08" w:rsidP="00AA3D08">
      <w:pPr>
        <w:spacing w:after="120" w:line="276" w:lineRule="auto"/>
        <w:ind w:firstLine="708"/>
        <w:jc w:val="both"/>
        <w:rPr>
          <w:rFonts w:ascii="Verdana" w:eastAsia="Times New Roman" w:hAnsi="Verdana" w:cs="Arial"/>
          <w:lang w:eastAsia="es-CO"/>
        </w:rPr>
      </w:pPr>
      <w:r w:rsidRPr="008C3D38">
        <w:rPr>
          <w:rFonts w:ascii="Verdana" w:eastAsia="Times New Roman" w:hAnsi="Verdana" w:cs="Arial"/>
          <w:lang w:eastAsia="es-CO"/>
        </w:rPr>
        <w:t xml:space="preserve">Teniendo en cuenta lo expuesto sobre el ámbito de aplicación, es pertinente señalar que el artículo 4 de la Ley 2046 de 2020 define algunos términos y establece unas siglas para el entendimiento e interpretación de las reglas contenidas en la Ley 2046 de 2020. El artículo 5 crea la Mesa Técnica Nacional de Compras Públicas Locales de Alimentos, y el artículo 6 obliga al Gobierno Nacional a diseñar e implementar planes, programas y acciones pedagógicas y de seguimiento para capacitar alcaldías, gobernaciones y </w:t>
      </w:r>
      <w:r w:rsidRPr="008C3D38">
        <w:rPr>
          <w:rFonts w:ascii="Verdana" w:eastAsia="Times New Roman" w:hAnsi="Verdana" w:cs="Arial"/>
          <w:lang w:eastAsia="es-CO"/>
        </w:rPr>
        <w:lastRenderedPageBreak/>
        <w:t xml:space="preserve">participantes de los espacios territoriales de articulación definidos por Mesa Técnica Nacional de Compras Públicas Locales de Alimentos, así como a pequeños productores y productores de la Agricultura Campesina, Familiar o Comunitaria y organizaciones en los diferentes ejes temáticos indicados en la norma. </w:t>
      </w:r>
    </w:p>
    <w:p w14:paraId="1D723819" w14:textId="77777777" w:rsidR="00AA3D08" w:rsidRPr="008C3D38" w:rsidRDefault="00AA3D08" w:rsidP="00AA3D08">
      <w:pPr>
        <w:spacing w:after="120" w:line="276" w:lineRule="auto"/>
        <w:ind w:firstLine="708"/>
        <w:jc w:val="both"/>
        <w:rPr>
          <w:rFonts w:ascii="Verdana" w:eastAsia="Times New Roman" w:hAnsi="Verdana" w:cs="Arial"/>
          <w:lang w:eastAsia="es-CO"/>
        </w:rPr>
      </w:pPr>
      <w:r w:rsidRPr="00282A38">
        <w:rPr>
          <w:rFonts w:ascii="Verdana" w:eastAsia="Times New Roman" w:hAnsi="Verdana" w:cs="Arial"/>
          <w:lang w:eastAsia="es-CO"/>
        </w:rPr>
        <w:t>Sin embargo, la mayor pretensión de esta Ley fue lo regulado en el artículo 7, el cual estable los porcentajes mínimos de compra local a pequeños productores y productores de la agricultura campesina, familiar y comunitaria. En tal sentido, establece las siguientes reglas: “i) las entidades que están sujetas al ámbito de aplicación de esta ley tienen la obligación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En el evento que no se cumpla este porcentaje deben informar a la Mesa Técnica Nacional de Compra Pública de Alimentos, quien certifica y realiza las gestiones para otorgar un listado de pequeños productores;</w:t>
      </w:r>
      <w:r>
        <w:rPr>
          <w:rFonts w:ascii="Verdana" w:eastAsia="Times New Roman" w:hAnsi="Verdana" w:cs="Arial"/>
          <w:lang w:eastAsia="es-CO"/>
        </w:rPr>
        <w:t xml:space="preserve"> </w:t>
      </w:r>
      <w:r w:rsidRPr="00282A38">
        <w:rPr>
          <w:rFonts w:ascii="Verdana" w:eastAsia="Times New Roman" w:hAnsi="Verdana" w:cs="Arial"/>
          <w:lang w:eastAsia="es-CO"/>
        </w:rPr>
        <w:t xml:space="preserve">ii) También deben establecer en su Pliego de Condiciones un puntaje mínimo del diez por ciento (10%) de los puntos asignables a la calificación de las propuestas, que se asignan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 iii) Deben incluir en sus contratos la obligación por parte de sus contratistas que ejecuten u operen los programas institucionales en que se adquieran alimentos, de participar en los espacios de articulación que se definan por parte de la Mesa Técnica Nacional de Compras Públicas Locales de Alimentos y de participar en su rol de compradores de alimentos o de sus materias primas, en las ruedas de negocios que se realicen en virtud de lo establecido en la presente ley; iv) Establecerá en sus estudios previos, la zona geográfica para la compra pública local de alimentos a pequeños productores agropecuarios y/o a productores de la Agricultura Campesina, Familiar o Comunitaria locales o sus organizaciones, con base en una serie de criterios definidos en la norma. </w:t>
      </w:r>
      <w:r>
        <w:rPr>
          <w:rFonts w:ascii="Verdana" w:eastAsia="Times New Roman" w:hAnsi="Verdana" w:cs="Arial"/>
          <w:lang w:eastAsia="es-CO"/>
        </w:rPr>
        <w:t>De igual modo, l</w:t>
      </w:r>
      <w:r w:rsidRPr="00282A38">
        <w:rPr>
          <w:rFonts w:ascii="Verdana" w:eastAsia="Times New Roman" w:hAnsi="Verdana" w:cs="Arial"/>
          <w:lang w:eastAsia="es-CO"/>
        </w:rPr>
        <w:t xml:space="preserve">as entidades públicas deberán asegurar el cumplimiento de las obligaciones relativas a la compra de alimentos a pequeños productores locales </w:t>
      </w:r>
      <w:r w:rsidRPr="00282A38">
        <w:rPr>
          <w:rFonts w:ascii="Verdana" w:eastAsia="Times New Roman" w:hAnsi="Verdana" w:cs="Arial"/>
          <w:lang w:eastAsia="es-CO"/>
        </w:rPr>
        <w:lastRenderedPageBreak/>
        <w:t>y a quienes integran la Agricultura Campesina, Familiar o Comunitaria, priorizando en las Zomac la adquisición de productos originados en las mismas zonas donde desarrollan sus funciones misionales, y, en el marco de los programas de compras públicas, otorgando preferencia a las asociaciones de pequeños productores, tradicionales y artesanales del sector fiquero, así como a aquellos bienes cuyo empaque esté elaborado con fibra de fique.</w:t>
      </w:r>
    </w:p>
    <w:p w14:paraId="41DEC636" w14:textId="77777777" w:rsidR="00AA3D08" w:rsidRPr="008C3D38" w:rsidRDefault="00AA3D08" w:rsidP="00AA3D08">
      <w:pPr>
        <w:spacing w:after="0" w:line="276" w:lineRule="auto"/>
        <w:ind w:firstLine="425"/>
        <w:jc w:val="both"/>
        <w:rPr>
          <w:rFonts w:ascii="Verdana" w:eastAsia="Times New Roman" w:hAnsi="Verdana" w:cs="Arial"/>
          <w:lang w:eastAsia="es-CO"/>
        </w:rPr>
      </w:pPr>
      <w:r w:rsidRPr="008C3D38">
        <w:rPr>
          <w:rFonts w:ascii="Verdana" w:eastAsia="Times New Roman" w:hAnsi="Verdana" w:cs="Arial"/>
          <w:lang w:eastAsia="es-CO"/>
        </w:rPr>
        <w:t>Seguidamente, los demás artículos de la Ley 2046 de 2020 tratan temas varios como: i) diseño y adecuación de minutas alimentarias y menú –artículo 8–, ii) especificaciones técnicas de los productos –artículo 9–, iii) pago de las compras realizadas a productores de la agricultura campesina, familiar y comunitaria –artículo 10–, iv) sistema público de información alimentaria de pequeños productores locales y de productores de la agricultura campesina, familiar y comunitaria y sus organizaciones –artículo 11–, v) informes de cumplimiento al Congreso de la República –artículo 12– y vi) mecanismos de monitoreo y vigilancia –artículo 13–.</w:t>
      </w:r>
    </w:p>
    <w:p w14:paraId="1A66E920" w14:textId="77777777" w:rsidR="00AA3D08" w:rsidRDefault="00AA3D08" w:rsidP="00AA3D08">
      <w:pPr>
        <w:spacing w:after="0" w:line="276" w:lineRule="auto"/>
        <w:jc w:val="both"/>
        <w:rPr>
          <w:rFonts w:ascii="Verdana" w:eastAsia="Times New Roman" w:hAnsi="Verdana" w:cs="Arial"/>
          <w:lang w:eastAsia="es-CO"/>
        </w:rPr>
      </w:pPr>
    </w:p>
    <w:p w14:paraId="790A2C7D" w14:textId="77777777" w:rsidR="00AA3D08" w:rsidRPr="008C3D38" w:rsidRDefault="00AA3D08" w:rsidP="00AA3D08">
      <w:pPr>
        <w:spacing w:after="0" w:line="276" w:lineRule="auto"/>
        <w:jc w:val="both"/>
        <w:rPr>
          <w:rFonts w:ascii="Verdana" w:eastAsia="Times New Roman" w:hAnsi="Verdana" w:cs="Arial"/>
          <w:lang w:eastAsia="es-CO"/>
        </w:rPr>
      </w:pPr>
      <w:r>
        <w:rPr>
          <w:rFonts w:ascii="Verdana" w:eastAsia="Times New Roman" w:hAnsi="Verdana" w:cs="Arial"/>
          <w:lang w:eastAsia="es-CO"/>
        </w:rPr>
        <w:t xml:space="preserve">ii. </w:t>
      </w:r>
      <w:r w:rsidRPr="008C3D38">
        <w:rPr>
          <w:rFonts w:ascii="Verdana" w:eastAsia="Times New Roman" w:hAnsi="Verdana" w:cs="Arial"/>
          <w:lang w:eastAsia="es-CO"/>
        </w:rPr>
        <w:t xml:space="preserve">En el marco de la Ley 2046 de 2020, se expidió el Decreto 248 del 9 de marzo de 2021, “Por el cual se adiciona la Parte 20 al Libro 2 del Decreto 1071 de 2015, Decreto Único Reglamentario del Sector Administrativo Agropecuario, Pesquero y de Desarrollo Rural, relacionado con las compras públicas de alimentos”. En la memoria justificativa de este decreto se expresó: </w:t>
      </w:r>
    </w:p>
    <w:p w14:paraId="1659BCA3" w14:textId="77777777" w:rsidR="00AA3D08" w:rsidRPr="008C3D38" w:rsidRDefault="00AA3D08" w:rsidP="00AA3D08">
      <w:pPr>
        <w:spacing w:after="0" w:line="276" w:lineRule="auto"/>
        <w:jc w:val="both"/>
        <w:rPr>
          <w:rFonts w:ascii="Verdana" w:eastAsia="Times New Roman" w:hAnsi="Verdana" w:cs="Arial"/>
          <w:lang w:eastAsia="es-CO"/>
        </w:rPr>
      </w:pPr>
    </w:p>
    <w:p w14:paraId="0BA66B32" w14:textId="77777777" w:rsidR="00AA3D08" w:rsidRPr="008C3D38" w:rsidRDefault="00AA3D08" w:rsidP="00AA3D08">
      <w:pPr>
        <w:spacing w:after="0" w:line="240" w:lineRule="auto"/>
        <w:ind w:left="709" w:right="709"/>
        <w:jc w:val="both"/>
        <w:rPr>
          <w:rFonts w:ascii="Verdana" w:eastAsia="Times New Roman" w:hAnsi="Verdana" w:cs="Arial"/>
          <w:sz w:val="20"/>
          <w:szCs w:val="20"/>
          <w:lang w:eastAsia="es-CO"/>
        </w:rPr>
      </w:pPr>
      <w:r w:rsidRPr="008C3D38">
        <w:rPr>
          <w:rFonts w:ascii="Verdana" w:eastAsia="Times New Roman" w:hAnsi="Verdana" w:cs="Arial"/>
          <w:sz w:val="20"/>
          <w:szCs w:val="20"/>
          <w:lang w:eastAsia="es-CO"/>
        </w:rPr>
        <w:t xml:space="preserve">“La importancia de las compras públicas locales para el desarrollo territorial fue también resaltada en la Reforma Rural Integral –RRI, planteada en el Acuerdo Final Para la Terminación del Conflicto y Construcción de una Paz Estable y Duradera suscrito entre el Gobierno Nacional y las Fuerzas Armadas Revolucionarias de Colombia –FARC. En la RRI, en su numeral 1.3.3.4. plantea la formulación e implementación del Plan Nacional para la Promoción de la Comercialización de la Producción de la Economía Campesina, Familiar y Comunitaria, que contiene, una seria de medidas para estimular el mercadeo de los productos campesinos, ordenando entre otras, el diseño e implementación progresiva de un mecanismo de compras públicas para atender la demanda de las entidades y programas institucionales, que de manera descentralizada, que fomente la producción local para apoyar la comercialización y absorción de la producción de la economía campesina familiar y comunitaria”. </w:t>
      </w:r>
    </w:p>
    <w:p w14:paraId="0A6B1690" w14:textId="77777777" w:rsidR="00AA3D08" w:rsidRPr="008C3D38" w:rsidRDefault="00AA3D08" w:rsidP="00AA3D08">
      <w:pPr>
        <w:spacing w:after="0" w:line="276" w:lineRule="auto"/>
        <w:jc w:val="both"/>
        <w:rPr>
          <w:rFonts w:ascii="Verdana" w:eastAsia="Times New Roman" w:hAnsi="Verdana" w:cs="Arial"/>
          <w:lang w:eastAsia="es-CO"/>
        </w:rPr>
      </w:pPr>
    </w:p>
    <w:p w14:paraId="494D4B08" w14:textId="77777777" w:rsidR="00AA3D08" w:rsidRPr="008C3D38" w:rsidRDefault="00AA3D08" w:rsidP="00AA3D08">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lastRenderedPageBreak/>
        <w:tab/>
        <w:t>Este reglamento adiciona la Parte 20 del Libro 2 del Decreto 1071 de 2015, el cual desarrolla el sistema de compra pública de alimentos. También detalla varios aspectos como las definiciones, el mínimo de compras públicas de alimentos y suministros, los puntajes adicionales obligatorios dentro de los procesos de contratación y los puntajes adicionales facultativos, entre otros.</w:t>
      </w:r>
    </w:p>
    <w:p w14:paraId="35445F01" w14:textId="77777777" w:rsidR="00AA3D08" w:rsidRPr="008C3D38" w:rsidRDefault="00AA3D08" w:rsidP="00AA3D08">
      <w:pPr>
        <w:spacing w:after="120" w:line="276" w:lineRule="auto"/>
        <w:jc w:val="both"/>
        <w:rPr>
          <w:rFonts w:ascii="Verdana" w:eastAsia="Times New Roman" w:hAnsi="Verdana" w:cs="Arial"/>
          <w:lang w:eastAsia="es-CO"/>
        </w:rPr>
      </w:pPr>
      <w:r w:rsidRPr="008C3D38">
        <w:rPr>
          <w:rFonts w:ascii="Verdana" w:eastAsia="Times New Roman" w:hAnsi="Verdana" w:cs="Arial"/>
          <w:lang w:eastAsia="es-CO"/>
        </w:rPr>
        <w:t xml:space="preserve"> </w:t>
      </w:r>
      <w:r w:rsidRPr="008C3D38">
        <w:rPr>
          <w:rFonts w:ascii="Verdana" w:eastAsia="Times New Roman" w:hAnsi="Verdana" w:cs="Arial"/>
          <w:lang w:eastAsia="es-CO"/>
        </w:rPr>
        <w:tab/>
        <w:t>Dentro de estas reglas, es importante señalar que el artículo 2.20.1.1.3. del Decreto 1071 de 2015 dispuso que las Entidades Públicas del nivel nacional, departamental, distrital, municipal, sociedades de economía mixta, y entidades privadas que manejen recursos públicos y operen en el territorio nacional, que contraten, bajo cualquier modalidad</w:t>
      </w:r>
      <w:r>
        <w:rPr>
          <w:rFonts w:ascii="Verdana" w:eastAsia="Times New Roman" w:hAnsi="Verdana" w:cs="Arial"/>
          <w:lang w:eastAsia="es-CO"/>
        </w:rPr>
        <w:t xml:space="preserve"> de selección</w:t>
      </w:r>
      <w:r w:rsidRPr="008C3D38">
        <w:rPr>
          <w:rFonts w:ascii="Verdana" w:eastAsia="Times New Roman" w:hAnsi="Verdana" w:cs="Arial"/>
          <w:lang w:eastAsia="es-CO"/>
        </w:rPr>
        <w:t xml:space="preserve">, con recursos públicos la adquisición, suministro y entrega de alimentos en cualquiera de sus formas de atención, están en el deber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w:t>
      </w:r>
    </w:p>
    <w:p w14:paraId="1AFD6ED3" w14:textId="77777777" w:rsidR="00AA3D08" w:rsidRPr="00D33A9D" w:rsidRDefault="00AA3D08" w:rsidP="00AA3D08">
      <w:pPr>
        <w:spacing w:after="120" w:line="276" w:lineRule="auto"/>
        <w:ind w:firstLine="709"/>
        <w:jc w:val="both"/>
        <w:rPr>
          <w:rFonts w:ascii="Verdana" w:eastAsia="Times New Roman" w:hAnsi="Verdana" w:cs="Arial"/>
          <w:bCs/>
          <w:lang w:eastAsia="es-CO"/>
        </w:rPr>
      </w:pPr>
      <w:r w:rsidRPr="008C3D38">
        <w:rPr>
          <w:rFonts w:ascii="Verdana" w:eastAsia="Times New Roman" w:hAnsi="Verdana" w:cs="Arial"/>
          <w:lang w:eastAsia="es-CO"/>
        </w:rPr>
        <w:t xml:space="preserve">Asimismo, dispone que en el evento que la oferta de alimentos producidos por pequeños productores y/o productores de la Agricultura Campesina, Familiar o Comunitaria local sea inferior al treinta por ciento (30%), las entidades deben informar de esta situación a la Secretaría Técnica de la Mesa Técnica Nacional de Compras Públicas Locales en el término máximo de cinco (5) días hábiles siguientes una vez advertida la situación. </w:t>
      </w:r>
      <w:r w:rsidRPr="00D33A9D">
        <w:rPr>
          <w:rFonts w:ascii="Verdana" w:eastAsia="Times New Roman" w:hAnsi="Verdana" w:cs="Arial"/>
          <w:bCs/>
          <w:lang w:eastAsia="es-CO"/>
        </w:rPr>
        <w:t>Una vez recibida la comunicación, la Secretaría Técnica dispone de un plazo de cinco (5) días hábiles para adelantar las gestiones necesarias y remitir a la entidad un listado de pequeños productores y/o productores de la Agricultura Campesina, Familiar o Comunitaria no locales que permitan suplir el porcentaje faltante. Este procedimiento asegura que, aun cuando la oferta local sea insuficiente, se mantenga la prioridad de vinculación de pequeños productores dentro de la cadena de abastecimiento público.</w:t>
      </w:r>
      <w:r w:rsidRPr="00AE627E">
        <w:rPr>
          <w:rFonts w:ascii="Verdana" w:eastAsia="Times New Roman" w:hAnsi="Verdana" w:cs="Arial"/>
          <w:lang w:eastAsia="es-CO"/>
        </w:rPr>
        <w:t xml:space="preserve"> </w:t>
      </w:r>
    </w:p>
    <w:p w14:paraId="079156BE" w14:textId="77777777" w:rsidR="00AA3D08" w:rsidRPr="008C3D38" w:rsidRDefault="00AA3D08" w:rsidP="00AA3D08">
      <w:pPr>
        <w:spacing w:after="120" w:line="276" w:lineRule="auto"/>
        <w:ind w:firstLine="708"/>
        <w:jc w:val="both"/>
        <w:rPr>
          <w:rFonts w:ascii="Verdana" w:eastAsia="Times New Roman" w:hAnsi="Verdana" w:cs="Arial"/>
          <w:lang w:eastAsia="es-CO"/>
        </w:rPr>
      </w:pPr>
      <w:r w:rsidRPr="006D5343">
        <w:rPr>
          <w:rFonts w:ascii="Verdana" w:eastAsia="Times New Roman" w:hAnsi="Verdana" w:cs="Arial"/>
          <w:bCs/>
          <w:lang w:eastAsia="es-CO"/>
        </w:rPr>
        <w:t xml:space="preserve">En este contexto, la identificación de los pequeños productores no puede quedar a la libre gestión del contratista, pues corresponde a la entidad contratante verificar el cumplimiento de los porcentajes mínimos exigidos por la norma y orientar el proceso de abastecimiento con base en los registros oficiales y en lo definido por la Mesa Técnica. Esta responsabilidad se refuerza cuando la </w:t>
      </w:r>
      <w:r w:rsidRPr="006D5343">
        <w:rPr>
          <w:rFonts w:ascii="Verdana" w:eastAsia="Times New Roman" w:hAnsi="Verdana" w:cs="Arial"/>
          <w:bCs/>
          <w:lang w:eastAsia="es-CO"/>
        </w:rPr>
        <w:lastRenderedPageBreak/>
        <w:t xml:space="preserve">oferta local resulta insuficiente, ya que la entidad debe garantizar que la obligación legal de inclusión de pequeños productores se cumpla de manera efectiva, trazable y conforme al procedimiento previsto. </w:t>
      </w:r>
    </w:p>
    <w:p w14:paraId="6DB97270" w14:textId="77777777" w:rsidR="00AA3D08" w:rsidRPr="00B1761C" w:rsidRDefault="00AA3D08" w:rsidP="00AA3D08">
      <w:pPr>
        <w:spacing w:after="120" w:line="276" w:lineRule="auto"/>
        <w:jc w:val="both"/>
        <w:rPr>
          <w:rFonts w:ascii="Verdana" w:eastAsia="Times New Roman" w:hAnsi="Verdana" w:cs="Arial"/>
          <w:lang w:eastAsia="es-ES_tradnl"/>
        </w:rPr>
      </w:pPr>
      <w:r w:rsidRPr="008C3D38">
        <w:rPr>
          <w:rFonts w:ascii="Verdana" w:eastAsia="Times New Roman" w:hAnsi="Verdana" w:cs="Arial"/>
          <w:lang w:eastAsia="es-CO"/>
        </w:rPr>
        <w:tab/>
      </w:r>
      <w:r w:rsidRPr="00B1761C">
        <w:rPr>
          <w:rFonts w:ascii="Verdana" w:eastAsia="Times New Roman" w:hAnsi="Verdana" w:cs="Arial"/>
          <w:lang w:eastAsia="es-ES_tradnl"/>
        </w:rPr>
        <w:t xml:space="preserve">Teniendo en cuenta esta promoción de compra pública de alimentos, el artículo </w:t>
      </w:r>
      <w:r w:rsidRPr="00B1761C">
        <w:rPr>
          <w:rFonts w:ascii="Verdana" w:eastAsia="Times New Roman" w:hAnsi="Verdana" w:cs="Arial"/>
          <w:bCs/>
          <w:lang w:eastAsia="es-ES_tradnl"/>
        </w:rPr>
        <w:t>2.20.1.1.4. regula el contrato de promesa de proveeduría</w:t>
      </w:r>
      <w:r w:rsidRPr="00B1761C">
        <w:rPr>
          <w:rFonts w:ascii="Verdana" w:eastAsia="Times New Roman" w:hAnsi="Verdana" w:cs="Arial"/>
          <w:bCs/>
          <w:vertAlign w:val="superscript"/>
          <w:lang w:eastAsia="es-ES_tradnl"/>
        </w:rPr>
        <w:footnoteReference w:id="1"/>
      </w:r>
      <w:r w:rsidRPr="00B1761C">
        <w:rPr>
          <w:rFonts w:ascii="Verdana" w:eastAsia="Times New Roman" w:hAnsi="Verdana" w:cs="Arial"/>
          <w:bCs/>
          <w:lang w:eastAsia="es-ES_tradnl"/>
        </w:rPr>
        <w:t>. La norma prescribe que l</w:t>
      </w:r>
      <w:r w:rsidRPr="00B1761C">
        <w:rPr>
          <w:rFonts w:ascii="Verdana" w:eastAsia="Times New Roman" w:hAnsi="Verdana" w:cs="Arial"/>
          <w:lang w:eastAsia="es-ES_tradnl"/>
        </w:rPr>
        <w:t>as entidades que contraten con recursos públicos la adquisición, suministro y entrega de alimentos en cualquiera de sus modalidades de atención, deben solicitar a los proponentes en el pliego de condiciones, una promesa de contrato de proveeduría con los pequeños productores agropecuarios locales y/o productores de la Agricultura Campesina, Familiar y Comunitaria locales y sus organizaciones, que se encuentren en el registro de productores individuales y/u organizaciones de productores consolidado por las secretarías departamentales de agricultura o quien haga sus veces, o en el Sistema Público de Información Alimentaria una vez entre en operación. La promesa de contrato de proveeduría debe constar por escrito. En tal sentido, este artículo dispone que cuando se presenta la promesa de contrato de proveeduría, la entidad debe verificar que el contrato de proveeduría se haya celebrado con los pequeños productores y/o productores de la Agricultura Campesina, Familiar o Comunitaria locales y sus organizaciones.</w:t>
      </w:r>
    </w:p>
    <w:p w14:paraId="7E683476" w14:textId="77777777" w:rsidR="00AA3D08" w:rsidRPr="00B1761C" w:rsidRDefault="00AA3D08" w:rsidP="00AA3D08">
      <w:pPr>
        <w:spacing w:after="0" w:line="276" w:lineRule="auto"/>
        <w:jc w:val="both"/>
        <w:rPr>
          <w:rFonts w:ascii="Verdana" w:eastAsia="Times New Roman" w:hAnsi="Verdana" w:cs="Arial"/>
          <w:lang w:eastAsia="es-ES_tradnl"/>
        </w:rPr>
      </w:pPr>
      <w:r w:rsidRPr="00B1761C">
        <w:rPr>
          <w:rFonts w:ascii="Verdana" w:eastAsia="Times New Roman" w:hAnsi="Verdana" w:cs="Arial"/>
          <w:lang w:eastAsia="es-ES_tradnl"/>
        </w:rPr>
        <w:tab/>
        <w:t>Para entender si este contrato de promesa de proveeduría es un requisito habilitante o un factor de evaluación dentro de las diferentes modalidades contractuales, es necesaria una interpretación sistemática</w:t>
      </w:r>
      <w:r w:rsidRPr="00B1761C">
        <w:rPr>
          <w:rFonts w:ascii="Verdana" w:eastAsia="Times New Roman" w:hAnsi="Verdana" w:cs="Arial"/>
          <w:vertAlign w:val="superscript"/>
          <w:lang w:eastAsia="es-ES_tradnl"/>
        </w:rPr>
        <w:footnoteReference w:id="2"/>
      </w:r>
      <w:r w:rsidRPr="00B1761C">
        <w:rPr>
          <w:rFonts w:ascii="Verdana" w:eastAsia="Times New Roman" w:hAnsi="Verdana" w:cs="Arial"/>
          <w:lang w:eastAsia="es-ES_tradnl"/>
        </w:rPr>
        <w:t xml:space="preserve"> con el artículo </w:t>
      </w:r>
      <w:r w:rsidRPr="00B1761C">
        <w:rPr>
          <w:rFonts w:ascii="Verdana" w:eastAsia="Times New Roman" w:hAnsi="Verdana" w:cs="Arial"/>
          <w:lang w:eastAsia="es-ES_tradnl"/>
        </w:rPr>
        <w:lastRenderedPageBreak/>
        <w:t xml:space="preserve">2.20.1.2.3 </w:t>
      </w:r>
      <w:r w:rsidRPr="00B1761C">
        <w:rPr>
          <w:rFonts w:ascii="Verdana" w:eastAsia="Times New Roman" w:hAnsi="Verdana" w:cs="Arial"/>
          <w:i/>
          <w:iCs/>
          <w:lang w:eastAsia="es-ES_tradnl"/>
        </w:rPr>
        <w:t>ibidem</w:t>
      </w:r>
      <w:r w:rsidRPr="00B1761C">
        <w:rPr>
          <w:rFonts w:ascii="Verdana" w:eastAsia="Times New Roman" w:hAnsi="Verdana" w:cs="Arial"/>
          <w:lang w:eastAsia="es-ES_tradnl"/>
        </w:rPr>
        <w:t xml:space="preserve"> que establece uno de los puntajes adicionales que se regulan en este Decreto, cuyo tenor literal prescribe lo siguiente: </w:t>
      </w:r>
    </w:p>
    <w:p w14:paraId="7EB183C8" w14:textId="77777777" w:rsidR="00AA3D08" w:rsidRPr="00B1761C" w:rsidRDefault="00AA3D08" w:rsidP="00AA3D08">
      <w:pPr>
        <w:spacing w:after="0" w:line="276" w:lineRule="auto"/>
        <w:jc w:val="both"/>
        <w:rPr>
          <w:rFonts w:ascii="Verdana" w:eastAsia="Times New Roman" w:hAnsi="Verdana" w:cs="Arial"/>
          <w:lang w:eastAsia="es-ES_tradnl"/>
        </w:rPr>
      </w:pPr>
    </w:p>
    <w:p w14:paraId="7B1985AA" w14:textId="77777777" w:rsidR="00AA3D08" w:rsidRPr="00B1761C" w:rsidRDefault="00AA3D08" w:rsidP="00AA3D08">
      <w:pPr>
        <w:shd w:val="clear" w:color="auto" w:fill="FFFFFF"/>
        <w:spacing w:after="0" w:line="240" w:lineRule="auto"/>
        <w:ind w:left="709" w:right="709"/>
        <w:jc w:val="both"/>
        <w:rPr>
          <w:rFonts w:ascii="Verdana" w:eastAsia="Times New Roman" w:hAnsi="Verdana" w:cs="Arial"/>
          <w:sz w:val="20"/>
          <w:szCs w:val="20"/>
          <w:lang w:eastAsia="es-CO"/>
        </w:rPr>
      </w:pPr>
      <w:r w:rsidRPr="00B1761C">
        <w:rPr>
          <w:rFonts w:ascii="Verdana" w:eastAsia="Times New Roman" w:hAnsi="Verdana" w:cs="Arial"/>
          <w:sz w:val="20"/>
          <w:szCs w:val="20"/>
          <w:lang w:eastAsia="es-CO"/>
        </w:rPr>
        <w:t xml:space="preserve">Las entidades públicas del nivel nacional, departamental, distrital, municipal, sociedades de economía mixta, y entidades privadas que manejen recursos públicos y operen en el territorio nacional, que contraten, bajo cualquier modalidad, con recursos públicos la adquisición, suministro y entrega de alimentos en cualquiera de sus formas de atención, asignarán un puntaje mínimo del 10% del total de los puntos, en las modalidades de selección previstas en el artículo 2° de la Ley 1150 de 2007, en las que se otorguen puntajes a los oferentes dentro de sus procedimientos, adicional a los puntajes de los artículos 2.20.1.2.1 y 2.20.1.2.2 del presente Título, </w:t>
      </w:r>
      <w:r w:rsidRPr="00B1761C">
        <w:rPr>
          <w:rFonts w:ascii="Verdana" w:eastAsia="Times New Roman" w:hAnsi="Verdana" w:cs="Arial"/>
          <w:i/>
          <w:sz w:val="20"/>
          <w:szCs w:val="20"/>
          <w:lang w:eastAsia="es-CO"/>
        </w:rPr>
        <w:t>los cuales serán asignados proporcionalmente a los oferentes que presenten promesas de contrato de proveeduría comprometiéndose con la entidad a adquirir productos provenientes de pequeños productores locales o productores locales de la Agricultura Campesina, Familiar o Comunitaria y/o sus organizaciones, en una proporción mayor al mínimo exigido por la entidad contratante</w:t>
      </w:r>
      <w:r w:rsidRPr="00B1761C">
        <w:rPr>
          <w:rFonts w:ascii="Verdana" w:eastAsia="Times New Roman" w:hAnsi="Verdana" w:cs="Arial"/>
          <w:iCs/>
          <w:sz w:val="20"/>
          <w:szCs w:val="20"/>
          <w:lang w:eastAsia="es-CO"/>
        </w:rPr>
        <w:t>.</w:t>
      </w:r>
      <w:r w:rsidRPr="00B1761C">
        <w:rPr>
          <w:rFonts w:ascii="Verdana" w:eastAsia="Times New Roman" w:hAnsi="Verdana" w:cs="Arial"/>
          <w:sz w:val="20"/>
          <w:szCs w:val="20"/>
          <w:lang w:eastAsia="es-CO"/>
        </w:rPr>
        <w:t xml:space="preserve"> (Énfasis fuera de texto) </w:t>
      </w:r>
    </w:p>
    <w:p w14:paraId="1D29CE42" w14:textId="77777777" w:rsidR="00AA3D08" w:rsidRPr="00B1761C" w:rsidRDefault="00AA3D08" w:rsidP="00AA3D08">
      <w:pPr>
        <w:shd w:val="clear" w:color="auto" w:fill="FFFFFF"/>
        <w:spacing w:after="0" w:line="276" w:lineRule="auto"/>
        <w:ind w:left="709" w:right="709"/>
        <w:jc w:val="both"/>
        <w:rPr>
          <w:rFonts w:ascii="Verdana" w:eastAsia="Times New Roman" w:hAnsi="Verdana" w:cs="Arial"/>
          <w:lang w:eastAsia="es-CO"/>
        </w:rPr>
      </w:pPr>
    </w:p>
    <w:p w14:paraId="67DA8B6C" w14:textId="77777777" w:rsidR="00AA3D08" w:rsidRPr="00B1761C" w:rsidRDefault="00AA3D08" w:rsidP="00AA3D08">
      <w:pPr>
        <w:shd w:val="clear" w:color="auto" w:fill="FFFFFF"/>
        <w:spacing w:after="120" w:line="276" w:lineRule="auto"/>
        <w:jc w:val="both"/>
        <w:rPr>
          <w:rFonts w:ascii="Verdana" w:eastAsia="Times New Roman" w:hAnsi="Verdana" w:cs="Arial"/>
          <w:bCs/>
          <w:lang w:eastAsia="es-CO"/>
        </w:rPr>
      </w:pPr>
      <w:r w:rsidRPr="00B1761C">
        <w:rPr>
          <w:rFonts w:ascii="Verdana" w:eastAsia="Times New Roman" w:hAnsi="Verdana" w:cs="Arial"/>
          <w:sz w:val="21"/>
          <w:szCs w:val="21"/>
          <w:lang w:eastAsia="es-CO"/>
        </w:rPr>
        <w:tab/>
      </w:r>
      <w:r w:rsidRPr="00B1761C">
        <w:rPr>
          <w:rFonts w:ascii="Verdana" w:eastAsia="Times New Roman" w:hAnsi="Verdana" w:cs="Arial"/>
          <w:lang w:eastAsia="es-CO"/>
        </w:rPr>
        <w:t xml:space="preserve">A partir de la interpretación del Decreto 248 de 2021, que modifica el Decreto 1071 de 2015, </w:t>
      </w:r>
      <w:r w:rsidRPr="00B1761C">
        <w:rPr>
          <w:rFonts w:ascii="Verdana" w:eastAsia="Times New Roman" w:hAnsi="Verdana" w:cs="Arial"/>
          <w:bCs/>
          <w:lang w:eastAsia="es-CO"/>
        </w:rPr>
        <w:t xml:space="preserve">se deriva que el contrato de promesa de proveeduría tiene una naturaleza dual, pues no solo es un requisito habilitante en los procesos para </w:t>
      </w:r>
      <w:r w:rsidRPr="00B1761C">
        <w:rPr>
          <w:rFonts w:ascii="Verdana" w:eastAsia="Times New Roman" w:hAnsi="Verdana" w:cs="Arial"/>
          <w:lang w:eastAsia="es-CO"/>
        </w:rPr>
        <w:t xml:space="preserve">la adquisición, suministro y entrega de alimentos, sino que también </w:t>
      </w:r>
      <w:r w:rsidRPr="00B1761C">
        <w:rPr>
          <w:rFonts w:ascii="Verdana" w:eastAsia="Times New Roman" w:hAnsi="Verdana" w:cs="Arial"/>
          <w:bCs/>
          <w:lang w:eastAsia="es-CO"/>
        </w:rPr>
        <w:t xml:space="preserve">es documento necesario para acreditar uno de los puntajes adicionales previstos en el reglamento citado. </w:t>
      </w:r>
      <w:r w:rsidRPr="00B1761C">
        <w:rPr>
          <w:rFonts w:ascii="Verdana" w:eastAsia="Times New Roman" w:hAnsi="Verdana" w:cs="Arial"/>
          <w:bCs/>
          <w:i/>
          <w:iCs/>
          <w:lang w:eastAsia="es-CO"/>
        </w:rPr>
        <w:t>Por un lado</w:t>
      </w:r>
      <w:r w:rsidRPr="00B1761C">
        <w:rPr>
          <w:rFonts w:ascii="Verdana" w:eastAsia="Times New Roman" w:hAnsi="Verdana" w:cs="Arial"/>
          <w:bCs/>
          <w:lang w:eastAsia="es-CO"/>
        </w:rPr>
        <w:t xml:space="preserve">, de acuerdo con el artículo 2.20.1.1.4, la suscripción de este contrato </w:t>
      </w:r>
      <w:r w:rsidRPr="00B1761C">
        <w:rPr>
          <w:rFonts w:ascii="Verdana" w:eastAsia="Times New Roman" w:hAnsi="Verdana" w:cs="Arial"/>
          <w:lang w:eastAsia="es-CO"/>
        </w:rPr>
        <w:t xml:space="preserve">debe solicitarse a los proponentes en el pliego de condiciones, por lo que resulta una exigencia obligatoria del procedimiento de contratación. Incluso, una vez adjudicado, </w:t>
      </w:r>
      <w:r>
        <w:rPr>
          <w:rFonts w:ascii="Verdana" w:eastAsia="Times New Roman" w:hAnsi="Verdana" w:cs="Arial"/>
          <w:lang w:eastAsia="es-CO"/>
        </w:rPr>
        <w:t>“</w:t>
      </w:r>
      <w:r w:rsidRPr="00B1761C">
        <w:rPr>
          <w:rFonts w:ascii="Verdana" w:eastAsia="Times New Roman" w:hAnsi="Verdana" w:cs="Arial"/>
          <w:lang w:eastAsia="es-CO"/>
        </w:rPr>
        <w:t xml:space="preserve">[…] la entidad contratante deberá verificar como requisito de ejecución que el contratista haya celebrado el contrato de proveeduría con los pequeños productores y/o productores de la Agricultura Campesina, Familiar o Comunitaria locales y sus </w:t>
      </w:r>
      <w:r w:rsidRPr="00B1761C">
        <w:rPr>
          <w:rFonts w:ascii="Verdana" w:eastAsia="Times New Roman" w:hAnsi="Verdana" w:cs="Arial"/>
          <w:lang w:eastAsia="es-CO"/>
        </w:rPr>
        <w:lastRenderedPageBreak/>
        <w:t>organizaciones</w:t>
      </w:r>
      <w:r>
        <w:rPr>
          <w:rFonts w:ascii="Verdana" w:eastAsia="Times New Roman" w:hAnsi="Verdana" w:cs="Arial"/>
          <w:lang w:eastAsia="es-CO"/>
        </w:rPr>
        <w:t>”</w:t>
      </w:r>
      <w:r w:rsidRPr="00B1761C">
        <w:rPr>
          <w:rFonts w:ascii="Verdana" w:eastAsia="Times New Roman" w:hAnsi="Verdana" w:cs="Arial"/>
          <w:lang w:eastAsia="es-CO"/>
        </w:rPr>
        <w:t xml:space="preserve">. Esto es </w:t>
      </w:r>
      <w:r w:rsidRPr="00B1761C">
        <w:rPr>
          <w:rFonts w:ascii="Verdana" w:eastAsia="Times New Roman" w:hAnsi="Verdana" w:cs="Arial"/>
          <w:bCs/>
          <w:lang w:eastAsia="es-CO"/>
        </w:rPr>
        <w:t xml:space="preserve">congruente con el artículo 7 de la Ley 2046 de 2021 y el artículo </w:t>
      </w:r>
      <w:r w:rsidRPr="00B1761C">
        <w:rPr>
          <w:rFonts w:ascii="Verdana" w:eastAsia="Calibri" w:hAnsi="Verdana" w:cs="Arial"/>
          <w:bCs/>
          <w:lang w:val="es-ES_tradnl" w:eastAsia="es-CO"/>
        </w:rPr>
        <w:t xml:space="preserve">2.20.1.1.3. del Decreto 1071 de 2015, en la medida que </w:t>
      </w:r>
      <w:r w:rsidRPr="00B1761C">
        <w:rPr>
          <w:rFonts w:ascii="Verdana" w:eastAsia="Times New Roman" w:hAnsi="Verdana" w:cs="Arial"/>
          <w:lang w:eastAsia="es-CO"/>
        </w:rPr>
        <w:t>un porcentaje mínimo del treinta por ciento (30%) del valor total de los recursos del presupuesto de cada entidad deben destinarse a la compra de alimentos a los sujetos mencionados.</w:t>
      </w:r>
    </w:p>
    <w:p w14:paraId="46239915" w14:textId="77777777" w:rsidR="00AA3D08" w:rsidRPr="00972B8C" w:rsidRDefault="00AA3D08" w:rsidP="00AA3D08">
      <w:pPr>
        <w:shd w:val="clear" w:color="auto" w:fill="FFFFFF"/>
        <w:spacing w:after="120" w:line="276" w:lineRule="auto"/>
        <w:ind w:firstLine="708"/>
        <w:jc w:val="both"/>
        <w:rPr>
          <w:rFonts w:ascii="Verdana" w:eastAsia="Times New Roman" w:hAnsi="Verdana" w:cs="Arial"/>
          <w:bCs/>
          <w:lang w:eastAsia="es-CO"/>
        </w:rPr>
      </w:pPr>
      <w:bookmarkStart w:id="3" w:name="_Hlk103351152"/>
      <w:r w:rsidRPr="00972B8C">
        <w:rPr>
          <w:rFonts w:ascii="Verdana" w:eastAsia="Times New Roman" w:hAnsi="Verdana" w:cs="Arial"/>
          <w:bCs/>
          <w:lang w:eastAsia="es-CO"/>
        </w:rPr>
        <w:t>Ahora bien, tratándose de la mínima cuantía, es pertinente precisar que se trata de una modalidad de selección mediante la cual la entidad estatal realiza una convocatoria pública para recibir ofertas de bienes, obras o servicios cuyo valor no exceda el diez por ciento (10%) de la menor cuantía. Esta modalidad fue introducida por la Ley 1450 de 2011, modificada por el artículo 94 de la Ley 1474 de 2011 —que adicionó el numeral 5º al artículo 2 de la Ley 1150 de 2007— y posteriormente ajustada por la Ley 2069 de 2020, estableciendo que el criterio determinante para su procedencia es la cuantía, calculada a partir del presupuesto oficial derivado del estudio del sector, independientemente del objeto contractual</w:t>
      </w:r>
      <w:r w:rsidRPr="00972B8C">
        <w:rPr>
          <w:rFonts w:ascii="Verdana" w:eastAsia="Times New Roman" w:hAnsi="Verdana" w:cs="Arial"/>
          <w:bCs/>
          <w:lang w:val="es-ES_tradnl" w:eastAsia="es-CO"/>
        </w:rPr>
        <w:t>”</w:t>
      </w:r>
      <w:r w:rsidRPr="00972B8C">
        <w:rPr>
          <w:rFonts w:ascii="Verdana" w:eastAsia="Times New Roman" w:hAnsi="Verdana" w:cs="Arial"/>
          <w:bCs/>
          <w:vertAlign w:val="superscript"/>
          <w:lang w:val="es-ES_tradnl" w:eastAsia="es-CO"/>
        </w:rPr>
        <w:footnoteReference w:id="3"/>
      </w:r>
      <w:r w:rsidRPr="00972B8C">
        <w:rPr>
          <w:rFonts w:ascii="Verdana" w:eastAsia="Times New Roman" w:hAnsi="Verdana" w:cs="Arial"/>
          <w:bCs/>
          <w:lang w:eastAsia="es-CO"/>
        </w:rPr>
        <w:t>.</w:t>
      </w:r>
    </w:p>
    <w:p w14:paraId="5EB49537" w14:textId="77777777" w:rsidR="00AA3D08" w:rsidRPr="00972B8C" w:rsidRDefault="00AA3D08" w:rsidP="00AA3D08">
      <w:pPr>
        <w:shd w:val="clear" w:color="auto" w:fill="FFFFFF"/>
        <w:spacing w:after="120" w:line="276" w:lineRule="auto"/>
        <w:ind w:firstLine="708"/>
        <w:jc w:val="both"/>
        <w:rPr>
          <w:rFonts w:ascii="Verdana" w:eastAsia="Times New Roman" w:hAnsi="Verdana" w:cs="Arial"/>
          <w:bCs/>
          <w:lang w:eastAsia="es-CO"/>
        </w:rPr>
      </w:pPr>
      <w:r w:rsidRPr="00972B8C">
        <w:rPr>
          <w:rFonts w:ascii="Verdana" w:eastAsia="Times New Roman" w:hAnsi="Verdana" w:cs="Arial"/>
          <w:bCs/>
          <w:lang w:eastAsia="es-CO"/>
        </w:rPr>
        <w:lastRenderedPageBreak/>
        <w:t xml:space="preserve">La mínima cuantía se caracteriza porque su único factor de evaluación es el menor precio. En consecuencia, la promesa del contrato de proveeduría opera exclusivamente como requisito habilitante, sin que pueda ser </w:t>
      </w:r>
      <w:r>
        <w:rPr>
          <w:rFonts w:ascii="Verdana" w:eastAsia="Times New Roman" w:hAnsi="Verdana" w:cs="Arial"/>
          <w:bCs/>
          <w:lang w:eastAsia="es-CO"/>
        </w:rPr>
        <w:t xml:space="preserve">utilizarse </w:t>
      </w:r>
      <w:r w:rsidRPr="00972B8C">
        <w:rPr>
          <w:rFonts w:ascii="Verdana" w:eastAsia="Times New Roman" w:hAnsi="Verdana" w:cs="Arial"/>
          <w:bCs/>
          <w:lang w:eastAsia="es-CO"/>
        </w:rPr>
        <w:t>como criterio de evaluación. Bajo esta lógica, las reglas relativas a la adquisición, suministro y entrega de alimentos deben interpretarse de manera armónica y sistemática con las particularidades de cada modalidad de selección, garantizando su correcta aplicación sin desnaturalizar los principios y reglas propios de la mínima cuantía.</w:t>
      </w:r>
    </w:p>
    <w:p w14:paraId="50CD4FF9" w14:textId="77777777" w:rsidR="00AA3D08" w:rsidRPr="00620D95" w:rsidRDefault="00AA3D08" w:rsidP="00AA3D08">
      <w:pPr>
        <w:shd w:val="clear" w:color="auto" w:fill="FFFFFF"/>
        <w:spacing w:after="120" w:line="276" w:lineRule="auto"/>
        <w:ind w:firstLine="708"/>
        <w:jc w:val="both"/>
        <w:rPr>
          <w:rFonts w:ascii="Verdana" w:eastAsia="Times New Roman" w:hAnsi="Verdana" w:cs="Arial"/>
          <w:bCs/>
          <w:lang w:eastAsia="es-CO"/>
        </w:rPr>
      </w:pPr>
      <w:r w:rsidRPr="002D7EA4">
        <w:rPr>
          <w:rFonts w:ascii="Verdana" w:eastAsia="Times New Roman" w:hAnsi="Verdana" w:cs="Arial"/>
          <w:bCs/>
          <w:lang w:eastAsia="es-CO"/>
        </w:rPr>
        <w:t>E</w:t>
      </w:r>
      <w:r>
        <w:rPr>
          <w:rFonts w:ascii="Verdana" w:eastAsia="Times New Roman" w:hAnsi="Verdana" w:cs="Arial"/>
          <w:bCs/>
          <w:lang w:eastAsia="es-CO"/>
        </w:rPr>
        <w:t>n tal entendido</w:t>
      </w:r>
      <w:r w:rsidRPr="002D7EA4">
        <w:rPr>
          <w:rFonts w:ascii="Verdana" w:eastAsia="Times New Roman" w:hAnsi="Verdana" w:cs="Arial"/>
          <w:bCs/>
          <w:lang w:eastAsia="es-CO"/>
        </w:rPr>
        <w:t>, en la Invitación Pública</w:t>
      </w:r>
      <w:r>
        <w:rPr>
          <w:rFonts w:ascii="Verdana" w:eastAsia="Times New Roman" w:hAnsi="Verdana" w:cs="Arial"/>
          <w:bCs/>
          <w:lang w:eastAsia="es-CO"/>
        </w:rPr>
        <w:t xml:space="preserve"> de un Proceso de Mínima Cuantía</w:t>
      </w:r>
      <w:r w:rsidRPr="002D7EA4">
        <w:rPr>
          <w:rFonts w:ascii="Verdana" w:eastAsia="Times New Roman" w:hAnsi="Verdana" w:cs="Arial"/>
          <w:bCs/>
          <w:lang w:eastAsia="es-CO"/>
        </w:rPr>
        <w:t xml:space="preserve"> deberá exigirse a los proponentes la presentación de una promesa de contrato de proveeduría suscrita con pequeños productores agropecuarios locales y/o con productores de la Agricultura Campesina, Familiar y Comunitaria, así como con sus organizaciones, siempre que estos se encuentren registrados en el listado de productores individuales u organizaciones consolidado por las secretarías departamentales de agricultura —o la entidad que haga sus veces—, o en el Sistema Público de Información Alimentaria una vez este entre en funcionamiento. Dicha promesa de contrato de proveeduría deberá constar por escrito.</w:t>
      </w:r>
      <w:r>
        <w:rPr>
          <w:rFonts w:ascii="Verdana" w:eastAsia="Times New Roman" w:hAnsi="Verdana" w:cs="Arial"/>
          <w:bCs/>
          <w:lang w:eastAsia="es-CO"/>
        </w:rPr>
        <w:t xml:space="preserve"> </w:t>
      </w:r>
      <w:r w:rsidRPr="00B52007">
        <w:rPr>
          <w:rFonts w:ascii="Verdana" w:eastAsia="Times New Roman" w:hAnsi="Verdana" w:cs="Arial"/>
          <w:bCs/>
          <w:lang w:eastAsia="es-CO"/>
        </w:rPr>
        <w:t>De tal modo, la promesa de contrato de proveeduría se configura como un requisito habilitante indispensable para participar en un proceso de mínima cuantía, en tanto su función es acreditar la capacidad del proponente y no intervenir en la evaluación, cuyo único factor permitido es el menor precio.</w:t>
      </w:r>
    </w:p>
    <w:p w14:paraId="6F81D9FF" w14:textId="77777777" w:rsidR="00AA3D08" w:rsidRDefault="00AA3D08" w:rsidP="00AA3D08">
      <w:pPr>
        <w:shd w:val="clear" w:color="auto" w:fill="FFFFFF"/>
        <w:spacing w:after="120" w:line="276" w:lineRule="auto"/>
        <w:ind w:firstLine="708"/>
        <w:jc w:val="both"/>
        <w:rPr>
          <w:rFonts w:ascii="Verdana" w:eastAsia="Times New Roman" w:hAnsi="Verdana" w:cs="Arial"/>
          <w:bCs/>
          <w:lang w:eastAsia="es-CO"/>
        </w:rPr>
      </w:pPr>
      <w:r w:rsidRPr="00B1761C">
        <w:rPr>
          <w:rFonts w:ascii="Verdana" w:eastAsia="Times New Roman" w:hAnsi="Verdana" w:cs="Arial"/>
          <w:bCs/>
          <w:i/>
          <w:iCs/>
          <w:lang w:eastAsia="es-CO"/>
        </w:rPr>
        <w:t>Por otra parte</w:t>
      </w:r>
      <w:r w:rsidRPr="00B1761C">
        <w:rPr>
          <w:rFonts w:ascii="Verdana" w:eastAsia="Times New Roman" w:hAnsi="Verdana" w:cs="Arial"/>
          <w:bCs/>
          <w:lang w:eastAsia="es-CO"/>
        </w:rPr>
        <w:t>, también</w:t>
      </w:r>
      <w:r>
        <w:rPr>
          <w:rFonts w:ascii="Verdana" w:eastAsia="Times New Roman" w:hAnsi="Verdana" w:cs="Arial"/>
          <w:bCs/>
          <w:lang w:eastAsia="es-CO"/>
        </w:rPr>
        <w:t xml:space="preserve"> la promesa de proveeduría</w:t>
      </w:r>
      <w:r w:rsidRPr="00B1761C">
        <w:rPr>
          <w:rFonts w:ascii="Verdana" w:eastAsia="Times New Roman" w:hAnsi="Verdana" w:cs="Arial"/>
          <w:bCs/>
          <w:lang w:eastAsia="es-CO"/>
        </w:rPr>
        <w:t xml:space="preserve"> es</w:t>
      </w:r>
      <w:r>
        <w:rPr>
          <w:rFonts w:ascii="Verdana" w:eastAsia="Times New Roman" w:hAnsi="Verdana" w:cs="Arial"/>
          <w:bCs/>
          <w:lang w:eastAsia="es-CO"/>
        </w:rPr>
        <w:t xml:space="preserve"> un</w:t>
      </w:r>
      <w:r w:rsidRPr="00B1761C">
        <w:rPr>
          <w:rFonts w:ascii="Verdana" w:eastAsia="Times New Roman" w:hAnsi="Verdana" w:cs="Arial"/>
          <w:bCs/>
          <w:lang w:eastAsia="es-CO"/>
        </w:rPr>
        <w:t xml:space="preserve"> documento necesario para acreditar un factor de evaluación. Lo anterior en la media que el reglamento otorga un puntaje mínimo del 10% del total de los puntos, los cuales </w:t>
      </w:r>
      <w:r w:rsidRPr="00B1761C">
        <w:rPr>
          <w:rFonts w:ascii="Verdana" w:eastAsia="Times New Roman" w:hAnsi="Verdana" w:cs="Arial"/>
          <w:bCs/>
          <w:lang w:eastAsia="es-CO"/>
        </w:rPr>
        <w:lastRenderedPageBreak/>
        <w:t>son asignados proporcionalmente a los proveedores que presenten este tipo de contratos comprometiéndose con las entidades públicas con la adquisición de productos provenientes de pequeños productores locales o productores locales de la agricultura campesina, familiar o comunitaria y/o sus organizaciones, en una proporción mayor al mínimo exigido por la entidad.</w:t>
      </w:r>
    </w:p>
    <w:bookmarkEnd w:id="3"/>
    <w:p w14:paraId="639503F8" w14:textId="77777777" w:rsidR="00AA3D08" w:rsidRPr="00B52007" w:rsidRDefault="00AA3D08" w:rsidP="00AA3D08">
      <w:pPr>
        <w:shd w:val="clear" w:color="auto" w:fill="FFFFFF"/>
        <w:spacing w:after="0" w:line="276" w:lineRule="auto"/>
        <w:jc w:val="both"/>
        <w:rPr>
          <w:rFonts w:ascii="Verdana" w:eastAsia="Times New Roman" w:hAnsi="Verdana" w:cs="Arial"/>
          <w:lang w:eastAsia="es-CO"/>
        </w:rPr>
      </w:pPr>
      <w:r w:rsidRPr="00B1761C">
        <w:rPr>
          <w:rFonts w:ascii="Verdana" w:eastAsia="Times New Roman" w:hAnsi="Verdana" w:cs="Arial"/>
          <w:bCs/>
          <w:lang w:eastAsia="es-CO"/>
        </w:rPr>
        <w:tab/>
        <w:t xml:space="preserve">Para efectos del artículo </w:t>
      </w:r>
      <w:r w:rsidRPr="00B1761C">
        <w:rPr>
          <w:rFonts w:ascii="Verdana" w:eastAsia="Times New Roman" w:hAnsi="Verdana" w:cs="Arial"/>
          <w:lang w:eastAsia="es-CO"/>
        </w:rPr>
        <w:t>2.20.1.2.3 de</w:t>
      </w:r>
      <w:r w:rsidRPr="00B1761C">
        <w:rPr>
          <w:rFonts w:ascii="Verdana" w:eastAsia="Times New Roman" w:hAnsi="Verdana" w:cs="Arial"/>
          <w:bCs/>
          <w:lang w:eastAsia="es-CO"/>
        </w:rPr>
        <w:t xml:space="preserve">l Decreto 1071 de 2015, el puntaje mínimo del 10% del total de los puntos que debe asignarse a los oferentes que presenten promesas de contrato de proveeduría comprometiéndose con la entidad a adquirir productos provenientes de pequeños productores locales o productores locales de la Agricultura Campesina, Familiar o Comunitaria y/o sus organizaciones, </w:t>
      </w:r>
      <w:r w:rsidRPr="00B1761C">
        <w:rPr>
          <w:rFonts w:ascii="Verdana" w:eastAsia="Times New Roman" w:hAnsi="Verdana" w:cs="Arial"/>
          <w:bCs/>
          <w:i/>
          <w:iCs/>
          <w:lang w:eastAsia="es-CO"/>
        </w:rPr>
        <w:t>en una proporción mayor al mínimo exigido por la entidad</w:t>
      </w:r>
      <w:r w:rsidRPr="00B1761C">
        <w:rPr>
          <w:rFonts w:ascii="Verdana" w:eastAsia="Times New Roman" w:hAnsi="Verdana" w:cs="Arial"/>
          <w:bCs/>
          <w:lang w:eastAsia="es-CO"/>
        </w:rPr>
        <w:t xml:space="preserve">. Esto significa que no podrán beneficiarse del puntaje adicional quienes presenten contratos de proveeduría por debajo del mínimo previsto en el pliego de condiciones, de manera que únicamente se asignará a quienes superen la proporción exigida en los documentos del proceso.  </w:t>
      </w:r>
    </w:p>
    <w:p w14:paraId="66C63681" w14:textId="77777777" w:rsidR="00AA3D08" w:rsidRPr="009D5FF2" w:rsidRDefault="00AA3D08" w:rsidP="00AA3D08">
      <w:pPr>
        <w:shd w:val="clear" w:color="auto" w:fill="FFFFFF"/>
        <w:spacing w:after="0" w:line="276" w:lineRule="auto"/>
        <w:jc w:val="both"/>
        <w:rPr>
          <w:rFonts w:ascii="Verdana" w:eastAsia="Times New Roman" w:hAnsi="Verdana" w:cs="Arial"/>
          <w:bCs/>
          <w:lang w:eastAsia="es-CO"/>
        </w:rPr>
      </w:pPr>
      <w:r w:rsidRPr="00B1761C">
        <w:rPr>
          <w:rFonts w:ascii="Verdana" w:eastAsia="Times New Roman" w:hAnsi="Verdana" w:cs="Arial"/>
          <w:bCs/>
          <w:lang w:eastAsia="es-CO"/>
        </w:rPr>
        <w:t xml:space="preserve">         </w:t>
      </w:r>
      <w:r w:rsidRPr="00B1761C">
        <w:rPr>
          <w:rFonts w:ascii="Verdana" w:eastAsia="Times New Roman" w:hAnsi="Verdana" w:cs="Arial"/>
          <w:lang w:eastAsia="es-CO"/>
        </w:rPr>
        <w:t xml:space="preserve"> </w:t>
      </w:r>
    </w:p>
    <w:p w14:paraId="5D25E4E7" w14:textId="77777777" w:rsidR="00AA3D08" w:rsidRPr="008C3D38" w:rsidRDefault="00AA3D08" w:rsidP="00AA3D08">
      <w:pPr>
        <w:spacing w:after="120" w:line="276" w:lineRule="auto"/>
        <w:jc w:val="both"/>
        <w:rPr>
          <w:rFonts w:ascii="Verdana" w:eastAsia="Calibri" w:hAnsi="Verdana" w:cs="Arial"/>
          <w:color w:val="000000" w:themeColor="text1"/>
          <w:lang w:val="es-ES"/>
        </w:rPr>
      </w:pPr>
      <w:r w:rsidRPr="008C3D38">
        <w:rPr>
          <w:rFonts w:ascii="Verdana" w:eastAsia="Calibri" w:hAnsi="Verdana" w:cs="Arial"/>
          <w:color w:val="000000" w:themeColor="text1"/>
          <w:lang w:val="es-ES"/>
        </w:rPr>
        <w:t>i</w:t>
      </w:r>
      <w:r>
        <w:rPr>
          <w:rFonts w:ascii="Verdana" w:eastAsia="Calibri" w:hAnsi="Verdana" w:cs="Arial"/>
          <w:color w:val="000000" w:themeColor="text1"/>
          <w:lang w:val="es-ES"/>
        </w:rPr>
        <w:t>ii</w:t>
      </w:r>
      <w:r w:rsidRPr="008C3D38">
        <w:rPr>
          <w:rFonts w:ascii="Verdana" w:eastAsia="Calibri" w:hAnsi="Verdana" w:cs="Arial"/>
          <w:color w:val="000000" w:themeColor="text1"/>
          <w:lang w:val="es-ES"/>
        </w:rPr>
        <w:t xml:space="preserve">. Al </w:t>
      </w:r>
      <w:r w:rsidRPr="008C3D38">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1CB5D4B" w14:textId="77777777" w:rsidR="00AA3D08" w:rsidRPr="008C3D38" w:rsidRDefault="00AA3D08" w:rsidP="00AA3D08">
      <w:pPr>
        <w:spacing w:after="0" w:line="276" w:lineRule="auto"/>
        <w:ind w:firstLine="709"/>
        <w:jc w:val="both"/>
        <w:rPr>
          <w:rFonts w:ascii="Verdana" w:hAnsi="Verdana" w:cs="Arial"/>
          <w:lang w:val="es-ES" w:eastAsia="es-ES"/>
        </w:rPr>
      </w:pPr>
      <w:r w:rsidRPr="008C3D38">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1C6C4E3" w14:textId="77777777" w:rsidR="00AA3D08" w:rsidRPr="008C3D38" w:rsidRDefault="00AA3D08" w:rsidP="00AA3D08">
      <w:pPr>
        <w:spacing w:after="0" w:line="240" w:lineRule="auto"/>
        <w:jc w:val="both"/>
        <w:rPr>
          <w:rFonts w:ascii="Verdana" w:eastAsia="Calibri" w:hAnsi="Verdana" w:cs="Arial"/>
          <w:lang w:eastAsia="es-MX"/>
        </w:rPr>
      </w:pPr>
    </w:p>
    <w:p w14:paraId="017C0C9D" w14:textId="77777777" w:rsidR="00AA3D08" w:rsidRPr="008C3D38" w:rsidRDefault="00AA3D08" w:rsidP="00AA3D08">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C3D38">
        <w:rPr>
          <w:rFonts w:ascii="Verdana" w:eastAsia="Century Gothic" w:hAnsi="Verdana" w:cs="Century Gothic"/>
          <w:b/>
          <w:bCs/>
          <w:lang w:val="es-ES"/>
        </w:rPr>
        <w:lastRenderedPageBreak/>
        <w:t>Referencias normativas:</w:t>
      </w:r>
    </w:p>
    <w:p w14:paraId="0EFC95D7" w14:textId="77777777" w:rsidR="00AA3D08" w:rsidRPr="008C3D38" w:rsidRDefault="00AA3D08" w:rsidP="00AA3D08">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A3D08" w:rsidRPr="008C3D38" w14:paraId="09606D12" w14:textId="77777777" w:rsidTr="00D87263">
        <w:trPr>
          <w:trHeight w:val="487"/>
          <w:jc w:val="center"/>
        </w:trPr>
        <w:tc>
          <w:tcPr>
            <w:tcW w:w="8647" w:type="dxa"/>
          </w:tcPr>
          <w:p w14:paraId="0B0D126E" w14:textId="77777777" w:rsidR="00AA3D08" w:rsidRPr="008C3D38" w:rsidRDefault="00AA3D08" w:rsidP="00D8726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Consti</w:t>
            </w:r>
            <w:r>
              <w:rPr>
                <w:rFonts w:ascii="Verdana" w:eastAsia="Arial MT" w:hAnsi="Verdana" w:cs="Arial"/>
                <w:lang w:val="es-ES" w:eastAsia="es-ES" w:bidi="es-ES"/>
              </w:rPr>
              <w:t>tución Política, artículos 64 y 65.</w:t>
            </w:r>
          </w:p>
          <w:p w14:paraId="0F88C338" w14:textId="77777777" w:rsidR="00AA3D08" w:rsidRPr="008C3D38" w:rsidRDefault="00AA3D08" w:rsidP="00D8726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 xml:space="preserve">Ley 1955 de 2019: Artículo 229 </w:t>
            </w:r>
          </w:p>
          <w:p w14:paraId="0CB5EE7C" w14:textId="77777777" w:rsidR="00AA3D08" w:rsidRPr="008C3D38" w:rsidRDefault="00AA3D08" w:rsidP="00D8726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D38">
              <w:rPr>
                <w:rFonts w:ascii="Verdana" w:eastAsia="Arial MT" w:hAnsi="Verdana" w:cs="Arial"/>
                <w:lang w:val="es-ES" w:eastAsia="es-ES" w:bidi="es-ES"/>
              </w:rPr>
              <w:t>Ley 2046 de 2020: Artículo</w:t>
            </w:r>
            <w:r>
              <w:rPr>
                <w:rFonts w:ascii="Verdana" w:eastAsia="Arial MT" w:hAnsi="Verdana" w:cs="Arial"/>
                <w:lang w:val="es-ES" w:eastAsia="es-ES" w:bidi="es-ES"/>
              </w:rPr>
              <w:t>s 1 2,3, 4, 5,</w:t>
            </w:r>
            <w:r w:rsidRPr="008C3D38">
              <w:rPr>
                <w:rFonts w:ascii="Verdana" w:eastAsia="Arial MT" w:hAnsi="Verdana" w:cs="Arial"/>
                <w:lang w:val="es-ES" w:eastAsia="es-ES" w:bidi="es-ES"/>
              </w:rPr>
              <w:t xml:space="preserve"> 7, 8, 9, 10, 11,12 y 13 </w:t>
            </w:r>
          </w:p>
          <w:p w14:paraId="3A8AD08B" w14:textId="77777777" w:rsidR="00AA3D08" w:rsidRPr="008C3D38" w:rsidRDefault="00AA3D08" w:rsidP="00D8726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Decreto 248 de 2021. </w:t>
            </w:r>
          </w:p>
          <w:p w14:paraId="7A6F3D3F" w14:textId="77777777" w:rsidR="00AA3D08" w:rsidRPr="00972B8C" w:rsidRDefault="00AA3D08" w:rsidP="00D8726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eastAsia="es-ES" w:bidi="es-ES"/>
              </w:rPr>
              <w:t xml:space="preserve">Decreto 1071 de 2015, artículos </w:t>
            </w:r>
            <w:r w:rsidRPr="005B51CC">
              <w:rPr>
                <w:rFonts w:ascii="Verdana" w:eastAsia="Arial MT" w:hAnsi="Verdana" w:cs="Arial"/>
                <w:lang w:eastAsia="es-ES" w:bidi="es-ES"/>
              </w:rPr>
              <w:t>2.20.1.2.1, 2.20.1.2.2 y 2.20.1.2.3</w:t>
            </w:r>
          </w:p>
          <w:p w14:paraId="188D8CD4" w14:textId="77777777" w:rsidR="00AA3D08" w:rsidRPr="008C3D38" w:rsidRDefault="00AA3D08" w:rsidP="00D8726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eastAsia="es-ES" w:bidi="es-ES"/>
              </w:rPr>
              <w:t xml:space="preserve">Decreto 1082 de 2015, artículo </w:t>
            </w:r>
            <w:r w:rsidRPr="00972B8C">
              <w:rPr>
                <w:rFonts w:ascii="Verdana" w:eastAsia="Arial MT" w:hAnsi="Verdana" w:cs="Arial"/>
                <w:lang w:val="es-ES_tradnl" w:eastAsia="es-ES" w:bidi="es-ES"/>
              </w:rPr>
              <w:t xml:space="preserve">2.2.1.2.1.5.2. </w:t>
            </w:r>
          </w:p>
        </w:tc>
      </w:tr>
    </w:tbl>
    <w:p w14:paraId="53450D07" w14:textId="77777777" w:rsidR="00AA3D08" w:rsidRPr="008C3D38" w:rsidRDefault="00AA3D08" w:rsidP="00AA3D08">
      <w:pPr>
        <w:widowControl w:val="0"/>
        <w:autoSpaceDE w:val="0"/>
        <w:autoSpaceDN w:val="0"/>
        <w:spacing w:after="0" w:line="240" w:lineRule="auto"/>
        <w:jc w:val="both"/>
        <w:rPr>
          <w:rFonts w:ascii="Verdana" w:hAnsi="Verdana" w:cs="Arial"/>
        </w:rPr>
      </w:pPr>
    </w:p>
    <w:p w14:paraId="1B1195F2" w14:textId="77777777" w:rsidR="00AA3D08" w:rsidRPr="008C3D38" w:rsidRDefault="00AA3D08" w:rsidP="00AA3D08">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8C3D38">
        <w:rPr>
          <w:rFonts w:ascii="Verdana" w:eastAsia="Century Gothic" w:hAnsi="Verdana" w:cs="Century Gothic"/>
          <w:b/>
          <w:bCs/>
          <w:lang w:val="es-ES"/>
        </w:rPr>
        <w:t>Doctrina de la Agencia Nacional de Contratación Pública:</w:t>
      </w:r>
    </w:p>
    <w:p w14:paraId="0CB21492" w14:textId="77777777" w:rsidR="00AA3D08" w:rsidRPr="008C3D38" w:rsidRDefault="00AA3D08" w:rsidP="00AA3D08">
      <w:pPr>
        <w:widowControl w:val="0"/>
        <w:autoSpaceDE w:val="0"/>
        <w:autoSpaceDN w:val="0"/>
        <w:spacing w:after="0" w:line="276" w:lineRule="auto"/>
        <w:jc w:val="both"/>
        <w:rPr>
          <w:rFonts w:ascii="Verdana" w:hAnsi="Verdana" w:cs="Arial"/>
        </w:rPr>
      </w:pPr>
    </w:p>
    <w:p w14:paraId="26CBEC99" w14:textId="77777777" w:rsidR="00AA3D08" w:rsidRPr="008C3D38" w:rsidRDefault="00AA3D08" w:rsidP="00AA3D08">
      <w:pPr>
        <w:spacing w:after="0" w:line="276" w:lineRule="auto"/>
        <w:jc w:val="both"/>
        <w:rPr>
          <w:rFonts w:ascii="Verdana" w:eastAsia="Calibri" w:hAnsi="Verdana" w:cs="Arial"/>
          <w:lang w:val="es-ES"/>
        </w:rPr>
      </w:pPr>
      <w:r w:rsidRPr="008C3D38">
        <w:rPr>
          <w:rFonts w:ascii="Verdana" w:hAnsi="Verdana" w:cs="Arial"/>
          <w:shd w:val="clear" w:color="auto" w:fill="FFFFFF"/>
          <w:lang w:val="es-ES"/>
        </w:rPr>
        <w:t>La Agencia Nacional de Contratación Pública – Colombia Compra Eficiente</w:t>
      </w:r>
      <w:r w:rsidRPr="008C3D38">
        <w:rPr>
          <w:rFonts w:ascii="Verdana" w:eastAsia="Aptos" w:hAnsi="Verdana" w:cs="Arial"/>
          <w:shd w:val="clear" w:color="auto" w:fill="FFFFFF"/>
          <w:lang w:val="es-ES"/>
        </w:rPr>
        <w:t xml:space="preserve"> se pronunció esta Subdirección en los conceptos</w:t>
      </w:r>
      <w:r w:rsidRPr="008C3D38">
        <w:rPr>
          <w:rFonts w:ascii="Verdana" w:hAnsi="Verdana" w:cs="Arial"/>
          <w:shd w:val="clear" w:color="auto" w:fill="FFFFFF"/>
          <w:lang w:val="es-ES"/>
        </w:rPr>
        <w:t xml:space="preserve"> la promoción de las compras públicas de alimentos y los incentivos contractuales en los conceptos C-301 de 19 de junio de 2022 y C-810 del 25 de noviembre de 2022, C-410 del 6 de octubre de 2023, C-077 del 26 de abril de 2024, C-1657 del 19 de diciembre de 2025, C-1664 del 20 de diciembre de 2026,</w:t>
      </w:r>
      <w:r>
        <w:rPr>
          <w:rFonts w:ascii="Verdana" w:hAnsi="Verdana" w:cs="Arial"/>
          <w:shd w:val="clear" w:color="auto" w:fill="FFFFFF"/>
          <w:lang w:val="es-ES"/>
        </w:rPr>
        <w:t xml:space="preserve"> C-237 del 27 de marzo de 2026,</w:t>
      </w:r>
      <w:r w:rsidRPr="008C3D38">
        <w:rPr>
          <w:rFonts w:ascii="Verdana" w:hAnsi="Verdana" w:cs="Arial"/>
          <w:shd w:val="clear" w:color="auto" w:fill="FFFFFF"/>
          <w:lang w:val="es-ES"/>
        </w:rPr>
        <w:t xml:space="preserve"> </w:t>
      </w:r>
      <w:r>
        <w:rPr>
          <w:rFonts w:ascii="Verdana" w:hAnsi="Verdana" w:cs="Arial"/>
          <w:shd w:val="clear" w:color="auto" w:fill="FFFFFF"/>
          <w:lang w:val="es-ES"/>
        </w:rPr>
        <w:t xml:space="preserve">281 del 5 de abril de 2026, </w:t>
      </w:r>
      <w:r w:rsidRPr="008C3D38">
        <w:rPr>
          <w:rFonts w:ascii="Verdana" w:hAnsi="Verdana" w:cs="Arial"/>
          <w:shd w:val="clear" w:color="auto" w:fill="FFFFFF"/>
          <w:lang w:val="es-ES"/>
        </w:rPr>
        <w:t xml:space="preserve">entre otros. </w:t>
      </w:r>
      <w:r w:rsidRPr="008C3D38">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8406EF6" w14:textId="77777777" w:rsidR="00AA3D08" w:rsidRPr="008C3D38" w:rsidRDefault="00AA3D08" w:rsidP="00AA3D08">
      <w:pPr>
        <w:spacing w:after="0" w:line="256" w:lineRule="auto"/>
        <w:jc w:val="both"/>
        <w:rPr>
          <w:rFonts w:ascii="Verdana" w:eastAsia="Calibri" w:hAnsi="Verdana" w:cs="Times New Roman"/>
        </w:rPr>
      </w:pPr>
      <w:hyperlink r:id="rId12" w:history="1">
        <w:r w:rsidRPr="008C3D38">
          <w:rPr>
            <w:rFonts w:ascii="Verdana" w:eastAsia="Calibri" w:hAnsi="Verdana" w:cs="Times New Roman"/>
            <w:color w:val="0000FF"/>
            <w:u w:val="single"/>
            <w:lang w:val="es-ES"/>
          </w:rPr>
          <w:t>https://relatoria.colombiacompra.gov.co/busqueda/conceptos</w:t>
        </w:r>
      </w:hyperlink>
      <w:r w:rsidRPr="008C3D38">
        <w:rPr>
          <w:rFonts w:ascii="Verdana" w:eastAsia="Calibri" w:hAnsi="Verdana" w:cs="Times New Roman"/>
        </w:rPr>
        <w:t xml:space="preserve">. </w:t>
      </w:r>
    </w:p>
    <w:p w14:paraId="5AEDDB36" w14:textId="77777777" w:rsidR="00AA3D08" w:rsidRPr="008C3D38" w:rsidRDefault="00AA3D08" w:rsidP="00AA3D08">
      <w:pPr>
        <w:spacing w:after="0"/>
        <w:jc w:val="both"/>
        <w:rPr>
          <w:rFonts w:ascii="Verdana" w:hAnsi="Verdana"/>
        </w:rPr>
      </w:pPr>
    </w:p>
    <w:p w14:paraId="71FF8C98" w14:textId="77777777" w:rsidR="00AA3D08" w:rsidRPr="008C3D38" w:rsidRDefault="00AA3D08" w:rsidP="00AA3D08">
      <w:pPr>
        <w:spacing w:after="0"/>
        <w:jc w:val="both"/>
      </w:pPr>
      <w:r w:rsidRPr="008C3D38">
        <w:rPr>
          <w:rFonts w:ascii="Verdana" w:hAnsi="Verdana"/>
        </w:rPr>
        <w:t xml:space="preserve">La sostenibilidad no es una opción, es una obligación. Por ello, la Agencia Nacional de Contratación Pública –Colombia Compra Eficiente– te invita a realizar el </w:t>
      </w:r>
      <w:r w:rsidRPr="008C3D38">
        <w:rPr>
          <w:rFonts w:ascii="Verdana" w:hAnsi="Verdana"/>
          <w:b/>
          <w:bCs/>
        </w:rPr>
        <w:t>Curso de Contratación Pública Sostenible y Socialmente Responsable</w:t>
      </w:r>
      <w:r w:rsidRPr="008C3D38">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C3D38">
        <w:rPr>
          <w:rFonts w:ascii="Verdana" w:hAnsi="Verdana"/>
        </w:rPr>
        <w:br/>
      </w:r>
      <w:hyperlink r:id="rId13" w:tgtFrame="_new" w:history="1">
        <w:r w:rsidRPr="008C3D38">
          <w:rPr>
            <w:rFonts w:ascii="Verdana" w:hAnsi="Verdana"/>
            <w:color w:val="0000FF"/>
            <w:u w:val="single"/>
          </w:rPr>
          <w:t>https://formacionvirtual.colombiacompra.gov.co/mod/page/view.php?id=3718</w:t>
        </w:r>
      </w:hyperlink>
    </w:p>
    <w:p w14:paraId="73C18539" w14:textId="77777777" w:rsidR="00AA3D08" w:rsidRPr="008C3D38" w:rsidRDefault="00AA3D08" w:rsidP="00AA3D08">
      <w:pPr>
        <w:spacing w:after="0"/>
        <w:jc w:val="both"/>
        <w:rPr>
          <w:rFonts w:ascii="Verdana" w:hAnsi="Verdana"/>
        </w:rPr>
      </w:pPr>
    </w:p>
    <w:p w14:paraId="6220CC06" w14:textId="77777777" w:rsidR="00AA3D08" w:rsidRPr="008C3D38" w:rsidRDefault="00AA3D08" w:rsidP="00AA3D08">
      <w:pPr>
        <w:spacing w:after="0"/>
        <w:jc w:val="both"/>
      </w:pPr>
      <w:r w:rsidRPr="008C3D38">
        <w:rPr>
          <w:rFonts w:ascii="Verdana" w:hAnsi="Verdana"/>
        </w:rPr>
        <w:lastRenderedPageBreak/>
        <w:t xml:space="preserve">De otro lado, te contamos que esta Agencia ha da un paso decisivo en la estandarización y modernización del </w:t>
      </w:r>
      <w:r w:rsidRPr="008C3D38">
        <w:rPr>
          <w:rFonts w:ascii="Verdana" w:hAnsi="Verdana"/>
          <w:b/>
          <w:bCs/>
        </w:rPr>
        <w:t>sector  social</w:t>
      </w:r>
      <w:r w:rsidRPr="008C3D38">
        <w:rPr>
          <w:rFonts w:ascii="Verdana" w:hAnsi="Verdana"/>
        </w:rPr>
        <w:t xml:space="preserve"> con la expedición de las </w:t>
      </w:r>
      <w:r w:rsidRPr="008C3D38">
        <w:rPr>
          <w:rFonts w:ascii="Verdana" w:hAnsi="Verdana"/>
          <w:b/>
          <w:bCs/>
        </w:rPr>
        <w:t>Resoluciones 539, 540, 541, 952 y 953 de 2025</w:t>
      </w:r>
      <w:r w:rsidRPr="008C3D38">
        <w:rPr>
          <w:rFonts w:ascii="Verdana" w:hAnsi="Verdana"/>
        </w:rPr>
        <w:t xml:space="preserve">, </w:t>
      </w:r>
      <w:r w:rsidRPr="008C3D38">
        <w:rPr>
          <w:rFonts w:ascii="Verdana" w:hAnsi="Verdana"/>
          <w:b/>
          <w:bCs/>
        </w:rPr>
        <w:t>mediante las cuales adoptó Documentos Tipo</w:t>
      </w:r>
      <w:r w:rsidRPr="008C3D38">
        <w:rPr>
          <w:rFonts w:ascii="Verdana" w:hAnsi="Verdana"/>
        </w:rPr>
        <w:t xml:space="preserve"> para las modalidades de selección de</w:t>
      </w:r>
      <w:r w:rsidRPr="008C3D38">
        <w:rPr>
          <w:rFonts w:ascii="Verdana" w:hAnsi="Verdana"/>
          <w:b/>
          <w:bCs/>
        </w:rPr>
        <w:t xml:space="preserve"> licitación pública (versión 2), selección abreviada de menor cuantía, mínima cuantía, consultoría e interventoría</w:t>
      </w:r>
      <w:r w:rsidRPr="008C3D38">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8C3D38">
          <w:rPr>
            <w:rFonts w:ascii="Verdana" w:hAnsi="Verdana"/>
            <w:color w:val="0000FF"/>
            <w:u w:val="single"/>
          </w:rPr>
          <w:t>https://www.colombiacompra.gov.co/normativa-y-relatoria/documentos-tipo</w:t>
        </w:r>
      </w:hyperlink>
    </w:p>
    <w:p w14:paraId="1F3FE6D0" w14:textId="77777777" w:rsidR="00AA3D08" w:rsidRPr="008C3D38" w:rsidRDefault="00AA3D08" w:rsidP="00AA3D08">
      <w:pPr>
        <w:spacing w:after="0"/>
        <w:jc w:val="both"/>
        <w:rPr>
          <w:rFonts w:ascii="Verdana" w:hAnsi="Verdana"/>
        </w:rPr>
      </w:pPr>
    </w:p>
    <w:p w14:paraId="71866ADD" w14:textId="77777777" w:rsidR="00AA3D08" w:rsidRPr="008C3D38" w:rsidRDefault="00AA3D08" w:rsidP="00AA3D08">
      <w:pPr>
        <w:spacing w:after="0"/>
        <w:jc w:val="both"/>
        <w:rPr>
          <w:rFonts w:ascii="Verdana" w:hAnsi="Verdana"/>
        </w:rPr>
      </w:pPr>
      <w:r w:rsidRPr="008C3D38">
        <w:rPr>
          <w:rFonts w:ascii="Verdana" w:hAnsi="Verdana"/>
        </w:rPr>
        <w:t xml:space="preserve">Si quieres conocer más sobre la aplicación de Documentos Tipo puedes consultar la última versión de la </w:t>
      </w:r>
      <w:r w:rsidRPr="008C3D38">
        <w:rPr>
          <w:rFonts w:ascii="Verdana" w:hAnsi="Verdana"/>
          <w:b/>
          <w:bCs/>
        </w:rPr>
        <w:t>Guía para la comprensión e implementación de los Documentos Tipo de obra pública de infraestructura de transporte</w:t>
      </w:r>
      <w:r w:rsidRPr="008C3D38">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C3D38">
        <w:rPr>
          <w:rFonts w:ascii="Verdana" w:hAnsi="Verdana"/>
        </w:rPr>
        <w:br/>
      </w:r>
      <w:hyperlink r:id="rId15" w:tgtFrame="_new" w:history="1">
        <w:r w:rsidRPr="008C3D38">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4CBE8E0E" w14:textId="77777777" w:rsidR="00AA3D08" w:rsidRPr="008C3D38" w:rsidRDefault="00AA3D08" w:rsidP="00AA3D08">
      <w:pPr>
        <w:shd w:val="clear" w:color="auto" w:fill="FFFFFF"/>
        <w:spacing w:after="0" w:line="276" w:lineRule="auto"/>
        <w:jc w:val="both"/>
        <w:rPr>
          <w:rFonts w:ascii="Verdana" w:hAnsi="Verdana"/>
          <w:color w:val="000000"/>
          <w:u w:val="single"/>
        </w:rPr>
      </w:pPr>
    </w:p>
    <w:p w14:paraId="455C8CF9" w14:textId="77777777" w:rsidR="00AA3D08" w:rsidRPr="008C3D38" w:rsidRDefault="00AA3D08" w:rsidP="00AA3D08">
      <w:pPr>
        <w:spacing w:after="0"/>
        <w:jc w:val="both"/>
        <w:rPr>
          <w:rFonts w:ascii="Verdana" w:hAnsi="Verdana"/>
        </w:rPr>
      </w:pPr>
      <w:r w:rsidRPr="008C3D38">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A98F6CA" w14:textId="77777777" w:rsidR="00AA3D08" w:rsidRPr="008C3D38" w:rsidRDefault="00AA3D08" w:rsidP="00AA3D08">
      <w:pPr>
        <w:spacing w:after="0"/>
        <w:jc w:val="both"/>
        <w:rPr>
          <w:rFonts w:ascii="Verdana" w:hAnsi="Verdana"/>
        </w:rPr>
      </w:pPr>
    </w:p>
    <w:p w14:paraId="29405E0E" w14:textId="77777777" w:rsidR="00AA3D08" w:rsidRPr="008C3D38" w:rsidRDefault="00AA3D08" w:rsidP="00AA3D08">
      <w:pPr>
        <w:numPr>
          <w:ilvl w:val="0"/>
          <w:numId w:val="15"/>
        </w:numPr>
        <w:spacing w:after="0" w:line="240" w:lineRule="auto"/>
        <w:contextualSpacing/>
        <w:jc w:val="both"/>
        <w:rPr>
          <w:rFonts w:ascii="Verdana" w:eastAsia="Verdana" w:hAnsi="Verdana" w:cs="Verdana"/>
          <w:color w:val="4472C4" w:themeColor="accent1"/>
          <w:u w:val="single"/>
          <w:lang w:val="es-ES"/>
        </w:rPr>
      </w:pPr>
      <w:r w:rsidRPr="008C3D38">
        <w:rPr>
          <w:rFonts w:ascii="Verdana" w:eastAsia="Verdana" w:hAnsi="Verdana" w:cs="Verdana"/>
          <w:lang w:val="es-ES"/>
        </w:rPr>
        <w:t xml:space="preserve">Línea nacional gratuita o servicio a la ciudadanía (Mesa de servicio): </w:t>
      </w:r>
      <w:r w:rsidRPr="008C3D38">
        <w:rPr>
          <w:rFonts w:ascii="Verdana" w:hAnsi="Verdana"/>
          <w:color w:val="0000FF"/>
          <w:u w:val="single"/>
          <w:lang w:val="es-ES"/>
        </w:rPr>
        <w:t>01800 0520808</w:t>
      </w:r>
    </w:p>
    <w:p w14:paraId="2564FB2E" w14:textId="77777777" w:rsidR="00AA3D08" w:rsidRPr="008C3D38" w:rsidRDefault="00AA3D08" w:rsidP="00AA3D08">
      <w:pPr>
        <w:numPr>
          <w:ilvl w:val="0"/>
          <w:numId w:val="15"/>
        </w:numPr>
        <w:spacing w:after="0"/>
        <w:contextualSpacing/>
        <w:rPr>
          <w:rFonts w:ascii="Verdana" w:eastAsia="Verdana" w:hAnsi="Verdana" w:cs="Verdana"/>
          <w:color w:val="4472C4" w:themeColor="accent1"/>
          <w:u w:val="single"/>
          <w:lang w:val="es-ES"/>
        </w:rPr>
      </w:pPr>
      <w:r w:rsidRPr="008C3D38">
        <w:rPr>
          <w:rFonts w:ascii="Verdana" w:eastAsia="Verdana" w:hAnsi="Verdana" w:cs="Verdana"/>
          <w:lang w:val="es-ES"/>
        </w:rPr>
        <w:t>Línea en Bogotá (Mesa de servicio):</w:t>
      </w:r>
      <w:r w:rsidRPr="008C3D38">
        <w:rPr>
          <w:rFonts w:ascii="Verdana" w:hAnsi="Verdana"/>
          <w:color w:val="0000FF"/>
          <w:u w:val="single"/>
          <w:lang w:val="es-ES"/>
        </w:rPr>
        <w:t>+57 601 7456788</w:t>
      </w:r>
    </w:p>
    <w:p w14:paraId="2E04E11D" w14:textId="77777777" w:rsidR="00AA3D08" w:rsidRPr="008C3D38" w:rsidRDefault="00AA3D08" w:rsidP="00AA3D08">
      <w:pPr>
        <w:numPr>
          <w:ilvl w:val="0"/>
          <w:numId w:val="15"/>
        </w:numPr>
        <w:spacing w:after="0"/>
        <w:contextualSpacing/>
        <w:rPr>
          <w:rFonts w:ascii="Verdana" w:eastAsia="Verdana" w:hAnsi="Verdana" w:cs="Verdana"/>
          <w:color w:val="0000FF"/>
          <w:u w:val="single"/>
          <w:lang w:val="es-ES"/>
        </w:rPr>
      </w:pPr>
      <w:r w:rsidRPr="008C3D38">
        <w:rPr>
          <w:rFonts w:ascii="Verdana" w:eastAsia="Verdana" w:hAnsi="Verdana" w:cs="Verdana"/>
          <w:lang w:val="es-ES"/>
        </w:rPr>
        <w:t xml:space="preserve">Correo de radicación de correspondencia: </w:t>
      </w:r>
      <w:hyperlink r:id="rId16">
        <w:r w:rsidRPr="008C3D38">
          <w:rPr>
            <w:rFonts w:ascii="Verdana" w:eastAsia="Verdana" w:hAnsi="Verdana" w:cs="Verdana"/>
            <w:color w:val="0000FF"/>
            <w:u w:val="single"/>
            <w:lang w:val="es-ES"/>
          </w:rPr>
          <w:t>ventanilladeradicacion@colombiacompra.gov.co</w:t>
        </w:r>
      </w:hyperlink>
    </w:p>
    <w:p w14:paraId="0C3CE15E" w14:textId="77777777" w:rsidR="00AA3D08" w:rsidRPr="008C3D38" w:rsidRDefault="00AA3D08" w:rsidP="00AA3D08">
      <w:pPr>
        <w:numPr>
          <w:ilvl w:val="0"/>
          <w:numId w:val="15"/>
        </w:numPr>
        <w:spacing w:after="0"/>
        <w:contextualSpacing/>
        <w:rPr>
          <w:rFonts w:ascii="Verdana" w:eastAsia="Verdana" w:hAnsi="Verdana" w:cs="Verdana"/>
          <w:color w:val="0000FF"/>
          <w:u w:val="single"/>
          <w:lang w:val="es-ES"/>
        </w:rPr>
      </w:pPr>
      <w:r w:rsidRPr="008C3D38">
        <w:rPr>
          <w:rFonts w:ascii="Verdana" w:eastAsia="Verdana" w:hAnsi="Verdana" w:cs="Verdana"/>
          <w:lang w:val="es-ES"/>
        </w:rPr>
        <w:lastRenderedPageBreak/>
        <w:t>Formulario web para</w:t>
      </w:r>
      <w:r w:rsidRPr="008C3D38">
        <w:rPr>
          <w:rFonts w:ascii="Verdana" w:eastAsia="Verdana" w:hAnsi="Verdana" w:cs="Verdana"/>
          <w:lang w:val="es"/>
        </w:rPr>
        <w:t xml:space="preserve"> PQRSD: </w:t>
      </w:r>
      <w:hyperlink r:id="rId17">
        <w:r w:rsidRPr="008C3D38">
          <w:rPr>
            <w:rFonts w:ascii="Verdana" w:eastAsia="Verdana" w:hAnsi="Verdana" w:cs="Verdana"/>
            <w:color w:val="0000FF"/>
            <w:u w:val="single"/>
            <w:lang w:val="es-ES"/>
          </w:rPr>
          <w:t>https://www.colombiacompra.gov.co/pqrsd/informacion-importante-antes-de-formular-una-pqrsd</w:t>
        </w:r>
      </w:hyperlink>
    </w:p>
    <w:p w14:paraId="169E7FBC" w14:textId="77777777" w:rsidR="00AA3D08" w:rsidRPr="008C3D38" w:rsidRDefault="00AA3D08" w:rsidP="00AA3D08">
      <w:pPr>
        <w:spacing w:after="0" w:line="240" w:lineRule="auto"/>
        <w:ind w:left="720"/>
        <w:jc w:val="both"/>
        <w:rPr>
          <w:rFonts w:ascii="Verdana" w:hAnsi="Verdana"/>
        </w:rPr>
      </w:pPr>
    </w:p>
    <w:p w14:paraId="599705B2" w14:textId="77777777" w:rsidR="00AA3D08" w:rsidRPr="008C3D38" w:rsidRDefault="00AA3D08" w:rsidP="00AA3D08">
      <w:pPr>
        <w:spacing w:after="0" w:line="240" w:lineRule="auto"/>
        <w:rPr>
          <w:rFonts w:ascii="Verdana" w:hAnsi="Verdana"/>
        </w:rPr>
      </w:pPr>
      <w:r w:rsidRPr="008C3D38">
        <w:rPr>
          <w:rFonts w:ascii="Verdana" w:hAnsi="Verdana"/>
        </w:rPr>
        <w:t>Evalúa el servicio que ofrece la Agencia por el canal de atención de PQRSD en el siguiente enlace :</w:t>
      </w:r>
      <w:hyperlink r:id="rId18" w:tgtFrame="_blank" w:tooltip="https://forms.office.com/r/pphywvs2sz" w:history="1">
        <w:r w:rsidRPr="008C3D38">
          <w:rPr>
            <w:rFonts w:ascii="Verdana" w:hAnsi="Verdana"/>
            <w:color w:val="0000FF"/>
            <w:u w:val="single"/>
          </w:rPr>
          <w:t>https://forms.office.com/r/pPHyWVs2SZ</w:t>
        </w:r>
      </w:hyperlink>
      <w:r w:rsidRPr="008C3D38">
        <w:rPr>
          <w:rFonts w:ascii="Verdana" w:hAnsi="Verdana"/>
        </w:rPr>
        <w:t xml:space="preserve"> .¡Ayúdanos a mejorar porque el compromiso es de todos!</w:t>
      </w:r>
    </w:p>
    <w:p w14:paraId="11C25290" w14:textId="77777777" w:rsidR="00AA3D08" w:rsidRPr="008C3D38" w:rsidRDefault="00AA3D08" w:rsidP="00AA3D08">
      <w:pPr>
        <w:spacing w:after="0" w:line="240" w:lineRule="auto"/>
        <w:rPr>
          <w:rFonts w:ascii="Verdana" w:hAnsi="Verdana"/>
        </w:rPr>
      </w:pPr>
    </w:p>
    <w:p w14:paraId="66E60A12" w14:textId="77777777" w:rsidR="00AA3D08" w:rsidRPr="008C3D38" w:rsidRDefault="00AA3D08" w:rsidP="00AA3D08">
      <w:pPr>
        <w:spacing w:after="0" w:line="240" w:lineRule="auto"/>
        <w:jc w:val="both"/>
        <w:rPr>
          <w:rFonts w:ascii="Verdana" w:hAnsi="Verdana"/>
        </w:rPr>
      </w:pPr>
      <w:r w:rsidRPr="008C3D38">
        <w:rPr>
          <w:rFonts w:ascii="Verdana" w:hAnsi="Verdana"/>
        </w:rPr>
        <w:t xml:space="preserve">Por último, lo invitamos a seguirnos en las redes sociales en las cuales se difunde información institucional: </w:t>
      </w:r>
    </w:p>
    <w:p w14:paraId="221D3161" w14:textId="77777777" w:rsidR="00AA3D08" w:rsidRPr="008C3D38" w:rsidRDefault="00AA3D08" w:rsidP="00AA3D08">
      <w:pPr>
        <w:spacing w:after="0" w:line="240" w:lineRule="auto"/>
        <w:jc w:val="both"/>
        <w:rPr>
          <w:rFonts w:ascii="Verdana" w:hAnsi="Verdana"/>
        </w:rPr>
      </w:pPr>
    </w:p>
    <w:p w14:paraId="54FC0BBC" w14:textId="77777777" w:rsidR="00AA3D08" w:rsidRPr="008C3D38" w:rsidRDefault="00AA3D08" w:rsidP="00AA3D08">
      <w:pPr>
        <w:spacing w:after="0" w:line="240" w:lineRule="auto"/>
        <w:jc w:val="both"/>
        <w:rPr>
          <w:rFonts w:ascii="Verdana" w:hAnsi="Verdana"/>
        </w:rPr>
      </w:pPr>
      <w:r w:rsidRPr="008C3D38">
        <w:rPr>
          <w:rFonts w:ascii="Verdana" w:hAnsi="Verdana"/>
        </w:rPr>
        <w:t xml:space="preserve">Twitter: </w:t>
      </w:r>
      <w:r w:rsidRPr="008C3D38">
        <w:rPr>
          <w:rFonts w:ascii="Verdana" w:hAnsi="Verdana"/>
          <w:color w:val="0000FF"/>
          <w:u w:val="single"/>
        </w:rPr>
        <w:t>@colombiacompra</w:t>
      </w:r>
      <w:r w:rsidRPr="008C3D38">
        <w:rPr>
          <w:rFonts w:ascii="Verdana" w:hAnsi="Verdana"/>
        </w:rPr>
        <w:t xml:space="preserve"> </w:t>
      </w:r>
    </w:p>
    <w:p w14:paraId="645B1FA9" w14:textId="77777777" w:rsidR="00AA3D08" w:rsidRPr="008C3D38" w:rsidRDefault="00AA3D08" w:rsidP="00AA3D08">
      <w:pPr>
        <w:spacing w:after="0" w:line="240" w:lineRule="auto"/>
        <w:jc w:val="both"/>
        <w:rPr>
          <w:rFonts w:ascii="Verdana" w:hAnsi="Verdana"/>
        </w:rPr>
      </w:pPr>
      <w:r w:rsidRPr="008C3D38">
        <w:rPr>
          <w:rFonts w:ascii="Verdana" w:hAnsi="Verdana"/>
        </w:rPr>
        <w:t xml:space="preserve">Facebook: </w:t>
      </w:r>
      <w:r w:rsidRPr="008C3D38">
        <w:rPr>
          <w:rFonts w:ascii="Verdana" w:hAnsi="Verdana"/>
          <w:color w:val="0000FF"/>
          <w:u w:val="single"/>
        </w:rPr>
        <w:t>ColombiaCompraEficiente</w:t>
      </w:r>
    </w:p>
    <w:p w14:paraId="16DA739C" w14:textId="77777777" w:rsidR="00AA3D08" w:rsidRPr="008C3D38" w:rsidRDefault="00AA3D08" w:rsidP="00AA3D08">
      <w:pPr>
        <w:spacing w:after="0" w:line="240" w:lineRule="auto"/>
        <w:jc w:val="both"/>
        <w:rPr>
          <w:rFonts w:ascii="Verdana" w:hAnsi="Verdana"/>
        </w:rPr>
      </w:pPr>
      <w:r w:rsidRPr="008C3D38">
        <w:rPr>
          <w:rFonts w:ascii="Verdana" w:hAnsi="Verdana"/>
        </w:rPr>
        <w:t xml:space="preserve">LinkedIn: </w:t>
      </w:r>
      <w:r w:rsidRPr="008C3D38">
        <w:rPr>
          <w:rFonts w:ascii="Verdana" w:hAnsi="Verdana"/>
          <w:color w:val="0000FF"/>
          <w:u w:val="single"/>
        </w:rPr>
        <w:t>Agencia Nacional de Contratación Pública - Colombia Compra Eficiente</w:t>
      </w:r>
      <w:r w:rsidRPr="008C3D38">
        <w:rPr>
          <w:rFonts w:ascii="Verdana" w:hAnsi="Verdana"/>
        </w:rPr>
        <w:t xml:space="preserve"> Instagram: </w:t>
      </w:r>
      <w:r w:rsidRPr="008C3D38">
        <w:rPr>
          <w:rFonts w:ascii="Verdana" w:hAnsi="Verdana"/>
          <w:color w:val="0000FF"/>
          <w:u w:val="single"/>
        </w:rPr>
        <w:t>@colombiacompraeficiente_cce</w:t>
      </w:r>
    </w:p>
    <w:p w14:paraId="5591D9A6" w14:textId="77777777" w:rsidR="00AA3D08" w:rsidRPr="008C3D38" w:rsidRDefault="00AA3D08" w:rsidP="00AA3D08">
      <w:pPr>
        <w:shd w:val="clear" w:color="auto" w:fill="FFFFFF"/>
        <w:spacing w:after="0" w:line="276" w:lineRule="auto"/>
        <w:jc w:val="both"/>
        <w:rPr>
          <w:rFonts w:ascii="Verdana" w:hAnsi="Verdana" w:cs="Arial"/>
          <w:color w:val="FF0000"/>
          <w:shd w:val="clear" w:color="auto" w:fill="FFFFFF"/>
          <w:lang w:val="es-ES_tradnl"/>
        </w:rPr>
      </w:pPr>
      <w:r w:rsidRPr="008C3D38">
        <w:rPr>
          <w:rFonts w:ascii="Verdana" w:hAnsi="Verdana" w:cs="Arial"/>
          <w:color w:val="000000" w:themeColor="text1"/>
          <w:shd w:val="clear" w:color="auto" w:fill="FFFFFF"/>
          <w:lang w:val="es-ES_tradnl"/>
        </w:rPr>
        <w:t xml:space="preserve"> </w:t>
      </w:r>
      <w:r w:rsidRPr="008C3D38">
        <w:rPr>
          <w:rFonts w:ascii="Verdana" w:hAnsi="Verdana" w:cs="Arial"/>
          <w:color w:val="FF0000"/>
          <w:shd w:val="clear" w:color="auto" w:fill="FFFFFF"/>
          <w:lang w:val="es-ES_tradnl"/>
        </w:rPr>
        <w:t xml:space="preserve">        </w:t>
      </w:r>
    </w:p>
    <w:p w14:paraId="57579510" w14:textId="77777777" w:rsidR="00AA3D08" w:rsidRPr="008C3D38" w:rsidRDefault="00AA3D08" w:rsidP="00AA3D08">
      <w:pPr>
        <w:widowControl w:val="0"/>
        <w:autoSpaceDE w:val="0"/>
        <w:autoSpaceDN w:val="0"/>
        <w:spacing w:after="0" w:line="276" w:lineRule="auto"/>
        <w:jc w:val="both"/>
        <w:rPr>
          <w:rFonts w:ascii="Verdana" w:hAnsi="Verdana" w:cs="Arial"/>
          <w:lang w:val="es-ES_tradnl"/>
        </w:rPr>
      </w:pPr>
      <w:r w:rsidRPr="008C3D38">
        <w:rPr>
          <w:rFonts w:ascii="Verdana" w:hAnsi="Verdana" w:cs="Arial"/>
        </w:rPr>
        <w:t xml:space="preserve">Este concepto tiene el alcance previsto en el artículo 28 del Código de Procedimiento Administrativo y de lo Contencioso Administrativo </w:t>
      </w:r>
      <w:r w:rsidRPr="008C3D38">
        <w:rPr>
          <w:rFonts w:ascii="Verdana" w:hAnsi="Verdana" w:cs="Arial"/>
          <w:lang w:val="es-ES_tradnl"/>
        </w:rPr>
        <w:t xml:space="preserve">y las expresiones aquí utilizadas con mayúscula inicial deben ser entendidas con el significado que les otorga el artículo 2.2.1.1.1.3.1. del Decreto 1082 de 2015. </w:t>
      </w:r>
    </w:p>
    <w:p w14:paraId="55FE65E5" w14:textId="77777777" w:rsidR="00AA3D08" w:rsidRPr="008C3D38" w:rsidRDefault="00AA3D08" w:rsidP="00AA3D08">
      <w:pPr>
        <w:widowControl w:val="0"/>
        <w:autoSpaceDE w:val="0"/>
        <w:autoSpaceDN w:val="0"/>
        <w:spacing w:after="0" w:line="276" w:lineRule="auto"/>
        <w:jc w:val="both"/>
        <w:rPr>
          <w:rFonts w:ascii="Verdana" w:hAnsi="Verdana" w:cs="Arial"/>
        </w:rPr>
      </w:pPr>
    </w:p>
    <w:p w14:paraId="1B97EF4A" w14:textId="77777777" w:rsidR="00AA3D08" w:rsidRDefault="00AA3D08" w:rsidP="00AA3D08">
      <w:pPr>
        <w:spacing w:after="0" w:line="240" w:lineRule="auto"/>
        <w:rPr>
          <w:rFonts w:ascii="Verdana" w:hAnsi="Verdana" w:cs="Arial"/>
          <w:lang w:eastAsia="es-CO"/>
        </w:rPr>
      </w:pPr>
      <w:r w:rsidRPr="008C3D38">
        <w:rPr>
          <w:rFonts w:ascii="Verdana" w:eastAsia="Times New Roman" w:hAnsi="Verdana" w:cs="Arial"/>
          <w:lang w:eastAsia="es-CO"/>
        </w:rPr>
        <w:t>Atentamente,</w:t>
      </w:r>
      <w:r w:rsidRPr="008C3D38">
        <w:rPr>
          <w:rFonts w:ascii="Verdana" w:hAnsi="Verdana" w:cs="Arial"/>
          <w:lang w:eastAsia="es-CO"/>
        </w:rPr>
        <w:t xml:space="preserve"> </w:t>
      </w:r>
    </w:p>
    <w:p w14:paraId="2EC3AF58" w14:textId="77777777" w:rsidR="00AA3D08" w:rsidRPr="008C3D38" w:rsidRDefault="00AA3D08" w:rsidP="00AA3D08">
      <w:pPr>
        <w:spacing w:after="0" w:line="240" w:lineRule="auto"/>
        <w:rPr>
          <w:rFonts w:ascii="Verdana" w:hAnsi="Verdana" w:cs="Arial"/>
          <w:lang w:eastAsia="es-CO"/>
        </w:rPr>
      </w:pPr>
    </w:p>
    <w:p w14:paraId="242A850F" w14:textId="73E2A071" w:rsidR="00AA3D08" w:rsidRPr="00B52007" w:rsidRDefault="0001317C" w:rsidP="00AA3D08">
      <w:pPr>
        <w:spacing w:line="276" w:lineRule="auto"/>
        <w:jc w:val="center"/>
        <w:rPr>
          <w:rFonts w:ascii="Verdana" w:hAnsi="Verdana" w:cs="Arial"/>
          <w:color w:val="000000"/>
          <w:sz w:val="18"/>
          <w:szCs w:val="18"/>
          <w:lang w:val="es-ES_tradnl" w:eastAsia="es-CO"/>
        </w:rPr>
      </w:pPr>
      <w:r w:rsidRPr="002C3AD6">
        <w:rPr>
          <w:rFonts w:ascii="Century Gothic" w:hAnsi="Century Gothic"/>
          <w:noProof/>
          <w:lang w:val="en-US"/>
        </w:rPr>
        <w:drawing>
          <wp:inline distT="0" distB="0" distL="0" distR="0" wp14:anchorId="5832086F" wp14:editId="127A6E0F">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312722" cy="1229722"/>
                    </a:xfrm>
                    <a:prstGeom prst="rect">
                      <a:avLst/>
                    </a:prstGeom>
                  </pic:spPr>
                </pic:pic>
              </a:graphicData>
            </a:graphic>
          </wp:inline>
        </w:drawing>
      </w:r>
    </w:p>
    <w:tbl>
      <w:tblPr>
        <w:tblStyle w:val="Tablaconcuadrcula1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A3D08" w:rsidRPr="008C3D38" w14:paraId="006AECBA" w14:textId="77777777" w:rsidTr="00D87263">
        <w:trPr>
          <w:trHeight w:val="315"/>
        </w:trPr>
        <w:tc>
          <w:tcPr>
            <w:tcW w:w="893" w:type="dxa"/>
            <w:vAlign w:val="center"/>
            <w:hideMark/>
          </w:tcPr>
          <w:p w14:paraId="0E3F4BDF" w14:textId="77777777" w:rsidR="00AA3D08" w:rsidRPr="008C3D38" w:rsidRDefault="00AA3D08" w:rsidP="00D87263">
            <w:pPr>
              <w:contextualSpacing/>
              <w:rPr>
                <w:rFonts w:ascii="Verdana" w:hAnsi="Verdana" w:cs="Arial"/>
                <w:sz w:val="16"/>
                <w:szCs w:val="16"/>
                <w:lang w:val="es-ES" w:eastAsia="es-ES"/>
              </w:rPr>
            </w:pPr>
            <w:r w:rsidRPr="008C3D3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D4E5F10" w14:textId="77777777" w:rsidR="00AA3D08" w:rsidRPr="008C3D38" w:rsidRDefault="00AA3D08" w:rsidP="00D87263">
            <w:pPr>
              <w:contextualSpacing/>
              <w:rPr>
                <w:rFonts w:ascii="Verdana" w:hAnsi="Verdana"/>
                <w:sz w:val="16"/>
                <w:szCs w:val="16"/>
              </w:rPr>
            </w:pPr>
            <w:r w:rsidRPr="008C3D38">
              <w:rPr>
                <w:rFonts w:ascii="Verdana" w:hAnsi="Verdana"/>
                <w:sz w:val="16"/>
                <w:szCs w:val="16"/>
              </w:rPr>
              <w:t>José Luis Sánchez Cardona</w:t>
            </w:r>
          </w:p>
          <w:p w14:paraId="32A1B35E" w14:textId="77777777" w:rsidR="00AA3D08" w:rsidRPr="008C3D38" w:rsidRDefault="00AA3D08" w:rsidP="00D87263">
            <w:pPr>
              <w:contextualSpacing/>
              <w:rPr>
                <w:rFonts w:ascii="Verdana" w:eastAsia="Arial" w:hAnsi="Verdana" w:cs="Arial"/>
                <w:sz w:val="16"/>
                <w:szCs w:val="16"/>
              </w:rPr>
            </w:pPr>
            <w:r w:rsidRPr="008C3D38">
              <w:rPr>
                <w:rFonts w:ascii="Verdana" w:hAnsi="Verdana"/>
                <w:sz w:val="16"/>
                <w:szCs w:val="16"/>
              </w:rPr>
              <w:t>Contratista de la Subdirección de Gestión Contractual</w:t>
            </w:r>
          </w:p>
        </w:tc>
      </w:tr>
      <w:tr w:rsidR="00AA3D08" w:rsidRPr="008C3D38" w14:paraId="0CCDB8E3" w14:textId="77777777" w:rsidTr="00D87263">
        <w:trPr>
          <w:trHeight w:val="330"/>
        </w:trPr>
        <w:tc>
          <w:tcPr>
            <w:tcW w:w="893" w:type="dxa"/>
            <w:vAlign w:val="center"/>
            <w:hideMark/>
          </w:tcPr>
          <w:p w14:paraId="21084B4D" w14:textId="77777777" w:rsidR="00AA3D08" w:rsidRPr="008C3D38" w:rsidRDefault="00AA3D08" w:rsidP="00D87263">
            <w:pPr>
              <w:contextualSpacing/>
              <w:rPr>
                <w:rFonts w:ascii="Verdana" w:hAnsi="Verdana" w:cs="Arial"/>
                <w:sz w:val="16"/>
                <w:szCs w:val="16"/>
                <w:lang w:val="es-ES" w:eastAsia="es-ES"/>
              </w:rPr>
            </w:pPr>
            <w:r w:rsidRPr="008C3D3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63D977F" w14:textId="77777777" w:rsidR="00AA3D08" w:rsidRPr="008C3D38" w:rsidRDefault="00AA3D08" w:rsidP="00D87263">
            <w:pPr>
              <w:spacing w:before="100" w:beforeAutospacing="1" w:afterAutospacing="1"/>
              <w:contextualSpacing/>
              <w:textAlignment w:val="baseline"/>
              <w:rPr>
                <w:rFonts w:ascii="Verdana" w:eastAsia="Times New Roman" w:hAnsi="Verdana" w:cs="Arial"/>
                <w:sz w:val="16"/>
                <w:szCs w:val="16"/>
                <w:lang w:val="es-ES_tradnl" w:eastAsia="es-CO"/>
              </w:rPr>
            </w:pPr>
            <w:r w:rsidRPr="008C3D38">
              <w:rPr>
                <w:rFonts w:ascii="Verdana" w:eastAsia="Times New Roman" w:hAnsi="Verdana" w:cs="Arial"/>
                <w:sz w:val="16"/>
                <w:szCs w:val="16"/>
                <w:lang w:val="es-ES_tradnl" w:eastAsia="es-CO"/>
              </w:rPr>
              <w:t>Diana Lucía Saavedra Castañeda</w:t>
            </w:r>
          </w:p>
          <w:p w14:paraId="13E9D644" w14:textId="77777777" w:rsidR="00AA3D08" w:rsidRPr="008C3D38" w:rsidRDefault="00AA3D08" w:rsidP="00D87263">
            <w:pPr>
              <w:contextualSpacing/>
              <w:textAlignment w:val="baseline"/>
              <w:rPr>
                <w:rFonts w:ascii="Verdana" w:eastAsia="Times New Roman" w:hAnsi="Verdana" w:cs="Segoe UI"/>
                <w:sz w:val="16"/>
                <w:szCs w:val="16"/>
                <w:lang w:eastAsia="es-CO"/>
              </w:rPr>
            </w:pPr>
            <w:r w:rsidRPr="008C3D38">
              <w:rPr>
                <w:rFonts w:ascii="Verdana" w:eastAsia="Times New Roman" w:hAnsi="Verdana" w:cs="Arial"/>
                <w:sz w:val="16"/>
                <w:szCs w:val="16"/>
                <w:lang w:val="es-ES_tradnl" w:eastAsia="es-CO"/>
              </w:rPr>
              <w:t>Contratista de la Subdirección de Gestión Contractual</w:t>
            </w:r>
          </w:p>
        </w:tc>
      </w:tr>
      <w:tr w:rsidR="00AA3D08" w:rsidRPr="008C3D38" w14:paraId="5595210F" w14:textId="77777777" w:rsidTr="00D87263">
        <w:trPr>
          <w:trHeight w:val="300"/>
        </w:trPr>
        <w:tc>
          <w:tcPr>
            <w:tcW w:w="893" w:type="dxa"/>
            <w:vAlign w:val="center"/>
          </w:tcPr>
          <w:p w14:paraId="4B3A8932" w14:textId="77777777" w:rsidR="00AA3D08" w:rsidRPr="008C3D38" w:rsidRDefault="00AA3D08" w:rsidP="00D87263">
            <w:pPr>
              <w:contextualSpacing/>
              <w:rPr>
                <w:rFonts w:ascii="Verdana" w:hAnsi="Verdana" w:cs="Arial"/>
                <w:sz w:val="16"/>
                <w:szCs w:val="16"/>
                <w:lang w:val="es-ES" w:eastAsia="es-ES"/>
              </w:rPr>
            </w:pPr>
            <w:r w:rsidRPr="008C3D3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AE2DDD" w14:textId="77777777" w:rsidR="00AA3D08" w:rsidRPr="008C3D38" w:rsidRDefault="00AA3D08" w:rsidP="00D87263">
            <w:pPr>
              <w:contextualSpacing/>
              <w:rPr>
                <w:rFonts w:ascii="Verdana" w:hAnsi="Verdana" w:cs="Arial"/>
                <w:sz w:val="16"/>
                <w:szCs w:val="16"/>
                <w:lang w:val="pt-BR" w:eastAsia="es-ES"/>
              </w:rPr>
            </w:pPr>
            <w:r w:rsidRPr="008C3D38">
              <w:rPr>
                <w:rFonts w:ascii="Verdana" w:hAnsi="Verdana" w:cs="Arial"/>
                <w:sz w:val="16"/>
                <w:szCs w:val="16"/>
                <w:lang w:val="pt-BR" w:eastAsia="es-ES"/>
              </w:rPr>
              <w:t>Carolina Quintero Gacharná</w:t>
            </w:r>
          </w:p>
          <w:p w14:paraId="782243EF" w14:textId="77777777" w:rsidR="00AA3D08" w:rsidRPr="008C3D38" w:rsidRDefault="00AA3D08" w:rsidP="00D87263">
            <w:pPr>
              <w:contextualSpacing/>
              <w:rPr>
                <w:rFonts w:ascii="Verdana" w:hAnsi="Verdana" w:cs="Arial"/>
                <w:sz w:val="16"/>
                <w:szCs w:val="16"/>
                <w:lang w:val="pt-BR" w:eastAsia="es-ES"/>
              </w:rPr>
            </w:pPr>
            <w:r w:rsidRPr="008C3D38">
              <w:rPr>
                <w:rFonts w:ascii="Verdana" w:hAnsi="Verdana" w:cs="Arial"/>
                <w:sz w:val="16"/>
                <w:szCs w:val="16"/>
                <w:lang w:eastAsia="es-ES"/>
              </w:rPr>
              <w:t>Subdirectora</w:t>
            </w:r>
            <w:r w:rsidRPr="008C3D38">
              <w:rPr>
                <w:rFonts w:ascii="Verdana" w:hAnsi="Verdana" w:cs="Arial"/>
                <w:sz w:val="16"/>
                <w:szCs w:val="16"/>
                <w:lang w:val="pt-BR" w:eastAsia="es-ES"/>
              </w:rPr>
              <w:t xml:space="preserve"> de Gestión Contractual ANCP – CCE</w:t>
            </w:r>
          </w:p>
        </w:tc>
      </w:tr>
    </w:tbl>
    <w:p w14:paraId="55221264" w14:textId="77777777" w:rsidR="00AA3D08" w:rsidRPr="000E2B93" w:rsidRDefault="00AA3D08" w:rsidP="00AA3D08">
      <w:pPr>
        <w:spacing w:after="0" w:line="240" w:lineRule="auto"/>
        <w:textAlignment w:val="baseline"/>
        <w:rPr>
          <w:rFonts w:ascii="Verdana" w:eastAsia="Verdana" w:hAnsi="Verdana" w:cs="Verdana"/>
          <w:lang w:eastAsia="es-CO"/>
        </w:rPr>
      </w:pPr>
    </w:p>
    <w:p w14:paraId="17286D48" w14:textId="2A37CDCD" w:rsidR="00AA3D08" w:rsidRPr="000E2B93" w:rsidRDefault="00AA3D08" w:rsidP="00AA3D0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C61EC8" w14:textId="285376A2" w:rsidR="00EB224C" w:rsidRPr="00AA3D08" w:rsidRDefault="00EB224C" w:rsidP="00AA3D08"/>
    <w:sectPr w:rsidR="00EB224C" w:rsidRPr="00AA3D08"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18363" w14:textId="77777777" w:rsidR="00B17EC0" w:rsidRDefault="00B17EC0" w:rsidP="004A1847">
      <w:pPr>
        <w:spacing w:after="0" w:line="240" w:lineRule="auto"/>
      </w:pPr>
      <w:r>
        <w:separator/>
      </w:r>
    </w:p>
  </w:endnote>
  <w:endnote w:type="continuationSeparator" w:id="0">
    <w:p w14:paraId="284F544F" w14:textId="77777777" w:rsidR="00B17EC0" w:rsidRDefault="00B17EC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6DC2C726"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1945F3" w:rsidRPr="001945F3">
      <w:rPr>
        <w:rFonts w:ascii="Verdana" w:eastAsiaTheme="minorEastAsia" w:hAnsi="Verdana"/>
        <w:b/>
        <w:bCs/>
        <w:noProof/>
        <w:sz w:val="16"/>
        <w:szCs w:val="16"/>
      </w:rPr>
      <w:t>21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DC68E" w14:textId="77777777" w:rsidR="00B17EC0" w:rsidRDefault="00B17EC0" w:rsidP="004A1847">
      <w:pPr>
        <w:spacing w:after="0" w:line="240" w:lineRule="auto"/>
      </w:pPr>
      <w:r>
        <w:separator/>
      </w:r>
    </w:p>
  </w:footnote>
  <w:footnote w:type="continuationSeparator" w:id="0">
    <w:p w14:paraId="2E300E5F" w14:textId="77777777" w:rsidR="00B17EC0" w:rsidRDefault="00B17EC0" w:rsidP="004A1847">
      <w:pPr>
        <w:spacing w:after="0" w:line="240" w:lineRule="auto"/>
      </w:pPr>
      <w:r>
        <w:continuationSeparator/>
      </w:r>
    </w:p>
  </w:footnote>
  <w:footnote w:id="1">
    <w:p w14:paraId="3A7E4D71" w14:textId="77777777" w:rsidR="00AA3D08" w:rsidRPr="00F64E2F" w:rsidRDefault="00AA3D08" w:rsidP="00AA3D08">
      <w:pPr>
        <w:pStyle w:val="NormalWeb"/>
        <w:shd w:val="clear" w:color="auto" w:fill="FFFFFF"/>
        <w:spacing w:before="0" w:beforeAutospacing="0" w:after="0" w:afterAutospacing="0"/>
        <w:ind w:firstLine="708"/>
        <w:jc w:val="both"/>
        <w:rPr>
          <w:rFonts w:ascii="Verdana" w:hAnsi="Verdana" w:cs="Arial"/>
          <w:sz w:val="16"/>
          <w:szCs w:val="16"/>
          <w:lang w:eastAsia="en-US"/>
        </w:rPr>
      </w:pPr>
      <w:r w:rsidRPr="00F64E2F">
        <w:rPr>
          <w:rStyle w:val="Refdenotaalpie"/>
          <w:rFonts w:ascii="Verdana" w:hAnsi="Verdana" w:cs="Arial"/>
          <w:sz w:val="16"/>
          <w:szCs w:val="16"/>
        </w:rPr>
        <w:footnoteRef/>
      </w:r>
      <w:r w:rsidRPr="00F64E2F">
        <w:rPr>
          <w:rFonts w:ascii="Verdana" w:hAnsi="Verdana" w:cs="Arial"/>
          <w:sz w:val="16"/>
          <w:szCs w:val="16"/>
        </w:rPr>
        <w:t xml:space="preserve"> </w:t>
      </w:r>
      <w:r w:rsidRPr="00F64E2F">
        <w:rPr>
          <w:rFonts w:ascii="Verdana" w:hAnsi="Verdana" w:cs="Arial"/>
          <w:bCs/>
          <w:sz w:val="16"/>
          <w:szCs w:val="16"/>
        </w:rPr>
        <w:t>Artículo 2.20.1.1.4. Promesa de contrato de proveeduría.</w:t>
      </w:r>
      <w:r w:rsidRPr="00F64E2F">
        <w:rPr>
          <w:rFonts w:ascii="Verdana" w:hAnsi="Verdana" w:cs="Arial"/>
          <w:sz w:val="16"/>
          <w:szCs w:val="16"/>
        </w:rPr>
        <w:t> Las entidades que contraten con recursos públicos la adquisición, suministro y entrega de alimentos en cualquiera de sus modalidades de atención, solicitarán a los proponentes en el pliego de condiciones, una promesa de contrato de proveeduría con los pequeños productores agropecuarios locales y/o productores de la Agricultura Campesina, Familiar y Comunitaria locales y sus organizaciones, que se encuentren en el registro de productores individuales y/u organizaciones de productores consolidado por las secretarías departamentales de agricultura o quien haga sus veces, o en el Sistema Público de Información Alimentaria una vez entre en operación, dando cumplimiento a la normatividad de protección de datos personales vigente.</w:t>
      </w:r>
    </w:p>
    <w:p w14:paraId="1A6DB78D" w14:textId="77777777" w:rsidR="00AA3D08" w:rsidRPr="00F64E2F" w:rsidRDefault="00AA3D08" w:rsidP="00AA3D08">
      <w:pPr>
        <w:pStyle w:val="NormalWeb"/>
        <w:shd w:val="clear" w:color="auto" w:fill="FFFFFF"/>
        <w:spacing w:before="0" w:beforeAutospacing="0" w:after="0" w:afterAutospacing="0"/>
        <w:ind w:firstLine="708"/>
        <w:jc w:val="both"/>
        <w:rPr>
          <w:rFonts w:ascii="Verdana" w:hAnsi="Verdana" w:cs="Arial"/>
          <w:sz w:val="16"/>
          <w:szCs w:val="16"/>
        </w:rPr>
      </w:pPr>
      <w:r w:rsidRPr="00F64E2F">
        <w:rPr>
          <w:rFonts w:ascii="Verdana" w:hAnsi="Verdana" w:cs="Arial"/>
          <w:sz w:val="16"/>
          <w:szCs w:val="16"/>
        </w:rPr>
        <w:t>La promesa de contrato de proveeduría de que trata el presente artículo deberá constar por escrito y tener como mínimo el siguiente contenido: identificación del productor y del oferente, producto y variedad(es) del producto agropecuario que se requiere, cantidad (unidades o peso), de compra del proponente .al productor, fecha y lugar de entrega de los productos agropecuarios; condiciones de embalaje o empaque de estos; y la intención de la compra de productos agropecuarios.</w:t>
      </w:r>
    </w:p>
    <w:p w14:paraId="7E276B58" w14:textId="77777777" w:rsidR="00AA3D08" w:rsidRPr="00B52007" w:rsidRDefault="00AA3D08" w:rsidP="00AA3D08">
      <w:pPr>
        <w:pStyle w:val="NormalWeb"/>
        <w:shd w:val="clear" w:color="auto" w:fill="FFFFFF"/>
        <w:spacing w:before="0" w:beforeAutospacing="0" w:after="0" w:afterAutospacing="0"/>
        <w:ind w:firstLine="708"/>
        <w:jc w:val="both"/>
        <w:rPr>
          <w:rFonts w:ascii="Verdana" w:hAnsi="Verdana" w:cs="Arial"/>
          <w:sz w:val="16"/>
          <w:szCs w:val="16"/>
        </w:rPr>
      </w:pPr>
      <w:r w:rsidRPr="00F64E2F">
        <w:rPr>
          <w:rFonts w:ascii="Verdana" w:hAnsi="Verdana" w:cs="Arial"/>
          <w:bCs/>
          <w:sz w:val="16"/>
          <w:szCs w:val="16"/>
        </w:rPr>
        <w:t>Parágrafo.</w:t>
      </w:r>
      <w:r w:rsidRPr="00F64E2F">
        <w:rPr>
          <w:rFonts w:ascii="Verdana" w:hAnsi="Verdana" w:cs="Arial"/>
          <w:sz w:val="16"/>
          <w:szCs w:val="16"/>
        </w:rPr>
        <w:t> En caso de presentarse promesa de contrato de proveeduría, la entidad contratante deberá verificar como requisito de ejecución que el contratista haya celebrado el contrato de proveeduría con los pequeños productores y/o productores de la Agricultura Campesina, Familiar o Comunitaria locales y sus organizaciones».</w:t>
      </w:r>
    </w:p>
  </w:footnote>
  <w:footnote w:id="2">
    <w:p w14:paraId="494E07FA" w14:textId="77777777" w:rsidR="00AA3D08" w:rsidRPr="00F64E2F" w:rsidRDefault="00AA3D08" w:rsidP="00AA3D08">
      <w:pPr>
        <w:pStyle w:val="Textonotapie"/>
        <w:ind w:firstLine="708"/>
        <w:jc w:val="both"/>
        <w:rPr>
          <w:rFonts w:ascii="Verdana" w:hAnsi="Verdana" w:cs="Arial"/>
          <w:sz w:val="16"/>
          <w:szCs w:val="16"/>
          <w:lang w:val="es-CO"/>
        </w:rPr>
      </w:pPr>
      <w:r w:rsidRPr="00F64E2F">
        <w:rPr>
          <w:rStyle w:val="Refdenotaalpie"/>
          <w:rFonts w:ascii="Verdana" w:hAnsi="Verdana" w:cs="Arial"/>
          <w:sz w:val="16"/>
          <w:szCs w:val="16"/>
        </w:rPr>
        <w:footnoteRef/>
      </w:r>
      <w:r w:rsidRPr="00F64E2F">
        <w:rPr>
          <w:rFonts w:ascii="Verdana" w:hAnsi="Verdana" w:cs="Arial"/>
          <w:sz w:val="16"/>
          <w:szCs w:val="16"/>
        </w:rPr>
        <w:t xml:space="preserve"> </w:t>
      </w:r>
      <w:r w:rsidRPr="00F64E2F">
        <w:rPr>
          <w:rFonts w:ascii="Verdana" w:hAnsi="Verdana" w:cs="Arial"/>
          <w:sz w:val="16"/>
          <w:szCs w:val="16"/>
          <w:lang w:val="es-CO"/>
        </w:rPr>
        <w:t xml:space="preserve">Riccardo Guastini señala sobre la interpretación sistemática lo siguiente: </w:t>
      </w:r>
      <w:r w:rsidRPr="00F64E2F">
        <w:rPr>
          <w:rFonts w:ascii="Verdana" w:hAnsi="Verdana" w:cs="Arial"/>
          <w:sz w:val="16"/>
          <w:szCs w:val="16"/>
        </w:rPr>
        <w:t>«</w:t>
      </w:r>
      <w:r w:rsidRPr="00F64E2F">
        <w:rPr>
          <w:rFonts w:ascii="Verdana" w:hAnsi="Verdana" w:cs="Arial"/>
          <w:sz w:val="16"/>
          <w:szCs w:val="16"/>
          <w:lang w:val="es-CO"/>
        </w:rPr>
        <w:t xml:space="preserve">Grosso modo, se llama sistemática toda interpretación que deduzca el significado de una disposición de su colocación en el “sistema” del derecho: unas veces en el sistema jurídico en su conjunto, más frecuentemente, en su subsistema del sistema jurídico total, es decir, en el conjunto de disposiciones que disciplinan una determinada materia o una determinada institución. El sistema jurídico y los subsistemas que lo componen se conciben generalmente como conjuntos de normas coherentes (carentes de contradicciones o antinomias) y completos (carentes de lagunas). </w:t>
      </w:r>
    </w:p>
    <w:p w14:paraId="5194E925" w14:textId="77777777" w:rsidR="00AA3D08" w:rsidRPr="00F64E2F" w:rsidRDefault="00AA3D08" w:rsidP="00AA3D08">
      <w:pPr>
        <w:pStyle w:val="Textonotapie"/>
        <w:ind w:firstLine="708"/>
        <w:jc w:val="both"/>
        <w:rPr>
          <w:rFonts w:ascii="Verdana" w:hAnsi="Verdana" w:cs="Arial"/>
          <w:sz w:val="16"/>
          <w:szCs w:val="16"/>
          <w:lang w:val="es-CO"/>
        </w:rPr>
      </w:pPr>
      <w:r w:rsidRPr="00F64E2F">
        <w:rPr>
          <w:rFonts w:ascii="Verdana" w:hAnsi="Verdana" w:cs="Arial"/>
          <w:sz w:val="16"/>
          <w:szCs w:val="16"/>
          <w:lang w:val="es-CO"/>
        </w:rPr>
        <w:t>En la práctica, se hace interpretación sistemática siempre que, para decidir el significado de una disposición, no se atiende a la disposición aisladamente considerada, sino al contexto en el que esté situada. Tal contexto puede ser más o menos amplio: los demás apartados de un mismo artículo, el resto de los artículos en una misma ley, hasta llegar incluso a la totalidad de las disposiciones que componen el sistema jurídico</w:t>
      </w:r>
      <w:r w:rsidRPr="00F64E2F">
        <w:rPr>
          <w:rFonts w:ascii="Verdana" w:hAnsi="Verdana" w:cs="Arial"/>
          <w:sz w:val="16"/>
          <w:szCs w:val="16"/>
        </w:rPr>
        <w:t>”</w:t>
      </w:r>
      <w:r w:rsidRPr="00F64E2F">
        <w:rPr>
          <w:rFonts w:ascii="Verdana" w:hAnsi="Verdana" w:cs="Arial"/>
          <w:sz w:val="16"/>
          <w:szCs w:val="16"/>
          <w:lang w:val="es-CO"/>
        </w:rPr>
        <w:t xml:space="preserve"> (GUASTINI, Riccardo. Estudios sobre la interpretación jurídica. México: UNAM, 1999. p. 43).  </w:t>
      </w:r>
    </w:p>
  </w:footnote>
  <w:footnote w:id="3">
    <w:p w14:paraId="58C11CC9" w14:textId="77777777" w:rsidR="00AA3D08" w:rsidRPr="00B52007" w:rsidRDefault="00AA3D08" w:rsidP="00AA3D08">
      <w:pPr>
        <w:pStyle w:val="Textonotapie"/>
        <w:ind w:firstLine="709"/>
        <w:jc w:val="both"/>
        <w:rPr>
          <w:rFonts w:ascii="Verdana" w:hAnsi="Verdana"/>
          <w:sz w:val="16"/>
          <w:szCs w:val="16"/>
          <w:lang w:val="es-CO"/>
        </w:rPr>
      </w:pPr>
      <w:r w:rsidRPr="00B52007">
        <w:rPr>
          <w:rStyle w:val="Refdenotaalpie"/>
          <w:rFonts w:ascii="Verdana" w:hAnsi="Verdana"/>
          <w:sz w:val="16"/>
          <w:szCs w:val="16"/>
        </w:rPr>
        <w:footnoteRef/>
      </w:r>
      <w:r w:rsidRPr="00B52007">
        <w:rPr>
          <w:rFonts w:ascii="Verdana" w:hAnsi="Verdana"/>
          <w:sz w:val="16"/>
          <w:szCs w:val="16"/>
        </w:rPr>
        <w:t xml:space="preserve"> </w:t>
      </w:r>
      <w:r w:rsidRPr="00B52007">
        <w:rPr>
          <w:rFonts w:ascii="Verdana" w:hAnsi="Verdana"/>
          <w:sz w:val="16"/>
          <w:szCs w:val="16"/>
          <w:lang w:val="es-ES_tradnl"/>
        </w:rPr>
        <w:t xml:space="preserve">Esto lo ratifica el artículo 2.2.1.2.1.5.2. del Decreto 1082 de 2015, que dispone: </w:t>
      </w:r>
      <w:r w:rsidRPr="00B52007">
        <w:rPr>
          <w:rFonts w:ascii="Verdana" w:hAnsi="Verdana"/>
          <w:sz w:val="16"/>
          <w:szCs w:val="16"/>
          <w:lang w:val="es-CO"/>
        </w:rPr>
        <w:t>Artículo 2.2.1.2.1.5.2. Procedimiento para la contratación de mínima cuantía. Las siguientes reglas son aplicables a la contratación cuyo valor no excede del diez por ciento (10%) de la menor cuantía de la Entidad Estatal, independientemente de su objeto: </w:t>
      </w:r>
    </w:p>
    <w:p w14:paraId="037A3DE3" w14:textId="77777777" w:rsidR="00AA3D08" w:rsidRPr="00B52007"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el cumplimiento de las condiciones técnicas exigidas, incluyendo las obligaciones de las partes del futuro contrato.</w:t>
      </w:r>
    </w:p>
    <w:p w14:paraId="03A4F267" w14:textId="77777777" w:rsidR="00AA3D08" w:rsidRPr="00B52007"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2. La Entidad Estatal podrá exigir una capacidad financiera mínima cuando no hace el pago contra entrega a satisfacción de los bienes, obras o servicios. Si la Entidad Estatal exige capacidad financiera debe indicar cómo hará la verificación correspondiente en la invitación.</w:t>
      </w:r>
    </w:p>
    <w:p w14:paraId="69F41116" w14:textId="77777777" w:rsidR="00AA3D08" w:rsidRPr="00B52007"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3. La invitación se publicará por un término no inferior a un (1) día hábil para que los interesados se informen de su contenido y formulen observaciones o comentarios, los cuales serán contestados por la Entidad Estatal antes del inicio del plazo para presentar ofertas. De conformidad con el parágrafo del presente artículo, dentro del mismo término para formular observaciones se podrán presentar las solicitudes para limitar la convocatoria a Mipyme colombianas.</w:t>
      </w:r>
    </w:p>
    <w:p w14:paraId="5340779F" w14:textId="77777777" w:rsidR="00AA3D08" w:rsidRPr="00B52007"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ii)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 iii) El momento en que publicará un aviso en el SECOP precisando si el proceso efectivamente se limitó a Mipyme 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Mipyme.</w:t>
      </w:r>
    </w:p>
    <w:p w14:paraId="6B39E78D" w14:textId="77777777" w:rsidR="00AA3D08" w:rsidRPr="00B52007"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5. 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 Lo anterior sin perjuicio de la oportunidad que deberán otorgar las Entidades Estatales para subsanar las ofertas, en los términos del artículo 5 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p>
    <w:p w14:paraId="2774EF6E" w14:textId="77777777" w:rsidR="00AA3D08" w:rsidRPr="00B52007"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6. La Entidad Estatal debe publicar el informe de evaluación durante mínimo un (1) día hábil, para que durante este término los oferentes presenten las observaciones que deberán ser respondidas por la Entidad Estatal antes de realizar la aceptación de la oferta seleccionada.   </w:t>
      </w:r>
    </w:p>
    <w:p w14:paraId="4C121551" w14:textId="77777777" w:rsidR="00AA3D08" w:rsidRPr="00B52007"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7. La Entidad Estatal debe aceptar la oferta de menor precio, siempre que cumpla con las condiciones establecidas en la invitación a participar en procesos de mínima cuantía. En la aceptación de la oferta, la Entidad Estatal debe informar al contratista el nombre del supervisor o interventor del contrato.</w:t>
      </w:r>
    </w:p>
    <w:p w14:paraId="6CC8B3C4" w14:textId="77777777" w:rsidR="00AA3D08"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8. En caso de empate, la Entidad Estatal aplicará los criterios de que trata el artículo 35 de la Ley 2069 de 2020, conforme a los medios de acreditación del artículo 2.2.1.2.4.2.17. del presente Decreto o las normas que los modifiquen, adicionen o sustituyan.</w:t>
      </w:r>
    </w:p>
    <w:p w14:paraId="6AA56342" w14:textId="77777777" w:rsidR="00AA3D08" w:rsidRPr="00B52007" w:rsidRDefault="00AA3D08" w:rsidP="00AA3D08">
      <w:pPr>
        <w:pStyle w:val="Textonotapie"/>
        <w:ind w:firstLine="709"/>
        <w:jc w:val="both"/>
        <w:rPr>
          <w:rFonts w:ascii="Verdana" w:hAnsi="Verdana"/>
          <w:sz w:val="16"/>
          <w:szCs w:val="16"/>
          <w:lang w:val="es-CO"/>
        </w:rPr>
      </w:pPr>
      <w:r w:rsidRPr="00B52007">
        <w:rPr>
          <w:rFonts w:ascii="Verdana" w:hAnsi="Verdana"/>
          <w:sz w:val="16"/>
          <w:szCs w:val="16"/>
          <w:lang w:val="es-CO"/>
        </w:rPr>
        <w:t>9. La oferta y su aceptación constituyen el contrato estatal.</w:t>
      </w:r>
      <w:r>
        <w:rPr>
          <w:rFonts w:ascii="Verdana" w:hAnsi="Verdana"/>
          <w:sz w:val="16"/>
          <w:szCs w:val="16"/>
          <w:lang w:val="es-CO"/>
        </w:rPr>
        <w:t>[…]</w:t>
      </w:r>
    </w:p>
    <w:p w14:paraId="65DDBAF5" w14:textId="77777777" w:rsidR="00AA3D08" w:rsidRPr="00B52007" w:rsidRDefault="00AA3D08" w:rsidP="00AA3D08">
      <w:pPr>
        <w:pStyle w:val="Textonotapie"/>
        <w:ind w:firstLine="709"/>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005427170">
    <w:abstractNumId w:val="10"/>
  </w:num>
  <w:num w:numId="2" w16cid:durableId="1682464763">
    <w:abstractNumId w:val="2"/>
  </w:num>
  <w:num w:numId="3" w16cid:durableId="2074084120">
    <w:abstractNumId w:val="8"/>
  </w:num>
  <w:num w:numId="4" w16cid:durableId="212495690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59626485">
    <w:abstractNumId w:val="2"/>
  </w:num>
  <w:num w:numId="6" w16cid:durableId="1647391134">
    <w:abstractNumId w:val="17"/>
  </w:num>
  <w:num w:numId="7" w16cid:durableId="362482276">
    <w:abstractNumId w:val="9"/>
  </w:num>
  <w:num w:numId="8" w16cid:durableId="961231664">
    <w:abstractNumId w:val="16"/>
  </w:num>
  <w:num w:numId="9" w16cid:durableId="360787756">
    <w:abstractNumId w:val="11"/>
  </w:num>
  <w:num w:numId="10" w16cid:durableId="689374024">
    <w:abstractNumId w:val="15"/>
  </w:num>
  <w:num w:numId="11" w16cid:durableId="1245646142">
    <w:abstractNumId w:val="12"/>
  </w:num>
  <w:num w:numId="12" w16cid:durableId="6559701">
    <w:abstractNumId w:val="0"/>
  </w:num>
  <w:num w:numId="13" w16cid:durableId="1787850582">
    <w:abstractNumId w:val="5"/>
  </w:num>
  <w:num w:numId="14" w16cid:durableId="953366354">
    <w:abstractNumId w:val="18"/>
  </w:num>
  <w:num w:numId="15" w16cid:durableId="760375534">
    <w:abstractNumId w:val="14"/>
  </w:num>
  <w:num w:numId="16" w16cid:durableId="1794785398">
    <w:abstractNumId w:val="6"/>
  </w:num>
  <w:num w:numId="17" w16cid:durableId="1426152574">
    <w:abstractNumId w:val="13"/>
  </w:num>
  <w:num w:numId="18" w16cid:durableId="213781870">
    <w:abstractNumId w:val="21"/>
  </w:num>
  <w:num w:numId="19" w16cid:durableId="249698393">
    <w:abstractNumId w:val="20"/>
  </w:num>
  <w:num w:numId="20" w16cid:durableId="855849672">
    <w:abstractNumId w:val="1"/>
  </w:num>
  <w:num w:numId="21" w16cid:durableId="421338607">
    <w:abstractNumId w:val="4"/>
  </w:num>
  <w:num w:numId="22" w16cid:durableId="714238346">
    <w:abstractNumId w:val="7"/>
  </w:num>
  <w:num w:numId="23" w16cid:durableId="681513112">
    <w:abstractNumId w:val="3"/>
  </w:num>
  <w:num w:numId="24" w16cid:durableId="9861274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5660"/>
    <w:rsid w:val="000063E0"/>
    <w:rsid w:val="0001317C"/>
    <w:rsid w:val="000134D5"/>
    <w:rsid w:val="00016F78"/>
    <w:rsid w:val="000353BD"/>
    <w:rsid w:val="00045804"/>
    <w:rsid w:val="00046945"/>
    <w:rsid w:val="00061B2A"/>
    <w:rsid w:val="000711CF"/>
    <w:rsid w:val="00076D52"/>
    <w:rsid w:val="00080B1D"/>
    <w:rsid w:val="00082362"/>
    <w:rsid w:val="00085031"/>
    <w:rsid w:val="0008794D"/>
    <w:rsid w:val="0009079C"/>
    <w:rsid w:val="000A1514"/>
    <w:rsid w:val="000A1642"/>
    <w:rsid w:val="000A66E5"/>
    <w:rsid w:val="000A683E"/>
    <w:rsid w:val="000A7F5E"/>
    <w:rsid w:val="000B0FAA"/>
    <w:rsid w:val="000B19B9"/>
    <w:rsid w:val="000B27F0"/>
    <w:rsid w:val="000C5A9E"/>
    <w:rsid w:val="000D0334"/>
    <w:rsid w:val="000D1DC8"/>
    <w:rsid w:val="000D4734"/>
    <w:rsid w:val="000D4A0E"/>
    <w:rsid w:val="000D5DA7"/>
    <w:rsid w:val="000E6E2C"/>
    <w:rsid w:val="000F01E9"/>
    <w:rsid w:val="000F078F"/>
    <w:rsid w:val="000F3444"/>
    <w:rsid w:val="000F3E03"/>
    <w:rsid w:val="000F512E"/>
    <w:rsid w:val="000F6486"/>
    <w:rsid w:val="000F7FD4"/>
    <w:rsid w:val="00105C57"/>
    <w:rsid w:val="001161CA"/>
    <w:rsid w:val="001168F2"/>
    <w:rsid w:val="00116940"/>
    <w:rsid w:val="00124414"/>
    <w:rsid w:val="00125105"/>
    <w:rsid w:val="00127233"/>
    <w:rsid w:val="001328F3"/>
    <w:rsid w:val="001428DC"/>
    <w:rsid w:val="001521B3"/>
    <w:rsid w:val="0015699B"/>
    <w:rsid w:val="00171640"/>
    <w:rsid w:val="00174D6E"/>
    <w:rsid w:val="00176C48"/>
    <w:rsid w:val="00182083"/>
    <w:rsid w:val="001945F3"/>
    <w:rsid w:val="0019756E"/>
    <w:rsid w:val="0019787F"/>
    <w:rsid w:val="001A00A3"/>
    <w:rsid w:val="001A33BF"/>
    <w:rsid w:val="001A5968"/>
    <w:rsid w:val="001C2262"/>
    <w:rsid w:val="001C5AE4"/>
    <w:rsid w:val="001C61B3"/>
    <w:rsid w:val="001D02CC"/>
    <w:rsid w:val="001D64AE"/>
    <w:rsid w:val="001E2E05"/>
    <w:rsid w:val="001E4177"/>
    <w:rsid w:val="001F0B24"/>
    <w:rsid w:val="001F5DD0"/>
    <w:rsid w:val="001F7DC6"/>
    <w:rsid w:val="00207466"/>
    <w:rsid w:val="00211E12"/>
    <w:rsid w:val="00212AD1"/>
    <w:rsid w:val="00217FCA"/>
    <w:rsid w:val="0022076F"/>
    <w:rsid w:val="002209DE"/>
    <w:rsid w:val="0022400B"/>
    <w:rsid w:val="0023515D"/>
    <w:rsid w:val="002421BB"/>
    <w:rsid w:val="00253436"/>
    <w:rsid w:val="0025796E"/>
    <w:rsid w:val="002626BD"/>
    <w:rsid w:val="0026579C"/>
    <w:rsid w:val="002707A2"/>
    <w:rsid w:val="00275482"/>
    <w:rsid w:val="00277C07"/>
    <w:rsid w:val="0028778F"/>
    <w:rsid w:val="002951A0"/>
    <w:rsid w:val="002962BC"/>
    <w:rsid w:val="002975A4"/>
    <w:rsid w:val="002A093D"/>
    <w:rsid w:val="002A0DD0"/>
    <w:rsid w:val="002A49AC"/>
    <w:rsid w:val="002A64FD"/>
    <w:rsid w:val="002B730F"/>
    <w:rsid w:val="002C6751"/>
    <w:rsid w:val="002C7A84"/>
    <w:rsid w:val="002E05EF"/>
    <w:rsid w:val="002E2BF8"/>
    <w:rsid w:val="002E49B3"/>
    <w:rsid w:val="002E4FD9"/>
    <w:rsid w:val="002F0847"/>
    <w:rsid w:val="0030657A"/>
    <w:rsid w:val="003136DC"/>
    <w:rsid w:val="003156BF"/>
    <w:rsid w:val="00316053"/>
    <w:rsid w:val="00322A85"/>
    <w:rsid w:val="00322C00"/>
    <w:rsid w:val="00322D77"/>
    <w:rsid w:val="00323B21"/>
    <w:rsid w:val="00324168"/>
    <w:rsid w:val="00330834"/>
    <w:rsid w:val="003315B4"/>
    <w:rsid w:val="003332A8"/>
    <w:rsid w:val="003448F4"/>
    <w:rsid w:val="00352759"/>
    <w:rsid w:val="00360892"/>
    <w:rsid w:val="00374F5E"/>
    <w:rsid w:val="003769E1"/>
    <w:rsid w:val="00377E3E"/>
    <w:rsid w:val="00381BAB"/>
    <w:rsid w:val="003909E8"/>
    <w:rsid w:val="00391C8B"/>
    <w:rsid w:val="003967D0"/>
    <w:rsid w:val="003A779E"/>
    <w:rsid w:val="003B0DFC"/>
    <w:rsid w:val="003C0ED7"/>
    <w:rsid w:val="003C6659"/>
    <w:rsid w:val="003D0F4D"/>
    <w:rsid w:val="003D494E"/>
    <w:rsid w:val="003D5B0D"/>
    <w:rsid w:val="003E0499"/>
    <w:rsid w:val="003E4C37"/>
    <w:rsid w:val="003E4F80"/>
    <w:rsid w:val="003E6439"/>
    <w:rsid w:val="003F18C5"/>
    <w:rsid w:val="003F1FD8"/>
    <w:rsid w:val="003F3941"/>
    <w:rsid w:val="003F53D2"/>
    <w:rsid w:val="003F6DCC"/>
    <w:rsid w:val="00403EFA"/>
    <w:rsid w:val="00406575"/>
    <w:rsid w:val="004140B3"/>
    <w:rsid w:val="00414C74"/>
    <w:rsid w:val="0042722E"/>
    <w:rsid w:val="0044528D"/>
    <w:rsid w:val="00451137"/>
    <w:rsid w:val="004555EA"/>
    <w:rsid w:val="0045785F"/>
    <w:rsid w:val="00466E39"/>
    <w:rsid w:val="00477C96"/>
    <w:rsid w:val="00484E40"/>
    <w:rsid w:val="0048787A"/>
    <w:rsid w:val="00492C4A"/>
    <w:rsid w:val="00494F04"/>
    <w:rsid w:val="004A0841"/>
    <w:rsid w:val="004A0A0B"/>
    <w:rsid w:val="004A0E5C"/>
    <w:rsid w:val="004A1847"/>
    <w:rsid w:val="004A305D"/>
    <w:rsid w:val="004A5264"/>
    <w:rsid w:val="004B3DAC"/>
    <w:rsid w:val="004B73B9"/>
    <w:rsid w:val="004C0DBB"/>
    <w:rsid w:val="004D2168"/>
    <w:rsid w:val="004D2B6F"/>
    <w:rsid w:val="004E2B92"/>
    <w:rsid w:val="004F21C4"/>
    <w:rsid w:val="004F685F"/>
    <w:rsid w:val="005000A1"/>
    <w:rsid w:val="00513BF7"/>
    <w:rsid w:val="00517955"/>
    <w:rsid w:val="005229DB"/>
    <w:rsid w:val="00524422"/>
    <w:rsid w:val="00534886"/>
    <w:rsid w:val="005365D9"/>
    <w:rsid w:val="00536A0E"/>
    <w:rsid w:val="0055262A"/>
    <w:rsid w:val="00553040"/>
    <w:rsid w:val="005566E8"/>
    <w:rsid w:val="00560892"/>
    <w:rsid w:val="00570B00"/>
    <w:rsid w:val="00572622"/>
    <w:rsid w:val="00573280"/>
    <w:rsid w:val="00574867"/>
    <w:rsid w:val="00591460"/>
    <w:rsid w:val="00592C94"/>
    <w:rsid w:val="005A2CAB"/>
    <w:rsid w:val="005A52A7"/>
    <w:rsid w:val="005A57A5"/>
    <w:rsid w:val="005A65E0"/>
    <w:rsid w:val="005B51CC"/>
    <w:rsid w:val="005C0881"/>
    <w:rsid w:val="005C3777"/>
    <w:rsid w:val="005C5CDC"/>
    <w:rsid w:val="005D2566"/>
    <w:rsid w:val="005D2FE3"/>
    <w:rsid w:val="005D476C"/>
    <w:rsid w:val="005F20A4"/>
    <w:rsid w:val="00600D92"/>
    <w:rsid w:val="00603C5B"/>
    <w:rsid w:val="00611CE6"/>
    <w:rsid w:val="006137E1"/>
    <w:rsid w:val="00615EDA"/>
    <w:rsid w:val="00617200"/>
    <w:rsid w:val="00617E91"/>
    <w:rsid w:val="006200BF"/>
    <w:rsid w:val="0062143E"/>
    <w:rsid w:val="006219F8"/>
    <w:rsid w:val="00624A89"/>
    <w:rsid w:val="00624EEC"/>
    <w:rsid w:val="006302F7"/>
    <w:rsid w:val="00646B9F"/>
    <w:rsid w:val="00646D52"/>
    <w:rsid w:val="00646F24"/>
    <w:rsid w:val="006547C3"/>
    <w:rsid w:val="00660C46"/>
    <w:rsid w:val="00662087"/>
    <w:rsid w:val="00663A04"/>
    <w:rsid w:val="00665D70"/>
    <w:rsid w:val="00672499"/>
    <w:rsid w:val="006844D3"/>
    <w:rsid w:val="00684F67"/>
    <w:rsid w:val="0068758B"/>
    <w:rsid w:val="006900D9"/>
    <w:rsid w:val="0069216D"/>
    <w:rsid w:val="0069741A"/>
    <w:rsid w:val="006A2BE4"/>
    <w:rsid w:val="006B4707"/>
    <w:rsid w:val="006D13BA"/>
    <w:rsid w:val="006D1D21"/>
    <w:rsid w:val="006D591D"/>
    <w:rsid w:val="006D64EE"/>
    <w:rsid w:val="006F2238"/>
    <w:rsid w:val="006F4199"/>
    <w:rsid w:val="006F74DF"/>
    <w:rsid w:val="007009D7"/>
    <w:rsid w:val="007025D7"/>
    <w:rsid w:val="00706C16"/>
    <w:rsid w:val="0071557C"/>
    <w:rsid w:val="00721FE8"/>
    <w:rsid w:val="00731F30"/>
    <w:rsid w:val="007340C3"/>
    <w:rsid w:val="0073510E"/>
    <w:rsid w:val="007448A3"/>
    <w:rsid w:val="007458D3"/>
    <w:rsid w:val="00751DE8"/>
    <w:rsid w:val="0075235A"/>
    <w:rsid w:val="00752CDB"/>
    <w:rsid w:val="0075557D"/>
    <w:rsid w:val="00756841"/>
    <w:rsid w:val="007649AB"/>
    <w:rsid w:val="00771AEF"/>
    <w:rsid w:val="00771D0C"/>
    <w:rsid w:val="00782ED2"/>
    <w:rsid w:val="007833AC"/>
    <w:rsid w:val="00792EB2"/>
    <w:rsid w:val="00795086"/>
    <w:rsid w:val="007A037B"/>
    <w:rsid w:val="007A1830"/>
    <w:rsid w:val="007A3844"/>
    <w:rsid w:val="007B268C"/>
    <w:rsid w:val="007B7171"/>
    <w:rsid w:val="007C0C0F"/>
    <w:rsid w:val="007C3DC2"/>
    <w:rsid w:val="007C4353"/>
    <w:rsid w:val="007C5559"/>
    <w:rsid w:val="007D3058"/>
    <w:rsid w:val="007D4B12"/>
    <w:rsid w:val="007E43AC"/>
    <w:rsid w:val="007E5497"/>
    <w:rsid w:val="007E553E"/>
    <w:rsid w:val="00803584"/>
    <w:rsid w:val="00806F5F"/>
    <w:rsid w:val="008103F6"/>
    <w:rsid w:val="00820278"/>
    <w:rsid w:val="00820488"/>
    <w:rsid w:val="0082071A"/>
    <w:rsid w:val="008258C9"/>
    <w:rsid w:val="00830893"/>
    <w:rsid w:val="00833286"/>
    <w:rsid w:val="00836232"/>
    <w:rsid w:val="00841E29"/>
    <w:rsid w:val="00844AE9"/>
    <w:rsid w:val="0085545E"/>
    <w:rsid w:val="00866A9E"/>
    <w:rsid w:val="00867F95"/>
    <w:rsid w:val="00871AAC"/>
    <w:rsid w:val="00875356"/>
    <w:rsid w:val="008843B6"/>
    <w:rsid w:val="00886410"/>
    <w:rsid w:val="00891928"/>
    <w:rsid w:val="00891A0E"/>
    <w:rsid w:val="008958AC"/>
    <w:rsid w:val="008A446D"/>
    <w:rsid w:val="008B0D0F"/>
    <w:rsid w:val="008B25F1"/>
    <w:rsid w:val="008C11FD"/>
    <w:rsid w:val="008C3D38"/>
    <w:rsid w:val="008C4DD5"/>
    <w:rsid w:val="008C517A"/>
    <w:rsid w:val="008C6AE5"/>
    <w:rsid w:val="008D0BE7"/>
    <w:rsid w:val="008D1660"/>
    <w:rsid w:val="008D180B"/>
    <w:rsid w:val="008F0EA7"/>
    <w:rsid w:val="008F17DC"/>
    <w:rsid w:val="008F4334"/>
    <w:rsid w:val="008F553F"/>
    <w:rsid w:val="008F6705"/>
    <w:rsid w:val="00901213"/>
    <w:rsid w:val="009037F6"/>
    <w:rsid w:val="0091143C"/>
    <w:rsid w:val="00920817"/>
    <w:rsid w:val="00923EEF"/>
    <w:rsid w:val="00926423"/>
    <w:rsid w:val="00933E3F"/>
    <w:rsid w:val="009419F9"/>
    <w:rsid w:val="00944696"/>
    <w:rsid w:val="0095685E"/>
    <w:rsid w:val="00961B09"/>
    <w:rsid w:val="00963E12"/>
    <w:rsid w:val="00964321"/>
    <w:rsid w:val="00965334"/>
    <w:rsid w:val="00967B4D"/>
    <w:rsid w:val="0097093E"/>
    <w:rsid w:val="009722DE"/>
    <w:rsid w:val="009735E8"/>
    <w:rsid w:val="00984DB3"/>
    <w:rsid w:val="00992E19"/>
    <w:rsid w:val="009A0486"/>
    <w:rsid w:val="009A0DFA"/>
    <w:rsid w:val="009B28B9"/>
    <w:rsid w:val="009B2D26"/>
    <w:rsid w:val="009B4B7C"/>
    <w:rsid w:val="009C71FA"/>
    <w:rsid w:val="009C72E7"/>
    <w:rsid w:val="009C7F7E"/>
    <w:rsid w:val="009D23F2"/>
    <w:rsid w:val="009D3058"/>
    <w:rsid w:val="009E1F28"/>
    <w:rsid w:val="009E6924"/>
    <w:rsid w:val="009E7AED"/>
    <w:rsid w:val="009F3A13"/>
    <w:rsid w:val="009F3CD7"/>
    <w:rsid w:val="009F4B67"/>
    <w:rsid w:val="009F7A6E"/>
    <w:rsid w:val="00A0334B"/>
    <w:rsid w:val="00A0526C"/>
    <w:rsid w:val="00A122D3"/>
    <w:rsid w:val="00A14468"/>
    <w:rsid w:val="00A17F13"/>
    <w:rsid w:val="00A20739"/>
    <w:rsid w:val="00A23AF9"/>
    <w:rsid w:val="00A31A76"/>
    <w:rsid w:val="00A33C78"/>
    <w:rsid w:val="00A40C8E"/>
    <w:rsid w:val="00A53338"/>
    <w:rsid w:val="00A73F45"/>
    <w:rsid w:val="00A771FA"/>
    <w:rsid w:val="00A8776C"/>
    <w:rsid w:val="00A935BA"/>
    <w:rsid w:val="00AA1E47"/>
    <w:rsid w:val="00AA3D08"/>
    <w:rsid w:val="00AB0ADB"/>
    <w:rsid w:val="00AB3664"/>
    <w:rsid w:val="00AB436E"/>
    <w:rsid w:val="00AD173A"/>
    <w:rsid w:val="00AD400A"/>
    <w:rsid w:val="00AD7D5F"/>
    <w:rsid w:val="00AE1F6E"/>
    <w:rsid w:val="00AE3513"/>
    <w:rsid w:val="00AE5DD2"/>
    <w:rsid w:val="00AF5A10"/>
    <w:rsid w:val="00B00C0E"/>
    <w:rsid w:val="00B01B1A"/>
    <w:rsid w:val="00B04DA1"/>
    <w:rsid w:val="00B11075"/>
    <w:rsid w:val="00B131D7"/>
    <w:rsid w:val="00B17EC0"/>
    <w:rsid w:val="00B206B6"/>
    <w:rsid w:val="00B234CF"/>
    <w:rsid w:val="00B35656"/>
    <w:rsid w:val="00B37EB5"/>
    <w:rsid w:val="00B44A47"/>
    <w:rsid w:val="00B54271"/>
    <w:rsid w:val="00B5550F"/>
    <w:rsid w:val="00B6149C"/>
    <w:rsid w:val="00B64484"/>
    <w:rsid w:val="00B71FD5"/>
    <w:rsid w:val="00B72CD3"/>
    <w:rsid w:val="00B72FFF"/>
    <w:rsid w:val="00B74092"/>
    <w:rsid w:val="00B7489A"/>
    <w:rsid w:val="00B909AD"/>
    <w:rsid w:val="00B95DAC"/>
    <w:rsid w:val="00BA2EB9"/>
    <w:rsid w:val="00BA703D"/>
    <w:rsid w:val="00BC3D36"/>
    <w:rsid w:val="00BC5D42"/>
    <w:rsid w:val="00BC70CB"/>
    <w:rsid w:val="00BD13AC"/>
    <w:rsid w:val="00BD54A6"/>
    <w:rsid w:val="00BD7F72"/>
    <w:rsid w:val="00BF056C"/>
    <w:rsid w:val="00BF3B66"/>
    <w:rsid w:val="00BF5C08"/>
    <w:rsid w:val="00BF7425"/>
    <w:rsid w:val="00C04908"/>
    <w:rsid w:val="00C04FB3"/>
    <w:rsid w:val="00C11D8B"/>
    <w:rsid w:val="00C1350D"/>
    <w:rsid w:val="00C2359C"/>
    <w:rsid w:val="00C251B0"/>
    <w:rsid w:val="00C330EB"/>
    <w:rsid w:val="00C419DF"/>
    <w:rsid w:val="00C50D69"/>
    <w:rsid w:val="00C5365C"/>
    <w:rsid w:val="00C619D4"/>
    <w:rsid w:val="00C61D93"/>
    <w:rsid w:val="00C72666"/>
    <w:rsid w:val="00C754BE"/>
    <w:rsid w:val="00C76B1C"/>
    <w:rsid w:val="00C82667"/>
    <w:rsid w:val="00C90C96"/>
    <w:rsid w:val="00C925AC"/>
    <w:rsid w:val="00C94828"/>
    <w:rsid w:val="00C963BE"/>
    <w:rsid w:val="00C96B64"/>
    <w:rsid w:val="00CA2858"/>
    <w:rsid w:val="00CB02F1"/>
    <w:rsid w:val="00CB6357"/>
    <w:rsid w:val="00CC1B26"/>
    <w:rsid w:val="00CC438F"/>
    <w:rsid w:val="00CD4C85"/>
    <w:rsid w:val="00CE3C1C"/>
    <w:rsid w:val="00CE4026"/>
    <w:rsid w:val="00CF5ABC"/>
    <w:rsid w:val="00D06146"/>
    <w:rsid w:val="00D0699E"/>
    <w:rsid w:val="00D1210B"/>
    <w:rsid w:val="00D222C0"/>
    <w:rsid w:val="00D22D2B"/>
    <w:rsid w:val="00D334DD"/>
    <w:rsid w:val="00D34EA3"/>
    <w:rsid w:val="00D361FD"/>
    <w:rsid w:val="00D423A2"/>
    <w:rsid w:val="00D44E26"/>
    <w:rsid w:val="00D51A5D"/>
    <w:rsid w:val="00D520D8"/>
    <w:rsid w:val="00D532D4"/>
    <w:rsid w:val="00D56F8A"/>
    <w:rsid w:val="00D62B9C"/>
    <w:rsid w:val="00D63AC2"/>
    <w:rsid w:val="00D64111"/>
    <w:rsid w:val="00D64AFC"/>
    <w:rsid w:val="00D66DF5"/>
    <w:rsid w:val="00D7383B"/>
    <w:rsid w:val="00D73DBD"/>
    <w:rsid w:val="00D7541C"/>
    <w:rsid w:val="00D7788A"/>
    <w:rsid w:val="00D85F06"/>
    <w:rsid w:val="00D936A2"/>
    <w:rsid w:val="00DA231B"/>
    <w:rsid w:val="00DB13F4"/>
    <w:rsid w:val="00DB3019"/>
    <w:rsid w:val="00DB55DA"/>
    <w:rsid w:val="00DC39FC"/>
    <w:rsid w:val="00DC7CCB"/>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77E2"/>
    <w:rsid w:val="00E615C4"/>
    <w:rsid w:val="00E6293D"/>
    <w:rsid w:val="00E71E1B"/>
    <w:rsid w:val="00E75C92"/>
    <w:rsid w:val="00E771DC"/>
    <w:rsid w:val="00E774E7"/>
    <w:rsid w:val="00E8772A"/>
    <w:rsid w:val="00E90F6B"/>
    <w:rsid w:val="00E91AED"/>
    <w:rsid w:val="00E92C27"/>
    <w:rsid w:val="00E96B5C"/>
    <w:rsid w:val="00EA0E3D"/>
    <w:rsid w:val="00EA2DC0"/>
    <w:rsid w:val="00EA426C"/>
    <w:rsid w:val="00EB224C"/>
    <w:rsid w:val="00EC006D"/>
    <w:rsid w:val="00EC1AA2"/>
    <w:rsid w:val="00EC297F"/>
    <w:rsid w:val="00EC38A7"/>
    <w:rsid w:val="00ED4980"/>
    <w:rsid w:val="00EE1AA8"/>
    <w:rsid w:val="00EE265D"/>
    <w:rsid w:val="00EE3D99"/>
    <w:rsid w:val="00EF1D4F"/>
    <w:rsid w:val="00EF4E7D"/>
    <w:rsid w:val="00EF5E13"/>
    <w:rsid w:val="00EF647F"/>
    <w:rsid w:val="00F03314"/>
    <w:rsid w:val="00F0580C"/>
    <w:rsid w:val="00F23FEA"/>
    <w:rsid w:val="00F27B7B"/>
    <w:rsid w:val="00F31EDC"/>
    <w:rsid w:val="00F34294"/>
    <w:rsid w:val="00F43100"/>
    <w:rsid w:val="00F462B3"/>
    <w:rsid w:val="00F5664F"/>
    <w:rsid w:val="00F61959"/>
    <w:rsid w:val="00F666C4"/>
    <w:rsid w:val="00F76AFC"/>
    <w:rsid w:val="00F81BF0"/>
    <w:rsid w:val="00F82E88"/>
    <w:rsid w:val="00F86E11"/>
    <w:rsid w:val="00F86E3E"/>
    <w:rsid w:val="00F91E1F"/>
    <w:rsid w:val="00F95C74"/>
    <w:rsid w:val="00FA47C0"/>
    <w:rsid w:val="00FA5FFD"/>
    <w:rsid w:val="00FB5DD1"/>
    <w:rsid w:val="00FC2B5D"/>
    <w:rsid w:val="00FD1DDC"/>
    <w:rsid w:val="00FD3AD2"/>
    <w:rsid w:val="00FD59D3"/>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8568B41-9065-4DE9-BFEA-A2F36601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D0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styleId="Fuerte">
    <w:name w:val="Strong"/>
    <w:basedOn w:val="Fuentedeprrafopredeter"/>
    <w:uiPriority w:val="22"/>
    <w:qFormat/>
    <w:rsid w:val="00B7489A"/>
    <w:rPr>
      <w:b/>
      <w:bCs/>
    </w:rPr>
  </w:style>
  <w:style w:type="table" w:customStyle="1" w:styleId="Tablaconcuadrcula12">
    <w:name w:val="Tabla con cuadrícula12"/>
    <w:basedOn w:val="Tablanormal"/>
    <w:next w:val="Tablaconcuadrcula"/>
    <w:uiPriority w:val="39"/>
    <w:qFormat/>
    <w:rsid w:val="008C3D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AA3D0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740">
      <w:bodyDiv w:val="1"/>
      <w:marLeft w:val="0"/>
      <w:marRight w:val="0"/>
      <w:marTop w:val="0"/>
      <w:marBottom w:val="0"/>
      <w:divBdr>
        <w:top w:val="none" w:sz="0" w:space="0" w:color="auto"/>
        <w:left w:val="none" w:sz="0" w:space="0" w:color="auto"/>
        <w:bottom w:val="none" w:sz="0" w:space="0" w:color="auto"/>
        <w:right w:val="none" w:sz="0" w:space="0" w:color="auto"/>
      </w:divBdr>
      <w:divsChild>
        <w:div w:id="258880311">
          <w:marLeft w:val="0"/>
          <w:marRight w:val="0"/>
          <w:marTop w:val="0"/>
          <w:marBottom w:val="0"/>
          <w:divBdr>
            <w:top w:val="none" w:sz="0" w:space="0" w:color="auto"/>
            <w:left w:val="none" w:sz="0" w:space="0" w:color="auto"/>
            <w:bottom w:val="none" w:sz="0" w:space="0" w:color="auto"/>
            <w:right w:val="none" w:sz="0" w:space="0" w:color="auto"/>
          </w:divBdr>
          <w:divsChild>
            <w:div w:id="1294941058">
              <w:marLeft w:val="0"/>
              <w:marRight w:val="0"/>
              <w:marTop w:val="0"/>
              <w:marBottom w:val="0"/>
              <w:divBdr>
                <w:top w:val="none" w:sz="0" w:space="0" w:color="auto"/>
                <w:left w:val="none" w:sz="0" w:space="0" w:color="auto"/>
                <w:bottom w:val="none" w:sz="0" w:space="0" w:color="auto"/>
                <w:right w:val="none" w:sz="0" w:space="0" w:color="auto"/>
              </w:divBdr>
              <w:divsChild>
                <w:div w:id="337932334">
                  <w:marLeft w:val="0"/>
                  <w:marRight w:val="0"/>
                  <w:marTop w:val="0"/>
                  <w:marBottom w:val="0"/>
                  <w:divBdr>
                    <w:top w:val="none" w:sz="0" w:space="0" w:color="auto"/>
                    <w:left w:val="none" w:sz="0" w:space="0" w:color="auto"/>
                    <w:bottom w:val="none" w:sz="0" w:space="0" w:color="auto"/>
                    <w:right w:val="none" w:sz="0" w:space="0" w:color="auto"/>
                  </w:divBdr>
                  <w:divsChild>
                    <w:div w:id="9084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659191">
          <w:marLeft w:val="0"/>
          <w:marRight w:val="0"/>
          <w:marTop w:val="0"/>
          <w:marBottom w:val="0"/>
          <w:divBdr>
            <w:top w:val="none" w:sz="0" w:space="0" w:color="auto"/>
            <w:left w:val="none" w:sz="0" w:space="0" w:color="auto"/>
            <w:bottom w:val="none" w:sz="0" w:space="0" w:color="auto"/>
            <w:right w:val="none" w:sz="0" w:space="0" w:color="auto"/>
          </w:divBdr>
        </w:div>
      </w:divsChild>
    </w:div>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58334568">
      <w:bodyDiv w:val="1"/>
      <w:marLeft w:val="0"/>
      <w:marRight w:val="0"/>
      <w:marTop w:val="0"/>
      <w:marBottom w:val="0"/>
      <w:divBdr>
        <w:top w:val="none" w:sz="0" w:space="0" w:color="auto"/>
        <w:left w:val="none" w:sz="0" w:space="0" w:color="auto"/>
        <w:bottom w:val="none" w:sz="0" w:space="0" w:color="auto"/>
        <w:right w:val="none" w:sz="0" w:space="0" w:color="auto"/>
      </w:divBdr>
      <w:divsChild>
        <w:div w:id="2145539311">
          <w:marLeft w:val="0"/>
          <w:marRight w:val="0"/>
          <w:marTop w:val="0"/>
          <w:marBottom w:val="0"/>
          <w:divBdr>
            <w:top w:val="none" w:sz="0" w:space="0" w:color="auto"/>
            <w:left w:val="none" w:sz="0" w:space="0" w:color="auto"/>
            <w:bottom w:val="none" w:sz="0" w:space="0" w:color="auto"/>
            <w:right w:val="none" w:sz="0" w:space="0" w:color="auto"/>
          </w:divBdr>
        </w:div>
      </w:divsChild>
    </w:div>
    <w:div w:id="239609180">
      <w:bodyDiv w:val="1"/>
      <w:marLeft w:val="0"/>
      <w:marRight w:val="0"/>
      <w:marTop w:val="0"/>
      <w:marBottom w:val="0"/>
      <w:divBdr>
        <w:top w:val="none" w:sz="0" w:space="0" w:color="auto"/>
        <w:left w:val="none" w:sz="0" w:space="0" w:color="auto"/>
        <w:bottom w:val="none" w:sz="0" w:space="0" w:color="auto"/>
        <w:right w:val="none" w:sz="0" w:space="0" w:color="auto"/>
      </w:divBdr>
    </w:div>
    <w:div w:id="298808619">
      <w:bodyDiv w:val="1"/>
      <w:marLeft w:val="0"/>
      <w:marRight w:val="0"/>
      <w:marTop w:val="0"/>
      <w:marBottom w:val="0"/>
      <w:divBdr>
        <w:top w:val="none" w:sz="0" w:space="0" w:color="auto"/>
        <w:left w:val="none" w:sz="0" w:space="0" w:color="auto"/>
        <w:bottom w:val="none" w:sz="0" w:space="0" w:color="auto"/>
        <w:right w:val="none" w:sz="0" w:space="0" w:color="auto"/>
      </w:divBdr>
    </w:div>
    <w:div w:id="386105330">
      <w:bodyDiv w:val="1"/>
      <w:marLeft w:val="0"/>
      <w:marRight w:val="0"/>
      <w:marTop w:val="0"/>
      <w:marBottom w:val="0"/>
      <w:divBdr>
        <w:top w:val="none" w:sz="0" w:space="0" w:color="auto"/>
        <w:left w:val="none" w:sz="0" w:space="0" w:color="auto"/>
        <w:bottom w:val="none" w:sz="0" w:space="0" w:color="auto"/>
        <w:right w:val="none" w:sz="0" w:space="0" w:color="auto"/>
      </w:divBdr>
      <w:divsChild>
        <w:div w:id="278994329">
          <w:marLeft w:val="0"/>
          <w:marRight w:val="0"/>
          <w:marTop w:val="0"/>
          <w:marBottom w:val="0"/>
          <w:divBdr>
            <w:top w:val="none" w:sz="0" w:space="0" w:color="auto"/>
            <w:left w:val="none" w:sz="0" w:space="0" w:color="auto"/>
            <w:bottom w:val="none" w:sz="0" w:space="0" w:color="auto"/>
            <w:right w:val="none" w:sz="0" w:space="0" w:color="auto"/>
          </w:divBdr>
        </w:div>
      </w:divsChild>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48320024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5247842">
      <w:bodyDiv w:val="1"/>
      <w:marLeft w:val="0"/>
      <w:marRight w:val="0"/>
      <w:marTop w:val="0"/>
      <w:marBottom w:val="0"/>
      <w:divBdr>
        <w:top w:val="none" w:sz="0" w:space="0" w:color="auto"/>
        <w:left w:val="none" w:sz="0" w:space="0" w:color="auto"/>
        <w:bottom w:val="none" w:sz="0" w:space="0" w:color="auto"/>
        <w:right w:val="none" w:sz="0" w:space="0" w:color="auto"/>
      </w:divBdr>
      <w:divsChild>
        <w:div w:id="1697343250">
          <w:marLeft w:val="0"/>
          <w:marRight w:val="0"/>
          <w:marTop w:val="0"/>
          <w:marBottom w:val="0"/>
          <w:divBdr>
            <w:top w:val="none" w:sz="0" w:space="0" w:color="auto"/>
            <w:left w:val="none" w:sz="0" w:space="0" w:color="auto"/>
            <w:bottom w:val="none" w:sz="0" w:space="0" w:color="auto"/>
            <w:right w:val="none" w:sz="0" w:space="0" w:color="auto"/>
          </w:divBdr>
        </w:div>
      </w:divsChild>
    </w:div>
    <w:div w:id="842011055">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9789425">
      <w:bodyDiv w:val="1"/>
      <w:marLeft w:val="0"/>
      <w:marRight w:val="0"/>
      <w:marTop w:val="0"/>
      <w:marBottom w:val="0"/>
      <w:divBdr>
        <w:top w:val="none" w:sz="0" w:space="0" w:color="auto"/>
        <w:left w:val="none" w:sz="0" w:space="0" w:color="auto"/>
        <w:bottom w:val="none" w:sz="0" w:space="0" w:color="auto"/>
        <w:right w:val="none" w:sz="0" w:space="0" w:color="auto"/>
      </w:divBdr>
      <w:divsChild>
        <w:div w:id="817572852">
          <w:marLeft w:val="0"/>
          <w:marRight w:val="0"/>
          <w:marTop w:val="0"/>
          <w:marBottom w:val="0"/>
          <w:divBdr>
            <w:top w:val="none" w:sz="0" w:space="0" w:color="auto"/>
            <w:left w:val="none" w:sz="0" w:space="0" w:color="auto"/>
            <w:bottom w:val="none" w:sz="0" w:space="0" w:color="auto"/>
            <w:right w:val="none" w:sz="0" w:space="0" w:color="auto"/>
          </w:divBdr>
        </w:div>
      </w:divsChild>
    </w:div>
    <w:div w:id="1236671009">
      <w:bodyDiv w:val="1"/>
      <w:marLeft w:val="0"/>
      <w:marRight w:val="0"/>
      <w:marTop w:val="0"/>
      <w:marBottom w:val="0"/>
      <w:divBdr>
        <w:top w:val="none" w:sz="0" w:space="0" w:color="auto"/>
        <w:left w:val="none" w:sz="0" w:space="0" w:color="auto"/>
        <w:bottom w:val="none" w:sz="0" w:space="0" w:color="auto"/>
        <w:right w:val="none" w:sz="0" w:space="0" w:color="auto"/>
      </w:divBdr>
      <w:divsChild>
        <w:div w:id="77293167">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98738708">
      <w:bodyDiv w:val="1"/>
      <w:marLeft w:val="0"/>
      <w:marRight w:val="0"/>
      <w:marTop w:val="0"/>
      <w:marBottom w:val="0"/>
      <w:divBdr>
        <w:top w:val="none" w:sz="0" w:space="0" w:color="auto"/>
        <w:left w:val="none" w:sz="0" w:space="0" w:color="auto"/>
        <w:bottom w:val="none" w:sz="0" w:space="0" w:color="auto"/>
        <w:right w:val="none" w:sz="0" w:space="0" w:color="auto"/>
      </w:divBdr>
    </w:div>
    <w:div w:id="1970088735">
      <w:bodyDiv w:val="1"/>
      <w:marLeft w:val="0"/>
      <w:marRight w:val="0"/>
      <w:marTop w:val="0"/>
      <w:marBottom w:val="0"/>
      <w:divBdr>
        <w:top w:val="none" w:sz="0" w:space="0" w:color="auto"/>
        <w:left w:val="none" w:sz="0" w:space="0" w:color="auto"/>
        <w:bottom w:val="none" w:sz="0" w:space="0" w:color="auto"/>
        <w:right w:val="none" w:sz="0" w:space="0" w:color="auto"/>
      </w:divBdr>
      <w:divsChild>
        <w:div w:id="2124030618">
          <w:marLeft w:val="0"/>
          <w:marRight w:val="0"/>
          <w:marTop w:val="0"/>
          <w:marBottom w:val="0"/>
          <w:divBdr>
            <w:top w:val="none" w:sz="0" w:space="0" w:color="auto"/>
            <w:left w:val="none" w:sz="0" w:space="0" w:color="auto"/>
            <w:bottom w:val="none" w:sz="0" w:space="0" w:color="auto"/>
            <w:right w:val="none" w:sz="0" w:space="0" w:color="auto"/>
          </w:divBdr>
        </w:div>
      </w:divsChild>
    </w:div>
    <w:div w:id="2045401966">
      <w:bodyDiv w:val="1"/>
      <w:marLeft w:val="0"/>
      <w:marRight w:val="0"/>
      <w:marTop w:val="0"/>
      <w:marBottom w:val="0"/>
      <w:divBdr>
        <w:top w:val="none" w:sz="0" w:space="0" w:color="auto"/>
        <w:left w:val="none" w:sz="0" w:space="0" w:color="auto"/>
        <w:bottom w:val="none" w:sz="0" w:space="0" w:color="auto"/>
        <w:right w:val="none" w:sz="0" w:space="0" w:color="auto"/>
      </w:divBdr>
    </w:div>
    <w:div w:id="2094351184">
      <w:bodyDiv w:val="1"/>
      <w:marLeft w:val="0"/>
      <w:marRight w:val="0"/>
      <w:marTop w:val="0"/>
      <w:marBottom w:val="0"/>
      <w:divBdr>
        <w:top w:val="none" w:sz="0" w:space="0" w:color="auto"/>
        <w:left w:val="none" w:sz="0" w:space="0" w:color="auto"/>
        <w:bottom w:val="none" w:sz="0" w:space="0" w:color="auto"/>
        <w:right w:val="none" w:sz="0" w:space="0" w:color="auto"/>
      </w:divBdr>
      <w:divsChild>
        <w:div w:id="1644460514">
          <w:marLeft w:val="0"/>
          <w:marRight w:val="0"/>
          <w:marTop w:val="0"/>
          <w:marBottom w:val="0"/>
          <w:divBdr>
            <w:top w:val="none" w:sz="0" w:space="0" w:color="auto"/>
            <w:left w:val="none" w:sz="0" w:space="0" w:color="auto"/>
            <w:bottom w:val="none" w:sz="0" w:space="0" w:color="auto"/>
            <w:right w:val="none" w:sz="0" w:space="0" w:color="auto"/>
          </w:divBdr>
        </w:div>
      </w:divsChild>
    </w:div>
    <w:div w:id="212796031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645CA0D-2866-439E-B5B6-F739D26A5675}">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E91BE63-C792-4C80-A73D-38BF93EA9B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21</Pages>
  <Words>7159</Words>
  <Characters>39377</Characters>
  <Application>Microsoft Office Word</Application>
  <DocSecurity>0</DocSecurity>
  <Lines>328</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2026-04-28T03:14:00Z</dcterms:created>
  <dcterms:modified xsi:type="dcterms:W3CDTF">2026-04-29T13:33:00Z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