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CFED4" w14:textId="77777777" w:rsidR="00E158A8" w:rsidRPr="00E158A8" w:rsidRDefault="00E158A8" w:rsidP="00E158A8">
      <w:pPr>
        <w:spacing w:after="0" w:line="276" w:lineRule="auto"/>
        <w:jc w:val="both"/>
        <w:rPr>
          <w:rFonts w:ascii="Verdana" w:eastAsia="Calibri" w:hAnsi="Verdana" w:cs="Arial"/>
          <w:b/>
          <w:bCs/>
          <w:lang w:val="es-ES_tradnl" w:eastAsia="es-MX"/>
        </w:rPr>
      </w:pPr>
      <w:bookmarkStart w:id="0" w:name="_Hlk143780582"/>
      <w:r w:rsidRPr="00E158A8">
        <w:rPr>
          <w:rFonts w:ascii="Verdana" w:eastAsia="Calibri" w:hAnsi="Verdana" w:cs="Arial"/>
          <w:b/>
          <w:bCs/>
          <w:lang w:val="es-ES_tradnl" w:eastAsia="es-MX"/>
        </w:rPr>
        <w:t xml:space="preserve">DOCUMENTOS TIPO – Fundamento normativo – Obligatoriedad </w:t>
      </w:r>
    </w:p>
    <w:p w14:paraId="0828BA86" w14:textId="77777777" w:rsidR="00E158A8" w:rsidRPr="00E158A8" w:rsidRDefault="00E158A8" w:rsidP="00E158A8">
      <w:pPr>
        <w:spacing w:after="0" w:line="276" w:lineRule="auto"/>
        <w:jc w:val="both"/>
        <w:rPr>
          <w:rFonts w:ascii="Verdana" w:eastAsia="Calibri" w:hAnsi="Verdana" w:cs="Arial"/>
          <w:b/>
          <w:bCs/>
          <w:sz w:val="20"/>
          <w:szCs w:val="20"/>
          <w:lang w:val="es-ES_tradnl" w:eastAsia="es-MX"/>
        </w:rPr>
      </w:pPr>
    </w:p>
    <w:p w14:paraId="1D88604D" w14:textId="77777777" w:rsidR="00E158A8" w:rsidRPr="00E158A8" w:rsidRDefault="00E158A8" w:rsidP="00E158A8">
      <w:pPr>
        <w:tabs>
          <w:tab w:val="left" w:pos="709"/>
        </w:tabs>
        <w:spacing w:after="0" w:line="240" w:lineRule="auto"/>
        <w:jc w:val="both"/>
        <w:rPr>
          <w:rFonts w:ascii="Verdana" w:eastAsia="Calibri" w:hAnsi="Verdana" w:cs="Arial"/>
          <w:sz w:val="20"/>
          <w:szCs w:val="20"/>
          <w:lang w:val="es-ES" w:eastAsia="es-MX"/>
        </w:rPr>
      </w:pPr>
      <w:r w:rsidRPr="00E158A8">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3E3379A" w14:textId="77777777" w:rsidR="00E158A8" w:rsidRPr="00E158A8" w:rsidRDefault="00E158A8" w:rsidP="00E158A8">
      <w:pPr>
        <w:spacing w:after="0" w:line="276" w:lineRule="auto"/>
        <w:jc w:val="both"/>
        <w:rPr>
          <w:rFonts w:ascii="Verdana" w:eastAsia="Calibri" w:hAnsi="Verdana" w:cs="Arial"/>
          <w:b/>
          <w:bCs/>
          <w:lang w:val="es-ES_tradnl" w:eastAsia="es-MX"/>
        </w:rPr>
      </w:pPr>
    </w:p>
    <w:p w14:paraId="0ED8C951" w14:textId="77777777" w:rsidR="00E158A8" w:rsidRPr="00E158A8" w:rsidRDefault="00E158A8" w:rsidP="00E158A8">
      <w:pPr>
        <w:widowControl w:val="0"/>
        <w:autoSpaceDE w:val="0"/>
        <w:autoSpaceDN w:val="0"/>
        <w:spacing w:after="0" w:line="276" w:lineRule="auto"/>
        <w:jc w:val="both"/>
        <w:rPr>
          <w:rFonts w:ascii="Verdana" w:eastAsia="Calibri" w:hAnsi="Verdana" w:cs="Times New Roman"/>
          <w:b/>
          <w:bCs/>
          <w:lang w:val="es-ES" w:eastAsia="es-MX"/>
        </w:rPr>
      </w:pPr>
      <w:r w:rsidRPr="00E158A8">
        <w:rPr>
          <w:rFonts w:ascii="Verdana" w:eastAsia="Calibri" w:hAnsi="Verdana" w:cs="Arial"/>
          <w:b/>
          <w:bCs/>
          <w:lang w:val="es-ES_tradnl" w:eastAsia="es-MX"/>
        </w:rPr>
        <w:t>SECTOR SOCIAL</w:t>
      </w:r>
      <w:r w:rsidRPr="00E158A8">
        <w:rPr>
          <w:rFonts w:ascii="Verdana" w:eastAsia="Calibri" w:hAnsi="Verdana" w:cs="Times New Roman"/>
          <w:lang w:val="es-ES" w:eastAsia="es-MX"/>
        </w:rPr>
        <w:t xml:space="preserve"> </w:t>
      </w:r>
      <w:r w:rsidRPr="00E158A8">
        <w:rPr>
          <w:rFonts w:ascii="Verdana" w:eastAsia="Calibri" w:hAnsi="Verdana" w:cs="Times New Roman"/>
          <w:b/>
          <w:bCs/>
          <w:lang w:val="es-ES" w:eastAsia="es-MX"/>
        </w:rPr>
        <w:t>– Documentos tipo – Vigentes</w:t>
      </w:r>
    </w:p>
    <w:p w14:paraId="2DAFEF02" w14:textId="77777777" w:rsidR="00E158A8" w:rsidRPr="00E158A8" w:rsidRDefault="00E158A8" w:rsidP="00E158A8">
      <w:pPr>
        <w:widowControl w:val="0"/>
        <w:autoSpaceDE w:val="0"/>
        <w:autoSpaceDN w:val="0"/>
        <w:spacing w:after="0" w:line="276" w:lineRule="auto"/>
        <w:jc w:val="both"/>
        <w:rPr>
          <w:rFonts w:ascii="Verdana" w:eastAsia="Calibri" w:hAnsi="Verdana" w:cs="Times New Roman"/>
          <w:b/>
          <w:bCs/>
          <w:lang w:val="es-ES" w:eastAsia="es-MX"/>
        </w:rPr>
      </w:pPr>
    </w:p>
    <w:p w14:paraId="5170FD9C"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sz w:val="20"/>
          <w:szCs w:val="20"/>
          <w:lang w:val="es-ES" w:eastAsia="es-MX"/>
        </w:rPr>
      </w:pPr>
      <w:r w:rsidRPr="00E158A8">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76BE3A5C" w14:textId="77777777" w:rsidR="00E158A8" w:rsidRPr="00E158A8" w:rsidRDefault="00E158A8" w:rsidP="00E158A8">
      <w:pPr>
        <w:widowControl w:val="0"/>
        <w:autoSpaceDE w:val="0"/>
        <w:autoSpaceDN w:val="0"/>
        <w:spacing w:after="0" w:line="276" w:lineRule="auto"/>
        <w:jc w:val="both"/>
        <w:rPr>
          <w:rFonts w:ascii="Verdana" w:eastAsia="Calibri" w:hAnsi="Verdana" w:cs="Times New Roman"/>
          <w:lang w:val="es-ES" w:eastAsia="es-MX"/>
        </w:rPr>
      </w:pPr>
    </w:p>
    <w:p w14:paraId="7AD1E2D0" w14:textId="77777777" w:rsidR="00E158A8" w:rsidRPr="00E158A8" w:rsidRDefault="00E158A8" w:rsidP="00E158A8">
      <w:pPr>
        <w:spacing w:after="0" w:line="276" w:lineRule="auto"/>
        <w:jc w:val="both"/>
        <w:rPr>
          <w:rFonts w:ascii="Verdana" w:eastAsia="Calibri" w:hAnsi="Verdana" w:cs="Times New Roman"/>
          <w:sz w:val="20"/>
          <w:szCs w:val="20"/>
          <w:lang w:val="es-ES" w:eastAsia="es-MX"/>
        </w:rPr>
      </w:pPr>
      <w:r w:rsidRPr="00E158A8">
        <w:rPr>
          <w:rFonts w:ascii="Verdana" w:eastAsia="Calibri" w:hAnsi="Verdana" w:cs="Times New Roman"/>
          <w:b/>
          <w:bCs/>
          <w:lang w:val="es-ES" w:eastAsia="es-MX"/>
        </w:rPr>
        <w:t xml:space="preserve">DOCUMENTOS TIPO – Aplicación – Matriz de Experiencia </w:t>
      </w:r>
    </w:p>
    <w:p w14:paraId="60F74E74" w14:textId="77777777" w:rsidR="00E158A8" w:rsidRPr="00E158A8" w:rsidRDefault="00E158A8" w:rsidP="00E158A8">
      <w:pPr>
        <w:spacing w:after="0" w:line="240" w:lineRule="auto"/>
        <w:rPr>
          <w:rFonts w:ascii="Verdana" w:eastAsia="Geomanist Light" w:hAnsi="Verdana" w:cs="Arial"/>
          <w:lang w:val="es-MX" w:eastAsia="es-MX"/>
        </w:rPr>
      </w:pPr>
    </w:p>
    <w:p w14:paraId="0A89B2F4"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sz w:val="20"/>
          <w:szCs w:val="20"/>
          <w:lang w:val="es-ES" w:eastAsia="es-MX"/>
        </w:rPr>
      </w:pPr>
      <w:r w:rsidRPr="00E158A8">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FA2E2F3"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sz w:val="20"/>
          <w:szCs w:val="20"/>
          <w:lang w:val="es-ES" w:eastAsia="es-MX"/>
        </w:rPr>
      </w:pPr>
    </w:p>
    <w:p w14:paraId="06E979D8"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sz w:val="20"/>
          <w:szCs w:val="20"/>
          <w:lang w:val="es-ES" w:eastAsia="es-MX"/>
        </w:rPr>
      </w:pPr>
      <w:r w:rsidRPr="00E158A8">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5F406B8"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sz w:val="20"/>
          <w:szCs w:val="20"/>
          <w:lang w:val="es-ES" w:eastAsia="es-MX"/>
        </w:rPr>
      </w:pPr>
    </w:p>
    <w:p w14:paraId="3DB2A3F9"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lang w:val="es-ES" w:eastAsia="es-MX"/>
        </w:rPr>
      </w:pPr>
      <w:r w:rsidRPr="00E158A8">
        <w:rPr>
          <w:rFonts w:ascii="Verdana" w:eastAsia="Calibri" w:hAnsi="Verdana" w:cs="Times New Roman"/>
          <w:b/>
          <w:bCs/>
          <w:lang w:val="es-ES" w:eastAsia="es-MX"/>
        </w:rPr>
        <w:t>DOCUMENTOS TIPO – Sector social – Infraestructura de servicio público</w:t>
      </w:r>
    </w:p>
    <w:p w14:paraId="09496D37"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sz w:val="20"/>
          <w:szCs w:val="20"/>
          <w:lang w:val="es-ES" w:eastAsia="es-MX"/>
        </w:rPr>
      </w:pPr>
    </w:p>
    <w:p w14:paraId="60EF7DB7" w14:textId="77777777" w:rsidR="00E158A8" w:rsidRPr="00E158A8" w:rsidRDefault="00E158A8" w:rsidP="00E158A8">
      <w:pPr>
        <w:spacing w:after="0" w:line="240" w:lineRule="auto"/>
        <w:jc w:val="both"/>
        <w:rPr>
          <w:rFonts w:ascii="Verdana" w:eastAsia="Calibri" w:hAnsi="Verdana" w:cs="Arial"/>
          <w:color w:val="0D0D0D"/>
          <w:sz w:val="20"/>
          <w:szCs w:val="20"/>
          <w:lang w:eastAsia="es-MX"/>
        </w:rPr>
      </w:pPr>
      <w:r w:rsidRPr="00E158A8">
        <w:rPr>
          <w:rFonts w:ascii="Verdana" w:eastAsia="Calibri" w:hAnsi="Verdana" w:cs="Arial"/>
          <w:sz w:val="20"/>
          <w:szCs w:val="20"/>
          <w:lang w:val="es-ES_tradnl" w:eastAsia="es-MX"/>
        </w:rPr>
        <w:t xml:space="preserve">Como se indicó, las actividades señaladas recaen sobre </w:t>
      </w:r>
      <w:r w:rsidRPr="00E158A8">
        <w:rPr>
          <w:rFonts w:ascii="Verdana" w:eastAsia="Times New Roman" w:hAnsi="Verdana" w:cs="Calibri"/>
          <w:sz w:val="20"/>
          <w:szCs w:val="20"/>
          <w:lang w:eastAsia="es-MX"/>
        </w:rPr>
        <w:t xml:space="preserve">obras en proyectos de infraestructura institucional de servicio público. De esta forma, para determinar qué abarca este tipo de infraestructura, debe indicarse que, de conformidad con la norma </w:t>
      </w:r>
      <w:r w:rsidRPr="00E158A8">
        <w:rPr>
          <w:rFonts w:ascii="Verdana" w:eastAsia="Calibri" w:hAnsi="Verdana" w:cs="Arial"/>
          <w:color w:val="0D0D0D"/>
          <w:sz w:val="20"/>
          <w:szCs w:val="20"/>
          <w:lang w:eastAsia="es-MX"/>
        </w:rPr>
        <w:t xml:space="preserve">NSR-10 en el Subgrupo de Ocupación Institucional de Servicio Público (I-5) “se clasifican </w:t>
      </w:r>
      <w:r w:rsidRPr="00E158A8">
        <w:rPr>
          <w:rFonts w:ascii="Verdana" w:eastAsia="Calibri" w:hAnsi="Verdana" w:cs="Arial"/>
          <w:color w:val="0D0D0D"/>
          <w:sz w:val="20"/>
          <w:szCs w:val="20"/>
          <w:lang w:eastAsia="es-MX"/>
        </w:rPr>
        <w:lastRenderedPageBreak/>
        <w:t>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5EB6D229" w14:textId="77777777" w:rsidR="00E158A8" w:rsidRPr="00E158A8" w:rsidRDefault="00E158A8" w:rsidP="00E158A8">
      <w:pPr>
        <w:spacing w:after="0" w:line="278" w:lineRule="auto"/>
        <w:jc w:val="both"/>
        <w:rPr>
          <w:rFonts w:ascii="Verdana" w:eastAsia="Calibri" w:hAnsi="Verdana" w:cs="Arial"/>
          <w:color w:val="0D0D0D"/>
          <w:kern w:val="2"/>
          <w:sz w:val="20"/>
          <w:szCs w:val="20"/>
          <w:lang w:eastAsia="es-MX"/>
          <w14:ligatures w14:val="standardContextual"/>
        </w:rPr>
      </w:pPr>
    </w:p>
    <w:p w14:paraId="26A95254" w14:textId="77777777" w:rsidR="00E158A8" w:rsidRPr="00E158A8" w:rsidRDefault="00E158A8" w:rsidP="00E158A8">
      <w:pPr>
        <w:spacing w:after="0" w:line="240" w:lineRule="auto"/>
        <w:jc w:val="both"/>
        <w:rPr>
          <w:rFonts w:ascii="Verdana" w:eastAsia="Calibri" w:hAnsi="Verdana" w:cs="Arial"/>
          <w:color w:val="0D0D0D"/>
          <w:sz w:val="20"/>
          <w:szCs w:val="20"/>
          <w:lang w:eastAsia="es-MX"/>
        </w:rPr>
      </w:pPr>
      <w:r w:rsidRPr="00E158A8">
        <w:rPr>
          <w:rFonts w:ascii="Verdana" w:eastAsia="Calibri" w:hAnsi="Verdana" w:cs="Arial"/>
          <w:color w:val="0D0D0D"/>
          <w:sz w:val="20"/>
          <w:szCs w:val="20"/>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E158A8">
        <w:rPr>
          <w:rFonts w:ascii="Verdana" w:eastAsia="Calibri" w:hAnsi="Verdana" w:cs="Arial"/>
          <w:color w:val="0D0D0D"/>
          <w:sz w:val="20"/>
          <w:szCs w:val="20"/>
          <w:lang w:eastAsia="es-MX"/>
        </w:rPr>
        <w:t>que</w:t>
      </w:r>
      <w:proofErr w:type="gramEnd"/>
      <w:r w:rsidRPr="00E158A8">
        <w:rPr>
          <w:rFonts w:ascii="Verdana" w:eastAsia="Calibri" w:hAnsi="Verdana" w:cs="Arial"/>
          <w:color w:val="0D0D0D"/>
          <w:sz w:val="20"/>
          <w:szCs w:val="20"/>
          <w:lang w:eastAsia="es-MX"/>
        </w:rPr>
        <w:t xml:space="preserve"> por su naturaleza y finalidad, están orientadas a la prestación de servicios públicos y al desarrollo de funciones institucionales del Estado.  </w:t>
      </w:r>
    </w:p>
    <w:p w14:paraId="48C8156A"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lang w:val="es-ES" w:eastAsia="es-MX"/>
        </w:rPr>
      </w:pPr>
    </w:p>
    <w:p w14:paraId="3EEA667D"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lang w:val="es-ES" w:eastAsia="es-MX"/>
        </w:rPr>
      </w:pPr>
      <w:r w:rsidRPr="00E158A8">
        <w:rPr>
          <w:rFonts w:ascii="Verdana" w:eastAsia="Calibri" w:hAnsi="Verdana" w:cs="Times New Roman"/>
          <w:b/>
          <w:bCs/>
          <w:lang w:val="es-ES" w:eastAsia="es-MX"/>
        </w:rPr>
        <w:t xml:space="preserve">INFRAESTRUCTURA DE SERVICIO PÚBLICO – Documentos tipo – Sector – Fiscalía general de la Nación – Aplicación </w:t>
      </w:r>
    </w:p>
    <w:p w14:paraId="416AA13A" w14:textId="77777777" w:rsidR="00E158A8" w:rsidRPr="00E158A8" w:rsidRDefault="00E158A8" w:rsidP="00E158A8">
      <w:pPr>
        <w:widowControl w:val="0"/>
        <w:autoSpaceDE w:val="0"/>
        <w:autoSpaceDN w:val="0"/>
        <w:spacing w:after="0" w:line="240" w:lineRule="auto"/>
        <w:jc w:val="both"/>
        <w:rPr>
          <w:rFonts w:ascii="Verdana" w:eastAsia="Calibri" w:hAnsi="Verdana" w:cs="Times New Roman"/>
          <w:b/>
          <w:bCs/>
          <w:lang w:val="es-ES" w:eastAsia="es-MX"/>
        </w:rPr>
      </w:pPr>
    </w:p>
    <w:p w14:paraId="32B8036A" w14:textId="77777777" w:rsidR="00E158A8" w:rsidRPr="00E158A8" w:rsidRDefault="00E158A8" w:rsidP="00E158A8">
      <w:pPr>
        <w:spacing w:after="0" w:line="278" w:lineRule="auto"/>
        <w:jc w:val="both"/>
        <w:rPr>
          <w:rFonts w:ascii="Verdana" w:eastAsia="Calibri" w:hAnsi="Verdana" w:cs="Arial"/>
          <w:color w:val="0D0D0D"/>
          <w:kern w:val="2"/>
          <w:sz w:val="20"/>
          <w:szCs w:val="20"/>
          <w:lang w:eastAsia="es-MX"/>
          <w14:ligatures w14:val="standardContextual"/>
        </w:rPr>
      </w:pPr>
      <w:r w:rsidRPr="00E158A8">
        <w:rPr>
          <w:rFonts w:ascii="Verdana" w:eastAsia="Calibri" w:hAnsi="Verdana" w:cs="Arial"/>
          <w:color w:val="0D0D0D"/>
          <w:sz w:val="20"/>
          <w:szCs w:val="20"/>
          <w:lang w:eastAsia="es-MX"/>
        </w:rPr>
        <w:t xml:space="preserve">De acuerdo con la definición del Subgrupo de Ocupación Institucional y las edificaciones que este comprende, dentro de este se encuentran las edificaciones institucionales judiciales, entendidas estas como el lugar físico -edificio, oficina- donde un órgano de la administración de justicia -tribunal, juzgado, </w:t>
      </w:r>
      <w:proofErr w:type="spellStart"/>
      <w:r w:rsidRPr="00E158A8">
        <w:rPr>
          <w:rFonts w:ascii="Verdana" w:eastAsia="Calibri" w:hAnsi="Verdana" w:cs="Arial"/>
          <w:color w:val="0D0D0D"/>
          <w:sz w:val="20"/>
          <w:szCs w:val="20"/>
          <w:lang w:eastAsia="es-MX"/>
        </w:rPr>
        <w:t>etc</w:t>
      </w:r>
      <w:proofErr w:type="spellEnd"/>
      <w:r w:rsidRPr="00E158A8">
        <w:rPr>
          <w:rFonts w:ascii="Verdana" w:eastAsia="Calibri" w:hAnsi="Verdana" w:cs="Arial"/>
          <w:color w:val="0D0D0D"/>
          <w:sz w:val="20"/>
          <w:szCs w:val="20"/>
          <w:lang w:eastAsia="es-MX"/>
        </w:rPr>
        <w:t xml:space="preserve">- ejercen sus funciones. Considerando que la </w:t>
      </w:r>
      <w:proofErr w:type="gramStart"/>
      <w:r w:rsidRPr="00E158A8">
        <w:rPr>
          <w:rFonts w:ascii="Verdana" w:eastAsia="Calibri" w:hAnsi="Verdana" w:cs="Arial"/>
          <w:color w:val="0D0D0D"/>
          <w:sz w:val="20"/>
          <w:szCs w:val="20"/>
          <w:lang w:eastAsia="es-MX"/>
        </w:rPr>
        <w:t>Fiscalía General</w:t>
      </w:r>
      <w:proofErr w:type="gramEnd"/>
      <w:r w:rsidRPr="00E158A8">
        <w:rPr>
          <w:rFonts w:ascii="Verdana" w:eastAsia="Calibri" w:hAnsi="Verdana" w:cs="Arial"/>
          <w:color w:val="0D0D0D"/>
          <w:sz w:val="20"/>
          <w:szCs w:val="20"/>
          <w:lang w:eastAsia="es-MX"/>
        </w:rPr>
        <w:t xml:space="preserve"> de la Nación “es una entidad de la rama judicial del poder público (…) cuya función está orientada a brindar a los ciudadanos una cumplida y eficaz administración de justicia”, su actividad reviste naturaleza de servicio público esencial. En este sentido, las edificaciones institucionales de la </w:t>
      </w:r>
      <w:proofErr w:type="gramStart"/>
      <w:r w:rsidRPr="00E158A8">
        <w:rPr>
          <w:rFonts w:ascii="Verdana" w:eastAsia="Calibri" w:hAnsi="Verdana" w:cs="Arial"/>
          <w:color w:val="0D0D0D"/>
          <w:sz w:val="20"/>
          <w:szCs w:val="20"/>
          <w:lang w:eastAsia="es-MX"/>
        </w:rPr>
        <w:t>Fiscalía General</w:t>
      </w:r>
      <w:proofErr w:type="gramEnd"/>
      <w:r w:rsidRPr="00E158A8">
        <w:rPr>
          <w:rFonts w:ascii="Verdana" w:eastAsia="Calibri" w:hAnsi="Verdana" w:cs="Arial"/>
          <w:color w:val="0D0D0D"/>
          <w:sz w:val="20"/>
          <w:szCs w:val="20"/>
          <w:lang w:eastAsia="es-MX"/>
        </w:rPr>
        <w:t xml:space="preserve"> de la Nación deben clasificarse dentro del Subgrupo de Ocupación Institucional de Servicio Público.  </w:t>
      </w:r>
    </w:p>
    <w:p w14:paraId="5867CF13" w14:textId="77777777" w:rsidR="00E158A8" w:rsidRPr="00E158A8" w:rsidRDefault="00E158A8" w:rsidP="00E158A8">
      <w:pPr>
        <w:spacing w:after="0" w:line="278" w:lineRule="auto"/>
        <w:jc w:val="both"/>
        <w:rPr>
          <w:rFonts w:ascii="Verdana" w:eastAsia="Calibri" w:hAnsi="Verdana" w:cs="Arial"/>
          <w:color w:val="0D0D0D"/>
          <w:kern w:val="2"/>
          <w:sz w:val="20"/>
          <w:szCs w:val="20"/>
          <w:lang w:eastAsia="es-MX"/>
          <w14:ligatures w14:val="standardContextual"/>
        </w:rPr>
      </w:pPr>
    </w:p>
    <w:p w14:paraId="217FF661" w14:textId="77777777" w:rsidR="00E158A8" w:rsidRPr="00034ABE" w:rsidRDefault="00E158A8" w:rsidP="00E158A8">
      <w:pPr>
        <w:spacing w:after="0" w:line="240" w:lineRule="auto"/>
        <w:jc w:val="both"/>
        <w:rPr>
          <w:rFonts w:ascii="Verdana" w:eastAsia="Calibri" w:hAnsi="Verdana" w:cs="Arial"/>
          <w:b/>
          <w:bCs/>
          <w:color w:val="000000"/>
          <w:kern w:val="2"/>
          <w:lang w:val="es-ES"/>
          <w14:ligatures w14:val="standardContextual"/>
        </w:rPr>
      </w:pPr>
      <w:r w:rsidRPr="00034ABE">
        <w:rPr>
          <w:rFonts w:ascii="Verdana" w:eastAsia="Calibri" w:hAnsi="Verdana" w:cs="Arial"/>
          <w:b/>
          <w:bCs/>
          <w:color w:val="000000"/>
          <w:kern w:val="2"/>
          <w:lang w:val="es-ES"/>
          <w14:ligatures w14:val="standardContextual"/>
        </w:rPr>
        <w:t xml:space="preserve">CONTRATO POR MONTO AGOTABLE </w:t>
      </w:r>
      <w:r w:rsidRPr="00034ABE">
        <w:rPr>
          <w:rFonts w:ascii="Verdana" w:eastAsia="Calibri" w:hAnsi="Verdana" w:cs="Arial"/>
          <w:b/>
          <w:bCs/>
          <w:color w:val="000000"/>
          <w:kern w:val="2"/>
          <w14:ligatures w14:val="standardContextual"/>
        </w:rPr>
        <w:t xml:space="preserve">– </w:t>
      </w:r>
      <w:r w:rsidRPr="00034ABE">
        <w:rPr>
          <w:rFonts w:ascii="Verdana" w:eastAsia="Calibri" w:hAnsi="Verdana" w:cs="Arial"/>
          <w:b/>
          <w:bCs/>
          <w:color w:val="000000"/>
          <w:kern w:val="2"/>
          <w:lang w:val="es-ES"/>
          <w14:ligatures w14:val="standardContextual"/>
        </w:rPr>
        <w:t>Forma de Pago – Contratos de obra</w:t>
      </w:r>
    </w:p>
    <w:p w14:paraId="451B9EFC" w14:textId="77777777" w:rsidR="00E158A8" w:rsidRPr="00E158A8" w:rsidRDefault="00E158A8" w:rsidP="00E158A8">
      <w:pPr>
        <w:spacing w:after="0" w:line="240" w:lineRule="auto"/>
        <w:jc w:val="both"/>
        <w:rPr>
          <w:rFonts w:ascii="Verdana" w:eastAsia="Calibri" w:hAnsi="Verdana" w:cs="Arial"/>
          <w:b/>
          <w:bCs/>
          <w:color w:val="000000"/>
          <w:kern w:val="2"/>
          <w:sz w:val="24"/>
          <w:szCs w:val="24"/>
          <w:lang w:val="es-ES"/>
          <w14:ligatures w14:val="standardContextual"/>
        </w:rPr>
      </w:pPr>
    </w:p>
    <w:p w14:paraId="4FAF08C8" w14:textId="77777777" w:rsidR="00E158A8" w:rsidRPr="00E158A8" w:rsidRDefault="00E158A8" w:rsidP="00E158A8">
      <w:pPr>
        <w:spacing w:line="278" w:lineRule="auto"/>
        <w:jc w:val="both"/>
        <w:rPr>
          <w:rFonts w:ascii="Verdana" w:eastAsia="Calibri" w:hAnsi="Verdana" w:cs="Arial"/>
          <w:kern w:val="2"/>
          <w:sz w:val="20"/>
          <w:szCs w:val="20"/>
          <w:lang w:eastAsia="es-MX"/>
          <w14:ligatures w14:val="standardContextual"/>
        </w:rPr>
      </w:pPr>
      <w:r w:rsidRPr="00E158A8">
        <w:rPr>
          <w:rFonts w:ascii="Verdana" w:eastAsia="Calibri" w:hAnsi="Verdana" w:cs="Arial"/>
          <w:sz w:val="20"/>
          <w:szCs w:val="20"/>
          <w:lang w:eastAsia="es-MX"/>
        </w:rPr>
        <w:t xml:space="preserve">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08F0B554" w14:textId="77777777" w:rsidR="00E158A8" w:rsidRPr="00E158A8" w:rsidRDefault="00E158A8" w:rsidP="00E158A8">
      <w:pPr>
        <w:spacing w:after="0" w:line="240" w:lineRule="auto"/>
        <w:jc w:val="both"/>
        <w:rPr>
          <w:rFonts w:ascii="Verdana" w:eastAsia="Calibri" w:hAnsi="Verdana" w:cs="Arial"/>
          <w:sz w:val="20"/>
          <w:szCs w:val="20"/>
          <w:lang w:eastAsia="es-MX"/>
        </w:rPr>
      </w:pPr>
    </w:p>
    <w:p w14:paraId="156914BC" w14:textId="77777777" w:rsidR="00E158A8" w:rsidRPr="00E158A8" w:rsidRDefault="00E158A8" w:rsidP="00E158A8">
      <w:pPr>
        <w:spacing w:line="278" w:lineRule="auto"/>
        <w:jc w:val="both"/>
        <w:rPr>
          <w:rFonts w:ascii="Verdana" w:eastAsia="Calibri" w:hAnsi="Verdana" w:cs="Arial"/>
          <w:kern w:val="2"/>
          <w:sz w:val="20"/>
          <w:szCs w:val="20"/>
          <w:lang w:eastAsia="es-MX"/>
          <w14:ligatures w14:val="standardContextual"/>
        </w:rPr>
      </w:pPr>
      <w:r w:rsidRPr="00E158A8">
        <w:rPr>
          <w:rFonts w:ascii="Verdana" w:eastAsia="Calibri" w:hAnsi="Verdana" w:cs="Arial"/>
          <w:kern w:val="2"/>
          <w:sz w:val="20"/>
          <w:szCs w:val="20"/>
          <w:lang w:eastAsia="es-MX"/>
          <w14:ligatures w14:val="standardContextual"/>
        </w:rPr>
        <w:t>(…)</w:t>
      </w:r>
    </w:p>
    <w:p w14:paraId="7B4D3321" w14:textId="77777777" w:rsidR="00E158A8" w:rsidRPr="00E158A8" w:rsidRDefault="00E158A8" w:rsidP="00E158A8">
      <w:pPr>
        <w:spacing w:after="0" w:line="240" w:lineRule="auto"/>
        <w:jc w:val="both"/>
        <w:rPr>
          <w:rFonts w:ascii="Verdana" w:eastAsia="Calibri" w:hAnsi="Verdana" w:cs="Arial"/>
          <w:kern w:val="2"/>
          <w:sz w:val="20"/>
          <w:szCs w:val="20"/>
          <w:lang w:eastAsia="es-MX"/>
          <w14:ligatures w14:val="standardContextual"/>
        </w:rPr>
      </w:pPr>
    </w:p>
    <w:p w14:paraId="5BAF7A17" w14:textId="77777777" w:rsidR="00E158A8" w:rsidRPr="00E158A8" w:rsidRDefault="00E158A8" w:rsidP="00E158A8">
      <w:pPr>
        <w:spacing w:after="0" w:line="278" w:lineRule="auto"/>
        <w:jc w:val="both"/>
        <w:rPr>
          <w:rFonts w:ascii="Verdana" w:eastAsia="Calibri" w:hAnsi="Verdana" w:cs="Arial"/>
          <w:kern w:val="2"/>
          <w:sz w:val="20"/>
          <w:szCs w:val="20"/>
          <w:lang w:eastAsia="es-MX"/>
          <w14:ligatures w14:val="standardContextual"/>
        </w:rPr>
      </w:pPr>
      <w:r w:rsidRPr="00E158A8">
        <w:rPr>
          <w:rFonts w:ascii="Verdana" w:eastAsia="Calibri" w:hAnsi="Verdana" w:cs="Arial"/>
          <w:sz w:val="20"/>
          <w:szCs w:val="20"/>
          <w:lang w:eastAsia="es-MX"/>
        </w:rPr>
        <w:t xml:space="preserve">Para la doctrina, “Se trata de un sistema flexible en el precio y en la obra, por cuanto ambos solo van a quedar definitivamente determinados al momento de la conclusión de </w:t>
      </w:r>
      <w:r w:rsidRPr="00E158A8">
        <w:rPr>
          <w:rFonts w:ascii="Verdana" w:eastAsia="Calibri" w:hAnsi="Verdana" w:cs="Arial"/>
          <w:sz w:val="20"/>
          <w:szCs w:val="20"/>
          <w:lang w:eastAsia="es-MX"/>
        </w:rPr>
        <w:lastRenderedPageBreak/>
        <w:t xml:space="preserve">las obras, circunstancia en la que recién podrán conocerse con exactitud la cantidad de unidades ejecutadas por el constructor y, del mismo modo, el precio definitivo a ser pagado por el comitente”. En este caso, también se requiere establecer un tope máximo para la adelantar las obras, ya que “[…] el precio total depende del conjunto de trabajos ejecutados según el presupuesto, pudiendo por tanto variar por nuevos trabajos adicionales […]”. Por lo demás, a pesar de que el precio del contrato se fije por un monto agotable, este no deja de pertenecer a la tipología del artículo 32.1 del Estatuto General de Contratación de la Administración Pública, especialmente, cuando –conforme al tenor literal de la norma– la obra pública existe cualquiera que sea la modalidad de ejecución y pago.    </w:t>
      </w:r>
    </w:p>
    <w:p w14:paraId="75EB9CFE" w14:textId="77777777" w:rsidR="00E158A8" w:rsidRPr="00E158A8" w:rsidRDefault="00E158A8" w:rsidP="00E158A8">
      <w:pPr>
        <w:spacing w:after="0" w:line="278" w:lineRule="auto"/>
        <w:jc w:val="both"/>
        <w:rPr>
          <w:rFonts w:ascii="Verdana" w:eastAsia="Calibri" w:hAnsi="Verdana" w:cs="Arial"/>
          <w:kern w:val="2"/>
          <w:sz w:val="20"/>
          <w:szCs w:val="20"/>
          <w:lang w:eastAsia="es-MX"/>
          <w14:ligatures w14:val="standardContextual"/>
        </w:rPr>
      </w:pPr>
    </w:p>
    <w:p w14:paraId="6AF2B7E7" w14:textId="77777777" w:rsidR="00E158A8" w:rsidRPr="00E158A8" w:rsidRDefault="00E158A8" w:rsidP="00E158A8">
      <w:pPr>
        <w:spacing w:after="0" w:line="240" w:lineRule="auto"/>
        <w:jc w:val="both"/>
        <w:rPr>
          <w:rFonts w:ascii="Verdana" w:eastAsia="Calibri" w:hAnsi="Verdana" w:cs="Arial"/>
          <w:b/>
          <w:bCs/>
          <w:lang w:eastAsia="es-MX"/>
        </w:rPr>
      </w:pPr>
      <w:r w:rsidRPr="00E158A8">
        <w:rPr>
          <w:rFonts w:ascii="Verdana" w:eastAsia="Calibri" w:hAnsi="Verdana" w:cs="Arial"/>
          <w:b/>
          <w:bCs/>
          <w:lang w:eastAsia="es-MX"/>
        </w:rPr>
        <w:t xml:space="preserve">FORMA DE PAGO – Documentos tipo – Sector social – Licitación Pública </w:t>
      </w:r>
    </w:p>
    <w:p w14:paraId="7C860DE1" w14:textId="77777777" w:rsidR="00E158A8" w:rsidRPr="00E158A8" w:rsidRDefault="00E158A8" w:rsidP="00E158A8">
      <w:pPr>
        <w:spacing w:after="0" w:line="276" w:lineRule="auto"/>
        <w:jc w:val="both"/>
        <w:rPr>
          <w:rFonts w:ascii="Verdana" w:eastAsia="Calibri" w:hAnsi="Verdana" w:cs="Arial"/>
          <w:kern w:val="2"/>
          <w:sz w:val="24"/>
          <w:szCs w:val="24"/>
          <w:lang w:eastAsia="es-MX"/>
          <w14:ligatures w14:val="standardContextual"/>
        </w:rPr>
      </w:pPr>
    </w:p>
    <w:p w14:paraId="3DCF5F68" w14:textId="77777777" w:rsidR="00E158A8" w:rsidRPr="00E158A8" w:rsidRDefault="00E158A8" w:rsidP="00E158A8">
      <w:pPr>
        <w:spacing w:after="0" w:line="278" w:lineRule="auto"/>
        <w:jc w:val="both"/>
        <w:rPr>
          <w:rFonts w:ascii="Verdana" w:eastAsia="Calibri" w:hAnsi="Verdana" w:cs="Arial"/>
          <w:bCs/>
          <w:color w:val="000000"/>
          <w:kern w:val="2"/>
          <w:sz w:val="20"/>
          <w:szCs w:val="20"/>
          <w:lang w:eastAsia="es-MX"/>
          <w14:ligatures w14:val="standardContextual"/>
        </w:rPr>
      </w:pPr>
      <w:r w:rsidRPr="00E158A8">
        <w:rPr>
          <w:rFonts w:ascii="Verdana" w:eastAsia="Calibri" w:hAnsi="Verdana" w:cs="Arial"/>
          <w:kern w:val="2"/>
          <w:sz w:val="20"/>
          <w:szCs w:val="20"/>
          <w:lang w:val="es-ES_tradnl"/>
          <w14:ligatures w14:val="standardContextual"/>
        </w:rPr>
        <w:t>Los párrafos que están en corchetes son notas aclaratorias o instrucciones para la entidad contratante, que deben ser seguidas sin vulnerar el carácter obligatorio y la regla</w:t>
      </w:r>
      <w:r w:rsidRPr="00E158A8">
        <w:rPr>
          <w:rFonts w:ascii="Arial" w:eastAsia="Calibri" w:hAnsi="Arial" w:cs="Arial"/>
          <w:kern w:val="2"/>
          <w:sz w:val="20"/>
          <w:szCs w:val="20"/>
          <w:lang w:val="es-ES_tradnl"/>
          <w14:ligatures w14:val="standardContextual"/>
        </w:rPr>
        <w:t xml:space="preserve"> </w:t>
      </w:r>
      <w:r w:rsidRPr="00E158A8">
        <w:rPr>
          <w:rFonts w:ascii="Verdana" w:eastAsia="Calibri" w:hAnsi="Verdana" w:cs="Arial"/>
          <w:kern w:val="2"/>
          <w:sz w:val="20"/>
          <w:szCs w:val="20"/>
          <w:lang w:val="es-ES_tradnl"/>
          <w14:ligatures w14:val="standardContextua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E158A8">
        <w:rPr>
          <w:rFonts w:ascii="Verdana" w:eastAsia="Calibri" w:hAnsi="Verdana" w:cs="Arial"/>
          <w:bCs/>
          <w:color w:val="000000"/>
          <w:sz w:val="20"/>
          <w:szCs w:val="20"/>
          <w:lang w:eastAsia="es-MX"/>
        </w:rPr>
        <w:t xml:space="preserve">de que la entidad defina una modalidad distinta bajo la expresión “o la que determine”. </w:t>
      </w:r>
    </w:p>
    <w:p w14:paraId="578BFD8F" w14:textId="77777777" w:rsidR="00E158A8" w:rsidRPr="00E158A8" w:rsidRDefault="00E158A8" w:rsidP="00E158A8">
      <w:pPr>
        <w:spacing w:after="0" w:line="240" w:lineRule="auto"/>
        <w:jc w:val="both"/>
        <w:rPr>
          <w:rFonts w:ascii="Verdana" w:eastAsia="Calibri" w:hAnsi="Verdana" w:cs="Arial"/>
          <w:bCs/>
          <w:color w:val="000000"/>
          <w:sz w:val="20"/>
          <w:szCs w:val="20"/>
          <w:lang w:eastAsia="es-MX"/>
        </w:rPr>
      </w:pPr>
    </w:p>
    <w:p w14:paraId="308B3C8E" w14:textId="77777777" w:rsidR="00E158A8" w:rsidRPr="00E158A8" w:rsidRDefault="00E158A8" w:rsidP="00E158A8">
      <w:pPr>
        <w:spacing w:after="0" w:line="278" w:lineRule="auto"/>
        <w:jc w:val="both"/>
        <w:rPr>
          <w:rFonts w:ascii="Verdana" w:eastAsia="Calibri" w:hAnsi="Verdana" w:cs="Arial"/>
          <w:kern w:val="2"/>
          <w:sz w:val="20"/>
          <w:szCs w:val="20"/>
          <w:lang w:val="es-ES_tradnl"/>
          <w14:ligatures w14:val="standardContextual"/>
        </w:rPr>
      </w:pPr>
      <w:r w:rsidRPr="00E158A8">
        <w:rPr>
          <w:rFonts w:ascii="Verdana" w:eastAsia="Calibri" w:hAnsi="Verdana" w:cs="Arial"/>
          <w:bCs/>
          <w:color w:val="000000"/>
          <w:sz w:val="20"/>
          <w:szCs w:val="20"/>
          <w:lang w:eastAsia="es-MX"/>
        </w:rPr>
        <w:t>En todo</w:t>
      </w:r>
      <w:r w:rsidRPr="00E158A8">
        <w:rPr>
          <w:rFonts w:ascii="Verdana" w:eastAsia="Calibri" w:hAnsi="Verdana" w:cs="Arial"/>
          <w:kern w:val="2"/>
          <w:sz w:val="20"/>
          <w:szCs w:val="20"/>
          <w:lang w:val="es-ES_tradnl"/>
          <w14:ligatures w14:val="standardContextua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689ED2C0" w14:textId="77777777" w:rsidR="00E158A8" w:rsidRPr="00E158A8" w:rsidRDefault="00E158A8" w:rsidP="00E158A8">
      <w:pPr>
        <w:spacing w:after="0" w:line="278" w:lineRule="auto"/>
        <w:jc w:val="both"/>
        <w:rPr>
          <w:rFonts w:ascii="Verdana" w:eastAsia="Calibri" w:hAnsi="Verdana" w:cs="Arial"/>
          <w:kern w:val="2"/>
          <w:sz w:val="20"/>
          <w:szCs w:val="20"/>
          <w:lang w:val="es-ES_tradnl"/>
          <w14:ligatures w14:val="standardContextual"/>
        </w:rPr>
      </w:pPr>
    </w:p>
    <w:p w14:paraId="3007EE50" w14:textId="77777777" w:rsidR="00E158A8" w:rsidRPr="00E158A8" w:rsidRDefault="00E158A8" w:rsidP="00E158A8">
      <w:pPr>
        <w:spacing w:after="0" w:line="278" w:lineRule="auto"/>
        <w:jc w:val="both"/>
        <w:rPr>
          <w:rFonts w:ascii="Verdana" w:eastAsia="Calibri" w:hAnsi="Verdana" w:cs="Arial"/>
          <w:b/>
          <w:bCs/>
          <w:kern w:val="2"/>
          <w:sz w:val="24"/>
          <w:szCs w:val="24"/>
          <w:lang w:eastAsia="es-MX"/>
          <w14:ligatures w14:val="standardContextual"/>
        </w:rPr>
      </w:pPr>
      <w:r w:rsidRPr="00E158A8">
        <w:rPr>
          <w:rFonts w:ascii="Verdana" w:eastAsia="Calibri" w:hAnsi="Verdana" w:cs="Arial"/>
          <w:b/>
          <w:bCs/>
          <w:lang w:eastAsia="es-MX"/>
        </w:rPr>
        <w:t xml:space="preserve">FORMA DE PAGO – Monto agotable – Documentos tipo – Sector social – Licitación Pública – Aplicación </w:t>
      </w:r>
    </w:p>
    <w:p w14:paraId="3B4E2F61" w14:textId="77777777" w:rsidR="00E158A8" w:rsidRPr="00E158A8" w:rsidRDefault="00E158A8" w:rsidP="00E158A8">
      <w:pPr>
        <w:spacing w:after="0" w:line="240" w:lineRule="auto"/>
        <w:jc w:val="both"/>
        <w:rPr>
          <w:rFonts w:ascii="Verdana" w:eastAsia="Calibri" w:hAnsi="Verdana" w:cs="Arial"/>
          <w:kern w:val="2"/>
          <w:sz w:val="20"/>
          <w:szCs w:val="20"/>
          <w:lang w:val="es-ES_tradnl"/>
          <w14:ligatures w14:val="standardContextual"/>
        </w:rPr>
      </w:pPr>
    </w:p>
    <w:p w14:paraId="1C4D668E" w14:textId="77777777" w:rsidR="00034ABE" w:rsidRDefault="00E158A8" w:rsidP="00034ABE">
      <w:pPr>
        <w:tabs>
          <w:tab w:val="center" w:pos="4244"/>
        </w:tabs>
        <w:spacing w:after="0" w:line="240" w:lineRule="auto"/>
        <w:jc w:val="both"/>
        <w:rPr>
          <w:rFonts w:ascii="Verdana" w:eastAsia="Calibri" w:hAnsi="Verdana" w:cs="Arial"/>
          <w:kern w:val="2"/>
          <w:sz w:val="20"/>
          <w:szCs w:val="20"/>
          <w:lang w:val="es-ES"/>
          <w14:ligatures w14:val="standardContextual"/>
        </w:rPr>
      </w:pPr>
      <w:r w:rsidRPr="0D903C44">
        <w:rPr>
          <w:rFonts w:ascii="Verdana" w:eastAsia="Calibri" w:hAnsi="Verdana" w:cs="Arial"/>
          <w:kern w:val="2"/>
          <w:sz w:val="20"/>
          <w:szCs w:val="20"/>
          <w:lang w:val="es-ES"/>
          <w14:ligatures w14:val="standardContextual"/>
        </w:rPr>
        <w:t xml:space="preserve">Los Documentos Tipo de licitación de obra pública de infraestructura social – versión 2, sí resultan aplicables a procesos contractuales orientados a la ejecución de intervenciones de mantenimientos, adecuación o reparación de sedes institucionales de la </w:t>
      </w:r>
      <w:proofErr w:type="gramStart"/>
      <w:r w:rsidRPr="0D903C44">
        <w:rPr>
          <w:rFonts w:ascii="Verdana" w:eastAsia="Calibri" w:hAnsi="Verdana" w:cs="Arial"/>
          <w:kern w:val="2"/>
          <w:sz w:val="20"/>
          <w:szCs w:val="20"/>
          <w:lang w:val="es-ES"/>
          <w14:ligatures w14:val="standardContextual"/>
        </w:rPr>
        <w:t>Fiscalía General</w:t>
      </w:r>
      <w:proofErr w:type="gramEnd"/>
      <w:r w:rsidRPr="0D903C44">
        <w:rPr>
          <w:rFonts w:ascii="Verdana" w:eastAsia="Calibri" w:hAnsi="Verdana" w:cs="Arial"/>
          <w:kern w:val="2"/>
          <w:sz w:val="20"/>
          <w:szCs w:val="20"/>
          <w:lang w:val="es-ES"/>
          <w14:ligatures w14:val="standardContextual"/>
        </w:rPr>
        <w:t xml:space="preserve"> de la Nación, aun cuando estos procesos se estructuren bajo esquemas de forma de pago a monto agotable y las cantidades de obras no puedan determinarse con exactitud desde la etapa de planeación. Esto considerando que las actividades señaladas, se encuentran comprendidas dentro del capítulo 2 “Obras en proyectos de infraestructura institucional de servicio público” de la Matriz 1 – Experiencia. </w:t>
      </w:r>
    </w:p>
    <w:p w14:paraId="27CBE324" w14:textId="2246B6FE" w:rsidR="00E158A8" w:rsidRPr="00034ABE" w:rsidRDefault="00E158A8" w:rsidP="00034ABE">
      <w:pPr>
        <w:tabs>
          <w:tab w:val="center" w:pos="4244"/>
        </w:tabs>
        <w:spacing w:after="0" w:line="240" w:lineRule="auto"/>
        <w:jc w:val="both"/>
        <w:rPr>
          <w:rFonts w:ascii="Verdana" w:eastAsia="Calibri" w:hAnsi="Verdana" w:cs="Arial"/>
          <w:kern w:val="2"/>
          <w:sz w:val="20"/>
          <w:szCs w:val="20"/>
          <w:lang w:val="es-ES"/>
          <w14:ligatures w14:val="standardContextual"/>
        </w:rPr>
      </w:pPr>
      <w:r w:rsidRPr="009046F7">
        <w:rPr>
          <w:rFonts w:ascii="Verdana" w:eastAsia="Aptos" w:hAnsi="Verdana" w:cs="Times New Roman"/>
          <w:kern w:val="2"/>
          <w14:ligatures w14:val="standardContextual"/>
        </w:rPr>
        <w:lastRenderedPageBreak/>
        <w:t xml:space="preserve">Bogotá D.C., </w:t>
      </w:r>
      <w:r w:rsidR="009046F7" w:rsidRPr="009046F7">
        <w:rPr>
          <w:rFonts w:ascii="Verdana" w:eastAsia="Aptos" w:hAnsi="Verdana" w:cs="Times New Roman"/>
          <w:kern w:val="2"/>
          <w14:ligatures w14:val="standardContextual"/>
        </w:rPr>
        <w:t>20 de abril de 2026</w:t>
      </w:r>
    </w:p>
    <w:p w14:paraId="60C87574" w14:textId="0DE6E25A" w:rsidR="009046F7" w:rsidRDefault="00034ABE" w:rsidP="00E158A8">
      <w:pPr>
        <w:spacing w:after="0" w:line="278" w:lineRule="auto"/>
        <w:rPr>
          <w:rFonts w:ascii="Verdana" w:eastAsia="Aptos" w:hAnsi="Verdana" w:cs="Times New Roman"/>
          <w:kern w:val="2"/>
          <w:sz w:val="24"/>
          <w:szCs w:val="24"/>
          <w14:ligatures w14:val="standardContextual"/>
        </w:rPr>
      </w:pPr>
      <w:r w:rsidRPr="009046F7">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04EB701C" wp14:editId="1C1553F3">
            <wp:simplePos x="0" y="0"/>
            <wp:positionH relativeFrom="margin">
              <wp:posOffset>3133725</wp:posOffset>
            </wp:positionH>
            <wp:positionV relativeFrom="paragraph">
              <wp:posOffset>125730</wp:posOffset>
            </wp:positionV>
            <wp:extent cx="2466975" cy="779145"/>
            <wp:effectExtent l="0" t="0" r="9525" b="1905"/>
            <wp:wrapSquare wrapText="bothSides"/>
            <wp:docPr id="8843279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32790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66975" cy="779145"/>
                    </a:xfrm>
                    <a:prstGeom prst="rect">
                      <a:avLst/>
                    </a:prstGeom>
                  </pic:spPr>
                </pic:pic>
              </a:graphicData>
            </a:graphic>
            <wp14:sizeRelH relativeFrom="page">
              <wp14:pctWidth>0</wp14:pctWidth>
            </wp14:sizeRelH>
            <wp14:sizeRelV relativeFrom="page">
              <wp14:pctHeight>0</wp14:pctHeight>
            </wp14:sizeRelV>
          </wp:anchor>
        </w:drawing>
      </w:r>
    </w:p>
    <w:p w14:paraId="3E045DAF" w14:textId="64145EBF" w:rsidR="009046F7" w:rsidRPr="00E158A8" w:rsidRDefault="009046F7" w:rsidP="00E158A8">
      <w:pPr>
        <w:spacing w:after="0" w:line="278" w:lineRule="auto"/>
        <w:rPr>
          <w:rFonts w:ascii="Verdana" w:eastAsia="Aptos" w:hAnsi="Verdana" w:cs="Times New Roman"/>
          <w:kern w:val="2"/>
          <w:sz w:val="24"/>
          <w:szCs w:val="24"/>
          <w14:ligatures w14:val="standardContextual"/>
        </w:rPr>
      </w:pPr>
    </w:p>
    <w:p w14:paraId="53D5A0C9" w14:textId="77777777" w:rsidR="00E158A8" w:rsidRPr="00E158A8" w:rsidRDefault="00E158A8" w:rsidP="00E158A8">
      <w:pPr>
        <w:spacing w:after="0" w:line="240" w:lineRule="auto"/>
        <w:rPr>
          <w:rFonts w:ascii="Verdana" w:eastAsia="Calibri" w:hAnsi="Verdana" w:cs="Arial"/>
          <w:lang w:val="es-ES" w:eastAsia="es-ES"/>
        </w:rPr>
      </w:pPr>
    </w:p>
    <w:p w14:paraId="45862E83" w14:textId="77777777" w:rsidR="00E158A8" w:rsidRPr="00E158A8" w:rsidRDefault="00E158A8" w:rsidP="00E158A8">
      <w:pPr>
        <w:spacing w:after="0" w:line="240" w:lineRule="auto"/>
        <w:rPr>
          <w:rFonts w:ascii="Verdana" w:eastAsia="Calibri" w:hAnsi="Verdana" w:cs="Arial"/>
          <w:lang w:val="es-ES" w:eastAsia="es-ES"/>
        </w:rPr>
      </w:pPr>
      <w:r w:rsidRPr="00E158A8">
        <w:rPr>
          <w:rFonts w:ascii="Verdana" w:eastAsia="Calibri" w:hAnsi="Verdana" w:cs="Arial"/>
          <w:lang w:val="es-ES" w:eastAsia="es-ES"/>
        </w:rPr>
        <w:t>Doctora</w:t>
      </w:r>
    </w:p>
    <w:p w14:paraId="47B33C38" w14:textId="77777777" w:rsidR="00E158A8" w:rsidRPr="00E158A8" w:rsidRDefault="00E158A8" w:rsidP="00E158A8">
      <w:pPr>
        <w:spacing w:after="0" w:line="240" w:lineRule="auto"/>
        <w:rPr>
          <w:rFonts w:ascii="Verdana" w:eastAsia="Times New Roman" w:hAnsi="Verdana" w:cs="Times New Roman"/>
          <w:b/>
          <w:bCs/>
          <w:color w:val="242424"/>
          <w:shd w:val="clear" w:color="auto" w:fill="FFFFFF"/>
          <w:lang w:eastAsia="es-MX"/>
        </w:rPr>
      </w:pPr>
      <w:r w:rsidRPr="00E158A8">
        <w:rPr>
          <w:rFonts w:ascii="Verdana" w:eastAsia="Times New Roman" w:hAnsi="Verdana" w:cs="Times New Roman"/>
          <w:b/>
          <w:bCs/>
          <w:color w:val="242424"/>
          <w:shd w:val="clear" w:color="auto" w:fill="FFFFFF"/>
          <w:lang w:eastAsia="es-MX"/>
        </w:rPr>
        <w:t>Ana Angelica Becerra Eraso</w:t>
      </w:r>
    </w:p>
    <w:p w14:paraId="421A0803" w14:textId="77777777" w:rsidR="00E158A8" w:rsidRPr="00E158A8" w:rsidRDefault="00E158A8" w:rsidP="00E158A8">
      <w:pPr>
        <w:spacing w:after="0" w:line="240" w:lineRule="auto"/>
        <w:rPr>
          <w:rFonts w:ascii="Verdana" w:eastAsia="Times New Roman" w:hAnsi="Verdana" w:cs="Times New Roman"/>
          <w:color w:val="242424"/>
          <w:shd w:val="clear" w:color="auto" w:fill="FFFFFF"/>
          <w:lang w:eastAsia="es-MX"/>
        </w:rPr>
      </w:pPr>
      <w:r w:rsidRPr="00E158A8">
        <w:rPr>
          <w:rFonts w:ascii="Verdana" w:eastAsia="Times New Roman" w:hAnsi="Verdana" w:cs="Times New Roman"/>
          <w:color w:val="242424"/>
          <w:shd w:val="clear" w:color="auto" w:fill="FFFFFF"/>
          <w:lang w:eastAsia="es-MX"/>
        </w:rPr>
        <w:t>Subdirectora Regional de Apoyo del Pacífico (E)</w:t>
      </w:r>
    </w:p>
    <w:p w14:paraId="7BB2227E" w14:textId="77777777" w:rsidR="00E158A8" w:rsidRPr="00E158A8" w:rsidRDefault="00E158A8" w:rsidP="00E158A8">
      <w:pPr>
        <w:spacing w:after="0" w:line="240" w:lineRule="auto"/>
        <w:rPr>
          <w:rFonts w:ascii="Verdana" w:eastAsia="Times New Roman" w:hAnsi="Verdana" w:cs="Times New Roman"/>
          <w:color w:val="242424"/>
          <w:shd w:val="clear" w:color="auto" w:fill="FFFFFF"/>
          <w:lang w:eastAsia="es-MX"/>
        </w:rPr>
      </w:pPr>
      <w:r w:rsidRPr="00E158A8">
        <w:rPr>
          <w:rFonts w:ascii="Verdana" w:eastAsia="Times New Roman" w:hAnsi="Verdana" w:cs="Times New Roman"/>
          <w:color w:val="242424"/>
          <w:shd w:val="clear" w:color="auto" w:fill="FFFFFF"/>
          <w:lang w:eastAsia="es-MX"/>
        </w:rPr>
        <w:t>Santiago de Cali, Valle del Cauca</w:t>
      </w:r>
    </w:p>
    <w:p w14:paraId="7BE23FF2" w14:textId="77777777" w:rsidR="00E158A8" w:rsidRPr="00E158A8" w:rsidRDefault="00E158A8" w:rsidP="00E158A8">
      <w:pPr>
        <w:spacing w:after="0" w:line="240" w:lineRule="auto"/>
        <w:rPr>
          <w:rFonts w:ascii="Verdana" w:eastAsia="Aptos" w:hAnsi="Verdana" w:cs="Times New Roman"/>
          <w:lang w:eastAsia="es-MX"/>
        </w:rPr>
      </w:pPr>
    </w:p>
    <w:p w14:paraId="31BC10A4" w14:textId="77777777" w:rsidR="00E158A8" w:rsidRPr="00E158A8" w:rsidRDefault="00E158A8" w:rsidP="00E158A8">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158A8" w:rsidRPr="00E158A8" w14:paraId="703D3DB1" w14:textId="77777777" w:rsidTr="00C80FF3">
        <w:trPr>
          <w:trHeight w:val="229"/>
        </w:trPr>
        <w:tc>
          <w:tcPr>
            <w:tcW w:w="2268" w:type="dxa"/>
          </w:tcPr>
          <w:p w14:paraId="16D72272" w14:textId="77777777" w:rsidR="00E158A8" w:rsidRPr="00E158A8" w:rsidRDefault="00E158A8" w:rsidP="00E158A8">
            <w:pPr>
              <w:jc w:val="both"/>
              <w:rPr>
                <w:rFonts w:ascii="Verdana" w:eastAsia="Calibri" w:hAnsi="Verdana" w:cs="Arial"/>
                <w:b/>
                <w:bCs/>
                <w:lang w:val="es-ES_tradnl" w:eastAsia="es-ES_tradnl"/>
              </w:rPr>
            </w:pPr>
          </w:p>
        </w:tc>
        <w:tc>
          <w:tcPr>
            <w:tcW w:w="6100" w:type="dxa"/>
          </w:tcPr>
          <w:p w14:paraId="56513219" w14:textId="77777777" w:rsidR="00E158A8" w:rsidRPr="00E158A8" w:rsidRDefault="00E158A8" w:rsidP="00E158A8">
            <w:pPr>
              <w:jc w:val="both"/>
              <w:rPr>
                <w:rFonts w:ascii="Verdana" w:eastAsia="Calibri" w:hAnsi="Verdana" w:cs="Arial"/>
                <w:b/>
                <w:bCs/>
                <w:lang w:val="es-ES" w:eastAsia="es-ES"/>
              </w:rPr>
            </w:pPr>
            <w:r w:rsidRPr="00E158A8">
              <w:rPr>
                <w:rFonts w:ascii="Verdana" w:eastAsia="Calibri" w:hAnsi="Verdana" w:cs="Arial"/>
                <w:b/>
                <w:bCs/>
                <w:lang w:val="es-ES" w:eastAsia="es-ES"/>
              </w:rPr>
              <w:t xml:space="preserve">Concepto </w:t>
            </w:r>
            <w:bookmarkStart w:id="1" w:name="OLE_LINK1"/>
            <w:r w:rsidRPr="00E158A8">
              <w:rPr>
                <w:rFonts w:ascii="Verdana" w:eastAsia="Calibri" w:hAnsi="Verdana" w:cs="Arial"/>
                <w:b/>
                <w:bCs/>
                <w:lang w:val="es-ES" w:eastAsia="es-ES"/>
              </w:rPr>
              <w:t>C-392 de 2026</w:t>
            </w:r>
            <w:bookmarkEnd w:id="1"/>
          </w:p>
          <w:p w14:paraId="03FBDC40" w14:textId="77777777" w:rsidR="00E158A8" w:rsidRPr="00E158A8" w:rsidRDefault="00E158A8" w:rsidP="00E158A8">
            <w:pPr>
              <w:jc w:val="both"/>
              <w:rPr>
                <w:rFonts w:ascii="Verdana" w:eastAsia="Calibri" w:hAnsi="Verdana" w:cs="Arial"/>
                <w:b/>
                <w:bCs/>
                <w:lang w:val="es-ES" w:eastAsia="es-ES"/>
              </w:rPr>
            </w:pPr>
          </w:p>
        </w:tc>
      </w:tr>
      <w:tr w:rsidR="00E158A8" w:rsidRPr="00E158A8" w14:paraId="5E4A59A0" w14:textId="77777777" w:rsidTr="00C80FF3">
        <w:trPr>
          <w:trHeight w:val="884"/>
        </w:trPr>
        <w:tc>
          <w:tcPr>
            <w:tcW w:w="2268" w:type="dxa"/>
          </w:tcPr>
          <w:p w14:paraId="7874A336" w14:textId="77777777" w:rsidR="00E158A8" w:rsidRPr="00E158A8" w:rsidRDefault="00E158A8" w:rsidP="00E158A8">
            <w:pPr>
              <w:jc w:val="both"/>
              <w:rPr>
                <w:rFonts w:ascii="Verdana" w:eastAsia="Calibri" w:hAnsi="Verdana" w:cs="Arial"/>
                <w:lang w:val="es-ES_tradnl" w:eastAsia="es-ES_tradnl"/>
              </w:rPr>
            </w:pPr>
            <w:r w:rsidRPr="00E158A8">
              <w:rPr>
                <w:rFonts w:ascii="Verdana" w:eastAsia="Calibri" w:hAnsi="Verdana" w:cs="Arial"/>
                <w:b/>
                <w:lang w:val="es-ES_tradnl" w:eastAsia="es-ES_tradnl"/>
              </w:rPr>
              <w:t>Temas:</w:t>
            </w:r>
            <w:r w:rsidRPr="00E158A8">
              <w:rPr>
                <w:rFonts w:ascii="Verdana" w:eastAsia="Calibri" w:hAnsi="Verdana" w:cs="Arial"/>
                <w:lang w:val="es-ES_tradnl" w:eastAsia="es-ES_tradnl"/>
              </w:rPr>
              <w:t xml:space="preserve">                   </w:t>
            </w:r>
          </w:p>
        </w:tc>
        <w:tc>
          <w:tcPr>
            <w:tcW w:w="6100" w:type="dxa"/>
          </w:tcPr>
          <w:p w14:paraId="2DA64ED2" w14:textId="77777777" w:rsidR="00E158A8" w:rsidRPr="00E158A8" w:rsidRDefault="00E158A8" w:rsidP="00E158A8">
            <w:pPr>
              <w:jc w:val="both"/>
              <w:rPr>
                <w:rFonts w:ascii="Verdana" w:eastAsia="Calibri" w:hAnsi="Verdana" w:cs="Arial"/>
                <w:lang w:eastAsia="es-MX"/>
              </w:rPr>
            </w:pPr>
            <w:r w:rsidRPr="00E158A8">
              <w:rPr>
                <w:rFonts w:ascii="Verdana" w:eastAsia="Calibri" w:hAnsi="Verdana" w:cs="Arial"/>
                <w:lang w:val="es-ES_tradnl" w:eastAsia="es-MX"/>
              </w:rPr>
              <w:t>DOCUMENTOS TIPO – Fundamento normativo – Obligatoriedad  / SECTOR SOCIAL</w:t>
            </w:r>
            <w:r w:rsidRPr="00E158A8">
              <w:rPr>
                <w:rFonts w:ascii="Verdana" w:eastAsia="Calibri" w:hAnsi="Verdana" w:cs="Times New Roman"/>
                <w:lang w:val="es-ES" w:eastAsia="es-MX"/>
              </w:rPr>
              <w:t xml:space="preserve"> – Documentos tipo – Vigentes / DOCUMENTOS TIPO – Aplicación – Matriz de Experiencia </w:t>
            </w:r>
            <w:r w:rsidRPr="00E158A8">
              <w:rPr>
                <w:rFonts w:ascii="Verdana" w:eastAsia="Calibri" w:hAnsi="Verdana" w:cs="Times New Roman"/>
                <w:sz w:val="20"/>
                <w:szCs w:val="20"/>
                <w:lang w:val="es-ES" w:eastAsia="es-MX"/>
              </w:rPr>
              <w:t xml:space="preserve"> / </w:t>
            </w:r>
            <w:r w:rsidRPr="00E158A8">
              <w:rPr>
                <w:rFonts w:ascii="Verdana" w:eastAsia="Calibri" w:hAnsi="Verdana" w:cs="Times New Roman"/>
                <w:lang w:val="es-ES" w:eastAsia="es-MX"/>
              </w:rPr>
              <w:t xml:space="preserve">DOCUMENTOS TIPO – Sector social – Infraestructura de servicio público / INFRAESTRUCTURA DE SERVICIO PÚBLICO – Documentos tipo – Sector – Fiscalía general de la Nación – Aplicación / </w:t>
            </w:r>
            <w:r w:rsidRPr="00E158A8">
              <w:rPr>
                <w:rFonts w:ascii="Verdana" w:eastAsia="Calibri" w:hAnsi="Verdana" w:cs="Arial"/>
                <w:color w:val="000000"/>
                <w:lang w:val="es-ES"/>
              </w:rPr>
              <w:t xml:space="preserve">CONTRATO POR MONTO AGOTABLE </w:t>
            </w:r>
            <w:r w:rsidRPr="00E158A8">
              <w:rPr>
                <w:rFonts w:ascii="Verdana" w:eastAsia="Calibri" w:hAnsi="Verdana" w:cs="Arial"/>
                <w:color w:val="000000"/>
              </w:rPr>
              <w:t xml:space="preserve">– </w:t>
            </w:r>
            <w:r w:rsidRPr="00E158A8">
              <w:rPr>
                <w:rFonts w:ascii="Verdana" w:eastAsia="Calibri" w:hAnsi="Verdana" w:cs="Arial"/>
                <w:color w:val="000000"/>
                <w:lang w:val="es-ES"/>
              </w:rPr>
              <w:t xml:space="preserve">Forma de Pago – Contratos de obra / </w:t>
            </w:r>
            <w:r w:rsidRPr="00E158A8">
              <w:rPr>
                <w:rFonts w:ascii="Verdana" w:eastAsia="Calibri" w:hAnsi="Verdana" w:cs="Arial"/>
                <w:lang w:eastAsia="es-MX"/>
              </w:rPr>
              <w:t xml:space="preserve">FORMA DE PAGO – Documentos tipo – Sector social – Licitación Pública / FORMA DE PAGO – Monto agotable – Documentos tipo – Sector social – Licitación Pública – Aplicación </w:t>
            </w:r>
          </w:p>
          <w:p w14:paraId="602AA009" w14:textId="77777777" w:rsidR="00E158A8" w:rsidRPr="00E158A8" w:rsidRDefault="00E158A8" w:rsidP="00E158A8">
            <w:pPr>
              <w:jc w:val="both"/>
              <w:rPr>
                <w:rFonts w:ascii="Verdana" w:eastAsia="Calibri" w:hAnsi="Verdana" w:cs="Arial"/>
                <w:bCs/>
                <w:lang w:val="es-ES" w:eastAsia="es-ES"/>
              </w:rPr>
            </w:pPr>
          </w:p>
        </w:tc>
      </w:tr>
      <w:tr w:rsidR="00E158A8" w:rsidRPr="00E158A8" w14:paraId="2D91FCCA" w14:textId="77777777" w:rsidTr="00C80FF3">
        <w:tc>
          <w:tcPr>
            <w:tcW w:w="2268" w:type="dxa"/>
          </w:tcPr>
          <w:p w14:paraId="655D3F97" w14:textId="77777777" w:rsidR="00E158A8" w:rsidRPr="00E158A8" w:rsidRDefault="00E158A8" w:rsidP="00E158A8">
            <w:pPr>
              <w:jc w:val="both"/>
              <w:rPr>
                <w:rFonts w:ascii="Verdana" w:eastAsia="Calibri" w:hAnsi="Verdana" w:cs="Arial"/>
                <w:b/>
                <w:lang w:val="es-ES_tradnl" w:eastAsia="es-ES_tradnl"/>
              </w:rPr>
            </w:pPr>
            <w:r w:rsidRPr="00E158A8">
              <w:rPr>
                <w:rFonts w:ascii="Verdana" w:eastAsia="Calibri" w:hAnsi="Verdana" w:cs="Arial"/>
                <w:b/>
                <w:lang w:val="es-ES_tradnl" w:eastAsia="es-ES_tradnl"/>
              </w:rPr>
              <w:t>Radicación:</w:t>
            </w:r>
            <w:r w:rsidRPr="00E158A8">
              <w:rPr>
                <w:rFonts w:ascii="Verdana" w:eastAsia="Calibri" w:hAnsi="Verdana" w:cs="Arial"/>
                <w:lang w:val="es-ES_tradnl" w:eastAsia="es-ES_tradnl"/>
              </w:rPr>
              <w:t xml:space="preserve">               </w:t>
            </w:r>
          </w:p>
        </w:tc>
        <w:tc>
          <w:tcPr>
            <w:tcW w:w="6100" w:type="dxa"/>
          </w:tcPr>
          <w:p w14:paraId="455D7659" w14:textId="77777777" w:rsidR="00E158A8" w:rsidRPr="00E158A8" w:rsidRDefault="00E158A8" w:rsidP="00E158A8">
            <w:pPr>
              <w:ind w:left="3" w:hanging="3"/>
              <w:jc w:val="both"/>
              <w:rPr>
                <w:rFonts w:ascii="Verdana" w:eastAsia="Calibri" w:hAnsi="Verdana" w:cs="Arial"/>
                <w:lang w:val="es-ES_tradnl" w:eastAsia="es-ES_tradnl"/>
              </w:rPr>
            </w:pPr>
            <w:r w:rsidRPr="00E158A8">
              <w:rPr>
                <w:rFonts w:ascii="Verdana" w:eastAsia="Calibri" w:hAnsi="Verdana" w:cs="Arial"/>
                <w:lang w:val="es-ES_tradnl" w:eastAsia="es-ES_tradnl"/>
              </w:rPr>
              <w:t>Respuesta a consulta con radicado No. 1_2026_03_11_003402</w:t>
            </w:r>
          </w:p>
        </w:tc>
      </w:tr>
    </w:tbl>
    <w:p w14:paraId="549B9DA9" w14:textId="77777777" w:rsidR="00E158A8" w:rsidRPr="00E158A8" w:rsidRDefault="00E158A8" w:rsidP="00E158A8">
      <w:pPr>
        <w:spacing w:after="0" w:line="240" w:lineRule="auto"/>
        <w:jc w:val="both"/>
        <w:rPr>
          <w:rFonts w:ascii="Verdana" w:eastAsia="Calibri" w:hAnsi="Verdana" w:cs="Arial"/>
          <w:lang w:val="es-ES_tradnl" w:eastAsia="es-ES_tradnl"/>
        </w:rPr>
      </w:pPr>
    </w:p>
    <w:p w14:paraId="70FC32C9" w14:textId="77777777" w:rsidR="00E158A8" w:rsidRPr="00E158A8" w:rsidRDefault="00E158A8" w:rsidP="00E158A8">
      <w:pPr>
        <w:spacing w:after="0" w:line="276" w:lineRule="auto"/>
        <w:jc w:val="both"/>
        <w:rPr>
          <w:rFonts w:ascii="Verdana" w:eastAsia="Calibri" w:hAnsi="Verdana" w:cs="Arial"/>
          <w:lang w:val="es-ES" w:eastAsia="es-ES"/>
        </w:rPr>
      </w:pPr>
      <w:r w:rsidRPr="00E158A8">
        <w:rPr>
          <w:rFonts w:ascii="Verdana" w:eastAsia="Calibri" w:hAnsi="Verdana" w:cs="Arial"/>
          <w:lang w:val="es-ES" w:eastAsia="es-ES"/>
        </w:rPr>
        <w:t xml:space="preserve">Estimada señora </w:t>
      </w:r>
      <w:r w:rsidRPr="00E158A8">
        <w:rPr>
          <w:rFonts w:ascii="Verdana" w:eastAsia="Times New Roman" w:hAnsi="Verdana" w:cs="Times New Roman"/>
          <w:color w:val="242424"/>
          <w:shd w:val="clear" w:color="auto" w:fill="FFFFFF"/>
          <w:lang w:eastAsia="es-MX"/>
        </w:rPr>
        <w:t>Becerra Eraso</w:t>
      </w:r>
      <w:r w:rsidRPr="00E158A8">
        <w:rPr>
          <w:rFonts w:ascii="Verdana" w:eastAsia="Calibri" w:hAnsi="Verdana" w:cs="Arial"/>
          <w:lang w:val="es-ES" w:eastAsia="es-ES"/>
        </w:rPr>
        <w:t xml:space="preserve">: </w:t>
      </w:r>
    </w:p>
    <w:p w14:paraId="1635336C" w14:textId="77777777" w:rsidR="00E158A8" w:rsidRPr="00E158A8" w:rsidRDefault="00E158A8" w:rsidP="00E158A8">
      <w:pPr>
        <w:tabs>
          <w:tab w:val="left" w:pos="3768"/>
        </w:tabs>
        <w:spacing w:after="0" w:line="276" w:lineRule="auto"/>
        <w:jc w:val="both"/>
        <w:rPr>
          <w:rFonts w:ascii="Verdana" w:eastAsia="Calibri" w:hAnsi="Verdana" w:cs="Arial"/>
          <w:lang w:val="es-ES" w:eastAsia="es-ES"/>
        </w:rPr>
      </w:pPr>
      <w:r w:rsidRPr="00E158A8">
        <w:rPr>
          <w:rFonts w:ascii="Verdana" w:eastAsia="Calibri" w:hAnsi="Verdana" w:cs="Arial"/>
          <w:lang w:val="es-ES" w:eastAsia="es-ES"/>
        </w:rPr>
        <w:tab/>
      </w:r>
    </w:p>
    <w:p w14:paraId="12026704" w14:textId="77777777" w:rsidR="00E158A8" w:rsidRPr="00E158A8" w:rsidRDefault="00E158A8" w:rsidP="00E158A8">
      <w:pPr>
        <w:spacing w:after="0" w:line="276" w:lineRule="auto"/>
        <w:jc w:val="both"/>
        <w:rPr>
          <w:rFonts w:ascii="Verdana" w:eastAsia="Calibri" w:hAnsi="Verdana" w:cs="Arial"/>
          <w:lang w:val="es-ES" w:eastAsia="es-ES"/>
        </w:rPr>
      </w:pPr>
      <w:r w:rsidRPr="00E158A8">
        <w:rPr>
          <w:rFonts w:ascii="Verdana" w:eastAsia="Calibri" w:hAnsi="Verdana" w:cs="Arial"/>
          <w:lang w:val="es-ES" w:eastAsia="es-ES"/>
        </w:rPr>
        <w:t>En ejercicio de la competencia otorgada por los artículos 3, numeral 5º, y 11, numeral 8º, del Decreto Ley 4170 de 2011,</w:t>
      </w:r>
      <w:r w:rsidRPr="00E158A8">
        <w:rPr>
          <w:rFonts w:ascii="Verdana" w:eastAsia="Arial MT" w:hAnsi="Verdana" w:cs="Arial MT"/>
          <w:lang w:val="es-ES" w:eastAsia="es-ES"/>
        </w:rPr>
        <w:t xml:space="preserve"> </w:t>
      </w:r>
      <w:r w:rsidRPr="00E158A8">
        <w:rPr>
          <w:rFonts w:ascii="Verdana" w:eastAsia="Calibri" w:hAnsi="Verdana" w:cs="Arial"/>
          <w:lang w:eastAsia="es-MX"/>
        </w:rPr>
        <w:t xml:space="preserve">así como lo establecido por la </w:t>
      </w:r>
      <w:r w:rsidRPr="00E158A8">
        <w:rPr>
          <w:rFonts w:ascii="Verdana" w:eastAsia="Aptos" w:hAnsi="Verdana" w:cs="Arial"/>
          <w:bCs/>
          <w:lang w:eastAsia="es-ES" w:bidi="es-ES"/>
        </w:rPr>
        <w:t>Resolución 469 de 2025 expedida por esta Entidad</w:t>
      </w:r>
      <w:r w:rsidRPr="00E158A8">
        <w:rPr>
          <w:rFonts w:ascii="Verdana" w:eastAsia="Calibri" w:hAnsi="Verdana" w:cs="Arial"/>
          <w:lang w:eastAsia="es-MX"/>
        </w:rPr>
        <w:t xml:space="preserve">, </w:t>
      </w:r>
      <w:r w:rsidRPr="00E158A8">
        <w:rPr>
          <w:rFonts w:ascii="Verdana" w:eastAsia="Calibri" w:hAnsi="Verdana" w:cs="Arial"/>
          <w:lang w:val="es-ES" w:eastAsia="es-ES"/>
        </w:rPr>
        <w:t xml:space="preserve">la Agencia Nacional de Contratación Pública – Colombia Compra Eficiente– responde su solicitud de consulta del 11 de marzo de 2026, en la cual manifiesta lo siguiente: </w:t>
      </w:r>
    </w:p>
    <w:p w14:paraId="0136C173" w14:textId="77777777" w:rsidR="00E158A8" w:rsidRPr="00E158A8" w:rsidRDefault="00E158A8" w:rsidP="00E158A8">
      <w:pPr>
        <w:tabs>
          <w:tab w:val="left" w:pos="142"/>
          <w:tab w:val="left" w:pos="284"/>
        </w:tabs>
        <w:spacing w:after="0" w:line="276" w:lineRule="auto"/>
        <w:ind w:left="709" w:right="709"/>
        <w:jc w:val="both"/>
        <w:rPr>
          <w:rFonts w:ascii="Verdana" w:eastAsia="Century Gothic" w:hAnsi="Verdana" w:cs="Century Gothic"/>
          <w:b/>
          <w:bCs/>
          <w:lang w:eastAsia="es-MX"/>
        </w:rPr>
      </w:pPr>
    </w:p>
    <w:p w14:paraId="2CA806B6"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Times New Roman" w:hAnsi="Verdana" w:cs="Times New Roman"/>
          <w:color w:val="242424"/>
          <w:sz w:val="20"/>
          <w:szCs w:val="20"/>
          <w:lang w:eastAsia="es-MX"/>
        </w:rPr>
        <w:t>“</w:t>
      </w:r>
      <w:r w:rsidRPr="00E158A8">
        <w:rPr>
          <w:rFonts w:ascii="Verdana" w:eastAsia="Aptos" w:hAnsi="Verdana" w:cs="Times New Roman"/>
          <w:kern w:val="2"/>
          <w:sz w:val="20"/>
          <w:szCs w:val="20"/>
          <w14:ligatures w14:val="standardContextual"/>
        </w:rPr>
        <w:t xml:space="preserve">Con el fin de garantizar la continuidad del servicio y el adecuado funcionamiento de dichas sedes, se hace necesario adelantar intervenciones de mantenimiento, adecuación, reparación y mejoramiento </w:t>
      </w:r>
      <w:r w:rsidRPr="00E158A8">
        <w:rPr>
          <w:rFonts w:ascii="Verdana" w:eastAsia="Aptos" w:hAnsi="Verdana" w:cs="Times New Roman"/>
          <w:kern w:val="2"/>
          <w:sz w:val="20"/>
          <w:szCs w:val="20"/>
          <w14:ligatures w14:val="standardContextual"/>
        </w:rPr>
        <w:lastRenderedPageBreak/>
        <w:t xml:space="preserve">de infraestructura, las cuales en muchos casos responden a situaciones sobrevinientes o necesidades no previsibles, tales como daños estructurales, fallas en redes, adecuaciones funcionales o requerimientos urgentes derivados de la operación de las sedes; Por ello, la Entidad cuenta con el deber de estructurar dicho proceso bajo la modalidad de bolsa a monto agotable, mediante la cual se atienden diferentes intervenciones durante la vigencia del contrato según las necesidades que se presenten, dado que: </w:t>
      </w:r>
    </w:p>
    <w:p w14:paraId="451634DB" w14:textId="77777777" w:rsidR="00E158A8" w:rsidRPr="00E158A8" w:rsidRDefault="00E158A8" w:rsidP="00E158A8">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158A8">
        <w:rPr>
          <w:rFonts w:ascii="Verdana" w:eastAsia="Aptos" w:hAnsi="Verdana" w:cs="Times New Roman"/>
          <w:kern w:val="2"/>
          <w:sz w:val="20"/>
          <w:szCs w:val="20"/>
          <w14:ligatures w14:val="standardContextual"/>
        </w:rPr>
        <w:t>a. Las intervenciones no corresponden a un proyecto de obra previamente definido, sino a actuaciones puntuales que se determinan conforme surgen las necesidades.</w:t>
      </w:r>
      <w:r w:rsidRPr="00E158A8">
        <w:rPr>
          <w:rFonts w:ascii="Verdana" w:eastAsia="Times New Roman" w:hAnsi="Verdana" w:cs="Times New Roman"/>
          <w:color w:val="242424"/>
          <w:sz w:val="20"/>
          <w:szCs w:val="20"/>
          <w:lang w:eastAsia="es-MX"/>
        </w:rPr>
        <w:t>”.</w:t>
      </w:r>
    </w:p>
    <w:p w14:paraId="7FF6987F"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14:ligatures w14:val="standardContextual"/>
        </w:rPr>
        <w:t xml:space="preserve">b. No es posible establecer con precisión cantidades de obra o actividades específicas desde la etapa de planeación, debido a que las intervenciones dependen de situaciones contingentes o imprevistas. c. La atención oportuna de dichas necesidades resulta fundamental para no afectar la prestación del servicio público y la operación de las sedes institucionales. Teniendo en cuenta lo anterior, y considerando el contenido de la Resolución No. 540 de 2025, respetuosamente solicitamos a esa Agencia se sirva precisar: </w:t>
      </w:r>
    </w:p>
    <w:p w14:paraId="32454E0D"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14:ligatures w14:val="standardContextual"/>
        </w:rPr>
        <w:t xml:space="preserve">1) Si los Documentos Tipo de infraestructura social resultan aplicables a procesos contractuales orientados a la ejecución de intervenciones de mantenimiento, adecuación o reparación de sedes institucionales bajo la modalidad de bolsa a monto agotable, en los cuales las actividades y cantidades de obra no pueden definirse con exactitud desde la etapa de planeación. </w:t>
      </w:r>
    </w:p>
    <w:p w14:paraId="27D0239D"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14:ligatures w14:val="standardContextual"/>
        </w:rPr>
        <w:t xml:space="preserve">2) En caso de que dichos Documentos Tipo no se ajusten a este tipo de procesos, cuál sería la forma adecuada de estructurar el proceso de contratación, de manera que la Entidad pueda cumplir con las disposiciones normativas vigentes en esta materia y, al mismo tiempo, garantizar la atención oportuna de las necesidades de infraestructura que permiten la continuidad del servicio. </w:t>
      </w:r>
    </w:p>
    <w:p w14:paraId="76F2FE2C"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14:ligatures w14:val="standardContextual"/>
        </w:rPr>
        <w:t xml:space="preserve">3) En el evento en que la Entidad determine que el proceso contractual debe adelantarse sin la aplicación de los Documentos Tipo, atendiendo la naturaleza previamente descrita de intervenciones por demanda bajo la modalidad de bolsa a monto agotable, cómo debería proceder la Entidad si durante la ejecución contractual surge la necesidad de realizar una intervención de infraestructura que, por su alcance o características, </w:t>
      </w:r>
      <w:proofErr w:type="gramStart"/>
      <w:r w:rsidRPr="00E158A8">
        <w:rPr>
          <w:rFonts w:ascii="Verdana" w:eastAsia="Aptos" w:hAnsi="Verdana" w:cs="Times New Roman"/>
          <w:kern w:val="2"/>
          <w:sz w:val="20"/>
          <w:szCs w:val="20"/>
          <w14:ligatures w14:val="standardContextual"/>
        </w:rPr>
        <w:t>se enmarque dentro del</w:t>
      </w:r>
      <w:proofErr w:type="gramEnd"/>
      <w:r w:rsidRPr="00E158A8">
        <w:rPr>
          <w:rFonts w:ascii="Verdana" w:eastAsia="Aptos" w:hAnsi="Verdana" w:cs="Times New Roman"/>
          <w:kern w:val="2"/>
          <w:sz w:val="20"/>
          <w:szCs w:val="20"/>
          <w14:ligatures w14:val="standardContextual"/>
        </w:rPr>
        <w:t xml:space="preserve"> ámbito de aplicación de los Documentos Tipo. Adicionalmente, se agradecería orientación respecto a si ¿en dichos casos la Entidad debería suspender o limitar la atención de la necesidad mientras adelanta un nuevo proceso de contratación estructurado bajo Documentos Tipo por cada necesidad que se presente, generando en todo caso la </w:t>
      </w:r>
      <w:r w:rsidRPr="00E158A8">
        <w:rPr>
          <w:rFonts w:ascii="Verdana" w:eastAsia="Aptos" w:hAnsi="Verdana" w:cs="Times New Roman"/>
          <w:kern w:val="2"/>
          <w:sz w:val="20"/>
          <w:szCs w:val="20"/>
          <w14:ligatures w14:val="standardContextual"/>
        </w:rPr>
        <w:lastRenderedPageBreak/>
        <w:t xml:space="preserve">suspensión de la atención inmediata de la intervención, asumiendo los riesgos que ello conlleva? </w:t>
      </w:r>
    </w:p>
    <w:p w14:paraId="630DCA67" w14:textId="77777777" w:rsidR="00E158A8" w:rsidRPr="00E158A8" w:rsidRDefault="00E158A8" w:rsidP="00E158A8">
      <w:pPr>
        <w:shd w:val="clear" w:color="auto" w:fill="FFFFFF"/>
        <w:spacing w:after="0" w:line="240" w:lineRule="auto"/>
        <w:ind w:left="709" w:right="709"/>
        <w:jc w:val="both"/>
        <w:rPr>
          <w:rFonts w:ascii="Verdana" w:eastAsia="Times New Roman" w:hAnsi="Verdana" w:cs="Times New Roman"/>
          <w:color w:val="242424"/>
          <w:sz w:val="20"/>
          <w:szCs w:val="20"/>
          <w:lang w:eastAsia="es-MX"/>
        </w:rPr>
      </w:pPr>
      <w:r w:rsidRPr="00E158A8">
        <w:rPr>
          <w:rFonts w:ascii="Verdana" w:eastAsia="Aptos" w:hAnsi="Verdana" w:cs="Times New Roman"/>
          <w:kern w:val="2"/>
          <w:sz w:val="20"/>
          <w:szCs w:val="20"/>
          <w14:ligatures w14:val="standardContextual"/>
        </w:rPr>
        <w:t xml:space="preserve">4) Si existe algún criterio, lineamiento o interpretación emitida por Colombia Compra Eficiente respecto de la aplicación de los Documentos Tipo en contratos de obra o mantenimiento de infraestructura institucional bajo esquemas de ejecución por demanda o por monto agotable. La presente consulta se formula con la debida anticipación, con el propósito de fortalecer los procesos de planeación contractual de la Entidad para próximas vigencias, asegurando la correcta aplicación del marco regulatorio y la adecuada gestión de los recursos públicos, sin afectar el cumplimiento de la misión institucional de la </w:t>
      </w:r>
      <w:proofErr w:type="gramStart"/>
      <w:r w:rsidRPr="00E158A8">
        <w:rPr>
          <w:rFonts w:ascii="Verdana" w:eastAsia="Aptos" w:hAnsi="Verdana" w:cs="Times New Roman"/>
          <w:kern w:val="2"/>
          <w:sz w:val="20"/>
          <w:szCs w:val="20"/>
          <w14:ligatures w14:val="standardContextual"/>
        </w:rPr>
        <w:t>Fiscalía General</w:t>
      </w:r>
      <w:proofErr w:type="gramEnd"/>
      <w:r w:rsidRPr="00E158A8">
        <w:rPr>
          <w:rFonts w:ascii="Verdana" w:eastAsia="Aptos" w:hAnsi="Verdana" w:cs="Times New Roman"/>
          <w:kern w:val="2"/>
          <w:sz w:val="20"/>
          <w:szCs w:val="20"/>
          <w14:ligatures w14:val="standardContextual"/>
        </w:rPr>
        <w:t xml:space="preserve"> de la Nación.</w:t>
      </w:r>
    </w:p>
    <w:p w14:paraId="231ACB54" w14:textId="77777777" w:rsidR="00E158A8" w:rsidRPr="00E158A8" w:rsidRDefault="00E158A8" w:rsidP="00E158A8">
      <w:pPr>
        <w:spacing w:after="0" w:line="240" w:lineRule="auto"/>
        <w:ind w:right="709"/>
        <w:jc w:val="both"/>
        <w:rPr>
          <w:rFonts w:ascii="Arial" w:eastAsia="Aptos" w:hAnsi="Arial" w:cs="Arial"/>
          <w:sz w:val="21"/>
          <w:szCs w:val="21"/>
          <w:lang w:eastAsia="es-MX"/>
        </w:rPr>
      </w:pPr>
    </w:p>
    <w:p w14:paraId="55F71D4C" w14:textId="77777777" w:rsidR="00E158A8" w:rsidRPr="00E158A8" w:rsidRDefault="00E158A8" w:rsidP="00E158A8">
      <w:pPr>
        <w:spacing w:after="120" w:line="276" w:lineRule="auto"/>
        <w:ind w:firstLine="709"/>
        <w:jc w:val="both"/>
        <w:rPr>
          <w:rFonts w:ascii="Verdana" w:eastAsia="Calibri" w:hAnsi="Verdana" w:cs="Arial"/>
          <w:color w:val="000000"/>
          <w:lang w:val="es-ES" w:eastAsia="es-ES"/>
        </w:rPr>
      </w:pPr>
      <w:r w:rsidRPr="00E158A8">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58A8">
        <w:rPr>
          <w:rFonts w:ascii="Verdana" w:eastAsia="Calibri" w:hAnsi="Verdana" w:cs="Arial"/>
          <w:color w:val="000000"/>
          <w:lang w:val="es-ES_tradnl" w:eastAsia="es-ES_tradnl"/>
        </w:rPr>
        <w:tab/>
      </w:r>
    </w:p>
    <w:p w14:paraId="042BC6E7" w14:textId="77777777" w:rsidR="00E158A8" w:rsidRPr="00E158A8" w:rsidRDefault="00E158A8" w:rsidP="00E158A8">
      <w:pPr>
        <w:spacing w:after="0" w:line="276" w:lineRule="auto"/>
        <w:ind w:firstLine="709"/>
        <w:jc w:val="both"/>
        <w:rPr>
          <w:rFonts w:ascii="Verdana" w:eastAsia="Calibri" w:hAnsi="Verdana" w:cs="Arial"/>
          <w:color w:val="000000"/>
          <w:lang w:val="es-ES" w:eastAsia="es-ES"/>
        </w:rPr>
      </w:pPr>
      <w:r w:rsidRPr="00E158A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158A8">
        <w:rPr>
          <w:rFonts w:ascii="Verdana" w:eastAsia="Calibri" w:hAnsi="Verdana" w:cs="Arial"/>
          <w:color w:val="7030A0"/>
          <w:lang w:val="es-ES" w:eastAsia="es-ES"/>
        </w:rPr>
        <w:t xml:space="preserve"> </w:t>
      </w:r>
      <w:r w:rsidRPr="00E158A8">
        <w:rPr>
          <w:rFonts w:ascii="Verdana" w:eastAsia="Calibri" w:hAnsi="Verdana" w:cs="Arial"/>
          <w:color w:val="000000"/>
          <w:lang w:val="es-ES" w:eastAsia="es-ES"/>
        </w:rPr>
        <w:t>problema</w:t>
      </w:r>
      <w:r w:rsidRPr="00E158A8">
        <w:rPr>
          <w:rFonts w:ascii="Verdana" w:eastAsia="Calibri" w:hAnsi="Verdana" w:cs="Arial"/>
          <w:color w:val="7030A0"/>
          <w:lang w:val="es-ES" w:eastAsia="es-ES"/>
        </w:rPr>
        <w:t xml:space="preserve"> </w:t>
      </w:r>
      <w:r w:rsidRPr="00E158A8">
        <w:rPr>
          <w:rFonts w:ascii="Verdana" w:eastAsia="Calibri" w:hAnsi="Verdana" w:cs="Arial"/>
          <w:color w:val="000000"/>
          <w:lang w:val="es-ES" w:eastAsia="es-ES"/>
        </w:rPr>
        <w:t>jurídico</w:t>
      </w:r>
      <w:r w:rsidRPr="00E158A8">
        <w:rPr>
          <w:rFonts w:ascii="Verdana" w:eastAsia="Calibri" w:hAnsi="Verdana" w:cs="Arial"/>
          <w:color w:val="7030A0"/>
          <w:lang w:val="es-ES" w:eastAsia="es-ES"/>
        </w:rPr>
        <w:t xml:space="preserve"> </w:t>
      </w:r>
      <w:r w:rsidRPr="00E158A8">
        <w:rPr>
          <w:rFonts w:ascii="Verdana" w:eastAsia="Calibri" w:hAnsi="Verdana" w:cs="Arial"/>
          <w:color w:val="000000"/>
          <w:lang w:val="es-ES" w:eastAsia="es-ES"/>
        </w:rPr>
        <w:t xml:space="preserve">de su consulta. </w:t>
      </w:r>
    </w:p>
    <w:p w14:paraId="1E7A3AAD" w14:textId="77777777" w:rsidR="00E158A8" w:rsidRPr="00E158A8" w:rsidRDefault="00E158A8" w:rsidP="00E158A8">
      <w:pPr>
        <w:spacing w:after="0" w:line="276" w:lineRule="auto"/>
        <w:jc w:val="both"/>
        <w:rPr>
          <w:rFonts w:ascii="Verdana" w:eastAsia="Calibri" w:hAnsi="Verdana" w:cs="Arial"/>
          <w:lang w:val="es-ES" w:eastAsia="es-ES"/>
        </w:rPr>
      </w:pPr>
    </w:p>
    <w:p w14:paraId="5229BF83" w14:textId="77777777" w:rsidR="00E158A8" w:rsidRPr="00E158A8" w:rsidRDefault="00E158A8" w:rsidP="00E158A8">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158A8">
        <w:rPr>
          <w:rFonts w:ascii="Verdana" w:eastAsia="Century Gothic" w:hAnsi="Verdana" w:cs="Century Gothic"/>
          <w:b/>
          <w:bCs/>
          <w:lang w:eastAsia="es-MX"/>
        </w:rPr>
        <w:t>Problema planteado:</w:t>
      </w:r>
    </w:p>
    <w:p w14:paraId="26A4D511" w14:textId="77777777" w:rsidR="00E158A8" w:rsidRPr="00E158A8" w:rsidRDefault="00E158A8" w:rsidP="00E158A8">
      <w:pPr>
        <w:tabs>
          <w:tab w:val="left" w:pos="426"/>
        </w:tabs>
        <w:spacing w:after="0" w:line="276" w:lineRule="auto"/>
        <w:jc w:val="both"/>
        <w:rPr>
          <w:rFonts w:ascii="Verdana" w:eastAsia="Century Gothic" w:hAnsi="Verdana" w:cs="Century Gothic"/>
          <w:lang w:val="es-ES" w:eastAsia="es-MX"/>
        </w:rPr>
      </w:pPr>
    </w:p>
    <w:p w14:paraId="1C8EA3CD" w14:textId="77777777" w:rsidR="00E158A8" w:rsidRPr="00E158A8" w:rsidRDefault="00E158A8" w:rsidP="00E158A8">
      <w:pPr>
        <w:spacing w:after="0" w:line="276" w:lineRule="auto"/>
        <w:jc w:val="both"/>
        <w:rPr>
          <w:rFonts w:ascii="Verdana" w:eastAsia="Calibri" w:hAnsi="Verdana" w:cs="Arial"/>
          <w:bCs/>
          <w:lang w:val="es-ES_tradnl" w:eastAsia="es-ES_tradnl"/>
        </w:rPr>
      </w:pPr>
      <w:r w:rsidRPr="00E158A8">
        <w:rPr>
          <w:rFonts w:ascii="Verdana" w:eastAsia="Century Gothic" w:hAnsi="Verdana" w:cs="Century Gothic"/>
          <w:lang w:eastAsia="es-MX"/>
        </w:rPr>
        <w:t xml:space="preserve">De acuerdo con el contenido de su solicitud, en relación con los documentos tipo del sector de infraestructura social, esta Agencia resolverá los siguientes problemas jurídicos: i) </w:t>
      </w:r>
      <w:r w:rsidRPr="00E158A8">
        <w:rPr>
          <w:rFonts w:ascii="Verdana" w:eastAsia="Calibri" w:hAnsi="Verdana" w:cs="Arial"/>
          <w:bCs/>
          <w:lang w:val="es-ES_tradnl" w:eastAsia="es-ES_tradnl"/>
        </w:rPr>
        <w:t xml:space="preserve">¿Aplican los documentos tipo señalados para adelantar mantenimientos, adecuaciones o reparaciones sobre edificaciones institucionales de la Fiscalía General de la Nación?, </w:t>
      </w:r>
      <w:proofErr w:type="spellStart"/>
      <w:r w:rsidRPr="00E158A8">
        <w:rPr>
          <w:rFonts w:ascii="Verdana" w:eastAsia="Calibri" w:hAnsi="Verdana" w:cs="Arial"/>
          <w:bCs/>
          <w:lang w:val="es-ES_tradnl" w:eastAsia="es-ES_tradnl"/>
        </w:rPr>
        <w:t>ii</w:t>
      </w:r>
      <w:proofErr w:type="spellEnd"/>
      <w:r w:rsidRPr="00E158A8">
        <w:rPr>
          <w:rFonts w:ascii="Verdana" w:eastAsia="Calibri" w:hAnsi="Verdana" w:cs="Arial"/>
          <w:bCs/>
          <w:lang w:val="es-ES_tradnl" w:eastAsia="es-ES_tradnl"/>
        </w:rPr>
        <w:t xml:space="preserve">) ¿Qué es la forma de pago por monto </w:t>
      </w:r>
      <w:r w:rsidRPr="00E158A8">
        <w:rPr>
          <w:rFonts w:ascii="Verdana" w:eastAsia="Calibri" w:hAnsi="Verdana" w:cs="Arial"/>
          <w:bCs/>
          <w:lang w:val="es-ES_tradnl" w:eastAsia="es-ES_tradnl"/>
        </w:rPr>
        <w:lastRenderedPageBreak/>
        <w:t xml:space="preserve">agotable en un contrato de obra? </w:t>
      </w:r>
      <w:proofErr w:type="spellStart"/>
      <w:r w:rsidRPr="00E158A8">
        <w:rPr>
          <w:rFonts w:ascii="Verdana" w:eastAsia="Calibri" w:hAnsi="Verdana" w:cs="Arial"/>
          <w:bCs/>
          <w:lang w:val="es-ES_tradnl" w:eastAsia="es-ES_tradnl"/>
        </w:rPr>
        <w:t>iii</w:t>
      </w:r>
      <w:proofErr w:type="spellEnd"/>
      <w:r w:rsidRPr="00E158A8">
        <w:rPr>
          <w:rFonts w:ascii="Verdana" w:eastAsia="Calibri" w:hAnsi="Verdana" w:cs="Arial"/>
          <w:bCs/>
          <w:lang w:val="es-ES_tradnl" w:eastAsia="es-ES_tradnl"/>
        </w:rPr>
        <w:t xml:space="preserve">) ¿puede un proceso de selección estructurado con los documentos tipo señalados adelantarse bajo la forma de pago de “monto agotable”? y </w:t>
      </w:r>
      <w:proofErr w:type="spellStart"/>
      <w:r w:rsidRPr="00E158A8">
        <w:rPr>
          <w:rFonts w:ascii="Verdana" w:eastAsia="Calibri" w:hAnsi="Verdana" w:cs="Arial"/>
          <w:bCs/>
          <w:lang w:val="es-ES_tradnl" w:eastAsia="es-ES_tradnl"/>
        </w:rPr>
        <w:t>iv</w:t>
      </w:r>
      <w:proofErr w:type="spellEnd"/>
      <w:r w:rsidRPr="00E158A8">
        <w:rPr>
          <w:rFonts w:ascii="Verdana" w:eastAsia="Calibri" w:hAnsi="Verdana" w:cs="Arial"/>
          <w:bCs/>
          <w:lang w:val="es-ES_tradnl" w:eastAsia="es-ES_tradnl"/>
        </w:rPr>
        <w:t>) ¿ Aplican los documentos tipo señalados a procesos de selección que tengan por objeto intervenciones de mantenimiento, adecuación o reparación de sedes institucionales bajo la modalidad de bolsa a monto agotable, así las actividades y cantidades de obra no pueden definirse con exactitud desde la etapa de planeación?</w:t>
      </w:r>
    </w:p>
    <w:p w14:paraId="272EB2E9" w14:textId="77777777" w:rsidR="00E158A8" w:rsidRPr="00E158A8" w:rsidRDefault="00E158A8" w:rsidP="00E158A8">
      <w:pPr>
        <w:spacing w:after="0" w:line="276" w:lineRule="auto"/>
        <w:jc w:val="both"/>
        <w:rPr>
          <w:rFonts w:ascii="Verdana" w:eastAsia="Century Gothic" w:hAnsi="Verdana" w:cs="Century Gothic"/>
          <w:lang w:val="es-ES_tradnl" w:eastAsia="es-MX"/>
        </w:rPr>
      </w:pPr>
    </w:p>
    <w:p w14:paraId="45925A67" w14:textId="77777777" w:rsidR="00E158A8" w:rsidRPr="00E158A8" w:rsidRDefault="00E158A8" w:rsidP="00E158A8">
      <w:pPr>
        <w:tabs>
          <w:tab w:val="left" w:pos="142"/>
          <w:tab w:val="left" w:pos="284"/>
        </w:tabs>
        <w:spacing w:after="0" w:line="276" w:lineRule="auto"/>
        <w:contextualSpacing/>
        <w:jc w:val="both"/>
        <w:rPr>
          <w:rFonts w:ascii="Verdana" w:eastAsia="Century Gothic" w:hAnsi="Verdana" w:cs="Century Gothic"/>
          <w:b/>
          <w:bCs/>
          <w:lang w:val="es-ES" w:eastAsia="es-MX"/>
        </w:rPr>
      </w:pPr>
      <w:r w:rsidRPr="00E158A8">
        <w:rPr>
          <w:rFonts w:ascii="Verdana" w:eastAsia="Century Gothic" w:hAnsi="Verdana" w:cs="Century Gothic"/>
          <w:b/>
          <w:bCs/>
          <w:lang w:val="es-ES" w:eastAsia="es-MX"/>
        </w:rPr>
        <w:t>2. Respuestas:</w:t>
      </w:r>
    </w:p>
    <w:p w14:paraId="1AA2FF61" w14:textId="77777777" w:rsidR="00E158A8" w:rsidRPr="00E158A8" w:rsidRDefault="00E158A8" w:rsidP="00E158A8">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158A8" w:rsidRPr="00E158A8" w14:paraId="496EF2A4"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7A2BFD88" w14:textId="71F95783" w:rsidR="00E158A8" w:rsidRPr="00E158A8" w:rsidRDefault="00E158A8" w:rsidP="00E158A8">
            <w:pPr>
              <w:spacing w:after="120" w:line="276" w:lineRule="auto"/>
              <w:jc w:val="both"/>
              <w:rPr>
                <w:rFonts w:ascii="Verdana" w:eastAsia="Times New Roman" w:hAnsi="Verdana" w:cs="Aptos"/>
                <w:lang w:eastAsia="es-MX"/>
              </w:rPr>
            </w:pPr>
            <w:r w:rsidRPr="00E158A8">
              <w:rPr>
                <w:rFonts w:ascii="Verdana" w:eastAsia="Calibri" w:hAnsi="Verdana" w:cs="Arial"/>
                <w:lang w:eastAsia="es-MX"/>
              </w:rPr>
              <w:t xml:space="preserve">i) Sí. </w:t>
            </w:r>
            <w:r w:rsidRPr="0D903C44">
              <w:rPr>
                <w:rFonts w:ascii="Verdana" w:eastAsia="Times New Roman" w:hAnsi="Verdana" w:cs="Times New Roman"/>
                <w:color w:val="000000" w:themeColor="text1"/>
                <w:lang w:eastAsia="es-CO"/>
              </w:rPr>
              <w:t xml:space="preserve">En los documentos tipo complementarios del </w:t>
            </w:r>
            <w:r w:rsidR="003E74D7" w:rsidRPr="0D903C44">
              <w:rPr>
                <w:rFonts w:ascii="Verdana" w:eastAsia="Times New Roman" w:hAnsi="Verdana" w:cs="Times New Roman"/>
                <w:color w:val="000000" w:themeColor="text1"/>
                <w:lang w:eastAsia="es-CO"/>
              </w:rPr>
              <w:t xml:space="preserve">sector </w:t>
            </w:r>
            <w:r w:rsidRPr="0D903C44">
              <w:rPr>
                <w:rFonts w:ascii="Verdana" w:eastAsia="Times New Roman" w:hAnsi="Verdana" w:cs="Times New Roman"/>
                <w:color w:val="000000" w:themeColor="text1"/>
                <w:lang w:eastAsia="es-CO"/>
              </w:rPr>
              <w:t>Institucional, en la modalidad de licitación pública, selección abreviada de menor cuantía y mínima cuantía, en la Matriz 1</w:t>
            </w:r>
            <w:r w:rsidR="1FAA43F8" w:rsidRPr="0D903C44">
              <w:rPr>
                <w:rFonts w:ascii="Verdana" w:eastAsia="Times New Roman" w:hAnsi="Verdana" w:cs="Times New Roman"/>
                <w:color w:val="000000" w:themeColor="text1"/>
                <w:lang w:eastAsia="es-CO"/>
              </w:rPr>
              <w:t>- Experiencia</w:t>
            </w:r>
            <w:r w:rsidRPr="0D903C44">
              <w:rPr>
                <w:rFonts w:ascii="Verdana" w:eastAsia="Times New Roman" w:hAnsi="Verdana" w:cs="Times New Roman"/>
                <w:color w:val="000000" w:themeColor="text1"/>
                <w:lang w:eastAsia="es-CO"/>
              </w:rPr>
              <w:t xml:space="preserve"> se encuentra </w:t>
            </w:r>
            <w:r w:rsidRPr="00E158A8">
              <w:rPr>
                <w:rFonts w:ascii="Verdana" w:eastAsia="Calibri" w:hAnsi="Verdana" w:cs="Times New Roman"/>
                <w:lang w:eastAsia="es-MX"/>
              </w:rPr>
              <w:t>el Capítulo dos (2) “</w:t>
            </w:r>
            <w:r w:rsidRPr="00E158A8">
              <w:rPr>
                <w:rFonts w:ascii="Verdana" w:eastAsia="Arial" w:hAnsi="Verdana" w:cs="Aptos"/>
                <w:lang w:eastAsia="es-ES"/>
              </w:rPr>
              <w:t xml:space="preserve">Obras en proyectos de infraestructura institucional de servicio público”. En este </w:t>
            </w:r>
            <w:r w:rsidRPr="00E158A8">
              <w:rPr>
                <w:rFonts w:ascii="Verdana" w:eastAsia="Calibri" w:hAnsi="Verdana" w:cs="Times New Roman"/>
                <w:lang w:eastAsia="es-MX"/>
              </w:rPr>
              <w:t xml:space="preserve">se incluyen </w:t>
            </w:r>
            <w:r w:rsidRPr="00E158A8">
              <w:rPr>
                <w:rFonts w:ascii="Verdana" w:eastAsia="Times New Roman" w:hAnsi="Verdana" w:cs="Aptos"/>
                <w:lang w:eastAsia="es-MX"/>
              </w:rPr>
              <w:t xml:space="preserve">de manera general las actividades de adecuación, conservación, intervención, mantenimiento, mejoramiento, modificación, optimización, rehabilitación, remodelación, reposición, reparación locativa, restauración, restitución, terminación, entre otras, sobre </w:t>
            </w:r>
            <w:r w:rsidRPr="00E158A8">
              <w:rPr>
                <w:rFonts w:ascii="Verdana" w:eastAsia="Arial" w:hAnsi="Verdana" w:cs="Aptos"/>
                <w:i/>
                <w:iCs/>
                <w:lang w:eastAsia="es-ES"/>
              </w:rPr>
              <w:t>infraestructura de servicio público</w:t>
            </w:r>
            <w:r w:rsidRPr="00E158A8">
              <w:rPr>
                <w:rFonts w:ascii="Verdana" w:eastAsia="Times New Roman" w:hAnsi="Verdana" w:cs="Aptos"/>
                <w:lang w:eastAsia="es-MX"/>
              </w:rPr>
              <w:t>.</w:t>
            </w:r>
          </w:p>
          <w:p w14:paraId="04AA4DAF" w14:textId="77777777" w:rsidR="00E158A8" w:rsidRPr="00E158A8" w:rsidRDefault="00E158A8" w:rsidP="00E158A8">
            <w:pPr>
              <w:spacing w:after="120" w:line="276" w:lineRule="auto"/>
              <w:ind w:firstLine="708"/>
              <w:jc w:val="both"/>
              <w:rPr>
                <w:rFonts w:ascii="Verdana" w:eastAsia="Calibri" w:hAnsi="Verdana" w:cs="Arial"/>
                <w:lang w:val="es-ES_tradnl" w:eastAsia="es-MX"/>
              </w:rPr>
            </w:pPr>
            <w:r w:rsidRPr="00E158A8">
              <w:rPr>
                <w:rFonts w:ascii="Verdana" w:eastAsia="Calibri" w:hAnsi="Verdana" w:cs="Arial"/>
                <w:color w:val="0D0D0D"/>
                <w:lang w:eastAsia="es-MX"/>
              </w:rPr>
              <w:t xml:space="preserve">Para </w:t>
            </w:r>
            <w:r w:rsidRPr="00E158A8">
              <w:rPr>
                <w:rFonts w:ascii="Verdana" w:eastAsia="Calibri" w:hAnsi="Verdana" w:cs="Arial"/>
                <w:color w:val="0D0D0D"/>
                <w:lang w:val="es-MX" w:eastAsia="es-MX"/>
              </w:rPr>
              <w:t xml:space="preserve">interpretar el alcance y aplicación de estas actividades, se debe tener en cuenta las </w:t>
            </w:r>
            <w:r w:rsidRPr="00E158A8">
              <w:rPr>
                <w:rFonts w:ascii="Verdana" w:eastAsia="Calibri" w:hAnsi="Verdana" w:cs="Arial"/>
                <w:lang w:val="es-ES_tradnl" w:eastAsia="es-MX"/>
              </w:rPr>
              <w:t>definiciones del “Anexo – Glosario” de los documentos tipo indicados. Esto, en razón a que el numeral 1.10 del documento base dispone que “</w:t>
            </w:r>
            <w:r w:rsidRPr="00E158A8">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158A8">
              <w:rPr>
                <w:rFonts w:ascii="Verdana" w:eastAsia="Calibri" w:hAnsi="Verdana" w:cs="Arial"/>
                <w:lang w:val="es-ES_tradnl" w:eastAsia="es-MX"/>
              </w:rPr>
              <w:t>”.</w:t>
            </w:r>
          </w:p>
          <w:p w14:paraId="1472EF0B" w14:textId="0FB8E944" w:rsidR="00E158A8" w:rsidRPr="00E158A8" w:rsidRDefault="00E158A8" w:rsidP="00E158A8">
            <w:pPr>
              <w:spacing w:after="120" w:line="276" w:lineRule="auto"/>
              <w:ind w:firstLine="708"/>
              <w:jc w:val="both"/>
              <w:rPr>
                <w:rFonts w:ascii="Verdana" w:eastAsia="Calibri" w:hAnsi="Verdana" w:cs="Arial"/>
                <w:color w:val="0D0D0D"/>
                <w:lang w:eastAsia="es-MX"/>
              </w:rPr>
            </w:pPr>
            <w:r w:rsidRPr="00E158A8">
              <w:rPr>
                <w:rFonts w:ascii="Verdana" w:eastAsia="Calibri" w:hAnsi="Verdana" w:cs="Arial"/>
                <w:lang w:val="es-ES_tradnl" w:eastAsia="es-MX"/>
              </w:rPr>
              <w:t xml:space="preserve">Como se indicó, las actividades señaladas recaen sobre </w:t>
            </w:r>
            <w:r w:rsidRPr="00E158A8">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00BC6887">
              <w:rPr>
                <w:rFonts w:ascii="Verdana" w:eastAsia="Times New Roman" w:hAnsi="Verdana" w:cs="Calibri"/>
                <w:lang w:eastAsia="es-MX"/>
              </w:rPr>
              <w:t xml:space="preserve">sismorresistente </w:t>
            </w:r>
            <w:r w:rsidRPr="00E158A8">
              <w:rPr>
                <w:rFonts w:ascii="Verdana" w:eastAsia="Calibri" w:hAnsi="Verdana" w:cs="Arial"/>
                <w:color w:val="0D0D0D"/>
                <w:lang w:eastAsia="es-MX"/>
              </w:rPr>
              <w:t xml:space="preserve">NSR-10 en el Subgrupo de Ocupación Institucional de Servicio Público (I-5) “se clasifican las edificaciones o espacios destinados a funciones administrativas y prestación de servicios públicos necesarios para el buen funcionamiento de las ciudades”. Entre las </w:t>
            </w:r>
            <w:r w:rsidRPr="00E158A8">
              <w:rPr>
                <w:rFonts w:ascii="Verdana" w:eastAsia="Calibri" w:hAnsi="Verdana" w:cs="Arial"/>
                <w:color w:val="0D0D0D"/>
                <w:lang w:eastAsia="es-MX"/>
              </w:rPr>
              <w:lastRenderedPageBreak/>
              <w:t>edificaciones o espacios que pertenecen a este Subgrupo se encuentran las siguientes: “Centros de comunicación o administrativos o administrativos de servicios municipales, distritales o gubernamentales, juzgados y otros similares”.</w:t>
            </w:r>
          </w:p>
          <w:p w14:paraId="184942E1" w14:textId="727FA29C" w:rsidR="00E158A8" w:rsidRPr="00E158A8" w:rsidRDefault="00E158A8" w:rsidP="00E158A8">
            <w:pPr>
              <w:spacing w:after="120" w:line="276" w:lineRule="auto"/>
              <w:ind w:firstLine="708"/>
              <w:jc w:val="both"/>
              <w:rPr>
                <w:rFonts w:ascii="Verdana" w:eastAsia="Calibri" w:hAnsi="Verdana" w:cs="Arial"/>
                <w:color w:val="0D0D0D"/>
                <w:lang w:eastAsia="es-MX"/>
              </w:rPr>
            </w:pPr>
            <w:r w:rsidRPr="0D903C44">
              <w:rPr>
                <w:rFonts w:ascii="Verdana" w:eastAsia="Calibri" w:hAnsi="Verdana" w:cs="Arial"/>
                <w:color w:val="0D0D0D" w:themeColor="text1" w:themeTint="F2"/>
                <w:lang w:eastAsia="es-MX"/>
              </w:rPr>
              <w:t>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w:t>
            </w:r>
            <w:r w:rsidR="599B2691" w:rsidRPr="0D903C44">
              <w:rPr>
                <w:rFonts w:ascii="Verdana" w:eastAsia="Calibri" w:hAnsi="Verdana" w:cs="Arial"/>
                <w:color w:val="0D0D0D" w:themeColor="text1" w:themeTint="F2"/>
                <w:lang w:eastAsia="es-MX"/>
              </w:rPr>
              <w:t>,</w:t>
            </w:r>
            <w:r w:rsidRPr="0D903C44">
              <w:rPr>
                <w:rFonts w:ascii="Verdana" w:eastAsia="Calibri" w:hAnsi="Verdana" w:cs="Arial"/>
                <w:color w:val="0D0D0D" w:themeColor="text1" w:themeTint="F2"/>
                <w:lang w:eastAsia="es-MX"/>
              </w:rPr>
              <w:t xml:space="preserve"> por su naturaleza y finalidad, están orientadas a la prestación de servicios públicos y al desarrollo de funciones institucionales del Estado.  </w:t>
            </w:r>
          </w:p>
          <w:p w14:paraId="4D9768F6" w14:textId="77777777" w:rsidR="00E158A8" w:rsidRPr="00E158A8" w:rsidRDefault="00E158A8" w:rsidP="00E158A8">
            <w:pPr>
              <w:spacing w:after="120" w:line="276" w:lineRule="auto"/>
              <w:ind w:firstLine="708"/>
              <w:jc w:val="both"/>
              <w:rPr>
                <w:rFonts w:ascii="Verdana" w:eastAsia="Calibri" w:hAnsi="Verdana" w:cs="Arial"/>
                <w:color w:val="0D0D0D"/>
                <w:lang w:eastAsia="es-MX"/>
              </w:rPr>
            </w:pPr>
            <w:r w:rsidRPr="00E158A8">
              <w:rPr>
                <w:rFonts w:ascii="Verdana" w:eastAsia="Calibri" w:hAnsi="Verdana" w:cs="Arial"/>
                <w:color w:val="0D0D0D"/>
                <w:lang w:eastAsia="es-MX"/>
              </w:rPr>
              <w:t xml:space="preserve">De acuerdo con la definición del Subgrupo de Ocupación Institucional y las edificaciones que este comprende, dentro de este se encuentran las edificaciones institucionales judiciales, entendidas estas como el lugar físico -edificio, oficina- donde un órgano de la administración de justicia -tribunal, juzgado, </w:t>
            </w:r>
            <w:proofErr w:type="spellStart"/>
            <w:r w:rsidRPr="00E158A8">
              <w:rPr>
                <w:rFonts w:ascii="Verdana" w:eastAsia="Calibri" w:hAnsi="Verdana" w:cs="Arial"/>
                <w:color w:val="0D0D0D"/>
                <w:lang w:eastAsia="es-MX"/>
              </w:rPr>
              <w:t>etc</w:t>
            </w:r>
            <w:proofErr w:type="spellEnd"/>
            <w:r w:rsidRPr="00E158A8">
              <w:rPr>
                <w:rFonts w:ascii="Verdana" w:eastAsia="Calibri" w:hAnsi="Verdana" w:cs="Arial"/>
                <w:color w:val="0D0D0D"/>
                <w:lang w:eastAsia="es-MX"/>
              </w:rPr>
              <w:t>- ejercen sus funciones</w:t>
            </w:r>
            <w:r w:rsidRPr="00E158A8">
              <w:rPr>
                <w:rFonts w:ascii="Verdana" w:eastAsia="Calibri" w:hAnsi="Verdana" w:cs="Arial"/>
                <w:color w:val="0D0D0D"/>
                <w:vertAlign w:val="superscript"/>
                <w:lang w:eastAsia="es-MX"/>
              </w:rPr>
              <w:footnoteReference w:id="2"/>
            </w:r>
            <w:r w:rsidRPr="00E158A8">
              <w:rPr>
                <w:rFonts w:ascii="Verdana" w:eastAsia="Calibri" w:hAnsi="Verdana" w:cs="Arial"/>
                <w:color w:val="0D0D0D"/>
                <w:lang w:eastAsia="es-MX"/>
              </w:rPr>
              <w:t xml:space="preserve">. </w:t>
            </w:r>
            <w:r w:rsidRPr="00E158A8">
              <w:rPr>
                <w:rFonts w:ascii="Verdana" w:eastAsia="Calibri" w:hAnsi="Verdana" w:cs="Arial"/>
                <w:color w:val="0D0D0D"/>
                <w:lang w:eastAsia="es-MX"/>
              </w:rPr>
              <w:tab/>
              <w:t xml:space="preserve">Considerando que la </w:t>
            </w:r>
            <w:proofErr w:type="gramStart"/>
            <w:r w:rsidRPr="00E158A8">
              <w:rPr>
                <w:rFonts w:ascii="Verdana" w:eastAsia="Calibri" w:hAnsi="Verdana" w:cs="Arial"/>
                <w:color w:val="0D0D0D"/>
                <w:lang w:eastAsia="es-MX"/>
              </w:rPr>
              <w:t>Fiscalía General</w:t>
            </w:r>
            <w:proofErr w:type="gramEnd"/>
            <w:r w:rsidRPr="00E158A8">
              <w:rPr>
                <w:rFonts w:ascii="Verdana" w:eastAsia="Calibri" w:hAnsi="Verdana" w:cs="Arial"/>
                <w:color w:val="0D0D0D"/>
                <w:lang w:eastAsia="es-MX"/>
              </w:rPr>
              <w:t xml:space="preserve"> de la Nación “es una entidad de la rama judicial del poder público (…) cuya función está orientada a brindar a los ciudadanos una cumplida y eficaz administración de justicia”</w:t>
            </w:r>
            <w:r w:rsidRPr="00E158A8">
              <w:rPr>
                <w:rFonts w:ascii="Verdana" w:eastAsia="Calibri" w:hAnsi="Verdana" w:cs="Arial"/>
                <w:color w:val="0D0D0D"/>
                <w:vertAlign w:val="superscript"/>
                <w:lang w:eastAsia="es-MX"/>
              </w:rPr>
              <w:footnoteReference w:id="3"/>
            </w:r>
            <w:r w:rsidRPr="00E158A8">
              <w:rPr>
                <w:rFonts w:ascii="Verdana" w:eastAsia="Calibri" w:hAnsi="Verdana" w:cs="Arial"/>
                <w:color w:val="0D0D0D"/>
                <w:lang w:eastAsia="es-MX"/>
              </w:rPr>
              <w:t xml:space="preserve">, su actividad reviste naturaleza de servicio público esencial. En este sentido, las edificaciones institucionales de la </w:t>
            </w:r>
            <w:proofErr w:type="gramStart"/>
            <w:r w:rsidRPr="00E158A8">
              <w:rPr>
                <w:rFonts w:ascii="Verdana" w:eastAsia="Calibri" w:hAnsi="Verdana" w:cs="Arial"/>
                <w:color w:val="0D0D0D"/>
                <w:lang w:eastAsia="es-MX"/>
              </w:rPr>
              <w:t>Fiscalía General</w:t>
            </w:r>
            <w:proofErr w:type="gramEnd"/>
            <w:r w:rsidRPr="00E158A8">
              <w:rPr>
                <w:rFonts w:ascii="Verdana" w:eastAsia="Calibri" w:hAnsi="Verdana" w:cs="Arial"/>
                <w:color w:val="0D0D0D"/>
                <w:lang w:eastAsia="es-MX"/>
              </w:rPr>
              <w:t xml:space="preserve"> de la Nación deben clasificarse dentro del Subgrupo de Ocupación Institucional de Servicio Público.  </w:t>
            </w:r>
          </w:p>
          <w:p w14:paraId="44A27A30" w14:textId="77777777" w:rsidR="00E158A8" w:rsidRPr="00E158A8" w:rsidRDefault="00E158A8" w:rsidP="00E158A8">
            <w:pPr>
              <w:spacing w:line="276" w:lineRule="auto"/>
              <w:ind w:firstLine="708"/>
              <w:jc w:val="both"/>
              <w:rPr>
                <w:rFonts w:ascii="Verdana" w:eastAsia="Calibri" w:hAnsi="Verdana" w:cs="Arial"/>
                <w:lang w:val="es-ES" w:eastAsia="es-MX"/>
              </w:rPr>
            </w:pPr>
            <w:r w:rsidRPr="00E158A8">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w:t>
            </w:r>
            <w:r w:rsidRPr="00E158A8">
              <w:rPr>
                <w:rFonts w:ascii="Verdana" w:eastAsia="Calibri" w:hAnsi="Verdana" w:cs="Arial"/>
                <w:lang w:val="es-ES" w:eastAsia="es-MX"/>
              </w:rPr>
              <w:lastRenderedPageBreak/>
              <w:t xml:space="preserve">Entidad adelanta un proceso que tenga por objeto la(s) actividad(es) de </w:t>
            </w:r>
            <w:r w:rsidRPr="00E158A8">
              <w:rPr>
                <w:rFonts w:ascii="Verdana" w:eastAsia="Times New Roman" w:hAnsi="Verdana" w:cs="Aptos"/>
                <w:lang w:eastAsia="es-MX"/>
              </w:rPr>
              <w:t xml:space="preserve">adecuación, conservación, intervención, mantenimiento, mejoramiento, modificación, optimización, rehabilitación, remodelación, reposición, reparación locativa, restauración, restitución, terminación, entre otras, sobre </w:t>
            </w:r>
            <w:r w:rsidRPr="00E158A8">
              <w:rPr>
                <w:rFonts w:ascii="Verdana" w:eastAsia="Arial" w:hAnsi="Verdana" w:cs="Aptos"/>
                <w:i/>
                <w:iCs/>
                <w:lang w:eastAsia="es-ES"/>
              </w:rPr>
              <w:t>infraestructura de servicio público – edificaciones institucionales judiciales,</w:t>
            </w:r>
            <w:r w:rsidRPr="00E158A8">
              <w:rPr>
                <w:rFonts w:ascii="Verdana" w:eastAsia="Times New Roman" w:hAnsi="Verdana" w:cs="Aptos"/>
                <w:lang w:eastAsia="es-MX"/>
              </w:rPr>
              <w:t xml:space="preserve"> </w:t>
            </w:r>
            <w:r w:rsidRPr="00E158A8">
              <w:rPr>
                <w:rFonts w:ascii="Verdana" w:eastAsia="Calibri" w:hAnsi="Verdana" w:cs="Arial"/>
                <w:lang w:val="es-ES" w:eastAsia="es-MX"/>
              </w:rPr>
              <w:t xml:space="preserve">deberá implementar los documentos tipo acogidos mediante las Resoluciones 539, 540 y 541 de 2025, según el proyecto se adelante por la modalidad de licitación de obra pública, selección abreviada de menor cuantía o mínima cuantía, en donde se encuentran dispuestas las actividades 2.2, 2.6 y 2.9 aplicables a los proyectos por los que se indaga en su solicitud. </w:t>
            </w:r>
          </w:p>
          <w:p w14:paraId="28364E98" w14:textId="77777777" w:rsidR="00E158A8" w:rsidRPr="00E158A8" w:rsidRDefault="00E158A8" w:rsidP="00E158A8">
            <w:pPr>
              <w:ind w:firstLine="708"/>
              <w:jc w:val="both"/>
              <w:rPr>
                <w:rFonts w:ascii="Verdana" w:eastAsia="Times New Roman" w:hAnsi="Verdana" w:cs="Times New Roman"/>
                <w:lang w:val="es-ES" w:eastAsia="es-MX"/>
              </w:rPr>
            </w:pPr>
          </w:p>
          <w:p w14:paraId="4671D7D0" w14:textId="77777777" w:rsidR="00E158A8" w:rsidRPr="00E158A8" w:rsidRDefault="00E158A8" w:rsidP="00E158A8">
            <w:pPr>
              <w:spacing w:after="120" w:line="276" w:lineRule="auto"/>
              <w:jc w:val="both"/>
              <w:rPr>
                <w:rFonts w:ascii="Verdana" w:eastAsia="Calibri" w:hAnsi="Verdana" w:cs="Arial"/>
                <w:lang w:eastAsia="es-MX"/>
              </w:rPr>
            </w:pPr>
            <w:proofErr w:type="spellStart"/>
            <w:r w:rsidRPr="00E158A8">
              <w:rPr>
                <w:rFonts w:ascii="Verdana" w:eastAsia="Times New Roman" w:hAnsi="Verdana" w:cs="Times New Roman"/>
                <w:lang w:val="es-ES" w:eastAsia="es-MX"/>
              </w:rPr>
              <w:t>ii</w:t>
            </w:r>
            <w:proofErr w:type="spellEnd"/>
            <w:r w:rsidRPr="00E158A8">
              <w:rPr>
                <w:rFonts w:ascii="Verdana" w:eastAsia="Times New Roman" w:hAnsi="Verdana" w:cs="Times New Roman"/>
                <w:lang w:val="es-ES" w:eastAsia="es-MX"/>
              </w:rPr>
              <w:t xml:space="preserve">. </w:t>
            </w:r>
            <w:r w:rsidRPr="00E158A8">
              <w:rPr>
                <w:rFonts w:ascii="Verdana" w:eastAsia="Calibri" w:hAnsi="Verdana" w:cs="Arial"/>
                <w:lang w:eastAsia="es-MX"/>
              </w:rPr>
              <w:t xml:space="preserve">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1871220D" w14:textId="77777777" w:rsidR="00E158A8" w:rsidRPr="00E158A8" w:rsidRDefault="00E158A8" w:rsidP="00E158A8">
            <w:pPr>
              <w:spacing w:after="120" w:line="276" w:lineRule="auto"/>
              <w:ind w:firstLine="708"/>
              <w:jc w:val="both"/>
              <w:rPr>
                <w:rFonts w:ascii="Verdana" w:eastAsia="Calibri" w:hAnsi="Verdana" w:cs="Arial"/>
                <w:lang w:eastAsia="es-MX"/>
              </w:rPr>
            </w:pPr>
            <w:r w:rsidRPr="00E158A8">
              <w:rPr>
                <w:rFonts w:ascii="Verdana" w:eastAsia="Calibri" w:hAnsi="Verdana" w:cs="Arial"/>
                <w:lang w:eastAsia="es-MX"/>
              </w:rPr>
              <w:t>Esta situación se presenta en algunos contratos de obra a precios unitarios donde, pese a que se encuentran establecidos los ítems y el valor de cada uno de ellos, las cantidades definitivas dependen de lo efectivamente ejecutado al finalizar el plazo. En este sistema las partes establecen una suma fija por cada unidad de los trabajos que debe ejecutar el contratista, por lo que el precio –a diferencia del ajuste alzado o la suma cerrada– no se determina por la totalidad de la obra, sino por cada parte, unidad o medida.</w:t>
            </w:r>
          </w:p>
          <w:p w14:paraId="47341E3F" w14:textId="77777777" w:rsidR="00E158A8" w:rsidRPr="00E158A8" w:rsidRDefault="00E158A8" w:rsidP="00E158A8">
            <w:pPr>
              <w:spacing w:after="120" w:line="276" w:lineRule="auto"/>
              <w:ind w:firstLine="708"/>
              <w:jc w:val="both"/>
              <w:rPr>
                <w:rFonts w:ascii="Verdana" w:eastAsia="Calibri" w:hAnsi="Verdana" w:cs="Arial"/>
                <w:lang w:eastAsia="es-MX"/>
              </w:rPr>
            </w:pPr>
            <w:r w:rsidRPr="00E158A8">
              <w:rPr>
                <w:rFonts w:ascii="Verdana" w:eastAsia="Calibri" w:hAnsi="Verdana" w:cs="Arial"/>
                <w:lang w:eastAsia="es-MX"/>
              </w:rPr>
              <w:t>Para la doctrina, “Se trata de un sistema flexible en el precio y en la obra, por cuanto ambos solo van a quedar definitivamente determinados al momento de la conclusión de las obras, circunstancia en la que recién podrán conocerse con exactitud la cantidad de unidades ejecutadas por el constructor y, del mismo modo, el precio definitivo a ser pagado por el comitente”</w:t>
            </w:r>
            <w:r w:rsidRPr="00E158A8">
              <w:rPr>
                <w:rFonts w:ascii="Verdana" w:eastAsia="Calibri" w:hAnsi="Verdana" w:cs="Arial"/>
                <w:vertAlign w:val="superscript"/>
                <w:lang w:eastAsia="es-MX"/>
              </w:rPr>
              <w:footnoteReference w:id="4"/>
            </w:r>
            <w:r w:rsidRPr="00E158A8">
              <w:rPr>
                <w:rFonts w:ascii="Verdana" w:eastAsia="Calibri" w:hAnsi="Verdana" w:cs="Arial"/>
                <w:lang w:eastAsia="es-MX"/>
              </w:rPr>
              <w:t xml:space="preserve">. En este caso, también se requiere establecer un tope máximo para la adelantar las obras, ya que “[…] el precio total depende del conjunto de trabajos ejecutados según el presupuesto, pudiendo por tanto variar por nuevos </w:t>
            </w:r>
            <w:r w:rsidRPr="00E158A8">
              <w:rPr>
                <w:rFonts w:ascii="Verdana" w:eastAsia="Calibri" w:hAnsi="Verdana" w:cs="Arial"/>
                <w:lang w:eastAsia="es-MX"/>
              </w:rPr>
              <w:lastRenderedPageBreak/>
              <w:t>trabajos adicionales […]”</w:t>
            </w:r>
            <w:r w:rsidRPr="00E158A8">
              <w:rPr>
                <w:rFonts w:ascii="Verdana" w:eastAsia="Calibri" w:hAnsi="Verdana" w:cs="Arial"/>
                <w:vertAlign w:val="superscript"/>
                <w:lang w:eastAsia="es-MX"/>
              </w:rPr>
              <w:footnoteReference w:id="5"/>
            </w:r>
            <w:r w:rsidRPr="00E158A8">
              <w:rPr>
                <w:rFonts w:ascii="Verdana" w:eastAsia="Calibri" w:hAnsi="Verdana" w:cs="Arial"/>
                <w:lang w:eastAsia="es-MX"/>
              </w:rPr>
              <w:t xml:space="preserve">. Por lo demás, a pesar de que el precio del contrato se fije por un monto agotable, este no deja de pertenecer a la tipología del artículo 32.1 del Estatuto General de Contratación de la Administración Pública, especialmente, cuando –conforme al tenor literal de la norma– la obra pública existe cualquiera que sea la modalidad de ejecución y pago.      </w:t>
            </w:r>
          </w:p>
          <w:p w14:paraId="35792257" w14:textId="77777777" w:rsidR="00E158A8" w:rsidRPr="00E158A8" w:rsidRDefault="00E158A8" w:rsidP="00E158A8">
            <w:pPr>
              <w:spacing w:after="120" w:line="276" w:lineRule="auto"/>
              <w:ind w:firstLine="709"/>
              <w:jc w:val="both"/>
              <w:rPr>
                <w:rFonts w:ascii="Verdana" w:eastAsia="Aptos" w:hAnsi="Verdana" w:cs="Arial"/>
                <w:lang w:val="es-ES"/>
              </w:rPr>
            </w:pPr>
            <w:r w:rsidRPr="00E158A8">
              <w:rPr>
                <w:rFonts w:ascii="Verdana" w:eastAsia="Aptos" w:hAnsi="Verdana" w:cs="Arial"/>
                <w:lang w:val="es-ES"/>
              </w:rPr>
              <w:t xml:space="preserve">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  </w:t>
            </w:r>
          </w:p>
          <w:p w14:paraId="03273A14" w14:textId="77777777" w:rsidR="00E158A8" w:rsidRPr="00E158A8" w:rsidRDefault="00E158A8" w:rsidP="00E158A8">
            <w:pPr>
              <w:spacing w:after="120" w:line="276" w:lineRule="auto"/>
              <w:jc w:val="both"/>
              <w:rPr>
                <w:rFonts w:ascii="Verdana" w:eastAsia="Calibri" w:hAnsi="Verdana" w:cs="Arial"/>
                <w:lang w:eastAsia="es-MX"/>
              </w:rPr>
            </w:pPr>
            <w:proofErr w:type="spellStart"/>
            <w:r w:rsidRPr="00E158A8">
              <w:rPr>
                <w:rFonts w:ascii="Verdana" w:eastAsia="Calibri" w:hAnsi="Verdana" w:cs="Arial"/>
                <w:lang w:eastAsia="es-MX"/>
              </w:rPr>
              <w:t>iii</w:t>
            </w:r>
            <w:proofErr w:type="spellEnd"/>
            <w:r w:rsidRPr="00E158A8">
              <w:rPr>
                <w:rFonts w:ascii="Verdana" w:eastAsia="Calibri" w:hAnsi="Verdana" w:cs="Arial"/>
                <w:lang w:eastAsia="es-MX"/>
              </w:rPr>
              <w:t xml:space="preserve">. El numeral 4.1 del Documento </w:t>
            </w:r>
            <w:r w:rsidRPr="00E158A8">
              <w:rPr>
                <w:rFonts w:ascii="Verdana" w:eastAsia="Calibri" w:hAnsi="Verdana" w:cs="Arial"/>
                <w:lang w:val="es-ES_tradnl"/>
              </w:rPr>
              <w:t>base de los documentos tipo de licitación de obra pública de infraestructura social – versión 2 establece lo siguiente en relación con la oferta económica:</w:t>
            </w:r>
          </w:p>
          <w:p w14:paraId="12EBB5E9" w14:textId="77777777" w:rsidR="00E158A8" w:rsidRPr="00E158A8" w:rsidRDefault="00E158A8" w:rsidP="00E158A8">
            <w:pPr>
              <w:spacing w:line="276" w:lineRule="auto"/>
              <w:jc w:val="both"/>
              <w:rPr>
                <w:rFonts w:ascii="Arial" w:eastAsia="Calibri" w:hAnsi="Arial" w:cs="Arial"/>
                <w:lang w:val="es-ES_tradnl"/>
              </w:rPr>
            </w:pPr>
          </w:p>
          <w:p w14:paraId="77AE584D" w14:textId="77777777" w:rsidR="00E158A8" w:rsidRPr="00E158A8" w:rsidRDefault="00E158A8" w:rsidP="00E158A8">
            <w:pPr>
              <w:shd w:val="clear" w:color="auto" w:fill="FFFFFF"/>
              <w:ind w:left="709" w:right="709"/>
              <w:jc w:val="both"/>
              <w:rPr>
                <w:rFonts w:ascii="Verdana" w:eastAsia="Aptos" w:hAnsi="Verdana" w:cs="Times New Roman"/>
                <w:sz w:val="20"/>
                <w:szCs w:val="20"/>
              </w:rPr>
            </w:pPr>
            <w:r w:rsidRPr="00E158A8">
              <w:rPr>
                <w:rFonts w:ascii="Verdana" w:eastAsia="Arial" w:hAnsi="Verdana" w:cs="Arial"/>
                <w:sz w:val="21"/>
                <w:szCs w:val="21"/>
                <w:lang w:val="es-MX"/>
              </w:rPr>
              <w:t>“[</w:t>
            </w:r>
            <w:r w:rsidRPr="00E158A8">
              <w:rPr>
                <w:rFonts w:ascii="Verdana" w:eastAsia="Arial" w:hAnsi="Verdana" w:cs="Arial"/>
                <w:sz w:val="21"/>
                <w:szCs w:val="21"/>
                <w:highlight w:val="lightGray"/>
                <w:lang w:val="es-MX"/>
              </w:rPr>
              <w:t>La Entidad debe indicar si la forma de pago es por precio global, llave en mano, precios unitarios, administración delegada, reembolso de gastos o la que determine.</w:t>
            </w:r>
            <w:r w:rsidRPr="00E158A8">
              <w:rPr>
                <w:rFonts w:ascii="Verdana" w:eastAsia="Aptos" w:hAnsi="Verdana" w:cs="Times New Roman"/>
                <w:sz w:val="21"/>
                <w:szCs w:val="21"/>
                <w:highlight w:val="lightGray"/>
                <w:lang w:val="es-MX"/>
              </w:rPr>
              <w:t xml:space="preserve"> El Anexo 1 – Anexo Técnico y el Formulario 1– Formulario de </w:t>
            </w:r>
            <w:r w:rsidRPr="00E158A8">
              <w:rPr>
                <w:rFonts w:ascii="Verdana" w:eastAsia="Aptos" w:hAnsi="Verdana" w:cs="Times New Roman"/>
                <w:sz w:val="20"/>
                <w:szCs w:val="20"/>
                <w:highlight w:val="lightGray"/>
              </w:rPr>
              <w:t>Presupuesto Oficial debe ser concordante con la modalidad de pago seleccionada]</w:t>
            </w:r>
          </w:p>
          <w:p w14:paraId="767E7CB4" w14:textId="77777777" w:rsidR="00E158A8" w:rsidRPr="00E158A8" w:rsidRDefault="00E158A8" w:rsidP="00E158A8">
            <w:pPr>
              <w:shd w:val="clear" w:color="auto" w:fill="FFFFFF"/>
              <w:spacing w:after="120"/>
              <w:ind w:left="709" w:right="709"/>
              <w:jc w:val="both"/>
              <w:rPr>
                <w:rFonts w:ascii="Verdana" w:eastAsia="Aptos" w:hAnsi="Verdana" w:cs="Times New Roman"/>
                <w:sz w:val="20"/>
                <w:szCs w:val="20"/>
              </w:rPr>
            </w:pPr>
            <w:r w:rsidRPr="00E158A8">
              <w:rPr>
                <w:rFonts w:ascii="Verdana" w:eastAsia="Aptos" w:hAnsi="Verdana" w:cs="Times New Roman"/>
                <w:sz w:val="20"/>
                <w:szCs w:val="20"/>
                <w:highlight w:val="lightGray"/>
              </w:rPr>
              <w:lastRenderedPageBreak/>
              <w:t xml:space="preserve">[Cuando el presupuesto del Proceso de Contratación es estructurado por Precios Unitarios, la </w:t>
            </w:r>
            <w:r w:rsidRPr="00E158A8" w:rsidDel="1355DA3D">
              <w:rPr>
                <w:rFonts w:ascii="Verdana" w:eastAsia="Aptos" w:hAnsi="Verdana" w:cs="Times New Roman"/>
                <w:sz w:val="20"/>
                <w:szCs w:val="20"/>
                <w:highlight w:val="lightGray"/>
              </w:rPr>
              <w:t>E</w:t>
            </w:r>
            <w:r w:rsidRPr="00E158A8">
              <w:rPr>
                <w:rFonts w:ascii="Verdana" w:eastAsia="Aptos" w:hAnsi="Verdana" w:cs="Times New Roman"/>
                <w:sz w:val="20"/>
                <w:szCs w:val="20"/>
                <w:highlight w:val="lightGray"/>
              </w:rPr>
              <w:t>ntidad debe aplicar las notas señaladas en el Formulario 1 – Formulario de Presupuesto oficial.]</w:t>
            </w:r>
          </w:p>
          <w:p w14:paraId="6D82F375" w14:textId="77777777" w:rsidR="00E158A8" w:rsidRPr="00E158A8" w:rsidRDefault="00E158A8" w:rsidP="00E158A8">
            <w:pPr>
              <w:shd w:val="clear" w:color="auto" w:fill="FFFFFF"/>
              <w:spacing w:after="120"/>
              <w:ind w:left="709" w:right="709"/>
              <w:jc w:val="both"/>
              <w:rPr>
                <w:rFonts w:ascii="Verdana" w:eastAsia="Aptos" w:hAnsi="Verdana" w:cs="Times New Roman"/>
                <w:sz w:val="20"/>
                <w:szCs w:val="20"/>
              </w:rPr>
            </w:pPr>
            <w:r w:rsidRPr="00E158A8">
              <w:rPr>
                <w:rFonts w:ascii="Verdana" w:eastAsia="Aptos" w:hAnsi="Verdana" w:cs="Times New Roman"/>
                <w:sz w:val="20"/>
                <w:szCs w:val="20"/>
              </w:rPr>
              <w:t>Para calificar este factor se tendrá en cuenta el valor total indicado en la propuesta económica o el obtenido de la corrección aritmética. La propuesta económica deberá ser allegada en el Sobre No. 2.</w:t>
            </w:r>
          </w:p>
          <w:p w14:paraId="53C2C943" w14:textId="77777777" w:rsidR="00E158A8" w:rsidRPr="00E158A8" w:rsidRDefault="00E158A8" w:rsidP="00E158A8">
            <w:pPr>
              <w:shd w:val="clear" w:color="auto" w:fill="FFFFFF"/>
              <w:spacing w:after="120"/>
              <w:ind w:left="709" w:right="709"/>
              <w:jc w:val="both"/>
              <w:rPr>
                <w:rFonts w:ascii="Verdana" w:eastAsia="Aptos" w:hAnsi="Verdana" w:cs="Times New Roman"/>
                <w:sz w:val="20"/>
                <w:szCs w:val="20"/>
                <w:highlight w:val="lightGray"/>
              </w:rPr>
            </w:pPr>
            <w:r w:rsidRPr="00E158A8">
              <w:rPr>
                <w:rFonts w:ascii="Verdana" w:eastAsia="Aptos" w:hAnsi="Verdana" w:cs="Times New Roman"/>
                <w:sz w:val="20"/>
                <w:szCs w:val="20"/>
                <w:highlight w:val="lightGray"/>
              </w:rPr>
              <w:t xml:space="preserve">[La </w:t>
            </w:r>
            <w:r w:rsidRPr="00E158A8" w:rsidDel="57F4FB36">
              <w:rPr>
                <w:rFonts w:ascii="Verdana" w:eastAsia="Aptos" w:hAnsi="Verdana" w:cs="Times New Roman"/>
                <w:sz w:val="20"/>
                <w:szCs w:val="20"/>
                <w:highlight w:val="lightGray"/>
              </w:rPr>
              <w:t>E</w:t>
            </w:r>
            <w:r w:rsidRPr="00E158A8">
              <w:rPr>
                <w:rFonts w:ascii="Verdana" w:eastAsia="Aptos" w:hAnsi="Verdana" w:cs="Times New Roman"/>
                <w:sz w:val="20"/>
                <w:szCs w:val="20"/>
                <w:highlight w:val="lightGray"/>
              </w:rPr>
              <w:t xml:space="preserve">ntidad debe configurar el </w:t>
            </w:r>
            <w:r w:rsidRPr="00E158A8" w:rsidDel="57F4FB36">
              <w:rPr>
                <w:rFonts w:ascii="Verdana" w:eastAsia="Aptos" w:hAnsi="Verdana" w:cs="Times New Roman"/>
                <w:sz w:val="20"/>
                <w:szCs w:val="20"/>
                <w:highlight w:val="lightGray"/>
              </w:rPr>
              <w:t>F</w:t>
            </w:r>
            <w:r w:rsidRPr="00E158A8">
              <w:rPr>
                <w:rFonts w:ascii="Verdana" w:eastAsia="Aptos" w:hAnsi="Verdana" w:cs="Times New Roman"/>
                <w:sz w:val="20"/>
                <w:szCs w:val="20"/>
                <w:highlight w:val="lightGray"/>
              </w:rPr>
              <w:t xml:space="preserve">ormato de oferta económica que se encuentra en el Formulario 1 – Formulario de Presupuesto Oficial, para que sea diligenciado por los </w:t>
            </w:r>
            <w:r w:rsidRPr="00E158A8" w:rsidDel="57F4FB36">
              <w:rPr>
                <w:rFonts w:ascii="Verdana" w:eastAsia="Aptos" w:hAnsi="Verdana" w:cs="Times New Roman"/>
                <w:sz w:val="20"/>
                <w:szCs w:val="20"/>
                <w:highlight w:val="lightGray"/>
              </w:rPr>
              <w:t>P</w:t>
            </w:r>
            <w:r w:rsidRPr="00E158A8">
              <w:rPr>
                <w:rFonts w:ascii="Verdana" w:eastAsia="Aptos" w:hAnsi="Verdana" w:cs="Times New Roman"/>
                <w:sz w:val="20"/>
                <w:szCs w:val="20"/>
                <w:highlight w:val="lightGray"/>
              </w:rPr>
              <w:t xml:space="preserve">roponentes. </w:t>
            </w:r>
          </w:p>
          <w:p w14:paraId="72AFEF9F" w14:textId="77777777" w:rsidR="00E158A8" w:rsidRPr="00E158A8" w:rsidRDefault="00E158A8" w:rsidP="00E158A8">
            <w:pPr>
              <w:shd w:val="clear" w:color="auto" w:fill="FFFFFF"/>
              <w:spacing w:after="120"/>
              <w:ind w:left="709" w:right="709"/>
              <w:jc w:val="both"/>
              <w:rPr>
                <w:rFonts w:ascii="Verdana" w:eastAsia="Aptos" w:hAnsi="Verdana" w:cs="Times New Roman"/>
                <w:sz w:val="21"/>
                <w:szCs w:val="21"/>
                <w:lang w:val="es-MX"/>
              </w:rPr>
            </w:pPr>
            <w:r w:rsidRPr="00E158A8">
              <w:rPr>
                <w:rFonts w:ascii="Verdana" w:eastAsia="Aptos" w:hAnsi="Verdana" w:cs="Times New Roman"/>
                <w:sz w:val="20"/>
                <w:szCs w:val="20"/>
                <w:highlight w:val="lightGray"/>
              </w:rPr>
              <w:t xml:space="preserve">[La </w:t>
            </w:r>
            <w:r w:rsidRPr="00E158A8" w:rsidDel="00DD3F5A">
              <w:rPr>
                <w:rFonts w:ascii="Verdana" w:eastAsia="Aptos" w:hAnsi="Verdana" w:cs="Times New Roman"/>
                <w:sz w:val="20"/>
                <w:szCs w:val="20"/>
                <w:highlight w:val="lightGray"/>
              </w:rPr>
              <w:t>E</w:t>
            </w:r>
            <w:r w:rsidRPr="00E158A8">
              <w:rPr>
                <w:rFonts w:ascii="Verdana" w:eastAsia="Aptos" w:hAnsi="Verdana" w:cs="Times New Roman"/>
                <w:sz w:val="20"/>
                <w:szCs w:val="20"/>
                <w:highlight w:val="lightGray"/>
              </w:rPr>
              <w:t>ntidad debe incluir el Formulario</w:t>
            </w:r>
            <w:r w:rsidRPr="00E158A8">
              <w:rPr>
                <w:rFonts w:ascii="Verdana" w:eastAsia="Aptos" w:hAnsi="Verdana" w:cs="Times New Roman"/>
                <w:sz w:val="21"/>
                <w:szCs w:val="21"/>
                <w:highlight w:val="lightGray"/>
                <w:lang w:val="es-MX"/>
              </w:rPr>
              <w:t xml:space="preserve"> 1 – Formulario de Presupuesto Oficial y la oferta económica en formato Excel. En ningún caso la Entidad podrá incluir causales de rechazo o reglas que diferentes a las establecidas en el presente documento]</w:t>
            </w:r>
            <w:r w:rsidRPr="00E158A8">
              <w:rPr>
                <w:rFonts w:ascii="Verdana" w:eastAsia="Aptos" w:hAnsi="Verdana" w:cs="Times New Roman"/>
                <w:sz w:val="21"/>
                <w:szCs w:val="21"/>
                <w:lang w:val="es-MX"/>
              </w:rPr>
              <w:t xml:space="preserve"> </w:t>
            </w:r>
          </w:p>
          <w:p w14:paraId="62889042" w14:textId="77777777" w:rsidR="00E158A8" w:rsidRPr="00E158A8" w:rsidRDefault="00E158A8" w:rsidP="00E158A8">
            <w:pPr>
              <w:shd w:val="clear" w:color="auto" w:fill="FFFFFF"/>
              <w:ind w:left="709" w:right="709"/>
              <w:jc w:val="both"/>
              <w:rPr>
                <w:rFonts w:ascii="Verdana" w:eastAsia="Aptos" w:hAnsi="Verdana" w:cs="Times New Roman"/>
                <w:sz w:val="21"/>
                <w:szCs w:val="21"/>
                <w:lang w:val="es-MX"/>
              </w:rPr>
            </w:pPr>
            <w:r w:rsidRPr="00E158A8">
              <w:rPr>
                <w:rFonts w:ascii="Verdana" w:eastAsia="Aptos" w:hAnsi="Verdana" w:cs="Times New Roman"/>
                <w:sz w:val="21"/>
                <w:szCs w:val="21"/>
                <w:lang w:val="es-MX"/>
              </w:rPr>
              <w:t xml:space="preserve">(…)”. </w:t>
            </w:r>
          </w:p>
          <w:p w14:paraId="2C132A97" w14:textId="77777777" w:rsidR="00E158A8" w:rsidRPr="00E158A8" w:rsidRDefault="00E158A8" w:rsidP="00E158A8">
            <w:pPr>
              <w:shd w:val="clear" w:color="auto" w:fill="FFFFFF"/>
              <w:ind w:left="709" w:right="709"/>
              <w:jc w:val="both"/>
              <w:rPr>
                <w:rFonts w:ascii="Verdana" w:eastAsia="Aptos" w:hAnsi="Verdana" w:cs="Times New Roman"/>
                <w:sz w:val="21"/>
                <w:szCs w:val="21"/>
                <w:lang w:val="es-MX"/>
              </w:rPr>
            </w:pPr>
          </w:p>
          <w:p w14:paraId="7655AAEF" w14:textId="77777777" w:rsidR="00E158A8" w:rsidRPr="00E158A8" w:rsidRDefault="00E158A8" w:rsidP="00E158A8">
            <w:pPr>
              <w:spacing w:before="120" w:after="12" w:line="276" w:lineRule="auto"/>
              <w:jc w:val="both"/>
              <w:rPr>
                <w:rFonts w:ascii="Verdana" w:eastAsia="Calibri" w:hAnsi="Verdana" w:cs="Arial"/>
                <w:bCs/>
                <w:color w:val="000000"/>
                <w:lang w:eastAsia="es-MX"/>
              </w:rPr>
            </w:pPr>
            <w:r w:rsidRPr="00E158A8">
              <w:rPr>
                <w:rFonts w:ascii="Arial" w:eastAsia="Calibri" w:hAnsi="Arial" w:cs="Arial"/>
                <w:lang w:val="es-MX"/>
              </w:rPr>
              <w:tab/>
            </w:r>
            <w:r w:rsidRPr="00E158A8">
              <w:rPr>
                <w:rFonts w:ascii="Verdana" w:eastAsia="Calibri" w:hAnsi="Verdana" w:cs="Arial"/>
                <w:lang w:val="es-ES_tradnl"/>
              </w:rPr>
              <w:t>Los párrafos que están en corchetes son notas aclaratorias o instrucciones para la entidad contratante, que deben ser seguidas sin vulnerar el carácter obligatorio y la regla</w:t>
            </w:r>
            <w:r w:rsidRPr="00E158A8">
              <w:rPr>
                <w:rFonts w:ascii="Arial" w:eastAsia="Calibri" w:hAnsi="Arial" w:cs="Arial"/>
                <w:lang w:val="es-ES_tradnl"/>
              </w:rPr>
              <w:t xml:space="preserve"> </w:t>
            </w:r>
            <w:r w:rsidRPr="00E158A8">
              <w:rPr>
                <w:rFonts w:ascii="Verdana" w:eastAsia="Calibri" w:hAnsi="Verdana" w:cs="Arial"/>
                <w:lang w:val="es-ES_tradn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E158A8">
              <w:rPr>
                <w:rFonts w:ascii="Verdana" w:eastAsia="Calibri" w:hAnsi="Verdana" w:cs="Arial"/>
                <w:bCs/>
                <w:color w:val="000000"/>
                <w:lang w:eastAsia="es-MX"/>
              </w:rPr>
              <w:t xml:space="preserve">de que la entidad defina una modalidad distinta bajo la expresión “o la que determine”. </w:t>
            </w:r>
          </w:p>
          <w:p w14:paraId="4F8B88FC" w14:textId="77777777" w:rsidR="00E158A8" w:rsidRPr="00E158A8" w:rsidRDefault="00E158A8" w:rsidP="00E158A8">
            <w:pPr>
              <w:spacing w:before="120" w:after="12" w:line="276" w:lineRule="auto"/>
              <w:ind w:firstLine="708"/>
              <w:jc w:val="both"/>
              <w:rPr>
                <w:rFonts w:ascii="Verdana" w:eastAsia="Calibri" w:hAnsi="Verdana" w:cs="Arial"/>
                <w:lang w:val="es-ES_tradnl"/>
              </w:rPr>
            </w:pPr>
            <w:r w:rsidRPr="00E158A8">
              <w:rPr>
                <w:rFonts w:ascii="Verdana" w:eastAsia="Calibri" w:hAnsi="Verdana" w:cs="Arial"/>
                <w:bCs/>
                <w:color w:val="000000"/>
                <w:lang w:eastAsia="es-MX"/>
              </w:rPr>
              <w:t>En todo</w:t>
            </w:r>
            <w:r w:rsidRPr="00E158A8">
              <w:rPr>
                <w:rFonts w:ascii="Verdana" w:eastAsia="Calibri" w:hAnsi="Verdana" w:cs="Arial"/>
                <w:lang w:val="es-ES_tradn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3713169F" w14:textId="77777777" w:rsidR="00E158A8" w:rsidRPr="00E158A8" w:rsidRDefault="00E158A8" w:rsidP="00E158A8">
            <w:pPr>
              <w:spacing w:before="120" w:after="120" w:line="276" w:lineRule="auto"/>
              <w:ind w:firstLine="708"/>
              <w:jc w:val="both"/>
              <w:rPr>
                <w:rFonts w:ascii="Verdana" w:eastAsia="Calibri" w:hAnsi="Verdana" w:cs="Arial"/>
                <w:bCs/>
                <w:color w:val="000000"/>
                <w:lang w:eastAsia="es-MX"/>
              </w:rPr>
            </w:pPr>
            <w:r w:rsidRPr="00E158A8">
              <w:rPr>
                <w:rFonts w:ascii="Verdana" w:eastAsia="Calibri" w:hAnsi="Verdana" w:cs="Arial"/>
                <w:lang w:val="es-ES_tradnl"/>
              </w:rPr>
              <w:t xml:space="preserve">Así, debe indicarse que, en relación con los documentos tipo expedidos por esta Agencia y, en especial, en los procesos que adelanten las entidades del sector de infraestructura </w:t>
            </w:r>
            <w:r w:rsidRPr="00E158A8">
              <w:rPr>
                <w:rFonts w:ascii="Verdana" w:eastAsia="Calibri" w:hAnsi="Verdana" w:cs="Arial"/>
                <w:bCs/>
                <w:color w:val="000000"/>
                <w:lang w:eastAsia="es-MX"/>
              </w:rPr>
              <w:t xml:space="preserve">social, la entidad que adelanta el proceso de selección puede definir, desde los estudios y documentos previos, que el </w:t>
            </w:r>
            <w:r w:rsidRPr="00E158A8">
              <w:rPr>
                <w:rFonts w:ascii="Verdana" w:eastAsia="Calibri" w:hAnsi="Verdana" w:cs="Arial"/>
                <w:bCs/>
                <w:color w:val="000000"/>
                <w:lang w:eastAsia="es-MX"/>
              </w:rPr>
              <w:lastRenderedPageBreak/>
              <w:t>proceso se estructurará bajo la modalidad de pago de monto agotable, lo cual deberá quedar expresamente consignado en la forma de pago prevista en el documento base. Esta definición deberá estar debidamente justificada, en armonía con la naturaleza y alcance del objeto contractual, y ser concordante con el Anexo 1 – Anexo Técnico y el Formulario 1 – Formulario de Presupuesto Oficial.</w:t>
            </w:r>
          </w:p>
          <w:p w14:paraId="72579AE4"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rPr>
            </w:pPr>
            <w:r w:rsidRPr="00E158A8">
              <w:rPr>
                <w:rFonts w:ascii="Verdana" w:eastAsia="Calibri" w:hAnsi="Verdana" w:cs="Arial"/>
                <w:color w:val="000000"/>
              </w:rPr>
              <w:t>En este sentido, en el marco de los documentos tipo de licitación de obra pública de infraestructura social – versión 2, y conforme a las consideraciones expuestas, es jurídicamente viable que el contrato se estructure bajo una modalidad de pago a monto agotable, caso en el cual la entidad reconocerá y pagará únicamente las cantidades efectivamente ejecutadas durante el plazo contractual, sin exceder el presupuesto oficial definido.</w:t>
            </w:r>
          </w:p>
          <w:p w14:paraId="25DE0175" w14:textId="77777777" w:rsidR="00E158A8" w:rsidRPr="00E158A8" w:rsidRDefault="00E158A8" w:rsidP="00E158A8">
            <w:pPr>
              <w:tabs>
                <w:tab w:val="center" w:pos="4244"/>
              </w:tabs>
              <w:spacing w:after="120" w:line="276" w:lineRule="auto"/>
              <w:jc w:val="both"/>
              <w:rPr>
                <w:rFonts w:ascii="Verdana" w:eastAsia="Calibri" w:hAnsi="Verdana" w:cs="Arial"/>
                <w:lang w:val="es-ES"/>
              </w:rPr>
            </w:pPr>
            <w:proofErr w:type="spellStart"/>
            <w:r w:rsidRPr="0D903C44">
              <w:rPr>
                <w:rFonts w:ascii="Verdana" w:eastAsia="Calibri" w:hAnsi="Verdana" w:cs="Arial"/>
                <w:lang w:val="es-ES"/>
              </w:rPr>
              <w:t>iv</w:t>
            </w:r>
            <w:proofErr w:type="spellEnd"/>
            <w:r w:rsidRPr="0D903C44">
              <w:rPr>
                <w:rFonts w:ascii="Verdana" w:eastAsia="Calibri" w:hAnsi="Verdana" w:cs="Arial"/>
                <w:lang w:val="es-ES"/>
              </w:rPr>
              <w:t xml:space="preserve">. Los Documentos Tipo de licitación de obra pública de infraestructura social – versión 2, sí resultan aplicables a procesos contractuales orientados a la ejecución de intervenciones de mantenimientos, adecuación o reparación de sedes institucionales de la </w:t>
            </w:r>
            <w:proofErr w:type="gramStart"/>
            <w:r w:rsidRPr="0D903C44">
              <w:rPr>
                <w:rFonts w:ascii="Verdana" w:eastAsia="Calibri" w:hAnsi="Verdana" w:cs="Arial"/>
                <w:lang w:val="es-ES"/>
              </w:rPr>
              <w:t>Fiscalía General</w:t>
            </w:r>
            <w:proofErr w:type="gramEnd"/>
            <w:r w:rsidRPr="0D903C44">
              <w:rPr>
                <w:rFonts w:ascii="Verdana" w:eastAsia="Calibri" w:hAnsi="Verdana" w:cs="Arial"/>
                <w:lang w:val="es-ES"/>
              </w:rPr>
              <w:t xml:space="preserve"> de la Nación, aun cuando estos procesos se estructuren bajo esquemas de forma de pago a monto agotable y las cantidades de obras no puedan determinarse con exactitud desde la etapa de planeación. Esto considerando que las actividades señaladas, se encuentran comprendidas dentro del capítulo 2 “Obras en proyectos de infraestructura institucional de servicio público” de la Matriz 1 – Experiencia. </w:t>
            </w:r>
          </w:p>
          <w:p w14:paraId="50EABD3F"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rPr>
            </w:pPr>
            <w:r w:rsidRPr="00E158A8">
              <w:rPr>
                <w:rFonts w:ascii="Verdana" w:eastAsia="Calibri" w:hAnsi="Verdana" w:cs="Arial"/>
                <w:lang w:val="es-ES_tradnl"/>
              </w:rPr>
              <w:t xml:space="preserve">En este sentido, la naturaleza de las actividades a ejecutar –y no la forma específica de estructuración económica del contrato– es el criterio determinante para establecer la aplicación de los Documentos Tipo. Así, cuando el objeto contractual recae sobre intervenciones en infraestructura institucional de servicio público, como sedes administrativas o judiciales, se configura el </w:t>
            </w:r>
            <w:proofErr w:type="spellStart"/>
            <w:r w:rsidRPr="00E158A8">
              <w:rPr>
                <w:rFonts w:ascii="Verdana" w:eastAsia="Calibri" w:hAnsi="Verdana" w:cs="Arial"/>
                <w:lang w:val="es-ES_tradnl"/>
              </w:rPr>
              <w:t>supu</w:t>
            </w:r>
            <w:proofErr w:type="spellEnd"/>
            <w:r w:rsidRPr="00E158A8">
              <w:rPr>
                <w:rFonts w:ascii="Verdana" w:eastAsia="Calibri" w:hAnsi="Verdana" w:cs="Arial"/>
                <w:color w:val="000000"/>
              </w:rPr>
              <w:t xml:space="preserve">esto de hecho que activa la obligación de emplear los documentos tipo, siempre que el proceso se adelante bajo una de las modalidades de selección para las cuales estos han sido adoptados. </w:t>
            </w:r>
          </w:p>
          <w:p w14:paraId="586AE843"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rPr>
            </w:pPr>
            <w:r w:rsidRPr="00E158A8">
              <w:rPr>
                <w:rFonts w:ascii="Verdana" w:eastAsia="Calibri" w:hAnsi="Verdana" w:cs="Arial"/>
                <w:color w:val="000000"/>
              </w:rPr>
              <w:t xml:space="preserve">El hecho de que el contrato se estructure bajo una modalidad de monto agotable, usualmente asociada a precios unitarios y a la ejecución por demanda, no desnaturaliza su carácter ni lo sustrae del ámbito de aplicación de los Documentos Tipo. Por el contrario, este tipo de esquemas resulta compatible con contratos en los cuales las cantidades de obra son </w:t>
            </w:r>
            <w:r w:rsidRPr="00E158A8">
              <w:rPr>
                <w:rFonts w:ascii="Verdana" w:eastAsia="Calibri" w:hAnsi="Verdana" w:cs="Arial"/>
                <w:color w:val="000000"/>
              </w:rPr>
              <w:lastRenderedPageBreak/>
              <w:t>indeterminadas o variables, siempre que exista un presupuesto oficial que opere como límite máximo y que la entidad haya definido, desde la etapa de planeación, las condiciones técnicas, económicas y de riesgo que permitan garantizar la adecuada ejecución del contrato.</w:t>
            </w:r>
          </w:p>
          <w:p w14:paraId="185D2C08" w14:textId="77777777" w:rsidR="00E158A8" w:rsidRPr="00E158A8" w:rsidRDefault="00E158A8" w:rsidP="00E158A8">
            <w:pPr>
              <w:tabs>
                <w:tab w:val="center" w:pos="4244"/>
              </w:tabs>
              <w:spacing w:line="276" w:lineRule="auto"/>
              <w:ind w:firstLine="709"/>
              <w:jc w:val="both"/>
              <w:rPr>
                <w:rFonts w:ascii="Verdana" w:eastAsia="Calibri" w:hAnsi="Verdana" w:cs="Arial"/>
                <w:color w:val="000000"/>
              </w:rPr>
            </w:pPr>
            <w:r w:rsidRPr="00E158A8">
              <w:rPr>
                <w:rFonts w:ascii="Verdana" w:eastAsia="Calibri" w:hAnsi="Verdana" w:cs="Arial"/>
                <w:color w:val="000000"/>
              </w:rPr>
              <w:t xml:space="preserve">En consecuencia, la utilización de una modalidad de pago a monto agotable no constituye un criterio excluyente para la aplicación de los Documentos Tipo, ni habilita a la entidad para apartarse de estos. Por el contrario, su obligatoriedad subsiste cuando concurren los supuestos normativos señalados con anterioridad. </w:t>
            </w:r>
          </w:p>
        </w:tc>
      </w:tr>
    </w:tbl>
    <w:p w14:paraId="405F5F36" w14:textId="77777777" w:rsidR="00E158A8" w:rsidRPr="00E158A8" w:rsidRDefault="00E158A8" w:rsidP="00E158A8">
      <w:pPr>
        <w:tabs>
          <w:tab w:val="left" w:pos="142"/>
          <w:tab w:val="left" w:pos="284"/>
        </w:tabs>
        <w:spacing w:after="0" w:line="276" w:lineRule="auto"/>
        <w:jc w:val="both"/>
        <w:rPr>
          <w:rFonts w:ascii="Verdana" w:eastAsia="Century Gothic" w:hAnsi="Verdana" w:cs="Century Gothic"/>
          <w:b/>
          <w:bCs/>
          <w:lang w:val="es-ES" w:eastAsia="es-MX"/>
        </w:rPr>
      </w:pPr>
    </w:p>
    <w:p w14:paraId="25D46818" w14:textId="77777777" w:rsidR="00E158A8" w:rsidRPr="00E158A8" w:rsidRDefault="00E158A8" w:rsidP="00E158A8">
      <w:pPr>
        <w:tabs>
          <w:tab w:val="left" w:pos="142"/>
          <w:tab w:val="left" w:pos="284"/>
        </w:tabs>
        <w:spacing w:after="0" w:line="276" w:lineRule="auto"/>
        <w:jc w:val="both"/>
        <w:rPr>
          <w:rFonts w:ascii="Verdana" w:eastAsia="Century Gothic" w:hAnsi="Verdana" w:cs="Century Gothic"/>
          <w:b/>
          <w:bCs/>
          <w:lang w:val="es-ES" w:eastAsia="es-MX"/>
        </w:rPr>
      </w:pPr>
      <w:r w:rsidRPr="00E158A8">
        <w:rPr>
          <w:rFonts w:ascii="Verdana" w:eastAsia="Century Gothic" w:hAnsi="Verdana" w:cs="Century Gothic"/>
          <w:b/>
          <w:bCs/>
          <w:lang w:val="es-ES" w:eastAsia="es-MX"/>
        </w:rPr>
        <w:t>3. Razones de la respuesta:</w:t>
      </w:r>
    </w:p>
    <w:p w14:paraId="60AA3383" w14:textId="77777777" w:rsidR="00E158A8" w:rsidRPr="00E158A8" w:rsidRDefault="00E158A8" w:rsidP="00E158A8">
      <w:pPr>
        <w:spacing w:after="0" w:line="276" w:lineRule="auto"/>
        <w:jc w:val="both"/>
        <w:rPr>
          <w:rFonts w:ascii="Verdana" w:eastAsia="Calibri" w:hAnsi="Verdana" w:cs="Arial"/>
          <w:lang w:val="es-ES" w:eastAsia="es-MX"/>
        </w:rPr>
      </w:pPr>
    </w:p>
    <w:p w14:paraId="7C871DC6" w14:textId="77777777" w:rsidR="00E158A8" w:rsidRPr="00E158A8" w:rsidRDefault="00E158A8" w:rsidP="00E158A8">
      <w:pPr>
        <w:spacing w:after="0" w:line="276" w:lineRule="auto"/>
        <w:jc w:val="both"/>
        <w:rPr>
          <w:rFonts w:ascii="Verdana" w:eastAsia="Calibri" w:hAnsi="Verdana" w:cs="Arial"/>
          <w:lang w:val="es-ES" w:eastAsia="es-MX"/>
        </w:rPr>
      </w:pPr>
      <w:r w:rsidRPr="00E158A8">
        <w:rPr>
          <w:rFonts w:ascii="Verdana" w:eastAsia="Calibri" w:hAnsi="Verdana" w:cs="Arial"/>
          <w:lang w:val="es-ES" w:eastAsia="es-MX"/>
        </w:rPr>
        <w:t xml:space="preserve">Lo anterior se sustenta en las siguientes consideraciones: </w:t>
      </w:r>
    </w:p>
    <w:p w14:paraId="668E386D" w14:textId="77777777" w:rsidR="00E158A8" w:rsidRPr="00E158A8" w:rsidRDefault="00E158A8" w:rsidP="00E158A8">
      <w:pPr>
        <w:spacing w:after="0" w:line="276" w:lineRule="auto"/>
        <w:jc w:val="both"/>
        <w:rPr>
          <w:rFonts w:ascii="Verdana" w:eastAsia="Calibri" w:hAnsi="Verdana" w:cs="Arial"/>
          <w:lang w:val="es-ES" w:eastAsia="es-MX"/>
        </w:rPr>
      </w:pPr>
    </w:p>
    <w:p w14:paraId="7917A568" w14:textId="77777777" w:rsidR="00E158A8" w:rsidRPr="00E158A8" w:rsidRDefault="00E158A8" w:rsidP="00E158A8">
      <w:pPr>
        <w:spacing w:after="120" w:line="276" w:lineRule="auto"/>
        <w:jc w:val="both"/>
        <w:rPr>
          <w:rFonts w:ascii="Verdana" w:eastAsia="Aptos" w:hAnsi="Verdana" w:cs="Arial"/>
          <w:lang w:eastAsia="es-MX"/>
        </w:rPr>
      </w:pPr>
      <w:r w:rsidRPr="00E158A8">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B3171A2" w14:textId="77777777" w:rsidR="00E158A8" w:rsidRPr="00E158A8" w:rsidRDefault="00E158A8" w:rsidP="00E158A8">
      <w:pPr>
        <w:spacing w:after="120" w:line="276" w:lineRule="auto"/>
        <w:ind w:firstLine="708"/>
        <w:jc w:val="both"/>
        <w:rPr>
          <w:rFonts w:ascii="Verdana" w:eastAsia="Aptos" w:hAnsi="Verdana" w:cs="Arial"/>
          <w:lang w:eastAsia="es-MX"/>
        </w:rPr>
      </w:pPr>
      <w:r w:rsidRPr="00E158A8">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2E10813"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r w:rsidRPr="00E158A8">
        <w:rPr>
          <w:rFonts w:ascii="Verdana" w:eastAsia="Aptos" w:hAnsi="Verdana" w:cs="Arial"/>
          <w:lang w:eastAsia="es-MX"/>
        </w:rPr>
        <w:t xml:space="preserve">En el sector social, </w:t>
      </w:r>
      <w:r w:rsidRPr="00E158A8">
        <w:rPr>
          <w:rFonts w:ascii="Verdana" w:eastAsia="Calibri" w:hAnsi="Verdana" w:cs="Arial"/>
          <w:lang w:val="es-MX" w:eastAsia="es-MX"/>
        </w:rPr>
        <w:t xml:space="preserve">la Agencia Nacional de Contratación Pública – Colombia Compra </w:t>
      </w:r>
      <w:r w:rsidRPr="00E158A8">
        <w:rPr>
          <w:rFonts w:ascii="Verdana" w:eastAsia="Calibri" w:hAnsi="Verdana" w:cs="Arial"/>
          <w:lang w:eastAsia="es-MX"/>
        </w:rPr>
        <w:t xml:space="preserve">Eficiente </w:t>
      </w:r>
      <w:r w:rsidRPr="00E158A8">
        <w:rPr>
          <w:rFonts w:ascii="Verdana" w:eastAsia="Times New Roman" w:hAnsi="Verdana" w:cs="Times New Roman"/>
          <w:color w:val="000000"/>
          <w:lang w:eastAsia="es-CO"/>
        </w:rPr>
        <w:t>en el segundo semestre del año 2025 adoptó las siguientes Resoluciones para contratar obra pública y concurso de méritos:</w:t>
      </w:r>
    </w:p>
    <w:p w14:paraId="1DFFB1E6"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r w:rsidRPr="00E158A8">
        <w:rPr>
          <w:rFonts w:ascii="Verdana" w:eastAsia="Times New Roman" w:hAnsi="Verdana" w:cs="Times New Roman"/>
          <w:color w:val="000000"/>
          <w:lang w:eastAsia="es-CO"/>
        </w:rPr>
        <w:t xml:space="preserve">i) Resolución 539 del 21 de agosto de 2015 "Por la cual se adopta la versión -2- de los documentos tipo para los procesos de selección de licitación </w:t>
      </w:r>
      <w:r w:rsidRPr="00E158A8">
        <w:rPr>
          <w:rFonts w:ascii="Verdana" w:eastAsia="Times New Roman" w:hAnsi="Verdana" w:cs="Times New Roman"/>
          <w:color w:val="000000"/>
          <w:lang w:eastAsia="es-CO"/>
        </w:rPr>
        <w:lastRenderedPageBreak/>
        <w:t>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55874BB"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r w:rsidRPr="00E158A8">
        <w:rPr>
          <w:rFonts w:ascii="Verdana" w:eastAsia="Times New Roman" w:hAnsi="Verdana" w:cs="Times New Roman"/>
          <w:color w:val="000000"/>
          <w:lang w:eastAsia="es-CO"/>
        </w:rPr>
        <w:t xml:space="preserve"> </w:t>
      </w:r>
      <w:proofErr w:type="spellStart"/>
      <w:r w:rsidRPr="00E158A8">
        <w:rPr>
          <w:rFonts w:ascii="Verdana" w:eastAsia="Times New Roman" w:hAnsi="Verdana" w:cs="Times New Roman"/>
          <w:color w:val="000000"/>
          <w:lang w:eastAsia="es-CO"/>
        </w:rPr>
        <w:t>ii</w:t>
      </w:r>
      <w:proofErr w:type="spellEnd"/>
      <w:r w:rsidRPr="00E158A8">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D832244"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proofErr w:type="spellStart"/>
      <w:r w:rsidRPr="00E158A8">
        <w:rPr>
          <w:rFonts w:ascii="Verdana" w:eastAsia="Times New Roman" w:hAnsi="Verdana" w:cs="Times New Roman"/>
          <w:color w:val="000000"/>
          <w:lang w:eastAsia="es-CO"/>
        </w:rPr>
        <w:t>iii</w:t>
      </w:r>
      <w:proofErr w:type="spellEnd"/>
      <w:r w:rsidRPr="00E158A8">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AC67FF8"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proofErr w:type="spellStart"/>
      <w:r w:rsidRPr="00E158A8">
        <w:rPr>
          <w:rFonts w:ascii="Verdana" w:eastAsia="Times New Roman" w:hAnsi="Verdana" w:cs="Times New Roman"/>
          <w:color w:val="000000"/>
          <w:lang w:eastAsia="es-CO"/>
        </w:rPr>
        <w:t>iv</w:t>
      </w:r>
      <w:proofErr w:type="spellEnd"/>
      <w:r w:rsidRPr="00E158A8">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C280AD5" w14:textId="77777777" w:rsidR="00E158A8" w:rsidRPr="00E158A8" w:rsidRDefault="00E158A8" w:rsidP="00E158A8">
      <w:pPr>
        <w:spacing w:after="120" w:line="276" w:lineRule="auto"/>
        <w:ind w:firstLine="708"/>
        <w:jc w:val="both"/>
        <w:rPr>
          <w:rFonts w:ascii="Verdana" w:eastAsia="Times New Roman" w:hAnsi="Verdana" w:cs="Times New Roman"/>
          <w:color w:val="000000"/>
          <w:lang w:eastAsia="es-CO"/>
        </w:rPr>
      </w:pPr>
      <w:r w:rsidRPr="00E158A8">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E158A8">
        <w:rPr>
          <w:rFonts w:ascii="Verdana" w:eastAsia="Aptos" w:hAnsi="Verdana" w:cs="Times New Roman"/>
          <w:lang w:eastAsia="es-MX"/>
        </w:rPr>
        <w:t xml:space="preserve"> </w:t>
      </w:r>
    </w:p>
    <w:p w14:paraId="273480FF" w14:textId="77777777" w:rsidR="00E158A8" w:rsidRPr="00E158A8" w:rsidRDefault="00E158A8" w:rsidP="00E158A8">
      <w:pPr>
        <w:spacing w:after="120" w:line="276" w:lineRule="auto"/>
        <w:ind w:firstLine="708"/>
        <w:jc w:val="both"/>
        <w:textAlignment w:val="baseline"/>
        <w:rPr>
          <w:rFonts w:ascii="Verdana" w:eastAsia="Calibri" w:hAnsi="Verdana" w:cs="Arial"/>
          <w:lang w:eastAsia="es-MX"/>
        </w:rPr>
      </w:pPr>
      <w:r w:rsidRPr="00E158A8">
        <w:rPr>
          <w:rFonts w:ascii="Verdana" w:eastAsia="Aptos" w:hAnsi="Verdana" w:cs="Times New Roman"/>
          <w:lang w:eastAsia="es-MX"/>
        </w:rPr>
        <w:t xml:space="preserve">Las Resoluciones 539, 540 y 541 del 21 de agosto de 2025, así como las Resoluciones 952 y 953 del 15 de diciembre de 2025, adoptadas en el sector de </w:t>
      </w:r>
      <w:r w:rsidRPr="00E158A8">
        <w:rPr>
          <w:rFonts w:ascii="Verdana" w:eastAsia="Aptos" w:hAnsi="Verdana" w:cs="Times New Roman"/>
          <w:lang w:eastAsia="es-MX"/>
        </w:rPr>
        <w:lastRenderedPageBreak/>
        <w:t>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158A8">
        <w:rPr>
          <w:rFonts w:ascii="Verdana" w:eastAsia="Calibri" w:hAnsi="Verdana" w:cs="Arial"/>
          <w:vertAlign w:val="superscript"/>
          <w:lang w:eastAsia="es-MX"/>
        </w:rPr>
        <w:footnoteReference w:id="6"/>
      </w:r>
      <w:r w:rsidRPr="00E158A8">
        <w:rPr>
          <w:rFonts w:ascii="Verdana" w:eastAsia="Calibri" w:hAnsi="Verdana" w:cs="Arial"/>
          <w:lang w:eastAsia="es-MX"/>
        </w:rPr>
        <w:t>.</w:t>
      </w:r>
    </w:p>
    <w:p w14:paraId="2445749B" w14:textId="77777777" w:rsidR="00E158A8" w:rsidRPr="00E158A8" w:rsidRDefault="00E158A8" w:rsidP="00E158A8">
      <w:pPr>
        <w:widowControl w:val="0"/>
        <w:autoSpaceDE w:val="0"/>
        <w:autoSpaceDN w:val="0"/>
        <w:spacing w:after="12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158A8">
        <w:rPr>
          <w:rFonts w:ascii="Verdana" w:eastAsia="Calibri" w:hAnsi="Verdana" w:cs="Times New Roman"/>
          <w:shd w:val="clear" w:color="auto" w:fill="E8E8E8"/>
          <w:lang w:val="es-ES" w:eastAsia="es-MX"/>
        </w:rPr>
        <w:t>–[texto]–,</w:t>
      </w:r>
      <w:r w:rsidRPr="00E158A8">
        <w:rPr>
          <w:rFonts w:ascii="Verdana" w:eastAsia="Calibri" w:hAnsi="Verdana" w:cs="Times New Roman"/>
          <w:lang w:val="es-ES" w:eastAsia="es-MX"/>
        </w:rPr>
        <w:t xml:space="preserve"> para lo cual deberán observarse las </w:t>
      </w:r>
      <w:r w:rsidRPr="00E158A8">
        <w:rPr>
          <w:rFonts w:ascii="Verdana" w:eastAsia="Calibri" w:hAnsi="Verdana" w:cs="Times New Roman"/>
          <w:lang w:val="es-ES" w:eastAsia="es-MX"/>
        </w:rPr>
        <w:lastRenderedPageBreak/>
        <w:t>instrucciones contenidas en los mismos para su diligenciamiento.</w:t>
      </w:r>
    </w:p>
    <w:p w14:paraId="17971A1B" w14:textId="77777777" w:rsidR="00E158A8" w:rsidRPr="00E158A8" w:rsidRDefault="00E158A8" w:rsidP="00E158A8">
      <w:pPr>
        <w:widowControl w:val="0"/>
        <w:autoSpaceDE w:val="0"/>
        <w:autoSpaceDN w:val="0"/>
        <w:spacing w:after="12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AD12F57" w14:textId="77777777" w:rsidR="00E158A8" w:rsidRPr="00E158A8" w:rsidRDefault="00E158A8" w:rsidP="00E158A8">
      <w:pPr>
        <w:widowControl w:val="0"/>
        <w:autoSpaceDE w:val="0"/>
        <w:autoSpaceDN w:val="0"/>
        <w:spacing w:after="12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611D28D" w14:textId="77777777" w:rsidR="00E158A8" w:rsidRPr="00E158A8" w:rsidRDefault="00E158A8" w:rsidP="00E158A8">
      <w:pPr>
        <w:widowControl w:val="0"/>
        <w:autoSpaceDE w:val="0"/>
        <w:autoSpaceDN w:val="0"/>
        <w:spacing w:after="12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4C76308" w14:textId="77777777" w:rsidR="00E158A8" w:rsidRPr="00E158A8" w:rsidRDefault="00E158A8" w:rsidP="00E158A8">
      <w:pPr>
        <w:widowControl w:val="0"/>
        <w:autoSpaceDE w:val="0"/>
        <w:autoSpaceDN w:val="0"/>
        <w:spacing w:after="12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02F14C2" w14:textId="77777777" w:rsidR="00E158A8" w:rsidRPr="00E158A8" w:rsidRDefault="00E158A8" w:rsidP="00E158A8">
      <w:pPr>
        <w:widowControl w:val="0"/>
        <w:autoSpaceDE w:val="0"/>
        <w:autoSpaceDN w:val="0"/>
        <w:spacing w:after="0" w:line="276" w:lineRule="auto"/>
        <w:ind w:firstLine="708"/>
        <w:jc w:val="both"/>
        <w:rPr>
          <w:rFonts w:ascii="Verdana" w:eastAsia="Calibri" w:hAnsi="Verdana" w:cs="Times New Roman"/>
          <w:lang w:val="es-ES" w:eastAsia="es-MX"/>
        </w:rPr>
      </w:pPr>
      <w:r w:rsidRPr="00E158A8">
        <w:rPr>
          <w:rFonts w:ascii="Verdana" w:eastAsia="Calibri" w:hAnsi="Verdana" w:cs="Times New Roman"/>
          <w:lang w:val="es-ES" w:eastAsia="es-MX"/>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w:t>
      </w:r>
      <w:r w:rsidRPr="00E158A8">
        <w:rPr>
          <w:rFonts w:ascii="Verdana" w:eastAsia="Calibri" w:hAnsi="Verdana" w:cs="Times New Roman"/>
          <w:lang w:val="es-ES" w:eastAsia="es-MX"/>
        </w:rPr>
        <w:lastRenderedPageBreak/>
        <w:t>de los tipos actividades concretas señaladas en cada una de las matrices de experiencia, se tendrán que aplicar estos documentos tipo para los mencionados sectores −según corresponda−, mientras que en el caso contrario no será forzosa su aplicación.</w:t>
      </w:r>
    </w:p>
    <w:p w14:paraId="293C0AB4" w14:textId="77777777" w:rsidR="00E158A8" w:rsidRPr="00E158A8" w:rsidRDefault="00E158A8" w:rsidP="00E158A8">
      <w:pPr>
        <w:widowControl w:val="0"/>
        <w:autoSpaceDE w:val="0"/>
        <w:autoSpaceDN w:val="0"/>
        <w:spacing w:after="0" w:line="276" w:lineRule="auto"/>
        <w:ind w:firstLine="708"/>
        <w:jc w:val="both"/>
        <w:rPr>
          <w:rFonts w:ascii="Verdana" w:eastAsia="Calibri" w:hAnsi="Verdana" w:cs="Times New Roman"/>
          <w:lang w:val="es-ES" w:eastAsia="es-MX"/>
        </w:rPr>
      </w:pPr>
    </w:p>
    <w:p w14:paraId="7F736604" w14:textId="0021F601" w:rsidR="00E158A8" w:rsidRPr="00E158A8" w:rsidRDefault="00E158A8" w:rsidP="00E158A8">
      <w:pPr>
        <w:spacing w:after="0" w:line="276" w:lineRule="auto"/>
        <w:jc w:val="both"/>
        <w:rPr>
          <w:rFonts w:ascii="Verdana" w:eastAsia="Calibri" w:hAnsi="Verdana" w:cs="Times New Roman"/>
          <w:lang w:eastAsia="es-MX"/>
        </w:rPr>
      </w:pPr>
      <w:proofErr w:type="spellStart"/>
      <w:r w:rsidRPr="00E158A8">
        <w:rPr>
          <w:rFonts w:ascii="Verdana" w:eastAsia="Calibri" w:hAnsi="Verdana" w:cs="Times New Roman"/>
          <w:lang w:val="es-ES" w:eastAsia="es-MX"/>
        </w:rPr>
        <w:t>ii</w:t>
      </w:r>
      <w:proofErr w:type="spellEnd"/>
      <w:r w:rsidRPr="00E158A8">
        <w:rPr>
          <w:rFonts w:ascii="Verdana" w:eastAsia="Calibri" w:hAnsi="Verdana" w:cs="Times New Roman"/>
          <w:lang w:val="es-ES" w:eastAsia="es-MX"/>
        </w:rPr>
        <w:t xml:space="preserve">. </w:t>
      </w:r>
      <w:r w:rsidRPr="00E158A8">
        <w:rPr>
          <w:rFonts w:ascii="Verdana" w:eastAsia="Times New Roman" w:hAnsi="Verdana" w:cs="Times New Roman"/>
          <w:color w:val="000000"/>
          <w:lang w:eastAsia="es-CO"/>
        </w:rPr>
        <w:t>En los documentos tipo complementarios del</w:t>
      </w:r>
      <w:r w:rsidR="00B26B8B">
        <w:rPr>
          <w:rFonts w:ascii="Verdana" w:eastAsia="Times New Roman" w:hAnsi="Verdana" w:cs="Times New Roman"/>
          <w:color w:val="000000"/>
          <w:lang w:eastAsia="es-CO"/>
        </w:rPr>
        <w:t xml:space="preserve"> sector</w:t>
      </w:r>
      <w:r w:rsidRPr="00E158A8">
        <w:rPr>
          <w:rFonts w:ascii="Verdana" w:eastAsia="Times New Roman" w:hAnsi="Verdana" w:cs="Times New Roman"/>
          <w:color w:val="000000"/>
          <w:lang w:eastAsia="es-CO"/>
        </w:rPr>
        <w:t xml:space="preserve"> Institucional, en la modalidad de licitación pública, selección abreviada de menor cuantía y mínima cuantía, en la Matriz 1 se encuentran los siguientes tipos de infraestructura:</w:t>
      </w:r>
      <w:r w:rsidRPr="00E158A8">
        <w:rPr>
          <w:rFonts w:ascii="Times New Roman" w:eastAsia="Arial" w:hAnsi="Times New Roman" w:cs="Aptos"/>
          <w:lang w:eastAsia="es-ES"/>
        </w:rPr>
        <w:t xml:space="preserve"> </w:t>
      </w:r>
      <w:r w:rsidRPr="00E158A8">
        <w:rPr>
          <w:rFonts w:ascii="Verdana" w:eastAsia="Arial" w:hAnsi="Verdana" w:cs="Aptos"/>
          <w:lang w:eastAsia="es-ES"/>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E158A8">
        <w:rPr>
          <w:rFonts w:ascii="Verdana" w:eastAsia="Times New Roman" w:hAnsi="Verdana" w:cs="Arial"/>
          <w:lang w:eastAsia="es-MX"/>
        </w:rPr>
        <w:t>.</w:t>
      </w:r>
      <w:r w:rsidRPr="00E158A8">
        <w:rPr>
          <w:rFonts w:ascii="Verdana" w:eastAsia="Calibri" w:hAnsi="Verdana" w:cs="Times New Roman"/>
          <w:lang w:eastAsia="es-MX"/>
        </w:rPr>
        <w:t xml:space="preserve"> Particularmente, en relación con el primer problema jurídico planteado en este concepto, en el Capítulo dos (2</w:t>
      </w:r>
      <w:proofErr w:type="gramStart"/>
      <w:r w:rsidRPr="00E158A8">
        <w:rPr>
          <w:rFonts w:ascii="Verdana" w:eastAsia="Calibri" w:hAnsi="Verdana" w:cs="Times New Roman"/>
          <w:lang w:eastAsia="es-MX"/>
        </w:rPr>
        <w:t>)  “</w:t>
      </w:r>
      <w:proofErr w:type="gramEnd"/>
      <w:r w:rsidRPr="00E158A8">
        <w:rPr>
          <w:rFonts w:ascii="Verdana" w:eastAsia="Arial" w:hAnsi="Verdana" w:cs="Aptos"/>
          <w:lang w:eastAsia="es-ES"/>
        </w:rPr>
        <w:t>Obras en proyectos de infraestructura institucional de servicio público”,</w:t>
      </w:r>
      <w:r w:rsidRPr="00E158A8">
        <w:rPr>
          <w:rFonts w:ascii="Verdana" w:eastAsia="Calibri" w:hAnsi="Verdana" w:cs="Times New Roman"/>
          <w:lang w:eastAsia="es-MX"/>
        </w:rPr>
        <w:t xml:space="preserve"> se incluyen las siguientes actividades que recaen sobre las que indaga en su solicitud:  </w:t>
      </w:r>
    </w:p>
    <w:p w14:paraId="091DB2C0" w14:textId="77777777" w:rsidR="00E158A8" w:rsidRPr="00E158A8" w:rsidRDefault="00E158A8" w:rsidP="00E158A8">
      <w:pPr>
        <w:spacing w:after="0" w:line="276" w:lineRule="auto"/>
        <w:ind w:firstLine="708"/>
        <w:jc w:val="both"/>
        <w:rPr>
          <w:rFonts w:ascii="Verdana" w:eastAsia="Calibri" w:hAnsi="Verdana" w:cs="Times New Roman"/>
          <w:lang w:eastAsia="es-MX"/>
        </w:rPr>
      </w:pPr>
    </w:p>
    <w:p w14:paraId="535F16A3" w14:textId="77777777" w:rsidR="00E158A8" w:rsidRPr="00E158A8" w:rsidRDefault="00E158A8" w:rsidP="00E158A8">
      <w:pPr>
        <w:snapToGrid w:val="0"/>
        <w:spacing w:after="120" w:line="240" w:lineRule="auto"/>
        <w:ind w:left="709" w:right="709"/>
        <w:jc w:val="both"/>
        <w:rPr>
          <w:rFonts w:ascii="Verdana" w:eastAsia="Arial" w:hAnsi="Verdana" w:cs="Aptos"/>
          <w:i/>
          <w:iCs/>
          <w:sz w:val="21"/>
          <w:szCs w:val="21"/>
          <w:lang w:eastAsia="es-ES"/>
        </w:rPr>
      </w:pPr>
      <w:r w:rsidRPr="00E158A8">
        <w:rPr>
          <w:rFonts w:ascii="Verdana" w:eastAsia="Calibri" w:hAnsi="Verdana" w:cs="Times New Roman"/>
          <w:sz w:val="21"/>
          <w:szCs w:val="21"/>
          <w:lang w:eastAsia="es-MX"/>
        </w:rPr>
        <w:t>“</w:t>
      </w:r>
      <w:r w:rsidRPr="00E158A8">
        <w:rPr>
          <w:rFonts w:ascii="Verdana" w:eastAsia="Arial" w:hAnsi="Verdana" w:cs="Aptos"/>
          <w:i/>
          <w:iCs/>
          <w:sz w:val="21"/>
          <w:szCs w:val="21"/>
          <w:lang w:eastAsia="es-ES"/>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w:t>
      </w:r>
    </w:p>
    <w:p w14:paraId="01F44F79" w14:textId="77777777" w:rsidR="00E158A8" w:rsidRPr="00E158A8" w:rsidRDefault="00E158A8" w:rsidP="00E158A8">
      <w:pPr>
        <w:snapToGrid w:val="0"/>
        <w:spacing w:after="120" w:line="240" w:lineRule="auto"/>
        <w:ind w:left="709" w:right="709"/>
        <w:jc w:val="both"/>
        <w:rPr>
          <w:rFonts w:ascii="Verdana" w:eastAsia="Arial" w:hAnsi="Verdana" w:cs="Aptos"/>
          <w:i/>
          <w:iCs/>
          <w:sz w:val="21"/>
          <w:szCs w:val="21"/>
          <w:lang w:eastAsia="es-ES"/>
        </w:rPr>
      </w:pPr>
      <w:r w:rsidRPr="00E158A8">
        <w:rPr>
          <w:rFonts w:ascii="Verdana" w:eastAsia="Arial" w:hAnsi="Verdana" w:cs="Aptos"/>
          <w:i/>
          <w:iCs/>
          <w:sz w:val="21"/>
          <w:szCs w:val="21"/>
          <w:lang w:eastAsia="es-ES"/>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PÚBLICO.</w:t>
      </w:r>
    </w:p>
    <w:p w14:paraId="149989C9" w14:textId="77777777" w:rsidR="00E158A8" w:rsidRPr="00E158A8" w:rsidRDefault="00E158A8" w:rsidP="00E158A8">
      <w:pPr>
        <w:snapToGrid w:val="0"/>
        <w:spacing w:after="0" w:line="240" w:lineRule="auto"/>
        <w:ind w:left="709" w:right="709"/>
        <w:jc w:val="both"/>
        <w:rPr>
          <w:rFonts w:ascii="Verdana" w:eastAsia="Arial" w:hAnsi="Verdana" w:cs="Aptos"/>
          <w:i/>
          <w:iCs/>
          <w:sz w:val="21"/>
          <w:szCs w:val="21"/>
          <w:lang w:eastAsia="es-ES"/>
        </w:rPr>
      </w:pPr>
      <w:r w:rsidRPr="00E158A8">
        <w:rPr>
          <w:rFonts w:ascii="Verdana" w:eastAsia="Arial" w:hAnsi="Verdana" w:cs="Aptos"/>
          <w:i/>
          <w:iCs/>
          <w:sz w:val="21"/>
          <w:szCs w:val="21"/>
          <w:lang w:eastAsia="es-ES"/>
        </w:rPr>
        <w:lastRenderedPageBreak/>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w:t>
      </w:r>
      <w:r w:rsidRPr="00E158A8">
        <w:rPr>
          <w:rFonts w:ascii="Verdana" w:eastAsia="Calibri" w:hAnsi="Verdana" w:cs="Times New Roman"/>
          <w:sz w:val="21"/>
          <w:szCs w:val="21"/>
          <w:lang w:eastAsia="es-MX"/>
        </w:rPr>
        <w:t xml:space="preserve">”. </w:t>
      </w:r>
    </w:p>
    <w:p w14:paraId="614799AB" w14:textId="77777777" w:rsidR="00E158A8" w:rsidRPr="00E158A8" w:rsidRDefault="00E158A8" w:rsidP="00E158A8">
      <w:pPr>
        <w:spacing w:after="0" w:line="276" w:lineRule="auto"/>
        <w:ind w:firstLine="708"/>
        <w:jc w:val="both"/>
        <w:rPr>
          <w:rFonts w:ascii="Verdana" w:eastAsia="Calibri" w:hAnsi="Verdana" w:cs="Times New Roman"/>
          <w:lang w:eastAsia="es-MX"/>
        </w:rPr>
      </w:pPr>
    </w:p>
    <w:p w14:paraId="12DF2810" w14:textId="77777777" w:rsidR="00E158A8" w:rsidRPr="00E158A8" w:rsidRDefault="00E158A8" w:rsidP="00E158A8">
      <w:pPr>
        <w:spacing w:line="278" w:lineRule="auto"/>
        <w:ind w:firstLine="708"/>
        <w:jc w:val="both"/>
        <w:rPr>
          <w:rFonts w:ascii="Verdana" w:eastAsia="Times New Roman" w:hAnsi="Verdana" w:cs="Aptos"/>
          <w:lang w:eastAsia="es-MX"/>
        </w:rPr>
      </w:pPr>
      <w:r w:rsidRPr="00E158A8">
        <w:rPr>
          <w:rFonts w:ascii="Verdana" w:eastAsia="Times New Roman" w:hAnsi="Verdana" w:cs="Aptos"/>
          <w:lang w:eastAsia="es-MX"/>
        </w:rPr>
        <w:t xml:space="preserve">Las actividades señaladas, contenidas en la Matriz 1 – Experiencia de los documentos tipo del sector Institucional, de manera general corresponden a la adecuación, conservación, intervención, mantenimiento, mejoramiento, modificación, optimización, rehabilitación, remodelación, reposición, reparación locativa, restauración, restitución, terminación, entre otras, sobre </w:t>
      </w:r>
      <w:r w:rsidRPr="00E158A8">
        <w:rPr>
          <w:rFonts w:ascii="Verdana" w:eastAsia="Arial" w:hAnsi="Verdana" w:cs="Aptos"/>
          <w:i/>
          <w:iCs/>
          <w:lang w:eastAsia="es-ES"/>
        </w:rPr>
        <w:t>infraestructura de servicio público</w:t>
      </w:r>
      <w:r w:rsidRPr="00E158A8">
        <w:rPr>
          <w:rFonts w:ascii="Verdana" w:eastAsia="Times New Roman" w:hAnsi="Verdana" w:cs="Aptos"/>
          <w:lang w:eastAsia="es-MX"/>
        </w:rPr>
        <w:t>.</w:t>
      </w:r>
    </w:p>
    <w:p w14:paraId="1610B9B8" w14:textId="77777777" w:rsidR="00E158A8" w:rsidRPr="00E158A8" w:rsidRDefault="00E158A8" w:rsidP="00E158A8">
      <w:pPr>
        <w:spacing w:after="120" w:line="276" w:lineRule="auto"/>
        <w:ind w:firstLine="708"/>
        <w:jc w:val="both"/>
        <w:rPr>
          <w:rFonts w:ascii="Verdana" w:eastAsia="Calibri" w:hAnsi="Verdana" w:cs="Arial"/>
          <w:lang w:val="es-ES_tradnl" w:eastAsia="es-MX"/>
        </w:rPr>
      </w:pPr>
      <w:r w:rsidRPr="00E158A8">
        <w:rPr>
          <w:rFonts w:ascii="Verdana" w:eastAsia="Calibri" w:hAnsi="Verdana" w:cs="Arial"/>
          <w:color w:val="0D0D0D"/>
          <w:lang w:eastAsia="es-MX"/>
        </w:rPr>
        <w:t xml:space="preserve">Para </w:t>
      </w:r>
      <w:r w:rsidRPr="00E158A8">
        <w:rPr>
          <w:rFonts w:ascii="Verdana" w:eastAsia="Calibri" w:hAnsi="Verdana" w:cs="Arial"/>
          <w:color w:val="0D0D0D"/>
          <w:lang w:val="es-MX" w:eastAsia="es-MX"/>
        </w:rPr>
        <w:t xml:space="preserve">interpretar el alcance y aplicación de estas actividades, se debe tener en cuenta las </w:t>
      </w:r>
      <w:r w:rsidRPr="00E158A8">
        <w:rPr>
          <w:rFonts w:ascii="Verdana" w:eastAsia="Calibri" w:hAnsi="Verdana" w:cs="Arial"/>
          <w:lang w:val="es-ES_tradnl" w:eastAsia="es-MX"/>
        </w:rPr>
        <w:t>definiciones del “Anexo – Glosario” de los documentos tipo indicados. Esto, en razón a que el numeral 1.10 del documento base dispone que “</w:t>
      </w:r>
      <w:r w:rsidRPr="00E158A8">
        <w:rPr>
          <w:rFonts w:ascii="Verdana" w:eastAsia="Calibri" w:hAnsi="Verdana" w:cs="Arial"/>
          <w:lang w:val="es-MX" w:eastAsia="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158A8">
        <w:rPr>
          <w:rFonts w:ascii="Verdana" w:eastAsia="Calibri" w:hAnsi="Verdana" w:cs="Arial"/>
          <w:lang w:val="es-ES_tradnl" w:eastAsia="es-MX"/>
        </w:rPr>
        <w:t>”.</w:t>
      </w:r>
    </w:p>
    <w:p w14:paraId="1AB17B66" w14:textId="4F083253" w:rsidR="00E158A8" w:rsidRPr="00E158A8" w:rsidRDefault="00E158A8" w:rsidP="00E158A8">
      <w:pPr>
        <w:spacing w:after="120" w:line="276" w:lineRule="auto"/>
        <w:ind w:firstLine="708"/>
        <w:jc w:val="both"/>
        <w:rPr>
          <w:rFonts w:ascii="Verdana" w:eastAsia="Calibri" w:hAnsi="Verdana" w:cs="Arial"/>
          <w:color w:val="0D0D0D"/>
          <w:lang w:eastAsia="es-MX"/>
        </w:rPr>
      </w:pPr>
      <w:r w:rsidRPr="00E158A8">
        <w:rPr>
          <w:rFonts w:ascii="Verdana" w:eastAsia="Calibri" w:hAnsi="Verdana" w:cs="Arial"/>
          <w:lang w:val="es-ES_tradnl" w:eastAsia="es-MX"/>
        </w:rPr>
        <w:t xml:space="preserve">Ahora bien, como se indicó las actividades señaladas recaen sobre </w:t>
      </w:r>
      <w:r w:rsidRPr="00E158A8">
        <w:rPr>
          <w:rFonts w:ascii="Verdana" w:eastAsia="Times New Roman" w:hAnsi="Verdana" w:cs="Calibri"/>
          <w:lang w:eastAsia="es-MX"/>
        </w:rPr>
        <w:t xml:space="preserve">obras en proyectos de infraestructura institucional de servicio público. De esta forma, para determinar qué abarca este tipo de infraestructura, debe indicarse que, de conformidad con la norma </w:t>
      </w:r>
      <w:r w:rsidRPr="00E158A8">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E158A8">
        <w:rPr>
          <w:rFonts w:ascii="Verdana" w:eastAsia="Calibri" w:hAnsi="Verdana" w:cs="Arial"/>
          <w:color w:val="0D0D0D"/>
          <w:vertAlign w:val="superscript"/>
          <w:lang w:eastAsia="es-MX"/>
        </w:rPr>
        <w:footnoteReference w:id="7"/>
      </w:r>
      <w:r w:rsidRPr="00E158A8">
        <w:rPr>
          <w:rFonts w:ascii="Verdana" w:eastAsia="Calibri" w:hAnsi="Verdana" w:cs="Arial"/>
          <w:color w:val="0D0D0D"/>
          <w:lang w:eastAsia="es-MX"/>
        </w:rPr>
        <w:t xml:space="preserve">. Entre las edificaciones o espacios que pertenecen a este Subgrupo se encuentran las siguientes: “Centros de </w:t>
      </w:r>
      <w:r w:rsidRPr="00E158A8">
        <w:rPr>
          <w:rFonts w:ascii="Verdana" w:eastAsia="Calibri" w:hAnsi="Verdana" w:cs="Arial"/>
          <w:color w:val="0D0D0D"/>
          <w:lang w:eastAsia="es-MX"/>
        </w:rPr>
        <w:lastRenderedPageBreak/>
        <w:t>comunicación o administrativos o administrativos de servicios municipales, distritales o gubernamentales, juzgados y otros similares”</w:t>
      </w:r>
      <w:r w:rsidRPr="00E158A8">
        <w:rPr>
          <w:rFonts w:ascii="Verdana" w:eastAsia="Calibri" w:hAnsi="Verdana" w:cs="Arial"/>
          <w:color w:val="0D0D0D"/>
          <w:vertAlign w:val="superscript"/>
          <w:lang w:eastAsia="es-MX"/>
        </w:rPr>
        <w:footnoteReference w:id="8"/>
      </w:r>
      <w:r w:rsidRPr="00E158A8">
        <w:rPr>
          <w:rFonts w:ascii="Verdana" w:eastAsia="Calibri" w:hAnsi="Verdana" w:cs="Arial"/>
          <w:color w:val="0D0D0D"/>
          <w:lang w:eastAsia="es-MX"/>
        </w:rPr>
        <w:t>.</w:t>
      </w:r>
    </w:p>
    <w:p w14:paraId="25D7AA55" w14:textId="77777777" w:rsidR="00E158A8" w:rsidRPr="00E158A8" w:rsidRDefault="00E158A8" w:rsidP="00E158A8">
      <w:pPr>
        <w:spacing w:after="120" w:line="276" w:lineRule="auto"/>
        <w:ind w:firstLine="708"/>
        <w:jc w:val="both"/>
        <w:rPr>
          <w:rFonts w:ascii="Verdana" w:eastAsia="Calibri" w:hAnsi="Verdana" w:cs="Arial"/>
          <w:color w:val="0D0D0D"/>
          <w:lang w:eastAsia="es-MX"/>
        </w:rPr>
      </w:pPr>
      <w:r w:rsidRPr="00E158A8">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E158A8">
        <w:rPr>
          <w:rFonts w:ascii="Verdana" w:eastAsia="Calibri" w:hAnsi="Verdana" w:cs="Arial"/>
          <w:color w:val="0D0D0D"/>
          <w:lang w:eastAsia="es-MX"/>
        </w:rPr>
        <w:t>que</w:t>
      </w:r>
      <w:proofErr w:type="gramEnd"/>
      <w:r w:rsidRPr="00E158A8">
        <w:rPr>
          <w:rFonts w:ascii="Verdana" w:eastAsia="Calibri" w:hAnsi="Verdana" w:cs="Arial"/>
          <w:color w:val="0D0D0D"/>
          <w:lang w:eastAsia="es-MX"/>
        </w:rPr>
        <w:t xml:space="preserve"> por su naturaleza y finalidad, están orientadas a la prestación de servicios públicos y al desarrollo de funciones institucionales del Estado.  </w:t>
      </w:r>
    </w:p>
    <w:p w14:paraId="5DAE5425" w14:textId="77777777" w:rsidR="00E158A8" w:rsidRPr="00E158A8" w:rsidRDefault="00E158A8" w:rsidP="00E158A8">
      <w:pPr>
        <w:spacing w:after="120" w:line="276" w:lineRule="auto"/>
        <w:ind w:firstLine="708"/>
        <w:jc w:val="both"/>
        <w:rPr>
          <w:rFonts w:ascii="Verdana" w:eastAsia="Calibri" w:hAnsi="Verdana" w:cs="Arial"/>
          <w:color w:val="0D0D0D"/>
          <w:lang w:eastAsia="es-MX"/>
        </w:rPr>
      </w:pPr>
      <w:r w:rsidRPr="00E158A8">
        <w:rPr>
          <w:rFonts w:ascii="Verdana" w:eastAsia="Calibri" w:hAnsi="Verdana" w:cs="Arial"/>
          <w:color w:val="0D0D0D"/>
          <w:lang w:eastAsia="es-MX"/>
        </w:rPr>
        <w:t xml:space="preserve">De acuerdo con la definición del Subgrupo de Ocupación Institucional y las edificaciones que este comprende, dentro de este se encuentran las edificaciones institucionales judiciales, entendidas estas como el lugar físico -edificio, oficina- donde un órgano de la administración de justicia -tribunal, juzgado, </w:t>
      </w:r>
      <w:proofErr w:type="spellStart"/>
      <w:r w:rsidRPr="00E158A8">
        <w:rPr>
          <w:rFonts w:ascii="Verdana" w:eastAsia="Calibri" w:hAnsi="Verdana" w:cs="Arial"/>
          <w:color w:val="0D0D0D"/>
          <w:lang w:eastAsia="es-MX"/>
        </w:rPr>
        <w:t>etc</w:t>
      </w:r>
      <w:proofErr w:type="spellEnd"/>
      <w:r w:rsidRPr="00E158A8">
        <w:rPr>
          <w:rFonts w:ascii="Verdana" w:eastAsia="Calibri" w:hAnsi="Verdana" w:cs="Arial"/>
          <w:color w:val="0D0D0D"/>
          <w:lang w:eastAsia="es-MX"/>
        </w:rPr>
        <w:t>- ejercen sus funciones</w:t>
      </w:r>
      <w:r w:rsidRPr="00E158A8">
        <w:rPr>
          <w:rFonts w:ascii="Verdana" w:eastAsia="Calibri" w:hAnsi="Verdana" w:cs="Arial"/>
          <w:color w:val="0D0D0D"/>
          <w:vertAlign w:val="superscript"/>
          <w:lang w:eastAsia="es-MX"/>
        </w:rPr>
        <w:footnoteReference w:id="9"/>
      </w:r>
      <w:r w:rsidRPr="00E158A8">
        <w:rPr>
          <w:rFonts w:ascii="Verdana" w:eastAsia="Calibri" w:hAnsi="Verdana" w:cs="Arial"/>
          <w:color w:val="0D0D0D"/>
          <w:lang w:eastAsia="es-MX"/>
        </w:rPr>
        <w:t xml:space="preserve">. </w:t>
      </w:r>
      <w:r w:rsidRPr="00E158A8">
        <w:rPr>
          <w:rFonts w:ascii="Verdana" w:eastAsia="Calibri" w:hAnsi="Verdana" w:cs="Arial"/>
          <w:color w:val="0D0D0D"/>
          <w:lang w:eastAsia="es-MX"/>
        </w:rPr>
        <w:tab/>
        <w:t xml:space="preserve">Considerando que la </w:t>
      </w:r>
      <w:proofErr w:type="gramStart"/>
      <w:r w:rsidRPr="00E158A8">
        <w:rPr>
          <w:rFonts w:ascii="Verdana" w:eastAsia="Calibri" w:hAnsi="Verdana" w:cs="Arial"/>
          <w:color w:val="0D0D0D"/>
          <w:lang w:eastAsia="es-MX"/>
        </w:rPr>
        <w:t>Fiscalía General</w:t>
      </w:r>
      <w:proofErr w:type="gramEnd"/>
      <w:r w:rsidRPr="00E158A8">
        <w:rPr>
          <w:rFonts w:ascii="Verdana" w:eastAsia="Calibri" w:hAnsi="Verdana" w:cs="Arial"/>
          <w:color w:val="0D0D0D"/>
          <w:lang w:eastAsia="es-MX"/>
        </w:rPr>
        <w:t xml:space="preserve"> de la Nación “es una entidad de la rama judicial del poder público (…) cuya función está orientada a brindar a los ciudadanos una cumplida y eficaz administración de justicia”</w:t>
      </w:r>
      <w:r w:rsidRPr="00E158A8">
        <w:rPr>
          <w:rFonts w:ascii="Verdana" w:eastAsia="Calibri" w:hAnsi="Verdana" w:cs="Arial"/>
          <w:color w:val="0D0D0D"/>
          <w:vertAlign w:val="superscript"/>
          <w:lang w:eastAsia="es-MX"/>
        </w:rPr>
        <w:footnoteReference w:id="10"/>
      </w:r>
      <w:r w:rsidRPr="00E158A8">
        <w:rPr>
          <w:rFonts w:ascii="Verdana" w:eastAsia="Calibri" w:hAnsi="Verdana" w:cs="Arial"/>
          <w:color w:val="0D0D0D"/>
          <w:lang w:eastAsia="es-MX"/>
        </w:rPr>
        <w:t xml:space="preserve">, su actividad reviste naturaleza de servicio público esencial. En este sentido, las edificaciones institucionales de la </w:t>
      </w:r>
      <w:proofErr w:type="gramStart"/>
      <w:r w:rsidRPr="00E158A8">
        <w:rPr>
          <w:rFonts w:ascii="Verdana" w:eastAsia="Calibri" w:hAnsi="Verdana" w:cs="Arial"/>
          <w:color w:val="0D0D0D"/>
          <w:lang w:eastAsia="es-MX"/>
        </w:rPr>
        <w:t>Fiscalía General</w:t>
      </w:r>
      <w:proofErr w:type="gramEnd"/>
      <w:r w:rsidRPr="00E158A8">
        <w:rPr>
          <w:rFonts w:ascii="Verdana" w:eastAsia="Calibri" w:hAnsi="Verdana" w:cs="Arial"/>
          <w:color w:val="0D0D0D"/>
          <w:lang w:eastAsia="es-MX"/>
        </w:rPr>
        <w:t xml:space="preserve"> de la Nación deben clasificarse dentro del Subgrupo de Ocupación Institucional de Servicio Público.  </w:t>
      </w:r>
    </w:p>
    <w:p w14:paraId="03DF0469" w14:textId="77777777" w:rsidR="00E158A8" w:rsidRPr="00E158A8" w:rsidRDefault="00E158A8" w:rsidP="00E158A8">
      <w:pPr>
        <w:spacing w:after="120" w:line="278" w:lineRule="auto"/>
        <w:ind w:firstLine="708"/>
        <w:jc w:val="both"/>
        <w:rPr>
          <w:rFonts w:ascii="Verdana" w:eastAsia="Calibri" w:hAnsi="Verdana" w:cs="Arial"/>
          <w:lang w:val="es-ES" w:eastAsia="es-MX"/>
        </w:rPr>
      </w:pPr>
      <w:r w:rsidRPr="00E158A8">
        <w:rPr>
          <w:rFonts w:ascii="Verdana" w:eastAsia="Calibri" w:hAnsi="Verdana" w:cs="Arial"/>
          <w:lang w:val="es-ES" w:eastAsia="es-MX"/>
        </w:rPr>
        <w:t xml:space="preserve">Por lo anterior, la Agencia Nacional de Contratación Pública – Colombia Compra Eficiente le informa que a partir del 16 de febrero de 2026, si una entidad de aquellas obligadas a utilizar los documentos tipo expedidos por esta Entidad adelanta un proceso que tenga por objeto la(s) actividad(es) de </w:t>
      </w:r>
      <w:r w:rsidRPr="00E158A8">
        <w:rPr>
          <w:rFonts w:ascii="Verdana" w:eastAsia="Times New Roman" w:hAnsi="Verdana" w:cs="Aptos"/>
          <w:lang w:eastAsia="es-MX"/>
        </w:rPr>
        <w:t xml:space="preserve">adecuación, conservación, intervención, mantenimiento, mejoramiento, </w:t>
      </w:r>
      <w:r w:rsidRPr="00E158A8">
        <w:rPr>
          <w:rFonts w:ascii="Verdana" w:eastAsia="Times New Roman" w:hAnsi="Verdana" w:cs="Aptos"/>
          <w:lang w:eastAsia="es-MX"/>
        </w:rPr>
        <w:lastRenderedPageBreak/>
        <w:t xml:space="preserve">modificación, optimización, rehabilitación, remodelación, reposición, reparación locativa, restauración, restitución, terminación, entre otras, sobre </w:t>
      </w:r>
      <w:r w:rsidRPr="00E158A8">
        <w:rPr>
          <w:rFonts w:ascii="Verdana" w:eastAsia="Arial" w:hAnsi="Verdana" w:cs="Aptos"/>
          <w:i/>
          <w:iCs/>
          <w:lang w:eastAsia="es-ES"/>
        </w:rPr>
        <w:t>infraestructura de servicio público – edificaciones institucionales judiciales,</w:t>
      </w:r>
      <w:r w:rsidRPr="00E158A8">
        <w:rPr>
          <w:rFonts w:ascii="Verdana" w:eastAsia="Times New Roman" w:hAnsi="Verdana" w:cs="Aptos"/>
          <w:lang w:eastAsia="es-MX"/>
        </w:rPr>
        <w:t xml:space="preserve"> </w:t>
      </w:r>
      <w:r w:rsidRPr="00E158A8">
        <w:rPr>
          <w:rFonts w:ascii="Verdana" w:eastAsia="Calibri" w:hAnsi="Verdana" w:cs="Arial"/>
          <w:lang w:val="es-ES" w:eastAsia="es-MX"/>
        </w:rPr>
        <w:t xml:space="preserve">deberá implementar los documentos tipo acogidos mediante las Resoluciones 539, 540 y 541 de 2025, según el proyecto se adelante por la modalidad de licitación de obra pública, selección abreviada de menor cuantía o mínima cuantía, en donde se encuentran dispuestas las actividades 2.2, 2.6 y 2.9 aplicables a los proyectos por los que se indaga en su solicitud. </w:t>
      </w:r>
    </w:p>
    <w:p w14:paraId="1DB8D204" w14:textId="77777777" w:rsidR="00E158A8" w:rsidRPr="00E158A8" w:rsidRDefault="00E158A8" w:rsidP="00E158A8">
      <w:pPr>
        <w:spacing w:after="0" w:line="278" w:lineRule="auto"/>
        <w:ind w:firstLine="708"/>
        <w:jc w:val="both"/>
        <w:rPr>
          <w:rFonts w:ascii="Verdana" w:eastAsia="Calibri" w:hAnsi="Verdana" w:cs="Arial"/>
          <w:bCs/>
          <w:color w:val="000000"/>
          <w:kern w:val="2"/>
          <w14:ligatures w14:val="standardContextual"/>
        </w:rPr>
      </w:pPr>
      <w:r w:rsidRPr="00E158A8">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E158A8">
        <w:rPr>
          <w:rFonts w:ascii="Verdana" w:eastAsia="Times New Roman" w:hAnsi="Verdana" w:cs="Arial"/>
          <w:kern w:val="2"/>
          <w:shd w:val="clear" w:color="auto" w:fill="FFFFFF"/>
          <w:lang w:val="es-ES_tradnl" w:eastAsia="es-ES_tradnl"/>
          <w14:ligatures w14:val="standardContextual"/>
        </w:rPr>
        <w:t xml:space="preserve"> </w:t>
      </w:r>
      <w:r w:rsidRPr="00E158A8">
        <w:rPr>
          <w:rFonts w:ascii="Verdana" w:eastAsia="Calibri" w:hAnsi="Verdana" w:cs="Arial"/>
          <w:bCs/>
          <w:color w:val="000000"/>
          <w:kern w:val="2"/>
          <w14:ligatures w14:val="standardContextual"/>
        </w:rPr>
        <w:t xml:space="preserve"> </w:t>
      </w:r>
    </w:p>
    <w:p w14:paraId="565D9AD3" w14:textId="77777777" w:rsidR="00E158A8" w:rsidRPr="00E158A8" w:rsidRDefault="00E158A8" w:rsidP="00E158A8">
      <w:pPr>
        <w:spacing w:after="0" w:line="278" w:lineRule="auto"/>
        <w:ind w:firstLine="708"/>
        <w:jc w:val="both"/>
        <w:rPr>
          <w:rFonts w:ascii="Verdana" w:eastAsia="Calibri" w:hAnsi="Verdana" w:cs="Arial"/>
          <w:bCs/>
          <w:color w:val="000000"/>
          <w:kern w:val="2"/>
          <w14:ligatures w14:val="standardContextual"/>
        </w:rPr>
      </w:pPr>
    </w:p>
    <w:p w14:paraId="60097368" w14:textId="77777777" w:rsidR="00E158A8" w:rsidRPr="00E158A8" w:rsidRDefault="00E158A8" w:rsidP="00E158A8">
      <w:pPr>
        <w:spacing w:after="120" w:line="276" w:lineRule="auto"/>
        <w:jc w:val="both"/>
        <w:rPr>
          <w:rFonts w:ascii="Verdana" w:eastAsia="Calibri" w:hAnsi="Verdana" w:cs="Arial"/>
          <w:lang w:eastAsia="es-MX"/>
        </w:rPr>
      </w:pPr>
      <w:proofErr w:type="spellStart"/>
      <w:r w:rsidRPr="00E158A8">
        <w:rPr>
          <w:rFonts w:ascii="Verdana" w:eastAsia="Calibri" w:hAnsi="Verdana" w:cs="Arial"/>
          <w:lang w:eastAsia="es-MX"/>
        </w:rPr>
        <w:t>ii</w:t>
      </w:r>
      <w:proofErr w:type="spellEnd"/>
      <w:r w:rsidRPr="00E158A8">
        <w:rPr>
          <w:rFonts w:ascii="Verdana" w:eastAsia="Calibri" w:hAnsi="Verdana" w:cs="Arial"/>
          <w:lang w:eastAsia="es-MX"/>
        </w:rPr>
        <w:t xml:space="preserve">. 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659D460E" w14:textId="77777777" w:rsidR="00E158A8" w:rsidRPr="00E158A8" w:rsidRDefault="00E158A8" w:rsidP="00E158A8">
      <w:pPr>
        <w:spacing w:after="120" w:line="276" w:lineRule="auto"/>
        <w:ind w:firstLine="708"/>
        <w:jc w:val="both"/>
        <w:rPr>
          <w:rFonts w:ascii="Verdana" w:eastAsia="Calibri" w:hAnsi="Verdana" w:cs="Arial"/>
          <w:lang w:eastAsia="es-MX"/>
        </w:rPr>
      </w:pPr>
      <w:r w:rsidRPr="00E158A8">
        <w:rPr>
          <w:rFonts w:ascii="Verdana" w:eastAsia="Calibri" w:hAnsi="Verdana" w:cs="Arial"/>
          <w:lang w:eastAsia="es-MX"/>
        </w:rPr>
        <w:t>Esta situación se presenta en algunos contratos de obra a precios unitarios donde, pese a que se encuentran establecidos los ítems y el valor de cada uno de ellos, las cantidades definitivas dependen de lo efectivamente ejecutado al finalizar el plazo</w:t>
      </w:r>
      <w:r w:rsidRPr="00E158A8">
        <w:rPr>
          <w:rFonts w:ascii="Verdana" w:eastAsia="Calibri" w:hAnsi="Verdana" w:cs="Arial"/>
          <w:vertAlign w:val="superscript"/>
          <w:lang w:eastAsia="es-MX"/>
        </w:rPr>
        <w:footnoteReference w:id="11"/>
      </w:r>
      <w:r w:rsidRPr="00E158A8">
        <w:rPr>
          <w:rFonts w:ascii="Verdana" w:eastAsia="Calibri" w:hAnsi="Verdana" w:cs="Arial"/>
          <w:lang w:eastAsia="es-MX"/>
        </w:rPr>
        <w:t>. En este sistema las partes establecen una suma fija por cada unidad de los trabajos que debe ejecutar el contratista, por lo que el precio –a diferencia del ajuste alzado o la suma cerrada– no se determina por la totalidad de la obra, sino por cada parte, unidad o medida.</w:t>
      </w:r>
    </w:p>
    <w:p w14:paraId="5D9568CA" w14:textId="77777777" w:rsidR="00E158A8" w:rsidRPr="00E158A8" w:rsidRDefault="00E158A8" w:rsidP="00E158A8">
      <w:pPr>
        <w:spacing w:after="120" w:line="276" w:lineRule="auto"/>
        <w:ind w:firstLine="708"/>
        <w:jc w:val="both"/>
        <w:rPr>
          <w:rFonts w:ascii="Verdana" w:eastAsia="Calibri" w:hAnsi="Verdana" w:cs="Arial"/>
          <w:lang w:eastAsia="es-MX"/>
        </w:rPr>
      </w:pPr>
      <w:r w:rsidRPr="00E158A8">
        <w:rPr>
          <w:rFonts w:ascii="Verdana" w:eastAsia="Calibri" w:hAnsi="Verdana" w:cs="Arial"/>
          <w:lang w:eastAsia="es-MX"/>
        </w:rPr>
        <w:lastRenderedPageBreak/>
        <w:t>Para la doctrina, “Se trata de un sistema flexible en el precio y en la obra, por cuanto ambos solo van a quedar definitivamente determinados al momento de la conclusión de las obras, circunstancia en la que recién podrán conocerse con exactitud la cantidad de unidades ejecutadas por el constructor y, del mismo modo, el precio definitivo a ser pagado por el comitente”</w:t>
      </w:r>
      <w:r w:rsidRPr="00E158A8">
        <w:rPr>
          <w:rFonts w:ascii="Verdana" w:eastAsia="Calibri" w:hAnsi="Verdana" w:cs="Arial"/>
          <w:vertAlign w:val="superscript"/>
          <w:lang w:eastAsia="es-MX"/>
        </w:rPr>
        <w:footnoteReference w:id="12"/>
      </w:r>
      <w:r w:rsidRPr="00E158A8">
        <w:rPr>
          <w:rFonts w:ascii="Verdana" w:eastAsia="Calibri" w:hAnsi="Verdana" w:cs="Arial"/>
          <w:lang w:eastAsia="es-MX"/>
        </w:rPr>
        <w:t>. En este caso, también se requiere establecer un tope máximo para la adelantar las obras, ya que “[…] el precio total depende del conjunto de trabajos ejecutados según el presupuesto, pudiendo por tanto variar por nuevos trabajos adicionales […]”</w:t>
      </w:r>
      <w:r w:rsidRPr="00E158A8">
        <w:rPr>
          <w:rFonts w:ascii="Verdana" w:eastAsia="Calibri" w:hAnsi="Verdana" w:cs="Arial"/>
          <w:vertAlign w:val="superscript"/>
          <w:lang w:eastAsia="es-MX"/>
        </w:rPr>
        <w:footnoteReference w:id="13"/>
      </w:r>
      <w:r w:rsidRPr="00E158A8">
        <w:rPr>
          <w:rFonts w:ascii="Verdana" w:eastAsia="Calibri" w:hAnsi="Verdana" w:cs="Arial"/>
          <w:lang w:eastAsia="es-MX"/>
        </w:rPr>
        <w:t xml:space="preserve">. Por lo demás, a pesar de que el precio del contrato se fije por un monto agotable, este no deja de pertenecer a la tipología del artículo 32.1 del Estatuto General de Contratación de la Administración Pública, especialmente, cuando –conforme al tenor literal de la norma– la obra pública existe cualquiera que sea la modalidad de ejecución y pago.      </w:t>
      </w:r>
    </w:p>
    <w:p w14:paraId="47E20831" w14:textId="77777777" w:rsidR="00E158A8" w:rsidRPr="00E158A8" w:rsidRDefault="00E158A8" w:rsidP="00E158A8">
      <w:pPr>
        <w:spacing w:after="120" w:line="276" w:lineRule="auto"/>
        <w:ind w:firstLine="709"/>
        <w:jc w:val="both"/>
        <w:rPr>
          <w:rFonts w:ascii="Verdana" w:eastAsia="Aptos" w:hAnsi="Verdana" w:cs="Arial"/>
          <w:kern w:val="2"/>
          <w:lang w:val="es-ES"/>
          <w14:ligatures w14:val="standardContextual"/>
        </w:rPr>
      </w:pPr>
      <w:r w:rsidRPr="00E158A8">
        <w:rPr>
          <w:rFonts w:ascii="Verdana" w:eastAsia="Aptos" w:hAnsi="Verdana" w:cs="Arial"/>
          <w:kern w:val="2"/>
          <w:lang w:val="es-ES"/>
          <w14:ligatures w14:val="standardContextual"/>
        </w:rPr>
        <w:t xml:space="preserve">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w:t>
      </w:r>
      <w:r w:rsidRPr="00E158A8">
        <w:rPr>
          <w:rFonts w:ascii="Verdana" w:eastAsia="Aptos" w:hAnsi="Verdana" w:cs="Arial"/>
          <w:kern w:val="2"/>
          <w:lang w:val="es-ES"/>
          <w14:ligatures w14:val="standardContextual"/>
        </w:rPr>
        <w:lastRenderedPageBreak/>
        <w:t xml:space="preserve">los estudios previos que soportan el objeto y las condiciones de ejecución del contrato.  </w:t>
      </w:r>
    </w:p>
    <w:p w14:paraId="45610E7A" w14:textId="77777777" w:rsidR="00E158A8" w:rsidRPr="00E158A8" w:rsidRDefault="00E158A8" w:rsidP="00E158A8">
      <w:pPr>
        <w:spacing w:after="120" w:line="276" w:lineRule="auto"/>
        <w:ind w:firstLine="708"/>
        <w:jc w:val="both"/>
        <w:rPr>
          <w:rFonts w:ascii="Verdana" w:eastAsia="Calibri" w:hAnsi="Verdana" w:cs="Arial"/>
          <w:lang w:eastAsia="es-MX"/>
        </w:rPr>
      </w:pPr>
      <w:proofErr w:type="spellStart"/>
      <w:r w:rsidRPr="00E158A8">
        <w:rPr>
          <w:rFonts w:ascii="Verdana" w:eastAsia="Calibri" w:hAnsi="Verdana" w:cs="Arial"/>
          <w:lang w:eastAsia="es-MX"/>
        </w:rPr>
        <w:t>iii</w:t>
      </w:r>
      <w:proofErr w:type="spellEnd"/>
      <w:r w:rsidRPr="00E158A8">
        <w:rPr>
          <w:rFonts w:ascii="Verdana" w:eastAsia="Calibri" w:hAnsi="Verdana" w:cs="Arial"/>
          <w:lang w:eastAsia="es-MX"/>
        </w:rPr>
        <w:t xml:space="preserve">. </w:t>
      </w:r>
      <w:r w:rsidRPr="00E158A8">
        <w:rPr>
          <w:rFonts w:ascii="Verdana" w:eastAsia="Calibri" w:hAnsi="Verdana" w:cs="Arial"/>
          <w:bCs/>
          <w:color w:val="000000"/>
          <w:lang w:eastAsia="es-MX"/>
        </w:rPr>
        <w:t>Durante la etapa de planeación como resultado del estudio del sector y del análisis de riesgo, la entidad debe establecer las condiciones necesarias para garantizar la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w:t>
      </w:r>
      <w:r w:rsidRPr="00E158A8">
        <w:rPr>
          <w:rFonts w:ascii="Verdana" w:eastAsia="Calibri" w:hAnsi="Verdana" w:cs="Arial"/>
          <w:lang w:eastAsia="es-MX"/>
        </w:rPr>
        <w:t>incipio de inalterabilidad.</w:t>
      </w:r>
    </w:p>
    <w:p w14:paraId="37752D85" w14:textId="77777777" w:rsidR="00E158A8" w:rsidRPr="00E158A8" w:rsidRDefault="00E158A8" w:rsidP="00E158A8">
      <w:pPr>
        <w:spacing w:after="0" w:line="276" w:lineRule="auto"/>
        <w:ind w:firstLine="708"/>
        <w:jc w:val="both"/>
        <w:rPr>
          <w:rFonts w:ascii="Verdana" w:eastAsia="Calibri" w:hAnsi="Verdana" w:cs="Arial"/>
          <w:kern w:val="2"/>
          <w:lang w:val="es-ES_tradnl"/>
          <w14:ligatures w14:val="standardContextual"/>
        </w:rPr>
      </w:pPr>
      <w:r w:rsidRPr="00E158A8">
        <w:rPr>
          <w:rFonts w:ascii="Verdana" w:eastAsia="Calibri" w:hAnsi="Verdana" w:cs="Arial"/>
          <w:lang w:eastAsia="es-MX"/>
        </w:rPr>
        <w:t xml:space="preserve">El numeral 4.1 del Documento </w:t>
      </w:r>
      <w:r w:rsidRPr="00E158A8">
        <w:rPr>
          <w:rFonts w:ascii="Verdana" w:eastAsia="Calibri" w:hAnsi="Verdana" w:cs="Arial"/>
          <w:kern w:val="2"/>
          <w:lang w:val="es-ES_tradnl"/>
          <w14:ligatures w14:val="standardContextual"/>
        </w:rPr>
        <w:t>base de los documentos tipo de licitación de obra pública de infraestructura social – versión 2 establece lo siguiente en relación con la oferta económica:</w:t>
      </w:r>
    </w:p>
    <w:p w14:paraId="256020EF" w14:textId="77777777" w:rsidR="00E158A8" w:rsidRPr="00E158A8" w:rsidRDefault="00E158A8" w:rsidP="00E158A8">
      <w:pPr>
        <w:spacing w:after="0" w:line="276" w:lineRule="auto"/>
        <w:jc w:val="both"/>
        <w:rPr>
          <w:rFonts w:ascii="Arial" w:eastAsia="Calibri" w:hAnsi="Arial" w:cs="Arial"/>
          <w:kern w:val="2"/>
          <w:sz w:val="24"/>
          <w:szCs w:val="24"/>
          <w:lang w:val="es-ES_tradnl"/>
          <w14:ligatures w14:val="standardContextual"/>
        </w:rPr>
      </w:pPr>
    </w:p>
    <w:p w14:paraId="73DC2D97" w14:textId="77777777" w:rsidR="00E158A8" w:rsidRPr="00E158A8" w:rsidRDefault="00E158A8" w:rsidP="00E158A8">
      <w:pPr>
        <w:shd w:val="clear" w:color="auto" w:fill="FFFFFF"/>
        <w:spacing w:after="0" w:line="240" w:lineRule="auto"/>
        <w:ind w:left="709" w:right="709"/>
        <w:jc w:val="both"/>
        <w:rPr>
          <w:rFonts w:ascii="Verdana" w:eastAsia="Aptos" w:hAnsi="Verdana" w:cs="Times New Roman"/>
          <w:kern w:val="2"/>
          <w:sz w:val="20"/>
          <w:szCs w:val="20"/>
          <w14:ligatures w14:val="standardContextual"/>
        </w:rPr>
      </w:pPr>
      <w:r w:rsidRPr="00E158A8">
        <w:rPr>
          <w:rFonts w:ascii="Verdana" w:eastAsia="Arial" w:hAnsi="Verdana" w:cs="Arial"/>
          <w:kern w:val="2"/>
          <w:sz w:val="21"/>
          <w:szCs w:val="21"/>
          <w:lang w:val="es-MX"/>
          <w14:ligatures w14:val="standardContextual"/>
        </w:rPr>
        <w:t>“[</w:t>
      </w:r>
      <w:r w:rsidRPr="00E158A8">
        <w:rPr>
          <w:rFonts w:ascii="Verdana" w:eastAsia="Arial" w:hAnsi="Verdana" w:cs="Arial"/>
          <w:kern w:val="2"/>
          <w:sz w:val="21"/>
          <w:szCs w:val="21"/>
          <w:highlight w:val="lightGray"/>
          <w:lang w:val="es-MX"/>
          <w14:ligatures w14:val="standardContextual"/>
        </w:rPr>
        <w:t>La Entidad debe indicar si la forma de pago es por precio global, llave en mano, precios unitarios, administración delegada, reembolso de gastos o la que determine.</w:t>
      </w:r>
      <w:r w:rsidRPr="00E158A8">
        <w:rPr>
          <w:rFonts w:ascii="Verdana" w:eastAsia="Aptos" w:hAnsi="Verdana" w:cs="Times New Roman"/>
          <w:kern w:val="2"/>
          <w:sz w:val="21"/>
          <w:szCs w:val="21"/>
          <w:highlight w:val="lightGray"/>
          <w:lang w:val="es-MX"/>
          <w14:ligatures w14:val="standardContextual"/>
        </w:rPr>
        <w:t xml:space="preserve"> El Anexo 1 – Anexo Técnico y el Formulario 1– Formulario de </w:t>
      </w:r>
      <w:r w:rsidRPr="00E158A8">
        <w:rPr>
          <w:rFonts w:ascii="Verdana" w:eastAsia="Aptos" w:hAnsi="Verdana" w:cs="Times New Roman"/>
          <w:kern w:val="2"/>
          <w:sz w:val="20"/>
          <w:szCs w:val="20"/>
          <w:highlight w:val="lightGray"/>
          <w14:ligatures w14:val="standardContextual"/>
        </w:rPr>
        <w:t>Presupuesto Oficial debe ser concordante con la modalidad de pago seleccionada]</w:t>
      </w:r>
    </w:p>
    <w:p w14:paraId="60CDDF9B"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highlight w:val="lightGray"/>
          <w14:ligatures w14:val="standardContextual"/>
        </w:rPr>
        <w:t xml:space="preserve">[Cuando el presupuesto del Proceso de Contratación es estructurado por Precios Unitarios, la </w:t>
      </w:r>
      <w:r w:rsidRPr="00E158A8" w:rsidDel="1355DA3D">
        <w:rPr>
          <w:rFonts w:ascii="Verdana" w:eastAsia="Aptos" w:hAnsi="Verdana" w:cs="Times New Roman"/>
          <w:kern w:val="2"/>
          <w:sz w:val="20"/>
          <w:szCs w:val="20"/>
          <w:highlight w:val="lightGray"/>
          <w14:ligatures w14:val="standardContextual"/>
        </w:rPr>
        <w:t>E</w:t>
      </w:r>
      <w:r w:rsidRPr="00E158A8">
        <w:rPr>
          <w:rFonts w:ascii="Verdana" w:eastAsia="Aptos" w:hAnsi="Verdana" w:cs="Times New Roman"/>
          <w:kern w:val="2"/>
          <w:sz w:val="20"/>
          <w:szCs w:val="20"/>
          <w:highlight w:val="lightGray"/>
          <w14:ligatures w14:val="standardContextual"/>
        </w:rPr>
        <w:t>ntidad debe aplicar las notas señaladas en el Formulario 1 – Formulario de Presupuesto oficial.]</w:t>
      </w:r>
    </w:p>
    <w:p w14:paraId="550830C6"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158A8">
        <w:rPr>
          <w:rFonts w:ascii="Verdana" w:eastAsia="Aptos" w:hAnsi="Verdana" w:cs="Times New Roman"/>
          <w:kern w:val="2"/>
          <w:sz w:val="20"/>
          <w:szCs w:val="20"/>
          <w14:ligatures w14:val="standardContextual"/>
        </w:rPr>
        <w:t>Para calificar este factor se tendrá en cuenta el valor total indicado en la propuesta económica o el obtenido de la corrección aritmética. La propuesta económica deberá ser allegada en el Sobre No. 2.</w:t>
      </w:r>
    </w:p>
    <w:p w14:paraId="3643F23F"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0"/>
          <w:szCs w:val="20"/>
          <w:highlight w:val="lightGray"/>
          <w14:ligatures w14:val="standardContextual"/>
        </w:rPr>
      </w:pPr>
      <w:r w:rsidRPr="00E158A8">
        <w:rPr>
          <w:rFonts w:ascii="Verdana" w:eastAsia="Aptos" w:hAnsi="Verdana" w:cs="Times New Roman"/>
          <w:kern w:val="2"/>
          <w:sz w:val="20"/>
          <w:szCs w:val="20"/>
          <w:highlight w:val="lightGray"/>
          <w14:ligatures w14:val="standardContextual"/>
        </w:rPr>
        <w:t xml:space="preserve">[La </w:t>
      </w:r>
      <w:r w:rsidRPr="00E158A8" w:rsidDel="57F4FB36">
        <w:rPr>
          <w:rFonts w:ascii="Verdana" w:eastAsia="Aptos" w:hAnsi="Verdana" w:cs="Times New Roman"/>
          <w:kern w:val="2"/>
          <w:sz w:val="20"/>
          <w:szCs w:val="20"/>
          <w:highlight w:val="lightGray"/>
          <w14:ligatures w14:val="standardContextual"/>
        </w:rPr>
        <w:t>E</w:t>
      </w:r>
      <w:r w:rsidRPr="00E158A8">
        <w:rPr>
          <w:rFonts w:ascii="Verdana" w:eastAsia="Aptos" w:hAnsi="Verdana" w:cs="Times New Roman"/>
          <w:kern w:val="2"/>
          <w:sz w:val="20"/>
          <w:szCs w:val="20"/>
          <w:highlight w:val="lightGray"/>
          <w14:ligatures w14:val="standardContextual"/>
        </w:rPr>
        <w:t xml:space="preserve">ntidad debe configurar el </w:t>
      </w:r>
      <w:r w:rsidRPr="00E158A8" w:rsidDel="57F4FB36">
        <w:rPr>
          <w:rFonts w:ascii="Verdana" w:eastAsia="Aptos" w:hAnsi="Verdana" w:cs="Times New Roman"/>
          <w:kern w:val="2"/>
          <w:sz w:val="20"/>
          <w:szCs w:val="20"/>
          <w:highlight w:val="lightGray"/>
          <w14:ligatures w14:val="standardContextual"/>
        </w:rPr>
        <w:t>F</w:t>
      </w:r>
      <w:r w:rsidRPr="00E158A8">
        <w:rPr>
          <w:rFonts w:ascii="Verdana" w:eastAsia="Aptos" w:hAnsi="Verdana" w:cs="Times New Roman"/>
          <w:kern w:val="2"/>
          <w:sz w:val="20"/>
          <w:szCs w:val="20"/>
          <w:highlight w:val="lightGray"/>
          <w14:ligatures w14:val="standardContextual"/>
        </w:rPr>
        <w:t xml:space="preserve">ormato de oferta económica que se encuentra en el Formulario 1 – Formulario de Presupuesto Oficial, para que sea diligenciado por los </w:t>
      </w:r>
      <w:r w:rsidRPr="00E158A8" w:rsidDel="57F4FB36">
        <w:rPr>
          <w:rFonts w:ascii="Verdana" w:eastAsia="Aptos" w:hAnsi="Verdana" w:cs="Times New Roman"/>
          <w:kern w:val="2"/>
          <w:sz w:val="20"/>
          <w:szCs w:val="20"/>
          <w:highlight w:val="lightGray"/>
          <w14:ligatures w14:val="standardContextual"/>
        </w:rPr>
        <w:t>P</w:t>
      </w:r>
      <w:r w:rsidRPr="00E158A8">
        <w:rPr>
          <w:rFonts w:ascii="Verdana" w:eastAsia="Aptos" w:hAnsi="Verdana" w:cs="Times New Roman"/>
          <w:kern w:val="2"/>
          <w:sz w:val="20"/>
          <w:szCs w:val="20"/>
          <w:highlight w:val="lightGray"/>
          <w14:ligatures w14:val="standardContextual"/>
        </w:rPr>
        <w:t xml:space="preserve">roponentes. </w:t>
      </w:r>
    </w:p>
    <w:p w14:paraId="67B13E51" w14:textId="77777777" w:rsidR="00E158A8" w:rsidRPr="00E158A8" w:rsidRDefault="00E158A8" w:rsidP="00E158A8">
      <w:pPr>
        <w:shd w:val="clear" w:color="auto" w:fill="FFFFFF"/>
        <w:spacing w:after="120" w:line="240" w:lineRule="auto"/>
        <w:ind w:left="709" w:right="709"/>
        <w:jc w:val="both"/>
        <w:rPr>
          <w:rFonts w:ascii="Verdana" w:eastAsia="Aptos" w:hAnsi="Verdana" w:cs="Times New Roman"/>
          <w:kern w:val="2"/>
          <w:sz w:val="21"/>
          <w:szCs w:val="21"/>
          <w:lang w:val="es-MX"/>
          <w14:ligatures w14:val="standardContextual"/>
        </w:rPr>
      </w:pPr>
      <w:r w:rsidRPr="00E158A8">
        <w:rPr>
          <w:rFonts w:ascii="Verdana" w:eastAsia="Aptos" w:hAnsi="Verdana" w:cs="Times New Roman"/>
          <w:kern w:val="2"/>
          <w:sz w:val="20"/>
          <w:szCs w:val="20"/>
          <w:highlight w:val="lightGray"/>
          <w14:ligatures w14:val="standardContextual"/>
        </w:rPr>
        <w:t xml:space="preserve">[La </w:t>
      </w:r>
      <w:r w:rsidRPr="00E158A8" w:rsidDel="00DD3F5A">
        <w:rPr>
          <w:rFonts w:ascii="Verdana" w:eastAsia="Aptos" w:hAnsi="Verdana" w:cs="Times New Roman"/>
          <w:kern w:val="2"/>
          <w:sz w:val="20"/>
          <w:szCs w:val="20"/>
          <w:highlight w:val="lightGray"/>
          <w14:ligatures w14:val="standardContextual"/>
        </w:rPr>
        <w:t>E</w:t>
      </w:r>
      <w:r w:rsidRPr="00E158A8">
        <w:rPr>
          <w:rFonts w:ascii="Verdana" w:eastAsia="Aptos" w:hAnsi="Verdana" w:cs="Times New Roman"/>
          <w:kern w:val="2"/>
          <w:sz w:val="20"/>
          <w:szCs w:val="20"/>
          <w:highlight w:val="lightGray"/>
          <w14:ligatures w14:val="standardContextual"/>
        </w:rPr>
        <w:t>ntidad debe incluir el Formulario</w:t>
      </w:r>
      <w:r w:rsidRPr="00E158A8">
        <w:rPr>
          <w:rFonts w:ascii="Verdana" w:eastAsia="Aptos" w:hAnsi="Verdana" w:cs="Times New Roman"/>
          <w:kern w:val="2"/>
          <w:sz w:val="21"/>
          <w:szCs w:val="21"/>
          <w:highlight w:val="lightGray"/>
          <w:lang w:val="es-MX"/>
          <w14:ligatures w14:val="standardContextual"/>
        </w:rPr>
        <w:t xml:space="preserve"> 1 – Formulario de Presupuesto Oficial y la oferta económica en formato Excel. En ningún caso la Entidad podrá incluir causales de rechazo o reglas que diferentes a las establecidas en el presente documento]</w:t>
      </w:r>
      <w:r w:rsidRPr="00E158A8">
        <w:rPr>
          <w:rFonts w:ascii="Verdana" w:eastAsia="Aptos" w:hAnsi="Verdana" w:cs="Times New Roman"/>
          <w:kern w:val="2"/>
          <w:sz w:val="21"/>
          <w:szCs w:val="21"/>
          <w:lang w:val="es-MX"/>
          <w14:ligatures w14:val="standardContextual"/>
        </w:rPr>
        <w:t xml:space="preserve"> </w:t>
      </w:r>
    </w:p>
    <w:p w14:paraId="15B084B1" w14:textId="77777777" w:rsidR="00E158A8" w:rsidRPr="00E158A8" w:rsidRDefault="00E158A8" w:rsidP="00E158A8">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r w:rsidRPr="00E158A8">
        <w:rPr>
          <w:rFonts w:ascii="Verdana" w:eastAsia="Aptos" w:hAnsi="Verdana" w:cs="Times New Roman"/>
          <w:kern w:val="2"/>
          <w:sz w:val="21"/>
          <w:szCs w:val="21"/>
          <w:lang w:val="es-MX"/>
          <w14:ligatures w14:val="standardContextual"/>
        </w:rPr>
        <w:t xml:space="preserve">(…)”. </w:t>
      </w:r>
    </w:p>
    <w:p w14:paraId="2FDF36EB" w14:textId="77777777" w:rsidR="00E158A8" w:rsidRPr="00E158A8" w:rsidRDefault="00E158A8" w:rsidP="00E158A8">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p>
    <w:p w14:paraId="214AAD30" w14:textId="77777777" w:rsidR="00E158A8" w:rsidRPr="00E158A8" w:rsidRDefault="00E158A8" w:rsidP="00E158A8">
      <w:pPr>
        <w:spacing w:before="120" w:after="12" w:line="276" w:lineRule="auto"/>
        <w:jc w:val="both"/>
        <w:rPr>
          <w:rFonts w:ascii="Verdana" w:eastAsia="Calibri" w:hAnsi="Verdana" w:cs="Arial"/>
          <w:bCs/>
          <w:color w:val="000000"/>
          <w:lang w:eastAsia="es-MX"/>
        </w:rPr>
      </w:pPr>
      <w:r w:rsidRPr="00E158A8">
        <w:rPr>
          <w:rFonts w:ascii="Arial" w:eastAsia="Calibri" w:hAnsi="Arial" w:cs="Arial"/>
          <w:kern w:val="2"/>
          <w:sz w:val="24"/>
          <w:szCs w:val="24"/>
          <w:lang w:val="es-MX"/>
          <w14:ligatures w14:val="standardContextual"/>
        </w:rPr>
        <w:tab/>
      </w:r>
      <w:r w:rsidRPr="00E158A8">
        <w:rPr>
          <w:rFonts w:ascii="Verdana" w:eastAsia="Calibri" w:hAnsi="Verdana" w:cs="Arial"/>
          <w:kern w:val="2"/>
          <w:lang w:val="es-ES_tradnl"/>
          <w14:ligatures w14:val="standardContextual"/>
        </w:rPr>
        <w:t>Los párrafos que están en corchetes son notas aclaratorias o instrucciones para la entidad contratante, que deben ser seguidas sin vulnerar el carácter obligatorio y la regla</w:t>
      </w:r>
      <w:r w:rsidRPr="00E158A8">
        <w:rPr>
          <w:rFonts w:ascii="Arial" w:eastAsia="Calibri" w:hAnsi="Arial" w:cs="Arial"/>
          <w:kern w:val="2"/>
          <w:sz w:val="24"/>
          <w:szCs w:val="24"/>
          <w:lang w:val="es-ES_tradnl"/>
          <w14:ligatures w14:val="standardContextual"/>
        </w:rPr>
        <w:t xml:space="preserve"> </w:t>
      </w:r>
      <w:r w:rsidRPr="00E158A8">
        <w:rPr>
          <w:rFonts w:ascii="Verdana" w:eastAsia="Calibri" w:hAnsi="Verdana" w:cs="Arial"/>
          <w:kern w:val="2"/>
          <w:lang w:val="es-ES_tradnl"/>
          <w14:ligatures w14:val="standardContextual"/>
        </w:rPr>
        <w:t xml:space="preserve">de inalterabilidad de los documentos tipo. En específico, el </w:t>
      </w:r>
      <w:r w:rsidRPr="00E158A8">
        <w:rPr>
          <w:rFonts w:ascii="Verdana" w:eastAsia="Calibri" w:hAnsi="Verdana" w:cs="Arial"/>
          <w:kern w:val="2"/>
          <w:lang w:val="es-ES_tradnl"/>
          <w14:ligatures w14:val="standardContextual"/>
        </w:rPr>
        <w:lastRenderedPageBreak/>
        <w:t xml:space="preserve">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E158A8">
        <w:rPr>
          <w:rFonts w:ascii="Verdana" w:eastAsia="Calibri" w:hAnsi="Verdana" w:cs="Arial"/>
          <w:bCs/>
          <w:color w:val="000000"/>
          <w:lang w:eastAsia="es-MX"/>
        </w:rPr>
        <w:t xml:space="preserve">de que la entidad defina una modalidad distinta bajo la expresión “o la que determine”. </w:t>
      </w:r>
    </w:p>
    <w:p w14:paraId="48E2DFC8" w14:textId="77777777" w:rsidR="00E158A8" w:rsidRPr="00E158A8" w:rsidRDefault="00E158A8" w:rsidP="00E158A8">
      <w:pPr>
        <w:spacing w:before="120" w:after="12" w:line="276" w:lineRule="auto"/>
        <w:ind w:firstLine="708"/>
        <w:jc w:val="both"/>
        <w:rPr>
          <w:rFonts w:ascii="Verdana" w:eastAsia="Calibri" w:hAnsi="Verdana" w:cs="Arial"/>
          <w:kern w:val="2"/>
          <w:lang w:val="es-ES_tradnl"/>
          <w14:ligatures w14:val="standardContextual"/>
        </w:rPr>
      </w:pPr>
      <w:r w:rsidRPr="00E158A8">
        <w:rPr>
          <w:rFonts w:ascii="Verdana" w:eastAsia="Calibri" w:hAnsi="Verdana" w:cs="Arial"/>
          <w:bCs/>
          <w:color w:val="000000"/>
          <w:lang w:eastAsia="es-MX"/>
        </w:rPr>
        <w:t>En todo</w:t>
      </w:r>
      <w:r w:rsidRPr="00E158A8">
        <w:rPr>
          <w:rFonts w:ascii="Verdana" w:eastAsia="Calibri" w:hAnsi="Verdana" w:cs="Arial"/>
          <w:kern w:val="2"/>
          <w:lang w:val="es-ES_tradnl"/>
          <w14:ligatures w14:val="standardContextua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42AFD139" w14:textId="77777777" w:rsidR="00E158A8" w:rsidRPr="00E158A8" w:rsidRDefault="00E158A8" w:rsidP="00E158A8">
      <w:pPr>
        <w:spacing w:before="120" w:after="120" w:line="276" w:lineRule="auto"/>
        <w:ind w:firstLine="708"/>
        <w:jc w:val="both"/>
        <w:rPr>
          <w:rFonts w:ascii="Verdana" w:eastAsia="Calibri" w:hAnsi="Verdana" w:cs="Arial"/>
          <w:bCs/>
          <w:color w:val="000000"/>
          <w:lang w:eastAsia="es-MX"/>
        </w:rPr>
      </w:pPr>
      <w:r w:rsidRPr="00E158A8">
        <w:rPr>
          <w:rFonts w:ascii="Verdana" w:eastAsia="Calibri" w:hAnsi="Verdana" w:cs="Arial"/>
          <w:kern w:val="2"/>
          <w:lang w:val="es-ES_tradnl"/>
          <w14:ligatures w14:val="standardContextual"/>
        </w:rPr>
        <w:t xml:space="preserve">Así, debe indicarse que, en relación con los documentos tipo expedidos por esta Agencia y, en especial, en los procesos que adelanten las entidades del sector de infraestructura </w:t>
      </w:r>
      <w:r w:rsidRPr="00E158A8">
        <w:rPr>
          <w:rFonts w:ascii="Verdana" w:eastAsia="Calibri" w:hAnsi="Verdana" w:cs="Arial"/>
          <w:bCs/>
          <w:color w:val="000000"/>
          <w:lang w:eastAsia="es-MX"/>
        </w:rPr>
        <w:t>social, la entidad que adelanta el proceso de selección puede definir, desde los estudios y documentos previos, que el proceso se estructurará bajo la modalidad de pago de monto agotable, lo cual deberá quedar expresamente consignado en la forma de pago prevista en el documento base. Esta definición deberá estar debidamente justificada, en armonía con la naturaleza y alcance del objeto contractual, y ser concordante con el Anexo 1 – Anexo Técnico y el Formulario 1 – Formulario de Presupuesto Oficial.</w:t>
      </w:r>
    </w:p>
    <w:p w14:paraId="6DFA622D" w14:textId="77777777" w:rsidR="00E158A8" w:rsidRPr="00E158A8" w:rsidRDefault="00E158A8" w:rsidP="00E158A8">
      <w:pPr>
        <w:tabs>
          <w:tab w:val="center" w:pos="4244"/>
        </w:tabs>
        <w:spacing w:after="12" w:line="276" w:lineRule="auto"/>
        <w:ind w:firstLine="709"/>
        <w:jc w:val="both"/>
        <w:rPr>
          <w:rFonts w:ascii="Verdana" w:eastAsia="Calibri" w:hAnsi="Verdana" w:cs="Arial"/>
          <w:color w:val="000000"/>
          <w:kern w:val="2"/>
          <w14:ligatures w14:val="standardContextual"/>
        </w:rPr>
      </w:pPr>
      <w:r w:rsidRPr="00E158A8">
        <w:rPr>
          <w:rFonts w:ascii="Verdana" w:eastAsia="Calibri" w:hAnsi="Verdana" w:cs="Arial"/>
          <w:color w:val="000000"/>
          <w:kern w:val="2"/>
          <w14:ligatures w14:val="standardContextual"/>
        </w:rPr>
        <w:t xml:space="preserve">Ahora bien, la forma de pago escogidas por la entidad en el documento base, deberá guardar armonía con el </w:t>
      </w:r>
      <w:r w:rsidRPr="00E158A8">
        <w:rPr>
          <w:rFonts w:ascii="Verdana" w:eastAsia="Calibri" w:hAnsi="Verdana" w:cs="Arial"/>
          <w:bCs/>
          <w:color w:val="000000"/>
          <w:kern w:val="2"/>
          <w14:ligatures w14:val="standardContextual"/>
        </w:rPr>
        <w:t xml:space="preserve">“Anexo 5 – Minuta del Contrato”. En este documento, </w:t>
      </w:r>
      <w:r w:rsidRPr="00E158A8">
        <w:rPr>
          <w:rFonts w:ascii="Verdana" w:eastAsia="Calibri" w:hAnsi="Verdana" w:cs="Arial"/>
          <w:color w:val="000000"/>
          <w:kern w:val="2"/>
          <w14:ligatures w14:val="standardContextual"/>
        </w:rPr>
        <w:t xml:space="preserve">la </w:t>
      </w:r>
      <w:bookmarkStart w:id="2" w:name="_Hlk81313602"/>
      <w:r w:rsidRPr="00E158A8">
        <w:rPr>
          <w:rFonts w:ascii="Verdana" w:eastAsia="Calibri" w:hAnsi="Verdana" w:cs="Arial"/>
          <w:color w:val="000000"/>
          <w:kern w:val="2"/>
          <w14:ligatures w14:val="standardContextual"/>
        </w:rPr>
        <w:t xml:space="preserve">“Cláusula 8. Forma de pago” </w:t>
      </w:r>
      <w:bookmarkEnd w:id="2"/>
      <w:r w:rsidRPr="00E158A8">
        <w:rPr>
          <w:rFonts w:ascii="Verdana" w:eastAsia="Calibri" w:hAnsi="Verdana" w:cs="Arial"/>
          <w:color w:val="000000"/>
          <w:kern w:val="2"/>
          <w14:ligatures w14:val="standardContextual"/>
        </w:rPr>
        <w:t>tiene por objeto establecer las condiciones a las que está sometido el contratista para que la entidad estatal pague el valor del contrato</w:t>
      </w:r>
      <w:r w:rsidRPr="00E158A8">
        <w:rPr>
          <w:rFonts w:ascii="Verdana" w:eastAsia="Calibri" w:hAnsi="Verdana" w:cs="Arial"/>
          <w:color w:val="000000"/>
          <w:kern w:val="2"/>
          <w:vertAlign w:val="superscript"/>
          <w14:ligatures w14:val="standardContextual"/>
        </w:rPr>
        <w:footnoteReference w:id="14"/>
      </w:r>
      <w:r w:rsidRPr="00E158A8">
        <w:rPr>
          <w:rFonts w:ascii="Verdana" w:eastAsia="Calibri" w:hAnsi="Verdana" w:cs="Arial"/>
          <w:color w:val="000000"/>
          <w:kern w:val="2"/>
          <w14:ligatures w14:val="standardContextual"/>
        </w:rPr>
        <w:t xml:space="preserve">. </w:t>
      </w:r>
    </w:p>
    <w:p w14:paraId="39955CD2"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kern w:val="2"/>
          <w14:ligatures w14:val="standardContextual"/>
        </w:rPr>
      </w:pPr>
      <w:r w:rsidRPr="00E158A8">
        <w:rPr>
          <w:rFonts w:ascii="Verdana" w:eastAsia="Calibri" w:hAnsi="Verdana" w:cs="Arial"/>
          <w:color w:val="000000"/>
          <w:kern w:val="2"/>
          <w14:ligatures w14:val="standardContextual"/>
        </w:rPr>
        <w:lastRenderedPageBreak/>
        <w:t>En este sentido, en el marco de los documentos tipo de licitación de obra pública de infraestructura social – versión 2, y conforme a las consideraciones expuestas, es jurídicamente viable que el contrato se estructure bajo una modalidad de pago a monto agotable, caso en el cual la entidad reconocerá y pagará únicamente las cantidades efectivamente ejecutadas durante el plazo contractual, sin exceder el presupuesto oficial definido.</w:t>
      </w:r>
    </w:p>
    <w:p w14:paraId="3216C386" w14:textId="77777777" w:rsidR="00E158A8" w:rsidRPr="00E158A8" w:rsidRDefault="00E158A8" w:rsidP="00E158A8">
      <w:pPr>
        <w:tabs>
          <w:tab w:val="center" w:pos="4244"/>
        </w:tabs>
        <w:spacing w:after="120" w:line="276" w:lineRule="auto"/>
        <w:ind w:firstLine="709"/>
        <w:jc w:val="both"/>
        <w:rPr>
          <w:rFonts w:ascii="Verdana" w:eastAsia="Calibri" w:hAnsi="Verdana" w:cs="Arial"/>
          <w:kern w:val="2"/>
          <w:lang w:val="es-ES_tradnl"/>
          <w14:ligatures w14:val="standardContextual"/>
        </w:rPr>
      </w:pPr>
      <w:r w:rsidRPr="00E158A8">
        <w:rPr>
          <w:rFonts w:ascii="Verdana" w:eastAsia="Calibri" w:hAnsi="Verdana" w:cs="Arial"/>
          <w:kern w:val="2"/>
          <w:lang w:val="es-ES_tradnl"/>
          <w14:ligatures w14:val="standardContextual"/>
        </w:rPr>
        <w:tab/>
      </w:r>
      <w:r w:rsidRPr="00E158A8">
        <w:rPr>
          <w:rFonts w:ascii="Verdana" w:eastAsia="Calibri" w:hAnsi="Verdana" w:cs="Arial"/>
          <w:color w:val="000000"/>
          <w:kern w:val="2"/>
          <w14:ligatures w14:val="standardContextual"/>
        </w:rPr>
        <w:t>Conforme con lo anterior, para responder al tercer problema jurídico planteado en este concepto, la Agencia Nacional de Contratación Pública – Colombia Compra Eficiente le indica que,</w:t>
      </w:r>
      <w:r w:rsidRPr="00E158A8">
        <w:rPr>
          <w:rFonts w:ascii="Verdana" w:eastAsia="Calibri" w:hAnsi="Verdana" w:cs="Arial"/>
          <w:kern w:val="2"/>
          <w:lang w:val="es-ES_tradnl"/>
          <w14:ligatures w14:val="standardContextual"/>
        </w:rPr>
        <w:t xml:space="preserve"> los Documentos Tipo de infraestructura social sí resultan aplicables a procesos contractuales orientados a la ejecución de intervenciones de mantenimientos, adecuación o reparación de sedes institucionales de la Fiscalía General de la Nación, aun cuando estos procesos se estructuren bajo esquemas de forma de pago a monto agotable y las cantidades de obras no puedan determinarse con exactitud desde la etapa de planeación. Esto considerando que las actividades señaladas, se encuentran comprendidas dentro del capítulo 2 “Obras en proyectos de infraestructura institucional de servicio público” de la Matriz 1 – Experiencia. </w:t>
      </w:r>
    </w:p>
    <w:p w14:paraId="2E57C05A"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kern w:val="2"/>
          <w14:ligatures w14:val="standardContextual"/>
        </w:rPr>
      </w:pPr>
      <w:r w:rsidRPr="00E158A8">
        <w:rPr>
          <w:rFonts w:ascii="Verdana" w:eastAsia="Calibri" w:hAnsi="Verdana" w:cs="Arial"/>
          <w:kern w:val="2"/>
          <w:lang w:val="es-ES_tradnl"/>
          <w14:ligatures w14:val="standardContextual"/>
        </w:rPr>
        <w:t xml:space="preserve">En este sentido, la naturaleza de las actividades a ejecutar –y no la forma específica de estructuración económica del contrato– es el criterio determinante para establecer la aplicación de los Documentos Tipo. Así, cuando el objeto contractual recae sobre intervenciones en infraestructura institucional de servicio público, como sedes administrativas o judiciales, se configura el </w:t>
      </w:r>
      <w:proofErr w:type="spellStart"/>
      <w:r w:rsidRPr="00E158A8">
        <w:rPr>
          <w:rFonts w:ascii="Verdana" w:eastAsia="Calibri" w:hAnsi="Verdana" w:cs="Arial"/>
          <w:kern w:val="2"/>
          <w:lang w:val="es-ES_tradnl"/>
          <w14:ligatures w14:val="standardContextual"/>
        </w:rPr>
        <w:t>supu</w:t>
      </w:r>
      <w:proofErr w:type="spellEnd"/>
      <w:r w:rsidRPr="00E158A8">
        <w:rPr>
          <w:rFonts w:ascii="Verdana" w:eastAsia="Calibri" w:hAnsi="Verdana" w:cs="Arial"/>
          <w:color w:val="000000"/>
          <w:kern w:val="2"/>
          <w14:ligatures w14:val="standardContextual"/>
        </w:rPr>
        <w:t xml:space="preserve">esto de hecho que activa la obligación de emplear los documentos tipo, siempre que el proceso se adelante bajo una de las modalidades de selección para las cuales estos han sido adoptados. </w:t>
      </w:r>
    </w:p>
    <w:p w14:paraId="777AF9E9" w14:textId="77777777" w:rsidR="00E158A8" w:rsidRPr="00E158A8" w:rsidRDefault="00E158A8" w:rsidP="00E158A8">
      <w:pPr>
        <w:tabs>
          <w:tab w:val="center" w:pos="4244"/>
        </w:tabs>
        <w:spacing w:after="120" w:line="276" w:lineRule="auto"/>
        <w:ind w:firstLine="709"/>
        <w:jc w:val="both"/>
        <w:rPr>
          <w:rFonts w:ascii="Verdana" w:eastAsia="Calibri" w:hAnsi="Verdana" w:cs="Arial"/>
          <w:color w:val="000000"/>
          <w:kern w:val="2"/>
          <w14:ligatures w14:val="standardContextual"/>
        </w:rPr>
      </w:pPr>
      <w:r w:rsidRPr="00E158A8">
        <w:rPr>
          <w:rFonts w:ascii="Verdana" w:eastAsia="Calibri" w:hAnsi="Verdana" w:cs="Arial"/>
          <w:color w:val="000000"/>
          <w:kern w:val="2"/>
          <w14:ligatures w14:val="standardContextual"/>
        </w:rPr>
        <w:t xml:space="preserve">El hecho de que el contrato se estructure bajo una modalidad de monto agotable, usualmente asociada a precios unitarios y a la ejecución por demanda, no desnaturaliza su carácter ni lo sustrae del ámbito de aplicación de los Documentos Tipo. Por el contrario, este tipo de esquemas resulta compatible con contratos en los cuales las cantidades de obra son indeterminadas o variables, siempre que exista un presupuesto oficial que opere como límite máximo y que la entidad haya definido, desde la etapa de planeación, las condiciones técnicas, </w:t>
      </w:r>
      <w:r w:rsidRPr="00E158A8">
        <w:rPr>
          <w:rFonts w:ascii="Verdana" w:eastAsia="Calibri" w:hAnsi="Verdana" w:cs="Arial"/>
          <w:color w:val="000000"/>
          <w:kern w:val="2"/>
          <w14:ligatures w14:val="standardContextual"/>
        </w:rPr>
        <w:lastRenderedPageBreak/>
        <w:t>económicas y de riesgo que permitan garantizar la adecuada ejecución del contrato.</w:t>
      </w:r>
    </w:p>
    <w:p w14:paraId="43D248D8" w14:textId="77777777" w:rsidR="00E158A8" w:rsidRPr="00E158A8" w:rsidRDefault="00E158A8" w:rsidP="00E158A8">
      <w:pPr>
        <w:tabs>
          <w:tab w:val="center" w:pos="4244"/>
        </w:tabs>
        <w:spacing w:after="0" w:line="276" w:lineRule="auto"/>
        <w:ind w:firstLine="709"/>
        <w:jc w:val="both"/>
        <w:rPr>
          <w:rFonts w:ascii="Verdana" w:eastAsia="Calibri" w:hAnsi="Verdana" w:cs="Arial"/>
          <w:color w:val="000000"/>
          <w:kern w:val="2"/>
          <w14:ligatures w14:val="standardContextual"/>
        </w:rPr>
      </w:pPr>
      <w:r w:rsidRPr="00E158A8">
        <w:rPr>
          <w:rFonts w:ascii="Verdana" w:eastAsia="Calibri" w:hAnsi="Verdana" w:cs="Arial"/>
          <w:color w:val="000000"/>
          <w:kern w:val="2"/>
          <w14:ligatures w14:val="standardContextual"/>
        </w:rPr>
        <w:t xml:space="preserve">En consecuencia, la utilización de una modalidad de pago a monto agotable no constituye un criterio excluyente para la aplicación de los Documentos Tipo, ni habilita a la entidad para apartarse de estos. Por el contrario, su obligatoriedad subsiste cuando concurren los supuestos normativos señalados con anterioridad. </w:t>
      </w:r>
    </w:p>
    <w:p w14:paraId="75416134" w14:textId="77777777" w:rsidR="00E158A8" w:rsidRPr="00E158A8" w:rsidRDefault="00E158A8" w:rsidP="00E158A8">
      <w:pPr>
        <w:tabs>
          <w:tab w:val="center" w:pos="4244"/>
        </w:tabs>
        <w:spacing w:after="0" w:line="276" w:lineRule="auto"/>
        <w:ind w:firstLine="709"/>
        <w:jc w:val="both"/>
        <w:rPr>
          <w:rFonts w:ascii="Verdana" w:eastAsia="Calibri" w:hAnsi="Verdana" w:cs="Arial"/>
          <w:kern w:val="2"/>
          <w14:ligatures w14:val="standardContextual"/>
        </w:rPr>
      </w:pPr>
    </w:p>
    <w:p w14:paraId="683B06D1" w14:textId="77777777" w:rsidR="00E158A8" w:rsidRPr="00E158A8" w:rsidRDefault="00E158A8" w:rsidP="00E158A8">
      <w:pPr>
        <w:spacing w:after="120" w:line="276" w:lineRule="auto"/>
        <w:jc w:val="both"/>
        <w:rPr>
          <w:rFonts w:ascii="Verdana" w:eastAsia="Times New Roman" w:hAnsi="Verdana" w:cs="Times New Roman"/>
          <w:lang w:eastAsia="es-MX"/>
        </w:rPr>
      </w:pPr>
      <w:proofErr w:type="spellStart"/>
      <w:r w:rsidRPr="00E158A8">
        <w:rPr>
          <w:rFonts w:ascii="Verdana" w:eastAsia="Calibri" w:hAnsi="Verdana" w:cs="Arial"/>
          <w:lang w:eastAsia="es-MX"/>
        </w:rPr>
        <w:t>iii</w:t>
      </w:r>
      <w:proofErr w:type="spellEnd"/>
      <w:r w:rsidRPr="00E158A8">
        <w:rPr>
          <w:rFonts w:ascii="Verdana" w:eastAsia="Calibri" w:hAnsi="Verdana" w:cs="Arial"/>
          <w:lang w:eastAsia="es-MX"/>
        </w:rPr>
        <w:t xml:space="preserve">. </w:t>
      </w:r>
      <w:r w:rsidRPr="00E158A8">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817497" w14:textId="77777777" w:rsidR="00E158A8" w:rsidRPr="00E158A8" w:rsidRDefault="00E158A8" w:rsidP="00E158A8">
      <w:pPr>
        <w:spacing w:after="0" w:line="276" w:lineRule="auto"/>
        <w:ind w:firstLine="708"/>
        <w:jc w:val="both"/>
        <w:rPr>
          <w:rFonts w:ascii="Verdana" w:eastAsia="Calibri" w:hAnsi="Verdana" w:cs="Arial"/>
          <w:bCs/>
          <w:color w:val="000000"/>
          <w:lang w:eastAsia="es-MX"/>
        </w:rPr>
      </w:pPr>
      <w:r w:rsidRPr="00E158A8">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0629793" w14:textId="77777777" w:rsidR="00E158A8" w:rsidRPr="00E158A8" w:rsidRDefault="00E158A8" w:rsidP="00E158A8">
      <w:pPr>
        <w:spacing w:after="0" w:line="276" w:lineRule="auto"/>
        <w:jc w:val="both"/>
        <w:rPr>
          <w:rFonts w:ascii="Verdana" w:eastAsia="Calibri" w:hAnsi="Verdana" w:cs="Times New Roman"/>
          <w:lang w:eastAsia="es-MX"/>
        </w:rPr>
      </w:pPr>
    </w:p>
    <w:p w14:paraId="115DD0A0" w14:textId="77777777" w:rsidR="00E158A8" w:rsidRPr="00E158A8" w:rsidRDefault="00E158A8" w:rsidP="00E158A8">
      <w:pPr>
        <w:tabs>
          <w:tab w:val="left" w:pos="142"/>
          <w:tab w:val="left" w:pos="284"/>
        </w:tabs>
        <w:spacing w:after="0" w:line="276" w:lineRule="auto"/>
        <w:jc w:val="both"/>
        <w:rPr>
          <w:rFonts w:ascii="Verdana" w:eastAsia="Century Gothic" w:hAnsi="Verdana" w:cs="Century Gothic"/>
          <w:b/>
          <w:bCs/>
          <w:lang w:val="es-ES_tradnl" w:eastAsia="es-MX"/>
        </w:rPr>
      </w:pPr>
      <w:r w:rsidRPr="00E158A8">
        <w:rPr>
          <w:rFonts w:ascii="Verdana" w:eastAsia="Century Gothic" w:hAnsi="Verdana" w:cs="Century Gothic"/>
          <w:b/>
          <w:bCs/>
          <w:lang w:val="es-ES_tradnl" w:eastAsia="es-MX"/>
        </w:rPr>
        <w:t>4. Referencias normativas, jurisprudenciales y otras fuentes:</w:t>
      </w:r>
    </w:p>
    <w:p w14:paraId="57194518" w14:textId="77777777" w:rsidR="00E158A8" w:rsidRPr="00E158A8" w:rsidRDefault="00E158A8" w:rsidP="00E158A8">
      <w:pPr>
        <w:spacing w:after="0"/>
        <w:ind w:left="-15840"/>
        <w:jc w:val="both"/>
        <w:rPr>
          <w:rFonts w:ascii="Verdana" w:eastAsia="Calibri" w:hAnsi="Verdana" w:cs="Arial"/>
          <w:b/>
          <w:bCs/>
          <w:lang w:eastAsia="es-MX"/>
        </w:rPr>
      </w:pPr>
      <w:r w:rsidRPr="00E158A8">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158A8" w:rsidRPr="00E158A8" w14:paraId="4C64E2DB"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7F7C81AE" w14:textId="77777777" w:rsidR="00E158A8" w:rsidRPr="00E158A8" w:rsidRDefault="00E158A8" w:rsidP="00E158A8">
            <w:pPr>
              <w:contextualSpacing/>
              <w:jc w:val="both"/>
              <w:rPr>
                <w:rFonts w:ascii="Verdana" w:eastAsia="Calibri" w:hAnsi="Verdana" w:cs="Arial"/>
                <w:bCs/>
                <w:lang w:eastAsia="es-MX"/>
              </w:rPr>
            </w:pPr>
          </w:p>
          <w:p w14:paraId="6687F9DA" w14:textId="77777777" w:rsidR="00E158A8" w:rsidRPr="00E158A8" w:rsidRDefault="00E158A8" w:rsidP="00E158A8">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E158A8">
              <w:rPr>
                <w:rFonts w:ascii="Verdana" w:eastAsia="Calibri" w:hAnsi="Verdana" w:cs="Arial"/>
                <w:lang w:val="es-ES_tradnl" w:eastAsia="es-MX"/>
              </w:rPr>
              <w:t xml:space="preserve">Ley 2022 de 2020, artículo 1. </w:t>
            </w:r>
          </w:p>
          <w:p w14:paraId="098913F7" w14:textId="77777777" w:rsidR="00E158A8" w:rsidRPr="00E158A8" w:rsidRDefault="00E158A8" w:rsidP="00E158A8">
            <w:pPr>
              <w:widowControl w:val="0"/>
              <w:numPr>
                <w:ilvl w:val="0"/>
                <w:numId w:val="16"/>
              </w:numPr>
              <w:autoSpaceDE w:val="0"/>
              <w:autoSpaceDN w:val="0"/>
              <w:spacing w:line="276" w:lineRule="auto"/>
              <w:jc w:val="both"/>
              <w:rPr>
                <w:rFonts w:ascii="Verdana" w:eastAsia="Calibri" w:hAnsi="Verdana" w:cs="Arial"/>
                <w:lang w:eastAsia="es-MX"/>
              </w:rPr>
            </w:pPr>
            <w:r w:rsidRPr="00E158A8">
              <w:rPr>
                <w:rFonts w:ascii="Verdana" w:eastAsia="Calibri" w:hAnsi="Verdana" w:cs="Arial"/>
                <w:lang w:eastAsia="es-MX"/>
              </w:rPr>
              <w:t>Ley 1150 de 2007, artículo 2.</w:t>
            </w:r>
          </w:p>
          <w:p w14:paraId="6ACF9031" w14:textId="77777777" w:rsidR="00E158A8" w:rsidRPr="00E158A8" w:rsidRDefault="00E158A8" w:rsidP="00E158A8">
            <w:pPr>
              <w:widowControl w:val="0"/>
              <w:numPr>
                <w:ilvl w:val="0"/>
                <w:numId w:val="16"/>
              </w:numPr>
              <w:autoSpaceDE w:val="0"/>
              <w:autoSpaceDN w:val="0"/>
              <w:spacing w:line="276" w:lineRule="auto"/>
              <w:contextualSpacing/>
              <w:jc w:val="both"/>
              <w:rPr>
                <w:rFonts w:ascii="Verdana" w:eastAsia="Calibri" w:hAnsi="Verdana" w:cs="Arial"/>
                <w:lang w:eastAsia="es-MX"/>
              </w:rPr>
            </w:pPr>
            <w:r w:rsidRPr="00E158A8">
              <w:rPr>
                <w:rFonts w:ascii="Verdana" w:eastAsia="Calibri" w:hAnsi="Verdana" w:cs="Arial"/>
                <w:lang w:val="es-ES_tradnl" w:eastAsia="es-MX"/>
              </w:rPr>
              <w:t xml:space="preserve">Documentos Tipo. Disponibles en: </w:t>
            </w:r>
            <w:hyperlink r:id="rId11" w:history="1">
              <w:r w:rsidRPr="00E158A8">
                <w:rPr>
                  <w:rFonts w:ascii="Verdana" w:eastAsia="Calibri" w:hAnsi="Verdana" w:cs="Arial"/>
                  <w:color w:val="0000FF"/>
                  <w:u w:val="single"/>
                  <w:lang w:val="es-ES_tradnl" w:eastAsia="es-MX"/>
                </w:rPr>
                <w:t>https://www.colombiacompra.gov.co/documentos-tipo/documentos-tipo</w:t>
              </w:r>
            </w:hyperlink>
            <w:r w:rsidRPr="00E158A8">
              <w:rPr>
                <w:rFonts w:ascii="Verdana" w:eastAsia="Calibri" w:hAnsi="Verdana" w:cs="Arial"/>
                <w:lang w:val="es-ES_tradnl" w:eastAsia="es-MX"/>
              </w:rPr>
              <w:t>.</w:t>
            </w:r>
          </w:p>
          <w:p w14:paraId="37DBA11C" w14:textId="77777777" w:rsidR="00E158A8" w:rsidRPr="00E158A8" w:rsidRDefault="00E158A8" w:rsidP="00E158A8">
            <w:pPr>
              <w:widowControl w:val="0"/>
              <w:numPr>
                <w:ilvl w:val="0"/>
                <w:numId w:val="16"/>
              </w:numPr>
              <w:autoSpaceDE w:val="0"/>
              <w:autoSpaceDN w:val="0"/>
              <w:spacing w:line="276" w:lineRule="auto"/>
              <w:contextualSpacing/>
              <w:jc w:val="both"/>
              <w:rPr>
                <w:rFonts w:ascii="Verdana" w:eastAsia="Calibri" w:hAnsi="Verdana" w:cs="Arial"/>
                <w:lang w:eastAsia="es-MX"/>
              </w:rPr>
            </w:pPr>
            <w:r w:rsidRPr="00E158A8">
              <w:rPr>
                <w:rFonts w:ascii="Verdana" w:eastAsia="Calibri" w:hAnsi="Verdana" w:cs="Arial"/>
                <w:lang w:val="es-ES_tradnl" w:eastAsia="es-MX"/>
              </w:rPr>
              <w:lastRenderedPageBreak/>
              <w:t>Reglamento Colombiano de Construcción Sismo Resistente NSR-10</w:t>
            </w:r>
          </w:p>
          <w:p w14:paraId="7FC08C01" w14:textId="77777777" w:rsidR="00E158A8" w:rsidRPr="00E158A8" w:rsidRDefault="00E158A8" w:rsidP="00E158A8">
            <w:pPr>
              <w:widowControl w:val="0"/>
              <w:numPr>
                <w:ilvl w:val="0"/>
                <w:numId w:val="16"/>
              </w:numPr>
              <w:autoSpaceDE w:val="0"/>
              <w:autoSpaceDN w:val="0"/>
              <w:spacing w:line="276" w:lineRule="auto"/>
              <w:contextualSpacing/>
              <w:jc w:val="both"/>
              <w:rPr>
                <w:rFonts w:ascii="Verdana" w:eastAsia="Calibri" w:hAnsi="Verdana" w:cs="Arial"/>
                <w:lang w:eastAsia="es-MX"/>
              </w:rPr>
            </w:pPr>
            <w:r w:rsidRPr="00E158A8">
              <w:rPr>
                <w:rFonts w:ascii="Verdana" w:eastAsia="Aptos" w:hAnsi="Verdana" w:cs="Arial"/>
              </w:rPr>
              <w:t>PODETTI, Humberto. El contrato de construcción. Buenos Aires: Astrea, 2004. Pp. 254-255.</w:t>
            </w:r>
          </w:p>
          <w:p w14:paraId="18C80497" w14:textId="77777777" w:rsidR="00E158A8" w:rsidRPr="00E158A8" w:rsidRDefault="00E158A8" w:rsidP="00E158A8">
            <w:pPr>
              <w:widowControl w:val="0"/>
              <w:numPr>
                <w:ilvl w:val="0"/>
                <w:numId w:val="16"/>
              </w:numPr>
              <w:autoSpaceDE w:val="0"/>
              <w:autoSpaceDN w:val="0"/>
              <w:spacing w:line="276" w:lineRule="auto"/>
              <w:contextualSpacing/>
              <w:jc w:val="both"/>
              <w:rPr>
                <w:rFonts w:ascii="Verdana" w:eastAsia="Calibri" w:hAnsi="Verdana" w:cs="Arial"/>
                <w:lang w:eastAsia="es-MX"/>
              </w:rPr>
            </w:pPr>
            <w:r w:rsidRPr="00E158A8">
              <w:rPr>
                <w:rFonts w:ascii="Verdana" w:eastAsia="Aptos" w:hAnsi="Verdana" w:cs="Arial"/>
              </w:rPr>
              <w:t xml:space="preserve">PLANIOL, Marcel &amp; RIPERT, Jeorge. Tratado práctico de derecho civil francés. Tomo XI. La Habana: Cultural SA, 1940. p. 163. </w:t>
            </w:r>
          </w:p>
        </w:tc>
      </w:tr>
    </w:tbl>
    <w:p w14:paraId="555FC8C5" w14:textId="77777777" w:rsidR="00E158A8" w:rsidRPr="00E158A8" w:rsidRDefault="00E158A8" w:rsidP="00E158A8">
      <w:pPr>
        <w:tabs>
          <w:tab w:val="left" w:pos="142"/>
          <w:tab w:val="left" w:pos="284"/>
        </w:tabs>
        <w:spacing w:after="0" w:line="276" w:lineRule="auto"/>
        <w:jc w:val="both"/>
        <w:rPr>
          <w:rFonts w:ascii="Verdana" w:eastAsia="Calibri" w:hAnsi="Verdana" w:cs="Arial"/>
          <w:lang w:eastAsia="es-MX"/>
        </w:rPr>
      </w:pPr>
    </w:p>
    <w:p w14:paraId="56A605E8" w14:textId="77777777" w:rsidR="00E158A8" w:rsidRPr="00E158A8" w:rsidRDefault="00E158A8" w:rsidP="00E158A8">
      <w:pPr>
        <w:tabs>
          <w:tab w:val="left" w:pos="142"/>
          <w:tab w:val="left" w:pos="284"/>
        </w:tabs>
        <w:spacing w:after="0" w:line="276" w:lineRule="auto"/>
        <w:jc w:val="both"/>
        <w:rPr>
          <w:rFonts w:ascii="Verdana" w:eastAsia="Century Gothic" w:hAnsi="Verdana" w:cs="Century Gothic"/>
          <w:b/>
          <w:bCs/>
          <w:lang w:val="es-ES" w:eastAsia="es-MX"/>
        </w:rPr>
      </w:pPr>
      <w:r w:rsidRPr="00E158A8">
        <w:rPr>
          <w:rFonts w:ascii="Verdana" w:eastAsia="Calibri" w:hAnsi="Verdana" w:cs="Arial"/>
          <w:b/>
          <w:bCs/>
          <w:lang w:eastAsia="es-MX"/>
        </w:rPr>
        <w:t>5</w:t>
      </w:r>
      <w:r w:rsidRPr="00E158A8">
        <w:rPr>
          <w:rFonts w:ascii="Verdana" w:eastAsia="Calibri" w:hAnsi="Verdana" w:cs="Arial"/>
          <w:lang w:eastAsia="es-MX"/>
        </w:rPr>
        <w:t>.</w:t>
      </w:r>
      <w:r w:rsidRPr="00E158A8">
        <w:rPr>
          <w:rFonts w:ascii="Verdana" w:eastAsia="Century Gothic" w:hAnsi="Verdana" w:cs="Century Gothic"/>
          <w:b/>
          <w:bCs/>
          <w:lang w:val="es-ES" w:eastAsia="es-MX"/>
        </w:rPr>
        <w:t>Doctrina de la Agencia Nacional de Contratación Pública:</w:t>
      </w:r>
    </w:p>
    <w:p w14:paraId="3A3D750A" w14:textId="77777777" w:rsidR="00E158A8" w:rsidRPr="00E158A8" w:rsidRDefault="00E158A8" w:rsidP="00E158A8">
      <w:pPr>
        <w:widowControl w:val="0"/>
        <w:autoSpaceDE w:val="0"/>
        <w:autoSpaceDN w:val="0"/>
        <w:spacing w:after="0" w:line="276" w:lineRule="auto"/>
        <w:jc w:val="both"/>
        <w:rPr>
          <w:rFonts w:ascii="Verdana" w:eastAsia="Calibri" w:hAnsi="Verdana" w:cs="Arial"/>
          <w:lang w:eastAsia="es-MX"/>
        </w:rPr>
      </w:pPr>
    </w:p>
    <w:p w14:paraId="62BFDFB7" w14:textId="77777777" w:rsidR="00E158A8" w:rsidRPr="00E158A8" w:rsidRDefault="00E158A8" w:rsidP="00E158A8">
      <w:pPr>
        <w:spacing w:after="0" w:line="276" w:lineRule="auto"/>
        <w:jc w:val="both"/>
        <w:rPr>
          <w:rFonts w:ascii="Verdana" w:eastAsia="Calibri" w:hAnsi="Verdana" w:cs="Arial"/>
          <w:shd w:val="clear" w:color="auto" w:fill="FFFFFF"/>
          <w:lang w:val="es-ES" w:eastAsia="es-MX"/>
        </w:rPr>
      </w:pPr>
      <w:r w:rsidRPr="00E158A8">
        <w:rPr>
          <w:rFonts w:ascii="Verdana" w:eastAsia="Calibri" w:hAnsi="Verdana" w:cs="Arial"/>
          <w:shd w:val="clear" w:color="auto" w:fill="FFFFFF"/>
          <w:lang w:val="es-ES" w:eastAsia="es-MX"/>
        </w:rPr>
        <w:t>La Agencia Nacional de Contratación Pública – Colombia Compra Eficiente se pronunció</w:t>
      </w:r>
      <w:r w:rsidRPr="00E158A8">
        <w:rPr>
          <w:rFonts w:ascii="Verdana" w:eastAsia="Calibri" w:hAnsi="Verdana" w:cs="Times New Roman"/>
          <w:lang w:eastAsia="es-MX"/>
        </w:rPr>
        <w:t xml:space="preserve"> </w:t>
      </w:r>
      <w:r w:rsidRPr="00E158A8">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158A8">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75F65C93" w14:textId="77777777" w:rsidR="00E158A8" w:rsidRPr="00E158A8" w:rsidRDefault="00E158A8" w:rsidP="00E158A8">
      <w:pPr>
        <w:spacing w:after="0" w:line="276" w:lineRule="auto"/>
        <w:jc w:val="both"/>
        <w:rPr>
          <w:rFonts w:ascii="Verdana" w:eastAsia="Calibri" w:hAnsi="Verdana" w:cs="Arial"/>
          <w:shd w:val="clear" w:color="auto" w:fill="FFFFFF"/>
          <w:lang w:val="es-ES" w:eastAsia="es-MX"/>
        </w:rPr>
      </w:pPr>
    </w:p>
    <w:p w14:paraId="074A5F3A" w14:textId="77777777" w:rsidR="00E158A8" w:rsidRPr="00E158A8" w:rsidRDefault="00E158A8" w:rsidP="00E158A8">
      <w:pPr>
        <w:spacing w:after="0" w:line="278" w:lineRule="auto"/>
        <w:jc w:val="both"/>
        <w:rPr>
          <w:rFonts w:ascii="Verdana" w:eastAsia="Calibri" w:hAnsi="Verdana" w:cs="Arial"/>
          <w:shd w:val="clear" w:color="auto" w:fill="FFFFFF"/>
          <w:lang w:val="es-ES" w:eastAsia="es-MX"/>
        </w:rPr>
      </w:pPr>
      <w:r w:rsidRPr="00E158A8">
        <w:rPr>
          <w:rFonts w:ascii="Verdana" w:eastAsia="Calibri" w:hAnsi="Verdana" w:cs="Arial"/>
          <w:shd w:val="clear" w:color="auto" w:fill="FFFFFF"/>
          <w:lang w:val="es-ES" w:eastAsia="es-MX"/>
        </w:rPr>
        <w:t xml:space="preserve">Por otra parte, esta subdirección se pronunció sobre los contratos a monto agotable en los siguientes conceptos C-768 del 26 de diciembre de 2024, C-609 del 25 de octubre de 2024 y C-1300 del 29 de septiembre de 2025, entre otros. </w:t>
      </w:r>
    </w:p>
    <w:p w14:paraId="4B33F63B" w14:textId="77777777" w:rsidR="00E158A8" w:rsidRPr="00E158A8" w:rsidRDefault="00E158A8" w:rsidP="00E158A8">
      <w:pPr>
        <w:spacing w:after="0" w:line="240" w:lineRule="auto"/>
        <w:jc w:val="both"/>
        <w:rPr>
          <w:rFonts w:ascii="Verdana" w:eastAsia="Calibri" w:hAnsi="Verdana" w:cs="Arial"/>
          <w:color w:val="000000"/>
          <w:shd w:val="clear" w:color="auto" w:fill="FFFFFF"/>
          <w:lang w:eastAsia="es-MX"/>
        </w:rPr>
      </w:pPr>
    </w:p>
    <w:p w14:paraId="237A1E2F" w14:textId="77777777" w:rsidR="00E158A8" w:rsidRPr="00E158A8" w:rsidRDefault="00E158A8" w:rsidP="00E158A8">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158A8">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158A8">
          <w:rPr>
            <w:rFonts w:ascii="Verdana" w:eastAsia="Calibri" w:hAnsi="Verdana" w:cs="Arial"/>
            <w:color w:val="0000FF"/>
            <w:u w:val="single"/>
            <w:shd w:val="clear" w:color="auto" w:fill="FFFFFF"/>
            <w:lang w:eastAsia="es-MX"/>
          </w:rPr>
          <w:t>https://relatoria.colombiacompra.gov.co/</w:t>
        </w:r>
      </w:hyperlink>
      <w:r w:rsidRPr="00E158A8">
        <w:rPr>
          <w:rFonts w:ascii="Verdana" w:eastAsia="Calibri" w:hAnsi="Verdana" w:cs="Arial"/>
          <w:color w:val="0000FF"/>
          <w:u w:val="single"/>
          <w:shd w:val="clear" w:color="auto" w:fill="FFFFFF"/>
          <w:lang w:eastAsia="es-MX"/>
        </w:rPr>
        <w:t> .</w:t>
      </w:r>
    </w:p>
    <w:p w14:paraId="1EE4C85E" w14:textId="77777777" w:rsidR="00E158A8" w:rsidRPr="00E158A8" w:rsidRDefault="00E158A8" w:rsidP="00E158A8">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49E78914" w14:textId="77777777" w:rsidR="00E158A8" w:rsidRPr="00E158A8" w:rsidRDefault="00E158A8" w:rsidP="00E158A8">
      <w:pPr>
        <w:spacing w:after="0" w:line="276" w:lineRule="auto"/>
        <w:jc w:val="both"/>
        <w:rPr>
          <w:rFonts w:ascii="Verdana" w:eastAsia="Times New Roman" w:hAnsi="Verdana" w:cs="Arial"/>
          <w:lang w:eastAsia="es-MX"/>
        </w:rPr>
      </w:pPr>
      <w:r w:rsidRPr="00E158A8">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158A8">
        <w:rPr>
          <w:rFonts w:ascii="Verdana" w:eastAsia="Times New Roman" w:hAnsi="Verdana" w:cs="Arial"/>
          <w:b/>
          <w:bCs/>
          <w:lang w:eastAsia="es-MX"/>
        </w:rPr>
        <w:t>Curso de Contratación Pública Sostenible y Socialmente Responsable</w:t>
      </w:r>
      <w:r w:rsidRPr="00E158A8">
        <w:rPr>
          <w:rFonts w:ascii="Verdana" w:eastAsia="Times New Roman" w:hAnsi="Verdana" w:cs="Arial"/>
          <w:lang w:eastAsia="es-MX"/>
        </w:rPr>
        <w:t xml:space="preserve">, una herramienta clave para fortalecer las capacidades de todos los compradores públicos, proveedores, servidores públicos y para generar mayor valor público. Accede al curso y aprende como implementar criterios </w:t>
      </w:r>
      <w:r w:rsidRPr="00E158A8">
        <w:rPr>
          <w:rFonts w:ascii="Verdana" w:eastAsia="Times New Roman" w:hAnsi="Verdana" w:cs="Arial"/>
          <w:lang w:eastAsia="es-MX"/>
        </w:rPr>
        <w:lastRenderedPageBreak/>
        <w:t>sociales y ambientales en las diferentes etapas del proceso de contratación:</w:t>
      </w:r>
      <w:r w:rsidRPr="00E158A8">
        <w:rPr>
          <w:rFonts w:ascii="Verdana" w:eastAsia="Times New Roman" w:hAnsi="Verdana" w:cs="Arial"/>
          <w:lang w:eastAsia="es-MX"/>
        </w:rPr>
        <w:br/>
      </w:r>
      <w:hyperlink r:id="rId13" w:tgtFrame="_new" w:history="1">
        <w:r w:rsidRPr="00E158A8">
          <w:rPr>
            <w:rFonts w:ascii="Verdana" w:eastAsia="Times New Roman" w:hAnsi="Verdana" w:cs="Arial"/>
            <w:color w:val="0000FF"/>
            <w:u w:val="single"/>
            <w:lang w:eastAsia="es-MX"/>
          </w:rPr>
          <w:t>https://formacionvirtual.colombiacompra.gov.co/mod/page/view.php?id=3718</w:t>
        </w:r>
      </w:hyperlink>
    </w:p>
    <w:p w14:paraId="52829051" w14:textId="77777777" w:rsidR="00E158A8" w:rsidRPr="00E158A8" w:rsidRDefault="00E158A8" w:rsidP="00E158A8">
      <w:pPr>
        <w:spacing w:after="0" w:line="276" w:lineRule="auto"/>
        <w:jc w:val="both"/>
        <w:rPr>
          <w:rFonts w:ascii="Verdana" w:eastAsia="Times New Roman" w:hAnsi="Verdana" w:cs="Arial"/>
          <w:lang w:eastAsia="es-MX"/>
        </w:rPr>
      </w:pPr>
      <w:r w:rsidRPr="00E158A8">
        <w:rPr>
          <w:rFonts w:ascii="Verdana" w:eastAsia="Times New Roman" w:hAnsi="Verdana" w:cs="Arial"/>
          <w:lang w:eastAsia="es-MX"/>
        </w:rPr>
        <w:t xml:space="preserve">De otro lado, te contamos que esta Agencia ha da un paso decisivo en la estandarización y modernización del </w:t>
      </w:r>
      <w:r w:rsidRPr="00E158A8">
        <w:rPr>
          <w:rFonts w:ascii="Verdana" w:eastAsia="Times New Roman" w:hAnsi="Verdana" w:cs="Arial"/>
          <w:b/>
          <w:bCs/>
          <w:lang w:eastAsia="es-MX"/>
        </w:rPr>
        <w:t>sector  social</w:t>
      </w:r>
      <w:r w:rsidRPr="00E158A8">
        <w:rPr>
          <w:rFonts w:ascii="Verdana" w:eastAsia="Times New Roman" w:hAnsi="Verdana" w:cs="Arial"/>
          <w:lang w:eastAsia="es-MX"/>
        </w:rPr>
        <w:t xml:space="preserve"> con la expedición de las </w:t>
      </w:r>
      <w:r w:rsidRPr="00E158A8">
        <w:rPr>
          <w:rFonts w:ascii="Verdana" w:eastAsia="Times New Roman" w:hAnsi="Verdana" w:cs="Arial"/>
          <w:b/>
          <w:bCs/>
          <w:lang w:eastAsia="es-MX"/>
        </w:rPr>
        <w:t>Resoluciones 539, 540, 541, 952 y 953 de 2025</w:t>
      </w:r>
      <w:r w:rsidRPr="00E158A8">
        <w:rPr>
          <w:rFonts w:ascii="Verdana" w:eastAsia="Times New Roman" w:hAnsi="Verdana" w:cs="Arial"/>
          <w:lang w:eastAsia="es-MX"/>
        </w:rPr>
        <w:t xml:space="preserve">, </w:t>
      </w:r>
      <w:r w:rsidRPr="00E158A8">
        <w:rPr>
          <w:rFonts w:ascii="Verdana" w:eastAsia="Times New Roman" w:hAnsi="Verdana" w:cs="Arial"/>
          <w:b/>
          <w:bCs/>
          <w:lang w:eastAsia="es-MX"/>
        </w:rPr>
        <w:t>mediante las cuales adoptó Documentos Tipo</w:t>
      </w:r>
      <w:r w:rsidRPr="00E158A8">
        <w:rPr>
          <w:rFonts w:ascii="Verdana" w:eastAsia="Times New Roman" w:hAnsi="Verdana" w:cs="Arial"/>
          <w:lang w:eastAsia="es-MX"/>
        </w:rPr>
        <w:t xml:space="preserve"> para las modalidades de selección de</w:t>
      </w:r>
      <w:r w:rsidRPr="00E158A8">
        <w:rPr>
          <w:rFonts w:ascii="Verdana" w:eastAsia="Times New Roman" w:hAnsi="Verdana" w:cs="Arial"/>
          <w:b/>
          <w:bCs/>
          <w:lang w:eastAsia="es-MX"/>
        </w:rPr>
        <w:t xml:space="preserve"> licitación pública (versión 2), selección abreviada de menor cuantía, mínima cuantía, consultoría e interventoría</w:t>
      </w:r>
      <w:r w:rsidRPr="00E158A8">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158A8">
          <w:rPr>
            <w:rFonts w:ascii="Verdana" w:eastAsia="Times New Roman" w:hAnsi="Verdana" w:cs="Arial"/>
            <w:color w:val="0000FF"/>
            <w:u w:val="single"/>
            <w:lang w:eastAsia="es-MX"/>
          </w:rPr>
          <w:t>https://www.colombiacompra.gov.co/normativa-y-relatoria/documentos-tipo</w:t>
        </w:r>
      </w:hyperlink>
    </w:p>
    <w:p w14:paraId="75E75B46" w14:textId="77777777" w:rsidR="00E158A8" w:rsidRPr="00E158A8" w:rsidRDefault="00E158A8" w:rsidP="00E158A8">
      <w:pPr>
        <w:spacing w:after="0" w:line="276" w:lineRule="auto"/>
        <w:jc w:val="both"/>
        <w:rPr>
          <w:rFonts w:ascii="Verdana" w:eastAsia="Times New Roman" w:hAnsi="Verdana" w:cs="Arial"/>
          <w:lang w:eastAsia="es-MX"/>
        </w:rPr>
      </w:pPr>
    </w:p>
    <w:p w14:paraId="47A58331" w14:textId="77777777" w:rsidR="00E158A8" w:rsidRPr="00E158A8" w:rsidRDefault="00E158A8" w:rsidP="00E158A8">
      <w:pPr>
        <w:spacing w:after="0" w:line="276" w:lineRule="auto"/>
        <w:jc w:val="both"/>
        <w:rPr>
          <w:rFonts w:ascii="Verdana" w:eastAsia="Times New Roman" w:hAnsi="Verdana" w:cs="Arial"/>
          <w:lang w:eastAsia="es-MX"/>
        </w:rPr>
      </w:pPr>
      <w:r w:rsidRPr="00E158A8">
        <w:rPr>
          <w:rFonts w:ascii="Verdana" w:eastAsia="Times New Roman" w:hAnsi="Verdana" w:cs="Arial"/>
          <w:lang w:eastAsia="es-MX"/>
        </w:rPr>
        <w:t xml:space="preserve">Si quieres conocer más sobre la aplicación de Documentos Tipo puedes consultar la última versión de la </w:t>
      </w:r>
      <w:r w:rsidRPr="00E158A8">
        <w:rPr>
          <w:rFonts w:ascii="Verdana" w:eastAsia="Times New Roman" w:hAnsi="Verdana" w:cs="Arial"/>
          <w:b/>
          <w:bCs/>
          <w:lang w:eastAsia="es-MX"/>
        </w:rPr>
        <w:t>Guía para la comprensión e implementación de los Documentos Tipo de obra pública de infraestructura de transporte</w:t>
      </w:r>
      <w:r w:rsidRPr="00E158A8">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158A8">
        <w:rPr>
          <w:rFonts w:ascii="Verdana" w:eastAsia="Times New Roman" w:hAnsi="Verdana" w:cs="Arial"/>
          <w:lang w:eastAsia="es-MX"/>
        </w:rPr>
        <w:br/>
      </w:r>
      <w:hyperlink r:id="rId15" w:tgtFrame="_new" w:history="1">
        <w:r w:rsidRPr="00E158A8">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3A6C4E5" w14:textId="77777777" w:rsidR="00E158A8" w:rsidRPr="00E158A8" w:rsidRDefault="00E158A8" w:rsidP="00E158A8">
      <w:pPr>
        <w:spacing w:after="0"/>
        <w:jc w:val="both"/>
        <w:rPr>
          <w:rFonts w:ascii="Verdana" w:eastAsia="Aptos" w:hAnsi="Verdana" w:cs="Times New Roman"/>
          <w:color w:val="212121"/>
          <w:lang w:eastAsia="es-MX"/>
        </w:rPr>
      </w:pPr>
    </w:p>
    <w:p w14:paraId="1FDC53B8" w14:textId="77777777" w:rsidR="00E158A8" w:rsidRPr="00E158A8" w:rsidRDefault="00E158A8" w:rsidP="00E158A8">
      <w:pPr>
        <w:spacing w:after="0" w:line="240" w:lineRule="auto"/>
        <w:jc w:val="both"/>
        <w:rPr>
          <w:rFonts w:ascii="Verdana" w:eastAsia="Calibri" w:hAnsi="Verdana" w:cs="Times New Roman"/>
          <w:lang w:eastAsia="es-MX"/>
        </w:rPr>
      </w:pPr>
      <w:r w:rsidRPr="00E158A8">
        <w:rPr>
          <w:rFonts w:ascii="Verdana" w:eastAsia="Aptos" w:hAnsi="Verdana" w:cs="Times New Roman"/>
          <w:lang w:eastAsia="es-MX"/>
        </w:rPr>
        <w:t xml:space="preserve">Por último, lo invitamos a seguirnos en las redes sociales en las cuales se difunde información institucional: </w:t>
      </w:r>
    </w:p>
    <w:p w14:paraId="62847B1B" w14:textId="77777777" w:rsidR="00E158A8" w:rsidRPr="00E158A8" w:rsidRDefault="00E158A8" w:rsidP="00E158A8">
      <w:pPr>
        <w:spacing w:after="0" w:line="240" w:lineRule="auto"/>
        <w:jc w:val="both"/>
        <w:rPr>
          <w:rFonts w:ascii="Verdana" w:eastAsia="Aptos" w:hAnsi="Verdana" w:cs="Times New Roman"/>
          <w:lang w:eastAsia="es-MX"/>
        </w:rPr>
      </w:pPr>
    </w:p>
    <w:p w14:paraId="0F739CAB" w14:textId="77777777" w:rsidR="00E158A8" w:rsidRPr="00E158A8" w:rsidRDefault="00E158A8" w:rsidP="00E158A8">
      <w:pPr>
        <w:spacing w:after="0" w:line="240" w:lineRule="auto"/>
        <w:jc w:val="both"/>
        <w:rPr>
          <w:rFonts w:ascii="Verdana" w:eastAsia="Aptos" w:hAnsi="Verdana" w:cs="Times New Roman"/>
          <w:lang w:eastAsia="es-MX"/>
        </w:rPr>
      </w:pPr>
      <w:r w:rsidRPr="00E158A8">
        <w:rPr>
          <w:rFonts w:ascii="Verdana" w:eastAsia="Aptos" w:hAnsi="Verdana" w:cs="Times New Roman"/>
          <w:lang w:eastAsia="es-MX"/>
        </w:rPr>
        <w:t xml:space="preserve">Twitter: </w:t>
      </w:r>
      <w:r w:rsidRPr="00E158A8">
        <w:rPr>
          <w:rFonts w:ascii="Verdana" w:eastAsia="Calibri" w:hAnsi="Verdana" w:cs="Times New Roman"/>
          <w:color w:val="156082"/>
          <w:u w:val="single"/>
          <w:lang w:eastAsia="es-MX"/>
        </w:rPr>
        <w:t>@colombiacompra</w:t>
      </w:r>
      <w:r w:rsidRPr="00E158A8">
        <w:rPr>
          <w:rFonts w:ascii="Verdana" w:eastAsia="Calibri" w:hAnsi="Verdana" w:cs="Times New Roman"/>
          <w:color w:val="156082"/>
          <w:lang w:eastAsia="es-MX"/>
        </w:rPr>
        <w:t xml:space="preserve"> </w:t>
      </w:r>
    </w:p>
    <w:p w14:paraId="614E0823" w14:textId="77777777" w:rsidR="00E158A8" w:rsidRPr="00E158A8" w:rsidRDefault="00E158A8" w:rsidP="00E158A8">
      <w:pPr>
        <w:spacing w:after="0" w:line="240" w:lineRule="auto"/>
        <w:jc w:val="both"/>
        <w:rPr>
          <w:rFonts w:ascii="Verdana" w:eastAsia="Aptos" w:hAnsi="Verdana" w:cs="Times New Roman"/>
          <w:lang w:eastAsia="es-MX"/>
        </w:rPr>
      </w:pPr>
      <w:r w:rsidRPr="00E158A8">
        <w:rPr>
          <w:rFonts w:ascii="Verdana" w:eastAsia="Aptos" w:hAnsi="Verdana" w:cs="Times New Roman"/>
          <w:lang w:eastAsia="es-MX"/>
        </w:rPr>
        <w:t xml:space="preserve">Facebook: </w:t>
      </w:r>
      <w:proofErr w:type="spellStart"/>
      <w:r w:rsidRPr="00E158A8">
        <w:rPr>
          <w:rFonts w:ascii="Verdana" w:eastAsia="Calibri" w:hAnsi="Verdana" w:cs="Times New Roman"/>
          <w:color w:val="156082"/>
          <w:u w:val="single"/>
          <w:lang w:eastAsia="es-MX"/>
        </w:rPr>
        <w:t>ColombiaCompraEficiente</w:t>
      </w:r>
      <w:proofErr w:type="spellEnd"/>
    </w:p>
    <w:p w14:paraId="099B1384" w14:textId="77777777" w:rsidR="00E158A8" w:rsidRPr="00E158A8" w:rsidRDefault="00E158A8" w:rsidP="00E158A8">
      <w:pPr>
        <w:spacing w:after="0" w:line="240" w:lineRule="auto"/>
        <w:jc w:val="both"/>
        <w:rPr>
          <w:rFonts w:ascii="Verdana" w:eastAsia="Aptos" w:hAnsi="Verdana" w:cs="Times New Roman"/>
          <w:lang w:eastAsia="es-MX"/>
        </w:rPr>
      </w:pPr>
      <w:r w:rsidRPr="00E158A8">
        <w:rPr>
          <w:rFonts w:ascii="Verdana" w:eastAsia="Aptos" w:hAnsi="Verdana" w:cs="Times New Roman"/>
          <w:lang w:eastAsia="es-MX"/>
        </w:rPr>
        <w:t xml:space="preserve">LinkedIn: </w:t>
      </w:r>
      <w:r w:rsidRPr="00E158A8">
        <w:rPr>
          <w:rFonts w:ascii="Verdana" w:eastAsia="Calibri" w:hAnsi="Verdana" w:cs="Times New Roman"/>
          <w:color w:val="156082"/>
          <w:u w:val="single"/>
          <w:lang w:eastAsia="es-MX"/>
        </w:rPr>
        <w:t>Agencia Nacional de Contratación Pública - Colombia Compra Eficiente</w:t>
      </w:r>
      <w:r w:rsidRPr="00E158A8">
        <w:rPr>
          <w:rFonts w:ascii="Verdana" w:eastAsia="Calibri" w:hAnsi="Verdana" w:cs="Times New Roman"/>
          <w:color w:val="156082"/>
          <w:lang w:eastAsia="es-MX"/>
        </w:rPr>
        <w:t xml:space="preserve"> </w:t>
      </w:r>
      <w:r w:rsidRPr="00E158A8">
        <w:rPr>
          <w:rFonts w:ascii="Verdana" w:eastAsia="Aptos" w:hAnsi="Verdana" w:cs="Times New Roman"/>
          <w:lang w:eastAsia="es-MX"/>
        </w:rPr>
        <w:t xml:space="preserve">Instagram: </w:t>
      </w:r>
      <w:r w:rsidRPr="00E158A8">
        <w:rPr>
          <w:rFonts w:ascii="Verdana" w:eastAsia="Calibri" w:hAnsi="Verdana" w:cs="Times New Roman"/>
          <w:color w:val="156082"/>
          <w:u w:val="single"/>
          <w:lang w:eastAsia="es-MX"/>
        </w:rPr>
        <w:t>@colombiacompraeficiente_cce</w:t>
      </w:r>
    </w:p>
    <w:p w14:paraId="1D48588A" w14:textId="77777777" w:rsidR="00E158A8" w:rsidRPr="00E158A8" w:rsidRDefault="00E158A8" w:rsidP="00E158A8">
      <w:pPr>
        <w:spacing w:after="0" w:line="276" w:lineRule="auto"/>
        <w:jc w:val="both"/>
        <w:rPr>
          <w:rFonts w:ascii="Verdana" w:eastAsia="Aptos" w:hAnsi="Verdana" w:cs="Times New Roman"/>
          <w:lang w:eastAsia="es-MX"/>
        </w:rPr>
      </w:pPr>
    </w:p>
    <w:p w14:paraId="7B7978B3" w14:textId="77777777" w:rsidR="00E158A8" w:rsidRPr="00E158A8" w:rsidRDefault="00E158A8" w:rsidP="00E158A8">
      <w:pPr>
        <w:spacing w:after="0" w:line="276" w:lineRule="auto"/>
        <w:jc w:val="both"/>
        <w:rPr>
          <w:rFonts w:ascii="Verdana" w:eastAsia="Calibri" w:hAnsi="Verdana" w:cs="Times New Roman"/>
          <w:bCs/>
          <w:lang w:val="es-ES_tradnl" w:eastAsia="es-MX"/>
        </w:rPr>
      </w:pPr>
      <w:r w:rsidRPr="00E158A8">
        <w:rPr>
          <w:rFonts w:ascii="Verdana" w:eastAsia="Calibri" w:hAnsi="Verdana" w:cs="Times New Roman"/>
          <w:lang w:val="es-ES_tradnl" w:eastAsia="es-MX"/>
        </w:rPr>
        <w:t xml:space="preserve">Este concepto tiene el alcance previsto en el artículo 28 del Código de Procedimiento Administrativo y de lo Contencioso Administrativo y las </w:t>
      </w:r>
      <w:r w:rsidRPr="00E158A8">
        <w:rPr>
          <w:rFonts w:ascii="Verdana" w:eastAsia="Calibri" w:hAnsi="Verdana" w:cs="Times New Roman"/>
          <w:lang w:val="es-ES_tradnl" w:eastAsia="es-MX"/>
        </w:rPr>
        <w:lastRenderedPageBreak/>
        <w:t>expresiones utilizadas con mayúscula inicial deben ser entendidas con el significado que les otorga el artículo 2.2.1.1.1.3.1 del Decreto 1082 de 2015.</w:t>
      </w:r>
    </w:p>
    <w:p w14:paraId="7E1871AC" w14:textId="77777777" w:rsidR="00E158A8" w:rsidRPr="00E158A8" w:rsidRDefault="00E158A8" w:rsidP="00E158A8">
      <w:pPr>
        <w:spacing w:after="0" w:line="276" w:lineRule="auto"/>
        <w:jc w:val="both"/>
        <w:rPr>
          <w:rFonts w:ascii="Verdana" w:eastAsia="Calibri" w:hAnsi="Verdana" w:cs="Times New Roman"/>
          <w:lang w:eastAsia="es-MX"/>
        </w:rPr>
      </w:pPr>
    </w:p>
    <w:p w14:paraId="0ACDBD10" w14:textId="77777777" w:rsidR="00E158A8" w:rsidRPr="00E158A8" w:rsidRDefault="00E158A8" w:rsidP="00E158A8">
      <w:pPr>
        <w:spacing w:after="0" w:line="276" w:lineRule="auto"/>
        <w:jc w:val="both"/>
        <w:rPr>
          <w:rFonts w:ascii="Verdana" w:eastAsia="Calibri" w:hAnsi="Verdana" w:cs="Times New Roman"/>
          <w:lang w:eastAsia="es-MX"/>
        </w:rPr>
      </w:pPr>
      <w:r w:rsidRPr="00E158A8">
        <w:rPr>
          <w:rFonts w:ascii="Verdana" w:eastAsia="Calibri" w:hAnsi="Verdana" w:cs="Times New Roman"/>
          <w:lang w:eastAsia="es-MX"/>
        </w:rPr>
        <w:t>Atentamente,</w:t>
      </w:r>
    </w:p>
    <w:p w14:paraId="11DABFBE" w14:textId="77777777" w:rsidR="00E158A8" w:rsidRPr="00E158A8" w:rsidRDefault="00E158A8" w:rsidP="00E158A8">
      <w:pPr>
        <w:tabs>
          <w:tab w:val="left" w:pos="1320"/>
        </w:tabs>
        <w:spacing w:after="0"/>
        <w:jc w:val="center"/>
        <w:rPr>
          <w:rFonts w:ascii="Century Gothic" w:eastAsia="Calibri" w:hAnsi="Century Gothic" w:cs="Times New Roman"/>
          <w:lang w:eastAsia="es-MX"/>
        </w:rPr>
      </w:pPr>
    </w:p>
    <w:p w14:paraId="42183027" w14:textId="233C1582" w:rsidR="00E158A8" w:rsidRPr="00E158A8" w:rsidRDefault="00AD5A7D" w:rsidP="00AD5A7D">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D73EB11" wp14:editId="430DDE7E">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34FC1891" w14:textId="77777777" w:rsidR="00E158A8" w:rsidRPr="00E158A8" w:rsidRDefault="00E158A8" w:rsidP="00E158A8">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158A8" w:rsidRPr="00E158A8" w14:paraId="10C7FAA6" w14:textId="77777777" w:rsidTr="00C80FF3">
        <w:trPr>
          <w:trHeight w:val="323"/>
        </w:trPr>
        <w:tc>
          <w:tcPr>
            <w:tcW w:w="1041" w:type="dxa"/>
            <w:vAlign w:val="center"/>
            <w:hideMark/>
          </w:tcPr>
          <w:p w14:paraId="464748B2" w14:textId="77777777" w:rsidR="00E158A8" w:rsidRPr="00E158A8" w:rsidRDefault="00E158A8" w:rsidP="00E158A8">
            <w:pPr>
              <w:rPr>
                <w:rFonts w:ascii="Verdana" w:eastAsia="Calibri" w:hAnsi="Verdana" w:cs="Arial"/>
                <w:sz w:val="16"/>
                <w:szCs w:val="16"/>
                <w:lang w:val="es-ES_tradnl" w:eastAsia="es-ES"/>
              </w:rPr>
            </w:pPr>
            <w:r w:rsidRPr="00E158A8">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7BC9C39" w14:textId="77777777" w:rsidR="00E158A8" w:rsidRPr="00E158A8" w:rsidRDefault="00E158A8" w:rsidP="00E158A8">
            <w:pPr>
              <w:rPr>
                <w:rFonts w:ascii="Verdana" w:eastAsia="Arial" w:hAnsi="Verdana" w:cs="Arial"/>
                <w:sz w:val="16"/>
                <w:szCs w:val="16"/>
                <w:lang w:val="es-ES" w:eastAsia="es-MX"/>
              </w:rPr>
            </w:pPr>
            <w:r w:rsidRPr="00E158A8">
              <w:rPr>
                <w:rFonts w:ascii="Verdana" w:eastAsia="Arial" w:hAnsi="Verdana" w:cs="Arial"/>
                <w:sz w:val="16"/>
                <w:szCs w:val="16"/>
                <w:lang w:val="es-ES" w:eastAsia="es-MX"/>
              </w:rPr>
              <w:t xml:space="preserve">Carlos Mario Castrillón Endo </w:t>
            </w:r>
          </w:p>
          <w:p w14:paraId="59C1FC17" w14:textId="77777777" w:rsidR="00E158A8" w:rsidRPr="00E158A8" w:rsidRDefault="00E158A8" w:rsidP="00E158A8">
            <w:pPr>
              <w:rPr>
                <w:rFonts w:ascii="Verdana" w:eastAsia="Arial" w:hAnsi="Verdana" w:cs="Arial"/>
                <w:sz w:val="16"/>
                <w:szCs w:val="16"/>
                <w:lang w:val="es-ES_tradnl" w:eastAsia="es-MX"/>
              </w:rPr>
            </w:pPr>
            <w:r w:rsidRPr="00E158A8">
              <w:rPr>
                <w:rFonts w:ascii="Verdana" w:eastAsia="Arial" w:hAnsi="Verdana" w:cs="Arial"/>
                <w:sz w:val="16"/>
                <w:szCs w:val="16"/>
                <w:lang w:val="es-ES_tradnl" w:eastAsia="es-MX"/>
              </w:rPr>
              <w:t>Contratista de la Subdirección de Gestión Contractual</w:t>
            </w:r>
          </w:p>
          <w:p w14:paraId="01F0DFD7" w14:textId="77777777" w:rsidR="00E158A8" w:rsidRPr="00E158A8" w:rsidRDefault="00E158A8" w:rsidP="00E158A8">
            <w:pPr>
              <w:rPr>
                <w:rFonts w:ascii="Verdana" w:eastAsia="Arial" w:hAnsi="Verdana" w:cs="Arial"/>
                <w:sz w:val="16"/>
                <w:szCs w:val="16"/>
                <w:lang w:val="es-ES_tradnl" w:eastAsia="es-MX"/>
              </w:rPr>
            </w:pPr>
          </w:p>
        </w:tc>
      </w:tr>
      <w:tr w:rsidR="00E158A8" w:rsidRPr="00E158A8" w14:paraId="16317D01" w14:textId="77777777" w:rsidTr="00C80FF3">
        <w:trPr>
          <w:trHeight w:val="338"/>
        </w:trPr>
        <w:tc>
          <w:tcPr>
            <w:tcW w:w="1041" w:type="dxa"/>
            <w:vAlign w:val="center"/>
            <w:hideMark/>
          </w:tcPr>
          <w:p w14:paraId="62E766FB" w14:textId="77777777" w:rsidR="00E158A8" w:rsidRPr="00E158A8" w:rsidRDefault="00E158A8" w:rsidP="00E158A8">
            <w:pPr>
              <w:rPr>
                <w:rFonts w:ascii="Verdana" w:eastAsia="Calibri" w:hAnsi="Verdana" w:cs="Arial"/>
                <w:sz w:val="16"/>
                <w:szCs w:val="16"/>
                <w:lang w:val="es-ES_tradnl" w:eastAsia="es-ES"/>
              </w:rPr>
            </w:pPr>
            <w:r w:rsidRPr="00E158A8">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344782F" w14:textId="77777777" w:rsidR="00E158A8" w:rsidRPr="00E158A8" w:rsidRDefault="00E158A8" w:rsidP="00E158A8">
            <w:pPr>
              <w:rPr>
                <w:rFonts w:ascii="Verdana" w:eastAsia="Arial" w:hAnsi="Verdana" w:cs="Arial"/>
                <w:sz w:val="16"/>
                <w:szCs w:val="16"/>
                <w:lang w:val="es-ES" w:eastAsia="es-MX"/>
              </w:rPr>
            </w:pPr>
            <w:r w:rsidRPr="00E158A8">
              <w:rPr>
                <w:rFonts w:ascii="Verdana" w:eastAsia="Arial" w:hAnsi="Verdana" w:cs="Arial"/>
                <w:sz w:val="16"/>
                <w:szCs w:val="16"/>
                <w:lang w:val="es-ES" w:eastAsia="es-MX"/>
              </w:rPr>
              <w:t xml:space="preserve">Lida Milena </w:t>
            </w:r>
            <w:proofErr w:type="spellStart"/>
            <w:r w:rsidRPr="00E158A8">
              <w:rPr>
                <w:rFonts w:ascii="Verdana" w:eastAsia="Arial" w:hAnsi="Verdana" w:cs="Arial"/>
                <w:sz w:val="16"/>
                <w:szCs w:val="16"/>
                <w:lang w:val="es-ES" w:eastAsia="es-MX"/>
              </w:rPr>
              <w:t>Guanumen</w:t>
            </w:r>
            <w:proofErr w:type="spellEnd"/>
            <w:r w:rsidRPr="00E158A8">
              <w:rPr>
                <w:rFonts w:ascii="Verdana" w:eastAsia="Arial" w:hAnsi="Verdana" w:cs="Arial"/>
                <w:sz w:val="16"/>
                <w:szCs w:val="16"/>
                <w:lang w:val="es-ES" w:eastAsia="es-MX"/>
              </w:rPr>
              <w:t xml:space="preserve"> Pacheco</w:t>
            </w:r>
          </w:p>
          <w:p w14:paraId="34C38322" w14:textId="77777777" w:rsidR="00E158A8" w:rsidRPr="00E158A8" w:rsidRDefault="00E158A8" w:rsidP="00E158A8">
            <w:pPr>
              <w:rPr>
                <w:rFonts w:ascii="Verdana" w:eastAsia="Arial" w:hAnsi="Verdana" w:cs="Arial"/>
                <w:sz w:val="16"/>
                <w:szCs w:val="16"/>
                <w:lang w:val="es-ES" w:eastAsia="es-MX"/>
              </w:rPr>
            </w:pPr>
            <w:r w:rsidRPr="00E158A8">
              <w:rPr>
                <w:rFonts w:ascii="Verdana" w:eastAsia="Arial" w:hAnsi="Verdana" w:cs="Arial"/>
                <w:sz w:val="16"/>
                <w:szCs w:val="16"/>
                <w:lang w:val="es-ES_tradnl" w:eastAsia="es-MX"/>
              </w:rPr>
              <w:t>Contratista de la Subdirección de Gestión Contractual</w:t>
            </w:r>
          </w:p>
          <w:p w14:paraId="4B8A83F2" w14:textId="77777777" w:rsidR="00E158A8" w:rsidRPr="00E158A8" w:rsidRDefault="00E158A8" w:rsidP="00E158A8">
            <w:pPr>
              <w:rPr>
                <w:rFonts w:ascii="Verdana" w:eastAsia="Arial" w:hAnsi="Verdana" w:cs="Arial"/>
                <w:sz w:val="16"/>
                <w:szCs w:val="16"/>
                <w:lang w:val="es-ES_tradnl" w:eastAsia="es-MX"/>
              </w:rPr>
            </w:pPr>
            <w:r w:rsidRPr="00E158A8">
              <w:rPr>
                <w:rFonts w:ascii="Verdana" w:eastAsia="Arial" w:hAnsi="Verdana" w:cs="Arial"/>
                <w:sz w:val="16"/>
                <w:szCs w:val="16"/>
                <w:lang w:val="es-ES_tradnl" w:eastAsia="es-MX"/>
              </w:rPr>
              <w:t>Martha Alicia Romero Vargas</w:t>
            </w:r>
          </w:p>
          <w:p w14:paraId="1BF4B787" w14:textId="77777777" w:rsidR="00E158A8" w:rsidRPr="00E158A8" w:rsidRDefault="00E158A8" w:rsidP="00E158A8">
            <w:pPr>
              <w:rPr>
                <w:rFonts w:ascii="Verdana" w:eastAsia="Arial" w:hAnsi="Verdana" w:cs="Arial"/>
                <w:sz w:val="16"/>
                <w:szCs w:val="16"/>
                <w:lang w:val="es-ES_tradnl" w:eastAsia="es-MX"/>
              </w:rPr>
            </w:pPr>
            <w:r w:rsidRPr="00E158A8">
              <w:rPr>
                <w:rFonts w:ascii="Verdana" w:eastAsia="Arial" w:hAnsi="Verdana" w:cs="Arial"/>
                <w:sz w:val="16"/>
                <w:szCs w:val="16"/>
                <w:lang w:val="es-ES_tradnl" w:eastAsia="es-MX"/>
              </w:rPr>
              <w:t>Gestor T1-15 de la Subdirección de Gestión Contractual</w:t>
            </w:r>
          </w:p>
        </w:tc>
      </w:tr>
      <w:tr w:rsidR="00E158A8" w:rsidRPr="00E158A8" w14:paraId="469AB338" w14:textId="77777777" w:rsidTr="00C80FF3">
        <w:trPr>
          <w:trHeight w:val="308"/>
        </w:trPr>
        <w:tc>
          <w:tcPr>
            <w:tcW w:w="1041" w:type="dxa"/>
            <w:vAlign w:val="center"/>
          </w:tcPr>
          <w:p w14:paraId="0395435E" w14:textId="77777777" w:rsidR="00E158A8" w:rsidRPr="00E158A8" w:rsidRDefault="00E158A8" w:rsidP="00E158A8">
            <w:pPr>
              <w:rPr>
                <w:rFonts w:ascii="Verdana" w:eastAsia="Calibri" w:hAnsi="Verdana" w:cs="Arial"/>
                <w:sz w:val="16"/>
                <w:szCs w:val="16"/>
                <w:lang w:val="es-ES_tradnl" w:eastAsia="es-ES"/>
              </w:rPr>
            </w:pPr>
            <w:r w:rsidRPr="00E158A8">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04622E0" w14:textId="77777777" w:rsidR="00E158A8" w:rsidRPr="00E158A8" w:rsidRDefault="00E158A8" w:rsidP="00E158A8">
            <w:pPr>
              <w:rPr>
                <w:rFonts w:ascii="Verdana" w:eastAsia="Calibri" w:hAnsi="Verdana" w:cs="Arial"/>
                <w:sz w:val="16"/>
                <w:szCs w:val="16"/>
                <w:lang w:val="es-ES" w:eastAsia="es-ES"/>
              </w:rPr>
            </w:pPr>
            <w:r w:rsidRPr="00E158A8">
              <w:rPr>
                <w:rFonts w:ascii="Verdana" w:eastAsia="Calibri" w:hAnsi="Verdana" w:cs="Arial"/>
                <w:sz w:val="16"/>
                <w:szCs w:val="16"/>
                <w:lang w:val="es-ES" w:eastAsia="es-ES"/>
              </w:rPr>
              <w:t>Carolina Quintero Gacharná</w:t>
            </w:r>
          </w:p>
          <w:p w14:paraId="6DB4A7EA" w14:textId="77777777" w:rsidR="00E158A8" w:rsidRPr="00E158A8" w:rsidRDefault="00E158A8" w:rsidP="00E158A8">
            <w:pPr>
              <w:rPr>
                <w:rFonts w:ascii="Verdana" w:eastAsia="Calibri" w:hAnsi="Verdana" w:cs="Arial"/>
                <w:sz w:val="16"/>
                <w:szCs w:val="16"/>
                <w:lang w:val="es-ES_tradnl" w:eastAsia="es-ES"/>
              </w:rPr>
            </w:pPr>
            <w:r w:rsidRPr="00E158A8">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567178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67A42EB6" w:rsidR="00127233" w:rsidRPr="0015699B" w:rsidRDefault="00127233" w:rsidP="00C6652F">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14A3C" w14:textId="77777777" w:rsidR="008E24DA" w:rsidRDefault="008E24DA" w:rsidP="004A1847">
      <w:pPr>
        <w:spacing w:after="0" w:line="240" w:lineRule="auto"/>
      </w:pPr>
      <w:r>
        <w:separator/>
      </w:r>
    </w:p>
  </w:endnote>
  <w:endnote w:type="continuationSeparator" w:id="0">
    <w:p w14:paraId="2AF0FB97" w14:textId="77777777" w:rsidR="008E24DA" w:rsidRDefault="008E24DA" w:rsidP="004A1847">
      <w:pPr>
        <w:spacing w:after="0" w:line="240" w:lineRule="auto"/>
      </w:pPr>
      <w:r>
        <w:continuationSeparator/>
      </w:r>
    </w:p>
  </w:endnote>
  <w:endnote w:type="continuationNotice" w:id="1">
    <w:p w14:paraId="207A0589" w14:textId="77777777" w:rsidR="008E24DA" w:rsidRDefault="008E24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E158A8">
      <w:rPr>
        <w:rFonts w:ascii="Verdana" w:eastAsia="Verdana" w:hAnsi="Verdana" w:cs="Verdana"/>
        <w:b/>
        <w:bCs/>
        <w:color w:val="000000"/>
        <w:sz w:val="18"/>
        <w:szCs w:val="18"/>
        <w:lang w:eastAsia="es-CO"/>
      </w:rPr>
      <w:t xml:space="preserve">Código: </w:t>
    </w:r>
    <w:r w:rsidRPr="00E158A8">
      <w:rPr>
        <w:rFonts w:ascii="Verdana" w:eastAsia="Verdana" w:hAnsi="Verdana" w:cs="Verdana"/>
        <w:color w:val="000000"/>
        <w:sz w:val="18"/>
        <w:szCs w:val="18"/>
        <w:lang w:eastAsia="es-CO"/>
      </w:rPr>
      <w:t xml:space="preserve">CCE-REC-FM-17 </w:t>
    </w:r>
    <w:r w:rsidRPr="00E158A8">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E5325" w14:textId="77777777" w:rsidR="008E24DA" w:rsidRDefault="008E24DA" w:rsidP="004A1847">
      <w:pPr>
        <w:spacing w:after="0" w:line="240" w:lineRule="auto"/>
      </w:pPr>
      <w:r>
        <w:separator/>
      </w:r>
    </w:p>
  </w:footnote>
  <w:footnote w:type="continuationSeparator" w:id="0">
    <w:p w14:paraId="757BD201" w14:textId="77777777" w:rsidR="008E24DA" w:rsidRDefault="008E24DA" w:rsidP="004A1847">
      <w:pPr>
        <w:spacing w:after="0" w:line="240" w:lineRule="auto"/>
      </w:pPr>
      <w:r>
        <w:continuationSeparator/>
      </w:r>
    </w:p>
  </w:footnote>
  <w:footnote w:type="continuationNotice" w:id="1">
    <w:p w14:paraId="39B25248" w14:textId="77777777" w:rsidR="008E24DA" w:rsidRDefault="008E24DA">
      <w:pPr>
        <w:spacing w:after="0" w:line="240" w:lineRule="auto"/>
      </w:pPr>
    </w:p>
  </w:footnote>
  <w:footnote w:id="2">
    <w:p w14:paraId="16395599" w14:textId="77777777" w:rsidR="00E158A8" w:rsidRPr="000974E4" w:rsidRDefault="00E158A8" w:rsidP="00E158A8">
      <w:pPr>
        <w:pStyle w:val="Textonotapie"/>
        <w:ind w:firstLine="708"/>
        <w:jc w:val="both"/>
        <w:rPr>
          <w:rFonts w:ascii="Verdana" w:hAnsi="Verdana"/>
        </w:rPr>
      </w:pPr>
      <w:r w:rsidRPr="000974E4">
        <w:rPr>
          <w:rStyle w:val="Refdenotaalpie"/>
          <w:rFonts w:ascii="Verdana" w:hAnsi="Verdana"/>
        </w:rPr>
        <w:footnoteRef/>
      </w:r>
      <w:r w:rsidRPr="000974E4">
        <w:rPr>
          <w:rFonts w:ascii="Verdana" w:hAnsi="Verdana"/>
        </w:rPr>
        <w:t xml:space="preserve"> Definición construida con base, entre otros de los diccionarios: Lexvademecum y Poder Judicial de la República de Costa Rica. </w:t>
      </w:r>
    </w:p>
    <w:p w14:paraId="309579E4" w14:textId="77777777" w:rsidR="00E158A8" w:rsidRPr="000974E4" w:rsidRDefault="00E158A8" w:rsidP="00E158A8">
      <w:pPr>
        <w:pStyle w:val="Textonotapie"/>
        <w:ind w:firstLine="708"/>
        <w:jc w:val="both"/>
        <w:rPr>
          <w:rFonts w:ascii="Verdana" w:hAnsi="Verdana"/>
          <w:lang w:val="es-ES_tradnl"/>
        </w:rPr>
      </w:pPr>
    </w:p>
  </w:footnote>
  <w:footnote w:id="3">
    <w:p w14:paraId="7171F937" w14:textId="77777777" w:rsidR="00E158A8" w:rsidRPr="000974E4" w:rsidRDefault="00E158A8" w:rsidP="00E158A8">
      <w:pPr>
        <w:pStyle w:val="Textonotapie"/>
        <w:ind w:firstLine="708"/>
        <w:jc w:val="both"/>
        <w:rPr>
          <w:rFonts w:ascii="Verdana" w:hAnsi="Verdana"/>
          <w:lang w:val="es-ES_tradnl"/>
        </w:rPr>
      </w:pPr>
      <w:r w:rsidRPr="000974E4">
        <w:rPr>
          <w:rStyle w:val="Refdenotaalpie"/>
          <w:rFonts w:ascii="Verdana" w:hAnsi="Verdana"/>
        </w:rPr>
        <w:footnoteRef/>
      </w:r>
      <w:r w:rsidRPr="000974E4">
        <w:rPr>
          <w:rFonts w:ascii="Verdana" w:hAnsi="Verdana"/>
        </w:rPr>
        <w:t xml:space="preserve">  Definición tomada de la fiscalía general de la Nación en el siguiente enlace: </w:t>
      </w:r>
      <w:hyperlink r:id="rId1" w:anchor=":~:text=Es%20una%20entidad%20de%20la,y%20eficaz%20administraci%C3%B3n%20de%20justicia" w:history="1">
        <w:r w:rsidRPr="000974E4">
          <w:rPr>
            <w:rFonts w:ascii="Verdana" w:hAnsi="Verdana"/>
          </w:rPr>
          <w:t>https://www.fiscalia.gov.co/colombia/la-entidad/quienes-somos/#:~:text=Es%20una%20entidad%20de%20la,y%20eficaz%20administraci%C3%B3n%20de%20justicia</w:t>
        </w:r>
      </w:hyperlink>
      <w:r w:rsidRPr="000974E4">
        <w:rPr>
          <w:rFonts w:ascii="Verdana" w:hAnsi="Verdana"/>
        </w:rPr>
        <w:t xml:space="preserve">. </w:t>
      </w:r>
    </w:p>
  </w:footnote>
  <w:footnote w:id="4">
    <w:p w14:paraId="3C72A792" w14:textId="77777777" w:rsidR="00E158A8" w:rsidRPr="000974E4" w:rsidRDefault="00E158A8" w:rsidP="00E158A8">
      <w:pPr>
        <w:pStyle w:val="Textonotapie"/>
        <w:ind w:firstLine="708"/>
        <w:jc w:val="both"/>
        <w:rPr>
          <w:rFonts w:ascii="Verdana" w:hAnsi="Verdana" w:cs="Arial"/>
        </w:rPr>
      </w:pPr>
      <w:r w:rsidRPr="000974E4">
        <w:rPr>
          <w:rStyle w:val="Refdenotaalpie"/>
          <w:rFonts w:ascii="Verdana" w:hAnsi="Verdana"/>
        </w:rPr>
        <w:footnoteRef/>
      </w:r>
      <w:r w:rsidRPr="000974E4">
        <w:rPr>
          <w:rFonts w:ascii="Verdana" w:hAnsi="Verdana"/>
        </w:rPr>
        <w:t xml:space="preserve"> </w:t>
      </w:r>
      <w:r w:rsidRPr="000974E4">
        <w:rPr>
          <w:rFonts w:ascii="Verdana" w:hAnsi="Verdana" w:cs="Arial"/>
        </w:rPr>
        <w:t>PODETTI, Humberto. El contrato de construcción. Buenos Aires: Astrea, 2004. Pp. 254-255.</w:t>
      </w:r>
    </w:p>
    <w:p w14:paraId="159357CB" w14:textId="77777777" w:rsidR="00E158A8" w:rsidRPr="000974E4" w:rsidRDefault="00E158A8" w:rsidP="00E158A8">
      <w:pPr>
        <w:pStyle w:val="Textonotapie"/>
        <w:ind w:firstLine="708"/>
        <w:jc w:val="both"/>
        <w:rPr>
          <w:rFonts w:ascii="Verdana" w:hAnsi="Verdana"/>
          <w:lang w:val="es-ES_tradnl"/>
        </w:rPr>
      </w:pPr>
    </w:p>
  </w:footnote>
  <w:footnote w:id="5">
    <w:p w14:paraId="509BD2B9" w14:textId="77777777" w:rsidR="00E158A8" w:rsidRPr="000974E4" w:rsidRDefault="00E158A8" w:rsidP="00E158A8">
      <w:pPr>
        <w:pStyle w:val="Textonotapie"/>
        <w:ind w:firstLine="708"/>
        <w:jc w:val="both"/>
        <w:rPr>
          <w:rFonts w:ascii="Verdana" w:hAnsi="Verdana" w:cs="Arial"/>
        </w:rPr>
      </w:pPr>
      <w:r w:rsidRPr="000974E4">
        <w:rPr>
          <w:rStyle w:val="Refdenotaalpie"/>
          <w:rFonts w:ascii="Verdana" w:hAnsi="Verdana"/>
        </w:rPr>
        <w:footnoteRef/>
      </w:r>
      <w:r w:rsidRPr="000974E4">
        <w:rPr>
          <w:rFonts w:ascii="Verdana" w:hAnsi="Verdana"/>
        </w:rPr>
        <w:t xml:space="preserve"> </w:t>
      </w:r>
      <w:r w:rsidRPr="000974E4">
        <w:rPr>
          <w:rFonts w:ascii="Verdana" w:hAnsi="Verdana" w:cs="Arial"/>
        </w:rPr>
        <w:t xml:space="preserve">PLANIOL, Marcel &amp; RIPERT, Jeorge. Tratado práctico de derecho civil francés. Tomo XI. La Habana: Cultural SA, 1940. p. 163. </w:t>
      </w:r>
    </w:p>
    <w:p w14:paraId="04EFE418" w14:textId="77777777" w:rsidR="00E158A8" w:rsidRPr="000974E4" w:rsidRDefault="00E158A8" w:rsidP="00E158A8">
      <w:pPr>
        <w:pStyle w:val="Textonotapie"/>
        <w:jc w:val="both"/>
        <w:rPr>
          <w:rFonts w:ascii="Verdana" w:hAnsi="Verdana"/>
          <w:lang w:val="es-ES_tradnl"/>
        </w:rPr>
      </w:pPr>
    </w:p>
  </w:footnote>
  <w:footnote w:id="6">
    <w:p w14:paraId="020E1AE1" w14:textId="77777777" w:rsidR="00E158A8" w:rsidRPr="000974E4" w:rsidRDefault="00E158A8" w:rsidP="00E158A8">
      <w:pPr>
        <w:pStyle w:val="Textonotapie"/>
        <w:ind w:firstLine="708"/>
        <w:jc w:val="both"/>
        <w:rPr>
          <w:rFonts w:ascii="Verdana" w:hAnsi="Verdana"/>
        </w:rPr>
      </w:pPr>
      <w:r w:rsidRPr="000974E4">
        <w:rPr>
          <w:rStyle w:val="Refdenotaalpie"/>
          <w:rFonts w:ascii="Verdana" w:hAnsi="Verdana"/>
        </w:rPr>
        <w:footnoteRef/>
      </w:r>
      <w:r w:rsidRPr="000974E4">
        <w:rPr>
          <w:rFonts w:ascii="Verdana" w:hAnsi="Verdana"/>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229D904" w14:textId="77777777" w:rsidR="00E158A8" w:rsidRPr="000974E4" w:rsidRDefault="00E158A8" w:rsidP="00E158A8">
      <w:pPr>
        <w:pStyle w:val="Textonotapie"/>
        <w:ind w:firstLine="708"/>
        <w:jc w:val="both"/>
        <w:rPr>
          <w:rFonts w:ascii="Verdana" w:hAnsi="Verdana"/>
        </w:rPr>
      </w:pPr>
    </w:p>
    <w:p w14:paraId="4A775FE6" w14:textId="77777777" w:rsidR="00E158A8" w:rsidRPr="000974E4" w:rsidRDefault="00E158A8" w:rsidP="00E158A8">
      <w:pPr>
        <w:pStyle w:val="Textonotapie"/>
        <w:ind w:firstLine="708"/>
        <w:jc w:val="both"/>
        <w:rPr>
          <w:rFonts w:ascii="Verdana" w:hAnsi="Verdana"/>
        </w:rPr>
      </w:pPr>
      <w:r w:rsidRPr="000974E4">
        <w:rPr>
          <w:rFonts w:ascii="Verdana" w:hAnsi="Verdana"/>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0A6C51B" w14:textId="77777777" w:rsidR="00E158A8" w:rsidRPr="000974E4" w:rsidRDefault="00E158A8" w:rsidP="00E158A8">
      <w:pPr>
        <w:pStyle w:val="Textonotapie"/>
        <w:ind w:firstLine="708"/>
        <w:jc w:val="both"/>
        <w:rPr>
          <w:rFonts w:ascii="Verdana" w:hAnsi="Verdana"/>
        </w:rPr>
      </w:pPr>
    </w:p>
    <w:p w14:paraId="78E492BE" w14:textId="77777777" w:rsidR="00E158A8" w:rsidRPr="000974E4" w:rsidRDefault="00E158A8" w:rsidP="00E158A8">
      <w:pPr>
        <w:pStyle w:val="Textonotapie"/>
        <w:ind w:firstLine="708"/>
        <w:jc w:val="both"/>
        <w:rPr>
          <w:rFonts w:ascii="Verdana" w:hAnsi="Verdana"/>
        </w:rPr>
      </w:pPr>
      <w:r w:rsidRPr="000974E4">
        <w:rPr>
          <w:rFonts w:ascii="Verdana" w:hAnsi="Verdana"/>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3DE7F7A" w14:textId="77777777" w:rsidR="00E158A8" w:rsidRPr="000974E4" w:rsidRDefault="00E158A8" w:rsidP="00E158A8">
      <w:pPr>
        <w:pStyle w:val="Textonotapie"/>
        <w:ind w:firstLine="708"/>
        <w:jc w:val="both"/>
        <w:rPr>
          <w:rFonts w:ascii="Verdana" w:hAnsi="Verdana"/>
        </w:rPr>
      </w:pPr>
    </w:p>
    <w:p w14:paraId="39CD6049" w14:textId="77777777" w:rsidR="00E158A8" w:rsidRPr="000974E4" w:rsidRDefault="00E158A8" w:rsidP="00E158A8">
      <w:pPr>
        <w:pStyle w:val="Textonotapie"/>
        <w:ind w:firstLine="708"/>
        <w:jc w:val="both"/>
        <w:rPr>
          <w:rFonts w:ascii="Verdana" w:hAnsi="Verdana"/>
        </w:rPr>
      </w:pPr>
      <w:r w:rsidRPr="000974E4">
        <w:rPr>
          <w:rFonts w:ascii="Verdana" w:hAnsi="Verdana"/>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16F398D4" w14:textId="77777777" w:rsidR="00E158A8" w:rsidRPr="000974E4" w:rsidRDefault="00E158A8" w:rsidP="00E158A8">
      <w:pPr>
        <w:pStyle w:val="Textonotapie"/>
        <w:ind w:firstLine="708"/>
        <w:jc w:val="both"/>
        <w:rPr>
          <w:rFonts w:ascii="Verdana" w:hAnsi="Verdana"/>
        </w:rPr>
      </w:pPr>
    </w:p>
    <w:p w14:paraId="1A3ABB5C" w14:textId="77777777" w:rsidR="00E158A8" w:rsidRPr="000974E4" w:rsidRDefault="00E158A8" w:rsidP="00E158A8">
      <w:pPr>
        <w:pStyle w:val="Textonotapie"/>
        <w:ind w:firstLine="708"/>
        <w:jc w:val="both"/>
        <w:rPr>
          <w:rFonts w:ascii="Verdana" w:hAnsi="Verdana"/>
        </w:rPr>
      </w:pPr>
      <w:r w:rsidRPr="000974E4">
        <w:rPr>
          <w:rFonts w:ascii="Verdana" w:hAnsi="Verdana"/>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7">
    <w:p w14:paraId="5A3270B1" w14:textId="77777777" w:rsidR="00E158A8" w:rsidRPr="000974E4" w:rsidRDefault="00E158A8" w:rsidP="00E158A8">
      <w:pPr>
        <w:pStyle w:val="Textonotapie"/>
        <w:ind w:firstLine="708"/>
        <w:jc w:val="both"/>
        <w:rPr>
          <w:rFonts w:ascii="Verdana" w:hAnsi="Verdana"/>
        </w:rPr>
      </w:pPr>
      <w:r w:rsidRPr="000974E4">
        <w:rPr>
          <w:rStyle w:val="Refdenotaalpie"/>
          <w:rFonts w:ascii="Verdana" w:hAnsi="Verdana"/>
        </w:rPr>
        <w:footnoteRef/>
      </w:r>
      <w:r w:rsidRPr="000974E4">
        <w:rPr>
          <w:rFonts w:ascii="Verdana" w:hAnsi="Verdana"/>
        </w:rPr>
        <w:t xml:space="preserve"> Reglamento Colombiano de Construcción Sismo Resistente NSR-10</w:t>
      </w:r>
    </w:p>
    <w:p w14:paraId="5C1A1FF3" w14:textId="77777777" w:rsidR="00E158A8" w:rsidRPr="000974E4" w:rsidRDefault="00E158A8" w:rsidP="00E158A8">
      <w:pPr>
        <w:pStyle w:val="Textonotapie"/>
        <w:ind w:firstLine="708"/>
        <w:jc w:val="both"/>
        <w:rPr>
          <w:rFonts w:ascii="Verdana" w:hAnsi="Verdana"/>
          <w:lang w:val="es-ES_tradnl"/>
        </w:rPr>
      </w:pPr>
    </w:p>
  </w:footnote>
  <w:footnote w:id="8">
    <w:p w14:paraId="71488B76" w14:textId="77777777" w:rsidR="00E158A8" w:rsidRPr="000974E4" w:rsidRDefault="00E158A8" w:rsidP="00E158A8">
      <w:pPr>
        <w:pStyle w:val="Textonotapie"/>
        <w:ind w:firstLine="708"/>
        <w:jc w:val="both"/>
        <w:rPr>
          <w:rFonts w:ascii="Verdana" w:hAnsi="Verdana"/>
          <w:lang w:val="es-ES_tradnl"/>
        </w:rPr>
      </w:pPr>
      <w:r w:rsidRPr="000974E4">
        <w:rPr>
          <w:rStyle w:val="Refdenotaalpie"/>
          <w:rFonts w:ascii="Verdana" w:hAnsi="Verdana"/>
        </w:rPr>
        <w:footnoteRef/>
      </w:r>
      <w:r w:rsidRPr="000974E4">
        <w:rPr>
          <w:rFonts w:ascii="Verdana" w:hAnsi="Verdana"/>
        </w:rPr>
        <w:t xml:space="preserve"> </w:t>
      </w:r>
      <w:r w:rsidRPr="000974E4">
        <w:rPr>
          <w:rFonts w:ascii="Verdana" w:hAnsi="Verdana"/>
          <w:lang w:val="es-ES_tradnl"/>
        </w:rPr>
        <w:t xml:space="preserve">Ibidem </w:t>
      </w:r>
    </w:p>
    <w:p w14:paraId="071B1413" w14:textId="77777777" w:rsidR="00E158A8" w:rsidRPr="000974E4" w:rsidRDefault="00E158A8" w:rsidP="00E158A8">
      <w:pPr>
        <w:pStyle w:val="Textonotapie"/>
        <w:ind w:firstLine="708"/>
        <w:jc w:val="both"/>
        <w:rPr>
          <w:rFonts w:ascii="Verdana" w:hAnsi="Verdana"/>
          <w:lang w:val="es-ES_tradnl"/>
        </w:rPr>
      </w:pPr>
    </w:p>
  </w:footnote>
  <w:footnote w:id="9">
    <w:p w14:paraId="34DDC717" w14:textId="77777777" w:rsidR="00E158A8" w:rsidRPr="000974E4" w:rsidRDefault="00E158A8" w:rsidP="00E158A8">
      <w:pPr>
        <w:pStyle w:val="Textonotapie"/>
        <w:ind w:firstLine="708"/>
        <w:jc w:val="both"/>
        <w:rPr>
          <w:rFonts w:ascii="Verdana" w:hAnsi="Verdana"/>
        </w:rPr>
      </w:pPr>
      <w:r w:rsidRPr="000974E4">
        <w:rPr>
          <w:rStyle w:val="Refdenotaalpie"/>
          <w:rFonts w:ascii="Verdana" w:hAnsi="Verdana"/>
        </w:rPr>
        <w:footnoteRef/>
      </w:r>
      <w:r w:rsidRPr="000974E4">
        <w:rPr>
          <w:rFonts w:ascii="Verdana" w:hAnsi="Verdana"/>
        </w:rPr>
        <w:t xml:space="preserve"> Definición construida con base, entre otros de los diccionarios: Lexvademecum y Poder Judicial de la República de Costa Rica. </w:t>
      </w:r>
    </w:p>
    <w:p w14:paraId="3B2B7AF2" w14:textId="77777777" w:rsidR="00E158A8" w:rsidRPr="000974E4" w:rsidRDefault="00E158A8" w:rsidP="00E158A8">
      <w:pPr>
        <w:pStyle w:val="Textonotapie"/>
        <w:ind w:firstLine="708"/>
        <w:jc w:val="both"/>
        <w:rPr>
          <w:rFonts w:ascii="Verdana" w:hAnsi="Verdana"/>
          <w:lang w:val="es-ES_tradnl"/>
        </w:rPr>
      </w:pPr>
    </w:p>
  </w:footnote>
  <w:footnote w:id="10">
    <w:p w14:paraId="0E187B98" w14:textId="77777777" w:rsidR="00E158A8" w:rsidRPr="000974E4" w:rsidRDefault="00E158A8" w:rsidP="00E158A8">
      <w:pPr>
        <w:pStyle w:val="Textonotapie"/>
        <w:ind w:firstLine="708"/>
        <w:jc w:val="both"/>
        <w:rPr>
          <w:rFonts w:ascii="Verdana" w:hAnsi="Verdana"/>
          <w:lang w:val="es-ES_tradnl"/>
        </w:rPr>
      </w:pPr>
      <w:r w:rsidRPr="000974E4">
        <w:rPr>
          <w:rStyle w:val="Refdenotaalpie"/>
          <w:rFonts w:ascii="Verdana" w:hAnsi="Verdana"/>
        </w:rPr>
        <w:footnoteRef/>
      </w:r>
      <w:r w:rsidRPr="000974E4">
        <w:rPr>
          <w:rFonts w:ascii="Verdana" w:hAnsi="Verdana"/>
        </w:rPr>
        <w:t xml:space="preserve">  Definición tomada de la fiscalía general de la Nación en el siguiente enlace: </w:t>
      </w:r>
      <w:hyperlink r:id="rId2" w:anchor=":~:text=Es%20una%20entidad%20de%20la,y%20eficaz%20administraci%C3%B3n%20de%20justicia" w:history="1">
        <w:r w:rsidRPr="000974E4">
          <w:rPr>
            <w:rFonts w:ascii="Verdana" w:hAnsi="Verdana"/>
          </w:rPr>
          <w:t>https://www.fiscalia.gov.co/colombia/la-entidad/quienes-somos/#:~:text=Es%20una%20entidad%20de%20la,y%20eficaz%20administraci%C3%B3n%20de%20justicia</w:t>
        </w:r>
      </w:hyperlink>
      <w:r w:rsidRPr="000974E4">
        <w:rPr>
          <w:rFonts w:ascii="Verdana" w:hAnsi="Verdana"/>
        </w:rPr>
        <w:t xml:space="preserve">. </w:t>
      </w:r>
    </w:p>
  </w:footnote>
  <w:footnote w:id="11">
    <w:p w14:paraId="5C4A3C5A" w14:textId="77777777" w:rsidR="00E158A8" w:rsidRPr="000974E4" w:rsidRDefault="00E158A8" w:rsidP="00E158A8">
      <w:pPr>
        <w:pStyle w:val="Textonotapie"/>
        <w:ind w:firstLine="708"/>
        <w:jc w:val="both"/>
        <w:rPr>
          <w:rFonts w:ascii="Verdana" w:hAnsi="Verdana"/>
          <w:lang w:val="es-ES_tradnl"/>
        </w:rPr>
      </w:pPr>
      <w:r w:rsidRPr="000974E4">
        <w:rPr>
          <w:rStyle w:val="Refdenotaalpie"/>
          <w:rFonts w:ascii="Verdana" w:hAnsi="Verdana"/>
        </w:rPr>
        <w:footnoteRef/>
      </w:r>
      <w:r w:rsidRPr="000974E4">
        <w:rPr>
          <w:rFonts w:ascii="Verdana" w:hAnsi="Verdana"/>
        </w:rPr>
        <w:t xml:space="preserve"> </w:t>
      </w:r>
      <w:r w:rsidRPr="000974E4">
        <w:rPr>
          <w:rFonts w:ascii="Verdana" w:hAnsi="Verdana" w:cs="Arial"/>
        </w:rPr>
        <w:t>Cfr. MARTÍNEZ MAS, Francisco. La terminación, entrega, recepción, y liquidación en el contrato de obra. Madrid: Dykinson, 2001. pp. 176-177.</w:t>
      </w:r>
    </w:p>
  </w:footnote>
  <w:footnote w:id="12">
    <w:p w14:paraId="26FA2323" w14:textId="77777777" w:rsidR="00E158A8" w:rsidRPr="000974E4" w:rsidRDefault="00E158A8" w:rsidP="00E158A8">
      <w:pPr>
        <w:pStyle w:val="Textonotapie"/>
        <w:ind w:firstLine="708"/>
        <w:jc w:val="both"/>
        <w:rPr>
          <w:rFonts w:ascii="Verdana" w:hAnsi="Verdana" w:cs="Arial"/>
        </w:rPr>
      </w:pPr>
      <w:r w:rsidRPr="000974E4">
        <w:rPr>
          <w:rStyle w:val="Refdenotaalpie"/>
          <w:rFonts w:ascii="Verdana" w:hAnsi="Verdana"/>
        </w:rPr>
        <w:footnoteRef/>
      </w:r>
      <w:r w:rsidRPr="000974E4">
        <w:rPr>
          <w:rFonts w:ascii="Verdana" w:hAnsi="Verdana"/>
        </w:rPr>
        <w:t xml:space="preserve"> </w:t>
      </w:r>
      <w:r w:rsidRPr="000974E4">
        <w:rPr>
          <w:rFonts w:ascii="Verdana" w:hAnsi="Verdana" w:cs="Arial"/>
        </w:rPr>
        <w:t>PODETTI, Humberto. El contrato de construcción. Buenos Aires: Astrea, 2004. Pp. 254-255.</w:t>
      </w:r>
    </w:p>
    <w:p w14:paraId="6522B268" w14:textId="77777777" w:rsidR="00E158A8" w:rsidRPr="000974E4" w:rsidRDefault="00E158A8" w:rsidP="00E158A8">
      <w:pPr>
        <w:pStyle w:val="Textonotapie"/>
        <w:ind w:firstLine="708"/>
        <w:jc w:val="both"/>
        <w:rPr>
          <w:rFonts w:ascii="Verdana" w:hAnsi="Verdana"/>
          <w:lang w:val="es-ES_tradnl"/>
        </w:rPr>
      </w:pPr>
    </w:p>
  </w:footnote>
  <w:footnote w:id="13">
    <w:p w14:paraId="7F231E90" w14:textId="77777777" w:rsidR="00E158A8" w:rsidRPr="000974E4" w:rsidRDefault="00E158A8" w:rsidP="00E158A8">
      <w:pPr>
        <w:pStyle w:val="Textonotapie"/>
        <w:ind w:firstLine="708"/>
        <w:jc w:val="both"/>
        <w:rPr>
          <w:rFonts w:ascii="Verdana" w:hAnsi="Verdana" w:cs="Arial"/>
        </w:rPr>
      </w:pPr>
      <w:r w:rsidRPr="000974E4">
        <w:rPr>
          <w:rStyle w:val="Refdenotaalpie"/>
          <w:rFonts w:ascii="Verdana" w:hAnsi="Verdana"/>
        </w:rPr>
        <w:footnoteRef/>
      </w:r>
      <w:r w:rsidRPr="000974E4">
        <w:rPr>
          <w:rFonts w:ascii="Verdana" w:hAnsi="Verdana"/>
        </w:rPr>
        <w:t xml:space="preserve"> </w:t>
      </w:r>
      <w:r w:rsidRPr="000974E4">
        <w:rPr>
          <w:rFonts w:ascii="Verdana" w:hAnsi="Verdana" w:cs="Arial"/>
        </w:rPr>
        <w:t xml:space="preserve">PLANIOL, Marcel &amp; RIPERT, Jeorge. Tratado práctico de derecho civil francés. Tomo XI. La Habana: Cultural SA, 1940. p. 163. </w:t>
      </w:r>
    </w:p>
    <w:p w14:paraId="015871E7" w14:textId="77777777" w:rsidR="00E158A8" w:rsidRPr="000974E4" w:rsidRDefault="00E158A8" w:rsidP="00E158A8">
      <w:pPr>
        <w:pStyle w:val="Textonotapie"/>
        <w:jc w:val="both"/>
        <w:rPr>
          <w:rFonts w:ascii="Verdana" w:hAnsi="Verdana"/>
          <w:lang w:val="es-ES_tradnl"/>
        </w:rPr>
      </w:pPr>
    </w:p>
  </w:footnote>
  <w:footnote w:id="14">
    <w:p w14:paraId="39165A80" w14:textId="77777777" w:rsidR="00E158A8" w:rsidRPr="00E158A8" w:rsidRDefault="00E158A8" w:rsidP="00E158A8">
      <w:pPr>
        <w:spacing w:after="0" w:line="240" w:lineRule="auto"/>
        <w:ind w:firstLine="709"/>
        <w:jc w:val="both"/>
        <w:rPr>
          <w:rFonts w:ascii="Verdana" w:hAnsi="Verdana" w:cs="Arial"/>
          <w:b/>
          <w:color w:val="000000"/>
          <w:sz w:val="20"/>
          <w:szCs w:val="20"/>
          <w:lang w:val="es-ES"/>
        </w:rPr>
      </w:pPr>
      <w:r w:rsidRPr="000974E4">
        <w:rPr>
          <w:rStyle w:val="Refdenotaalpie"/>
          <w:rFonts w:ascii="Verdana" w:hAnsi="Verdana" w:cs="Arial"/>
          <w:sz w:val="20"/>
          <w:szCs w:val="20"/>
        </w:rPr>
        <w:footnoteRef/>
      </w:r>
      <w:r>
        <w:rPr>
          <w:rFonts w:ascii="Verdana" w:hAnsi="Verdana" w:cs="Arial"/>
          <w:sz w:val="20"/>
          <w:szCs w:val="20"/>
        </w:rPr>
        <w:t>“</w:t>
      </w:r>
      <w:r w:rsidRPr="00E158A8">
        <w:rPr>
          <w:rFonts w:ascii="Verdana" w:hAnsi="Verdana" w:cs="Arial"/>
          <w:b/>
          <w:color w:val="000000"/>
          <w:sz w:val="20"/>
          <w:szCs w:val="20"/>
          <w:lang w:val="es-ES"/>
        </w:rPr>
        <w:t>Anexo 5 – Minuta del Contrato. […] CLÁSULA 8. FORMA DE PAGO.</w:t>
      </w:r>
    </w:p>
    <w:p w14:paraId="299AA117" w14:textId="77777777" w:rsidR="00E158A8" w:rsidRPr="00E158A8" w:rsidRDefault="00E158A8" w:rsidP="00E158A8">
      <w:pPr>
        <w:spacing w:after="0" w:line="240" w:lineRule="auto"/>
        <w:ind w:firstLine="709"/>
        <w:jc w:val="both"/>
        <w:rPr>
          <w:rFonts w:ascii="Verdana" w:hAnsi="Verdana" w:cs="Arial"/>
          <w:b/>
          <w:color w:val="000000"/>
          <w:sz w:val="20"/>
          <w:szCs w:val="20"/>
          <w:lang w:val="es-ES"/>
        </w:rPr>
      </w:pPr>
    </w:p>
    <w:p w14:paraId="2C22C453" w14:textId="77777777" w:rsidR="00E158A8" w:rsidRPr="000974E4" w:rsidRDefault="00E158A8" w:rsidP="00E158A8">
      <w:pPr>
        <w:jc w:val="both"/>
        <w:rPr>
          <w:rFonts w:ascii="Verdana" w:hAnsi="Verdana"/>
          <w:sz w:val="20"/>
          <w:szCs w:val="20"/>
        </w:rPr>
      </w:pPr>
      <w:r w:rsidRPr="000974E4">
        <w:rPr>
          <w:rFonts w:ascii="Verdana" w:hAnsi="Verdana"/>
          <w:sz w:val="20"/>
          <w:szCs w:val="20"/>
          <w:highlight w:val="lightGray"/>
        </w:rPr>
        <w:t>[La Entidad podrá escoger alguna de las siguientes formas de pago o configurar la que considere conveniente para cancelar el valor del contrato al Contratista. En todo caso, esta cláusula debe incluir todos los documentos y plazos necesarios para el pago, incluyendo el pago anticipado del contrato, en caso de que se haya pactado]</w:t>
      </w:r>
      <w:r>
        <w:rPr>
          <w:rFonts w:ascii="Verdana" w:hAnsi="Verdana"/>
          <w:sz w:val="20"/>
          <w:szCs w:val="20"/>
        </w:rPr>
        <w:t xml:space="preserve">”, </w:t>
      </w:r>
    </w:p>
    <w:p w14:paraId="4CD27D3E" w14:textId="77777777" w:rsidR="00E158A8" w:rsidRPr="000974E4" w:rsidRDefault="00E158A8" w:rsidP="00E158A8">
      <w:pPr>
        <w:spacing w:after="0" w:line="240" w:lineRule="auto"/>
        <w:ind w:firstLine="709"/>
        <w:jc w:val="both"/>
        <w:rPr>
          <w:rFonts w:ascii="Verdana" w:hAnsi="Verdana" w:cs="Arial"/>
          <w:sz w:val="20"/>
          <w:szCs w:val="20"/>
        </w:rPr>
      </w:pPr>
    </w:p>
    <w:p w14:paraId="421B8C3D" w14:textId="77777777" w:rsidR="00E158A8" w:rsidRPr="00E158A8" w:rsidRDefault="00E158A8" w:rsidP="00E158A8">
      <w:pPr>
        <w:spacing w:after="0" w:line="240" w:lineRule="auto"/>
        <w:ind w:firstLine="709"/>
        <w:jc w:val="both"/>
        <w:rPr>
          <w:rFonts w:ascii="Verdana" w:hAnsi="Verdana" w:cs="Arial"/>
          <w:color w:val="000000"/>
          <w:sz w:val="20"/>
          <w:szCs w:val="20"/>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209917380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139206693" name="Imagen 113920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ABE"/>
    <w:rsid w:val="00046945"/>
    <w:rsid w:val="00061B2A"/>
    <w:rsid w:val="00082362"/>
    <w:rsid w:val="000A683E"/>
    <w:rsid w:val="000B19B9"/>
    <w:rsid w:val="000D0334"/>
    <w:rsid w:val="000D5DA7"/>
    <w:rsid w:val="000F1584"/>
    <w:rsid w:val="000F6486"/>
    <w:rsid w:val="00116940"/>
    <w:rsid w:val="00125105"/>
    <w:rsid w:val="00127233"/>
    <w:rsid w:val="0015699B"/>
    <w:rsid w:val="001A33BF"/>
    <w:rsid w:val="001D1C26"/>
    <w:rsid w:val="001E4177"/>
    <w:rsid w:val="001F0B24"/>
    <w:rsid w:val="001F7DC6"/>
    <w:rsid w:val="0022400B"/>
    <w:rsid w:val="002421BB"/>
    <w:rsid w:val="0025796E"/>
    <w:rsid w:val="002707A2"/>
    <w:rsid w:val="002951A0"/>
    <w:rsid w:val="002962BC"/>
    <w:rsid w:val="002A093D"/>
    <w:rsid w:val="002A0DD0"/>
    <w:rsid w:val="002A3B29"/>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E74D7"/>
    <w:rsid w:val="003F3941"/>
    <w:rsid w:val="0040239C"/>
    <w:rsid w:val="00406575"/>
    <w:rsid w:val="00414C74"/>
    <w:rsid w:val="0042722E"/>
    <w:rsid w:val="0044528D"/>
    <w:rsid w:val="00462EFB"/>
    <w:rsid w:val="00466E39"/>
    <w:rsid w:val="004A1847"/>
    <w:rsid w:val="004A305D"/>
    <w:rsid w:val="004F21C4"/>
    <w:rsid w:val="004F685F"/>
    <w:rsid w:val="005566E8"/>
    <w:rsid w:val="00574867"/>
    <w:rsid w:val="00591460"/>
    <w:rsid w:val="005A65E0"/>
    <w:rsid w:val="005C3777"/>
    <w:rsid w:val="005C48B2"/>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24DA"/>
    <w:rsid w:val="008F0EA7"/>
    <w:rsid w:val="009046F7"/>
    <w:rsid w:val="00923EEF"/>
    <w:rsid w:val="009419F9"/>
    <w:rsid w:val="0094553F"/>
    <w:rsid w:val="0095685E"/>
    <w:rsid w:val="00961B09"/>
    <w:rsid w:val="00965334"/>
    <w:rsid w:val="0097093E"/>
    <w:rsid w:val="009A0DFA"/>
    <w:rsid w:val="009A1C6F"/>
    <w:rsid w:val="009B2D26"/>
    <w:rsid w:val="009C71FA"/>
    <w:rsid w:val="009C72E7"/>
    <w:rsid w:val="009C7F7E"/>
    <w:rsid w:val="009D3058"/>
    <w:rsid w:val="009F3475"/>
    <w:rsid w:val="009F3A13"/>
    <w:rsid w:val="00A122D3"/>
    <w:rsid w:val="00A14468"/>
    <w:rsid w:val="00A17F13"/>
    <w:rsid w:val="00A20739"/>
    <w:rsid w:val="00A23AF9"/>
    <w:rsid w:val="00A33C78"/>
    <w:rsid w:val="00AB0ADB"/>
    <w:rsid w:val="00AD5A7D"/>
    <w:rsid w:val="00B00C0E"/>
    <w:rsid w:val="00B01B1A"/>
    <w:rsid w:val="00B0381D"/>
    <w:rsid w:val="00B26B8B"/>
    <w:rsid w:val="00B44A47"/>
    <w:rsid w:val="00B72CD3"/>
    <w:rsid w:val="00B72FFF"/>
    <w:rsid w:val="00B802B1"/>
    <w:rsid w:val="00BA53DB"/>
    <w:rsid w:val="00BC3D36"/>
    <w:rsid w:val="00BC6887"/>
    <w:rsid w:val="00BD54A6"/>
    <w:rsid w:val="00BD7F72"/>
    <w:rsid w:val="00BF18E8"/>
    <w:rsid w:val="00BF7425"/>
    <w:rsid w:val="00C04FB3"/>
    <w:rsid w:val="00C11D8B"/>
    <w:rsid w:val="00C15139"/>
    <w:rsid w:val="00C330EB"/>
    <w:rsid w:val="00C50D69"/>
    <w:rsid w:val="00C5365C"/>
    <w:rsid w:val="00C6652F"/>
    <w:rsid w:val="00C754BE"/>
    <w:rsid w:val="00C76B1C"/>
    <w:rsid w:val="00C860FA"/>
    <w:rsid w:val="00C925AC"/>
    <w:rsid w:val="00C97E3A"/>
    <w:rsid w:val="00CA7B9C"/>
    <w:rsid w:val="00CB6357"/>
    <w:rsid w:val="00CC1B26"/>
    <w:rsid w:val="00D361FD"/>
    <w:rsid w:val="00D423A2"/>
    <w:rsid w:val="00D44E26"/>
    <w:rsid w:val="00D520D8"/>
    <w:rsid w:val="00D63AC2"/>
    <w:rsid w:val="00D7383B"/>
    <w:rsid w:val="00D7788A"/>
    <w:rsid w:val="00DA231B"/>
    <w:rsid w:val="00DC39FC"/>
    <w:rsid w:val="00DF5254"/>
    <w:rsid w:val="00E02524"/>
    <w:rsid w:val="00E158A8"/>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D903C44"/>
    <w:rsid w:val="0EFE6349"/>
    <w:rsid w:val="0FF4CCA8"/>
    <w:rsid w:val="13CFC91B"/>
    <w:rsid w:val="19A2EC2C"/>
    <w:rsid w:val="1FAA43F8"/>
    <w:rsid w:val="21779BE6"/>
    <w:rsid w:val="2859CA1B"/>
    <w:rsid w:val="2C4D2425"/>
    <w:rsid w:val="2EE1E026"/>
    <w:rsid w:val="30821638"/>
    <w:rsid w:val="32A4F9CF"/>
    <w:rsid w:val="33A1FF93"/>
    <w:rsid w:val="356CEDFD"/>
    <w:rsid w:val="3C591AFD"/>
    <w:rsid w:val="42183F0A"/>
    <w:rsid w:val="49F0DF88"/>
    <w:rsid w:val="545B112A"/>
    <w:rsid w:val="599B2691"/>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15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158A8"/>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iscalia.gov.co/colombia/la-entidad/quienes-somos/" TargetMode="External"/><Relationship Id="rId1" Type="http://schemas.openxmlformats.org/officeDocument/2006/relationships/hyperlink" Target="https://www.fiscalia.gov.co/colombia/la-entidad/quienes-som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B53BAE2-9222-45E6-8F0E-E84CBC1F4A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28</Pages>
  <Words>9489</Words>
  <Characters>52190</Characters>
  <Application>Microsoft Office Word</Application>
  <DocSecurity>0</DocSecurity>
  <Lines>434</Lines>
  <Paragraphs>123</Paragraphs>
  <ScaleCrop>false</ScaleCrop>
  <Company/>
  <LinksUpToDate>false</LinksUpToDate>
  <CharactersWithSpaces>61556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2026-04-15T17:10:00Z</dcterms:created>
  <dcterms:modified xsi:type="dcterms:W3CDTF">2026-04-21T13:16:00Z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