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98E8E" w14:textId="36E51E7A" w:rsidR="00053863" w:rsidRPr="00053863" w:rsidRDefault="00053863" w:rsidP="00053863">
      <w:pPr>
        <w:spacing w:after="120" w:line="276" w:lineRule="auto"/>
        <w:jc w:val="both"/>
        <w:rPr>
          <w:rFonts w:ascii="Verdana" w:eastAsia="Calibri" w:hAnsi="Verdana" w:cs="Arial"/>
          <w:b/>
          <w:color w:val="000000" w:themeColor="text1"/>
        </w:rPr>
      </w:pPr>
      <w:r w:rsidRPr="00053863">
        <w:rPr>
          <w:rFonts w:ascii="Verdana" w:eastAsia="Calibri" w:hAnsi="Verdana" w:cs="Arial"/>
          <w:b/>
          <w:color w:val="000000" w:themeColor="text1"/>
        </w:rPr>
        <w:t>CONTRATO DE COMODATO – Régimen jurídico aplicable</w:t>
      </w:r>
    </w:p>
    <w:p w14:paraId="2703CC7D" w14:textId="7AAA74BE" w:rsidR="001F726C" w:rsidRPr="001F726C" w:rsidRDefault="00053863" w:rsidP="001F726C">
      <w:pPr>
        <w:spacing w:after="120" w:line="276" w:lineRule="auto"/>
        <w:jc w:val="both"/>
        <w:rPr>
          <w:rFonts w:ascii="Verdana" w:hAnsi="Verdana"/>
          <w:sz w:val="20"/>
          <w:szCs w:val="20"/>
        </w:rPr>
      </w:pPr>
      <w:r w:rsidRPr="00053863">
        <w:rPr>
          <w:rFonts w:ascii="Verdana" w:eastAsia="Calibri" w:hAnsi="Verdana" w:cs="Arial"/>
          <w:bCs/>
          <w:color w:val="000000" w:themeColor="text1"/>
          <w:sz w:val="20"/>
          <w:szCs w:val="20"/>
        </w:rPr>
        <w:t>En síntesis, i) las entidades públicas</w:t>
      </w:r>
      <w:r w:rsidRPr="00053863">
        <w:rPr>
          <w:rFonts w:ascii="Verdana" w:hAnsi="Verdana"/>
          <w:sz w:val="20"/>
          <w:szCs w:val="20"/>
        </w:rPr>
        <w:t xml:space="preserve">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053863">
        <w:rPr>
          <w:rFonts w:ascii="Verdana" w:hAnsi="Verdana"/>
          <w:sz w:val="20"/>
          <w:szCs w:val="20"/>
        </w:rPr>
        <w:t>ii</w:t>
      </w:r>
      <w:proofErr w:type="spellEnd"/>
      <w:r w:rsidRPr="00053863">
        <w:rPr>
          <w:rFonts w:ascii="Verdana" w:hAnsi="Verdana"/>
          <w:sz w:val="20"/>
          <w:szCs w:val="20"/>
        </w:rPr>
        <w:t xml:space="preserve">) las entidades estatales pueden celebrar contratos de comodato de bienes muebles entre sí, de acuerdo con las reglas del Código Civil; </w:t>
      </w:r>
      <w:proofErr w:type="spellStart"/>
      <w:r w:rsidRPr="00053863">
        <w:rPr>
          <w:rFonts w:ascii="Verdana" w:hAnsi="Verdana"/>
          <w:sz w:val="20"/>
          <w:szCs w:val="20"/>
        </w:rPr>
        <w:t>iii</w:t>
      </w:r>
      <w:proofErr w:type="spellEnd"/>
      <w:r w:rsidRPr="00053863">
        <w:rPr>
          <w:rFonts w:ascii="Verdana" w:hAnsi="Verdana"/>
          <w:sz w:val="20"/>
          <w:szCs w:val="20"/>
        </w:rPr>
        <w:t xml:space="preserve">)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053863">
        <w:rPr>
          <w:rFonts w:ascii="Verdana" w:hAnsi="Verdana"/>
          <w:sz w:val="20"/>
          <w:szCs w:val="20"/>
        </w:rPr>
        <w:t>iv</w:t>
      </w:r>
      <w:proofErr w:type="spellEnd"/>
      <w:r w:rsidRPr="00053863">
        <w:rPr>
          <w:rFonts w:ascii="Verdana" w:hAnsi="Verdana"/>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375DD628" w14:textId="4C20A504" w:rsidR="00013FA3" w:rsidRPr="00745723" w:rsidRDefault="00745723" w:rsidP="008378B0">
      <w:pPr>
        <w:spacing w:after="120" w:line="276" w:lineRule="auto"/>
        <w:jc w:val="both"/>
        <w:rPr>
          <w:rFonts w:ascii="Verdana" w:eastAsia="Calibri" w:hAnsi="Verdana" w:cs="Arial"/>
          <w:b/>
          <w:bCs/>
          <w:color w:val="000000" w:themeColor="text1"/>
        </w:rPr>
      </w:pPr>
      <w:r w:rsidRPr="00745723">
        <w:rPr>
          <w:rFonts w:ascii="Verdana" w:eastAsia="Calibri" w:hAnsi="Verdana" w:cs="Arial"/>
          <w:b/>
          <w:bCs/>
          <w:lang w:val="es-ES" w:eastAsia="es-ES"/>
        </w:rPr>
        <w:t xml:space="preserve">LEY DE GARANTÍAS ELECTORALES ‒ </w:t>
      </w:r>
      <w:r w:rsidRPr="00745723">
        <w:rPr>
          <w:rFonts w:ascii="Verdana" w:eastAsia="Calibri" w:hAnsi="Verdana" w:cs="Arial"/>
          <w:b/>
          <w:bCs/>
          <w:lang w:val="es-MX"/>
        </w:rPr>
        <w:t>Prohibición artículo 33 ‒ Contratación directa ‒ Alcance</w:t>
      </w:r>
    </w:p>
    <w:p w14:paraId="25A90EF5" w14:textId="7647661A" w:rsidR="00013FA3" w:rsidRPr="00BB5AC1" w:rsidRDefault="00BB5AC1" w:rsidP="003D3B2A">
      <w:pPr>
        <w:spacing w:after="0" w:line="240" w:lineRule="auto"/>
        <w:jc w:val="both"/>
        <w:rPr>
          <w:rFonts w:ascii="Verdana" w:hAnsi="Verdana"/>
          <w:sz w:val="20"/>
          <w:szCs w:val="20"/>
        </w:rPr>
      </w:pPr>
      <w:r w:rsidRPr="00BB5AC1">
        <w:rPr>
          <w:rFonts w:ascii="Verdana" w:hAnsi="Verdana"/>
          <w:sz w:val="20"/>
          <w:szCs w:val="20"/>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554BC368" w14:textId="77777777" w:rsidR="00053863" w:rsidRDefault="00053863" w:rsidP="003D3B2A">
      <w:pPr>
        <w:spacing w:after="0" w:line="240" w:lineRule="auto"/>
        <w:jc w:val="both"/>
        <w:rPr>
          <w:rFonts w:ascii="Verdana" w:hAnsi="Verdana"/>
        </w:rPr>
      </w:pPr>
    </w:p>
    <w:p w14:paraId="735DAA38" w14:textId="77777777" w:rsidR="004B0D36" w:rsidRDefault="001025D6" w:rsidP="003D3B2A">
      <w:pPr>
        <w:spacing w:after="0" w:line="240" w:lineRule="auto"/>
        <w:jc w:val="both"/>
        <w:rPr>
          <w:rFonts w:ascii="Verdana" w:hAnsi="Verdana"/>
          <w:b/>
          <w:bCs/>
          <w:lang w:val="es-MX"/>
        </w:rPr>
      </w:pPr>
      <w:r w:rsidRPr="001025D6">
        <w:rPr>
          <w:rFonts w:ascii="Verdana" w:eastAsia="Calibri" w:hAnsi="Verdana" w:cs="Arial"/>
          <w:b/>
          <w:bCs/>
          <w:lang w:val="es-MX"/>
        </w:rPr>
        <w:t>LEY DE GARANTÍAS ELECTORALES ─ Prohibición artículo 38 ‒ Convenios interadministrativos</w:t>
      </w:r>
    </w:p>
    <w:p w14:paraId="23BF7CA3" w14:textId="02BEF8DB" w:rsidR="004B0D36" w:rsidRPr="004B0D36" w:rsidRDefault="004B0D36" w:rsidP="003D3B2A">
      <w:pPr>
        <w:spacing w:after="0" w:line="240" w:lineRule="auto"/>
        <w:jc w:val="both"/>
        <w:rPr>
          <w:rFonts w:ascii="Verdana" w:hAnsi="Verdana"/>
          <w:b/>
          <w:bCs/>
          <w:sz w:val="20"/>
          <w:szCs w:val="20"/>
        </w:rPr>
      </w:pPr>
      <w:r w:rsidRPr="004B0D36">
        <w:rPr>
          <w:rFonts w:ascii="Verdana" w:hAnsi="Verdana"/>
          <w:sz w:val="20"/>
          <w:szCs w:val="20"/>
        </w:rPr>
        <w:t xml:space="preserve">Ahora bien, respecto del alcance del parágrafo del artículo 38 de la Ley 996 de 2005, esta prohibición dispone en primera medida que: “[l]os Gobernadores, </w:t>
      </w:r>
      <w:proofErr w:type="gramStart"/>
      <w:r w:rsidRPr="004B0D36">
        <w:rPr>
          <w:rFonts w:ascii="Verdana" w:hAnsi="Verdana"/>
          <w:sz w:val="20"/>
          <w:szCs w:val="20"/>
        </w:rPr>
        <w:t>Alcaldes</w:t>
      </w:r>
      <w:proofErr w:type="gramEnd"/>
      <w:r w:rsidRPr="004B0D36">
        <w:rPr>
          <w:rFonts w:ascii="Verdana" w:hAnsi="Verdana"/>
          <w:sz w:val="20"/>
          <w:szCs w:val="20"/>
        </w:rPr>
        <w:t xml:space="preserve"> Municipales y/o Distritales, Secretarios, Gerentes y directores de Entidades </w:t>
      </w:r>
      <w:r w:rsidRPr="004B0D36">
        <w:rPr>
          <w:rFonts w:ascii="Verdana" w:hAnsi="Verdana"/>
          <w:sz w:val="20"/>
          <w:szCs w:val="20"/>
        </w:rPr>
        <w:lastRenderedPageBreak/>
        <w:t>Descentralizadas del orden Municipal, Departamental o Distrital, dentro de los cuatro (4) meses anteriores a las elecciones, no podrán celebrar </w:t>
      </w:r>
      <w:r w:rsidRPr="004B0D36">
        <w:rPr>
          <w:rFonts w:ascii="Verdana" w:hAnsi="Verdana"/>
          <w:i/>
          <w:iCs/>
          <w:sz w:val="20"/>
          <w:szCs w:val="20"/>
        </w:rPr>
        <w:t>convenios interadministrativos</w:t>
      </w:r>
      <w:r w:rsidRPr="004B0D36">
        <w:rPr>
          <w:rFonts w:ascii="Verdana" w:hAnsi="Verdana"/>
          <w:sz w:val="20"/>
          <w:szCs w:val="20"/>
        </w:rPr>
        <w:t> </w:t>
      </w:r>
      <w:r w:rsidRPr="004B0D36">
        <w:rPr>
          <w:rFonts w:ascii="Verdana" w:hAnsi="Verdana"/>
          <w:i/>
          <w:iCs/>
          <w:sz w:val="20"/>
          <w:szCs w:val="20"/>
        </w:rPr>
        <w:t>para la ejecución de recursos públicos</w:t>
      </w:r>
      <w:r w:rsidRPr="004B0D36">
        <w:rPr>
          <w:rFonts w:ascii="Verdana" w:hAnsi="Verdana"/>
          <w:sz w:val="20"/>
          <w:szCs w:val="20"/>
        </w:rPr>
        <w:t>”.</w:t>
      </w:r>
      <w:r w:rsidRPr="004B0D36">
        <w:rPr>
          <w:rFonts w:ascii="Verdana" w:hAnsi="Verdana"/>
          <w:b/>
          <w:bCs/>
          <w:sz w:val="20"/>
          <w:szCs w:val="20"/>
        </w:rPr>
        <w:t> </w:t>
      </w:r>
    </w:p>
    <w:p w14:paraId="7355A335" w14:textId="77777777" w:rsidR="00034586" w:rsidRDefault="00034586" w:rsidP="00034586">
      <w:pPr>
        <w:spacing w:after="0" w:line="240" w:lineRule="auto"/>
        <w:jc w:val="both"/>
        <w:rPr>
          <w:rFonts w:ascii="Verdana" w:hAnsi="Verdana"/>
          <w:sz w:val="20"/>
          <w:szCs w:val="20"/>
        </w:rPr>
      </w:pPr>
    </w:p>
    <w:p w14:paraId="72A67BBA" w14:textId="7ECE8A8C" w:rsidR="00034586" w:rsidRPr="00034586" w:rsidRDefault="00034586" w:rsidP="00034586">
      <w:pPr>
        <w:spacing w:after="0" w:line="240" w:lineRule="auto"/>
        <w:jc w:val="both"/>
        <w:rPr>
          <w:rFonts w:ascii="Verdana" w:hAnsi="Verdana" w:cs="Arial"/>
          <w:b/>
          <w:bCs/>
        </w:rPr>
      </w:pPr>
      <w:r w:rsidRPr="00034586">
        <w:rPr>
          <w:rFonts w:ascii="Verdana" w:hAnsi="Verdana" w:cs="Arial"/>
          <w:b/>
          <w:bCs/>
          <w:lang w:eastAsia="es-ES"/>
        </w:rPr>
        <w:t>CONVENIOS SOLIDARIOS</w:t>
      </w:r>
      <w:r w:rsidRPr="00034586">
        <w:rPr>
          <w:rFonts w:ascii="Verdana" w:hAnsi="Verdana" w:cs="Arial"/>
          <w:b/>
          <w:bCs/>
        </w:rPr>
        <w:t xml:space="preserve"> – </w:t>
      </w:r>
      <w:r w:rsidRPr="00034586">
        <w:rPr>
          <w:rFonts w:ascii="Verdana" w:eastAsia="Calibri" w:hAnsi="Verdana" w:cs="Arial"/>
          <w:b/>
          <w:bCs/>
          <w:lang w:val="es-ES"/>
        </w:rPr>
        <w:t xml:space="preserve">Regímenes de celebración – Juntas de Acción Comunal </w:t>
      </w:r>
      <w:r w:rsidRPr="00034586">
        <w:rPr>
          <w:rFonts w:ascii="Verdana" w:hAnsi="Verdana" w:cs="Arial"/>
          <w:b/>
          <w:bCs/>
        </w:rPr>
        <w:t>– Naturaleza jurídica – Aplicación de Ley de Garantías</w:t>
      </w:r>
    </w:p>
    <w:p w14:paraId="1578EA17" w14:textId="77777777" w:rsidR="00034586" w:rsidRDefault="00034586" w:rsidP="00034586">
      <w:pPr>
        <w:spacing w:after="0" w:line="240" w:lineRule="auto"/>
        <w:jc w:val="both"/>
        <w:rPr>
          <w:rFonts w:ascii="Verdana" w:hAnsi="Verdana"/>
          <w:sz w:val="20"/>
          <w:szCs w:val="20"/>
        </w:rPr>
      </w:pPr>
    </w:p>
    <w:p w14:paraId="09D19423" w14:textId="37632C47" w:rsidR="00034586" w:rsidRPr="00034586" w:rsidRDefault="00034586" w:rsidP="00034586">
      <w:pPr>
        <w:spacing w:after="0" w:line="240" w:lineRule="auto"/>
        <w:jc w:val="both"/>
        <w:rPr>
          <w:rFonts w:ascii="Verdana" w:hAnsi="Verdana"/>
          <w:sz w:val="20"/>
          <w:szCs w:val="20"/>
        </w:rPr>
      </w:pPr>
      <w:r w:rsidRPr="00034586">
        <w:rPr>
          <w:rFonts w:ascii="Verdana" w:hAnsi="Verdana"/>
          <w:sz w:val="20"/>
          <w:szCs w:val="20"/>
        </w:rPr>
        <w:t>De acuerdo con la interpretación de las normas generales del sistema de compras y contratación pública, la Ley 996 de 2005 establece dos (2) tipos de restricciones en materia de contratación, las cuales coinciden parcialmente. </w:t>
      </w:r>
      <w:r w:rsidRPr="00034586">
        <w:rPr>
          <w:rFonts w:ascii="Verdana" w:hAnsi="Verdana"/>
          <w:i/>
          <w:iCs/>
          <w:sz w:val="20"/>
          <w:szCs w:val="20"/>
        </w:rPr>
        <w:t>En primer lugar</w:t>
      </w:r>
      <w:r w:rsidRPr="00034586">
        <w:rPr>
          <w:rFonts w:ascii="Verdana" w:hAnsi="Verdana"/>
          <w:sz w:val="20"/>
          <w:szCs w:val="20"/>
        </w:rPr>
        <w:t>,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034586">
        <w:rPr>
          <w:rFonts w:ascii="Verdana" w:hAnsi="Verdana"/>
          <w:i/>
          <w:iCs/>
          <w:sz w:val="20"/>
          <w:szCs w:val="20"/>
        </w:rPr>
        <w:t>En segundo lugar</w:t>
      </w:r>
      <w:r w:rsidRPr="00034586">
        <w:rPr>
          <w:rFonts w:ascii="Verdana" w:hAnsi="Verdana"/>
          <w:sz w:val="20"/>
          <w:szCs w:val="20"/>
        </w:rPr>
        <w:t>, también se encuentra la prohibición del parágrafo del artículo 38, que prevé una restricción, aplicable en las elecciones para cargos de elección popular, dirigida a los gobernadores, alcaldes municipales o distritales, secretarios, gerentes y directores de Entidades descentralizadas del orden municipal, departamental o distrital, en lo que respecta a la celebración de convenios interadministrativos que impliquen la ejecución de recursos públicos dentro de los cuatro (4) meses anteriores a la respectiva jornada de votaciones.</w:t>
      </w:r>
    </w:p>
    <w:p w14:paraId="482CAB40" w14:textId="77777777" w:rsidR="00034586" w:rsidRDefault="00034586" w:rsidP="00034586">
      <w:pPr>
        <w:spacing w:after="0" w:line="240" w:lineRule="auto"/>
        <w:jc w:val="both"/>
        <w:rPr>
          <w:rFonts w:ascii="Verdana" w:hAnsi="Verdana"/>
          <w:i/>
          <w:iCs/>
          <w:sz w:val="20"/>
          <w:szCs w:val="20"/>
        </w:rPr>
      </w:pPr>
      <w:r w:rsidRPr="00034586">
        <w:rPr>
          <w:rFonts w:ascii="Verdana" w:hAnsi="Verdana"/>
          <w:sz w:val="20"/>
          <w:szCs w:val="20"/>
        </w:rPr>
        <w:t>Ahora bien, con relación a la celebración de </w:t>
      </w:r>
      <w:r w:rsidRPr="00034586">
        <w:rPr>
          <w:rFonts w:ascii="Verdana" w:hAnsi="Verdana"/>
          <w:i/>
          <w:iCs/>
          <w:sz w:val="20"/>
          <w:szCs w:val="20"/>
        </w:rPr>
        <w:t>convenios</w:t>
      </w:r>
      <w:r w:rsidRPr="00034586">
        <w:rPr>
          <w:rFonts w:ascii="Verdana" w:hAnsi="Verdana"/>
          <w:sz w:val="20"/>
          <w:szCs w:val="20"/>
        </w:rPr>
        <w:t> y en aras de dar respuesta a la consulta elevada, ha de tenerse en cuenta que el artículo 3.16 de la Ley 136 de 1994 hace referencia a los convenios suscritos entre los municipios y distritos con los cabildos, las autoridades y organizaciones indígenas, los </w:t>
      </w:r>
      <w:r w:rsidRPr="00034586">
        <w:rPr>
          <w:rFonts w:ascii="Verdana" w:hAnsi="Verdana"/>
          <w:i/>
          <w:iCs/>
          <w:sz w:val="20"/>
          <w:szCs w:val="20"/>
        </w:rPr>
        <w:t>organismos de acción comunal</w:t>
      </w:r>
      <w:r w:rsidRPr="00034586">
        <w:rPr>
          <w:rFonts w:ascii="Verdana" w:hAnsi="Verdana"/>
          <w:sz w:val="20"/>
          <w:szCs w:val="20"/>
        </w:rPr>
        <w:t> y demás organizaciones civiles y asociaciones residentes en el territorio. Por su parte, el artículo 95 de la Ley 2166 de 2021 señala que las Entidades del orden nacional, departamental, distrital y municipal podrán celebrar directamente convenios solidarios con organismos de acción comunal para la ejecución de obras hasta por la menor cuantía. Y finalmente, el parágrafo 2 del artículo 63 </w:t>
      </w:r>
      <w:r w:rsidRPr="00034586">
        <w:rPr>
          <w:rFonts w:ascii="Verdana" w:hAnsi="Verdana"/>
          <w:i/>
          <w:iCs/>
          <w:sz w:val="20"/>
          <w:szCs w:val="20"/>
        </w:rPr>
        <w:t>ibidem</w:t>
      </w:r>
      <w:r w:rsidRPr="00034586">
        <w:rPr>
          <w:rFonts w:ascii="Verdana" w:hAnsi="Verdana"/>
          <w:sz w:val="20"/>
          <w:szCs w:val="20"/>
        </w:rPr>
        <w:t> permite la celebración de convenios solidarios entre Entidades del orden nacional, departamental, distrital, local y municipal con los organismos de acción comunal para la ejecución de proyectos incluidos en el respectivo plan nacional de desarrollo o para la ejecución de los proyectos derivados del Acuerdo Final de Paz</w:t>
      </w:r>
      <w:r w:rsidRPr="00034586">
        <w:rPr>
          <w:rFonts w:ascii="Verdana" w:hAnsi="Verdana"/>
          <w:i/>
          <w:iCs/>
          <w:sz w:val="20"/>
          <w:szCs w:val="20"/>
        </w:rPr>
        <w:t>.</w:t>
      </w:r>
    </w:p>
    <w:p w14:paraId="3BE83C28" w14:textId="77777777" w:rsidR="00034586" w:rsidRPr="00034586" w:rsidRDefault="00034586" w:rsidP="00034586">
      <w:pPr>
        <w:spacing w:after="0" w:line="240" w:lineRule="auto"/>
        <w:jc w:val="both"/>
        <w:rPr>
          <w:rFonts w:ascii="Verdana" w:hAnsi="Verdana"/>
          <w:sz w:val="20"/>
          <w:szCs w:val="20"/>
        </w:rPr>
      </w:pPr>
    </w:p>
    <w:p w14:paraId="74B29A5A" w14:textId="5758B142" w:rsidR="00034586" w:rsidRPr="00034586" w:rsidRDefault="00034586" w:rsidP="00034586">
      <w:pPr>
        <w:spacing w:after="0" w:line="240" w:lineRule="auto"/>
        <w:jc w:val="both"/>
        <w:rPr>
          <w:rFonts w:ascii="Verdana" w:hAnsi="Verdana"/>
          <w:sz w:val="20"/>
          <w:szCs w:val="20"/>
        </w:rPr>
      </w:pPr>
      <w:r w:rsidRPr="00034586">
        <w:rPr>
          <w:rFonts w:ascii="Verdana" w:hAnsi="Verdana"/>
          <w:sz w:val="20"/>
          <w:szCs w:val="20"/>
        </w:rPr>
        <w:t>Bajo este contexto, y considerando la naturaleza jurídica de las partes, los convenios suscritos entre Entidades del orden nacional, departamental, distrital, local y municipal y organismos de acción comunal </w:t>
      </w:r>
      <w:r w:rsidRPr="00034586">
        <w:rPr>
          <w:rFonts w:ascii="Verdana" w:hAnsi="Verdana"/>
          <w:i/>
          <w:iCs/>
          <w:sz w:val="20"/>
          <w:szCs w:val="20"/>
        </w:rPr>
        <w:t>no se califican como contratos o convenios interadministrativos</w:t>
      </w:r>
      <w:r w:rsidRPr="00034586">
        <w:rPr>
          <w:rFonts w:ascii="Verdana" w:hAnsi="Verdana"/>
          <w:sz w:val="20"/>
          <w:szCs w:val="20"/>
        </w:rPr>
        <w:t xml:space="preserve">, toda vez, que no implica una contratación entre autoridades del Estado sino un negocio jurídico entre una Entidad y una persona jurídica de derecho privado y en razón a ello no sería aplicable la restricción establecida en el artículo 38 de </w:t>
      </w:r>
      <w:r w:rsidRPr="00034586">
        <w:rPr>
          <w:rFonts w:ascii="Verdana" w:hAnsi="Verdana"/>
          <w:sz w:val="20"/>
          <w:szCs w:val="20"/>
        </w:rPr>
        <w:lastRenderedPageBreak/>
        <w:t>la ley 996 del 2005, puesto que la calificación de convenios o contratos interadministrativos está definida por un criterio orgánico, esto es, que la contratación se efectúa entre dos o más personas jurídicas de derecho público con la finalidad de cumplir, en el marco de sus objetivos misionales y sus competencias, con los fines del Estado.</w:t>
      </w:r>
    </w:p>
    <w:p w14:paraId="557A37C8" w14:textId="77777777" w:rsidR="00034586" w:rsidRDefault="00034586" w:rsidP="003D3B2A">
      <w:pPr>
        <w:spacing w:after="0" w:line="240" w:lineRule="auto"/>
        <w:jc w:val="both"/>
        <w:rPr>
          <w:rFonts w:ascii="Verdana" w:hAnsi="Verdana"/>
        </w:rPr>
      </w:pPr>
    </w:p>
    <w:p w14:paraId="1593FE22" w14:textId="2BCAACB5" w:rsidR="001F726C" w:rsidRDefault="001748EB" w:rsidP="001F726C">
      <w:pPr>
        <w:spacing w:after="0" w:line="240" w:lineRule="auto"/>
        <w:jc w:val="both"/>
        <w:rPr>
          <w:rFonts w:ascii="Verdana" w:hAnsi="Verdana"/>
          <w:b/>
          <w:bCs/>
        </w:rPr>
      </w:pPr>
      <w:r w:rsidRPr="001748EB">
        <w:rPr>
          <w:rFonts w:ascii="Verdana" w:eastAsia="Calibri" w:hAnsi="Verdana" w:cs="Arial"/>
          <w:b/>
          <w:bCs/>
          <w:lang w:val="es-ES" w:eastAsia="es-ES"/>
        </w:rPr>
        <w:t>LEY DE GARANTÍAS ELECTORALES – Contratos y convenios interadministrativos – Criterio orgánico</w:t>
      </w:r>
    </w:p>
    <w:p w14:paraId="3AB14873" w14:textId="77777777" w:rsidR="001F726C" w:rsidRPr="001F726C" w:rsidRDefault="001F726C" w:rsidP="001F726C">
      <w:pPr>
        <w:spacing w:after="0" w:line="240" w:lineRule="auto"/>
        <w:jc w:val="both"/>
        <w:rPr>
          <w:rFonts w:ascii="Verdana" w:hAnsi="Verdana"/>
          <w:b/>
          <w:bCs/>
        </w:rPr>
      </w:pPr>
    </w:p>
    <w:p w14:paraId="1B005E5F" w14:textId="77777777" w:rsidR="00406F95" w:rsidRPr="00406F95" w:rsidRDefault="00406F95" w:rsidP="00406F95">
      <w:pPr>
        <w:spacing w:after="120" w:line="276" w:lineRule="auto"/>
        <w:jc w:val="both"/>
        <w:rPr>
          <w:rFonts w:ascii="Verdana" w:hAnsi="Verdana" w:cs="Arial"/>
          <w:sz w:val="20"/>
          <w:szCs w:val="20"/>
          <w:lang w:val="es-ES"/>
        </w:rPr>
      </w:pPr>
      <w:r w:rsidRPr="00406F95">
        <w:rPr>
          <w:rFonts w:ascii="Verdana" w:hAnsi="Verdana" w:cs="Arial"/>
          <w:sz w:val="20"/>
          <w:szCs w:val="20"/>
          <w:lang w:val="es-ES"/>
        </w:rPr>
        <w:t xml:space="preserve">Ahora bien, respecto del alcance del parágrafo </w:t>
      </w:r>
      <w:r w:rsidRPr="00406F95">
        <w:rPr>
          <w:rFonts w:ascii="Verdana" w:hAnsi="Verdana" w:cs="Arial"/>
          <w:sz w:val="20"/>
          <w:szCs w:val="20"/>
        </w:rPr>
        <w:t xml:space="preserve">del artículo 38 de la Ley 996 de 2005, esta prohibición dispone que “Los Gobernadores, </w:t>
      </w:r>
      <w:proofErr w:type="gramStart"/>
      <w:r w:rsidRPr="00406F95">
        <w:rPr>
          <w:rFonts w:ascii="Verdana" w:hAnsi="Verdana" w:cs="Arial"/>
          <w:sz w:val="20"/>
          <w:szCs w:val="20"/>
        </w:rPr>
        <w:t>Alcaldes</w:t>
      </w:r>
      <w:proofErr w:type="gramEnd"/>
      <w:r w:rsidRPr="00406F95">
        <w:rPr>
          <w:rFonts w:ascii="Verdana" w:hAnsi="Verdana" w:cs="Arial"/>
          <w:sz w:val="20"/>
          <w:szCs w:val="20"/>
        </w:rPr>
        <w:t xml:space="preserve"> Municipales y/o Distritales, </w:t>
      </w:r>
      <w:proofErr w:type="gramStart"/>
      <w:r w:rsidRPr="00406F95">
        <w:rPr>
          <w:rFonts w:ascii="Verdana" w:hAnsi="Verdana" w:cs="Arial"/>
          <w:sz w:val="20"/>
          <w:szCs w:val="20"/>
        </w:rPr>
        <w:t>Secretarios</w:t>
      </w:r>
      <w:proofErr w:type="gramEnd"/>
      <w:r w:rsidRPr="00406F95">
        <w:rPr>
          <w:rFonts w:ascii="Verdana" w:hAnsi="Verdana" w:cs="Arial"/>
          <w:sz w:val="20"/>
          <w:szCs w:val="20"/>
        </w:rPr>
        <w:t>, Gerentes y directores de Entidades Descentralizadas del orden Municipal, Departamental o Distrital, dentro de los cuatro (4) meses anteriores a las elecciones, no podrán celebrar convenios interadministrativos para la ejecución de recursos públicos”.</w:t>
      </w:r>
      <w:r w:rsidRPr="00406F95">
        <w:rPr>
          <w:rFonts w:ascii="Verdana" w:eastAsia="Times New Roman" w:hAnsi="Verdana" w:cs="Arial"/>
          <w:sz w:val="20"/>
          <w:szCs w:val="20"/>
          <w:lang w:val="es-MX" w:eastAsia="x-none"/>
        </w:rPr>
        <w:t xml:space="preserve"> </w:t>
      </w:r>
    </w:p>
    <w:p w14:paraId="78311A68" w14:textId="77777777" w:rsidR="00406F95" w:rsidRPr="00406F95" w:rsidRDefault="00406F95" w:rsidP="00406F95">
      <w:pPr>
        <w:spacing w:after="120" w:line="276" w:lineRule="auto"/>
        <w:jc w:val="both"/>
        <w:rPr>
          <w:rFonts w:ascii="Verdana" w:hAnsi="Verdana" w:cs="Arial"/>
          <w:sz w:val="20"/>
          <w:szCs w:val="20"/>
          <w:lang w:eastAsia="es-ES"/>
        </w:rPr>
      </w:pPr>
      <w:r w:rsidRPr="00406F95">
        <w:rPr>
          <w:rFonts w:ascii="Verdana" w:eastAsia="Times New Roman" w:hAnsi="Verdana" w:cs="Arial"/>
          <w:sz w:val="20"/>
          <w:szCs w:val="20"/>
          <w:lang w:val="es-ES" w:eastAsia="es-ES"/>
        </w:rPr>
        <w:t xml:space="preserve">Para tales efectos, debe precisarse que </w:t>
      </w:r>
      <w:r w:rsidRPr="00406F95">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406F95">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406F95">
        <w:rPr>
          <w:rFonts w:ascii="Verdana" w:hAnsi="Verdana" w:cs="Arial"/>
          <w:sz w:val="20"/>
          <w:szCs w:val="20"/>
          <w:vertAlign w:val="superscript"/>
          <w:lang w:eastAsia="es-ES"/>
        </w:rPr>
        <w:footnoteReference w:id="1"/>
      </w:r>
      <w:r w:rsidRPr="00406F95">
        <w:rPr>
          <w:rFonts w:ascii="Verdana" w:hAnsi="Verdana" w:cs="Arial"/>
          <w:sz w:val="20"/>
          <w:szCs w:val="20"/>
          <w:lang w:eastAsia="es-ES"/>
        </w:rPr>
        <w:t>.</w:t>
      </w:r>
    </w:p>
    <w:p w14:paraId="0ECF0075" w14:textId="77777777" w:rsidR="00406F95" w:rsidRPr="00406F95" w:rsidRDefault="00406F95" w:rsidP="00406F95">
      <w:pPr>
        <w:spacing w:after="120" w:line="276" w:lineRule="auto"/>
        <w:jc w:val="both"/>
        <w:rPr>
          <w:rFonts w:ascii="Verdana" w:hAnsi="Verdana" w:cs="Arial"/>
          <w:color w:val="000000" w:themeColor="text1"/>
          <w:sz w:val="20"/>
          <w:szCs w:val="20"/>
          <w:lang w:val="es-ES_tradnl"/>
        </w:rPr>
      </w:pPr>
      <w:r w:rsidRPr="00406F95">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C0EE873" w14:textId="00A37D08" w:rsidR="001F726C" w:rsidRPr="00406F95" w:rsidRDefault="001F726C" w:rsidP="00406F95">
      <w:pPr>
        <w:spacing w:after="120" w:line="276" w:lineRule="auto"/>
        <w:jc w:val="both"/>
        <w:rPr>
          <w:rFonts w:ascii="Verdana" w:hAnsi="Verdana" w:cs="Arial"/>
          <w:color w:val="000000" w:themeColor="text1"/>
          <w:sz w:val="20"/>
          <w:szCs w:val="20"/>
          <w:lang w:val="es-ES_tradnl" w:eastAsia="es-CO"/>
        </w:rPr>
      </w:pPr>
    </w:p>
    <w:p w14:paraId="60890F3C" w14:textId="77777777" w:rsidR="00053863" w:rsidRPr="001F726C" w:rsidRDefault="00053863" w:rsidP="003D3B2A">
      <w:pPr>
        <w:spacing w:after="0" w:line="240" w:lineRule="auto"/>
        <w:jc w:val="both"/>
        <w:rPr>
          <w:rFonts w:ascii="Verdana" w:hAnsi="Verdana"/>
          <w:lang w:val="es-ES"/>
        </w:rPr>
      </w:pPr>
    </w:p>
    <w:p w14:paraId="5CAB4104" w14:textId="77777777" w:rsidR="00053863" w:rsidRDefault="00053863" w:rsidP="003D3B2A">
      <w:pPr>
        <w:spacing w:after="0" w:line="240" w:lineRule="auto"/>
        <w:jc w:val="both"/>
        <w:rPr>
          <w:rFonts w:ascii="Verdana" w:hAnsi="Verdana"/>
        </w:rPr>
      </w:pPr>
    </w:p>
    <w:p w14:paraId="1F0CB895" w14:textId="77777777" w:rsidR="00053863" w:rsidRDefault="00053863" w:rsidP="003D3B2A">
      <w:pPr>
        <w:spacing w:after="0" w:line="240" w:lineRule="auto"/>
        <w:jc w:val="both"/>
        <w:rPr>
          <w:rFonts w:ascii="Verdana" w:hAnsi="Verdana"/>
        </w:rPr>
      </w:pPr>
    </w:p>
    <w:p w14:paraId="3AE67F00" w14:textId="77777777" w:rsidR="00053863" w:rsidRDefault="00053863" w:rsidP="003D3B2A">
      <w:pPr>
        <w:spacing w:after="0" w:line="240" w:lineRule="auto"/>
        <w:jc w:val="both"/>
        <w:rPr>
          <w:rFonts w:ascii="Verdana" w:hAnsi="Verdana"/>
        </w:rPr>
      </w:pPr>
    </w:p>
    <w:p w14:paraId="0390ECDC" w14:textId="77777777" w:rsidR="00053863" w:rsidRDefault="00053863" w:rsidP="003D3B2A">
      <w:pPr>
        <w:spacing w:after="0" w:line="240" w:lineRule="auto"/>
        <w:jc w:val="both"/>
        <w:rPr>
          <w:rFonts w:ascii="Verdana" w:hAnsi="Verdana"/>
        </w:rPr>
      </w:pPr>
    </w:p>
    <w:p w14:paraId="1EAAC1CB" w14:textId="77777777" w:rsidR="00053863" w:rsidRDefault="00053863" w:rsidP="003D3B2A">
      <w:pPr>
        <w:spacing w:after="0" w:line="240" w:lineRule="auto"/>
        <w:jc w:val="both"/>
        <w:rPr>
          <w:rFonts w:ascii="Verdana" w:hAnsi="Verdana"/>
        </w:rPr>
      </w:pPr>
    </w:p>
    <w:p w14:paraId="010420DE" w14:textId="77777777" w:rsidR="00406F95" w:rsidRDefault="00406F95" w:rsidP="003D3B2A">
      <w:pPr>
        <w:spacing w:after="0" w:line="240" w:lineRule="auto"/>
        <w:jc w:val="both"/>
        <w:rPr>
          <w:rFonts w:ascii="Verdana" w:hAnsi="Verdana"/>
        </w:rPr>
      </w:pPr>
    </w:p>
    <w:p w14:paraId="04B13DF7" w14:textId="77777777" w:rsidR="00406F95" w:rsidRDefault="00406F95" w:rsidP="003D3B2A">
      <w:pPr>
        <w:spacing w:after="0" w:line="240" w:lineRule="auto"/>
        <w:jc w:val="both"/>
        <w:rPr>
          <w:rFonts w:ascii="Verdana" w:hAnsi="Verdana"/>
        </w:rPr>
      </w:pPr>
    </w:p>
    <w:p w14:paraId="6C4A72C9" w14:textId="77777777" w:rsidR="00406F95" w:rsidRDefault="00406F95" w:rsidP="003D3B2A">
      <w:pPr>
        <w:spacing w:after="0" w:line="240" w:lineRule="auto"/>
        <w:jc w:val="both"/>
        <w:rPr>
          <w:rFonts w:ascii="Verdana" w:hAnsi="Verdana"/>
        </w:rPr>
      </w:pPr>
    </w:p>
    <w:p w14:paraId="478A666A" w14:textId="1EA2F2D4" w:rsidR="003D3B2A" w:rsidRPr="008E4F36" w:rsidRDefault="00CA7551" w:rsidP="003D3B2A">
      <w:pPr>
        <w:spacing w:after="0" w:line="240" w:lineRule="auto"/>
        <w:jc w:val="both"/>
        <w:rPr>
          <w:rFonts w:ascii="Verdana" w:hAnsi="Verdana"/>
        </w:rPr>
      </w:pPr>
      <w:r w:rsidRPr="00CA7551">
        <w:rPr>
          <w:rFonts w:ascii="Verdana" w:hAnsi="Verdana"/>
        </w:rPr>
        <w:lastRenderedPageBreak/>
        <w:t xml:space="preserve">Bogotá D.C., 15 </w:t>
      </w:r>
      <w:r>
        <w:rPr>
          <w:rFonts w:ascii="Verdana" w:hAnsi="Verdana"/>
        </w:rPr>
        <w:t>a</w:t>
      </w:r>
      <w:r w:rsidRPr="00CA7551">
        <w:rPr>
          <w:rFonts w:ascii="Verdana" w:hAnsi="Verdana"/>
        </w:rPr>
        <w:t xml:space="preserve">bril 2026 </w:t>
      </w:r>
      <w:r w:rsidR="003D3B2A">
        <w:rPr>
          <w:rFonts w:ascii="Verdana" w:hAnsi="Verdana"/>
        </w:rPr>
        <w:t xml:space="preserve"> </w:t>
      </w:r>
    </w:p>
    <w:p w14:paraId="2387C4E1" w14:textId="1C9A1908" w:rsidR="003D3B2A" w:rsidRPr="008E4F36" w:rsidRDefault="00CA7551" w:rsidP="003D3B2A">
      <w:pPr>
        <w:spacing w:after="0" w:line="240" w:lineRule="auto"/>
        <w:jc w:val="both"/>
        <w:rPr>
          <w:rFonts w:ascii="Verdana" w:eastAsia="Calibri" w:hAnsi="Verdana" w:cs="Arial"/>
          <w:lang w:eastAsia="es-ES"/>
        </w:rPr>
      </w:pPr>
      <w:bookmarkStart w:id="0" w:name="_Hlk197462763"/>
      <w:bookmarkStart w:id="1" w:name="_Hlk197529996"/>
      <w:r w:rsidRPr="00CA7551">
        <w:rPr>
          <w:rFonts w:ascii="Verdana" w:eastAsia="Calibri" w:hAnsi="Verdana" w:cs="Arial"/>
          <w:lang w:eastAsia="es-ES"/>
        </w:rPr>
        <w:drawing>
          <wp:anchor distT="0" distB="0" distL="114300" distR="114300" simplePos="0" relativeHeight="251660288" behindDoc="1" locked="0" layoutInCell="1" allowOverlap="1" wp14:anchorId="3FF0BE85" wp14:editId="302C057D">
            <wp:simplePos x="0" y="0"/>
            <wp:positionH relativeFrom="column">
              <wp:posOffset>3474231</wp:posOffset>
            </wp:positionH>
            <wp:positionV relativeFrom="paragraph">
              <wp:posOffset>96032</wp:posOffset>
            </wp:positionV>
            <wp:extent cx="2552700" cy="685800"/>
            <wp:effectExtent l="0" t="0" r="0" b="0"/>
            <wp:wrapTight wrapText="bothSides">
              <wp:wrapPolygon edited="0">
                <wp:start x="0" y="0"/>
                <wp:lineTo x="0" y="21000"/>
                <wp:lineTo x="21439" y="21000"/>
                <wp:lineTo x="21439" y="0"/>
                <wp:lineTo x="0" y="0"/>
              </wp:wrapPolygon>
            </wp:wrapTight>
            <wp:docPr id="15173982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98221" name=""/>
                    <pic:cNvPicPr/>
                  </pic:nvPicPr>
                  <pic:blipFill>
                    <a:blip r:embed="rId7">
                      <a:extLst>
                        <a:ext uri="{28A0092B-C50C-407E-A947-70E740481C1C}">
                          <a14:useLocalDpi xmlns:a14="http://schemas.microsoft.com/office/drawing/2010/main" val="0"/>
                        </a:ext>
                      </a:extLst>
                    </a:blip>
                    <a:stretch>
                      <a:fillRect/>
                    </a:stretch>
                  </pic:blipFill>
                  <pic:spPr>
                    <a:xfrm>
                      <a:off x="0" y="0"/>
                      <a:ext cx="2552700" cy="685800"/>
                    </a:xfrm>
                    <a:prstGeom prst="rect">
                      <a:avLst/>
                    </a:prstGeom>
                  </pic:spPr>
                </pic:pic>
              </a:graphicData>
            </a:graphic>
          </wp:anchor>
        </w:drawing>
      </w:r>
    </w:p>
    <w:p w14:paraId="2A98B372" w14:textId="31797C16" w:rsidR="003D3B2A" w:rsidRDefault="003D3B2A" w:rsidP="003D3B2A">
      <w:pPr>
        <w:spacing w:after="0" w:line="240" w:lineRule="auto"/>
        <w:jc w:val="both"/>
        <w:rPr>
          <w:rFonts w:ascii="Verdana" w:eastAsia="Calibri" w:hAnsi="Verdana" w:cs="Arial"/>
          <w:lang w:eastAsia="es-ES"/>
        </w:rPr>
      </w:pPr>
    </w:p>
    <w:p w14:paraId="305CE66C" w14:textId="373103FA" w:rsidR="003D3B2A" w:rsidRDefault="003D3B2A" w:rsidP="00BE340E">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3727A2BF" w14:textId="0CD51AC0" w:rsidR="00BE340E" w:rsidRPr="00BE340E" w:rsidRDefault="00BE340E" w:rsidP="00BE340E">
      <w:pPr>
        <w:spacing w:after="0" w:line="240" w:lineRule="auto"/>
        <w:jc w:val="both"/>
        <w:rPr>
          <w:rFonts w:ascii="Verdana" w:eastAsia="Calibri" w:hAnsi="Verdana" w:cs="Arial"/>
          <w:b/>
          <w:bCs/>
          <w:lang w:eastAsia="es-ES"/>
        </w:rPr>
      </w:pPr>
      <w:r w:rsidRPr="00BE340E">
        <w:rPr>
          <w:rFonts w:ascii="Verdana" w:eastAsia="Calibri" w:hAnsi="Verdana" w:cs="Arial"/>
          <w:b/>
          <w:bCs/>
          <w:lang w:eastAsia="es-ES"/>
        </w:rPr>
        <w:t>Juan Sebastián Sanabria Parra</w:t>
      </w:r>
    </w:p>
    <w:p w14:paraId="7700913A" w14:textId="268CBEA7" w:rsidR="003D3B2A" w:rsidRPr="000F2158" w:rsidRDefault="00BE340E" w:rsidP="003D3B2A">
      <w:pPr>
        <w:spacing w:after="0" w:line="240" w:lineRule="auto"/>
        <w:jc w:val="both"/>
        <w:rPr>
          <w:rFonts w:ascii="Verdana" w:eastAsia="Calibri" w:hAnsi="Verdana" w:cs="Arial"/>
          <w:b/>
          <w:highlight w:val="yellow"/>
          <w:lang w:eastAsia="es-ES_tradnl"/>
        </w:rPr>
      </w:pPr>
      <w:hyperlink r:id="rId8" w:history="1">
        <w:r w:rsidRPr="00EC7A54">
          <w:rPr>
            <w:rStyle w:val="Hipervnculo"/>
            <w:rFonts w:ascii="Verdana" w:eastAsia="Calibri" w:hAnsi="Verdana" w:cs="Arial"/>
            <w:b/>
            <w:lang w:eastAsia="es-ES_tradnl"/>
          </w:rPr>
          <w:t>juans.sanabria@gobiernobogota.gov.co</w:t>
        </w:r>
      </w:hyperlink>
      <w:r>
        <w:rPr>
          <w:rFonts w:ascii="Verdana" w:eastAsia="Calibri" w:hAnsi="Verdana" w:cs="Arial"/>
          <w:b/>
          <w:lang w:eastAsia="es-ES_tradnl"/>
        </w:rPr>
        <w:t xml:space="preserve"> </w:t>
      </w:r>
    </w:p>
    <w:p w14:paraId="6BD04FA9" w14:textId="268AE047" w:rsidR="003D3B2A" w:rsidRPr="004E1BE4" w:rsidRDefault="003D3B2A" w:rsidP="003D3B2A">
      <w:pPr>
        <w:spacing w:after="0" w:line="240" w:lineRule="auto"/>
        <w:jc w:val="both"/>
        <w:rPr>
          <w:rFonts w:ascii="Verdana" w:eastAsia="Calibri" w:hAnsi="Verdana" w:cs="Arial"/>
          <w:bCs/>
          <w:lang w:eastAsia="es-ES_tradnl"/>
        </w:rPr>
      </w:pPr>
      <w:r>
        <w:rPr>
          <w:rFonts w:ascii="Verdana" w:eastAsia="Calibri" w:hAnsi="Verdana" w:cs="Arial"/>
          <w:bCs/>
          <w:lang w:eastAsia="es-ES_tradnl"/>
        </w:rPr>
        <w:t>C</w:t>
      </w:r>
      <w:r w:rsidR="00BE340E">
        <w:rPr>
          <w:rFonts w:ascii="Verdana" w:eastAsia="Calibri" w:hAnsi="Verdana" w:cs="Arial"/>
          <w:bCs/>
          <w:lang w:eastAsia="es-ES_tradnl"/>
        </w:rPr>
        <w:t>iudad</w:t>
      </w:r>
    </w:p>
    <w:p w14:paraId="318CEE52" w14:textId="77777777" w:rsidR="003D3B2A" w:rsidRPr="005B4C57" w:rsidRDefault="003D3B2A" w:rsidP="003D3B2A">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D3B2A" w:rsidRPr="002842E0" w14:paraId="6979FD41" w14:textId="77777777" w:rsidTr="00FC404B">
        <w:trPr>
          <w:trHeight w:val="162"/>
        </w:trPr>
        <w:tc>
          <w:tcPr>
            <w:tcW w:w="3119" w:type="dxa"/>
          </w:tcPr>
          <w:p w14:paraId="069F973C" w14:textId="77777777" w:rsidR="003D3B2A" w:rsidRPr="005B4C57" w:rsidRDefault="003D3B2A" w:rsidP="00FC404B">
            <w:pPr>
              <w:jc w:val="both"/>
              <w:rPr>
                <w:rFonts w:ascii="Verdana" w:eastAsia="Calibri" w:hAnsi="Verdana" w:cs="Arial"/>
                <w:b/>
                <w:bCs/>
                <w:color w:val="7030A0"/>
                <w:lang w:val="it-CH" w:eastAsia="es-ES_tradnl"/>
              </w:rPr>
            </w:pPr>
          </w:p>
        </w:tc>
        <w:tc>
          <w:tcPr>
            <w:tcW w:w="5670" w:type="dxa"/>
          </w:tcPr>
          <w:p w14:paraId="33798B4D" w14:textId="51D7F6DA" w:rsidR="003D3B2A" w:rsidRPr="00801462" w:rsidRDefault="003D3B2A" w:rsidP="00FC404B">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sidR="00BE340E">
              <w:rPr>
                <w:rFonts w:ascii="Verdana" w:eastAsia="Calibri" w:hAnsi="Verdana" w:cs="Arial"/>
                <w:b/>
                <w:bCs/>
                <w:lang w:eastAsia="es-ES"/>
              </w:rPr>
              <w:t>393</w:t>
            </w:r>
            <w:r>
              <w:rPr>
                <w:rFonts w:ascii="Verdana" w:eastAsia="Calibri" w:hAnsi="Verdana" w:cs="Arial"/>
                <w:b/>
                <w:bCs/>
                <w:lang w:eastAsia="es-ES"/>
              </w:rPr>
              <w:t xml:space="preserve"> de 2026</w:t>
            </w:r>
          </w:p>
          <w:p w14:paraId="58E1CCC8" w14:textId="77777777" w:rsidR="003D3B2A" w:rsidRPr="00801462" w:rsidRDefault="003D3B2A" w:rsidP="00FC404B">
            <w:pPr>
              <w:jc w:val="both"/>
              <w:rPr>
                <w:rFonts w:ascii="Verdana" w:eastAsia="Calibri" w:hAnsi="Verdana" w:cs="Arial"/>
                <w:b/>
                <w:bCs/>
                <w:color w:val="7030A0"/>
                <w:lang w:eastAsia="es-ES"/>
              </w:rPr>
            </w:pPr>
          </w:p>
        </w:tc>
      </w:tr>
      <w:tr w:rsidR="003D3B2A" w:rsidRPr="002842E0" w14:paraId="3848D407" w14:textId="77777777" w:rsidTr="00FC404B">
        <w:trPr>
          <w:trHeight w:val="884"/>
        </w:trPr>
        <w:tc>
          <w:tcPr>
            <w:tcW w:w="3119" w:type="dxa"/>
          </w:tcPr>
          <w:p w14:paraId="07F59656" w14:textId="77777777" w:rsidR="003D3B2A" w:rsidRPr="00801462" w:rsidRDefault="003D3B2A" w:rsidP="00FC404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5DF2BC79" w14:textId="2D0AE3B4" w:rsidR="003D3B2A" w:rsidRDefault="00071CEC" w:rsidP="00071CEC">
            <w:pPr>
              <w:spacing w:line="276" w:lineRule="auto"/>
              <w:jc w:val="both"/>
              <w:rPr>
                <w:rFonts w:ascii="Verdana" w:hAnsi="Verdana" w:cs="Arial"/>
                <w:bCs/>
                <w:color w:val="000000"/>
                <w:kern w:val="2"/>
                <w:lang w:val="es-MX"/>
                <w14:ligatures w14:val="standardContextual"/>
              </w:rPr>
            </w:pPr>
            <w:r w:rsidRPr="00BE364D">
              <w:rPr>
                <w:rFonts w:ascii="Verdana" w:eastAsia="Calibri" w:hAnsi="Verdana" w:cs="Arial"/>
                <w:lang w:val="es-ES" w:eastAsia="es-ES"/>
              </w:rPr>
              <w:t>CONTRATO DE COMODATO – Reglas vigentes</w:t>
            </w:r>
            <w:r>
              <w:rPr>
                <w:rFonts w:ascii="Verdana" w:eastAsia="Calibri" w:hAnsi="Verdana" w:cs="Arial"/>
                <w:lang w:val="es-ES" w:eastAsia="es-ES"/>
              </w:rPr>
              <w:t xml:space="preserve"> /</w:t>
            </w:r>
            <w:r w:rsidR="004A389B" w:rsidRPr="002E76E6">
              <w:rPr>
                <w:rFonts w:ascii="Verdana" w:eastAsia="Calibri" w:hAnsi="Verdana" w:cs="Arial"/>
                <w:lang w:val="es-ES" w:eastAsia="es-ES"/>
              </w:rPr>
              <w:t xml:space="preserve"> LEY DE GARANTÍAS ELECTORALES ‒ </w:t>
            </w:r>
            <w:r w:rsidR="00CB10C0" w:rsidRPr="00066823">
              <w:rPr>
                <w:rFonts w:ascii="Verdana" w:eastAsia="Calibri" w:hAnsi="Verdana" w:cs="Arial"/>
                <w:lang w:val="es-MX"/>
              </w:rPr>
              <w:t>Prohibición artículo 33 ‒ Contratación directa ‒ Alcanc</w:t>
            </w:r>
            <w:r w:rsidR="00A7445E">
              <w:rPr>
                <w:rFonts w:ascii="Verdana" w:eastAsia="Calibri" w:hAnsi="Verdana" w:cs="Arial"/>
                <w:lang w:val="es-MX"/>
              </w:rPr>
              <w:t>e</w:t>
            </w:r>
            <w:r w:rsidR="004A389B" w:rsidRPr="002E76E6">
              <w:rPr>
                <w:rFonts w:ascii="Verdana" w:eastAsia="Calibri" w:hAnsi="Verdana" w:cs="Arial"/>
                <w:lang w:val="es-ES" w:eastAsia="es-ES"/>
              </w:rPr>
              <w:t xml:space="preserve"> </w:t>
            </w:r>
            <w:r w:rsidR="00A76850">
              <w:rPr>
                <w:rFonts w:ascii="Verdana" w:eastAsia="Calibri" w:hAnsi="Verdana" w:cs="Arial"/>
                <w:lang w:val="es-ES" w:eastAsia="es-ES"/>
              </w:rPr>
              <w:t xml:space="preserve">/ </w:t>
            </w:r>
            <w:r w:rsidR="008E462A" w:rsidRPr="00066823">
              <w:rPr>
                <w:rFonts w:ascii="Verdana" w:eastAsia="Calibri" w:hAnsi="Verdana" w:cs="Arial"/>
                <w:lang w:val="es-MX"/>
              </w:rPr>
              <w:t xml:space="preserve">LEY DE GARANTÍAS ELECTORALES ─ Prohibición artículo 38 ‒ Convenios interadministrativos / </w:t>
            </w:r>
            <w:r w:rsidR="008E462A" w:rsidRPr="00066823">
              <w:rPr>
                <w:rFonts w:ascii="Verdana" w:hAnsi="Verdana" w:cs="Arial"/>
                <w:lang w:eastAsia="es-ES"/>
              </w:rPr>
              <w:t>CONVENIOS SOLIDARIOS</w:t>
            </w:r>
            <w:r w:rsidR="008E462A" w:rsidRPr="00066823">
              <w:rPr>
                <w:rFonts w:ascii="Verdana" w:hAnsi="Verdana" w:cs="Arial"/>
              </w:rPr>
              <w:t xml:space="preserve"> – </w:t>
            </w:r>
            <w:r w:rsidR="008E462A" w:rsidRPr="00066823">
              <w:rPr>
                <w:rFonts w:ascii="Verdana" w:eastAsia="Calibri" w:hAnsi="Verdana" w:cs="Arial"/>
                <w:lang w:val="es-ES"/>
              </w:rPr>
              <w:t xml:space="preserve">Regímenes de celebración – Juntas de Acción Comunal </w:t>
            </w:r>
            <w:r w:rsidR="008E462A" w:rsidRPr="00066823">
              <w:rPr>
                <w:rFonts w:ascii="Verdana" w:hAnsi="Verdana" w:cs="Arial"/>
              </w:rPr>
              <w:t xml:space="preserve">– Naturaleza jurídica – Aplicación de Ley de Garantías </w:t>
            </w:r>
            <w:r w:rsidR="004A389B" w:rsidRPr="002E76E6">
              <w:rPr>
                <w:rFonts w:ascii="Verdana" w:eastAsia="Calibri" w:hAnsi="Verdana" w:cs="Arial"/>
                <w:lang w:val="es-ES" w:eastAsia="es-ES"/>
              </w:rPr>
              <w:t xml:space="preserve">/ LEY DE GARANTÍAS ELECTORALES – Contratos y convenios interadministrativos – Criterio orgánico </w:t>
            </w:r>
          </w:p>
          <w:p w14:paraId="73950E0C" w14:textId="4E0AA471" w:rsidR="00044F7B" w:rsidRPr="00071CEC" w:rsidRDefault="00044F7B" w:rsidP="00071CEC">
            <w:pPr>
              <w:spacing w:line="276" w:lineRule="auto"/>
              <w:jc w:val="both"/>
              <w:rPr>
                <w:rFonts w:ascii="Verdana" w:eastAsia="Calibri" w:hAnsi="Verdana" w:cs="Arial"/>
                <w:lang w:val="es-ES" w:eastAsia="es-ES"/>
              </w:rPr>
            </w:pPr>
          </w:p>
        </w:tc>
      </w:tr>
      <w:tr w:rsidR="003D3B2A" w:rsidRPr="002842E0" w14:paraId="4BBBCAF7" w14:textId="77777777" w:rsidTr="00FC404B">
        <w:tc>
          <w:tcPr>
            <w:tcW w:w="3119" w:type="dxa"/>
          </w:tcPr>
          <w:p w14:paraId="5CFAD926" w14:textId="77777777" w:rsidR="003D3B2A" w:rsidRPr="00801462" w:rsidRDefault="003D3B2A" w:rsidP="00FC404B">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E696105" w14:textId="290E4F3F" w:rsidR="003D3B2A" w:rsidRPr="00C84654" w:rsidRDefault="003D3B2A" w:rsidP="00FC404B">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00044F7B" w:rsidRPr="00044F7B">
              <w:rPr>
                <w:rFonts w:ascii="Verdana" w:eastAsia="Calibri" w:hAnsi="Verdana" w:cs="Arial"/>
                <w:lang w:eastAsia="es-ES_tradnl"/>
              </w:rPr>
              <w:t>1_2026_03_11_003407</w:t>
            </w:r>
            <w:r w:rsidR="00044F7B">
              <w:rPr>
                <w:rFonts w:ascii="Verdana" w:eastAsia="Calibri" w:hAnsi="Verdana" w:cs="Arial"/>
                <w:lang w:eastAsia="es-ES_tradnl"/>
              </w:rPr>
              <w:t xml:space="preserve"> </w:t>
            </w:r>
          </w:p>
        </w:tc>
      </w:tr>
    </w:tbl>
    <w:p w14:paraId="7E6650E0" w14:textId="77777777" w:rsidR="003D3B2A" w:rsidRDefault="003D3B2A" w:rsidP="003D3B2A">
      <w:pPr>
        <w:spacing w:after="0" w:line="276" w:lineRule="auto"/>
        <w:jc w:val="both"/>
        <w:rPr>
          <w:rFonts w:ascii="Verdana" w:eastAsia="Calibri" w:hAnsi="Verdana" w:cs="Arial"/>
          <w:lang w:eastAsia="es-ES_tradnl"/>
        </w:rPr>
      </w:pPr>
    </w:p>
    <w:p w14:paraId="363997D6" w14:textId="1264F68F" w:rsidR="003D3B2A" w:rsidRPr="008E4F36" w:rsidRDefault="003D3B2A" w:rsidP="003D3B2A">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sidR="00BE340E">
        <w:rPr>
          <w:rFonts w:ascii="Verdana" w:eastAsia="Calibri" w:hAnsi="Verdana" w:cs="Arial"/>
          <w:bCs/>
          <w:lang w:eastAsia="es-ES_tradnl"/>
        </w:rPr>
        <w:t>Sanabria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5A82CD53" w14:textId="77777777" w:rsidR="003D3B2A" w:rsidRDefault="003D3B2A" w:rsidP="003D3B2A">
      <w:pPr>
        <w:tabs>
          <w:tab w:val="left" w:pos="3768"/>
        </w:tabs>
        <w:spacing w:after="0" w:line="240" w:lineRule="auto"/>
        <w:jc w:val="both"/>
        <w:rPr>
          <w:rFonts w:ascii="Verdana" w:eastAsia="Calibri" w:hAnsi="Verdana" w:cs="Arial"/>
          <w:lang w:eastAsia="es-ES"/>
        </w:rPr>
      </w:pPr>
    </w:p>
    <w:p w14:paraId="670BC829" w14:textId="56A5E40D" w:rsidR="003D3B2A" w:rsidRPr="008E4F36" w:rsidRDefault="003D3B2A" w:rsidP="003D3B2A">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w:t>
      </w:r>
      <w:r w:rsidR="00BE340E">
        <w:rPr>
          <w:rFonts w:ascii="Verdana" w:eastAsia="Calibri" w:hAnsi="Verdana" w:cs="Arial"/>
          <w:lang w:eastAsia="es-ES"/>
        </w:rPr>
        <w:t>1</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4A0AB306" w14:textId="77777777" w:rsidR="003D3B2A" w:rsidRPr="008C54F3" w:rsidRDefault="003D3B2A" w:rsidP="003D3B2A">
      <w:pPr>
        <w:spacing w:line="240" w:lineRule="auto"/>
        <w:ind w:left="709" w:right="709"/>
        <w:jc w:val="both"/>
        <w:rPr>
          <w:rFonts w:ascii="Verdana" w:eastAsia="Calibri" w:hAnsi="Verdana" w:cs="Arial"/>
          <w:color w:val="000000" w:themeColor="text1"/>
          <w:sz w:val="20"/>
          <w:szCs w:val="20"/>
        </w:rPr>
      </w:pPr>
    </w:p>
    <w:p w14:paraId="747CBE86" w14:textId="7188C9B9" w:rsidR="003D3B2A" w:rsidRPr="00453E03" w:rsidRDefault="003D3B2A" w:rsidP="003D3B2A">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3D3B2A">
        <w:rPr>
          <w:rFonts w:ascii="Verdana" w:eastAsia="Calibri" w:hAnsi="Verdana" w:cs="Arial"/>
          <w:i/>
          <w:iCs/>
          <w:color w:val="000000" w:themeColor="text1"/>
          <w:sz w:val="20"/>
          <w:szCs w:val="20"/>
        </w:rPr>
        <w:t xml:space="preserve">solicitamos como alcaldía de Bosa, concepto de CCE para realizar contratos de contratos comodatos en </w:t>
      </w:r>
      <w:proofErr w:type="spellStart"/>
      <w:r w:rsidRPr="003D3B2A">
        <w:rPr>
          <w:rFonts w:ascii="Verdana" w:eastAsia="Calibri" w:hAnsi="Verdana" w:cs="Arial"/>
          <w:i/>
          <w:iCs/>
          <w:color w:val="000000" w:themeColor="text1"/>
          <w:sz w:val="20"/>
          <w:szCs w:val="20"/>
        </w:rPr>
        <w:t>secop</w:t>
      </w:r>
      <w:proofErr w:type="spellEnd"/>
      <w:r w:rsidRPr="003D3B2A">
        <w:rPr>
          <w:rFonts w:ascii="Verdana" w:eastAsia="Calibri" w:hAnsi="Verdana" w:cs="Arial"/>
          <w:i/>
          <w:iCs/>
          <w:color w:val="000000" w:themeColor="text1"/>
          <w:sz w:val="20"/>
          <w:szCs w:val="20"/>
        </w:rPr>
        <w:t xml:space="preserve"> II, a modo gratuito, para las juntas de acción comunal locales, Por ley de garantías, el concepto debe ser argumentado juridicialmente, si es viable la </w:t>
      </w:r>
      <w:proofErr w:type="spellStart"/>
      <w:r w:rsidRPr="003D3B2A">
        <w:rPr>
          <w:rFonts w:ascii="Verdana" w:eastAsia="Calibri" w:hAnsi="Verdana" w:cs="Arial"/>
          <w:i/>
          <w:iCs/>
          <w:color w:val="000000" w:themeColor="text1"/>
          <w:sz w:val="20"/>
          <w:szCs w:val="20"/>
        </w:rPr>
        <w:t>creacion</w:t>
      </w:r>
      <w:proofErr w:type="spellEnd"/>
      <w:r w:rsidRPr="003D3B2A">
        <w:rPr>
          <w:rFonts w:ascii="Verdana" w:eastAsia="Calibri" w:hAnsi="Verdana" w:cs="Arial"/>
          <w:i/>
          <w:iCs/>
          <w:color w:val="000000" w:themeColor="text1"/>
          <w:sz w:val="20"/>
          <w:szCs w:val="20"/>
        </w:rPr>
        <w:t xml:space="preserve"> de contratos de comodato en </w:t>
      </w:r>
      <w:proofErr w:type="spellStart"/>
      <w:proofErr w:type="gramStart"/>
      <w:r w:rsidRPr="003D3B2A">
        <w:rPr>
          <w:rFonts w:ascii="Verdana" w:eastAsia="Calibri" w:hAnsi="Verdana" w:cs="Arial"/>
          <w:i/>
          <w:iCs/>
          <w:color w:val="000000" w:themeColor="text1"/>
          <w:sz w:val="20"/>
          <w:szCs w:val="20"/>
        </w:rPr>
        <w:t>secop.gracias</w:t>
      </w:r>
      <w:proofErr w:type="spellEnd"/>
      <w:proofErr w:type="gramEnd"/>
      <w:r>
        <w:rPr>
          <w:rFonts w:ascii="Verdana" w:eastAsia="Calibri" w:hAnsi="Verdana" w:cs="Arial"/>
          <w:i/>
          <w:iCs/>
          <w:color w:val="000000" w:themeColor="text1"/>
          <w:sz w:val="20"/>
          <w:szCs w:val="20"/>
        </w:rPr>
        <w:t xml:space="preserve"> </w:t>
      </w:r>
      <w:r w:rsidRPr="008C54F3">
        <w:rPr>
          <w:rFonts w:ascii="Verdana" w:eastAsia="Calibri" w:hAnsi="Verdana" w:cs="Arial"/>
          <w:i/>
          <w:iCs/>
          <w:color w:val="000000" w:themeColor="text1"/>
          <w:sz w:val="20"/>
          <w:szCs w:val="20"/>
        </w:rPr>
        <w:t>.”</w:t>
      </w:r>
    </w:p>
    <w:p w14:paraId="70A60AB2" w14:textId="77777777" w:rsidR="003D3B2A" w:rsidRDefault="003D3B2A" w:rsidP="003D3B2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CF53DC9" w14:textId="77777777" w:rsidR="003D3B2A" w:rsidRPr="00054383" w:rsidRDefault="003D3B2A" w:rsidP="003D3B2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575009E1" w14:textId="77777777" w:rsidR="003D3B2A" w:rsidRPr="008E4F36" w:rsidRDefault="003D3B2A" w:rsidP="003D3B2A">
      <w:pPr>
        <w:spacing w:after="0"/>
        <w:ind w:firstLine="709"/>
        <w:jc w:val="both"/>
        <w:rPr>
          <w:rFonts w:ascii="Verdana" w:eastAsia="Calibri" w:hAnsi="Verdana" w:cs="Arial"/>
          <w:color w:val="000000"/>
          <w:lang w:eastAsia="es-ES"/>
        </w:rPr>
      </w:pPr>
    </w:p>
    <w:p w14:paraId="3497EFFB" w14:textId="77777777" w:rsidR="003D3B2A" w:rsidRDefault="003D3B2A" w:rsidP="003D3B2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43DE3199" w14:textId="77777777" w:rsidR="003D3B2A" w:rsidRDefault="003D3B2A" w:rsidP="003D3B2A">
      <w:pPr>
        <w:spacing w:after="0" w:line="276" w:lineRule="auto"/>
        <w:jc w:val="both"/>
        <w:rPr>
          <w:rFonts w:ascii="Verdana" w:eastAsia="Calibri" w:hAnsi="Verdana" w:cs="Arial"/>
          <w:color w:val="000000"/>
          <w:highlight w:val="yellow"/>
          <w:lang w:eastAsia="es-ES"/>
        </w:rPr>
      </w:pPr>
    </w:p>
    <w:p w14:paraId="3E218403" w14:textId="06FF67CD" w:rsidR="003D3B2A" w:rsidRPr="005A3B40" w:rsidRDefault="003D3B2A" w:rsidP="003D3B2A">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008B187C" w:rsidRPr="008B187C">
        <w:t xml:space="preserve"> </w:t>
      </w:r>
      <w:r w:rsidR="008B187C" w:rsidRPr="008B187C">
        <w:rPr>
          <w:rFonts w:ascii="Verdana" w:eastAsia="Calibri" w:hAnsi="Verdana" w:cs="Arial"/>
          <w:color w:val="000000"/>
          <w:lang w:eastAsia="es-ES"/>
        </w:rPr>
        <w:t xml:space="preserve">¿Puede </w:t>
      </w:r>
      <w:r w:rsidR="008B187C">
        <w:rPr>
          <w:rFonts w:ascii="Verdana" w:eastAsia="Calibri" w:hAnsi="Verdana" w:cs="Arial"/>
          <w:color w:val="000000"/>
          <w:lang w:eastAsia="es-ES"/>
        </w:rPr>
        <w:t>una alcaldía local</w:t>
      </w:r>
      <w:r w:rsidR="00D613B7">
        <w:rPr>
          <w:rFonts w:ascii="Verdana" w:eastAsia="Calibri" w:hAnsi="Verdana" w:cs="Arial"/>
          <w:color w:val="000000"/>
          <w:lang w:eastAsia="es-ES"/>
        </w:rPr>
        <w:t xml:space="preserve"> </w:t>
      </w:r>
      <w:r w:rsidR="008B187C" w:rsidRPr="008B187C">
        <w:rPr>
          <w:rFonts w:ascii="Verdana" w:eastAsia="Calibri" w:hAnsi="Verdana" w:cs="Arial"/>
          <w:color w:val="000000"/>
          <w:lang w:eastAsia="es-ES"/>
        </w:rPr>
        <w:t>celebrar contratos de comodato a título gratuito con Juntas de Acción Comunal y publicarlos en SECOP II durante la vigencia de la Ley de Garantías Electorales?</w:t>
      </w:r>
    </w:p>
    <w:p w14:paraId="26D2413B" w14:textId="77777777" w:rsidR="003D3B2A" w:rsidRPr="00BF422F" w:rsidRDefault="003D3B2A" w:rsidP="003D3B2A">
      <w:pPr>
        <w:spacing w:after="0" w:line="276" w:lineRule="auto"/>
        <w:jc w:val="both"/>
        <w:rPr>
          <w:rFonts w:ascii="Verdana" w:eastAsia="Calibri" w:hAnsi="Verdana" w:cs="Times New Roman"/>
          <w:i/>
          <w:iCs/>
          <w:lang w:val="es-ES"/>
        </w:rPr>
      </w:pPr>
    </w:p>
    <w:p w14:paraId="6B1D3B9D" w14:textId="77777777" w:rsidR="003D3B2A" w:rsidRPr="008E4F36" w:rsidRDefault="003D3B2A" w:rsidP="003D3B2A">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B84E54D" w14:textId="77777777" w:rsidR="003D3B2A" w:rsidRPr="008E4F36" w:rsidRDefault="003D3B2A" w:rsidP="003D3B2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D3B2A" w:rsidRPr="008E4F36" w14:paraId="55544EDB" w14:textId="77777777" w:rsidTr="00FC404B">
        <w:tc>
          <w:tcPr>
            <w:tcW w:w="8828" w:type="dxa"/>
          </w:tcPr>
          <w:p w14:paraId="1B1F27B3" w14:textId="6D761CCB" w:rsidR="00675D47" w:rsidRPr="00675D47" w:rsidRDefault="00E31542" w:rsidP="00675D47">
            <w:pPr>
              <w:spacing w:after="120" w:line="276" w:lineRule="auto"/>
              <w:jc w:val="both"/>
              <w:rPr>
                <w:rFonts w:ascii="Verdana" w:hAnsi="Verdana" w:cs="Arial"/>
                <w:color w:val="000000" w:themeColor="text1"/>
              </w:rPr>
            </w:pPr>
            <w:r>
              <w:rPr>
                <w:rFonts w:ascii="Verdana" w:eastAsia="Calibri" w:hAnsi="Verdana" w:cs="Arial"/>
              </w:rPr>
              <w:t xml:space="preserve">En atención al problema jurídico planteado, en primer </w:t>
            </w:r>
            <w:r w:rsidRPr="00B1272A">
              <w:rPr>
                <w:rFonts w:ascii="Verdana" w:eastAsia="Calibri" w:hAnsi="Verdana" w:cs="Arial"/>
              </w:rPr>
              <w:t>lugar,</w:t>
            </w:r>
            <w:r>
              <w:rPr>
                <w:rFonts w:ascii="Verdana" w:eastAsia="Calibri" w:hAnsi="Verdana" w:cs="Arial"/>
              </w:rPr>
              <w:t xml:space="preserve"> es necesario indicar que l</w:t>
            </w:r>
            <w:r w:rsidRPr="00875867">
              <w:rPr>
                <w:rFonts w:ascii="Verdana" w:eastAsia="Calibri" w:hAnsi="Verdana" w:cs="Arial"/>
              </w:rPr>
              <w:t>a Ley de Garantías Electorales (Ley 996 de 2005) establece restricciones en materia contractual en época preelectoral, dirigidas principalmente a evitar el uso político de los recursos públicos. Existen dos prohibiciones centrales: (i) la contenida en el artículo 33, que aplica a elecciones presidenciales y prohíbe la contratación directa dentro de los cuatro meses previos a los comicios, salvo excepciones taxativas, y (</w:t>
            </w:r>
            <w:proofErr w:type="spellStart"/>
            <w:r w:rsidRPr="00875867">
              <w:rPr>
                <w:rFonts w:ascii="Verdana" w:eastAsia="Calibri" w:hAnsi="Verdana" w:cs="Arial"/>
              </w:rPr>
              <w:t>ii</w:t>
            </w:r>
            <w:proofErr w:type="spellEnd"/>
            <w:r w:rsidRPr="00875867">
              <w:rPr>
                <w:rFonts w:ascii="Verdana" w:eastAsia="Calibri" w:hAnsi="Verdana" w:cs="Arial"/>
              </w:rPr>
              <w:t xml:space="preserve">) la del parágrafo del artículo 38, que recae sobre gobernadores, alcaldes y directores </w:t>
            </w:r>
            <w:r w:rsidRPr="00875867">
              <w:rPr>
                <w:rFonts w:ascii="Verdana" w:eastAsia="Calibri" w:hAnsi="Verdana" w:cs="Arial"/>
              </w:rPr>
              <w:lastRenderedPageBreak/>
              <w:t>de entidades descentralizadas, respecto de la celebración de convenios interadministrativos de ejecución de recursos públicos dentro de los cuatro meses anteriores a elecciones locales o regionales</w:t>
            </w:r>
            <w:r w:rsidR="00675D47" w:rsidRPr="00675D47">
              <w:rPr>
                <w:rFonts w:ascii="Verdana" w:hAnsi="Verdana" w:cs="Arial"/>
                <w:color w:val="000000" w:themeColor="text1"/>
              </w:rPr>
              <w:t>.</w:t>
            </w:r>
          </w:p>
          <w:p w14:paraId="601AD78F" w14:textId="128B3DE3" w:rsidR="00735621" w:rsidRDefault="00675D47" w:rsidP="007D2D57">
            <w:pPr>
              <w:spacing w:after="120" w:line="276" w:lineRule="auto"/>
              <w:ind w:firstLine="709"/>
              <w:jc w:val="both"/>
              <w:rPr>
                <w:rFonts w:ascii="Verdana" w:hAnsi="Verdana" w:cs="Arial"/>
                <w:color w:val="000000" w:themeColor="text1"/>
              </w:rPr>
            </w:pPr>
            <w:r w:rsidRPr="00675D47">
              <w:rPr>
                <w:rFonts w:ascii="Verdana" w:hAnsi="Verdana" w:cs="Arial"/>
                <w:color w:val="000000" w:themeColor="text1"/>
              </w:rPr>
              <w:t xml:space="preserve">Ahora bien, antes de abordar la aplicación de estas restricciones, es importante precisar la naturaleza jurídica del contrato de comodato. Se trata de un contrato regulado por el Código Civil, de carácter real, unilateral y gratuito, mediante el cual una parte entrega a otra un bien para su uso, con la obligación de restituirlo una vez finalice el término o el uso convenido. En el ámbito de la contratación estatal, el comodato no implica transferencia del dominio ni genera una contraprestación económica, por lo que no comporta, en principio, ejecución de recursos públicos. </w:t>
            </w:r>
          </w:p>
          <w:p w14:paraId="5A8D3188" w14:textId="37599704" w:rsidR="007116D8" w:rsidRPr="00735621" w:rsidRDefault="00EB4EFE" w:rsidP="002A2314">
            <w:pPr>
              <w:spacing w:after="120" w:line="276" w:lineRule="auto"/>
              <w:ind w:firstLine="709"/>
              <w:jc w:val="both"/>
              <w:rPr>
                <w:rFonts w:ascii="Verdana" w:eastAsia="Calibri" w:hAnsi="Verdana" w:cs="Arial"/>
                <w:color w:val="000000" w:themeColor="text1"/>
                <w:lang w:val="es-ES"/>
              </w:rPr>
            </w:pPr>
            <w:r w:rsidRPr="00926955">
              <w:rPr>
                <w:rFonts w:ascii="Verdana" w:eastAsia="Calibri" w:hAnsi="Verdana" w:cs="Arial"/>
                <w:color w:val="000000" w:themeColor="text1"/>
              </w:rPr>
              <w:t>Conforme a lo anterior</w:t>
            </w:r>
            <w:r w:rsidR="002A2314" w:rsidRPr="00926955">
              <w:rPr>
                <w:rFonts w:ascii="Verdana" w:eastAsia="Calibri" w:hAnsi="Verdana" w:cs="Arial"/>
                <w:color w:val="000000" w:themeColor="text1"/>
              </w:rPr>
              <w:t xml:space="preserve">, </w:t>
            </w:r>
            <w:r w:rsidR="00E84878" w:rsidRPr="00926955">
              <w:rPr>
                <w:rFonts w:ascii="Verdana" w:eastAsia="Calibri" w:hAnsi="Verdana" w:cs="Arial"/>
                <w:color w:val="000000" w:themeColor="text1"/>
              </w:rPr>
              <w:t>durante los cuatro (4) meses anteriores a la elección presidencial y hasta la realización de la elección en la segunda vuelta, si fuere el caso, </w:t>
            </w:r>
            <w:r w:rsidR="00926955" w:rsidRPr="00926955">
              <w:rPr>
                <w:rFonts w:ascii="Verdana" w:eastAsia="Calibri" w:hAnsi="Verdana" w:cs="Arial"/>
                <w:color w:val="000000" w:themeColor="text1"/>
              </w:rPr>
              <w:t>el artículo 33 de la Ley 996 de 2005 establece la prohibición de celebrar contratos mediante la modalidad de contratación directa por parte de todos los entes del Estado, salvo las excepciones expresamente previstas en dicha disposición. En ese sentido, teniendo en cuenta que el contrato de comodato usualmente se perfecciona de manera directa, su celebración no resulta procedente durante dicho periodo, a menos que se configure alguno de los supuestos exceptivos previstos en la ley.</w:t>
            </w:r>
          </w:p>
          <w:p w14:paraId="00CC5FF2" w14:textId="7F2F3B99" w:rsidR="00735621" w:rsidRPr="00735621" w:rsidRDefault="00A90FF9" w:rsidP="00735621">
            <w:pPr>
              <w:spacing w:after="120" w:line="276" w:lineRule="auto"/>
              <w:ind w:firstLine="709"/>
              <w:jc w:val="both"/>
              <w:rPr>
                <w:rFonts w:ascii="Verdana" w:hAnsi="Verdana" w:cs="Arial"/>
                <w:color w:val="000000" w:themeColor="text1"/>
              </w:rPr>
            </w:pPr>
            <w:r>
              <w:rPr>
                <w:rFonts w:ascii="Verdana" w:hAnsi="Verdana" w:cs="Arial"/>
                <w:color w:val="000000" w:themeColor="text1"/>
              </w:rPr>
              <w:t>Por otro lado</w:t>
            </w:r>
            <w:r w:rsidR="00735621" w:rsidRPr="00735621">
              <w:rPr>
                <w:rFonts w:ascii="Verdana" w:hAnsi="Verdana" w:cs="Arial"/>
                <w:color w:val="000000" w:themeColor="text1"/>
              </w:rPr>
              <w:t>, el parágrafo del artículo 38 de la Ley 996 de 2005 establece una restricción específica para los gobernadores, alcaldes, secretarios y directivos de entidades descentralizadas del orden territorial, consistente en la prohibición de celebrar convenios interadministrativos para la ejecución de recursos públicos dentro de los cuatro (4) meses anteriores a cualquier elección. Sin embargo, esta restricción no resultaría aplicable a los contratos de comodato celebrados con Juntas de Acción Comunal, en la medida en que dichas organizaciones son personas jurídicas de derecho privado y, por tanto, el negocio jurídico no tiene naturaleza interadministrativa.</w:t>
            </w:r>
          </w:p>
          <w:p w14:paraId="3B8975F8" w14:textId="46BD54B4" w:rsidR="00735621" w:rsidRPr="00735621" w:rsidRDefault="00735621" w:rsidP="00735621">
            <w:pPr>
              <w:spacing w:after="120" w:line="276" w:lineRule="auto"/>
              <w:ind w:firstLine="709"/>
              <w:jc w:val="both"/>
              <w:rPr>
                <w:rFonts w:ascii="Verdana" w:hAnsi="Verdana" w:cs="Arial"/>
                <w:color w:val="000000" w:themeColor="text1"/>
              </w:rPr>
            </w:pPr>
            <w:r w:rsidRPr="00735621">
              <w:rPr>
                <w:rFonts w:ascii="Verdana" w:hAnsi="Verdana" w:cs="Arial"/>
                <w:color w:val="000000" w:themeColor="text1"/>
              </w:rPr>
              <w:t>En</w:t>
            </w:r>
            <w:r w:rsidR="00205FB1">
              <w:rPr>
                <w:rFonts w:ascii="Verdana" w:hAnsi="Verdana" w:cs="Arial"/>
                <w:color w:val="000000" w:themeColor="text1"/>
              </w:rPr>
              <w:t xml:space="preserve"> ese sentido</w:t>
            </w:r>
            <w:r w:rsidRPr="00735621">
              <w:rPr>
                <w:rFonts w:ascii="Verdana" w:hAnsi="Verdana" w:cs="Arial"/>
                <w:color w:val="000000" w:themeColor="text1"/>
              </w:rPr>
              <w:t xml:space="preserve">, desde una perspectiva general, la celebración de contratos de comodato entre una alcaldía local y una Junta de Acción Comunal durante la vigencia de la Ley de Garantías Electorales exige verificar, en cada caso concreto, si su suscripción implica o no una modalidad de contratación </w:t>
            </w:r>
            <w:r w:rsidRPr="00735621">
              <w:rPr>
                <w:rFonts w:ascii="Verdana" w:hAnsi="Verdana" w:cs="Arial"/>
                <w:color w:val="000000" w:themeColor="text1"/>
              </w:rPr>
              <w:lastRenderedPageBreak/>
              <w:t>directa comprendida en la prohibición del artículo 33 de la Ley 996 de 2005, así como analizar si su finalidad y condiciones respetan los principios de transparencia, moralidad administrativa e igualdad que orientan el régimen electoral.</w:t>
            </w:r>
          </w:p>
          <w:p w14:paraId="1448FE12" w14:textId="01CDA19B" w:rsidR="00735621" w:rsidRPr="00675D47" w:rsidRDefault="00BD65CA" w:rsidP="00F31604">
            <w:pPr>
              <w:spacing w:after="120" w:line="276" w:lineRule="auto"/>
              <w:ind w:firstLine="709"/>
              <w:jc w:val="both"/>
              <w:rPr>
                <w:rFonts w:ascii="Verdana" w:hAnsi="Verdana" w:cs="Arial"/>
                <w:color w:val="000000" w:themeColor="text1"/>
              </w:rPr>
            </w:pPr>
            <w:r>
              <w:rPr>
                <w:rFonts w:ascii="Verdana" w:hAnsi="Verdana" w:cs="Arial"/>
                <w:color w:val="000000" w:themeColor="text1"/>
              </w:rPr>
              <w:t>Así mismo</w:t>
            </w:r>
            <w:r w:rsidR="00735621" w:rsidRPr="00735621">
              <w:rPr>
                <w:rFonts w:ascii="Verdana" w:hAnsi="Verdana" w:cs="Arial"/>
                <w:color w:val="000000" w:themeColor="text1"/>
              </w:rPr>
              <w:t>, los contratos que celebren las entidades estatales deben cumplir con las obligaciones de publicidad y transparencia previstas en el sistema de compras públicas, por lo que, de celebrarse válidamente el contrato de comodato, este deberá ser publicado en el Sistema Electrónico para la Contratación Pública – SECOP II, conforme a las reglas generales de publicidad aplicables a la actividad contractual de las entidades estatales.</w:t>
            </w:r>
          </w:p>
          <w:p w14:paraId="69615059" w14:textId="192D56A4" w:rsidR="00BE340E" w:rsidRPr="00B70775" w:rsidRDefault="00BE340E" w:rsidP="00675D47">
            <w:pPr>
              <w:spacing w:after="120" w:line="276" w:lineRule="auto"/>
              <w:ind w:firstLine="709"/>
              <w:jc w:val="both"/>
              <w:rPr>
                <w:rFonts w:ascii="Verdana" w:hAnsi="Verdana" w:cs="Arial"/>
                <w:color w:val="000000" w:themeColor="text1"/>
              </w:rPr>
            </w:pPr>
            <w:r w:rsidRPr="00675D47">
              <w:rPr>
                <w:rFonts w:ascii="Verdana" w:hAnsi="Verdana" w:cs="Arial"/>
                <w:color w:val="000000" w:themeColor="text1"/>
              </w:rPr>
              <w:t>Finalment</w:t>
            </w:r>
            <w:r w:rsidR="00F31604">
              <w:rPr>
                <w:rFonts w:ascii="Verdana" w:hAnsi="Verdana" w:cs="Arial"/>
                <w:color w:val="000000" w:themeColor="text1"/>
              </w:rPr>
              <w:t>e</w:t>
            </w:r>
            <w:r w:rsidRPr="00675D47">
              <w:rPr>
                <w:rFonts w:ascii="Verdana" w:hAnsi="Verdana" w:cs="Arial"/>
                <w:color w:val="000000" w:themeColor="text1"/>
              </w:rPr>
              <w:t xml:space="preserve">, </w:t>
            </w:r>
            <w:r w:rsidRPr="00675D47">
              <w:rPr>
                <w:rFonts w:ascii="Verdana" w:eastAsia="Calibri" w:hAnsi="Verdana" w:cs="Arial"/>
                <w:szCs w:val="24"/>
                <w:lang w:eastAsia="es-ES_tradnl"/>
              </w:rPr>
              <w:t>corresponde a cada entidad estatal, en el marco de su autonomía y responsabilidad, analizar si la actividad contractual que pretende adelantar se enmarca efectivamente dentro de dicha excepción, lo cual exige verificar la existencia de una relación directa, necesaria y suficiente entre el objeto del contrato y los fines de defensa y seguridad del Estado, así como sustentar dicha decisión mediante una motivación adecuada, razonable y verificable, en concordancia con los principios de la contratación estatal.</w:t>
            </w:r>
          </w:p>
        </w:tc>
      </w:tr>
    </w:tbl>
    <w:p w14:paraId="1E621050" w14:textId="77777777" w:rsidR="003D3B2A" w:rsidRDefault="003D3B2A" w:rsidP="003D3B2A">
      <w:pPr>
        <w:tabs>
          <w:tab w:val="left" w:pos="142"/>
          <w:tab w:val="left" w:pos="284"/>
        </w:tabs>
        <w:spacing w:after="0" w:line="276" w:lineRule="auto"/>
        <w:jc w:val="both"/>
        <w:rPr>
          <w:rFonts w:ascii="Verdana" w:eastAsia="Century Gothic" w:hAnsi="Verdana" w:cs="Century Gothic"/>
          <w:b/>
          <w:bCs/>
        </w:rPr>
      </w:pPr>
    </w:p>
    <w:p w14:paraId="33187DFE" w14:textId="77777777" w:rsidR="003D3B2A" w:rsidRPr="008E4F36" w:rsidRDefault="003D3B2A" w:rsidP="003D3B2A">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4DA64434" w14:textId="77777777" w:rsidR="003D3B2A" w:rsidRDefault="003D3B2A" w:rsidP="003D3B2A">
      <w:pPr>
        <w:pStyle w:val="Prrafodelista"/>
        <w:tabs>
          <w:tab w:val="left" w:pos="142"/>
          <w:tab w:val="left" w:pos="284"/>
        </w:tabs>
        <w:spacing w:after="0" w:line="276" w:lineRule="auto"/>
        <w:ind w:left="0"/>
        <w:contextualSpacing w:val="0"/>
        <w:jc w:val="both"/>
        <w:rPr>
          <w:rFonts w:ascii="Verdana" w:eastAsia="Calibri" w:hAnsi="Verdana" w:cs="Arial"/>
        </w:rPr>
      </w:pPr>
    </w:p>
    <w:p w14:paraId="7E934AF0" w14:textId="77777777" w:rsidR="003D3B2A" w:rsidRDefault="003D3B2A" w:rsidP="003D3B2A">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9FB32EC" w14:textId="77777777" w:rsidR="00BE1CF0" w:rsidRDefault="00BE1CF0" w:rsidP="00071CEC">
      <w:pPr>
        <w:spacing w:after="120" w:line="276" w:lineRule="auto"/>
        <w:jc w:val="both"/>
        <w:rPr>
          <w:rFonts w:ascii="Verdana" w:eastAsia="Calibri" w:hAnsi="Verdana" w:cs="Arial"/>
          <w:color w:val="000000"/>
          <w:shd w:val="clear" w:color="auto" w:fill="FFFFFF"/>
          <w:lang w:val="es-ES"/>
        </w:rPr>
      </w:pPr>
    </w:p>
    <w:p w14:paraId="4CFBB01C" w14:textId="2EF78D79" w:rsidR="00071CEC" w:rsidRPr="00222802" w:rsidRDefault="003D3B2A" w:rsidP="00071CEC">
      <w:pPr>
        <w:spacing w:after="120" w:line="276" w:lineRule="auto"/>
        <w:jc w:val="both"/>
        <w:rPr>
          <w:rFonts w:ascii="Verdana" w:eastAsia="Calibri" w:hAnsi="Verdana" w:cs="Arial"/>
          <w:bCs/>
          <w:color w:val="000000" w:themeColor="text1"/>
        </w:rPr>
      </w:pPr>
      <w:r>
        <w:rPr>
          <w:rFonts w:ascii="Verdana" w:eastAsia="Calibri" w:hAnsi="Verdana" w:cs="Arial"/>
          <w:color w:val="000000" w:themeColor="text1"/>
          <w:lang w:val="es-ES_tradnl"/>
        </w:rPr>
        <w:t xml:space="preserve">i. </w:t>
      </w:r>
      <w:bookmarkStart w:id="4" w:name="_Hlk121750800"/>
      <w:bookmarkStart w:id="5" w:name="_Hlk204856061"/>
      <w:bookmarkStart w:id="6" w:name="_Hlk78820161"/>
      <w:bookmarkStart w:id="7" w:name="_Hlk204854194"/>
      <w:r w:rsidR="00071CEC" w:rsidRPr="00222802">
        <w:rPr>
          <w:rFonts w:ascii="Verdana" w:eastAsia="Calibri" w:hAnsi="Verdana" w:cs="Arial"/>
          <w:bCs/>
          <w:color w:val="000000" w:themeColor="text1"/>
        </w:rPr>
        <w:t xml:space="preserve">El comodato está previsto en el título XXIX del Código Civil, en cuyo artículo 2200 lo define como aquel en que </w:t>
      </w:r>
      <w:r w:rsidR="00071CEC">
        <w:rPr>
          <w:rFonts w:ascii="Verdana" w:eastAsia="Calibri" w:hAnsi="Verdana" w:cs="Arial"/>
          <w:bCs/>
          <w:color w:val="000000" w:themeColor="text1"/>
        </w:rPr>
        <w:t>“</w:t>
      </w:r>
      <w:r w:rsidR="00071CEC" w:rsidRPr="00222802">
        <w:rPr>
          <w:rFonts w:ascii="Verdana" w:eastAsia="Calibri" w:hAnsi="Verdana" w:cs="Arial"/>
          <w:bCs/>
          <w:color w:val="000000" w:themeColor="text1"/>
        </w:rPr>
        <w:t>[…] una de las partes entrega a la otra gratuitamente una especie mueble o raíz, para que haga uso de ella y con cargo de restituir la misma especie después de terminar el uso</w:t>
      </w:r>
      <w:r w:rsidR="00071CEC">
        <w:rPr>
          <w:rFonts w:ascii="Verdana" w:eastAsia="Calibri" w:hAnsi="Verdana" w:cs="Arial"/>
          <w:bCs/>
          <w:color w:val="000000" w:themeColor="text1"/>
        </w:rPr>
        <w:t>”</w:t>
      </w:r>
      <w:r w:rsidR="00071CEC" w:rsidRPr="00222802">
        <w:rPr>
          <w:rFonts w:ascii="Verdana" w:eastAsia="Calibri" w:hAnsi="Verdana" w:cs="Arial"/>
          <w:bCs/>
          <w:color w:val="000000" w:themeColor="text1"/>
        </w:rPr>
        <w:t xml:space="preserve">. </w:t>
      </w:r>
      <w:bookmarkEnd w:id="4"/>
      <w:r w:rsidR="00071CEC" w:rsidRPr="00222802">
        <w:rPr>
          <w:rFonts w:ascii="Verdana" w:eastAsia="Calibri" w:hAnsi="Verdana" w:cs="Arial"/>
          <w:bCs/>
          <w:color w:val="000000" w:themeColor="text1"/>
        </w:rPr>
        <w:t>En virtud de esta definición, se desprende su carácter de contrato nominado, principal, real, unilateral y gratuito</w:t>
      </w:r>
      <w:r w:rsidR="00071CEC" w:rsidRPr="00222802">
        <w:rPr>
          <w:rFonts w:ascii="Verdana" w:eastAsia="Calibri" w:hAnsi="Verdana" w:cs="Arial"/>
          <w:bCs/>
          <w:color w:val="000000" w:themeColor="text1"/>
          <w:vertAlign w:val="superscript"/>
        </w:rPr>
        <w:footnoteReference w:id="2"/>
      </w:r>
      <w:r w:rsidR="00071CEC" w:rsidRPr="00222802">
        <w:rPr>
          <w:rFonts w:ascii="Verdana" w:eastAsia="Calibri" w:hAnsi="Verdana" w:cs="Arial"/>
          <w:bCs/>
          <w:color w:val="000000" w:themeColor="text1"/>
        </w:rPr>
        <w:t xml:space="preserve">. También se le ha denominado a este negocio jurídico como </w:t>
      </w:r>
      <w:r w:rsidR="00071CEC" w:rsidRPr="00222802">
        <w:rPr>
          <w:rFonts w:ascii="Verdana" w:eastAsia="Calibri" w:hAnsi="Verdana" w:cs="Arial"/>
          <w:bCs/>
          <w:color w:val="000000" w:themeColor="text1"/>
        </w:rPr>
        <w:lastRenderedPageBreak/>
        <w:t xml:space="preserve">préstamo de uso, aunque con características propias y completamente diferente al préstamo de consumo. </w:t>
      </w:r>
    </w:p>
    <w:p w14:paraId="6E9FF916" w14:textId="4BB846C0" w:rsidR="00071CEC" w:rsidRPr="00222802" w:rsidRDefault="00071CEC" w:rsidP="00071CEC">
      <w:pPr>
        <w:spacing w:after="120" w:line="276" w:lineRule="auto"/>
        <w:ind w:firstLine="708"/>
        <w:jc w:val="both"/>
        <w:rPr>
          <w:rFonts w:ascii="Verdana" w:eastAsia="Calibri" w:hAnsi="Verdana" w:cs="Arial"/>
          <w:bCs/>
          <w:color w:val="000000" w:themeColor="text1"/>
        </w:rPr>
      </w:pPr>
      <w:r w:rsidRPr="00222802">
        <w:rPr>
          <w:rFonts w:ascii="Verdana" w:eastAsia="Calibri" w:hAnsi="Verdana" w:cs="Arial"/>
          <w:bCs/>
          <w:color w:val="000000" w:themeColor="text1"/>
        </w:rPr>
        <w:t>De igual manera, el</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artículo 2201</w:t>
      </w:r>
      <w:r>
        <w:rPr>
          <w:rFonts w:ascii="Verdana" w:eastAsia="Calibri" w:hAnsi="Verdana" w:cs="Arial"/>
          <w:bCs/>
          <w:color w:val="000000" w:themeColor="text1"/>
        </w:rPr>
        <w:t xml:space="preserve"> del </w:t>
      </w:r>
      <w:r w:rsidRPr="00222802">
        <w:rPr>
          <w:rFonts w:ascii="Verdana" w:eastAsia="Calibri" w:hAnsi="Verdana" w:cs="Arial"/>
          <w:bCs/>
          <w:color w:val="000000" w:themeColor="text1"/>
        </w:rPr>
        <w:t xml:space="preserve">Código Civil regula lo relacionado con los derechos del comodante. Al respecto, establece que el comodato no trasfiere el dominio de la cosa dada en comodato y, por ello, </w:t>
      </w:r>
      <w:r>
        <w:rPr>
          <w:rFonts w:ascii="Verdana" w:eastAsia="Calibri" w:hAnsi="Verdana" w:cs="Arial"/>
          <w:bCs/>
          <w:color w:val="000000" w:themeColor="text1"/>
        </w:rPr>
        <w:t>“E</w:t>
      </w:r>
      <w:r w:rsidRPr="00222802">
        <w:rPr>
          <w:rFonts w:ascii="Verdana" w:eastAsia="Calibri" w:hAnsi="Verdana" w:cs="Arial"/>
          <w:bCs/>
          <w:color w:val="000000" w:themeColor="text1"/>
        </w:rPr>
        <w:t xml:space="preserve">l </w:t>
      </w:r>
      <w:r w:rsidR="00BE340E" w:rsidRPr="00222802">
        <w:rPr>
          <w:rFonts w:ascii="Verdana" w:eastAsia="Calibri" w:hAnsi="Verdana" w:cs="Arial"/>
          <w:bCs/>
          <w:color w:val="000000" w:themeColor="text1"/>
        </w:rPr>
        <w:t xml:space="preserve">comodante </w:t>
      </w:r>
      <w:r w:rsidR="00BE340E">
        <w:rPr>
          <w:rFonts w:ascii="Verdana" w:eastAsia="Calibri" w:hAnsi="Verdana" w:cs="Arial"/>
          <w:bCs/>
          <w:color w:val="000000" w:themeColor="text1"/>
        </w:rPr>
        <w:t>conserva</w:t>
      </w:r>
      <w:r w:rsidRPr="00222802">
        <w:rPr>
          <w:rFonts w:ascii="Verdana" w:eastAsia="Calibri" w:hAnsi="Verdana" w:cs="Arial"/>
          <w:bCs/>
          <w:color w:val="000000" w:themeColor="text1"/>
        </w:rPr>
        <w:t xml:space="preserve"> sobre la cosa prestada todos los derechos que antes tenía, pero no su ejercicio, en cuanto fuere incompatible con el uso concedido al comodatario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P</w:t>
      </w:r>
      <w:r w:rsidRPr="00222802">
        <w:rPr>
          <w:rFonts w:ascii="Verdana" w:eastAsia="Calibri" w:hAnsi="Verdana" w:cs="Arial"/>
          <w:bCs/>
          <w:color w:val="000000" w:themeColor="text1"/>
        </w:rPr>
        <w:t xml:space="preserve">or lo tanto, </w:t>
      </w:r>
      <w:bookmarkStart w:id="8" w:name="_Hlk121750901"/>
      <w:r w:rsidRPr="00222802">
        <w:rPr>
          <w:rFonts w:ascii="Verdana" w:eastAsia="Calibri" w:hAnsi="Verdana" w:cs="Arial"/>
          <w:bCs/>
          <w:color w:val="000000" w:themeColor="text1"/>
        </w:rPr>
        <w:t>el comodatario es un mero tenedor de la cosa y</w:t>
      </w:r>
      <w:r>
        <w:rPr>
          <w:rFonts w:ascii="Verdana" w:eastAsia="Calibri" w:hAnsi="Verdana" w:cs="Arial"/>
          <w:bCs/>
          <w:color w:val="000000" w:themeColor="text1"/>
        </w:rPr>
        <w:t xml:space="preserve">, en los términos del </w:t>
      </w:r>
      <w:r w:rsidRPr="00222802">
        <w:rPr>
          <w:rFonts w:ascii="Verdana" w:eastAsia="Calibri" w:hAnsi="Verdana" w:cs="Arial"/>
          <w:bCs/>
          <w:color w:val="000000" w:themeColor="text1"/>
        </w:rPr>
        <w:t>artículo 2205</w:t>
      </w:r>
      <w:r>
        <w:rPr>
          <w:rFonts w:ascii="Verdana" w:eastAsia="Calibri" w:hAnsi="Verdana" w:cs="Arial"/>
          <w:bCs/>
          <w:color w:val="000000" w:themeColor="text1"/>
        </w:rPr>
        <w:t xml:space="preserve"> </w:t>
      </w:r>
      <w:r w:rsidRPr="009F2D84">
        <w:rPr>
          <w:rFonts w:ascii="Verdana" w:eastAsia="Calibri" w:hAnsi="Verdana" w:cs="Arial"/>
          <w:bCs/>
          <w:i/>
          <w:iCs/>
          <w:color w:val="000000" w:themeColor="text1"/>
        </w:rPr>
        <w:t>ibidem</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está obligado a la restitución del bien entregado en comodato al vencimiento del plazo o cuando se ha cumplido el servicio para el cual ha sido prestada</w:t>
      </w:r>
      <w:bookmarkEnd w:id="8"/>
      <w:r w:rsidRPr="00222802">
        <w:rPr>
          <w:rStyle w:val="Refdenotaalpie"/>
          <w:rFonts w:ascii="Verdana" w:eastAsia="Calibri" w:hAnsi="Verdana" w:cs="Arial"/>
          <w:bCs/>
          <w:color w:val="000000" w:themeColor="text1"/>
        </w:rPr>
        <w:footnoteReference w:id="3"/>
      </w:r>
      <w:r w:rsidRPr="00222802">
        <w:rPr>
          <w:rFonts w:ascii="Verdana" w:eastAsia="Calibri" w:hAnsi="Verdana" w:cs="Arial"/>
          <w:bCs/>
          <w:color w:val="000000" w:themeColor="text1"/>
        </w:rPr>
        <w:t xml:space="preserve">. </w:t>
      </w:r>
    </w:p>
    <w:p w14:paraId="0A23B5CF" w14:textId="77777777" w:rsidR="00071CEC" w:rsidRDefault="00071CEC" w:rsidP="00071CEC">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Conforme al </w:t>
      </w:r>
      <w:r w:rsidRPr="00222802">
        <w:rPr>
          <w:rFonts w:ascii="Verdana" w:eastAsia="Calibri" w:hAnsi="Verdana" w:cs="Arial"/>
          <w:bCs/>
          <w:color w:val="000000" w:themeColor="text1"/>
        </w:rPr>
        <w:t>artículo 2202</w:t>
      </w:r>
      <w:r>
        <w:rPr>
          <w:rFonts w:ascii="Verdana" w:eastAsia="Calibri" w:hAnsi="Verdana" w:cs="Arial"/>
          <w:bCs/>
          <w:color w:val="000000" w:themeColor="text1"/>
        </w:rPr>
        <w:t xml:space="preserve"> del Código Civil</w:t>
      </w:r>
      <w:r w:rsidRPr="00222802">
        <w:rPr>
          <w:rFonts w:ascii="Verdana" w:eastAsia="Calibri" w:hAnsi="Verdana" w:cs="Arial"/>
          <w:bCs/>
          <w:color w:val="000000" w:themeColor="text1"/>
        </w:rPr>
        <w:t>, el comodatario tendrá la obligación de emplear la cosa para el uso convenido, o a falta de acuerdo, está obligado a usar la cosa bajo el uso ordinario</w:t>
      </w:r>
      <w:r w:rsidRPr="00222802">
        <w:rPr>
          <w:rStyle w:val="Refdenotaalpie"/>
          <w:rFonts w:ascii="Verdana" w:eastAsia="Calibri" w:hAnsi="Verdana" w:cs="Arial"/>
          <w:bCs/>
          <w:color w:val="000000" w:themeColor="text1"/>
        </w:rPr>
        <w:footnoteReference w:id="4"/>
      </w:r>
      <w:r w:rsidRPr="00222802">
        <w:rPr>
          <w:rFonts w:ascii="Verdana" w:eastAsia="Calibri" w:hAnsi="Verdana" w:cs="Arial"/>
          <w:bCs/>
          <w:color w:val="000000" w:themeColor="text1"/>
        </w:rPr>
        <w:t xml:space="preserve">. De incumplir esta obligación, el comodante podrá exigir la reparación de perjuicios y la restitución inmediata de la cosa. A propósito de las características del contrato de comodato, la Sala de Consulta y Servicio Civil del Consejo de Estado </w:t>
      </w:r>
      <w:r>
        <w:rPr>
          <w:rFonts w:ascii="Verdana" w:eastAsia="Calibri" w:hAnsi="Verdana" w:cs="Arial"/>
          <w:bCs/>
          <w:color w:val="000000" w:themeColor="text1"/>
        </w:rPr>
        <w:t>explica que</w:t>
      </w:r>
      <w:r w:rsidRPr="00222802">
        <w:rPr>
          <w:rFonts w:ascii="Verdana" w:eastAsia="Calibri" w:hAnsi="Verdana" w:cs="Arial"/>
          <w:bCs/>
          <w:color w:val="000000" w:themeColor="text1"/>
        </w:rPr>
        <w:t xml:space="preserve">: </w:t>
      </w:r>
    </w:p>
    <w:p w14:paraId="17028092" w14:textId="77777777" w:rsidR="00071CEC" w:rsidRPr="00222802" w:rsidRDefault="00071CEC" w:rsidP="00071CEC">
      <w:pPr>
        <w:spacing w:after="0" w:line="276" w:lineRule="auto"/>
        <w:ind w:firstLine="709"/>
        <w:jc w:val="both"/>
        <w:rPr>
          <w:rFonts w:ascii="Verdana" w:eastAsia="Calibri" w:hAnsi="Verdana" w:cs="Arial"/>
          <w:bCs/>
          <w:color w:val="000000" w:themeColor="text1"/>
        </w:rPr>
      </w:pPr>
    </w:p>
    <w:p w14:paraId="560B279F" w14:textId="77777777" w:rsidR="00071CEC" w:rsidRPr="00044F7B" w:rsidRDefault="00071CEC" w:rsidP="00044F7B">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04FBDCA7" w14:textId="77777777" w:rsidR="00071CEC" w:rsidRPr="00044F7B" w:rsidRDefault="00071CEC" w:rsidP="00044F7B">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 xml:space="preserve">[…] </w:t>
      </w:r>
    </w:p>
    <w:p w14:paraId="4D4C96A2" w14:textId="77777777" w:rsidR="00071CEC" w:rsidRPr="00044F7B" w:rsidRDefault="00071CEC" w:rsidP="00044F7B">
      <w:pPr>
        <w:spacing w:after="0" w:line="240" w:lineRule="auto"/>
        <w:ind w:left="709" w:right="709"/>
        <w:jc w:val="both"/>
        <w:rPr>
          <w:rFonts w:ascii="Verdana" w:eastAsia="Calibri" w:hAnsi="Verdana" w:cs="Arial"/>
          <w:sz w:val="20"/>
          <w:szCs w:val="20"/>
          <w:lang w:val="es-MX"/>
        </w:rPr>
      </w:pPr>
    </w:p>
    <w:p w14:paraId="0E3BA5E3" w14:textId="77777777" w:rsidR="00071CEC" w:rsidRPr="00044F7B" w:rsidRDefault="00071CEC" w:rsidP="00071CEC">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La Sala retoma algunos aspectos analizados en consultas anteriores sobre las características del contrato en comento y precisa lo siguiente con el fin de comprender el alcance de esta figura:</w:t>
      </w:r>
    </w:p>
    <w:p w14:paraId="2157B18F" w14:textId="77777777" w:rsidR="00071CEC" w:rsidRPr="00044F7B" w:rsidRDefault="00071CEC" w:rsidP="00044F7B">
      <w:pPr>
        <w:spacing w:after="0" w:line="240" w:lineRule="auto"/>
        <w:ind w:left="709" w:right="709"/>
        <w:jc w:val="both"/>
        <w:rPr>
          <w:rFonts w:ascii="Verdana" w:eastAsia="Calibri" w:hAnsi="Verdana" w:cs="Arial"/>
          <w:sz w:val="20"/>
          <w:szCs w:val="20"/>
          <w:lang w:val="es-MX"/>
        </w:rPr>
      </w:pPr>
    </w:p>
    <w:p w14:paraId="3C43885A" w14:textId="77777777" w:rsidR="00071CEC" w:rsidRPr="00044F7B" w:rsidRDefault="00071CEC" w:rsidP="00044F7B">
      <w:pPr>
        <w:tabs>
          <w:tab w:val="num" w:pos="1068"/>
        </w:tabs>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El comodato se clasifica dentro de los denominados contratos traslaticios del uso y disfrute de un bien.</w:t>
      </w:r>
    </w:p>
    <w:p w14:paraId="05D2B087" w14:textId="77777777" w:rsidR="00071CEC" w:rsidRPr="00044F7B" w:rsidRDefault="00071CEC" w:rsidP="00044F7B">
      <w:pPr>
        <w:spacing w:after="0" w:line="240" w:lineRule="auto"/>
        <w:ind w:left="709" w:right="709"/>
        <w:jc w:val="both"/>
        <w:rPr>
          <w:rFonts w:ascii="Verdana" w:eastAsia="Calibri" w:hAnsi="Verdana" w:cs="Arial"/>
          <w:sz w:val="20"/>
          <w:szCs w:val="20"/>
          <w:lang w:val="es-MX"/>
        </w:rPr>
      </w:pPr>
    </w:p>
    <w:p w14:paraId="7ECAD79F" w14:textId="77777777" w:rsidR="00071CEC" w:rsidRPr="00044F7B" w:rsidRDefault="00071CEC" w:rsidP="00044F7B">
      <w:pPr>
        <w:spacing w:after="0" w:line="240" w:lineRule="auto"/>
        <w:ind w:left="709" w:right="709"/>
        <w:jc w:val="both"/>
        <w:rPr>
          <w:rFonts w:ascii="Verdana" w:eastAsia="Calibri" w:hAnsi="Verdana" w:cs="Arial"/>
          <w:sz w:val="20"/>
          <w:szCs w:val="20"/>
          <w:lang w:val="es-MX"/>
        </w:rPr>
      </w:pPr>
      <w:r w:rsidRPr="00044F7B">
        <w:rPr>
          <w:rFonts w:ascii="Verdana" w:eastAsia="Calibri" w:hAnsi="Verdana" w:cs="Arial"/>
          <w:sz w:val="20"/>
          <w:szCs w:val="20"/>
          <w:lang w:val="es-MX"/>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044F7B">
        <w:rPr>
          <w:rFonts w:ascii="Verdana" w:hAnsi="Verdana"/>
          <w:sz w:val="20"/>
          <w:szCs w:val="20"/>
          <w:vertAlign w:val="superscript"/>
          <w:lang w:val="es-MX"/>
        </w:rPr>
        <w:footnoteReference w:id="5"/>
      </w:r>
      <w:r w:rsidRPr="00044F7B">
        <w:rPr>
          <w:rFonts w:ascii="Verdana" w:eastAsia="Calibri" w:hAnsi="Verdana" w:cs="Arial"/>
          <w:sz w:val="20"/>
          <w:szCs w:val="20"/>
          <w:lang w:val="es-MX"/>
        </w:rPr>
        <w:t>.</w:t>
      </w:r>
    </w:p>
    <w:p w14:paraId="46BEF1E3" w14:textId="77777777" w:rsidR="00071CEC" w:rsidRPr="00222802" w:rsidRDefault="00071CEC" w:rsidP="00071CEC">
      <w:pPr>
        <w:spacing w:after="0" w:line="276" w:lineRule="auto"/>
        <w:ind w:firstLine="708"/>
        <w:jc w:val="both"/>
        <w:rPr>
          <w:rFonts w:ascii="Verdana" w:eastAsia="Calibri" w:hAnsi="Verdana" w:cs="Arial"/>
          <w:bCs/>
          <w:color w:val="000000" w:themeColor="text1"/>
        </w:rPr>
      </w:pPr>
    </w:p>
    <w:p w14:paraId="26526683" w14:textId="77777777" w:rsidR="00071CEC" w:rsidRPr="00222802" w:rsidRDefault="00071CEC" w:rsidP="00071CEC">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 bien el artículo 1452 del Código Civil dispone que no existe donación en el comodato, implica un auxilio en favor de terceros. Para estos efectos, la jurisprudencia considera que el contrato </w:t>
      </w:r>
      <w:r>
        <w:rPr>
          <w:rFonts w:ascii="Verdana" w:eastAsia="Calibri" w:hAnsi="Verdana" w:cs="Arial"/>
          <w:bCs/>
          <w:color w:val="000000" w:themeColor="text1"/>
        </w:rPr>
        <w:t>“</w:t>
      </w:r>
      <w:r w:rsidRPr="001E075A">
        <w:rPr>
          <w:rFonts w:ascii="Verdana" w:eastAsia="Calibri" w:hAnsi="Verdana" w:cs="Arial"/>
          <w:bCs/>
          <w:iCs/>
          <w:color w:val="000000" w:themeColor="text1"/>
        </w:rPr>
        <w:t xml:space="preserve">Es tal vez una de las más elementales pero contundentes muestras de solidaridad, ayuda y auxilio, como que se trata de un acto de cortesía, benevolencia, beneficencia o complacencia que no tiene el lucro como inspiración esencial y que facilita al comodatario la satisfacción de sus necesidades […] No en vano, comodato viene del latín </w:t>
      </w:r>
      <w:proofErr w:type="spellStart"/>
      <w:r w:rsidRPr="001E075A">
        <w:rPr>
          <w:rFonts w:ascii="Verdana" w:eastAsia="Calibri" w:hAnsi="Verdana" w:cs="Arial"/>
          <w:bCs/>
          <w:i/>
          <w:color w:val="000000" w:themeColor="text1"/>
        </w:rPr>
        <w:t>commodatum</w:t>
      </w:r>
      <w:proofErr w:type="spellEnd"/>
      <w:r w:rsidRPr="001E075A">
        <w:rPr>
          <w:rFonts w:ascii="Verdana" w:eastAsia="Calibri" w:hAnsi="Verdana" w:cs="Arial"/>
          <w:bCs/>
          <w:iCs/>
          <w:color w:val="000000" w:themeColor="text1"/>
        </w:rPr>
        <w:t xml:space="preserve">, expresión que conjuga los términos </w:t>
      </w:r>
      <w:proofErr w:type="spellStart"/>
      <w:r w:rsidRPr="001E075A">
        <w:rPr>
          <w:rFonts w:ascii="Verdana" w:eastAsia="Calibri" w:hAnsi="Verdana" w:cs="Arial"/>
          <w:bCs/>
          <w:i/>
          <w:color w:val="000000" w:themeColor="text1"/>
        </w:rPr>
        <w:t>commodum</w:t>
      </w:r>
      <w:proofErr w:type="spellEnd"/>
      <w:r w:rsidRPr="001E075A">
        <w:rPr>
          <w:rFonts w:ascii="Verdana" w:eastAsia="Calibri" w:hAnsi="Verdana" w:cs="Arial"/>
          <w:bCs/>
          <w:iCs/>
          <w:color w:val="000000" w:themeColor="text1"/>
        </w:rPr>
        <w:t xml:space="preserve"> -utilidad, provecho- y </w:t>
      </w:r>
      <w:r w:rsidRPr="001E075A">
        <w:rPr>
          <w:rFonts w:ascii="Verdana" w:eastAsia="Calibri" w:hAnsi="Verdana" w:cs="Arial"/>
          <w:bCs/>
          <w:i/>
          <w:color w:val="000000" w:themeColor="text1"/>
        </w:rPr>
        <w:t>datum</w:t>
      </w:r>
      <w:r w:rsidRPr="001E075A">
        <w:rPr>
          <w:rFonts w:ascii="Verdana" w:eastAsia="Calibri" w:hAnsi="Verdana" w:cs="Arial"/>
          <w:bCs/>
          <w:iCs/>
          <w:color w:val="000000" w:themeColor="text1"/>
        </w:rPr>
        <w:t xml:space="preserve"> -dar-, es decir, entregar para utilidad de otro (</w:t>
      </w:r>
      <w:proofErr w:type="spellStart"/>
      <w:r w:rsidRPr="001E075A">
        <w:rPr>
          <w:rFonts w:ascii="Verdana" w:eastAsia="Calibri" w:hAnsi="Verdana" w:cs="Arial"/>
          <w:bCs/>
          <w:i/>
          <w:color w:val="000000" w:themeColor="text1"/>
        </w:rPr>
        <w:t>utendum</w:t>
      </w:r>
      <w:proofErr w:type="spellEnd"/>
      <w:r w:rsidRPr="001E075A">
        <w:rPr>
          <w:rFonts w:ascii="Verdana" w:eastAsia="Calibri" w:hAnsi="Verdana" w:cs="Arial"/>
          <w:bCs/>
          <w:i/>
          <w:color w:val="000000" w:themeColor="text1"/>
        </w:rPr>
        <w:t xml:space="preserve"> </w:t>
      </w:r>
      <w:proofErr w:type="spellStart"/>
      <w:r w:rsidRPr="001E075A">
        <w:rPr>
          <w:rFonts w:ascii="Verdana" w:eastAsia="Calibri" w:hAnsi="Verdana" w:cs="Arial"/>
          <w:bCs/>
          <w:i/>
          <w:color w:val="000000" w:themeColor="text1"/>
        </w:rPr>
        <w:t>dare</w:t>
      </w:r>
      <w:proofErr w:type="spellEnd"/>
      <w:r w:rsidRPr="001E075A">
        <w:rPr>
          <w:rFonts w:ascii="Verdana" w:eastAsia="Calibri" w:hAnsi="Verdana" w:cs="Arial"/>
          <w:bCs/>
          <w:iCs/>
          <w:color w:val="000000" w:themeColor="text1"/>
        </w:rPr>
        <w:t>)</w:t>
      </w:r>
      <w:r>
        <w:rPr>
          <w:rFonts w:ascii="Verdana" w:eastAsia="Calibri" w:hAnsi="Verdana" w:cs="Arial"/>
          <w:bCs/>
          <w:color w:val="000000" w:themeColor="text1"/>
        </w:rPr>
        <w:t>”</w:t>
      </w:r>
      <w:r w:rsidRPr="00222802">
        <w:rPr>
          <w:rFonts w:ascii="Verdana" w:eastAsia="Calibri" w:hAnsi="Verdana"/>
          <w:vertAlign w:val="superscript"/>
        </w:rPr>
        <w:footnoteReference w:id="6"/>
      </w:r>
      <w:bookmarkStart w:id="11" w:name="_Hlk35263504"/>
      <w:r w:rsidRPr="00222802">
        <w:rPr>
          <w:rFonts w:ascii="Verdana" w:eastAsia="Calibri" w:hAnsi="Verdana" w:cs="Arial"/>
          <w:bCs/>
          <w:color w:val="000000" w:themeColor="text1"/>
        </w:rPr>
        <w:t xml:space="preserve">. </w:t>
      </w:r>
    </w:p>
    <w:p w14:paraId="42336949" w14:textId="77777777" w:rsidR="00071CEC" w:rsidRPr="00222802" w:rsidRDefault="00071CEC" w:rsidP="00071CEC">
      <w:pPr>
        <w:spacing w:after="0" w:line="276" w:lineRule="auto"/>
        <w:ind w:firstLine="708"/>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Sin perjuicio de lo anterior, resulta relevante resaltar que </w:t>
      </w:r>
      <w:bookmarkStart w:id="12" w:name="_Hlk121742558"/>
      <w:r w:rsidRPr="00222802">
        <w:rPr>
          <w:rFonts w:ascii="Verdana" w:eastAsia="Calibri" w:hAnsi="Verdana" w:cs="Arial"/>
          <w:bCs/>
          <w:color w:val="000000" w:themeColor="text1"/>
        </w:rPr>
        <w:t>esta tipología contractual es restrictiva en la contratación pública, cuando se pretende celebrar con particulares, máxime cuando el ordenamiento s</w:t>
      </w:r>
      <w:r>
        <w:rPr>
          <w:rFonts w:ascii="Verdana" w:eastAsia="Calibri" w:hAnsi="Verdana" w:cs="Arial"/>
          <w:bCs/>
          <w:color w:val="000000" w:themeColor="text1"/>
        </w:rPr>
        <w:t>ó</w:t>
      </w:r>
      <w:r w:rsidRPr="00222802">
        <w:rPr>
          <w:rFonts w:ascii="Verdana" w:eastAsia="Calibri" w:hAnsi="Verdana" w:cs="Arial"/>
          <w:bCs/>
          <w:color w:val="000000" w:themeColor="text1"/>
        </w:rPr>
        <w:t>lo permite donaciones y auxilios a favor de entidades estatales.</w:t>
      </w:r>
      <w:bookmarkEnd w:id="12"/>
      <w:r w:rsidRPr="00222802">
        <w:rPr>
          <w:rFonts w:ascii="Verdana" w:eastAsia="Calibri" w:hAnsi="Verdana" w:cs="Arial"/>
          <w:bCs/>
          <w:color w:val="000000" w:themeColor="text1"/>
        </w:rPr>
        <w:t xml:space="preserve"> Al respecto, es importante destacar que el artículo 38 de la Ley 9 de 1989</w:t>
      </w:r>
      <w:bookmarkEnd w:id="11"/>
      <w:r w:rsidRPr="00222802">
        <w:rPr>
          <w:rFonts w:ascii="Verdana" w:eastAsia="Calibri" w:hAnsi="Verdana" w:cs="Arial"/>
          <w:bCs/>
          <w:color w:val="000000" w:themeColor="text1"/>
        </w:rPr>
        <w:t xml:space="preserve"> </w:t>
      </w:r>
      <w:r>
        <w:rPr>
          <w:rFonts w:ascii="Verdana" w:eastAsia="Calibri" w:hAnsi="Verdana" w:cs="Arial"/>
          <w:bCs/>
          <w:color w:val="000000" w:themeColor="text1"/>
        </w:rPr>
        <w:t>prescribe que</w:t>
      </w:r>
      <w:r w:rsidRPr="00222802">
        <w:rPr>
          <w:rFonts w:ascii="Verdana" w:eastAsia="Calibri" w:hAnsi="Verdana" w:cs="Arial"/>
          <w:bCs/>
          <w:color w:val="000000" w:themeColor="text1"/>
        </w:rPr>
        <w:t>:</w:t>
      </w:r>
    </w:p>
    <w:p w14:paraId="495AEA1D" w14:textId="77777777" w:rsidR="00071CEC" w:rsidRPr="00332CB9" w:rsidRDefault="00071CEC" w:rsidP="00071CEC">
      <w:pPr>
        <w:pStyle w:val="Prrafodelista"/>
        <w:spacing w:line="276" w:lineRule="auto"/>
        <w:jc w:val="both"/>
        <w:rPr>
          <w:rFonts w:ascii="Verdana" w:eastAsia="Calibri" w:hAnsi="Verdana" w:cs="Arial"/>
          <w:bCs/>
          <w:color w:val="000000" w:themeColor="text1"/>
          <w:lang w:val="es-ES_tradnl"/>
        </w:rPr>
      </w:pPr>
    </w:p>
    <w:p w14:paraId="3FD43726" w14:textId="77777777" w:rsidR="00071CEC" w:rsidRPr="00E7107B" w:rsidRDefault="00071CEC" w:rsidP="00071CEC">
      <w:pPr>
        <w:pStyle w:val="Prrafodelista"/>
        <w:spacing w:after="120"/>
        <w:ind w:left="709" w:right="709"/>
        <w:jc w:val="both"/>
        <w:rPr>
          <w:rFonts w:ascii="Verdana" w:eastAsia="Calibri" w:hAnsi="Verdana" w:cs="Arial"/>
          <w:bCs/>
          <w:color w:val="000000" w:themeColor="text1"/>
          <w:sz w:val="20"/>
          <w:szCs w:val="20"/>
          <w:lang w:val="es-ES_tradnl"/>
        </w:rPr>
      </w:pPr>
      <w:r w:rsidRPr="00E7107B">
        <w:rPr>
          <w:rFonts w:ascii="Verdana" w:eastAsia="Calibri" w:hAnsi="Verdana" w:cs="Arial"/>
          <w:bCs/>
          <w:i/>
          <w:color w:val="000000" w:themeColor="text1"/>
          <w:sz w:val="20"/>
          <w:szCs w:val="20"/>
          <w:lang w:val="es-ES_tradnl"/>
        </w:rPr>
        <w:t xml:space="preserve">“Las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w:t>
      </w:r>
      <w:r w:rsidRPr="00E7107B">
        <w:rPr>
          <w:rFonts w:ascii="Verdana" w:eastAsia="Calibri" w:hAnsi="Verdana" w:cs="Arial"/>
          <w:bCs/>
          <w:i/>
          <w:color w:val="000000" w:themeColor="text1"/>
          <w:sz w:val="20"/>
          <w:szCs w:val="20"/>
          <w:lang w:val="es-ES_tradnl"/>
        </w:rPr>
        <w:lastRenderedPageBreak/>
        <w:t>los mismos, juntas de acción comunal, fondos de empleados y las demás que puedan asimilarse a las anteriores, y por un término máximo de cinco (5) años, renovables</w:t>
      </w:r>
      <w:r w:rsidRPr="00E7107B">
        <w:rPr>
          <w:rFonts w:ascii="Verdana" w:eastAsia="Calibri" w:hAnsi="Verdana" w:cs="Arial"/>
          <w:bCs/>
          <w:color w:val="000000" w:themeColor="text1"/>
          <w:sz w:val="20"/>
          <w:szCs w:val="20"/>
          <w:lang w:val="es-ES_tradnl"/>
        </w:rPr>
        <w:t>.</w:t>
      </w:r>
    </w:p>
    <w:p w14:paraId="4B5473C3" w14:textId="77777777" w:rsidR="00071CEC" w:rsidRPr="00E7107B" w:rsidRDefault="00071CEC" w:rsidP="00071CEC">
      <w:pPr>
        <w:pStyle w:val="Prrafodelista"/>
        <w:spacing w:after="120"/>
        <w:ind w:left="709" w:right="709"/>
        <w:jc w:val="both"/>
        <w:rPr>
          <w:rFonts w:ascii="Verdana" w:eastAsia="Calibri" w:hAnsi="Verdana" w:cs="Arial"/>
          <w:bCs/>
          <w:color w:val="000000" w:themeColor="text1"/>
          <w:sz w:val="20"/>
          <w:szCs w:val="20"/>
          <w:lang w:val="es-ES_tradnl"/>
        </w:rPr>
      </w:pPr>
    </w:p>
    <w:p w14:paraId="01E9DA35" w14:textId="77777777" w:rsidR="00071CEC" w:rsidRPr="00E7107B" w:rsidRDefault="00071CEC" w:rsidP="00071CEC">
      <w:pPr>
        <w:pStyle w:val="Prrafodelista"/>
        <w:ind w:left="709" w:right="709"/>
        <w:jc w:val="both"/>
        <w:rPr>
          <w:rFonts w:ascii="Verdana" w:eastAsia="Calibri" w:hAnsi="Verdana" w:cs="Arial"/>
          <w:bCs/>
          <w:color w:val="000000" w:themeColor="text1"/>
          <w:sz w:val="20"/>
          <w:szCs w:val="20"/>
          <w:lang w:val="es-ES_tradnl"/>
        </w:rPr>
      </w:pPr>
      <w:r w:rsidRPr="00E7107B">
        <w:rPr>
          <w:rFonts w:ascii="Verdana" w:eastAsia="Calibri" w:hAnsi="Verdana" w:cs="Arial"/>
          <w:bCs/>
          <w:color w:val="000000" w:themeColor="text1"/>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0364D8FB" w14:textId="77777777" w:rsidR="00071CEC" w:rsidRPr="00222802" w:rsidRDefault="00071CEC" w:rsidP="00071CEC">
      <w:pPr>
        <w:pStyle w:val="Prrafodelista"/>
        <w:spacing w:after="0" w:line="276" w:lineRule="auto"/>
        <w:jc w:val="both"/>
        <w:rPr>
          <w:rFonts w:ascii="Verdana" w:eastAsia="Calibri" w:hAnsi="Verdana" w:cs="Arial"/>
          <w:bCs/>
          <w:color w:val="000000" w:themeColor="text1"/>
          <w:lang w:val="es-ES_tradnl"/>
        </w:rPr>
      </w:pPr>
    </w:p>
    <w:p w14:paraId="4EE4D1BA" w14:textId="77777777" w:rsidR="00071CEC" w:rsidRPr="00222802" w:rsidRDefault="00071CEC" w:rsidP="00071CEC">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Esta norma</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 xml:space="preserve">es congruente con </w:t>
      </w:r>
      <w:r w:rsidRPr="00222802">
        <w:rPr>
          <w:rFonts w:ascii="Verdana" w:eastAsia="Calibri" w:hAnsi="Verdana" w:cs="Arial"/>
          <w:bCs/>
          <w:color w:val="000000" w:themeColor="text1"/>
        </w:rPr>
        <w:t xml:space="preserve">el artículo 355 de la Constitución Política de 1991, el cual dispone que </w:t>
      </w:r>
      <w:r>
        <w:rPr>
          <w:rFonts w:ascii="Verdana" w:eastAsia="Calibri" w:hAnsi="Verdana" w:cs="Arial"/>
          <w:bCs/>
          <w:color w:val="000000" w:themeColor="text1"/>
        </w:rPr>
        <w:t>“</w:t>
      </w:r>
      <w:r w:rsidRPr="00222802">
        <w:rPr>
          <w:rFonts w:ascii="Verdana" w:eastAsia="Calibri" w:hAnsi="Verdana" w:cs="Arial"/>
          <w:bCs/>
          <w:color w:val="000000" w:themeColor="text1"/>
        </w:rPr>
        <w:t>Ninguna de las ramas u órganos del poder público podrá decretar auxilios o donaciones en favor de personas naturales o jurídicas de derecho privado</w:t>
      </w:r>
      <w:r>
        <w:rPr>
          <w:rFonts w:ascii="Verdana" w:eastAsia="Calibri" w:hAnsi="Verdana" w:cs="Arial"/>
          <w:bCs/>
          <w:color w:val="000000" w:themeColor="text1"/>
        </w:rPr>
        <w:t>”</w:t>
      </w:r>
      <w:r w:rsidRPr="00222802">
        <w:rPr>
          <w:rFonts w:ascii="Verdana" w:eastAsia="Calibri" w:hAnsi="Verdana" w:cs="Arial"/>
          <w:bCs/>
          <w:color w:val="000000" w:themeColor="text1"/>
        </w:rPr>
        <w:t>.</w:t>
      </w:r>
      <w:r>
        <w:rPr>
          <w:rFonts w:ascii="Verdana" w:eastAsia="Calibri" w:hAnsi="Verdana" w:cs="Arial"/>
          <w:bCs/>
          <w:color w:val="000000" w:themeColor="text1"/>
        </w:rPr>
        <w:t xml:space="preserve"> No obstante, el inciso segundo también señala lo siguiente: “</w:t>
      </w:r>
      <w:r w:rsidRPr="00CE3BCB">
        <w:rPr>
          <w:rFonts w:ascii="Verdana" w:eastAsia="Calibri" w:hAnsi="Verdana" w:cs="Arial"/>
          <w:bCs/>
          <w:color w:val="000000" w:themeColor="text1"/>
        </w:rPr>
        <w:t xml:space="preserve">El Gobierno, en los niveles nacional, departamental, distrital y municipal podrá, con recursos de los respectivos presupuestos, </w:t>
      </w:r>
      <w:proofErr w:type="gramStart"/>
      <w:r w:rsidRPr="00CE3BCB">
        <w:rPr>
          <w:rFonts w:ascii="Verdana" w:eastAsia="Calibri" w:hAnsi="Verdana" w:cs="Arial"/>
          <w:bCs/>
          <w:color w:val="000000" w:themeColor="text1"/>
        </w:rPr>
        <w:t>celebrara</w:t>
      </w:r>
      <w:proofErr w:type="gramEnd"/>
      <w:r w:rsidRPr="00CE3BCB">
        <w:rPr>
          <w:rFonts w:ascii="Verdana" w:eastAsia="Calibri" w:hAnsi="Verdana" w:cs="Arial"/>
          <w:bCs/>
          <w:color w:val="000000" w:themeColor="text1"/>
        </w:rPr>
        <w:t xml:space="preserve"> contratos con entidades privadas sin ánimo de lucro y de reconocida idoneidad con el fin de impulsar programas y actividades de interés público acordes con el Plan Nacional y con los planes seccionales de Desarrollo</w:t>
      </w:r>
      <w:r>
        <w:rPr>
          <w:rFonts w:ascii="Verdana" w:eastAsia="Calibri" w:hAnsi="Verdana" w:cs="Arial"/>
          <w:bCs/>
          <w:color w:val="000000" w:themeColor="text1"/>
        </w:rPr>
        <w:t xml:space="preserve"> […]”</w:t>
      </w:r>
      <w:r w:rsidRPr="00CE3BCB">
        <w:rPr>
          <w:rFonts w:ascii="Verdana" w:eastAsia="Calibri" w:hAnsi="Verdana" w:cs="Arial"/>
          <w:bCs/>
          <w:color w:val="000000" w:themeColor="text1"/>
        </w:rPr>
        <w:t>.</w:t>
      </w:r>
    </w:p>
    <w:p w14:paraId="3B4EB46A" w14:textId="77777777" w:rsidR="00071CEC" w:rsidRDefault="00071CEC" w:rsidP="00071CEC">
      <w:pPr>
        <w:widowControl w:val="0"/>
        <w:autoSpaceDE w:val="0"/>
        <w:autoSpaceDN w:val="0"/>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Mediante </w:t>
      </w:r>
      <w:r>
        <w:rPr>
          <w:rFonts w:ascii="Verdana" w:eastAsia="Calibri" w:hAnsi="Verdana" w:cs="Arial"/>
          <w:bCs/>
          <w:color w:val="000000" w:themeColor="text1"/>
        </w:rPr>
        <w:t>C</w:t>
      </w:r>
      <w:r w:rsidRPr="00222802">
        <w:rPr>
          <w:rFonts w:ascii="Verdana" w:eastAsia="Calibri" w:hAnsi="Verdana" w:cs="Arial"/>
          <w:bCs/>
          <w:color w:val="000000" w:themeColor="text1"/>
        </w:rPr>
        <w:t>oncepto</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415140000909 de 2015, la </w:t>
      </w:r>
      <w:r>
        <w:rPr>
          <w:rFonts w:ascii="Verdana" w:eastAsia="Calibri" w:hAnsi="Verdana" w:cs="Arial"/>
          <w:bCs/>
          <w:color w:val="000000" w:themeColor="text1"/>
        </w:rPr>
        <w:t>ANCP – CCE</w:t>
      </w:r>
      <w:r w:rsidRPr="00222802">
        <w:rPr>
          <w:rFonts w:ascii="Verdana" w:eastAsia="Calibri" w:hAnsi="Verdana" w:cs="Arial"/>
          <w:bCs/>
          <w:color w:val="000000" w:themeColor="text1"/>
        </w:rPr>
        <w:t xml:space="preserve"> explicó que el artículo 38 de la Ley 9 de 1989 contiene una restricción al texto constitucional del artículo 355, toda vez que tratándose de bienes inmuebles establece dos (2) condiciones a las que están sujetas las entidades estatales para celebrar el contrato de comodato: i) el tiempo de duración del contrato y </w:t>
      </w:r>
      <w:proofErr w:type="spellStart"/>
      <w:r w:rsidRPr="00222802">
        <w:rPr>
          <w:rFonts w:ascii="Verdana" w:eastAsia="Calibri" w:hAnsi="Verdana" w:cs="Arial"/>
          <w:bCs/>
          <w:color w:val="000000" w:themeColor="text1"/>
        </w:rPr>
        <w:t>ii</w:t>
      </w:r>
      <w:proofErr w:type="spellEnd"/>
      <w:r w:rsidRPr="00222802">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5B0644D9" w14:textId="13FF0EFA" w:rsidR="008D7FF1" w:rsidRPr="002F1600" w:rsidRDefault="00C423B3" w:rsidP="002F1600">
      <w:pPr>
        <w:spacing w:after="120" w:line="276" w:lineRule="auto"/>
        <w:ind w:firstLine="709"/>
        <w:jc w:val="both"/>
        <w:rPr>
          <w:rFonts w:ascii="Verdana" w:eastAsia="Times New Roman" w:hAnsi="Verdana" w:cs="Arial"/>
          <w:lang w:val="es-MX" w:eastAsia="es-CO"/>
        </w:rPr>
      </w:pPr>
      <w:r>
        <w:rPr>
          <w:rFonts w:ascii="Verdana" w:eastAsia="Calibri" w:hAnsi="Verdana" w:cs="Arial"/>
          <w:bCs/>
          <w:color w:val="000000" w:themeColor="text1"/>
        </w:rPr>
        <w:t xml:space="preserve">En consecuencia, </w:t>
      </w:r>
      <w:r w:rsidRPr="00C423B3">
        <w:rPr>
          <w:rFonts w:ascii="Verdana" w:eastAsia="Calibri" w:hAnsi="Verdana" w:cs="Arial"/>
          <w:bCs/>
          <w:color w:val="000000" w:themeColor="text1"/>
        </w:rPr>
        <w:t xml:space="preserve">el contrato de comodato adquiere particular relevancia cuando se analiza a la luz de las restricciones previstas en la Ley 996 de 2005, cuyo propósito es asegurar la transparencia, la igualdad y la moralidad administrativa durante los periodos electorales. En efecto, si bien el comodato es una figura gratuita y regida principalmente por el derecho civil, su utilización por parte de entidades públicas puede implicar la disposición de bienes estatales en favor de terceros, lo que exige un especial análisis frente a las limitaciones a </w:t>
      </w:r>
      <w:r w:rsidRPr="00C423B3">
        <w:rPr>
          <w:rFonts w:ascii="Verdana" w:eastAsia="Calibri" w:hAnsi="Verdana" w:cs="Arial"/>
          <w:bCs/>
          <w:color w:val="000000" w:themeColor="text1"/>
        </w:rPr>
        <w:lastRenderedPageBreak/>
        <w:t xml:space="preserve">la contratación directa y a la prohibición de otorgar beneficios indebidos en época electoral. En ese sentido, resulta necesario evaluar su procedencia no solo desde su régimen jurídico propio, sino también en función de las restricciones temporales y finalidades previstas en la normativa electoral, a fin de evitar que, bajo la apariencia de un contrato gratuito, se configuren mecanismos que </w:t>
      </w:r>
      <w:r w:rsidRPr="002F1600">
        <w:rPr>
          <w:rFonts w:ascii="Verdana" w:eastAsia="Times New Roman" w:hAnsi="Verdana" w:cs="Arial"/>
          <w:lang w:val="es-MX" w:eastAsia="es-CO"/>
        </w:rPr>
        <w:t>puedan afectar los principios de imparcialidad y equidad en la contienda política.</w:t>
      </w:r>
    </w:p>
    <w:p w14:paraId="39F29ADA" w14:textId="0E760B9E" w:rsidR="00035478" w:rsidRPr="002E76E6" w:rsidRDefault="00B027B9" w:rsidP="002F1600">
      <w:pPr>
        <w:spacing w:after="120" w:line="276" w:lineRule="auto"/>
        <w:jc w:val="both"/>
        <w:rPr>
          <w:rFonts w:ascii="Verdana" w:eastAsia="Times New Roman" w:hAnsi="Verdana" w:cs="Arial"/>
          <w:lang w:eastAsia="es-CO"/>
        </w:rPr>
      </w:pPr>
      <w:proofErr w:type="spellStart"/>
      <w:r w:rsidRPr="002F1600">
        <w:rPr>
          <w:rFonts w:ascii="Verdana" w:eastAsia="Times New Roman" w:hAnsi="Verdana" w:cs="Arial"/>
          <w:lang w:val="es-MX" w:eastAsia="es-CO"/>
        </w:rPr>
        <w:t>ii</w:t>
      </w:r>
      <w:proofErr w:type="spellEnd"/>
      <w:r w:rsidRPr="002F1600">
        <w:rPr>
          <w:rFonts w:ascii="Verdana" w:eastAsia="Times New Roman" w:hAnsi="Verdana" w:cs="Arial"/>
          <w:lang w:val="es-MX" w:eastAsia="es-CO"/>
        </w:rPr>
        <w:t>.</w:t>
      </w:r>
      <w:r w:rsidR="00E123B3" w:rsidRPr="002F1600">
        <w:rPr>
          <w:rFonts w:ascii="Verdana" w:eastAsia="Times New Roman" w:hAnsi="Verdana" w:cs="Arial"/>
          <w:lang w:val="es-MX" w:eastAsia="es-CO"/>
        </w:rPr>
        <w:t xml:space="preserve"> </w:t>
      </w:r>
      <w:r w:rsidR="00035478" w:rsidRPr="002F1600">
        <w:rPr>
          <w:rFonts w:ascii="Verdana" w:eastAsia="Times New Roman" w:hAnsi="Verdana" w:cs="Arial"/>
          <w:lang w:val="es-MX" w:eastAsia="es-CO"/>
        </w:rPr>
        <w:t>El ordenamiento jurídico colombiano</w:t>
      </w:r>
      <w:r w:rsidR="00035478" w:rsidRPr="002E76E6">
        <w:rPr>
          <w:rFonts w:ascii="Verdana" w:eastAsia="Calibri" w:hAnsi="Verdana" w:cs="Arial"/>
        </w:rPr>
        <w:t xml:space="preserve"> contempla previsiones claras para evitar la obtención de beneficios personales en asuntos propios de la administración pública</w:t>
      </w:r>
      <w:r w:rsidR="00035478" w:rsidRPr="002E76E6">
        <w:rPr>
          <w:rFonts w:ascii="Verdana" w:eastAsia="Calibri" w:hAnsi="Verdana" w:cs="Arial"/>
          <w:i/>
        </w:rPr>
        <w:t xml:space="preserve">. </w:t>
      </w:r>
      <w:r w:rsidR="00035478" w:rsidRPr="002E76E6">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00035478" w:rsidRPr="002E76E6">
        <w:rPr>
          <w:rFonts w:ascii="Verdana" w:eastAsia="Calibri" w:hAnsi="Verdana" w:cs="Arial"/>
          <w:vertAlign w:val="superscript"/>
        </w:rPr>
        <w:footnoteReference w:id="7"/>
      </w:r>
      <w:r w:rsidR="00035478" w:rsidRPr="002E76E6">
        <w:rPr>
          <w:rFonts w:ascii="Verdana" w:eastAsia="Calibri" w:hAnsi="Verdana" w:cs="Arial"/>
        </w:rPr>
        <w:t xml:space="preserve">. </w:t>
      </w:r>
    </w:p>
    <w:p w14:paraId="2B2B6115" w14:textId="77777777" w:rsidR="00035478" w:rsidRPr="002E76E6" w:rsidRDefault="00035478" w:rsidP="00035478">
      <w:pPr>
        <w:tabs>
          <w:tab w:val="left" w:pos="426"/>
        </w:tabs>
        <w:spacing w:after="0" w:line="276" w:lineRule="auto"/>
        <w:ind w:firstLine="709"/>
        <w:jc w:val="both"/>
        <w:rPr>
          <w:rFonts w:ascii="Verdana" w:eastAsia="Times New Roman" w:hAnsi="Verdana" w:cs="Arial"/>
          <w:lang w:val="es-MX" w:eastAsia="es-CO"/>
        </w:rPr>
      </w:pPr>
      <w:r w:rsidRPr="002E76E6">
        <w:rPr>
          <w:rFonts w:ascii="Verdana" w:eastAsia="Times New Roman" w:hAnsi="Verdana" w:cs="Arial"/>
          <w:lang w:eastAsia="es-CO"/>
        </w:rPr>
        <w:t>En el mismo sentido</w:t>
      </w:r>
      <w:r w:rsidRPr="002E76E6">
        <w:rPr>
          <w:rFonts w:ascii="Verdana" w:eastAsia="Times New Roman" w:hAnsi="Verdana" w:cs="Arial"/>
          <w:lang w:val="es-MX" w:eastAsia="es-CO"/>
        </w:rPr>
        <w:t xml:space="preserve">, </w:t>
      </w:r>
      <w:bookmarkStart w:id="13" w:name="_Hlk99576829"/>
      <w:r w:rsidRPr="002E76E6">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E76E6">
        <w:rPr>
          <w:rFonts w:ascii="Verdana" w:eastAsia="Times New Roman" w:hAnsi="Verdana" w:cs="Arial"/>
          <w:vertAlign w:val="superscript"/>
          <w:lang w:val="es-MX" w:eastAsia="es-CO"/>
        </w:rPr>
        <w:footnoteReference w:id="8"/>
      </w:r>
      <w:r w:rsidRPr="002E76E6">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2E76E6">
        <w:rPr>
          <w:rFonts w:ascii="Verdana" w:eastAsia="Calibri" w:hAnsi="Verdana" w:cs="Arial"/>
          <w:lang w:val="es-ES_tradnl"/>
        </w:rPr>
        <w:t xml:space="preserve"> </w:t>
      </w:r>
      <w:bookmarkEnd w:id="13"/>
      <w:r w:rsidRPr="002E76E6">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A382BD6" w14:textId="77777777" w:rsidR="00035478" w:rsidRPr="002E76E6" w:rsidRDefault="00035478" w:rsidP="00035478">
      <w:pPr>
        <w:spacing w:after="0" w:line="276" w:lineRule="auto"/>
        <w:ind w:right="709"/>
        <w:contextualSpacing/>
        <w:jc w:val="both"/>
        <w:rPr>
          <w:rFonts w:ascii="Verdana" w:eastAsia="Times New Roman" w:hAnsi="Verdana" w:cs="Arial"/>
          <w:sz w:val="21"/>
          <w:szCs w:val="21"/>
          <w:lang w:val="es-ES" w:eastAsia="es-CO"/>
        </w:rPr>
      </w:pPr>
    </w:p>
    <w:p w14:paraId="17F675FB" w14:textId="77777777" w:rsidR="00035478" w:rsidRPr="002E76E6" w:rsidRDefault="00035478" w:rsidP="00035478">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ES" w:eastAsia="es-CO"/>
        </w:rPr>
        <w:t xml:space="preserve">“[…] </w:t>
      </w:r>
      <w:r w:rsidRPr="002E76E6">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518CB5D" w14:textId="77777777" w:rsidR="00035478" w:rsidRPr="002E76E6" w:rsidRDefault="00035478" w:rsidP="00035478">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 xml:space="preserve">[…] </w:t>
      </w:r>
    </w:p>
    <w:p w14:paraId="033E9CEF" w14:textId="77777777" w:rsidR="00035478" w:rsidRPr="002E76E6" w:rsidRDefault="00035478" w:rsidP="00035478">
      <w:pPr>
        <w:spacing w:after="0" w:line="240" w:lineRule="auto"/>
        <w:ind w:left="709" w:right="709"/>
        <w:contextualSpacing/>
        <w:jc w:val="both"/>
        <w:rPr>
          <w:rFonts w:ascii="Verdana" w:eastAsia="Times New Roman" w:hAnsi="Verdana" w:cs="Arial"/>
          <w:sz w:val="20"/>
          <w:szCs w:val="20"/>
          <w:lang w:val="es-MX" w:eastAsia="es-CO"/>
        </w:rPr>
      </w:pPr>
    </w:p>
    <w:p w14:paraId="141730C1" w14:textId="77777777" w:rsidR="00035478" w:rsidRPr="002E76E6" w:rsidRDefault="00035478" w:rsidP="00035478">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2E76E6">
        <w:rPr>
          <w:rFonts w:ascii="Verdana" w:eastAsia="Calibri" w:hAnsi="Verdana" w:cs="Arial"/>
          <w:sz w:val="20"/>
          <w:szCs w:val="20"/>
          <w:vertAlign w:val="superscript"/>
          <w:lang w:val="es-MX"/>
        </w:rPr>
        <w:footnoteReference w:id="9"/>
      </w:r>
      <w:r w:rsidRPr="002E76E6">
        <w:rPr>
          <w:rFonts w:ascii="Verdana" w:eastAsia="Times New Roman" w:hAnsi="Verdana" w:cs="Arial"/>
          <w:sz w:val="20"/>
          <w:szCs w:val="20"/>
          <w:lang w:val="es-MX" w:eastAsia="es-CO"/>
        </w:rPr>
        <w:t>.</w:t>
      </w:r>
    </w:p>
    <w:p w14:paraId="58B60ADF" w14:textId="77777777" w:rsidR="00035478" w:rsidRPr="002E76E6" w:rsidRDefault="00035478" w:rsidP="00035478">
      <w:pPr>
        <w:spacing w:after="0" w:line="276" w:lineRule="auto"/>
        <w:ind w:left="709" w:right="709"/>
        <w:jc w:val="both"/>
        <w:rPr>
          <w:rFonts w:ascii="Verdana" w:eastAsia="Times New Roman" w:hAnsi="Verdana" w:cs="Arial"/>
          <w:lang w:val="es-MX" w:eastAsia="es-CO"/>
        </w:rPr>
      </w:pPr>
    </w:p>
    <w:p w14:paraId="5ACBE4AD" w14:textId="57F4ACBB" w:rsidR="00035478" w:rsidRPr="002E76E6" w:rsidRDefault="00035478" w:rsidP="00035478">
      <w:pPr>
        <w:spacing w:after="120" w:line="276" w:lineRule="auto"/>
        <w:ind w:firstLine="709"/>
        <w:jc w:val="both"/>
        <w:rPr>
          <w:rFonts w:ascii="Verdana" w:eastAsia="Times New Roman" w:hAnsi="Verdana" w:cs="Arial"/>
          <w:lang w:val="es-MX" w:eastAsia="es-CO"/>
        </w:rPr>
      </w:pPr>
      <w:bookmarkStart w:id="14" w:name="_Hlk78818186"/>
      <w:r w:rsidRPr="002E76E6">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w:t>
      </w:r>
      <w:r w:rsidR="00B2476E" w:rsidRPr="002E76E6">
        <w:rPr>
          <w:rFonts w:ascii="Verdana" w:eastAsia="Times New Roman" w:hAnsi="Verdana" w:cs="Arial"/>
          <w:lang w:val="es-MX" w:eastAsia="es-CO"/>
        </w:rPr>
        <w:t>los aspirantes</w:t>
      </w:r>
      <w:r w:rsidRPr="002E76E6">
        <w:rPr>
          <w:rFonts w:ascii="Verdana" w:eastAsia="Times New Roman" w:hAnsi="Verdana" w:cs="Arial"/>
          <w:lang w:val="es-MX" w:eastAsia="es-CO"/>
        </w:rPr>
        <w:t xml:space="preserve">. Paralelamente, incluye restricciones en el actuar de los servidores públicos, evitando interferencias en la contienda electoral, así como la posible desviación de recursos públicos en aspiraciones electorales. </w:t>
      </w:r>
      <w:bookmarkEnd w:id="14"/>
      <w:r w:rsidRPr="002E76E6">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5B10AE9E" w14:textId="77777777" w:rsidR="00035478" w:rsidRPr="002E76E6" w:rsidRDefault="00035478" w:rsidP="00035478">
      <w:pPr>
        <w:spacing w:after="0" w:line="276" w:lineRule="auto"/>
        <w:ind w:firstLine="709"/>
        <w:jc w:val="both"/>
        <w:rPr>
          <w:rFonts w:ascii="Verdana" w:eastAsia="Times New Roman" w:hAnsi="Verdana" w:cs="Arial"/>
          <w:lang w:val="es-MX" w:eastAsia="es-CO"/>
        </w:rPr>
      </w:pPr>
      <w:r w:rsidRPr="002E76E6">
        <w:rPr>
          <w:rFonts w:ascii="Verdana" w:eastAsia="Times New Roman" w:hAnsi="Verdana" w:cs="Arial"/>
          <w:lang w:val="es-MX" w:eastAsia="es-CO"/>
        </w:rPr>
        <w:t>En efecto, la Sala de Consulta y Servicio Civil del Consejo de Estado, precisó lo siguiente:</w:t>
      </w:r>
    </w:p>
    <w:p w14:paraId="2A07C136" w14:textId="77777777" w:rsidR="00035478" w:rsidRPr="002E76E6" w:rsidRDefault="00035478" w:rsidP="00035478">
      <w:pPr>
        <w:spacing w:after="0" w:line="276" w:lineRule="auto"/>
        <w:ind w:firstLine="709"/>
        <w:jc w:val="both"/>
        <w:rPr>
          <w:rFonts w:ascii="Verdana" w:eastAsia="Times New Roman" w:hAnsi="Verdana" w:cs="Arial"/>
          <w:lang w:val="es-MX" w:eastAsia="es-CO"/>
        </w:rPr>
      </w:pPr>
    </w:p>
    <w:p w14:paraId="068BF7FB" w14:textId="77777777" w:rsidR="00035478" w:rsidRPr="002E76E6" w:rsidRDefault="00035478" w:rsidP="00035478">
      <w:pPr>
        <w:spacing w:after="0" w:line="240" w:lineRule="auto"/>
        <w:ind w:left="709" w:right="709"/>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2E76E6">
        <w:rPr>
          <w:rFonts w:ascii="Verdana" w:eastAsia="Times New Roman" w:hAnsi="Verdana" w:cs="Arial"/>
          <w:sz w:val="20"/>
          <w:szCs w:val="20"/>
          <w:lang w:val="es-MX" w:eastAsia="es-CO"/>
        </w:rPr>
        <w:t>legis</w:t>
      </w:r>
      <w:proofErr w:type="spellEnd"/>
      <w:r w:rsidRPr="002E76E6">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B516F9" w14:textId="77777777" w:rsidR="00035478" w:rsidRPr="002E76E6" w:rsidRDefault="00035478" w:rsidP="00035478">
      <w:pPr>
        <w:spacing w:after="0" w:line="240" w:lineRule="auto"/>
        <w:ind w:left="709" w:right="709"/>
        <w:jc w:val="both"/>
        <w:rPr>
          <w:rFonts w:ascii="Verdana" w:eastAsia="Times New Roman" w:hAnsi="Verdana" w:cs="Arial"/>
          <w:sz w:val="12"/>
          <w:szCs w:val="12"/>
          <w:lang w:val="es-MX" w:eastAsia="es-CO"/>
        </w:rPr>
      </w:pPr>
    </w:p>
    <w:p w14:paraId="383F308A" w14:textId="77777777" w:rsidR="00035478" w:rsidRPr="002E76E6" w:rsidRDefault="00035478" w:rsidP="00035478">
      <w:pPr>
        <w:spacing w:after="0" w:line="240" w:lineRule="auto"/>
        <w:ind w:left="709" w:right="709"/>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La jurisprudencia de la Corte Constitucional</w:t>
      </w:r>
      <w:r w:rsidRPr="002E76E6">
        <w:rPr>
          <w:rFonts w:ascii="Verdana" w:eastAsia="Times New Roman" w:hAnsi="Verdana" w:cs="Arial"/>
          <w:sz w:val="20"/>
          <w:szCs w:val="20"/>
          <w:vertAlign w:val="superscript"/>
          <w:lang w:val="es-MX" w:eastAsia="es-CO"/>
        </w:rPr>
        <w:footnoteReference w:id="10"/>
      </w:r>
      <w:r w:rsidRPr="002E76E6">
        <w:rPr>
          <w:rFonts w:ascii="Verdana" w:eastAsia="Times New Roman" w:hAnsi="Verdana" w:cs="Arial"/>
          <w:sz w:val="20"/>
          <w:szCs w:val="20"/>
          <w:lang w:val="es-MX" w:eastAsia="es-CO"/>
        </w:rPr>
        <w:t> y del Consejo de Estado</w:t>
      </w:r>
      <w:r w:rsidRPr="002E76E6">
        <w:rPr>
          <w:rFonts w:ascii="Verdana" w:eastAsia="Times New Roman" w:hAnsi="Verdana" w:cs="Arial"/>
          <w:sz w:val="20"/>
          <w:szCs w:val="20"/>
          <w:vertAlign w:val="superscript"/>
          <w:lang w:val="es-MX" w:eastAsia="es-CO"/>
        </w:rPr>
        <w:footnoteReference w:id="11"/>
      </w:r>
      <w:r w:rsidRPr="002E76E6">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2E76E6">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2E76E6">
        <w:rPr>
          <w:rFonts w:ascii="Verdana" w:eastAsia="Times New Roman" w:hAnsi="Verdana" w:cs="Arial"/>
          <w:sz w:val="20"/>
          <w:szCs w:val="20"/>
          <w:vertAlign w:val="superscript"/>
          <w:lang w:val="es-MX" w:eastAsia="es-CO"/>
        </w:rPr>
        <w:footnoteReference w:id="12"/>
      </w:r>
      <w:r w:rsidRPr="002E76E6">
        <w:rPr>
          <w:rFonts w:ascii="Verdana" w:eastAsia="Times New Roman" w:hAnsi="Verdana" w:cs="Arial"/>
          <w:sz w:val="20"/>
          <w:szCs w:val="20"/>
          <w:lang w:val="es-MX" w:eastAsia="es-CO"/>
        </w:rPr>
        <w:t>.</w:t>
      </w:r>
    </w:p>
    <w:p w14:paraId="6B35EF0E" w14:textId="77777777" w:rsidR="00035478" w:rsidRPr="002E76E6" w:rsidRDefault="00035478" w:rsidP="00035478">
      <w:pPr>
        <w:spacing w:after="0" w:line="276" w:lineRule="auto"/>
        <w:ind w:right="709"/>
        <w:contextualSpacing/>
        <w:jc w:val="both"/>
        <w:rPr>
          <w:rFonts w:ascii="Verdana" w:eastAsia="Times New Roman" w:hAnsi="Verdana" w:cs="Arial"/>
          <w:sz w:val="21"/>
          <w:szCs w:val="21"/>
          <w:lang w:val="es-MX" w:eastAsia="es-CO"/>
        </w:rPr>
      </w:pPr>
    </w:p>
    <w:p w14:paraId="0F20CC86" w14:textId="77777777" w:rsidR="00035478" w:rsidRPr="002E76E6" w:rsidRDefault="00035478" w:rsidP="00035478">
      <w:pPr>
        <w:spacing w:after="120" w:line="276" w:lineRule="auto"/>
        <w:jc w:val="both"/>
        <w:rPr>
          <w:rFonts w:ascii="Verdana" w:eastAsia="Arial" w:hAnsi="Verdana" w:cs="Arial"/>
          <w:lang w:val="es-ES" w:eastAsia="es-ES" w:bidi="es-ES"/>
        </w:rPr>
      </w:pPr>
      <w:r w:rsidRPr="002E76E6">
        <w:rPr>
          <w:rFonts w:ascii="Verdana" w:eastAsia="Times New Roman" w:hAnsi="Verdana" w:cs="Arial"/>
          <w:lang w:val="es-MX" w:eastAsia="es-CO"/>
        </w:rPr>
        <w:tab/>
        <w:t>De</w:t>
      </w:r>
      <w:r w:rsidRPr="002E76E6">
        <w:rPr>
          <w:rFonts w:ascii="Verdana" w:eastAsia="Arial" w:hAnsi="Verdana" w:cs="Arial"/>
          <w:lang w:val="es-ES" w:eastAsia="es-ES" w:bidi="es-ES"/>
        </w:rPr>
        <w:t xml:space="preserve"> conformidad con lo anterior, </w:t>
      </w:r>
      <w:bookmarkStart w:id="15" w:name="_Hlk77236098"/>
      <w:bookmarkStart w:id="16" w:name="_Hlk100679383"/>
      <w:r w:rsidRPr="002E76E6">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5"/>
    </w:p>
    <w:p w14:paraId="7852DB76" w14:textId="77777777" w:rsidR="00035478" w:rsidRPr="002E76E6" w:rsidRDefault="00035478" w:rsidP="00035478">
      <w:pPr>
        <w:spacing w:after="120" w:line="276" w:lineRule="auto"/>
        <w:ind w:firstLine="708"/>
        <w:jc w:val="both"/>
        <w:rPr>
          <w:rFonts w:ascii="Verdana" w:eastAsia="Calibri" w:hAnsi="Verdana" w:cs="Arial"/>
        </w:rPr>
      </w:pPr>
      <w:r w:rsidRPr="002E76E6">
        <w:rPr>
          <w:rFonts w:ascii="Verdana" w:eastAsia="Calibri" w:hAnsi="Verdana" w:cs="Arial"/>
          <w:i/>
          <w:iCs/>
        </w:rPr>
        <w:t>Por un lado</w:t>
      </w:r>
      <w:r w:rsidRPr="002E76E6">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E76E6">
        <w:rPr>
          <w:rFonts w:ascii="Verdana" w:eastAsia="Calibri" w:hAnsi="Verdana" w:cs="Arial"/>
          <w:vertAlign w:val="superscript"/>
        </w:rPr>
        <w:footnoteReference w:id="13"/>
      </w:r>
      <w:r w:rsidRPr="002E76E6">
        <w:rPr>
          <w:rFonts w:ascii="Verdana" w:eastAsia="Calibri" w:hAnsi="Verdana" w:cs="Arial"/>
        </w:rPr>
        <w:t>.</w:t>
      </w:r>
    </w:p>
    <w:p w14:paraId="1DBA3335" w14:textId="77777777" w:rsidR="00035478" w:rsidRPr="002E76E6" w:rsidRDefault="00035478" w:rsidP="00035478">
      <w:pPr>
        <w:widowControl w:val="0"/>
        <w:autoSpaceDE w:val="0"/>
        <w:autoSpaceDN w:val="0"/>
        <w:spacing w:after="120" w:line="276" w:lineRule="auto"/>
        <w:ind w:firstLine="709"/>
        <w:jc w:val="both"/>
        <w:rPr>
          <w:rFonts w:ascii="Verdana" w:eastAsia="Arial" w:hAnsi="Verdana" w:cs="Arial"/>
          <w:lang w:val="es-ES" w:eastAsia="es-ES" w:bidi="es-ES"/>
        </w:rPr>
      </w:pPr>
      <w:r w:rsidRPr="002E76E6">
        <w:rPr>
          <w:rFonts w:ascii="Verdana" w:eastAsia="Calibri" w:hAnsi="Verdana" w:cs="Arial"/>
          <w:i/>
          <w:iCs/>
        </w:rPr>
        <w:t>Por otro</w:t>
      </w:r>
      <w:r w:rsidRPr="002E76E6">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w:t>
      </w:r>
      <w:r w:rsidRPr="002E76E6">
        <w:rPr>
          <w:rFonts w:ascii="Verdana" w:eastAsia="Calibri" w:hAnsi="Verdana" w:cs="Arial"/>
        </w:rPr>
        <w:lastRenderedPageBreak/>
        <w:t xml:space="preserve">gerentes y directores de entidades descentralizadas del orden municipal, departamental o distrital “[…] </w:t>
      </w:r>
      <w:r w:rsidRPr="002E76E6">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76E6">
        <w:rPr>
          <w:rFonts w:ascii="Verdana" w:eastAsia="Calibri" w:hAnsi="Verdana" w:cs="Arial"/>
          <w:sz w:val="19"/>
          <w:szCs w:val="19"/>
        </w:rPr>
        <w:t>”</w:t>
      </w:r>
      <w:bookmarkEnd w:id="16"/>
      <w:r w:rsidRPr="002E76E6">
        <w:rPr>
          <w:rFonts w:ascii="Verdana" w:eastAsia="Calibri" w:hAnsi="Verdana" w:cs="Arial"/>
          <w:sz w:val="19"/>
          <w:szCs w:val="19"/>
          <w:vertAlign w:val="superscript"/>
        </w:rPr>
        <w:footnoteReference w:id="14"/>
      </w:r>
      <w:r w:rsidRPr="002E76E6">
        <w:rPr>
          <w:rFonts w:ascii="Verdana" w:eastAsia="Calibri" w:hAnsi="Verdana" w:cs="Arial"/>
          <w:lang w:val="es-MX"/>
        </w:rPr>
        <w:t>.</w:t>
      </w:r>
      <w:r w:rsidRPr="002E76E6">
        <w:rPr>
          <w:rFonts w:ascii="Verdana" w:eastAsia="Arial" w:hAnsi="Verdana" w:cs="Arial"/>
          <w:lang w:val="es-ES" w:eastAsia="es-ES" w:bidi="es-ES"/>
        </w:rPr>
        <w:t xml:space="preserve"> </w:t>
      </w:r>
    </w:p>
    <w:p w14:paraId="0B4B3D1E" w14:textId="77777777" w:rsidR="00035478" w:rsidRPr="002E76E6" w:rsidRDefault="00035478" w:rsidP="00035478">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2E76E6">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6074589A" w14:textId="77777777" w:rsidR="00035478" w:rsidRPr="002E76E6" w:rsidRDefault="00035478" w:rsidP="00035478">
      <w:pPr>
        <w:widowControl w:val="0"/>
        <w:autoSpaceDE w:val="0"/>
        <w:autoSpaceDN w:val="0"/>
        <w:spacing w:after="0" w:line="276" w:lineRule="auto"/>
        <w:contextualSpacing/>
        <w:jc w:val="both"/>
        <w:rPr>
          <w:rFonts w:ascii="Verdana" w:eastAsia="Arial" w:hAnsi="Verdana" w:cs="Arial"/>
          <w:lang w:val="es-ES" w:eastAsia="es-ES" w:bidi="es-ES"/>
        </w:rPr>
      </w:pPr>
    </w:p>
    <w:p w14:paraId="6A77E854" w14:textId="77777777" w:rsidR="00035478" w:rsidRPr="002E76E6" w:rsidRDefault="00035478" w:rsidP="00035478">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2E76E6">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9" w:name="_Hlk76109421"/>
      <w:r w:rsidRPr="002E76E6">
        <w:rPr>
          <w:rFonts w:ascii="Verdana" w:eastAsia="Arial" w:hAnsi="Verdana" w:cs="Arial"/>
          <w:sz w:val="20"/>
          <w:szCs w:val="20"/>
          <w:lang w:val="es-ES" w:eastAsia="es-ES" w:bidi="es-ES"/>
        </w:rPr>
        <w:t>se integran parcialmente</w:t>
      </w:r>
      <w:bookmarkEnd w:id="19"/>
      <w:r w:rsidRPr="002E76E6">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2E76E6">
        <w:rPr>
          <w:rFonts w:ascii="Verdana" w:eastAsia="Arial" w:hAnsi="Verdana" w:cs="Arial"/>
          <w:sz w:val="20"/>
          <w:szCs w:val="20"/>
          <w:lang w:val="es-ES" w:eastAsia="es-ES" w:bidi="es-ES"/>
        </w:rPr>
        <w:t>Presidente</w:t>
      </w:r>
      <w:proofErr w:type="gramEnd"/>
      <w:r w:rsidRPr="002E76E6">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2E76E6">
        <w:rPr>
          <w:rFonts w:ascii="Verdana" w:eastAsia="Arial" w:hAnsi="Verdana" w:cs="Arial"/>
          <w:sz w:val="20"/>
          <w:szCs w:val="20"/>
          <w:vertAlign w:val="superscript"/>
          <w:lang w:val="es-ES" w:eastAsia="es-ES" w:bidi="es-ES"/>
        </w:rPr>
        <w:footnoteReference w:id="15"/>
      </w:r>
      <w:r w:rsidRPr="002E76E6">
        <w:rPr>
          <w:rFonts w:ascii="Verdana" w:eastAsia="Arial" w:hAnsi="Verdana" w:cs="Arial"/>
          <w:sz w:val="20"/>
          <w:szCs w:val="20"/>
          <w:lang w:val="es-ES" w:eastAsia="es-ES" w:bidi="es-ES"/>
        </w:rPr>
        <w:t>.</w:t>
      </w:r>
    </w:p>
    <w:p w14:paraId="1518DD4C" w14:textId="77777777" w:rsidR="00035478" w:rsidRPr="002E76E6" w:rsidRDefault="00035478" w:rsidP="00035478">
      <w:pPr>
        <w:widowControl w:val="0"/>
        <w:autoSpaceDE w:val="0"/>
        <w:autoSpaceDN w:val="0"/>
        <w:spacing w:after="0" w:line="276" w:lineRule="auto"/>
        <w:contextualSpacing/>
        <w:rPr>
          <w:rFonts w:ascii="Verdana" w:eastAsia="Arial" w:hAnsi="Verdana" w:cs="Arial"/>
          <w:lang w:val="es-ES" w:eastAsia="es-ES" w:bidi="es-ES"/>
        </w:rPr>
      </w:pPr>
    </w:p>
    <w:p w14:paraId="75EE6CF8" w14:textId="77777777" w:rsidR="00035478" w:rsidRPr="002E76E6" w:rsidRDefault="00035478" w:rsidP="00035478">
      <w:pPr>
        <w:spacing w:after="120" w:line="276" w:lineRule="auto"/>
        <w:ind w:firstLine="709"/>
        <w:jc w:val="both"/>
        <w:rPr>
          <w:rFonts w:ascii="Verdana" w:eastAsia="Arial" w:hAnsi="Verdana" w:cs="Arial"/>
          <w:lang w:val="es-ES" w:eastAsia="es-ES" w:bidi="es-ES"/>
        </w:rPr>
      </w:pPr>
      <w:r w:rsidRPr="002E76E6">
        <w:rPr>
          <w:rFonts w:ascii="Verdana" w:eastAsia="Arial" w:hAnsi="Verdana" w:cs="Arial"/>
          <w:lang w:val="es-ES" w:eastAsia="es-ES" w:bidi="es-ES"/>
        </w:rPr>
        <w:t xml:space="preserve">De conformidad con lo anterior, </w:t>
      </w:r>
      <w:bookmarkStart w:id="20" w:name="_Hlk77236420"/>
      <w:bookmarkStart w:id="21" w:name="_Hlk78818435"/>
      <w:bookmarkStart w:id="22" w:name="_Hlk75780333"/>
      <w:r w:rsidRPr="002E76E6">
        <w:rPr>
          <w:rFonts w:ascii="Verdana" w:eastAsia="Arial" w:hAnsi="Verdana" w:cs="Arial"/>
          <w:lang w:val="es-ES" w:eastAsia="es-ES" w:bidi="es-ES"/>
        </w:rPr>
        <w:t xml:space="preserve">la Ley 996 de 2005 establece dos (2) tipos de restricciones en materia de contratación, las cuales coinciden parcialmente. </w:t>
      </w:r>
      <w:r w:rsidRPr="002E76E6">
        <w:rPr>
          <w:rFonts w:ascii="Verdana" w:eastAsia="Arial" w:hAnsi="Verdana" w:cs="Arial"/>
          <w:i/>
          <w:lang w:val="es-ES" w:eastAsia="es-ES" w:bidi="es-ES"/>
        </w:rPr>
        <w:lastRenderedPageBreak/>
        <w:t>En primer lugar</w:t>
      </w:r>
      <w:r w:rsidRPr="002E76E6">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76E6">
        <w:rPr>
          <w:rFonts w:ascii="Verdana" w:eastAsia="Arial" w:hAnsi="Verdana" w:cs="Arial"/>
          <w:i/>
          <w:lang w:val="es-ES" w:eastAsia="es-ES" w:bidi="es-ES"/>
        </w:rPr>
        <w:t>En segundo lugar</w:t>
      </w:r>
      <w:r w:rsidRPr="002E76E6">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20"/>
    </w:p>
    <w:bookmarkEnd w:id="21"/>
    <w:p w14:paraId="56D7676B" w14:textId="77777777" w:rsidR="00035478" w:rsidRPr="002E76E6" w:rsidRDefault="00035478" w:rsidP="00035478">
      <w:pPr>
        <w:spacing w:after="120" w:line="276" w:lineRule="auto"/>
        <w:ind w:firstLine="709"/>
        <w:jc w:val="both"/>
        <w:rPr>
          <w:rFonts w:ascii="Verdana" w:eastAsia="Arial" w:hAnsi="Verdana" w:cs="Arial"/>
          <w:lang w:val="es-ES" w:eastAsia="es-ES" w:bidi="es-ES"/>
        </w:rPr>
      </w:pPr>
      <w:r w:rsidRPr="002E76E6">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2E76E6">
        <w:rPr>
          <w:rFonts w:ascii="Verdana" w:eastAsia="Arial" w:hAnsi="Verdana" w:cs="Arial"/>
          <w:lang w:val="es-ES" w:eastAsia="es-ES" w:bidi="es-ES"/>
        </w:rPr>
        <w:t>Presidente</w:t>
      </w:r>
      <w:proofErr w:type="gramEnd"/>
      <w:r w:rsidRPr="002E76E6">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2E76E6">
        <w:rPr>
          <w:rFonts w:ascii="Verdana" w:eastAsia="Arial" w:hAnsi="Verdana" w:cs="Arial"/>
          <w:lang w:val="es-ES" w:eastAsia="es-ES" w:bidi="es-ES"/>
        </w:rPr>
        <w:t>Presidente</w:t>
      </w:r>
      <w:proofErr w:type="gramEnd"/>
      <w:r w:rsidRPr="002E76E6">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22"/>
    <w:p w14:paraId="20A7617E" w14:textId="77777777" w:rsidR="00035478" w:rsidRPr="002E76E6" w:rsidRDefault="00035478" w:rsidP="00035478">
      <w:pPr>
        <w:spacing w:after="0" w:line="276" w:lineRule="auto"/>
        <w:ind w:firstLine="708"/>
        <w:jc w:val="both"/>
        <w:rPr>
          <w:rFonts w:ascii="Verdana" w:eastAsia="Arial" w:hAnsi="Verdana" w:cs="Arial"/>
          <w:lang w:val="es-ES" w:eastAsia="es-ES" w:bidi="es-ES"/>
        </w:rPr>
      </w:pPr>
      <w:r w:rsidRPr="002E76E6">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2E76E6">
        <w:rPr>
          <w:rFonts w:ascii="Verdana" w:eastAsia="Arial" w:hAnsi="Verdana" w:cs="Arial"/>
          <w:lang w:val="es-ES" w:eastAsia="es-ES" w:bidi="es-ES"/>
        </w:rPr>
        <w:t>Presidente</w:t>
      </w:r>
      <w:proofErr w:type="gramEnd"/>
      <w:r w:rsidRPr="002E76E6">
        <w:rPr>
          <w:rFonts w:ascii="Verdana" w:eastAsia="Arial" w:hAnsi="Verdana" w:cs="Arial"/>
          <w:lang w:val="es-ES" w:eastAsia="es-ES" w:bidi="es-ES"/>
        </w:rPr>
        <w:t xml:space="preserve"> o el </w:t>
      </w:r>
      <w:proofErr w:type="gramStart"/>
      <w:r w:rsidRPr="002E76E6">
        <w:rPr>
          <w:rFonts w:ascii="Verdana" w:eastAsia="Arial" w:hAnsi="Verdana" w:cs="Arial"/>
          <w:lang w:val="es-ES" w:eastAsia="es-ES" w:bidi="es-ES"/>
        </w:rPr>
        <w:t>Vicepresidente</w:t>
      </w:r>
      <w:proofErr w:type="gramEnd"/>
      <w:r w:rsidRPr="002E76E6">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5053EEA5" w14:textId="77777777" w:rsidR="00035478" w:rsidRPr="002E76E6" w:rsidRDefault="00035478" w:rsidP="00035478">
      <w:pPr>
        <w:spacing w:after="0" w:line="276" w:lineRule="auto"/>
        <w:jc w:val="both"/>
        <w:rPr>
          <w:rFonts w:ascii="Verdana" w:eastAsia="Arial" w:hAnsi="Verdana" w:cs="Arial"/>
          <w:lang w:val="es-ES" w:eastAsia="es-ES" w:bidi="es-ES"/>
        </w:rPr>
      </w:pPr>
    </w:p>
    <w:p w14:paraId="3EF721E8" w14:textId="61A85B87" w:rsidR="00035478" w:rsidRPr="002E76E6" w:rsidRDefault="00035478" w:rsidP="00035478">
      <w:pPr>
        <w:spacing w:after="0" w:line="276" w:lineRule="auto"/>
        <w:jc w:val="both"/>
        <w:rPr>
          <w:rFonts w:ascii="Verdana" w:hAnsi="Verdana" w:cs="Arial"/>
          <w:bCs/>
          <w:lang w:val="es-MX" w:eastAsia="es-CO"/>
        </w:rPr>
      </w:pPr>
      <w:proofErr w:type="spellStart"/>
      <w:r w:rsidRPr="009001AD">
        <w:rPr>
          <w:rFonts w:ascii="Verdana" w:eastAsia="Arial" w:hAnsi="Verdana" w:cs="Arial"/>
          <w:lang w:val="es-ES" w:eastAsia="es-ES" w:bidi="es-ES"/>
        </w:rPr>
        <w:lastRenderedPageBreak/>
        <w:t>ii</w:t>
      </w:r>
      <w:r w:rsidR="00E123B3" w:rsidRPr="009001AD">
        <w:rPr>
          <w:rFonts w:ascii="Verdana" w:eastAsia="Arial" w:hAnsi="Verdana" w:cs="Arial"/>
          <w:lang w:val="es-ES" w:eastAsia="es-ES" w:bidi="es-ES"/>
        </w:rPr>
        <w:t>i</w:t>
      </w:r>
      <w:proofErr w:type="spellEnd"/>
      <w:r w:rsidRPr="009001AD">
        <w:rPr>
          <w:rFonts w:ascii="Verdana" w:eastAsia="Arial" w:hAnsi="Verdana" w:cs="Arial"/>
          <w:lang w:val="es-ES" w:eastAsia="es-ES" w:bidi="es-ES"/>
        </w:rPr>
        <w:t xml:space="preserve">. </w:t>
      </w:r>
      <w:r w:rsidRPr="009001AD">
        <w:rPr>
          <w:rFonts w:ascii="Verdana" w:hAnsi="Verdana" w:cs="Arial"/>
          <w:bCs/>
          <w:lang w:val="es-MX" w:eastAsia="x-none"/>
        </w:rPr>
        <w:t xml:space="preserve">El ámbito material de la prohibición contenida en el artículo 33 de la Ley 996 de 2005 está delimitado por la expresión </w:t>
      </w:r>
      <w:r w:rsidRPr="009001AD">
        <w:rPr>
          <w:rFonts w:ascii="Verdana" w:eastAsia="Calibri" w:hAnsi="Verdana" w:cs="Arial"/>
          <w:bCs/>
          <w:sz w:val="20"/>
          <w:szCs w:val="20"/>
          <w:lang w:val="es-MX"/>
        </w:rPr>
        <w:t>“</w:t>
      </w:r>
      <w:r w:rsidRPr="009001AD">
        <w:rPr>
          <w:rFonts w:ascii="Verdana" w:hAnsi="Verdana" w:cs="Arial"/>
          <w:bCs/>
          <w:lang w:val="es-MX" w:eastAsia="x-none"/>
        </w:rPr>
        <w:t>queda prohibida la contratación directa</w:t>
      </w:r>
      <w:r w:rsidRPr="009001AD">
        <w:rPr>
          <w:rFonts w:ascii="Verdana" w:hAnsi="Verdana" w:cs="Arial"/>
          <w:sz w:val="20"/>
          <w:szCs w:val="20"/>
          <w:lang w:val="es-MX"/>
        </w:rPr>
        <w:t>”</w:t>
      </w:r>
      <w:r w:rsidRPr="009001AD">
        <w:rPr>
          <w:rFonts w:ascii="Verdana" w:hAnsi="Verdana" w:cs="Arial"/>
          <w:bCs/>
          <w:lang w:val="es-MX" w:eastAsia="x-none"/>
        </w:rPr>
        <w:t xml:space="preserve">. </w:t>
      </w:r>
      <w:r w:rsidRPr="009001AD">
        <w:rPr>
          <w:rFonts w:ascii="Verdana" w:hAnsi="Verdana" w:cs="Arial"/>
          <w:lang w:val="es-MX" w:eastAsia="es-CO"/>
        </w:rPr>
        <w:t xml:space="preserve">A propósito de </w:t>
      </w:r>
      <w:r w:rsidRPr="009001AD">
        <w:rPr>
          <w:rFonts w:ascii="Verdana" w:hAnsi="Verdana" w:cs="Arial"/>
          <w:lang w:eastAsia="es-CO"/>
        </w:rPr>
        <w:t>esta restricción de la Ley de Garantías Electorales, la Sala de Consulta y Servicio Civil del Consejo de Estado ha considerado que:</w:t>
      </w:r>
    </w:p>
    <w:p w14:paraId="29DCA5B0" w14:textId="77777777" w:rsidR="00035478" w:rsidRPr="002E76E6" w:rsidRDefault="00035478" w:rsidP="00035478">
      <w:pPr>
        <w:spacing w:after="0" w:line="276" w:lineRule="auto"/>
        <w:jc w:val="both"/>
        <w:rPr>
          <w:rFonts w:ascii="Verdana" w:hAnsi="Verdana" w:cs="Arial"/>
          <w:lang w:val="es-MX"/>
        </w:rPr>
      </w:pPr>
    </w:p>
    <w:p w14:paraId="10CD13B4" w14:textId="77777777" w:rsidR="00035478" w:rsidRPr="002E76E6" w:rsidRDefault="00035478" w:rsidP="00035478">
      <w:pPr>
        <w:spacing w:after="0" w:line="240" w:lineRule="auto"/>
        <w:ind w:left="709" w:right="709"/>
        <w:jc w:val="both"/>
        <w:rPr>
          <w:rFonts w:ascii="Verdana" w:hAnsi="Verdana" w:cs="Arial"/>
          <w:sz w:val="20"/>
          <w:szCs w:val="20"/>
          <w:lang w:val="es-MX"/>
        </w:rPr>
      </w:pPr>
      <w:r w:rsidRPr="002E76E6">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E76E6">
        <w:rPr>
          <w:rFonts w:ascii="Verdana" w:hAnsi="Verdana" w:cs="Arial"/>
          <w:sz w:val="20"/>
          <w:szCs w:val="20"/>
          <w:vertAlign w:val="superscript"/>
          <w:lang w:eastAsia="es-CO"/>
        </w:rPr>
        <w:footnoteReference w:id="16"/>
      </w:r>
      <w:r w:rsidRPr="002E76E6">
        <w:rPr>
          <w:rFonts w:ascii="Verdana" w:hAnsi="Verdana" w:cs="Arial"/>
          <w:sz w:val="20"/>
          <w:szCs w:val="20"/>
          <w:lang w:val="es-MX"/>
        </w:rPr>
        <w:t>.</w:t>
      </w:r>
    </w:p>
    <w:p w14:paraId="26798DCD" w14:textId="77777777" w:rsidR="00035478" w:rsidRPr="002E76E6" w:rsidRDefault="00035478" w:rsidP="00035478">
      <w:pPr>
        <w:spacing w:after="0" w:line="240" w:lineRule="auto"/>
        <w:ind w:left="709" w:right="709"/>
        <w:jc w:val="both"/>
        <w:rPr>
          <w:rFonts w:ascii="Verdana" w:hAnsi="Verdana" w:cs="Arial"/>
          <w:sz w:val="20"/>
          <w:szCs w:val="20"/>
          <w:lang w:val="es-MX"/>
        </w:rPr>
      </w:pPr>
    </w:p>
    <w:p w14:paraId="2041A7CC" w14:textId="77777777" w:rsidR="00035478" w:rsidRPr="002E76E6" w:rsidRDefault="00035478" w:rsidP="00035478">
      <w:pPr>
        <w:spacing w:after="0" w:line="240" w:lineRule="auto"/>
        <w:ind w:left="708" w:right="709"/>
        <w:jc w:val="both"/>
        <w:rPr>
          <w:rFonts w:ascii="Verdana" w:hAnsi="Verdana" w:cs="Arial"/>
          <w:sz w:val="20"/>
          <w:szCs w:val="20"/>
          <w:lang w:val="es-MX"/>
        </w:rPr>
      </w:pPr>
      <w:r w:rsidRPr="002E76E6">
        <w:rPr>
          <w:rFonts w:ascii="Verdana" w:hAnsi="Verdana" w:cs="Arial"/>
          <w:sz w:val="20"/>
          <w:szCs w:val="20"/>
          <w:lang w:val="es-MX"/>
        </w:rPr>
        <w:t xml:space="preserve">Esta Sala ha entendido </w:t>
      </w:r>
      <w:proofErr w:type="gramStart"/>
      <w:r w:rsidRPr="002E76E6">
        <w:rPr>
          <w:rFonts w:ascii="Verdana" w:hAnsi="Verdana" w:cs="Arial"/>
          <w:sz w:val="20"/>
          <w:szCs w:val="20"/>
          <w:lang w:val="es-MX"/>
        </w:rPr>
        <w:t>que</w:t>
      </w:r>
      <w:proofErr w:type="gramEnd"/>
      <w:r w:rsidRPr="002E76E6">
        <w:rPr>
          <w:rFonts w:ascii="Verdana"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E76E6">
        <w:rPr>
          <w:rFonts w:ascii="Verdana" w:hAnsi="Verdana" w:cs="Arial"/>
          <w:sz w:val="20"/>
          <w:szCs w:val="20"/>
          <w:vertAlign w:val="superscript"/>
          <w:lang w:val="es-MX"/>
        </w:rPr>
        <w:footnoteReference w:id="17"/>
      </w:r>
      <w:r w:rsidRPr="002E76E6">
        <w:rPr>
          <w:rFonts w:ascii="Verdana" w:hAnsi="Verdana" w:cs="Arial"/>
          <w:sz w:val="20"/>
          <w:szCs w:val="20"/>
          <w:vertAlign w:val="superscript"/>
          <w:lang w:val="es-MX"/>
        </w:rPr>
        <w:t>.</w:t>
      </w:r>
      <w:r w:rsidRPr="002E76E6">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E76E6">
        <w:rPr>
          <w:rFonts w:ascii="Verdana" w:hAnsi="Verdana" w:cs="Arial"/>
          <w:sz w:val="20"/>
          <w:szCs w:val="20"/>
          <w:vertAlign w:val="superscript"/>
          <w:lang w:eastAsia="es-CO"/>
        </w:rPr>
        <w:footnoteReference w:id="18"/>
      </w:r>
      <w:r w:rsidRPr="002E76E6">
        <w:rPr>
          <w:rFonts w:ascii="Verdana" w:hAnsi="Verdana" w:cs="Arial"/>
          <w:sz w:val="20"/>
          <w:szCs w:val="20"/>
          <w:lang w:val="es-MX"/>
        </w:rPr>
        <w:t>.</w:t>
      </w:r>
    </w:p>
    <w:p w14:paraId="11CF0B0A" w14:textId="77777777" w:rsidR="00035478" w:rsidRPr="002E76E6" w:rsidRDefault="00035478" w:rsidP="00035478">
      <w:pPr>
        <w:shd w:val="clear" w:color="auto" w:fill="FFFFFF"/>
        <w:spacing w:after="0" w:line="276" w:lineRule="auto"/>
        <w:ind w:firstLine="709"/>
        <w:jc w:val="both"/>
        <w:rPr>
          <w:rFonts w:ascii="Verdana" w:hAnsi="Verdana" w:cs="Arial"/>
          <w:lang w:eastAsia="x-none"/>
        </w:rPr>
      </w:pPr>
    </w:p>
    <w:p w14:paraId="4EE72E83" w14:textId="77777777" w:rsidR="00035478" w:rsidRPr="002E76E6" w:rsidRDefault="00035478" w:rsidP="00035478">
      <w:pPr>
        <w:spacing w:after="120" w:line="276" w:lineRule="auto"/>
        <w:ind w:firstLine="708"/>
        <w:jc w:val="both"/>
        <w:rPr>
          <w:rFonts w:ascii="Verdana" w:hAnsi="Verdana" w:cs="Arial"/>
          <w:bCs/>
          <w:lang w:eastAsia="x-none"/>
        </w:rPr>
      </w:pPr>
      <w:r w:rsidRPr="002E76E6">
        <w:rPr>
          <w:rFonts w:ascii="Verdana" w:hAnsi="Verdana" w:cs="Arial"/>
          <w:lang w:eastAsia="x-none"/>
        </w:rPr>
        <w:t xml:space="preserve">De acuerdo con el citado concepto, la prohibición del artículo 33 de la Ley de Garantías Electorales se refiere a </w:t>
      </w:r>
      <w:r w:rsidRPr="002E76E6">
        <w:rPr>
          <w:rFonts w:ascii="Verdana" w:hAnsi="Verdana" w:cs="Arial"/>
          <w:sz w:val="19"/>
          <w:szCs w:val="19"/>
          <w:lang w:eastAsia="en-GB"/>
        </w:rPr>
        <w:t>“</w:t>
      </w:r>
      <w:r w:rsidRPr="002E76E6">
        <w:rPr>
          <w:rFonts w:ascii="Verdana" w:hAnsi="Verdana" w:cs="Arial"/>
          <w:lang w:eastAsia="x-none"/>
        </w:rPr>
        <w:t>cualquier sistema que no implique convocatoria pública y posibilidad de pluralidad de oferentes</w:t>
      </w:r>
      <w:r w:rsidRPr="002E76E6">
        <w:rPr>
          <w:rFonts w:ascii="Verdana" w:hAnsi="Verdana" w:cs="Arial"/>
          <w:lang w:eastAsia="en-GB"/>
        </w:rPr>
        <w:t>”</w:t>
      </w:r>
      <w:r w:rsidRPr="002E76E6">
        <w:rPr>
          <w:rFonts w:ascii="Verdana" w:hAnsi="Verdana" w:cs="Arial"/>
          <w:lang w:eastAsia="x-none"/>
        </w:rPr>
        <w:t xml:space="preserve">, por lo que excluye las demás modalidades de contratación previstas en la Ley 1150 de 2007, es decir, la licitación pública, la selección abreviada y el concurso de méritos u otros procedimientos abiertos y competitivos previstos en normas especiales. Esta posición es congruente con la expedición de la Ley 1150 de 2007 que, entre </w:t>
      </w:r>
      <w:r w:rsidRPr="002E76E6">
        <w:rPr>
          <w:rFonts w:ascii="Verdana" w:hAnsi="Verdana" w:cs="Arial"/>
          <w:lang w:eastAsia="x-none"/>
        </w:rPr>
        <w:lastRenderedPageBreak/>
        <w:t>otras reformas, introdujo la selección abreviada, rediseñó el concurso de méritos</w:t>
      </w:r>
      <w:r w:rsidRPr="002E76E6">
        <w:rPr>
          <w:rFonts w:ascii="Verdana" w:hAnsi="Verdana" w:cs="Arial"/>
          <w:vertAlign w:val="superscript"/>
          <w:lang w:val="en-GB" w:eastAsia="x-none"/>
        </w:rPr>
        <w:footnoteReference w:id="19"/>
      </w:r>
      <w:r w:rsidRPr="002E76E6">
        <w:rPr>
          <w:rFonts w:ascii="Verdana" w:hAnsi="Verdana" w:cs="Arial"/>
          <w:lang w:eastAsia="x-none"/>
        </w:rPr>
        <w:t xml:space="preserve"> y sistematizó las causales de contratación directa</w:t>
      </w:r>
      <w:r w:rsidRPr="002E76E6">
        <w:rPr>
          <w:rFonts w:ascii="Verdana" w:hAnsi="Verdana" w:cs="Arial"/>
          <w:vertAlign w:val="superscript"/>
          <w:lang w:val="en-GB" w:eastAsia="x-none"/>
        </w:rPr>
        <w:footnoteReference w:id="20"/>
      </w:r>
      <w:r w:rsidRPr="002E76E6">
        <w:rPr>
          <w:rFonts w:ascii="Verdana" w:hAnsi="Verdana" w:cs="Arial"/>
          <w:lang w:eastAsia="x-none"/>
        </w:rPr>
        <w:t xml:space="preserve">. </w:t>
      </w:r>
    </w:p>
    <w:p w14:paraId="15F0340E" w14:textId="77777777" w:rsidR="00035478" w:rsidRPr="002E76E6" w:rsidRDefault="00035478" w:rsidP="00035478">
      <w:pPr>
        <w:spacing w:after="120" w:line="276" w:lineRule="auto"/>
        <w:ind w:firstLine="708"/>
        <w:jc w:val="both"/>
        <w:rPr>
          <w:rFonts w:ascii="Verdana" w:hAnsi="Verdana" w:cs="Arial"/>
          <w:lang w:val="es-MX" w:eastAsia="x-none"/>
        </w:rPr>
      </w:pPr>
      <w:r w:rsidRPr="002E76E6">
        <w:rPr>
          <w:rFonts w:ascii="Verdana" w:hAnsi="Verdana" w:cs="Arial"/>
          <w:lang w:eastAsia="x-none"/>
        </w:rPr>
        <w:t xml:space="preserve">De esta forma, con fundamento en la evolución de la normativa sobre la contratación pública, se ha depurado la noción de </w:t>
      </w:r>
      <w:r w:rsidRPr="002E76E6">
        <w:rPr>
          <w:rFonts w:ascii="Verdana" w:hAnsi="Verdana" w:cs="Arial"/>
          <w:sz w:val="19"/>
          <w:szCs w:val="19"/>
          <w:lang w:eastAsia="en-GB"/>
        </w:rPr>
        <w:t>“</w:t>
      </w:r>
      <w:r w:rsidRPr="002E76E6">
        <w:rPr>
          <w:rFonts w:ascii="Verdana" w:hAnsi="Verdana" w:cs="Arial"/>
          <w:lang w:eastAsia="x-none"/>
        </w:rPr>
        <w:t>contratación directa</w:t>
      </w:r>
      <w:r w:rsidRPr="002E76E6">
        <w:rPr>
          <w:rFonts w:ascii="Verdana" w:hAnsi="Verdana" w:cs="Arial"/>
          <w:lang w:eastAsia="en-GB"/>
        </w:rPr>
        <w:t>”</w:t>
      </w:r>
      <w:r w:rsidRPr="002E76E6">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E76E6">
        <w:rPr>
          <w:rFonts w:ascii="Verdana" w:hAnsi="Verdana" w:cs="Arial"/>
          <w:vertAlign w:val="superscript"/>
          <w:lang w:val="en-GB" w:eastAsia="x-none"/>
        </w:rPr>
        <w:footnoteReference w:id="21"/>
      </w:r>
      <w:r w:rsidRPr="002E76E6">
        <w:rPr>
          <w:rFonts w:ascii="Verdana" w:hAnsi="Verdana" w:cs="Arial"/>
          <w:lang w:eastAsia="x-none"/>
        </w:rPr>
        <w:t>, han establecido sistemas de contratación que implican convocatoria pública y participación de varios oferentes</w:t>
      </w:r>
      <w:r w:rsidRPr="002E76E6">
        <w:rPr>
          <w:rFonts w:ascii="Verdana" w:hAnsi="Verdana" w:cs="Arial"/>
          <w:lang w:eastAsia="en-GB"/>
        </w:rPr>
        <w:t>”</w:t>
      </w:r>
      <w:r w:rsidRPr="002E76E6">
        <w:rPr>
          <w:rFonts w:ascii="Verdana" w:hAnsi="Verdana" w:cs="Arial"/>
          <w:lang w:eastAsia="x-none"/>
        </w:rPr>
        <w:t xml:space="preserve">. </w:t>
      </w:r>
    </w:p>
    <w:p w14:paraId="3B09B61B" w14:textId="77777777" w:rsidR="00035478" w:rsidRPr="002E76E6" w:rsidRDefault="00035478" w:rsidP="00035478">
      <w:pPr>
        <w:spacing w:after="120" w:line="276" w:lineRule="auto"/>
        <w:ind w:firstLine="708"/>
        <w:jc w:val="both"/>
        <w:rPr>
          <w:rFonts w:ascii="Verdana" w:hAnsi="Verdana" w:cs="Arial"/>
          <w:bCs/>
          <w:lang w:val="es-MX" w:eastAsia="es-CO"/>
        </w:rPr>
      </w:pPr>
      <w:r w:rsidRPr="002E76E6">
        <w:rPr>
          <w:rFonts w:ascii="Verdana" w:hAnsi="Verdana" w:cs="Arial"/>
          <w:bCs/>
          <w:lang w:val="es-MX" w:eastAsia="x-none"/>
        </w:rPr>
        <w:t>E</w:t>
      </w:r>
      <w:r w:rsidRPr="002E76E6">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E76E6">
        <w:rPr>
          <w:rFonts w:ascii="Verdana" w:hAnsi="Verdana" w:cs="Arial"/>
          <w:vertAlign w:val="superscript"/>
          <w:lang w:eastAsia="x-none"/>
        </w:rPr>
        <w:footnoteReference w:id="22"/>
      </w:r>
      <w:r w:rsidRPr="002E76E6">
        <w:rPr>
          <w:rFonts w:ascii="Verdana" w:hAnsi="Verdana" w:cs="Arial"/>
          <w:lang w:eastAsia="x-none"/>
        </w:rPr>
        <w:t xml:space="preserve">. </w:t>
      </w:r>
    </w:p>
    <w:p w14:paraId="7E9C0C69" w14:textId="77777777" w:rsidR="00035478" w:rsidRPr="002E76E6" w:rsidRDefault="00035478" w:rsidP="00035478">
      <w:pPr>
        <w:spacing w:after="120" w:line="276" w:lineRule="auto"/>
        <w:ind w:firstLine="708"/>
        <w:jc w:val="both"/>
        <w:rPr>
          <w:rFonts w:ascii="Verdana" w:hAnsi="Verdana" w:cs="Arial"/>
          <w:bCs/>
          <w:lang w:val="es-MX" w:eastAsia="es-CO"/>
        </w:rPr>
      </w:pPr>
      <w:r w:rsidRPr="002E76E6">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2E76E6">
        <w:rPr>
          <w:rFonts w:ascii="Verdana" w:hAnsi="Verdana" w:cs="Arial"/>
          <w:bCs/>
          <w:lang w:val="es-MX" w:eastAsia="es-CO"/>
        </w:rPr>
        <w:lastRenderedPageBreak/>
        <w:t>de la expedición de Ley 1150 de 2007, el Consejo de Estado comenzó a delimitar con mayor precisión el término de “contratación directa”.</w:t>
      </w:r>
    </w:p>
    <w:p w14:paraId="439519D8" w14:textId="77777777" w:rsidR="00035478" w:rsidRPr="002E76E6" w:rsidRDefault="00035478" w:rsidP="00035478">
      <w:pPr>
        <w:spacing w:after="120" w:line="276" w:lineRule="auto"/>
        <w:ind w:firstLine="708"/>
        <w:jc w:val="both"/>
        <w:rPr>
          <w:rFonts w:ascii="Verdana" w:hAnsi="Verdana" w:cs="Arial"/>
          <w:bCs/>
          <w:lang w:val="es-MX" w:eastAsia="x-none"/>
        </w:rPr>
      </w:pPr>
      <w:r w:rsidRPr="002E76E6">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E76E6">
        <w:rPr>
          <w:rFonts w:ascii="Verdana" w:hAnsi="Verdana" w:cs="Arial"/>
          <w:vertAlign w:val="superscript"/>
          <w:lang w:eastAsia="x-none"/>
        </w:rPr>
        <w:footnoteReference w:id="23"/>
      </w:r>
      <w:r w:rsidRPr="002E76E6">
        <w:rPr>
          <w:rFonts w:ascii="Verdana" w:hAnsi="Verdana" w:cs="Arial"/>
          <w:bCs/>
          <w:lang w:val="es-MX" w:eastAsia="x-none"/>
        </w:rPr>
        <w:t>.</w:t>
      </w:r>
      <w:r w:rsidRPr="002E76E6">
        <w:rPr>
          <w:rFonts w:ascii="Verdana" w:hAnsi="Verdana" w:cs="Arial"/>
          <w:vertAlign w:val="superscript"/>
          <w:lang w:eastAsia="x-none"/>
        </w:rPr>
        <w:t xml:space="preserve"> </w:t>
      </w:r>
    </w:p>
    <w:p w14:paraId="4A0D5D7E" w14:textId="77777777" w:rsidR="00035478" w:rsidRPr="002E76E6" w:rsidRDefault="00035478" w:rsidP="00535C66">
      <w:pPr>
        <w:shd w:val="clear" w:color="auto" w:fill="FFFFFF" w:themeFill="background1"/>
        <w:spacing w:after="120" w:line="276" w:lineRule="auto"/>
        <w:ind w:firstLine="708"/>
        <w:jc w:val="both"/>
        <w:rPr>
          <w:rFonts w:ascii="Verdana" w:hAnsi="Verdana" w:cs="Arial"/>
          <w:lang w:eastAsia="x-none"/>
        </w:rPr>
      </w:pPr>
      <w:r w:rsidRPr="002E76E6">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E76E6">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04CD1DFB" w14:textId="496B51A9" w:rsidR="00E769FD" w:rsidRPr="00535C66" w:rsidRDefault="00035478" w:rsidP="00535C66">
      <w:pPr>
        <w:shd w:val="clear" w:color="auto" w:fill="FFFFFF" w:themeFill="background1"/>
        <w:spacing w:after="120" w:line="276" w:lineRule="auto"/>
        <w:ind w:firstLine="708"/>
        <w:jc w:val="both"/>
        <w:rPr>
          <w:rFonts w:ascii="Verdana" w:hAnsi="Verdana" w:cs="Arial"/>
          <w:lang w:eastAsia="x-none"/>
        </w:rPr>
      </w:pPr>
      <w:bookmarkStart w:id="23" w:name="_Hlk77237094"/>
      <w:r w:rsidRPr="002E76E6">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2E76E6">
        <w:rPr>
          <w:rFonts w:ascii="Verdana" w:hAnsi="Verdana" w:cs="Arial"/>
          <w:bCs/>
          <w:lang w:val="es-MX" w:eastAsia="es-CO"/>
        </w:rPr>
        <w:t>entrada en vigencia</w:t>
      </w:r>
      <w:proofErr w:type="gramEnd"/>
      <w:r w:rsidRPr="002E76E6">
        <w:rPr>
          <w:rFonts w:ascii="Verdana" w:hAnsi="Verdana" w:cs="Arial"/>
          <w:bCs/>
          <w:lang w:val="es-MX" w:eastAsia="es-CO"/>
        </w:rPr>
        <w:t xml:space="preserve"> de las prohibiciones anotadas, así como la cesión de </w:t>
      </w:r>
      <w:proofErr w:type="gramStart"/>
      <w:r w:rsidRPr="002E76E6">
        <w:rPr>
          <w:rFonts w:ascii="Verdana" w:hAnsi="Verdana" w:cs="Arial"/>
          <w:bCs/>
          <w:lang w:val="es-MX" w:eastAsia="es-CO"/>
        </w:rPr>
        <w:t>los mismos</w:t>
      </w:r>
      <w:proofErr w:type="gramEnd"/>
      <w:r w:rsidRPr="002E76E6">
        <w:rPr>
          <w:rFonts w:ascii="Verdana" w:hAnsi="Verdana" w:cs="Arial"/>
          <w:bCs/>
          <w:lang w:val="es-MX" w:eastAsia="es-CO"/>
        </w:rPr>
        <w:t xml:space="preserve">, pueden tener lugar en el período de aplicación de la Ley de Garantías Electorales, sin que ello haga nugatoria la restricción de la contratación directa y siempre que cumplan los principios de planeación, transparencia y </w:t>
      </w:r>
      <w:r w:rsidRPr="00535C66">
        <w:rPr>
          <w:rFonts w:ascii="Verdana" w:hAnsi="Verdana" w:cs="Arial"/>
          <w:lang w:eastAsia="x-none"/>
        </w:rPr>
        <w:t>responsabilidad.</w:t>
      </w:r>
      <w:bookmarkEnd w:id="23"/>
    </w:p>
    <w:p w14:paraId="03E08202" w14:textId="5762A5BC" w:rsidR="00E769FD" w:rsidRDefault="007F7B8D" w:rsidP="007F7B8D">
      <w:pPr>
        <w:shd w:val="clear" w:color="auto" w:fill="FFFFFF" w:themeFill="background1"/>
        <w:spacing w:after="120" w:line="276" w:lineRule="auto"/>
        <w:jc w:val="both"/>
        <w:rPr>
          <w:rFonts w:ascii="Verdana" w:eastAsia="Calibri" w:hAnsi="Verdana" w:cs="Arial"/>
          <w:color w:val="000000" w:themeColor="text1"/>
          <w:lang w:val="es-ES"/>
        </w:rPr>
      </w:pPr>
      <w:proofErr w:type="spellStart"/>
      <w:r>
        <w:rPr>
          <w:rFonts w:ascii="Verdana" w:hAnsi="Verdana" w:cs="Arial"/>
          <w:lang w:eastAsia="x-none"/>
        </w:rPr>
        <w:t>iv</w:t>
      </w:r>
      <w:proofErr w:type="spellEnd"/>
      <w:r>
        <w:rPr>
          <w:rFonts w:ascii="Verdana" w:hAnsi="Verdana" w:cs="Arial"/>
          <w:lang w:eastAsia="x-none"/>
        </w:rPr>
        <w:t>.</w:t>
      </w:r>
      <w:r w:rsidR="006A1D54">
        <w:rPr>
          <w:rFonts w:ascii="Verdana" w:hAnsi="Verdana" w:cs="Arial"/>
          <w:lang w:eastAsia="x-none"/>
        </w:rPr>
        <w:t xml:space="preserve"> </w:t>
      </w:r>
      <w:r w:rsidR="00E769FD" w:rsidRPr="007F7B8D">
        <w:rPr>
          <w:rFonts w:ascii="Verdana" w:hAnsi="Verdana" w:cs="Arial"/>
          <w:lang w:eastAsia="x-none"/>
        </w:rPr>
        <w:t>Hecha la aclaración</w:t>
      </w:r>
      <w:r w:rsidR="004F3850" w:rsidRPr="007F7B8D">
        <w:rPr>
          <w:rFonts w:ascii="Verdana" w:eastAsia="Calibri" w:hAnsi="Verdana" w:cs="Arial"/>
          <w:bCs/>
          <w:lang w:eastAsia="es-ES" w:bidi="es-ES"/>
        </w:rPr>
        <w:t xml:space="preserve"> </w:t>
      </w:r>
      <w:r w:rsidR="00E769FD" w:rsidRPr="007F7B8D">
        <w:rPr>
          <w:rFonts w:ascii="Verdana" w:eastAsia="Calibri" w:hAnsi="Verdana" w:cs="Arial"/>
          <w:bCs/>
          <w:lang w:eastAsia="es-ES" w:bidi="es-ES"/>
        </w:rPr>
        <w:t xml:space="preserve">precedente se tiene que, frente </w:t>
      </w:r>
      <w:bookmarkStart w:id="24" w:name="_Hlk140574556"/>
      <w:r w:rsidR="00E769FD" w:rsidRPr="007F7B8D">
        <w:rPr>
          <w:rFonts w:ascii="Verdana" w:eastAsia="Calibri" w:hAnsi="Verdana" w:cs="Arial"/>
          <w:bCs/>
          <w:lang w:eastAsia="es-ES" w:bidi="es-ES"/>
        </w:rPr>
        <w:t>al alcance y ámbito de aplicación de los convenios solidarios</w:t>
      </w:r>
      <w:bookmarkEnd w:id="24"/>
      <w:r w:rsidR="00E769FD" w:rsidRPr="007F7B8D">
        <w:rPr>
          <w:rFonts w:ascii="Verdana" w:eastAsia="Calibri" w:hAnsi="Verdana" w:cs="Arial"/>
          <w:bCs/>
          <w:lang w:eastAsia="es-ES" w:bidi="es-ES"/>
        </w:rPr>
        <w:t>, l</w:t>
      </w:r>
      <w:r w:rsidR="00E769FD" w:rsidRPr="007F7B8D">
        <w:rPr>
          <w:rFonts w:ascii="Verdana" w:eastAsia="Calibri" w:hAnsi="Verdana" w:cs="Arial"/>
          <w:color w:val="000000" w:themeColor="text1"/>
          <w:lang w:val="es-ES"/>
        </w:rPr>
        <w:t>a contratación estatal con Entidades privadas sin ánimo de lucro encuentra su fundamento en el artículo 355 de la Constitución Política. Esta norma proscribe cualquier tipo de donación por parte del Estado a personas de derecho privado, y dispone que: “El Gobierno, en los niveles nacional, departamental, distrital y municipal podrá, con recursos de los respectivos presupuestos, celebrar contratos con entidades privadas sin ánimo de lucro y de reconocida idoneidad con el fin de impulsar programas y</w:t>
      </w:r>
      <w:r w:rsidR="00E769FD" w:rsidRPr="00896CCA">
        <w:rPr>
          <w:rFonts w:ascii="Verdana" w:eastAsia="Calibri" w:hAnsi="Verdana" w:cs="Arial"/>
          <w:color w:val="000000" w:themeColor="text1"/>
          <w:lang w:val="es-ES"/>
        </w:rPr>
        <w:t xml:space="preserve"> </w:t>
      </w:r>
      <w:r w:rsidR="00E769FD" w:rsidRPr="00896CCA">
        <w:rPr>
          <w:rFonts w:ascii="Verdana" w:eastAsia="Calibri" w:hAnsi="Verdana" w:cs="Arial"/>
          <w:color w:val="000000" w:themeColor="text1"/>
          <w:lang w:val="es-ES"/>
        </w:rPr>
        <w:lastRenderedPageBreak/>
        <w:t>actividades de interés público acordes con el Plan Nacional y los planes seccionales de Desarrollo […]”.</w:t>
      </w:r>
    </w:p>
    <w:p w14:paraId="56E83E8C" w14:textId="77777777" w:rsidR="00E769FD" w:rsidRPr="00896CCA" w:rsidRDefault="00E769FD" w:rsidP="00E769FD">
      <w:pPr>
        <w:spacing w:after="120" w:line="276" w:lineRule="auto"/>
        <w:ind w:firstLine="709"/>
        <w:jc w:val="both"/>
        <w:rPr>
          <w:rFonts w:ascii="Verdana" w:hAnsi="Verdana" w:cs="Arial"/>
          <w:color w:val="000000" w:themeColor="text1"/>
          <w:lang w:val="es-ES_tradnl"/>
        </w:rPr>
      </w:pPr>
      <w:r w:rsidRPr="00896CCA">
        <w:rPr>
          <w:rFonts w:ascii="Verdana" w:eastAsia="Calibri" w:hAnsi="Verdana" w:cs="Arial"/>
          <w:color w:val="000000" w:themeColor="text1"/>
          <w:lang w:val="es-ES"/>
        </w:rPr>
        <w:t xml:space="preserve">Conforme a lo anterior, el </w:t>
      </w:r>
      <w:r w:rsidRPr="00896CCA">
        <w:rPr>
          <w:rFonts w:ascii="Verdana" w:hAnsi="Verdana" w:cs="Arial"/>
          <w:color w:val="000000" w:themeColor="text1"/>
          <w:lang w:val="es-ES_tradnl"/>
        </w:rPr>
        <w:t xml:space="preserve">artículo 3.16 de la Ley 136 de 1994 –modificado por la Ley 1551 de 2012, artículo 6– prescribe que “En concordancia con lo establecido en el artículo 355 de la Constitución Política, los municipios y distritos podrán celebrar convenios solidarios con: </w:t>
      </w:r>
      <w:bookmarkStart w:id="25" w:name="_Hlk140510368"/>
      <w:r w:rsidRPr="00896CCA">
        <w:rPr>
          <w:rFonts w:ascii="Verdana" w:hAnsi="Verdana" w:cs="Arial"/>
          <w:color w:val="000000" w:themeColor="text1"/>
          <w:lang w:val="es-ES_tradnl"/>
        </w:rPr>
        <w:t>los cabildos, las autoridades y organizaciones indígenas, los organismos de acción comunal y demás organizaciones civiles y asociaciones residentes en el territorio</w:t>
      </w:r>
      <w:bookmarkEnd w:id="25"/>
      <w:r w:rsidRPr="00896CCA">
        <w:rPr>
          <w:rFonts w:ascii="Verdana" w:hAnsi="Verdana" w:cs="Arial"/>
          <w:color w:val="000000" w:themeColor="text1"/>
          <w:lang w:val="es-ES_tradnl"/>
        </w:rPr>
        <w:t xml:space="preserve">, para el desarrollo conjunto de programas y actividades establecidas por la Ley a los municipios y distritos, acorde con sus planes de desarrollo”. Además, el parágrafo 3 del artículo 3 </w:t>
      </w:r>
      <w:r w:rsidRPr="00896CCA">
        <w:rPr>
          <w:rFonts w:ascii="Verdana" w:hAnsi="Verdana" w:cs="Arial"/>
          <w:i/>
          <w:iCs/>
          <w:color w:val="000000" w:themeColor="text1"/>
          <w:lang w:val="es-ES_tradnl"/>
        </w:rPr>
        <w:t>ibidem</w:t>
      </w:r>
      <w:r w:rsidRPr="00896CCA">
        <w:rPr>
          <w:rFonts w:ascii="Verdana" w:hAnsi="Verdana" w:cs="Arial"/>
          <w:color w:val="000000" w:themeColor="text1"/>
          <w:lang w:val="es-ES_tradnl"/>
        </w:rPr>
        <w:t xml:space="preserve">, define los convenios solidarios como “la complementación de esfuerzos institucionales, comunitarios, económicos y sociales para la construcción de obras y la satisfacción de necesidades y aspiraciones de las comunidades”. </w:t>
      </w:r>
    </w:p>
    <w:p w14:paraId="26B46710" w14:textId="77777777" w:rsidR="00E769FD" w:rsidRPr="00896CCA" w:rsidRDefault="00E769FD" w:rsidP="00E769FD">
      <w:pPr>
        <w:spacing w:after="120" w:line="276" w:lineRule="auto"/>
        <w:ind w:firstLine="709"/>
        <w:jc w:val="both"/>
        <w:rPr>
          <w:rFonts w:ascii="Verdana" w:hAnsi="Verdana" w:cs="Arial"/>
          <w:color w:val="000000" w:themeColor="text1"/>
          <w:lang w:val="es-ES"/>
        </w:rPr>
      </w:pPr>
      <w:r w:rsidRPr="419B12FF">
        <w:rPr>
          <w:rFonts w:ascii="Verdana" w:hAnsi="Verdana" w:cs="Arial"/>
          <w:color w:val="000000" w:themeColor="text1"/>
          <w:lang w:val="es-ES"/>
        </w:rPr>
        <w:t xml:space="preserve">De una interpretación armónica entre las normas anteriormente citadas, se desprende que los municipios y Distritos pueden celebrar convenios solidarios: i) para el desarrollo conjunto de programas y actividades establecidas en la Ley a los municipios y distritos, acorde con sus planes de desarrollo, </w:t>
      </w:r>
      <w:proofErr w:type="spellStart"/>
      <w:r w:rsidRPr="419B12FF">
        <w:rPr>
          <w:rFonts w:ascii="Verdana" w:hAnsi="Verdana" w:cs="Arial"/>
          <w:color w:val="000000" w:themeColor="text1"/>
          <w:lang w:val="es-ES"/>
        </w:rPr>
        <w:t>ii</w:t>
      </w:r>
      <w:proofErr w:type="spellEnd"/>
      <w:r w:rsidRPr="419B12FF">
        <w:rPr>
          <w:rFonts w:ascii="Verdana" w:hAnsi="Verdana" w:cs="Arial"/>
          <w:color w:val="000000" w:themeColor="text1"/>
          <w:lang w:val="es-ES"/>
        </w:rPr>
        <w:t xml:space="preserve">) para la construcción de obras, y </w:t>
      </w:r>
      <w:proofErr w:type="spellStart"/>
      <w:r w:rsidRPr="419B12FF">
        <w:rPr>
          <w:rFonts w:ascii="Verdana" w:hAnsi="Verdana" w:cs="Arial"/>
          <w:color w:val="000000" w:themeColor="text1"/>
          <w:lang w:val="es-ES"/>
        </w:rPr>
        <w:t>iii</w:t>
      </w:r>
      <w:proofErr w:type="spellEnd"/>
      <w:r w:rsidRPr="419B12FF">
        <w:rPr>
          <w:rFonts w:ascii="Verdana" w:hAnsi="Verdana" w:cs="Arial"/>
          <w:color w:val="000000" w:themeColor="text1"/>
          <w:lang w:val="es-ES"/>
        </w:rPr>
        <w:t xml:space="preserve">) para la satisfacción de necesidades y aspiraciones de las comunidades. Además, la celebración de estos convenios está limitada únicamente a los sujetos allí contemplados, esto es, los municipios y distritos con los cabildos, las autoridades y organizaciones indígenas, los organismos de acción comunal y demás organizaciones civiles y asociaciones residentes en el territorio. Así las cosas, de conformidad con las normas citadas se concluye que es posible celebrar convenios solidarios para ejecutar cualquiera de los objetos antes referidos con los sujetos señalados. </w:t>
      </w:r>
    </w:p>
    <w:p w14:paraId="71E2A15C" w14:textId="77777777" w:rsidR="00E769FD" w:rsidRPr="00896CCA" w:rsidRDefault="00E769FD" w:rsidP="00E769FD">
      <w:pPr>
        <w:spacing w:before="120" w:after="0" w:line="276" w:lineRule="auto"/>
        <w:ind w:firstLine="709"/>
        <w:jc w:val="both"/>
        <w:rPr>
          <w:rFonts w:ascii="Verdana" w:hAnsi="Verdana" w:cs="Arial"/>
          <w:color w:val="000000" w:themeColor="text1"/>
          <w:lang w:val="es-ES"/>
        </w:rPr>
      </w:pPr>
      <w:r w:rsidRPr="419B12FF">
        <w:rPr>
          <w:rFonts w:ascii="Verdana" w:hAnsi="Verdana" w:cs="Arial"/>
          <w:color w:val="000000" w:themeColor="text1"/>
          <w:lang w:val="es-ES"/>
        </w:rPr>
        <w:t xml:space="preserve">El parágrafo 4 del artículo 3 de la Ley 136 de 1994 –modificado por la Ley 1551 de 2012, artículo 6– dispone que “Se autoriza a los entes territoriales del orden departamental y municipal para celebrar directamente convenios solidarios con las juntas de acción comunal con el fin de ejecutar obras hasta por la mínima cuantía. Para la ejecución de estas deberán contratar con los habitantes de la comunidad”. Dicho parágrafo establecía una </w:t>
      </w:r>
      <w:proofErr w:type="spellStart"/>
      <w:r w:rsidRPr="419B12FF">
        <w:rPr>
          <w:rFonts w:ascii="Verdana" w:hAnsi="Verdana" w:cs="Arial"/>
          <w:color w:val="000000" w:themeColor="text1"/>
          <w:lang w:val="es-ES"/>
        </w:rPr>
        <w:t>sub-regla</w:t>
      </w:r>
      <w:proofErr w:type="spellEnd"/>
      <w:r w:rsidRPr="419B12FF">
        <w:rPr>
          <w:rFonts w:ascii="Verdana" w:hAnsi="Verdana" w:cs="Arial"/>
          <w:color w:val="000000" w:themeColor="text1"/>
          <w:lang w:val="es-ES"/>
        </w:rPr>
        <w:t xml:space="preserve"> en la cual los convenios solidarios solo podían celebrarse de manera directa </w:t>
      </w:r>
      <w:r>
        <w:rPr>
          <w:rFonts w:ascii="Verdana" w:hAnsi="Verdana" w:cs="Arial"/>
          <w:color w:val="000000" w:themeColor="text1"/>
          <w:lang w:val="es-ES"/>
        </w:rPr>
        <w:t xml:space="preserve">                                                                                                                                                                                                                                                                                                                                                                                                                                                                                                                                                                                                                                                                          por</w:t>
      </w:r>
      <w:r w:rsidRPr="419B12FF">
        <w:rPr>
          <w:rFonts w:ascii="Verdana" w:hAnsi="Verdana" w:cs="Arial"/>
          <w:color w:val="000000" w:themeColor="text1"/>
          <w:lang w:val="es-ES"/>
        </w:rPr>
        <w:t xml:space="preserve"> los entes del nivel departamental y municipal con las juntas de acción </w:t>
      </w:r>
      <w:r w:rsidRPr="419B12FF">
        <w:rPr>
          <w:rFonts w:ascii="Verdana" w:hAnsi="Verdana" w:cs="Arial"/>
          <w:color w:val="000000" w:themeColor="text1"/>
          <w:lang w:val="es-ES"/>
        </w:rPr>
        <w:lastRenderedPageBreak/>
        <w:t>comunal para ejecutar obras hasta por la mínima cuantía. En otras palabras, del contenido del parágrafo 4 se deduce que el legislador estableció un trámite preferencial que no requiere adelantar procedimiento de selección con pluralidad de oferentes para celebrar convenios solidarios cuyo objeto sea ejecutar obras hasta por la mínima cuantía con las juntas de acción comunal. Sin embargo, el artículo 95 de la Ley 2166 de 2021 –posteriormente desarrollado por el artículo 2.2.15.1.2 del Decreto 1082 de 2015 y modificado por el artículo 372 de la Ley 2294 de 2023– amplió esta subregla en cuanto a los sujetos aplicables, condiciones y la cuantía del contrato:</w:t>
      </w:r>
    </w:p>
    <w:p w14:paraId="1E552A61" w14:textId="77777777" w:rsidR="00E769FD" w:rsidRPr="00896CCA" w:rsidRDefault="00E769FD" w:rsidP="00E769FD">
      <w:pPr>
        <w:spacing w:after="0" w:line="276" w:lineRule="auto"/>
        <w:ind w:firstLine="709"/>
        <w:jc w:val="both"/>
        <w:rPr>
          <w:rFonts w:ascii="Verdana" w:hAnsi="Verdana" w:cs="Arial"/>
          <w:color w:val="000000" w:themeColor="text1"/>
          <w:lang w:val="es-ES_tradnl"/>
        </w:rPr>
      </w:pPr>
    </w:p>
    <w:p w14:paraId="44478AB4" w14:textId="77777777" w:rsidR="00E769FD" w:rsidRPr="00066823" w:rsidRDefault="00E769FD" w:rsidP="00E769FD">
      <w:pPr>
        <w:spacing w:after="0" w:line="240" w:lineRule="auto"/>
        <w:ind w:left="709" w:right="709"/>
        <w:jc w:val="both"/>
        <w:rPr>
          <w:rFonts w:ascii="Verdana" w:hAnsi="Verdana" w:cs="Arial"/>
          <w:color w:val="000000" w:themeColor="text1"/>
          <w:sz w:val="20"/>
          <w:szCs w:val="20"/>
          <w:lang w:val="es-ES_tradnl"/>
        </w:rPr>
      </w:pPr>
      <w:r w:rsidRPr="00066823">
        <w:rPr>
          <w:rFonts w:ascii="Verdana" w:hAnsi="Verdana" w:cs="Arial"/>
          <w:color w:val="000000" w:themeColor="text1"/>
          <w:sz w:val="20"/>
          <w:szCs w:val="20"/>
          <w:lang w:val="es-ES_tradnl"/>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07A0EF77" w14:textId="77777777" w:rsidR="00E769FD" w:rsidRPr="00066823" w:rsidRDefault="00E769FD" w:rsidP="00E769FD">
      <w:pPr>
        <w:spacing w:after="0" w:line="240" w:lineRule="auto"/>
        <w:ind w:left="709" w:right="709"/>
        <w:jc w:val="both"/>
        <w:rPr>
          <w:rFonts w:ascii="Verdana" w:hAnsi="Verdana" w:cs="Arial"/>
          <w:color w:val="000000" w:themeColor="text1"/>
          <w:sz w:val="20"/>
          <w:szCs w:val="20"/>
          <w:lang w:val="es-ES_tradnl"/>
        </w:rPr>
      </w:pPr>
    </w:p>
    <w:p w14:paraId="440F5410" w14:textId="77777777" w:rsidR="00E769FD" w:rsidRPr="00066823" w:rsidRDefault="00E769FD" w:rsidP="00E769FD">
      <w:pPr>
        <w:spacing w:after="0" w:line="240" w:lineRule="auto"/>
        <w:ind w:left="709" w:right="709"/>
        <w:jc w:val="both"/>
        <w:rPr>
          <w:rFonts w:ascii="Verdana" w:hAnsi="Verdana" w:cs="Arial"/>
          <w:color w:val="000000" w:themeColor="text1"/>
          <w:sz w:val="20"/>
          <w:szCs w:val="20"/>
          <w:lang w:val="es-ES_tradnl"/>
        </w:rPr>
      </w:pPr>
      <w:r w:rsidRPr="00066823">
        <w:rPr>
          <w:rFonts w:ascii="Verdana" w:hAnsi="Verdana" w:cs="Arial"/>
          <w:color w:val="000000" w:themeColor="text1"/>
          <w:sz w:val="20"/>
          <w:szCs w:val="20"/>
          <w:lang w:val="es-ES_tradnl"/>
        </w:rPr>
        <w:t>PARÁGRAFO 1. Los entes podrán incluir en el monto total de los Convenios Solidarios los costos directos, los costos administrativos y el Subsidio al dignatario representante legal para transportes de que trata el literal c) del Artículo 38 de la presente ley.</w:t>
      </w:r>
    </w:p>
    <w:p w14:paraId="1B18CD9F" w14:textId="77777777" w:rsidR="00E769FD" w:rsidRPr="00066823" w:rsidRDefault="00E769FD" w:rsidP="00E769FD">
      <w:pPr>
        <w:spacing w:after="0" w:line="240" w:lineRule="auto"/>
        <w:ind w:left="709" w:right="709"/>
        <w:jc w:val="both"/>
        <w:rPr>
          <w:rFonts w:ascii="Verdana" w:hAnsi="Verdana" w:cs="Arial"/>
          <w:color w:val="000000" w:themeColor="text1"/>
          <w:sz w:val="20"/>
          <w:szCs w:val="20"/>
          <w:lang w:val="es-ES_tradnl"/>
        </w:rPr>
      </w:pPr>
    </w:p>
    <w:p w14:paraId="2194FE24" w14:textId="77777777" w:rsidR="00E769FD" w:rsidRPr="00066823" w:rsidRDefault="00E769FD" w:rsidP="00E769FD">
      <w:pPr>
        <w:spacing w:after="0" w:line="240" w:lineRule="auto"/>
        <w:ind w:left="709" w:right="709"/>
        <w:jc w:val="both"/>
        <w:rPr>
          <w:rFonts w:ascii="Verdana" w:hAnsi="Verdana" w:cs="Arial"/>
          <w:color w:val="000000" w:themeColor="text1"/>
          <w:sz w:val="20"/>
          <w:szCs w:val="20"/>
          <w:lang w:val="es-ES_tradnl"/>
        </w:rPr>
      </w:pPr>
      <w:r w:rsidRPr="00066823">
        <w:rPr>
          <w:rFonts w:ascii="Verdana" w:hAnsi="Verdana" w:cs="Arial"/>
          <w:color w:val="000000" w:themeColor="text1"/>
          <w:sz w:val="20"/>
          <w:szCs w:val="20"/>
          <w:lang w:val="es-ES_tradnl"/>
        </w:rPr>
        <w:t xml:space="preserve">PARÁGRAFO 2. Adicional del monto del Convenio Solidario, los entes deberán contar o disponer de personal técnico y administrativo-contable, para supervisar y apoyar a los Organismos de Acción Comunal en la ejecución de las obras”. </w:t>
      </w:r>
    </w:p>
    <w:p w14:paraId="6BE67973" w14:textId="77777777" w:rsidR="00E769FD" w:rsidRPr="00622304" w:rsidRDefault="00E769FD" w:rsidP="00E769FD">
      <w:pPr>
        <w:spacing w:after="0" w:line="276" w:lineRule="auto"/>
        <w:jc w:val="both"/>
        <w:rPr>
          <w:rFonts w:ascii="Verdana" w:hAnsi="Verdana" w:cs="Arial"/>
          <w:color w:val="000000" w:themeColor="text1"/>
          <w:lang w:val="es-ES_tradnl"/>
        </w:rPr>
      </w:pPr>
    </w:p>
    <w:p w14:paraId="03CE30D5" w14:textId="77777777" w:rsidR="00E769FD" w:rsidRDefault="00E769FD" w:rsidP="00E769FD">
      <w:pPr>
        <w:spacing w:after="120" w:line="276" w:lineRule="auto"/>
        <w:ind w:firstLine="709"/>
        <w:jc w:val="both"/>
        <w:rPr>
          <w:rFonts w:ascii="Verdana" w:hAnsi="Verdana"/>
        </w:rPr>
      </w:pPr>
      <w:bookmarkStart w:id="26" w:name="OLE_LINK1"/>
      <w:r>
        <w:rPr>
          <w:rFonts w:ascii="Verdana" w:hAnsi="Verdana" w:cs="Arial"/>
          <w:color w:val="000000" w:themeColor="text1"/>
          <w:lang w:val="es-ES_tradnl"/>
        </w:rPr>
        <w:t>De otro lado</w:t>
      </w:r>
      <w:r w:rsidRPr="00622304">
        <w:rPr>
          <w:rFonts w:ascii="Verdana" w:hAnsi="Verdana" w:cs="Arial"/>
          <w:color w:val="000000" w:themeColor="text1"/>
          <w:lang w:val="es-ES_tradnl"/>
        </w:rPr>
        <w:t xml:space="preserve">, </w:t>
      </w:r>
      <w:r w:rsidRPr="00622304">
        <w:rPr>
          <w:rFonts w:ascii="Verdana" w:hAnsi="Verdana"/>
        </w:rPr>
        <w:t>el artículo 7 de la Ley 2294 de 2023, "Por la cual se expide el Plan Nacional de Desarrollo 2022-2026 - Colombia Potencia Mundial de la Vida". Permit</w:t>
      </w:r>
      <w:r>
        <w:rPr>
          <w:rFonts w:ascii="Verdana" w:hAnsi="Verdana"/>
        </w:rPr>
        <w:t>e</w:t>
      </w:r>
      <w:r w:rsidRPr="00622304">
        <w:rPr>
          <w:rFonts w:ascii="Verdana" w:hAnsi="Verdana"/>
        </w:rPr>
        <w:t xml:space="preserve"> a las entidades estatales celebrar directamente convenios solidarios con los Organismos de Acción Comunal, organizaciones indígenas, consejos comunitarios, entre otros. A través de esta disposición, se faculta la contratación directa para ejecutar obras, bienes y servicios hasta por la menor cuantía de la entidad y, de manera excepcional, se establece un nuevo y significativamente mayor tope de hasta seis mil salarios mínimos mensuales legales vigentes (6.000 SMML</w:t>
      </w:r>
      <w:r>
        <w:rPr>
          <w:rFonts w:ascii="Verdana" w:hAnsi="Verdana"/>
        </w:rPr>
        <w:t>V)</w:t>
      </w:r>
      <w:r w:rsidRPr="00622304">
        <w:rPr>
          <w:rFonts w:ascii="Verdana" w:hAnsi="Verdana"/>
        </w:rPr>
        <w:t xml:space="preserve"> para la ejecución de proyectos específicos de infraestructura vial, social y productiva.</w:t>
      </w:r>
      <w:bookmarkEnd w:id="26"/>
    </w:p>
    <w:p w14:paraId="18341F31" w14:textId="77777777" w:rsidR="00E769FD" w:rsidRDefault="00E769FD" w:rsidP="00E769FD">
      <w:pPr>
        <w:spacing w:after="120" w:line="276" w:lineRule="auto"/>
        <w:ind w:firstLine="709"/>
        <w:jc w:val="both"/>
        <w:rPr>
          <w:rFonts w:ascii="Verdana" w:eastAsia="Arial" w:hAnsi="Verdana" w:cs="Arial"/>
          <w:lang w:val="es-ES" w:eastAsia="es-ES" w:bidi="es-ES"/>
        </w:rPr>
      </w:pPr>
      <w:r w:rsidRPr="00896CCA">
        <w:rPr>
          <w:rFonts w:ascii="Verdana" w:eastAsia="Arial" w:hAnsi="Verdana" w:cs="Arial"/>
          <w:lang w:val="es-MX"/>
        </w:rPr>
        <w:t xml:space="preserve">De acuerdo con la interpretación de las normas generales del sistema de compras y contratación pública, </w:t>
      </w:r>
      <w:r w:rsidRPr="00896CCA">
        <w:rPr>
          <w:rFonts w:ascii="Verdana" w:eastAsia="Arial" w:hAnsi="Verdana" w:cs="Arial"/>
          <w:lang w:val="es-ES" w:eastAsia="es-ES" w:bidi="es-ES"/>
        </w:rPr>
        <w:t xml:space="preserve">la Ley 996 de 2005 establece dos (2) tipos de </w:t>
      </w:r>
      <w:r w:rsidRPr="00896CCA">
        <w:rPr>
          <w:rFonts w:ascii="Verdana" w:eastAsia="Arial" w:hAnsi="Verdana" w:cs="Arial"/>
          <w:lang w:val="es-ES" w:eastAsia="es-ES" w:bidi="es-ES"/>
        </w:rPr>
        <w:lastRenderedPageBreak/>
        <w:t xml:space="preserve">restricciones en materia de contratación, las cuales coinciden parcialmente. </w:t>
      </w:r>
      <w:r w:rsidRPr="00896CCA">
        <w:rPr>
          <w:rFonts w:ascii="Verdana" w:eastAsia="Arial" w:hAnsi="Verdana" w:cs="Arial"/>
          <w:i/>
          <w:iCs/>
          <w:lang w:val="es-ES" w:eastAsia="es-ES" w:bidi="es-ES"/>
        </w:rPr>
        <w:t>En primer lugar</w:t>
      </w:r>
      <w:r w:rsidRPr="00896CCA">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96CCA">
        <w:rPr>
          <w:rFonts w:ascii="Verdana" w:eastAsia="Arial" w:hAnsi="Verdana" w:cs="Arial"/>
          <w:i/>
          <w:iCs/>
          <w:lang w:val="es-ES" w:eastAsia="es-ES" w:bidi="es-ES"/>
        </w:rPr>
        <w:t>En segundo lugar</w:t>
      </w:r>
      <w:r w:rsidRPr="00896CCA">
        <w:rPr>
          <w:rFonts w:ascii="Verdana" w:eastAsia="Arial" w:hAnsi="Verdana" w:cs="Arial"/>
          <w:lang w:val="es-ES" w:eastAsia="es-ES" w:bidi="es-ES"/>
        </w:rPr>
        <w:t>, también se encuentra la prohibición del parágrafo del artículo 38,</w:t>
      </w:r>
      <w:r w:rsidRPr="00896CCA">
        <w:rPr>
          <w:rFonts w:ascii="Verdana" w:eastAsia="Calibri" w:hAnsi="Verdana" w:cs="Arial"/>
        </w:rPr>
        <w:t xml:space="preserve"> que prevé una restricción, aplicable en las elecciones para </w:t>
      </w:r>
      <w:r w:rsidRPr="00896CCA">
        <w:rPr>
          <w:rFonts w:ascii="Verdana" w:eastAsia="Arial" w:hAnsi="Verdana" w:cs="Arial"/>
          <w:lang w:val="es-ES" w:eastAsia="es-ES" w:bidi="es-ES"/>
        </w:rPr>
        <w:t>cargos de elección popular, dirigida</w:t>
      </w:r>
      <w:r w:rsidRPr="00896CCA">
        <w:rPr>
          <w:rFonts w:ascii="Verdana" w:eastAsia="Calibri" w:hAnsi="Verdana" w:cs="Arial"/>
        </w:rPr>
        <w:t xml:space="preserve"> a los gobernadores, alcaldes municipales o distritales, secretarios, gerentes y directores de Entidades descentralizadas del orden municipal, departamental o distrital, en lo que respecta a la celebración de </w:t>
      </w:r>
      <w:r w:rsidRPr="00896CCA">
        <w:rPr>
          <w:rFonts w:ascii="Verdana" w:eastAsia="Arial" w:hAnsi="Verdana" w:cs="Arial"/>
          <w:lang w:val="es-ES" w:eastAsia="es-ES" w:bidi="es-ES"/>
        </w:rPr>
        <w:t>convenios interadministrativos que impliquen la ejecución de recursos públicos dentro de los cuatro (4) meses anteriores a la respectiva jornada de votaciones.</w:t>
      </w:r>
    </w:p>
    <w:p w14:paraId="229D5D0A" w14:textId="77777777" w:rsidR="00E769FD" w:rsidRPr="00896CCA" w:rsidRDefault="00E769FD" w:rsidP="00E769FD">
      <w:pPr>
        <w:spacing w:after="120" w:line="276" w:lineRule="auto"/>
        <w:ind w:firstLine="708"/>
        <w:jc w:val="both"/>
        <w:rPr>
          <w:rFonts w:ascii="Verdana" w:hAnsi="Verdana" w:cs="Arial"/>
          <w:color w:val="000000" w:themeColor="text1"/>
          <w:lang w:val="es-ES_tradnl"/>
        </w:rPr>
      </w:pPr>
      <w:r w:rsidRPr="00896CCA">
        <w:rPr>
          <w:rFonts w:ascii="Verdana" w:hAnsi="Verdana" w:cs="Arial"/>
          <w:lang w:val="es-ES"/>
        </w:rPr>
        <w:t xml:space="preserve">Ahora bien, con relación a la celebración de </w:t>
      </w:r>
      <w:r w:rsidRPr="00896CCA">
        <w:rPr>
          <w:rFonts w:ascii="Verdana" w:hAnsi="Verdana" w:cs="Arial"/>
          <w:i/>
          <w:iCs/>
          <w:lang w:val="es-ES"/>
        </w:rPr>
        <w:t>convenios</w:t>
      </w:r>
      <w:r w:rsidRPr="00896CCA">
        <w:rPr>
          <w:rFonts w:ascii="Verdana" w:hAnsi="Verdana" w:cs="Arial"/>
          <w:lang w:val="es-ES"/>
        </w:rPr>
        <w:t xml:space="preserve"> y en aras de dar respuesta a la consulta elevada, ha de tenerse en cuenta que el </w:t>
      </w:r>
      <w:r w:rsidRPr="00896CCA">
        <w:rPr>
          <w:rFonts w:ascii="Verdana" w:hAnsi="Verdana" w:cs="Arial"/>
          <w:color w:val="000000" w:themeColor="text1"/>
          <w:lang w:val="es-ES_tradnl"/>
        </w:rPr>
        <w:t xml:space="preserve">artículo 3.16 de la Ley 136 de 1994 hace referencia a los convenios suscritos entre los municipios y distritos con los cabildos, las autoridades y organizaciones indígenas, los </w:t>
      </w:r>
      <w:r w:rsidRPr="00896CCA">
        <w:rPr>
          <w:rFonts w:ascii="Verdana" w:hAnsi="Verdana" w:cs="Arial"/>
          <w:i/>
          <w:iCs/>
          <w:color w:val="000000" w:themeColor="text1"/>
          <w:lang w:val="es-ES_tradnl"/>
        </w:rPr>
        <w:t>organismos de acción comunal</w:t>
      </w:r>
      <w:r w:rsidRPr="00896CCA">
        <w:rPr>
          <w:rFonts w:ascii="Verdana" w:hAnsi="Verdana" w:cs="Arial"/>
          <w:color w:val="000000" w:themeColor="text1"/>
          <w:lang w:val="es-ES_tradnl"/>
        </w:rPr>
        <w:t xml:space="preserve"> y demás organizaciones civiles y asociaciones residentes en el territorio. Por su parte, el artículo 95 de la Ley 2166 de 2021</w:t>
      </w:r>
      <w:r w:rsidRPr="00896CCA">
        <w:rPr>
          <w:rFonts w:ascii="Verdana" w:hAnsi="Verdana" w:cs="Arial"/>
          <w:i/>
          <w:iCs/>
          <w:lang w:val="es-ES"/>
        </w:rPr>
        <w:t xml:space="preserve"> </w:t>
      </w:r>
      <w:r w:rsidRPr="00896CCA">
        <w:rPr>
          <w:rFonts w:ascii="Verdana" w:eastAsia="Calibri" w:hAnsi="Verdana" w:cs="Arial"/>
          <w:color w:val="000000" w:themeColor="text1"/>
          <w:lang w:val="es-ES"/>
        </w:rPr>
        <w:t xml:space="preserve">señala que las Entidades del orden nacional, departamental, distrital y municipal podrán celebrar directamente convenios solidarios con organismos de acción comunal para la ejecución de obras hasta por la menor cuantía. Y finalmente, el parágrafo 2 del artículo 63 </w:t>
      </w:r>
      <w:r w:rsidRPr="00896CCA">
        <w:rPr>
          <w:rFonts w:ascii="Verdana" w:eastAsia="Calibri" w:hAnsi="Verdana" w:cs="Arial"/>
          <w:i/>
          <w:iCs/>
          <w:color w:val="000000" w:themeColor="text1"/>
          <w:lang w:val="es-ES"/>
        </w:rPr>
        <w:t>ibidem</w:t>
      </w:r>
      <w:r w:rsidRPr="00896CCA">
        <w:rPr>
          <w:rFonts w:ascii="Verdana" w:eastAsia="Calibri" w:hAnsi="Verdana" w:cs="Arial"/>
          <w:color w:val="000000" w:themeColor="text1"/>
          <w:lang w:val="es-ES"/>
        </w:rPr>
        <w:t xml:space="preserve"> permite la celebración de convenios solidarios entre Entidades del orden nacional, departamental, distrital, local y municipal con los organismos de acción comunal</w:t>
      </w:r>
      <w:r w:rsidRPr="00896CCA">
        <w:rPr>
          <w:rFonts w:ascii="Verdana" w:eastAsia="Calibri" w:hAnsi="Verdana" w:cs="Arial"/>
          <w:i/>
          <w:iCs/>
          <w:color w:val="000000" w:themeColor="text1"/>
          <w:lang w:val="es-ES"/>
        </w:rPr>
        <w:t xml:space="preserve"> </w:t>
      </w:r>
      <w:r w:rsidRPr="00896CCA">
        <w:rPr>
          <w:rFonts w:ascii="Verdana" w:eastAsia="Calibri" w:hAnsi="Verdana" w:cs="Arial"/>
          <w:color w:val="000000" w:themeColor="text1"/>
          <w:lang w:val="es-ES"/>
        </w:rPr>
        <w:t>para la ejecución de proyectos incluidos en el respectivo plan nacional de desarrollo o para la ejecución de los proyectos derivados del Acuerdo Final de Paz</w:t>
      </w:r>
      <w:r w:rsidRPr="00896CCA">
        <w:rPr>
          <w:rFonts w:ascii="Verdana" w:eastAsia="Calibri" w:hAnsi="Verdana" w:cs="Arial"/>
          <w:i/>
          <w:iCs/>
          <w:color w:val="000000" w:themeColor="text1"/>
          <w:lang w:val="es-ES"/>
        </w:rPr>
        <w:t>.</w:t>
      </w:r>
    </w:p>
    <w:p w14:paraId="0A0711FE" w14:textId="77777777" w:rsidR="00E769FD" w:rsidRDefault="00E769FD" w:rsidP="00E769FD">
      <w:pPr>
        <w:spacing w:after="120" w:line="276" w:lineRule="auto"/>
        <w:ind w:firstLine="709"/>
        <w:jc w:val="both"/>
        <w:rPr>
          <w:rFonts w:ascii="Verdana" w:hAnsi="Verdana" w:cs="Arial"/>
          <w:color w:val="000000" w:themeColor="text1"/>
          <w:lang w:val="es-ES" w:eastAsia="es-CO"/>
        </w:rPr>
      </w:pPr>
      <w:r w:rsidRPr="00896CCA">
        <w:rPr>
          <w:rFonts w:ascii="Verdana" w:eastAsia="Calibri" w:hAnsi="Verdana" w:cs="Arial"/>
          <w:i/>
          <w:iCs/>
          <w:color w:val="000000" w:themeColor="text1"/>
          <w:lang w:val="es-ES"/>
        </w:rPr>
        <w:t xml:space="preserve"> </w:t>
      </w:r>
      <w:r w:rsidRPr="00896CCA">
        <w:rPr>
          <w:rFonts w:ascii="Verdana" w:eastAsia="Calibri" w:hAnsi="Verdana" w:cs="Arial"/>
          <w:lang w:val="es-ES" w:eastAsia="es-ES" w:bidi="es-ES"/>
        </w:rPr>
        <w:t>Bajo este contexto</w:t>
      </w:r>
      <w:r w:rsidRPr="00896CCA">
        <w:rPr>
          <w:rFonts w:ascii="Verdana" w:eastAsia="Calibri" w:hAnsi="Verdana" w:cs="Arial"/>
          <w:color w:val="000000" w:themeColor="text1"/>
        </w:rPr>
        <w:t xml:space="preserve">, y </w:t>
      </w:r>
      <w:r w:rsidRPr="00896CCA">
        <w:rPr>
          <w:rFonts w:ascii="Verdana" w:hAnsi="Verdana" w:cs="Arial"/>
          <w:color w:val="000000" w:themeColor="text1"/>
          <w:lang w:eastAsia="es-CO"/>
        </w:rPr>
        <w:t xml:space="preserve">considerando la naturaleza jurídica de las partes, los convenios suscritos entre entidades del orden nacional, </w:t>
      </w:r>
      <w:r w:rsidRPr="00896CCA">
        <w:rPr>
          <w:rFonts w:ascii="Verdana" w:eastAsia="Calibri" w:hAnsi="Verdana" w:cs="Arial"/>
          <w:color w:val="000000" w:themeColor="text1"/>
          <w:lang w:val="es-ES"/>
        </w:rPr>
        <w:t>departamental, distrital, local y municipal</w:t>
      </w:r>
      <w:r w:rsidRPr="00896CCA">
        <w:rPr>
          <w:rFonts w:ascii="Verdana" w:hAnsi="Verdana" w:cs="Arial"/>
          <w:color w:val="000000" w:themeColor="text1"/>
          <w:lang w:eastAsia="es-CO"/>
        </w:rPr>
        <w:t xml:space="preserve"> y organismos de acción comunal </w:t>
      </w:r>
      <w:r w:rsidRPr="00896CCA">
        <w:rPr>
          <w:rFonts w:ascii="Verdana" w:hAnsi="Verdana" w:cs="Arial"/>
          <w:i/>
          <w:iCs/>
          <w:color w:val="000000" w:themeColor="text1"/>
          <w:lang w:eastAsia="es-CO"/>
        </w:rPr>
        <w:t xml:space="preserve">no se califican como </w:t>
      </w:r>
      <w:r w:rsidRPr="00896CCA">
        <w:rPr>
          <w:rFonts w:ascii="Verdana" w:hAnsi="Verdana" w:cs="Arial"/>
          <w:i/>
          <w:iCs/>
          <w:color w:val="000000" w:themeColor="text1"/>
          <w:lang w:eastAsia="es-CO"/>
        </w:rPr>
        <w:lastRenderedPageBreak/>
        <w:t>contratos o convenios interadministrativos</w:t>
      </w:r>
      <w:r w:rsidRPr="00896CCA">
        <w:rPr>
          <w:rFonts w:ascii="Verdana" w:hAnsi="Verdana" w:cs="Arial"/>
          <w:color w:val="000000" w:themeColor="text1"/>
          <w:lang w:eastAsia="es-CO"/>
        </w:rPr>
        <w:t xml:space="preserve">, toda vez, que </w:t>
      </w:r>
      <w:r w:rsidRPr="00896CCA">
        <w:rPr>
          <w:rFonts w:ascii="Verdana" w:hAnsi="Verdana" w:cs="Arial"/>
          <w:color w:val="000000"/>
          <w:lang w:val="es-ES" w:eastAsia="es-CO"/>
        </w:rPr>
        <w:t>no implica una contratación entre autoridades del Estado sino un negocio jurídico entre una Entidad y una persona jurídica de derecho privado</w:t>
      </w:r>
      <w:r w:rsidRPr="00896CCA">
        <w:rPr>
          <w:rFonts w:ascii="Verdana" w:hAnsi="Verdana" w:cs="Arial"/>
          <w:color w:val="000000" w:themeColor="text1"/>
          <w:lang w:val="es-ES" w:eastAsia="es-CO"/>
        </w:rPr>
        <w:t xml:space="preserve"> </w:t>
      </w:r>
      <w:r w:rsidRPr="00896CCA">
        <w:rPr>
          <w:rFonts w:ascii="Verdana" w:hAnsi="Verdana" w:cs="Arial"/>
          <w:color w:val="000000" w:themeColor="text1"/>
          <w:lang w:eastAsia="es-CO"/>
        </w:rPr>
        <w:t xml:space="preserve">y en razón a ello </w:t>
      </w:r>
      <w:r>
        <w:rPr>
          <w:rFonts w:ascii="Verdana" w:hAnsi="Verdana" w:cs="Arial"/>
          <w:color w:val="000000" w:themeColor="text1"/>
          <w:lang w:eastAsia="es-CO"/>
        </w:rPr>
        <w:t>NO</w:t>
      </w:r>
      <w:r w:rsidRPr="00896CCA">
        <w:rPr>
          <w:rFonts w:ascii="Verdana" w:hAnsi="Verdana" w:cs="Arial"/>
          <w:color w:val="000000" w:themeColor="text1"/>
          <w:lang w:eastAsia="es-CO"/>
        </w:rPr>
        <w:t xml:space="preserve"> sería aplicable la restricción establecida en el artículo 38 de la Ley 996 del 2005, puesto que la calificación de </w:t>
      </w:r>
      <w:r w:rsidRPr="00896CCA">
        <w:rPr>
          <w:rFonts w:ascii="Verdana" w:hAnsi="Verdana" w:cs="Arial"/>
          <w:color w:val="000000" w:themeColor="text1"/>
          <w:lang w:val="es-ES" w:eastAsia="es-CO"/>
        </w:rPr>
        <w:t>convenios o contratos interadministrativos está definida por un criterio orgánico, esto es, que la contratación se efectúa entre dos o más personas jurídicas de derecho público con la finalidad de cumplir, en el marco de sus objetivos misionales y sus competencias, con los fines del Estado.</w:t>
      </w:r>
    </w:p>
    <w:p w14:paraId="789659B9" w14:textId="3B4FBE3C" w:rsidR="00E769FD" w:rsidRPr="007F7B8D" w:rsidRDefault="00E769FD" w:rsidP="007F7B8D">
      <w:pPr>
        <w:spacing w:after="0" w:line="276" w:lineRule="auto"/>
        <w:ind w:firstLine="708"/>
        <w:jc w:val="both"/>
        <w:rPr>
          <w:rFonts w:ascii="Verdana" w:eastAsia="Calibri" w:hAnsi="Verdana" w:cs="Arial"/>
          <w:color w:val="000000" w:themeColor="text1"/>
          <w:lang w:val="es-ES"/>
        </w:rPr>
      </w:pPr>
      <w:r w:rsidRPr="00BB4793">
        <w:rPr>
          <w:rFonts w:ascii="Verdana" w:hAnsi="Verdana" w:cs="Arial"/>
          <w:color w:val="000000" w:themeColor="text1"/>
          <w:lang w:val="es-ES" w:eastAsia="es-CO"/>
        </w:rPr>
        <w:t>Ahora bien, en relación con la restricción establecida en el artículo 33 ibidem debe señalarse que d</w:t>
      </w:r>
      <w:r w:rsidRPr="00066823">
        <w:rPr>
          <w:rFonts w:ascii="Verdana" w:eastAsia="Calibri" w:hAnsi="Verdana" w:cs="Arial"/>
          <w:color w:val="000000" w:themeColor="text1"/>
          <w:lang w:val="es-ES"/>
        </w:rPr>
        <w:t xml:space="preserve">entro de esta restricción queda contemplada la prohibición de celebrar </w:t>
      </w:r>
      <w:r w:rsidRPr="00066823">
        <w:rPr>
          <w:rFonts w:ascii="Verdana" w:eastAsia="Calibri" w:hAnsi="Verdana" w:cs="Arial"/>
          <w:i/>
          <w:iCs/>
          <w:color w:val="000000" w:themeColor="text1"/>
          <w:lang w:val="es-ES"/>
        </w:rPr>
        <w:t>directamente</w:t>
      </w:r>
      <w:r w:rsidRPr="00066823">
        <w:rPr>
          <w:rFonts w:ascii="Verdana" w:eastAsia="Calibri" w:hAnsi="Verdana" w:cs="Arial"/>
          <w:color w:val="000000" w:themeColor="text1"/>
          <w:lang w:val="es-ES"/>
        </w:rPr>
        <w:t xml:space="preserve"> convenios solidarios. Lo anterior, salvo que en el caso concreto se presente alguna de las excepciones establecidas a la prohibición consagrada en el inciso segundo del artículo 33 de la Ley de Garantías Electorales. </w:t>
      </w:r>
      <w:r w:rsidRPr="00066823">
        <w:rPr>
          <w:rFonts w:ascii="Verdana" w:hAnsi="Verdana" w:cs="Arial"/>
          <w:bCs/>
          <w:color w:val="000000" w:themeColor="text1"/>
          <w:lang w:val="es-ES_tradnl" w:eastAsia="es-ES_tradnl"/>
        </w:rPr>
        <w:t>Sin perjuicio de lo anterior,</w:t>
      </w:r>
      <w:r w:rsidRPr="00066823">
        <w:rPr>
          <w:rFonts w:ascii="Verdana" w:eastAsia="Calibri" w:hAnsi="Verdana" w:cs="Arial"/>
          <w:color w:val="000000" w:themeColor="text1"/>
          <w:lang w:val="es-ES"/>
        </w:rPr>
        <w:t xml:space="preserve"> dado que lo prohibido es la contratación </w:t>
      </w:r>
      <w:r w:rsidRPr="00066823">
        <w:rPr>
          <w:rFonts w:ascii="Verdana" w:eastAsia="Calibri" w:hAnsi="Verdana" w:cs="Arial"/>
          <w:i/>
          <w:iCs/>
          <w:color w:val="000000" w:themeColor="text1"/>
          <w:lang w:val="es-ES"/>
        </w:rPr>
        <w:t xml:space="preserve">directa, </w:t>
      </w:r>
      <w:r w:rsidRPr="00066823">
        <w:rPr>
          <w:rFonts w:ascii="Verdana" w:eastAsia="Calibri" w:hAnsi="Verdana" w:cs="Arial"/>
          <w:color w:val="000000" w:themeColor="text1"/>
          <w:lang w:val="es-ES"/>
        </w:rPr>
        <w:t xml:space="preserve">en cada caso particular debe analizarse la forma en que se celebrará el convenio solidario, de acuerdo con el marco jurídico que los regula, bajo la premisa de que </w:t>
      </w:r>
      <w:r w:rsidRPr="00066823">
        <w:rPr>
          <w:rFonts w:ascii="Verdana" w:eastAsia="Calibri" w:hAnsi="Verdana" w:cs="Arial"/>
          <w:i/>
          <w:iCs/>
          <w:color w:val="000000" w:themeColor="text1"/>
          <w:lang w:val="es-ES"/>
        </w:rPr>
        <w:t xml:space="preserve">las entidades estatales </w:t>
      </w:r>
      <w:r w:rsidRPr="00066823">
        <w:rPr>
          <w:rFonts w:ascii="Verdana" w:hAnsi="Verdana" w:cs="Arial"/>
          <w:i/>
          <w:iCs/>
          <w:color w:val="000000" w:themeColor="text1"/>
          <w:lang w:val="es-MX"/>
        </w:rPr>
        <w:t>podrán suscribir convenios solidarios durante la vigencia de la prohibición analizada, en tanto se de aplicación a un proceso competitivo para la selección del contratista</w:t>
      </w:r>
      <w:r w:rsidRPr="00066823">
        <w:rPr>
          <w:rFonts w:ascii="Verdana" w:hAnsi="Verdana" w:cs="Arial"/>
          <w:color w:val="000000" w:themeColor="text1"/>
          <w:lang w:val="es-MX"/>
        </w:rPr>
        <w:t xml:space="preserve">, esto es, en el que exista convocatoria pública y posibilidad de participación de pluralidad de oferentes. Esto, debido a que la prohibición de contratación directa del artículo 33 de la Ley de Garantías Electorales únicamente aplica a los procedimientos </w:t>
      </w:r>
      <w:r>
        <w:rPr>
          <w:rFonts w:ascii="Verdana" w:hAnsi="Verdana" w:cs="Arial"/>
          <w:color w:val="000000" w:themeColor="text1"/>
          <w:lang w:val="es-MX"/>
        </w:rPr>
        <w:t>“</w:t>
      </w:r>
      <w:r w:rsidRPr="00066823">
        <w:rPr>
          <w:rFonts w:ascii="Verdana" w:hAnsi="Verdana" w:cs="Arial"/>
          <w:color w:val="000000" w:themeColor="text1"/>
          <w:lang w:val="es-MX"/>
        </w:rPr>
        <w:t>no competitivos</w:t>
      </w:r>
      <w:r>
        <w:rPr>
          <w:rFonts w:ascii="Verdana" w:hAnsi="Verdana" w:cs="Arial"/>
          <w:color w:val="000000" w:themeColor="text1"/>
          <w:lang w:val="es-MX"/>
        </w:rPr>
        <w:t>”</w:t>
      </w:r>
      <w:r w:rsidRPr="00066823">
        <w:rPr>
          <w:rFonts w:ascii="Verdana" w:hAnsi="Verdana" w:cs="Arial"/>
          <w:color w:val="000000" w:themeColor="text1"/>
          <w:lang w:val="es-MX"/>
        </w:rPr>
        <w:t>, que son los que implican una contratación directa.</w:t>
      </w:r>
    </w:p>
    <w:p w14:paraId="10B3EB4A" w14:textId="77777777" w:rsidR="00035478" w:rsidRPr="002E76E6" w:rsidRDefault="00035478" w:rsidP="00035478">
      <w:pPr>
        <w:spacing w:after="0" w:line="276" w:lineRule="auto"/>
        <w:jc w:val="both"/>
        <w:rPr>
          <w:rFonts w:ascii="Verdana" w:hAnsi="Verdana" w:cs="Arial"/>
          <w:bCs/>
          <w:lang w:val="es-MX" w:eastAsia="x-none"/>
        </w:rPr>
      </w:pPr>
    </w:p>
    <w:p w14:paraId="1AC4C37E" w14:textId="45ED066C" w:rsidR="00035478" w:rsidRPr="002E76E6" w:rsidRDefault="005B27FC" w:rsidP="00035478">
      <w:pPr>
        <w:spacing w:after="120" w:line="276" w:lineRule="auto"/>
        <w:jc w:val="both"/>
        <w:rPr>
          <w:rFonts w:ascii="Verdana" w:hAnsi="Verdana" w:cs="Arial"/>
          <w:bCs/>
          <w:lang w:val="es-MX" w:eastAsia="x-none"/>
        </w:rPr>
      </w:pPr>
      <w:r>
        <w:rPr>
          <w:rFonts w:ascii="Verdana" w:eastAsia="Arial" w:hAnsi="Verdana" w:cs="Arial"/>
          <w:lang w:val="es-MX" w:eastAsia="es-ES" w:bidi="es-ES"/>
        </w:rPr>
        <w:t>v</w:t>
      </w:r>
      <w:r w:rsidR="00035478" w:rsidRPr="002E76E6">
        <w:rPr>
          <w:rFonts w:ascii="Verdana" w:eastAsia="Arial" w:hAnsi="Verdana" w:cs="Arial"/>
          <w:lang w:val="es-MX" w:eastAsia="es-ES" w:bidi="es-ES"/>
        </w:rPr>
        <w:t xml:space="preserve">. </w:t>
      </w:r>
      <w:r w:rsidR="00035478" w:rsidRPr="002E76E6">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00035478" w:rsidRPr="002E76E6">
        <w:rPr>
          <w:rFonts w:ascii="Verdana" w:hAnsi="Verdana" w:cs="Arial"/>
          <w:lang w:val="es-MX"/>
        </w:rPr>
        <w:t xml:space="preserve"> </w:t>
      </w:r>
      <w:r w:rsidR="00035478" w:rsidRPr="002E76E6">
        <w:rPr>
          <w:rFonts w:ascii="Verdana" w:hAnsi="Verdana" w:cs="Arial"/>
          <w:bCs/>
          <w:lang w:val="es-MX" w:eastAsia="x-none"/>
        </w:rPr>
        <w:t>En efecto, tal como lo ha sostenido el Consejo de Estado, el vocablo “todos” utilizado por el legislador comprende</w:t>
      </w:r>
      <w:r w:rsidR="00035478" w:rsidRPr="002E76E6">
        <w:rPr>
          <w:rFonts w:ascii="Verdana" w:hAnsi="Verdana" w:cs="Arial"/>
          <w:lang w:val="es-MX"/>
        </w:rPr>
        <w:t xml:space="preserve"> </w:t>
      </w:r>
      <w:r w:rsidR="00035478" w:rsidRPr="002E76E6">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98C861A" w14:textId="77777777" w:rsidR="00035478" w:rsidRPr="002E76E6" w:rsidRDefault="00035478" w:rsidP="00035478">
      <w:pPr>
        <w:spacing w:after="0" w:line="276" w:lineRule="auto"/>
        <w:ind w:firstLine="708"/>
        <w:jc w:val="both"/>
        <w:rPr>
          <w:rFonts w:ascii="Verdana" w:hAnsi="Verdana" w:cs="Arial"/>
          <w:bCs/>
          <w:lang w:val="es-MX" w:eastAsia="x-none"/>
        </w:rPr>
      </w:pPr>
      <w:r w:rsidRPr="002E76E6">
        <w:rPr>
          <w:rFonts w:ascii="Verdana" w:hAnsi="Verdana" w:cs="Arial"/>
          <w:bCs/>
          <w:lang w:val="es-MX" w:eastAsia="x-none"/>
        </w:rPr>
        <w:lastRenderedPageBreak/>
        <w:t xml:space="preserve">El Consejo de Estado, en Concepto con radicado 1727 de fecha 20 de febrero de 2006, consideró que: </w:t>
      </w:r>
    </w:p>
    <w:p w14:paraId="6F01584D" w14:textId="77777777" w:rsidR="00035478" w:rsidRPr="002E76E6" w:rsidRDefault="00035478" w:rsidP="00035478">
      <w:pPr>
        <w:spacing w:after="0" w:line="276" w:lineRule="auto"/>
        <w:ind w:firstLine="708"/>
        <w:jc w:val="both"/>
        <w:rPr>
          <w:rFonts w:ascii="Verdana" w:hAnsi="Verdana" w:cs="Arial"/>
          <w:bCs/>
          <w:lang w:val="es-MX" w:eastAsia="x-none"/>
        </w:rPr>
      </w:pPr>
    </w:p>
    <w:p w14:paraId="21A57F68" w14:textId="77777777" w:rsidR="00035478" w:rsidRPr="002E76E6" w:rsidRDefault="00035478" w:rsidP="00035478">
      <w:pPr>
        <w:spacing w:after="0" w:line="240" w:lineRule="auto"/>
        <w:ind w:left="708" w:right="709"/>
        <w:jc w:val="both"/>
        <w:rPr>
          <w:rFonts w:ascii="Verdana" w:hAnsi="Verdana" w:cs="Arial"/>
          <w:bCs/>
          <w:sz w:val="20"/>
          <w:szCs w:val="20"/>
          <w:lang w:val="es-MX" w:eastAsia="es-CO"/>
        </w:rPr>
      </w:pPr>
      <w:r w:rsidRPr="002E76E6">
        <w:rPr>
          <w:rFonts w:ascii="Verdana" w:hAnsi="Verdana" w:cs="Arial"/>
          <w:bCs/>
          <w:sz w:val="20"/>
          <w:szCs w:val="20"/>
          <w:lang w:val="es-MX" w:eastAsia="x-none"/>
        </w:rPr>
        <w:t xml:space="preserve">“El artículo 33 de la ley 996 de 2005, </w:t>
      </w:r>
      <w:bookmarkStart w:id="27" w:name="_Hlk75787147"/>
      <w:r w:rsidRPr="002E76E6">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2E76E6">
        <w:rPr>
          <w:rFonts w:ascii="Verdana" w:hAnsi="Verdana" w:cs="Arial"/>
          <w:bCs/>
          <w:sz w:val="20"/>
          <w:szCs w:val="20"/>
          <w:vertAlign w:val="superscript"/>
          <w:lang w:val="es-MX" w:eastAsia="x-none"/>
        </w:rPr>
        <w:footnoteReference w:id="24"/>
      </w:r>
      <w:r w:rsidRPr="002E76E6">
        <w:rPr>
          <w:rFonts w:ascii="Verdana" w:hAnsi="Verdana" w:cs="Arial"/>
          <w:bCs/>
          <w:sz w:val="20"/>
          <w:szCs w:val="20"/>
          <w:lang w:val="es-MX" w:eastAsia="x-none"/>
        </w:rPr>
        <w:t>.</w:t>
      </w:r>
      <w:r w:rsidRPr="002E76E6">
        <w:rPr>
          <w:rFonts w:ascii="Verdana" w:hAnsi="Verdana" w:cs="Arial"/>
          <w:bCs/>
          <w:sz w:val="20"/>
          <w:szCs w:val="20"/>
          <w:lang w:val="es-MX" w:eastAsia="es-CO"/>
        </w:rPr>
        <w:t xml:space="preserve"> </w:t>
      </w:r>
    </w:p>
    <w:p w14:paraId="65156EF4" w14:textId="77777777" w:rsidR="00035478" w:rsidRPr="002E76E6" w:rsidRDefault="00035478" w:rsidP="00035478">
      <w:pPr>
        <w:spacing w:after="0" w:line="276" w:lineRule="auto"/>
        <w:ind w:firstLine="708"/>
        <w:jc w:val="both"/>
        <w:rPr>
          <w:rFonts w:ascii="Verdana" w:hAnsi="Verdana" w:cs="Arial"/>
          <w:bCs/>
          <w:lang w:val="es-MX" w:eastAsia="es-CO"/>
        </w:rPr>
      </w:pPr>
    </w:p>
    <w:p w14:paraId="024E6CFF" w14:textId="77777777" w:rsidR="00035478" w:rsidRPr="002E76E6" w:rsidRDefault="00035478" w:rsidP="00035478">
      <w:pPr>
        <w:spacing w:after="120" w:line="276" w:lineRule="auto"/>
        <w:ind w:firstLine="708"/>
        <w:jc w:val="both"/>
        <w:rPr>
          <w:rFonts w:ascii="Verdana" w:hAnsi="Verdana" w:cs="Arial"/>
          <w:lang w:val="es-MX"/>
        </w:rPr>
      </w:pPr>
      <w:r w:rsidRPr="002E76E6">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28" w:name="_Hlk75758868"/>
      <w:bookmarkStart w:id="29" w:name="_Hlk75741220"/>
      <w:r w:rsidRPr="002E76E6">
        <w:rPr>
          <w:rFonts w:ascii="Verdana" w:hAnsi="Verdana" w:cs="Arial"/>
          <w:vertAlign w:val="superscript"/>
          <w:lang w:val="es-MX"/>
        </w:rPr>
        <w:footnoteReference w:id="25"/>
      </w:r>
      <w:bookmarkEnd w:id="28"/>
      <w:bookmarkEnd w:id="29"/>
      <w:r w:rsidRPr="002E76E6">
        <w:rPr>
          <w:rFonts w:ascii="Verdana" w:hAnsi="Verdana" w:cs="Arial"/>
          <w:bCs/>
          <w:lang w:val="es-MX" w:eastAsia="x-none"/>
        </w:rPr>
        <w:t>.</w:t>
      </w:r>
      <w:r w:rsidRPr="002E76E6">
        <w:rPr>
          <w:rFonts w:ascii="Verdana" w:hAnsi="Verdana" w:cs="Arial"/>
          <w:lang w:val="es-MX"/>
        </w:rPr>
        <w:t xml:space="preserve"> </w:t>
      </w:r>
    </w:p>
    <w:p w14:paraId="15B82AC3" w14:textId="77777777" w:rsidR="00035478" w:rsidRPr="002E76E6" w:rsidRDefault="00035478" w:rsidP="00035478">
      <w:pPr>
        <w:spacing w:after="0" w:line="276" w:lineRule="auto"/>
        <w:ind w:firstLine="708"/>
        <w:jc w:val="both"/>
        <w:rPr>
          <w:rFonts w:ascii="Verdana" w:hAnsi="Verdana" w:cs="Arial"/>
          <w:lang w:val="es-MX"/>
        </w:rPr>
      </w:pPr>
      <w:r w:rsidRPr="002E76E6">
        <w:rPr>
          <w:rFonts w:ascii="Verdana" w:hAnsi="Verdana" w:cs="Arial"/>
          <w:lang w:val="es-MX"/>
        </w:rPr>
        <w:t>Sin embargo, debe precisarse el siguiente aspecto que distinguió la Sala de Consulta y Servicio Civil:</w:t>
      </w:r>
    </w:p>
    <w:p w14:paraId="554D3031" w14:textId="77777777" w:rsidR="00035478" w:rsidRPr="002E76E6" w:rsidRDefault="00035478" w:rsidP="00035478">
      <w:pPr>
        <w:spacing w:after="0" w:line="276" w:lineRule="auto"/>
        <w:jc w:val="both"/>
        <w:rPr>
          <w:rFonts w:ascii="Verdana" w:hAnsi="Verdana" w:cs="Arial"/>
          <w:lang w:val="es-MX"/>
        </w:rPr>
      </w:pPr>
    </w:p>
    <w:p w14:paraId="0D3E9EDF" w14:textId="77777777" w:rsidR="00035478" w:rsidRPr="002E76E6" w:rsidRDefault="00035478" w:rsidP="00035478">
      <w:pPr>
        <w:spacing w:after="0" w:line="240" w:lineRule="auto"/>
        <w:ind w:left="709" w:right="709"/>
        <w:jc w:val="both"/>
        <w:rPr>
          <w:rFonts w:ascii="Verdana" w:hAnsi="Verdana" w:cs="Arial"/>
          <w:sz w:val="20"/>
          <w:szCs w:val="20"/>
          <w:lang w:val="es-MX"/>
        </w:rPr>
      </w:pPr>
      <w:bookmarkStart w:id="31" w:name="_Hlk75811446"/>
      <w:r w:rsidRPr="002E76E6">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w:t>
      </w:r>
      <w:r w:rsidRPr="002E76E6">
        <w:rPr>
          <w:rFonts w:ascii="Verdana" w:hAnsi="Verdana" w:cs="Arial"/>
          <w:sz w:val="20"/>
          <w:szCs w:val="20"/>
          <w:lang w:val="es-MX"/>
        </w:rPr>
        <w:lastRenderedPageBreak/>
        <w:t>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31"/>
      <w:r w:rsidRPr="002E76E6">
        <w:rPr>
          <w:rFonts w:ascii="Verdana" w:hAnsi="Verdana" w:cs="Arial"/>
          <w:sz w:val="20"/>
          <w:szCs w:val="20"/>
          <w:lang w:val="es-MX"/>
        </w:rPr>
        <w:t>”</w:t>
      </w:r>
      <w:r w:rsidRPr="002E76E6">
        <w:rPr>
          <w:rFonts w:ascii="Verdana" w:hAnsi="Verdana" w:cs="Arial"/>
          <w:sz w:val="20"/>
          <w:szCs w:val="20"/>
          <w:vertAlign w:val="superscript"/>
          <w:lang w:val="es-MX"/>
        </w:rPr>
        <w:footnoteReference w:id="26"/>
      </w:r>
      <w:r w:rsidRPr="002E76E6">
        <w:rPr>
          <w:rFonts w:ascii="Verdana" w:hAnsi="Verdana" w:cs="Arial"/>
          <w:bCs/>
          <w:sz w:val="20"/>
          <w:szCs w:val="20"/>
          <w:lang w:val="es-MX" w:eastAsia="x-none"/>
        </w:rPr>
        <w:t>.</w:t>
      </w:r>
    </w:p>
    <w:p w14:paraId="36618709" w14:textId="77777777" w:rsidR="00035478" w:rsidRPr="002E76E6" w:rsidRDefault="00035478" w:rsidP="00035478">
      <w:pPr>
        <w:spacing w:after="0" w:line="276" w:lineRule="auto"/>
        <w:jc w:val="both"/>
        <w:rPr>
          <w:rFonts w:ascii="Verdana" w:hAnsi="Verdana" w:cs="Arial"/>
          <w:lang w:val="es-MX"/>
        </w:rPr>
      </w:pPr>
    </w:p>
    <w:p w14:paraId="56863CAF" w14:textId="77777777" w:rsidR="00035478" w:rsidRPr="002E76E6" w:rsidRDefault="00035478" w:rsidP="00035478">
      <w:pPr>
        <w:spacing w:after="120" w:line="276" w:lineRule="auto"/>
        <w:ind w:firstLine="709"/>
        <w:jc w:val="both"/>
        <w:rPr>
          <w:rFonts w:ascii="Verdana" w:hAnsi="Verdana" w:cs="Arial"/>
          <w:bCs/>
          <w:lang w:val="es-MX" w:eastAsia="x-none"/>
        </w:rPr>
      </w:pPr>
      <w:r w:rsidRPr="002E76E6">
        <w:rPr>
          <w:rFonts w:ascii="Verdana" w:hAnsi="Verdana" w:cs="Arial"/>
          <w:lang w:val="es-MX"/>
        </w:rPr>
        <w:t>Aplicando este razonamiento,</w:t>
      </w:r>
      <w:bookmarkStart w:id="32" w:name="_Hlk75811096"/>
      <w:r w:rsidRPr="002E76E6">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32"/>
      <w:r w:rsidRPr="002E76E6">
        <w:rPr>
          <w:rFonts w:ascii="Verdana" w:hAnsi="Verdana" w:cs="Arial"/>
          <w:lang w:val="es-MX"/>
        </w:rPr>
        <w:t>”</w:t>
      </w:r>
      <w:r w:rsidRPr="002E76E6">
        <w:rPr>
          <w:rFonts w:ascii="Verdana" w:hAnsi="Verdana" w:cs="Arial"/>
          <w:vertAlign w:val="superscript"/>
          <w:lang w:val="es-MX"/>
        </w:rPr>
        <w:t xml:space="preserve"> </w:t>
      </w:r>
      <w:r w:rsidRPr="002E76E6">
        <w:rPr>
          <w:rFonts w:ascii="Verdana" w:hAnsi="Verdana" w:cs="Arial"/>
          <w:vertAlign w:val="superscript"/>
          <w:lang w:val="es-MX"/>
        </w:rPr>
        <w:footnoteReference w:id="27"/>
      </w:r>
      <w:r w:rsidRPr="002E76E6">
        <w:rPr>
          <w:rFonts w:ascii="Verdana" w:hAnsi="Verdana" w:cs="Arial"/>
          <w:lang w:val="es-MX"/>
        </w:rPr>
        <w:t>.</w:t>
      </w:r>
    </w:p>
    <w:p w14:paraId="76D2EC4C" w14:textId="77777777" w:rsidR="00035478" w:rsidRPr="002E76E6" w:rsidRDefault="00035478" w:rsidP="00035478">
      <w:pPr>
        <w:spacing w:after="0" w:line="276" w:lineRule="auto"/>
        <w:ind w:firstLine="708"/>
        <w:jc w:val="both"/>
        <w:rPr>
          <w:rFonts w:ascii="Verdana" w:hAnsi="Verdana" w:cs="Arial"/>
          <w:bCs/>
          <w:lang w:val="es-MX" w:eastAsia="x-none"/>
        </w:rPr>
      </w:pPr>
      <w:bookmarkStart w:id="33" w:name="_Hlk77237229"/>
      <w:bookmarkEnd w:id="27"/>
      <w:r w:rsidRPr="002E76E6">
        <w:rPr>
          <w:rFonts w:ascii="Verdana" w:hAnsi="Verdana" w:cs="Arial"/>
          <w:lang w:val="es-MX"/>
        </w:rPr>
        <w:t>Por lo tanto, la restricción prevista en la Ley 996 de 200</w:t>
      </w:r>
      <w:bookmarkStart w:id="34" w:name="_Hlk75741539"/>
      <w:r w:rsidRPr="002E76E6">
        <w:rPr>
          <w:rFonts w:ascii="Verdana" w:hAnsi="Verdana" w:cs="Arial"/>
          <w:lang w:val="es-MX"/>
        </w:rPr>
        <w:t xml:space="preserve">5, </w:t>
      </w:r>
      <w:r w:rsidRPr="002E76E6">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4C020F0" w14:textId="77777777" w:rsidR="00035478" w:rsidRPr="002E76E6" w:rsidRDefault="00035478" w:rsidP="00035478">
      <w:pPr>
        <w:spacing w:after="0" w:line="276" w:lineRule="auto"/>
        <w:jc w:val="both"/>
        <w:rPr>
          <w:rFonts w:ascii="Verdana" w:eastAsia="Arial" w:hAnsi="Verdana" w:cs="Arial"/>
          <w:bCs/>
        </w:rPr>
      </w:pPr>
    </w:p>
    <w:p w14:paraId="29BC5E72" w14:textId="5E216437" w:rsidR="00035478" w:rsidRPr="002E76E6" w:rsidRDefault="00035478" w:rsidP="00035478">
      <w:pPr>
        <w:spacing w:after="120" w:line="276" w:lineRule="auto"/>
        <w:jc w:val="both"/>
        <w:rPr>
          <w:rFonts w:ascii="Verdana" w:hAnsi="Verdana" w:cs="Arial"/>
          <w:lang w:val="es-ES"/>
        </w:rPr>
      </w:pPr>
      <w:r w:rsidRPr="002E76E6">
        <w:rPr>
          <w:rFonts w:ascii="Verdana" w:eastAsia="Calibri" w:hAnsi="Verdana" w:cs="Arial"/>
        </w:rPr>
        <w:t>v</w:t>
      </w:r>
      <w:r w:rsidR="00F11146">
        <w:rPr>
          <w:rFonts w:ascii="Verdana" w:eastAsia="Calibri" w:hAnsi="Verdana" w:cs="Arial"/>
        </w:rPr>
        <w:t>i</w:t>
      </w:r>
      <w:r w:rsidRPr="002E76E6">
        <w:rPr>
          <w:rFonts w:ascii="Verdana" w:eastAsia="Calibri" w:hAnsi="Verdana" w:cs="Arial"/>
        </w:rPr>
        <w:t xml:space="preserve">. </w:t>
      </w:r>
      <w:bookmarkEnd w:id="33"/>
      <w:bookmarkEnd w:id="34"/>
      <w:r w:rsidRPr="002E76E6">
        <w:rPr>
          <w:rFonts w:ascii="Verdana" w:hAnsi="Verdana" w:cs="Arial"/>
          <w:lang w:val="es-ES"/>
        </w:rPr>
        <w:t xml:space="preserve">Ahora bien, respecto del alcance del parágrafo </w:t>
      </w:r>
      <w:r w:rsidRPr="002E76E6">
        <w:rPr>
          <w:rFonts w:ascii="Verdana" w:hAnsi="Verdana" w:cs="Arial"/>
        </w:rPr>
        <w:t xml:space="preserve">del artículo 38 de la Ley 996 de 2005, esta prohibición dispone que “Los Gobernadores, </w:t>
      </w:r>
      <w:proofErr w:type="gramStart"/>
      <w:r w:rsidRPr="002E76E6">
        <w:rPr>
          <w:rFonts w:ascii="Verdana" w:hAnsi="Verdana" w:cs="Arial"/>
        </w:rPr>
        <w:t>Alcaldes</w:t>
      </w:r>
      <w:proofErr w:type="gramEnd"/>
      <w:r w:rsidRPr="002E76E6">
        <w:rPr>
          <w:rFonts w:ascii="Verdana" w:hAnsi="Verdana" w:cs="Arial"/>
        </w:rPr>
        <w:t xml:space="preserve"> Municipales y/o Distritales, </w:t>
      </w:r>
      <w:proofErr w:type="gramStart"/>
      <w:r w:rsidRPr="002E76E6">
        <w:rPr>
          <w:rFonts w:ascii="Verdana" w:hAnsi="Verdana" w:cs="Arial"/>
        </w:rPr>
        <w:t>Secretarios</w:t>
      </w:r>
      <w:proofErr w:type="gramEnd"/>
      <w:r w:rsidRPr="002E76E6">
        <w:rPr>
          <w:rFonts w:ascii="Verdana" w:hAnsi="Verdana" w:cs="Arial"/>
        </w:rPr>
        <w:t xml:space="preserve">, Gerentes y directores de Entidades Descentralizadas del orden Municipal, Departamental o Distrital, dentro de los cuatro (4) meses </w:t>
      </w:r>
      <w:r w:rsidRPr="002E76E6">
        <w:rPr>
          <w:rFonts w:ascii="Verdana" w:hAnsi="Verdana" w:cs="Arial"/>
        </w:rPr>
        <w:lastRenderedPageBreak/>
        <w:t>anteriores a las elecciones, no podrán celebrar convenios interadministrativos para la ejecución de recursos públicos”.</w:t>
      </w:r>
      <w:r w:rsidRPr="002E76E6">
        <w:rPr>
          <w:rFonts w:ascii="Verdana" w:eastAsia="Times New Roman" w:hAnsi="Verdana" w:cs="Arial"/>
          <w:lang w:val="es-MX" w:eastAsia="x-none"/>
        </w:rPr>
        <w:t xml:space="preserve"> </w:t>
      </w:r>
    </w:p>
    <w:p w14:paraId="3A800B4A" w14:textId="77777777" w:rsidR="00035478" w:rsidRPr="002E76E6" w:rsidRDefault="00035478" w:rsidP="00035478">
      <w:pPr>
        <w:spacing w:after="120" w:line="276" w:lineRule="auto"/>
        <w:ind w:firstLine="709"/>
        <w:jc w:val="both"/>
        <w:rPr>
          <w:rFonts w:ascii="Verdana" w:hAnsi="Verdana" w:cs="Arial"/>
          <w:lang w:eastAsia="es-ES"/>
        </w:rPr>
      </w:pPr>
      <w:r w:rsidRPr="002E76E6">
        <w:rPr>
          <w:rFonts w:ascii="Verdana" w:eastAsia="Times New Roman" w:hAnsi="Verdana" w:cs="Arial"/>
          <w:lang w:val="es-ES" w:eastAsia="es-ES"/>
        </w:rPr>
        <w:t xml:space="preserve">Para tales efectos, debe precisarse que </w:t>
      </w:r>
      <w:r w:rsidRPr="002E76E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2E76E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2E76E6">
        <w:rPr>
          <w:rFonts w:ascii="Verdana" w:hAnsi="Verdana" w:cs="Arial"/>
          <w:vertAlign w:val="superscript"/>
          <w:lang w:eastAsia="es-ES"/>
        </w:rPr>
        <w:footnoteReference w:id="28"/>
      </w:r>
      <w:r w:rsidRPr="002E76E6">
        <w:rPr>
          <w:rFonts w:ascii="Verdana" w:hAnsi="Verdana" w:cs="Arial"/>
          <w:lang w:eastAsia="es-ES"/>
        </w:rPr>
        <w:t>.</w:t>
      </w:r>
    </w:p>
    <w:p w14:paraId="5D3DE17C" w14:textId="77777777" w:rsidR="00035478" w:rsidRPr="002E76E6" w:rsidRDefault="00035478" w:rsidP="00035478">
      <w:pPr>
        <w:spacing w:after="120" w:line="276" w:lineRule="auto"/>
        <w:ind w:firstLine="709"/>
        <w:jc w:val="both"/>
        <w:rPr>
          <w:rFonts w:ascii="Verdana" w:hAnsi="Verdana" w:cs="Arial"/>
          <w:color w:val="000000" w:themeColor="text1"/>
          <w:lang w:val="es-ES_tradnl"/>
        </w:rPr>
      </w:pPr>
      <w:r w:rsidRPr="002E76E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A003674" w14:textId="77777777" w:rsidR="00035478" w:rsidRPr="002E76E6" w:rsidRDefault="00035478" w:rsidP="00035478">
      <w:pPr>
        <w:spacing w:before="120" w:after="0" w:line="276" w:lineRule="auto"/>
        <w:ind w:firstLine="708"/>
        <w:jc w:val="both"/>
        <w:rPr>
          <w:rFonts w:ascii="Verdana" w:hAnsi="Verdana" w:cs="Arial"/>
          <w:lang w:val="es-ES_tradnl"/>
        </w:rPr>
      </w:pPr>
      <w:r w:rsidRPr="002E76E6">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2E76E6">
        <w:rPr>
          <w:rFonts w:ascii="Verdana" w:hAnsi="Verdana" w:cs="Arial"/>
          <w:vertAlign w:val="superscript"/>
          <w:lang w:val="es-ES"/>
        </w:rPr>
        <w:footnoteReference w:id="29"/>
      </w:r>
      <w:r w:rsidRPr="002E76E6">
        <w:rPr>
          <w:rFonts w:ascii="Verdana" w:hAnsi="Verdana" w:cs="Arial"/>
          <w:lang w:val="es-ES"/>
        </w:rPr>
        <w:t>. Nótese que, en este caso, lo que cambia es la modalidad de selección y no la naturaleza de contrato interadministrativo.</w:t>
      </w:r>
    </w:p>
    <w:p w14:paraId="6535C2E6" w14:textId="77777777" w:rsidR="00035478" w:rsidRPr="002E76E6" w:rsidRDefault="00035478" w:rsidP="00035478">
      <w:pPr>
        <w:spacing w:before="120" w:after="0" w:line="276" w:lineRule="auto"/>
        <w:ind w:firstLine="708"/>
        <w:jc w:val="both"/>
        <w:rPr>
          <w:rFonts w:ascii="Verdana" w:hAnsi="Verdana" w:cs="Arial"/>
          <w:lang w:val="es-ES_tradnl"/>
        </w:rPr>
      </w:pPr>
      <w:r w:rsidRPr="002E76E6">
        <w:rPr>
          <w:rFonts w:ascii="Verdana" w:hAnsi="Verdana" w:cs="Arial"/>
          <w:lang w:val="es-ES"/>
        </w:rPr>
        <w:t xml:space="preserve">Además, es necesario tener en cuenta que para que un contrato o convenio interadministrativo exista debe cumplir con los siguientes elementos: </w:t>
      </w:r>
      <w:r w:rsidRPr="002E76E6">
        <w:rPr>
          <w:rFonts w:ascii="Verdana" w:hAnsi="Verdana" w:cs="Arial"/>
          <w:lang w:val="es-ES"/>
        </w:rPr>
        <w:lastRenderedPageBreak/>
        <w:t>acuerdo sobre el objeto y la contraprestación y que conste por escrito</w:t>
      </w:r>
      <w:r w:rsidRPr="002E76E6">
        <w:rPr>
          <w:rFonts w:ascii="Verdana" w:hAnsi="Verdana" w:cs="Arial"/>
          <w:vertAlign w:val="superscript"/>
          <w:lang w:val="es-ES"/>
        </w:rPr>
        <w:footnoteReference w:id="30"/>
      </w:r>
      <w:r w:rsidRPr="002E76E6">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A82EBB0" w14:textId="77777777" w:rsidR="00035478" w:rsidRPr="002E76E6" w:rsidRDefault="00035478" w:rsidP="00035478">
      <w:pPr>
        <w:spacing w:before="120" w:after="0" w:line="276" w:lineRule="auto"/>
        <w:ind w:firstLine="708"/>
        <w:jc w:val="both"/>
        <w:rPr>
          <w:rFonts w:ascii="Verdana" w:hAnsi="Verdana"/>
          <w:sz w:val="24"/>
          <w:szCs w:val="24"/>
          <w:lang w:eastAsia="es-CO"/>
        </w:rPr>
      </w:pPr>
      <w:r w:rsidRPr="002E76E6">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2E76E6">
        <w:rPr>
          <w:rFonts w:ascii="Verdana" w:hAnsi="Verdana" w:cs="Arial"/>
          <w:vertAlign w:val="superscript"/>
          <w:lang w:val="es-ES"/>
        </w:rPr>
        <w:footnoteReference w:id="31"/>
      </w:r>
      <w:r w:rsidRPr="002E76E6">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2E76E6">
        <w:rPr>
          <w:rFonts w:ascii="Verdana" w:hAnsi="Verdana"/>
          <w:sz w:val="24"/>
          <w:szCs w:val="24"/>
          <w:lang w:eastAsia="es-CO"/>
        </w:rPr>
        <w:t>.</w:t>
      </w:r>
    </w:p>
    <w:p w14:paraId="6B989B9F" w14:textId="77777777" w:rsidR="00035478" w:rsidRPr="002E76E6" w:rsidRDefault="00035478" w:rsidP="00035478">
      <w:pPr>
        <w:spacing w:before="120" w:after="0" w:line="276" w:lineRule="auto"/>
        <w:ind w:firstLine="708"/>
        <w:jc w:val="both"/>
        <w:rPr>
          <w:rFonts w:ascii="Verdana" w:eastAsia="Times New Roman" w:hAnsi="Verdana" w:cs="Arial"/>
          <w:lang w:val="es-MX" w:eastAsia="es-CO"/>
        </w:rPr>
      </w:pPr>
      <w:r w:rsidRPr="002E76E6">
        <w:rPr>
          <w:rFonts w:ascii="Verdana" w:eastAsia="Arial" w:hAnsi="Verdana" w:cs="Arial"/>
          <w:lang w:val="es-MX" w:eastAsia="es-ES" w:bidi="es-ES"/>
        </w:rPr>
        <w:t>De esta manera, se</w:t>
      </w:r>
      <w:r w:rsidRPr="002E76E6">
        <w:rPr>
          <w:rFonts w:ascii="Verdana" w:eastAsia="Times New Roman" w:hAnsi="Verdana" w:cs="Arial"/>
          <w:lang w:eastAsia="es-CO"/>
        </w:rPr>
        <w:t xml:space="preserve"> observa entonces que </w:t>
      </w:r>
      <w:r w:rsidRPr="002E76E6">
        <w:rPr>
          <w:rFonts w:ascii="Verdana" w:eastAsia="Times New Roman" w:hAnsi="Verdana" w:cs="Arial"/>
          <w:lang w:val="es-MX" w:eastAsia="es-CO"/>
        </w:rPr>
        <w:t xml:space="preserve">el parágrafo del artículo 38 de la Ley 996 de 2005 prohíbe a los </w:t>
      </w:r>
      <w:proofErr w:type="gramStart"/>
      <w:r w:rsidRPr="002E76E6">
        <w:rPr>
          <w:rFonts w:ascii="Verdana" w:eastAsia="Times New Roman" w:hAnsi="Verdana" w:cs="Arial"/>
          <w:lang w:val="es-MX" w:eastAsia="es-CO"/>
        </w:rPr>
        <w:t>Alcaldes</w:t>
      </w:r>
      <w:proofErr w:type="gramEnd"/>
      <w:r w:rsidRPr="002E76E6">
        <w:rPr>
          <w:rFonts w:ascii="Verdana" w:eastAsia="Times New Roman" w:hAnsi="Verdana" w:cs="Arial"/>
          <w:lang w:val="es-MX" w:eastAsia="es-CO"/>
        </w:rPr>
        <w:t xml:space="preserve">, Gobernadores, </w:t>
      </w:r>
      <w:proofErr w:type="gramStart"/>
      <w:r w:rsidRPr="002E76E6">
        <w:rPr>
          <w:rFonts w:ascii="Verdana" w:eastAsia="Times New Roman" w:hAnsi="Verdana" w:cs="Arial"/>
          <w:lang w:val="es-MX" w:eastAsia="es-CO"/>
        </w:rPr>
        <w:t>Secretarios</w:t>
      </w:r>
      <w:proofErr w:type="gramEnd"/>
      <w:r w:rsidRPr="002E76E6">
        <w:rPr>
          <w:rFonts w:ascii="Verdana" w:eastAsia="Times New Roman" w:hAnsi="Verdana" w:cs="Arial"/>
          <w:lang w:val="es-MX" w:eastAsia="es-CO"/>
        </w:rPr>
        <w:t xml:space="preserve">, Gerentes y </w:t>
      </w:r>
      <w:proofErr w:type="gramStart"/>
      <w:r w:rsidRPr="002E76E6">
        <w:rPr>
          <w:rFonts w:ascii="Verdana" w:eastAsia="Times New Roman" w:hAnsi="Verdana" w:cs="Arial"/>
          <w:lang w:val="es-MX" w:eastAsia="es-CO"/>
        </w:rPr>
        <w:t>Directores</w:t>
      </w:r>
      <w:proofErr w:type="gramEnd"/>
      <w:r w:rsidRPr="002E76E6">
        <w:rPr>
          <w:rFonts w:ascii="Verdana" w:eastAsia="Times New Roman" w:hAnsi="Verdana" w:cs="Arial"/>
          <w:lang w:val="es-MX" w:eastAsia="es-CO"/>
        </w:rPr>
        <w:t xml:space="preserve"> de las entidades del orden municipal, departamental o distrital celebrar </w:t>
      </w:r>
      <w:r w:rsidRPr="002E76E6">
        <w:rPr>
          <w:rFonts w:ascii="Verdana" w:eastAsia="Times New Roman" w:hAnsi="Verdana" w:cs="Arial"/>
          <w:i/>
          <w:iCs/>
          <w:lang w:val="es-MX" w:eastAsia="es-CO"/>
        </w:rPr>
        <w:t>convenios interadministrativos</w:t>
      </w:r>
      <w:r w:rsidRPr="002E76E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2E76E6">
        <w:rPr>
          <w:rFonts w:ascii="Verdana" w:eastAsia="Times New Roman" w:hAnsi="Verdana" w:cs="Arial"/>
          <w:i/>
          <w:lang w:val="es-MX" w:eastAsia="es-CO"/>
        </w:rPr>
        <w:t>ibidem</w:t>
      </w:r>
      <w:r w:rsidRPr="002E76E6">
        <w:rPr>
          <w:rFonts w:ascii="Verdana" w:eastAsia="Times New Roman" w:hAnsi="Verdana" w:cs="Arial"/>
          <w:lang w:val="es-MX" w:eastAsia="es-CO"/>
        </w:rPr>
        <w:t xml:space="preserve">, no podrá celebrar tales </w:t>
      </w:r>
      <w:r w:rsidRPr="002E76E6">
        <w:rPr>
          <w:rFonts w:ascii="Verdana" w:eastAsia="Times New Roman" w:hAnsi="Verdana" w:cs="Arial"/>
          <w:i/>
          <w:iCs/>
          <w:lang w:val="es-MX" w:eastAsia="es-CO"/>
        </w:rPr>
        <w:t>convenios</w:t>
      </w:r>
      <w:r w:rsidRPr="002E76E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897170D" w14:textId="77777777" w:rsidR="00035478" w:rsidRPr="002E76E6" w:rsidRDefault="00035478" w:rsidP="00035478">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val="es-MX" w:eastAsia="es-CO"/>
        </w:rPr>
        <w:t xml:space="preserve">Respecto del alcance de esta prohibición la Circular Externa No. 006 de 2025 expedida por la Agencia Nacional Contratación Pública – Colombia Compra Eficiente, en los literales </w:t>
      </w:r>
      <w:proofErr w:type="spellStart"/>
      <w:r w:rsidRPr="002E76E6">
        <w:rPr>
          <w:rFonts w:ascii="Verdana" w:eastAsia="Times New Roman" w:hAnsi="Verdana" w:cs="Arial"/>
          <w:lang w:val="es-MX" w:eastAsia="es-CO"/>
        </w:rPr>
        <w:t>ii</w:t>
      </w:r>
      <w:proofErr w:type="spellEnd"/>
      <w:r w:rsidRPr="002E76E6">
        <w:rPr>
          <w:rFonts w:ascii="Verdana" w:eastAsia="Times New Roman" w:hAnsi="Verdana" w:cs="Arial"/>
          <w:lang w:val="es-MX" w:eastAsia="es-CO"/>
        </w:rPr>
        <w:t xml:space="preserve">) y </w:t>
      </w:r>
      <w:proofErr w:type="spellStart"/>
      <w:r w:rsidRPr="002E76E6">
        <w:rPr>
          <w:rFonts w:ascii="Verdana" w:eastAsia="Times New Roman" w:hAnsi="Verdana" w:cs="Arial"/>
          <w:lang w:val="es-MX" w:eastAsia="es-CO"/>
        </w:rPr>
        <w:t>iv</w:t>
      </w:r>
      <w:proofErr w:type="spellEnd"/>
      <w:r w:rsidRPr="002E76E6">
        <w:rPr>
          <w:rFonts w:ascii="Verdana" w:eastAsia="Times New Roman" w:hAnsi="Verdana" w:cs="Arial"/>
          <w:lang w:val="es-MX" w:eastAsia="es-CO"/>
        </w:rPr>
        <w:t>) del numeral 2</w:t>
      </w:r>
      <w:r w:rsidRPr="002E76E6">
        <w:rPr>
          <w:rFonts w:ascii="Verdana" w:eastAsia="Times New Roman" w:hAnsi="Verdana" w:cs="Arial"/>
          <w:lang w:eastAsia="es-CO"/>
        </w:rPr>
        <w:t>,</w:t>
      </w:r>
      <w:r w:rsidRPr="002E76E6">
        <w:rPr>
          <w:rFonts w:ascii="Verdana" w:eastAsia="Times New Roman" w:hAnsi="Verdana" w:cs="Arial"/>
          <w:lang w:val="es-MX" w:eastAsia="es-CO"/>
        </w:rPr>
        <w:t xml:space="preserve"> indica que el </w:t>
      </w:r>
      <w:r w:rsidRPr="002E76E6">
        <w:rPr>
          <w:rFonts w:ascii="Verdana" w:eastAsia="Times New Roman" w:hAnsi="Verdana" w:cs="Arial"/>
          <w:lang w:eastAsia="es-CO"/>
        </w:rPr>
        <w:t xml:space="preserve">parágrafo del artículo 38 de la Ley 996 de 2005 cobija expresamente a los </w:t>
      </w:r>
      <w:r w:rsidRPr="002E76E6">
        <w:rPr>
          <w:rFonts w:ascii="Verdana" w:eastAsia="Times New Roman" w:hAnsi="Verdana" w:cs="Arial"/>
          <w:i/>
          <w:iCs/>
          <w:lang w:eastAsia="es-CO"/>
        </w:rPr>
        <w:t>convenios interadministrativos</w:t>
      </w:r>
      <w:r w:rsidRPr="002E76E6">
        <w:rPr>
          <w:rFonts w:ascii="Verdana" w:eastAsia="Times New Roman" w:hAnsi="Verdana" w:cs="Arial"/>
          <w:lang w:eastAsia="es-CO"/>
        </w:rPr>
        <w:t xml:space="preserve"> en los que se contemple la ejecución de recursos públicos. </w:t>
      </w:r>
      <w:r w:rsidRPr="002E76E6">
        <w:rPr>
          <w:rFonts w:ascii="Verdana" w:eastAsia="Times New Roman" w:hAnsi="Verdana" w:cs="Arial"/>
          <w:lang w:eastAsia="es-CO"/>
        </w:rPr>
        <w:lastRenderedPageBreak/>
        <w:t xml:space="preserve">Además, precisa que el parágrafo referido no estableció ningún supuesto que exceptúe la aplicación de esta prohibición, por lo que la restricción referida a la celebración de convenios interadministrativos aplicará a los sujetos allí señalados, </w:t>
      </w:r>
      <w:r w:rsidRPr="002E76E6">
        <w:rPr>
          <w:rFonts w:ascii="Verdana" w:eastAsia="Times New Roman" w:hAnsi="Verdana" w:cs="Arial"/>
          <w:i/>
          <w:iCs/>
          <w:lang w:eastAsia="es-CO"/>
        </w:rPr>
        <w:t>“aunque se configure alguno de los supuestos de excepción que señaló el inciso final del artículo 33</w:t>
      </w:r>
      <w:r w:rsidRPr="002E76E6">
        <w:rPr>
          <w:rFonts w:ascii="Verdana" w:eastAsia="Times New Roman" w:hAnsi="Verdana" w:cs="Arial"/>
          <w:lang w:eastAsia="es-CO"/>
        </w:rPr>
        <w:t xml:space="preserve">”. Es decir, no aplica a </w:t>
      </w:r>
      <w:r w:rsidRPr="002E76E6">
        <w:rPr>
          <w:rFonts w:ascii="Verdana" w:hAnsi="Verdana" w:cs="Arial"/>
          <w:bCs/>
          <w:lang w:val="es-MX" w:eastAsia="x-none"/>
        </w:rPr>
        <w:t>“[…] l</w:t>
      </w:r>
      <w:r w:rsidRPr="002E76E6">
        <w:rPr>
          <w:rFonts w:ascii="Verdana" w:hAnsi="Verdana" w:cs="Arial"/>
          <w:bCs/>
          <w:lang w:eastAsia="x-none"/>
        </w:rPr>
        <w:t>os requeridos para cubrir las emergencias educativas, sanitarias y desastres […]”, entre otras</w:t>
      </w:r>
      <w:r w:rsidRPr="002E76E6">
        <w:rPr>
          <w:rFonts w:ascii="Verdana" w:hAnsi="Verdana" w:cs="Arial"/>
          <w:bCs/>
          <w:lang w:val="es-MX" w:eastAsia="x-none"/>
        </w:rPr>
        <w:t>.</w:t>
      </w:r>
      <w:r w:rsidRPr="002E76E6">
        <w:rPr>
          <w:rFonts w:ascii="Verdana" w:eastAsia="Times New Roman" w:hAnsi="Verdana" w:cs="Arial"/>
          <w:lang w:eastAsia="es-CO"/>
        </w:rPr>
        <w:t xml:space="preserve"> 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375C23F7" w14:textId="77777777" w:rsidR="00035478" w:rsidRPr="002E76E6" w:rsidRDefault="00035478" w:rsidP="00035478">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eastAsia="es-CO"/>
        </w:rPr>
        <w:t xml:space="preserve">Sin embargo, el ámbito de aplicación de la restricción prevista en el parágrafo del artículo 38 de la Ley 996 de 2005 comprende a los </w:t>
      </w:r>
      <w:r w:rsidRPr="002E76E6">
        <w:rPr>
          <w:rFonts w:ascii="Verdana" w:eastAsia="Times New Roman" w:hAnsi="Verdana" w:cs="Arial"/>
          <w:i/>
          <w:iCs/>
          <w:lang w:eastAsia="es-CO"/>
        </w:rPr>
        <w:t>convenios interadministrativos</w:t>
      </w:r>
      <w:r w:rsidRPr="002E76E6">
        <w:rPr>
          <w:rFonts w:ascii="Verdana" w:eastAsia="Times New Roman" w:hAnsi="Verdana" w:cs="Arial"/>
          <w:lang w:eastAsia="es-CO"/>
        </w:rPr>
        <w:t xml:space="preserve"> en los que exista </w:t>
      </w:r>
      <w:r w:rsidRPr="002E76E6">
        <w:rPr>
          <w:rFonts w:ascii="Verdana" w:eastAsia="Times New Roman" w:hAnsi="Verdana" w:cs="Arial"/>
          <w:i/>
          <w:iCs/>
          <w:lang w:eastAsia="es-CO"/>
        </w:rPr>
        <w:t>ejecución de recursos públicos</w:t>
      </w:r>
      <w:r w:rsidRPr="002E76E6">
        <w:rPr>
          <w:rFonts w:ascii="Verdana" w:eastAsia="Times New Roman" w:hAnsi="Verdana" w:cs="Arial"/>
          <w:lang w:eastAsia="es-CO"/>
        </w:rPr>
        <w:t xml:space="preserve">, sin importar de que estos sean en dinero o en especie, ya que la norma no distingue. </w:t>
      </w:r>
      <w:r w:rsidRPr="002E76E6">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2E76E6">
        <w:rPr>
          <w:rStyle w:val="Refdenotaalpie"/>
          <w:rFonts w:ascii="Verdana" w:hAnsi="Verdana" w:cs="Arial"/>
          <w:lang w:val="es-ES"/>
        </w:rPr>
        <w:footnoteReference w:id="32"/>
      </w:r>
      <w:r w:rsidRPr="002E76E6">
        <w:rPr>
          <w:rFonts w:ascii="Verdana" w:eastAsia="Times New Roman" w:hAnsi="Verdana" w:cs="Arial"/>
          <w:lang w:val="es-ES" w:eastAsia="es-CO"/>
        </w:rPr>
        <w:t>.</w:t>
      </w:r>
      <w:r w:rsidRPr="002E76E6">
        <w:rPr>
          <w:rFonts w:ascii="Verdana" w:eastAsia="Times New Roman" w:hAnsi="Verdana" w:cs="Arial"/>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64DC9731" w14:textId="77777777" w:rsidR="00035478" w:rsidRPr="002E76E6" w:rsidRDefault="00035478" w:rsidP="00035478">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eastAsia="es-CO"/>
        </w:rPr>
        <w:lastRenderedPageBreak/>
        <w:t xml:space="preserve">De esta manera, conforme a lo dispuesto en la Circular referida, si se suscriben </w:t>
      </w:r>
      <w:r w:rsidRPr="002E76E6">
        <w:rPr>
          <w:rFonts w:ascii="Verdana" w:eastAsia="Times New Roman" w:hAnsi="Verdana" w:cs="Arial"/>
          <w:i/>
          <w:iCs/>
          <w:lang w:eastAsia="es-CO"/>
        </w:rPr>
        <w:t>convenios interadministrativos para la ejecución de recursos públicos</w:t>
      </w:r>
      <w:r w:rsidRPr="002E76E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2E76E6">
        <w:rPr>
          <w:rFonts w:ascii="Verdana" w:eastAsia="Times New Roman" w:hAnsi="Verdana" w:cs="Arial"/>
          <w:i/>
          <w:iCs/>
          <w:lang w:eastAsia="es-CO"/>
        </w:rPr>
        <w:t>ibidem</w:t>
      </w:r>
      <w:r w:rsidRPr="002E76E6">
        <w:rPr>
          <w:rFonts w:ascii="Verdana" w:eastAsia="Times New Roman" w:hAnsi="Verdana" w:cs="Arial"/>
          <w:lang w:eastAsia="es-CO"/>
        </w:rPr>
        <w:t>, independientemente de que se configure alguno de los supuestos de excepción que señaló el inciso final del artículo 33, es decir, que se trate de:</w:t>
      </w:r>
      <w:r w:rsidRPr="002E76E6">
        <w:rPr>
          <w:rFonts w:ascii="Verdana" w:hAnsi="Verdana" w:cs="Arial"/>
          <w:bCs/>
          <w:lang w:val="es-MX" w:eastAsia="x-none"/>
        </w:rPr>
        <w:t xml:space="preserve"> i) la defensa y seguridad del Estado; </w:t>
      </w:r>
      <w:proofErr w:type="spellStart"/>
      <w:r w:rsidRPr="002E76E6">
        <w:rPr>
          <w:rFonts w:ascii="Verdana" w:hAnsi="Verdana" w:cs="Arial"/>
          <w:bCs/>
          <w:lang w:val="es-MX" w:eastAsia="x-none"/>
        </w:rPr>
        <w:t>ii</w:t>
      </w:r>
      <w:proofErr w:type="spellEnd"/>
      <w:r w:rsidRPr="002E76E6">
        <w:rPr>
          <w:rFonts w:ascii="Verdana" w:hAnsi="Verdana" w:cs="Arial"/>
          <w:bCs/>
          <w:lang w:val="es-MX" w:eastAsia="x-none"/>
        </w:rPr>
        <w:t xml:space="preserve">) los contratos de crédito público; </w:t>
      </w:r>
      <w:proofErr w:type="spellStart"/>
      <w:r w:rsidRPr="002E76E6">
        <w:rPr>
          <w:rFonts w:ascii="Verdana" w:hAnsi="Verdana" w:cs="Arial"/>
          <w:bCs/>
          <w:lang w:val="es-MX" w:eastAsia="x-none"/>
        </w:rPr>
        <w:t>iii</w:t>
      </w:r>
      <w:proofErr w:type="spellEnd"/>
      <w:r w:rsidRPr="002E76E6">
        <w:rPr>
          <w:rFonts w:ascii="Verdana" w:hAnsi="Verdana" w:cs="Arial"/>
          <w:bCs/>
          <w:lang w:val="es-MX" w:eastAsia="x-none"/>
        </w:rPr>
        <w:t xml:space="preserve">) los requeridos para cubrir las emergencias educativas, sanitarias y desastres; </w:t>
      </w:r>
      <w:proofErr w:type="spellStart"/>
      <w:r w:rsidRPr="002E76E6">
        <w:rPr>
          <w:rFonts w:ascii="Verdana" w:hAnsi="Verdana" w:cs="Arial"/>
          <w:bCs/>
          <w:lang w:val="es-MX" w:eastAsia="x-none"/>
        </w:rPr>
        <w:t>iv</w:t>
      </w:r>
      <w:proofErr w:type="spellEnd"/>
      <w:r w:rsidRPr="002E76E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E76E6">
        <w:rPr>
          <w:rFonts w:ascii="Verdana" w:hAnsi="Verdana" w:cs="Arial"/>
          <w:bCs/>
          <w:lang w:val="es-MX" w:eastAsia="es-CO"/>
        </w:rPr>
        <w:t xml:space="preserve"> </w:t>
      </w:r>
      <w:r w:rsidRPr="002E76E6">
        <w:rPr>
          <w:rFonts w:ascii="Verdana" w:eastAsia="Times New Roman" w:hAnsi="Verdana" w:cs="Arial"/>
          <w:lang w:eastAsia="es-CO"/>
        </w:rPr>
        <w:t xml:space="preserve">  </w:t>
      </w:r>
    </w:p>
    <w:p w14:paraId="7DA1122E" w14:textId="77777777" w:rsidR="00035478" w:rsidRPr="002E76E6" w:rsidRDefault="00035478" w:rsidP="00035478">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eastAsia="es-CO"/>
        </w:rPr>
        <w:t xml:space="preserve">En este punto, teniendo en cuenta lo señalado en el contenido de su petición, vale la pena destacar </w:t>
      </w:r>
      <w:proofErr w:type="gramStart"/>
      <w:r w:rsidRPr="002E76E6">
        <w:rPr>
          <w:rFonts w:ascii="Verdana" w:eastAsia="Times New Roman" w:hAnsi="Verdana" w:cs="Arial"/>
          <w:lang w:eastAsia="es-CO"/>
        </w:rPr>
        <w:t>que</w:t>
      </w:r>
      <w:proofErr w:type="gramEnd"/>
      <w:r w:rsidRPr="002E76E6">
        <w:rPr>
          <w:rFonts w:ascii="Verdana" w:eastAsia="Times New Roman" w:hAnsi="Verdana" w:cs="Arial"/>
          <w:lang w:eastAsia="es-CO"/>
        </w:rPr>
        <w:t xml:space="preserve"> </w:t>
      </w:r>
      <w:r w:rsidRPr="002E76E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2E76E6">
        <w:rPr>
          <w:rFonts w:ascii="Verdana" w:hAnsi="Verdana" w:cs="Arial"/>
        </w:rPr>
        <w:t>numeral 16.2 de la Circular Externa Única de 2022 expedida por la Agencia Nacional de Contratación Pública – Colombia Compra Eficiente, concretamente, respecto de los siguientes apartes normativos</w:t>
      </w:r>
      <w:r w:rsidRPr="002E76E6">
        <w:rPr>
          <w:rFonts w:ascii="Verdana" w:hAnsi="Verdana" w:cs="Arial"/>
          <w:vertAlign w:val="superscript"/>
        </w:rPr>
        <w:footnoteReference w:id="33"/>
      </w:r>
      <w:r w:rsidRPr="002E76E6">
        <w:rPr>
          <w:rFonts w:ascii="Verdana" w:hAnsi="Verdana" w:cs="Arial"/>
        </w:rPr>
        <w:t xml:space="preserve">: </w:t>
      </w:r>
    </w:p>
    <w:p w14:paraId="274377AF" w14:textId="77777777" w:rsidR="00035478" w:rsidRPr="002E76E6" w:rsidRDefault="00035478" w:rsidP="00035478">
      <w:pPr>
        <w:spacing w:after="0" w:line="276" w:lineRule="auto"/>
        <w:ind w:firstLine="709"/>
        <w:jc w:val="both"/>
        <w:rPr>
          <w:rFonts w:ascii="Verdana" w:hAnsi="Verdana" w:cs="Arial"/>
        </w:rPr>
      </w:pPr>
    </w:p>
    <w:p w14:paraId="6253298C" w14:textId="77777777" w:rsidR="00035478" w:rsidRPr="002E76E6" w:rsidRDefault="00035478" w:rsidP="00035478">
      <w:pPr>
        <w:spacing w:after="0" w:line="240" w:lineRule="auto"/>
        <w:ind w:left="709" w:right="709"/>
        <w:jc w:val="both"/>
        <w:rPr>
          <w:rFonts w:ascii="Verdana" w:hAnsi="Verdana" w:cs="Arial"/>
          <w:sz w:val="20"/>
          <w:szCs w:val="20"/>
        </w:rPr>
      </w:pPr>
      <w:r w:rsidRPr="002E76E6">
        <w:rPr>
          <w:rFonts w:ascii="Verdana" w:hAnsi="Verdana" w:cs="Arial"/>
          <w:sz w:val="20"/>
          <w:szCs w:val="20"/>
          <w:lang w:val="es-MX"/>
        </w:rPr>
        <w:t>“i)</w:t>
      </w:r>
      <w:r w:rsidRPr="002E76E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B6DC9CF" w14:textId="77777777" w:rsidR="00035478" w:rsidRPr="002E76E6" w:rsidRDefault="00035478" w:rsidP="00035478">
      <w:pPr>
        <w:spacing w:after="0" w:line="240" w:lineRule="auto"/>
        <w:ind w:left="709" w:right="709"/>
        <w:jc w:val="both"/>
        <w:rPr>
          <w:rFonts w:ascii="Verdana" w:hAnsi="Verdana" w:cs="Arial"/>
          <w:sz w:val="20"/>
          <w:szCs w:val="20"/>
        </w:rPr>
      </w:pPr>
    </w:p>
    <w:p w14:paraId="2DE3DDE5" w14:textId="77777777" w:rsidR="00035478" w:rsidRPr="002E76E6" w:rsidRDefault="00035478" w:rsidP="00035478">
      <w:pPr>
        <w:spacing w:after="0" w:line="240" w:lineRule="auto"/>
        <w:ind w:left="709" w:right="709"/>
        <w:jc w:val="both"/>
        <w:rPr>
          <w:rFonts w:ascii="Verdana" w:hAnsi="Verdana" w:cs="Arial"/>
          <w:sz w:val="20"/>
          <w:szCs w:val="20"/>
        </w:rPr>
      </w:pPr>
      <w:proofErr w:type="spellStart"/>
      <w:r w:rsidRPr="002E76E6">
        <w:rPr>
          <w:rFonts w:ascii="Verdana" w:hAnsi="Verdana" w:cs="Arial"/>
          <w:sz w:val="20"/>
          <w:szCs w:val="20"/>
        </w:rPr>
        <w:t>ii</w:t>
      </w:r>
      <w:proofErr w:type="spellEnd"/>
      <w:r w:rsidRPr="002E76E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w:t>
      </w:r>
      <w:r w:rsidRPr="002E76E6">
        <w:rPr>
          <w:rFonts w:ascii="Verdana" w:hAnsi="Verdana" w:cs="Arial"/>
          <w:sz w:val="20"/>
          <w:szCs w:val="20"/>
        </w:rPr>
        <w:lastRenderedPageBreak/>
        <w:t xml:space="preserve">de contratos y/o convenios, que, para efectos de la Ley de Garantías, tienen la misma connotación y propósito’”. </w:t>
      </w:r>
    </w:p>
    <w:p w14:paraId="19C46FE9" w14:textId="77777777" w:rsidR="00035478" w:rsidRPr="002E76E6" w:rsidRDefault="00035478" w:rsidP="00035478">
      <w:pPr>
        <w:spacing w:after="0" w:line="276" w:lineRule="auto"/>
        <w:ind w:left="709" w:right="709"/>
        <w:jc w:val="both"/>
        <w:rPr>
          <w:rFonts w:ascii="Verdana" w:hAnsi="Verdana" w:cs="Arial"/>
        </w:rPr>
      </w:pPr>
    </w:p>
    <w:p w14:paraId="20060FB1" w14:textId="77777777" w:rsidR="00035478" w:rsidRPr="002E76E6" w:rsidRDefault="00035478" w:rsidP="00035478">
      <w:pPr>
        <w:spacing w:after="120" w:line="276" w:lineRule="auto"/>
        <w:ind w:firstLine="709"/>
        <w:jc w:val="both"/>
        <w:rPr>
          <w:rFonts w:ascii="Verdana" w:eastAsia="Arial" w:hAnsi="Verdana" w:cs="Arial"/>
          <w:i/>
          <w:iCs/>
          <w:lang w:eastAsia="es-ES" w:bidi="es-ES"/>
        </w:rPr>
      </w:pPr>
      <w:r w:rsidRPr="002E76E6">
        <w:rPr>
          <w:rFonts w:ascii="Verdana" w:eastAsia="Arial" w:hAnsi="Verdana" w:cs="Arial"/>
          <w:lang w:val="es-MX" w:eastAsia="es-ES" w:bidi="es-ES"/>
        </w:rPr>
        <w:t xml:space="preserve">De conformidad con los argumentos de dicha providencia, se parte de la distinción entre los conceptos </w:t>
      </w:r>
      <w:r w:rsidRPr="002E76E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2E76E6">
        <w:rPr>
          <w:rFonts w:ascii="Verdana" w:hAnsi="Verdana"/>
          <w:sz w:val="24"/>
          <w:szCs w:val="24"/>
          <w:lang w:eastAsia="es-CO"/>
        </w:rPr>
        <w:t xml:space="preserve"> </w:t>
      </w:r>
      <w:r w:rsidRPr="002E76E6">
        <w:rPr>
          <w:rFonts w:ascii="Verdana" w:eastAsia="Arial" w:hAnsi="Verdana" w:cs="Arial"/>
          <w:lang w:eastAsia="es-ES" w:bidi="es-ES"/>
        </w:rPr>
        <w:t xml:space="preserve">En este sentido, en relación con el parágrafo del artículo 38 de la Ley 996 de 2005 concluyó que </w:t>
      </w:r>
      <w:r w:rsidRPr="002E76E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p>
    <w:p w14:paraId="2394CF2C" w14:textId="77777777" w:rsidR="00035478" w:rsidRPr="002E76E6" w:rsidRDefault="00035478" w:rsidP="00035478">
      <w:pPr>
        <w:spacing w:after="120" w:line="276" w:lineRule="auto"/>
        <w:ind w:firstLine="709"/>
        <w:jc w:val="both"/>
        <w:rPr>
          <w:rFonts w:ascii="Verdana" w:eastAsia="Arial" w:hAnsi="Verdana" w:cs="Arial"/>
          <w:i/>
          <w:iCs/>
          <w:lang w:eastAsia="es-ES" w:bidi="es-ES"/>
        </w:rPr>
      </w:pPr>
      <w:r w:rsidRPr="002E76E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2E76E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2E76E6">
        <w:rPr>
          <w:rFonts w:ascii="Verdana" w:eastAsia="Arial" w:hAnsi="Verdana" w:cs="Arial"/>
          <w:lang w:eastAsia="es-ES" w:bidi="es-ES"/>
        </w:rPr>
        <w:t>”</w:t>
      </w:r>
      <w:r w:rsidRPr="002E76E6">
        <w:rPr>
          <w:rFonts w:ascii="Verdana" w:eastAsia="Arial" w:hAnsi="Verdana" w:cs="Arial"/>
          <w:i/>
          <w:iCs/>
          <w:lang w:eastAsia="es-ES" w:bidi="es-ES"/>
        </w:rPr>
        <w:t xml:space="preserve">. </w:t>
      </w:r>
    </w:p>
    <w:p w14:paraId="1EDC849B" w14:textId="77777777" w:rsidR="00035478" w:rsidRPr="002E76E6" w:rsidRDefault="00035478" w:rsidP="00035478">
      <w:pPr>
        <w:spacing w:after="120" w:line="276" w:lineRule="auto"/>
        <w:ind w:firstLine="709"/>
        <w:jc w:val="both"/>
        <w:rPr>
          <w:rFonts w:ascii="Verdana" w:eastAsia="Arial" w:hAnsi="Verdana" w:cs="Arial"/>
          <w:lang w:eastAsia="es-ES" w:bidi="es-ES"/>
        </w:rPr>
      </w:pPr>
      <w:r w:rsidRPr="002E76E6">
        <w:rPr>
          <w:rFonts w:ascii="Verdana" w:eastAsia="Arial" w:hAnsi="Verdana" w:cs="Arial"/>
          <w:lang w:eastAsia="es-ES" w:bidi="es-ES"/>
        </w:rPr>
        <w:t>De igual manera, mediante auto del 6 de noviembre de 2025, el Consejo de Estado, Subsección A de la Sección Tercera, decretó</w:t>
      </w:r>
      <w:r w:rsidRPr="002E76E6">
        <w:rPr>
          <w:rFonts w:ascii="Verdana" w:eastAsia="Arial" w:hAnsi="Verdana" w:cs="Arial"/>
          <w:b/>
          <w:bCs/>
          <w:lang w:eastAsia="es-ES" w:bidi="es-ES"/>
        </w:rPr>
        <w:t xml:space="preserve"> </w:t>
      </w:r>
      <w:r w:rsidRPr="002E76E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2E76E6">
        <w:rPr>
          <w:rFonts w:ascii="Verdana" w:eastAsia="Arial" w:hAnsi="Verdana" w:cs="Arial"/>
          <w:vertAlign w:val="superscript"/>
          <w:lang w:eastAsia="es-ES" w:bidi="es-ES"/>
        </w:rPr>
        <w:footnoteReference w:id="34"/>
      </w:r>
      <w:r w:rsidRPr="002E76E6">
        <w:rPr>
          <w:rFonts w:ascii="Verdana" w:eastAsia="Arial" w:hAnsi="Verdana" w:cs="Arial"/>
          <w:lang w:eastAsia="es-ES" w:bidi="es-ES"/>
        </w:rPr>
        <w:t xml:space="preserve">. Para tales </w:t>
      </w:r>
      <w:r w:rsidRPr="002E76E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2E76E6">
        <w:rPr>
          <w:rFonts w:ascii="Verdana" w:eastAsia="Arial" w:hAnsi="Verdana" w:cs="Arial"/>
          <w:lang w:eastAsia="es-ES" w:bidi="es-ES"/>
        </w:rPr>
        <w:t>legis</w:t>
      </w:r>
      <w:proofErr w:type="spellEnd"/>
      <w:r w:rsidRPr="002E76E6">
        <w:rPr>
          <w:rFonts w:ascii="Verdana" w:eastAsia="Arial" w:hAnsi="Verdana" w:cs="Arial"/>
          <w:lang w:eastAsia="es-ES" w:bidi="es-ES"/>
        </w:rPr>
        <w:t xml:space="preserve"> o iuris y la interpretación extensiva y reiteró los argumentos sobre la diferencia entre contratos y convenios interadministrativos. </w:t>
      </w:r>
    </w:p>
    <w:p w14:paraId="0CD7FBF0" w14:textId="77777777" w:rsidR="00035478" w:rsidRPr="002E76E6" w:rsidRDefault="00035478" w:rsidP="00035478">
      <w:pPr>
        <w:spacing w:after="120" w:line="276" w:lineRule="auto"/>
        <w:ind w:firstLine="709"/>
        <w:jc w:val="both"/>
        <w:rPr>
          <w:rFonts w:ascii="Verdana" w:eastAsia="Times New Roman" w:hAnsi="Verdana" w:cs="Times New Roman"/>
          <w:lang w:eastAsia="es-ES"/>
        </w:rPr>
      </w:pPr>
      <w:r w:rsidRPr="002E76E6">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2E76E6">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4E8E08E" w14:textId="77777777" w:rsidR="00035478" w:rsidRPr="002E76E6" w:rsidRDefault="00035478" w:rsidP="00035478">
      <w:pPr>
        <w:spacing w:after="120" w:line="276" w:lineRule="auto"/>
        <w:ind w:firstLine="709"/>
        <w:jc w:val="both"/>
        <w:rPr>
          <w:rFonts w:ascii="Verdana" w:eastAsia="Times New Roman" w:hAnsi="Verdana" w:cs="Times New Roman"/>
          <w:lang w:eastAsia="es-ES"/>
        </w:rPr>
      </w:pPr>
      <w:r w:rsidRPr="002E76E6">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2E76E6">
        <w:rPr>
          <w:rStyle w:val="Refdenotaalpie"/>
          <w:rFonts w:ascii="Verdana" w:eastAsia="Times New Roman" w:hAnsi="Verdana" w:cs="Times New Roman"/>
          <w:lang w:eastAsia="es-ES"/>
        </w:rPr>
        <w:footnoteReference w:id="35"/>
      </w:r>
      <w:r w:rsidRPr="002E76E6">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4FB9489" w14:textId="77777777" w:rsidR="00035478" w:rsidRPr="002E76E6" w:rsidRDefault="00035478" w:rsidP="00035478">
      <w:pPr>
        <w:spacing w:after="0" w:line="276" w:lineRule="auto"/>
        <w:ind w:firstLine="709"/>
        <w:jc w:val="both"/>
        <w:rPr>
          <w:rFonts w:ascii="Verdana" w:eastAsia="Times New Roman" w:hAnsi="Verdana" w:cs="Arial"/>
          <w:lang w:eastAsia="es-CO"/>
        </w:rPr>
      </w:pPr>
      <w:r w:rsidRPr="002E76E6">
        <w:rPr>
          <w:rFonts w:ascii="Verdana" w:eastAsia="Times New Roman" w:hAnsi="Verdana" w:cs="Times New Roman"/>
          <w:lang w:eastAsia="es-ES"/>
        </w:rPr>
        <w:lastRenderedPageBreak/>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2E76E6">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2E76E6">
        <w:rPr>
          <w:rFonts w:ascii="Verdana" w:eastAsia="Times New Roman" w:hAnsi="Verdana" w:cs="Arial"/>
          <w:i/>
          <w:iCs/>
          <w:lang w:eastAsia="es-CO"/>
        </w:rPr>
        <w:t>contratos interadministrativos</w:t>
      </w:r>
      <w:r w:rsidRPr="002E76E6">
        <w:rPr>
          <w:rFonts w:ascii="Verdana" w:eastAsia="Times New Roman" w:hAnsi="Verdana" w:cs="Arial"/>
          <w:lang w:eastAsia="es-CO"/>
        </w:rPr>
        <w:t>, esta prohibición solo aplicaría a los convenios interadministrativos que impliquen la ejecución de recursos públicos</w:t>
      </w:r>
      <w:r w:rsidRPr="002E76E6">
        <w:rPr>
          <w:rStyle w:val="Refdenotaalpie"/>
          <w:rFonts w:ascii="Verdana" w:eastAsia="Times New Roman" w:hAnsi="Verdana" w:cs="Arial"/>
          <w:lang w:eastAsia="es-CO"/>
        </w:rPr>
        <w:footnoteReference w:id="36"/>
      </w:r>
      <w:r w:rsidRPr="002E76E6">
        <w:rPr>
          <w:rFonts w:ascii="Verdana" w:eastAsia="Times New Roman" w:hAnsi="Verdana" w:cs="Arial"/>
          <w:lang w:eastAsia="es-CO"/>
        </w:rPr>
        <w:t>.</w:t>
      </w:r>
    </w:p>
    <w:p w14:paraId="427E034B" w14:textId="77777777" w:rsidR="00035478" w:rsidRPr="002E76E6" w:rsidRDefault="00035478" w:rsidP="00035478">
      <w:pPr>
        <w:spacing w:after="0" w:line="276" w:lineRule="auto"/>
        <w:jc w:val="both"/>
        <w:rPr>
          <w:rFonts w:ascii="Verdana" w:eastAsia="Arial" w:hAnsi="Verdana" w:cs="Arial"/>
          <w:lang w:val="es-ES" w:eastAsia="es-ES" w:bidi="es-ES"/>
        </w:rPr>
      </w:pPr>
    </w:p>
    <w:p w14:paraId="77511E92" w14:textId="77777777" w:rsidR="00035478" w:rsidRPr="002E76E6" w:rsidRDefault="00035478" w:rsidP="00035478">
      <w:pPr>
        <w:spacing w:after="120" w:line="276" w:lineRule="auto"/>
        <w:jc w:val="both"/>
        <w:rPr>
          <w:rFonts w:ascii="Verdana" w:eastAsia="Calibri" w:hAnsi="Verdana" w:cs="Arial"/>
          <w:bCs/>
          <w:color w:val="000000" w:themeColor="text1"/>
        </w:rPr>
      </w:pPr>
      <w:r w:rsidRPr="002E76E6">
        <w:rPr>
          <w:rFonts w:ascii="Verdana" w:eastAsia="Calibri" w:hAnsi="Verdana" w:cs="Arial"/>
          <w:bCs/>
          <w:color w:val="000000" w:themeColor="text1"/>
        </w:rPr>
        <w:t>vi.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BE37A6D" w14:textId="2F2E7D47" w:rsidR="00B027B9" w:rsidRPr="00E123B3" w:rsidRDefault="00035478" w:rsidP="00E123B3">
      <w:pPr>
        <w:spacing w:after="0" w:line="276" w:lineRule="auto"/>
        <w:ind w:firstLine="708"/>
        <w:jc w:val="both"/>
        <w:rPr>
          <w:rFonts w:ascii="Verdana" w:eastAsia="Calibri" w:hAnsi="Verdana" w:cs="Arial"/>
          <w:bCs/>
          <w:color w:val="000000" w:themeColor="text1"/>
        </w:rPr>
      </w:pPr>
      <w:r w:rsidRPr="002E76E6">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FA14AE9" w14:textId="77777777" w:rsidR="008B187C" w:rsidRPr="00071CEC" w:rsidRDefault="008B187C" w:rsidP="00071CEC">
      <w:pPr>
        <w:widowControl w:val="0"/>
        <w:autoSpaceDE w:val="0"/>
        <w:autoSpaceDN w:val="0"/>
        <w:spacing w:after="0" w:line="276" w:lineRule="auto"/>
        <w:ind w:firstLine="709"/>
        <w:jc w:val="both"/>
        <w:rPr>
          <w:rFonts w:ascii="Verdana" w:hAnsi="Verdana" w:cs="Arial"/>
          <w:color w:val="000000" w:themeColor="text1"/>
        </w:rPr>
      </w:pPr>
    </w:p>
    <w:bookmarkEnd w:id="5"/>
    <w:bookmarkEnd w:id="6"/>
    <w:p w14:paraId="5527E41F" w14:textId="77777777" w:rsidR="003D3B2A" w:rsidRPr="001F283D" w:rsidRDefault="003D3B2A" w:rsidP="003D3B2A">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7"/>
    <w:p w14:paraId="766761C9" w14:textId="77777777" w:rsidR="003D3B2A" w:rsidRPr="00593A5F" w:rsidRDefault="003D3B2A" w:rsidP="003D3B2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D3B2A" w:rsidRPr="002407CE" w14:paraId="059E1103" w14:textId="77777777" w:rsidTr="00FC404B">
        <w:trPr>
          <w:trHeight w:val="870"/>
          <w:jc w:val="center"/>
        </w:trPr>
        <w:tc>
          <w:tcPr>
            <w:tcW w:w="8647" w:type="dxa"/>
          </w:tcPr>
          <w:p w14:paraId="6B053492" w14:textId="77777777" w:rsidR="0000486D" w:rsidRPr="002E76E6" w:rsidRDefault="0000486D" w:rsidP="0000486D">
            <w:pPr>
              <w:widowControl w:val="0"/>
              <w:numPr>
                <w:ilvl w:val="0"/>
                <w:numId w:val="2"/>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lang w:val="es-ES" w:eastAsia="es-ES" w:bidi="es-ES"/>
              </w:rPr>
              <w:t>Constitución Política, artículo 127 y 197</w:t>
            </w:r>
          </w:p>
          <w:p w14:paraId="41BEB19C" w14:textId="77777777" w:rsidR="0000486D" w:rsidRPr="002E76E6" w:rsidRDefault="0000486D" w:rsidP="0000486D">
            <w:pPr>
              <w:widowControl w:val="0"/>
              <w:numPr>
                <w:ilvl w:val="0"/>
                <w:numId w:val="2"/>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lang w:eastAsia="es-ES" w:bidi="es-ES"/>
              </w:rPr>
              <w:t>Ley 80 de 1993, artículos 39 y 41.</w:t>
            </w:r>
          </w:p>
          <w:p w14:paraId="4BB08F27" w14:textId="77777777" w:rsidR="0000486D" w:rsidRPr="002E76E6" w:rsidRDefault="0000486D" w:rsidP="0000486D">
            <w:pPr>
              <w:widowControl w:val="0"/>
              <w:numPr>
                <w:ilvl w:val="0"/>
                <w:numId w:val="2"/>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bCs/>
                <w:lang w:val="es-ES" w:eastAsia="es-ES" w:bidi="es-ES"/>
              </w:rPr>
              <w:t>Ley 996 de 2005, artículos 33 y 38.</w:t>
            </w:r>
          </w:p>
          <w:p w14:paraId="4F70B112" w14:textId="77777777" w:rsidR="0000486D" w:rsidRPr="002E76E6" w:rsidRDefault="0000486D" w:rsidP="0000486D">
            <w:pPr>
              <w:widowControl w:val="0"/>
              <w:numPr>
                <w:ilvl w:val="0"/>
                <w:numId w:val="2"/>
              </w:numPr>
              <w:autoSpaceDE w:val="0"/>
              <w:autoSpaceDN w:val="0"/>
              <w:spacing w:line="276" w:lineRule="auto"/>
              <w:jc w:val="both"/>
              <w:rPr>
                <w:rFonts w:ascii="Verdana" w:eastAsia="Arial MT" w:hAnsi="Verdana" w:cs="Arial"/>
                <w:lang w:val="es-ES" w:eastAsia="es-ES" w:bidi="es-ES"/>
              </w:rPr>
            </w:pPr>
            <w:r w:rsidRPr="002E76E6">
              <w:rPr>
                <w:rFonts w:ascii="Verdana" w:hAnsi="Verdana" w:cs="Arial"/>
                <w:bCs/>
                <w:color w:val="000000" w:themeColor="text1"/>
                <w:lang w:val="es-ES"/>
              </w:rPr>
              <w:t>Ley 1150 de 2007, artículo 2.</w:t>
            </w:r>
          </w:p>
          <w:p w14:paraId="3145DA94"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Corte Constitucional. Sentencias: C-233 de 4 de abril de 2002, expediente: D-3704; C-551 de 9 de julio de 2003, expediente: CRF-001 de 9 de julio de 2003</w:t>
            </w:r>
            <w:r w:rsidRPr="002E76E6">
              <w:rPr>
                <w:rFonts w:ascii="Verdana" w:hAnsi="Verdana"/>
              </w:rPr>
              <w:t xml:space="preserve">, </w:t>
            </w:r>
            <w:r w:rsidRPr="002E76E6">
              <w:rPr>
                <w:rFonts w:ascii="Verdana" w:hAnsi="Verdana" w:cs="Arial"/>
                <w:lang w:val="es-ES"/>
              </w:rPr>
              <w:t>C-652 de 5 de agosto de 2003, expediente: D-4330; C-353 de 20 de mayo de 2009, expediente: D-7518, C-541 de 30 de junio de 2010, expediente: DD7966</w:t>
            </w:r>
          </w:p>
          <w:p w14:paraId="5FDF2DD7"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eastAsia="Times New Roman" w:hAnsi="Verdana" w:cs="Times New Roman"/>
                <w:lang w:eastAsia="es-ES_tradnl"/>
              </w:rPr>
              <w:t xml:space="preserve">Corte Constitucional. Sentencia C- 1153 de 2005. M.P. Marco Gerardo Monroy Cabra. </w:t>
            </w:r>
          </w:p>
          <w:p w14:paraId="0FEE754A"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Corte Constitucional. Sentencia C-1153-05 de 11 de noviembre de 2005. Magistrado Ponente Marco Gerardo Monroy Cabra.</w:t>
            </w:r>
          </w:p>
          <w:p w14:paraId="4A1645BD"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lo Contencioso Administrativo, Sección Primera. Sentencia de 3 de marzo de 2005, expediente número 2004-00823-01(PI).</w:t>
            </w:r>
          </w:p>
          <w:p w14:paraId="537E43CB"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 20 de febrero de 2006. Radicación Número: 11001-03-06-000-2006-00026-00 (1727). C.P. Enrique José Arboleda Perdomo.</w:t>
            </w:r>
          </w:p>
          <w:p w14:paraId="2DFB9E4F"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Concepto de 6 de abril de 2006. Radicación Número: 11001-03-06-000-2006-00038-00 (1738). C.P. Enrique José Arboleda </w:t>
            </w:r>
            <w:proofErr w:type="spellStart"/>
            <w:r w:rsidRPr="002E76E6">
              <w:rPr>
                <w:rFonts w:ascii="Verdana" w:hAnsi="Verdana" w:cs="Arial"/>
                <w:lang w:val="es-ES"/>
              </w:rPr>
              <w:t>Perdomo.Consejo</w:t>
            </w:r>
            <w:proofErr w:type="spellEnd"/>
            <w:r w:rsidRPr="002E76E6">
              <w:rPr>
                <w:rFonts w:ascii="Verdana" w:hAnsi="Verdana" w:cs="Arial"/>
                <w:lang w:val="es-ES"/>
              </w:rPr>
              <w:t xml:space="preserve"> de Estado. Sección Tercera. Sentencia de 3 de diciembre de 2007. Radicados: 24.715, 25.206, 25.409, 24.524, 27.834, 25.410, 26.105, 28.244, 31.447 -acumulados.</w:t>
            </w:r>
          </w:p>
          <w:p w14:paraId="28F51531"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de fecha 24 de julio de 2013, radicado 2166, C. P. Álvaro Namén Vargas.  </w:t>
            </w:r>
          </w:p>
          <w:p w14:paraId="5D3AC022"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del 2 de septiembre de 2013. Radicación número: 11001-03-06-000-2013-00412-00 (2168). Consejero Ponente: Álvaro Namén Vargas.</w:t>
            </w:r>
          </w:p>
          <w:p w14:paraId="31E9AF32" w14:textId="77777777" w:rsidR="0000486D" w:rsidRPr="002E76E6"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Concepto del 17 de febrero de 2015. C.P. William Zambrano Cetina. Radicación No. </w:t>
            </w:r>
            <w:r w:rsidRPr="002E76E6">
              <w:rPr>
                <w:rFonts w:ascii="Verdana" w:hAnsi="Verdana" w:cs="Arial"/>
                <w:lang w:val="es-ES"/>
              </w:rPr>
              <w:lastRenderedPageBreak/>
              <w:t>11001-03-06-000-2015-00164-00(2269).</w:t>
            </w:r>
          </w:p>
          <w:p w14:paraId="771F44C4" w14:textId="0302F65B" w:rsidR="003D3B2A" w:rsidRPr="0000486D" w:rsidRDefault="0000486D" w:rsidP="0000486D">
            <w:pPr>
              <w:widowControl w:val="0"/>
              <w:numPr>
                <w:ilvl w:val="0"/>
                <w:numId w:val="2"/>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 8 de mayo de 2018. Radicación Número: 11001-03-06-000-2018-00095-00(2382). C.P. Álvaro Namén Vargas.</w:t>
            </w:r>
          </w:p>
        </w:tc>
      </w:tr>
    </w:tbl>
    <w:p w14:paraId="1BFF52AB" w14:textId="77777777" w:rsidR="003D3B2A" w:rsidRPr="00277E26" w:rsidRDefault="003D3B2A" w:rsidP="003D3B2A">
      <w:pPr>
        <w:widowControl w:val="0"/>
        <w:autoSpaceDE w:val="0"/>
        <w:autoSpaceDN w:val="0"/>
        <w:spacing w:after="0" w:line="276" w:lineRule="auto"/>
        <w:jc w:val="both"/>
        <w:rPr>
          <w:rFonts w:ascii="Verdana" w:hAnsi="Verdana" w:cs="Arial"/>
        </w:rPr>
      </w:pPr>
    </w:p>
    <w:p w14:paraId="2D1334E7" w14:textId="77777777" w:rsidR="003D3B2A" w:rsidRPr="001F283D" w:rsidRDefault="003D3B2A" w:rsidP="003D3B2A">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54E14008" w14:textId="77777777" w:rsidR="003D3B2A" w:rsidRDefault="003D3B2A" w:rsidP="003D3B2A">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7D67001" w14:textId="77777777" w:rsidR="00931C67" w:rsidRPr="002E76E6" w:rsidRDefault="00931C67" w:rsidP="00931C67">
      <w:pPr>
        <w:widowControl w:val="0"/>
        <w:autoSpaceDE w:val="0"/>
        <w:autoSpaceDN w:val="0"/>
        <w:spacing w:after="0" w:line="276" w:lineRule="auto"/>
        <w:jc w:val="both"/>
        <w:rPr>
          <w:rFonts w:ascii="Verdana" w:hAnsi="Verdana" w:cs="Arial"/>
          <w:shd w:val="clear" w:color="auto" w:fill="FFFFFF"/>
        </w:rPr>
      </w:pPr>
      <w:r w:rsidRPr="002E76E6">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w:t>
      </w:r>
      <w:r w:rsidRPr="002E76E6">
        <w:rPr>
          <w:rFonts w:ascii="Verdana" w:hAnsi="Verdana"/>
        </w:rPr>
        <w:t xml:space="preserve"> </w:t>
      </w:r>
      <w:r w:rsidRPr="002E76E6">
        <w:rPr>
          <w:rFonts w:ascii="Verdana" w:hAnsi="Verdana" w:cs="Arial"/>
          <w:shd w:val="clear" w:color="auto" w:fill="FFFFFF"/>
        </w:rPr>
        <w:t xml:space="preserve">C-1661 del 22 de diciembre del 2025. </w:t>
      </w:r>
      <w:r w:rsidRPr="002E76E6">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9" w:history="1">
        <w:r w:rsidRPr="002E76E6">
          <w:rPr>
            <w:rFonts w:ascii="Verdana" w:hAnsi="Verdana" w:cs="Arial"/>
            <w:color w:val="0000FF"/>
            <w:u w:val="single"/>
            <w:shd w:val="clear" w:color="auto" w:fill="FFFFFF"/>
            <w:lang w:val="es-ES_tradnl"/>
          </w:rPr>
          <w:t>https://relatoria.colombiacompra.gov.co/busqueda/conceptos</w:t>
        </w:r>
      </w:hyperlink>
      <w:r w:rsidRPr="002E76E6">
        <w:rPr>
          <w:rFonts w:ascii="Verdana" w:hAnsi="Verdana" w:cs="Arial"/>
          <w:shd w:val="clear" w:color="auto" w:fill="FFFFFF"/>
          <w:lang w:val="es-ES_tradnl"/>
        </w:rPr>
        <w:t xml:space="preserve">. </w:t>
      </w:r>
      <w:r w:rsidRPr="002E76E6">
        <w:rPr>
          <w:rFonts w:ascii="Verdana" w:hAnsi="Verdana" w:cs="Arial"/>
          <w:color w:val="FF0000"/>
          <w:shd w:val="clear" w:color="auto" w:fill="FFFFFF"/>
          <w:lang w:val="es-ES_tradnl"/>
        </w:rPr>
        <w:t xml:space="preserve"> </w:t>
      </w:r>
    </w:p>
    <w:p w14:paraId="4FCC3F99" w14:textId="77777777" w:rsidR="008B187C" w:rsidRPr="00F72EC9" w:rsidRDefault="008B187C" w:rsidP="008B187C">
      <w:pPr>
        <w:spacing w:after="0" w:line="276" w:lineRule="auto"/>
        <w:jc w:val="both"/>
        <w:rPr>
          <w:rFonts w:ascii="Verdana" w:hAnsi="Verdana" w:cs="Arial"/>
          <w:color w:val="156082" w:themeColor="accent1"/>
          <w:shd w:val="clear" w:color="auto" w:fill="FFFFFF"/>
          <w:lang w:val="es-ES"/>
        </w:rPr>
      </w:pPr>
    </w:p>
    <w:p w14:paraId="69B0BD4D" w14:textId="77777777" w:rsidR="008B187C" w:rsidRPr="00F72EC9" w:rsidRDefault="008B187C" w:rsidP="008B187C">
      <w:pPr>
        <w:spacing w:after="0" w:line="276" w:lineRule="auto"/>
        <w:jc w:val="both"/>
        <w:rPr>
          <w:rFonts w:ascii="Verdana" w:hAnsi="Verdana"/>
          <w:lang w:val="es-ES"/>
        </w:rPr>
      </w:pPr>
      <w:r w:rsidRPr="00F72EC9">
        <w:rPr>
          <w:rFonts w:ascii="Verdana" w:hAnsi="Verdana" w:cs="Arial"/>
          <w:shd w:val="clear" w:color="auto" w:fill="FFFFFF"/>
          <w:lang w:val="es-ES"/>
        </w:rPr>
        <w:t>Estos</w:t>
      </w:r>
      <w:r w:rsidRPr="00F72EC9">
        <w:rPr>
          <w:rFonts w:ascii="Verdana" w:hAnsi="Verdana"/>
          <w:lang w:val="es-ES"/>
        </w:rPr>
        <w:t xml:space="preserve"> y otros se encuentran disponibles para consulta en el Sistema de relatoría de la Agencia, al cual se puede acceder a través del siguiente enlace:</w:t>
      </w:r>
      <w:r w:rsidRPr="00F72EC9">
        <w:rPr>
          <w:rFonts w:ascii="Verdana" w:hAnsi="Verdana" w:cs="Arial"/>
          <w:shd w:val="clear" w:color="auto" w:fill="FFFFFF"/>
          <w:lang w:val="es-ES"/>
        </w:rPr>
        <w:t xml:space="preserve"> </w:t>
      </w:r>
      <w:hyperlink r:id="rId10" w:history="1">
        <w:r w:rsidRPr="00F72EC9">
          <w:rPr>
            <w:rStyle w:val="Hipervnculo"/>
            <w:rFonts w:ascii="Verdana" w:hAnsi="Verdana" w:cs="Arial"/>
            <w:shd w:val="clear" w:color="auto" w:fill="FFFFFF"/>
            <w:lang w:val="es-ES"/>
          </w:rPr>
          <w:t>https://relatoria.colombiacompra.gov.co/busqueda/conceptos</w:t>
        </w:r>
      </w:hyperlink>
    </w:p>
    <w:p w14:paraId="397CC6A6" w14:textId="77777777" w:rsidR="003D3B2A" w:rsidRPr="00900D7D" w:rsidRDefault="003D3B2A" w:rsidP="003D3B2A">
      <w:pPr>
        <w:widowControl w:val="0"/>
        <w:autoSpaceDE w:val="0"/>
        <w:autoSpaceDN w:val="0"/>
        <w:spacing w:after="120" w:line="276" w:lineRule="auto"/>
        <w:jc w:val="both"/>
        <w:rPr>
          <w:rFonts w:ascii="Verdana" w:eastAsia="Calibri" w:hAnsi="Verdana" w:cs="Arial"/>
          <w:color w:val="000000" w:themeColor="text1"/>
          <w:lang w:eastAsia="es-ES_tradnl"/>
        </w:rPr>
      </w:pPr>
    </w:p>
    <w:p w14:paraId="02DDAB5F" w14:textId="77777777" w:rsidR="003D3B2A" w:rsidRPr="00237766" w:rsidRDefault="003D3B2A" w:rsidP="003D3B2A">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D03FF8E" w14:textId="77777777" w:rsidR="003D3B2A" w:rsidRPr="008E4F36" w:rsidRDefault="003D3B2A" w:rsidP="003D3B2A">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6D6FAC39" w14:textId="77777777" w:rsidR="003D3B2A" w:rsidRPr="008E4F36" w:rsidRDefault="003D3B2A" w:rsidP="003D3B2A">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702EFC08" w14:textId="77777777" w:rsidR="003D3B2A" w:rsidRPr="008E4F36" w:rsidRDefault="003D3B2A" w:rsidP="003D3B2A">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5587C135" w14:textId="77777777" w:rsidR="003D3B2A" w:rsidRPr="008E4F36" w:rsidRDefault="003D3B2A" w:rsidP="003D3B2A">
      <w:pPr>
        <w:pStyle w:val="Prrafodelista"/>
        <w:numPr>
          <w:ilvl w:val="0"/>
          <w:numId w:val="3"/>
        </w:numPr>
        <w:spacing w:after="0" w:line="276" w:lineRule="auto"/>
        <w:contextualSpacing w:val="0"/>
        <w:jc w:val="both"/>
        <w:rPr>
          <w:rFonts w:ascii="Verdana" w:hAnsi="Verdana"/>
        </w:rPr>
      </w:pPr>
      <w:r w:rsidRPr="008E4F36">
        <w:rPr>
          <w:rFonts w:ascii="Verdana" w:hAnsi="Verdana"/>
        </w:rPr>
        <w:lastRenderedPageBreak/>
        <w:t xml:space="preserve">Página web: </w:t>
      </w:r>
      <w:hyperlink r:id="rId11" w:history="1">
        <w:r w:rsidRPr="008E4F36">
          <w:rPr>
            <w:rStyle w:val="Hipervnculo"/>
            <w:rFonts w:ascii="Verdana" w:hAnsi="Verdana"/>
          </w:rPr>
          <w:t>www.colombiacompra.gov.co</w:t>
        </w:r>
      </w:hyperlink>
    </w:p>
    <w:p w14:paraId="540BE34C" w14:textId="77777777" w:rsidR="003D3B2A" w:rsidRPr="008E4F36" w:rsidRDefault="003D3B2A" w:rsidP="003D3B2A">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71BBAAA" w14:textId="77777777" w:rsidR="003D3B2A" w:rsidRPr="008E4F36" w:rsidRDefault="003D3B2A" w:rsidP="003D3B2A">
      <w:pPr>
        <w:spacing w:after="0" w:line="276" w:lineRule="auto"/>
        <w:jc w:val="both"/>
        <w:rPr>
          <w:rFonts w:ascii="Verdana" w:hAnsi="Verdana"/>
        </w:rPr>
      </w:pPr>
    </w:p>
    <w:p w14:paraId="2DD506B7" w14:textId="77777777" w:rsidR="003D3B2A" w:rsidRPr="008E4F36" w:rsidRDefault="003D3B2A" w:rsidP="003D3B2A">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606F7717" w14:textId="77777777" w:rsidR="003D3B2A" w:rsidRPr="008E4F36" w:rsidRDefault="003D3B2A" w:rsidP="003D3B2A">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2992B936" w14:textId="502CCB07" w:rsidR="003D3B2A" w:rsidRDefault="003D3B2A" w:rsidP="00272FB3">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7CD828B3" w14:textId="77777777" w:rsidR="003D3B2A" w:rsidRPr="00406F95" w:rsidRDefault="003D3B2A" w:rsidP="003D3B2A">
      <w:pPr>
        <w:spacing w:before="120" w:after="0" w:line="276" w:lineRule="auto"/>
        <w:jc w:val="both"/>
        <w:rPr>
          <w:rFonts w:ascii="Verdana" w:hAnsi="Verdana"/>
        </w:rPr>
      </w:pPr>
      <w:r w:rsidRPr="00406F95">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B9E644D" w14:textId="77777777" w:rsidR="003D3B2A" w:rsidRPr="008E4F36" w:rsidRDefault="003D3B2A" w:rsidP="003D3B2A">
      <w:pPr>
        <w:spacing w:after="0" w:line="276" w:lineRule="auto"/>
        <w:jc w:val="both"/>
        <w:rPr>
          <w:rFonts w:ascii="Verdana" w:eastAsia="Calibri" w:hAnsi="Verdana" w:cs="Times New Roman"/>
        </w:rPr>
      </w:pPr>
    </w:p>
    <w:p w14:paraId="567A8875" w14:textId="77777777" w:rsidR="003D3B2A" w:rsidRDefault="003D3B2A" w:rsidP="003D3B2A">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35D1C9F8" w14:textId="77777777" w:rsidR="003D3B2A" w:rsidRDefault="003D3B2A" w:rsidP="003D3B2A">
      <w:pPr>
        <w:spacing w:after="0" w:line="256" w:lineRule="auto"/>
        <w:jc w:val="both"/>
        <w:rPr>
          <w:rFonts w:ascii="Verdana" w:eastAsia="Calibri" w:hAnsi="Verdana" w:cs="Times New Roman"/>
        </w:rPr>
      </w:pPr>
    </w:p>
    <w:p w14:paraId="4C3E0449" w14:textId="00402775" w:rsidR="003D3B2A" w:rsidRPr="001D36FE" w:rsidRDefault="00272FB3" w:rsidP="003D3B2A">
      <w:pPr>
        <w:spacing w:after="0" w:line="256" w:lineRule="auto"/>
        <w:jc w:val="center"/>
        <w:rPr>
          <w:noProof/>
        </w:rPr>
      </w:pPr>
      <w:r>
        <w:rPr>
          <w:rFonts w:ascii="Verdana" w:hAnsi="Verdana"/>
          <w:noProof/>
          <w:lang w:val="es-ES_tradnl"/>
        </w:rPr>
        <w:drawing>
          <wp:inline distT="0" distB="0" distL="0" distR="0" wp14:anchorId="38366CC0" wp14:editId="1AF6D2E7">
            <wp:extent cx="3639058" cy="1343212"/>
            <wp:effectExtent l="0" t="0" r="0" b="0"/>
            <wp:docPr id="30742161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21618"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bookmarkEnd w:id="0"/>
    <w:bookmarkEnd w:id="1"/>
    <w:p w14:paraId="5111A98C" w14:textId="77777777" w:rsidR="003D3B2A" w:rsidRDefault="003D3B2A" w:rsidP="003D3B2A">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D3B2A" w:rsidRPr="002423D6" w14:paraId="476330ED" w14:textId="77777777" w:rsidTr="00FC404B">
        <w:trPr>
          <w:trHeight w:val="315"/>
        </w:trPr>
        <w:tc>
          <w:tcPr>
            <w:tcW w:w="893" w:type="dxa"/>
            <w:vAlign w:val="center"/>
            <w:hideMark/>
          </w:tcPr>
          <w:p w14:paraId="2DA2502E" w14:textId="77777777" w:rsidR="003D3B2A" w:rsidRPr="002423D6" w:rsidRDefault="003D3B2A" w:rsidP="00FC404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6EAB2E7" w14:textId="77777777" w:rsidR="003D3B2A" w:rsidRPr="002423D6" w:rsidRDefault="003D3B2A" w:rsidP="00FC404B">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34DE189E" w14:textId="77777777" w:rsidR="003D3B2A" w:rsidRPr="002423D6" w:rsidRDefault="003D3B2A" w:rsidP="00FC404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3D3B2A" w:rsidRPr="002423D6" w14:paraId="22EBCB06" w14:textId="77777777" w:rsidTr="00FC404B">
        <w:trPr>
          <w:trHeight w:val="330"/>
        </w:trPr>
        <w:tc>
          <w:tcPr>
            <w:tcW w:w="893" w:type="dxa"/>
            <w:vAlign w:val="center"/>
            <w:hideMark/>
          </w:tcPr>
          <w:p w14:paraId="4358D189" w14:textId="77777777" w:rsidR="003D3B2A" w:rsidRPr="002423D6" w:rsidRDefault="003D3B2A" w:rsidP="00FC404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6B3BA7" w14:textId="3199D224" w:rsidR="003D3B2A" w:rsidRPr="002423D6" w:rsidRDefault="00F04893" w:rsidP="00FC404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49DC4910" w14:textId="77777777" w:rsidR="003D3B2A" w:rsidRPr="002423D6" w:rsidRDefault="003D3B2A" w:rsidP="00FC404B">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3D3B2A" w:rsidRPr="002423D6" w14:paraId="42B68E67" w14:textId="77777777" w:rsidTr="00FC404B">
        <w:trPr>
          <w:trHeight w:val="300"/>
        </w:trPr>
        <w:tc>
          <w:tcPr>
            <w:tcW w:w="893" w:type="dxa"/>
            <w:vAlign w:val="center"/>
          </w:tcPr>
          <w:p w14:paraId="4AD86159" w14:textId="77777777" w:rsidR="003D3B2A" w:rsidRPr="002423D6" w:rsidRDefault="003D3B2A" w:rsidP="00FC404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1B67B3" w14:textId="77777777" w:rsidR="003D3B2A" w:rsidRPr="002423D6" w:rsidRDefault="003D3B2A" w:rsidP="00FC404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38662C19" w14:textId="77777777" w:rsidR="003D3B2A" w:rsidRPr="002423D6" w:rsidRDefault="003D3B2A" w:rsidP="00FC404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4AC4C6D0" w14:textId="77777777" w:rsidR="009E2887" w:rsidRDefault="009E2887" w:rsidP="003D3B2A"/>
    <w:p w14:paraId="00E97108" w14:textId="54E173A5" w:rsidR="00F04893" w:rsidRDefault="00F04893" w:rsidP="003D3B2A"/>
    <w:p w14:paraId="29D46601" w14:textId="77777777" w:rsidR="003D3B2A" w:rsidRDefault="003D3B2A" w:rsidP="003D3B2A"/>
    <w:p w14:paraId="545A055C" w14:textId="77777777" w:rsidR="003D3B2A" w:rsidRPr="00C84654" w:rsidRDefault="003D3B2A" w:rsidP="003D3B2A">
      <w:pPr>
        <w:rPr>
          <w:b/>
          <w:bCs/>
        </w:rPr>
      </w:pPr>
    </w:p>
    <w:p w14:paraId="1C8C81D3" w14:textId="77777777" w:rsidR="003D3B2A" w:rsidRDefault="003D3B2A" w:rsidP="003D3B2A"/>
    <w:p w14:paraId="372AB78B" w14:textId="77777777" w:rsidR="000F5A42" w:rsidRDefault="000F5A42"/>
    <w:sectPr w:rsidR="000F5A42" w:rsidSect="003D3B2A">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026C9" w14:textId="77777777" w:rsidR="005B0B96" w:rsidRDefault="005B0B96" w:rsidP="00071CEC">
      <w:pPr>
        <w:spacing w:after="0" w:line="240" w:lineRule="auto"/>
      </w:pPr>
      <w:r>
        <w:separator/>
      </w:r>
    </w:p>
  </w:endnote>
  <w:endnote w:type="continuationSeparator" w:id="0">
    <w:p w14:paraId="4BB8360B" w14:textId="77777777" w:rsidR="005B0B96" w:rsidRDefault="005B0B96" w:rsidP="00071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398B7" w14:textId="77777777" w:rsidR="003D3B2A" w:rsidRDefault="003D3B2A" w:rsidP="000849D5">
    <w:pPr>
      <w:spacing w:after="0"/>
      <w:rPr>
        <w:rFonts w:ascii="Verdana" w:hAnsi="Verdana"/>
        <w:b/>
        <w:bCs/>
        <w:sz w:val="20"/>
        <w:szCs w:val="20"/>
      </w:rPr>
    </w:pPr>
  </w:p>
  <w:p w14:paraId="7AA66630" w14:textId="77777777" w:rsidR="003D3B2A" w:rsidRPr="00174B77" w:rsidRDefault="003D3B2A"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CAB4B1A" w14:textId="77777777" w:rsidR="003D3B2A" w:rsidRDefault="003D3B2A"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26D1477" w14:textId="77777777" w:rsidR="003D3B2A" w:rsidRPr="00E41027" w:rsidRDefault="003D3B2A" w:rsidP="000849D5">
    <w:pPr>
      <w:spacing w:after="0"/>
      <w:jc w:val="both"/>
      <w:rPr>
        <w:rFonts w:ascii="Verdana" w:hAnsi="Verdana"/>
        <w:sz w:val="18"/>
        <w:szCs w:val="18"/>
      </w:rPr>
    </w:pPr>
    <w:r w:rsidRPr="00E41027">
      <w:rPr>
        <w:rFonts w:ascii="Verdana" w:hAnsi="Verdana"/>
        <w:sz w:val="18"/>
        <w:szCs w:val="18"/>
      </w:rPr>
      <w:t>Mesa de servicio: (+57) 601 7456788</w:t>
    </w:r>
  </w:p>
  <w:p w14:paraId="1DB6E1EA" w14:textId="77777777" w:rsidR="003D3B2A" w:rsidRDefault="003D3B2A"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0C0588D4" w14:textId="77777777" w:rsidR="003D3B2A" w:rsidRPr="007D04B2" w:rsidRDefault="003D3B2A" w:rsidP="000849D5">
    <w:pPr>
      <w:pStyle w:val="Piedepgina"/>
    </w:pPr>
  </w:p>
  <w:p w14:paraId="4B5EF70B" w14:textId="77777777" w:rsidR="003D3B2A" w:rsidRPr="000849D5" w:rsidRDefault="003D3B2A"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B918F3" w14:textId="77777777" w:rsidR="005B0B96" w:rsidRDefault="005B0B96" w:rsidP="00071CEC">
      <w:pPr>
        <w:spacing w:after="0" w:line="240" w:lineRule="auto"/>
      </w:pPr>
      <w:r>
        <w:separator/>
      </w:r>
    </w:p>
  </w:footnote>
  <w:footnote w:type="continuationSeparator" w:id="0">
    <w:p w14:paraId="1BE9D343" w14:textId="77777777" w:rsidR="005B0B96" w:rsidRDefault="005B0B96" w:rsidP="00071CEC">
      <w:pPr>
        <w:spacing w:after="0" w:line="240" w:lineRule="auto"/>
      </w:pPr>
      <w:r>
        <w:continuationSeparator/>
      </w:r>
    </w:p>
  </w:footnote>
  <w:footnote w:id="1">
    <w:p w14:paraId="36513D54" w14:textId="77777777" w:rsidR="00406F95" w:rsidRPr="00677B37" w:rsidRDefault="00406F95" w:rsidP="00406F95">
      <w:pPr>
        <w:pStyle w:val="Textonotapie"/>
        <w:ind w:firstLine="709"/>
        <w:jc w:val="both"/>
        <w:rPr>
          <w:rFonts w:ascii="Verdana" w:hAnsi="Verdana" w:cs="Arial"/>
          <w:sz w:val="16"/>
          <w:szCs w:val="16"/>
        </w:rPr>
      </w:pPr>
      <w:r w:rsidRPr="00272FB3">
        <w:rPr>
          <w:rStyle w:val="Refdenotaalpie"/>
          <w:rFonts w:ascii="Verdana" w:hAnsi="Verdana"/>
          <w:sz w:val="18"/>
          <w:szCs w:val="18"/>
        </w:rPr>
        <w:footnoteRef/>
      </w:r>
      <w:r w:rsidRPr="00272FB3">
        <w:rPr>
          <w:rFonts w:ascii="Verdana" w:hAnsi="Verdana"/>
          <w:sz w:val="18"/>
          <w:szCs w:val="18"/>
        </w:rPr>
        <w:t xml:space="preserve"> </w:t>
      </w:r>
      <w:r w:rsidRPr="00272FB3">
        <w:rPr>
          <w:rFonts w:ascii="Verdana" w:hAnsi="Verdana" w:cs="Arial"/>
          <w:sz w:val="18"/>
          <w:szCs w:val="18"/>
        </w:rPr>
        <w:t>Consejo de Estado -Sección Tercera-. Sentencia del 21 de febrero de 2025. Radicación Número: 68.280. CP: José Roberto Sáchica Méndez.</w:t>
      </w:r>
    </w:p>
  </w:footnote>
  <w:footnote w:id="2">
    <w:p w14:paraId="62E8E6BD" w14:textId="77777777" w:rsidR="00071CEC" w:rsidRPr="00B2239A" w:rsidRDefault="00071CEC" w:rsidP="00071CEC">
      <w:pPr>
        <w:pStyle w:val="Textonotapie"/>
        <w:ind w:firstLine="709"/>
        <w:contextualSpacing/>
        <w:jc w:val="both"/>
        <w:rPr>
          <w:rFonts w:ascii="Verdana" w:hAnsi="Verdana" w:cs="Arial"/>
          <w:sz w:val="14"/>
          <w:szCs w:val="14"/>
        </w:rPr>
      </w:pPr>
      <w:r w:rsidRPr="00D90575">
        <w:rPr>
          <w:rFonts w:ascii="Verdana" w:hAnsi="Verdana" w:cs="Arial"/>
          <w:sz w:val="16"/>
          <w:szCs w:val="16"/>
          <w:vertAlign w:val="superscript"/>
        </w:rPr>
        <w:footnoteRef/>
      </w:r>
      <w:r w:rsidRPr="00D90575">
        <w:rPr>
          <w:rFonts w:ascii="Verdana" w:hAnsi="Verdana" w:cs="Arial"/>
          <w:sz w:val="16"/>
          <w:szCs w:val="16"/>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D90575">
        <w:rPr>
          <w:rFonts w:ascii="Verdana" w:hAnsi="Verdana" w:cs="Arial"/>
          <w:sz w:val="16"/>
          <w:szCs w:val="16"/>
          <w:lang w:val="es-ES"/>
        </w:rPr>
        <w:t xml:space="preserve"> </w:t>
      </w:r>
      <w:r w:rsidRPr="00D90575">
        <w:rPr>
          <w:rFonts w:ascii="Verdana" w:hAnsi="Verdana" w:cs="Arial"/>
          <w:sz w:val="16"/>
          <w:szCs w:val="16"/>
        </w:rPr>
        <w:t xml:space="preserve">(arts.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w:t>
      </w:r>
      <w:r w:rsidRPr="00B2239A">
        <w:rPr>
          <w:rFonts w:ascii="Verdana" w:hAnsi="Verdana" w:cs="Arial"/>
          <w:sz w:val="14"/>
          <w:szCs w:val="14"/>
        </w:rPr>
        <w:t xml:space="preserve">tiene enunciación y regulación legal” (CORTE SUPREMA DE JUSTICIA. Sala de Casación Civil. Sentencia del 23 de mayo de 2018. </w:t>
      </w:r>
      <w:proofErr w:type="spellStart"/>
      <w:r w:rsidRPr="00B2239A">
        <w:rPr>
          <w:rFonts w:ascii="Verdana" w:hAnsi="Verdana" w:cs="Arial"/>
          <w:sz w:val="14"/>
          <w:szCs w:val="14"/>
        </w:rPr>
        <w:t>Exp</w:t>
      </w:r>
      <w:proofErr w:type="spellEnd"/>
      <w:r w:rsidRPr="00B2239A">
        <w:rPr>
          <w:rFonts w:ascii="Verdana" w:hAnsi="Verdana" w:cs="Arial"/>
          <w:sz w:val="14"/>
          <w:szCs w:val="14"/>
        </w:rPr>
        <w:t>. 76001310301220080040401. M.P. Luis Armando Tolosa Villabona).</w:t>
      </w:r>
    </w:p>
  </w:footnote>
  <w:footnote w:id="3">
    <w:p w14:paraId="1BE8C405" w14:textId="1C18B85F" w:rsidR="00071CEC" w:rsidRPr="00B2239A" w:rsidRDefault="00071CEC" w:rsidP="00071CEC">
      <w:pPr>
        <w:pStyle w:val="Textonotapie"/>
        <w:ind w:firstLine="708"/>
        <w:contextualSpacing/>
        <w:jc w:val="both"/>
        <w:rPr>
          <w:rFonts w:ascii="Verdana" w:hAnsi="Verdana" w:cs="Arial"/>
          <w:sz w:val="14"/>
          <w:szCs w:val="14"/>
          <w:lang w:val="es-CO"/>
        </w:rPr>
      </w:pPr>
      <w:r w:rsidRPr="00B2239A">
        <w:rPr>
          <w:rStyle w:val="Refdenotaalpie"/>
          <w:rFonts w:ascii="Verdana" w:hAnsi="Verdana" w:cs="Arial"/>
          <w:sz w:val="14"/>
          <w:szCs w:val="14"/>
        </w:rPr>
        <w:footnoteRef/>
      </w:r>
      <w:r w:rsidRPr="00B2239A">
        <w:rPr>
          <w:rFonts w:ascii="Verdana" w:hAnsi="Verdana" w:cs="Arial"/>
          <w:sz w:val="14"/>
          <w:szCs w:val="14"/>
        </w:rPr>
        <w:t xml:space="preserve"> </w:t>
      </w:r>
      <w:bookmarkStart w:id="9" w:name="2205"/>
      <w:r w:rsidRPr="00B2239A">
        <w:rPr>
          <w:rFonts w:ascii="Verdana" w:hAnsi="Verdana" w:cs="Arial"/>
          <w:sz w:val="14"/>
          <w:szCs w:val="14"/>
        </w:rPr>
        <w:t>“</w:t>
      </w:r>
      <w:r w:rsidRPr="00B2239A">
        <w:rPr>
          <w:rFonts w:ascii="Verdana" w:hAnsi="Verdana" w:cs="Arial"/>
          <w:sz w:val="14"/>
          <w:szCs w:val="14"/>
          <w:lang w:val="es-CO"/>
        </w:rPr>
        <w:t xml:space="preserve">ARTÍCULO 2205. </w:t>
      </w:r>
      <w:r w:rsidR="00BE340E" w:rsidRPr="00B2239A">
        <w:rPr>
          <w:rFonts w:ascii="Verdana" w:hAnsi="Verdana" w:cs="Arial"/>
          <w:sz w:val="14"/>
          <w:szCs w:val="14"/>
          <w:lang w:val="es-CO"/>
        </w:rPr>
        <w:t>“</w:t>
      </w:r>
      <w:r w:rsidRPr="00B2239A">
        <w:rPr>
          <w:rFonts w:ascii="Verdana" w:hAnsi="Verdana" w:cs="Arial"/>
          <w:sz w:val="14"/>
          <w:szCs w:val="14"/>
          <w:lang w:val="es-CO"/>
        </w:rPr>
        <w:t>TERMINO PARA LA RESTITUCION DE LA COSA PRESTADA</w:t>
      </w:r>
      <w:r w:rsidR="00BE340E" w:rsidRPr="00B2239A">
        <w:rPr>
          <w:rFonts w:ascii="Verdana" w:hAnsi="Verdana" w:cs="Arial"/>
          <w:sz w:val="14"/>
          <w:szCs w:val="14"/>
          <w:lang w:val="es-CO"/>
        </w:rPr>
        <w:t>”</w:t>
      </w:r>
      <w:r w:rsidRPr="00B2239A">
        <w:rPr>
          <w:rFonts w:ascii="Verdana" w:hAnsi="Verdana" w:cs="Arial"/>
          <w:sz w:val="14"/>
          <w:szCs w:val="14"/>
          <w:lang w:val="es-CO"/>
        </w:rPr>
        <w:t>.</w:t>
      </w:r>
      <w:bookmarkEnd w:id="9"/>
      <w:r w:rsidRPr="00B2239A">
        <w:rPr>
          <w:rFonts w:ascii="Verdana" w:hAnsi="Verdana" w:cs="Arial"/>
          <w:sz w:val="14"/>
          <w:szCs w:val="14"/>
          <w:lang w:val="es-CO"/>
        </w:rPr>
        <w:t xml:space="preserve"> El comodatario es obligado a restituir la cosa prestada en el tiempo convenido, o a falta de convención, después del uso para </w:t>
      </w:r>
      <w:proofErr w:type="spellStart"/>
      <w:r w:rsidRPr="00B2239A">
        <w:rPr>
          <w:rFonts w:ascii="Verdana" w:hAnsi="Verdana" w:cs="Arial"/>
          <w:sz w:val="14"/>
          <w:szCs w:val="14"/>
          <w:lang w:val="es-CO"/>
        </w:rPr>
        <w:t>que</w:t>
      </w:r>
      <w:proofErr w:type="spellEnd"/>
      <w:r w:rsidRPr="00B2239A">
        <w:rPr>
          <w:rFonts w:ascii="Verdana" w:hAnsi="Verdana" w:cs="Arial"/>
          <w:sz w:val="14"/>
          <w:szCs w:val="14"/>
          <w:lang w:val="es-CO"/>
        </w:rPr>
        <w:t xml:space="preserve"> </w:t>
      </w:r>
      <w:proofErr w:type="gramStart"/>
      <w:r w:rsidRPr="00B2239A">
        <w:rPr>
          <w:rFonts w:ascii="Verdana" w:hAnsi="Verdana" w:cs="Arial"/>
          <w:sz w:val="14"/>
          <w:szCs w:val="14"/>
          <w:lang w:val="es-CO"/>
        </w:rPr>
        <w:t>ha</w:t>
      </w:r>
      <w:proofErr w:type="gramEnd"/>
      <w:r w:rsidRPr="00B2239A">
        <w:rPr>
          <w:rFonts w:ascii="Verdana" w:hAnsi="Verdana" w:cs="Arial"/>
          <w:sz w:val="14"/>
          <w:szCs w:val="14"/>
          <w:lang w:val="es-CO"/>
        </w:rPr>
        <w:t xml:space="preserve"> sido prestada.</w:t>
      </w:r>
    </w:p>
    <w:p w14:paraId="4BB4A1BF" w14:textId="77777777" w:rsidR="00071CEC" w:rsidRPr="00B2239A" w:rsidRDefault="00071CEC" w:rsidP="00071CEC">
      <w:pPr>
        <w:pStyle w:val="Textonotapie"/>
        <w:contextualSpacing/>
        <w:jc w:val="both"/>
        <w:rPr>
          <w:rFonts w:ascii="Verdana" w:hAnsi="Verdana" w:cs="Arial"/>
          <w:sz w:val="14"/>
          <w:szCs w:val="14"/>
          <w:lang w:val="es-CO"/>
        </w:rPr>
      </w:pPr>
      <w:r w:rsidRPr="00B2239A">
        <w:rPr>
          <w:rFonts w:ascii="Verdana" w:hAnsi="Verdana" w:cs="Arial"/>
          <w:sz w:val="14"/>
          <w:szCs w:val="14"/>
          <w:lang w:val="es-CO"/>
        </w:rPr>
        <w:t>Pero podrá exigirse la restitución aún antes del tiempo estipulado en tres casos:</w:t>
      </w:r>
    </w:p>
    <w:p w14:paraId="6BAE037C" w14:textId="77777777" w:rsidR="00071CEC" w:rsidRPr="00B2239A" w:rsidRDefault="00071CEC" w:rsidP="00071CEC">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1. Si muere el comodatario, a menos que la cosa haya sido prestada para un servicio particular que no pueda diferirse o suspenderse.</w:t>
      </w:r>
    </w:p>
    <w:p w14:paraId="0DC8A9DB" w14:textId="77777777" w:rsidR="00071CEC" w:rsidRPr="00B2239A" w:rsidRDefault="00071CEC" w:rsidP="00071CEC">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2. Si sobreviene al comodante una necesidad imprevista y urgente de la cosa.</w:t>
      </w:r>
    </w:p>
    <w:p w14:paraId="6628E922" w14:textId="77777777" w:rsidR="00071CEC" w:rsidRPr="00B2239A" w:rsidRDefault="00071CEC" w:rsidP="00071CEC">
      <w:pPr>
        <w:pStyle w:val="Textonotapie"/>
        <w:ind w:firstLine="708"/>
        <w:contextualSpacing/>
        <w:jc w:val="both"/>
        <w:rPr>
          <w:rFonts w:ascii="Verdana" w:hAnsi="Verdana" w:cs="Arial"/>
          <w:sz w:val="14"/>
          <w:szCs w:val="14"/>
          <w:lang w:val="es-CO"/>
        </w:rPr>
      </w:pPr>
      <w:r w:rsidRPr="00B2239A">
        <w:rPr>
          <w:rFonts w:ascii="Verdana" w:hAnsi="Verdana" w:cs="Arial"/>
          <w:sz w:val="14"/>
          <w:szCs w:val="14"/>
          <w:lang w:val="es-CO"/>
        </w:rPr>
        <w:t>3. Si ha terminado o no tiene lugar el servicio para el cual se ha prestado la cosa</w:t>
      </w:r>
      <w:r w:rsidRPr="00B2239A">
        <w:rPr>
          <w:rFonts w:ascii="Verdana" w:hAnsi="Verdana" w:cs="Arial"/>
          <w:sz w:val="14"/>
          <w:szCs w:val="14"/>
        </w:rPr>
        <w:t>”.</w:t>
      </w:r>
    </w:p>
  </w:footnote>
  <w:footnote w:id="4">
    <w:p w14:paraId="4A84AE7E" w14:textId="77777777" w:rsidR="00071CEC" w:rsidRPr="00B2239A" w:rsidRDefault="00071CEC" w:rsidP="00071CEC">
      <w:pPr>
        <w:pStyle w:val="Textonotapie"/>
        <w:ind w:firstLine="708"/>
        <w:contextualSpacing/>
        <w:jc w:val="both"/>
        <w:rPr>
          <w:rFonts w:ascii="Verdana" w:hAnsi="Verdana" w:cs="Arial"/>
          <w:sz w:val="14"/>
          <w:szCs w:val="14"/>
          <w:lang w:val="es-CO"/>
        </w:rPr>
      </w:pPr>
      <w:r w:rsidRPr="00B2239A">
        <w:rPr>
          <w:rStyle w:val="Refdenotaalpie"/>
          <w:rFonts w:ascii="Verdana" w:hAnsi="Verdana" w:cs="Arial"/>
          <w:sz w:val="14"/>
          <w:szCs w:val="14"/>
        </w:rPr>
        <w:footnoteRef/>
      </w:r>
      <w:r w:rsidRPr="00B2239A">
        <w:rPr>
          <w:rFonts w:ascii="Verdana" w:hAnsi="Verdana" w:cs="Arial"/>
          <w:sz w:val="14"/>
          <w:szCs w:val="14"/>
        </w:rPr>
        <w:t xml:space="preserve"> </w:t>
      </w:r>
      <w:bookmarkStart w:id="10" w:name="2202"/>
      <w:r w:rsidRPr="00B2239A">
        <w:rPr>
          <w:rFonts w:ascii="Verdana" w:hAnsi="Verdana" w:cs="Arial"/>
          <w:sz w:val="14"/>
          <w:szCs w:val="14"/>
        </w:rPr>
        <w:t>“</w:t>
      </w:r>
      <w:r w:rsidRPr="00B2239A">
        <w:rPr>
          <w:rFonts w:ascii="Verdana" w:hAnsi="Verdana" w:cs="Arial"/>
          <w:sz w:val="14"/>
          <w:szCs w:val="14"/>
          <w:lang w:val="es-CO"/>
        </w:rPr>
        <w:t>ARTÍCULO 2202. &lt;LIMITACIONES DEL COMODATARIO&gt;.</w:t>
      </w:r>
      <w:bookmarkEnd w:id="10"/>
      <w:r w:rsidRPr="00B2239A">
        <w:rPr>
          <w:rFonts w:ascii="Verdana" w:hAnsi="Verdana" w:cs="Arial"/>
          <w:sz w:val="14"/>
          <w:szCs w:val="14"/>
          <w:lang w:val="es-CO"/>
        </w:rPr>
        <w:t> El comodatario no puede emplear la cosa sino en el uso convenido, o falta de convención en el uso ordinario de las de su clase.</w:t>
      </w:r>
    </w:p>
    <w:p w14:paraId="5F26FC40" w14:textId="77777777" w:rsidR="00071CEC" w:rsidRPr="00D90575" w:rsidRDefault="00071CEC" w:rsidP="00071CEC">
      <w:pPr>
        <w:pStyle w:val="Textonotapie"/>
        <w:ind w:firstLine="708"/>
        <w:contextualSpacing/>
        <w:jc w:val="both"/>
        <w:rPr>
          <w:rFonts w:ascii="Verdana" w:hAnsi="Verdana" w:cs="Arial"/>
          <w:sz w:val="16"/>
          <w:szCs w:val="16"/>
          <w:lang w:val="es-CO"/>
        </w:rPr>
      </w:pPr>
      <w:r w:rsidRPr="00B2239A">
        <w:rPr>
          <w:rFonts w:ascii="Verdana" w:hAnsi="Verdana" w:cs="Arial"/>
          <w:sz w:val="14"/>
          <w:szCs w:val="14"/>
          <w:lang w:val="es-CO"/>
        </w:rPr>
        <w:t xml:space="preserve">En el caso de contravención podrá el comodante exigir la reparación de todo perjuicio, y la restitución inmediata, </w:t>
      </w:r>
      <w:proofErr w:type="spellStart"/>
      <w:r w:rsidRPr="00B2239A">
        <w:rPr>
          <w:rFonts w:ascii="Verdana" w:hAnsi="Verdana" w:cs="Arial"/>
          <w:sz w:val="14"/>
          <w:szCs w:val="14"/>
          <w:lang w:val="es-CO"/>
        </w:rPr>
        <w:t>aún</w:t>
      </w:r>
      <w:proofErr w:type="spellEnd"/>
      <w:r w:rsidRPr="00B2239A">
        <w:rPr>
          <w:rFonts w:ascii="Verdana" w:hAnsi="Verdana" w:cs="Arial"/>
          <w:sz w:val="14"/>
          <w:szCs w:val="14"/>
          <w:lang w:val="es-CO"/>
        </w:rPr>
        <w:t xml:space="preserve"> cuando para la restitución se haya estipulado plazo</w:t>
      </w:r>
      <w:r w:rsidRPr="00B2239A">
        <w:rPr>
          <w:rFonts w:ascii="Verdana" w:hAnsi="Verdana" w:cs="Arial"/>
          <w:sz w:val="14"/>
          <w:szCs w:val="14"/>
        </w:rPr>
        <w:t>”.</w:t>
      </w:r>
    </w:p>
  </w:footnote>
  <w:footnote w:id="5">
    <w:p w14:paraId="75A81357" w14:textId="77777777" w:rsidR="00071CEC" w:rsidRPr="00406F95" w:rsidRDefault="00071CEC" w:rsidP="00071CEC">
      <w:pPr>
        <w:pStyle w:val="Textonotapie"/>
        <w:ind w:firstLine="708"/>
        <w:contextualSpacing/>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6">
    <w:p w14:paraId="4BFAE69E" w14:textId="77777777" w:rsidR="00071CEC" w:rsidRPr="00D90575" w:rsidRDefault="00071CEC" w:rsidP="00071CEC">
      <w:pPr>
        <w:pStyle w:val="Textonotapie"/>
        <w:ind w:firstLine="708"/>
        <w:contextualSpacing/>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CORTE SUPREMA DE JUSTICIA. Sala de Casación Civil. Sentencia del 4 de agosto de 2008. </w:t>
      </w:r>
      <w:proofErr w:type="spellStart"/>
      <w:r w:rsidRPr="00406F95">
        <w:rPr>
          <w:rFonts w:ascii="Verdana" w:hAnsi="Verdana" w:cs="Arial"/>
          <w:sz w:val="18"/>
          <w:szCs w:val="18"/>
        </w:rPr>
        <w:t>Exp</w:t>
      </w:r>
      <w:proofErr w:type="spellEnd"/>
      <w:r w:rsidRPr="00406F95">
        <w:rPr>
          <w:rFonts w:ascii="Verdana" w:hAnsi="Verdana" w:cs="Arial"/>
          <w:sz w:val="18"/>
          <w:szCs w:val="18"/>
        </w:rPr>
        <w:t>. 68001310300920000071001. M.P. Edgardo Villamil Portilla.</w:t>
      </w:r>
      <w:r w:rsidRPr="00D90575">
        <w:rPr>
          <w:rFonts w:ascii="Verdana" w:hAnsi="Verdana" w:cs="Arial"/>
          <w:sz w:val="16"/>
          <w:szCs w:val="16"/>
        </w:rPr>
        <w:t xml:space="preserve"> </w:t>
      </w:r>
    </w:p>
  </w:footnote>
  <w:footnote w:id="7">
    <w:p w14:paraId="70345800" w14:textId="77777777" w:rsidR="00035478" w:rsidRPr="002F1600" w:rsidRDefault="00035478" w:rsidP="00035478">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320ED0A" w14:textId="77777777" w:rsidR="00035478" w:rsidRPr="002F1600" w:rsidRDefault="00035478" w:rsidP="00035478">
      <w:pPr>
        <w:pStyle w:val="Textonotapie"/>
        <w:ind w:firstLine="709"/>
        <w:jc w:val="both"/>
        <w:rPr>
          <w:rFonts w:ascii="Verdana" w:hAnsi="Verdana" w:cs="Arial"/>
          <w:sz w:val="14"/>
          <w:szCs w:val="14"/>
        </w:rPr>
      </w:pPr>
      <w:r w:rsidRPr="002F16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8">
    <w:p w14:paraId="413267FB" w14:textId="77777777" w:rsidR="00035478" w:rsidRPr="00677B37" w:rsidRDefault="00035478" w:rsidP="00035478">
      <w:pPr>
        <w:pStyle w:val="Textonotapie"/>
        <w:ind w:firstLine="709"/>
        <w:jc w:val="both"/>
        <w:rPr>
          <w:rFonts w:ascii="Verdana" w:hAnsi="Verdana" w:cs="Arial"/>
          <w:sz w:val="16"/>
          <w:szCs w:val="16"/>
        </w:rPr>
      </w:pPr>
      <w:r w:rsidRPr="002F1600">
        <w:rPr>
          <w:rStyle w:val="Refdenotaalpie"/>
          <w:rFonts w:ascii="Verdana" w:hAnsi="Verdana" w:cs="Arial"/>
          <w:sz w:val="14"/>
          <w:szCs w:val="14"/>
        </w:rPr>
        <w:footnoteRef/>
      </w:r>
      <w:r w:rsidRPr="002F1600">
        <w:rPr>
          <w:rFonts w:ascii="Verdana" w:hAnsi="Verdana" w:cs="Arial"/>
          <w:sz w:val="14"/>
          <w:szCs w:val="14"/>
        </w:rPr>
        <w:t xml:space="preserve"> Gaceta del Congreso de la República No. 71 del 2005.</w:t>
      </w:r>
    </w:p>
  </w:footnote>
  <w:footnote w:id="9">
    <w:p w14:paraId="45CBEFBC" w14:textId="77777777" w:rsidR="00035478" w:rsidRPr="002F1600" w:rsidRDefault="00035478" w:rsidP="00035478">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Corte Constitucional, Sentencia C- 1153 de 2005, M.P. Marco Gerardo Monroy Cabra.</w:t>
      </w:r>
    </w:p>
  </w:footnote>
  <w:footnote w:id="10">
    <w:p w14:paraId="3BB8DA2F" w14:textId="77777777" w:rsidR="00035478" w:rsidRPr="002F1600" w:rsidRDefault="00035478" w:rsidP="00035478">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11">
    <w:p w14:paraId="3D972394" w14:textId="77777777" w:rsidR="00035478" w:rsidRPr="00677B37" w:rsidRDefault="00035478" w:rsidP="00035478">
      <w:pPr>
        <w:pStyle w:val="Textonotapie"/>
        <w:ind w:firstLine="709"/>
        <w:jc w:val="both"/>
        <w:rPr>
          <w:rFonts w:ascii="Verdana" w:hAnsi="Verdana" w:cs="Arial"/>
          <w:sz w:val="16"/>
          <w:szCs w:val="16"/>
          <w:lang w:val="es-CO"/>
        </w:rPr>
      </w:pPr>
      <w:r w:rsidRPr="002F1600">
        <w:rPr>
          <w:rStyle w:val="Refdenotaalpie"/>
          <w:rFonts w:ascii="Verdana" w:hAnsi="Verdana" w:cs="Arial"/>
          <w:sz w:val="14"/>
          <w:szCs w:val="14"/>
        </w:rPr>
        <w:footnoteRef/>
      </w:r>
      <w:r w:rsidRPr="002F16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2">
    <w:p w14:paraId="6A3CAAD2" w14:textId="77777777" w:rsidR="00035478" w:rsidRPr="002F1600" w:rsidRDefault="00035478" w:rsidP="00035478">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Consejo de Estado, Sala de Consulta y Servicio Civil de fecha 24 de julio de 2013, radicado 2166, </w:t>
      </w:r>
      <w:proofErr w:type="gramStart"/>
      <w:r w:rsidRPr="002F1600">
        <w:rPr>
          <w:rFonts w:ascii="Verdana" w:hAnsi="Verdana" w:cs="Arial"/>
          <w:sz w:val="14"/>
          <w:szCs w:val="14"/>
        </w:rPr>
        <w:t>Consejero</w:t>
      </w:r>
      <w:proofErr w:type="gramEnd"/>
      <w:r w:rsidRPr="002F1600">
        <w:rPr>
          <w:rFonts w:ascii="Verdana" w:hAnsi="Verdana" w:cs="Arial"/>
          <w:sz w:val="14"/>
          <w:szCs w:val="14"/>
        </w:rPr>
        <w:t xml:space="preserve"> Ponente: Álvaro Namén Vargas.  </w:t>
      </w:r>
    </w:p>
  </w:footnote>
  <w:footnote w:id="13">
    <w:p w14:paraId="34723420" w14:textId="77777777" w:rsidR="00035478" w:rsidRPr="002F1600" w:rsidRDefault="00035478" w:rsidP="00035478">
      <w:pPr>
        <w:spacing w:after="0" w:line="240" w:lineRule="auto"/>
        <w:ind w:firstLine="709"/>
        <w:jc w:val="both"/>
        <w:rPr>
          <w:rFonts w:ascii="Verdana" w:eastAsia="Times New Roman"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w:t>
      </w:r>
      <w:bookmarkStart w:id="17" w:name="33"/>
      <w:r w:rsidRPr="002F1600">
        <w:rPr>
          <w:rFonts w:ascii="Verdana" w:eastAsia="Calibri" w:hAnsi="Verdana" w:cs="Arial"/>
          <w:color w:val="000000"/>
          <w:sz w:val="14"/>
          <w:szCs w:val="14"/>
        </w:rPr>
        <w:t>“</w:t>
      </w:r>
      <w:r w:rsidRPr="002F1600">
        <w:rPr>
          <w:rFonts w:ascii="Verdana" w:eastAsia="Times New Roman" w:hAnsi="Verdana" w:cs="Arial"/>
          <w:sz w:val="14"/>
          <w:szCs w:val="14"/>
        </w:rPr>
        <w:t>Artículo 33. Restricciones a la contratación pública.</w:t>
      </w:r>
      <w:bookmarkEnd w:id="17"/>
      <w:r w:rsidRPr="002F1600">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1C467071" w14:textId="77777777" w:rsidR="00035478" w:rsidRPr="002F1600" w:rsidRDefault="00035478" w:rsidP="00035478">
      <w:pPr>
        <w:spacing w:after="0" w:line="240" w:lineRule="auto"/>
        <w:ind w:firstLine="709"/>
        <w:jc w:val="both"/>
        <w:rPr>
          <w:rFonts w:ascii="Verdana" w:eastAsia="Times New Roman" w:hAnsi="Verdana" w:cs="Arial"/>
          <w:sz w:val="14"/>
          <w:szCs w:val="14"/>
        </w:rPr>
      </w:pPr>
      <w:r w:rsidRPr="002F16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F1600">
        <w:rPr>
          <w:rFonts w:ascii="Verdana" w:eastAsia="Calibri" w:hAnsi="Verdana" w:cs="Arial"/>
          <w:color w:val="000000"/>
          <w:sz w:val="14"/>
          <w:szCs w:val="14"/>
        </w:rPr>
        <w:t>”</w:t>
      </w:r>
      <w:r w:rsidRPr="002F1600">
        <w:rPr>
          <w:rFonts w:ascii="Verdana" w:eastAsia="Times New Roman" w:hAnsi="Verdana" w:cs="Arial"/>
          <w:sz w:val="14"/>
          <w:szCs w:val="14"/>
        </w:rPr>
        <w:t>.</w:t>
      </w:r>
    </w:p>
  </w:footnote>
  <w:footnote w:id="14">
    <w:p w14:paraId="55545719" w14:textId="77777777" w:rsidR="00035478" w:rsidRPr="00406F95" w:rsidRDefault="00035478" w:rsidP="00035478">
      <w:pPr>
        <w:pStyle w:val="NormalWeb"/>
        <w:spacing w:before="0" w:beforeAutospacing="0" w:after="0" w:afterAutospacing="0"/>
        <w:ind w:firstLine="709"/>
        <w:jc w:val="both"/>
        <w:rPr>
          <w:rFonts w:ascii="Verdana" w:hAnsi="Verdana" w:cs="Arial"/>
          <w:sz w:val="18"/>
          <w:szCs w:val="18"/>
          <w:lang w:val="es-MX"/>
        </w:rPr>
      </w:pPr>
      <w:r w:rsidRPr="00406F95">
        <w:rPr>
          <w:rStyle w:val="Refdenotaalpie"/>
          <w:rFonts w:ascii="Verdana" w:eastAsiaTheme="majorEastAsia" w:hAnsi="Verdana" w:cs="Arial"/>
          <w:sz w:val="18"/>
          <w:szCs w:val="18"/>
        </w:rPr>
        <w:footnoteRef/>
      </w:r>
      <w:r w:rsidRPr="00406F95">
        <w:rPr>
          <w:rFonts w:ascii="Verdana" w:hAnsi="Verdana" w:cs="Arial"/>
          <w:sz w:val="18"/>
          <w:szCs w:val="18"/>
        </w:rPr>
        <w:t xml:space="preserve"> </w:t>
      </w:r>
      <w:bookmarkStart w:id="18" w:name="38"/>
      <w:r w:rsidRPr="00406F95">
        <w:rPr>
          <w:rFonts w:ascii="Verdana" w:eastAsia="Calibri" w:hAnsi="Verdana" w:cs="Arial"/>
          <w:color w:val="000000"/>
          <w:sz w:val="18"/>
          <w:szCs w:val="18"/>
        </w:rPr>
        <w:t>“</w:t>
      </w:r>
      <w:r w:rsidRPr="00406F95">
        <w:rPr>
          <w:rFonts w:ascii="Verdana" w:hAnsi="Verdana" w:cs="Arial"/>
          <w:sz w:val="18"/>
          <w:szCs w:val="18"/>
          <w:lang w:val="es-MX"/>
        </w:rPr>
        <w:t>Artículo 38. Prohibiciones para los servidores públicos. A los empleados del Estado les está prohibido:</w:t>
      </w:r>
      <w:bookmarkEnd w:id="18"/>
    </w:p>
    <w:p w14:paraId="1F9E2ED4" w14:textId="77777777" w:rsidR="00035478" w:rsidRPr="00406F95" w:rsidRDefault="00035478" w:rsidP="00035478">
      <w:pPr>
        <w:pStyle w:val="NormalWeb"/>
        <w:spacing w:before="0" w:beforeAutospacing="0" w:after="0" w:afterAutospacing="0"/>
        <w:ind w:firstLine="709"/>
        <w:jc w:val="both"/>
        <w:rPr>
          <w:rFonts w:ascii="Verdana" w:hAnsi="Verdana" w:cs="Arial"/>
          <w:sz w:val="18"/>
          <w:szCs w:val="18"/>
          <w:lang w:val="es-MX"/>
        </w:rPr>
      </w:pPr>
      <w:r w:rsidRPr="00406F95">
        <w:rPr>
          <w:rFonts w:ascii="Verdana" w:hAnsi="Verdana" w:cs="Arial"/>
          <w:sz w:val="18"/>
          <w:szCs w:val="18"/>
          <w:lang w:val="es-MX"/>
        </w:rPr>
        <w:t>[…]</w:t>
      </w:r>
    </w:p>
    <w:p w14:paraId="12773F34" w14:textId="77777777" w:rsidR="00035478" w:rsidRPr="00406F95" w:rsidRDefault="00035478" w:rsidP="00035478">
      <w:pPr>
        <w:pStyle w:val="NormalWeb"/>
        <w:spacing w:before="0" w:beforeAutospacing="0" w:after="0" w:afterAutospacing="0"/>
        <w:ind w:firstLine="709"/>
        <w:jc w:val="both"/>
        <w:rPr>
          <w:rFonts w:ascii="Verdana" w:hAnsi="Verdana" w:cs="Arial"/>
          <w:sz w:val="18"/>
          <w:szCs w:val="18"/>
          <w:lang w:val="es-MX"/>
        </w:rPr>
      </w:pPr>
      <w:r w:rsidRPr="00406F95">
        <w:rPr>
          <w:rStyle w:val="baj"/>
          <w:rFonts w:ascii="Verdana" w:eastAsiaTheme="minorEastAsia" w:hAnsi="Verdana" w:cs="Arial"/>
          <w:sz w:val="18"/>
          <w:szCs w:val="18"/>
          <w:lang w:val="es-MX"/>
        </w:rPr>
        <w:t>Parágrafo.</w:t>
      </w:r>
      <w:r w:rsidRPr="00406F95">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06F95">
        <w:rPr>
          <w:rFonts w:ascii="Verdana" w:eastAsia="Calibri" w:hAnsi="Verdana" w:cs="Arial"/>
          <w:color w:val="000000"/>
          <w:sz w:val="18"/>
          <w:szCs w:val="18"/>
        </w:rPr>
        <w:t>”</w:t>
      </w:r>
      <w:r w:rsidRPr="00406F95">
        <w:rPr>
          <w:rFonts w:ascii="Verdana" w:hAnsi="Verdana" w:cs="Arial"/>
          <w:sz w:val="18"/>
          <w:szCs w:val="18"/>
          <w:lang w:val="es-MX"/>
        </w:rPr>
        <w:t>.</w:t>
      </w:r>
    </w:p>
  </w:footnote>
  <w:footnote w:id="15">
    <w:p w14:paraId="03C06C9C" w14:textId="77777777" w:rsidR="00035478" w:rsidRPr="00677B37" w:rsidRDefault="00035478" w:rsidP="00035478">
      <w:pPr>
        <w:spacing w:after="0" w:line="240" w:lineRule="auto"/>
        <w:ind w:left="100" w:right="244" w:firstLine="709"/>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6">
    <w:p w14:paraId="0813516D" w14:textId="77777777" w:rsidR="00035478" w:rsidRPr="00406F95" w:rsidRDefault="00035478" w:rsidP="00035478">
      <w:pPr>
        <w:pStyle w:val="Textonotapie"/>
        <w:ind w:right="51"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[25] </w:t>
      </w:r>
      <w:r w:rsidRPr="00406F95">
        <w:rPr>
          <w:rFonts w:ascii="Verdana" w:hAnsi="Verdana" w:cs="Arial"/>
          <w:sz w:val="18"/>
          <w:szCs w:val="18"/>
        </w:rPr>
        <w:t>Cfr. Consejo de Estado. Sección Tercera. Sentencia de 3 de diciembre de 2007. Radicados: 24.715, 25.206, 25.409, 24.524, 27.834, 25.410, 26.105, 28.244, 31.447 -acumulados-”.</w:t>
      </w:r>
    </w:p>
  </w:footnote>
  <w:footnote w:id="17">
    <w:p w14:paraId="68277147" w14:textId="77777777" w:rsidR="00035478" w:rsidRPr="00406F95" w:rsidRDefault="00035478" w:rsidP="00035478">
      <w:pPr>
        <w:pStyle w:val="Textonotapie"/>
        <w:ind w:right="51"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[26] </w:t>
      </w:r>
      <w:r w:rsidRPr="00406F95">
        <w:rPr>
          <w:rFonts w:ascii="Verdana" w:hAnsi="Verdana" w:cs="Arial"/>
          <w:sz w:val="18"/>
          <w:szCs w:val="18"/>
        </w:rPr>
        <w:t>Al respecto ver el concepto 1712 de 2 de febrero de 2006. Consejo de Estado Sala de Consulta y Servicio Civil”.</w:t>
      </w:r>
    </w:p>
  </w:footnote>
  <w:footnote w:id="18">
    <w:p w14:paraId="4C3190DA" w14:textId="77777777" w:rsidR="00035478" w:rsidRPr="00406F95" w:rsidRDefault="00035478" w:rsidP="00035478">
      <w:pPr>
        <w:pStyle w:val="Textonotapie"/>
        <w:ind w:firstLine="709"/>
        <w:jc w:val="both"/>
        <w:rPr>
          <w:rFonts w:ascii="Verdana" w:hAnsi="Verdana" w:cs="Arial"/>
          <w:sz w:val="18"/>
          <w:szCs w:val="18"/>
        </w:rPr>
      </w:pPr>
      <w:r w:rsidRPr="00406F95">
        <w:rPr>
          <w:rStyle w:val="Refdenotaalpie"/>
          <w:rFonts w:ascii="Verdana" w:hAnsi="Verdana" w:cs="Arial"/>
          <w:sz w:val="18"/>
          <w:szCs w:val="18"/>
        </w:rPr>
        <w:footnoteRef/>
      </w:r>
      <w:r w:rsidRPr="00406F95">
        <w:rPr>
          <w:rFonts w:ascii="Verdana" w:hAnsi="Verdana" w:cs="Arial"/>
          <w:sz w:val="18"/>
          <w:szCs w:val="18"/>
        </w:rPr>
        <w:t xml:space="preserve"> Consejo de Estado. Sala de Consulta y Servicio Civil. Concepto del 2 de septiembre de 2013. Radicación número: 11001-03-06-000-2013-00412-00 (2168). Consejero Ponente: Álvaro Namén Vargas.</w:t>
      </w:r>
    </w:p>
  </w:footnote>
  <w:footnote w:id="19">
    <w:p w14:paraId="248ECFCB" w14:textId="77777777" w:rsidR="00035478" w:rsidRPr="00406F95" w:rsidRDefault="00035478" w:rsidP="00035478">
      <w:pPr>
        <w:pStyle w:val="Textonotapie"/>
        <w:ind w:firstLine="709"/>
        <w:jc w:val="both"/>
        <w:rPr>
          <w:rFonts w:ascii="Verdana" w:hAnsi="Verdana" w:cs="Arial"/>
          <w:sz w:val="18"/>
          <w:szCs w:val="18"/>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sz w:val="18"/>
          <w:szCs w:val="18"/>
          <w:lang w:val="es-ES"/>
        </w:rPr>
        <w:t xml:space="preserve">Artículo 2. </w:t>
      </w:r>
    </w:p>
  </w:footnote>
  <w:footnote w:id="20">
    <w:p w14:paraId="15C654FF" w14:textId="77777777" w:rsidR="00035478" w:rsidRPr="00677B37" w:rsidRDefault="00035478" w:rsidP="00035478">
      <w:pPr>
        <w:pStyle w:val="Textonotapie"/>
        <w:ind w:firstLine="709"/>
        <w:jc w:val="both"/>
        <w:rPr>
          <w:rFonts w:ascii="Verdana" w:hAnsi="Verdana" w:cs="Arial"/>
          <w:sz w:val="16"/>
          <w:szCs w:val="16"/>
          <w:lang w:val="es-ES"/>
        </w:rPr>
      </w:pPr>
      <w:r w:rsidRPr="00406F95">
        <w:rPr>
          <w:rStyle w:val="Refdenotaalpie"/>
          <w:rFonts w:ascii="Verdana" w:hAnsi="Verdana" w:cs="Arial"/>
          <w:sz w:val="18"/>
          <w:szCs w:val="18"/>
        </w:rPr>
        <w:footnoteRef/>
      </w:r>
      <w:r w:rsidRPr="00406F95">
        <w:rPr>
          <w:rFonts w:ascii="Verdana" w:hAnsi="Verdana" w:cs="Arial"/>
          <w:sz w:val="18"/>
          <w:szCs w:val="18"/>
        </w:rPr>
        <w:t xml:space="preserve"> </w:t>
      </w:r>
      <w:r w:rsidRPr="00406F95">
        <w:rPr>
          <w:rFonts w:ascii="Verdana" w:hAnsi="Verdana" w:cs="Arial"/>
          <w:i/>
          <w:sz w:val="18"/>
          <w:szCs w:val="18"/>
          <w:lang w:val="es-ES"/>
        </w:rPr>
        <w:t>Ibidem</w:t>
      </w:r>
      <w:r w:rsidRPr="00406F95">
        <w:rPr>
          <w:rFonts w:ascii="Verdana" w:hAnsi="Verdana" w:cs="Arial"/>
          <w:sz w:val="18"/>
          <w:szCs w:val="18"/>
          <w:lang w:val="es-ES"/>
        </w:rPr>
        <w:t>.</w:t>
      </w:r>
    </w:p>
  </w:footnote>
  <w:footnote w:id="21">
    <w:p w14:paraId="74B78197" w14:textId="77777777" w:rsidR="00035478" w:rsidRPr="002F1600" w:rsidRDefault="00035478" w:rsidP="00035478">
      <w:pPr>
        <w:pStyle w:val="Textonotapie"/>
        <w:ind w:firstLine="709"/>
        <w:jc w:val="both"/>
        <w:rPr>
          <w:rFonts w:ascii="Verdana" w:hAnsi="Verdana" w:cs="Arial"/>
          <w:sz w:val="14"/>
          <w:szCs w:val="14"/>
          <w:lang w:val="es-ES"/>
        </w:rPr>
      </w:pPr>
      <w:r w:rsidRPr="002F1600">
        <w:rPr>
          <w:rStyle w:val="Refdenotaalpie"/>
          <w:rFonts w:ascii="Verdana" w:hAnsi="Verdana" w:cs="Arial"/>
          <w:sz w:val="14"/>
          <w:szCs w:val="14"/>
        </w:rPr>
        <w:footnoteRef/>
      </w:r>
      <w:r w:rsidRPr="002F1600">
        <w:rPr>
          <w:rStyle w:val="Refdenotaalpie"/>
          <w:rFonts w:ascii="Verdana" w:hAnsi="Verdana" w:cs="Arial"/>
          <w:sz w:val="14"/>
          <w:szCs w:val="14"/>
        </w:rPr>
        <w:t xml:space="preserve"> </w:t>
      </w:r>
      <w:r w:rsidRPr="002F1600">
        <w:rPr>
          <w:rFonts w:ascii="Verdana" w:hAnsi="Verdana" w:cs="Arial"/>
          <w:sz w:val="14"/>
          <w:szCs w:val="14"/>
          <w:lang w:val="es-ES"/>
        </w:rPr>
        <w:t xml:space="preserve">“[…] A este respecto, cabe recordar que el artículo 860 del Código de Comercio regula la licitación en el derecho privado”. </w:t>
      </w:r>
    </w:p>
  </w:footnote>
  <w:footnote w:id="22">
    <w:p w14:paraId="3EF37E95" w14:textId="77777777" w:rsidR="00035478" w:rsidRPr="00677B37" w:rsidRDefault="00035478" w:rsidP="00035478">
      <w:pPr>
        <w:shd w:val="clear" w:color="auto" w:fill="FFFFFF"/>
        <w:spacing w:after="0" w:line="240" w:lineRule="auto"/>
        <w:ind w:firstLine="709"/>
        <w:jc w:val="both"/>
        <w:rPr>
          <w:rFonts w:ascii="Verdana" w:hAnsi="Verdana" w:cs="Arial"/>
          <w:sz w:val="16"/>
          <w:szCs w:val="16"/>
          <w:lang w:val="es-ES"/>
        </w:rPr>
      </w:pPr>
      <w:r w:rsidRPr="002F1600">
        <w:rPr>
          <w:rStyle w:val="Refdenotaalpie"/>
          <w:rFonts w:ascii="Verdana" w:hAnsi="Verdana" w:cs="Arial"/>
          <w:sz w:val="14"/>
          <w:szCs w:val="14"/>
        </w:rPr>
        <w:footnoteRef/>
      </w:r>
      <w:r w:rsidRPr="002F1600">
        <w:rPr>
          <w:rStyle w:val="Refdenotaalpie"/>
          <w:rFonts w:ascii="Verdana" w:hAnsi="Verdana" w:cs="Arial"/>
          <w:sz w:val="14"/>
          <w:szCs w:val="14"/>
        </w:rPr>
        <w:t xml:space="preserve"> </w:t>
      </w:r>
      <w:r w:rsidRPr="002F1600">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23">
    <w:p w14:paraId="1E4BF65E" w14:textId="77777777" w:rsidR="00035478" w:rsidRPr="002F1600" w:rsidRDefault="00035478" w:rsidP="00035478">
      <w:pPr>
        <w:pStyle w:val="Textonotapie"/>
        <w:ind w:firstLine="709"/>
        <w:jc w:val="both"/>
        <w:rPr>
          <w:rFonts w:ascii="Verdana" w:hAnsi="Verdana" w:cs="Arial"/>
          <w:sz w:val="14"/>
          <w:szCs w:val="14"/>
        </w:rPr>
      </w:pPr>
      <w:r w:rsidRPr="002F1600">
        <w:rPr>
          <w:rStyle w:val="Refdenotaalpie"/>
          <w:rFonts w:ascii="Verdana" w:hAnsi="Verdana" w:cs="Arial"/>
          <w:sz w:val="14"/>
          <w:szCs w:val="14"/>
        </w:rPr>
        <w:footnoteRef/>
      </w:r>
      <w:r w:rsidRPr="002F1600">
        <w:rPr>
          <w:rFonts w:ascii="Verdana" w:hAnsi="Verdana" w:cs="Arial"/>
          <w:sz w:val="14"/>
          <w:szCs w:val="14"/>
        </w:rPr>
        <w:t xml:space="preserve"> Consejo de Estado. Sala de Consulta y Servicio Civil. Concepto del 08 de mayo de 2018. </w:t>
      </w:r>
      <w:proofErr w:type="spellStart"/>
      <w:r w:rsidRPr="002F1600">
        <w:rPr>
          <w:rFonts w:ascii="Verdana" w:hAnsi="Verdana" w:cs="Arial"/>
          <w:sz w:val="14"/>
          <w:szCs w:val="14"/>
        </w:rPr>
        <w:t>Exp</w:t>
      </w:r>
      <w:proofErr w:type="spellEnd"/>
      <w:r w:rsidRPr="002F1600">
        <w:rPr>
          <w:rFonts w:ascii="Verdana" w:hAnsi="Verdana" w:cs="Arial"/>
          <w:sz w:val="14"/>
          <w:szCs w:val="14"/>
        </w:rPr>
        <w:t>. 2.382. C.P. Álvaro Namén Vargas.</w:t>
      </w:r>
    </w:p>
  </w:footnote>
  <w:footnote w:id="24">
    <w:p w14:paraId="7A9A2FF9" w14:textId="77777777" w:rsidR="00035478" w:rsidRPr="00677B37" w:rsidRDefault="00035478" w:rsidP="00035478">
      <w:pPr>
        <w:spacing w:after="0" w:line="240" w:lineRule="auto"/>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5">
    <w:p w14:paraId="082F4E9C" w14:textId="77777777" w:rsidR="00035478" w:rsidRPr="00677B37" w:rsidRDefault="00035478" w:rsidP="00035478">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w:t>
      </w:r>
      <w:bookmarkStart w:id="30" w:name="_Hlk75633115"/>
      <w:r w:rsidRPr="00677B37">
        <w:rPr>
          <w:rFonts w:ascii="Verdana" w:hAnsi="Verdana" w:cs="Arial"/>
          <w:sz w:val="16"/>
          <w:szCs w:val="16"/>
        </w:rPr>
        <w:t xml:space="preserve">Consejo de Estado. Sala de Consulta y Servicio Civil. Concepto </w:t>
      </w:r>
      <w:bookmarkEnd w:id="30"/>
      <w:r w:rsidRPr="00677B37">
        <w:rPr>
          <w:rFonts w:ascii="Verdana" w:hAnsi="Verdana" w:cs="Arial"/>
          <w:sz w:val="16"/>
          <w:szCs w:val="16"/>
        </w:rPr>
        <w:t>de 6 de abril de 2006. Radicación Número: 11001-03-06-000-2006-00038-00(1738). Consejero Ponente: Enrique José Arboleda Perdomo:</w:t>
      </w:r>
      <w:r w:rsidRPr="00677B37">
        <w:rPr>
          <w:rFonts w:ascii="Verdana" w:eastAsia="Times New Roman" w:hAnsi="Verdana" w:cs="Arial"/>
          <w:bCs/>
          <w:sz w:val="16"/>
          <w:szCs w:val="16"/>
          <w:lang w:eastAsia="x-none"/>
        </w:rPr>
        <w:t xml:space="preserve"> “</w:t>
      </w:r>
      <w:r w:rsidRPr="00677B37">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77B37">
        <w:rPr>
          <w:rFonts w:ascii="Verdana" w:eastAsia="Times New Roman" w:hAnsi="Verdana" w:cs="Arial"/>
          <w:bCs/>
          <w:sz w:val="16"/>
          <w:szCs w:val="16"/>
          <w:lang w:eastAsia="x-none"/>
        </w:rPr>
        <w:t>”.</w:t>
      </w:r>
    </w:p>
  </w:footnote>
  <w:footnote w:id="26">
    <w:p w14:paraId="19E7608F" w14:textId="77777777" w:rsidR="00035478" w:rsidRPr="00677B37" w:rsidRDefault="00035478" w:rsidP="00035478">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7">
    <w:p w14:paraId="5C701607" w14:textId="77777777" w:rsidR="00035478" w:rsidRPr="00272FB3" w:rsidRDefault="00035478" w:rsidP="00035478">
      <w:pPr>
        <w:pStyle w:val="Textonotapie"/>
        <w:ind w:right="51" w:firstLine="709"/>
        <w:jc w:val="both"/>
        <w:rPr>
          <w:rFonts w:ascii="Verdana" w:hAnsi="Verdana" w:cs="Arial"/>
          <w:sz w:val="18"/>
          <w:szCs w:val="18"/>
        </w:rPr>
      </w:pPr>
      <w:r w:rsidRPr="00272FB3">
        <w:rPr>
          <w:rStyle w:val="Refdenotaalpie"/>
          <w:rFonts w:ascii="Verdana" w:hAnsi="Verdana" w:cs="Arial"/>
          <w:sz w:val="18"/>
          <w:szCs w:val="18"/>
        </w:rPr>
        <w:footnoteRef/>
      </w:r>
      <w:r w:rsidRPr="00272FB3">
        <w:rPr>
          <w:rFonts w:ascii="Verdana" w:hAnsi="Verdana" w:cs="Arial"/>
          <w:sz w:val="18"/>
          <w:szCs w:val="18"/>
        </w:rPr>
        <w:t xml:space="preserve"> Consejo de Estado. Sala de Consulta y Servicio Civil, </w:t>
      </w:r>
      <w:r w:rsidRPr="00272FB3">
        <w:rPr>
          <w:rFonts w:ascii="Verdana" w:hAnsi="Verdana" w:cs="Arial"/>
          <w:i/>
          <w:iCs/>
          <w:sz w:val="18"/>
          <w:szCs w:val="18"/>
        </w:rPr>
        <w:t>ibidem</w:t>
      </w:r>
      <w:r w:rsidRPr="00272FB3">
        <w:rPr>
          <w:rFonts w:ascii="Verdana" w:hAnsi="Verdana" w:cs="Arial"/>
          <w:sz w:val="18"/>
          <w:szCs w:val="18"/>
        </w:rPr>
        <w:t>.</w:t>
      </w:r>
    </w:p>
  </w:footnote>
  <w:footnote w:id="28">
    <w:p w14:paraId="530A00B4" w14:textId="77777777" w:rsidR="00035478" w:rsidRPr="00677B37" w:rsidRDefault="00035478" w:rsidP="00035478">
      <w:pPr>
        <w:pStyle w:val="Textonotapie"/>
        <w:ind w:firstLine="709"/>
        <w:jc w:val="both"/>
        <w:rPr>
          <w:rFonts w:ascii="Verdana" w:hAnsi="Verdana" w:cs="Arial"/>
          <w:sz w:val="16"/>
          <w:szCs w:val="16"/>
        </w:rPr>
      </w:pPr>
      <w:r w:rsidRPr="00272FB3">
        <w:rPr>
          <w:rStyle w:val="Refdenotaalpie"/>
          <w:rFonts w:ascii="Verdana" w:hAnsi="Verdana"/>
          <w:sz w:val="18"/>
          <w:szCs w:val="18"/>
        </w:rPr>
        <w:footnoteRef/>
      </w:r>
      <w:r w:rsidRPr="00272FB3">
        <w:rPr>
          <w:rFonts w:ascii="Verdana" w:hAnsi="Verdana"/>
          <w:sz w:val="18"/>
          <w:szCs w:val="18"/>
        </w:rPr>
        <w:t xml:space="preserve"> </w:t>
      </w:r>
      <w:r w:rsidRPr="00272FB3">
        <w:rPr>
          <w:rFonts w:ascii="Verdana" w:hAnsi="Verdana" w:cs="Arial"/>
          <w:sz w:val="18"/>
          <w:szCs w:val="18"/>
        </w:rPr>
        <w:t>Consejo de Estado -Sección Tercera-. Sentencia del 21 de febrero de 2025. Radicación Número: 68.280. CP: José Roberto Sáchica Méndez.</w:t>
      </w:r>
    </w:p>
  </w:footnote>
  <w:footnote w:id="29">
    <w:p w14:paraId="41C9E463" w14:textId="77777777" w:rsidR="00035478" w:rsidRPr="00272FB3" w:rsidRDefault="00035478" w:rsidP="00035478">
      <w:pPr>
        <w:pStyle w:val="Textonotapie"/>
        <w:ind w:firstLine="709"/>
        <w:jc w:val="both"/>
        <w:rPr>
          <w:rFonts w:ascii="Verdana" w:hAnsi="Verdana" w:cs="Arial"/>
          <w:sz w:val="18"/>
          <w:szCs w:val="18"/>
        </w:rPr>
      </w:pPr>
      <w:r w:rsidRPr="00272FB3">
        <w:rPr>
          <w:rFonts w:ascii="Verdana" w:hAnsi="Verdana"/>
          <w:sz w:val="18"/>
          <w:szCs w:val="18"/>
          <w:vertAlign w:val="superscript"/>
        </w:rPr>
        <w:footnoteRef/>
      </w:r>
      <w:r w:rsidRPr="00272FB3">
        <w:rPr>
          <w:rFonts w:ascii="Verdana" w:hAnsi="Verdana"/>
          <w:sz w:val="18"/>
          <w:szCs w:val="18"/>
          <w:vertAlign w:val="superscript"/>
        </w:rPr>
        <w:t xml:space="preserve"> </w:t>
      </w:r>
      <w:r w:rsidRPr="00272FB3">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0">
    <w:p w14:paraId="794B927D" w14:textId="77777777" w:rsidR="00035478" w:rsidRPr="00272FB3" w:rsidRDefault="00035478" w:rsidP="00035478">
      <w:pPr>
        <w:pStyle w:val="Textonotapie"/>
        <w:ind w:firstLine="709"/>
        <w:jc w:val="both"/>
        <w:rPr>
          <w:rFonts w:ascii="Verdana" w:hAnsi="Verdana" w:cs="Arial"/>
          <w:sz w:val="18"/>
          <w:szCs w:val="18"/>
        </w:rPr>
      </w:pPr>
      <w:r w:rsidRPr="00272FB3">
        <w:rPr>
          <w:rFonts w:ascii="Verdana" w:hAnsi="Verdana"/>
          <w:sz w:val="18"/>
          <w:szCs w:val="18"/>
          <w:vertAlign w:val="superscript"/>
        </w:rPr>
        <w:footnoteRef/>
      </w:r>
      <w:r w:rsidRPr="00272FB3">
        <w:rPr>
          <w:rFonts w:ascii="Verdana" w:hAnsi="Verdana" w:cs="Arial"/>
          <w:sz w:val="18"/>
          <w:szCs w:val="18"/>
          <w:vertAlign w:val="superscript"/>
        </w:rPr>
        <w:t xml:space="preserve"> </w:t>
      </w:r>
      <w:r w:rsidRPr="00272FB3">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633FAE28" w14:textId="77777777" w:rsidR="00035478" w:rsidRPr="00677B37" w:rsidRDefault="00035478" w:rsidP="00035478">
      <w:pPr>
        <w:pStyle w:val="Textonotapie"/>
        <w:ind w:firstLine="709"/>
        <w:jc w:val="both"/>
        <w:rPr>
          <w:rFonts w:ascii="Verdana" w:hAnsi="Verdana" w:cs="Arial"/>
          <w:sz w:val="16"/>
          <w:szCs w:val="16"/>
        </w:rPr>
      </w:pPr>
      <w:r w:rsidRPr="00272FB3">
        <w:rPr>
          <w:rFonts w:ascii="Verdana" w:hAnsi="Verdana" w:cs="Arial"/>
          <w:sz w:val="18"/>
          <w:szCs w:val="18"/>
        </w:rPr>
        <w:t>[…]”.</w:t>
      </w:r>
    </w:p>
  </w:footnote>
  <w:footnote w:id="31">
    <w:p w14:paraId="1D093257" w14:textId="77777777" w:rsidR="00035478" w:rsidRPr="00272FB3" w:rsidRDefault="00035478" w:rsidP="00035478">
      <w:pPr>
        <w:pStyle w:val="Textonotapie"/>
        <w:ind w:firstLine="709"/>
        <w:jc w:val="both"/>
        <w:rPr>
          <w:rFonts w:ascii="Verdana" w:hAnsi="Verdana" w:cs="Arial"/>
          <w:sz w:val="18"/>
          <w:szCs w:val="18"/>
        </w:rPr>
      </w:pPr>
      <w:r w:rsidRPr="00272FB3">
        <w:rPr>
          <w:rFonts w:ascii="Verdana" w:hAnsi="Verdana"/>
          <w:sz w:val="18"/>
          <w:szCs w:val="18"/>
          <w:vertAlign w:val="superscript"/>
        </w:rPr>
        <w:footnoteRef/>
      </w:r>
      <w:r w:rsidRPr="00272FB3">
        <w:rPr>
          <w:rFonts w:ascii="Verdana" w:hAnsi="Verdana" w:cs="Arial"/>
          <w:sz w:val="18"/>
          <w:szCs w:val="18"/>
          <w:vertAlign w:val="superscript"/>
        </w:rPr>
        <w:t xml:space="preserve"> </w:t>
      </w:r>
      <w:r w:rsidRPr="00272FB3">
        <w:rPr>
          <w:rFonts w:ascii="Verdana" w:hAnsi="Verdana" w:cs="Arial"/>
          <w:sz w:val="18"/>
          <w:szCs w:val="18"/>
        </w:rPr>
        <w:t>Código Civil: “Artículo 27. Cuando el sentido de la ley sea claro, no se desatenderá su tenor a pretexto de consultar su espíritu”.</w:t>
      </w:r>
    </w:p>
  </w:footnote>
  <w:footnote w:id="32">
    <w:p w14:paraId="04DCE61C" w14:textId="77777777" w:rsidR="00035478" w:rsidRPr="00677B37" w:rsidRDefault="00035478" w:rsidP="00035478">
      <w:pPr>
        <w:pStyle w:val="Textonotapie"/>
        <w:ind w:firstLine="709"/>
        <w:jc w:val="both"/>
        <w:rPr>
          <w:rFonts w:ascii="Verdana" w:hAnsi="Verdana"/>
          <w:sz w:val="16"/>
          <w:szCs w:val="16"/>
          <w:lang w:val="es-ES"/>
        </w:rPr>
      </w:pPr>
      <w:r w:rsidRPr="00677B37">
        <w:rPr>
          <w:rStyle w:val="Refdenotaalpie"/>
          <w:rFonts w:ascii="Verdana" w:hAnsi="Verdana"/>
          <w:sz w:val="16"/>
          <w:szCs w:val="16"/>
        </w:rPr>
        <w:footnoteRef/>
      </w:r>
      <w:r w:rsidRPr="00677B37">
        <w:rPr>
          <w:rFonts w:ascii="Verdana" w:hAnsi="Verdana"/>
          <w:sz w:val="16"/>
          <w:szCs w:val="16"/>
        </w:rPr>
        <w:t xml:space="preserve"> </w:t>
      </w:r>
      <w:r w:rsidRPr="00677B37">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677B37">
        <w:rPr>
          <w:rFonts w:ascii="Verdana" w:hAnsi="Verdana"/>
          <w:i/>
          <w:iCs/>
          <w:sz w:val="16"/>
          <w:szCs w:val="16"/>
          <w:lang w:val="es-ES"/>
        </w:rPr>
        <w:t>Ubi</w:t>
      </w:r>
      <w:proofErr w:type="spellEnd"/>
      <w:r w:rsidRPr="00677B37">
        <w:rPr>
          <w:rFonts w:ascii="Verdana" w:hAnsi="Verdana"/>
          <w:i/>
          <w:iCs/>
          <w:sz w:val="16"/>
          <w:szCs w:val="16"/>
          <w:lang w:val="es-ES"/>
        </w:rPr>
        <w:t xml:space="preserve"> lex non </w:t>
      </w:r>
      <w:proofErr w:type="spellStart"/>
      <w:r w:rsidRPr="00677B37">
        <w:rPr>
          <w:rFonts w:ascii="Verdana" w:hAnsi="Verdana"/>
          <w:i/>
          <w:iCs/>
          <w:sz w:val="16"/>
          <w:szCs w:val="16"/>
          <w:lang w:val="es-ES"/>
        </w:rPr>
        <w:t>distinguit</w:t>
      </w:r>
      <w:proofErr w:type="spellEnd"/>
      <w:r w:rsidRPr="00677B37">
        <w:rPr>
          <w:rFonts w:ascii="Verdana" w:hAnsi="Verdana"/>
          <w:i/>
          <w:iCs/>
          <w:sz w:val="16"/>
          <w:szCs w:val="16"/>
          <w:lang w:val="es-ES"/>
        </w:rPr>
        <w:t xml:space="preserve"> </w:t>
      </w:r>
      <w:proofErr w:type="spellStart"/>
      <w:r w:rsidRPr="00677B37">
        <w:rPr>
          <w:rFonts w:ascii="Verdana" w:hAnsi="Verdana"/>
          <w:i/>
          <w:iCs/>
          <w:sz w:val="16"/>
          <w:szCs w:val="16"/>
          <w:lang w:val="es-ES"/>
        </w:rPr>
        <w:t>nec</w:t>
      </w:r>
      <w:proofErr w:type="spellEnd"/>
      <w:r w:rsidRPr="00677B37">
        <w:rPr>
          <w:rFonts w:ascii="Verdana" w:hAnsi="Verdana"/>
          <w:i/>
          <w:iCs/>
          <w:sz w:val="16"/>
          <w:szCs w:val="16"/>
          <w:lang w:val="es-ES"/>
        </w:rPr>
        <w:t xml:space="preserve"> nos </w:t>
      </w:r>
      <w:proofErr w:type="spellStart"/>
      <w:r w:rsidRPr="00677B37">
        <w:rPr>
          <w:rFonts w:ascii="Verdana" w:hAnsi="Verdana"/>
          <w:i/>
          <w:iCs/>
          <w:sz w:val="16"/>
          <w:szCs w:val="16"/>
          <w:lang w:val="es-ES"/>
        </w:rPr>
        <w:t>distinguere</w:t>
      </w:r>
      <w:proofErr w:type="spellEnd"/>
      <w:r w:rsidRPr="00677B37">
        <w:rPr>
          <w:rFonts w:ascii="Verdana" w:hAnsi="Verdana"/>
          <w:i/>
          <w:iCs/>
          <w:sz w:val="16"/>
          <w:szCs w:val="16"/>
          <w:lang w:val="es-ES"/>
        </w:rPr>
        <w:t xml:space="preserve"> </w:t>
      </w:r>
      <w:proofErr w:type="spellStart"/>
      <w:r w:rsidRPr="00677B37">
        <w:rPr>
          <w:rFonts w:ascii="Verdana" w:hAnsi="Verdana"/>
          <w:i/>
          <w:iCs/>
          <w:sz w:val="16"/>
          <w:szCs w:val="16"/>
          <w:lang w:val="es-ES"/>
        </w:rPr>
        <w:t>debemus</w:t>
      </w:r>
      <w:proofErr w:type="spellEnd"/>
      <w:r w:rsidRPr="00677B37">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297483FC" w14:textId="77777777" w:rsidR="00035478" w:rsidRPr="00677B37" w:rsidRDefault="00035478" w:rsidP="00035478">
      <w:pPr>
        <w:pStyle w:val="Textonotapie"/>
        <w:ind w:firstLine="709"/>
        <w:jc w:val="both"/>
        <w:rPr>
          <w:rFonts w:ascii="Verdana" w:hAnsi="Verdana"/>
          <w:sz w:val="16"/>
          <w:szCs w:val="16"/>
          <w:lang w:val="es-CO"/>
        </w:rPr>
      </w:pPr>
      <w:r w:rsidRPr="00677B37">
        <w:rPr>
          <w:rFonts w:ascii="Verdana" w:hAnsi="Verdana"/>
          <w:sz w:val="16"/>
          <w:szCs w:val="16"/>
          <w:lang w:val="es-ES"/>
        </w:rPr>
        <w:t xml:space="preserve">En el derecho antiguo y en el derecho canónico se distinguían las leyes en favorables y odiosas, para ampliar o restringir su interpretación. </w:t>
      </w:r>
      <w:r w:rsidRPr="00677B37">
        <w:rPr>
          <w:rFonts w:ascii="Verdana" w:hAnsi="Verdana"/>
          <w:i/>
          <w:iCs/>
          <w:sz w:val="16"/>
          <w:szCs w:val="16"/>
          <w:lang w:val="es-ES"/>
        </w:rPr>
        <w:t xml:space="preserve">Odia restringí et favores </w:t>
      </w:r>
      <w:proofErr w:type="spellStart"/>
      <w:r w:rsidRPr="00677B37">
        <w:rPr>
          <w:rFonts w:ascii="Verdana" w:hAnsi="Verdana"/>
          <w:i/>
          <w:iCs/>
          <w:sz w:val="16"/>
          <w:szCs w:val="16"/>
          <w:lang w:val="es-ES"/>
        </w:rPr>
        <w:t>convenit</w:t>
      </w:r>
      <w:proofErr w:type="spellEnd"/>
      <w:r w:rsidRPr="00677B37">
        <w:rPr>
          <w:rFonts w:ascii="Verdana" w:hAnsi="Verdana"/>
          <w:i/>
          <w:iCs/>
          <w:sz w:val="16"/>
          <w:szCs w:val="16"/>
          <w:lang w:val="es-ES"/>
        </w:rPr>
        <w:t xml:space="preserve"> </w:t>
      </w:r>
      <w:proofErr w:type="spellStart"/>
      <w:r w:rsidRPr="00677B37">
        <w:rPr>
          <w:rFonts w:ascii="Verdana" w:hAnsi="Verdana"/>
          <w:i/>
          <w:iCs/>
          <w:sz w:val="16"/>
          <w:szCs w:val="16"/>
          <w:lang w:val="es-ES"/>
        </w:rPr>
        <w:t>ampliari</w:t>
      </w:r>
      <w:proofErr w:type="spellEnd"/>
      <w:r w:rsidRPr="00677B37">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677B37">
        <w:rPr>
          <w:rFonts w:ascii="Verdana" w:hAnsi="Verdana"/>
          <w:sz w:val="16"/>
          <w:szCs w:val="16"/>
        </w:rPr>
        <w:t>CLARO SOLAR, Luis. Explicaciones de derecho civil chileno y comparado. Volumen I. Tomo I. Santiago: Editorial Jurídica de Chile, 2013. p. 119. Énfasis dentro del texto).</w:t>
      </w:r>
    </w:p>
  </w:footnote>
  <w:footnote w:id="33">
    <w:p w14:paraId="75F81CC8" w14:textId="77777777" w:rsidR="00035478" w:rsidRPr="00272FB3" w:rsidRDefault="00035478" w:rsidP="00035478">
      <w:pPr>
        <w:pStyle w:val="Textonotapie"/>
        <w:ind w:firstLine="709"/>
        <w:jc w:val="both"/>
        <w:rPr>
          <w:rFonts w:ascii="Verdana" w:hAnsi="Verdana"/>
          <w:sz w:val="18"/>
          <w:szCs w:val="18"/>
          <w:lang w:val="es-CO"/>
        </w:rPr>
      </w:pPr>
      <w:r w:rsidRPr="00272FB3">
        <w:rPr>
          <w:rStyle w:val="Refdenotaalpie"/>
          <w:rFonts w:ascii="Verdana" w:hAnsi="Verdana"/>
          <w:sz w:val="18"/>
          <w:szCs w:val="18"/>
        </w:rPr>
        <w:footnoteRef/>
      </w:r>
      <w:r w:rsidRPr="00272FB3">
        <w:rPr>
          <w:rFonts w:ascii="Verdana" w:hAnsi="Verdana"/>
          <w:sz w:val="18"/>
          <w:szCs w:val="18"/>
          <w:lang w:val="es-CO"/>
        </w:rPr>
        <w:t xml:space="preserve"> Consejo de Estado, Sección Tercera. Auto del 4 de octubre de 2024. </w:t>
      </w:r>
      <w:proofErr w:type="spellStart"/>
      <w:r w:rsidRPr="00272FB3">
        <w:rPr>
          <w:rFonts w:ascii="Verdana" w:hAnsi="Verdana"/>
          <w:sz w:val="18"/>
          <w:szCs w:val="18"/>
          <w:lang w:val="es-CO"/>
        </w:rPr>
        <w:t>Exp</w:t>
      </w:r>
      <w:proofErr w:type="spellEnd"/>
      <w:r w:rsidRPr="00272FB3">
        <w:rPr>
          <w:rFonts w:ascii="Verdana" w:hAnsi="Verdana"/>
          <w:sz w:val="18"/>
          <w:szCs w:val="18"/>
          <w:lang w:val="es-CO"/>
        </w:rPr>
        <w:t>. 70.313. C.P: Fredy Ibarra Martínez.</w:t>
      </w:r>
    </w:p>
  </w:footnote>
  <w:footnote w:id="34">
    <w:p w14:paraId="4A751460" w14:textId="77777777" w:rsidR="00035478" w:rsidRPr="009C6313" w:rsidRDefault="00035478" w:rsidP="00035478">
      <w:pPr>
        <w:pStyle w:val="Textonotapie"/>
        <w:ind w:firstLine="709"/>
        <w:jc w:val="both"/>
        <w:rPr>
          <w:rFonts w:ascii="Verdana" w:hAnsi="Verdana"/>
          <w:sz w:val="14"/>
          <w:szCs w:val="14"/>
          <w:lang w:val="es-CO"/>
        </w:rPr>
      </w:pPr>
      <w:r w:rsidRPr="009C6313">
        <w:rPr>
          <w:rStyle w:val="Refdenotaalpie"/>
          <w:rFonts w:ascii="Verdana" w:hAnsi="Verdana"/>
          <w:sz w:val="14"/>
          <w:szCs w:val="14"/>
        </w:rPr>
        <w:footnoteRef/>
      </w:r>
      <w:r w:rsidRPr="009C6313">
        <w:rPr>
          <w:rFonts w:ascii="Verdana" w:hAnsi="Verdana"/>
          <w:sz w:val="14"/>
          <w:szCs w:val="14"/>
        </w:rPr>
        <w:t xml:space="preserve"> La parte resolutiva del auto dispone lo siguiente; “</w:t>
      </w:r>
      <w:r w:rsidRPr="009C6313">
        <w:rPr>
          <w:rFonts w:ascii="Verdana" w:hAnsi="Verdana"/>
          <w:sz w:val="14"/>
          <w:szCs w:val="14"/>
          <w:lang w:val="es-CO"/>
        </w:rPr>
        <w:t xml:space="preserve">PRIMERO: DECRETAR la suspensión provisional de los apartes cuestionados del inciso segundo del numeral 16.2 de la Circular Externa única, versión 3 del 27 de diciembre de 2023, expedida por la Agencia Nacional de Contratación Pública – Colombia Compra Eficiente, según el cual </w:t>
      </w:r>
      <w:r w:rsidRPr="009C6313">
        <w:rPr>
          <w:rFonts w:ascii="Verdana" w:hAnsi="Verdana"/>
          <w:i/>
          <w:sz w:val="14"/>
          <w:szCs w:val="14"/>
          <w:lang w:val="es-CO"/>
        </w:rPr>
        <w:t>“[e]</w:t>
      </w:r>
      <w:proofErr w:type="spellStart"/>
      <w:r w:rsidRPr="009C6313">
        <w:rPr>
          <w:rFonts w:ascii="Verdana" w:hAnsi="Verdana"/>
          <w:i/>
          <w:sz w:val="14"/>
          <w:szCs w:val="14"/>
          <w:lang w:val="es-CO"/>
        </w:rPr>
        <w:t>sta</w:t>
      </w:r>
      <w:proofErr w:type="spellEnd"/>
      <w:r w:rsidRPr="009C6313">
        <w:rPr>
          <w:rFonts w:ascii="Verdana" w:hAnsi="Verdana"/>
          <w:i/>
          <w:sz w:val="14"/>
          <w:szCs w:val="14"/>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9C6313">
        <w:rPr>
          <w:rFonts w:ascii="Verdana" w:hAnsi="Verdana"/>
          <w:sz w:val="14"/>
          <w:szCs w:val="14"/>
          <w:lang w:val="es-CO"/>
        </w:rPr>
        <w:t xml:space="preserve">, por las razones expuestas en precedencia. </w:t>
      </w:r>
    </w:p>
    <w:p w14:paraId="089B7A20" w14:textId="77777777" w:rsidR="00035478" w:rsidRPr="00677B37" w:rsidRDefault="00035478" w:rsidP="00035478">
      <w:pPr>
        <w:pStyle w:val="Textonotapie"/>
        <w:ind w:firstLine="709"/>
        <w:jc w:val="both"/>
        <w:rPr>
          <w:rFonts w:ascii="Verdana" w:hAnsi="Verdana"/>
          <w:sz w:val="16"/>
          <w:szCs w:val="16"/>
          <w:lang w:val="es-CO"/>
        </w:rPr>
      </w:pPr>
      <w:r w:rsidRPr="009C6313">
        <w:rPr>
          <w:rFonts w:ascii="Verdana" w:hAnsi="Verdana"/>
          <w:sz w:val="14"/>
          <w:szCs w:val="14"/>
          <w:lang w:val="es-CO"/>
        </w:rPr>
        <w:t>SEGUNDO: DECRETAR la suspensión provisional de la expresión “</w:t>
      </w:r>
      <w:r w:rsidRPr="009C6313">
        <w:rPr>
          <w:rFonts w:ascii="Verdana" w:hAnsi="Verdana"/>
          <w:i/>
          <w:sz w:val="14"/>
          <w:szCs w:val="14"/>
          <w:lang w:val="es-CO"/>
        </w:rPr>
        <w:t>contratos</w:t>
      </w:r>
      <w:r w:rsidRPr="009C6313">
        <w:rPr>
          <w:rFonts w:ascii="Verdana" w:hAnsi="Verdana"/>
          <w:sz w:val="14"/>
          <w:szCs w:val="14"/>
          <w:lang w:val="es-CO"/>
        </w:rPr>
        <w:t xml:space="preserve">” y del párrafo </w:t>
      </w:r>
      <w:r w:rsidRPr="009C6313">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9C6313">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9C6313">
        <w:rPr>
          <w:rFonts w:ascii="Verdana" w:hAnsi="Verdana"/>
          <w:sz w:val="14"/>
          <w:szCs w:val="14"/>
          <w:lang w:val="es-CO"/>
        </w:rPr>
        <w:t>Exp</w:t>
      </w:r>
      <w:proofErr w:type="spellEnd"/>
      <w:r w:rsidRPr="009C6313">
        <w:rPr>
          <w:rFonts w:ascii="Verdana" w:hAnsi="Verdana"/>
          <w:sz w:val="14"/>
          <w:szCs w:val="14"/>
          <w:lang w:val="es-CO"/>
        </w:rPr>
        <w:t>. 72.424. C.P: Fernando Alexei Pardo Flórez.</w:t>
      </w:r>
      <w:r w:rsidRPr="00677B37">
        <w:rPr>
          <w:rFonts w:ascii="Verdana" w:hAnsi="Verdana"/>
          <w:sz w:val="16"/>
          <w:szCs w:val="16"/>
          <w:lang w:val="es-CO"/>
        </w:rPr>
        <w:t xml:space="preserve"> </w:t>
      </w:r>
    </w:p>
  </w:footnote>
  <w:footnote w:id="35">
    <w:p w14:paraId="4FA8C988" w14:textId="77777777" w:rsidR="00035478" w:rsidRPr="00272FB3" w:rsidRDefault="00035478" w:rsidP="00035478">
      <w:pPr>
        <w:spacing w:after="0" w:line="240" w:lineRule="auto"/>
        <w:ind w:firstLine="709"/>
        <w:jc w:val="both"/>
        <w:rPr>
          <w:rFonts w:ascii="Verdana" w:eastAsia="Times New Roman" w:hAnsi="Verdana" w:cs="Times New Roman"/>
          <w:sz w:val="18"/>
          <w:szCs w:val="18"/>
          <w:lang w:eastAsia="es-ES"/>
        </w:rPr>
      </w:pPr>
      <w:r w:rsidRPr="00272FB3">
        <w:rPr>
          <w:rStyle w:val="Refdenotaalpie"/>
          <w:rFonts w:ascii="Verdana" w:hAnsi="Verdana"/>
          <w:sz w:val="18"/>
          <w:szCs w:val="18"/>
        </w:rPr>
        <w:footnoteRef/>
      </w:r>
      <w:r w:rsidRPr="00272FB3">
        <w:rPr>
          <w:rFonts w:ascii="Verdana" w:hAnsi="Verdana"/>
          <w:sz w:val="18"/>
          <w:szCs w:val="18"/>
        </w:rPr>
        <w:t xml:space="preserve"> </w:t>
      </w:r>
      <w:r w:rsidRPr="00272FB3">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272FB3">
        <w:rPr>
          <w:rFonts w:ascii="Verdana" w:hAnsi="Verdana"/>
          <w:sz w:val="18"/>
          <w:szCs w:val="18"/>
        </w:rPr>
        <w:t xml:space="preserve">La parte de la providencia señala: </w:t>
      </w:r>
      <w:r w:rsidRPr="00272FB3">
        <w:rPr>
          <w:rFonts w:ascii="Verdana" w:eastAsia="Times New Roman" w:hAnsi="Verdana" w:cs="Times New Roman"/>
          <w:sz w:val="18"/>
          <w:szCs w:val="18"/>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272FB3">
        <w:rPr>
          <w:rFonts w:ascii="Verdana" w:eastAsia="Times New Roman" w:hAnsi="Verdana" w:cs="Times New Roman"/>
          <w:sz w:val="18"/>
          <w:szCs w:val="18"/>
          <w:lang w:eastAsia="es-ES"/>
        </w:rPr>
        <w:t>ii</w:t>
      </w:r>
      <w:proofErr w:type="spellEnd"/>
      <w:r w:rsidRPr="00272FB3">
        <w:rPr>
          <w:rFonts w:ascii="Verdana" w:eastAsia="Times New Roman" w:hAnsi="Verdana" w:cs="Times New Roman"/>
          <w:sz w:val="18"/>
          <w:szCs w:val="18"/>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6">
    <w:p w14:paraId="1948512F" w14:textId="77777777" w:rsidR="00035478" w:rsidRPr="00E1176D" w:rsidRDefault="00035478" w:rsidP="00035478">
      <w:pPr>
        <w:pStyle w:val="Textonotapie"/>
        <w:ind w:firstLine="709"/>
        <w:rPr>
          <w:rFonts w:ascii="Verdana" w:hAnsi="Verdana"/>
          <w:sz w:val="16"/>
          <w:szCs w:val="16"/>
          <w:lang w:val="es-CO"/>
        </w:rPr>
      </w:pPr>
      <w:r w:rsidRPr="00272FB3">
        <w:rPr>
          <w:rStyle w:val="Refdenotaalpie"/>
          <w:rFonts w:ascii="Verdana" w:hAnsi="Verdana"/>
          <w:sz w:val="18"/>
          <w:szCs w:val="18"/>
        </w:rPr>
        <w:footnoteRef/>
      </w:r>
      <w:r w:rsidRPr="00272FB3">
        <w:rPr>
          <w:rFonts w:ascii="Verdana" w:hAnsi="Verdana"/>
          <w:sz w:val="18"/>
          <w:szCs w:val="18"/>
        </w:rPr>
        <w:t xml:space="preserve"> No </w:t>
      </w:r>
      <w:proofErr w:type="gramStart"/>
      <w:r w:rsidRPr="00272FB3">
        <w:rPr>
          <w:rFonts w:ascii="Verdana" w:hAnsi="Verdana"/>
          <w:sz w:val="18"/>
          <w:szCs w:val="18"/>
        </w:rPr>
        <w:t>obstante</w:t>
      </w:r>
      <w:proofErr w:type="gramEnd"/>
      <w:r w:rsidRPr="00272FB3">
        <w:rPr>
          <w:rFonts w:ascii="Verdana" w:hAnsi="Verdana"/>
          <w:sz w:val="18"/>
          <w:szCs w:val="18"/>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D8D9B" w14:textId="77777777" w:rsidR="003D3B2A" w:rsidRDefault="003D3B2A"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05F0B8B" wp14:editId="494A8DB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C2B847D" wp14:editId="3C86958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35E7443" w14:textId="77777777" w:rsidR="003D3B2A" w:rsidRDefault="003D3B2A" w:rsidP="00515FB5">
    <w:pPr>
      <w:pStyle w:val="Encabezado"/>
    </w:pPr>
  </w:p>
  <w:p w14:paraId="299EF90C" w14:textId="77777777" w:rsidR="003D3B2A" w:rsidRDefault="003D3B2A" w:rsidP="00515FB5">
    <w:pPr>
      <w:pStyle w:val="Encabezado"/>
    </w:pPr>
  </w:p>
  <w:p w14:paraId="52C4F881" w14:textId="77777777" w:rsidR="003D3B2A" w:rsidRPr="00515FB5" w:rsidRDefault="003D3B2A"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3"/>
  </w:num>
  <w:num w:numId="4" w16cid:durableId="6589703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B2A"/>
    <w:rsid w:val="0000486D"/>
    <w:rsid w:val="00013FA3"/>
    <w:rsid w:val="0002685A"/>
    <w:rsid w:val="00034586"/>
    <w:rsid w:val="00035478"/>
    <w:rsid w:val="00044F7B"/>
    <w:rsid w:val="00053863"/>
    <w:rsid w:val="00071CEC"/>
    <w:rsid w:val="000F5A42"/>
    <w:rsid w:val="001025D6"/>
    <w:rsid w:val="00113D5A"/>
    <w:rsid w:val="0016177E"/>
    <w:rsid w:val="001748EB"/>
    <w:rsid w:val="001C64F7"/>
    <w:rsid w:val="001F726C"/>
    <w:rsid w:val="00205FB1"/>
    <w:rsid w:val="00272FB3"/>
    <w:rsid w:val="002A2314"/>
    <w:rsid w:val="002B182F"/>
    <w:rsid w:val="002F1600"/>
    <w:rsid w:val="003D3B2A"/>
    <w:rsid w:val="00400FBE"/>
    <w:rsid w:val="00406F95"/>
    <w:rsid w:val="004533A2"/>
    <w:rsid w:val="004A389B"/>
    <w:rsid w:val="004B0D36"/>
    <w:rsid w:val="004B7873"/>
    <w:rsid w:val="004F3850"/>
    <w:rsid w:val="00535C66"/>
    <w:rsid w:val="005B0B96"/>
    <w:rsid w:val="005B27FC"/>
    <w:rsid w:val="005C737F"/>
    <w:rsid w:val="006223F4"/>
    <w:rsid w:val="00634E80"/>
    <w:rsid w:val="00675D47"/>
    <w:rsid w:val="006A1D54"/>
    <w:rsid w:val="006B0219"/>
    <w:rsid w:val="006B1283"/>
    <w:rsid w:val="006F6935"/>
    <w:rsid w:val="007116D8"/>
    <w:rsid w:val="00735621"/>
    <w:rsid w:val="00745723"/>
    <w:rsid w:val="007C2445"/>
    <w:rsid w:val="007D2D57"/>
    <w:rsid w:val="007F7B8D"/>
    <w:rsid w:val="008378B0"/>
    <w:rsid w:val="0084398B"/>
    <w:rsid w:val="0088692C"/>
    <w:rsid w:val="008B187C"/>
    <w:rsid w:val="008D7FF1"/>
    <w:rsid w:val="008E462A"/>
    <w:rsid w:val="009001AD"/>
    <w:rsid w:val="00926955"/>
    <w:rsid w:val="00931C67"/>
    <w:rsid w:val="009C6313"/>
    <w:rsid w:val="009E0E56"/>
    <w:rsid w:val="009E1963"/>
    <w:rsid w:val="009E2887"/>
    <w:rsid w:val="00A12218"/>
    <w:rsid w:val="00A73ABA"/>
    <w:rsid w:val="00A7445E"/>
    <w:rsid w:val="00A76850"/>
    <w:rsid w:val="00A90678"/>
    <w:rsid w:val="00A90FF9"/>
    <w:rsid w:val="00AB4F4D"/>
    <w:rsid w:val="00AE4219"/>
    <w:rsid w:val="00AF17B7"/>
    <w:rsid w:val="00AF76F8"/>
    <w:rsid w:val="00B027B9"/>
    <w:rsid w:val="00B2239A"/>
    <w:rsid w:val="00B2476E"/>
    <w:rsid w:val="00B639CA"/>
    <w:rsid w:val="00BA27D7"/>
    <w:rsid w:val="00BB5AC1"/>
    <w:rsid w:val="00BD65CA"/>
    <w:rsid w:val="00BE1CF0"/>
    <w:rsid w:val="00BE340E"/>
    <w:rsid w:val="00C308C1"/>
    <w:rsid w:val="00C423B3"/>
    <w:rsid w:val="00CA7551"/>
    <w:rsid w:val="00CB10C0"/>
    <w:rsid w:val="00D242A8"/>
    <w:rsid w:val="00D54848"/>
    <w:rsid w:val="00D613B7"/>
    <w:rsid w:val="00DA0FB2"/>
    <w:rsid w:val="00DE6324"/>
    <w:rsid w:val="00E123B3"/>
    <w:rsid w:val="00E2112C"/>
    <w:rsid w:val="00E31542"/>
    <w:rsid w:val="00E7107B"/>
    <w:rsid w:val="00E769FD"/>
    <w:rsid w:val="00E84878"/>
    <w:rsid w:val="00EB4EFE"/>
    <w:rsid w:val="00F04893"/>
    <w:rsid w:val="00F06C62"/>
    <w:rsid w:val="00F11146"/>
    <w:rsid w:val="00F31604"/>
    <w:rsid w:val="00FE439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AF0CE"/>
  <w15:chartTrackingRefBased/>
  <w15:docId w15:val="{6EEDAAD8-0D31-4B9D-8A99-3AF21C607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F95"/>
    <w:rPr>
      <w:kern w:val="0"/>
      <w14:ligatures w14:val="none"/>
    </w:rPr>
  </w:style>
  <w:style w:type="paragraph" w:styleId="Ttulo1">
    <w:name w:val="heading 1"/>
    <w:basedOn w:val="Normal"/>
    <w:next w:val="Normal"/>
    <w:link w:val="Ttulo1Car"/>
    <w:uiPriority w:val="9"/>
    <w:qFormat/>
    <w:rsid w:val="003D3B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D3B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D3B2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D3B2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D3B2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D3B2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D3B2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D3B2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D3B2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3B2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D3B2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D3B2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D3B2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D3B2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D3B2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D3B2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D3B2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D3B2A"/>
    <w:rPr>
      <w:rFonts w:eastAsiaTheme="majorEastAsia" w:cstheme="majorBidi"/>
      <w:color w:val="272727" w:themeColor="text1" w:themeTint="D8"/>
    </w:rPr>
  </w:style>
  <w:style w:type="paragraph" w:styleId="Ttulo">
    <w:name w:val="Title"/>
    <w:basedOn w:val="Normal"/>
    <w:next w:val="Normal"/>
    <w:link w:val="TtuloCar"/>
    <w:uiPriority w:val="10"/>
    <w:qFormat/>
    <w:rsid w:val="003D3B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D3B2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D3B2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D3B2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D3B2A"/>
    <w:pPr>
      <w:spacing w:before="160"/>
      <w:jc w:val="center"/>
    </w:pPr>
    <w:rPr>
      <w:i/>
      <w:iCs/>
      <w:color w:val="404040" w:themeColor="text1" w:themeTint="BF"/>
    </w:rPr>
  </w:style>
  <w:style w:type="character" w:customStyle="1" w:styleId="CitaCar">
    <w:name w:val="Cita Car"/>
    <w:basedOn w:val="Fuentedeprrafopredeter"/>
    <w:link w:val="Cita"/>
    <w:uiPriority w:val="29"/>
    <w:rsid w:val="003D3B2A"/>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3D3B2A"/>
    <w:pPr>
      <w:ind w:left="720"/>
      <w:contextualSpacing/>
    </w:pPr>
  </w:style>
  <w:style w:type="character" w:styleId="nfasisintenso">
    <w:name w:val="Intense Emphasis"/>
    <w:basedOn w:val="Fuentedeprrafopredeter"/>
    <w:uiPriority w:val="21"/>
    <w:qFormat/>
    <w:rsid w:val="003D3B2A"/>
    <w:rPr>
      <w:i/>
      <w:iCs/>
      <w:color w:val="0F4761" w:themeColor="accent1" w:themeShade="BF"/>
    </w:rPr>
  </w:style>
  <w:style w:type="paragraph" w:styleId="Citadestacada">
    <w:name w:val="Intense Quote"/>
    <w:basedOn w:val="Normal"/>
    <w:next w:val="Normal"/>
    <w:link w:val="CitadestacadaCar"/>
    <w:uiPriority w:val="30"/>
    <w:qFormat/>
    <w:rsid w:val="003D3B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D3B2A"/>
    <w:rPr>
      <w:i/>
      <w:iCs/>
      <w:color w:val="0F4761" w:themeColor="accent1" w:themeShade="BF"/>
    </w:rPr>
  </w:style>
  <w:style w:type="character" w:styleId="Referenciaintensa">
    <w:name w:val="Intense Reference"/>
    <w:basedOn w:val="Fuentedeprrafopredeter"/>
    <w:uiPriority w:val="32"/>
    <w:qFormat/>
    <w:rsid w:val="003D3B2A"/>
    <w:rPr>
      <w:b/>
      <w:bCs/>
      <w:smallCaps/>
      <w:color w:val="0F4761" w:themeColor="accent1" w:themeShade="BF"/>
      <w:spacing w:val="5"/>
    </w:rPr>
  </w:style>
  <w:style w:type="paragraph" w:styleId="Encabezado">
    <w:name w:val="header"/>
    <w:basedOn w:val="Normal"/>
    <w:link w:val="EncabezadoCar"/>
    <w:uiPriority w:val="99"/>
    <w:unhideWhenUsed/>
    <w:rsid w:val="003D3B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D3B2A"/>
    <w:rPr>
      <w:kern w:val="0"/>
      <w14:ligatures w14:val="none"/>
    </w:rPr>
  </w:style>
  <w:style w:type="paragraph" w:styleId="Piedepgina">
    <w:name w:val="footer"/>
    <w:basedOn w:val="Normal"/>
    <w:link w:val="PiedepginaCar"/>
    <w:uiPriority w:val="99"/>
    <w:unhideWhenUsed/>
    <w:rsid w:val="003D3B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3B2A"/>
    <w:rPr>
      <w:kern w:val="0"/>
      <w14:ligatures w14:val="none"/>
    </w:rPr>
  </w:style>
  <w:style w:type="table" w:styleId="Tablaconcuadrcula">
    <w:name w:val="Table Grid"/>
    <w:basedOn w:val="Tablanormal"/>
    <w:uiPriority w:val="39"/>
    <w:qFormat/>
    <w:rsid w:val="003D3B2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D3B2A"/>
    <w:rPr>
      <w:color w:val="467886" w:themeColor="hyperlink"/>
      <w:u w:val="single"/>
    </w:rPr>
  </w:style>
  <w:style w:type="character" w:customStyle="1" w:styleId="normaltextrun">
    <w:name w:val="normaltextrun"/>
    <w:basedOn w:val="Fuentedeprrafopredeter"/>
    <w:rsid w:val="003D3B2A"/>
  </w:style>
  <w:style w:type="character" w:customStyle="1" w:styleId="eop">
    <w:name w:val="eop"/>
    <w:basedOn w:val="Fuentedeprrafopredeter"/>
    <w:rsid w:val="003D3B2A"/>
  </w:style>
  <w:style w:type="paragraph" w:customStyle="1" w:styleId="paragraph">
    <w:name w:val="paragraph"/>
    <w:basedOn w:val="Normal"/>
    <w:rsid w:val="003D3B2A"/>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D3B2A"/>
  </w:style>
  <w:style w:type="paragraph" w:styleId="NormalWeb">
    <w:name w:val="Normal (Web)"/>
    <w:basedOn w:val="Normal"/>
    <w:link w:val="NormalWebCar"/>
    <w:uiPriority w:val="99"/>
    <w:unhideWhenUsed/>
    <w:rsid w:val="003D3B2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3D3B2A"/>
    <w:rPr>
      <w:rFonts w:ascii="Times New Roman" w:eastAsia="Times New Roman" w:hAnsi="Times New Roman" w:cs="Times New Roman"/>
      <w:kern w:val="0"/>
      <w:sz w:val="24"/>
      <w:szCs w:val="24"/>
      <w:lang w:eastAsia="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71CE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71CE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71CE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71CEC"/>
    <w:rPr>
      <w:vertAlign w:val="superscript"/>
    </w:rPr>
  </w:style>
  <w:style w:type="paragraph" w:customStyle="1" w:styleId="Appelnotedebasde">
    <w:name w:val="Appel note de bas de..."/>
    <w:basedOn w:val="Normal"/>
    <w:link w:val="Refdenotaalpie"/>
    <w:uiPriority w:val="99"/>
    <w:rsid w:val="00071CEC"/>
    <w:pPr>
      <w:spacing w:line="240" w:lineRule="exact"/>
    </w:pPr>
    <w:rPr>
      <w:kern w:val="2"/>
      <w:vertAlign w:val="superscript"/>
      <w14:ligatures w14:val="standardContextual"/>
    </w:rPr>
  </w:style>
  <w:style w:type="character" w:styleId="Mencinsinresolver">
    <w:name w:val="Unresolved Mention"/>
    <w:basedOn w:val="Fuentedeprrafopredeter"/>
    <w:uiPriority w:val="99"/>
    <w:semiHidden/>
    <w:unhideWhenUsed/>
    <w:rsid w:val="00BE340E"/>
    <w:rPr>
      <w:color w:val="605E5C"/>
      <w:shd w:val="clear" w:color="auto" w:fill="E1DFDD"/>
    </w:rPr>
  </w:style>
  <w:style w:type="character" w:customStyle="1" w:styleId="baj">
    <w:name w:val="b_aj"/>
    <w:basedOn w:val="Fuentedeprrafopredeter"/>
    <w:rsid w:val="00035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ans.sanabria@gobiernobogota.gov.co"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200CC34-12FF-43FA-9E71-A494EF61090E}"/>
</file>

<file path=customXml/itemProps2.xml><?xml version="1.0" encoding="utf-8"?>
<ds:datastoreItem xmlns:ds="http://schemas.openxmlformats.org/officeDocument/2006/customXml" ds:itemID="{F1BE960F-5FFF-453A-822A-18037FC54DCE}"/>
</file>

<file path=customXml/itemProps3.xml><?xml version="1.0" encoding="utf-8"?>
<ds:datastoreItem xmlns:ds="http://schemas.openxmlformats.org/officeDocument/2006/customXml" ds:itemID="{5E831621-48ED-4ABB-BAE1-DEF5CEB9F2E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490</TotalTime>
  <Pages>34</Pages>
  <Words>11437</Words>
  <Characters>61537</Characters>
  <Application>Microsoft Office Word</Application>
  <DocSecurity>0</DocSecurity>
  <Lines>1161</Lines>
  <Paragraphs>209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79</cp:revision>
  <dcterms:created xsi:type="dcterms:W3CDTF">2026-03-31T19:44:00Z</dcterms:created>
  <dcterms:modified xsi:type="dcterms:W3CDTF">2026-04-16T19:14:00Z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