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6DDB3" w14:textId="77777777" w:rsidR="00D9340F" w:rsidRPr="009750C5" w:rsidRDefault="00D9340F" w:rsidP="00D9340F">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DEL CONTRATO ESTATAL – Nulidad Absoluta – Nulidad Relativa </w:t>
      </w:r>
    </w:p>
    <w:p w14:paraId="6183F27E" w14:textId="77777777" w:rsidR="00D9340F" w:rsidRDefault="00D9340F" w:rsidP="00D9340F">
      <w:pPr>
        <w:spacing w:after="0" w:line="240" w:lineRule="auto"/>
        <w:jc w:val="both"/>
        <w:rPr>
          <w:rFonts w:ascii="Verdana" w:hAnsi="Verdana" w:cs="Arial"/>
          <w:b/>
          <w:lang w:val="es-ES" w:eastAsia="es-ES"/>
        </w:rPr>
      </w:pPr>
    </w:p>
    <w:p w14:paraId="1DFABD24" w14:textId="77777777" w:rsidR="00D9340F" w:rsidRPr="009750C5" w:rsidRDefault="00D9340F" w:rsidP="00D9340F">
      <w:pPr>
        <w:spacing w:after="0" w:line="240" w:lineRule="auto"/>
        <w:jc w:val="both"/>
        <w:rPr>
          <w:rFonts w:ascii="Verdana" w:hAnsi="Verdana" w:cs="Arial"/>
          <w:sz w:val="20"/>
          <w:szCs w:val="20"/>
          <w:lang w:val="es-ES" w:eastAsia="es-ES"/>
        </w:rPr>
      </w:pPr>
      <w:r w:rsidRPr="009750C5">
        <w:rPr>
          <w:rFonts w:ascii="Verdana" w:hAnsi="Verdana" w:cs="Arial"/>
          <w:sz w:val="20"/>
          <w:szCs w:val="20"/>
          <w:lang w:eastAsia="es-ES"/>
        </w:rPr>
        <w:t>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ii) se celebre contra expresa prohibición constitucional o legal, iii) se celebre con abuso o desviación de poder, iv) se declaren nulos los actos administrativos en que se fundamenten, v) se hubieren celebrado con desconocimiento de los criterios previstos para el tratamiento de ofertas nacionales y extranjeras o con violación de la reciprocidad</w:t>
      </w:r>
      <w:r w:rsidRPr="009750C5">
        <w:rPr>
          <w:rFonts w:ascii="Verdana" w:hAnsi="Verdana" w:cs="Arial"/>
          <w:sz w:val="20"/>
          <w:szCs w:val="20"/>
          <w:lang w:val="es-ES" w:eastAsia="es-ES"/>
        </w:rPr>
        <w:t>.</w:t>
      </w:r>
    </w:p>
    <w:p w14:paraId="3736E119" w14:textId="77777777" w:rsidR="00D9340F" w:rsidRPr="009750C5" w:rsidRDefault="00D9340F" w:rsidP="00D9340F">
      <w:pPr>
        <w:spacing w:after="0" w:line="240" w:lineRule="auto"/>
        <w:jc w:val="both"/>
        <w:rPr>
          <w:rFonts w:ascii="Verdana" w:hAnsi="Verdana" w:cs="Arial"/>
          <w:sz w:val="20"/>
          <w:szCs w:val="20"/>
          <w:lang w:val="es-ES_tradnl" w:eastAsia="es-ES"/>
        </w:rPr>
      </w:pPr>
    </w:p>
    <w:p w14:paraId="4F665FD0" w14:textId="77777777" w:rsidR="00D9340F" w:rsidRPr="009750C5" w:rsidRDefault="00D9340F" w:rsidP="00D9340F">
      <w:pPr>
        <w:spacing w:after="0" w:line="240" w:lineRule="auto"/>
        <w:jc w:val="both"/>
        <w:rPr>
          <w:rFonts w:ascii="Verdana" w:hAnsi="Verdana" w:cs="Arial"/>
          <w:bCs/>
          <w:sz w:val="20"/>
          <w:szCs w:val="20"/>
          <w:lang w:eastAsia="es-ES"/>
        </w:rPr>
      </w:pPr>
      <w:r w:rsidRPr="009750C5">
        <w:rPr>
          <w:rFonts w:ascii="Verdana" w:hAnsi="Verdana" w:cs="Arial"/>
          <w:bCs/>
          <w:sz w:val="20"/>
          <w:szCs w:val="20"/>
          <w:lang w:eastAsia="es-ES"/>
        </w:rPr>
        <w:t>En lo referente a la nulidad relativa, tanto la Ley 80 de 1993</w:t>
      </w:r>
      <w:r w:rsidRPr="009750C5">
        <w:rPr>
          <w:rFonts w:ascii="Verdana" w:hAnsi="Verdana" w:cs="Arial"/>
          <w:sz w:val="20"/>
          <w:szCs w:val="20"/>
          <w:vertAlign w:val="superscript"/>
          <w:lang w:val="es-ES" w:eastAsia="es-ES"/>
        </w:rPr>
        <w:t xml:space="preserve"> </w:t>
      </w:r>
      <w:r w:rsidRPr="009750C5">
        <w:rPr>
          <w:rFonts w:ascii="Verdana" w:hAnsi="Verdana" w:cs="Arial"/>
          <w:bCs/>
          <w:sz w:val="20"/>
          <w:szCs w:val="20"/>
          <w:lang w:eastAsia="es-ES"/>
        </w:rPr>
        <w:t>como el Código Civil</w:t>
      </w:r>
      <w:r w:rsidRPr="009750C5">
        <w:rPr>
          <w:rFonts w:ascii="Verdana" w:hAnsi="Verdana" w:cs="Arial"/>
          <w:sz w:val="20"/>
          <w:szCs w:val="20"/>
          <w:lang w:val="es-ES" w:eastAsia="es-ES"/>
        </w:rPr>
        <w:t xml:space="preserve"> </w:t>
      </w:r>
      <w:r w:rsidRPr="009750C5">
        <w:rPr>
          <w:rFonts w:ascii="Verdana" w:hAnsi="Verdana" w:cs="Arial"/>
          <w:bCs/>
          <w:sz w:val="20"/>
          <w:szCs w:val="20"/>
          <w:lang w:eastAsia="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25767F56" w14:textId="77777777" w:rsidR="00D9340F" w:rsidRPr="009750C5" w:rsidRDefault="00D9340F" w:rsidP="00D9340F">
      <w:pPr>
        <w:spacing w:after="0" w:line="240" w:lineRule="auto"/>
        <w:jc w:val="both"/>
        <w:rPr>
          <w:rFonts w:ascii="Verdana" w:hAnsi="Verdana" w:cs="Arial"/>
          <w:b/>
          <w:lang w:eastAsia="es-ES"/>
        </w:rPr>
      </w:pPr>
    </w:p>
    <w:p w14:paraId="4DFFD8BD" w14:textId="3E7156C8" w:rsidR="00D9340F" w:rsidRPr="009750C5" w:rsidRDefault="00D9340F" w:rsidP="00D9340F">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ABSOLUTA – </w:t>
      </w:r>
      <w:r w:rsidR="00DC347A">
        <w:rPr>
          <w:rFonts w:ascii="Verdana" w:hAnsi="Verdana" w:cs="Arial"/>
          <w:b/>
          <w:lang w:val="es-ES" w:eastAsia="es-ES"/>
        </w:rPr>
        <w:t>Declaratoria judicial</w:t>
      </w:r>
      <w:r w:rsidRPr="009750C5">
        <w:rPr>
          <w:rFonts w:ascii="Verdana" w:hAnsi="Verdana" w:cs="Arial"/>
          <w:b/>
          <w:lang w:val="es-ES" w:eastAsia="es-ES"/>
        </w:rPr>
        <w:t xml:space="preserve"> </w:t>
      </w:r>
    </w:p>
    <w:p w14:paraId="6B2AA3F9" w14:textId="77777777" w:rsidR="00D9340F" w:rsidRDefault="00D9340F" w:rsidP="00D9340F">
      <w:pPr>
        <w:spacing w:after="0" w:line="240" w:lineRule="auto"/>
        <w:jc w:val="both"/>
        <w:rPr>
          <w:rFonts w:ascii="Verdana" w:hAnsi="Verdana" w:cs="Arial"/>
          <w:b/>
          <w:lang w:val="es-ES" w:eastAsia="es-ES"/>
        </w:rPr>
      </w:pPr>
    </w:p>
    <w:p w14:paraId="5DE17513" w14:textId="1A21AF3A" w:rsidR="00D9340F" w:rsidRPr="009750C5" w:rsidRDefault="00D9340F" w:rsidP="00D9340F">
      <w:pPr>
        <w:spacing w:after="0" w:line="240" w:lineRule="auto"/>
        <w:jc w:val="both"/>
        <w:rPr>
          <w:rFonts w:ascii="Verdana" w:hAnsi="Verdana" w:cs="Arial"/>
          <w:sz w:val="20"/>
          <w:lang w:eastAsia="es-ES"/>
        </w:rPr>
      </w:pPr>
    </w:p>
    <w:p w14:paraId="113A0466" w14:textId="28C1D642" w:rsidR="00134D45" w:rsidRDefault="00654612" w:rsidP="00654612">
      <w:pPr>
        <w:spacing w:after="0" w:line="240" w:lineRule="auto"/>
        <w:jc w:val="both"/>
        <w:rPr>
          <w:rFonts w:ascii="Verdana" w:hAnsi="Verdana"/>
          <w:sz w:val="20"/>
          <w:szCs w:val="20"/>
        </w:rPr>
      </w:pPr>
      <w:r>
        <w:rPr>
          <w:rFonts w:ascii="Verdana" w:hAnsi="Verdana" w:cs="Arial"/>
          <w:sz w:val="20"/>
          <w:lang w:eastAsia="es-ES"/>
        </w:rPr>
        <w:t>De</w:t>
      </w:r>
      <w:r w:rsidRPr="00654612">
        <w:rPr>
          <w:rFonts w:ascii="Verdana" w:hAnsi="Verdana" w:cs="Arial"/>
          <w:sz w:val="20"/>
          <w:lang w:eastAsia="es-ES"/>
        </w:rPr>
        <w:t xml:space="preserve"> conformidad con lo previsto en el artículo 45 de la Ley 80 de 1993, la nulidad absoluta de los contratos estatales constituye una sanción de orden público que puede ser declarada en cualquier tiempo por la jurisdicción competente, sin que exista posibilidad de convalidación o saneamiento por la voluntad de las partes. Ello obedece a que las causales que la configuran comprometen principios esenciales de la contratación estatal, como la legalidad, la transparencia y la selección objetiva, razón por la cual sus efectos son insubsanables y están orientados a preservar el interés general y la integridad del orden jurídico</w:t>
      </w:r>
    </w:p>
    <w:p w14:paraId="75D584D0" w14:textId="77777777" w:rsidR="00134D45" w:rsidRDefault="00134D45" w:rsidP="003E4C15">
      <w:pPr>
        <w:spacing w:after="0" w:line="240" w:lineRule="auto"/>
        <w:rPr>
          <w:rFonts w:ascii="Verdana" w:hAnsi="Verdana"/>
          <w:sz w:val="20"/>
          <w:szCs w:val="20"/>
        </w:rPr>
      </w:pPr>
    </w:p>
    <w:p w14:paraId="2AD5FDC8" w14:textId="67EE27FB" w:rsidR="00134D45" w:rsidRDefault="00654612" w:rsidP="003E4C15">
      <w:pPr>
        <w:spacing w:after="0" w:line="240" w:lineRule="auto"/>
        <w:rPr>
          <w:rFonts w:ascii="Verdana" w:hAnsi="Verdana"/>
          <w:sz w:val="20"/>
          <w:szCs w:val="20"/>
        </w:rPr>
      </w:pPr>
      <w:r w:rsidRPr="009750C5">
        <w:rPr>
          <w:rFonts w:ascii="Verdana" w:hAnsi="Verdana" w:cs="Arial"/>
          <w:b/>
          <w:lang w:val="es-ES" w:eastAsia="es-ES"/>
        </w:rPr>
        <w:t>NULIDAD ABSOLUTA</w:t>
      </w:r>
      <w:r>
        <w:rPr>
          <w:rFonts w:ascii="Verdana" w:hAnsi="Verdana" w:cs="Arial"/>
          <w:b/>
          <w:lang w:val="es-ES" w:eastAsia="es-ES"/>
        </w:rPr>
        <w:t xml:space="preserve"> - </w:t>
      </w:r>
      <w:r w:rsidRPr="00654612">
        <w:rPr>
          <w:rFonts w:ascii="Verdana" w:hAnsi="Verdana"/>
          <w:b/>
          <w:bCs/>
        </w:rPr>
        <w:t>Reconocimientos económicos</w:t>
      </w:r>
    </w:p>
    <w:p w14:paraId="31D294E9" w14:textId="77777777" w:rsidR="00134D45" w:rsidRDefault="00134D45" w:rsidP="003E4C15">
      <w:pPr>
        <w:spacing w:after="0" w:line="240" w:lineRule="auto"/>
        <w:rPr>
          <w:rFonts w:ascii="Verdana" w:hAnsi="Verdana"/>
          <w:sz w:val="20"/>
          <w:szCs w:val="20"/>
        </w:rPr>
      </w:pPr>
    </w:p>
    <w:p w14:paraId="11FE27D0" w14:textId="63E233A1" w:rsidR="00134D45" w:rsidRDefault="00654612" w:rsidP="00654612">
      <w:pPr>
        <w:spacing w:after="0" w:line="240" w:lineRule="auto"/>
        <w:jc w:val="both"/>
        <w:rPr>
          <w:rFonts w:ascii="Verdana" w:hAnsi="Verdana"/>
          <w:sz w:val="20"/>
          <w:szCs w:val="20"/>
        </w:rPr>
      </w:pPr>
      <w:r w:rsidRPr="00654612">
        <w:rPr>
          <w:rFonts w:ascii="Verdana" w:hAnsi="Verdana"/>
          <w:sz w:val="20"/>
          <w:szCs w:val="20"/>
        </w:rPr>
        <w:t>En relación con los reconocimientos económicos derivados de la ejecución contractual, debe señalarse que, conforme a lo dispuesto en el artículo 48 de la Ley 80 de 1993, aun cuando el contrato haya sido declarado nulo, es procedente el reconocimiento y pago de las prestaciones efectivamente ejecutadas por el contratista, siempre que estas hayan generado un beneficio para la entidad estatal. Esta previsión responde a un criterio de equidad y evita el enriquecimiento sin causa por parte de la administración, en la medida en que permite compensar al particular por las prestaciones útiles realizadas, sin que ello implique la convalidación del contrato ni la subsanación de la nulidad que lo afecta.</w:t>
      </w:r>
    </w:p>
    <w:p w14:paraId="5872FEAF" w14:textId="77777777" w:rsidR="00134D45" w:rsidRDefault="00134D45" w:rsidP="003E4C15">
      <w:pPr>
        <w:spacing w:after="0" w:line="240" w:lineRule="auto"/>
        <w:rPr>
          <w:rFonts w:ascii="Verdana" w:hAnsi="Verdana"/>
          <w:sz w:val="20"/>
          <w:szCs w:val="20"/>
        </w:rPr>
      </w:pPr>
    </w:p>
    <w:p w14:paraId="2179ABF4" w14:textId="77777777" w:rsidR="00134D45" w:rsidRDefault="00134D45" w:rsidP="003E4C15">
      <w:pPr>
        <w:spacing w:after="0" w:line="240" w:lineRule="auto"/>
        <w:rPr>
          <w:rFonts w:ascii="Verdana" w:hAnsi="Verdana"/>
          <w:sz w:val="20"/>
          <w:szCs w:val="20"/>
        </w:rPr>
      </w:pPr>
    </w:p>
    <w:p w14:paraId="00EB9880" w14:textId="77777777" w:rsidR="00134D45" w:rsidRDefault="00134D45" w:rsidP="003E4C15">
      <w:pPr>
        <w:spacing w:after="0" w:line="240" w:lineRule="auto"/>
        <w:rPr>
          <w:rFonts w:ascii="Verdana" w:hAnsi="Verdana"/>
          <w:sz w:val="20"/>
          <w:szCs w:val="20"/>
        </w:rPr>
      </w:pPr>
    </w:p>
    <w:p w14:paraId="40B8A4FF" w14:textId="77777777" w:rsidR="00134D45" w:rsidRDefault="00134D45" w:rsidP="003E4C15">
      <w:pPr>
        <w:spacing w:after="0" w:line="240" w:lineRule="auto"/>
        <w:rPr>
          <w:rFonts w:ascii="Verdana" w:hAnsi="Verdana"/>
          <w:sz w:val="20"/>
          <w:szCs w:val="20"/>
        </w:rPr>
      </w:pPr>
    </w:p>
    <w:p w14:paraId="49508F0D" w14:textId="22A118EE" w:rsidR="005B261C" w:rsidRDefault="00C562D4" w:rsidP="00E6227E">
      <w:pPr>
        <w:spacing w:after="0" w:line="240" w:lineRule="auto"/>
        <w:rPr>
          <w:rFonts w:ascii="Verdana" w:eastAsia="Calibri" w:hAnsi="Verdana" w:cs="Arial"/>
          <w:color w:val="000000" w:themeColor="text1"/>
        </w:rPr>
      </w:pPr>
      <w:r w:rsidRPr="00C562D4">
        <w:rPr>
          <w:rFonts w:ascii="Verdana" w:eastAsia="Calibri" w:hAnsi="Verdana" w:cs="Arial"/>
          <w:color w:val="000000" w:themeColor="text1"/>
        </w:rPr>
        <w:lastRenderedPageBreak/>
        <w:t xml:space="preserve">Bogotá D.C., </w:t>
      </w:r>
      <w:r w:rsidR="00654612">
        <w:rPr>
          <w:rFonts w:ascii="Verdana" w:eastAsia="Calibri" w:hAnsi="Verdana" w:cs="Arial"/>
          <w:color w:val="000000" w:themeColor="text1"/>
        </w:rPr>
        <w:t>2</w:t>
      </w:r>
      <w:r w:rsidR="00E77CB8">
        <w:rPr>
          <w:rFonts w:ascii="Verdana" w:eastAsia="Calibri" w:hAnsi="Verdana" w:cs="Arial"/>
          <w:color w:val="000000" w:themeColor="text1"/>
        </w:rPr>
        <w:t>4</w:t>
      </w:r>
      <w:r w:rsidR="00791489">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DB16FD">
        <w:rPr>
          <w:rFonts w:ascii="Verdana" w:eastAsia="Calibri" w:hAnsi="Verdana" w:cs="Arial"/>
          <w:color w:val="000000" w:themeColor="text1"/>
        </w:rPr>
        <w:t>abril</w:t>
      </w:r>
      <w:r w:rsidR="00D669A6">
        <w:rPr>
          <w:rFonts w:ascii="Verdana" w:eastAsia="Calibri" w:hAnsi="Verdana" w:cs="Arial"/>
          <w:color w:val="000000" w:themeColor="text1"/>
        </w:rPr>
        <w:t xml:space="preserve"> </w:t>
      </w:r>
      <w:r w:rsidRPr="00C562D4">
        <w:rPr>
          <w:rFonts w:ascii="Verdana" w:eastAsia="Calibri" w:hAnsi="Verdana" w:cs="Arial"/>
          <w:color w:val="000000" w:themeColor="text1"/>
        </w:rPr>
        <w:t>de 20</w:t>
      </w:r>
      <w:r w:rsidR="00CB73C5">
        <w:rPr>
          <w:rFonts w:ascii="Verdana" w:eastAsia="Calibri" w:hAnsi="Verdana" w:cs="Arial"/>
          <w:color w:val="000000" w:themeColor="text1"/>
        </w:rPr>
        <w:t>2</w:t>
      </w:r>
      <w:r w:rsidR="00074755">
        <w:rPr>
          <w:rFonts w:ascii="Verdana" w:eastAsia="Calibri" w:hAnsi="Verdana" w:cs="Arial"/>
          <w:color w:val="000000" w:themeColor="text1"/>
        </w:rPr>
        <w:t>6</w:t>
      </w:r>
      <w:r w:rsidR="00811C72">
        <w:rPr>
          <w:rFonts w:ascii="Verdana" w:eastAsia="Calibri" w:hAnsi="Verdana" w:cs="Arial"/>
          <w:color w:val="000000" w:themeColor="text1"/>
        </w:rPr>
        <w:t>.</w:t>
      </w:r>
    </w:p>
    <w:p w14:paraId="344DE11F" w14:textId="77777777" w:rsidR="00811C72" w:rsidRDefault="00811C72" w:rsidP="00E6227E">
      <w:pPr>
        <w:spacing w:after="0" w:line="240" w:lineRule="auto"/>
        <w:rPr>
          <w:rFonts w:ascii="Verdana" w:eastAsia="Calibri" w:hAnsi="Verdana" w:cs="Arial"/>
          <w:color w:val="000000" w:themeColor="text1"/>
        </w:rPr>
      </w:pPr>
    </w:p>
    <w:p w14:paraId="7965D928" w14:textId="3D19AA05" w:rsidR="00811C72" w:rsidRPr="00E31648" w:rsidRDefault="00811C72" w:rsidP="00811C72">
      <w:pPr>
        <w:spacing w:after="0" w:line="240" w:lineRule="auto"/>
        <w:jc w:val="right"/>
      </w:pPr>
      <w:r>
        <w:rPr>
          <w:noProof/>
        </w:rPr>
        <w:drawing>
          <wp:inline distT="0" distB="0" distL="0" distR="0" wp14:anchorId="55BFC615" wp14:editId="6823B668">
            <wp:extent cx="2238375" cy="666750"/>
            <wp:effectExtent l="0" t="0" r="9525" b="0"/>
            <wp:docPr id="14439511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38375" cy="666750"/>
                    </a:xfrm>
                    <a:prstGeom prst="rect">
                      <a:avLst/>
                    </a:prstGeom>
                    <a:noFill/>
                    <a:ln>
                      <a:noFill/>
                    </a:ln>
                  </pic:spPr>
                </pic:pic>
              </a:graphicData>
            </a:graphic>
          </wp:inline>
        </w:drawing>
      </w:r>
    </w:p>
    <w:p w14:paraId="328CC329" w14:textId="65155339" w:rsidR="005B261C" w:rsidRDefault="005B261C" w:rsidP="005B261C">
      <w:pPr>
        <w:spacing w:after="0" w:line="240" w:lineRule="auto"/>
        <w:jc w:val="both"/>
        <w:rPr>
          <w:rFonts w:ascii="Verdana" w:eastAsia="Calibri" w:hAnsi="Verdana" w:cs="Arial"/>
          <w:color w:val="000000" w:themeColor="text1"/>
          <w:lang w:val="es-ES"/>
        </w:rPr>
      </w:pPr>
    </w:p>
    <w:p w14:paraId="59681FB0" w14:textId="4DBA7E1E" w:rsidR="005B261C" w:rsidRPr="00115E3D" w:rsidRDefault="005B261C" w:rsidP="005B261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58DFBA61" w14:textId="77777777" w:rsidR="00994BF0" w:rsidRDefault="00994BF0" w:rsidP="00074755">
      <w:pPr>
        <w:spacing w:after="0" w:line="240" w:lineRule="auto"/>
      </w:pPr>
      <w:r w:rsidRPr="00994BF0">
        <w:rPr>
          <w:rFonts w:ascii="Verdana" w:eastAsia="Calibri" w:hAnsi="Verdana" w:cs="Arial"/>
          <w:b/>
          <w:bCs/>
          <w:color w:val="000000" w:themeColor="text1"/>
          <w:lang w:eastAsia="es-ES"/>
        </w:rPr>
        <w:t xml:space="preserve">Edgar Fernando Manrique Rojas </w:t>
      </w:r>
    </w:p>
    <w:p w14:paraId="5A55DB88" w14:textId="5055B2EB" w:rsidR="001B36DA" w:rsidRPr="0087638A" w:rsidRDefault="00994BF0" w:rsidP="00074755">
      <w:pPr>
        <w:spacing w:after="0" w:line="240" w:lineRule="auto"/>
        <w:rPr>
          <w:rFonts w:ascii="Verdana" w:eastAsia="Calibri" w:hAnsi="Verdana" w:cs="Arial"/>
          <w:color w:val="000000" w:themeColor="text1"/>
          <w:lang w:eastAsia="es-ES"/>
        </w:rPr>
      </w:pPr>
      <w:hyperlink r:id="rId12" w:history="1">
        <w:r w:rsidRPr="002F62F3">
          <w:rPr>
            <w:rStyle w:val="Hipervnculo"/>
            <w:rFonts w:ascii="Verdana" w:hAnsi="Verdana"/>
          </w:rPr>
          <w:t>edgarfernandomanrique3@gmail.com</w:t>
        </w:r>
      </w:hyperlink>
      <w:r>
        <w:rPr>
          <w:rFonts w:ascii="Verdana" w:hAnsi="Verdana"/>
        </w:rPr>
        <w:t xml:space="preserve"> </w:t>
      </w:r>
    </w:p>
    <w:p w14:paraId="56EB3FC7" w14:textId="697C5F7C" w:rsidR="00E94542" w:rsidRPr="00385D7A" w:rsidRDefault="00970C7D" w:rsidP="00074755">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32A6B1DA" w:rsidR="005B261C" w:rsidRPr="008A209A" w:rsidRDefault="005B261C" w:rsidP="006F1A38">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sidR="000036CD">
              <w:rPr>
                <w:rFonts w:ascii="Verdana" w:eastAsia="Calibri" w:hAnsi="Verdana" w:cs="Arial"/>
                <w:b/>
                <w:bCs/>
                <w:color w:val="000000" w:themeColor="text1"/>
                <w:lang w:val="es-ES" w:eastAsia="es-ES"/>
              </w:rPr>
              <w:t>3</w:t>
            </w:r>
            <w:r w:rsidR="00994BF0">
              <w:rPr>
                <w:rFonts w:ascii="Verdana" w:eastAsia="Calibri" w:hAnsi="Verdana" w:cs="Arial"/>
                <w:b/>
                <w:bCs/>
                <w:color w:val="000000" w:themeColor="text1"/>
                <w:lang w:val="es-ES" w:eastAsia="es-ES"/>
              </w:rPr>
              <w:t>94</w:t>
            </w:r>
            <w:r w:rsidR="008547CB" w:rsidRPr="008A209A">
              <w:rPr>
                <w:rFonts w:ascii="Verdana" w:eastAsia="Calibri" w:hAnsi="Verdana" w:cs="Arial"/>
                <w:b/>
                <w:bCs/>
                <w:color w:val="000000" w:themeColor="text1"/>
                <w:lang w:val="es-ES" w:eastAsia="es-ES"/>
              </w:rPr>
              <w:t xml:space="preserve"> </w:t>
            </w:r>
            <w:r w:rsidRPr="008A209A">
              <w:rPr>
                <w:rFonts w:ascii="Verdana" w:eastAsia="Calibri" w:hAnsi="Verdana" w:cs="Arial"/>
                <w:b/>
                <w:bCs/>
                <w:color w:val="000000" w:themeColor="text1"/>
                <w:lang w:val="es-ES" w:eastAsia="es-ES"/>
              </w:rPr>
              <w:t>de 202</w:t>
            </w:r>
            <w:r w:rsidR="00EC7930" w:rsidRPr="008A209A">
              <w:rPr>
                <w:rFonts w:ascii="Verdana" w:eastAsia="Calibri" w:hAnsi="Verdana" w:cs="Arial"/>
                <w:b/>
                <w:bCs/>
                <w:color w:val="000000" w:themeColor="text1"/>
                <w:lang w:val="es-ES" w:eastAsia="es-ES"/>
              </w:rPr>
              <w:t>6</w:t>
            </w:r>
          </w:p>
        </w:tc>
      </w:tr>
      <w:tr w:rsidR="005B261C" w:rsidRPr="007E403E" w14:paraId="5710482D" w14:textId="77777777" w:rsidTr="00B14DA5">
        <w:trPr>
          <w:trHeight w:val="1071"/>
        </w:trPr>
        <w:tc>
          <w:tcPr>
            <w:tcW w:w="2270" w:type="dxa"/>
          </w:tcPr>
          <w:p w14:paraId="0088F836" w14:textId="77777777" w:rsidR="005B261C" w:rsidRPr="001B36DA" w:rsidRDefault="005B261C" w:rsidP="006F1A38">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73F449BF" w14:textId="4B8E2956" w:rsidR="00654612" w:rsidRPr="00654612" w:rsidRDefault="00654612" w:rsidP="00654612">
            <w:pPr>
              <w:jc w:val="both"/>
              <w:rPr>
                <w:rFonts w:ascii="Verdana" w:hAnsi="Verdana" w:cs="Arial"/>
                <w:bCs/>
                <w:lang w:val="es-ES" w:eastAsia="es-ES"/>
              </w:rPr>
            </w:pPr>
            <w:r w:rsidRPr="00654612">
              <w:rPr>
                <w:rFonts w:ascii="Verdana" w:hAnsi="Verdana" w:cs="Arial"/>
                <w:bCs/>
                <w:lang w:val="es-ES" w:eastAsia="es-ES"/>
              </w:rPr>
              <w:t xml:space="preserve">NULIDAD DEL CONTRATO ESTATAL – Nulidad Absoluta – Nulidad Relativa/ NULIDAD ABSOLUTA – Declaratoria judicial / NULIDAD ABSOLUTA - </w:t>
            </w:r>
            <w:r w:rsidRPr="00654612">
              <w:rPr>
                <w:rFonts w:ascii="Verdana" w:hAnsi="Verdana"/>
                <w:bCs/>
              </w:rPr>
              <w:t>Reconocimientos económicos</w:t>
            </w:r>
          </w:p>
          <w:p w14:paraId="174F44D4" w14:textId="2560AC3F" w:rsidR="009D30AE" w:rsidRPr="00E7389E" w:rsidRDefault="009D30AE" w:rsidP="006F1A38">
            <w:pPr>
              <w:spacing w:line="276" w:lineRule="auto"/>
              <w:jc w:val="both"/>
              <w:rPr>
                <w:rFonts w:ascii="Verdana" w:eastAsia="Calibri" w:hAnsi="Verdana" w:cs="Arial"/>
                <w:color w:val="000000" w:themeColor="text1"/>
                <w:highlight w:val="yellow"/>
                <w:lang w:val="es-ES" w:eastAsia="es-ES"/>
              </w:rPr>
            </w:pP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16D7A3BF" w14:textId="77777777" w:rsidR="005B261C" w:rsidRDefault="005B261C" w:rsidP="00DA4396">
            <w:pPr>
              <w:ind w:right="1"/>
              <w:jc w:val="both"/>
              <w:rPr>
                <w:rFonts w:ascii="Verdana" w:hAnsi="Verdana"/>
                <w:color w:val="2B2B2B"/>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r w:rsidR="00EC7930">
              <w:rPr>
                <w:rFonts w:ascii="Verdana" w:eastAsia="Calibri" w:hAnsi="Verdana" w:cs="Arial"/>
                <w:color w:val="000000" w:themeColor="text1"/>
                <w:lang w:val="es-ES_tradnl" w:eastAsia="es-ES_tradnl"/>
              </w:rPr>
              <w:t>N.º</w:t>
            </w:r>
            <w:r w:rsidR="00DA4396">
              <w:rPr>
                <w:rFonts w:ascii="Verdana" w:eastAsia="Calibri" w:hAnsi="Verdana" w:cs="Arial"/>
                <w:color w:val="000000" w:themeColor="text1"/>
                <w:lang w:val="es-ES_tradnl" w:eastAsia="es-ES_tradnl"/>
              </w:rPr>
              <w:t xml:space="preserve"> </w:t>
            </w:r>
            <w:r w:rsidR="00994BF0" w:rsidRPr="00994BF0">
              <w:rPr>
                <w:rFonts w:ascii="Verdana" w:hAnsi="Verdana"/>
                <w:color w:val="2B2B2B"/>
              </w:rPr>
              <w:t>1_2026_03_11_003410</w:t>
            </w:r>
          </w:p>
          <w:p w14:paraId="5B67506E" w14:textId="77777777" w:rsidR="00994BF0" w:rsidRDefault="00994BF0" w:rsidP="00DA4396">
            <w:pPr>
              <w:ind w:right="1"/>
              <w:jc w:val="both"/>
              <w:rPr>
                <w:rFonts w:ascii="Verdana" w:hAnsi="Verdana"/>
                <w:color w:val="2B2B2B"/>
              </w:rPr>
            </w:pPr>
          </w:p>
          <w:p w14:paraId="42BEDD0C" w14:textId="11F974AF" w:rsidR="00994BF0" w:rsidRPr="00CB7ABE" w:rsidRDefault="00994BF0" w:rsidP="00DA4396">
            <w:pPr>
              <w:ind w:right="1"/>
              <w:jc w:val="both"/>
              <w:rPr>
                <w:rFonts w:ascii="Verdana" w:hAnsi="Verdana"/>
                <w:color w:val="000000"/>
              </w:rPr>
            </w:pPr>
          </w:p>
        </w:tc>
      </w:tr>
    </w:tbl>
    <w:p w14:paraId="5F37FB94" w14:textId="6A2BC27D"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sidR="00994BF0">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sidR="001D556A">
        <w:rPr>
          <w:rFonts w:ascii="Verdana" w:eastAsia="Calibri" w:hAnsi="Verdana" w:cs="Arial"/>
          <w:color w:val="000000" w:themeColor="text1"/>
          <w:lang w:val="es-ES" w:eastAsia="es-ES"/>
        </w:rPr>
        <w:t xml:space="preserve"> </w:t>
      </w:r>
      <w:r w:rsidR="00994BF0">
        <w:rPr>
          <w:rFonts w:ascii="Verdana" w:eastAsia="Calibri" w:hAnsi="Verdana" w:cs="Arial"/>
          <w:color w:val="000000" w:themeColor="text1"/>
          <w:lang w:val="es-ES" w:eastAsia="es-ES"/>
        </w:rPr>
        <w:t>Manrique</w:t>
      </w:r>
      <w:r w:rsidR="00074755">
        <w:rPr>
          <w:rFonts w:ascii="Verdana" w:eastAsia="Calibri" w:hAnsi="Verdana" w:cs="Arial"/>
          <w:color w:val="000000" w:themeColor="text1"/>
          <w:lang w:val="es-ES" w:eastAsia="es-ES"/>
        </w:rPr>
        <w:t>;</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38FAF9FE"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sidR="00C8101E">
        <w:rPr>
          <w:rFonts w:ascii="Verdana" w:eastAsia="Calibri" w:hAnsi="Verdana" w:cs="Arial"/>
          <w:color w:val="000000" w:themeColor="text1"/>
          <w:lang w:val="es-ES" w:eastAsia="es-ES"/>
        </w:rPr>
        <w:t xml:space="preserve"> </w:t>
      </w:r>
      <w:r w:rsidR="00970C7D">
        <w:rPr>
          <w:rFonts w:ascii="Verdana" w:eastAsia="Calibri" w:hAnsi="Verdana" w:cs="Arial"/>
          <w:color w:val="000000" w:themeColor="text1"/>
          <w:lang w:val="es-ES" w:eastAsia="es-ES"/>
        </w:rPr>
        <w:t xml:space="preserve">radicada ante </w:t>
      </w:r>
      <w:r w:rsidR="002E1DE9">
        <w:rPr>
          <w:rFonts w:ascii="Verdana" w:eastAsia="Calibri" w:hAnsi="Verdana" w:cs="Arial"/>
          <w:color w:val="000000" w:themeColor="text1"/>
          <w:lang w:val="es-ES" w:eastAsia="es-ES"/>
        </w:rPr>
        <w:t xml:space="preserve">esta entidad el </w:t>
      </w:r>
      <w:r w:rsidR="00DB6D9E">
        <w:rPr>
          <w:rFonts w:ascii="Verdana" w:eastAsia="Calibri" w:hAnsi="Verdana" w:cs="Arial"/>
          <w:color w:val="000000" w:themeColor="text1"/>
          <w:lang w:val="es-ES" w:eastAsia="es-ES"/>
        </w:rPr>
        <w:t>11</w:t>
      </w:r>
      <w:r w:rsidR="002E1DE9">
        <w:rPr>
          <w:rFonts w:ascii="Verdana" w:eastAsia="Calibri" w:hAnsi="Verdana" w:cs="Arial"/>
          <w:color w:val="000000" w:themeColor="text1"/>
          <w:lang w:val="es-ES" w:eastAsia="es-ES"/>
        </w:rPr>
        <w:t xml:space="preserve"> de </w:t>
      </w:r>
      <w:r w:rsidR="00432F47">
        <w:rPr>
          <w:rFonts w:ascii="Verdana" w:eastAsia="Calibri" w:hAnsi="Verdana" w:cs="Arial"/>
          <w:color w:val="000000" w:themeColor="text1"/>
          <w:lang w:val="es-ES" w:eastAsia="es-ES"/>
        </w:rPr>
        <w:t>marzo</w:t>
      </w:r>
      <w:r w:rsidR="002E1DE9">
        <w:rPr>
          <w:rFonts w:ascii="Verdana" w:eastAsia="Calibri" w:hAnsi="Verdana" w:cs="Arial"/>
          <w:color w:val="000000" w:themeColor="text1"/>
          <w:lang w:val="es-ES" w:eastAsia="es-ES"/>
        </w:rPr>
        <w:t xml:space="preserve"> de 2026 </w:t>
      </w:r>
      <w:r w:rsidRPr="00115E3D">
        <w:rPr>
          <w:rFonts w:ascii="Verdana" w:eastAsia="Calibri" w:hAnsi="Verdana" w:cs="Arial"/>
          <w:color w:val="000000" w:themeColor="text1"/>
          <w:lang w:val="es-ES" w:eastAsia="es-ES"/>
        </w:rPr>
        <w:t xml:space="preserve">en la cual manifiesta lo siguiente: </w:t>
      </w:r>
    </w:p>
    <w:p w14:paraId="3200577B" w14:textId="77777777" w:rsidR="0099297C" w:rsidRDefault="0099297C" w:rsidP="00096C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0C9B3201" w14:textId="501B3B66" w:rsidR="00DB6D9E" w:rsidRDefault="00CB73C5" w:rsidP="00DB6D9E">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lang w:val="es-ES"/>
        </w:rPr>
        <w:t>“</w:t>
      </w:r>
      <w:r w:rsidR="00DB6D9E" w:rsidRPr="00DB6D9E">
        <w:rPr>
          <w:rFonts w:ascii="Verdana" w:eastAsia="Century Gothic" w:hAnsi="Verdana" w:cs="Century Gothic"/>
          <w:i/>
          <w:iCs/>
          <w:color w:val="000000" w:themeColor="text1"/>
          <w:sz w:val="20"/>
          <w:szCs w:val="20"/>
        </w:rPr>
        <w:t xml:space="preserve">En el marco de un contrato estatal celebrado bajo la modalidad de concesión, el concesionario asumió dentro de sus obligaciones la administración de determinados recursos relacionados con la ejecución del contrato, para lo cual se dispuso la constitución de un encargo fiduciario a través del cual se gestionaban dichos recursos. </w:t>
      </w:r>
    </w:p>
    <w:p w14:paraId="27993D1B" w14:textId="77777777" w:rsidR="00DB6D9E" w:rsidRP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p>
    <w:p w14:paraId="38DA0257" w14:textId="77777777" w:rsidR="00DB6D9E" w:rsidRP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rPr>
        <w:t xml:space="preserve">Posteriormente, mediante decisión judicial se declaró la nulidad del contrato estatal y se ordenó su terminación. </w:t>
      </w:r>
    </w:p>
    <w:p w14:paraId="2D5636DA" w14:textId="77777777" w:rsid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p>
    <w:p w14:paraId="20401D17" w14:textId="3CCA0608" w:rsid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rPr>
        <w:lastRenderedPageBreak/>
        <w:t>En ese contexto, existen recursos asociados al contrato que venían siendo administrados a través del encargo fiduciario, así como obligaciones económicas o pagos pendientes derivados de la ejecución contractual.</w:t>
      </w:r>
    </w:p>
    <w:p w14:paraId="21F71FA7" w14:textId="77777777" w:rsidR="00DB6D9E" w:rsidRDefault="00DB6D9E" w:rsidP="001D556A">
      <w:pPr>
        <w:spacing w:after="0" w:line="240" w:lineRule="auto"/>
        <w:ind w:left="709" w:right="709"/>
        <w:jc w:val="both"/>
        <w:rPr>
          <w:rFonts w:ascii="Verdana" w:eastAsia="Century Gothic" w:hAnsi="Verdana" w:cs="Century Gothic"/>
          <w:i/>
          <w:iCs/>
          <w:color w:val="000000" w:themeColor="text1"/>
          <w:sz w:val="20"/>
          <w:szCs w:val="20"/>
        </w:rPr>
      </w:pPr>
    </w:p>
    <w:p w14:paraId="3A6F8053" w14:textId="77777777" w:rsid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rPr>
        <w:t xml:space="preserve">En consideración a lo anterior, respetuosamente se solicita a esa Agencia conceptuar sobre el siguiente interrogante: </w:t>
      </w:r>
    </w:p>
    <w:p w14:paraId="2285CF30" w14:textId="77777777" w:rsidR="00F7787F" w:rsidRPr="00DB6D9E" w:rsidRDefault="00F7787F" w:rsidP="00DB6D9E">
      <w:pPr>
        <w:spacing w:after="0" w:line="240" w:lineRule="auto"/>
        <w:ind w:left="709" w:right="709"/>
        <w:jc w:val="both"/>
        <w:rPr>
          <w:rFonts w:ascii="Verdana" w:eastAsia="Century Gothic" w:hAnsi="Verdana" w:cs="Century Gothic"/>
          <w:i/>
          <w:iCs/>
          <w:color w:val="000000" w:themeColor="text1"/>
          <w:sz w:val="20"/>
          <w:szCs w:val="20"/>
        </w:rPr>
      </w:pPr>
    </w:p>
    <w:p w14:paraId="629AB42F" w14:textId="5EA737F9" w:rsid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rPr>
        <w:t xml:space="preserve">¿Cuándo un contrato estatal es declarado nulo mediante decisión judicial y se ordena su terminación, resulta jurídicamente procedente que el contratista continúe administrando recursos vinculados al contrato o realizando actuaciones relacionadas con dicha administración con posterioridad a la terminación del contrato, mientras se adelanta el proceso de liquidación contractual o se determinan los pagos pendientes entre las partes? </w:t>
      </w:r>
    </w:p>
    <w:p w14:paraId="6CACA3B8" w14:textId="77777777" w:rsidR="00DB6D9E" w:rsidRPr="00DB6D9E" w:rsidRDefault="00DB6D9E" w:rsidP="00DB6D9E">
      <w:pPr>
        <w:spacing w:after="0" w:line="240" w:lineRule="auto"/>
        <w:ind w:left="709" w:right="709"/>
        <w:jc w:val="both"/>
        <w:rPr>
          <w:rFonts w:ascii="Verdana" w:eastAsia="Century Gothic" w:hAnsi="Verdana" w:cs="Century Gothic"/>
          <w:i/>
          <w:iCs/>
          <w:color w:val="000000" w:themeColor="text1"/>
          <w:sz w:val="20"/>
          <w:szCs w:val="20"/>
        </w:rPr>
      </w:pPr>
    </w:p>
    <w:p w14:paraId="2975F0D7" w14:textId="1F046FCD" w:rsidR="00970C7D" w:rsidRPr="00970C7D" w:rsidRDefault="00DB6D9E" w:rsidP="001D556A">
      <w:pPr>
        <w:spacing w:after="0" w:line="240" w:lineRule="auto"/>
        <w:ind w:left="709" w:right="709"/>
        <w:jc w:val="both"/>
        <w:rPr>
          <w:rFonts w:ascii="Verdana" w:eastAsia="Century Gothic" w:hAnsi="Verdana" w:cs="Century Gothic"/>
          <w:i/>
          <w:iCs/>
          <w:color w:val="000000" w:themeColor="text1"/>
          <w:sz w:val="20"/>
          <w:szCs w:val="20"/>
        </w:rPr>
      </w:pPr>
      <w:r w:rsidRPr="00DB6D9E">
        <w:rPr>
          <w:rFonts w:ascii="Verdana" w:eastAsia="Century Gothic" w:hAnsi="Verdana" w:cs="Century Gothic"/>
          <w:i/>
          <w:iCs/>
          <w:color w:val="000000" w:themeColor="text1"/>
          <w:sz w:val="20"/>
          <w:szCs w:val="20"/>
        </w:rPr>
        <w:t>Así mismo, se solicita precisar si los eventuales pagos o reconocimientos económicos derivados de la ejecución contractual deben tramitarse dentro del proceso de liquidación del contrato o si podrían realizarse con posterioridad a la terminación del mismo</w:t>
      </w:r>
      <w:r w:rsidR="001D556A">
        <w:rPr>
          <w:rFonts w:ascii="Verdana" w:eastAsia="Century Gothic" w:hAnsi="Verdana" w:cs="Century Gothic"/>
          <w:i/>
          <w:iCs/>
          <w:color w:val="000000" w:themeColor="text1"/>
          <w:sz w:val="20"/>
          <w:szCs w:val="20"/>
        </w:rPr>
        <w:t>.</w:t>
      </w:r>
      <w:r w:rsidR="00970C7D" w:rsidRPr="00970C7D">
        <w:rPr>
          <w:rFonts w:ascii="Verdana" w:eastAsia="Century Gothic" w:hAnsi="Verdana" w:cs="Century Gothic"/>
          <w:i/>
          <w:iCs/>
          <w:color w:val="000000" w:themeColor="text1"/>
          <w:sz w:val="20"/>
          <w:szCs w:val="20"/>
        </w:rPr>
        <w:t xml:space="preserve"> </w:t>
      </w:r>
    </w:p>
    <w:p w14:paraId="731002C6" w14:textId="77777777" w:rsidR="00970C7D" w:rsidRDefault="00970C7D" w:rsidP="003967EF">
      <w:pPr>
        <w:spacing w:after="0" w:line="240" w:lineRule="auto"/>
        <w:ind w:left="709" w:right="709"/>
        <w:jc w:val="both"/>
        <w:rPr>
          <w:rFonts w:ascii="Verdana" w:eastAsia="Century Gothic" w:hAnsi="Verdana" w:cs="Century Gothic"/>
          <w:i/>
          <w:iCs/>
          <w:color w:val="000000" w:themeColor="text1"/>
          <w:sz w:val="20"/>
          <w:szCs w:val="20"/>
        </w:rPr>
      </w:pPr>
    </w:p>
    <w:p w14:paraId="059A9D4E" w14:textId="102FDE65" w:rsidR="005B261C" w:rsidRDefault="005B261C" w:rsidP="00131F6C">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sidR="00DF13B0">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40807FA" w14:textId="77777777" w:rsidR="007E403E" w:rsidRPr="00115E3D" w:rsidRDefault="007E403E" w:rsidP="007E403E">
      <w:pPr>
        <w:spacing w:after="0" w:line="240" w:lineRule="auto"/>
        <w:ind w:right="49"/>
        <w:jc w:val="both"/>
        <w:rPr>
          <w:rFonts w:ascii="Verdana" w:eastAsia="Calibri" w:hAnsi="Verdana" w:cs="Arial"/>
          <w:color w:val="000000" w:themeColor="text1"/>
          <w:szCs w:val="24"/>
          <w:lang w:val="es-ES_tradnl" w:eastAsia="es-ES_tradnl"/>
        </w:rPr>
      </w:pP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3F95A5B8" w14:textId="27D14D56" w:rsidR="00117910" w:rsidRPr="00843B35" w:rsidRDefault="005B261C" w:rsidP="0029110A">
      <w:pPr>
        <w:spacing w:after="0" w:line="276" w:lineRule="auto"/>
        <w:jc w:val="both"/>
        <w:rPr>
          <w:rFonts w:ascii="Verdana" w:eastAsia="Verdana" w:hAnsi="Verdana" w:cs="Verdana"/>
        </w:rPr>
      </w:pPr>
      <w:r w:rsidRPr="00115E3D">
        <w:rPr>
          <w:rFonts w:ascii="Verdana" w:eastAsia="Century Gothic" w:hAnsi="Verdana" w:cs="Century Gothic"/>
          <w:color w:val="000000" w:themeColor="text1"/>
        </w:rPr>
        <w:t xml:space="preserve">De acuerdo con el contenido de su solicitud, esta Agencia resolverá </w:t>
      </w:r>
      <w:r w:rsidR="004A210F">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w:t>
      </w:r>
      <w:r w:rsidR="009E7E8C" w:rsidRPr="00115E3D">
        <w:rPr>
          <w:rFonts w:ascii="Verdana" w:eastAsia="Century Gothic" w:hAnsi="Verdana" w:cs="Century Gothic"/>
          <w:color w:val="000000" w:themeColor="text1"/>
        </w:rPr>
        <w:t>siguiente problema</w:t>
      </w:r>
      <w:r w:rsidRPr="00115E3D">
        <w:rPr>
          <w:rFonts w:ascii="Verdana" w:eastAsia="Century Gothic" w:hAnsi="Verdana" w:cs="Century Gothic"/>
          <w:color w:val="000000" w:themeColor="text1"/>
        </w:rPr>
        <w:t xml:space="preserve"> jurídico:</w:t>
      </w:r>
      <w:r w:rsidR="00946693" w:rsidRPr="00946693">
        <w:t xml:space="preserve"> </w:t>
      </w:r>
      <w:r w:rsidR="00190152" w:rsidRPr="00190152">
        <w:rPr>
          <w:rFonts w:ascii="Verdana" w:eastAsia="Verdana" w:hAnsi="Verdana" w:cs="Verdana"/>
        </w:rPr>
        <w:t>¿Es jurídicamente viable que un contratista (concesionario) mantenga la administración de recursos públicos a través de un encargo fiduciario y realice actuaciones de gestión sobre los mismos tras la declaratoria de nulidad judicial del contrato</w:t>
      </w:r>
      <w:r w:rsidR="003C1482">
        <w:rPr>
          <w:rFonts w:ascii="Verdana" w:eastAsia="Verdana" w:hAnsi="Verdana" w:cs="Verdana"/>
        </w:rPr>
        <w:t xml:space="preserve">, </w:t>
      </w:r>
      <w:r w:rsidR="003C1482" w:rsidRPr="003C1482">
        <w:rPr>
          <w:rFonts w:ascii="Verdana" w:eastAsia="Verdana" w:hAnsi="Verdana" w:cs="Verdana"/>
        </w:rPr>
        <w:t>y de qué manera deben tramitarse los pagos y reconocimientos económicos pendientes entre las partes tras dicha terminación?</w:t>
      </w:r>
    </w:p>
    <w:p w14:paraId="7848359C" w14:textId="77777777" w:rsidR="00117910" w:rsidRDefault="00117910" w:rsidP="0029110A">
      <w:pPr>
        <w:spacing w:after="0" w:line="276" w:lineRule="auto"/>
        <w:jc w:val="both"/>
        <w:rPr>
          <w:rFonts w:ascii="Verdana" w:eastAsia="Verdana" w:hAnsi="Verdana" w:cs="Verdana"/>
          <w:lang w:val="es-ES"/>
        </w:rPr>
      </w:pPr>
    </w:p>
    <w:p w14:paraId="5609B135"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6D0D53">
        <w:trPr>
          <w:trHeight w:val="774"/>
        </w:trPr>
        <w:tc>
          <w:tcPr>
            <w:tcW w:w="8828" w:type="dxa"/>
          </w:tcPr>
          <w:p w14:paraId="2EA482C4" w14:textId="716FBC3C" w:rsidR="0020008A" w:rsidRPr="0020008A" w:rsidRDefault="0020008A" w:rsidP="0020008A">
            <w:pPr>
              <w:spacing w:before="120" w:after="120" w:line="276" w:lineRule="auto"/>
              <w:jc w:val="both"/>
              <w:rPr>
                <w:rFonts w:ascii="Verdana" w:hAnsi="Verdana" w:cs="Arial"/>
                <w:color w:val="1A1A1A" w:themeColor="background1" w:themeShade="1A"/>
                <w:lang w:eastAsia="es-ES_tradnl"/>
              </w:rPr>
            </w:pPr>
            <w:r>
              <w:rPr>
                <w:rFonts w:ascii="Verdana" w:hAnsi="Verdana" w:cs="Arial"/>
              </w:rPr>
              <w:t xml:space="preserve">      </w:t>
            </w:r>
            <w:r w:rsidR="002C4DD6">
              <w:rPr>
                <w:rFonts w:ascii="Verdana" w:hAnsi="Verdana" w:cs="Arial"/>
              </w:rPr>
              <w:t xml:space="preserve">  </w:t>
            </w:r>
            <w:r w:rsidR="00B54DCC" w:rsidRPr="00B54DCC">
              <w:rPr>
                <w:rFonts w:ascii="Verdana" w:eastAsiaTheme="minorEastAsia" w:hAnsi="Verdana" w:cs="Arial"/>
              </w:rPr>
              <w:t xml:space="preserve">De manera preliminar, es pertinente indicar que </w:t>
            </w:r>
            <w:r>
              <w:rPr>
                <w:rFonts w:ascii="Verdana" w:eastAsiaTheme="minorEastAsia" w:hAnsi="Verdana" w:cs="Arial"/>
              </w:rPr>
              <w:t>l</w:t>
            </w:r>
            <w:r w:rsidRPr="0020008A">
              <w:rPr>
                <w:rFonts w:ascii="Verdana" w:hAnsi="Verdana" w:cs="Arial"/>
                <w:color w:val="1A1A1A" w:themeColor="background1" w:themeShade="1A"/>
                <w:lang w:eastAsia="es-ES_tradnl"/>
              </w:rPr>
              <w:t>as normas que rigen la contratación estatal son imperativas y de orden público, por lo que el desconocimiento de estas, así como la declaratoria de nulidad de un contrato estatal mediante decisión judicial, conlleva a la pérdida de sus efectos jurídicos y, en consecuencia, a la imposibilidad de continuar ejecutando actividades derivadas del mismo. En este sentido, conforme a lo dispuesto en el artículo 45 de la Ley 80 de 1993, la nulidad absoluta puede ser declarada judicialmente y no es susceptible de saneamiento.</w:t>
            </w:r>
          </w:p>
          <w:p w14:paraId="78395405" w14:textId="613751BF" w:rsidR="0020008A" w:rsidRPr="0020008A" w:rsidRDefault="0020008A" w:rsidP="0020008A">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Así mismo, el artículo 48 de la Ley 80 de 1993 dispone que la declaración de nulidad no impide el reconocimiento y pago de las prestaciones ejecutadas hasta el momento de la declaratoria, siempre que se haya generado un beneficio para la entidad estatal y hasta el monto de dicho beneficio.</w:t>
            </w:r>
          </w:p>
          <w:p w14:paraId="4A593435" w14:textId="4ADC94B4" w:rsidR="0020008A" w:rsidRPr="0020008A" w:rsidRDefault="0020008A" w:rsidP="0020008A">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En ese orden</w:t>
            </w:r>
            <w:r w:rsidR="003C1482">
              <w:rPr>
                <w:rFonts w:ascii="Verdana" w:eastAsia="Times New Roman" w:hAnsi="Verdana" w:cs="Arial"/>
                <w:color w:val="1A1A1A" w:themeColor="background1" w:themeShade="1A"/>
                <w:lang w:eastAsia="es-ES_tradnl"/>
              </w:rPr>
              <w:t xml:space="preserve"> y en atención al problema jurídico planteado</w:t>
            </w:r>
            <w:r w:rsidRPr="0020008A">
              <w:rPr>
                <w:rFonts w:ascii="Verdana" w:eastAsia="Times New Roman" w:hAnsi="Verdana" w:cs="Arial"/>
                <w:color w:val="1A1A1A" w:themeColor="background1" w:themeShade="1A"/>
                <w:lang w:eastAsia="es-ES_tradnl"/>
              </w:rPr>
              <w:t>, una vez declarada la nulidad del contrato estatal de concesión y ordenada su terminación, cesa el fundamento jurídico que habilitaba al concesionario para ejecutar actividades propias del contrato, incluida la administración de recursos vinculados al mismo, aun cuando estos se encuentren gestionados a través de un encargo fiduciario. Lo anterior, en tanto la finalidad de dicho mecanismo está directamente ligada a la ejecución del contrato estatal, por lo que extinguida su causa, no resulta procedente que el contratista continúe ejerciendo dichas funciones.</w:t>
            </w:r>
          </w:p>
          <w:p w14:paraId="11D45EDF" w14:textId="2C85D2D2" w:rsidR="0020008A" w:rsidRPr="0020008A" w:rsidRDefault="0020008A" w:rsidP="0020008A">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003C1482">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 xml:space="preserve">En relación con los reconocimientos económicos derivados de la ejecución contractual, debe señalarse que, conforme al </w:t>
            </w:r>
            <w:r w:rsidR="003C1482">
              <w:rPr>
                <w:rFonts w:ascii="Verdana" w:eastAsia="Times New Roman" w:hAnsi="Verdana" w:cs="Arial"/>
                <w:color w:val="1A1A1A" w:themeColor="background1" w:themeShade="1A"/>
                <w:lang w:eastAsia="es-ES_tradnl"/>
              </w:rPr>
              <w:t xml:space="preserve">ya citado </w:t>
            </w:r>
            <w:r w:rsidRPr="0020008A">
              <w:rPr>
                <w:rFonts w:ascii="Verdana" w:eastAsia="Times New Roman" w:hAnsi="Verdana" w:cs="Arial"/>
                <w:color w:val="1A1A1A" w:themeColor="background1" w:themeShade="1A"/>
                <w:lang w:eastAsia="es-ES_tradnl"/>
              </w:rPr>
              <w:t xml:space="preserve">artículo 48 de la Ley 80 de 1993, procede el reconocimiento y pago de las prestaciones </w:t>
            </w:r>
            <w:r w:rsidRPr="0020008A">
              <w:rPr>
                <w:rFonts w:ascii="Verdana" w:eastAsia="Times New Roman" w:hAnsi="Verdana" w:cs="Arial"/>
                <w:color w:val="1A1A1A" w:themeColor="background1" w:themeShade="1A"/>
                <w:lang w:eastAsia="es-ES_tradnl"/>
              </w:rPr>
              <w:lastRenderedPageBreak/>
              <w:t>ejecutadas en contratos nulos, siempre que hayan representado un beneficio para la entidad estatal.</w:t>
            </w:r>
          </w:p>
          <w:p w14:paraId="1B485CEB" w14:textId="7375C6B3" w:rsidR="0020008A" w:rsidRPr="0020008A" w:rsidRDefault="003C1482" w:rsidP="0020008A">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0020008A" w:rsidRPr="0020008A">
              <w:rPr>
                <w:rFonts w:ascii="Verdana" w:eastAsia="Times New Roman" w:hAnsi="Verdana" w:cs="Arial"/>
                <w:color w:val="1A1A1A" w:themeColor="background1" w:themeShade="1A"/>
                <w:lang w:eastAsia="es-ES_tradnl"/>
              </w:rPr>
              <w:t>En este sentido, la liquidación del contrato constituye el escenario natural para determinar el balance final de la ejecución contractual, así como las prestaciones cumplidas por las partes y los saldos a favor o en contra. De acuerdo con la doctrina de Colombia Compra Eficiente, la liquidación tiene como finalidad ajustar cuentas entre las partes y definir sus obligaciones recíprocas, incluso en eventos de terminación anormal del contrato.</w:t>
            </w:r>
          </w:p>
          <w:p w14:paraId="422156EC" w14:textId="2ACD4561" w:rsidR="0020008A" w:rsidRPr="0020008A" w:rsidRDefault="0020008A" w:rsidP="0020008A">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Por lo tanto, como regla general, los pagos o reconocimientos económicos deben tramitarse dentro del proceso de liquidación contractual. Sin perjuicio de lo anterior, en caso de existir controversias o aspectos no definidos en dicha etapa, estos podrán ser objeto de pronunciamiento posterior por parte de la jurisdicción contencioso administrativa.</w:t>
            </w:r>
          </w:p>
          <w:p w14:paraId="28036C4E" w14:textId="38701CB4" w:rsidR="00EE2CAA" w:rsidRPr="009326F6" w:rsidRDefault="00B54DCC" w:rsidP="009326F6">
            <w:pPr>
              <w:spacing w:after="120" w:line="276" w:lineRule="auto"/>
              <w:jc w:val="both"/>
              <w:rPr>
                <w:rFonts w:ascii="Verdana" w:eastAsia="Calibri" w:hAnsi="Verdana" w:cs="Arial"/>
              </w:rPr>
            </w:pPr>
            <w:r>
              <w:rPr>
                <w:rFonts w:ascii="Verdana" w:eastAsia="Calibri" w:hAnsi="Verdana" w:cs="Arial"/>
              </w:rPr>
              <w:t xml:space="preserve"> </w:t>
            </w:r>
            <w:r w:rsidR="009326F6">
              <w:rPr>
                <w:rFonts w:ascii="Verdana" w:eastAsia="Calibri" w:hAnsi="Verdana" w:cs="Arial"/>
              </w:rPr>
              <w:t xml:space="preserve">      </w:t>
            </w:r>
            <w:r w:rsidR="00DD53C0" w:rsidRPr="00DD53C0">
              <w:rPr>
                <w:rFonts w:ascii="Verdana" w:eastAsia="Calibri" w:hAnsi="Verdana" w:cs="Arial"/>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DD53C0">
              <w:rPr>
                <w:rFonts w:ascii="Verdana" w:eastAsia="Calibri" w:hAnsi="Verdana" w:cs="Arial"/>
              </w:rPr>
              <w:t xml:space="preserve">    </w:t>
            </w:r>
          </w:p>
          <w:p w14:paraId="79C0B0DC" w14:textId="265EA535" w:rsidR="001951C0" w:rsidRPr="0029110A" w:rsidRDefault="00EE2CAA" w:rsidP="00EE2CAA">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807DB8" w:rsidRPr="00115E3D" w14:paraId="6B926161" w14:textId="77777777" w:rsidTr="001951C0">
        <w:trPr>
          <w:trHeight w:val="162"/>
        </w:trPr>
        <w:tc>
          <w:tcPr>
            <w:tcW w:w="8828" w:type="dxa"/>
          </w:tcPr>
          <w:p w14:paraId="08101215" w14:textId="77777777" w:rsidR="00807DB8" w:rsidRDefault="00807DB8" w:rsidP="008F1280">
            <w:pPr>
              <w:spacing w:line="276" w:lineRule="auto"/>
              <w:jc w:val="both"/>
              <w:rPr>
                <w:rFonts w:ascii="Verdana" w:eastAsia="Calibri" w:hAnsi="Verdana" w:cs="Arial"/>
              </w:rPr>
            </w:pPr>
          </w:p>
        </w:tc>
      </w:tr>
    </w:tbl>
    <w:p w14:paraId="74DDC741" w14:textId="77777777" w:rsidR="005B261C"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B31EE96" w14:textId="77777777" w:rsidR="005B261C"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353393A8" w14:textId="77777777" w:rsidR="00CE7597" w:rsidRPr="00115E3D" w:rsidRDefault="00CE7597" w:rsidP="00CE7597">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D06301E" w14:textId="7F8EA5C2" w:rsidR="00134D45" w:rsidRDefault="0046338E" w:rsidP="00DB6D9E">
      <w:pPr>
        <w:spacing w:after="120" w:line="276" w:lineRule="auto"/>
        <w:ind w:firstLine="708"/>
        <w:jc w:val="both"/>
        <w:rPr>
          <w:rFonts w:ascii="Verdana" w:eastAsia="Calibri" w:hAnsi="Verdana" w:cs="Arial"/>
        </w:rPr>
      </w:pPr>
      <w:bookmarkStart w:id="1" w:name="_Hlk204856061"/>
      <w:bookmarkStart w:id="2" w:name="_Hlk78820161"/>
      <w:r w:rsidRPr="0046338E">
        <w:rPr>
          <w:rFonts w:ascii="Verdana" w:eastAsia="Calibri" w:hAnsi="Verdana" w:cs="Arial"/>
        </w:rPr>
        <w:lastRenderedPageBreak/>
        <w:t xml:space="preserve">De manera preliminar, cabe precisar que el presupuesto de una entidad estatal constituye el conjunto de recursos financieros públicos cuya distribución estratégica </w:t>
      </w:r>
    </w:p>
    <w:p w14:paraId="34E1760D" w14:textId="0CEA40D8" w:rsidR="00D9340F" w:rsidRPr="006B14B5" w:rsidRDefault="00D9340F" w:rsidP="00D9340F">
      <w:pPr>
        <w:spacing w:after="0" w:line="276" w:lineRule="auto"/>
        <w:jc w:val="both"/>
        <w:rPr>
          <w:rFonts w:ascii="Verdana" w:eastAsia="Calibri" w:hAnsi="Verdana" w:cs="Arial"/>
          <w:lang w:val="es-ES"/>
        </w:rPr>
      </w:pPr>
      <w:r>
        <w:rPr>
          <w:rFonts w:ascii="Verdana" w:eastAsia="Calibri" w:hAnsi="Verdana" w:cs="Arial"/>
          <w:lang w:val="es-ES"/>
        </w:rPr>
        <w:t xml:space="preserve">         </w:t>
      </w:r>
      <w:r w:rsidRPr="6746F96C">
        <w:rPr>
          <w:rFonts w:ascii="Verdana" w:eastAsia="Calibri" w:hAnsi="Verdana" w:cs="Arial"/>
          <w:lang w:val="es-ES"/>
        </w:rPr>
        <w:t>El régimen de nulidades de los contratos estatales está regulado en el Estatuto General de Contratación de la Administración Pública, donde se establecen sus causales. Sin embargo, este integra, por remisión, las causales de nulidad del derecho civil y comercial. 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487AA491" w14:textId="77777777" w:rsidR="00D9340F" w:rsidRPr="006B14B5" w:rsidRDefault="00D9340F" w:rsidP="00D9340F">
      <w:pPr>
        <w:tabs>
          <w:tab w:val="left" w:pos="0"/>
        </w:tabs>
        <w:spacing w:after="0" w:line="276" w:lineRule="auto"/>
        <w:jc w:val="both"/>
        <w:rPr>
          <w:rFonts w:ascii="Verdana" w:eastAsia="Calibri" w:hAnsi="Verdana" w:cs="Arial"/>
          <w:bCs/>
          <w:color w:val="000000"/>
          <w:lang w:val="es-ES_tradnl"/>
        </w:rPr>
      </w:pPr>
    </w:p>
    <w:p w14:paraId="24083255" w14:textId="77777777" w:rsidR="00D9340F" w:rsidRPr="002E1F8D" w:rsidRDefault="00D9340F" w:rsidP="00D9340F">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“En tal virtud,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697FB0AE" w14:textId="77777777" w:rsidR="00D9340F" w:rsidRPr="002E1F8D" w:rsidRDefault="00D9340F" w:rsidP="00D9340F">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w:t>
      </w:r>
    </w:p>
    <w:p w14:paraId="62AA0031" w14:textId="77777777" w:rsidR="00D9340F" w:rsidRPr="002E1F8D" w:rsidRDefault="00D9340F" w:rsidP="00D9340F">
      <w:pPr>
        <w:spacing w:after="0" w:line="240" w:lineRule="auto"/>
        <w:ind w:left="709" w:right="709"/>
        <w:contextualSpacing/>
        <w:jc w:val="both"/>
        <w:rPr>
          <w:rFonts w:ascii="Verdana" w:eastAsia="Calibri" w:hAnsi="Verdana" w:cs="Arial"/>
          <w:sz w:val="20"/>
          <w:szCs w:val="20"/>
          <w:lang w:val="es-ES"/>
        </w:rPr>
      </w:pPr>
      <w:r w:rsidRPr="000C4E28">
        <w:rPr>
          <w:rFonts w:ascii="Verdana" w:eastAsia="Calibri" w:hAnsi="Verdana" w:cs="Arial"/>
          <w:sz w:val="20"/>
          <w:szCs w:val="20"/>
          <w:lang w:val="es-ES"/>
        </w:rPr>
        <w:t>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sidRPr="000C4E28">
        <w:rPr>
          <w:rStyle w:val="Refdenotaalpie"/>
          <w:rFonts w:ascii="Verdana" w:eastAsia="Calibri" w:hAnsi="Verdana" w:cs="Arial"/>
          <w:sz w:val="20"/>
          <w:szCs w:val="20"/>
          <w:lang w:val="es-ES"/>
        </w:rPr>
        <w:footnoteReference w:id="2"/>
      </w:r>
      <w:r w:rsidRPr="000C4E28">
        <w:rPr>
          <w:rFonts w:ascii="Verdana" w:eastAsia="Calibri" w:hAnsi="Verdana" w:cs="Arial"/>
          <w:sz w:val="20"/>
          <w:szCs w:val="20"/>
          <w:lang w:val="es-ES"/>
        </w:rPr>
        <w:t>.</w:t>
      </w:r>
    </w:p>
    <w:p w14:paraId="2ED630BE" w14:textId="77777777" w:rsidR="00D9340F" w:rsidRDefault="00D9340F" w:rsidP="00D9340F">
      <w:pPr>
        <w:spacing w:after="0" w:line="276" w:lineRule="auto"/>
        <w:jc w:val="both"/>
        <w:rPr>
          <w:rFonts w:ascii="Verdana" w:eastAsia="Calibri" w:hAnsi="Verdana" w:cs="Arial"/>
          <w:color w:val="000000" w:themeColor="text1"/>
          <w:lang w:val="es-ES"/>
        </w:rPr>
      </w:pPr>
    </w:p>
    <w:p w14:paraId="6A18B3CD" w14:textId="77777777" w:rsidR="00D9340F" w:rsidRPr="00914924" w:rsidRDefault="00D9340F" w:rsidP="00D9340F">
      <w:pPr>
        <w:spacing w:after="120" w:line="276" w:lineRule="auto"/>
        <w:ind w:firstLine="708"/>
        <w:jc w:val="both"/>
        <w:rPr>
          <w:rFonts w:ascii="Verdana" w:eastAsia="Calibri" w:hAnsi="Verdana" w:cs="Arial"/>
          <w:lang w:val="es-ES"/>
        </w:rPr>
      </w:pPr>
      <w:r w:rsidRPr="6746F96C">
        <w:rPr>
          <w:rFonts w:ascii="Verdana" w:eastAsia="Calibri" w:hAnsi="Verdana" w:cs="Arial"/>
          <w:lang w:val="es-ES"/>
        </w:rPr>
        <w:lastRenderedPageBreak/>
        <w:t>El Código Civil establece que “es nulo todo acto o contrato a que falta alguno de los requisitos que la ley prescribe para el valor del mismo acto o contrato según su especie y la calidad o estado de las partes”</w:t>
      </w:r>
      <w:r w:rsidRPr="008D2665">
        <w:rPr>
          <w:rFonts w:ascii="Verdana" w:eastAsia="Aptos" w:hAnsi="Verdana" w:cs="Times New Roman"/>
          <w:vertAlign w:val="superscript"/>
          <w:lang w:val="es-MX"/>
        </w:rPr>
        <w:footnoteReference w:id="3"/>
      </w:r>
      <w:r w:rsidRPr="008D2665">
        <w:rPr>
          <w:rFonts w:ascii="Verdana" w:eastAsia="Aptos" w:hAnsi="Verdana" w:cs="Times New Roman"/>
          <w:lang w:val="es-MX"/>
        </w:rPr>
        <w:t>, y el Código de Comercio señala que “será nulo absolutamente el negocio jurídico en los siguientes casos: 1) cuando contraría una norma imperativa, salvo que la ley disponga otra cosa; 2) cuando tenga (causa u objeto ilícitos), y 3) cuando se haya celebrado por persona absolutamente incapaz”</w:t>
      </w:r>
      <w:r w:rsidRPr="008D2665">
        <w:rPr>
          <w:rFonts w:ascii="Verdana" w:eastAsia="Arial" w:hAnsi="Verdana" w:cs="Arial"/>
          <w:vertAlign w:val="superscript"/>
          <w:lang w:val="es-ES"/>
        </w:rPr>
        <w:footnoteReference w:id="4"/>
      </w:r>
      <w:r w:rsidRPr="008D2665">
        <w:rPr>
          <w:rFonts w:ascii="Verdana" w:eastAsia="Arial" w:hAnsi="Verdana" w:cs="Arial"/>
          <w:lang w:val="es-ES"/>
        </w:rPr>
        <w:t>.</w:t>
      </w:r>
      <w:r w:rsidRPr="008D2665">
        <w:rPr>
          <w:rFonts w:ascii="Verdana" w:eastAsia="Aptos" w:hAnsi="Verdana" w:cs="Times New Roman"/>
          <w:lang w:val="es-ES"/>
        </w:rPr>
        <w:t xml:space="preserve"> </w:t>
      </w:r>
      <w:r w:rsidRPr="008D2665">
        <w:rPr>
          <w:rFonts w:ascii="Verdana" w:eastAsia="Arial" w:hAnsi="Verdana" w:cs="Arial"/>
          <w:lang w:val="es-ES"/>
        </w:rPr>
        <w:t>De esta forma, en el derecho común se establecen como causales de nulidad: i) el objeto ilícito, ii) la causa ilícita, iii) omisión de las formas solemnes en su celebración, iv) incapacidad absoluta de uno de los contratantes</w:t>
      </w:r>
      <w:r w:rsidRPr="008D2665">
        <w:rPr>
          <w:rFonts w:ascii="Verdana" w:eastAsia="Arial" w:hAnsi="Verdana" w:cs="Arial"/>
          <w:vertAlign w:val="superscript"/>
          <w:lang w:val="es-ES"/>
        </w:rPr>
        <w:footnoteReference w:id="5"/>
      </w:r>
      <w:r w:rsidRPr="008D2665">
        <w:rPr>
          <w:rFonts w:ascii="Verdana" w:eastAsia="Arial" w:hAnsi="Verdana" w:cs="Arial"/>
          <w:lang w:val="es-ES"/>
        </w:rPr>
        <w:t>.</w:t>
      </w:r>
    </w:p>
    <w:p w14:paraId="50B6A3F3" w14:textId="77777777" w:rsidR="00D9340F" w:rsidRPr="00914924" w:rsidRDefault="00D9340F" w:rsidP="00D9340F">
      <w:pPr>
        <w:spacing w:after="120" w:line="276" w:lineRule="auto"/>
        <w:ind w:firstLine="709"/>
        <w:jc w:val="both"/>
        <w:rPr>
          <w:rFonts w:ascii="Verdana" w:eastAsia="Calibri" w:hAnsi="Verdana" w:cs="Arial"/>
          <w:lang w:val="es-ES"/>
        </w:rPr>
      </w:pPr>
      <w:r w:rsidRPr="008D2665">
        <w:rPr>
          <w:rFonts w:ascii="Verdana" w:eastAsia="Calibri" w:hAnsi="Verdana" w:cs="Arial"/>
        </w:rPr>
        <w:t>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ii) se celebre contra expresa prohibición constitucional o legal, iii) se celebre con abuso o desviación de poder, iv) se declaren nulos los actos administrativos en que se fundamenten, v) se hubieren celebrado con desconocimiento de los criterios previstos para el tratamiento de ofertas nacionales y extranjeras o con violación de la reciprocidad</w:t>
      </w:r>
      <w:r w:rsidRPr="008D2665">
        <w:rPr>
          <w:rFonts w:ascii="Verdana" w:eastAsia="Arial" w:hAnsi="Verdana" w:cs="Arial"/>
          <w:vertAlign w:val="superscript"/>
          <w:lang w:val="es-ES"/>
        </w:rPr>
        <w:footnoteReference w:id="6"/>
      </w:r>
      <w:r w:rsidRPr="008D2665">
        <w:rPr>
          <w:rFonts w:ascii="Verdana" w:eastAsia="Arial" w:hAnsi="Verdana" w:cs="Arial"/>
          <w:lang w:val="es-ES"/>
        </w:rPr>
        <w:t>.</w:t>
      </w:r>
    </w:p>
    <w:p w14:paraId="09BC9160" w14:textId="77777777" w:rsidR="00D9340F" w:rsidRDefault="00D9340F" w:rsidP="00D9340F">
      <w:pPr>
        <w:spacing w:after="120" w:line="276" w:lineRule="auto"/>
        <w:ind w:firstLine="709"/>
        <w:jc w:val="both"/>
        <w:rPr>
          <w:rFonts w:ascii="Verdana" w:eastAsia="Calibri" w:hAnsi="Verdana" w:cs="Arial"/>
        </w:rPr>
      </w:pPr>
      <w:r w:rsidRPr="6746F96C">
        <w:rPr>
          <w:rFonts w:ascii="Verdana" w:eastAsia="Calibri" w:hAnsi="Verdana" w:cs="Arial"/>
        </w:rPr>
        <w:lastRenderedPageBreak/>
        <w:t>En lo referente a la nulidad relativa, tanto la Ley 80 de 1993</w:t>
      </w:r>
      <w:r w:rsidRPr="008D2665">
        <w:rPr>
          <w:rFonts w:ascii="Verdana" w:eastAsia="Arial" w:hAnsi="Verdana" w:cs="Arial"/>
          <w:vertAlign w:val="superscript"/>
          <w:lang w:val="es-ES"/>
        </w:rPr>
        <w:footnoteReference w:id="7"/>
      </w:r>
      <w:r w:rsidRPr="6746F96C">
        <w:rPr>
          <w:rFonts w:ascii="Verdana" w:eastAsia="Calibri" w:hAnsi="Verdana" w:cs="Arial"/>
        </w:rPr>
        <w:t xml:space="preserve"> como el Código Civil</w:t>
      </w:r>
      <w:r w:rsidRPr="008D2665">
        <w:rPr>
          <w:rFonts w:ascii="Verdana" w:eastAsia="Arial" w:hAnsi="Verdana" w:cs="Arial"/>
          <w:vertAlign w:val="superscript"/>
          <w:lang w:val="es-ES"/>
        </w:rPr>
        <w:footnoteReference w:id="8"/>
      </w:r>
      <w:r w:rsidRPr="008D2665">
        <w:rPr>
          <w:rFonts w:ascii="Verdana" w:eastAsia="Arial" w:hAnsi="Verdana" w:cs="Arial"/>
          <w:lang w:val="es-ES"/>
        </w:rPr>
        <w:t xml:space="preserve"> </w:t>
      </w:r>
      <w:r w:rsidRPr="6746F96C">
        <w:rPr>
          <w:rFonts w:ascii="Verdana" w:eastAsia="Calibri" w:hAnsi="Verdana" w:cs="Arial"/>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6F9D7994" w14:textId="7374DD99" w:rsidR="00D9340F" w:rsidRDefault="00D9340F" w:rsidP="00D9340F">
      <w:pPr>
        <w:spacing w:after="0" w:line="276" w:lineRule="auto"/>
        <w:ind w:firstLine="709"/>
        <w:jc w:val="both"/>
        <w:rPr>
          <w:rFonts w:ascii="Verdana" w:eastAsia="Calibri" w:hAnsi="Verdana" w:cs="Times New Roman"/>
          <w:bCs/>
        </w:rPr>
      </w:pPr>
      <w:r w:rsidRPr="00394C8C">
        <w:rPr>
          <w:rFonts w:ascii="Verdana" w:eastAsia="Calibri" w:hAnsi="Verdana" w:cs="Times New Roman"/>
          <w:bCs/>
        </w:rPr>
        <w:t>A partir de estas consideraciones,</w:t>
      </w:r>
      <w:r>
        <w:rPr>
          <w:rFonts w:ascii="Verdana" w:eastAsia="Calibri" w:hAnsi="Verdana" w:cs="Times New Roman"/>
          <w:bCs/>
        </w:rPr>
        <w:t xml:space="preserve"> el artículo 45 de la Ley 80 de 1993 prescribe:</w:t>
      </w:r>
    </w:p>
    <w:p w14:paraId="074E1E1A" w14:textId="77777777" w:rsidR="00D9340F" w:rsidRPr="00A72235" w:rsidRDefault="00D9340F" w:rsidP="00D9340F">
      <w:pPr>
        <w:spacing w:after="0" w:line="276" w:lineRule="auto"/>
        <w:ind w:firstLine="709"/>
        <w:jc w:val="both"/>
        <w:rPr>
          <w:rFonts w:ascii="Verdana" w:eastAsia="Calibri" w:hAnsi="Verdana" w:cs="Times New Roman"/>
          <w:bCs/>
        </w:rPr>
      </w:pPr>
    </w:p>
    <w:p w14:paraId="5AE57E52" w14:textId="77777777" w:rsidR="00D9340F" w:rsidRPr="002E1F8D" w:rsidRDefault="00D9340F" w:rsidP="00D9340F">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312BF671" w14:textId="77777777" w:rsidR="00D9340F" w:rsidRPr="002E1F8D" w:rsidRDefault="00D9340F" w:rsidP="00D9340F">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7E9A210B" w14:textId="77777777" w:rsidR="00D9340F" w:rsidRDefault="00D9340F" w:rsidP="00D9340F">
      <w:pPr>
        <w:spacing w:after="120" w:line="276" w:lineRule="auto"/>
        <w:jc w:val="both"/>
        <w:rPr>
          <w:rFonts w:ascii="Verdana" w:eastAsia="Calibri" w:hAnsi="Verdana" w:cs="Times New Roman"/>
          <w:bCs/>
        </w:rPr>
      </w:pPr>
    </w:p>
    <w:p w14:paraId="330F1792" w14:textId="6CACC240" w:rsidR="00AF5919" w:rsidRDefault="00D9340F" w:rsidP="00D9340F">
      <w:pPr>
        <w:spacing w:after="120" w:line="276" w:lineRule="auto"/>
        <w:jc w:val="both"/>
        <w:rPr>
          <w:rFonts w:ascii="Verdana" w:eastAsia="Calibri" w:hAnsi="Verdana" w:cs="Times New Roman"/>
          <w:bCs/>
        </w:rPr>
      </w:pPr>
      <w:r>
        <w:rPr>
          <w:rFonts w:ascii="Verdana" w:eastAsia="Calibri" w:hAnsi="Verdana" w:cs="Times New Roman"/>
          <w:bCs/>
        </w:rPr>
        <w:tab/>
        <w:t xml:space="preserve">Así las cosas,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sidR="00AF5919">
        <w:rPr>
          <w:rFonts w:ascii="Verdana" w:eastAsia="Calibri" w:hAnsi="Verdana" w:cs="Times New Roman"/>
          <w:bCs/>
        </w:rPr>
        <w:t>.</w:t>
      </w:r>
    </w:p>
    <w:p w14:paraId="5E4E7CC6" w14:textId="77777777" w:rsidR="00AF5919" w:rsidRPr="0020008A" w:rsidRDefault="00AF5919" w:rsidP="00AF5919">
      <w:pPr>
        <w:spacing w:before="120" w:after="120" w:line="276" w:lineRule="auto"/>
        <w:ind w:firstLine="708"/>
        <w:jc w:val="both"/>
        <w:rPr>
          <w:rFonts w:ascii="Verdana" w:eastAsia="Times New Roman" w:hAnsi="Verdana" w:cs="Arial"/>
          <w:color w:val="1A1A1A" w:themeColor="background1" w:themeShade="1A"/>
          <w:lang w:eastAsia="es-ES_tradnl"/>
        </w:rPr>
      </w:pPr>
      <w:r w:rsidRPr="0020008A">
        <w:rPr>
          <w:rFonts w:ascii="Verdana" w:eastAsia="Times New Roman" w:hAnsi="Verdana" w:cs="Arial"/>
          <w:color w:val="1A1A1A" w:themeColor="background1" w:themeShade="1A"/>
          <w:lang w:eastAsia="es-ES_tradnl"/>
        </w:rPr>
        <w:t>Así mismo, el artículo 48 de la Ley 80 de 1993 dispone que la declaración de nulidad no impide el reconocimiento y pago de las prestaciones ejecutadas hasta el momento de la declaratoria, siempre que se haya generado un beneficio para la entidad estatal y hasta el monto de dicho beneficio.</w:t>
      </w:r>
    </w:p>
    <w:p w14:paraId="0415AB40" w14:textId="77777777" w:rsidR="00AF5919" w:rsidRPr="0020008A" w:rsidRDefault="00AF5919" w:rsidP="00AF5919">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En ese orden</w:t>
      </w:r>
      <w:r>
        <w:rPr>
          <w:rFonts w:ascii="Verdana" w:eastAsia="Times New Roman" w:hAnsi="Verdana" w:cs="Arial"/>
          <w:color w:val="1A1A1A" w:themeColor="background1" w:themeShade="1A"/>
          <w:lang w:eastAsia="es-ES_tradnl"/>
        </w:rPr>
        <w:t xml:space="preserve"> y en atención al problema jurídico planteado</w:t>
      </w:r>
      <w:r w:rsidRPr="0020008A">
        <w:rPr>
          <w:rFonts w:ascii="Verdana" w:eastAsia="Times New Roman" w:hAnsi="Verdana" w:cs="Arial"/>
          <w:color w:val="1A1A1A" w:themeColor="background1" w:themeShade="1A"/>
          <w:lang w:eastAsia="es-ES_tradnl"/>
        </w:rPr>
        <w:t xml:space="preserve">, una vez declarada la nulidad del contrato estatal de concesión y ordenada su terminación, cesa el fundamento jurídico que habilitaba al concesionario para </w:t>
      </w:r>
      <w:r w:rsidRPr="0020008A">
        <w:rPr>
          <w:rFonts w:ascii="Verdana" w:eastAsia="Times New Roman" w:hAnsi="Verdana" w:cs="Arial"/>
          <w:color w:val="1A1A1A" w:themeColor="background1" w:themeShade="1A"/>
          <w:lang w:eastAsia="es-ES_tradnl"/>
        </w:rPr>
        <w:lastRenderedPageBreak/>
        <w:t>ejecutar actividades propias del contrato, incluida la administración de recursos vinculados al mismo, aun cuando estos se encuentren gestionados a través de un encargo fiduciario. Lo anterior, en tanto la finalidad de dicho mecanismo está directamente ligada a la ejecución del contrato estatal, por lo que extinguida su causa, no resulta procedente que el contratista continúe ejerciendo dichas funciones.</w:t>
      </w:r>
    </w:p>
    <w:p w14:paraId="4E575844" w14:textId="77777777" w:rsidR="00AF5919" w:rsidRPr="0020008A" w:rsidRDefault="00AF5919" w:rsidP="00AF5919">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 xml:space="preserve">En relación con los reconocimientos económicos derivados de la ejecución contractual, debe señalarse que, conforme al </w:t>
      </w:r>
      <w:r>
        <w:rPr>
          <w:rFonts w:ascii="Verdana" w:eastAsia="Times New Roman" w:hAnsi="Verdana" w:cs="Arial"/>
          <w:color w:val="1A1A1A" w:themeColor="background1" w:themeShade="1A"/>
          <w:lang w:eastAsia="es-ES_tradnl"/>
        </w:rPr>
        <w:t xml:space="preserve">ya citado </w:t>
      </w:r>
      <w:r w:rsidRPr="0020008A">
        <w:rPr>
          <w:rFonts w:ascii="Verdana" w:eastAsia="Times New Roman" w:hAnsi="Verdana" w:cs="Arial"/>
          <w:color w:val="1A1A1A" w:themeColor="background1" w:themeShade="1A"/>
          <w:lang w:eastAsia="es-ES_tradnl"/>
        </w:rPr>
        <w:t>artículo 48 de la Ley 80 de 1993, procede el reconocimiento y pago de las prestaciones ejecutadas en contratos nulos, siempre que hayan representado un beneficio para la entidad estatal.</w:t>
      </w:r>
    </w:p>
    <w:p w14:paraId="07E21461" w14:textId="77777777" w:rsidR="00AF5919" w:rsidRPr="0020008A" w:rsidRDefault="00AF5919" w:rsidP="00AF5919">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En este sentido, la liquidación del contrato constituye el escenario natural para determinar el balance final de la ejecución contractual, así como las prestaciones cumplidas por las partes y los saldos a favor o en contra. De acuerdo con la doctrina de Colombia Compra Eficiente, la liquidación tiene como finalidad ajustar cuentas entre las partes y definir sus obligaciones recíprocas, incluso en eventos de terminación anormal del contrato.</w:t>
      </w:r>
    </w:p>
    <w:p w14:paraId="07348164" w14:textId="77777777" w:rsidR="00AF5919" w:rsidRPr="0020008A" w:rsidRDefault="00AF5919" w:rsidP="00AF5919">
      <w:pPr>
        <w:spacing w:before="120" w:after="120" w:line="276" w:lineRule="auto"/>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eastAsia="es-ES_tradnl"/>
        </w:rPr>
        <w:t xml:space="preserve">       </w:t>
      </w:r>
      <w:r w:rsidRPr="0020008A">
        <w:rPr>
          <w:rFonts w:ascii="Verdana" w:eastAsia="Times New Roman" w:hAnsi="Verdana" w:cs="Arial"/>
          <w:color w:val="1A1A1A" w:themeColor="background1" w:themeShade="1A"/>
          <w:lang w:eastAsia="es-ES_tradnl"/>
        </w:rPr>
        <w:t>Por lo tanto, como regla general, los pagos o reconocimientos económicos deben tramitarse dentro del proceso de liquidación contractual. Sin perjuicio de lo anterior, en caso de existir controversias o aspectos no definidos en dicha etapa, estos podrán ser objeto de pronunciamiento posterior por parte de la jurisdicción contencioso administrativa.</w:t>
      </w:r>
    </w:p>
    <w:p w14:paraId="2EB2F13C" w14:textId="6FFA19FD" w:rsidR="0057684F" w:rsidRPr="005055D5" w:rsidRDefault="0057684F" w:rsidP="0057684F">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1DD5581" w14:textId="77777777" w:rsidR="0057684F" w:rsidRDefault="0057684F" w:rsidP="0057684F">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w:t>
      </w:r>
      <w:r w:rsidRPr="005055D5">
        <w:rPr>
          <w:rFonts w:ascii="Verdana" w:eastAsia="Calibri" w:hAnsi="Verdana" w:cs="Arial"/>
          <w:bCs/>
          <w:color w:val="000000"/>
        </w:rPr>
        <w:lastRenderedPageBreak/>
        <w:t>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325ED03" w14:textId="77777777" w:rsidR="0057684F" w:rsidRPr="00742A56" w:rsidRDefault="0057684F" w:rsidP="0057684F">
      <w:pPr>
        <w:spacing w:after="0" w:line="276" w:lineRule="auto"/>
        <w:jc w:val="both"/>
        <w:rPr>
          <w:rFonts w:ascii="Verdana" w:hAnsi="Verdana" w:cs="Arial"/>
          <w:bCs/>
          <w:color w:val="000000" w:themeColor="text1"/>
        </w:rPr>
      </w:pPr>
    </w:p>
    <w:bookmarkEnd w:id="1"/>
    <w:bookmarkEnd w:id="2"/>
    <w:p w14:paraId="1338AC9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040ED14"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61C" w:rsidRPr="00115E3D" w14:paraId="0BF4D7F6" w14:textId="77777777" w:rsidTr="008D7291">
        <w:trPr>
          <w:trHeight w:val="335"/>
        </w:trPr>
        <w:tc>
          <w:tcPr>
            <w:tcW w:w="8647" w:type="dxa"/>
          </w:tcPr>
          <w:p w14:paraId="42628A94" w14:textId="77777777" w:rsidR="00DC347A" w:rsidRPr="00327D03" w:rsidRDefault="00DC347A" w:rsidP="00DC347A">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sidRPr="00327D03">
              <w:rPr>
                <w:rFonts w:ascii="Verdana" w:hAnsi="Verdana" w:cs="Arial"/>
              </w:rPr>
              <w:t>Ley 80 de 1993, artículos 13, 32, 40</w:t>
            </w:r>
            <w:r>
              <w:rPr>
                <w:rFonts w:ascii="Verdana" w:hAnsi="Verdana" w:cs="Arial"/>
              </w:rPr>
              <w:t xml:space="preserve">, 44,45, 46,47, 48. </w:t>
            </w:r>
          </w:p>
          <w:p w14:paraId="596B31FF" w14:textId="77777777" w:rsidR="00DC347A" w:rsidRDefault="00DC347A" w:rsidP="00DC347A">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13.</w:t>
            </w:r>
          </w:p>
          <w:p w14:paraId="0069E280" w14:textId="77777777" w:rsidR="00DC347A" w:rsidRDefault="00DC347A" w:rsidP="00DC347A">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16, 1519, 1602, 1625, 1741, 1742, 1743 y 1753.</w:t>
            </w:r>
          </w:p>
          <w:p w14:paraId="5D3F32C6" w14:textId="77777777" w:rsidR="00DC347A" w:rsidRPr="00DC6440" w:rsidRDefault="00DC347A" w:rsidP="00DC347A">
            <w:pPr>
              <w:widowControl w:val="0"/>
              <w:numPr>
                <w:ilvl w:val="0"/>
                <w:numId w:val="18"/>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BENAVIDES, José Luis. Identificación de las nulidades en los contratos estatales en Colombia. Revista Digital de derecho Administrativo. 25 (nov. 2020). </w:t>
            </w:r>
          </w:p>
          <w:p w14:paraId="58929F44" w14:textId="5F2C43C9" w:rsidR="009B15B0" w:rsidRPr="00D81159" w:rsidRDefault="009B15B0" w:rsidP="00DC347A">
            <w:pPr>
              <w:widowControl w:val="0"/>
              <w:autoSpaceDE w:val="0"/>
              <w:autoSpaceDN w:val="0"/>
              <w:spacing w:before="120" w:after="120" w:line="276" w:lineRule="auto"/>
              <w:ind w:left="714"/>
              <w:jc w:val="both"/>
              <w:rPr>
                <w:rFonts w:ascii="Verdana" w:hAnsi="Verdana" w:cs="Arial"/>
              </w:rPr>
            </w:pPr>
          </w:p>
        </w:tc>
      </w:tr>
    </w:tbl>
    <w:p w14:paraId="4B0DAD3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66BA0CD0"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A8A638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3B704CD7" w14:textId="7911D01B" w:rsidR="00AB0FE9" w:rsidRDefault="00134D45" w:rsidP="00816D34">
      <w:pPr>
        <w:widowControl w:val="0"/>
        <w:autoSpaceDE w:val="0"/>
        <w:autoSpaceDN w:val="0"/>
        <w:spacing w:after="0" w:line="276" w:lineRule="auto"/>
        <w:jc w:val="both"/>
        <w:rPr>
          <w:rFonts w:ascii="Verdana" w:hAnsi="Verdana" w:cs="Arial"/>
          <w:color w:val="000000" w:themeColor="text1"/>
          <w:shd w:val="clear" w:color="auto" w:fill="FFFFFF"/>
          <w:lang w:val="es-ES"/>
        </w:rPr>
      </w:pPr>
      <w:r w:rsidRPr="00BC1770">
        <w:rPr>
          <w:rStyle w:val="normaltextrun"/>
          <w:rFonts w:ascii="Verdana" w:hAnsi="Verdana" w:cs="Arial"/>
          <w:color w:val="000000" w:themeColor="text1"/>
          <w:shd w:val="clear" w:color="auto" w:fill="FFFFFF"/>
          <w:lang w:val="es-ES"/>
        </w:rPr>
        <w:t xml:space="preserve">La Agencia Nacional de Contratación Pública – Colombia Compra Eficiente se ha pronunciado </w:t>
      </w:r>
      <w:r w:rsidRPr="00BC1770">
        <w:rPr>
          <w:rFonts w:ascii="Verdana" w:hAnsi="Verdana"/>
          <w:lang w:val="es-ES"/>
        </w:rPr>
        <w:t xml:space="preserve">sobre </w:t>
      </w:r>
      <w:r>
        <w:rPr>
          <w:rFonts w:ascii="Verdana" w:hAnsi="Verdana"/>
          <w:lang w:val="es-ES"/>
        </w:rPr>
        <w:t xml:space="preserve">la </w:t>
      </w:r>
      <w:r w:rsidR="00DC347A" w:rsidRPr="00EB3BB3">
        <w:rPr>
          <w:rFonts w:ascii="Verdana" w:eastAsia="Aptos" w:hAnsi="Verdana" w:cs="Arial"/>
          <w:shd w:val="clear" w:color="auto" w:fill="FFFFFF"/>
          <w:lang w:val="es-ES"/>
        </w:rPr>
        <w:t xml:space="preserve">nulidad de los contratos estatales, esta Subdirección se ha referido en los Conceptos </w:t>
      </w:r>
      <w:r w:rsidR="00DC347A" w:rsidRPr="6746F96C">
        <w:rPr>
          <w:rFonts w:ascii="Verdana" w:eastAsia="Calibri" w:hAnsi="Verdana" w:cs="Arial"/>
          <w:lang w:val="es-ES" w:eastAsia="es-MX"/>
        </w:rPr>
        <w:t>C</w:t>
      </w:r>
      <w:r w:rsidR="00DC347A" w:rsidRPr="00EB3BB3">
        <w:rPr>
          <w:rFonts w:ascii="Aptos" w:eastAsia="Aptos" w:hAnsi="Aptos" w:cs="Times New Roman"/>
        </w:rPr>
        <w:t xml:space="preserve"> </w:t>
      </w:r>
      <w:r w:rsidR="00DC347A" w:rsidRPr="6746F96C">
        <w:rPr>
          <w:rFonts w:ascii="Verdana" w:eastAsia="Calibri" w:hAnsi="Verdana" w:cs="Arial"/>
          <w:lang w:val="es-ES" w:eastAsia="es-MX"/>
        </w:rPr>
        <w:t>C-600 del 13 de octubre de 2020, C-378 del 31 de agosto de 2021, C-575 del 13 de octubre de 2021, C-896 del 17 de enero de 2023, C-041 del 20 de febrero de 2025</w:t>
      </w:r>
      <w:r w:rsidR="00DC347A" w:rsidRPr="00EB3BB3">
        <w:rPr>
          <w:rFonts w:ascii="Verdana" w:eastAsia="Aptos" w:hAnsi="Verdana" w:cs="Arial"/>
          <w:shd w:val="clear" w:color="auto" w:fill="FFFFFF"/>
          <w:lang w:val="es-ES"/>
        </w:rPr>
        <w:t xml:space="preserve">, </w:t>
      </w:r>
      <w:r w:rsidR="00DC347A">
        <w:rPr>
          <w:rFonts w:ascii="Verdana" w:eastAsia="Aptos" w:hAnsi="Verdana" w:cs="Arial"/>
          <w:shd w:val="clear" w:color="auto" w:fill="FFFFFF"/>
          <w:lang w:val="es-ES"/>
        </w:rPr>
        <w:t xml:space="preserve">C-466 del 16 de mayo de 2025, C-901 del 18 de julio de 2025, C-836 del 31 de julio de 2025 </w:t>
      </w:r>
      <w:r w:rsidR="00DC347A" w:rsidRPr="00EB3BB3">
        <w:rPr>
          <w:rFonts w:ascii="Verdana" w:eastAsia="Aptos" w:hAnsi="Verdana" w:cs="Arial"/>
          <w:shd w:val="clear" w:color="auto" w:fill="FFFFFF"/>
          <w:lang w:val="es-ES"/>
        </w:rPr>
        <w:t>entre otros</w:t>
      </w:r>
      <w:r>
        <w:rPr>
          <w:rFonts w:ascii="Verdana" w:hAnsi="Verdana" w:cs="Arial"/>
          <w:color w:val="000000" w:themeColor="text1"/>
          <w:shd w:val="clear" w:color="auto" w:fill="FFFFFF"/>
          <w:lang w:val="es-ES"/>
        </w:rPr>
        <w:t>,</w:t>
      </w:r>
      <w:r w:rsidRPr="00BC1770">
        <w:rPr>
          <w:rFonts w:ascii="Verdana" w:hAnsi="Verdana" w:cs="Arial"/>
          <w:color w:val="000000" w:themeColor="text1"/>
          <w:shd w:val="clear" w:color="auto" w:fill="FFFFFF"/>
          <w:lang w:val="es-ES"/>
        </w:rPr>
        <w:t xml:space="preserve"> entre otros</w:t>
      </w:r>
      <w:r>
        <w:rPr>
          <w:rFonts w:ascii="Verdana" w:hAnsi="Verdana" w:cs="Arial"/>
          <w:color w:val="000000" w:themeColor="text1"/>
          <w:shd w:val="clear" w:color="auto" w:fill="FFFFFF"/>
          <w:lang w:val="es-ES"/>
        </w:rPr>
        <w:t>.</w:t>
      </w:r>
    </w:p>
    <w:p w14:paraId="1D86F2DA" w14:textId="77777777" w:rsidR="00134D45" w:rsidRDefault="00134D45" w:rsidP="00816D34">
      <w:pPr>
        <w:widowControl w:val="0"/>
        <w:autoSpaceDE w:val="0"/>
        <w:autoSpaceDN w:val="0"/>
        <w:spacing w:after="0" w:line="276" w:lineRule="auto"/>
        <w:jc w:val="both"/>
        <w:rPr>
          <w:rFonts w:ascii="Verdana" w:hAnsi="Verdana" w:cs="Arial"/>
        </w:rPr>
      </w:pPr>
    </w:p>
    <w:p w14:paraId="30701B02" w14:textId="47A90D4E" w:rsidR="00816D34" w:rsidRPr="00AB30E0" w:rsidRDefault="00816D34" w:rsidP="00816D34">
      <w:pPr>
        <w:widowControl w:val="0"/>
        <w:autoSpaceDE w:val="0"/>
        <w:autoSpaceDN w:val="0"/>
        <w:spacing w:after="0" w:line="276" w:lineRule="auto"/>
        <w:jc w:val="both"/>
        <w:rPr>
          <w:rStyle w:val="normaltextrun"/>
          <w:rFonts w:ascii="Verdana" w:eastAsia="Aptos" w:hAnsi="Verdana" w:cs="Arial"/>
          <w:shd w:val="clear" w:color="auto" w:fill="FFFFFF"/>
        </w:rPr>
      </w:pP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3" w:history="1">
        <w:r w:rsidRPr="00DC4B8E">
          <w:rPr>
            <w:rStyle w:val="Hipervnculo"/>
            <w:rFonts w:ascii="Verdana" w:hAnsi="Verdana" w:cs="Arial"/>
            <w:shd w:val="clear" w:color="auto" w:fill="FFFFFF"/>
            <w:lang w:val="es-ES"/>
          </w:rPr>
          <w:t>https://relatoria.colombiacompra.gov.co/busqueda/conceptos</w:t>
        </w:r>
      </w:hyperlink>
    </w:p>
    <w:p w14:paraId="1F37605E" w14:textId="77777777" w:rsidR="005B261C" w:rsidRPr="00115E3D" w:rsidRDefault="005B261C" w:rsidP="005B261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717F0FD7" w14:textId="77777777" w:rsidR="00A56252" w:rsidRPr="009A385A" w:rsidRDefault="00A56252" w:rsidP="00A56252">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328FA324" w14:textId="77777777" w:rsidR="00A56252" w:rsidRDefault="00A56252" w:rsidP="00A56252">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4B72759E" w14:textId="77777777" w:rsidR="00A56252" w:rsidRPr="009A385A" w:rsidRDefault="00A56252" w:rsidP="00A56252">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A78B2FE" w14:textId="75141098" w:rsidR="005B261C" w:rsidRPr="00115E3D" w:rsidRDefault="005B261C" w:rsidP="005B261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37780A1" w14:textId="77777777" w:rsidR="005B261C" w:rsidRPr="00115E3D" w:rsidRDefault="005B261C" w:rsidP="005B261C">
      <w:pPr>
        <w:spacing w:after="0" w:line="240" w:lineRule="auto"/>
        <w:jc w:val="both"/>
        <w:rPr>
          <w:rFonts w:ascii="Verdana" w:hAnsi="Verdana"/>
          <w:color w:val="000000" w:themeColor="text1"/>
        </w:rPr>
      </w:pPr>
    </w:p>
    <w:p w14:paraId="4A8E8FD5"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A30B538"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19A51331"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CDDFD37"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1B480C96"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 xml:space="preserve">y las expresiones aquí utilizadas con mayúscula inicial deben ser entendidas con el </w:t>
      </w:r>
      <w:r w:rsidRPr="00115E3D">
        <w:rPr>
          <w:rFonts w:ascii="Verdana" w:hAnsi="Verdana" w:cs="Arial"/>
          <w:color w:val="000000" w:themeColor="text1"/>
          <w:lang w:val="es-ES_tradnl"/>
        </w:rPr>
        <w:lastRenderedPageBreak/>
        <w:t>significado que les otorga el artículo 2.2.1.1.1.3.1. del Decreto 1082 de 2015.</w:t>
      </w:r>
    </w:p>
    <w:p w14:paraId="361795A8"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41D52C97" w14:textId="77777777"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E58F48F" w14:textId="77777777" w:rsidR="00811C72" w:rsidRDefault="00811C72" w:rsidP="005B261C">
      <w:pPr>
        <w:spacing w:line="276" w:lineRule="auto"/>
        <w:jc w:val="center"/>
        <w:rPr>
          <w:noProof/>
        </w:rPr>
      </w:pPr>
    </w:p>
    <w:p w14:paraId="027BE2C0" w14:textId="4DE2551B" w:rsidR="00811C72" w:rsidRDefault="00811C72" w:rsidP="005B261C">
      <w:pPr>
        <w:spacing w:line="276" w:lineRule="auto"/>
        <w:jc w:val="center"/>
        <w:rPr>
          <w:noProof/>
        </w:rPr>
      </w:pPr>
      <w:r>
        <w:rPr>
          <w:noProof/>
        </w:rPr>
        <w:drawing>
          <wp:inline distT="0" distB="0" distL="0" distR="0" wp14:anchorId="63ED79E6" wp14:editId="3672CB27">
            <wp:extent cx="3669030" cy="1575051"/>
            <wp:effectExtent l="0" t="0" r="7620" b="6350"/>
            <wp:docPr id="171565910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72045" cy="157634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5D1DB" w14:textId="6851F930" w:rsidR="005B261C" w:rsidRPr="00B37171" w:rsidRDefault="00F7787F"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Cardenas</w:t>
            </w:r>
          </w:p>
          <w:p w14:paraId="0B208D03" w14:textId="77777777"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3900974D" w14:textId="6B82F99B" w:rsidR="003D5B0D" w:rsidRDefault="003D5B0D" w:rsidP="005B261C"/>
    <w:sectPr w:rsidR="003D5B0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2AE06" w14:textId="77777777" w:rsidR="009D4E1A" w:rsidRDefault="009D4E1A" w:rsidP="004A1847">
      <w:pPr>
        <w:spacing w:after="0" w:line="240" w:lineRule="auto"/>
      </w:pPr>
      <w:r>
        <w:separator/>
      </w:r>
    </w:p>
  </w:endnote>
  <w:endnote w:type="continuationSeparator" w:id="0">
    <w:p w14:paraId="5708C43D" w14:textId="77777777" w:rsidR="009D4E1A" w:rsidRDefault="009D4E1A" w:rsidP="004A1847">
      <w:pPr>
        <w:spacing w:after="0" w:line="240" w:lineRule="auto"/>
      </w:pPr>
      <w:r>
        <w:continuationSeparator/>
      </w:r>
    </w:p>
  </w:endnote>
  <w:endnote w:type="continuationNotice" w:id="1">
    <w:p w14:paraId="447E6BB1" w14:textId="77777777" w:rsidR="009D4E1A" w:rsidRDefault="009D4E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BEE08" w14:textId="77777777" w:rsidR="009D4E1A" w:rsidRDefault="009D4E1A" w:rsidP="004A1847">
      <w:pPr>
        <w:spacing w:after="0" w:line="240" w:lineRule="auto"/>
      </w:pPr>
      <w:r>
        <w:separator/>
      </w:r>
    </w:p>
  </w:footnote>
  <w:footnote w:type="continuationSeparator" w:id="0">
    <w:p w14:paraId="46677BAC" w14:textId="77777777" w:rsidR="009D4E1A" w:rsidRDefault="009D4E1A" w:rsidP="004A1847">
      <w:pPr>
        <w:spacing w:after="0" w:line="240" w:lineRule="auto"/>
      </w:pPr>
      <w:r>
        <w:continuationSeparator/>
      </w:r>
    </w:p>
  </w:footnote>
  <w:footnote w:type="continuationNotice" w:id="1">
    <w:p w14:paraId="279681D1" w14:textId="77777777" w:rsidR="009D4E1A" w:rsidRDefault="009D4E1A">
      <w:pPr>
        <w:spacing w:after="0" w:line="240" w:lineRule="auto"/>
      </w:pPr>
    </w:p>
  </w:footnote>
  <w:footnote w:id="2">
    <w:p w14:paraId="7A3DAE4F" w14:textId="77777777" w:rsidR="00D9340F" w:rsidRPr="00914924" w:rsidRDefault="00D9340F" w:rsidP="00D9340F">
      <w:pPr>
        <w:pStyle w:val="Textonotapie"/>
        <w:ind w:firstLine="707"/>
        <w:jc w:val="both"/>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CONSEJO DE ESTADO. Sección Tercera-Subsección B. Sentencia del 30 de abril de 2012. Exp. 21.699. C.P. Ruth Stella Correa Palacio. </w:t>
      </w:r>
    </w:p>
  </w:footnote>
  <w:footnote w:id="3">
    <w:p w14:paraId="2B550BEE" w14:textId="77777777" w:rsidR="00D9340F" w:rsidRPr="00914924" w:rsidRDefault="00D9340F" w:rsidP="00D9340F">
      <w:pPr>
        <w:spacing w:after="0" w:line="240" w:lineRule="auto"/>
        <w:ind w:firstLine="707"/>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w:t>
      </w:r>
      <w:r w:rsidRPr="00914924">
        <w:rPr>
          <w:rFonts w:ascii="Verdana" w:hAnsi="Verdana" w:cs="Arial"/>
          <w:position w:val="6"/>
          <w:sz w:val="15"/>
          <w:szCs w:val="15"/>
        </w:rPr>
        <w:t xml:space="preserve"> “</w:t>
      </w:r>
      <w:r w:rsidRPr="00914924">
        <w:rPr>
          <w:rFonts w:ascii="Verdana" w:hAnsi="Verdana" w:cs="Arial"/>
          <w:sz w:val="15"/>
          <w:szCs w:val="15"/>
        </w:rPr>
        <w:t>Artículo 1740. Es nulo todo acto o contrato a que falta alguno de los requisitos que la ley prescribe para el valor del mismo acto o contrato según se especie y la calidad o estado de las partes. La nulidad puede ser absoluta o relativa”.</w:t>
      </w:r>
    </w:p>
  </w:footnote>
  <w:footnote w:id="4">
    <w:p w14:paraId="78B76D6B" w14:textId="77777777" w:rsidR="00D9340F" w:rsidRPr="00914924" w:rsidRDefault="00D9340F" w:rsidP="00D9340F">
      <w:pPr>
        <w:pStyle w:val="Textoindependiente1"/>
        <w:spacing w:after="0" w:line="240" w:lineRule="auto"/>
        <w:ind w:firstLine="720"/>
        <w:jc w:val="both"/>
        <w:rPr>
          <w:rFonts w:ascii="Verdana" w:hAnsi="Verdana" w:cs="Times New Roman"/>
          <w:sz w:val="15"/>
          <w:szCs w:val="15"/>
        </w:rPr>
      </w:pPr>
      <w:r w:rsidRPr="00914924">
        <w:rPr>
          <w:rStyle w:val="Refdenotaalpie"/>
          <w:rFonts w:ascii="Verdana" w:hAnsi="Verdana"/>
          <w:sz w:val="15"/>
          <w:szCs w:val="15"/>
        </w:rPr>
        <w:footnoteRef/>
      </w:r>
      <w:r w:rsidRPr="00914924">
        <w:rPr>
          <w:rFonts w:ascii="Verdana" w:hAnsi="Verdana"/>
          <w:sz w:val="15"/>
          <w:szCs w:val="15"/>
        </w:rPr>
        <w:t xml:space="preserve"> Código de Comercio. Artículo 899.</w:t>
      </w:r>
    </w:p>
  </w:footnote>
  <w:footnote w:id="5">
    <w:p w14:paraId="2FED9869" w14:textId="77777777" w:rsidR="00D9340F" w:rsidRPr="00914924" w:rsidRDefault="00D9340F" w:rsidP="00D9340F">
      <w:pPr>
        <w:pStyle w:val="Textoindependiente2"/>
        <w:spacing w:after="0" w:line="240" w:lineRule="auto"/>
        <w:jc w:val="both"/>
        <w:rPr>
          <w:rFonts w:ascii="Verdana" w:hAnsi="Verdana"/>
          <w:sz w:val="15"/>
          <w:szCs w:val="15"/>
        </w:rPr>
      </w:pPr>
    </w:p>
    <w:p w14:paraId="48FCB568" w14:textId="77777777" w:rsidR="00D9340F" w:rsidRPr="00914924" w:rsidRDefault="00D9340F" w:rsidP="00D9340F">
      <w:pPr>
        <w:pStyle w:val="Textoindependiente2"/>
        <w:spacing w:after="0" w:line="240" w:lineRule="auto"/>
        <w:ind w:firstLine="720"/>
        <w:jc w:val="both"/>
        <w:rPr>
          <w:rFonts w:ascii="Verdana" w:hAnsi="Verdana" w:cs="Times New Roman"/>
          <w:sz w:val="15"/>
          <w:szCs w:val="15"/>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position w:val="6"/>
          <w:sz w:val="15"/>
          <w:szCs w:val="15"/>
        </w:rPr>
        <w:t xml:space="preserve"> </w:t>
      </w:r>
      <w:r w:rsidRPr="00914924">
        <w:rPr>
          <w:rFonts w:ascii="Verdana" w:hAnsi="Verdana"/>
          <w:sz w:val="15"/>
          <w:szCs w:val="15"/>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21C838A4"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Hay asimismo nulidad absoluta en los actos y contratos de personas absolutamente incapaces.</w:t>
      </w:r>
    </w:p>
    <w:p w14:paraId="1931A799" w14:textId="77777777" w:rsidR="00D9340F" w:rsidRPr="00914924" w:rsidRDefault="00D9340F" w:rsidP="00D9340F">
      <w:pPr>
        <w:pStyle w:val="Textoindependiente2"/>
        <w:spacing w:after="0" w:line="240" w:lineRule="auto"/>
        <w:ind w:firstLine="720"/>
        <w:jc w:val="both"/>
        <w:rPr>
          <w:rFonts w:ascii="Verdana" w:hAnsi="Verdana" w:cs="Times New Roman"/>
          <w:sz w:val="15"/>
          <w:szCs w:val="15"/>
        </w:rPr>
      </w:pPr>
      <w:r w:rsidRPr="00914924">
        <w:rPr>
          <w:rFonts w:ascii="Verdana" w:hAnsi="Verdana"/>
          <w:sz w:val="15"/>
          <w:szCs w:val="15"/>
        </w:rPr>
        <w:t>Código de Comercio. Artículo 899. Nulidad absoluta. Será nulo absolutamente el negocio jurídico en los siguientes casos:</w:t>
      </w:r>
    </w:p>
    <w:p w14:paraId="20F75F04"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1) Cuando contraría una norma imperativa, salvo que la ley disponga otra cosa;</w:t>
      </w:r>
    </w:p>
    <w:p w14:paraId="4D04EC67"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2) Cuando tenga causa u objeto ilícitos, y</w:t>
      </w:r>
    </w:p>
    <w:p w14:paraId="50EDFDFD" w14:textId="77777777" w:rsidR="00D9340F" w:rsidRPr="00914924" w:rsidRDefault="00D9340F" w:rsidP="00D9340F">
      <w:pPr>
        <w:spacing w:after="0" w:line="240" w:lineRule="auto"/>
        <w:ind w:firstLine="707"/>
        <w:jc w:val="both"/>
        <w:rPr>
          <w:rFonts w:ascii="Verdana" w:hAnsi="Verdana" w:cs="Arial"/>
          <w:sz w:val="15"/>
          <w:szCs w:val="15"/>
        </w:rPr>
      </w:pPr>
      <w:r w:rsidRPr="00914924">
        <w:rPr>
          <w:rFonts w:ascii="Verdana" w:hAnsi="Verdana" w:cs="Arial"/>
          <w:sz w:val="15"/>
          <w:szCs w:val="15"/>
        </w:rPr>
        <w:t>3) Cuando se haya celebrado por persona absolutamente incapaz”.</w:t>
      </w:r>
    </w:p>
  </w:footnote>
  <w:footnote w:id="6">
    <w:p w14:paraId="5535B331" w14:textId="77777777" w:rsidR="00D9340F" w:rsidRPr="00914924" w:rsidRDefault="00D9340F" w:rsidP="00D9340F">
      <w:pPr>
        <w:spacing w:after="0" w:line="240" w:lineRule="auto"/>
        <w:ind w:firstLine="707"/>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44. Los contratos del Estado son absolutamente nulos en los casos previstos en el derecho común y además cuando:</w:t>
      </w:r>
    </w:p>
    <w:p w14:paraId="0828484E"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1o. Se celebren con personas incursas en causales de inhabilidad o incompatibilidad previstas en la Constitución y la ley;</w:t>
      </w:r>
    </w:p>
    <w:p w14:paraId="0C6A8239"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 xml:space="preserve">2o. Se celebren contra expresa prohibición constitucional o legal; </w:t>
      </w:r>
    </w:p>
    <w:p w14:paraId="6D128CC9"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3o. Se celebren con abuso o desviación de poder;</w:t>
      </w:r>
    </w:p>
    <w:p w14:paraId="7BAFF12E"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4o. Se declaren nulos los actos administrativos en que se fundamenten; y</w:t>
      </w:r>
    </w:p>
    <w:p w14:paraId="27C45CC9" w14:textId="77777777" w:rsidR="00D9340F" w:rsidRPr="00914924" w:rsidRDefault="00D9340F" w:rsidP="00D9340F">
      <w:pPr>
        <w:spacing w:after="0" w:line="240" w:lineRule="auto"/>
        <w:ind w:firstLine="708"/>
        <w:jc w:val="both"/>
        <w:rPr>
          <w:rFonts w:ascii="Verdana" w:hAnsi="Verdana" w:cs="Arial"/>
          <w:sz w:val="15"/>
          <w:szCs w:val="15"/>
        </w:rPr>
      </w:pPr>
      <w:r w:rsidRPr="00914924">
        <w:rPr>
          <w:rFonts w:ascii="Verdana" w:hAnsi="Verdana" w:cs="Arial"/>
          <w:sz w:val="15"/>
          <w:szCs w:val="15"/>
        </w:rPr>
        <w:t>5o. Se hubieren celebrado con desconocimiento de los criterios previstos en el artículo 21 sobre tratamiento de ofertas nacionales y extranjeras o con violación de la reciprocidad de que trata esta ley”.</w:t>
      </w:r>
    </w:p>
  </w:footnote>
  <w:footnote w:id="7">
    <w:p w14:paraId="3328543A" w14:textId="77777777" w:rsidR="00D9340F" w:rsidRPr="00914924" w:rsidRDefault="00D9340F" w:rsidP="00D9340F">
      <w:pPr>
        <w:spacing w:after="0" w:line="240" w:lineRule="auto"/>
        <w:ind w:firstLine="708"/>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46. de la nulidad relativa. Los demás vicios que se presenten en los contratos y que conforme al </w:t>
      </w:r>
      <w:r w:rsidRPr="00914924">
        <w:rPr>
          <w:rFonts w:ascii="Verdana" w:hAnsi="Verdana" w:cs="Arial"/>
          <w:i/>
          <w:sz w:val="15"/>
          <w:szCs w:val="15"/>
        </w:rPr>
        <w:t>derecho común</w:t>
      </w:r>
      <w:r w:rsidRPr="00914924">
        <w:rPr>
          <w:rFonts w:ascii="Verdana" w:hAnsi="Verdana" w:cs="Arial"/>
          <w:sz w:val="15"/>
          <w:szCs w:val="15"/>
        </w:rPr>
        <w:t xml:space="preserve"> constituyen causales de nulidad relativa, pueden sanearse por ratificación expresa de los interesados o por el transcurso de dos (2) años contados a partir de la ocurrencia del hecho generador del vicio”. [Énfasis fuera del texto].</w:t>
      </w:r>
    </w:p>
    <w:p w14:paraId="2D33FA4E" w14:textId="77777777" w:rsidR="00D9340F" w:rsidRPr="00914924" w:rsidRDefault="00D9340F" w:rsidP="00D9340F">
      <w:pPr>
        <w:spacing w:after="0" w:line="240" w:lineRule="auto"/>
        <w:ind w:firstLine="708"/>
        <w:jc w:val="both"/>
        <w:rPr>
          <w:rFonts w:ascii="Verdana" w:hAnsi="Verdana" w:cs="Arial"/>
          <w:sz w:val="15"/>
          <w:szCs w:val="15"/>
        </w:rPr>
      </w:pPr>
    </w:p>
  </w:footnote>
  <w:footnote w:id="8">
    <w:p w14:paraId="3E1655E2" w14:textId="77777777" w:rsidR="00D9340F" w:rsidRPr="00914924" w:rsidRDefault="00D9340F" w:rsidP="00D9340F">
      <w:pPr>
        <w:pStyle w:val="Textonotapie"/>
        <w:ind w:firstLine="708"/>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79E986E1" w14:textId="77777777" w:rsidR="00D9340F" w:rsidRPr="00914924" w:rsidRDefault="00D9340F" w:rsidP="00D9340F">
      <w:pPr>
        <w:pStyle w:val="Textonotapie"/>
        <w:ind w:firstLine="708"/>
        <w:jc w:val="both"/>
        <w:rPr>
          <w:rFonts w:ascii="Verdana" w:hAnsi="Verdana" w:cs="Arial"/>
          <w:sz w:val="15"/>
          <w:szCs w:val="15"/>
        </w:rPr>
      </w:pPr>
      <w:r w:rsidRPr="00914924">
        <w:rPr>
          <w:rFonts w:ascii="Verdana" w:hAnsi="Verdana" w:cs="Arial"/>
          <w:sz w:val="15"/>
          <w:szCs w:val="15"/>
        </w:rPr>
        <w:t>Hay así mismo nulidad absoluta en los actos y contratos de personas absolutamente incapaces.</w:t>
      </w:r>
    </w:p>
    <w:p w14:paraId="0EE86665" w14:textId="77777777" w:rsidR="00D9340F" w:rsidRPr="00914924" w:rsidRDefault="00D9340F" w:rsidP="00D9340F">
      <w:pPr>
        <w:pStyle w:val="Textonotapie"/>
        <w:ind w:firstLine="708"/>
        <w:jc w:val="both"/>
        <w:rPr>
          <w:rFonts w:ascii="Verdana" w:hAnsi="Verdana" w:cs="Arial"/>
          <w:sz w:val="15"/>
          <w:szCs w:val="15"/>
        </w:rPr>
      </w:pPr>
      <w:r w:rsidRPr="00914924">
        <w:rPr>
          <w:rFonts w:ascii="Verdana" w:hAnsi="Verdana" w:cs="Arial"/>
          <w:i/>
          <w:sz w:val="15"/>
          <w:szCs w:val="15"/>
        </w:rPr>
        <w:t>Cualquiera otra especie de vicio produce nulidad relativa,</w:t>
      </w:r>
      <w:r w:rsidRPr="00914924">
        <w:rPr>
          <w:rFonts w:ascii="Verdana" w:hAnsi="Verdana" w:cs="Arial"/>
          <w:sz w:val="15"/>
          <w:szCs w:val="15"/>
        </w:rPr>
        <w:t xml:space="preserve"> y da derecho a la rescisión del acto o contrato” [Énfasis fuera del texto].</w:t>
      </w:r>
    </w:p>
    <w:p w14:paraId="04ACDF87" w14:textId="77777777" w:rsidR="00D9340F" w:rsidRPr="00914924" w:rsidRDefault="00D9340F" w:rsidP="00D9340F">
      <w:pPr>
        <w:pStyle w:val="Textonotapie"/>
        <w:ind w:firstLine="708"/>
        <w:jc w:val="both"/>
        <w:rPr>
          <w:rFonts w:ascii="Verdana" w:hAnsi="Verdana" w:cs="Arial"/>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44587744" o:spid="_x0000_i1025" type="#_x0000_t75" style="width:11.25pt;height:11.25pt;visibility:visible;mso-wrap-style:square" o:bullet="t">
        <v:imagedata r:id="rId1" o:title=""/>
      </v:shape>
    </w:pict>
  </w:numPicBullet>
  <w:abstractNum w:abstractNumId="0" w15:restartNumberingAfterBreak="0">
    <w:nsid w:val="E0B0C93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AC8513F"/>
    <w:multiLevelType w:val="hybridMultilevel"/>
    <w:tmpl w:val="CE38E64E"/>
    <w:lvl w:ilvl="0" w:tplc="68A046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A8B719B"/>
    <w:multiLevelType w:val="hybridMultilevel"/>
    <w:tmpl w:val="54DAC94E"/>
    <w:lvl w:ilvl="0" w:tplc="3BDE3448">
      <w:numFmt w:val="bullet"/>
      <w:lvlText w:val=""/>
      <w:lvlJc w:val="left"/>
      <w:pPr>
        <w:ind w:left="1778" w:hanging="360"/>
      </w:pPr>
      <w:rPr>
        <w:rFonts w:ascii="Symbol" w:eastAsia="Century Gothic" w:hAnsi="Symbol" w:cs="Century Gothic"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7" w15:restartNumberingAfterBreak="0">
    <w:nsid w:val="1AC70AA2"/>
    <w:multiLevelType w:val="hybridMultilevel"/>
    <w:tmpl w:val="C9DC9F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DAC081E"/>
    <w:multiLevelType w:val="hybridMultilevel"/>
    <w:tmpl w:val="873460C8"/>
    <w:lvl w:ilvl="0" w:tplc="7042075A">
      <w:start w:val="1"/>
      <w:numFmt w:val="lowerRoman"/>
      <w:lvlText w:val="%1)"/>
      <w:lvlJc w:val="left"/>
      <w:pPr>
        <w:ind w:left="1080" w:hanging="720"/>
      </w:pPr>
      <w:rPr>
        <w:rFonts w:ascii="Verdana" w:hAnsi="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2266A9"/>
    <w:multiLevelType w:val="hybridMultilevel"/>
    <w:tmpl w:val="647C40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D070833"/>
    <w:multiLevelType w:val="hybridMultilevel"/>
    <w:tmpl w:val="DC7C2C48"/>
    <w:lvl w:ilvl="0" w:tplc="77DA7758">
      <w:start w:val="1"/>
      <w:numFmt w:val="lowerRoman"/>
      <w:lvlText w:val="(%1)"/>
      <w:lvlJc w:val="left"/>
      <w:pPr>
        <w:ind w:left="1789" w:hanging="108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E21082B"/>
    <w:multiLevelType w:val="hybridMultilevel"/>
    <w:tmpl w:val="FA263692"/>
    <w:lvl w:ilvl="0" w:tplc="3BDE3448">
      <w:numFmt w:val="bullet"/>
      <w:lvlText w:val=""/>
      <w:lvlJc w:val="left"/>
      <w:pPr>
        <w:ind w:left="1069" w:hanging="360"/>
      </w:pPr>
      <w:rPr>
        <w:rFonts w:ascii="Symbol" w:eastAsia="Century Gothic" w:hAnsi="Symbol" w:cs="Century Gothic"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1"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6CC759D"/>
    <w:multiLevelType w:val="multilevel"/>
    <w:tmpl w:val="BDE21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0053F45"/>
    <w:multiLevelType w:val="hybridMultilevel"/>
    <w:tmpl w:val="F3FE11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15:restartNumberingAfterBreak="0">
    <w:nsid w:val="732823A5"/>
    <w:multiLevelType w:val="hybridMultilevel"/>
    <w:tmpl w:val="506E1E9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32"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14"/>
  </w:num>
  <w:num w:numId="2" w16cid:durableId="19822139">
    <w:abstractNumId w:val="3"/>
  </w:num>
  <w:num w:numId="3" w16cid:durableId="876742304">
    <w:abstractNumId w:val="12"/>
  </w:num>
  <w:num w:numId="4" w16cid:durableId="2451864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8"/>
  </w:num>
  <w:num w:numId="7" w16cid:durableId="1946422806">
    <w:abstractNumId w:val="13"/>
  </w:num>
  <w:num w:numId="8" w16cid:durableId="152644682">
    <w:abstractNumId w:val="26"/>
  </w:num>
  <w:num w:numId="9" w16cid:durableId="1317221377">
    <w:abstractNumId w:val="15"/>
  </w:num>
  <w:num w:numId="10" w16cid:durableId="1471245386">
    <w:abstractNumId w:val="25"/>
  </w:num>
  <w:num w:numId="11" w16cid:durableId="289172385">
    <w:abstractNumId w:val="16"/>
  </w:num>
  <w:num w:numId="12" w16cid:durableId="1470781324">
    <w:abstractNumId w:val="2"/>
  </w:num>
  <w:num w:numId="13" w16cid:durableId="1512908409">
    <w:abstractNumId w:val="9"/>
  </w:num>
  <w:num w:numId="14" w16cid:durableId="895897244">
    <w:abstractNumId w:val="29"/>
  </w:num>
  <w:num w:numId="15" w16cid:durableId="390349800">
    <w:abstractNumId w:val="23"/>
  </w:num>
  <w:num w:numId="16" w16cid:durableId="341274352">
    <w:abstractNumId w:val="1"/>
  </w:num>
  <w:num w:numId="17" w16cid:durableId="1017849859">
    <w:abstractNumId w:val="32"/>
  </w:num>
  <w:num w:numId="18" w16cid:durableId="140847646">
    <w:abstractNumId w:val="17"/>
  </w:num>
  <w:num w:numId="19" w16cid:durableId="671685389">
    <w:abstractNumId w:val="10"/>
  </w:num>
  <w:num w:numId="20" w16cid:durableId="1188106915">
    <w:abstractNumId w:val="27"/>
  </w:num>
  <w:num w:numId="21" w16cid:durableId="991132821">
    <w:abstractNumId w:val="5"/>
  </w:num>
  <w:num w:numId="22" w16cid:durableId="782461700">
    <w:abstractNumId w:val="21"/>
  </w:num>
  <w:num w:numId="23" w16cid:durableId="527525362">
    <w:abstractNumId w:val="4"/>
  </w:num>
  <w:num w:numId="24" w16cid:durableId="153111184">
    <w:abstractNumId w:val="8"/>
  </w:num>
  <w:num w:numId="25" w16cid:durableId="376856127">
    <w:abstractNumId w:val="22"/>
  </w:num>
  <w:num w:numId="26" w16cid:durableId="153255849">
    <w:abstractNumId w:val="19"/>
  </w:num>
  <w:num w:numId="27" w16cid:durableId="1203205605">
    <w:abstractNumId w:val="7"/>
  </w:num>
  <w:num w:numId="28" w16cid:durableId="1952470039">
    <w:abstractNumId w:val="0"/>
  </w:num>
  <w:num w:numId="29" w16cid:durableId="1310748712">
    <w:abstractNumId w:val="30"/>
  </w:num>
  <w:num w:numId="30" w16cid:durableId="1187329359">
    <w:abstractNumId w:val="24"/>
  </w:num>
  <w:num w:numId="31" w16cid:durableId="899824186">
    <w:abstractNumId w:val="31"/>
  </w:num>
  <w:num w:numId="32" w16cid:durableId="916674192">
    <w:abstractNumId w:val="20"/>
  </w:num>
  <w:num w:numId="33" w16cid:durableId="938871301">
    <w:abstractNumId w:val="6"/>
  </w:num>
  <w:num w:numId="34" w16cid:durableId="950015164">
    <w:abstractNumId w:val="11"/>
  </w:num>
  <w:num w:numId="35" w16cid:durableId="7044097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297"/>
    <w:rsid w:val="000031D4"/>
    <w:rsid w:val="000036CD"/>
    <w:rsid w:val="00016F78"/>
    <w:rsid w:val="00023841"/>
    <w:rsid w:val="00026E67"/>
    <w:rsid w:val="00030157"/>
    <w:rsid w:val="0003198F"/>
    <w:rsid w:val="00046945"/>
    <w:rsid w:val="00050A45"/>
    <w:rsid w:val="000569D7"/>
    <w:rsid w:val="00061B2A"/>
    <w:rsid w:val="00061BF9"/>
    <w:rsid w:val="00070A47"/>
    <w:rsid w:val="000715F9"/>
    <w:rsid w:val="00071D04"/>
    <w:rsid w:val="000741CF"/>
    <w:rsid w:val="00074755"/>
    <w:rsid w:val="00082362"/>
    <w:rsid w:val="00096CB6"/>
    <w:rsid w:val="000A683E"/>
    <w:rsid w:val="000B19B9"/>
    <w:rsid w:val="000C41A1"/>
    <w:rsid w:val="000C5BB0"/>
    <w:rsid w:val="000D0334"/>
    <w:rsid w:val="000D32F2"/>
    <w:rsid w:val="000D39A8"/>
    <w:rsid w:val="000D6575"/>
    <w:rsid w:val="000F3B46"/>
    <w:rsid w:val="000F6486"/>
    <w:rsid w:val="000F7495"/>
    <w:rsid w:val="00105873"/>
    <w:rsid w:val="0011036B"/>
    <w:rsid w:val="00115596"/>
    <w:rsid w:val="00116BF3"/>
    <w:rsid w:val="00117910"/>
    <w:rsid w:val="00121D93"/>
    <w:rsid w:val="00123942"/>
    <w:rsid w:val="00125105"/>
    <w:rsid w:val="00127233"/>
    <w:rsid w:val="00131F6C"/>
    <w:rsid w:val="00134D45"/>
    <w:rsid w:val="00136DDB"/>
    <w:rsid w:val="001511A0"/>
    <w:rsid w:val="00155AF4"/>
    <w:rsid w:val="00157516"/>
    <w:rsid w:val="0016458B"/>
    <w:rsid w:val="00171455"/>
    <w:rsid w:val="00184FD0"/>
    <w:rsid w:val="00190152"/>
    <w:rsid w:val="001951C0"/>
    <w:rsid w:val="001A1D91"/>
    <w:rsid w:val="001B36DA"/>
    <w:rsid w:val="001B6057"/>
    <w:rsid w:val="001C2B2F"/>
    <w:rsid w:val="001D556A"/>
    <w:rsid w:val="001D6A29"/>
    <w:rsid w:val="001E4177"/>
    <w:rsid w:val="001E4D2C"/>
    <w:rsid w:val="001F0087"/>
    <w:rsid w:val="001F2608"/>
    <w:rsid w:val="001F32BC"/>
    <w:rsid w:val="001F3C2F"/>
    <w:rsid w:val="001F7DC6"/>
    <w:rsid w:val="0020008A"/>
    <w:rsid w:val="002016D7"/>
    <w:rsid w:val="00213E81"/>
    <w:rsid w:val="002153FB"/>
    <w:rsid w:val="0022654C"/>
    <w:rsid w:val="00227D83"/>
    <w:rsid w:val="00236655"/>
    <w:rsid w:val="00240332"/>
    <w:rsid w:val="00241C6F"/>
    <w:rsid w:val="002421BB"/>
    <w:rsid w:val="00243D94"/>
    <w:rsid w:val="00243EB3"/>
    <w:rsid w:val="00244003"/>
    <w:rsid w:val="0025796E"/>
    <w:rsid w:val="00261865"/>
    <w:rsid w:val="002707A2"/>
    <w:rsid w:val="00281F2F"/>
    <w:rsid w:val="0028627B"/>
    <w:rsid w:val="0029110A"/>
    <w:rsid w:val="002951A0"/>
    <w:rsid w:val="002962BC"/>
    <w:rsid w:val="002A093D"/>
    <w:rsid w:val="002A0DD0"/>
    <w:rsid w:val="002A49AC"/>
    <w:rsid w:val="002A5959"/>
    <w:rsid w:val="002A64FD"/>
    <w:rsid w:val="002B07F5"/>
    <w:rsid w:val="002C2C14"/>
    <w:rsid w:val="002C4DD6"/>
    <w:rsid w:val="002C7A84"/>
    <w:rsid w:val="002C7C31"/>
    <w:rsid w:val="002D2F95"/>
    <w:rsid w:val="002D7BA3"/>
    <w:rsid w:val="002E1DE9"/>
    <w:rsid w:val="002E4FD9"/>
    <w:rsid w:val="00307E2F"/>
    <w:rsid w:val="0031246C"/>
    <w:rsid w:val="00322A85"/>
    <w:rsid w:val="00324168"/>
    <w:rsid w:val="003434C2"/>
    <w:rsid w:val="003439EA"/>
    <w:rsid w:val="003448F4"/>
    <w:rsid w:val="003449DF"/>
    <w:rsid w:val="00347989"/>
    <w:rsid w:val="00356BB6"/>
    <w:rsid w:val="003574B8"/>
    <w:rsid w:val="00357CBC"/>
    <w:rsid w:val="00361D55"/>
    <w:rsid w:val="0036566B"/>
    <w:rsid w:val="00366ECA"/>
    <w:rsid w:val="0037185D"/>
    <w:rsid w:val="00374F5E"/>
    <w:rsid w:val="00375D58"/>
    <w:rsid w:val="00377E3E"/>
    <w:rsid w:val="003851C4"/>
    <w:rsid w:val="00385D7A"/>
    <w:rsid w:val="00392243"/>
    <w:rsid w:val="003967EF"/>
    <w:rsid w:val="003A779E"/>
    <w:rsid w:val="003B4357"/>
    <w:rsid w:val="003C1482"/>
    <w:rsid w:val="003C201D"/>
    <w:rsid w:val="003C34EC"/>
    <w:rsid w:val="003C60CC"/>
    <w:rsid w:val="003C7DF5"/>
    <w:rsid w:val="003D0F4D"/>
    <w:rsid w:val="003D5B0D"/>
    <w:rsid w:val="003D6DC3"/>
    <w:rsid w:val="003E0499"/>
    <w:rsid w:val="003E157B"/>
    <w:rsid w:val="003E4C15"/>
    <w:rsid w:val="003F1356"/>
    <w:rsid w:val="003F36D8"/>
    <w:rsid w:val="003F3941"/>
    <w:rsid w:val="003F4477"/>
    <w:rsid w:val="004041D3"/>
    <w:rsid w:val="00406575"/>
    <w:rsid w:val="0041325A"/>
    <w:rsid w:val="00414C74"/>
    <w:rsid w:val="00414ED9"/>
    <w:rsid w:val="00420D97"/>
    <w:rsid w:val="0042722E"/>
    <w:rsid w:val="00431C9C"/>
    <w:rsid w:val="00432F47"/>
    <w:rsid w:val="00433266"/>
    <w:rsid w:val="00435C1F"/>
    <w:rsid w:val="00440F69"/>
    <w:rsid w:val="0044528D"/>
    <w:rsid w:val="00453E51"/>
    <w:rsid w:val="0046338E"/>
    <w:rsid w:val="00467D00"/>
    <w:rsid w:val="00486830"/>
    <w:rsid w:val="004957D9"/>
    <w:rsid w:val="00496C3E"/>
    <w:rsid w:val="004A153D"/>
    <w:rsid w:val="004A1847"/>
    <w:rsid w:val="004A210F"/>
    <w:rsid w:val="004A305D"/>
    <w:rsid w:val="004B2C42"/>
    <w:rsid w:val="004B4626"/>
    <w:rsid w:val="004B4703"/>
    <w:rsid w:val="004B557B"/>
    <w:rsid w:val="004C7B86"/>
    <w:rsid w:val="004D1C85"/>
    <w:rsid w:val="004E6EAC"/>
    <w:rsid w:val="004F21C4"/>
    <w:rsid w:val="004F345C"/>
    <w:rsid w:val="004F35BB"/>
    <w:rsid w:val="004F685F"/>
    <w:rsid w:val="004F6A51"/>
    <w:rsid w:val="00514F13"/>
    <w:rsid w:val="00517B15"/>
    <w:rsid w:val="00535F3F"/>
    <w:rsid w:val="0055236C"/>
    <w:rsid w:val="005566E8"/>
    <w:rsid w:val="00574867"/>
    <w:rsid w:val="00575B29"/>
    <w:rsid w:val="0057684F"/>
    <w:rsid w:val="00591460"/>
    <w:rsid w:val="00593890"/>
    <w:rsid w:val="005A1A21"/>
    <w:rsid w:val="005A25FF"/>
    <w:rsid w:val="005A2AF9"/>
    <w:rsid w:val="005A76EA"/>
    <w:rsid w:val="005A7CD6"/>
    <w:rsid w:val="005B261C"/>
    <w:rsid w:val="005B3816"/>
    <w:rsid w:val="005B3E70"/>
    <w:rsid w:val="005B5954"/>
    <w:rsid w:val="005C3777"/>
    <w:rsid w:val="005C5CDC"/>
    <w:rsid w:val="005D476C"/>
    <w:rsid w:val="005E0D10"/>
    <w:rsid w:val="005F338A"/>
    <w:rsid w:val="005F4E30"/>
    <w:rsid w:val="0060028A"/>
    <w:rsid w:val="0060398A"/>
    <w:rsid w:val="00606398"/>
    <w:rsid w:val="006149BD"/>
    <w:rsid w:val="00616168"/>
    <w:rsid w:val="00617D2D"/>
    <w:rsid w:val="006219F8"/>
    <w:rsid w:val="00632FA8"/>
    <w:rsid w:val="00654612"/>
    <w:rsid w:val="006612CC"/>
    <w:rsid w:val="00665D70"/>
    <w:rsid w:val="00677DC3"/>
    <w:rsid w:val="00682B04"/>
    <w:rsid w:val="006900D9"/>
    <w:rsid w:val="00692C49"/>
    <w:rsid w:val="006B3F5C"/>
    <w:rsid w:val="006B413C"/>
    <w:rsid w:val="006C1950"/>
    <w:rsid w:val="006D0D53"/>
    <w:rsid w:val="006D6AAA"/>
    <w:rsid w:val="006D7BF9"/>
    <w:rsid w:val="006E7345"/>
    <w:rsid w:val="00706413"/>
    <w:rsid w:val="00706C16"/>
    <w:rsid w:val="0071184A"/>
    <w:rsid w:val="00713684"/>
    <w:rsid w:val="0071623C"/>
    <w:rsid w:val="007223C5"/>
    <w:rsid w:val="00731199"/>
    <w:rsid w:val="00733AEE"/>
    <w:rsid w:val="00733B67"/>
    <w:rsid w:val="00735EB7"/>
    <w:rsid w:val="00743A31"/>
    <w:rsid w:val="00746725"/>
    <w:rsid w:val="00756841"/>
    <w:rsid w:val="00761E70"/>
    <w:rsid w:val="00763385"/>
    <w:rsid w:val="007649AB"/>
    <w:rsid w:val="00766762"/>
    <w:rsid w:val="00771D0C"/>
    <w:rsid w:val="00781732"/>
    <w:rsid w:val="00781AF3"/>
    <w:rsid w:val="007833AC"/>
    <w:rsid w:val="00791489"/>
    <w:rsid w:val="007B268C"/>
    <w:rsid w:val="007B7171"/>
    <w:rsid w:val="007C0C0F"/>
    <w:rsid w:val="007C3DC2"/>
    <w:rsid w:val="007D0010"/>
    <w:rsid w:val="007D0BFC"/>
    <w:rsid w:val="007E09CB"/>
    <w:rsid w:val="007E2168"/>
    <w:rsid w:val="007E403E"/>
    <w:rsid w:val="007E5497"/>
    <w:rsid w:val="007F6E00"/>
    <w:rsid w:val="0080594D"/>
    <w:rsid w:val="00806F5F"/>
    <w:rsid w:val="00807DB8"/>
    <w:rsid w:val="008102AC"/>
    <w:rsid w:val="00811930"/>
    <w:rsid w:val="00811C72"/>
    <w:rsid w:val="00816D34"/>
    <w:rsid w:val="00817038"/>
    <w:rsid w:val="00820278"/>
    <w:rsid w:val="00830877"/>
    <w:rsid w:val="008340AE"/>
    <w:rsid w:val="0084038E"/>
    <w:rsid w:val="0084385E"/>
    <w:rsid w:val="00843B35"/>
    <w:rsid w:val="0085036F"/>
    <w:rsid w:val="008547CB"/>
    <w:rsid w:val="008616CA"/>
    <w:rsid w:val="00867F95"/>
    <w:rsid w:val="00870C64"/>
    <w:rsid w:val="0087638A"/>
    <w:rsid w:val="008772F9"/>
    <w:rsid w:val="00882648"/>
    <w:rsid w:val="00883374"/>
    <w:rsid w:val="008836D3"/>
    <w:rsid w:val="008843B6"/>
    <w:rsid w:val="00890C94"/>
    <w:rsid w:val="00891928"/>
    <w:rsid w:val="00897CB4"/>
    <w:rsid w:val="008A209A"/>
    <w:rsid w:val="008A446D"/>
    <w:rsid w:val="008A746E"/>
    <w:rsid w:val="008C0E3B"/>
    <w:rsid w:val="008C221F"/>
    <w:rsid w:val="008C7DF6"/>
    <w:rsid w:val="008D01D1"/>
    <w:rsid w:val="008D09A2"/>
    <w:rsid w:val="008D180B"/>
    <w:rsid w:val="008D7291"/>
    <w:rsid w:val="008E277C"/>
    <w:rsid w:val="008E3F53"/>
    <w:rsid w:val="008F0EA7"/>
    <w:rsid w:val="008F1280"/>
    <w:rsid w:val="008F33B0"/>
    <w:rsid w:val="00915A8E"/>
    <w:rsid w:val="00923EEF"/>
    <w:rsid w:val="009326F6"/>
    <w:rsid w:val="0093362A"/>
    <w:rsid w:val="009413B7"/>
    <w:rsid w:val="009419F9"/>
    <w:rsid w:val="00946693"/>
    <w:rsid w:val="0095597B"/>
    <w:rsid w:val="0095685E"/>
    <w:rsid w:val="00956B73"/>
    <w:rsid w:val="00961B09"/>
    <w:rsid w:val="00965334"/>
    <w:rsid w:val="0097093E"/>
    <w:rsid w:val="00970C7D"/>
    <w:rsid w:val="00976293"/>
    <w:rsid w:val="009814A0"/>
    <w:rsid w:val="009826BF"/>
    <w:rsid w:val="00984D71"/>
    <w:rsid w:val="00985FAD"/>
    <w:rsid w:val="00986AC5"/>
    <w:rsid w:val="0099297C"/>
    <w:rsid w:val="00993BF0"/>
    <w:rsid w:val="00993FE7"/>
    <w:rsid w:val="00994BF0"/>
    <w:rsid w:val="009A0DFA"/>
    <w:rsid w:val="009A449C"/>
    <w:rsid w:val="009A50F7"/>
    <w:rsid w:val="009B15B0"/>
    <w:rsid w:val="009B2D26"/>
    <w:rsid w:val="009C0A2D"/>
    <w:rsid w:val="009C71FA"/>
    <w:rsid w:val="009C72E7"/>
    <w:rsid w:val="009D3058"/>
    <w:rsid w:val="009D30AE"/>
    <w:rsid w:val="009D4E1A"/>
    <w:rsid w:val="009E3429"/>
    <w:rsid w:val="009E51D5"/>
    <w:rsid w:val="009E7E8C"/>
    <w:rsid w:val="009F3A13"/>
    <w:rsid w:val="00A122D3"/>
    <w:rsid w:val="00A17F13"/>
    <w:rsid w:val="00A20739"/>
    <w:rsid w:val="00A3355E"/>
    <w:rsid w:val="00A33C78"/>
    <w:rsid w:val="00A372B7"/>
    <w:rsid w:val="00A44730"/>
    <w:rsid w:val="00A4486B"/>
    <w:rsid w:val="00A44DE0"/>
    <w:rsid w:val="00A53A79"/>
    <w:rsid w:val="00A56252"/>
    <w:rsid w:val="00A71890"/>
    <w:rsid w:val="00A7517A"/>
    <w:rsid w:val="00A876CC"/>
    <w:rsid w:val="00AB0ADB"/>
    <w:rsid w:val="00AB0FE9"/>
    <w:rsid w:val="00AB2829"/>
    <w:rsid w:val="00AB30E0"/>
    <w:rsid w:val="00AB493F"/>
    <w:rsid w:val="00AB5151"/>
    <w:rsid w:val="00AB6153"/>
    <w:rsid w:val="00AB717F"/>
    <w:rsid w:val="00AC40F4"/>
    <w:rsid w:val="00AD0755"/>
    <w:rsid w:val="00AD374D"/>
    <w:rsid w:val="00AD41EA"/>
    <w:rsid w:val="00AD4293"/>
    <w:rsid w:val="00AD7C7C"/>
    <w:rsid w:val="00AE1EB5"/>
    <w:rsid w:val="00AE2A82"/>
    <w:rsid w:val="00AF28B8"/>
    <w:rsid w:val="00AF5919"/>
    <w:rsid w:val="00AF5D48"/>
    <w:rsid w:val="00AF71F4"/>
    <w:rsid w:val="00B0078D"/>
    <w:rsid w:val="00B01B1A"/>
    <w:rsid w:val="00B04D1C"/>
    <w:rsid w:val="00B07844"/>
    <w:rsid w:val="00B1003F"/>
    <w:rsid w:val="00B108F3"/>
    <w:rsid w:val="00B14DA5"/>
    <w:rsid w:val="00B2067D"/>
    <w:rsid w:val="00B2184C"/>
    <w:rsid w:val="00B21B15"/>
    <w:rsid w:val="00B23093"/>
    <w:rsid w:val="00B25258"/>
    <w:rsid w:val="00B26F4D"/>
    <w:rsid w:val="00B30302"/>
    <w:rsid w:val="00B30ABC"/>
    <w:rsid w:val="00B54DCC"/>
    <w:rsid w:val="00B66319"/>
    <w:rsid w:val="00B70819"/>
    <w:rsid w:val="00B72CD3"/>
    <w:rsid w:val="00B72FFF"/>
    <w:rsid w:val="00B7412A"/>
    <w:rsid w:val="00B80F4F"/>
    <w:rsid w:val="00B82E2D"/>
    <w:rsid w:val="00B83107"/>
    <w:rsid w:val="00B9589D"/>
    <w:rsid w:val="00B97A8E"/>
    <w:rsid w:val="00BA1EB5"/>
    <w:rsid w:val="00BB4CBD"/>
    <w:rsid w:val="00BB55BC"/>
    <w:rsid w:val="00BB725A"/>
    <w:rsid w:val="00BC3D36"/>
    <w:rsid w:val="00BC7BEC"/>
    <w:rsid w:val="00BD7F72"/>
    <w:rsid w:val="00BE09A3"/>
    <w:rsid w:val="00BF508A"/>
    <w:rsid w:val="00C04FB3"/>
    <w:rsid w:val="00C07B89"/>
    <w:rsid w:val="00C12675"/>
    <w:rsid w:val="00C142DA"/>
    <w:rsid w:val="00C14446"/>
    <w:rsid w:val="00C20CF0"/>
    <w:rsid w:val="00C27C38"/>
    <w:rsid w:val="00C32DF4"/>
    <w:rsid w:val="00C330EB"/>
    <w:rsid w:val="00C35426"/>
    <w:rsid w:val="00C3723A"/>
    <w:rsid w:val="00C41061"/>
    <w:rsid w:val="00C562D4"/>
    <w:rsid w:val="00C754BE"/>
    <w:rsid w:val="00C76123"/>
    <w:rsid w:val="00C76B1C"/>
    <w:rsid w:val="00C8101E"/>
    <w:rsid w:val="00C868B9"/>
    <w:rsid w:val="00C918F1"/>
    <w:rsid w:val="00CA3A18"/>
    <w:rsid w:val="00CA769F"/>
    <w:rsid w:val="00CB6357"/>
    <w:rsid w:val="00CB73C5"/>
    <w:rsid w:val="00CC1B26"/>
    <w:rsid w:val="00CC5626"/>
    <w:rsid w:val="00CC6F7D"/>
    <w:rsid w:val="00CE7597"/>
    <w:rsid w:val="00D0301D"/>
    <w:rsid w:val="00D04F91"/>
    <w:rsid w:val="00D132BA"/>
    <w:rsid w:val="00D211A0"/>
    <w:rsid w:val="00D340CB"/>
    <w:rsid w:val="00D423A2"/>
    <w:rsid w:val="00D520D8"/>
    <w:rsid w:val="00D54A96"/>
    <w:rsid w:val="00D61AF1"/>
    <w:rsid w:val="00D63AC2"/>
    <w:rsid w:val="00D669A6"/>
    <w:rsid w:val="00D6724E"/>
    <w:rsid w:val="00D675EA"/>
    <w:rsid w:val="00D7383B"/>
    <w:rsid w:val="00D83413"/>
    <w:rsid w:val="00D85FC2"/>
    <w:rsid w:val="00D92AFD"/>
    <w:rsid w:val="00D92CE7"/>
    <w:rsid w:val="00D9340F"/>
    <w:rsid w:val="00D9402A"/>
    <w:rsid w:val="00D94DCC"/>
    <w:rsid w:val="00D968D1"/>
    <w:rsid w:val="00DA231B"/>
    <w:rsid w:val="00DA4396"/>
    <w:rsid w:val="00DB16FD"/>
    <w:rsid w:val="00DB6D9E"/>
    <w:rsid w:val="00DC2265"/>
    <w:rsid w:val="00DC347A"/>
    <w:rsid w:val="00DC39FC"/>
    <w:rsid w:val="00DD2E20"/>
    <w:rsid w:val="00DD53C0"/>
    <w:rsid w:val="00DD5A44"/>
    <w:rsid w:val="00DE2467"/>
    <w:rsid w:val="00DE7466"/>
    <w:rsid w:val="00DF13B0"/>
    <w:rsid w:val="00DF2C39"/>
    <w:rsid w:val="00DF5254"/>
    <w:rsid w:val="00DF7D5D"/>
    <w:rsid w:val="00E103CF"/>
    <w:rsid w:val="00E16018"/>
    <w:rsid w:val="00E16408"/>
    <w:rsid w:val="00E20894"/>
    <w:rsid w:val="00E245AB"/>
    <w:rsid w:val="00E2764C"/>
    <w:rsid w:val="00E27F2E"/>
    <w:rsid w:val="00E31648"/>
    <w:rsid w:val="00E31F68"/>
    <w:rsid w:val="00E41FCD"/>
    <w:rsid w:val="00E4271C"/>
    <w:rsid w:val="00E50AFE"/>
    <w:rsid w:val="00E51404"/>
    <w:rsid w:val="00E618C8"/>
    <w:rsid w:val="00E6227E"/>
    <w:rsid w:val="00E626B5"/>
    <w:rsid w:val="00E67F55"/>
    <w:rsid w:val="00E7385A"/>
    <w:rsid w:val="00E7389E"/>
    <w:rsid w:val="00E75C92"/>
    <w:rsid w:val="00E771DC"/>
    <w:rsid w:val="00E77CB8"/>
    <w:rsid w:val="00E8517B"/>
    <w:rsid w:val="00E8772A"/>
    <w:rsid w:val="00E90F6B"/>
    <w:rsid w:val="00E92C27"/>
    <w:rsid w:val="00E94542"/>
    <w:rsid w:val="00EA01F0"/>
    <w:rsid w:val="00EA0E3D"/>
    <w:rsid w:val="00EA5B0C"/>
    <w:rsid w:val="00EA5E12"/>
    <w:rsid w:val="00EA6460"/>
    <w:rsid w:val="00EB52C1"/>
    <w:rsid w:val="00EC14DC"/>
    <w:rsid w:val="00EC38A7"/>
    <w:rsid w:val="00EC5C83"/>
    <w:rsid w:val="00EC7930"/>
    <w:rsid w:val="00EC7E5C"/>
    <w:rsid w:val="00ED0358"/>
    <w:rsid w:val="00ED0BAB"/>
    <w:rsid w:val="00ED1EA7"/>
    <w:rsid w:val="00ED3D0B"/>
    <w:rsid w:val="00ED65FB"/>
    <w:rsid w:val="00ED7384"/>
    <w:rsid w:val="00EE1AA8"/>
    <w:rsid w:val="00EE2CAA"/>
    <w:rsid w:val="00EF1F93"/>
    <w:rsid w:val="00EF48BA"/>
    <w:rsid w:val="00EF7078"/>
    <w:rsid w:val="00F01979"/>
    <w:rsid w:val="00F04DA2"/>
    <w:rsid w:val="00F07496"/>
    <w:rsid w:val="00F136D9"/>
    <w:rsid w:val="00F16374"/>
    <w:rsid w:val="00F20726"/>
    <w:rsid w:val="00F3096C"/>
    <w:rsid w:val="00F31EDC"/>
    <w:rsid w:val="00F32244"/>
    <w:rsid w:val="00F372E5"/>
    <w:rsid w:val="00F40F4F"/>
    <w:rsid w:val="00F462B3"/>
    <w:rsid w:val="00F516DC"/>
    <w:rsid w:val="00F5664F"/>
    <w:rsid w:val="00F63CCB"/>
    <w:rsid w:val="00F65B8A"/>
    <w:rsid w:val="00F666C4"/>
    <w:rsid w:val="00F76AFC"/>
    <w:rsid w:val="00F7787F"/>
    <w:rsid w:val="00F83081"/>
    <w:rsid w:val="00F86273"/>
    <w:rsid w:val="00F943E6"/>
    <w:rsid w:val="00FA47C0"/>
    <w:rsid w:val="00FB2223"/>
    <w:rsid w:val="00FB2604"/>
    <w:rsid w:val="00FB5DD1"/>
    <w:rsid w:val="00FC056B"/>
    <w:rsid w:val="00FC2B5D"/>
    <w:rsid w:val="00FD1EB0"/>
    <w:rsid w:val="00FE001E"/>
    <w:rsid w:val="00FE15D1"/>
    <w:rsid w:val="00FE1E98"/>
    <w:rsid w:val="00FF1449"/>
    <w:rsid w:val="00FF17C7"/>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 w:type="paragraph" w:styleId="Subttulo">
    <w:name w:val="Subtitle"/>
    <w:basedOn w:val="Normal"/>
    <w:next w:val="Normal"/>
    <w:link w:val="SubttuloCar"/>
    <w:uiPriority w:val="11"/>
    <w:qFormat/>
    <w:rsid w:val="004F345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345C"/>
    <w:rPr>
      <w:rFonts w:eastAsiaTheme="majorEastAsia" w:cstheme="majorBidi"/>
      <w:color w:val="595959" w:themeColor="text1" w:themeTint="A6"/>
      <w:spacing w:val="15"/>
      <w:sz w:val="28"/>
      <w:szCs w:val="28"/>
    </w:rPr>
  </w:style>
  <w:style w:type="character" w:customStyle="1" w:styleId="s15">
    <w:name w:val="s15"/>
    <w:basedOn w:val="Fuentedeprrafopredeter"/>
    <w:rsid w:val="0095597B"/>
  </w:style>
  <w:style w:type="character" w:customStyle="1" w:styleId="NormalWebCar">
    <w:name w:val="Normal (Web) Car"/>
    <w:link w:val="NormalWeb"/>
    <w:uiPriority w:val="99"/>
    <w:locked/>
    <w:rsid w:val="001B36D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281F2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81F2F"/>
    <w:rPr>
      <w:rFonts w:eastAsiaTheme="minorEastAsia"/>
      <w:lang w:eastAsia="es-CO"/>
    </w:rPr>
  </w:style>
  <w:style w:type="paragraph" w:styleId="Sinespaciado">
    <w:name w:val="No Spacing"/>
    <w:aliases w:val="No Indent"/>
    <w:uiPriority w:val="3"/>
    <w:qFormat/>
    <w:rsid w:val="00EA5B0C"/>
    <w:pPr>
      <w:spacing w:after="0" w:line="240" w:lineRule="auto"/>
    </w:pPr>
    <w:rPr>
      <w:sz w:val="24"/>
      <w:lang w:val="es-MX"/>
    </w:rPr>
  </w:style>
  <w:style w:type="paragraph" w:customStyle="1" w:styleId="Textoindependiente1">
    <w:name w:val="Texto independiente1"/>
    <w:basedOn w:val="Normal"/>
    <w:next w:val="Textoindependiente"/>
    <w:uiPriority w:val="99"/>
    <w:unhideWhenUsed/>
    <w:rsid w:val="00D9340F"/>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D9340F"/>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edgarfernandomanrique3@gmail.com"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customXml/itemProps3.xml><?xml version="1.0" encoding="utf-8"?>
<ds:datastoreItem xmlns:ds="http://schemas.openxmlformats.org/officeDocument/2006/customXml" ds:itemID="{63C9F4D8-F529-465C-8F6B-45584C44B06C}"/>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3728</Words>
  <Characters>20506</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2026-04-24T18:39:00Z</dcterms:created>
  <dcterms:modified xsi:type="dcterms:W3CDTF">2026-04-28T14:54:00Z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