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0D1356" w14:textId="77777777" w:rsidR="00ED7DB1" w:rsidRDefault="00ED7DB1" w:rsidP="30821638">
      <w:pPr>
        <w:spacing w:after="0"/>
        <w:rPr>
          <w:rFonts w:ascii="Verdana" w:eastAsia="Verdana" w:hAnsi="Verdana" w:cs="Verdana"/>
        </w:rPr>
      </w:pPr>
      <w:bookmarkStart w:id="0" w:name="_Hlk143780582"/>
    </w:p>
    <w:p w14:paraId="36FE7CF3" w14:textId="77777777" w:rsidR="001E7FCD" w:rsidRPr="00244412" w:rsidRDefault="001E7FCD" w:rsidP="001E7FCD">
      <w:pPr>
        <w:tabs>
          <w:tab w:val="left" w:pos="426"/>
        </w:tabs>
        <w:spacing w:line="240" w:lineRule="auto"/>
        <w:contextualSpacing/>
        <w:jc w:val="both"/>
        <w:rPr>
          <w:rFonts w:ascii="Verdana" w:eastAsia="Calibri" w:hAnsi="Verdana" w:cs="Arial"/>
          <w:b/>
          <w:bCs/>
          <w:lang w:val="es-MX"/>
        </w:rPr>
      </w:pPr>
      <w:r w:rsidRPr="00244412">
        <w:rPr>
          <w:rFonts w:ascii="Verdana" w:eastAsia="Calibri" w:hAnsi="Verdana" w:cs="Arial"/>
          <w:b/>
          <w:bCs/>
          <w:lang w:val="es-MX"/>
        </w:rPr>
        <w:t xml:space="preserve">LEY DE GARANTÍAS ELECTORALES ─ Prohibición ‒ Contratación directa ‒ Alcance </w:t>
      </w:r>
    </w:p>
    <w:p w14:paraId="5C0C519D" w14:textId="77777777" w:rsidR="001E7FCD" w:rsidRPr="00244412" w:rsidRDefault="001E7FCD" w:rsidP="001E7FCD">
      <w:pPr>
        <w:tabs>
          <w:tab w:val="left" w:pos="426"/>
        </w:tabs>
        <w:spacing w:line="240" w:lineRule="auto"/>
        <w:contextualSpacing/>
        <w:jc w:val="both"/>
        <w:rPr>
          <w:rFonts w:ascii="Verdana" w:eastAsia="Calibri" w:hAnsi="Verdana" w:cs="Arial"/>
          <w:noProof/>
          <w:sz w:val="20"/>
          <w:szCs w:val="20"/>
          <w:lang w:val="es-MX"/>
        </w:rPr>
      </w:pPr>
    </w:p>
    <w:p w14:paraId="5FA3DDFB" w14:textId="77777777" w:rsidR="001E7FCD" w:rsidRPr="00244412" w:rsidRDefault="001E7FCD" w:rsidP="001E7FCD">
      <w:pPr>
        <w:spacing w:line="240" w:lineRule="auto"/>
        <w:contextualSpacing/>
        <w:jc w:val="both"/>
        <w:rPr>
          <w:rFonts w:ascii="Verdana" w:eastAsia="Times New Roman" w:hAnsi="Verdana" w:cs="Arial"/>
          <w:bCs/>
          <w:sz w:val="20"/>
          <w:szCs w:val="20"/>
          <w:lang w:val="es-MX" w:eastAsia="x-none"/>
        </w:rPr>
      </w:pPr>
      <w:r w:rsidRPr="00244412">
        <w:rPr>
          <w:rFonts w:ascii="Verdana" w:eastAsia="Calibri" w:hAnsi="Verdana" w:cs="Arial"/>
          <w:noProof/>
          <w:sz w:val="20"/>
          <w:szCs w:val="20"/>
          <w:lang w:val="es-ES_tradnl"/>
        </w:rPr>
        <w:t xml:space="preserve">[…] </w:t>
      </w:r>
      <w:r w:rsidRPr="00244412">
        <w:rPr>
          <w:rFonts w:ascii="Verdana" w:eastAsia="Times New Roman" w:hAnsi="Verdana" w:cs="Arial"/>
          <w:bCs/>
          <w:sz w:val="20"/>
          <w:szCs w:val="20"/>
          <w:lang w:val="es-MX" w:eastAsia="x-none"/>
        </w:rPr>
        <w:t>ha de entenderse que, para los efectos de la Ley de Garantías Electorales y, en particular, para la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244412">
        <w:rPr>
          <w:rFonts w:ascii="Verdana" w:eastAsia="Times New Roman" w:hAnsi="Verdana" w:cs="Arial"/>
          <w:sz w:val="20"/>
          <w:szCs w:val="20"/>
          <w:vertAlign w:val="superscript"/>
          <w:lang w:eastAsia="x-none"/>
        </w:rPr>
        <w:t xml:space="preserve"> </w:t>
      </w:r>
    </w:p>
    <w:p w14:paraId="2C87E03E" w14:textId="77777777" w:rsidR="001E7FCD" w:rsidRPr="00244412" w:rsidRDefault="001E7FCD" w:rsidP="001E7FCD">
      <w:pPr>
        <w:spacing w:line="240" w:lineRule="auto"/>
        <w:contextualSpacing/>
        <w:jc w:val="both"/>
        <w:rPr>
          <w:rFonts w:ascii="Verdana" w:eastAsia="Times New Roman" w:hAnsi="Verdana" w:cs="Arial"/>
          <w:bCs/>
          <w:sz w:val="20"/>
          <w:szCs w:val="20"/>
          <w:lang w:val="es-MX" w:eastAsia="x-none"/>
        </w:rPr>
      </w:pPr>
    </w:p>
    <w:p w14:paraId="73B2803D" w14:textId="77777777" w:rsidR="001E7FCD" w:rsidRPr="00244412" w:rsidRDefault="001E7FCD" w:rsidP="001E7FCD">
      <w:pPr>
        <w:spacing w:line="240" w:lineRule="auto"/>
        <w:contextualSpacing/>
        <w:jc w:val="both"/>
        <w:rPr>
          <w:rFonts w:ascii="Verdana" w:eastAsia="Times New Roman" w:hAnsi="Verdana" w:cs="Arial"/>
          <w:sz w:val="20"/>
          <w:szCs w:val="20"/>
          <w:lang w:eastAsia="x-none"/>
        </w:rPr>
      </w:pPr>
      <w:r w:rsidRPr="00244412">
        <w:rPr>
          <w:rFonts w:ascii="Verdana" w:eastAsia="Times New Roman" w:hAnsi="Verdana" w:cs="Arial"/>
          <w:bCs/>
          <w:sz w:val="20"/>
          <w:szCs w:val="20"/>
          <w:lang w:val="es-MX" w:eastAsia="x-none"/>
        </w:rPr>
        <w:t>De lo anterior se desprende que la restricción aplica, sin perjuicio de las excepciones establecidas en la misma ley, para celebrar cualquier contrato de forma directa, esto es, sin que exista un proceso abierto y competitivo.</w:t>
      </w:r>
      <w:r w:rsidRPr="00244412">
        <w:rPr>
          <w:rFonts w:ascii="Verdana" w:eastAsia="Times New Roman" w:hAnsi="Verdana" w:cs="Arial"/>
          <w:sz w:val="20"/>
          <w:szCs w:val="20"/>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las entidades públicas pueden seguir contratando bajo estos sistemas.</w:t>
      </w:r>
    </w:p>
    <w:p w14:paraId="21EE9C92" w14:textId="77777777" w:rsidR="001E7FCD" w:rsidRPr="00244412" w:rsidRDefault="001E7FCD" w:rsidP="001E7FCD">
      <w:pPr>
        <w:spacing w:line="240" w:lineRule="auto"/>
        <w:contextualSpacing/>
        <w:jc w:val="both"/>
        <w:rPr>
          <w:rFonts w:ascii="Verdana" w:eastAsia="Times New Roman" w:hAnsi="Verdana" w:cs="Arial"/>
          <w:lang w:eastAsia="x-none"/>
        </w:rPr>
      </w:pPr>
    </w:p>
    <w:p w14:paraId="59F962FB" w14:textId="77777777" w:rsidR="001E7FCD" w:rsidRPr="00244412" w:rsidRDefault="001E7FCD" w:rsidP="001E7FCD">
      <w:pPr>
        <w:tabs>
          <w:tab w:val="left" w:pos="426"/>
        </w:tabs>
        <w:spacing w:line="240" w:lineRule="auto"/>
        <w:contextualSpacing/>
        <w:jc w:val="both"/>
        <w:rPr>
          <w:rFonts w:ascii="Verdana" w:eastAsia="Calibri" w:hAnsi="Verdana" w:cs="Arial"/>
          <w:b/>
          <w:bCs/>
          <w:sz w:val="20"/>
          <w:szCs w:val="20"/>
          <w:lang w:val="es-MX"/>
        </w:rPr>
      </w:pPr>
      <w:r w:rsidRPr="00244412">
        <w:rPr>
          <w:rFonts w:ascii="Verdana" w:eastAsia="Calibri" w:hAnsi="Verdana" w:cs="Arial"/>
          <w:b/>
          <w:bCs/>
          <w:lang w:val="es-MX"/>
        </w:rPr>
        <w:t xml:space="preserve">LEY DE GARANTÍAS ELECTORALES ─ Prohibición ‒ Contratación directa ‒ </w:t>
      </w:r>
      <w:r w:rsidRPr="00244412">
        <w:rPr>
          <w:rFonts w:ascii="Verdana" w:eastAsia="Times New Roman" w:hAnsi="Verdana" w:cs="Arial"/>
          <w:b/>
          <w:bCs/>
          <w:lang w:eastAsia="es-CO"/>
        </w:rPr>
        <w:t>Excepciones</w:t>
      </w:r>
      <w:r w:rsidRPr="00244412">
        <w:rPr>
          <w:rFonts w:ascii="Verdana" w:eastAsia="Calibri" w:hAnsi="Verdana" w:cs="Arial"/>
          <w:b/>
          <w:bCs/>
          <w:lang w:val="es-MX"/>
        </w:rPr>
        <w:t xml:space="preserve"> </w:t>
      </w:r>
    </w:p>
    <w:p w14:paraId="4F571E22" w14:textId="77777777" w:rsidR="001E7FCD" w:rsidRPr="00244412" w:rsidRDefault="001E7FCD" w:rsidP="001E7FCD">
      <w:pPr>
        <w:tabs>
          <w:tab w:val="left" w:pos="426"/>
        </w:tabs>
        <w:spacing w:line="240" w:lineRule="auto"/>
        <w:contextualSpacing/>
        <w:jc w:val="both"/>
        <w:rPr>
          <w:rFonts w:ascii="Verdana" w:eastAsia="Times New Roman" w:hAnsi="Verdana" w:cs="Arial"/>
          <w:sz w:val="20"/>
          <w:szCs w:val="20"/>
          <w:lang w:eastAsia="x-none"/>
        </w:rPr>
      </w:pPr>
    </w:p>
    <w:p w14:paraId="5C2BEE38" w14:textId="77777777" w:rsidR="001E7FCD" w:rsidRPr="00244412" w:rsidRDefault="001E7FCD" w:rsidP="001E7FCD">
      <w:pPr>
        <w:spacing w:line="240" w:lineRule="auto"/>
        <w:contextualSpacing/>
        <w:jc w:val="both"/>
        <w:rPr>
          <w:rFonts w:ascii="Verdana" w:eastAsia="Times New Roman" w:hAnsi="Verdana" w:cs="Arial"/>
          <w:bCs/>
          <w:sz w:val="20"/>
          <w:szCs w:val="20"/>
          <w:lang w:val="es-MX" w:eastAsia="es-CO"/>
        </w:rPr>
      </w:pPr>
      <w:r w:rsidRPr="00244412">
        <w:rPr>
          <w:rFonts w:ascii="Verdana" w:eastAsia="Calibri" w:hAnsi="Verdana" w:cs="Arial"/>
          <w:noProof/>
          <w:sz w:val="20"/>
          <w:szCs w:val="20"/>
          <w:lang w:val="es-ES_tradnl"/>
        </w:rPr>
        <w:t xml:space="preserve">[…] </w:t>
      </w:r>
      <w:r w:rsidRPr="00244412">
        <w:rPr>
          <w:rFonts w:ascii="Verdana" w:eastAsia="Times New Roman" w:hAnsi="Verdana" w:cs="Arial"/>
          <w:bCs/>
          <w:sz w:val="20"/>
          <w:szCs w:val="20"/>
          <w:lang w:val="es-MX" w:eastAsia="x-none"/>
        </w:rPr>
        <w:t xml:space="preserve">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w:t>
      </w:r>
      <w:proofErr w:type="spellStart"/>
      <w:r w:rsidRPr="00244412">
        <w:rPr>
          <w:rFonts w:ascii="Verdana" w:eastAsia="Times New Roman" w:hAnsi="Verdana" w:cs="Arial"/>
          <w:bCs/>
          <w:sz w:val="20"/>
          <w:szCs w:val="20"/>
          <w:lang w:val="es-MX" w:eastAsia="x-none"/>
        </w:rPr>
        <w:t>iv</w:t>
      </w:r>
      <w:proofErr w:type="spellEnd"/>
      <w:r w:rsidRPr="00244412">
        <w:rPr>
          <w:rFonts w:ascii="Verdana" w:eastAsia="Times New Roman" w:hAnsi="Verdana" w:cs="Arial"/>
          <w:bCs/>
          <w:sz w:val="20"/>
          <w:szCs w:val="20"/>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244412">
        <w:rPr>
          <w:rFonts w:ascii="Verdana" w:eastAsia="Times New Roman" w:hAnsi="Verdana" w:cs="Arial"/>
          <w:bCs/>
          <w:sz w:val="20"/>
          <w:szCs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1C5EBB74" w14:textId="77777777" w:rsidR="001E7FCD" w:rsidRPr="00244412" w:rsidRDefault="001E7FCD" w:rsidP="001E7FCD">
      <w:pPr>
        <w:spacing w:line="240" w:lineRule="auto"/>
        <w:contextualSpacing/>
        <w:jc w:val="both"/>
        <w:rPr>
          <w:rFonts w:ascii="Verdana" w:eastAsia="Times New Roman" w:hAnsi="Verdana" w:cs="Arial"/>
          <w:bCs/>
          <w:sz w:val="20"/>
          <w:szCs w:val="20"/>
          <w:lang w:val="es-MX" w:eastAsia="es-CO"/>
        </w:rPr>
      </w:pPr>
    </w:p>
    <w:p w14:paraId="794A1433" w14:textId="77777777" w:rsidR="001E7FCD" w:rsidRPr="00244412" w:rsidRDefault="001E7FCD" w:rsidP="001E7FCD">
      <w:pPr>
        <w:tabs>
          <w:tab w:val="left" w:pos="426"/>
        </w:tabs>
        <w:spacing w:line="240" w:lineRule="auto"/>
        <w:contextualSpacing/>
        <w:jc w:val="both"/>
        <w:rPr>
          <w:rFonts w:ascii="Verdana" w:eastAsia="Calibri" w:hAnsi="Verdana" w:cs="Arial"/>
          <w:b/>
          <w:bCs/>
          <w:sz w:val="20"/>
          <w:szCs w:val="20"/>
          <w:lang w:val="es-MX"/>
        </w:rPr>
      </w:pPr>
      <w:r w:rsidRPr="00244412">
        <w:rPr>
          <w:rFonts w:ascii="Verdana" w:eastAsia="Calibri" w:hAnsi="Verdana" w:cs="Arial"/>
          <w:b/>
          <w:bCs/>
          <w:lang w:val="es-MX"/>
        </w:rPr>
        <w:t xml:space="preserve">LEY DE GARANTÍAS ELECTORALES ‒ Contratación directa ‒ </w:t>
      </w:r>
      <w:r w:rsidRPr="00244412">
        <w:rPr>
          <w:rFonts w:ascii="Verdana" w:eastAsia="Times New Roman" w:hAnsi="Verdana" w:cs="Arial"/>
          <w:b/>
          <w:bCs/>
          <w:lang w:eastAsia="es-CO"/>
        </w:rPr>
        <w:t>Contrato de arrendamiento</w:t>
      </w:r>
      <w:r w:rsidRPr="00244412">
        <w:rPr>
          <w:rFonts w:ascii="Verdana" w:eastAsia="Calibri" w:hAnsi="Verdana" w:cs="Arial"/>
          <w:b/>
          <w:bCs/>
          <w:lang w:val="es-MX"/>
        </w:rPr>
        <w:t xml:space="preserve"> </w:t>
      </w:r>
    </w:p>
    <w:p w14:paraId="29F5D82C" w14:textId="77777777" w:rsidR="001E7FCD" w:rsidRPr="00244412" w:rsidRDefault="001E7FCD" w:rsidP="001E7FCD">
      <w:pPr>
        <w:spacing w:after="0" w:line="240" w:lineRule="auto"/>
        <w:jc w:val="both"/>
        <w:rPr>
          <w:rFonts w:ascii="Verdana" w:eastAsia="Times New Roman" w:hAnsi="Verdana" w:cs="Arial"/>
          <w:noProof/>
          <w:lang w:val="es-MX" w:eastAsia="es-ES_tradnl"/>
        </w:rPr>
      </w:pPr>
    </w:p>
    <w:p w14:paraId="5772DC56" w14:textId="77777777" w:rsidR="001E7FCD" w:rsidRPr="00244412" w:rsidRDefault="001E7FCD" w:rsidP="001E7FCD">
      <w:pPr>
        <w:spacing w:line="240" w:lineRule="auto"/>
        <w:contextualSpacing/>
        <w:jc w:val="both"/>
        <w:rPr>
          <w:rFonts w:ascii="Verdana" w:eastAsia="Times New Roman" w:hAnsi="Verdana" w:cs="Arial"/>
          <w:bCs/>
          <w:sz w:val="20"/>
          <w:szCs w:val="20"/>
          <w:lang w:val="es-MX" w:eastAsia="es-CO"/>
        </w:rPr>
      </w:pPr>
      <w:r w:rsidRPr="00244412">
        <w:rPr>
          <w:rFonts w:ascii="Verdana" w:eastAsia="Times New Roman" w:hAnsi="Verdana" w:cs="Arial"/>
          <w:bCs/>
          <w:sz w:val="20"/>
          <w:szCs w:val="20"/>
          <w:lang w:val="es-MX" w:eastAsia="es-CO"/>
        </w:rPr>
        <w:t>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y el concurso de méritos u otros previstos en normas especiales.</w:t>
      </w:r>
    </w:p>
    <w:p w14:paraId="6C7BAC9A" w14:textId="77777777" w:rsidR="001E7FCD" w:rsidRPr="00244412" w:rsidRDefault="001E7FCD" w:rsidP="001E7FCD">
      <w:pPr>
        <w:spacing w:line="240" w:lineRule="auto"/>
        <w:contextualSpacing/>
        <w:jc w:val="both"/>
        <w:rPr>
          <w:rFonts w:ascii="Verdana" w:eastAsia="Times New Roman" w:hAnsi="Verdana" w:cs="Arial"/>
          <w:bCs/>
          <w:sz w:val="20"/>
          <w:szCs w:val="20"/>
          <w:lang w:val="es-MX" w:eastAsia="es-CO"/>
        </w:rPr>
      </w:pPr>
    </w:p>
    <w:p w14:paraId="5F997639" w14:textId="77777777" w:rsidR="001E7FCD" w:rsidRPr="00244412" w:rsidRDefault="001E7FCD" w:rsidP="001E7FCD">
      <w:pPr>
        <w:spacing w:line="240" w:lineRule="auto"/>
        <w:contextualSpacing/>
        <w:jc w:val="both"/>
        <w:rPr>
          <w:rFonts w:ascii="Verdana" w:eastAsia="Times New Roman" w:hAnsi="Verdana" w:cs="Arial"/>
          <w:bCs/>
          <w:sz w:val="20"/>
          <w:szCs w:val="20"/>
          <w:lang w:val="es-MX" w:eastAsia="es-CO"/>
        </w:rPr>
      </w:pPr>
      <w:r w:rsidRPr="00244412">
        <w:rPr>
          <w:rFonts w:ascii="Verdana" w:eastAsia="Times New Roman" w:hAnsi="Verdana" w:cs="Arial"/>
          <w:bCs/>
          <w:sz w:val="20"/>
          <w:szCs w:val="20"/>
          <w:lang w:val="es-MX" w:eastAsia="es-CO"/>
        </w:rPr>
        <w:lastRenderedPageBreak/>
        <w:t>Por tanto, teniendo en cuenta que el literal i) del numeral 4° del artículo 2º de la Ley 1150 de 2007 establece que una de las causales de este procedimiento es: “i) El arrendamiento o adquisición de inmuebles”; y adicionalmente, el artículo 2.2.1.2.1.4.11 del Decreto 1082 de 2015 dispone que las Entidades Estatales pueden alquilar o arrendar inmuebles mediante contratación directa; esta contratación al ser directa se encuentra cobijada por la prohibición del artículo 33 de la Ley de Garantías Electorales, ya que como se señaló en el párrafo anterior, la prohibición es amplia y aplica a toda la contratación que no implique convocatoria pública.</w:t>
      </w:r>
    </w:p>
    <w:p w14:paraId="1D59404D" w14:textId="77777777" w:rsidR="001E7FCD" w:rsidRPr="00A16436" w:rsidRDefault="001E7FCD" w:rsidP="001E7FCD">
      <w:pPr>
        <w:spacing w:line="240" w:lineRule="auto"/>
        <w:contextualSpacing/>
        <w:jc w:val="both"/>
        <w:rPr>
          <w:rFonts w:ascii="Verdana" w:eastAsia="Times New Roman" w:hAnsi="Verdana" w:cs="Arial"/>
          <w:bCs/>
          <w:sz w:val="20"/>
          <w:szCs w:val="20"/>
          <w:highlight w:val="yellow"/>
          <w:lang w:val="es-MX" w:eastAsia="es-CO"/>
        </w:rPr>
      </w:pPr>
    </w:p>
    <w:p w14:paraId="04048A6A" w14:textId="77777777" w:rsidR="001E7FCD" w:rsidRDefault="001E7FCD" w:rsidP="001E7FCD">
      <w:pPr>
        <w:spacing w:after="0" w:line="240" w:lineRule="auto"/>
        <w:jc w:val="both"/>
        <w:rPr>
          <w:rFonts w:ascii="Verdana" w:eastAsia="Times New Roman" w:hAnsi="Verdana" w:cs="Arial"/>
          <w:noProof/>
          <w:lang w:val="es-ES_tradnl" w:eastAsia="es-ES_tradnl"/>
        </w:rPr>
      </w:pPr>
    </w:p>
    <w:p w14:paraId="3D3EC014" w14:textId="77777777" w:rsidR="001E7FCD" w:rsidRDefault="001E7FCD" w:rsidP="001E7FCD">
      <w:pPr>
        <w:spacing w:after="0" w:line="240" w:lineRule="auto"/>
        <w:jc w:val="both"/>
        <w:rPr>
          <w:rFonts w:ascii="Verdana" w:eastAsia="Times New Roman" w:hAnsi="Verdana" w:cs="Arial"/>
          <w:noProof/>
          <w:lang w:val="es-ES_tradnl" w:eastAsia="es-ES_tradnl"/>
        </w:rPr>
      </w:pPr>
    </w:p>
    <w:p w14:paraId="2B5B8241" w14:textId="77777777" w:rsidR="001E7FCD" w:rsidRDefault="001E7FCD" w:rsidP="001E7FCD">
      <w:pPr>
        <w:spacing w:after="0" w:line="240" w:lineRule="auto"/>
        <w:jc w:val="both"/>
        <w:rPr>
          <w:rFonts w:ascii="Verdana" w:eastAsia="Times New Roman" w:hAnsi="Verdana" w:cs="Arial"/>
          <w:noProof/>
          <w:lang w:val="es-ES_tradnl" w:eastAsia="es-ES_tradnl"/>
        </w:rPr>
      </w:pPr>
    </w:p>
    <w:p w14:paraId="15DF7585" w14:textId="77777777" w:rsidR="00ED7DB1" w:rsidRDefault="00ED7DB1">
      <w:pPr>
        <w:rPr>
          <w:rFonts w:ascii="Verdana" w:eastAsia="Verdana" w:hAnsi="Verdana" w:cs="Verdana"/>
        </w:rPr>
      </w:pPr>
      <w:r>
        <w:rPr>
          <w:rFonts w:ascii="Verdana" w:eastAsia="Verdana" w:hAnsi="Verdana" w:cs="Verdana"/>
        </w:rPr>
        <w:br w:type="page"/>
      </w:r>
    </w:p>
    <w:p w14:paraId="1468C46D" w14:textId="4843101B" w:rsidR="00C15139" w:rsidRPr="0024624F" w:rsidRDefault="00C15139" w:rsidP="30821638">
      <w:pPr>
        <w:spacing w:after="0"/>
        <w:rPr>
          <w:rFonts w:ascii="Verdana" w:eastAsia="Verdana" w:hAnsi="Verdana" w:cs="Verdana"/>
        </w:rPr>
      </w:pPr>
      <w:r w:rsidRPr="30821638">
        <w:rPr>
          <w:rFonts w:ascii="Verdana" w:eastAsia="Verdana" w:hAnsi="Verdana" w:cs="Verdana"/>
        </w:rPr>
        <w:t xml:space="preserve">Bogotá D.C., </w:t>
      </w:r>
      <w:r w:rsidR="00942FFD">
        <w:rPr>
          <w:rFonts w:ascii="Verdana" w:eastAsia="Verdana" w:hAnsi="Verdana" w:cs="Verdana"/>
        </w:rPr>
        <w:t>26 marzo 2026</w:t>
      </w:r>
      <w:r>
        <w:tab/>
      </w:r>
      <w:r>
        <w:br/>
      </w:r>
      <w:r>
        <w:tab/>
      </w:r>
    </w:p>
    <w:p w14:paraId="12443EE0" w14:textId="61A5E8E6" w:rsidR="00C15139" w:rsidRDefault="00942FFD" w:rsidP="30821638">
      <w:pPr>
        <w:spacing w:after="0"/>
        <w:rPr>
          <w:rFonts w:ascii="Verdana" w:eastAsia="Verdana" w:hAnsi="Verdana" w:cs="Verdana"/>
        </w:rPr>
      </w:pPr>
      <w:r w:rsidRPr="00942FFD">
        <w:rPr>
          <w:rFonts w:ascii="Verdana" w:eastAsia="Verdana" w:hAnsi="Verdana" w:cs="Verdana"/>
          <w:noProof/>
        </w:rPr>
        <w:drawing>
          <wp:anchor distT="0" distB="0" distL="114300" distR="114300" simplePos="0" relativeHeight="251659264" behindDoc="1" locked="0" layoutInCell="1" allowOverlap="1" wp14:anchorId="6870DD13" wp14:editId="4CAAE3AB">
            <wp:simplePos x="0" y="0"/>
            <wp:positionH relativeFrom="column">
              <wp:posOffset>3621405</wp:posOffset>
            </wp:positionH>
            <wp:positionV relativeFrom="paragraph">
              <wp:posOffset>53810</wp:posOffset>
            </wp:positionV>
            <wp:extent cx="1990090" cy="611505"/>
            <wp:effectExtent l="0" t="0" r="0" b="0"/>
            <wp:wrapTight wrapText="bothSides">
              <wp:wrapPolygon edited="0">
                <wp:start x="0" y="0"/>
                <wp:lineTo x="0" y="20860"/>
                <wp:lineTo x="21297" y="20860"/>
                <wp:lineTo x="21297" y="0"/>
                <wp:lineTo x="0" y="0"/>
              </wp:wrapPolygon>
            </wp:wrapTight>
            <wp:docPr id="93068130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90090" cy="6115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F3168">
        <w:rPr>
          <w:rFonts w:ascii="Verdana" w:eastAsia="Verdana" w:hAnsi="Verdana" w:cs="Verdana"/>
        </w:rPr>
        <w:t xml:space="preserve">Señor </w:t>
      </w:r>
    </w:p>
    <w:p w14:paraId="1065520D" w14:textId="20382F7F" w:rsidR="000F3168" w:rsidRPr="004E71EC" w:rsidRDefault="000F3168" w:rsidP="30821638">
      <w:pPr>
        <w:spacing w:after="0"/>
        <w:rPr>
          <w:rFonts w:ascii="Verdana" w:eastAsia="Verdana" w:hAnsi="Verdana" w:cs="Verdana"/>
          <w:b/>
          <w:bCs/>
        </w:rPr>
      </w:pPr>
      <w:r w:rsidRPr="004E71EC">
        <w:rPr>
          <w:rFonts w:ascii="Verdana" w:eastAsia="Verdana" w:hAnsi="Verdana" w:cs="Verdana"/>
          <w:b/>
          <w:bCs/>
        </w:rPr>
        <w:t xml:space="preserve">Elkin Estiven García Sabogal </w:t>
      </w:r>
    </w:p>
    <w:p w14:paraId="07537FA3" w14:textId="608730E0" w:rsidR="000F3168" w:rsidRDefault="00017921" w:rsidP="30821638">
      <w:pPr>
        <w:spacing w:after="0"/>
        <w:rPr>
          <w:rFonts w:ascii="Verdana" w:eastAsia="Verdana" w:hAnsi="Verdana" w:cs="Verdana"/>
        </w:rPr>
      </w:pPr>
      <w:hyperlink r:id="rId12" w:history="1">
        <w:r w:rsidRPr="00CF7296">
          <w:rPr>
            <w:rStyle w:val="Hipervnculo"/>
            <w:rFonts w:ascii="Verdana" w:eastAsia="Verdana" w:hAnsi="Verdana" w:cs="Verdana"/>
          </w:rPr>
          <w:t>elkingarciasabogal@gmail.com</w:t>
        </w:r>
      </w:hyperlink>
      <w:r>
        <w:rPr>
          <w:rFonts w:ascii="Verdana" w:eastAsia="Verdana" w:hAnsi="Verdana" w:cs="Verdana"/>
        </w:rPr>
        <w:t xml:space="preserve"> </w:t>
      </w:r>
    </w:p>
    <w:p w14:paraId="410F918F" w14:textId="41AAF055" w:rsidR="00017921" w:rsidRDefault="00017921" w:rsidP="30821638">
      <w:pPr>
        <w:spacing w:after="0"/>
        <w:rPr>
          <w:rFonts w:ascii="Verdana" w:eastAsia="Verdana" w:hAnsi="Verdana" w:cs="Verdana"/>
        </w:rPr>
      </w:pPr>
      <w:r>
        <w:rPr>
          <w:rFonts w:ascii="Verdana" w:eastAsia="Verdana" w:hAnsi="Verdana" w:cs="Verdana"/>
        </w:rPr>
        <w:t xml:space="preserve">Acacías, Meta </w:t>
      </w:r>
    </w:p>
    <w:p w14:paraId="1091A45E" w14:textId="77777777" w:rsidR="00017921" w:rsidRDefault="00017921" w:rsidP="30821638">
      <w:pPr>
        <w:spacing w:after="0"/>
        <w:rPr>
          <w:rFonts w:ascii="Verdana" w:eastAsia="Verdana" w:hAnsi="Verdana" w:cs="Verdana"/>
        </w:rPr>
      </w:pPr>
    </w:p>
    <w:p w14:paraId="0845DBB4" w14:textId="77777777" w:rsidR="00400985" w:rsidRPr="00CC5C68" w:rsidRDefault="00400985" w:rsidP="00400985">
      <w:pPr>
        <w:spacing w:after="0" w:line="240" w:lineRule="auto"/>
        <w:rPr>
          <w:rFonts w:ascii="Verdana" w:eastAsia="Calibri" w:hAnsi="Verdana" w:cs="Arial"/>
          <w:lang w:val="es-ES_tradnl" w:eastAsia="es-ES_tradnl"/>
        </w:rPr>
      </w:pPr>
    </w:p>
    <w:p w14:paraId="7B0A36EB" w14:textId="2DA8AA8E" w:rsidR="00400985" w:rsidRPr="00CC5C68" w:rsidRDefault="00400985" w:rsidP="00400985">
      <w:pPr>
        <w:spacing w:after="0" w:line="240" w:lineRule="auto"/>
        <w:ind w:left="2694"/>
        <w:rPr>
          <w:rFonts w:ascii="Verdana" w:eastAsia="Calibri" w:hAnsi="Verdana" w:cs="Arial"/>
          <w:b/>
          <w:bCs/>
          <w:lang w:val="es-ES" w:eastAsia="es-ES_tradnl"/>
        </w:rPr>
      </w:pPr>
      <w:r w:rsidRPr="00CC5C68">
        <w:rPr>
          <w:rFonts w:ascii="Verdana" w:eastAsia="Calibri" w:hAnsi="Verdana" w:cs="Arial"/>
          <w:b/>
          <w:bCs/>
          <w:lang w:val="es-ES" w:eastAsia="es-ES_tradnl"/>
        </w:rPr>
        <w:t>Concepto C-</w:t>
      </w:r>
      <w:r w:rsidR="004E71EC">
        <w:rPr>
          <w:rFonts w:ascii="Verdana" w:eastAsia="Calibri" w:hAnsi="Verdana" w:cs="Arial"/>
          <w:b/>
          <w:bCs/>
          <w:lang w:val="es-ES" w:eastAsia="es-ES_tradnl"/>
        </w:rPr>
        <w:t>3</w:t>
      </w:r>
      <w:r>
        <w:rPr>
          <w:rFonts w:ascii="Verdana" w:eastAsia="Calibri" w:hAnsi="Verdana" w:cs="Arial"/>
          <w:b/>
          <w:bCs/>
          <w:lang w:val="es-ES" w:eastAsia="es-ES_tradnl"/>
        </w:rPr>
        <w:t>9</w:t>
      </w:r>
      <w:r w:rsidR="004E71EC">
        <w:rPr>
          <w:rFonts w:ascii="Verdana" w:eastAsia="Calibri" w:hAnsi="Verdana" w:cs="Arial"/>
          <w:b/>
          <w:bCs/>
          <w:lang w:val="es-ES" w:eastAsia="es-ES_tradnl"/>
        </w:rPr>
        <w:t>7</w:t>
      </w:r>
      <w:r w:rsidRPr="00CC5C68">
        <w:rPr>
          <w:rFonts w:ascii="Verdana" w:eastAsia="Calibri" w:hAnsi="Verdana" w:cs="Arial"/>
          <w:b/>
          <w:bCs/>
          <w:lang w:val="es-ES" w:eastAsia="es-ES_tradnl"/>
        </w:rPr>
        <w:t xml:space="preserve"> de 202</w:t>
      </w:r>
      <w:r w:rsidR="004E71EC">
        <w:rPr>
          <w:rFonts w:ascii="Verdana" w:eastAsia="Calibri" w:hAnsi="Verdana" w:cs="Arial"/>
          <w:b/>
          <w:bCs/>
          <w:lang w:val="es-ES" w:eastAsia="es-ES_tradnl"/>
        </w:rPr>
        <w:t>6</w:t>
      </w:r>
    </w:p>
    <w:p w14:paraId="51E9CDDB" w14:textId="77777777" w:rsidR="00400985" w:rsidRPr="00CC5C68" w:rsidRDefault="00400985" w:rsidP="00400985">
      <w:pPr>
        <w:spacing w:after="0" w:line="240" w:lineRule="auto"/>
        <w:jc w:val="both"/>
        <w:rPr>
          <w:rFonts w:ascii="Verdana" w:eastAsia="Calibri" w:hAnsi="Verdana" w:cs="Arial"/>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94"/>
        <w:gridCol w:w="6095"/>
      </w:tblGrid>
      <w:tr w:rsidR="00400985" w:rsidRPr="00CC5C68" w14:paraId="370DFA96" w14:textId="77777777" w:rsidTr="00432403">
        <w:tc>
          <w:tcPr>
            <w:tcW w:w="2694" w:type="dxa"/>
          </w:tcPr>
          <w:p w14:paraId="118B2766" w14:textId="77777777" w:rsidR="00400985" w:rsidRPr="00CC5C68" w:rsidRDefault="00400985" w:rsidP="00432403">
            <w:pPr>
              <w:rPr>
                <w:rFonts w:ascii="Verdana" w:eastAsia="Calibri" w:hAnsi="Verdana" w:cs="Arial"/>
                <w:lang w:val="es-ES_tradnl" w:eastAsia="es-ES_tradnl"/>
              </w:rPr>
            </w:pPr>
            <w:r w:rsidRPr="00CC5C68">
              <w:rPr>
                <w:rFonts w:ascii="Verdana" w:eastAsia="Calibri" w:hAnsi="Verdana" w:cs="Arial"/>
                <w:b/>
                <w:lang w:val="es-ES_tradnl" w:eastAsia="es-ES_tradnl"/>
              </w:rPr>
              <w:t>Temas:</w:t>
            </w:r>
          </w:p>
        </w:tc>
        <w:tc>
          <w:tcPr>
            <w:tcW w:w="6095" w:type="dxa"/>
          </w:tcPr>
          <w:p w14:paraId="49ADCB94" w14:textId="77777777" w:rsidR="00400985" w:rsidRDefault="00400985" w:rsidP="00432403">
            <w:pPr>
              <w:spacing w:line="276" w:lineRule="auto"/>
              <w:jc w:val="both"/>
              <w:textAlignment w:val="baseline"/>
              <w:rPr>
                <w:rFonts w:ascii="Verdana" w:eastAsia="Times New Roman" w:hAnsi="Verdana" w:cs="Arial"/>
                <w:lang w:eastAsia="es-ES_tradnl"/>
              </w:rPr>
            </w:pPr>
            <w:r w:rsidRPr="00A16436">
              <w:rPr>
                <w:rFonts w:ascii="Verdana" w:eastAsia="Times New Roman" w:hAnsi="Verdana" w:cs="Arial"/>
                <w:lang w:eastAsia="es-ES_tradnl"/>
              </w:rPr>
              <w:t>LEY DE GARANTÍAS ELECTORALES ─ Prohibición ‒ Contratación directa ‒ Alcance / LEY DE GARANTÍAS ELECTORALES ─ Prohibición ‒ Contratación directa ‒ Excepciones / LEY DE GARANTÍAS ELECTORALES ‒ Contratación directa ‒ Contrato de arrendamiento</w:t>
            </w:r>
          </w:p>
          <w:p w14:paraId="2273298E" w14:textId="77777777" w:rsidR="00A372D1" w:rsidRPr="00CC5C68" w:rsidRDefault="00A372D1" w:rsidP="00432403">
            <w:pPr>
              <w:spacing w:line="276" w:lineRule="auto"/>
              <w:jc w:val="both"/>
              <w:textAlignment w:val="baseline"/>
              <w:rPr>
                <w:rFonts w:ascii="Verdana" w:eastAsia="Times New Roman" w:hAnsi="Verdana" w:cs="Arial"/>
                <w:lang w:val="es-ES_tradnl" w:eastAsia="es-ES_tradnl"/>
              </w:rPr>
            </w:pPr>
          </w:p>
        </w:tc>
      </w:tr>
      <w:tr w:rsidR="00400985" w:rsidRPr="00CC5C68" w14:paraId="3D3603B1" w14:textId="77777777" w:rsidTr="00432403">
        <w:tc>
          <w:tcPr>
            <w:tcW w:w="2694" w:type="dxa"/>
          </w:tcPr>
          <w:p w14:paraId="2E5329B4" w14:textId="77777777" w:rsidR="00400985" w:rsidRPr="00CC5C68" w:rsidRDefault="00400985" w:rsidP="00432403">
            <w:pPr>
              <w:rPr>
                <w:rFonts w:ascii="Verdana" w:eastAsia="Calibri" w:hAnsi="Verdana" w:cs="Arial"/>
                <w:b/>
                <w:lang w:val="es-ES" w:eastAsia="es-ES_tradnl"/>
              </w:rPr>
            </w:pPr>
            <w:r w:rsidRPr="00CC5C68">
              <w:rPr>
                <w:rFonts w:ascii="Verdana" w:eastAsia="Calibri" w:hAnsi="Verdana" w:cs="Arial"/>
                <w:b/>
                <w:lang w:val="es-ES" w:eastAsia="es-ES_tradnl"/>
              </w:rPr>
              <w:t>Radicación:</w:t>
            </w:r>
          </w:p>
        </w:tc>
        <w:tc>
          <w:tcPr>
            <w:tcW w:w="6095" w:type="dxa"/>
          </w:tcPr>
          <w:p w14:paraId="04DEFCA1" w14:textId="51C49314" w:rsidR="00A372D1" w:rsidRPr="00A372D1" w:rsidRDefault="00400985" w:rsidP="00A372D1">
            <w:pPr>
              <w:jc w:val="both"/>
              <w:rPr>
                <w:rFonts w:ascii="Verdana" w:eastAsia="Calibri" w:hAnsi="Verdana" w:cs="Arial"/>
                <w:lang w:val="es-ES" w:eastAsia="es-ES_tradnl"/>
              </w:rPr>
            </w:pPr>
            <w:r w:rsidRPr="00CC5C68">
              <w:rPr>
                <w:rFonts w:ascii="Verdana" w:eastAsia="Calibri" w:hAnsi="Verdana" w:cs="Arial"/>
                <w:lang w:val="es-ES" w:eastAsia="es-ES_tradnl"/>
              </w:rPr>
              <w:t xml:space="preserve">Respuesta a consulta radicado No. </w:t>
            </w:r>
            <w:r w:rsidR="00A372D1">
              <w:rPr>
                <w:rFonts w:ascii="Verdana" w:hAnsi="Verdana" w:cs="Calibri"/>
              </w:rPr>
              <w:t>1_2026_03_11_003416</w:t>
            </w:r>
          </w:p>
          <w:p w14:paraId="4773B6BB" w14:textId="0673C63E" w:rsidR="00400985" w:rsidRPr="00CC5C68" w:rsidRDefault="00400985" w:rsidP="00432403">
            <w:pPr>
              <w:jc w:val="both"/>
              <w:rPr>
                <w:rFonts w:ascii="Verdana" w:eastAsia="Calibri" w:hAnsi="Verdana" w:cs="Arial"/>
                <w:lang w:val="es-ES" w:eastAsia="es-ES_tradnl"/>
              </w:rPr>
            </w:pPr>
          </w:p>
        </w:tc>
      </w:tr>
    </w:tbl>
    <w:p w14:paraId="5C387C62" w14:textId="77777777" w:rsidR="00400985" w:rsidRPr="00CC5C68" w:rsidRDefault="00400985" w:rsidP="00400985">
      <w:pPr>
        <w:spacing w:after="0" w:line="240" w:lineRule="auto"/>
        <w:jc w:val="both"/>
        <w:rPr>
          <w:rFonts w:ascii="Verdana" w:eastAsia="Calibri" w:hAnsi="Verdana" w:cs="Arial"/>
          <w:lang w:val="es-ES_tradnl" w:eastAsia="es-ES_tradnl"/>
        </w:rPr>
      </w:pPr>
    </w:p>
    <w:p w14:paraId="7E08A8B2" w14:textId="77777777" w:rsidR="00400985" w:rsidRPr="00CC5C68" w:rsidRDefault="00400985" w:rsidP="00400985">
      <w:pPr>
        <w:spacing w:after="0" w:line="240" w:lineRule="auto"/>
        <w:jc w:val="both"/>
        <w:rPr>
          <w:rFonts w:ascii="Verdana" w:eastAsia="Calibri" w:hAnsi="Verdana" w:cs="Arial"/>
          <w:lang w:val="es-ES_tradnl" w:eastAsia="es-ES_tradnl"/>
        </w:rPr>
      </w:pPr>
    </w:p>
    <w:p w14:paraId="2D3CA07D" w14:textId="3D3F3FEB" w:rsidR="00400985" w:rsidRPr="00CC5C68" w:rsidRDefault="00400985" w:rsidP="00400985">
      <w:pPr>
        <w:spacing w:after="0" w:line="276" w:lineRule="auto"/>
        <w:contextualSpacing/>
        <w:jc w:val="both"/>
        <w:rPr>
          <w:rFonts w:ascii="Verdana" w:eastAsia="Calibri" w:hAnsi="Verdana" w:cs="Arial"/>
          <w:bCs/>
          <w:lang w:val="es-ES_tradnl" w:eastAsia="es-ES_tradnl"/>
        </w:rPr>
      </w:pPr>
      <w:r w:rsidRPr="00CC5C68">
        <w:rPr>
          <w:rFonts w:ascii="Verdana" w:eastAsia="Calibri" w:hAnsi="Verdana" w:cs="Arial"/>
          <w:lang w:val="es-ES_tradnl" w:eastAsia="es-ES_tradnl"/>
        </w:rPr>
        <w:t>Estimad</w:t>
      </w:r>
      <w:r w:rsidR="00A372D1">
        <w:rPr>
          <w:rFonts w:ascii="Verdana" w:eastAsia="Calibri" w:hAnsi="Verdana" w:cs="Arial"/>
          <w:lang w:val="es-ES_tradnl" w:eastAsia="es-ES_tradnl"/>
        </w:rPr>
        <w:t xml:space="preserve">o </w:t>
      </w:r>
      <w:r w:rsidRPr="00CC5C68">
        <w:rPr>
          <w:rFonts w:ascii="Verdana" w:eastAsia="Calibri" w:hAnsi="Verdana" w:cs="Arial"/>
          <w:lang w:val="es-ES_tradnl" w:eastAsia="es-ES_tradnl"/>
        </w:rPr>
        <w:t xml:space="preserve">señor </w:t>
      </w:r>
      <w:r w:rsidR="00A372D1">
        <w:rPr>
          <w:rFonts w:ascii="Verdana" w:eastAsia="Calibri" w:hAnsi="Verdana" w:cs="Arial"/>
          <w:lang w:val="es-ES_tradnl" w:eastAsia="es-ES_tradnl"/>
        </w:rPr>
        <w:t>García</w:t>
      </w:r>
      <w:r w:rsidRPr="00CC5C68">
        <w:rPr>
          <w:rFonts w:ascii="Verdana" w:eastAsia="Calibri" w:hAnsi="Verdana" w:cs="Arial"/>
          <w:bCs/>
          <w:lang w:val="es-ES_tradnl" w:eastAsia="es-ES_tradnl"/>
        </w:rPr>
        <w:t>:</w:t>
      </w:r>
    </w:p>
    <w:p w14:paraId="09E59D93" w14:textId="77777777" w:rsidR="00400985" w:rsidRPr="00CC5C68" w:rsidRDefault="00400985" w:rsidP="00400985">
      <w:pPr>
        <w:spacing w:after="0" w:line="276" w:lineRule="auto"/>
        <w:contextualSpacing/>
        <w:jc w:val="both"/>
        <w:rPr>
          <w:rFonts w:ascii="Verdana" w:eastAsia="Calibri" w:hAnsi="Verdana" w:cs="Arial"/>
          <w:lang w:val="es-ES_tradnl" w:eastAsia="es-ES_tradnl"/>
        </w:rPr>
      </w:pPr>
    </w:p>
    <w:p w14:paraId="48DAD2CA" w14:textId="5D2D1918" w:rsidR="00400985" w:rsidRPr="00CC5C68" w:rsidRDefault="00400985" w:rsidP="00400985">
      <w:pPr>
        <w:spacing w:after="0" w:line="276" w:lineRule="auto"/>
        <w:contextualSpacing/>
        <w:jc w:val="both"/>
        <w:rPr>
          <w:rFonts w:ascii="Verdana" w:eastAsia="Calibri" w:hAnsi="Verdana" w:cs="Arial"/>
          <w:lang w:val="es-ES" w:eastAsia="es-ES_tradnl"/>
        </w:rPr>
      </w:pPr>
      <w:r w:rsidRPr="00CC5C68">
        <w:rPr>
          <w:rFonts w:ascii="Verdana" w:eastAsia="Calibri" w:hAnsi="Verdana" w:cs="Arial"/>
          <w:lang w:val="es-ES" w:eastAsia="es-ES_tradnl"/>
        </w:rPr>
        <w:t xml:space="preserve">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 consulta de fecha </w:t>
      </w:r>
      <w:r w:rsidR="00A372D1">
        <w:rPr>
          <w:rFonts w:ascii="Verdana" w:eastAsia="Calibri" w:hAnsi="Verdana" w:cs="Arial"/>
          <w:lang w:val="es-ES" w:eastAsia="es-ES_tradnl"/>
        </w:rPr>
        <w:t>11</w:t>
      </w:r>
      <w:r w:rsidRPr="00CC5C68">
        <w:rPr>
          <w:rFonts w:ascii="Verdana" w:eastAsia="Calibri" w:hAnsi="Verdana" w:cs="Arial"/>
          <w:lang w:val="es-ES" w:eastAsia="es-ES_tradnl"/>
        </w:rPr>
        <w:t xml:space="preserve"> de </w:t>
      </w:r>
      <w:r w:rsidR="00A372D1">
        <w:rPr>
          <w:rFonts w:ascii="Verdana" w:eastAsia="Calibri" w:hAnsi="Verdana" w:cs="Arial"/>
          <w:lang w:val="es-ES" w:eastAsia="es-ES_tradnl"/>
        </w:rPr>
        <w:t>marzo</w:t>
      </w:r>
      <w:r w:rsidRPr="00CC5C68">
        <w:rPr>
          <w:rFonts w:ascii="Verdana" w:eastAsia="Calibri" w:hAnsi="Verdana" w:cs="Arial"/>
          <w:lang w:val="es-ES" w:eastAsia="es-ES_tradnl"/>
        </w:rPr>
        <w:t xml:space="preserve"> de 202</w:t>
      </w:r>
      <w:r w:rsidR="00A372D1">
        <w:rPr>
          <w:rFonts w:ascii="Verdana" w:eastAsia="Calibri" w:hAnsi="Verdana" w:cs="Arial"/>
          <w:lang w:val="es-ES" w:eastAsia="es-ES_tradnl"/>
        </w:rPr>
        <w:t>6</w:t>
      </w:r>
      <w:r w:rsidRPr="00CC5C68">
        <w:rPr>
          <w:rFonts w:ascii="Verdana" w:eastAsia="Calibri" w:hAnsi="Verdana" w:cs="Arial"/>
          <w:lang w:val="es-ES" w:eastAsia="es-ES_tradnl"/>
        </w:rPr>
        <w:t>, en la cual manifiesta lo siguiente:</w:t>
      </w:r>
    </w:p>
    <w:p w14:paraId="0DD566AD" w14:textId="77777777" w:rsidR="00400985" w:rsidRPr="00DA68B5" w:rsidRDefault="00400985" w:rsidP="00400985">
      <w:pPr>
        <w:spacing w:after="0" w:line="276" w:lineRule="auto"/>
        <w:contextualSpacing/>
        <w:jc w:val="both"/>
        <w:rPr>
          <w:rFonts w:ascii="Verdana" w:eastAsia="Calibri" w:hAnsi="Verdana" w:cs="Arial"/>
          <w:b/>
          <w:szCs w:val="24"/>
          <w:lang w:val="es-ES" w:eastAsia="es-ES_tradnl"/>
        </w:rPr>
      </w:pPr>
    </w:p>
    <w:p w14:paraId="4ED0C5C6" w14:textId="0286D901" w:rsidR="00400985" w:rsidRPr="00CC5C68" w:rsidRDefault="00400985" w:rsidP="00400985">
      <w:pPr>
        <w:spacing w:after="0" w:line="240" w:lineRule="auto"/>
        <w:ind w:left="709" w:right="709"/>
        <w:contextualSpacing/>
        <w:jc w:val="both"/>
        <w:rPr>
          <w:rFonts w:ascii="Verdana" w:eastAsia="Times New Roman" w:hAnsi="Verdana" w:cs="Arial"/>
          <w:sz w:val="21"/>
          <w:szCs w:val="21"/>
          <w:lang w:eastAsia="es-ES_tradnl"/>
        </w:rPr>
      </w:pPr>
      <w:r w:rsidRPr="00CC5C68">
        <w:rPr>
          <w:rFonts w:ascii="Verdana" w:eastAsia="Times New Roman" w:hAnsi="Verdana" w:cs="Arial"/>
          <w:sz w:val="21"/>
          <w:szCs w:val="21"/>
          <w:lang w:eastAsia="es-ES_tradnl"/>
        </w:rPr>
        <w:t>“</w:t>
      </w:r>
      <w:r w:rsidR="00E30FA6">
        <w:rPr>
          <w:rFonts w:ascii="Verdana" w:eastAsia="Times New Roman" w:hAnsi="Verdana" w:cs="Arial"/>
          <w:sz w:val="21"/>
          <w:szCs w:val="21"/>
          <w:lang w:eastAsia="es-ES_tradnl"/>
        </w:rPr>
        <w:t>Solicitud de concepto jurídico sobre la procedencia de la contratación directa para el arrendamiento de bienes inmuebles durante la vigencia de la Ley de Garantías Electorales”.</w:t>
      </w:r>
    </w:p>
    <w:p w14:paraId="3A402F59" w14:textId="77777777" w:rsidR="00400985" w:rsidRPr="00CC5C68" w:rsidRDefault="00400985" w:rsidP="00400985">
      <w:pPr>
        <w:spacing w:after="0" w:line="240" w:lineRule="auto"/>
        <w:ind w:left="709" w:right="709"/>
        <w:contextualSpacing/>
        <w:jc w:val="both"/>
        <w:rPr>
          <w:rFonts w:ascii="Verdana" w:eastAsia="Times New Roman" w:hAnsi="Verdana" w:cs="Arial"/>
          <w:sz w:val="21"/>
          <w:szCs w:val="21"/>
          <w:lang w:eastAsia="es-ES_tradnl"/>
        </w:rPr>
      </w:pPr>
    </w:p>
    <w:p w14:paraId="4B652AD2" w14:textId="77777777" w:rsidR="00400985" w:rsidRPr="00CC5C68" w:rsidRDefault="00400985" w:rsidP="00400985">
      <w:pPr>
        <w:spacing w:after="120" w:line="276" w:lineRule="auto"/>
        <w:ind w:firstLine="709"/>
        <w:jc w:val="both"/>
        <w:rPr>
          <w:rFonts w:ascii="Verdana" w:eastAsia="Calibri" w:hAnsi="Verdana" w:cs="Arial"/>
          <w:color w:val="000000"/>
          <w:szCs w:val="24"/>
          <w:lang w:val="es-ES_tradnl" w:eastAsia="es-ES_tradnl"/>
        </w:rPr>
      </w:pPr>
      <w:r w:rsidRPr="00CC5C68">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C5C68">
        <w:rPr>
          <w:rFonts w:ascii="Verdana" w:eastAsia="Calibri" w:hAnsi="Verdana" w:cs="Arial"/>
          <w:color w:val="000000"/>
          <w:szCs w:val="24"/>
          <w:lang w:val="es-ES_tradnl" w:eastAsia="es-ES_tradnl"/>
        </w:rPr>
        <w:tab/>
      </w:r>
    </w:p>
    <w:p w14:paraId="03288AB1" w14:textId="77777777" w:rsidR="00400985" w:rsidRPr="00CC5C68" w:rsidRDefault="00400985" w:rsidP="00400985">
      <w:pPr>
        <w:spacing w:after="0" w:line="276" w:lineRule="auto"/>
        <w:ind w:firstLine="709"/>
        <w:jc w:val="both"/>
        <w:rPr>
          <w:rFonts w:ascii="Verdana" w:eastAsia="Calibri" w:hAnsi="Verdana" w:cs="Arial"/>
          <w:lang w:val="es-ES" w:eastAsia="es-ES"/>
        </w:rPr>
      </w:pPr>
      <w:r w:rsidRPr="00CC5C68">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455D57F5" w14:textId="77777777" w:rsidR="00400985" w:rsidRPr="00CC5C68" w:rsidRDefault="00400985" w:rsidP="00400985">
      <w:pPr>
        <w:spacing w:after="0" w:line="276" w:lineRule="auto"/>
        <w:contextualSpacing/>
        <w:jc w:val="both"/>
        <w:rPr>
          <w:rFonts w:ascii="Verdana" w:eastAsia="Times New Roman" w:hAnsi="Verdana" w:cs="Arial"/>
          <w:szCs w:val="24"/>
          <w:lang w:val="es-ES_tradnl" w:eastAsia="es-ES_tradnl"/>
        </w:rPr>
      </w:pPr>
    </w:p>
    <w:p w14:paraId="29041991" w14:textId="77777777" w:rsidR="00400985" w:rsidRPr="00CC5C68" w:rsidRDefault="00400985" w:rsidP="00400985">
      <w:pPr>
        <w:tabs>
          <w:tab w:val="left" w:pos="0"/>
          <w:tab w:val="left" w:pos="284"/>
        </w:tabs>
        <w:spacing w:after="0" w:line="276" w:lineRule="auto"/>
        <w:contextualSpacing/>
        <w:jc w:val="both"/>
        <w:rPr>
          <w:rFonts w:ascii="Verdana" w:eastAsia="Calibri" w:hAnsi="Verdana" w:cs="Arial"/>
          <w:b/>
          <w:lang w:val="es-ES_tradnl"/>
        </w:rPr>
      </w:pPr>
      <w:r w:rsidRPr="00CC5C68">
        <w:rPr>
          <w:rFonts w:ascii="Verdana" w:eastAsia="Calibri" w:hAnsi="Verdana" w:cs="Arial"/>
          <w:b/>
          <w:lang w:val="es-ES_tradnl"/>
        </w:rPr>
        <w:t>1. Problema planteado:</w:t>
      </w:r>
    </w:p>
    <w:p w14:paraId="1D5585B4" w14:textId="77777777" w:rsidR="00400985" w:rsidRPr="00CC5C68" w:rsidRDefault="00400985" w:rsidP="00400985">
      <w:pPr>
        <w:tabs>
          <w:tab w:val="left" w:pos="0"/>
          <w:tab w:val="left" w:pos="284"/>
        </w:tabs>
        <w:spacing w:after="0" w:line="276" w:lineRule="auto"/>
        <w:contextualSpacing/>
        <w:jc w:val="both"/>
        <w:rPr>
          <w:rFonts w:ascii="Verdana" w:eastAsia="Calibri" w:hAnsi="Verdana" w:cs="Arial"/>
          <w:b/>
          <w:lang w:val="es-ES_tradnl"/>
        </w:rPr>
      </w:pPr>
    </w:p>
    <w:p w14:paraId="5559C622" w14:textId="5B036ABD" w:rsidR="000214E4" w:rsidRDefault="00400985" w:rsidP="000214E4">
      <w:pPr>
        <w:spacing w:after="0" w:line="240" w:lineRule="auto"/>
        <w:jc w:val="both"/>
        <w:rPr>
          <w:rFonts w:ascii="Verdana" w:eastAsia="Verdana" w:hAnsi="Verdana" w:cs="Verdana"/>
          <w:lang w:val="es-MX"/>
        </w:rPr>
      </w:pPr>
      <w:r w:rsidRPr="00CC5C68">
        <w:rPr>
          <w:rFonts w:ascii="Verdana" w:eastAsia="Century Gothic" w:hAnsi="Verdana" w:cs="Century Gothic"/>
        </w:rPr>
        <w:t xml:space="preserve">De acuerdo con el contenido de su solicitud, esta Agencia resolverá el siguiente problema jurídico: </w:t>
      </w:r>
      <w:r w:rsidR="000214E4">
        <w:rPr>
          <w:rFonts w:ascii="Verdana" w:eastAsia="Verdana" w:hAnsi="Verdana" w:cs="Verdana"/>
          <w:lang w:val="es-MX"/>
        </w:rPr>
        <w:t>¿</w:t>
      </w:r>
      <w:r w:rsidR="00AB45B9">
        <w:rPr>
          <w:rFonts w:ascii="Verdana" w:eastAsia="Verdana" w:hAnsi="Verdana" w:cs="Verdana"/>
          <w:lang w:val="es-MX"/>
        </w:rPr>
        <w:t>Es posible</w:t>
      </w:r>
      <w:r w:rsidR="000214E4">
        <w:rPr>
          <w:rFonts w:ascii="Verdana" w:eastAsia="Verdana" w:hAnsi="Verdana" w:cs="Verdana"/>
          <w:lang w:val="es-MX"/>
        </w:rPr>
        <w:t xml:space="preserve"> celebrar contratos de arrendamiento de bienes inmuebles mediante contratación directa durante la vigencia de la Ley de Garantías Electorales?</w:t>
      </w:r>
    </w:p>
    <w:p w14:paraId="63443056" w14:textId="77777777" w:rsidR="0079406D" w:rsidRDefault="0079406D" w:rsidP="000214E4">
      <w:pPr>
        <w:spacing w:after="0" w:line="240" w:lineRule="auto"/>
        <w:jc w:val="both"/>
        <w:rPr>
          <w:rFonts w:ascii="Verdana" w:eastAsia="Verdana" w:hAnsi="Verdana" w:cs="Verdana"/>
          <w:lang w:val="es-MX"/>
        </w:rPr>
      </w:pPr>
    </w:p>
    <w:p w14:paraId="5DAACDB6" w14:textId="20D8D400" w:rsidR="0079406D" w:rsidRDefault="0079406D" w:rsidP="000214E4">
      <w:pPr>
        <w:spacing w:after="0" w:line="240" w:lineRule="auto"/>
        <w:jc w:val="both"/>
        <w:rPr>
          <w:rFonts w:ascii="Verdana" w:eastAsia="Verdana" w:hAnsi="Verdana" w:cs="Verdana"/>
          <w:lang w:val="es-MX"/>
        </w:rPr>
      </w:pPr>
      <w:r>
        <w:rPr>
          <w:rFonts w:ascii="Verdana" w:eastAsia="Verdana" w:hAnsi="Verdana" w:cs="Verdana"/>
          <w:lang w:val="es-MX"/>
        </w:rPr>
        <w:t xml:space="preserve">2. Respuesta: </w:t>
      </w:r>
    </w:p>
    <w:p w14:paraId="5C1C1479" w14:textId="77777777" w:rsidR="0079406D" w:rsidRDefault="0079406D" w:rsidP="000214E4">
      <w:pPr>
        <w:spacing w:after="0" w:line="240" w:lineRule="auto"/>
        <w:jc w:val="both"/>
        <w:rPr>
          <w:rFonts w:ascii="Verdana" w:eastAsia="Verdana" w:hAnsi="Verdana" w:cs="Verdana"/>
          <w:lang w:val="es-MX"/>
        </w:rPr>
      </w:pPr>
    </w:p>
    <w:p w14:paraId="0AB461CC" w14:textId="4974B436" w:rsidR="0079406D" w:rsidRDefault="0079406D" w:rsidP="00504E13">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Verdana" w:hAnsi="Verdana" w:cs="Verdana"/>
          <w:lang w:val="es-MX"/>
        </w:rPr>
      </w:pPr>
      <w:r>
        <w:rPr>
          <w:rFonts w:ascii="Verdana" w:eastAsia="Verdana" w:hAnsi="Verdana" w:cs="Verdana"/>
          <w:lang w:val="es-MX"/>
        </w:rPr>
        <w:t xml:space="preserve">La prohibición del artículo 33 de la Ley de Garantías Electorales </w:t>
      </w:r>
      <w:r w:rsidR="00166EE5">
        <w:rPr>
          <w:rFonts w:ascii="Verdana" w:eastAsia="Verdana" w:hAnsi="Verdana" w:cs="Verdana"/>
          <w:lang w:val="es-MX"/>
        </w:rPr>
        <w:t xml:space="preserve">se refiere a “cualquier </w:t>
      </w:r>
      <w:r w:rsidR="00906B70">
        <w:rPr>
          <w:rFonts w:ascii="Verdana" w:eastAsia="Verdana" w:hAnsi="Verdana" w:cs="Verdana"/>
          <w:lang w:val="es-MX"/>
        </w:rPr>
        <w:t>sistema que no implique convocatoria pública y posibilidad de pluralidad de oferentes</w:t>
      </w:r>
      <w:r w:rsidR="0095459B">
        <w:rPr>
          <w:rFonts w:ascii="Verdana" w:eastAsia="Verdana" w:hAnsi="Verdana" w:cs="Verdana"/>
          <w:lang w:val="es-MX"/>
        </w:rPr>
        <w:t>”</w:t>
      </w:r>
      <w:r w:rsidR="005239D0">
        <w:rPr>
          <w:rFonts w:ascii="Verdana" w:eastAsia="Verdana" w:hAnsi="Verdana" w:cs="Verdana"/>
          <w:lang w:val="es-MX"/>
        </w:rPr>
        <w:t xml:space="preserve">, por lo que excluye las demás modalidades de contratación previstas en el Ley 1150 de 2007, es decir, </w:t>
      </w:r>
      <w:r w:rsidR="00193213">
        <w:rPr>
          <w:rFonts w:ascii="Verdana" w:eastAsia="Verdana" w:hAnsi="Verdana" w:cs="Verdana"/>
          <w:lang w:val="es-MX"/>
        </w:rPr>
        <w:t xml:space="preserve">la licitación pública, la selección abreviada y el concurso de </w:t>
      </w:r>
      <w:r w:rsidR="009E524F">
        <w:rPr>
          <w:rFonts w:ascii="Verdana" w:eastAsia="Verdana" w:hAnsi="Verdana" w:cs="Verdana"/>
          <w:lang w:val="es-MX"/>
        </w:rPr>
        <w:t xml:space="preserve">méritos </w:t>
      </w:r>
      <w:r w:rsidR="00AF1D90">
        <w:rPr>
          <w:rFonts w:ascii="Verdana" w:eastAsia="Verdana" w:hAnsi="Verdana" w:cs="Verdana"/>
          <w:lang w:val="es-MX"/>
        </w:rPr>
        <w:t xml:space="preserve">u otros previstos en normas especiales. </w:t>
      </w:r>
    </w:p>
    <w:p w14:paraId="306F6AE2" w14:textId="548B7D93" w:rsidR="00AF1D90" w:rsidRDefault="00AF1D90" w:rsidP="00504E13">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Verdana" w:hAnsi="Verdana" w:cs="Verdana"/>
          <w:lang w:val="es-MX"/>
        </w:rPr>
      </w:pPr>
      <w:r>
        <w:rPr>
          <w:rFonts w:ascii="Verdana" w:eastAsia="Verdana" w:hAnsi="Verdana" w:cs="Verdana"/>
          <w:lang w:val="es-MX"/>
        </w:rPr>
        <w:t xml:space="preserve">Por tanto, teniendo en cuenta que el literal i) del numeral 4° del artículo 2° de la Ley 1150 de 2007 establece que una de las causales de este procedimiento es: “i) El arrendamiento o adquisición </w:t>
      </w:r>
      <w:r w:rsidR="00ED2B1F">
        <w:rPr>
          <w:rFonts w:ascii="Verdana" w:eastAsia="Verdana" w:hAnsi="Verdana" w:cs="Verdana"/>
          <w:lang w:val="es-MX"/>
        </w:rPr>
        <w:t>de inmuebles”; y adicionalmente, el artículo 2.2.1.2.1.4.11</w:t>
      </w:r>
      <w:r w:rsidR="005E7789">
        <w:rPr>
          <w:rFonts w:ascii="Verdana" w:eastAsia="Verdana" w:hAnsi="Verdana" w:cs="Verdana"/>
          <w:lang w:val="es-MX"/>
        </w:rPr>
        <w:t xml:space="preserve"> del Decreto 1082 de 2015 dispone que las Entidades Estatales pueden</w:t>
      </w:r>
      <w:r w:rsidR="00A66C40">
        <w:rPr>
          <w:rFonts w:ascii="Verdana" w:eastAsia="Verdana" w:hAnsi="Verdana" w:cs="Verdana"/>
          <w:lang w:val="es-MX"/>
        </w:rPr>
        <w:t xml:space="preserve"> alquilar o arrendar inmuebles mediante contratación directa; esta contratación al ser directa se encuentra cobijada por la prohibición del artículo 33 de la Ley de Garantías Electorales, ya que como se señaló en el </w:t>
      </w:r>
      <w:r w:rsidR="00504E13">
        <w:rPr>
          <w:rFonts w:ascii="Verdana" w:eastAsia="Verdana" w:hAnsi="Verdana" w:cs="Verdana"/>
          <w:lang w:val="es-MX"/>
        </w:rPr>
        <w:t xml:space="preserve">párrafo anterior, la prohibición es amplia y aplica a toda la contratación que no implique convocatoria pública </w:t>
      </w:r>
    </w:p>
    <w:p w14:paraId="6461BC8F" w14:textId="77777777" w:rsidR="00B22076" w:rsidRDefault="00B22076" w:rsidP="000214E4">
      <w:pPr>
        <w:spacing w:after="0" w:line="240" w:lineRule="auto"/>
        <w:jc w:val="both"/>
        <w:rPr>
          <w:rFonts w:ascii="Verdana" w:eastAsia="Verdana" w:hAnsi="Verdana" w:cs="Verdana"/>
          <w:lang w:val="es-MX"/>
        </w:rPr>
      </w:pPr>
    </w:p>
    <w:p w14:paraId="49FF1A90" w14:textId="5F94DA62" w:rsidR="00B22076" w:rsidRPr="000B6213" w:rsidRDefault="00504E13" w:rsidP="000214E4">
      <w:pPr>
        <w:spacing w:after="0" w:line="240" w:lineRule="auto"/>
        <w:jc w:val="both"/>
        <w:rPr>
          <w:rFonts w:ascii="Verdana" w:eastAsia="Verdana" w:hAnsi="Verdana" w:cs="Verdana"/>
          <w:b/>
          <w:bCs/>
          <w:lang w:val="es-MX"/>
        </w:rPr>
      </w:pPr>
      <w:r w:rsidRPr="000B6213">
        <w:rPr>
          <w:rFonts w:ascii="Verdana" w:eastAsia="Verdana" w:hAnsi="Verdana" w:cs="Verdana"/>
          <w:b/>
          <w:bCs/>
          <w:lang w:val="es-MX"/>
        </w:rPr>
        <w:t xml:space="preserve">3. Razones de la respuesta: </w:t>
      </w:r>
    </w:p>
    <w:p w14:paraId="25B7FC83" w14:textId="77777777" w:rsidR="00504E13" w:rsidRDefault="00504E13" w:rsidP="000214E4">
      <w:pPr>
        <w:spacing w:after="0" w:line="240" w:lineRule="auto"/>
        <w:jc w:val="both"/>
        <w:rPr>
          <w:rFonts w:ascii="Verdana" w:eastAsia="Verdana" w:hAnsi="Verdana" w:cs="Verdana"/>
          <w:lang w:val="es-MX"/>
        </w:rPr>
      </w:pPr>
    </w:p>
    <w:p w14:paraId="3B87FCD8" w14:textId="3D333EA4" w:rsidR="00504E13" w:rsidRDefault="00504E13" w:rsidP="000214E4">
      <w:pPr>
        <w:spacing w:after="0" w:line="240" w:lineRule="auto"/>
        <w:jc w:val="both"/>
        <w:rPr>
          <w:rFonts w:ascii="Verdana" w:eastAsia="Verdana" w:hAnsi="Verdana" w:cs="Verdana"/>
          <w:lang w:val="es-MX"/>
        </w:rPr>
      </w:pPr>
      <w:r>
        <w:rPr>
          <w:rFonts w:ascii="Verdana" w:eastAsia="Verdana" w:hAnsi="Verdana" w:cs="Verdana"/>
          <w:lang w:val="es-MX"/>
        </w:rPr>
        <w:t xml:space="preserve">Lo anterior se sustenta en las siguientes consideraciones: </w:t>
      </w:r>
    </w:p>
    <w:p w14:paraId="2A7AA935" w14:textId="77777777" w:rsidR="00504E13" w:rsidRDefault="00504E13" w:rsidP="001C3580">
      <w:pPr>
        <w:spacing w:after="120" w:line="276" w:lineRule="auto"/>
        <w:ind w:firstLine="709"/>
        <w:jc w:val="both"/>
        <w:rPr>
          <w:rFonts w:ascii="Verdana" w:eastAsia="Verdana" w:hAnsi="Verdana" w:cs="Verdana"/>
          <w:lang w:val="es-MX"/>
        </w:rPr>
      </w:pPr>
    </w:p>
    <w:p w14:paraId="6BBCFD84" w14:textId="6B8B2EF7" w:rsidR="000B6213" w:rsidRDefault="000B6213" w:rsidP="001C3580">
      <w:pPr>
        <w:spacing w:after="120" w:line="276" w:lineRule="auto"/>
        <w:ind w:firstLine="709"/>
        <w:jc w:val="both"/>
        <w:rPr>
          <w:rFonts w:ascii="Verdana" w:eastAsia="Verdana" w:hAnsi="Verdana" w:cs="Verdana"/>
          <w:lang w:val="es-MX"/>
        </w:rPr>
      </w:pPr>
      <w:r>
        <w:rPr>
          <w:rFonts w:ascii="Verdana" w:eastAsia="Verdana" w:hAnsi="Verdana" w:cs="Verdana"/>
          <w:lang w:val="es-MX"/>
        </w:rPr>
        <w:t xml:space="preserve">El ámbito material de la prohibición contenida en el artículo 33 de la Ley 996 de 2005 está delimitado por la expresión </w:t>
      </w:r>
      <w:r w:rsidR="00F232DE">
        <w:rPr>
          <w:rFonts w:ascii="Verdana" w:eastAsia="Verdana" w:hAnsi="Verdana" w:cs="Verdana"/>
          <w:lang w:val="es-MX"/>
        </w:rPr>
        <w:t xml:space="preserve">“queda prohibida la contratación directa”. A propósito de esta restricción de la Ley de Garantías Electorales, la Sala de Consulta y Servicio Civil del Consejo de Estado ha considerado que: </w:t>
      </w:r>
    </w:p>
    <w:p w14:paraId="6BDFB96F" w14:textId="77777777" w:rsidR="00F232DE" w:rsidRDefault="00F232DE" w:rsidP="000214E4">
      <w:pPr>
        <w:spacing w:after="0" w:line="240" w:lineRule="auto"/>
        <w:jc w:val="both"/>
        <w:rPr>
          <w:rFonts w:ascii="Verdana" w:eastAsia="Verdana" w:hAnsi="Verdana" w:cs="Verdana"/>
          <w:lang w:val="es-MX"/>
        </w:rPr>
      </w:pPr>
    </w:p>
    <w:p w14:paraId="440AB904" w14:textId="77777777" w:rsidR="00AE4F13" w:rsidRPr="00AE4F13" w:rsidRDefault="00AE4F13" w:rsidP="001C3580">
      <w:pPr>
        <w:spacing w:after="0" w:line="240" w:lineRule="auto"/>
        <w:ind w:left="709" w:right="709"/>
        <w:contextualSpacing/>
        <w:jc w:val="both"/>
        <w:rPr>
          <w:rFonts w:ascii="Verdana" w:eastAsia="Calibri" w:hAnsi="Verdana" w:cs="Arial"/>
          <w:sz w:val="21"/>
          <w:szCs w:val="21"/>
          <w:lang w:val="es-MX"/>
        </w:rPr>
      </w:pPr>
      <w:r w:rsidRPr="00AE4F13">
        <w:rPr>
          <w:rFonts w:ascii="Verdana" w:eastAsia="Calibri" w:hAnsi="Verdana" w:cs="Arial"/>
          <w:sz w:val="21"/>
          <w:szCs w:val="21"/>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AE4F13">
        <w:rPr>
          <w:rFonts w:ascii="Verdana" w:eastAsia="Times New Roman" w:hAnsi="Verdana" w:cs="Arial"/>
          <w:sz w:val="21"/>
          <w:szCs w:val="21"/>
          <w:vertAlign w:val="superscript"/>
          <w:lang w:eastAsia="es-CO"/>
        </w:rPr>
        <w:footnoteReference w:id="1"/>
      </w:r>
      <w:r w:rsidRPr="00AE4F13">
        <w:rPr>
          <w:rFonts w:ascii="Verdana" w:eastAsia="Calibri" w:hAnsi="Verdana" w:cs="Arial"/>
          <w:sz w:val="21"/>
          <w:szCs w:val="21"/>
          <w:lang w:val="es-MX"/>
        </w:rPr>
        <w:t>.</w:t>
      </w:r>
    </w:p>
    <w:p w14:paraId="6A68AE0F" w14:textId="77777777" w:rsidR="00AE4F13" w:rsidRPr="00AE4F13" w:rsidRDefault="00AE4F13" w:rsidP="001C3580">
      <w:pPr>
        <w:spacing w:after="0" w:line="240" w:lineRule="auto"/>
        <w:ind w:left="709" w:right="709"/>
        <w:contextualSpacing/>
        <w:jc w:val="both"/>
        <w:rPr>
          <w:rFonts w:ascii="Verdana" w:eastAsia="Calibri" w:hAnsi="Verdana" w:cs="Arial"/>
          <w:sz w:val="21"/>
          <w:szCs w:val="21"/>
          <w:lang w:val="es-MX"/>
        </w:rPr>
      </w:pPr>
    </w:p>
    <w:p w14:paraId="750D2376" w14:textId="0DD87738" w:rsidR="00A85447" w:rsidRDefault="00AE4F13" w:rsidP="001C3580">
      <w:pPr>
        <w:spacing w:after="0" w:line="240" w:lineRule="auto"/>
        <w:ind w:left="709" w:right="709"/>
        <w:contextualSpacing/>
        <w:jc w:val="both"/>
        <w:rPr>
          <w:rFonts w:ascii="Verdana" w:eastAsia="Calibri" w:hAnsi="Verdana" w:cs="Arial"/>
          <w:sz w:val="21"/>
          <w:szCs w:val="21"/>
          <w:lang w:val="es-MX"/>
        </w:rPr>
      </w:pPr>
      <w:r w:rsidRPr="00AE4F13">
        <w:rPr>
          <w:rFonts w:ascii="Verdana" w:eastAsia="Calibri" w:hAnsi="Verdana" w:cs="Arial"/>
          <w:sz w:val="21"/>
          <w:szCs w:val="21"/>
          <w:lang w:val="es-MX"/>
        </w:rPr>
        <w:t xml:space="preserve">Esta Sala ha entendido que para los efectos de la ley de garantías, y dada su finalidad, el enunciado ´contratación directa´ es sinónimo </w:t>
      </w:r>
      <w:bookmarkStart w:id="1" w:name="_Hlk75741738"/>
      <w:r w:rsidRPr="00AE4F13">
        <w:rPr>
          <w:rFonts w:ascii="Verdana" w:eastAsia="Calibri" w:hAnsi="Verdana" w:cs="Arial"/>
          <w:sz w:val="21"/>
          <w:szCs w:val="21"/>
          <w:lang w:val="es-MX"/>
        </w:rPr>
        <w:t xml:space="preserve">de cualquier sistema que no implique convocatoria pública y posibilidad de pluralidad de oferentes, </w:t>
      </w:r>
      <w:bookmarkEnd w:id="1"/>
      <w:r w:rsidRPr="00AE4F13">
        <w:rPr>
          <w:rFonts w:ascii="Verdana" w:eastAsia="Calibri" w:hAnsi="Verdana" w:cs="Arial"/>
          <w:sz w:val="21"/>
          <w:szCs w:val="21"/>
          <w:lang w:val="es-MX"/>
        </w:rPr>
        <w:t>y que, además, no necesariamente hace referencia al procedimiento especial regulado por la ley de contratación estatal, sino a cualquier otro que prescinda de un proceso de licitación pública o concurso</w:t>
      </w:r>
      <w:r w:rsidRPr="00AE4F13">
        <w:rPr>
          <w:rFonts w:ascii="Verdana" w:eastAsia="Times New Roman" w:hAnsi="Verdana" w:cs="Arial"/>
          <w:sz w:val="21"/>
          <w:szCs w:val="21"/>
          <w:vertAlign w:val="superscript"/>
          <w:lang w:val="es-MX"/>
        </w:rPr>
        <w:footnoteReference w:id="2"/>
      </w:r>
      <w:r w:rsidRPr="00AE4F13">
        <w:rPr>
          <w:rFonts w:ascii="Verdana" w:eastAsia="Times New Roman" w:hAnsi="Verdana" w:cs="Arial"/>
          <w:sz w:val="21"/>
          <w:szCs w:val="21"/>
          <w:vertAlign w:val="superscript"/>
          <w:lang w:val="es-MX"/>
        </w:rPr>
        <w:t>.</w:t>
      </w:r>
      <w:r w:rsidRPr="00AE4F13">
        <w:rPr>
          <w:rFonts w:ascii="Verdana" w:eastAsia="Calibri" w:hAnsi="Verdana" w:cs="Arial"/>
          <w:sz w:val="21"/>
          <w:szCs w:val="21"/>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00A85447" w:rsidRPr="00F02C5A">
        <w:rPr>
          <w:rFonts w:ascii="Verdana" w:eastAsia="Calibri" w:hAnsi="Verdana" w:cs="Arial"/>
          <w:sz w:val="21"/>
          <w:szCs w:val="21"/>
          <w:lang w:val="es-MX"/>
        </w:rPr>
        <w:t>”</w:t>
      </w:r>
      <w:r w:rsidR="00A85447" w:rsidRPr="00F02C5A">
        <w:rPr>
          <w:rFonts w:ascii="Verdana" w:eastAsia="Times New Roman" w:hAnsi="Verdana" w:cs="Arial"/>
          <w:vertAlign w:val="superscript"/>
          <w:lang w:eastAsia="es-CO"/>
        </w:rPr>
        <w:footnoteReference w:id="3"/>
      </w:r>
      <w:r w:rsidR="00A85447" w:rsidRPr="00F02C5A">
        <w:rPr>
          <w:rFonts w:ascii="Verdana" w:eastAsia="Calibri" w:hAnsi="Verdana" w:cs="Arial"/>
          <w:sz w:val="21"/>
          <w:szCs w:val="21"/>
          <w:lang w:val="es-MX"/>
        </w:rPr>
        <w:t>.</w:t>
      </w:r>
    </w:p>
    <w:p w14:paraId="0E3AAF7F" w14:textId="77777777" w:rsidR="00A84A27" w:rsidRDefault="00A84A27" w:rsidP="00A85447">
      <w:pPr>
        <w:spacing w:after="0" w:line="240" w:lineRule="auto"/>
        <w:ind w:left="708" w:right="709"/>
        <w:contextualSpacing/>
        <w:jc w:val="both"/>
        <w:rPr>
          <w:rFonts w:ascii="Verdana" w:eastAsia="Calibri" w:hAnsi="Verdana" w:cs="Arial"/>
          <w:sz w:val="21"/>
          <w:szCs w:val="21"/>
          <w:lang w:val="es-MX"/>
        </w:rPr>
      </w:pPr>
    </w:p>
    <w:p w14:paraId="39F342E2" w14:textId="43339298" w:rsidR="00A84A27" w:rsidRDefault="00A84A27" w:rsidP="001C3580">
      <w:pPr>
        <w:spacing w:after="120" w:line="276" w:lineRule="auto"/>
        <w:ind w:firstLine="709"/>
        <w:contextualSpacing/>
        <w:jc w:val="both"/>
        <w:rPr>
          <w:rFonts w:ascii="Verdana" w:eastAsia="Calibri" w:hAnsi="Verdana" w:cs="Arial"/>
          <w:lang w:val="es-MX"/>
        </w:rPr>
      </w:pPr>
      <w:r>
        <w:rPr>
          <w:rFonts w:ascii="Verdana" w:eastAsia="Calibri" w:hAnsi="Verdana" w:cs="Arial"/>
          <w:lang w:val="es-MX"/>
        </w:rPr>
        <w:t>De conformidad con el citado concepto, la prohibición del artículo 33 de la Ley de Garantías Electorales</w:t>
      </w:r>
      <w:r w:rsidR="0086524C">
        <w:rPr>
          <w:rFonts w:ascii="Verdana" w:eastAsia="Calibri" w:hAnsi="Verdana" w:cs="Arial"/>
          <w:lang w:val="es-MX"/>
        </w:rPr>
        <w:t xml:space="preserve"> se refiere a “cualquier sistema</w:t>
      </w:r>
      <w:r w:rsidR="00756EAA">
        <w:rPr>
          <w:rFonts w:ascii="Verdana" w:eastAsia="Calibri" w:hAnsi="Verdana" w:cs="Arial"/>
          <w:lang w:val="es-MX"/>
        </w:rPr>
        <w:t xml:space="preserve"> que no implique </w:t>
      </w:r>
      <w:r w:rsidR="007F41EA">
        <w:rPr>
          <w:rFonts w:ascii="Verdana" w:eastAsia="Calibri" w:hAnsi="Verdana" w:cs="Arial"/>
          <w:lang w:val="es-MX"/>
        </w:rPr>
        <w:t>convocatoria pública y posibilidad de pluralidad de oferentes”, por lo que excluye las demás modalidades de contratación previstas en la Ley 1150 de 2007</w:t>
      </w:r>
      <w:r w:rsidR="003D2DC9">
        <w:rPr>
          <w:rFonts w:ascii="Verdana" w:eastAsia="Calibri" w:hAnsi="Verdana" w:cs="Arial"/>
          <w:lang w:val="es-MX"/>
        </w:rPr>
        <w:t>, es decir, la licitación pública, la selección abreviada y el concurso de méritos u otros previstos en normas especiales. Esta posición es congruente con la expedición de la Ley 1150 de 2007</w:t>
      </w:r>
      <w:r w:rsidR="00832FE2">
        <w:rPr>
          <w:rFonts w:ascii="Verdana" w:eastAsia="Calibri" w:hAnsi="Verdana" w:cs="Arial"/>
          <w:lang w:val="es-MX"/>
        </w:rPr>
        <w:t xml:space="preserve"> que, entre otras reformas, introdujo la selección abreviada, rediseñó el concurso de </w:t>
      </w:r>
      <w:r w:rsidR="00A04604">
        <w:rPr>
          <w:rFonts w:ascii="Verdana" w:eastAsia="Calibri" w:hAnsi="Verdana" w:cs="Arial"/>
          <w:lang w:val="es-MX"/>
        </w:rPr>
        <w:t>méritos</w:t>
      </w:r>
      <w:r w:rsidR="0039291D">
        <w:rPr>
          <w:rStyle w:val="Refdenotaalpie"/>
          <w:rFonts w:ascii="Verdana" w:eastAsia="Calibri" w:hAnsi="Verdana" w:cs="Arial"/>
          <w:lang w:val="es-MX"/>
        </w:rPr>
        <w:footnoteReference w:id="4"/>
      </w:r>
      <w:r w:rsidR="00A04604">
        <w:rPr>
          <w:rFonts w:ascii="Verdana" w:eastAsia="Calibri" w:hAnsi="Verdana" w:cs="Arial"/>
          <w:lang w:val="es-MX"/>
        </w:rPr>
        <w:t xml:space="preserve"> y sistematizó </w:t>
      </w:r>
      <w:r w:rsidR="00457968">
        <w:rPr>
          <w:rFonts w:ascii="Verdana" w:eastAsia="Calibri" w:hAnsi="Verdana" w:cs="Arial"/>
          <w:lang w:val="es-MX"/>
        </w:rPr>
        <w:t xml:space="preserve">las causales de </w:t>
      </w:r>
      <w:r w:rsidR="00457FB0">
        <w:rPr>
          <w:rFonts w:ascii="Verdana" w:eastAsia="Calibri" w:hAnsi="Verdana" w:cs="Arial"/>
          <w:lang w:val="es-MX"/>
        </w:rPr>
        <w:t>contratación</w:t>
      </w:r>
      <w:r w:rsidR="00457968">
        <w:rPr>
          <w:rFonts w:ascii="Verdana" w:eastAsia="Calibri" w:hAnsi="Verdana" w:cs="Arial"/>
          <w:lang w:val="es-MX"/>
        </w:rPr>
        <w:t xml:space="preserve"> directa</w:t>
      </w:r>
      <w:r w:rsidR="00457968">
        <w:rPr>
          <w:rStyle w:val="Refdenotaalpie"/>
          <w:rFonts w:ascii="Verdana" w:eastAsia="Calibri" w:hAnsi="Verdana" w:cs="Arial"/>
          <w:lang w:val="es-MX"/>
        </w:rPr>
        <w:footnoteReference w:id="5"/>
      </w:r>
      <w:r w:rsidR="005E3B33">
        <w:rPr>
          <w:rFonts w:ascii="Verdana" w:eastAsia="Calibri" w:hAnsi="Verdana" w:cs="Arial"/>
          <w:lang w:val="es-MX"/>
        </w:rPr>
        <w:t>.</w:t>
      </w:r>
    </w:p>
    <w:p w14:paraId="66590464" w14:textId="6589FB50" w:rsidR="00DD675A" w:rsidRDefault="005E3B33" w:rsidP="001C3580">
      <w:pPr>
        <w:spacing w:after="120" w:line="276" w:lineRule="auto"/>
        <w:ind w:firstLine="709"/>
        <w:contextualSpacing/>
        <w:jc w:val="both"/>
        <w:rPr>
          <w:rFonts w:ascii="Verdana" w:eastAsia="Calibri" w:hAnsi="Verdana" w:cs="Arial"/>
          <w:lang w:val="es-MX"/>
        </w:rPr>
      </w:pPr>
      <w:r>
        <w:rPr>
          <w:rFonts w:ascii="Verdana" w:eastAsia="Calibri" w:hAnsi="Verdana" w:cs="Arial"/>
          <w:lang w:val="es-MX"/>
        </w:rPr>
        <w:t>De esta forma, se ha depurado la noción de “contratación directa”, precisando el Consejo de Estado – en el concepto citado</w:t>
      </w:r>
      <w:r w:rsidR="007330FC">
        <w:rPr>
          <w:rFonts w:ascii="Verdana" w:eastAsia="Calibri" w:hAnsi="Verdana" w:cs="Arial"/>
          <w:lang w:val="es-MX"/>
        </w:rPr>
        <w:t xml:space="preserve"> – que, “aun cuando no coincide única y exactamente con la regulación que de dicho sistema de selección hace el artículo 2° de la Ley 1150 de 2007, tampoco puede afirmarse que sea cualquier procedimiento </w:t>
      </w:r>
      <w:r w:rsidR="00C77383">
        <w:rPr>
          <w:rFonts w:ascii="Verdana" w:eastAsia="Calibri" w:hAnsi="Verdana" w:cs="Arial"/>
          <w:lang w:val="es-MX"/>
        </w:rPr>
        <w:t>de contratación distinto de la licitación pública, pues esto sería tanto como desconocer que el legislador</w:t>
      </w:r>
      <w:r w:rsidR="00071A15">
        <w:rPr>
          <w:rFonts w:ascii="Verdana" w:eastAsia="Calibri" w:hAnsi="Verdana" w:cs="Arial"/>
          <w:lang w:val="es-MX"/>
        </w:rPr>
        <w:t>, no solo en el Estatuto General de Contratación de la Administración Pública</w:t>
      </w:r>
      <w:r w:rsidR="0036583A">
        <w:rPr>
          <w:rFonts w:ascii="Verdana" w:eastAsia="Calibri" w:hAnsi="Verdana" w:cs="Arial"/>
          <w:lang w:val="es-MX"/>
        </w:rPr>
        <w:t>, sino también en leyes especiales</w:t>
      </w:r>
      <w:r w:rsidR="00436BEB">
        <w:rPr>
          <w:rFonts w:ascii="Verdana" w:eastAsia="Calibri" w:hAnsi="Verdana" w:cs="Arial"/>
          <w:lang w:val="es-MX"/>
        </w:rPr>
        <w:t xml:space="preserve"> e, incluso, en el derecho privado</w:t>
      </w:r>
      <w:r w:rsidR="00436BEB">
        <w:rPr>
          <w:rStyle w:val="Refdenotaalpie"/>
          <w:rFonts w:ascii="Verdana" w:eastAsia="Calibri" w:hAnsi="Verdana" w:cs="Arial"/>
          <w:lang w:val="es-MX"/>
        </w:rPr>
        <w:footnoteReference w:id="6"/>
      </w:r>
      <w:r w:rsidR="00447765">
        <w:rPr>
          <w:rFonts w:ascii="Verdana" w:eastAsia="Calibri" w:hAnsi="Verdana" w:cs="Arial"/>
          <w:lang w:val="es-MX"/>
        </w:rPr>
        <w:t xml:space="preserve">, han establecido sistemas de contratación que implican convocatoria pública y participación de varios oferentes”. </w:t>
      </w:r>
    </w:p>
    <w:p w14:paraId="023362D9" w14:textId="1E845F24" w:rsidR="00447765" w:rsidRDefault="00E42C25" w:rsidP="001C3580">
      <w:pPr>
        <w:spacing w:after="120" w:line="276" w:lineRule="auto"/>
        <w:ind w:firstLine="709"/>
        <w:contextualSpacing/>
        <w:jc w:val="both"/>
        <w:rPr>
          <w:rFonts w:ascii="Verdana" w:eastAsia="Calibri" w:hAnsi="Verdana" w:cs="Arial"/>
          <w:lang w:val="es-MX"/>
        </w:rPr>
      </w:pPr>
      <w:r>
        <w:rPr>
          <w:rFonts w:ascii="Verdana" w:eastAsia="Calibri" w:hAnsi="Verdana" w:cs="Arial"/>
          <w:lang w:val="es-MX"/>
        </w:rPr>
        <w:t>En e</w:t>
      </w:r>
      <w:r w:rsidR="00F4756E">
        <w:rPr>
          <w:rFonts w:ascii="Verdana" w:eastAsia="Calibri" w:hAnsi="Verdana" w:cs="Arial"/>
          <w:lang w:val="es-MX"/>
        </w:rPr>
        <w:t xml:space="preserve">fecto, vale la pena mencionar que, en algunos sistemas de contratación, utilizados por las entidades públicas </w:t>
      </w:r>
      <w:r w:rsidR="00233F64">
        <w:rPr>
          <w:rFonts w:ascii="Verdana" w:eastAsia="Calibri" w:hAnsi="Verdana" w:cs="Arial"/>
          <w:lang w:val="es-MX"/>
        </w:rPr>
        <w:t>con regímenes especiales, o sujetas al derecho privado, la convocatoria</w:t>
      </w:r>
      <w:r w:rsidR="00636D46">
        <w:rPr>
          <w:rFonts w:ascii="Verdana" w:eastAsia="Calibri" w:hAnsi="Verdana" w:cs="Arial"/>
          <w:lang w:val="es-MX"/>
        </w:rPr>
        <w:t xml:space="preserve"> o invitación para contratar puede limitarse a aquellas personas que previamente se hayan inscrito en una lista de precalificados o de simples interesados</w:t>
      </w:r>
      <w:r w:rsidR="00D70D2C">
        <w:rPr>
          <w:rFonts w:ascii="Verdana" w:eastAsia="Calibri" w:hAnsi="Verdana" w:cs="Arial"/>
          <w:lang w:val="es-MX"/>
        </w:rPr>
        <w:t>, o en un determinante</w:t>
      </w:r>
      <w:r w:rsidR="00BD357F">
        <w:rPr>
          <w:rFonts w:ascii="Verdana" w:eastAsia="Calibri" w:hAnsi="Verdana" w:cs="Arial"/>
          <w:lang w:val="es-MX"/>
        </w:rPr>
        <w:t xml:space="preserve"> para considerar que dicho sistema no constituye “contratación directa”, es que la convocatoria </w:t>
      </w:r>
      <w:r w:rsidR="002471B2">
        <w:rPr>
          <w:rFonts w:ascii="Verdana" w:eastAsia="Calibri" w:hAnsi="Verdana" w:cs="Arial"/>
          <w:lang w:val="es-MX"/>
        </w:rPr>
        <w:t xml:space="preserve">para inscribirse en forma previa se haga de manera pública, y que </w:t>
      </w:r>
      <w:r w:rsidR="0030281F">
        <w:rPr>
          <w:rFonts w:ascii="Verdana" w:eastAsia="Calibri" w:hAnsi="Verdana" w:cs="Arial"/>
          <w:lang w:val="es-MX"/>
        </w:rPr>
        <w:t>se permita la participación de una pluralidad de oferentes</w:t>
      </w:r>
      <w:r w:rsidR="0030281F">
        <w:rPr>
          <w:rStyle w:val="Refdenotaalpie"/>
          <w:rFonts w:ascii="Verdana" w:eastAsia="Calibri" w:hAnsi="Verdana" w:cs="Arial"/>
          <w:lang w:val="es-MX"/>
        </w:rPr>
        <w:footnoteReference w:id="7"/>
      </w:r>
      <w:r w:rsidR="005C3CC5">
        <w:rPr>
          <w:rFonts w:ascii="Verdana" w:eastAsia="Calibri" w:hAnsi="Verdana" w:cs="Arial"/>
          <w:lang w:val="es-MX"/>
        </w:rPr>
        <w:t>.</w:t>
      </w:r>
    </w:p>
    <w:p w14:paraId="59031B73" w14:textId="6740A29B" w:rsidR="0048421D" w:rsidRDefault="005C3CC5" w:rsidP="001C3580">
      <w:pPr>
        <w:spacing w:after="120" w:line="276" w:lineRule="auto"/>
        <w:ind w:firstLine="709"/>
        <w:contextualSpacing/>
        <w:jc w:val="both"/>
        <w:rPr>
          <w:rFonts w:ascii="Verdana" w:eastAsia="Calibri" w:hAnsi="Verdana" w:cs="Arial"/>
          <w:lang w:val="es-MX"/>
        </w:rPr>
      </w:pPr>
      <w:r>
        <w:rPr>
          <w:rFonts w:ascii="Verdana" w:eastAsia="Calibri" w:hAnsi="Verdana" w:cs="Arial"/>
          <w:lang w:val="es-MX"/>
        </w:rPr>
        <w:t xml:space="preserve">Como se advierte de lo anterior, el Consejo de Estado realiza una interpretación </w:t>
      </w:r>
      <w:r w:rsidR="001C1214">
        <w:rPr>
          <w:rFonts w:ascii="Verdana" w:eastAsia="Calibri" w:hAnsi="Verdana" w:cs="Arial"/>
          <w:lang w:val="es-MX"/>
        </w:rPr>
        <w:t xml:space="preserve">amplia de la contratación directa, para efectos de aplicar las restricciones establecidas en la Ley de Garantías Electorales, al señalar que no solo </w:t>
      </w:r>
      <w:r w:rsidR="0007605F">
        <w:rPr>
          <w:rFonts w:ascii="Verdana" w:eastAsia="Calibri" w:hAnsi="Verdana" w:cs="Arial"/>
          <w:lang w:val="es-MX"/>
        </w:rPr>
        <w:t>aplica frente</w:t>
      </w:r>
      <w:r w:rsidR="0048421D">
        <w:rPr>
          <w:rFonts w:ascii="Verdana" w:eastAsia="Calibri" w:hAnsi="Verdana" w:cs="Arial"/>
          <w:lang w:val="es-MX"/>
        </w:rPr>
        <w:t xml:space="preserve"> a las entidades sometidas al Estatuto General de Contratación de la Administración Pública</w:t>
      </w:r>
      <w:r w:rsidR="0007605F">
        <w:rPr>
          <w:rFonts w:ascii="Verdana" w:eastAsia="Calibri" w:hAnsi="Verdana" w:cs="Arial"/>
          <w:lang w:val="es-MX"/>
        </w:rPr>
        <w:t xml:space="preserve">, sino también a las entidades que tengan un régimen especial de contratación. No obstante, también se </w:t>
      </w:r>
      <w:r w:rsidR="00190778">
        <w:rPr>
          <w:rFonts w:ascii="Verdana" w:eastAsia="Calibri" w:hAnsi="Verdana" w:cs="Arial"/>
          <w:lang w:val="es-MX"/>
        </w:rPr>
        <w:t>observa</w:t>
      </w:r>
      <w:r w:rsidR="0007605F">
        <w:rPr>
          <w:rFonts w:ascii="Verdana" w:eastAsia="Calibri" w:hAnsi="Verdana" w:cs="Arial"/>
          <w:lang w:val="es-MX"/>
        </w:rPr>
        <w:t xml:space="preserve"> </w:t>
      </w:r>
      <w:r w:rsidR="00190778">
        <w:rPr>
          <w:rFonts w:ascii="Verdana" w:eastAsia="Calibri" w:hAnsi="Verdana" w:cs="Arial"/>
          <w:lang w:val="es-MX"/>
        </w:rPr>
        <w:t xml:space="preserve">que luego de la </w:t>
      </w:r>
      <w:r w:rsidR="00CA5AE1">
        <w:rPr>
          <w:rFonts w:ascii="Verdana" w:eastAsia="Calibri" w:hAnsi="Verdana" w:cs="Arial"/>
          <w:lang w:val="es-MX"/>
        </w:rPr>
        <w:t xml:space="preserve">expedición de la Ley 1150 de 2007, el Consejo de Estado </w:t>
      </w:r>
      <w:r w:rsidR="00CF1D57">
        <w:rPr>
          <w:rFonts w:ascii="Verdana" w:eastAsia="Calibri" w:hAnsi="Verdana" w:cs="Arial"/>
          <w:lang w:val="es-MX"/>
        </w:rPr>
        <w:t xml:space="preserve">a delimitar con mayor precisión el término de “contratación directa”. </w:t>
      </w:r>
    </w:p>
    <w:p w14:paraId="5E0630B8" w14:textId="26E72320" w:rsidR="00C245C2" w:rsidRDefault="00C245C2" w:rsidP="001C3580">
      <w:pPr>
        <w:spacing w:after="120" w:line="276" w:lineRule="auto"/>
        <w:ind w:firstLine="709"/>
        <w:contextualSpacing/>
        <w:jc w:val="both"/>
        <w:rPr>
          <w:rFonts w:ascii="Verdana" w:eastAsia="Calibri" w:hAnsi="Verdana" w:cs="Arial"/>
          <w:lang w:val="es-MX"/>
        </w:rPr>
      </w:pPr>
      <w:r>
        <w:rPr>
          <w:rFonts w:ascii="Verdana" w:eastAsia="Calibri" w:hAnsi="Verdana" w:cs="Arial"/>
          <w:lang w:val="es-MX"/>
        </w:rPr>
        <w:t xml:space="preserve">Así las cosas, ha de entenderse que, para los efectos de la Ley de </w:t>
      </w:r>
      <w:r w:rsidR="00414857">
        <w:rPr>
          <w:rFonts w:ascii="Verdana" w:eastAsia="Calibri" w:hAnsi="Verdana" w:cs="Arial"/>
          <w:lang w:val="es-MX"/>
        </w:rPr>
        <w:t>Garantías Electorales y, en particular</w:t>
      </w:r>
      <w:r w:rsidR="00E310A9">
        <w:rPr>
          <w:rFonts w:ascii="Verdana" w:eastAsia="Calibri" w:hAnsi="Verdana" w:cs="Arial"/>
          <w:lang w:val="es-MX"/>
        </w:rPr>
        <w:t>, para la restricción temporal contenida en su artículo 33</w:t>
      </w:r>
      <w:r w:rsidR="00904C7A">
        <w:rPr>
          <w:rFonts w:ascii="Verdana" w:eastAsia="Calibri" w:hAnsi="Verdana" w:cs="Arial"/>
          <w:lang w:val="es-MX"/>
        </w:rPr>
        <w:t xml:space="preserve">, “contratación directa” es cualquier sistema </w:t>
      </w:r>
      <w:r w:rsidR="00514038">
        <w:rPr>
          <w:rFonts w:ascii="Verdana" w:eastAsia="Calibri" w:hAnsi="Verdana" w:cs="Arial"/>
          <w:lang w:val="es-MX"/>
        </w:rPr>
        <w:t xml:space="preserve">de selección o procedimiento de contratación utilizado por las entidades estatales que no </w:t>
      </w:r>
      <w:r w:rsidR="00995895">
        <w:rPr>
          <w:rFonts w:ascii="Verdana" w:eastAsia="Calibri" w:hAnsi="Verdana" w:cs="Arial"/>
          <w:lang w:val="es-MX"/>
        </w:rPr>
        <w:t xml:space="preserve">incluyan la convocatoria pública en algunas de sus etapas, ni permita la participación </w:t>
      </w:r>
      <w:r w:rsidR="00BC323A">
        <w:rPr>
          <w:rFonts w:ascii="Verdana" w:eastAsia="Calibri" w:hAnsi="Verdana" w:cs="Arial"/>
          <w:lang w:val="es-MX"/>
        </w:rPr>
        <w:t>de una pluralidad de oferentes</w:t>
      </w:r>
      <w:r w:rsidR="00BC323A">
        <w:rPr>
          <w:rStyle w:val="Refdenotaalpie"/>
          <w:rFonts w:ascii="Verdana" w:eastAsia="Calibri" w:hAnsi="Verdana" w:cs="Arial"/>
          <w:lang w:val="es-MX"/>
        </w:rPr>
        <w:footnoteReference w:id="8"/>
      </w:r>
      <w:r w:rsidR="004236F8">
        <w:rPr>
          <w:rFonts w:ascii="Verdana" w:eastAsia="Calibri" w:hAnsi="Verdana" w:cs="Arial"/>
          <w:lang w:val="es-MX"/>
        </w:rPr>
        <w:t>.</w:t>
      </w:r>
    </w:p>
    <w:p w14:paraId="5B29407B" w14:textId="7EC4BAC3" w:rsidR="004236F8" w:rsidRDefault="004236F8" w:rsidP="001C3580">
      <w:pPr>
        <w:spacing w:after="120" w:line="276" w:lineRule="auto"/>
        <w:ind w:firstLine="709"/>
        <w:contextualSpacing/>
        <w:jc w:val="both"/>
        <w:rPr>
          <w:rFonts w:ascii="Verdana" w:eastAsia="Calibri" w:hAnsi="Verdana" w:cs="Arial"/>
          <w:lang w:val="es-MX"/>
        </w:rPr>
      </w:pPr>
      <w:r>
        <w:rPr>
          <w:rFonts w:ascii="Verdana" w:eastAsia="Calibri" w:hAnsi="Verdana" w:cs="Arial"/>
          <w:lang w:val="es-MX"/>
        </w:rPr>
        <w:t>De lo anterio</w:t>
      </w:r>
      <w:r w:rsidR="00BD5816">
        <w:rPr>
          <w:rFonts w:ascii="Verdana" w:eastAsia="Calibri" w:hAnsi="Verdana" w:cs="Arial"/>
          <w:lang w:val="es-MX"/>
        </w:rPr>
        <w:t xml:space="preserve">r se desprende que la restricción aplica, sin perjuicio de las excepciones establecidas en la misma ley, para celebrar cualquier contrato de forma directa, esto es, sin que exista </w:t>
      </w:r>
      <w:r w:rsidR="00940DA1">
        <w:rPr>
          <w:rFonts w:ascii="Verdana" w:eastAsia="Calibri" w:hAnsi="Verdana" w:cs="Arial"/>
          <w:lang w:val="es-MX"/>
        </w:rPr>
        <w:t xml:space="preserve">un proceso abierto y competitivo. Por tanto, no son materia </w:t>
      </w:r>
      <w:r w:rsidR="00FB3366">
        <w:rPr>
          <w:rFonts w:ascii="Verdana" w:eastAsia="Calibri" w:hAnsi="Verdana" w:cs="Arial"/>
          <w:lang w:val="es-MX"/>
        </w:rPr>
        <w:t xml:space="preserve">de la </w:t>
      </w:r>
      <w:r w:rsidR="004151ED">
        <w:rPr>
          <w:rFonts w:ascii="Verdana" w:eastAsia="Calibri" w:hAnsi="Verdana" w:cs="Arial"/>
          <w:lang w:val="es-MX"/>
        </w:rPr>
        <w:t xml:space="preserve">prohibición las demás modalidades de selección previstas en la Ley 1150 de 2007, es decir, la licitación pública, el concurso de </w:t>
      </w:r>
      <w:r w:rsidR="006463BD">
        <w:rPr>
          <w:rFonts w:ascii="Verdana" w:eastAsia="Calibri" w:hAnsi="Verdana" w:cs="Arial"/>
          <w:lang w:val="es-MX"/>
        </w:rPr>
        <w:t>méritos</w:t>
      </w:r>
      <w:r w:rsidR="004151ED">
        <w:rPr>
          <w:rFonts w:ascii="Verdana" w:eastAsia="Calibri" w:hAnsi="Verdana" w:cs="Arial"/>
          <w:lang w:val="es-MX"/>
        </w:rPr>
        <w:t>, la selección abreviada y la mínima cuantía</w:t>
      </w:r>
      <w:r w:rsidR="000D43D7">
        <w:rPr>
          <w:rFonts w:ascii="Verdana" w:eastAsia="Calibri" w:hAnsi="Verdana" w:cs="Arial"/>
          <w:lang w:val="es-MX"/>
        </w:rPr>
        <w:t xml:space="preserve">, razón por la cual en ese período preelectoral de que trata </w:t>
      </w:r>
      <w:r w:rsidR="00170D4C">
        <w:rPr>
          <w:rFonts w:ascii="Verdana" w:eastAsia="Calibri" w:hAnsi="Verdana" w:cs="Arial"/>
          <w:lang w:val="es-MX"/>
        </w:rPr>
        <w:t xml:space="preserve">la disposición las entidades </w:t>
      </w:r>
      <w:proofErr w:type="spellStart"/>
      <w:r w:rsidR="00170D4C">
        <w:rPr>
          <w:rFonts w:ascii="Verdana" w:eastAsia="Calibri" w:hAnsi="Verdana" w:cs="Arial"/>
          <w:lang w:val="es-MX"/>
        </w:rPr>
        <w:t>publicas</w:t>
      </w:r>
      <w:proofErr w:type="spellEnd"/>
      <w:r w:rsidR="00170D4C">
        <w:rPr>
          <w:rFonts w:ascii="Verdana" w:eastAsia="Calibri" w:hAnsi="Verdana" w:cs="Arial"/>
          <w:lang w:val="es-MX"/>
        </w:rPr>
        <w:t xml:space="preserve"> pueden seguir contratando bajo estos sistemas. </w:t>
      </w:r>
    </w:p>
    <w:p w14:paraId="48362718" w14:textId="7F4E3E44" w:rsidR="00170D4C" w:rsidRDefault="00170D4C" w:rsidP="001C3580">
      <w:pPr>
        <w:spacing w:after="120" w:line="276" w:lineRule="auto"/>
        <w:ind w:firstLine="709"/>
        <w:contextualSpacing/>
        <w:jc w:val="both"/>
        <w:rPr>
          <w:rFonts w:ascii="Verdana" w:eastAsia="Calibri" w:hAnsi="Verdana" w:cs="Arial"/>
          <w:lang w:val="es-MX"/>
        </w:rPr>
      </w:pPr>
      <w:r>
        <w:rPr>
          <w:rFonts w:ascii="Verdana" w:eastAsia="Calibri" w:hAnsi="Verdana" w:cs="Arial"/>
          <w:lang w:val="es-MX"/>
        </w:rPr>
        <w:t>Como en otras oportunidades lo ha manifestado esta Agencia</w:t>
      </w:r>
      <w:r w:rsidR="00D842CD">
        <w:rPr>
          <w:rFonts w:ascii="Verdana" w:eastAsia="Calibri" w:hAnsi="Verdana" w:cs="Arial"/>
          <w:lang w:val="es-MX"/>
        </w:rPr>
        <w:t xml:space="preserve">, </w:t>
      </w:r>
      <w:r w:rsidR="00D720AF">
        <w:rPr>
          <w:rFonts w:ascii="Verdana" w:eastAsia="Calibri" w:hAnsi="Verdana" w:cs="Arial"/>
          <w:lang w:val="es-MX"/>
        </w:rPr>
        <w:t>las prórrogas, modificaciones o adiciones de los contratos suscritos antes de la entrada en vigencia de las prohibiciones anotadas, así como la cesión de los mismos,</w:t>
      </w:r>
      <w:r w:rsidR="0067606A">
        <w:rPr>
          <w:rFonts w:ascii="Verdana" w:eastAsia="Calibri" w:hAnsi="Verdana" w:cs="Arial"/>
          <w:lang w:val="es-MX"/>
        </w:rPr>
        <w:t xml:space="preserve"> pueden tener lugar en el periodo de aplicación de la Ley de Garantías Electoral</w:t>
      </w:r>
      <w:r w:rsidR="00B1209B">
        <w:rPr>
          <w:rFonts w:ascii="Verdana" w:eastAsia="Calibri" w:hAnsi="Verdana" w:cs="Arial"/>
          <w:lang w:val="es-MX"/>
        </w:rPr>
        <w:t>es, sin que ello haga nugatoria la restricción de la contratación directa y siempre que cumplan los principios de planeación, transparencia y responsabilidad.</w:t>
      </w:r>
    </w:p>
    <w:p w14:paraId="39979BD8" w14:textId="77777777" w:rsidR="00567E13" w:rsidRDefault="00B1209B" w:rsidP="001C3580">
      <w:pPr>
        <w:spacing w:after="120" w:line="276" w:lineRule="auto"/>
        <w:ind w:firstLine="709"/>
        <w:contextualSpacing/>
        <w:jc w:val="both"/>
        <w:rPr>
          <w:rFonts w:ascii="Verdana" w:eastAsia="Calibri" w:hAnsi="Verdana" w:cs="Arial"/>
          <w:lang w:val="es-MX"/>
        </w:rPr>
      </w:pPr>
      <w:r>
        <w:rPr>
          <w:rFonts w:ascii="Verdana" w:eastAsia="Calibri" w:hAnsi="Verdana" w:cs="Arial"/>
          <w:lang w:val="es-MX"/>
        </w:rPr>
        <w:t>De otro lado, las excepciones a la restricción prevista en la Ley de Garantías Electorales, con fundamento en las cuales podrán las entidades públicas adelantar procedimientos de selección directa en períodos previs</w:t>
      </w:r>
      <w:r w:rsidR="00953E18">
        <w:rPr>
          <w:rFonts w:ascii="Verdana" w:eastAsia="Calibri" w:hAnsi="Verdana" w:cs="Arial"/>
          <w:lang w:val="es-MX"/>
        </w:rPr>
        <w:t xml:space="preserve">to </w:t>
      </w:r>
      <w:r w:rsidR="009B5AA0">
        <w:rPr>
          <w:rFonts w:ascii="Verdana" w:eastAsia="Calibri" w:hAnsi="Verdana" w:cs="Arial"/>
          <w:lang w:val="es-MX"/>
        </w:rPr>
        <w:t>a la contienda electoral por la Presidencia</w:t>
      </w:r>
      <w:r w:rsidR="006232B3">
        <w:rPr>
          <w:rFonts w:ascii="Verdana" w:eastAsia="Calibri" w:hAnsi="Verdana" w:cs="Arial"/>
          <w:lang w:val="es-MX"/>
        </w:rPr>
        <w:t xml:space="preserve">, se encuentran consagradas de manera taxativa </w:t>
      </w:r>
      <w:r w:rsidR="00BC7D9C">
        <w:rPr>
          <w:rFonts w:ascii="Verdana" w:eastAsia="Calibri" w:hAnsi="Verdana" w:cs="Arial"/>
          <w:lang w:val="es-MX"/>
        </w:rPr>
        <w:t>en el inciso final del citado artículo 33 de la Ley 996 de 2005</w:t>
      </w:r>
      <w:r w:rsidR="00131308">
        <w:rPr>
          <w:rFonts w:ascii="Verdana" w:eastAsia="Calibri" w:hAnsi="Verdana" w:cs="Arial"/>
          <w:lang w:val="es-MX"/>
        </w:rPr>
        <w:t xml:space="preserve"> en lo referente a: i) la defensa y seguridad del Estado</w:t>
      </w:r>
      <w:r w:rsidR="00DA6EAE">
        <w:rPr>
          <w:rFonts w:ascii="Verdana" w:eastAsia="Calibri" w:hAnsi="Verdana" w:cs="Arial"/>
          <w:lang w:val="es-MX"/>
        </w:rPr>
        <w:t>; ii) los contratos de crédito público; iii) los requeridos</w:t>
      </w:r>
      <w:r w:rsidR="00752A50">
        <w:rPr>
          <w:rFonts w:ascii="Verdana" w:eastAsia="Calibri" w:hAnsi="Verdana" w:cs="Arial"/>
          <w:lang w:val="es-MX"/>
        </w:rPr>
        <w:t xml:space="preserve"> para cubrir las emergencias educativas, sanitarias </w:t>
      </w:r>
      <w:r w:rsidR="0027666E">
        <w:rPr>
          <w:rFonts w:ascii="Verdana" w:eastAsia="Calibri" w:hAnsi="Verdana" w:cs="Arial"/>
          <w:lang w:val="es-MX"/>
        </w:rPr>
        <w:t>y desastres</w:t>
      </w:r>
      <w:r w:rsidR="003D0C22">
        <w:rPr>
          <w:rFonts w:ascii="Verdana" w:eastAsia="Calibri" w:hAnsi="Verdana" w:cs="Arial"/>
          <w:lang w:val="es-MX"/>
        </w:rPr>
        <w:t xml:space="preserve">; y </w:t>
      </w:r>
      <w:proofErr w:type="spellStart"/>
      <w:r w:rsidR="003D0C22">
        <w:rPr>
          <w:rFonts w:ascii="Verdana" w:eastAsia="Calibri" w:hAnsi="Verdana" w:cs="Arial"/>
          <w:lang w:val="es-MX"/>
        </w:rPr>
        <w:t>iv</w:t>
      </w:r>
      <w:proofErr w:type="spellEnd"/>
      <w:r w:rsidR="003D0C22">
        <w:rPr>
          <w:rFonts w:ascii="Verdana" w:eastAsia="Calibri" w:hAnsi="Verdana" w:cs="Arial"/>
          <w:lang w:val="es-MX"/>
        </w:rPr>
        <w:t>) los utilizados para la reconstrucción de vías, puentes, carreteras</w:t>
      </w:r>
      <w:r w:rsidR="00440E97">
        <w:rPr>
          <w:rFonts w:ascii="Verdana" w:eastAsia="Calibri" w:hAnsi="Verdana" w:cs="Arial"/>
          <w:lang w:val="es-MX"/>
        </w:rPr>
        <w:t>, infraestructura</w:t>
      </w:r>
      <w:r w:rsidR="00D52896">
        <w:rPr>
          <w:rFonts w:ascii="Verdana" w:eastAsia="Calibri" w:hAnsi="Verdana" w:cs="Arial"/>
          <w:lang w:val="es-MX"/>
        </w:rPr>
        <w:t xml:space="preserve"> energética y de comunicaciones</w:t>
      </w:r>
      <w:r w:rsidR="006A6035">
        <w:rPr>
          <w:rFonts w:ascii="Verdana" w:eastAsia="Calibri" w:hAnsi="Verdana" w:cs="Arial"/>
          <w:lang w:val="es-MX"/>
        </w:rPr>
        <w:t xml:space="preserve">, en caso de que hayan sido objeto de atentados, acciones terroristas, desastres naturales o casos de fuerza mayor; y v) los que deban realizar las entidades </w:t>
      </w:r>
      <w:r w:rsidR="004426B5">
        <w:rPr>
          <w:rFonts w:ascii="Verdana" w:eastAsia="Calibri" w:hAnsi="Verdana" w:cs="Arial"/>
          <w:lang w:val="es-MX"/>
        </w:rPr>
        <w:t xml:space="preserve">sanitarias y hospitalarias. Es responsabilidad del respectivo ente del Estado, examinar en cada caso la naturaleza de las </w:t>
      </w:r>
      <w:r w:rsidR="003C6753">
        <w:rPr>
          <w:rFonts w:ascii="Verdana" w:eastAsia="Calibri" w:hAnsi="Verdana" w:cs="Arial"/>
          <w:lang w:val="es-MX"/>
        </w:rPr>
        <w:t>actividades que adelanta</w:t>
      </w:r>
      <w:r w:rsidR="00F917D8">
        <w:rPr>
          <w:rFonts w:ascii="Verdana" w:eastAsia="Calibri" w:hAnsi="Verdana" w:cs="Arial"/>
          <w:lang w:val="es-MX"/>
        </w:rPr>
        <w:t xml:space="preserve"> y determinar si las mismas se enmarcan en alguna de las mencionadas excepciones</w:t>
      </w:r>
      <w:r w:rsidR="006423DB">
        <w:rPr>
          <w:rFonts w:ascii="Verdana" w:eastAsia="Calibri" w:hAnsi="Verdana" w:cs="Arial"/>
          <w:lang w:val="es-MX"/>
        </w:rPr>
        <w:t xml:space="preserve">, de manera que se le permita realizar la contratación </w:t>
      </w:r>
      <w:r w:rsidR="00567E13">
        <w:rPr>
          <w:rFonts w:ascii="Verdana" w:eastAsia="Calibri" w:hAnsi="Verdana" w:cs="Arial"/>
          <w:lang w:val="es-MX"/>
        </w:rPr>
        <w:t xml:space="preserve">que necesite en forma directa. </w:t>
      </w:r>
    </w:p>
    <w:p w14:paraId="5B7E1038" w14:textId="2ED8B50A" w:rsidR="00B1209B" w:rsidRDefault="00567E13" w:rsidP="001C3580">
      <w:pPr>
        <w:spacing w:after="120" w:line="276" w:lineRule="auto"/>
        <w:ind w:firstLine="709"/>
        <w:contextualSpacing/>
        <w:jc w:val="both"/>
        <w:rPr>
          <w:rFonts w:ascii="Verdana" w:eastAsia="Calibri" w:hAnsi="Verdana" w:cs="Arial"/>
          <w:lang w:val="es-MX"/>
        </w:rPr>
      </w:pPr>
      <w:r>
        <w:rPr>
          <w:rFonts w:ascii="Verdana" w:eastAsia="Calibri" w:hAnsi="Verdana" w:cs="Arial"/>
          <w:lang w:val="es-MX"/>
        </w:rPr>
        <w:t>En esta labor es importante tener en cuenta, como lo anotó la Corte Constitucional, en Sentencia</w:t>
      </w:r>
      <w:r w:rsidR="001A1829">
        <w:rPr>
          <w:rFonts w:ascii="Verdana" w:eastAsia="Calibri" w:hAnsi="Verdana" w:cs="Arial"/>
          <w:lang w:val="es-MX"/>
        </w:rPr>
        <w:t xml:space="preserve"> C-1153 del 11 de noviembre de 2005, que “si bien la limitación </w:t>
      </w:r>
      <w:r w:rsidR="00540455">
        <w:rPr>
          <w:rFonts w:ascii="Verdana" w:eastAsia="Calibri" w:hAnsi="Verdana" w:cs="Arial"/>
          <w:lang w:val="es-MX"/>
        </w:rPr>
        <w:t xml:space="preserve">garantiza la igualdad </w:t>
      </w:r>
      <w:r w:rsidR="007B30ED">
        <w:rPr>
          <w:rFonts w:ascii="Verdana" w:eastAsia="Calibri" w:hAnsi="Verdana" w:cs="Arial"/>
          <w:lang w:val="es-MX"/>
        </w:rPr>
        <w:t xml:space="preserve">no termine yendo en </w:t>
      </w:r>
      <w:r w:rsidR="00BA3467">
        <w:rPr>
          <w:rFonts w:ascii="Verdana" w:eastAsia="Calibri" w:hAnsi="Verdana" w:cs="Arial"/>
          <w:lang w:val="es-MX"/>
        </w:rPr>
        <w:t xml:space="preserve">detrimento de intereses públicos, cuya garantía </w:t>
      </w:r>
      <w:proofErr w:type="spellStart"/>
      <w:r w:rsidR="00BA3467">
        <w:rPr>
          <w:rFonts w:ascii="Verdana" w:eastAsia="Calibri" w:hAnsi="Verdana" w:cs="Arial"/>
          <w:lang w:val="es-MX"/>
        </w:rPr>
        <w:t>esta</w:t>
      </w:r>
      <w:proofErr w:type="spellEnd"/>
      <w:r w:rsidR="00BA3467">
        <w:rPr>
          <w:rFonts w:ascii="Verdana" w:eastAsia="Calibri" w:hAnsi="Verdana" w:cs="Arial"/>
          <w:lang w:val="es-MX"/>
        </w:rPr>
        <w:t xml:space="preserve"> en cabeza del ejecutivo, como sin los inmersos en las excepciones para la prohibición de contratación”</w:t>
      </w:r>
      <w:r w:rsidR="00BA3467">
        <w:rPr>
          <w:rStyle w:val="Refdenotaalpie"/>
          <w:rFonts w:ascii="Verdana" w:eastAsia="Calibri" w:hAnsi="Verdana" w:cs="Arial"/>
          <w:lang w:val="es-MX"/>
        </w:rPr>
        <w:footnoteReference w:id="9"/>
      </w:r>
      <w:r w:rsidR="00AC660F">
        <w:rPr>
          <w:rFonts w:ascii="Verdana" w:eastAsia="Calibri" w:hAnsi="Verdana" w:cs="Arial"/>
          <w:lang w:val="es-MX"/>
        </w:rPr>
        <w:t xml:space="preserve">. De ahí que la </w:t>
      </w:r>
      <w:r w:rsidR="00AC660F">
        <w:rPr>
          <w:rFonts w:ascii="Verdana" w:eastAsia="Calibri" w:hAnsi="Verdana" w:cs="Arial"/>
          <w:lang w:val="es-MX"/>
        </w:rPr>
        <w:br/>
        <w:t xml:space="preserve">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 </w:t>
      </w:r>
    </w:p>
    <w:p w14:paraId="5E95052F" w14:textId="5BCC740C" w:rsidR="00AC660F" w:rsidRDefault="00AC660F" w:rsidP="001C3580">
      <w:pPr>
        <w:spacing w:after="120" w:line="276" w:lineRule="auto"/>
        <w:ind w:firstLine="709"/>
        <w:contextualSpacing/>
        <w:jc w:val="both"/>
        <w:rPr>
          <w:rFonts w:ascii="Verdana" w:eastAsia="Calibri" w:hAnsi="Verdana" w:cs="Arial"/>
          <w:lang w:val="es-MX"/>
        </w:rPr>
      </w:pPr>
      <w:r>
        <w:rPr>
          <w:rFonts w:ascii="Verdana" w:eastAsia="Calibri" w:hAnsi="Verdana" w:cs="Arial"/>
          <w:lang w:val="es-MX"/>
        </w:rPr>
        <w:t xml:space="preserve">Por otra parte, teniendo en cuenta el objeto </w:t>
      </w:r>
      <w:r w:rsidR="00316E0E">
        <w:rPr>
          <w:rFonts w:ascii="Verdana" w:eastAsia="Calibri" w:hAnsi="Verdana" w:cs="Arial"/>
          <w:lang w:val="es-MX"/>
        </w:rPr>
        <w:t xml:space="preserve">de su consulta, es pertinente indicar que la Ley 80 de 1993 define los contratos estatales en el artículo 32 y establece un listado enunciativo </w:t>
      </w:r>
      <w:r w:rsidR="00816BA8">
        <w:rPr>
          <w:rFonts w:ascii="Verdana" w:eastAsia="Calibri" w:hAnsi="Verdana" w:cs="Arial"/>
          <w:lang w:val="es-MX"/>
        </w:rPr>
        <w:t>de contratos estatales. De acuerdo con esta disposición, todos los actos jurídicos</w:t>
      </w:r>
      <w:r w:rsidR="00776F66">
        <w:rPr>
          <w:rFonts w:ascii="Verdana" w:eastAsia="Calibri" w:hAnsi="Verdana" w:cs="Arial"/>
          <w:lang w:val="es-MX"/>
        </w:rPr>
        <w:t xml:space="preserve">, cualquiera que sea su denominación, que celebren las entidades </w:t>
      </w:r>
      <w:r w:rsidR="009210AA">
        <w:rPr>
          <w:rFonts w:ascii="Verdana" w:eastAsia="Calibri" w:hAnsi="Verdana" w:cs="Arial"/>
          <w:lang w:val="es-MX"/>
        </w:rPr>
        <w:t xml:space="preserve">a las que se refiere el EGCAP y que generen obligaciones, </w:t>
      </w:r>
      <w:r w:rsidR="007E188C">
        <w:rPr>
          <w:rFonts w:ascii="Verdana" w:eastAsia="Calibri" w:hAnsi="Verdana" w:cs="Arial"/>
          <w:lang w:val="es-MX"/>
        </w:rPr>
        <w:t>son contratos estatales</w:t>
      </w:r>
      <w:r w:rsidR="007E188C">
        <w:rPr>
          <w:rStyle w:val="Refdenotaalpie"/>
          <w:rFonts w:ascii="Verdana" w:eastAsia="Calibri" w:hAnsi="Verdana" w:cs="Arial"/>
          <w:lang w:val="es-MX"/>
        </w:rPr>
        <w:footnoteReference w:id="10"/>
      </w:r>
      <w:r w:rsidR="00425B01">
        <w:rPr>
          <w:rFonts w:ascii="Verdana" w:eastAsia="Calibri" w:hAnsi="Verdana" w:cs="Arial"/>
          <w:lang w:val="es-MX"/>
        </w:rPr>
        <w:t xml:space="preserve">. Entre los contratos que enuncia el artículo 32 </w:t>
      </w:r>
      <w:r w:rsidR="00425B01" w:rsidRPr="00585FF0">
        <w:rPr>
          <w:rFonts w:ascii="Verdana" w:eastAsia="Calibri" w:hAnsi="Verdana" w:cs="Arial"/>
          <w:i/>
          <w:iCs/>
          <w:lang w:val="es-MX"/>
        </w:rPr>
        <w:t>ibidem</w:t>
      </w:r>
      <w:r w:rsidR="00425B01">
        <w:rPr>
          <w:rFonts w:ascii="Verdana" w:eastAsia="Calibri" w:hAnsi="Verdana" w:cs="Arial"/>
          <w:lang w:val="es-MX"/>
        </w:rPr>
        <w:t xml:space="preserve"> </w:t>
      </w:r>
      <w:r w:rsidR="00585FF0">
        <w:rPr>
          <w:rFonts w:ascii="Verdana" w:eastAsia="Calibri" w:hAnsi="Verdana" w:cs="Arial"/>
          <w:lang w:val="es-MX"/>
        </w:rPr>
        <w:t>se encuentran el contrato de obra, el contrato de consultoría, el contrato de prestación de servicios, el contrato de concesión y los encargos fiduciarios y fiducia pública.</w:t>
      </w:r>
    </w:p>
    <w:p w14:paraId="30AB305E" w14:textId="1E58BBA7" w:rsidR="00585FF0" w:rsidRDefault="005C1E08" w:rsidP="001C3580">
      <w:pPr>
        <w:spacing w:after="120" w:line="276" w:lineRule="auto"/>
        <w:ind w:firstLine="709"/>
        <w:contextualSpacing/>
        <w:jc w:val="both"/>
        <w:rPr>
          <w:rFonts w:ascii="Verdana" w:eastAsia="Calibri" w:hAnsi="Verdana" w:cs="Arial"/>
          <w:lang w:val="es-MX"/>
        </w:rPr>
      </w:pPr>
      <w:r>
        <w:rPr>
          <w:rFonts w:ascii="Verdana" w:eastAsia="Calibri" w:hAnsi="Verdana" w:cs="Arial"/>
          <w:lang w:val="es-MX"/>
        </w:rPr>
        <w:t>Aunque el contrato de arrendamiento no se encuentra dentro del listado enunciativo del artículo 32 de la Ley 80 de 1993</w:t>
      </w:r>
      <w:r w:rsidR="000E4A1B">
        <w:rPr>
          <w:rFonts w:ascii="Verdana" w:eastAsia="Calibri" w:hAnsi="Verdana" w:cs="Arial"/>
          <w:lang w:val="es-MX"/>
        </w:rPr>
        <w:t xml:space="preserve">, su regulación se encuentra </w:t>
      </w:r>
      <w:r w:rsidR="00E30042">
        <w:rPr>
          <w:rFonts w:ascii="Verdana" w:eastAsia="Calibri" w:hAnsi="Verdana" w:cs="Arial"/>
          <w:lang w:val="es-MX"/>
        </w:rPr>
        <w:t>en el Código Civil y en el Código de Comercio</w:t>
      </w:r>
      <w:r w:rsidR="00A67CD4">
        <w:rPr>
          <w:rFonts w:ascii="Verdana" w:eastAsia="Calibri" w:hAnsi="Verdana" w:cs="Arial"/>
          <w:lang w:val="es-MX"/>
        </w:rPr>
        <w:t xml:space="preserve">, principalmente, </w:t>
      </w:r>
      <w:r w:rsidR="0088449A">
        <w:rPr>
          <w:rFonts w:ascii="Verdana" w:eastAsia="Calibri" w:hAnsi="Verdana" w:cs="Arial"/>
          <w:lang w:val="es-MX"/>
        </w:rPr>
        <w:t>los artículos</w:t>
      </w:r>
      <w:r w:rsidR="00A67CD4">
        <w:rPr>
          <w:rFonts w:ascii="Verdana" w:eastAsia="Calibri" w:hAnsi="Verdana" w:cs="Arial"/>
          <w:lang w:val="es-MX"/>
        </w:rPr>
        <w:t xml:space="preserve"> 1973 al </w:t>
      </w:r>
      <w:r w:rsidR="0088449A">
        <w:rPr>
          <w:rFonts w:ascii="Verdana" w:eastAsia="Calibri" w:hAnsi="Verdana" w:cs="Arial"/>
          <w:lang w:val="es-MX"/>
        </w:rPr>
        <w:t xml:space="preserve">2078 del Código Civil que lo desarrollan. Pero también existen normas especiales sobre el contrato de arrendamiento en los artículos 518 al 523 del Código de Comercio </w:t>
      </w:r>
      <w:r w:rsidR="001666A3">
        <w:rPr>
          <w:rFonts w:ascii="Verdana" w:eastAsia="Calibri" w:hAnsi="Verdana" w:cs="Arial"/>
          <w:lang w:val="es-MX"/>
        </w:rPr>
        <w:t xml:space="preserve">– sobre arrendamiento de inmuebles para los establecimientos de </w:t>
      </w:r>
      <w:r w:rsidR="008F0E05">
        <w:rPr>
          <w:rFonts w:ascii="Verdana" w:eastAsia="Calibri" w:hAnsi="Verdana" w:cs="Arial"/>
          <w:lang w:val="es-MX"/>
        </w:rPr>
        <w:t xml:space="preserve">comercio -, 1678 </w:t>
      </w:r>
      <w:r w:rsidR="00B03FC4">
        <w:rPr>
          <w:rFonts w:ascii="Verdana" w:eastAsia="Calibri" w:hAnsi="Verdana" w:cs="Arial"/>
          <w:lang w:val="es-MX"/>
        </w:rPr>
        <w:t>al</w:t>
      </w:r>
      <w:r w:rsidR="008F0E05">
        <w:rPr>
          <w:rFonts w:ascii="Verdana" w:eastAsia="Calibri" w:hAnsi="Verdana" w:cs="Arial"/>
          <w:lang w:val="es-MX"/>
        </w:rPr>
        <w:t xml:space="preserve"> 1</w:t>
      </w:r>
      <w:r w:rsidR="00B03FC4">
        <w:rPr>
          <w:rFonts w:ascii="Verdana" w:eastAsia="Calibri" w:hAnsi="Verdana" w:cs="Arial"/>
          <w:lang w:val="es-MX"/>
        </w:rPr>
        <w:t>6</w:t>
      </w:r>
      <w:r w:rsidR="008F0E05">
        <w:rPr>
          <w:rFonts w:ascii="Verdana" w:eastAsia="Calibri" w:hAnsi="Verdana" w:cs="Arial"/>
          <w:lang w:val="es-MX"/>
        </w:rPr>
        <w:t xml:space="preserve">87 </w:t>
      </w:r>
      <w:r w:rsidR="00B03FC4">
        <w:rPr>
          <w:rFonts w:ascii="Verdana" w:eastAsia="Calibri" w:hAnsi="Verdana" w:cs="Arial"/>
          <w:lang w:val="es-MX"/>
        </w:rPr>
        <w:t>y 1890 al 1899 de la misma codificación – sobre arrendamiento de naves</w:t>
      </w:r>
      <w:r w:rsidR="00307CF3">
        <w:rPr>
          <w:rFonts w:ascii="Verdana" w:eastAsia="Calibri" w:hAnsi="Verdana" w:cs="Arial"/>
          <w:lang w:val="es-MX"/>
        </w:rPr>
        <w:t xml:space="preserve">-; </w:t>
      </w:r>
      <w:r w:rsidR="0081689A">
        <w:rPr>
          <w:rFonts w:ascii="Verdana" w:eastAsia="Calibri" w:hAnsi="Verdana" w:cs="Arial"/>
          <w:lang w:val="es-MX"/>
        </w:rPr>
        <w:t xml:space="preserve">y en la Ley </w:t>
      </w:r>
      <w:r w:rsidR="00A35CB8">
        <w:rPr>
          <w:rFonts w:ascii="Verdana" w:eastAsia="Calibri" w:hAnsi="Verdana" w:cs="Arial"/>
          <w:lang w:val="es-MX"/>
        </w:rPr>
        <w:t xml:space="preserve">820 de 2003, por la cual se expide el régimen de arrendamiento de vivienda urbana. </w:t>
      </w:r>
    </w:p>
    <w:p w14:paraId="6C985C8D" w14:textId="6892FD72" w:rsidR="00A35CB8" w:rsidRDefault="00CF0B2E" w:rsidP="001C3580">
      <w:pPr>
        <w:spacing w:after="120" w:line="276" w:lineRule="auto"/>
        <w:ind w:firstLine="709"/>
        <w:contextualSpacing/>
        <w:jc w:val="both"/>
        <w:rPr>
          <w:rFonts w:ascii="Verdana" w:eastAsia="Calibri" w:hAnsi="Verdana" w:cs="Arial"/>
          <w:lang w:val="es-MX"/>
        </w:rPr>
      </w:pPr>
      <w:r>
        <w:rPr>
          <w:rFonts w:ascii="Verdana" w:eastAsia="Calibri" w:hAnsi="Verdana" w:cs="Arial"/>
          <w:lang w:val="es-MX"/>
        </w:rPr>
        <w:t>El artículo 1973 del Código Civil define el contrato de arrendamiento como “[…] un contrato en que las dos partes se obligan recíprocamente, la una a conceder el goce de una cosa, o a ejecutar una obra o prestar un servicio, y la otra a pagar</w:t>
      </w:r>
      <w:r w:rsidR="00300112">
        <w:rPr>
          <w:rFonts w:ascii="Verdana" w:eastAsia="Calibri" w:hAnsi="Verdana" w:cs="Arial"/>
          <w:lang w:val="es-MX"/>
        </w:rPr>
        <w:t xml:space="preserve"> por este goce, obra o servicio de un precio determinado”. Se trata pues del acuerdo de voluntades</w:t>
      </w:r>
      <w:r w:rsidR="005413CD">
        <w:rPr>
          <w:rFonts w:ascii="Verdana" w:eastAsia="Calibri" w:hAnsi="Verdana" w:cs="Arial"/>
          <w:lang w:val="es-MX"/>
        </w:rPr>
        <w:t xml:space="preserve"> en virtud del cual una de las partes -llamada arrendador o arrendadora- se obliga a conceder a otra – llamada arrendatario o arrendataria- el uso y goce de un bien, a cambio de una renta o canon</w:t>
      </w:r>
      <w:r w:rsidR="00890E77">
        <w:rPr>
          <w:rFonts w:ascii="Verdana" w:eastAsia="Calibri" w:hAnsi="Verdana" w:cs="Arial"/>
          <w:lang w:val="es-MX"/>
        </w:rPr>
        <w:t xml:space="preserve">, diferenciándose del contrato de compraventa en que no opera una transferencia del dominio del bien cuyo uso y goce se entrega. </w:t>
      </w:r>
    </w:p>
    <w:p w14:paraId="4EC3AC2F" w14:textId="08DE9E83" w:rsidR="00890E77" w:rsidRDefault="0010488B" w:rsidP="001C3580">
      <w:pPr>
        <w:spacing w:after="120" w:line="276" w:lineRule="auto"/>
        <w:ind w:firstLine="709"/>
        <w:contextualSpacing/>
        <w:jc w:val="both"/>
        <w:rPr>
          <w:rFonts w:ascii="Verdana" w:eastAsia="Calibri" w:hAnsi="Verdana" w:cs="Arial"/>
          <w:lang w:val="es-MX"/>
        </w:rPr>
      </w:pPr>
      <w:r>
        <w:rPr>
          <w:rFonts w:ascii="Verdana" w:eastAsia="Calibri" w:hAnsi="Verdana" w:cs="Arial"/>
          <w:lang w:val="es-MX"/>
        </w:rPr>
        <w:t>En cuanto a sus características, la doctrina ha indicado que el arrendamiento es un contrato: i)</w:t>
      </w:r>
      <w:r w:rsidR="00F12CEA">
        <w:rPr>
          <w:rFonts w:ascii="Verdana" w:eastAsia="Calibri" w:hAnsi="Verdana" w:cs="Arial"/>
          <w:lang w:val="es-MX"/>
        </w:rPr>
        <w:t xml:space="preserve"> bilateral, pues ambas partes se obligan recíprocamente; ii) consensual, dado que se perfecciona con el consentimiento; iii) oneroso</w:t>
      </w:r>
      <w:r w:rsidR="00134DBF">
        <w:rPr>
          <w:rFonts w:ascii="Verdana" w:eastAsia="Calibri" w:hAnsi="Verdana" w:cs="Arial"/>
          <w:lang w:val="es-MX"/>
        </w:rPr>
        <w:t>, ya que ambas partes obtienen utilidades- el arrendatario, el uso y goce del bien, y el arrendador la renta o canon</w:t>
      </w:r>
      <w:r w:rsidR="00885667">
        <w:rPr>
          <w:rFonts w:ascii="Verdana" w:eastAsia="Calibri" w:hAnsi="Verdana" w:cs="Arial"/>
          <w:lang w:val="es-MX"/>
        </w:rPr>
        <w:t xml:space="preserve">-; </w:t>
      </w:r>
      <w:proofErr w:type="spellStart"/>
      <w:r w:rsidR="00885667">
        <w:rPr>
          <w:rFonts w:ascii="Verdana" w:eastAsia="Calibri" w:hAnsi="Verdana" w:cs="Arial"/>
          <w:lang w:val="es-MX"/>
        </w:rPr>
        <w:t>iv</w:t>
      </w:r>
      <w:proofErr w:type="spellEnd"/>
      <w:r w:rsidR="00885667">
        <w:rPr>
          <w:rFonts w:ascii="Verdana" w:eastAsia="Calibri" w:hAnsi="Verdana" w:cs="Arial"/>
          <w:lang w:val="es-MX"/>
        </w:rPr>
        <w:t xml:space="preserve">) de ejecución sucesiva, en la medida en que se ejecuta en forma </w:t>
      </w:r>
      <w:r w:rsidR="00791569">
        <w:rPr>
          <w:rFonts w:ascii="Verdana" w:eastAsia="Calibri" w:hAnsi="Verdana" w:cs="Arial"/>
          <w:lang w:val="es-MX"/>
        </w:rPr>
        <w:t xml:space="preserve">periódica; v) </w:t>
      </w:r>
      <w:r w:rsidR="00E412DF">
        <w:rPr>
          <w:rFonts w:ascii="Verdana" w:eastAsia="Calibri" w:hAnsi="Verdana" w:cs="Arial"/>
          <w:lang w:val="es-MX"/>
        </w:rPr>
        <w:t>principal, porque existen</w:t>
      </w:r>
      <w:r w:rsidR="005E0D63">
        <w:rPr>
          <w:rFonts w:ascii="Verdana" w:eastAsia="Calibri" w:hAnsi="Verdana" w:cs="Arial"/>
          <w:lang w:val="es-MX"/>
        </w:rPr>
        <w:t xml:space="preserve"> en forma autónoma; y vi) nominado </w:t>
      </w:r>
      <w:r w:rsidR="00001BA0">
        <w:rPr>
          <w:rFonts w:ascii="Verdana" w:eastAsia="Calibri" w:hAnsi="Verdana" w:cs="Arial"/>
          <w:lang w:val="es-MX"/>
        </w:rPr>
        <w:t xml:space="preserve">está tipificado y desarrollado en la ley. </w:t>
      </w:r>
    </w:p>
    <w:p w14:paraId="78DEAA2F" w14:textId="029FEDDC" w:rsidR="00001BA0" w:rsidRDefault="00001BA0" w:rsidP="001C3580">
      <w:pPr>
        <w:spacing w:after="120" w:line="276" w:lineRule="auto"/>
        <w:ind w:firstLine="709"/>
        <w:contextualSpacing/>
        <w:jc w:val="both"/>
        <w:rPr>
          <w:rFonts w:ascii="Verdana" w:eastAsia="Calibri" w:hAnsi="Verdana" w:cs="Arial"/>
          <w:lang w:val="es-MX"/>
        </w:rPr>
      </w:pPr>
      <w:r>
        <w:rPr>
          <w:rFonts w:ascii="Verdana" w:eastAsia="Calibri" w:hAnsi="Verdana" w:cs="Arial"/>
          <w:lang w:val="es-MX"/>
        </w:rPr>
        <w:t xml:space="preserve">En igual sentido, por su importancia en la contratación </w:t>
      </w:r>
      <w:r w:rsidR="00AE48F5">
        <w:rPr>
          <w:rFonts w:ascii="Verdana" w:eastAsia="Calibri" w:hAnsi="Verdana" w:cs="Arial"/>
          <w:lang w:val="es-MX"/>
        </w:rPr>
        <w:t xml:space="preserve">estatal, </w:t>
      </w:r>
      <w:r w:rsidR="00544401">
        <w:rPr>
          <w:rFonts w:ascii="Verdana" w:eastAsia="Calibri" w:hAnsi="Verdana" w:cs="Arial"/>
          <w:lang w:val="es-MX"/>
        </w:rPr>
        <w:t>debe precisarse que la modalidad de selección aplicable a la celebración de los contratos de arrendamiento depende del régimen aplicable a la Entidad Estatal. Si se rige por el derecho privado, es decir, si está exceptuad</w:t>
      </w:r>
      <w:r w:rsidR="001F2025">
        <w:rPr>
          <w:rFonts w:ascii="Verdana" w:eastAsia="Calibri" w:hAnsi="Verdana" w:cs="Arial"/>
          <w:lang w:val="es-MX"/>
        </w:rPr>
        <w:t>a del EGCAP, debe aplicar en principio las normas civiles y comerciales mencionadas, en las cuales se permite la celebración directa del contrato</w:t>
      </w:r>
      <w:r w:rsidR="008A0759">
        <w:rPr>
          <w:rFonts w:ascii="Verdana" w:eastAsia="Calibri" w:hAnsi="Verdana" w:cs="Arial"/>
          <w:lang w:val="es-MX"/>
        </w:rPr>
        <w:t xml:space="preserve"> de arrendamiento, pero si el reglamento o manual interno de contratación de la entidad dispone que debe efectuar algún procedimiento especial, este prevalece. </w:t>
      </w:r>
    </w:p>
    <w:p w14:paraId="49F3438F" w14:textId="4EBE2697" w:rsidR="005958A3" w:rsidRDefault="005958A3" w:rsidP="001C3580">
      <w:pPr>
        <w:spacing w:after="120" w:line="276" w:lineRule="auto"/>
        <w:ind w:firstLine="709"/>
        <w:contextualSpacing/>
        <w:jc w:val="both"/>
        <w:rPr>
          <w:rFonts w:ascii="Verdana" w:eastAsia="Calibri" w:hAnsi="Verdana" w:cs="Arial"/>
          <w:lang w:val="es-MX"/>
        </w:rPr>
      </w:pPr>
      <w:r>
        <w:rPr>
          <w:rFonts w:ascii="Verdana" w:eastAsia="Calibri" w:hAnsi="Verdana" w:cs="Arial"/>
          <w:lang w:val="es-MX"/>
        </w:rPr>
        <w:t xml:space="preserve">En contraste, si la Entidad Estatal se rige por el EGCAP, bien sea que obre en calidad de arrendadora o arrendataria, debe acudir a la modalidad de selección de contratación directa si arrendara un inmueble. Esto, pues el literal </w:t>
      </w:r>
      <w:r w:rsidR="00C85A3F">
        <w:rPr>
          <w:rFonts w:ascii="Verdana" w:eastAsia="Calibri" w:hAnsi="Verdana" w:cs="Arial"/>
          <w:lang w:val="es-MX"/>
        </w:rPr>
        <w:t>i) del numeral 4° del artículo 2° de la Ley 1150 de 2007 establece que una de las causales de este procedimiento es:</w:t>
      </w:r>
      <w:r w:rsidR="00936309">
        <w:rPr>
          <w:rFonts w:ascii="Verdana" w:eastAsia="Calibri" w:hAnsi="Verdana" w:cs="Arial"/>
          <w:lang w:val="es-MX"/>
        </w:rPr>
        <w:t xml:space="preserve"> “</w:t>
      </w:r>
      <w:r w:rsidR="00C85A3F">
        <w:rPr>
          <w:rFonts w:ascii="Verdana" w:eastAsia="Calibri" w:hAnsi="Verdana" w:cs="Arial"/>
          <w:lang w:val="es-MX"/>
        </w:rPr>
        <w:t xml:space="preserve">i) </w:t>
      </w:r>
      <w:r w:rsidR="00936309">
        <w:rPr>
          <w:rFonts w:ascii="Verdana" w:eastAsia="Calibri" w:hAnsi="Verdana" w:cs="Arial"/>
          <w:lang w:val="es-MX"/>
        </w:rPr>
        <w:t>El arrendamiento o adquisición de inmuebles”. Adicionalmente, el artículo 2.2.1.</w:t>
      </w:r>
      <w:r w:rsidR="00966689">
        <w:rPr>
          <w:rFonts w:ascii="Verdana" w:eastAsia="Calibri" w:hAnsi="Verdana" w:cs="Arial"/>
          <w:lang w:val="es-MX"/>
        </w:rPr>
        <w:t xml:space="preserve">2.1.4.11 del Decreto 1082 de 2015 dispone que las Entidades Estatales puede alquilar o arrendar inmuebles mediante contratación directa para lo cual deben seguir las siguientes reglas: </w:t>
      </w:r>
    </w:p>
    <w:p w14:paraId="4E2F7BEB" w14:textId="77643417" w:rsidR="00966689" w:rsidRPr="0030679A" w:rsidRDefault="00966689" w:rsidP="0030679A">
      <w:pPr>
        <w:spacing w:after="0" w:line="240" w:lineRule="auto"/>
        <w:ind w:left="709" w:right="709"/>
        <w:contextualSpacing/>
        <w:jc w:val="both"/>
        <w:rPr>
          <w:rFonts w:ascii="Verdana" w:eastAsia="Calibri" w:hAnsi="Verdana" w:cs="Arial"/>
          <w:sz w:val="21"/>
          <w:szCs w:val="21"/>
          <w:lang w:val="es-MX"/>
        </w:rPr>
      </w:pPr>
    </w:p>
    <w:p w14:paraId="3CB5AB54" w14:textId="528FA1D6" w:rsidR="00966689" w:rsidRPr="0030679A" w:rsidRDefault="00966689" w:rsidP="0030679A">
      <w:pPr>
        <w:spacing w:after="0" w:line="240" w:lineRule="auto"/>
        <w:ind w:left="709" w:right="709"/>
        <w:contextualSpacing/>
        <w:jc w:val="both"/>
        <w:rPr>
          <w:rFonts w:ascii="Verdana" w:eastAsia="Calibri" w:hAnsi="Verdana" w:cs="Arial"/>
          <w:sz w:val="21"/>
          <w:szCs w:val="21"/>
          <w:lang w:val="es-MX"/>
        </w:rPr>
      </w:pPr>
      <w:r w:rsidRPr="0030679A">
        <w:rPr>
          <w:rFonts w:ascii="Verdana" w:eastAsia="Calibri" w:hAnsi="Verdana" w:cs="Arial"/>
          <w:sz w:val="21"/>
          <w:szCs w:val="21"/>
          <w:lang w:val="es-MX"/>
        </w:rPr>
        <w:t xml:space="preserve">“1. Verificar las condiciones del mercado inmobiliario en la ciudad en la que la Entidad Estatal requiere el inmueble. </w:t>
      </w:r>
    </w:p>
    <w:p w14:paraId="24A203A4" w14:textId="77777777" w:rsidR="00966689" w:rsidRPr="0030679A" w:rsidRDefault="00966689" w:rsidP="0030679A">
      <w:pPr>
        <w:spacing w:after="0" w:line="240" w:lineRule="auto"/>
        <w:ind w:left="709" w:right="709"/>
        <w:contextualSpacing/>
        <w:jc w:val="both"/>
        <w:rPr>
          <w:rFonts w:ascii="Verdana" w:eastAsia="Calibri" w:hAnsi="Verdana" w:cs="Arial"/>
          <w:sz w:val="21"/>
          <w:szCs w:val="21"/>
          <w:lang w:val="es-MX"/>
        </w:rPr>
      </w:pPr>
    </w:p>
    <w:p w14:paraId="2220D09D" w14:textId="512533EB" w:rsidR="00966689" w:rsidRPr="0030679A" w:rsidRDefault="00966689" w:rsidP="0030679A">
      <w:pPr>
        <w:spacing w:after="0" w:line="240" w:lineRule="auto"/>
        <w:ind w:left="709" w:right="709"/>
        <w:contextualSpacing/>
        <w:jc w:val="both"/>
        <w:rPr>
          <w:rFonts w:ascii="Verdana" w:eastAsia="Calibri" w:hAnsi="Verdana" w:cs="Arial"/>
          <w:sz w:val="21"/>
          <w:szCs w:val="21"/>
          <w:lang w:val="es-MX"/>
        </w:rPr>
      </w:pPr>
      <w:r w:rsidRPr="0030679A">
        <w:rPr>
          <w:rFonts w:ascii="Verdana" w:eastAsia="Calibri" w:hAnsi="Verdana" w:cs="Arial"/>
          <w:sz w:val="21"/>
          <w:szCs w:val="21"/>
          <w:lang w:val="es-MX"/>
        </w:rPr>
        <w:t xml:space="preserve">2. Analizar y comparar las condiciones de los bienes inmuebles que satisfacen las necesidades </w:t>
      </w:r>
      <w:r w:rsidR="007F54D6" w:rsidRPr="0030679A">
        <w:rPr>
          <w:rFonts w:ascii="Verdana" w:eastAsia="Calibri" w:hAnsi="Verdana" w:cs="Arial"/>
          <w:sz w:val="21"/>
          <w:szCs w:val="21"/>
          <w:lang w:val="es-MX"/>
        </w:rPr>
        <w:t>identificadas</w:t>
      </w:r>
      <w:r w:rsidRPr="0030679A">
        <w:rPr>
          <w:rFonts w:ascii="Verdana" w:eastAsia="Calibri" w:hAnsi="Verdana" w:cs="Arial"/>
          <w:sz w:val="21"/>
          <w:szCs w:val="21"/>
          <w:lang w:val="es-MX"/>
        </w:rPr>
        <w:t xml:space="preserve"> y las opciones</w:t>
      </w:r>
      <w:r w:rsidR="007F54D6" w:rsidRPr="0030679A">
        <w:rPr>
          <w:rFonts w:ascii="Verdana" w:eastAsia="Calibri" w:hAnsi="Verdana" w:cs="Arial"/>
          <w:sz w:val="21"/>
          <w:szCs w:val="21"/>
          <w:lang w:val="es-MX"/>
        </w:rPr>
        <w:t xml:space="preserve"> de arrendamiento, análisis que deberá tener en cuenta los principios y objetivos del sistema de compra y contratación pública”</w:t>
      </w:r>
      <w:r w:rsidR="00E55F39" w:rsidRPr="0030679A">
        <w:rPr>
          <w:rFonts w:ascii="Verdana" w:eastAsia="Calibri" w:hAnsi="Verdana" w:cs="Arial"/>
          <w:sz w:val="21"/>
          <w:szCs w:val="21"/>
          <w:lang w:val="es-MX"/>
        </w:rPr>
        <w:t xml:space="preserve">. </w:t>
      </w:r>
    </w:p>
    <w:p w14:paraId="57CD82B6" w14:textId="77777777" w:rsidR="00E55F39" w:rsidRDefault="00E55F39" w:rsidP="00966689">
      <w:pPr>
        <w:spacing w:after="0" w:line="276" w:lineRule="auto"/>
        <w:ind w:firstLine="709"/>
        <w:contextualSpacing/>
        <w:jc w:val="both"/>
        <w:rPr>
          <w:rFonts w:ascii="Verdana" w:eastAsia="Calibri" w:hAnsi="Verdana" w:cs="Arial"/>
          <w:lang w:val="es-MX"/>
        </w:rPr>
      </w:pPr>
    </w:p>
    <w:p w14:paraId="25CDACA4" w14:textId="39F5D27A" w:rsidR="00585FF0" w:rsidRDefault="00EC49EB" w:rsidP="00CF3227">
      <w:pPr>
        <w:spacing w:after="120" w:line="276" w:lineRule="auto"/>
        <w:ind w:firstLine="709"/>
        <w:contextualSpacing/>
        <w:jc w:val="both"/>
        <w:rPr>
          <w:rFonts w:ascii="Verdana" w:eastAsia="Calibri" w:hAnsi="Verdana" w:cs="Arial"/>
          <w:lang w:val="es-MX"/>
        </w:rPr>
      </w:pPr>
      <w:r>
        <w:rPr>
          <w:rFonts w:ascii="Verdana" w:eastAsia="Calibri" w:hAnsi="Verdana" w:cs="Arial"/>
          <w:lang w:val="es-MX"/>
        </w:rPr>
        <w:t xml:space="preserve">Conforme a lo anterior, la entidad debe </w:t>
      </w:r>
      <w:r w:rsidR="00BF28C7">
        <w:rPr>
          <w:rFonts w:ascii="Verdana" w:eastAsia="Calibri" w:hAnsi="Verdana" w:cs="Arial"/>
          <w:lang w:val="es-MX"/>
        </w:rPr>
        <w:t xml:space="preserve">elaborar los </w:t>
      </w:r>
      <w:r w:rsidR="002E4749">
        <w:rPr>
          <w:rFonts w:ascii="Verdana" w:eastAsia="Calibri" w:hAnsi="Verdana" w:cs="Arial"/>
          <w:lang w:val="es-MX"/>
        </w:rPr>
        <w:t>estudios y documentos previos</w:t>
      </w:r>
      <w:r w:rsidR="00BF28C7">
        <w:rPr>
          <w:rFonts w:ascii="Verdana" w:eastAsia="Calibri" w:hAnsi="Verdana" w:cs="Arial"/>
          <w:lang w:val="es-MX"/>
        </w:rPr>
        <w:t xml:space="preserve"> y verificar las condiciones del mercado inmobiliario en la ciudad donde la Entidad Estatal requiere el documento. Además, tiene el deber </w:t>
      </w:r>
      <w:r w:rsidR="00CF3227">
        <w:rPr>
          <w:rFonts w:ascii="Verdana" w:eastAsia="Calibri" w:hAnsi="Verdana" w:cs="Arial"/>
          <w:lang w:val="es-MX"/>
        </w:rPr>
        <w:t xml:space="preserve">de analizar y comparar las condiciones de los bienes inmuebles que satisfacen sus necesidades; y de tener en cuenta los principios y objetivos del Sistema de Compra y Contratación Pública. </w:t>
      </w:r>
    </w:p>
    <w:p w14:paraId="3FC51AB7" w14:textId="0DBB3BA0" w:rsidR="002E4749" w:rsidRDefault="002E4749" w:rsidP="00CF3227">
      <w:pPr>
        <w:spacing w:after="120" w:line="276" w:lineRule="auto"/>
        <w:ind w:firstLine="709"/>
        <w:contextualSpacing/>
        <w:jc w:val="both"/>
        <w:rPr>
          <w:rFonts w:ascii="Verdana" w:eastAsia="Calibri" w:hAnsi="Verdana" w:cs="Arial"/>
          <w:lang w:val="es-MX"/>
        </w:rPr>
      </w:pPr>
      <w:r>
        <w:rPr>
          <w:rFonts w:ascii="Verdana" w:eastAsia="Calibri" w:hAnsi="Verdana" w:cs="Arial"/>
          <w:lang w:val="es-MX"/>
        </w:rPr>
        <w:t xml:space="preserve">En contraste, si se trata de arrendamiento de bienes muebles, la modalidad aplicable será la licitación pública, la selección abreviada o la mínima cuantía, según corresponda dependiendo del valor de la contratación. Lo anterior, en la medida que no se encuentran dentro de las causales de contratación directa que expresamente señala el numeral 4 del artículo 2 de la Ley 1150 de 2007. En ambos supuestos la Entidad Estatal también debe aplicar las normas civiles y comerciales que regulan la sustantividad del contrato de arrendamiento, porque a estas se remiten los artículos 13, 32 y 40 de la Ley 80 de 1993. </w:t>
      </w:r>
    </w:p>
    <w:p w14:paraId="4582828F" w14:textId="7AFC58A2" w:rsidR="001C3580" w:rsidRDefault="002E4749" w:rsidP="00CF3227">
      <w:pPr>
        <w:spacing w:after="120" w:line="276" w:lineRule="auto"/>
        <w:ind w:firstLine="709"/>
        <w:contextualSpacing/>
        <w:jc w:val="both"/>
        <w:rPr>
          <w:rFonts w:ascii="Verdana" w:eastAsia="Calibri" w:hAnsi="Verdana" w:cs="Arial"/>
          <w:lang w:val="es-MX"/>
        </w:rPr>
      </w:pPr>
      <w:r>
        <w:rPr>
          <w:rFonts w:ascii="Verdana" w:eastAsia="Calibri" w:hAnsi="Verdana" w:cs="Arial"/>
          <w:lang w:val="es-MX"/>
        </w:rPr>
        <w:t>Si el arrendamiento recae sobre b</w:t>
      </w:r>
      <w:r w:rsidR="00094944">
        <w:rPr>
          <w:rFonts w:ascii="Verdana" w:eastAsia="Calibri" w:hAnsi="Verdana" w:cs="Arial"/>
          <w:lang w:val="es-MX"/>
        </w:rPr>
        <w:t>ienes públicos debe tenerse en cuenta que la Sección Tercera del Consejo de Estado señaló que los bienes que pueden ser susceptibles de arrendamiento son únicamente los bienes fiscales,</w:t>
      </w:r>
      <w:r w:rsidR="001C3580">
        <w:rPr>
          <w:rFonts w:ascii="Verdana" w:eastAsia="Calibri" w:hAnsi="Verdana" w:cs="Arial"/>
          <w:lang w:val="es-MX"/>
        </w:rPr>
        <w:t xml:space="preserve"> no los bienes de uso público. </w:t>
      </w:r>
    </w:p>
    <w:p w14:paraId="0E4240E0" w14:textId="75E17D43" w:rsidR="001C3580" w:rsidRDefault="001C3580" w:rsidP="00CF3227">
      <w:pPr>
        <w:spacing w:after="120" w:line="276" w:lineRule="auto"/>
        <w:ind w:firstLine="709"/>
        <w:contextualSpacing/>
        <w:jc w:val="both"/>
        <w:rPr>
          <w:rFonts w:ascii="Verdana" w:eastAsia="Calibri" w:hAnsi="Verdana" w:cs="Arial"/>
          <w:lang w:val="es-MX"/>
        </w:rPr>
      </w:pPr>
      <w:r>
        <w:rPr>
          <w:rFonts w:ascii="Verdana" w:eastAsia="Calibri" w:hAnsi="Verdana" w:cs="Arial"/>
          <w:lang w:val="es-MX"/>
        </w:rPr>
        <w:t>Por otro lado, la Ley 80 de 1993, en el texto original del artículo 41, estableció q</w:t>
      </w:r>
      <w:r w:rsidR="00402D7A">
        <w:rPr>
          <w:rFonts w:ascii="Verdana" w:eastAsia="Calibri" w:hAnsi="Verdana" w:cs="Arial"/>
          <w:lang w:val="es-MX"/>
        </w:rPr>
        <w:t xml:space="preserve">ue los requisitos para perfeccionar el contrato eran: </w:t>
      </w:r>
      <w:r w:rsidR="00CD0D03">
        <w:rPr>
          <w:rFonts w:ascii="Verdana" w:eastAsia="Calibri" w:hAnsi="Verdana" w:cs="Arial"/>
          <w:lang w:val="es-MX"/>
        </w:rPr>
        <w:t>i) llegar a un acuerdo sobre el objeto y la contraprestación y ii) que conste por escrito. Por su parte, para iniciar la ejecución se requería: i</w:t>
      </w:r>
      <w:r w:rsidR="00402C64">
        <w:rPr>
          <w:rFonts w:ascii="Verdana" w:eastAsia="Calibri" w:hAnsi="Verdana" w:cs="Arial"/>
          <w:lang w:val="es-MX"/>
        </w:rPr>
        <w:t xml:space="preserve">) la constitución y aprobación de la garantía y ii) la existencia del registro presupuestal. </w:t>
      </w:r>
    </w:p>
    <w:p w14:paraId="26E07DCC" w14:textId="4119853E" w:rsidR="00402C64" w:rsidRDefault="000D7D6F" w:rsidP="00E3042D">
      <w:pPr>
        <w:spacing w:after="120" w:line="276" w:lineRule="auto"/>
        <w:ind w:firstLine="709"/>
        <w:contextualSpacing/>
        <w:jc w:val="both"/>
        <w:rPr>
          <w:rFonts w:ascii="Verdana" w:eastAsia="Calibri" w:hAnsi="Verdana" w:cs="Arial"/>
          <w:lang w:val="es-MX"/>
        </w:rPr>
      </w:pPr>
      <w:r>
        <w:rPr>
          <w:rFonts w:ascii="Verdana" w:eastAsia="Calibri" w:hAnsi="Verdana" w:cs="Arial"/>
          <w:lang w:val="es-MX"/>
        </w:rPr>
        <w:t xml:space="preserve">En virtud de este contrato, las partes se obligan, una a conceder el goce del inmueble, y la otra a pagar un precio por el mismo. Estos contratos </w:t>
      </w:r>
      <w:r w:rsidR="00F76A54">
        <w:rPr>
          <w:rFonts w:ascii="Verdana" w:eastAsia="Calibri" w:hAnsi="Verdana" w:cs="Arial"/>
          <w:lang w:val="es-MX"/>
        </w:rPr>
        <w:t xml:space="preserve">tienen como elementos característicos, conforme a la ley y a la jurisprudencia del Consejo de Estado, los siguientes: i) entrega de un bien que efectúa el arrendador al arrendatario para el goce o uso exclusivo de esta y ii) el pago de un precio por el uso del bien arrendado. </w:t>
      </w:r>
    </w:p>
    <w:p w14:paraId="0C444595" w14:textId="77777777" w:rsidR="00E3042D" w:rsidRPr="00023091" w:rsidRDefault="00E3042D" w:rsidP="00E3042D">
      <w:pPr>
        <w:spacing w:after="120" w:line="276" w:lineRule="auto"/>
        <w:ind w:firstLine="709"/>
        <w:jc w:val="both"/>
        <w:rPr>
          <w:rFonts w:ascii="Verdana" w:eastAsia="Calibri" w:hAnsi="Verdana"/>
          <w:color w:val="000000" w:themeColor="text1"/>
        </w:rPr>
      </w:pPr>
      <w:r w:rsidRPr="00023091">
        <w:rPr>
          <w:rFonts w:ascii="Verdana" w:eastAsia="Calibri" w:hAnsi="Verdana"/>
          <w:color w:val="000000" w:themeColor="text1"/>
        </w:rPr>
        <w:t>No cabe duda, pues, de que el contrato de arrendamiento, al ser un contrato oneroso, genera para el arrendador una renta periódica y, en tal sentido, hace que se encuentre obligado a cotizar al Sistema de Seguridad Social Integral, si el canon es superior a un salario mínimo mensual legal vigente. En efecto, el artículo 2000 del Código Civil establece que “El arrendatario es obligado al pago del precio o renta”. Es decir que la renta es un elemento de la esencia del contrato de arrendamiento. Si el “arrendador” no la percibiera no sería un arrendamiento, sino un comodato.</w:t>
      </w:r>
    </w:p>
    <w:p w14:paraId="322E1143" w14:textId="77777777" w:rsidR="00E3042D" w:rsidRDefault="00E3042D" w:rsidP="00E3042D">
      <w:pPr>
        <w:spacing w:after="120" w:line="276" w:lineRule="auto"/>
        <w:ind w:firstLine="709"/>
        <w:jc w:val="both"/>
        <w:rPr>
          <w:rFonts w:ascii="Verdana" w:eastAsia="Calibri" w:hAnsi="Verdana" w:cs="Arial"/>
          <w:color w:val="000000" w:themeColor="text1"/>
        </w:rPr>
      </w:pPr>
      <w:r w:rsidRPr="00023091">
        <w:rPr>
          <w:rFonts w:ascii="Verdana" w:eastAsia="Calibri" w:hAnsi="Verdana" w:cs="Arial"/>
          <w:color w:val="000000" w:themeColor="text1"/>
        </w:rPr>
        <w:t>Además, otro aspecto importante del contrato de arrendamiento consiste en la imposibilidad de pactar cláusulas de prórroga automática, puesto que el Consejo de Estado explica que  en el EGCAP no existe norma alguna que autorice pactar prórrogas automáticas que favorezcan a un determinado contratista, resulta violatorio de los principios generales de libre concurrencia, de igualdad, de imparcialidad, de prevalencia del interés general y de transparencia que rigen todas las actuaciones contractuales de las entidades estatales.</w:t>
      </w:r>
    </w:p>
    <w:p w14:paraId="085BDF14" w14:textId="77777777" w:rsidR="0012052E" w:rsidRDefault="0012052E" w:rsidP="0012052E">
      <w:pPr>
        <w:spacing w:after="120" w:line="276" w:lineRule="auto"/>
        <w:ind w:firstLine="709"/>
        <w:contextualSpacing/>
        <w:jc w:val="both"/>
        <w:rPr>
          <w:rFonts w:ascii="Verdana" w:eastAsia="Aptos" w:hAnsi="Verdana" w:cs="Arial"/>
          <w:shd w:val="clear" w:color="auto" w:fill="FFFFFF"/>
        </w:rPr>
      </w:pPr>
      <w:r>
        <w:rPr>
          <w:rFonts w:ascii="Verdana" w:eastAsia="Aptos" w:hAnsi="Verdana" w:cs="Arial"/>
          <w:shd w:val="clear" w:color="auto" w:fill="FFFFFF"/>
        </w:rPr>
        <w:t xml:space="preserve">Dentro de </w:t>
      </w:r>
      <w:r w:rsidRPr="00893B8D">
        <w:rPr>
          <w:rFonts w:ascii="Verdana" w:eastAsia="Aptos" w:hAnsi="Verdana" w:cs="Arial"/>
          <w:shd w:val="clear" w:color="auto" w:fill="FFFFFF"/>
        </w:rPr>
        <w:t xml:space="preserve">este marco, la entidad contratante definirá en cada caso concreto lo relacionado con el tema objeto de consulta. Al tratarse de un análisis que debe realizarse en el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w:t>
      </w:r>
      <w:r>
        <w:rPr>
          <w:rFonts w:ascii="Verdana" w:eastAsia="Aptos" w:hAnsi="Verdana" w:cs="Arial"/>
          <w:shd w:val="clear" w:color="auto" w:fill="FFFFFF"/>
        </w:rPr>
        <w:t xml:space="preserve">la Agencia Nacional de Contratación Pública - </w:t>
      </w:r>
      <w:r w:rsidRPr="00893B8D">
        <w:rPr>
          <w:rFonts w:ascii="Verdana" w:eastAsia="Aptos" w:hAnsi="Verdana" w:cs="Arial"/>
          <w:shd w:val="clear" w:color="auto" w:fill="FFFFFF"/>
        </w:rPr>
        <w:t>Colombia Compra Eficiente validar sus actuaciones.</w:t>
      </w:r>
    </w:p>
    <w:p w14:paraId="0EFE2582" w14:textId="77777777" w:rsidR="00E3042D" w:rsidRDefault="00E3042D" w:rsidP="00E3042D">
      <w:pPr>
        <w:spacing w:after="120" w:line="276" w:lineRule="auto"/>
        <w:ind w:firstLine="709"/>
        <w:jc w:val="both"/>
        <w:rPr>
          <w:rFonts w:ascii="Verdana" w:eastAsia="Calibri" w:hAnsi="Verdana" w:cs="Arial"/>
          <w:color w:val="000000" w:themeColor="text1"/>
        </w:rPr>
      </w:pPr>
    </w:p>
    <w:p w14:paraId="1FF3C825" w14:textId="59D0E170" w:rsidR="0012052E" w:rsidRPr="008C530F" w:rsidRDefault="0012052E" w:rsidP="00E3042D">
      <w:pPr>
        <w:spacing w:after="120" w:line="276" w:lineRule="auto"/>
        <w:ind w:firstLine="709"/>
        <w:jc w:val="both"/>
        <w:rPr>
          <w:rFonts w:ascii="Verdana" w:eastAsia="Calibri" w:hAnsi="Verdana" w:cs="Arial"/>
          <w:b/>
          <w:bCs/>
          <w:color w:val="000000" w:themeColor="text1"/>
        </w:rPr>
      </w:pPr>
      <w:r w:rsidRPr="008C530F">
        <w:rPr>
          <w:rFonts w:ascii="Verdana" w:eastAsia="Calibri" w:hAnsi="Verdana" w:cs="Arial"/>
          <w:b/>
          <w:bCs/>
          <w:color w:val="000000" w:themeColor="text1"/>
        </w:rPr>
        <w:t xml:space="preserve">4. </w:t>
      </w:r>
      <w:r w:rsidR="00A306D9" w:rsidRPr="008C530F">
        <w:rPr>
          <w:rFonts w:ascii="Verdana" w:eastAsia="Calibri" w:hAnsi="Verdana" w:cs="Arial"/>
          <w:b/>
          <w:bCs/>
          <w:color w:val="000000" w:themeColor="text1"/>
        </w:rPr>
        <w:t xml:space="preserve">Referencias normativas, jurisprudenciales y otras fuentes: </w:t>
      </w:r>
    </w:p>
    <w:p w14:paraId="1C016F46" w14:textId="77777777" w:rsidR="008C530F" w:rsidRPr="008C530F" w:rsidRDefault="008C530F" w:rsidP="008C530F">
      <w:pPr>
        <w:pStyle w:val="Prrafodelista"/>
        <w:widowControl w:val="0"/>
        <w:numPr>
          <w:ilvl w:val="0"/>
          <w:numId w:val="16"/>
        </w:numPr>
        <w:pBdr>
          <w:top w:val="single" w:sz="4" w:space="1" w:color="auto"/>
          <w:left w:val="single" w:sz="4" w:space="4" w:color="auto"/>
          <w:bottom w:val="single" w:sz="4" w:space="1" w:color="auto"/>
          <w:right w:val="single" w:sz="4" w:space="4" w:color="auto"/>
        </w:pBdr>
        <w:autoSpaceDE w:val="0"/>
        <w:autoSpaceDN w:val="0"/>
        <w:spacing w:after="120" w:line="276" w:lineRule="auto"/>
        <w:ind w:left="0" w:firstLine="0"/>
        <w:jc w:val="both"/>
        <w:rPr>
          <w:rFonts w:ascii="Verdana" w:hAnsi="Verdana" w:cs="Arial"/>
        </w:rPr>
      </w:pPr>
      <w:r w:rsidRPr="008C530F">
        <w:rPr>
          <w:rFonts w:ascii="Verdana" w:hAnsi="Verdana" w:cs="Arial"/>
        </w:rPr>
        <w:t>Ley 80 de 1993: Artículos 32 y 41.</w:t>
      </w:r>
    </w:p>
    <w:p w14:paraId="7E16A399" w14:textId="77777777" w:rsidR="008C530F" w:rsidRPr="008C530F" w:rsidRDefault="008C530F" w:rsidP="008C530F">
      <w:pPr>
        <w:pStyle w:val="Prrafodelista"/>
        <w:widowControl w:val="0"/>
        <w:numPr>
          <w:ilvl w:val="0"/>
          <w:numId w:val="16"/>
        </w:numPr>
        <w:pBdr>
          <w:top w:val="single" w:sz="4" w:space="1" w:color="auto"/>
          <w:left w:val="single" w:sz="4" w:space="4" w:color="auto"/>
          <w:bottom w:val="single" w:sz="4" w:space="1" w:color="auto"/>
          <w:right w:val="single" w:sz="4" w:space="4" w:color="auto"/>
        </w:pBdr>
        <w:autoSpaceDE w:val="0"/>
        <w:autoSpaceDN w:val="0"/>
        <w:spacing w:after="120" w:line="276" w:lineRule="auto"/>
        <w:ind w:left="0" w:firstLine="0"/>
        <w:jc w:val="both"/>
        <w:rPr>
          <w:rFonts w:ascii="Verdana" w:hAnsi="Verdana" w:cs="Arial"/>
        </w:rPr>
      </w:pPr>
      <w:r w:rsidRPr="008C530F">
        <w:rPr>
          <w:rFonts w:ascii="Verdana" w:hAnsi="Verdana" w:cs="Arial"/>
        </w:rPr>
        <w:t>Ley 1150 de 2007: Artículo 2, numeral 4, artículo 5.</w:t>
      </w:r>
    </w:p>
    <w:p w14:paraId="458F1640" w14:textId="77777777" w:rsidR="008C530F" w:rsidRPr="008C530F" w:rsidRDefault="008C530F" w:rsidP="008C530F">
      <w:pPr>
        <w:pStyle w:val="Prrafodelista"/>
        <w:widowControl w:val="0"/>
        <w:numPr>
          <w:ilvl w:val="0"/>
          <w:numId w:val="16"/>
        </w:numPr>
        <w:pBdr>
          <w:top w:val="single" w:sz="4" w:space="1" w:color="auto"/>
          <w:left w:val="single" w:sz="4" w:space="4" w:color="auto"/>
          <w:bottom w:val="single" w:sz="4" w:space="1" w:color="auto"/>
          <w:right w:val="single" w:sz="4" w:space="4" w:color="auto"/>
        </w:pBdr>
        <w:autoSpaceDE w:val="0"/>
        <w:autoSpaceDN w:val="0"/>
        <w:spacing w:after="120" w:line="276" w:lineRule="auto"/>
        <w:ind w:left="0" w:firstLine="0"/>
        <w:jc w:val="both"/>
        <w:rPr>
          <w:rFonts w:ascii="Verdana" w:hAnsi="Verdana" w:cs="Arial"/>
        </w:rPr>
      </w:pPr>
      <w:r w:rsidRPr="008C530F">
        <w:rPr>
          <w:rFonts w:ascii="Verdana" w:hAnsi="Verdana" w:cs="Arial"/>
        </w:rPr>
        <w:t>Decreto 1082 de 2015: Artículo 2.2.1.2.1.4.11.</w:t>
      </w:r>
    </w:p>
    <w:p w14:paraId="1D555DDC" w14:textId="77777777" w:rsidR="008C530F" w:rsidRPr="008C530F" w:rsidRDefault="008C530F" w:rsidP="008C530F">
      <w:pPr>
        <w:pStyle w:val="Prrafodelista"/>
        <w:widowControl w:val="0"/>
        <w:numPr>
          <w:ilvl w:val="0"/>
          <w:numId w:val="16"/>
        </w:numPr>
        <w:pBdr>
          <w:top w:val="single" w:sz="4" w:space="1" w:color="auto"/>
          <w:left w:val="single" w:sz="4" w:space="4" w:color="auto"/>
          <w:bottom w:val="single" w:sz="4" w:space="1" w:color="auto"/>
          <w:right w:val="single" w:sz="4" w:space="4" w:color="auto"/>
        </w:pBdr>
        <w:autoSpaceDE w:val="0"/>
        <w:autoSpaceDN w:val="0"/>
        <w:spacing w:after="120" w:line="276" w:lineRule="auto"/>
        <w:ind w:left="0" w:firstLine="0"/>
        <w:jc w:val="both"/>
        <w:rPr>
          <w:rFonts w:ascii="Verdana" w:hAnsi="Verdana" w:cs="Arial"/>
        </w:rPr>
      </w:pPr>
      <w:r w:rsidRPr="008C530F">
        <w:rPr>
          <w:rFonts w:ascii="Verdana" w:hAnsi="Verdana" w:cs="Arial"/>
        </w:rPr>
        <w:t>Ley 996 de 2005, artículos 33 y 38.</w:t>
      </w:r>
    </w:p>
    <w:p w14:paraId="6EFE74C5" w14:textId="77777777" w:rsidR="008C530F" w:rsidRPr="008C530F" w:rsidRDefault="008C530F" w:rsidP="008C530F">
      <w:pPr>
        <w:pStyle w:val="Prrafodelista"/>
        <w:widowControl w:val="0"/>
        <w:numPr>
          <w:ilvl w:val="0"/>
          <w:numId w:val="16"/>
        </w:numPr>
        <w:pBdr>
          <w:top w:val="single" w:sz="4" w:space="1" w:color="auto"/>
          <w:left w:val="single" w:sz="4" w:space="4" w:color="auto"/>
          <w:bottom w:val="single" w:sz="4" w:space="1" w:color="auto"/>
          <w:right w:val="single" w:sz="4" w:space="4" w:color="auto"/>
        </w:pBdr>
        <w:autoSpaceDE w:val="0"/>
        <w:autoSpaceDN w:val="0"/>
        <w:spacing w:after="120" w:line="276" w:lineRule="auto"/>
        <w:ind w:left="0" w:firstLine="0"/>
        <w:jc w:val="both"/>
        <w:rPr>
          <w:rFonts w:ascii="Verdana" w:hAnsi="Verdana" w:cs="Arial"/>
        </w:rPr>
      </w:pPr>
      <w:r w:rsidRPr="008C530F">
        <w:rPr>
          <w:rFonts w:ascii="Verdana" w:eastAsia="Times New Roman" w:hAnsi="Verdana" w:cs="Arial"/>
          <w:lang w:val="es-MX" w:eastAsia="x-none"/>
        </w:rPr>
        <w:t>Corte Constitucional, Sentencia C-1153 de noviembre 11 de 2005.</w:t>
      </w:r>
    </w:p>
    <w:p w14:paraId="32D29E15" w14:textId="77777777" w:rsidR="008C530F" w:rsidRPr="008C530F" w:rsidRDefault="008C530F" w:rsidP="008C530F">
      <w:pPr>
        <w:pStyle w:val="Prrafodelista"/>
        <w:widowControl w:val="0"/>
        <w:numPr>
          <w:ilvl w:val="0"/>
          <w:numId w:val="16"/>
        </w:numPr>
        <w:pBdr>
          <w:top w:val="single" w:sz="4" w:space="1" w:color="auto"/>
          <w:left w:val="single" w:sz="4" w:space="4" w:color="auto"/>
          <w:bottom w:val="single" w:sz="4" w:space="1" w:color="auto"/>
          <w:right w:val="single" w:sz="4" w:space="4" w:color="auto"/>
        </w:pBdr>
        <w:autoSpaceDE w:val="0"/>
        <w:autoSpaceDN w:val="0"/>
        <w:spacing w:after="120" w:line="276" w:lineRule="auto"/>
        <w:ind w:left="0" w:firstLine="0"/>
        <w:jc w:val="both"/>
        <w:rPr>
          <w:rFonts w:ascii="Verdana" w:hAnsi="Verdana" w:cs="Arial"/>
        </w:rPr>
      </w:pPr>
      <w:r w:rsidRPr="008C530F">
        <w:rPr>
          <w:rFonts w:ascii="Verdana" w:hAnsi="Verdana" w:cs="Arial"/>
        </w:rPr>
        <w:t>Consejo de Estado. Sala de Consulta y Servicio Civil, Concepto de 8 de mayo de 2018. Radicación Número: 11001-03-06-000-2018-00095-00(2382). Consejero Ponente: Álvaro Namén Vargas.</w:t>
      </w:r>
    </w:p>
    <w:p w14:paraId="5507507D" w14:textId="77777777" w:rsidR="008C530F" w:rsidRPr="008C530F" w:rsidRDefault="008C530F" w:rsidP="008C530F">
      <w:pPr>
        <w:pStyle w:val="Prrafodelista"/>
        <w:widowControl w:val="0"/>
        <w:numPr>
          <w:ilvl w:val="0"/>
          <w:numId w:val="16"/>
        </w:numPr>
        <w:pBdr>
          <w:top w:val="single" w:sz="4" w:space="1" w:color="auto"/>
          <w:left w:val="single" w:sz="4" w:space="4" w:color="auto"/>
          <w:bottom w:val="single" w:sz="4" w:space="1" w:color="auto"/>
          <w:right w:val="single" w:sz="4" w:space="4" w:color="auto"/>
        </w:pBdr>
        <w:autoSpaceDE w:val="0"/>
        <w:autoSpaceDN w:val="0"/>
        <w:spacing w:after="120" w:line="276" w:lineRule="auto"/>
        <w:ind w:left="0" w:firstLine="0"/>
        <w:jc w:val="both"/>
        <w:rPr>
          <w:rFonts w:ascii="Verdana" w:hAnsi="Verdana" w:cs="Arial"/>
        </w:rPr>
      </w:pPr>
      <w:r w:rsidRPr="008C530F">
        <w:rPr>
          <w:rFonts w:ascii="Verdana" w:hAnsi="Verdana" w:cs="Arial"/>
        </w:rPr>
        <w:t>Consejo de Estado. Sala de Consulta y Servicio Civil. Concepto del 08 de mayo de 2018. Exp. 2.382. C.P. Álvaro Namén Vargas.</w:t>
      </w:r>
    </w:p>
    <w:p w14:paraId="14A7A27B" w14:textId="77777777" w:rsidR="008C530F" w:rsidRPr="008C530F" w:rsidRDefault="008C530F" w:rsidP="008C530F">
      <w:pPr>
        <w:pStyle w:val="Prrafodelista"/>
        <w:widowControl w:val="0"/>
        <w:numPr>
          <w:ilvl w:val="0"/>
          <w:numId w:val="16"/>
        </w:numPr>
        <w:pBdr>
          <w:top w:val="single" w:sz="4" w:space="1" w:color="auto"/>
          <w:left w:val="single" w:sz="4" w:space="4" w:color="auto"/>
          <w:bottom w:val="single" w:sz="4" w:space="1" w:color="auto"/>
          <w:right w:val="single" w:sz="4" w:space="4" w:color="auto"/>
        </w:pBdr>
        <w:autoSpaceDE w:val="0"/>
        <w:autoSpaceDN w:val="0"/>
        <w:spacing w:after="120" w:line="276" w:lineRule="auto"/>
        <w:ind w:left="0" w:firstLine="0"/>
        <w:jc w:val="both"/>
        <w:rPr>
          <w:rFonts w:ascii="Verdana" w:hAnsi="Verdana" w:cs="Arial"/>
        </w:rPr>
      </w:pPr>
      <w:r w:rsidRPr="008C530F">
        <w:rPr>
          <w:rFonts w:ascii="Verdana" w:hAnsi="Verdana" w:cs="Arial"/>
        </w:rPr>
        <w:t>Consejo de Estado. Sección Tercera. Sentencia de 3 de diciembre de 2007. Radicados: 24.715, 25.206, 25.409, 24.524, 27.834, 25.410, 26.105, 28.244, 31.447 -acumulados-”.</w:t>
      </w:r>
    </w:p>
    <w:p w14:paraId="7E10FEB4" w14:textId="77777777" w:rsidR="008C530F" w:rsidRPr="008C530F" w:rsidRDefault="008C530F" w:rsidP="008C530F">
      <w:pPr>
        <w:pStyle w:val="Prrafodelista"/>
        <w:widowControl w:val="0"/>
        <w:numPr>
          <w:ilvl w:val="0"/>
          <w:numId w:val="16"/>
        </w:numPr>
        <w:pBdr>
          <w:top w:val="single" w:sz="4" w:space="1" w:color="auto"/>
          <w:left w:val="single" w:sz="4" w:space="4" w:color="auto"/>
          <w:bottom w:val="single" w:sz="4" w:space="1" w:color="auto"/>
          <w:right w:val="single" w:sz="4" w:space="4" w:color="auto"/>
        </w:pBdr>
        <w:autoSpaceDE w:val="0"/>
        <w:autoSpaceDN w:val="0"/>
        <w:spacing w:after="120" w:line="276" w:lineRule="auto"/>
        <w:ind w:left="0" w:firstLine="0"/>
        <w:jc w:val="both"/>
        <w:rPr>
          <w:rFonts w:ascii="Verdana" w:hAnsi="Verdana" w:cs="Arial"/>
        </w:rPr>
      </w:pPr>
      <w:r w:rsidRPr="008C530F">
        <w:rPr>
          <w:rFonts w:ascii="Verdana" w:hAnsi="Verdana" w:cs="Arial"/>
        </w:rPr>
        <w:t xml:space="preserve">Consejo de Estado, Sala de Consulta y Servicio Civil, Concepto 1712 de 2 de febrero de 2006. </w:t>
      </w:r>
    </w:p>
    <w:p w14:paraId="6D083E2B" w14:textId="77777777" w:rsidR="008C530F" w:rsidRPr="008C530F" w:rsidRDefault="008C530F" w:rsidP="008C530F">
      <w:pPr>
        <w:pStyle w:val="Prrafodelista"/>
        <w:widowControl w:val="0"/>
        <w:numPr>
          <w:ilvl w:val="0"/>
          <w:numId w:val="16"/>
        </w:numPr>
        <w:pBdr>
          <w:top w:val="single" w:sz="4" w:space="1" w:color="auto"/>
          <w:left w:val="single" w:sz="4" w:space="4" w:color="auto"/>
          <w:bottom w:val="single" w:sz="4" w:space="1" w:color="auto"/>
          <w:right w:val="single" w:sz="4" w:space="4" w:color="auto"/>
        </w:pBdr>
        <w:autoSpaceDE w:val="0"/>
        <w:autoSpaceDN w:val="0"/>
        <w:spacing w:after="120" w:line="276" w:lineRule="auto"/>
        <w:ind w:left="0" w:firstLine="0"/>
        <w:jc w:val="both"/>
        <w:rPr>
          <w:rFonts w:ascii="Verdana" w:hAnsi="Verdana" w:cs="Arial"/>
        </w:rPr>
      </w:pPr>
      <w:r w:rsidRPr="008C530F">
        <w:rPr>
          <w:rFonts w:ascii="Verdana" w:hAnsi="Verdana" w:cs="Arial"/>
        </w:rPr>
        <w:t>Consejo de Estado. Sala de Consulta y Servicio Civil. Concepto del 2 de septiembre de 2013. Radicación número: 11001-03-06-000-2013-00412-00 (2168). Consejero Ponente: Álvaro Namén Vargas.</w:t>
      </w:r>
    </w:p>
    <w:p w14:paraId="77CED007" w14:textId="2460A358" w:rsidR="00A306D9" w:rsidRPr="008C530F" w:rsidRDefault="008C530F" w:rsidP="008C530F">
      <w:pPr>
        <w:pStyle w:val="Prrafodelista"/>
        <w:widowControl w:val="0"/>
        <w:numPr>
          <w:ilvl w:val="0"/>
          <w:numId w:val="16"/>
        </w:numPr>
        <w:pBdr>
          <w:top w:val="single" w:sz="4" w:space="1" w:color="auto"/>
          <w:left w:val="single" w:sz="4" w:space="4" w:color="auto"/>
          <w:bottom w:val="single" w:sz="4" w:space="1" w:color="auto"/>
          <w:right w:val="single" w:sz="4" w:space="4" w:color="auto"/>
        </w:pBdr>
        <w:tabs>
          <w:tab w:val="left" w:pos="8419"/>
        </w:tabs>
        <w:autoSpaceDE w:val="0"/>
        <w:autoSpaceDN w:val="0"/>
        <w:spacing w:after="120" w:line="276" w:lineRule="auto"/>
        <w:ind w:left="0" w:firstLine="0"/>
        <w:contextualSpacing w:val="0"/>
        <w:jc w:val="both"/>
        <w:rPr>
          <w:rFonts w:ascii="Verdana" w:hAnsi="Verdana" w:cs="Arial"/>
        </w:rPr>
      </w:pPr>
      <w:r w:rsidRPr="008C530F">
        <w:rPr>
          <w:rFonts w:ascii="Verdana" w:hAnsi="Verdana" w:cs="Arial"/>
        </w:rPr>
        <w:t xml:space="preserve">Colombia Compra Eficiente, Circular Externa Única. Disponible en: </w:t>
      </w:r>
      <w:hyperlink r:id="rId13" w:history="1">
        <w:r w:rsidRPr="008C530F">
          <w:rPr>
            <w:rStyle w:val="Hipervnculo"/>
            <w:rFonts w:ascii="Verdana" w:hAnsi="Verdana" w:cs="Arial"/>
          </w:rPr>
          <w:t>https://colombiacompra.gov.co/sites/cce_public/files/cce_circulares/cce-eicp-ma-06_circular_externa_con_comentarios_de_ciudadanos-_v2f_002.pdf</w:t>
        </w:r>
      </w:hyperlink>
    </w:p>
    <w:p w14:paraId="6CF168D9" w14:textId="77777777" w:rsidR="00F76A54" w:rsidRPr="00E3042D" w:rsidRDefault="00F76A54" w:rsidP="00CF3227">
      <w:pPr>
        <w:spacing w:after="120" w:line="276" w:lineRule="auto"/>
        <w:ind w:firstLine="709"/>
        <w:contextualSpacing/>
        <w:jc w:val="both"/>
        <w:rPr>
          <w:rFonts w:ascii="Verdana" w:eastAsia="Calibri" w:hAnsi="Verdana" w:cs="Arial"/>
        </w:rPr>
      </w:pPr>
    </w:p>
    <w:p w14:paraId="0678FF9C" w14:textId="77777777" w:rsidR="001C3580" w:rsidRDefault="001C3580" w:rsidP="00CF3227">
      <w:pPr>
        <w:spacing w:after="120" w:line="276" w:lineRule="auto"/>
        <w:ind w:firstLine="709"/>
        <w:contextualSpacing/>
        <w:jc w:val="both"/>
        <w:rPr>
          <w:rFonts w:ascii="Verdana" w:eastAsia="Calibri" w:hAnsi="Verdana" w:cs="Arial"/>
          <w:lang w:val="es-MX"/>
        </w:rPr>
      </w:pPr>
    </w:p>
    <w:p w14:paraId="3DE0E260" w14:textId="6B61E09E" w:rsidR="00F232DE" w:rsidRDefault="008C530F" w:rsidP="008C530F">
      <w:pPr>
        <w:spacing w:after="120" w:line="276" w:lineRule="auto"/>
        <w:contextualSpacing/>
        <w:jc w:val="both"/>
        <w:rPr>
          <w:rFonts w:ascii="Verdana" w:eastAsia="Calibri" w:hAnsi="Verdana" w:cs="Arial"/>
          <w:lang w:val="es-MX"/>
        </w:rPr>
      </w:pPr>
      <w:r>
        <w:rPr>
          <w:rFonts w:ascii="Verdana" w:eastAsia="Calibri" w:hAnsi="Verdana" w:cs="Arial"/>
          <w:lang w:val="es-MX"/>
        </w:rPr>
        <w:t xml:space="preserve">5. Doctrina de la Agencia Nacional de Contratación Pública: </w:t>
      </w:r>
    </w:p>
    <w:p w14:paraId="1838C2E8" w14:textId="77777777" w:rsidR="008C530F" w:rsidRDefault="008C530F" w:rsidP="008C530F">
      <w:pPr>
        <w:spacing w:after="120" w:line="276" w:lineRule="auto"/>
        <w:contextualSpacing/>
        <w:jc w:val="both"/>
        <w:rPr>
          <w:rFonts w:ascii="Verdana" w:eastAsia="Calibri" w:hAnsi="Verdana" w:cs="Arial"/>
          <w:lang w:val="es-MX"/>
        </w:rPr>
      </w:pPr>
    </w:p>
    <w:p w14:paraId="627C22FC" w14:textId="5CCA08A0" w:rsidR="00FC1092" w:rsidRPr="00CC5C68" w:rsidRDefault="00FC1092" w:rsidP="00FC1092">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CC5C68">
        <w:rPr>
          <w:rFonts w:ascii="Verdana" w:eastAsia="Calibri" w:hAnsi="Verdana" w:cs="Arial"/>
          <w:lang w:val="es-ES_tradnl" w:eastAsia="es-ES_tradnl"/>
        </w:rPr>
        <w:t xml:space="preserve">Sobre </w:t>
      </w:r>
      <w:r>
        <w:rPr>
          <w:rFonts w:ascii="Verdana" w:eastAsia="Calibri" w:hAnsi="Verdana" w:cs="Arial"/>
          <w:lang w:val="es-ES_tradnl" w:eastAsia="es-ES_tradnl"/>
        </w:rPr>
        <w:t>las restricciones de la Ley de Garantías Electorales</w:t>
      </w:r>
      <w:r w:rsidRPr="00CC5C68">
        <w:rPr>
          <w:rFonts w:ascii="Verdana" w:eastAsia="Calibri" w:hAnsi="Verdana" w:cs="Arial"/>
          <w:lang w:val="es-ES_tradnl" w:eastAsia="es-ES_tradnl"/>
        </w:rPr>
        <w:t>, se pronunció esta Subdirección en los</w:t>
      </w:r>
      <w:r>
        <w:rPr>
          <w:rFonts w:ascii="Verdana" w:eastAsia="Calibri" w:hAnsi="Verdana" w:cs="Arial"/>
          <w:lang w:val="es-ES_tradnl" w:eastAsia="es-ES_tradnl"/>
        </w:rPr>
        <w:t xml:space="preserve"> conceptos</w:t>
      </w:r>
      <w:r w:rsidRPr="00CC5C68">
        <w:rPr>
          <w:rFonts w:ascii="Verdana" w:eastAsia="Calibri" w:hAnsi="Verdana" w:cs="Arial"/>
          <w:lang w:val="es-ES_tradnl" w:eastAsia="es-ES_tradnl"/>
        </w:rPr>
        <w:t xml:space="preserve"> </w:t>
      </w:r>
      <w:r w:rsidRPr="00F02C5A">
        <w:rPr>
          <w:rStyle w:val="normaltextrun"/>
          <w:rFonts w:ascii="Verdana" w:hAnsi="Verdana" w:cs="Arial"/>
          <w:color w:val="000000"/>
          <w:shd w:val="clear" w:color="auto" w:fill="FFFFFF"/>
          <w:lang w:val="es-ES"/>
        </w:rPr>
        <w:t xml:space="preserve">C-074 del 17 de marzo de 2021, C-075 del 16 de marzo de 2021, C-227 de 2021 del 5 de mayo de 2021, C-259 del 2 de junio de 2021, C-296 del 22 de junio de 2021, C-337 del 13 de julio de 2021, C-350 del 16 de julio de 2021, C-352 del 27 de julio de 2021, C-374 del 16 de septiembre de 2021, C-381 del 2 de agosto de 2021, C-391 del 11 de agosto de 2021, C-396 del 13 de agosto de 2021, C-401 del 10 de agosto de 2021, C-413 del 17 de agosto de 2021, C-439  del 27 de agosto de 2021, C-456 del 3 de septiembre de 2021, C-481 del 98 de septiembre de 2021, C-495 del 15 de septiembre de 2021, C-497 del 15 de septiembre de 2021, C-499 del 15 de septiembre de 2021, C-523 del 10 de octubre de 2021, C-528 del 27 de septiembre de 2021, C-543 del 9 de noviembre de 2021, C-550 del 5 de octubre de 2021, C-557 del 7 de octubre de 2021, C-563 del 8 de octubre de 2021, C-606 del 3 de noviembre de 2021, C-614 del 2 de noviembre de 2021, C-633 del 11 de noviembre de 2021, C-634 del 11 de noviembre de 2021, C-636 del 16 de noviembre de 2021, C-674 del 6 de diciembre de 2021, C-675 del 6 de enero de 2022, C-677 del 4 de diciembre de 2021, C-695 del 22 de diciembre de 2021, C-699 del 6 de enero de 2022, C-700 del 6 de enero de 2021, C-723 del 28 de diciembre de 2021, </w:t>
      </w:r>
      <w:r w:rsidRPr="00F02C5A">
        <w:rPr>
          <w:rStyle w:val="normaltextrun"/>
          <w:rFonts w:ascii="Verdana" w:hAnsi="Verdana" w:cs="Arial"/>
          <w:color w:val="000000"/>
          <w:shd w:val="clear" w:color="auto" w:fill="FFFFFF"/>
        </w:rPr>
        <w:t>C-715 del 21 de enero de 2022, C-718 del 24 de enero de 2022 y C-726 del 24 de enero de 2022, C-002 del 15 de febrero de 2022, C–005 del 16 de febrero de 2022, C-009 del 15 de febrero de 2022, C-014 del 18 de febrero de 2022, C-022 del 21 de febrero de 2022, C-023 del 22 de febrero de 2022, C-008 del 24 de febrero de 2022, C-045 del 3 de marzo de 2022, C-054 del 7 de marzo de 2022, C-064 del 8 de marzo de 2022, C-072 del 11 de marzo de 2022, C-109 del 14 de marzo de 2022, C-073 del 14 de marzo de 2022, C-075 del 10 de marzo de 2022, C-077 del 17 de marzo de 2022, C-092 del 16 de marzo de 2022, C-094 del 16 de marzo de 2022, C-096 del 22 de marzo de 2022, C-097 del 18 de marzo de 2022, C-098 del 9 de marzo de 2022, C-099 del 22 de marzo de 2022, C-102 del 22 de marzo de 2022, C-107 del 18 de marzo de 2022, C-111 del 22 de marzo de 2022. C-115 del 22 de marzo de 2022, C-116 del 18 de marzo de 2022, C-127 del 22 de marzo de 2022, C-134 del 1° de abril de 2022, C-164 del 22 de marzo de 2022, C-170 del 5 de abril de 2022, C-175 del 17 de mayo de 2022, C-329 del 24 de mayo de 2022, C-027 del 22 de marzo de 2023, C-049 del 13 de abril de 2023, C-075 del 25 de abril de 2023, C-076 del 25 de abril de 2023, C-098 del 4 de mayo de 2023, C-105 del 14 de junio de 2023, C-107 del 8 de mayo de 2023, C-115 del 8 de junio de 2023, C-116 del 8 de junio de 2023, C-118 del 9 de junio de 2023, C-134 del 26 de mayo de 2023, C-145 del 18 de mayo de 2023</w:t>
      </w:r>
      <w:r>
        <w:rPr>
          <w:rStyle w:val="normaltextrun"/>
          <w:rFonts w:ascii="Verdana" w:hAnsi="Verdana" w:cs="Arial"/>
          <w:color w:val="000000"/>
          <w:shd w:val="clear" w:color="auto" w:fill="FFFFFF"/>
        </w:rPr>
        <w:t xml:space="preserve">, </w:t>
      </w:r>
      <w:r w:rsidRPr="00F02C5A">
        <w:rPr>
          <w:rStyle w:val="normaltextrun"/>
          <w:rFonts w:ascii="Verdana" w:hAnsi="Verdana" w:cs="Arial"/>
          <w:color w:val="000000"/>
          <w:shd w:val="clear" w:color="auto" w:fill="FFFFFF"/>
        </w:rPr>
        <w:t>C-149 del 1° de junio de 2023</w:t>
      </w:r>
      <w:r>
        <w:rPr>
          <w:rStyle w:val="normaltextrun"/>
          <w:rFonts w:ascii="Verdana" w:hAnsi="Verdana" w:cs="Arial"/>
          <w:color w:val="000000"/>
          <w:shd w:val="clear" w:color="auto" w:fill="FFFFFF"/>
        </w:rPr>
        <w:t>, C-345 del 14 de julio de 2023, C-317 del 25 de abril de 2025</w:t>
      </w:r>
      <w:r w:rsidR="002E5397">
        <w:rPr>
          <w:rStyle w:val="normaltextrun"/>
          <w:rFonts w:ascii="Verdana" w:hAnsi="Verdana" w:cs="Arial"/>
          <w:color w:val="000000"/>
          <w:shd w:val="clear" w:color="auto" w:fill="FFFFFF"/>
        </w:rPr>
        <w:t>,</w:t>
      </w:r>
      <w:r>
        <w:rPr>
          <w:rStyle w:val="normaltextrun"/>
          <w:rFonts w:ascii="Verdana" w:hAnsi="Verdana" w:cs="Arial"/>
          <w:color w:val="000000"/>
          <w:shd w:val="clear" w:color="auto" w:fill="FFFFFF"/>
        </w:rPr>
        <w:t xml:space="preserve"> C-584 del 24 de junio de 2025</w:t>
      </w:r>
      <w:r w:rsidR="002E5397">
        <w:rPr>
          <w:rStyle w:val="normaltextrun"/>
          <w:rFonts w:ascii="Verdana" w:hAnsi="Verdana" w:cs="Arial"/>
          <w:color w:val="000000"/>
          <w:shd w:val="clear" w:color="auto" w:fill="FFFFFF"/>
        </w:rPr>
        <w:t xml:space="preserve"> y C-969 del 25 de septiembre de 2025</w:t>
      </w:r>
      <w:r w:rsidRPr="00CC5C68">
        <w:rPr>
          <w:rFonts w:ascii="Verdana" w:eastAsia="Calibri" w:hAnsi="Verdana" w:cs="Arial"/>
          <w:lang w:val="es-ES_tradnl" w:eastAsia="es-ES_tradnl"/>
        </w:rPr>
        <w:t xml:space="preserve">. </w:t>
      </w:r>
      <w:r w:rsidRPr="00CC5C68">
        <w:rPr>
          <w:rFonts w:ascii="Verdana" w:eastAsia="Calibri" w:hAnsi="Verdana" w:cs="Arial"/>
          <w:lang w:val="es-ES" w:eastAsia="es-ES_tradnl"/>
        </w:rPr>
        <w:t>Estos</w:t>
      </w:r>
      <w:r w:rsidRPr="00CC5C68">
        <w:rPr>
          <w:rFonts w:ascii="Verdana" w:hAnsi="Verdana"/>
        </w:rPr>
        <w:t xml:space="preserve"> y otros conceptos se encuentran disponibles para consulta en el Sistema de relatoría de la Agencia, al cual se puede acceder a través del siguiente enlace:</w:t>
      </w:r>
      <w:r w:rsidRPr="00CC5C68">
        <w:rPr>
          <w:rStyle w:val="normaltextrun"/>
          <w:rFonts w:ascii="Verdana" w:hAnsi="Verdana" w:cs="Arial"/>
          <w:shd w:val="clear" w:color="auto" w:fill="FFFFFF"/>
          <w:lang w:val="es-ES"/>
        </w:rPr>
        <w:t xml:space="preserve"> </w:t>
      </w:r>
      <w:hyperlink r:id="rId14" w:history="1">
        <w:r w:rsidRPr="00CC5C68">
          <w:rPr>
            <w:rStyle w:val="Hipervnculo"/>
            <w:rFonts w:ascii="Verdana" w:hAnsi="Verdana" w:cs="Arial"/>
            <w:shd w:val="clear" w:color="auto" w:fill="FFFFFF"/>
            <w:lang w:val="es-ES"/>
          </w:rPr>
          <w:t>https://relatoria.colombiacompra.gov.co/busqueda/conceptos</w:t>
        </w:r>
      </w:hyperlink>
    </w:p>
    <w:p w14:paraId="324980BA" w14:textId="77777777" w:rsidR="008C530F" w:rsidRDefault="008C530F" w:rsidP="008C530F">
      <w:pPr>
        <w:spacing w:after="120" w:line="276" w:lineRule="auto"/>
        <w:contextualSpacing/>
        <w:jc w:val="both"/>
        <w:rPr>
          <w:rFonts w:ascii="Verdana" w:eastAsia="Calibri" w:hAnsi="Verdana" w:cs="Arial"/>
          <w:lang w:val="es-ES"/>
        </w:rPr>
      </w:pPr>
    </w:p>
    <w:p w14:paraId="1522CA20" w14:textId="77777777" w:rsidR="006A65B9" w:rsidRPr="009A385A" w:rsidRDefault="006A65B9" w:rsidP="006A65B9">
      <w:pPr>
        <w:spacing w:after="0" w:line="276" w:lineRule="auto"/>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5" w:tgtFrame="_new" w:history="1">
        <w:r w:rsidRPr="009A385A">
          <w:rPr>
            <w:rStyle w:val="Hipervnculo"/>
            <w:rFonts w:ascii="Verdana" w:hAnsi="Verdana"/>
          </w:rPr>
          <w:t>https://formacionvirtual.colombiacompra.gov.co/mod/page/view.php?id=3718</w:t>
        </w:r>
      </w:hyperlink>
    </w:p>
    <w:p w14:paraId="72B0E345" w14:textId="77777777" w:rsidR="006A65B9" w:rsidRDefault="006A65B9" w:rsidP="006A65B9">
      <w:pPr>
        <w:spacing w:after="0" w:line="276" w:lineRule="auto"/>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6" w:tgtFrame="_new" w:history="1">
        <w:r w:rsidRPr="00635F16">
          <w:rPr>
            <w:rStyle w:val="Hipervnculo"/>
            <w:rFonts w:ascii="Verdana" w:hAnsi="Verdana"/>
          </w:rPr>
          <w:t>https://www.colombiacompra.gov.co/normativa-y-relatoria/documentos-tipo</w:t>
        </w:r>
      </w:hyperlink>
    </w:p>
    <w:p w14:paraId="070BD05F" w14:textId="77777777" w:rsidR="006A65B9" w:rsidRPr="00C25CDD" w:rsidRDefault="006A65B9" w:rsidP="006A65B9">
      <w:pPr>
        <w:spacing w:after="0" w:line="276" w:lineRule="auto"/>
        <w:jc w:val="both"/>
        <w:rPr>
          <w:rFonts w:ascii="Verdana" w:hAnsi="Verdana"/>
        </w:rPr>
      </w:pPr>
    </w:p>
    <w:p w14:paraId="6B457B31" w14:textId="77777777" w:rsidR="006A65B9" w:rsidRDefault="006A65B9" w:rsidP="006A65B9">
      <w:pPr>
        <w:spacing w:after="0" w:line="276" w:lineRule="auto"/>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7"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6393E6DB" w14:textId="77777777" w:rsidR="006A65B9" w:rsidRPr="00605E0D" w:rsidRDefault="006A65B9" w:rsidP="006A65B9">
      <w:pPr>
        <w:spacing w:after="0" w:line="276" w:lineRule="auto"/>
        <w:jc w:val="both"/>
        <w:rPr>
          <w:rFonts w:ascii="Verdana" w:hAnsi="Verdana"/>
        </w:rPr>
      </w:pPr>
      <w:r w:rsidRPr="00284526">
        <w:rPr>
          <w:rFonts w:ascii="Verdana" w:hAnsi="Verdana" w:cs="Arial"/>
          <w:shd w:val="clear" w:color="auto" w:fill="FFFFFF"/>
        </w:rPr>
        <w:t xml:space="preserve">Por último, lo invitamos a seguirnos en las redes sociales en las cuales se difunde información institucional: </w:t>
      </w:r>
    </w:p>
    <w:p w14:paraId="3C0C5AAB" w14:textId="77777777" w:rsidR="006A65B9" w:rsidRPr="00284526" w:rsidRDefault="006A65B9" w:rsidP="006A65B9">
      <w:pPr>
        <w:spacing w:after="0" w:line="276" w:lineRule="auto"/>
        <w:jc w:val="both"/>
        <w:rPr>
          <w:rFonts w:ascii="Verdana" w:hAnsi="Verdana" w:cs="Arial"/>
          <w:shd w:val="clear" w:color="auto" w:fill="FFFFFF"/>
        </w:rPr>
      </w:pPr>
    </w:p>
    <w:p w14:paraId="40FF164E" w14:textId="77777777" w:rsidR="006A65B9" w:rsidRPr="00284526" w:rsidRDefault="006A65B9" w:rsidP="006A65B9">
      <w:pPr>
        <w:spacing w:after="0" w:line="276" w:lineRule="auto"/>
        <w:jc w:val="both"/>
        <w:rPr>
          <w:rFonts w:ascii="Verdana" w:hAnsi="Verdana" w:cs="Arial"/>
          <w:shd w:val="clear" w:color="auto" w:fill="FFFFFF"/>
        </w:rPr>
      </w:pPr>
      <w:r w:rsidRPr="00284526">
        <w:rPr>
          <w:rFonts w:ascii="Verdana" w:hAnsi="Verdana" w:cs="Arial"/>
          <w:shd w:val="clear" w:color="auto" w:fill="FFFFFF"/>
        </w:rPr>
        <w:t xml:space="preserve">Twitter: </w:t>
      </w:r>
      <w:r w:rsidRPr="00284526">
        <w:rPr>
          <w:rStyle w:val="Hipervnculo"/>
          <w:rFonts w:ascii="Verdana" w:hAnsi="Verdana"/>
          <w:lang w:val="es-ES"/>
        </w:rPr>
        <w:t xml:space="preserve">@colombiacompra </w:t>
      </w:r>
    </w:p>
    <w:p w14:paraId="1507936B" w14:textId="77777777" w:rsidR="006A65B9" w:rsidRPr="00284526" w:rsidRDefault="006A65B9" w:rsidP="006A65B9">
      <w:pPr>
        <w:spacing w:after="0" w:line="276" w:lineRule="auto"/>
        <w:jc w:val="both"/>
        <w:rPr>
          <w:rFonts w:ascii="Verdana" w:hAnsi="Verdana" w:cs="Arial"/>
          <w:shd w:val="clear" w:color="auto" w:fill="FFFFFF"/>
        </w:rPr>
      </w:pPr>
      <w:r w:rsidRPr="00284526">
        <w:rPr>
          <w:rFonts w:ascii="Verdana" w:hAnsi="Verdana" w:cs="Arial"/>
          <w:shd w:val="clear" w:color="auto" w:fill="FFFFFF"/>
        </w:rPr>
        <w:t>Facebook:</w:t>
      </w:r>
      <w:r w:rsidRPr="00284526">
        <w:rPr>
          <w:rStyle w:val="Hipervnculo"/>
          <w:rFonts w:ascii="Verdana" w:hAnsi="Verdana"/>
          <w:color w:val="auto"/>
          <w:lang w:val="es-ES"/>
        </w:rPr>
        <w:t xml:space="preserve"> </w:t>
      </w:r>
      <w:proofErr w:type="spellStart"/>
      <w:r w:rsidRPr="00284526">
        <w:rPr>
          <w:rStyle w:val="Hipervnculo"/>
          <w:rFonts w:ascii="Verdana" w:hAnsi="Verdana"/>
          <w:lang w:val="es-ES"/>
        </w:rPr>
        <w:t>ColombiaCompraEficiente</w:t>
      </w:r>
      <w:proofErr w:type="spellEnd"/>
    </w:p>
    <w:p w14:paraId="5EAF249E" w14:textId="77777777" w:rsidR="006A65B9" w:rsidRPr="00284526" w:rsidRDefault="006A65B9" w:rsidP="006A65B9">
      <w:pPr>
        <w:spacing w:after="0" w:line="276" w:lineRule="auto"/>
        <w:jc w:val="both"/>
        <w:rPr>
          <w:rFonts w:ascii="Verdana" w:hAnsi="Verdana" w:cs="Arial"/>
          <w:color w:val="0000FF"/>
          <w:shd w:val="clear" w:color="auto" w:fill="FFFFFF"/>
        </w:rPr>
      </w:pPr>
      <w:r w:rsidRPr="00284526">
        <w:rPr>
          <w:rFonts w:ascii="Verdana" w:hAnsi="Verdana" w:cs="Arial"/>
          <w:shd w:val="clear" w:color="auto" w:fill="FFFFFF"/>
        </w:rPr>
        <w:t xml:space="preserve">LinkedIn: </w:t>
      </w:r>
      <w:r w:rsidRPr="00284526">
        <w:rPr>
          <w:rStyle w:val="Hipervnculo"/>
          <w:rFonts w:ascii="Verdana" w:hAnsi="Verdana"/>
          <w:lang w:val="es-ES"/>
        </w:rPr>
        <w:t>Agencia Nacional de Contratación Pública - Colombia Compra Eficiente</w:t>
      </w:r>
      <w:r w:rsidRPr="00284526">
        <w:rPr>
          <w:rFonts w:ascii="Verdana" w:hAnsi="Verdana" w:cs="Arial"/>
          <w:color w:val="0000FF"/>
          <w:shd w:val="clear" w:color="auto" w:fill="FFFFFF"/>
        </w:rPr>
        <w:t xml:space="preserve"> </w:t>
      </w:r>
    </w:p>
    <w:p w14:paraId="001CBCCF" w14:textId="77777777" w:rsidR="006A65B9" w:rsidRPr="00284526" w:rsidRDefault="006A65B9" w:rsidP="006A65B9">
      <w:pPr>
        <w:spacing w:after="0" w:line="276" w:lineRule="auto"/>
        <w:jc w:val="both"/>
        <w:rPr>
          <w:rFonts w:ascii="Verdana" w:hAnsi="Verdana" w:cs="Arial"/>
          <w:shd w:val="clear" w:color="auto" w:fill="FFFFFF"/>
        </w:rPr>
      </w:pPr>
      <w:r w:rsidRPr="00284526">
        <w:rPr>
          <w:rFonts w:ascii="Verdana" w:hAnsi="Verdana" w:cs="Arial"/>
          <w:shd w:val="clear" w:color="auto" w:fill="FFFFFF"/>
        </w:rPr>
        <w:t xml:space="preserve">Instagram: </w:t>
      </w:r>
      <w:r w:rsidRPr="00284526">
        <w:rPr>
          <w:rStyle w:val="Hipervnculo"/>
          <w:rFonts w:ascii="Verdana" w:hAnsi="Verdana"/>
          <w:lang w:val="es-ES"/>
        </w:rPr>
        <w:t>@colombiacompraeficiente_cce</w:t>
      </w:r>
    </w:p>
    <w:p w14:paraId="69840AE4" w14:textId="77777777" w:rsidR="006A65B9" w:rsidRPr="00284526" w:rsidRDefault="006A65B9" w:rsidP="006A65B9">
      <w:pPr>
        <w:widowControl w:val="0"/>
        <w:autoSpaceDE w:val="0"/>
        <w:autoSpaceDN w:val="0"/>
        <w:spacing w:after="0" w:line="276" w:lineRule="auto"/>
        <w:jc w:val="both"/>
        <w:rPr>
          <w:rFonts w:ascii="Verdana" w:hAnsi="Verdana" w:cs="Arial"/>
          <w:lang w:val="es-ES"/>
        </w:rPr>
      </w:pPr>
    </w:p>
    <w:p w14:paraId="09A2C7CA" w14:textId="77777777" w:rsidR="006A65B9" w:rsidRPr="00284526" w:rsidRDefault="006A65B9" w:rsidP="006A65B9">
      <w:pPr>
        <w:widowControl w:val="0"/>
        <w:autoSpaceDE w:val="0"/>
        <w:autoSpaceDN w:val="0"/>
        <w:spacing w:after="0" w:line="276" w:lineRule="auto"/>
        <w:jc w:val="both"/>
        <w:rPr>
          <w:rFonts w:ascii="Verdana" w:hAnsi="Verdana" w:cs="Arial"/>
          <w:lang w:val="es-ES"/>
        </w:rPr>
      </w:pPr>
      <w:r w:rsidRPr="00284526">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4D75504" w14:textId="77777777" w:rsidR="006A65B9" w:rsidRPr="00116940" w:rsidRDefault="006A65B9" w:rsidP="006A65B9">
      <w:pPr>
        <w:spacing w:after="0" w:line="276" w:lineRule="auto"/>
        <w:jc w:val="both"/>
        <w:rPr>
          <w:rFonts w:ascii="Verdana" w:eastAsia="Verdana" w:hAnsi="Verdana" w:cs="Verdana"/>
        </w:rPr>
      </w:pPr>
    </w:p>
    <w:p w14:paraId="13E562FB" w14:textId="77777777" w:rsidR="006A65B9" w:rsidRPr="00116940" w:rsidRDefault="006A65B9" w:rsidP="006A65B9">
      <w:pPr>
        <w:spacing w:after="0" w:line="276" w:lineRule="auto"/>
        <w:rPr>
          <w:rFonts w:ascii="Verdana" w:eastAsia="Verdana" w:hAnsi="Verdana" w:cs="Verdana"/>
        </w:rPr>
      </w:pPr>
      <w:r w:rsidRPr="30821638">
        <w:rPr>
          <w:rFonts w:ascii="Verdana" w:eastAsia="Verdana" w:hAnsi="Verdana" w:cs="Verdana"/>
        </w:rPr>
        <w:t>Evalúa el servicio que ofrece la Agencia por el canal de atención de PQRSD en el siguiente enlace</w:t>
      </w:r>
      <w:r w:rsidRPr="00C25CDD">
        <w:rPr>
          <w:rFonts w:ascii="Verdana" w:eastAsia="Verdana" w:hAnsi="Verdana" w:cs="Verdana"/>
        </w:rPr>
        <w:t>:</w:t>
      </w:r>
      <w:r>
        <w:rPr>
          <w:rFonts w:ascii="Verdana" w:eastAsia="Verdana" w:hAnsi="Verdana" w:cs="Verdana"/>
        </w:rPr>
        <w:t xml:space="preserve"> </w:t>
      </w:r>
      <w:hyperlink r:id="rId18" w:history="1">
        <w:r w:rsidRPr="00C25CDD">
          <w:rPr>
            <w:rStyle w:val="Hipervnculo"/>
            <w:rFonts w:ascii="Verdana" w:eastAsia="Verdana" w:hAnsi="Verdana" w:cs="Verdana"/>
          </w:rPr>
          <w:t>https://forms.office.com/r/pPHyWVs2SZ</w:t>
        </w:r>
      </w:hyperlink>
      <w:r w:rsidRPr="30821638">
        <w:rPr>
          <w:rFonts w:ascii="Verdana" w:eastAsia="Verdana" w:hAnsi="Verdana" w:cs="Verdana"/>
        </w:rPr>
        <w:t xml:space="preserve"> .¡Ayúdanos a mejorar porque el compromiso es de todos!</w:t>
      </w:r>
    </w:p>
    <w:p w14:paraId="6212F991" w14:textId="31D934FE" w:rsidR="006A65B9" w:rsidRPr="00116940" w:rsidRDefault="006A65B9" w:rsidP="006A65B9">
      <w:pPr>
        <w:spacing w:after="0" w:line="276" w:lineRule="auto"/>
        <w:rPr>
          <w:rFonts w:ascii="Verdana" w:eastAsia="Verdana" w:hAnsi="Verdana" w:cs="Verdana"/>
        </w:rPr>
      </w:pPr>
    </w:p>
    <w:p w14:paraId="0CFD2D55" w14:textId="2C297D7A" w:rsidR="006A65B9" w:rsidRDefault="006A65B9" w:rsidP="006A65B9">
      <w:pPr>
        <w:spacing w:after="0" w:line="276" w:lineRule="auto"/>
        <w:jc w:val="both"/>
        <w:rPr>
          <w:rFonts w:ascii="Verdana" w:eastAsia="Verdana" w:hAnsi="Verdana" w:cs="Verdana"/>
          <w:lang w:val="es-MX"/>
        </w:rPr>
      </w:pPr>
      <w:r w:rsidRPr="30821638">
        <w:rPr>
          <w:rFonts w:ascii="Verdana" w:eastAsia="Verdana" w:hAnsi="Verdana" w:cs="Verdana"/>
          <w:lang w:val="es-MX"/>
        </w:rPr>
        <w:t>Cordialmente,</w:t>
      </w:r>
      <w:r>
        <w:rPr>
          <w:rFonts w:ascii="Verdana" w:eastAsia="Verdana" w:hAnsi="Verdana" w:cs="Verdana"/>
          <w:lang w:val="es-MX"/>
        </w:rPr>
        <w:t xml:space="preserve"> </w:t>
      </w:r>
    </w:p>
    <w:p w14:paraId="67C0E0CE" w14:textId="7F3E2E6E" w:rsidR="006A65B9" w:rsidRDefault="00942FFD" w:rsidP="006A65B9">
      <w:pPr>
        <w:spacing w:after="0" w:line="240" w:lineRule="auto"/>
        <w:jc w:val="both"/>
        <w:rPr>
          <w:rFonts w:ascii="Verdana" w:eastAsia="Verdana" w:hAnsi="Verdana" w:cs="Verdana"/>
          <w:lang w:val="es-MX"/>
        </w:rPr>
      </w:pPr>
      <w:r w:rsidRPr="00427CE5">
        <w:rPr>
          <w:rFonts w:ascii="Verdana" w:eastAsia="Aptos" w:hAnsi="Verdana" w:cs="Arial"/>
          <w:noProof/>
          <w:lang w:eastAsia="es-CO"/>
        </w:rPr>
        <w:drawing>
          <wp:anchor distT="0" distB="0" distL="114300" distR="114300" simplePos="0" relativeHeight="251660288" behindDoc="1" locked="0" layoutInCell="1" allowOverlap="1" wp14:anchorId="41BBE7C8" wp14:editId="6E567253">
            <wp:simplePos x="0" y="0"/>
            <wp:positionH relativeFrom="column">
              <wp:posOffset>1094105</wp:posOffset>
            </wp:positionH>
            <wp:positionV relativeFrom="paragraph">
              <wp:posOffset>151130</wp:posOffset>
            </wp:positionV>
            <wp:extent cx="3771900" cy="1137285"/>
            <wp:effectExtent l="0" t="0" r="0" b="5715"/>
            <wp:wrapTight wrapText="bothSides">
              <wp:wrapPolygon edited="0">
                <wp:start x="0" y="0"/>
                <wp:lineTo x="0" y="21347"/>
                <wp:lineTo x="21491" y="21347"/>
                <wp:lineTo x="21491" y="0"/>
                <wp:lineTo x="0" y="0"/>
              </wp:wrapPolygon>
            </wp:wrapTight>
            <wp:docPr id="1922950127"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exto&#10;&#10;Descripción generada automáticament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771900" cy="11372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D7D3140" w14:textId="197A2DDD" w:rsidR="006A65B9" w:rsidRDefault="006A65B9" w:rsidP="006A65B9">
      <w:pPr>
        <w:spacing w:after="120" w:line="276" w:lineRule="auto"/>
        <w:contextualSpacing/>
        <w:jc w:val="both"/>
        <w:rPr>
          <w:rFonts w:ascii="Verdana" w:eastAsia="Aptos" w:hAnsi="Verdana" w:cs="Arial"/>
          <w:shd w:val="clear" w:color="auto" w:fill="FFFFFF"/>
          <w:lang w:val="es-ES"/>
        </w:rPr>
      </w:pPr>
    </w:p>
    <w:p w14:paraId="76D74C19" w14:textId="77777777" w:rsidR="006A65B9" w:rsidRDefault="006A65B9" w:rsidP="006A65B9">
      <w:pPr>
        <w:spacing w:after="120" w:line="276" w:lineRule="auto"/>
        <w:contextualSpacing/>
        <w:jc w:val="both"/>
        <w:rPr>
          <w:rFonts w:ascii="Verdana" w:eastAsia="Aptos" w:hAnsi="Verdana" w:cs="Arial"/>
          <w:shd w:val="clear" w:color="auto" w:fill="FFFFFF"/>
          <w:lang w:val="es-ES"/>
        </w:rPr>
      </w:pPr>
    </w:p>
    <w:p w14:paraId="3C8F51FE" w14:textId="77777777" w:rsidR="006A65B9" w:rsidRDefault="006A65B9" w:rsidP="006A65B9">
      <w:pPr>
        <w:spacing w:after="120" w:line="276" w:lineRule="auto"/>
        <w:contextualSpacing/>
        <w:jc w:val="both"/>
        <w:rPr>
          <w:rFonts w:ascii="Verdana" w:eastAsia="Aptos" w:hAnsi="Verdana" w:cs="Arial"/>
          <w:shd w:val="clear" w:color="auto" w:fill="FFFFFF"/>
          <w:lang w:val="es-ES"/>
        </w:rPr>
      </w:pPr>
    </w:p>
    <w:p w14:paraId="6149614D" w14:textId="77777777" w:rsidR="006A65B9" w:rsidRDefault="006A65B9" w:rsidP="006A65B9">
      <w:pPr>
        <w:spacing w:after="120" w:line="276" w:lineRule="auto"/>
        <w:contextualSpacing/>
        <w:jc w:val="both"/>
        <w:rPr>
          <w:rFonts w:ascii="Verdana" w:eastAsia="Aptos" w:hAnsi="Verdana" w:cs="Arial"/>
          <w:shd w:val="clear" w:color="auto" w:fill="FFFFFF"/>
          <w:lang w:val="es-ES"/>
        </w:rPr>
      </w:pPr>
    </w:p>
    <w:p w14:paraId="5726B39E" w14:textId="77777777" w:rsidR="006A65B9" w:rsidRDefault="006A65B9" w:rsidP="006A65B9">
      <w:pPr>
        <w:spacing w:after="120" w:line="276" w:lineRule="auto"/>
        <w:contextualSpacing/>
        <w:jc w:val="both"/>
        <w:rPr>
          <w:rFonts w:ascii="Verdana" w:eastAsia="Aptos" w:hAnsi="Verdana" w:cs="Arial"/>
          <w:shd w:val="clear" w:color="auto" w:fill="FFFFFF"/>
          <w:lang w:val="es-ES"/>
        </w:rPr>
      </w:pPr>
    </w:p>
    <w:p w14:paraId="0CB8E3F3" w14:textId="77777777" w:rsidR="00ED7DB1" w:rsidRDefault="00ED7DB1" w:rsidP="006A65B9">
      <w:pPr>
        <w:spacing w:after="120" w:line="276" w:lineRule="auto"/>
        <w:contextualSpacing/>
        <w:jc w:val="both"/>
        <w:rPr>
          <w:rFonts w:ascii="Verdana" w:eastAsia="Aptos" w:hAnsi="Verdana" w:cs="Arial"/>
          <w:shd w:val="clear" w:color="auto" w:fill="FFFFFF"/>
          <w:lang w:val="es-ES"/>
        </w:rPr>
      </w:pPr>
    </w:p>
    <w:tbl>
      <w:tblPr>
        <w:tblStyle w:val="Tablaconcuadrcula"/>
        <w:tblW w:w="63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436"/>
      </w:tblGrid>
      <w:tr w:rsidR="006A65B9" w:rsidRPr="004C0111" w14:paraId="491B1FC3" w14:textId="77777777" w:rsidTr="00432403">
        <w:trPr>
          <w:trHeight w:val="622"/>
        </w:trPr>
        <w:tc>
          <w:tcPr>
            <w:tcW w:w="893" w:type="dxa"/>
            <w:vAlign w:val="center"/>
            <w:hideMark/>
          </w:tcPr>
          <w:p w14:paraId="02C59CC7" w14:textId="77777777" w:rsidR="006A65B9" w:rsidRPr="004C0111" w:rsidRDefault="006A65B9" w:rsidP="00432403">
            <w:pPr>
              <w:rPr>
                <w:rFonts w:ascii="Verdana" w:eastAsia="Calibri" w:hAnsi="Verdana" w:cs="Arial"/>
                <w:sz w:val="16"/>
                <w:szCs w:val="16"/>
                <w:lang w:val="es-ES_tradnl"/>
              </w:rPr>
            </w:pPr>
            <w:r w:rsidRPr="004C0111">
              <w:rPr>
                <w:rFonts w:ascii="Verdana" w:eastAsia="Calibri" w:hAnsi="Verdana" w:cs="Arial"/>
                <w:sz w:val="16"/>
                <w:szCs w:val="16"/>
                <w:lang w:val="es-ES_tradnl"/>
              </w:rPr>
              <w:t>Elaboró:</w:t>
            </w:r>
          </w:p>
        </w:tc>
        <w:tc>
          <w:tcPr>
            <w:tcW w:w="5436" w:type="dxa"/>
            <w:tcBorders>
              <w:top w:val="nil"/>
              <w:left w:val="nil"/>
              <w:bottom w:val="dotted" w:sz="4" w:space="0" w:color="7F7F7F" w:themeColor="text1" w:themeTint="80"/>
              <w:right w:val="nil"/>
            </w:tcBorders>
            <w:vAlign w:val="center"/>
            <w:hideMark/>
          </w:tcPr>
          <w:tbl>
            <w:tblPr>
              <w:tblW w:w="509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091"/>
            </w:tblGrid>
            <w:tr w:rsidR="006A65B9" w:rsidRPr="004C0111" w14:paraId="53448921" w14:textId="77777777" w:rsidTr="00432403">
              <w:trPr>
                <w:trHeight w:val="45"/>
              </w:trPr>
              <w:tc>
                <w:tcPr>
                  <w:tcW w:w="5091" w:type="dxa"/>
                  <w:tcBorders>
                    <w:top w:val="dotted" w:sz="6" w:space="0" w:color="7F7F7F" w:themeColor="text1" w:themeTint="80"/>
                    <w:left w:val="nil"/>
                    <w:bottom w:val="dotted" w:sz="6" w:space="0" w:color="7F7F7F" w:themeColor="text1" w:themeTint="80"/>
                    <w:right w:val="nil"/>
                  </w:tcBorders>
                  <w:vAlign w:val="center"/>
                  <w:hideMark/>
                </w:tcPr>
                <w:p w14:paraId="721C32BD" w14:textId="77777777" w:rsidR="006A65B9" w:rsidRPr="004C0111" w:rsidRDefault="006A65B9" w:rsidP="00432403">
                  <w:pPr>
                    <w:spacing w:after="0" w:line="240" w:lineRule="auto"/>
                    <w:rPr>
                      <w:rFonts w:ascii="Verdana" w:eastAsia="Times New Roman" w:hAnsi="Verdana" w:cs="Arial"/>
                      <w:sz w:val="16"/>
                      <w:szCs w:val="16"/>
                      <w:lang w:val="es-ES" w:eastAsia="es-ES"/>
                    </w:rPr>
                  </w:pPr>
                  <w:r w:rsidRPr="731A4B47">
                    <w:rPr>
                      <w:rFonts w:ascii="Verdana" w:eastAsia="Times New Roman" w:hAnsi="Verdana" w:cs="Arial"/>
                      <w:sz w:val="16"/>
                      <w:szCs w:val="16"/>
                      <w:lang w:val="es-ES" w:eastAsia="es-ES"/>
                    </w:rPr>
                    <w:t>Kelmis Yirama Brugés Alvarado</w:t>
                  </w:r>
                </w:p>
                <w:p w14:paraId="3ED3828F" w14:textId="77777777" w:rsidR="006A65B9" w:rsidRPr="004C0111" w:rsidRDefault="006A65B9" w:rsidP="00432403">
                  <w:pPr>
                    <w:spacing w:after="0" w:line="240" w:lineRule="auto"/>
                    <w:rPr>
                      <w:rFonts w:ascii="Verdana" w:eastAsia="Times New Roman" w:hAnsi="Verdana" w:cs="Arial"/>
                      <w:sz w:val="16"/>
                      <w:szCs w:val="16"/>
                      <w:lang w:val="es-MX" w:eastAsia="es-CO"/>
                    </w:rPr>
                  </w:pPr>
                  <w:r w:rsidRPr="004C0111">
                    <w:rPr>
                      <w:rFonts w:ascii="Verdana" w:eastAsia="Times New Roman" w:hAnsi="Verdana" w:cs="Arial"/>
                      <w:sz w:val="16"/>
                      <w:szCs w:val="16"/>
                      <w:lang w:eastAsia="es-ES"/>
                    </w:rPr>
                    <w:t>Analista T2-</w:t>
                  </w:r>
                  <w:r>
                    <w:rPr>
                      <w:rFonts w:ascii="Verdana" w:eastAsia="Times New Roman" w:hAnsi="Verdana" w:cs="Arial"/>
                      <w:sz w:val="16"/>
                      <w:szCs w:val="16"/>
                      <w:lang w:eastAsia="es-ES"/>
                    </w:rPr>
                    <w:t>04</w:t>
                  </w:r>
                  <w:r w:rsidRPr="004C0111">
                    <w:rPr>
                      <w:rFonts w:ascii="Verdana" w:eastAsia="Times New Roman" w:hAnsi="Verdana" w:cs="Arial"/>
                      <w:sz w:val="16"/>
                      <w:szCs w:val="16"/>
                      <w:lang w:eastAsia="es-ES"/>
                    </w:rPr>
                    <w:t xml:space="preserve"> de la Subdirección de Gestión Contractual</w:t>
                  </w:r>
                </w:p>
              </w:tc>
            </w:tr>
          </w:tbl>
          <w:p w14:paraId="074DA762" w14:textId="2B96091B" w:rsidR="006A65B9" w:rsidRPr="004C0111" w:rsidRDefault="006A65B9" w:rsidP="00432403">
            <w:pPr>
              <w:rPr>
                <w:rFonts w:ascii="Verdana" w:eastAsia="Calibri" w:hAnsi="Verdana" w:cs="Arial"/>
                <w:sz w:val="16"/>
                <w:szCs w:val="16"/>
                <w:lang w:val="es-MX"/>
              </w:rPr>
            </w:pPr>
          </w:p>
        </w:tc>
      </w:tr>
      <w:tr w:rsidR="006A65B9" w:rsidRPr="004C0111" w14:paraId="7ADB641B" w14:textId="77777777" w:rsidTr="00432403">
        <w:trPr>
          <w:trHeight w:val="330"/>
        </w:trPr>
        <w:tc>
          <w:tcPr>
            <w:tcW w:w="893" w:type="dxa"/>
            <w:vAlign w:val="center"/>
            <w:hideMark/>
          </w:tcPr>
          <w:p w14:paraId="309E486B" w14:textId="77777777" w:rsidR="006A65B9" w:rsidRPr="004C0111" w:rsidRDefault="006A65B9" w:rsidP="00432403">
            <w:pPr>
              <w:rPr>
                <w:rFonts w:ascii="Verdana" w:eastAsia="Calibri" w:hAnsi="Verdana" w:cs="Arial"/>
                <w:sz w:val="16"/>
                <w:szCs w:val="16"/>
                <w:lang w:val="es-ES_tradnl"/>
              </w:rPr>
            </w:pPr>
            <w:r w:rsidRPr="004C0111">
              <w:rPr>
                <w:rFonts w:ascii="Verdana" w:eastAsia="Calibri" w:hAnsi="Verdana" w:cs="Arial"/>
                <w:sz w:val="16"/>
                <w:szCs w:val="16"/>
                <w:lang w:val="es-ES_tradnl"/>
              </w:rPr>
              <w:t>Revisó:</w:t>
            </w:r>
          </w:p>
        </w:tc>
        <w:tc>
          <w:tcPr>
            <w:tcW w:w="5436" w:type="dxa"/>
            <w:tcBorders>
              <w:top w:val="dotted" w:sz="4" w:space="0" w:color="7F7F7F" w:themeColor="text1" w:themeTint="80"/>
              <w:left w:val="nil"/>
              <w:bottom w:val="dotted" w:sz="4" w:space="0" w:color="7F7F7F" w:themeColor="text1" w:themeTint="80"/>
              <w:right w:val="nil"/>
            </w:tcBorders>
            <w:vAlign w:val="center"/>
            <w:hideMark/>
          </w:tcPr>
          <w:p w14:paraId="434CFCC6" w14:textId="0F7606B4" w:rsidR="006A65B9" w:rsidRPr="004C0111" w:rsidRDefault="00ED7DB1" w:rsidP="00432403">
            <w:pPr>
              <w:textAlignment w:val="baseline"/>
              <w:rPr>
                <w:rFonts w:ascii="Verdana" w:eastAsia="Times New Roman" w:hAnsi="Verdana" w:cs="Arial"/>
                <w:sz w:val="16"/>
                <w:szCs w:val="16"/>
                <w:lang w:eastAsia="es-CO"/>
              </w:rPr>
            </w:pPr>
            <w:r>
              <w:rPr>
                <w:rFonts w:ascii="Verdana" w:eastAsia="Times New Roman" w:hAnsi="Verdana" w:cs="Arial"/>
                <w:sz w:val="16"/>
                <w:szCs w:val="16"/>
                <w:lang w:eastAsia="es-CO"/>
              </w:rPr>
              <w:t>Juan David Cárdenas Cabezas</w:t>
            </w:r>
          </w:p>
          <w:p w14:paraId="7B8A11D7" w14:textId="77777777" w:rsidR="006A65B9" w:rsidRPr="004C0111" w:rsidRDefault="006A65B9" w:rsidP="00432403">
            <w:pPr>
              <w:textAlignment w:val="baseline"/>
              <w:rPr>
                <w:rFonts w:ascii="Verdana" w:eastAsia="Times New Roman" w:hAnsi="Verdana" w:cs="Arial"/>
                <w:sz w:val="16"/>
                <w:szCs w:val="16"/>
                <w:lang w:val="es-MX" w:eastAsia="es-CO"/>
              </w:rPr>
            </w:pPr>
            <w:r>
              <w:rPr>
                <w:rFonts w:ascii="Verdana" w:eastAsia="Times New Roman" w:hAnsi="Verdana" w:cs="Arial"/>
                <w:sz w:val="16"/>
                <w:szCs w:val="16"/>
                <w:lang w:eastAsia="es-CO"/>
              </w:rPr>
              <w:t xml:space="preserve">Contratista </w:t>
            </w:r>
            <w:r w:rsidRPr="004C0111">
              <w:rPr>
                <w:rFonts w:ascii="Verdana" w:eastAsia="Times New Roman" w:hAnsi="Verdana" w:cs="Arial"/>
                <w:sz w:val="16"/>
                <w:szCs w:val="16"/>
                <w:lang w:eastAsia="es-CO"/>
              </w:rPr>
              <w:t>de la Subdirección de Gestión Contractual</w:t>
            </w:r>
          </w:p>
        </w:tc>
      </w:tr>
      <w:tr w:rsidR="006A65B9" w:rsidRPr="004C0111" w14:paraId="741A1162" w14:textId="77777777" w:rsidTr="00432403">
        <w:trPr>
          <w:trHeight w:val="77"/>
        </w:trPr>
        <w:tc>
          <w:tcPr>
            <w:tcW w:w="893" w:type="dxa"/>
            <w:vAlign w:val="center"/>
          </w:tcPr>
          <w:p w14:paraId="4D9C5B84" w14:textId="77777777" w:rsidR="006A65B9" w:rsidRPr="004C0111" w:rsidRDefault="006A65B9" w:rsidP="00432403">
            <w:pPr>
              <w:rPr>
                <w:rFonts w:ascii="Verdana" w:eastAsia="Calibri" w:hAnsi="Verdana" w:cs="Arial"/>
                <w:sz w:val="16"/>
                <w:szCs w:val="16"/>
                <w:lang w:val="es-ES_tradnl"/>
              </w:rPr>
            </w:pPr>
            <w:r w:rsidRPr="004C0111">
              <w:rPr>
                <w:rFonts w:ascii="Verdana" w:eastAsia="Calibri" w:hAnsi="Verdana" w:cs="Arial"/>
                <w:sz w:val="16"/>
                <w:szCs w:val="16"/>
                <w:lang w:val="es-ES_tradnl"/>
              </w:rPr>
              <w:t>Aprobó:</w:t>
            </w:r>
          </w:p>
        </w:tc>
        <w:tc>
          <w:tcPr>
            <w:tcW w:w="5436" w:type="dxa"/>
            <w:tcBorders>
              <w:top w:val="dotted" w:sz="4" w:space="0" w:color="7F7F7F" w:themeColor="text1" w:themeTint="80"/>
              <w:left w:val="nil"/>
              <w:bottom w:val="dotted" w:sz="4" w:space="0" w:color="7F7F7F" w:themeColor="text1" w:themeTint="80"/>
              <w:right w:val="nil"/>
            </w:tcBorders>
            <w:vAlign w:val="center"/>
          </w:tcPr>
          <w:p w14:paraId="026FAC9A" w14:textId="77777777" w:rsidR="006A65B9" w:rsidRPr="002F2853" w:rsidRDefault="006A65B9" w:rsidP="00432403">
            <w:pPr>
              <w:rPr>
                <w:rFonts w:ascii="Verdana" w:eastAsia="Times New Roman" w:hAnsi="Verdana" w:cs="Arial"/>
                <w:sz w:val="16"/>
                <w:szCs w:val="16"/>
                <w:lang w:eastAsia="es-ES"/>
              </w:rPr>
            </w:pPr>
            <w:r w:rsidRPr="002F2853">
              <w:rPr>
                <w:rFonts w:ascii="Verdana" w:eastAsia="Times New Roman" w:hAnsi="Verdana" w:cs="Arial"/>
                <w:sz w:val="16"/>
                <w:szCs w:val="16"/>
                <w:lang w:eastAsia="es-ES"/>
              </w:rPr>
              <w:t>Carolina Quintero Gacharná</w:t>
            </w:r>
          </w:p>
          <w:p w14:paraId="113D34AA" w14:textId="77777777" w:rsidR="006A65B9" w:rsidRPr="004C0111" w:rsidRDefault="006A65B9" w:rsidP="00432403">
            <w:pPr>
              <w:rPr>
                <w:rFonts w:ascii="Verdana" w:eastAsia="Calibri" w:hAnsi="Verdana" w:cs="Arial"/>
                <w:sz w:val="16"/>
                <w:szCs w:val="16"/>
                <w:lang w:val="es-ES_tradnl"/>
              </w:rPr>
            </w:pPr>
            <w:r w:rsidRPr="002F2853">
              <w:rPr>
                <w:rFonts w:ascii="Verdana" w:eastAsia="Times New Roman" w:hAnsi="Verdana" w:cs="Arial"/>
                <w:sz w:val="16"/>
                <w:szCs w:val="16"/>
                <w:lang w:eastAsia="es-ES"/>
              </w:rPr>
              <w:t>Subdirectora de Gestión Contractual ANCP – CCE</w:t>
            </w:r>
          </w:p>
        </w:tc>
      </w:tr>
    </w:tbl>
    <w:p w14:paraId="724A4227" w14:textId="77777777" w:rsidR="00B12CFB" w:rsidRDefault="00B12CFB" w:rsidP="30821638">
      <w:pPr>
        <w:spacing w:after="0" w:line="240" w:lineRule="auto"/>
        <w:jc w:val="both"/>
        <w:rPr>
          <w:rFonts w:ascii="Verdana" w:eastAsia="Verdana" w:hAnsi="Verdana" w:cs="Verdana"/>
          <w:lang w:val="es-MX"/>
        </w:rPr>
      </w:pPr>
    </w:p>
    <w:p w14:paraId="69BC4D14" w14:textId="0F88262E"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77E5ECB3" w14:textId="365A9CF9" w:rsidR="00C15139" w:rsidRPr="000E2B93" w:rsidRDefault="00C15139" w:rsidP="30821638">
      <w:pPr>
        <w:spacing w:after="0" w:line="240" w:lineRule="auto"/>
        <w:textAlignment w:val="baseline"/>
        <w:rPr>
          <w:rFonts w:ascii="Verdana" w:eastAsia="Verdana" w:hAnsi="Verdana" w:cs="Verdana"/>
          <w:lang w:eastAsia="es-CO"/>
        </w:rPr>
      </w:pPr>
    </w:p>
    <w:sectPr w:rsidR="00C15139" w:rsidRPr="000E2B93"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31DA9B" w14:textId="77777777" w:rsidR="0018280F" w:rsidRDefault="0018280F" w:rsidP="004A1847">
      <w:pPr>
        <w:spacing w:after="0" w:line="240" w:lineRule="auto"/>
      </w:pPr>
      <w:r>
        <w:separator/>
      </w:r>
    </w:p>
  </w:endnote>
  <w:endnote w:type="continuationSeparator" w:id="0">
    <w:p w14:paraId="667237FF" w14:textId="77777777" w:rsidR="0018280F" w:rsidRDefault="0018280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25A8FB" w14:textId="77777777" w:rsidR="0018280F" w:rsidRDefault="0018280F" w:rsidP="004A1847">
      <w:pPr>
        <w:spacing w:after="0" w:line="240" w:lineRule="auto"/>
      </w:pPr>
      <w:r>
        <w:separator/>
      </w:r>
    </w:p>
  </w:footnote>
  <w:footnote w:type="continuationSeparator" w:id="0">
    <w:p w14:paraId="1BA2A3F7" w14:textId="77777777" w:rsidR="0018280F" w:rsidRDefault="0018280F" w:rsidP="004A1847">
      <w:pPr>
        <w:spacing w:after="0" w:line="240" w:lineRule="auto"/>
      </w:pPr>
      <w:r>
        <w:continuationSeparator/>
      </w:r>
    </w:p>
  </w:footnote>
  <w:footnote w:id="1">
    <w:p w14:paraId="5862E857" w14:textId="77777777" w:rsidR="00AE4F13" w:rsidRPr="00020A5B" w:rsidRDefault="00AE4F13" w:rsidP="00AE4F13">
      <w:pPr>
        <w:pStyle w:val="Textonotapie"/>
        <w:ind w:right="51" w:firstLine="709"/>
        <w:contextualSpacing/>
        <w:jc w:val="both"/>
        <w:rPr>
          <w:rFonts w:ascii="Verdana" w:hAnsi="Verdana" w:cs="Arial"/>
          <w:sz w:val="16"/>
          <w:szCs w:val="16"/>
        </w:rPr>
      </w:pPr>
      <w:r w:rsidRPr="00020A5B">
        <w:rPr>
          <w:rStyle w:val="Refdenotaalpie"/>
          <w:rFonts w:ascii="Verdana" w:hAnsi="Verdana" w:cs="Arial"/>
          <w:sz w:val="16"/>
          <w:szCs w:val="16"/>
        </w:rPr>
        <w:footnoteRef/>
      </w:r>
      <w:r w:rsidRPr="00020A5B">
        <w:rPr>
          <w:rFonts w:ascii="Verdana" w:hAnsi="Verdana" w:cs="Arial"/>
          <w:sz w:val="16"/>
          <w:szCs w:val="16"/>
        </w:rPr>
        <w:t xml:space="preserve"> “</w:t>
      </w:r>
      <w:r w:rsidRPr="00020A5B">
        <w:rPr>
          <w:rFonts w:ascii="Verdana" w:hAnsi="Verdana" w:cs="Arial"/>
          <w:sz w:val="16"/>
          <w:szCs w:val="16"/>
          <w:lang w:val="es-ES"/>
        </w:rPr>
        <w:t xml:space="preserve">[25] </w:t>
      </w:r>
      <w:r w:rsidRPr="00020A5B">
        <w:rPr>
          <w:rFonts w:ascii="Verdana" w:hAnsi="Verdana" w:cs="Arial"/>
          <w:sz w:val="16"/>
          <w:szCs w:val="16"/>
        </w:rPr>
        <w:t>Cfr. Consejo de Estado. Sección Tercera. Sentencia de 3 de diciembre de 2007. Radicados: 24.715, 25.206, 25.409, 24.524, 27.834, 25.410, 26.105, 28.244, 31.447 -acumulados-”.</w:t>
      </w:r>
    </w:p>
    <w:p w14:paraId="65783CAD" w14:textId="77777777" w:rsidR="00AE4F13" w:rsidRPr="00020A5B" w:rsidRDefault="00AE4F13" w:rsidP="00AE4F13">
      <w:pPr>
        <w:pStyle w:val="Textonotapie"/>
        <w:ind w:right="51" w:firstLine="709"/>
        <w:contextualSpacing/>
        <w:jc w:val="both"/>
        <w:rPr>
          <w:rFonts w:ascii="Verdana" w:hAnsi="Verdana" w:cs="Arial"/>
          <w:sz w:val="16"/>
          <w:szCs w:val="16"/>
        </w:rPr>
      </w:pPr>
    </w:p>
  </w:footnote>
  <w:footnote w:id="2">
    <w:p w14:paraId="50BCA857" w14:textId="77777777" w:rsidR="00AE4F13" w:rsidRPr="00020A5B" w:rsidRDefault="00AE4F13" w:rsidP="00AE4F13">
      <w:pPr>
        <w:pStyle w:val="Textonotapie"/>
        <w:ind w:right="51" w:firstLine="709"/>
        <w:contextualSpacing/>
        <w:jc w:val="both"/>
        <w:rPr>
          <w:rFonts w:ascii="Verdana" w:hAnsi="Verdana" w:cs="Arial"/>
          <w:sz w:val="16"/>
          <w:szCs w:val="16"/>
        </w:rPr>
      </w:pPr>
      <w:r w:rsidRPr="00020A5B">
        <w:rPr>
          <w:rStyle w:val="Refdenotaalpie"/>
          <w:rFonts w:ascii="Verdana" w:hAnsi="Verdana" w:cs="Arial"/>
          <w:sz w:val="16"/>
          <w:szCs w:val="16"/>
        </w:rPr>
        <w:footnoteRef/>
      </w:r>
      <w:r w:rsidRPr="00020A5B">
        <w:rPr>
          <w:rFonts w:ascii="Verdana" w:hAnsi="Verdana" w:cs="Arial"/>
          <w:sz w:val="16"/>
          <w:szCs w:val="16"/>
        </w:rPr>
        <w:t xml:space="preserve"> </w:t>
      </w:r>
      <w:bookmarkStart w:id="2" w:name="_Hlk74294506"/>
      <w:r w:rsidRPr="00020A5B">
        <w:rPr>
          <w:rFonts w:ascii="Verdana" w:hAnsi="Verdana" w:cs="Arial"/>
          <w:sz w:val="16"/>
          <w:szCs w:val="16"/>
        </w:rPr>
        <w:t>“</w:t>
      </w:r>
      <w:r w:rsidRPr="00020A5B">
        <w:rPr>
          <w:rFonts w:ascii="Verdana" w:hAnsi="Verdana" w:cs="Arial"/>
          <w:sz w:val="16"/>
          <w:szCs w:val="16"/>
          <w:lang w:val="es-ES"/>
        </w:rPr>
        <w:t xml:space="preserve">[26] </w:t>
      </w:r>
      <w:bookmarkEnd w:id="2"/>
      <w:r w:rsidRPr="00020A5B">
        <w:rPr>
          <w:rFonts w:ascii="Verdana" w:hAnsi="Verdana" w:cs="Arial"/>
          <w:sz w:val="16"/>
          <w:szCs w:val="16"/>
        </w:rPr>
        <w:t>Al respecto ver el concepto 1712 de 2 de febrero de 2006. Consejo de Estado Sala de Consulta y Servicio Civil”.</w:t>
      </w:r>
    </w:p>
    <w:p w14:paraId="7092F63B" w14:textId="77777777" w:rsidR="00AE4F13" w:rsidRPr="00020A5B" w:rsidRDefault="00AE4F13" w:rsidP="00AE4F13">
      <w:pPr>
        <w:pStyle w:val="Textonotapie"/>
        <w:ind w:right="51" w:firstLine="709"/>
        <w:contextualSpacing/>
        <w:jc w:val="both"/>
        <w:rPr>
          <w:rFonts w:ascii="Verdana" w:hAnsi="Verdana" w:cs="Arial"/>
          <w:sz w:val="16"/>
          <w:szCs w:val="16"/>
        </w:rPr>
      </w:pPr>
    </w:p>
  </w:footnote>
  <w:footnote w:id="3">
    <w:p w14:paraId="3A7BF088" w14:textId="77777777" w:rsidR="00A85447" w:rsidRPr="00020A5B" w:rsidRDefault="00A85447" w:rsidP="00A85447">
      <w:pPr>
        <w:pStyle w:val="Textonotapie"/>
        <w:ind w:firstLine="709"/>
        <w:contextualSpacing/>
        <w:jc w:val="both"/>
        <w:rPr>
          <w:rFonts w:ascii="Verdana" w:hAnsi="Verdana" w:cs="Arial"/>
          <w:sz w:val="16"/>
          <w:szCs w:val="16"/>
        </w:rPr>
      </w:pPr>
      <w:r w:rsidRPr="00020A5B">
        <w:rPr>
          <w:rStyle w:val="Refdenotaalpie"/>
          <w:rFonts w:ascii="Verdana" w:hAnsi="Verdana" w:cs="Arial"/>
          <w:sz w:val="16"/>
          <w:szCs w:val="16"/>
        </w:rPr>
        <w:footnoteRef/>
      </w:r>
      <w:r w:rsidRPr="00020A5B">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p w14:paraId="3FC75B96" w14:textId="77777777" w:rsidR="00A85447" w:rsidRPr="00020A5B" w:rsidRDefault="00A85447" w:rsidP="00A85447">
      <w:pPr>
        <w:pStyle w:val="Textonotapie"/>
        <w:ind w:firstLine="709"/>
        <w:contextualSpacing/>
        <w:jc w:val="both"/>
        <w:rPr>
          <w:rFonts w:ascii="Verdana" w:hAnsi="Verdana" w:cs="Arial"/>
          <w:sz w:val="16"/>
          <w:szCs w:val="16"/>
        </w:rPr>
      </w:pPr>
    </w:p>
  </w:footnote>
  <w:footnote w:id="4">
    <w:p w14:paraId="43B00EAB" w14:textId="77777777" w:rsidR="00A04604" w:rsidRPr="00A04604" w:rsidRDefault="0039291D" w:rsidP="00A04604">
      <w:pPr>
        <w:pStyle w:val="Textonotapie"/>
        <w:ind w:firstLine="709"/>
        <w:contextualSpacing/>
        <w:jc w:val="both"/>
        <w:rPr>
          <w:rFonts w:ascii="Verdana" w:hAnsi="Verdana" w:cs="Arial"/>
          <w:sz w:val="16"/>
          <w:szCs w:val="16"/>
          <w:lang w:val="es-ES"/>
        </w:rPr>
      </w:pPr>
      <w:r w:rsidRPr="00A04604">
        <w:rPr>
          <w:rStyle w:val="Refdenotaalpie"/>
          <w:rFonts w:ascii="Verdana" w:hAnsi="Verdana"/>
          <w:sz w:val="16"/>
          <w:szCs w:val="16"/>
        </w:rPr>
        <w:footnoteRef/>
      </w:r>
      <w:r w:rsidRPr="00A04604">
        <w:rPr>
          <w:rFonts w:ascii="Verdana" w:hAnsi="Verdana"/>
          <w:sz w:val="16"/>
          <w:szCs w:val="16"/>
        </w:rPr>
        <w:t xml:space="preserve"> </w:t>
      </w:r>
      <w:r w:rsidR="00A04604" w:rsidRPr="00A04604">
        <w:rPr>
          <w:rFonts w:ascii="Verdana" w:hAnsi="Verdana" w:cs="Arial"/>
          <w:sz w:val="16"/>
          <w:szCs w:val="16"/>
          <w:lang w:val="es-ES"/>
        </w:rPr>
        <w:t xml:space="preserve">Artículo 2. </w:t>
      </w:r>
    </w:p>
    <w:p w14:paraId="7C01668A" w14:textId="542F8F0F" w:rsidR="0039291D" w:rsidRPr="0039291D" w:rsidRDefault="0039291D">
      <w:pPr>
        <w:pStyle w:val="Textonotapie"/>
        <w:rPr>
          <w:lang w:val="es-CO"/>
        </w:rPr>
      </w:pPr>
    </w:p>
  </w:footnote>
  <w:footnote w:id="5">
    <w:p w14:paraId="741B7061" w14:textId="6475E586" w:rsidR="00457968" w:rsidRDefault="00457968" w:rsidP="00457FB0">
      <w:pPr>
        <w:pStyle w:val="Textonotapie"/>
        <w:ind w:firstLine="708"/>
        <w:rPr>
          <w:rFonts w:ascii="Verdana" w:hAnsi="Verdana" w:cs="Arial"/>
          <w:sz w:val="16"/>
          <w:szCs w:val="16"/>
          <w:lang w:val="es-ES"/>
        </w:rPr>
      </w:pPr>
      <w:r w:rsidRPr="00457FB0">
        <w:rPr>
          <w:rStyle w:val="Refdenotaalpie"/>
          <w:rFonts w:ascii="Verdana" w:hAnsi="Verdana"/>
          <w:sz w:val="16"/>
          <w:szCs w:val="16"/>
        </w:rPr>
        <w:footnoteRef/>
      </w:r>
      <w:r w:rsidRPr="00457FB0">
        <w:rPr>
          <w:rFonts w:ascii="Verdana" w:hAnsi="Verdana"/>
          <w:sz w:val="16"/>
          <w:szCs w:val="16"/>
        </w:rPr>
        <w:t xml:space="preserve"> </w:t>
      </w:r>
      <w:r w:rsidR="00457FB0" w:rsidRPr="00457FB0">
        <w:rPr>
          <w:rFonts w:ascii="Verdana" w:hAnsi="Verdana" w:cs="Arial"/>
          <w:i/>
          <w:sz w:val="16"/>
          <w:szCs w:val="16"/>
          <w:lang w:val="es-ES"/>
        </w:rPr>
        <w:t>Ídem</w:t>
      </w:r>
      <w:r w:rsidR="00457FB0" w:rsidRPr="00457FB0">
        <w:rPr>
          <w:rFonts w:ascii="Verdana" w:hAnsi="Verdana" w:cs="Arial"/>
          <w:sz w:val="16"/>
          <w:szCs w:val="16"/>
          <w:lang w:val="es-ES"/>
        </w:rPr>
        <w:t>.</w:t>
      </w:r>
    </w:p>
    <w:p w14:paraId="1107642E" w14:textId="77777777" w:rsidR="00447765" w:rsidRPr="00457FB0" w:rsidRDefault="00447765" w:rsidP="00457FB0">
      <w:pPr>
        <w:pStyle w:val="Textonotapie"/>
        <w:ind w:firstLine="708"/>
        <w:rPr>
          <w:rFonts w:ascii="Verdana" w:hAnsi="Verdana"/>
          <w:sz w:val="16"/>
          <w:szCs w:val="16"/>
          <w:lang w:val="es-CO"/>
        </w:rPr>
      </w:pPr>
    </w:p>
  </w:footnote>
  <w:footnote w:id="6">
    <w:p w14:paraId="151DD6F7" w14:textId="48FB9928" w:rsidR="00436BEB" w:rsidRDefault="00436BEB" w:rsidP="00447765">
      <w:pPr>
        <w:pStyle w:val="Textonotapie"/>
        <w:ind w:firstLine="708"/>
        <w:jc w:val="both"/>
        <w:rPr>
          <w:rFonts w:ascii="Verdana" w:hAnsi="Verdana" w:cs="Arial"/>
          <w:sz w:val="16"/>
          <w:szCs w:val="16"/>
          <w:lang w:val="es-ES"/>
        </w:rPr>
      </w:pPr>
      <w:r>
        <w:rPr>
          <w:rStyle w:val="Refdenotaalpie"/>
        </w:rPr>
        <w:footnoteRef/>
      </w:r>
      <w:r>
        <w:t xml:space="preserve"> </w:t>
      </w:r>
      <w:r w:rsidR="00447765" w:rsidRPr="00020A5B">
        <w:rPr>
          <w:rFonts w:ascii="Verdana" w:hAnsi="Verdana" w:cs="Arial"/>
          <w:sz w:val="16"/>
          <w:szCs w:val="16"/>
          <w:lang w:val="es-ES"/>
        </w:rPr>
        <w:t>“[…] A este respecto, cabe recordar que el artículo 860 del Código de Comercio regula la licitación</w:t>
      </w:r>
      <w:r w:rsidR="00447765">
        <w:rPr>
          <w:rFonts w:ascii="Verdana" w:hAnsi="Verdana" w:cs="Arial"/>
          <w:sz w:val="16"/>
          <w:szCs w:val="16"/>
          <w:lang w:val="es-ES"/>
        </w:rPr>
        <w:t xml:space="preserve"> </w:t>
      </w:r>
      <w:r w:rsidR="00447765" w:rsidRPr="00020A5B">
        <w:rPr>
          <w:rFonts w:ascii="Verdana" w:hAnsi="Verdana" w:cs="Arial"/>
          <w:sz w:val="16"/>
          <w:szCs w:val="16"/>
          <w:lang w:val="es-ES"/>
        </w:rPr>
        <w:t>en el derecho privado”.</w:t>
      </w:r>
    </w:p>
    <w:p w14:paraId="407A8A78" w14:textId="77777777" w:rsidR="0030281F" w:rsidRPr="005C3CC5" w:rsidRDefault="0030281F" w:rsidP="00447765">
      <w:pPr>
        <w:pStyle w:val="Textonotapie"/>
        <w:ind w:firstLine="708"/>
        <w:jc w:val="both"/>
        <w:rPr>
          <w:rFonts w:ascii="Verdana" w:hAnsi="Verdana"/>
          <w:sz w:val="16"/>
          <w:szCs w:val="16"/>
          <w:lang w:val="es-CO"/>
        </w:rPr>
      </w:pPr>
    </w:p>
  </w:footnote>
  <w:footnote w:id="7">
    <w:p w14:paraId="4944B74A" w14:textId="77777777" w:rsidR="005C3CC5" w:rsidRPr="005C3CC5" w:rsidRDefault="0030281F" w:rsidP="005C3CC5">
      <w:pPr>
        <w:shd w:val="clear" w:color="auto" w:fill="FFFFFF"/>
        <w:spacing w:after="0" w:line="240" w:lineRule="auto"/>
        <w:ind w:firstLine="709"/>
        <w:contextualSpacing/>
        <w:jc w:val="both"/>
        <w:rPr>
          <w:rFonts w:ascii="Verdana" w:hAnsi="Verdana" w:cs="Arial"/>
          <w:sz w:val="16"/>
          <w:szCs w:val="16"/>
          <w:lang w:val="es-ES"/>
        </w:rPr>
      </w:pPr>
      <w:r w:rsidRPr="005C3CC5">
        <w:rPr>
          <w:rStyle w:val="Refdenotaalpie"/>
          <w:rFonts w:ascii="Verdana" w:hAnsi="Verdana"/>
          <w:sz w:val="16"/>
          <w:szCs w:val="16"/>
        </w:rPr>
        <w:footnoteRef/>
      </w:r>
      <w:r w:rsidRPr="005C3CC5">
        <w:rPr>
          <w:rFonts w:ascii="Verdana" w:hAnsi="Verdana"/>
          <w:sz w:val="16"/>
          <w:szCs w:val="16"/>
        </w:rPr>
        <w:t xml:space="preserve"> </w:t>
      </w:r>
      <w:r w:rsidR="005C3CC5" w:rsidRPr="005C3CC5">
        <w:rPr>
          <w:rFonts w:ascii="Verdana" w:hAnsi="Verdana" w:cs="Arial"/>
          <w:sz w:val="16"/>
          <w:szCs w:val="16"/>
          <w:lang w:val="es-ES"/>
        </w:rPr>
        <w:t>Consejo de Estado. Sala de Consulta y Servicio Civil, Concepto de 8 de mayo de 2018. Radicación Número: 11001-03-06-000-2018-00095-00(2382). Consejero Ponente: Álvaro Namén Vargas.</w:t>
      </w:r>
    </w:p>
    <w:p w14:paraId="651BAB12" w14:textId="6C385AEF" w:rsidR="0030281F" w:rsidRPr="0030281F" w:rsidRDefault="0030281F">
      <w:pPr>
        <w:pStyle w:val="Textonotapie"/>
        <w:rPr>
          <w:lang w:val="es-CO"/>
        </w:rPr>
      </w:pPr>
    </w:p>
  </w:footnote>
  <w:footnote w:id="8">
    <w:p w14:paraId="2863A68B" w14:textId="77777777" w:rsidR="004236F8" w:rsidRPr="004236F8" w:rsidRDefault="00BC323A" w:rsidP="004236F8">
      <w:pPr>
        <w:pStyle w:val="Textonotapie"/>
        <w:ind w:firstLine="709"/>
        <w:contextualSpacing/>
        <w:jc w:val="both"/>
        <w:rPr>
          <w:rFonts w:ascii="Verdana" w:hAnsi="Verdana" w:cs="Arial"/>
          <w:sz w:val="16"/>
          <w:szCs w:val="16"/>
        </w:rPr>
      </w:pPr>
      <w:r w:rsidRPr="004236F8">
        <w:rPr>
          <w:rStyle w:val="Refdenotaalpie"/>
          <w:rFonts w:ascii="Verdana" w:hAnsi="Verdana"/>
          <w:sz w:val="16"/>
          <w:szCs w:val="16"/>
        </w:rPr>
        <w:footnoteRef/>
      </w:r>
      <w:r w:rsidRPr="004236F8">
        <w:rPr>
          <w:rFonts w:ascii="Verdana" w:hAnsi="Verdana"/>
          <w:sz w:val="16"/>
          <w:szCs w:val="16"/>
        </w:rPr>
        <w:t xml:space="preserve"> </w:t>
      </w:r>
      <w:r w:rsidR="004236F8" w:rsidRPr="004236F8">
        <w:rPr>
          <w:rFonts w:ascii="Verdana" w:hAnsi="Verdana" w:cs="Arial"/>
          <w:sz w:val="16"/>
          <w:szCs w:val="16"/>
        </w:rPr>
        <w:t>Consejo de Estado. Sala de Consulta y Servicio Civil. Concepto del 08 de mayo de 2018. Exp. 2.382. C.P. Álvaro Namén Vargas.</w:t>
      </w:r>
    </w:p>
    <w:p w14:paraId="11F8F213" w14:textId="77777777" w:rsidR="004236F8" w:rsidRPr="004236F8" w:rsidRDefault="004236F8" w:rsidP="004236F8">
      <w:pPr>
        <w:pStyle w:val="Textonotapie"/>
        <w:ind w:firstLine="709"/>
        <w:contextualSpacing/>
        <w:jc w:val="both"/>
        <w:rPr>
          <w:rFonts w:ascii="Verdana" w:hAnsi="Verdana" w:cs="Arial"/>
          <w:sz w:val="16"/>
          <w:szCs w:val="16"/>
        </w:rPr>
      </w:pPr>
    </w:p>
    <w:p w14:paraId="1B5B554C" w14:textId="166B72A2" w:rsidR="00BC323A" w:rsidRPr="00BC323A" w:rsidRDefault="00BC323A">
      <w:pPr>
        <w:pStyle w:val="Textonotapie"/>
        <w:rPr>
          <w:lang w:val="es-CO"/>
        </w:rPr>
      </w:pPr>
    </w:p>
  </w:footnote>
  <w:footnote w:id="9">
    <w:p w14:paraId="28B67043" w14:textId="77777777" w:rsidR="00AC660F" w:rsidRPr="00AC660F" w:rsidRDefault="00BA3467" w:rsidP="00AC660F">
      <w:pPr>
        <w:pStyle w:val="Textonotapie"/>
        <w:ind w:firstLine="709"/>
        <w:contextualSpacing/>
        <w:jc w:val="both"/>
        <w:rPr>
          <w:rFonts w:ascii="Verdana" w:hAnsi="Verdana" w:cs="Arial"/>
          <w:sz w:val="16"/>
          <w:szCs w:val="16"/>
        </w:rPr>
      </w:pPr>
      <w:r w:rsidRPr="00AC660F">
        <w:rPr>
          <w:rStyle w:val="Refdenotaalpie"/>
          <w:rFonts w:ascii="Verdana" w:hAnsi="Verdana"/>
          <w:sz w:val="16"/>
          <w:szCs w:val="16"/>
        </w:rPr>
        <w:footnoteRef/>
      </w:r>
      <w:r w:rsidRPr="00AC660F">
        <w:rPr>
          <w:rFonts w:ascii="Verdana" w:hAnsi="Verdana"/>
          <w:sz w:val="16"/>
          <w:szCs w:val="16"/>
        </w:rPr>
        <w:t xml:space="preserve"> </w:t>
      </w:r>
      <w:r w:rsidR="00AC660F" w:rsidRPr="00AC660F">
        <w:rPr>
          <w:rFonts w:ascii="Verdana" w:hAnsi="Verdana" w:cs="Arial"/>
          <w:sz w:val="16"/>
          <w:szCs w:val="16"/>
        </w:rPr>
        <w:t>La Corte Constitucional mediante Sentencia C-1153-05 de 11 de noviembre de 2005, Magistrado Ponente Marco Gerardo Monroy Cabra, efectuó el Control constitucional al Proyecto de Ley Estatutaria N° 216/05 Senado, N° 235-Cámara que dio lugar a la Ley de Garantías Electorales.</w:t>
      </w:r>
    </w:p>
    <w:p w14:paraId="59D3BAD7" w14:textId="79FD71EF" w:rsidR="00BA3467" w:rsidRPr="00AC660F" w:rsidRDefault="00BA3467">
      <w:pPr>
        <w:pStyle w:val="Textonotapie"/>
        <w:rPr>
          <w:rFonts w:ascii="Verdana" w:hAnsi="Verdana"/>
          <w:sz w:val="16"/>
          <w:szCs w:val="16"/>
        </w:rPr>
      </w:pPr>
    </w:p>
  </w:footnote>
  <w:footnote w:id="10">
    <w:p w14:paraId="13C1DE9C" w14:textId="77777777" w:rsidR="00425B01" w:rsidRPr="00425B01" w:rsidRDefault="007E188C" w:rsidP="00425B01">
      <w:pPr>
        <w:spacing w:after="0" w:line="240" w:lineRule="auto"/>
        <w:ind w:firstLine="708"/>
        <w:contextualSpacing/>
        <w:jc w:val="both"/>
        <w:rPr>
          <w:rFonts w:ascii="Verdana" w:hAnsi="Verdana" w:cs="Arial"/>
          <w:color w:val="000000" w:themeColor="text1"/>
          <w:sz w:val="16"/>
          <w:szCs w:val="16"/>
          <w:lang w:val="es-ES"/>
        </w:rPr>
      </w:pPr>
      <w:r w:rsidRPr="00425B01">
        <w:rPr>
          <w:rStyle w:val="Refdenotaalpie"/>
          <w:rFonts w:ascii="Verdana" w:hAnsi="Verdana"/>
          <w:sz w:val="16"/>
          <w:szCs w:val="16"/>
        </w:rPr>
        <w:footnoteRef/>
      </w:r>
      <w:r w:rsidRPr="00425B01">
        <w:rPr>
          <w:rFonts w:ascii="Verdana" w:hAnsi="Verdana"/>
          <w:sz w:val="16"/>
          <w:szCs w:val="16"/>
        </w:rPr>
        <w:t xml:space="preserve"> </w:t>
      </w:r>
      <w:r w:rsidR="00425B01" w:rsidRPr="00425B01">
        <w:rPr>
          <w:rFonts w:ascii="Verdana" w:hAnsi="Verdana" w:cs="Arial"/>
          <w:sz w:val="16"/>
          <w:szCs w:val="16"/>
        </w:rPr>
        <w:t>Ley 80 de 1993. “</w:t>
      </w:r>
      <w:r w:rsidR="00425B01" w:rsidRPr="00425B01">
        <w:rPr>
          <w:rFonts w:ascii="Verdana" w:hAnsi="Verdana" w:cs="Arial"/>
          <w:color w:val="000000" w:themeColor="text1"/>
          <w:sz w:val="16"/>
          <w:szCs w:val="16"/>
          <w:lang w:val="es-ES"/>
        </w:rPr>
        <w:t>ARTÍCULO 32. DE LOS CONTRATOS ESTATALES. Son contratos estatales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 […]”.</w:t>
      </w:r>
    </w:p>
    <w:p w14:paraId="457CB57D" w14:textId="0F85B821" w:rsidR="007E188C" w:rsidRPr="00425B01" w:rsidRDefault="007E188C">
      <w:pPr>
        <w:pStyle w:val="Textonotapie"/>
        <w:rPr>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pt;height:11.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67908957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BA0"/>
    <w:rsid w:val="00016F78"/>
    <w:rsid w:val="00017921"/>
    <w:rsid w:val="000214E4"/>
    <w:rsid w:val="00046945"/>
    <w:rsid w:val="00061B2A"/>
    <w:rsid w:val="00071A15"/>
    <w:rsid w:val="0007605F"/>
    <w:rsid w:val="00082362"/>
    <w:rsid w:val="00094944"/>
    <w:rsid w:val="000A683E"/>
    <w:rsid w:val="000A7C07"/>
    <w:rsid w:val="000B19B9"/>
    <w:rsid w:val="000B6213"/>
    <w:rsid w:val="000D0334"/>
    <w:rsid w:val="000D43D7"/>
    <w:rsid w:val="000D5DA7"/>
    <w:rsid w:val="000D7D6F"/>
    <w:rsid w:val="000E4A1B"/>
    <w:rsid w:val="000F3168"/>
    <w:rsid w:val="000F6486"/>
    <w:rsid w:val="0010488B"/>
    <w:rsid w:val="00116940"/>
    <w:rsid w:val="0012052E"/>
    <w:rsid w:val="00125105"/>
    <w:rsid w:val="00127233"/>
    <w:rsid w:val="00131308"/>
    <w:rsid w:val="00134DBF"/>
    <w:rsid w:val="0015699B"/>
    <w:rsid w:val="001666A3"/>
    <w:rsid w:val="00166EE5"/>
    <w:rsid w:val="00170D4C"/>
    <w:rsid w:val="0018280F"/>
    <w:rsid w:val="00190778"/>
    <w:rsid w:val="00193213"/>
    <w:rsid w:val="001A1829"/>
    <w:rsid w:val="001A33BF"/>
    <w:rsid w:val="001C1214"/>
    <w:rsid w:val="001C3580"/>
    <w:rsid w:val="001E4177"/>
    <w:rsid w:val="001E7FCD"/>
    <w:rsid w:val="001F0B24"/>
    <w:rsid w:val="001F2025"/>
    <w:rsid w:val="001F7DC6"/>
    <w:rsid w:val="0022400B"/>
    <w:rsid w:val="00233F64"/>
    <w:rsid w:val="0023761F"/>
    <w:rsid w:val="002421BB"/>
    <w:rsid w:val="002471B2"/>
    <w:rsid w:val="0025796E"/>
    <w:rsid w:val="002707A2"/>
    <w:rsid w:val="0027666E"/>
    <w:rsid w:val="002951A0"/>
    <w:rsid w:val="002962BC"/>
    <w:rsid w:val="002A093D"/>
    <w:rsid w:val="002A0DD0"/>
    <w:rsid w:val="002A49AC"/>
    <w:rsid w:val="002A64FD"/>
    <w:rsid w:val="002C7A84"/>
    <w:rsid w:val="002E2BF8"/>
    <w:rsid w:val="002E4749"/>
    <w:rsid w:val="002E4FD9"/>
    <w:rsid w:val="002E5397"/>
    <w:rsid w:val="00300112"/>
    <w:rsid w:val="0030281F"/>
    <w:rsid w:val="0030657A"/>
    <w:rsid w:val="0030679A"/>
    <w:rsid w:val="00307CF3"/>
    <w:rsid w:val="00316E0E"/>
    <w:rsid w:val="00322A85"/>
    <w:rsid w:val="00324168"/>
    <w:rsid w:val="00330834"/>
    <w:rsid w:val="003448F4"/>
    <w:rsid w:val="0036583A"/>
    <w:rsid w:val="00374F5E"/>
    <w:rsid w:val="00377E3E"/>
    <w:rsid w:val="0039291D"/>
    <w:rsid w:val="003A779E"/>
    <w:rsid w:val="003C6753"/>
    <w:rsid w:val="003D0C22"/>
    <w:rsid w:val="003D0F4D"/>
    <w:rsid w:val="003D2DC9"/>
    <w:rsid w:val="003D5B0D"/>
    <w:rsid w:val="003E0499"/>
    <w:rsid w:val="003E4F80"/>
    <w:rsid w:val="003E6439"/>
    <w:rsid w:val="003F3941"/>
    <w:rsid w:val="00400985"/>
    <w:rsid w:val="00402C64"/>
    <w:rsid w:val="00402D7A"/>
    <w:rsid w:val="00406575"/>
    <w:rsid w:val="00414857"/>
    <w:rsid w:val="00414C74"/>
    <w:rsid w:val="004151ED"/>
    <w:rsid w:val="004236F8"/>
    <w:rsid w:val="00425371"/>
    <w:rsid w:val="00425B01"/>
    <w:rsid w:val="0042722E"/>
    <w:rsid w:val="00432403"/>
    <w:rsid w:val="00435054"/>
    <w:rsid w:val="00436BEB"/>
    <w:rsid w:val="00440E97"/>
    <w:rsid w:val="004426B5"/>
    <w:rsid w:val="0044528D"/>
    <w:rsid w:val="00447765"/>
    <w:rsid w:val="00457968"/>
    <w:rsid w:val="00457FB0"/>
    <w:rsid w:val="00466E39"/>
    <w:rsid w:val="0048421D"/>
    <w:rsid w:val="004A1847"/>
    <w:rsid w:val="004A305D"/>
    <w:rsid w:val="004C11E0"/>
    <w:rsid w:val="004E71EC"/>
    <w:rsid w:val="004F21C4"/>
    <w:rsid w:val="004F685F"/>
    <w:rsid w:val="00504E13"/>
    <w:rsid w:val="00514038"/>
    <w:rsid w:val="005239D0"/>
    <w:rsid w:val="00540455"/>
    <w:rsid w:val="005413CD"/>
    <w:rsid w:val="00544401"/>
    <w:rsid w:val="005566E8"/>
    <w:rsid w:val="00567E13"/>
    <w:rsid w:val="00574867"/>
    <w:rsid w:val="00585FF0"/>
    <w:rsid w:val="00591460"/>
    <w:rsid w:val="005958A3"/>
    <w:rsid w:val="005A65E0"/>
    <w:rsid w:val="005C1E08"/>
    <w:rsid w:val="005C3777"/>
    <w:rsid w:val="005C3CC5"/>
    <w:rsid w:val="005C5CDC"/>
    <w:rsid w:val="005D476C"/>
    <w:rsid w:val="005E0D63"/>
    <w:rsid w:val="005E3B33"/>
    <w:rsid w:val="005E7789"/>
    <w:rsid w:val="006200BF"/>
    <w:rsid w:val="006219F8"/>
    <w:rsid w:val="006232B3"/>
    <w:rsid w:val="006302F7"/>
    <w:rsid w:val="00636D46"/>
    <w:rsid w:val="006423DB"/>
    <w:rsid w:val="006463BD"/>
    <w:rsid w:val="00646B9F"/>
    <w:rsid w:val="00665D70"/>
    <w:rsid w:val="0067606A"/>
    <w:rsid w:val="006900D9"/>
    <w:rsid w:val="006A0F78"/>
    <w:rsid w:val="006A6035"/>
    <w:rsid w:val="006A65B9"/>
    <w:rsid w:val="00706C16"/>
    <w:rsid w:val="007117DA"/>
    <w:rsid w:val="007330FC"/>
    <w:rsid w:val="007340C3"/>
    <w:rsid w:val="007517B4"/>
    <w:rsid w:val="0075235A"/>
    <w:rsid w:val="00752A50"/>
    <w:rsid w:val="00756841"/>
    <w:rsid w:val="00756EAA"/>
    <w:rsid w:val="007649AB"/>
    <w:rsid w:val="00771D0C"/>
    <w:rsid w:val="00776F66"/>
    <w:rsid w:val="007833AC"/>
    <w:rsid w:val="00791569"/>
    <w:rsid w:val="0079406D"/>
    <w:rsid w:val="007B268C"/>
    <w:rsid w:val="007B30ED"/>
    <w:rsid w:val="007B7171"/>
    <w:rsid w:val="007C0C0F"/>
    <w:rsid w:val="007C3DC2"/>
    <w:rsid w:val="007D6EF2"/>
    <w:rsid w:val="007E188C"/>
    <w:rsid w:val="007E5497"/>
    <w:rsid w:val="007F41EA"/>
    <w:rsid w:val="007F54D6"/>
    <w:rsid w:val="00806F5F"/>
    <w:rsid w:val="0081689A"/>
    <w:rsid w:val="00816BA8"/>
    <w:rsid w:val="00820278"/>
    <w:rsid w:val="008258C9"/>
    <w:rsid w:val="00832FE2"/>
    <w:rsid w:val="00844AE9"/>
    <w:rsid w:val="0086524C"/>
    <w:rsid w:val="00867F95"/>
    <w:rsid w:val="00883032"/>
    <w:rsid w:val="008843B6"/>
    <w:rsid w:val="0088449A"/>
    <w:rsid w:val="00885667"/>
    <w:rsid w:val="00890E77"/>
    <w:rsid w:val="00891928"/>
    <w:rsid w:val="008A0759"/>
    <w:rsid w:val="008A446D"/>
    <w:rsid w:val="008B25F1"/>
    <w:rsid w:val="008C530F"/>
    <w:rsid w:val="008D180B"/>
    <w:rsid w:val="008F0E05"/>
    <w:rsid w:val="008F0EA7"/>
    <w:rsid w:val="008F15D1"/>
    <w:rsid w:val="0090195F"/>
    <w:rsid w:val="00904C7A"/>
    <w:rsid w:val="00906B70"/>
    <w:rsid w:val="00906DE4"/>
    <w:rsid w:val="009210AA"/>
    <w:rsid w:val="00923EEF"/>
    <w:rsid w:val="00936309"/>
    <w:rsid w:val="00940DA1"/>
    <w:rsid w:val="009419F9"/>
    <w:rsid w:val="00942FFD"/>
    <w:rsid w:val="00953E18"/>
    <w:rsid w:val="0095459B"/>
    <w:rsid w:val="0095685E"/>
    <w:rsid w:val="00961B09"/>
    <w:rsid w:val="00965334"/>
    <w:rsid w:val="00966689"/>
    <w:rsid w:val="0097093E"/>
    <w:rsid w:val="00995895"/>
    <w:rsid w:val="00996259"/>
    <w:rsid w:val="009A0DFA"/>
    <w:rsid w:val="009A1C6F"/>
    <w:rsid w:val="009B2D26"/>
    <w:rsid w:val="009B5AA0"/>
    <w:rsid w:val="009C71FA"/>
    <w:rsid w:val="009C72E7"/>
    <w:rsid w:val="009C7F7E"/>
    <w:rsid w:val="009D3058"/>
    <w:rsid w:val="009E524F"/>
    <w:rsid w:val="009F3A13"/>
    <w:rsid w:val="00A04604"/>
    <w:rsid w:val="00A122D3"/>
    <w:rsid w:val="00A14468"/>
    <w:rsid w:val="00A17F13"/>
    <w:rsid w:val="00A20739"/>
    <w:rsid w:val="00A23AF9"/>
    <w:rsid w:val="00A264A9"/>
    <w:rsid w:val="00A306D9"/>
    <w:rsid w:val="00A33C78"/>
    <w:rsid w:val="00A35CB8"/>
    <w:rsid w:val="00A372D1"/>
    <w:rsid w:val="00A66C40"/>
    <w:rsid w:val="00A67CD4"/>
    <w:rsid w:val="00A710CA"/>
    <w:rsid w:val="00A84A27"/>
    <w:rsid w:val="00A85447"/>
    <w:rsid w:val="00AB0ADB"/>
    <w:rsid w:val="00AB45B9"/>
    <w:rsid w:val="00AC660F"/>
    <w:rsid w:val="00AE216F"/>
    <w:rsid w:val="00AE48F5"/>
    <w:rsid w:val="00AE4F13"/>
    <w:rsid w:val="00AF1D90"/>
    <w:rsid w:val="00B00C0E"/>
    <w:rsid w:val="00B01B1A"/>
    <w:rsid w:val="00B0381D"/>
    <w:rsid w:val="00B03FC4"/>
    <w:rsid w:val="00B052D2"/>
    <w:rsid w:val="00B1209B"/>
    <w:rsid w:val="00B12CFB"/>
    <w:rsid w:val="00B15ACC"/>
    <w:rsid w:val="00B22076"/>
    <w:rsid w:val="00B44A47"/>
    <w:rsid w:val="00B453E9"/>
    <w:rsid w:val="00B72CD3"/>
    <w:rsid w:val="00B72FFF"/>
    <w:rsid w:val="00BA3467"/>
    <w:rsid w:val="00BC323A"/>
    <w:rsid w:val="00BC3D36"/>
    <w:rsid w:val="00BC668F"/>
    <w:rsid w:val="00BC7D9C"/>
    <w:rsid w:val="00BD357F"/>
    <w:rsid w:val="00BD54A6"/>
    <w:rsid w:val="00BD5816"/>
    <w:rsid w:val="00BD7F72"/>
    <w:rsid w:val="00BF28C7"/>
    <w:rsid w:val="00BF40BB"/>
    <w:rsid w:val="00BF7425"/>
    <w:rsid w:val="00C04FB3"/>
    <w:rsid w:val="00C11D8B"/>
    <w:rsid w:val="00C15139"/>
    <w:rsid w:val="00C161B3"/>
    <w:rsid w:val="00C245C2"/>
    <w:rsid w:val="00C330EB"/>
    <w:rsid w:val="00C3522C"/>
    <w:rsid w:val="00C50D69"/>
    <w:rsid w:val="00C53254"/>
    <w:rsid w:val="00C5365C"/>
    <w:rsid w:val="00C73C99"/>
    <w:rsid w:val="00C754BE"/>
    <w:rsid w:val="00C76B1C"/>
    <w:rsid w:val="00C77383"/>
    <w:rsid w:val="00C85A3F"/>
    <w:rsid w:val="00C925AC"/>
    <w:rsid w:val="00CA5AE1"/>
    <w:rsid w:val="00CB6357"/>
    <w:rsid w:val="00CC140D"/>
    <w:rsid w:val="00CC1B26"/>
    <w:rsid w:val="00CD0D03"/>
    <w:rsid w:val="00CF0B2E"/>
    <w:rsid w:val="00CF1D57"/>
    <w:rsid w:val="00CF3227"/>
    <w:rsid w:val="00D30DDE"/>
    <w:rsid w:val="00D361FD"/>
    <w:rsid w:val="00D423A2"/>
    <w:rsid w:val="00D44E26"/>
    <w:rsid w:val="00D520D8"/>
    <w:rsid w:val="00D52896"/>
    <w:rsid w:val="00D63AC2"/>
    <w:rsid w:val="00D70D2C"/>
    <w:rsid w:val="00D720AF"/>
    <w:rsid w:val="00D7383B"/>
    <w:rsid w:val="00D7788A"/>
    <w:rsid w:val="00D842CD"/>
    <w:rsid w:val="00DA0C79"/>
    <w:rsid w:val="00DA231B"/>
    <w:rsid w:val="00DA6EAE"/>
    <w:rsid w:val="00DC39FC"/>
    <w:rsid w:val="00DD675A"/>
    <w:rsid w:val="00DF19DB"/>
    <w:rsid w:val="00DF5254"/>
    <w:rsid w:val="00E02524"/>
    <w:rsid w:val="00E16408"/>
    <w:rsid w:val="00E20894"/>
    <w:rsid w:val="00E245AB"/>
    <w:rsid w:val="00E2764C"/>
    <w:rsid w:val="00E27F2E"/>
    <w:rsid w:val="00E30042"/>
    <w:rsid w:val="00E3042D"/>
    <w:rsid w:val="00E30FA6"/>
    <w:rsid w:val="00E310A9"/>
    <w:rsid w:val="00E412DF"/>
    <w:rsid w:val="00E42C25"/>
    <w:rsid w:val="00E50AFE"/>
    <w:rsid w:val="00E55F39"/>
    <w:rsid w:val="00E75C92"/>
    <w:rsid w:val="00E771DC"/>
    <w:rsid w:val="00E8772A"/>
    <w:rsid w:val="00E90F6B"/>
    <w:rsid w:val="00E92C27"/>
    <w:rsid w:val="00EA0E3D"/>
    <w:rsid w:val="00EB2F29"/>
    <w:rsid w:val="00EC38A7"/>
    <w:rsid w:val="00EC49EB"/>
    <w:rsid w:val="00ED2B1F"/>
    <w:rsid w:val="00ED7DB1"/>
    <w:rsid w:val="00EE1AA8"/>
    <w:rsid w:val="00F12CEA"/>
    <w:rsid w:val="00F232DE"/>
    <w:rsid w:val="00F23FEA"/>
    <w:rsid w:val="00F31EDC"/>
    <w:rsid w:val="00F462B3"/>
    <w:rsid w:val="00F4756E"/>
    <w:rsid w:val="00F5664F"/>
    <w:rsid w:val="00F666C4"/>
    <w:rsid w:val="00F76A54"/>
    <w:rsid w:val="00F76AFC"/>
    <w:rsid w:val="00F917D8"/>
    <w:rsid w:val="00FA47C0"/>
    <w:rsid w:val="00FB3366"/>
    <w:rsid w:val="00FB5DD1"/>
    <w:rsid w:val="00FC1092"/>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FAD48758-D084-41D2-81BB-90A179728F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14E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E4F1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C530F"/>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345089333">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olombiacompra.gov.co/sites/cce_public/files/cce_circulares/cce-eicp-ma-06_circular_externa_con_comentarios_de_ciudadanos-_v2f_002.pdf"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elkingarciasabogal@gmail.com"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1855A2-367A-481E-A730-8B30EA0CA374}"/>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777B04F-2467-415C-9666-6213B464C3DC}">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15</Pages>
  <Words>4950</Words>
  <Characters>26189</Characters>
  <Application>Microsoft Office Word</Application>
  <DocSecurity>0</DocSecurity>
  <Lines>523</Lines>
  <Paragraphs>112</Paragraphs>
  <ScaleCrop>false</ScaleCrop>
  <Company/>
  <LinksUpToDate>false</LinksUpToDate>
  <CharactersWithSpaces>31027</CharactersWithSpaces>
  <SharedDoc>false</SharedDoc>
  <HLinks>
    <vt:vector size="42" baseType="variant">
      <vt:variant>
        <vt:i4>4456513</vt:i4>
      </vt:variant>
      <vt:variant>
        <vt:i4>18</vt:i4>
      </vt:variant>
      <vt:variant>
        <vt:i4>0</vt:i4>
      </vt:variant>
      <vt:variant>
        <vt:i4>5</vt:i4>
      </vt:variant>
      <vt:variant>
        <vt:lpwstr>https://forms.office.com/r/pPHyWVs2SZ</vt:lpwstr>
      </vt:variant>
      <vt:variant>
        <vt:lpwstr/>
      </vt:variant>
      <vt:variant>
        <vt:i4>5505101</vt:i4>
      </vt:variant>
      <vt:variant>
        <vt:i4>15</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12</vt:i4>
      </vt:variant>
      <vt:variant>
        <vt:i4>0</vt:i4>
      </vt:variant>
      <vt:variant>
        <vt:i4>5</vt:i4>
      </vt:variant>
      <vt:variant>
        <vt:lpwstr>https://www.colombiacompra.gov.co/normativa-y-relatoria/documentos-tipo</vt:lpwstr>
      </vt:variant>
      <vt:variant>
        <vt:lpwstr/>
      </vt:variant>
      <vt:variant>
        <vt:i4>65544</vt:i4>
      </vt:variant>
      <vt:variant>
        <vt:i4>9</vt:i4>
      </vt:variant>
      <vt:variant>
        <vt:i4>0</vt:i4>
      </vt:variant>
      <vt:variant>
        <vt:i4>5</vt:i4>
      </vt:variant>
      <vt:variant>
        <vt:lpwstr>https://formacionvirtual.colombiacompra.gov.co/mod/page/view.php?id=3718</vt:lpwstr>
      </vt:variant>
      <vt:variant>
        <vt:lpwstr/>
      </vt:variant>
      <vt:variant>
        <vt:i4>7471218</vt:i4>
      </vt:variant>
      <vt:variant>
        <vt:i4>6</vt:i4>
      </vt:variant>
      <vt:variant>
        <vt:i4>0</vt:i4>
      </vt:variant>
      <vt:variant>
        <vt:i4>5</vt:i4>
      </vt:variant>
      <vt:variant>
        <vt:lpwstr>https://relatoria.colombiacompra.gov.co/busqueda/conceptos</vt:lpwstr>
      </vt:variant>
      <vt:variant>
        <vt:lpwstr/>
      </vt:variant>
      <vt:variant>
        <vt:i4>655437</vt:i4>
      </vt:variant>
      <vt:variant>
        <vt:i4>3</vt:i4>
      </vt:variant>
      <vt:variant>
        <vt:i4>0</vt:i4>
      </vt:variant>
      <vt:variant>
        <vt:i4>5</vt:i4>
      </vt:variant>
      <vt:variant>
        <vt:lpwstr>https://colombiacompra.gov.co/sites/cce_public/files/cce_circulares/cce-eicp-ma-06_circular_externa_con_comentarios_de_ciudadanos-_v2f_002.pdf</vt:lpwstr>
      </vt:variant>
      <vt:variant>
        <vt:lpwstr/>
      </vt:variant>
      <vt:variant>
        <vt:i4>720928</vt:i4>
      </vt:variant>
      <vt:variant>
        <vt:i4>0</vt:i4>
      </vt:variant>
      <vt:variant>
        <vt:i4>0</vt:i4>
      </vt:variant>
      <vt:variant>
        <vt:i4>5</vt:i4>
      </vt:variant>
      <vt:variant>
        <vt:lpwstr>mailto:elkingarciasabogal@gmail.com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Kelmis Yimara Bruges Alvarado</cp:lastModifiedBy>
  <cp:revision>3</cp:revision>
  <cp:lastPrinted>2023-01-11T00:18:00Z</cp:lastPrinted>
  <dcterms:created xsi:type="dcterms:W3CDTF">2026-03-26T21:07:00Z</dcterms:created>
  <dcterms:modified xsi:type="dcterms:W3CDTF">2026-03-27T14:52:00Z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