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68D769" w14:textId="77777777" w:rsidR="008B1909" w:rsidRPr="0086345B" w:rsidRDefault="008B1909" w:rsidP="008B1909">
      <w:pPr>
        <w:spacing w:after="0" w:line="240" w:lineRule="auto"/>
        <w:jc w:val="both"/>
        <w:rPr>
          <w:rFonts w:ascii="Verdana" w:hAnsi="Verdana" w:cs="Arial"/>
          <w:b/>
          <w:lang w:eastAsia="es-ES"/>
        </w:rPr>
      </w:pPr>
      <w:bookmarkStart w:id="0" w:name="_Hlk143780582"/>
      <w:r w:rsidRPr="0086345B">
        <w:rPr>
          <w:rFonts w:ascii="Verdana" w:hAnsi="Verdana" w:cs="Arial"/>
          <w:b/>
          <w:lang w:eastAsia="es-ES"/>
        </w:rPr>
        <w:t xml:space="preserve">ARTÍCULO 355 DE LA CONSTITUCIÓN POLÍTICA – Formas de colaboración o cooperación – Estado y particulares </w:t>
      </w:r>
    </w:p>
    <w:p w14:paraId="691CD3D3" w14:textId="77777777" w:rsidR="008B1909" w:rsidRDefault="008B1909" w:rsidP="008B1909">
      <w:pPr>
        <w:spacing w:after="0" w:line="240" w:lineRule="auto"/>
        <w:jc w:val="both"/>
        <w:rPr>
          <w:rFonts w:ascii="Verdana" w:hAnsi="Verdana" w:cs="Arial"/>
          <w:b/>
          <w:lang w:eastAsia="es-ES"/>
        </w:rPr>
      </w:pPr>
    </w:p>
    <w:p w14:paraId="11F72916" w14:textId="77777777" w:rsidR="008B1909" w:rsidRPr="0086345B" w:rsidRDefault="008B1909" w:rsidP="008B1909">
      <w:pPr>
        <w:spacing w:after="0" w:line="240" w:lineRule="auto"/>
        <w:jc w:val="both"/>
        <w:rPr>
          <w:rFonts w:ascii="Verdana" w:hAnsi="Verdana" w:cs="Arial"/>
          <w:sz w:val="20"/>
          <w:lang w:val="es-MX" w:eastAsia="es-ES"/>
        </w:rPr>
      </w:pPr>
      <w:r w:rsidRPr="0086345B">
        <w:rPr>
          <w:rFonts w:ascii="Verdana" w:hAnsi="Verdana" w:cs="Arial"/>
          <w:sz w:val="20"/>
          <w:lang w:val="es-MX" w:eastAsia="es-ES"/>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 con el fin de impulsar programas y actividades de interés público acordes con el plan nacional y los planes seccionales de desarrollo. Por otra parte, la Ley 489 de 1998, en el artículo 96, permite a las entidades públicas en general, es decir, cualquiera sea su naturaleza y orden administrativo, asociarse con personas jurídicas particulares, mediante la celebración de convenios de asociación o la creación de personas jurídicas. Ambas figuras tienen como fin desarrollar conjuntamente actividades relacionadas con los cometidos y funciones legales asignadas a la entidad.</w:t>
      </w:r>
    </w:p>
    <w:p w14:paraId="51EFE5E4" w14:textId="77777777" w:rsidR="008B1909" w:rsidRPr="0086345B" w:rsidRDefault="008B1909" w:rsidP="008B1909">
      <w:pPr>
        <w:spacing w:after="0" w:line="240" w:lineRule="auto"/>
        <w:jc w:val="both"/>
        <w:rPr>
          <w:rFonts w:ascii="Verdana" w:hAnsi="Verdana" w:cs="Arial"/>
          <w:b/>
          <w:lang w:val="es-MX" w:eastAsia="es-ES"/>
        </w:rPr>
      </w:pPr>
    </w:p>
    <w:p w14:paraId="7B533ECE" w14:textId="77777777" w:rsidR="008B1909" w:rsidRDefault="008B1909" w:rsidP="008B1909">
      <w:pPr>
        <w:spacing w:after="0" w:line="240" w:lineRule="auto"/>
        <w:jc w:val="both"/>
        <w:rPr>
          <w:rFonts w:ascii="Verdana" w:hAnsi="Verdana" w:cs="Arial"/>
          <w:b/>
          <w:lang w:eastAsia="es-ES"/>
        </w:rPr>
      </w:pPr>
      <w:r w:rsidRPr="0086345B">
        <w:rPr>
          <w:rFonts w:ascii="Verdana" w:hAnsi="Verdana" w:cs="Arial"/>
          <w:b/>
          <w:lang w:eastAsia="es-ES"/>
        </w:rPr>
        <w:t xml:space="preserve">DECRETO 092 DE 2017 – Convenios de interés público – Convenios de asociación </w:t>
      </w:r>
    </w:p>
    <w:p w14:paraId="439D6304" w14:textId="77777777" w:rsidR="008B1909" w:rsidRDefault="008B1909" w:rsidP="008B1909">
      <w:pPr>
        <w:spacing w:after="0" w:line="240" w:lineRule="auto"/>
        <w:jc w:val="both"/>
        <w:rPr>
          <w:rFonts w:ascii="Verdana" w:hAnsi="Verdana" w:cs="Arial"/>
          <w:b/>
          <w:lang w:eastAsia="es-ES"/>
        </w:rPr>
      </w:pPr>
    </w:p>
    <w:p w14:paraId="07EC65CD" w14:textId="77777777" w:rsidR="008B1909" w:rsidRDefault="008B1909" w:rsidP="008B1909">
      <w:pPr>
        <w:spacing w:after="0" w:line="240" w:lineRule="auto"/>
        <w:jc w:val="both"/>
        <w:rPr>
          <w:rFonts w:ascii="Verdana" w:hAnsi="Verdana" w:cs="Arial"/>
          <w:sz w:val="20"/>
          <w:lang w:val="es-MX" w:eastAsia="es-ES"/>
        </w:rPr>
      </w:pPr>
      <w:r w:rsidRPr="0086345B">
        <w:rPr>
          <w:rFonts w:ascii="Verdana" w:hAnsi="Verdana" w:cs="Arial"/>
          <w:sz w:val="20"/>
          <w:lang w:val="es-MX" w:eastAsia="es-ES"/>
        </w:rPr>
        <w:t xml:space="preserve">En desarrollo del artículo 355 de la Constitución, el Gobierno Nacional expidió el Decreto 92 de 2017, que dispone las reglas para las contrataciones que realicen las entidades estatales con las ESAL. El Decreto regula dos eventos: i) los </w:t>
      </w:r>
      <w:r w:rsidRPr="0086345B">
        <w:rPr>
          <w:rFonts w:ascii="Verdana" w:hAnsi="Verdana" w:cs="Arial"/>
          <w:i/>
          <w:iCs/>
          <w:sz w:val="20"/>
          <w:lang w:val="es-MX" w:eastAsia="es-ES"/>
        </w:rPr>
        <w:t>contratos de colaboración</w:t>
      </w:r>
      <w:r w:rsidRPr="0086345B">
        <w:rPr>
          <w:rFonts w:ascii="Verdana" w:hAnsi="Verdana" w:cs="Arial"/>
          <w:sz w:val="20"/>
          <w:lang w:val="es-MX" w:eastAsia="es-ES"/>
        </w:rPr>
        <w:t xml:space="preserve"> o de interés público, con el fin impulsar programas y actividades de interés público de acuerdo con el Plan Nacional o los planes seccionales de desarrollo, en los términos del artículo 355 de la Constitución Política; y </w:t>
      </w:r>
      <w:proofErr w:type="spellStart"/>
      <w:r w:rsidRPr="0086345B">
        <w:rPr>
          <w:rFonts w:ascii="Verdana" w:hAnsi="Verdana" w:cs="Arial"/>
          <w:sz w:val="20"/>
          <w:lang w:val="es-MX" w:eastAsia="es-ES"/>
        </w:rPr>
        <w:t>ii</w:t>
      </w:r>
      <w:proofErr w:type="spellEnd"/>
      <w:r w:rsidRPr="0086345B">
        <w:rPr>
          <w:rFonts w:ascii="Verdana" w:hAnsi="Verdana" w:cs="Arial"/>
          <w:sz w:val="20"/>
          <w:lang w:val="es-MX" w:eastAsia="es-ES"/>
        </w:rPr>
        <w:t xml:space="preserve">) los </w:t>
      </w:r>
      <w:r w:rsidRPr="0086345B">
        <w:rPr>
          <w:rFonts w:ascii="Verdana" w:hAnsi="Verdana" w:cs="Arial"/>
          <w:i/>
          <w:iCs/>
          <w:sz w:val="20"/>
          <w:lang w:val="es-MX" w:eastAsia="es-ES"/>
        </w:rPr>
        <w:t>convenios de asociación</w:t>
      </w:r>
      <w:r w:rsidRPr="0086345B">
        <w:rPr>
          <w:rFonts w:ascii="Verdana" w:hAnsi="Verdana" w:cs="Arial"/>
          <w:sz w:val="20"/>
          <w:lang w:val="es-MX" w:eastAsia="es-ES"/>
        </w:rPr>
        <w:t xml:space="preserve">, para el desarrollo conjunto de actividades relacionadas con las funciones de las entidades estatales, en desarrollo del artículo 96 de la Ley 489 de 1998. Los primeros están regulados en el artículo 2 del Decreto 92 de 2017, mientras que los segundos en los artículos 5, 6, 7 y 8 </w:t>
      </w:r>
      <w:r w:rsidRPr="0086345B">
        <w:rPr>
          <w:rFonts w:ascii="Verdana" w:hAnsi="Verdana" w:cs="Arial"/>
          <w:i/>
          <w:iCs/>
          <w:sz w:val="20"/>
          <w:lang w:val="es-MX" w:eastAsia="es-ES"/>
        </w:rPr>
        <w:t>ibidem</w:t>
      </w:r>
      <w:r w:rsidRPr="0086345B">
        <w:rPr>
          <w:rFonts w:ascii="Verdana" w:hAnsi="Verdana" w:cs="Arial"/>
          <w:sz w:val="20"/>
          <w:lang w:val="es-MX" w:eastAsia="es-ES"/>
        </w:rPr>
        <w:t xml:space="preserve">. Es posible diferenciar, pues, los </w:t>
      </w:r>
      <w:r w:rsidRPr="0086345B">
        <w:rPr>
          <w:rFonts w:ascii="Verdana" w:hAnsi="Verdana" w:cs="Arial"/>
          <w:i/>
          <w:iCs/>
          <w:sz w:val="20"/>
          <w:lang w:val="es-MX" w:eastAsia="es-ES"/>
        </w:rPr>
        <w:t>convenios de asociación</w:t>
      </w:r>
      <w:r w:rsidRPr="0086345B">
        <w:rPr>
          <w:rFonts w:ascii="Verdana" w:hAnsi="Verdana" w:cs="Arial"/>
          <w:sz w:val="20"/>
          <w:lang w:val="es-MX" w:eastAsia="es-ES"/>
        </w:rPr>
        <w:t xml:space="preserve">, regulados en el artículo 5, de los </w:t>
      </w:r>
      <w:r w:rsidRPr="0086345B">
        <w:rPr>
          <w:rFonts w:ascii="Verdana" w:hAnsi="Verdana" w:cs="Arial"/>
          <w:i/>
          <w:iCs/>
          <w:sz w:val="20"/>
          <w:lang w:val="es-MX" w:eastAsia="es-ES"/>
        </w:rPr>
        <w:t>contratos de colaboración</w:t>
      </w:r>
      <w:r w:rsidRPr="0086345B">
        <w:rPr>
          <w:rFonts w:ascii="Verdana" w:hAnsi="Verdana" w:cs="Arial"/>
          <w:sz w:val="20"/>
          <w:lang w:val="es-MX" w:eastAsia="es-ES"/>
        </w:rPr>
        <w:t>, establecidos en el artículo 2 del Decreto 092 de 2017</w:t>
      </w:r>
      <w:r>
        <w:rPr>
          <w:rFonts w:ascii="Verdana" w:hAnsi="Verdana" w:cs="Arial"/>
          <w:sz w:val="20"/>
          <w:lang w:val="es-MX" w:eastAsia="es-ES"/>
        </w:rPr>
        <w:t>.</w:t>
      </w:r>
    </w:p>
    <w:p w14:paraId="130A18AE" w14:textId="77777777" w:rsidR="008B1909" w:rsidRPr="0086345B" w:rsidRDefault="008B1909" w:rsidP="008B1909">
      <w:pPr>
        <w:spacing w:after="0" w:line="240" w:lineRule="auto"/>
        <w:jc w:val="both"/>
        <w:rPr>
          <w:rFonts w:ascii="Verdana" w:hAnsi="Verdana" w:cs="Arial"/>
          <w:lang w:eastAsia="es-ES"/>
        </w:rPr>
      </w:pPr>
    </w:p>
    <w:p w14:paraId="05618F53" w14:textId="77777777" w:rsidR="008B1909" w:rsidRPr="0086345B" w:rsidRDefault="008B1909" w:rsidP="008B1909">
      <w:pPr>
        <w:spacing w:after="0" w:line="240" w:lineRule="auto"/>
        <w:jc w:val="both"/>
        <w:rPr>
          <w:rFonts w:ascii="Verdana" w:hAnsi="Verdana" w:cs="Arial"/>
          <w:b/>
          <w:lang w:val="es-ES" w:eastAsia="es-ES"/>
        </w:rPr>
      </w:pPr>
      <w:r w:rsidRPr="0086345B">
        <w:rPr>
          <w:rFonts w:ascii="Verdana" w:hAnsi="Verdana" w:cs="Arial"/>
          <w:b/>
          <w:lang w:eastAsia="es-ES"/>
        </w:rPr>
        <w:t xml:space="preserve"> CONVENIOS DE ASOCIACIÓN – Artículo 5 del Decreto 092 de 2017 – Artículo 96 de la Ley 489 de 1998 – Requisitos </w:t>
      </w:r>
    </w:p>
    <w:p w14:paraId="0AC41AE7" w14:textId="77777777" w:rsidR="008B1909" w:rsidRDefault="008B1909" w:rsidP="008B1909">
      <w:pPr>
        <w:spacing w:after="0" w:line="240" w:lineRule="auto"/>
        <w:jc w:val="both"/>
        <w:rPr>
          <w:rFonts w:ascii="Verdana" w:hAnsi="Verdana" w:cs="Arial"/>
          <w:b/>
          <w:lang w:val="es-ES" w:eastAsia="es-ES"/>
        </w:rPr>
      </w:pPr>
    </w:p>
    <w:p w14:paraId="2048C8CA" w14:textId="77777777" w:rsidR="008B1909" w:rsidRDefault="008B1909" w:rsidP="008B1909">
      <w:pPr>
        <w:spacing w:after="0" w:line="240" w:lineRule="auto"/>
        <w:jc w:val="both"/>
        <w:rPr>
          <w:rFonts w:ascii="Verdana" w:hAnsi="Verdana" w:cs="Arial"/>
          <w:sz w:val="20"/>
          <w:lang w:val="es-MX" w:eastAsia="es-ES"/>
        </w:rPr>
      </w:pPr>
      <w:r w:rsidRPr="003A681A">
        <w:rPr>
          <w:rFonts w:ascii="Verdana" w:hAnsi="Verdana" w:cs="Arial"/>
          <w:sz w:val="20"/>
          <w:lang w:val="es-MX" w:eastAsia="es-ES"/>
        </w:rPr>
        <w:t xml:space="preserve">Los </w:t>
      </w:r>
      <w:r w:rsidRPr="003A681A">
        <w:rPr>
          <w:rFonts w:ascii="Verdana" w:hAnsi="Verdana" w:cs="Arial"/>
          <w:i/>
          <w:iCs/>
          <w:sz w:val="20"/>
          <w:lang w:val="es-MX" w:eastAsia="es-ES"/>
        </w:rPr>
        <w:t>convenios de asociación</w:t>
      </w:r>
      <w:r w:rsidRPr="003A681A">
        <w:rPr>
          <w:rFonts w:ascii="Verdana" w:hAnsi="Verdana" w:cs="Arial"/>
          <w:sz w:val="20"/>
          <w:lang w:val="es-MX" w:eastAsia="es-ES"/>
        </w:rPr>
        <w:t xml:space="preserve"> tienen como fin que la entidad estatal, cualquiera que sea su naturaleza y orden administrativo como es el caso de las entidades territoriales –distritos, municipios, departamentos, entre otros- se asocien con personas jurídicas particulares para el desarrollo conjunto de actividades relacionadas con los cometidos y funciones asignadas a aquellas conforme a la Constitución y a la Ley. Los convenios de asociación están regulados en el artículo 5° del Decreto 092 de 2017 y el artículo 96 de la Ley 489 de 1998, sin dejar de lado los artículos 6,7, 8, 9, 10 y 11 del precitado Decreto Autónomo. </w:t>
      </w:r>
    </w:p>
    <w:p w14:paraId="234BC20E" w14:textId="77777777" w:rsidR="008B1909" w:rsidRPr="003A681A" w:rsidRDefault="008B1909" w:rsidP="008B1909">
      <w:pPr>
        <w:spacing w:after="0" w:line="240" w:lineRule="auto"/>
        <w:jc w:val="both"/>
        <w:rPr>
          <w:rFonts w:ascii="Verdana" w:hAnsi="Verdana" w:cs="Arial"/>
          <w:sz w:val="20"/>
          <w:lang w:val="es-MX" w:eastAsia="es-ES"/>
        </w:rPr>
      </w:pPr>
    </w:p>
    <w:p w14:paraId="2C60504E" w14:textId="77777777" w:rsidR="008B1909" w:rsidRDefault="008B1909" w:rsidP="008B1909">
      <w:pPr>
        <w:spacing w:after="0" w:line="240" w:lineRule="auto"/>
        <w:jc w:val="both"/>
        <w:rPr>
          <w:rFonts w:ascii="Verdana" w:hAnsi="Verdana" w:cs="Arial"/>
          <w:sz w:val="20"/>
          <w:lang w:val="es-MX" w:eastAsia="es-ES"/>
        </w:rPr>
      </w:pPr>
      <w:r w:rsidRPr="003A681A">
        <w:rPr>
          <w:rFonts w:ascii="Verdana" w:hAnsi="Verdana" w:cs="Arial"/>
          <w:sz w:val="20"/>
          <w:lang w:val="es-MX" w:eastAsia="es-ES"/>
        </w:rPr>
        <w:t xml:space="preserve">En estos convenios no existe contraprestación o pago, sino aportes, los cuales están dirigidos, exclusivamente, a lograr la ejecución del convenio y no a remunerar la </w:t>
      </w:r>
      <w:r w:rsidRPr="003A681A">
        <w:rPr>
          <w:rFonts w:ascii="Verdana" w:hAnsi="Verdana" w:cs="Arial"/>
          <w:sz w:val="20"/>
          <w:lang w:val="es-MX" w:eastAsia="es-ES"/>
        </w:rPr>
        <w:lastRenderedPageBreak/>
        <w:t xml:space="preserve">actividad o actuaciones del asociado. De todos modos, la entidad debe adelantar un proceso competitivo, salvo cuando la ESAL comprometa recursos en dinero para la ejecución de estas actividades, en una proporción no inferior al 30% del valor total del convenio. </w:t>
      </w:r>
    </w:p>
    <w:p w14:paraId="05F5832D" w14:textId="77777777" w:rsidR="008B1909" w:rsidRPr="003A681A" w:rsidRDefault="008B1909" w:rsidP="008B1909">
      <w:pPr>
        <w:spacing w:after="0" w:line="240" w:lineRule="auto"/>
        <w:jc w:val="both"/>
        <w:rPr>
          <w:rFonts w:ascii="Verdana" w:hAnsi="Verdana" w:cs="Arial"/>
          <w:sz w:val="20"/>
          <w:lang w:val="es-MX" w:eastAsia="es-ES"/>
        </w:rPr>
      </w:pPr>
    </w:p>
    <w:p w14:paraId="36B609B9" w14:textId="77777777" w:rsidR="008B1909" w:rsidRPr="003A681A" w:rsidRDefault="008B1909" w:rsidP="008B1909">
      <w:pPr>
        <w:spacing w:after="0" w:line="240" w:lineRule="auto"/>
        <w:jc w:val="both"/>
        <w:rPr>
          <w:rFonts w:ascii="Verdana" w:hAnsi="Verdana" w:cs="Arial"/>
          <w:sz w:val="20"/>
          <w:lang w:val="es-MX" w:eastAsia="es-ES"/>
        </w:rPr>
      </w:pPr>
      <w:r w:rsidRPr="003A681A">
        <w:rPr>
          <w:rFonts w:ascii="Verdana" w:hAnsi="Verdana" w:cs="Arial"/>
          <w:sz w:val="20"/>
          <w:lang w:val="es-MX" w:eastAsia="es-ES"/>
        </w:rPr>
        <w:t xml:space="preserve">De conformidad con el inciso segundo del artículo 96 de la Ley 489 de 1998, en estos convenios debe determinarse “con precisión su objeto, término, obligaciones de las partes, aportes, coordinación y todos aquellos aspectos que se consideren pertinentes”, elementos dentro de los que resalta la exigencia de aportes, que debe interpretarse en el sentido de que las ESAL deben realizar aportes a los convenios que suscriban, los cuales pueden ser en dinero, en porcentajes inferiores o superiores al 30%, o en especie, los cuales deben servir al desarrollo de los objetivos comunes de la asociación. </w:t>
      </w:r>
    </w:p>
    <w:p w14:paraId="009FD6C7" w14:textId="77777777" w:rsidR="008B1909" w:rsidRPr="003A681A" w:rsidRDefault="008B1909" w:rsidP="008B1909">
      <w:pPr>
        <w:spacing w:after="0" w:line="240" w:lineRule="auto"/>
        <w:jc w:val="both"/>
        <w:rPr>
          <w:rFonts w:ascii="Verdana" w:hAnsi="Verdana" w:cs="Arial"/>
          <w:b/>
          <w:lang w:val="es-MX" w:eastAsia="es-ES"/>
        </w:rPr>
      </w:pPr>
    </w:p>
    <w:p w14:paraId="0EFF383C" w14:textId="77777777" w:rsidR="008B1909" w:rsidRPr="0086345B" w:rsidRDefault="008B1909" w:rsidP="008B1909">
      <w:pPr>
        <w:spacing w:after="0" w:line="240" w:lineRule="auto"/>
        <w:jc w:val="both"/>
        <w:rPr>
          <w:rFonts w:ascii="Verdana" w:hAnsi="Verdana" w:cs="Arial"/>
          <w:b/>
          <w:lang w:val="es-ES" w:eastAsia="es-ES"/>
        </w:rPr>
      </w:pPr>
      <w:r w:rsidRPr="0086345B">
        <w:rPr>
          <w:rFonts w:ascii="Verdana" w:hAnsi="Verdana" w:cs="Arial"/>
          <w:b/>
          <w:lang w:val="es-ES" w:eastAsia="es-ES"/>
        </w:rPr>
        <w:t xml:space="preserve">CONVENIOS DE ASOCIACIÓN – Requisitos – Nueva Guía para la contratación con Entidades Sin Ánimo de Lucro y reconocida idoneidad </w:t>
      </w:r>
    </w:p>
    <w:p w14:paraId="701D0227" w14:textId="77777777" w:rsidR="008B1909" w:rsidRDefault="008B1909" w:rsidP="008B1909">
      <w:pPr>
        <w:spacing w:after="0" w:line="240" w:lineRule="auto"/>
        <w:jc w:val="both"/>
        <w:rPr>
          <w:rFonts w:ascii="Verdana" w:hAnsi="Verdana" w:cs="Arial"/>
          <w:b/>
          <w:lang w:val="es-ES" w:eastAsia="es-ES"/>
        </w:rPr>
      </w:pPr>
    </w:p>
    <w:p w14:paraId="23E88BE4" w14:textId="77777777" w:rsidR="008B1909" w:rsidRPr="003A681A" w:rsidRDefault="008B1909" w:rsidP="008B1909">
      <w:pPr>
        <w:spacing w:after="0" w:line="240" w:lineRule="auto"/>
        <w:jc w:val="both"/>
        <w:rPr>
          <w:rFonts w:ascii="Verdana" w:hAnsi="Verdana" w:cs="Arial"/>
          <w:sz w:val="20"/>
          <w:lang w:eastAsia="es-ES"/>
        </w:rPr>
      </w:pPr>
      <w:r w:rsidRPr="003A681A">
        <w:rPr>
          <w:rFonts w:ascii="Verdana" w:hAnsi="Verdana" w:cs="Arial"/>
          <w:sz w:val="20"/>
          <w:lang w:val="es-MX" w:eastAsia="es-ES"/>
        </w:rPr>
        <w:t xml:space="preserve">A partir de lo expuesto, se encuentra que en la Nueva </w:t>
      </w:r>
      <w:r w:rsidRPr="003A681A">
        <w:rPr>
          <w:rFonts w:ascii="Verdana" w:hAnsi="Verdana" w:cs="Arial"/>
          <w:bCs/>
          <w:sz w:val="20"/>
          <w:lang w:eastAsia="es-ES"/>
        </w:rPr>
        <w:t>“</w:t>
      </w:r>
      <w:r w:rsidRPr="003A681A">
        <w:rPr>
          <w:rFonts w:ascii="Verdana" w:hAnsi="Verdana" w:cs="Arial"/>
          <w:bCs/>
          <w:i/>
          <w:iCs/>
          <w:sz w:val="20"/>
          <w:lang w:eastAsia="es-ES"/>
        </w:rPr>
        <w:t xml:space="preserve">Guía para la contratación con entidades privadas sin ánimo de lucro y de reconocida idoneidad” </w:t>
      </w:r>
      <w:r w:rsidRPr="003A681A">
        <w:rPr>
          <w:rFonts w:ascii="Verdana" w:hAnsi="Verdana" w:cs="Arial"/>
          <w:sz w:val="20"/>
          <w:lang w:val="es-MX" w:eastAsia="es-ES"/>
        </w:rPr>
        <w:t>se establece tres condiciones para contratar mediante convenios de asociación: en primer lugar, e</w:t>
      </w:r>
      <w:r w:rsidRPr="003A681A">
        <w:rPr>
          <w:rFonts w:ascii="Verdana" w:hAnsi="Verdana" w:cs="Arial"/>
          <w:sz w:val="20"/>
          <w:lang w:eastAsia="es-ES"/>
        </w:rPr>
        <w:t>l convenio de asociación debe suscribirse mediante un proceso competitivo con Entidades Privadas Sin Ánimo de Lucro de reconocida idoneidad, con la condición de que el aporte de la Entidad Privada Sin Ánimo de Lucro sea inferior al 30% en dinero propio o de cooperación internacional. En segundo lugar, la suscripción del convenio de asociación del convenio de asociación no está sujeto a un proceso competitivo cuando la Entidad Privada Sin Ánimo de Lucro comprometa recursos en dinero propio o de cooperación internacional para la ejecución de las actividades en un porcentaje no inferior al 30% del valor total del convenio. Por último, si más de una Entidad Privada Sin Ánimo de Lucro promete recursos en dinero para el desarrollo de las actividades del convenio de asociación en un porcentaje no inferior al 30% del valor total del convenio, la Entidad debe seleccionar de forma objetiva y con justificación las razones para dicha selección.</w:t>
      </w:r>
    </w:p>
    <w:p w14:paraId="2B4B737C" w14:textId="77777777" w:rsidR="008B1909" w:rsidRDefault="008B1909" w:rsidP="008B1909">
      <w:pPr>
        <w:spacing w:after="0" w:line="240" w:lineRule="auto"/>
        <w:rPr>
          <w:rFonts w:ascii="Verdana" w:eastAsia="Verdana" w:hAnsi="Verdana" w:cs="Verdana"/>
        </w:rPr>
      </w:pPr>
    </w:p>
    <w:p w14:paraId="089A24BB" w14:textId="77777777" w:rsidR="008B1909" w:rsidRPr="00345DEC" w:rsidRDefault="008B1909" w:rsidP="008B1909">
      <w:pPr>
        <w:spacing w:after="0" w:line="240" w:lineRule="auto"/>
        <w:jc w:val="both"/>
        <w:rPr>
          <w:rFonts w:ascii="Verdana" w:hAnsi="Verdana" w:cs="Arial"/>
          <w:b/>
          <w:lang w:val="es-ES" w:eastAsia="es-ES"/>
        </w:rPr>
      </w:pPr>
      <w:r w:rsidRPr="00345DEC">
        <w:rPr>
          <w:rFonts w:ascii="Verdana" w:hAnsi="Verdana" w:cs="Arial"/>
          <w:b/>
          <w:lang w:val="es-ES" w:eastAsia="es-ES"/>
        </w:rPr>
        <w:t xml:space="preserve">INTEGRACIÓN NORMATIVA – Convenios de asociación – Reglas </w:t>
      </w:r>
    </w:p>
    <w:p w14:paraId="1C7FD4C1" w14:textId="77777777" w:rsidR="008B1909" w:rsidRPr="00345DEC" w:rsidRDefault="008B1909" w:rsidP="008B1909">
      <w:pPr>
        <w:spacing w:after="0" w:line="240" w:lineRule="auto"/>
        <w:jc w:val="both"/>
        <w:rPr>
          <w:rFonts w:ascii="Verdana" w:hAnsi="Verdana" w:cs="Arial"/>
          <w:bCs/>
          <w:sz w:val="20"/>
          <w:lang w:eastAsia="es-ES"/>
        </w:rPr>
      </w:pPr>
    </w:p>
    <w:p w14:paraId="6F11BA24" w14:textId="77777777" w:rsidR="008B1909" w:rsidRPr="00345DEC" w:rsidRDefault="008B1909" w:rsidP="008B1909">
      <w:pPr>
        <w:spacing w:after="0" w:line="240" w:lineRule="auto"/>
        <w:jc w:val="both"/>
        <w:rPr>
          <w:rFonts w:ascii="Verdana" w:hAnsi="Verdana" w:cs="Arial"/>
          <w:sz w:val="20"/>
          <w:szCs w:val="20"/>
          <w:lang w:eastAsia="es-ES"/>
        </w:rPr>
      </w:pPr>
      <w:r w:rsidRPr="00345DEC">
        <w:rPr>
          <w:rFonts w:ascii="Verdana" w:hAnsi="Verdana" w:cs="Arial"/>
          <w:sz w:val="20"/>
          <w:szCs w:val="20"/>
          <w:lang w:eastAsia="es-ES"/>
        </w:rPr>
        <w:t>Sobre la interpretación de estos artículos del Decreto 092 de 2017, esta Agencia en el Concepto C-223 del 29 de abril de 2020 señaló que cuando el artículo 8 menciona a las “[…] normas generales aplicables a la contratación pública […]”, bien podrían referirse a las disposiciones comunes del Estatuto General –</w:t>
      </w:r>
      <w:r w:rsidRPr="00345DEC">
        <w:rPr>
          <w:rFonts w:ascii="Verdana" w:hAnsi="Verdana" w:cs="Arial"/>
          <w:i/>
          <w:iCs/>
          <w:sz w:val="20"/>
          <w:szCs w:val="20"/>
          <w:lang w:eastAsia="es-ES"/>
        </w:rPr>
        <w:t xml:space="preserve">remisión parcial </w:t>
      </w:r>
      <w:proofErr w:type="spellStart"/>
      <w:r w:rsidRPr="00345DEC">
        <w:rPr>
          <w:rFonts w:ascii="Verdana" w:hAnsi="Verdana" w:cs="Arial"/>
          <w:i/>
          <w:iCs/>
          <w:sz w:val="20"/>
          <w:szCs w:val="20"/>
          <w:lang w:eastAsia="es-ES"/>
        </w:rPr>
        <w:t>latu</w:t>
      </w:r>
      <w:proofErr w:type="spellEnd"/>
      <w:r w:rsidRPr="00345DEC">
        <w:rPr>
          <w:rFonts w:ascii="Verdana" w:hAnsi="Verdana" w:cs="Arial"/>
          <w:i/>
          <w:iCs/>
          <w:sz w:val="20"/>
          <w:szCs w:val="20"/>
          <w:lang w:eastAsia="es-ES"/>
        </w:rPr>
        <w:t xml:space="preserve"> sensu</w:t>
      </w:r>
      <w:r w:rsidRPr="00345DEC">
        <w:rPr>
          <w:rFonts w:ascii="Verdana" w:hAnsi="Verdana" w:cs="Arial"/>
          <w:sz w:val="20"/>
          <w:szCs w:val="20"/>
          <w:lang w:eastAsia="es-ES"/>
        </w:rPr>
        <w:t>– o a la totalidad de la Ley 80 de 1993 –</w:t>
      </w:r>
      <w:r w:rsidRPr="00345DEC">
        <w:rPr>
          <w:rFonts w:ascii="Verdana" w:hAnsi="Verdana" w:cs="Arial"/>
          <w:i/>
          <w:iCs/>
          <w:sz w:val="20"/>
          <w:szCs w:val="20"/>
          <w:lang w:eastAsia="es-ES"/>
        </w:rPr>
        <w:t>remisión integral</w:t>
      </w:r>
      <w:r w:rsidRPr="00345DEC">
        <w:rPr>
          <w:rFonts w:ascii="Verdana" w:hAnsi="Verdana" w:cs="Arial"/>
          <w:sz w:val="20"/>
          <w:szCs w:val="20"/>
          <w:lang w:eastAsia="es-ES"/>
        </w:rPr>
        <w:t xml:space="preserve">–. En esta medida, determinar el alcance de la remisión del artículo 8 del Decreto 092 requiere considerar que no hay lugar a distinguir entre normas de carácter general o especial dentro del Estatuto de Contratación de la Administración Pública, ya que de la competencia dispuesta en el inciso final del artículo 150 de la Constitución Política se desprende que todas estas disposiciones regulan con el mismo grado de generalidad la actividad contractual del Estado.     </w:t>
      </w:r>
    </w:p>
    <w:p w14:paraId="161EE29A" w14:textId="77777777" w:rsidR="008B1909" w:rsidRPr="00345DEC" w:rsidRDefault="008B1909" w:rsidP="008B1909">
      <w:pPr>
        <w:spacing w:after="0" w:line="240" w:lineRule="auto"/>
        <w:jc w:val="both"/>
        <w:rPr>
          <w:rFonts w:ascii="Verdana" w:hAnsi="Verdana" w:cs="Arial"/>
          <w:sz w:val="20"/>
          <w:szCs w:val="20"/>
          <w:lang w:eastAsia="es-ES"/>
        </w:rPr>
      </w:pPr>
    </w:p>
    <w:p w14:paraId="39E7FA99" w14:textId="77777777" w:rsidR="008B1909" w:rsidRDefault="008B1909" w:rsidP="008B1909">
      <w:pPr>
        <w:spacing w:after="0" w:line="240" w:lineRule="auto"/>
        <w:jc w:val="both"/>
        <w:rPr>
          <w:rFonts w:ascii="Verdana" w:hAnsi="Verdana" w:cs="Arial"/>
          <w:sz w:val="20"/>
          <w:szCs w:val="20"/>
          <w:lang w:val="es-ES" w:eastAsia="es-ES"/>
        </w:rPr>
      </w:pPr>
      <w:r w:rsidRPr="00345DEC">
        <w:rPr>
          <w:rFonts w:ascii="Verdana" w:hAnsi="Verdana" w:cs="Arial"/>
          <w:sz w:val="20"/>
          <w:szCs w:val="20"/>
          <w:lang w:val="es-ES" w:eastAsia="es-ES"/>
        </w:rPr>
        <w:lastRenderedPageBreak/>
        <w:t xml:space="preserve">Por ello, considerando que la Ley 80 de 1993 tiene el mismo grado de generalidad, se concluyó que el artículo 8 del Decreto 092 de 2017 remite integralmente al Estatuto de Contratación. Esta remisión alcanza tanto el régimen de inhabilidades e incompatibilidades como los principios aplicables a la contratación estatal. Por tanto, los artículos 6, 7 y 8 del reglamento autónomo deben interpretarse en bloque, es decir, aplicando la Ley 80 de 1993 a todo supuesto que no esté expresamente regulado en el Decreto 092 de 2017. </w:t>
      </w:r>
    </w:p>
    <w:p w14:paraId="13859275" w14:textId="77777777" w:rsidR="008B1909" w:rsidRPr="00345DEC" w:rsidRDefault="008B1909" w:rsidP="008B1909">
      <w:pPr>
        <w:spacing w:after="0" w:line="240" w:lineRule="auto"/>
        <w:jc w:val="both"/>
        <w:rPr>
          <w:rFonts w:ascii="Verdana" w:hAnsi="Verdana" w:cs="Arial"/>
          <w:sz w:val="20"/>
          <w:szCs w:val="20"/>
          <w:lang w:val="es-ES" w:eastAsia="es-ES"/>
        </w:rPr>
      </w:pPr>
    </w:p>
    <w:p w14:paraId="065041F0" w14:textId="77777777" w:rsidR="008B1909" w:rsidRPr="00345DEC" w:rsidRDefault="008B1909" w:rsidP="008B1909">
      <w:pPr>
        <w:spacing w:after="0" w:line="240" w:lineRule="auto"/>
        <w:jc w:val="both"/>
        <w:rPr>
          <w:rFonts w:ascii="Verdana" w:hAnsi="Verdana" w:cs="Arial"/>
          <w:sz w:val="20"/>
          <w:szCs w:val="20"/>
          <w:lang w:val="es-ES_tradnl" w:eastAsia="es-ES"/>
        </w:rPr>
      </w:pPr>
      <w:r w:rsidRPr="00345DEC">
        <w:rPr>
          <w:rFonts w:ascii="Verdana" w:hAnsi="Verdana" w:cs="Arial"/>
          <w:sz w:val="20"/>
          <w:szCs w:val="20"/>
          <w:lang w:val="es-ES_tradnl" w:eastAsia="es-ES"/>
        </w:rPr>
        <w:t xml:space="preserve">En esta medida, los </w:t>
      </w:r>
      <w:r w:rsidRPr="00345DEC">
        <w:rPr>
          <w:rFonts w:ascii="Verdana" w:hAnsi="Verdana" w:cs="Arial"/>
          <w:i/>
          <w:iCs/>
          <w:sz w:val="20"/>
          <w:szCs w:val="20"/>
          <w:lang w:val="es-ES_tradnl" w:eastAsia="es-ES"/>
        </w:rPr>
        <w:t xml:space="preserve">contratos del artículo 355 de la Constitución </w:t>
      </w:r>
      <w:r w:rsidRPr="00345DEC">
        <w:rPr>
          <w:rFonts w:ascii="Verdana" w:hAnsi="Verdana" w:cs="Arial"/>
          <w:sz w:val="20"/>
          <w:szCs w:val="20"/>
          <w:lang w:val="es-ES_tradnl" w:eastAsia="es-ES"/>
        </w:rPr>
        <w:t xml:space="preserve">y los </w:t>
      </w:r>
      <w:r w:rsidRPr="00345DEC">
        <w:rPr>
          <w:rFonts w:ascii="Verdana" w:hAnsi="Verdana" w:cs="Arial"/>
          <w:i/>
          <w:iCs/>
          <w:sz w:val="20"/>
          <w:szCs w:val="20"/>
          <w:lang w:val="es-ES_tradnl" w:eastAsia="es-ES"/>
        </w:rPr>
        <w:t>convenios de asociación</w:t>
      </w:r>
      <w:r w:rsidRPr="00345DEC">
        <w:rPr>
          <w:rFonts w:ascii="Verdana" w:hAnsi="Verdana" w:cs="Arial"/>
          <w:sz w:val="20"/>
          <w:szCs w:val="20"/>
          <w:lang w:val="es-ES_tradnl" w:eastAsia="es-ES"/>
        </w:rPr>
        <w:t xml:space="preserve"> se rigen por el decreto y las normas del Estatuto General que sean compatibles con él, como, por ejemplo, los fines de la contratación –art. 3–, los derechos y deberes del contratante y del contratista –arts. 4 y 5–, los consorcios o uniones temporales –art. 7–, el régimen de inhabilidades e incompatibilidades –art. 8–, los principios de la contratación estatal –art. 23 y ss.–, las tipologías contractuales –art. 32–, el contenido del contrato y la prohibición de adicionarlo en más del cincuenta por ciento –art. 40–, el régimen de perfeccionamiento –art. 41–, las causales de nulidad –art. 44 y ss.–, el régimen de responsabilidad contractual –art. 50 y ss.– y de liquidación de los contratos –art. 60–. </w:t>
      </w:r>
      <w:r w:rsidRPr="00345DEC">
        <w:rPr>
          <w:rFonts w:ascii="Verdana" w:hAnsi="Verdana" w:cs="Arial"/>
          <w:sz w:val="20"/>
          <w:szCs w:val="20"/>
          <w:lang w:val="es-ES" w:eastAsia="es-ES"/>
        </w:rPr>
        <w:t xml:space="preserve">Ahora bien, esta remisión del artículo 8 del Decreto 092 de 2017 no puede integrarse de plano con las normas del Estatuto General de Contratación de la Administración Pública, sin tener en cuenta las características y condiciones especiales de los diferentes tipos de convenios que se suscribe bajo el amparo del artículo 355 de la Constitución Política y cuya reglamentación está dispuesta en el Decreto 092 de 2017.  </w:t>
      </w:r>
    </w:p>
    <w:p w14:paraId="4FFE46D7" w14:textId="77777777" w:rsidR="008B1909" w:rsidRPr="00345DEC" w:rsidRDefault="008B1909" w:rsidP="008B1909">
      <w:pPr>
        <w:spacing w:after="0" w:line="240" w:lineRule="auto"/>
        <w:jc w:val="both"/>
        <w:rPr>
          <w:rFonts w:ascii="Verdana" w:hAnsi="Verdana" w:cs="Arial"/>
          <w:b/>
          <w:lang w:eastAsia="es-ES"/>
        </w:rPr>
      </w:pPr>
    </w:p>
    <w:p w14:paraId="68F077DA" w14:textId="77777777" w:rsidR="008B1909" w:rsidRPr="00345DEC" w:rsidRDefault="008B1909" w:rsidP="008B1909">
      <w:pPr>
        <w:spacing w:after="0" w:line="240" w:lineRule="auto"/>
        <w:jc w:val="both"/>
        <w:rPr>
          <w:rFonts w:ascii="Verdana" w:hAnsi="Verdana" w:cs="Arial"/>
          <w:b/>
          <w:lang w:val="es-ES" w:eastAsia="es-ES"/>
        </w:rPr>
      </w:pPr>
      <w:r>
        <w:rPr>
          <w:rFonts w:ascii="Verdana" w:hAnsi="Verdana" w:cs="Arial"/>
          <w:b/>
          <w:lang w:val="es-ES" w:eastAsia="es-ES"/>
        </w:rPr>
        <w:t>I</w:t>
      </w:r>
      <w:r w:rsidRPr="00345DEC">
        <w:rPr>
          <w:rFonts w:ascii="Verdana" w:hAnsi="Verdana" w:cs="Arial"/>
          <w:b/>
          <w:lang w:val="es-ES" w:eastAsia="es-ES"/>
        </w:rPr>
        <w:t xml:space="preserve">NTEGRACIÓN NORMATIVA – Supervisión – Deber de Vigilancia – Seguimiento </w:t>
      </w:r>
    </w:p>
    <w:p w14:paraId="6C32C68D" w14:textId="77777777" w:rsidR="008B1909" w:rsidRPr="00345DEC" w:rsidRDefault="008B1909" w:rsidP="008B1909">
      <w:pPr>
        <w:spacing w:after="0" w:line="240" w:lineRule="auto"/>
        <w:jc w:val="both"/>
        <w:rPr>
          <w:rFonts w:ascii="Verdana" w:hAnsi="Verdana" w:cs="Arial"/>
          <w:sz w:val="20"/>
          <w:szCs w:val="20"/>
          <w:lang w:val="es-ES" w:eastAsia="es-ES"/>
        </w:rPr>
      </w:pPr>
    </w:p>
    <w:p w14:paraId="72F7FFB0" w14:textId="77777777" w:rsidR="008B1909" w:rsidRDefault="008B1909" w:rsidP="008B1909">
      <w:pPr>
        <w:spacing w:after="0" w:line="240" w:lineRule="auto"/>
        <w:jc w:val="both"/>
        <w:rPr>
          <w:rFonts w:ascii="Verdana" w:hAnsi="Verdana" w:cs="Arial"/>
          <w:sz w:val="20"/>
          <w:szCs w:val="20"/>
          <w:lang w:eastAsia="es-ES"/>
        </w:rPr>
      </w:pPr>
      <w:r w:rsidRPr="00E55491">
        <w:rPr>
          <w:rFonts w:ascii="Verdana" w:hAnsi="Verdana" w:cs="Arial"/>
          <w:sz w:val="20"/>
          <w:szCs w:val="20"/>
          <w:lang w:eastAsia="es-ES"/>
        </w:rPr>
        <w:t>En virtud de lo anterior, las partes del convenio de asociación deben establecer las condiciones y medidas que emplearán para verificar el cumplimiento de las actividades pactadas y para realizar una supervisión adecuada durante su ejecución. De cualquier modo, estas estipulaciones deben cumplir con el principio de responsabilidad que rige la contratación estatal, según el cual las entidades públicas están obligadas a vigilar la correcta ejecución del objeto contratado y a proteger tanto los derechos de la propia entidad como los del asociado ejecutor y terceros que puedan verse afectados por la ejecución del convenio.</w:t>
      </w:r>
    </w:p>
    <w:p w14:paraId="2F18F581" w14:textId="77777777" w:rsidR="008B1909" w:rsidRPr="00E55491" w:rsidRDefault="008B1909" w:rsidP="008B1909">
      <w:pPr>
        <w:spacing w:after="0" w:line="240" w:lineRule="auto"/>
        <w:jc w:val="both"/>
        <w:rPr>
          <w:rFonts w:ascii="Verdana" w:hAnsi="Verdana" w:cs="Arial"/>
          <w:sz w:val="20"/>
          <w:szCs w:val="20"/>
          <w:lang w:eastAsia="es-ES"/>
        </w:rPr>
      </w:pPr>
      <w:r w:rsidRPr="00E55491">
        <w:rPr>
          <w:rFonts w:ascii="Verdana" w:hAnsi="Verdana" w:cs="Arial"/>
          <w:sz w:val="20"/>
          <w:szCs w:val="20"/>
          <w:lang w:eastAsia="es-ES"/>
        </w:rPr>
        <w:t xml:space="preserve"> </w:t>
      </w:r>
    </w:p>
    <w:p w14:paraId="6B8F255C" w14:textId="77777777" w:rsidR="008B1909" w:rsidRPr="00E55491" w:rsidRDefault="008B1909" w:rsidP="008B1909">
      <w:pPr>
        <w:spacing w:after="0" w:line="240" w:lineRule="auto"/>
        <w:jc w:val="both"/>
        <w:rPr>
          <w:rFonts w:ascii="Verdana" w:hAnsi="Verdana" w:cs="Arial"/>
          <w:bCs/>
          <w:sz w:val="20"/>
          <w:szCs w:val="20"/>
          <w:lang w:eastAsia="es-ES"/>
        </w:rPr>
      </w:pPr>
      <w:r w:rsidRPr="00E55491">
        <w:rPr>
          <w:rFonts w:ascii="Verdana" w:hAnsi="Verdana" w:cs="Arial"/>
          <w:bCs/>
          <w:sz w:val="20"/>
          <w:szCs w:val="20"/>
          <w:lang w:val="es-ES" w:eastAsia="es-ES"/>
        </w:rPr>
        <w:t>En todo caso</w:t>
      </w:r>
      <w:r w:rsidRPr="00E55491">
        <w:rPr>
          <w:rFonts w:ascii="Verdana" w:hAnsi="Verdana" w:cs="Arial"/>
          <w:bCs/>
          <w:sz w:val="20"/>
          <w:szCs w:val="20"/>
          <w:lang w:eastAsia="es-ES"/>
        </w:rPr>
        <w:t xml:space="preserve">, no debe entenderse que la entidad contratante se desentienda de la ejecución del objeto contractual por no establecer instrucciones por la naturaleza misma del convenio, ya que, el artículo 83 de la Ley 1474 de 2011, aplicable en los convenios de asociación en virtud del artículo 8 del Decreto 092 de 2017, señala que el supervisor o el interventor, según sea el caso, deberá cumplir con las funciones propias del rol correspondiente, efectuando un verdadero seguimiento de carácter técnico, administrativo, financiero, contable y jurídico pertinente. Por tanto, no pueden confundirse las reglas generales que se impartan al contratista por parte de las entidades contratantes en el marco del seguimiento y control a la ejecución contractual, con instrucciones para el cumplimiento del objeto. En otras palabras, no establecer </w:t>
      </w:r>
      <w:r w:rsidRPr="00E55491">
        <w:rPr>
          <w:rFonts w:ascii="Verdana" w:hAnsi="Verdana" w:cs="Arial"/>
          <w:bCs/>
          <w:sz w:val="20"/>
          <w:szCs w:val="20"/>
          <w:lang w:eastAsia="es-ES"/>
        </w:rPr>
        <w:lastRenderedPageBreak/>
        <w:t xml:space="preserve">instrucciones precisas no significa que deje de efectuarse un seguimiento y control a la ejecución del convenio de asociación. </w:t>
      </w:r>
    </w:p>
    <w:p w14:paraId="6D992FE8" w14:textId="77777777" w:rsidR="008B1909" w:rsidRPr="00345DEC" w:rsidRDefault="008B1909" w:rsidP="008B1909">
      <w:pPr>
        <w:spacing w:after="0" w:line="240" w:lineRule="auto"/>
        <w:jc w:val="both"/>
        <w:rPr>
          <w:rFonts w:ascii="Verdana" w:hAnsi="Verdana" w:cs="Arial"/>
          <w:b/>
          <w:lang w:eastAsia="es-ES"/>
        </w:rPr>
      </w:pPr>
    </w:p>
    <w:p w14:paraId="28CFD04B" w14:textId="77777777" w:rsidR="008B1909" w:rsidRPr="00345DEC" w:rsidRDefault="008B1909" w:rsidP="008B1909">
      <w:pPr>
        <w:spacing w:after="0" w:line="240" w:lineRule="auto"/>
        <w:jc w:val="both"/>
        <w:rPr>
          <w:rFonts w:ascii="Verdana" w:hAnsi="Verdana" w:cs="Arial"/>
          <w:b/>
          <w:lang w:val="es-ES" w:eastAsia="es-ES"/>
        </w:rPr>
      </w:pPr>
      <w:r w:rsidRPr="00345DEC">
        <w:rPr>
          <w:rFonts w:ascii="Verdana" w:hAnsi="Verdana" w:cs="Arial"/>
          <w:b/>
          <w:lang w:val="es-ES" w:eastAsia="es-ES"/>
        </w:rPr>
        <w:t xml:space="preserve">SUPERVISIÓN – Seguimiento – Convenios de Asociación </w:t>
      </w:r>
    </w:p>
    <w:p w14:paraId="47768E35" w14:textId="77777777" w:rsidR="008B1909" w:rsidRPr="00E55491" w:rsidRDefault="008B1909" w:rsidP="008B1909">
      <w:pPr>
        <w:spacing w:after="0" w:line="240" w:lineRule="auto"/>
        <w:jc w:val="both"/>
        <w:rPr>
          <w:rFonts w:ascii="Verdana" w:hAnsi="Verdana" w:cs="Arial"/>
          <w:sz w:val="20"/>
          <w:lang w:val="es-ES" w:eastAsia="es-ES"/>
        </w:rPr>
      </w:pPr>
    </w:p>
    <w:p w14:paraId="2A3A739A" w14:textId="77777777" w:rsidR="008B1909" w:rsidRDefault="008B1909" w:rsidP="008B1909">
      <w:pPr>
        <w:spacing w:after="0" w:line="240" w:lineRule="auto"/>
        <w:jc w:val="both"/>
        <w:rPr>
          <w:rFonts w:ascii="Verdana" w:hAnsi="Verdana" w:cs="Arial"/>
          <w:bCs/>
          <w:sz w:val="20"/>
          <w:lang w:val="es-ES" w:eastAsia="es-ES"/>
        </w:rPr>
      </w:pPr>
      <w:r w:rsidRPr="00E55491">
        <w:rPr>
          <w:rFonts w:ascii="Verdana" w:hAnsi="Verdana" w:cs="Arial"/>
          <w:bCs/>
          <w:sz w:val="20"/>
          <w:lang w:eastAsia="es-ES"/>
        </w:rPr>
        <w:t xml:space="preserve">Bajo este contexto, la </w:t>
      </w:r>
      <w:r w:rsidRPr="00E55491">
        <w:rPr>
          <w:rFonts w:ascii="Verdana" w:hAnsi="Verdana" w:cs="Arial"/>
          <w:bCs/>
          <w:sz w:val="20"/>
          <w:lang w:val="es-ES" w:eastAsia="es-ES"/>
        </w:rPr>
        <w:t xml:space="preserve">supervisión en los convenios de asociación tiene como propósito verificar el cumplimiento del objeto contractual y la adecuada utilización de los recursos públicos, pero no puede imponer requisitos o condiciones adicionales que no estén estipulados en el convenio, los estudios previos, los anexos técnicos o demás documentos contractuales, que no estén dentro del marco de la ejecución del convenio. En todo caso, la supervisión puede solicitar o requerir información complementaria, para efectos de control o pedir aclaraciones que faciliten el seguimiento. Dichas solicitudes deben entenderse como parte del ejercicio de vigilancia y no como imposiciones contractuales nuevas. Por tanto, la autonomía del asociado se mantiene, y el incumplimiento solo puede derivarse de la falta de entrega de requisitos expresamente estipulados en el convenio y que tengan relación con la ejecución de este. </w:t>
      </w:r>
    </w:p>
    <w:p w14:paraId="1F71A773" w14:textId="77777777" w:rsidR="008B1909" w:rsidRPr="00E55491" w:rsidRDefault="008B1909" w:rsidP="008B1909">
      <w:pPr>
        <w:spacing w:after="0" w:line="240" w:lineRule="auto"/>
        <w:jc w:val="both"/>
        <w:rPr>
          <w:rFonts w:ascii="Verdana" w:hAnsi="Verdana" w:cs="Arial"/>
          <w:bCs/>
          <w:sz w:val="20"/>
          <w:lang w:val="es-ES" w:eastAsia="es-ES"/>
        </w:rPr>
      </w:pPr>
    </w:p>
    <w:p w14:paraId="6631ABB6" w14:textId="77777777" w:rsidR="008B1909" w:rsidRPr="00E55491" w:rsidRDefault="008B1909" w:rsidP="008B1909">
      <w:pPr>
        <w:spacing w:after="0" w:line="240" w:lineRule="auto"/>
        <w:jc w:val="both"/>
        <w:rPr>
          <w:rFonts w:ascii="Verdana" w:hAnsi="Verdana" w:cs="Arial"/>
          <w:bCs/>
          <w:sz w:val="20"/>
          <w:lang w:val="es-ES_tradnl" w:eastAsia="es-ES"/>
        </w:rPr>
      </w:pPr>
      <w:r w:rsidRPr="00E55491">
        <w:rPr>
          <w:rFonts w:ascii="Verdana" w:hAnsi="Verdana" w:cs="Arial"/>
          <w:bCs/>
          <w:sz w:val="20"/>
          <w:lang w:val="es-ES" w:eastAsia="es-ES"/>
        </w:rPr>
        <w:t>De igual modo</w:t>
      </w:r>
      <w:r w:rsidRPr="00E55491">
        <w:rPr>
          <w:rFonts w:ascii="Verdana" w:hAnsi="Verdana" w:cs="Arial"/>
          <w:bCs/>
          <w:sz w:val="20"/>
          <w:lang w:eastAsia="es-ES"/>
        </w:rPr>
        <w:t xml:space="preserve">, cobra relevancia el deber legal de </w:t>
      </w:r>
      <w:r w:rsidRPr="00E55491">
        <w:rPr>
          <w:rFonts w:ascii="Verdana" w:hAnsi="Verdana" w:cs="Arial"/>
          <w:bCs/>
          <w:sz w:val="20"/>
          <w:lang w:val="es-ES" w:eastAsia="es-ES"/>
        </w:rPr>
        <w:t xml:space="preserve">seguimiento de la ejecución del contrato, que implica la dirección, control y vigilancia de su correcto cumplimiento, la cual permita a las entidades estatales tomar medidas orientadas a la satisfacción de los fines de la contratación. Por esto, el EGCAP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 Esta obligación se predica, en principio, del jefe o representante legal de la entidad, por tener la responsabilidad de la dirección y manejo de la actividad contractual, pero también de los servidores públicos que intervienen en ella, como es el caso de los supervisores. </w:t>
      </w:r>
    </w:p>
    <w:p w14:paraId="668BA280" w14:textId="77777777" w:rsidR="007C31D6" w:rsidRDefault="007C31D6" w:rsidP="007C31D6">
      <w:pPr>
        <w:spacing w:after="0"/>
        <w:rPr>
          <w:rFonts w:ascii="Verdana" w:hAnsi="Verdana"/>
        </w:rPr>
      </w:pPr>
    </w:p>
    <w:p w14:paraId="5E4B9999" w14:textId="77777777" w:rsidR="008B1909" w:rsidRDefault="008B1909" w:rsidP="007C31D6">
      <w:pPr>
        <w:spacing w:after="0"/>
        <w:rPr>
          <w:rFonts w:ascii="Verdana" w:hAnsi="Verdana"/>
        </w:rPr>
      </w:pPr>
    </w:p>
    <w:p w14:paraId="4BD8D4A6" w14:textId="77777777" w:rsidR="008B1909" w:rsidRDefault="008B1909" w:rsidP="007C31D6">
      <w:pPr>
        <w:spacing w:after="0"/>
        <w:rPr>
          <w:rFonts w:ascii="Verdana" w:hAnsi="Verdana"/>
        </w:rPr>
      </w:pPr>
    </w:p>
    <w:p w14:paraId="60A3B1E9" w14:textId="77777777" w:rsidR="008B1909" w:rsidRDefault="008B1909" w:rsidP="007C31D6">
      <w:pPr>
        <w:spacing w:after="0"/>
        <w:rPr>
          <w:rFonts w:ascii="Verdana" w:hAnsi="Verdana"/>
        </w:rPr>
      </w:pPr>
    </w:p>
    <w:p w14:paraId="5FCC854A" w14:textId="77777777" w:rsidR="008B1909" w:rsidRDefault="008B1909" w:rsidP="007C31D6">
      <w:pPr>
        <w:spacing w:after="0"/>
        <w:rPr>
          <w:rFonts w:ascii="Verdana" w:hAnsi="Verdana"/>
        </w:rPr>
      </w:pPr>
    </w:p>
    <w:p w14:paraId="73B002D1" w14:textId="77777777" w:rsidR="008B1909" w:rsidRDefault="008B1909" w:rsidP="007C31D6">
      <w:pPr>
        <w:spacing w:after="0"/>
        <w:rPr>
          <w:rFonts w:ascii="Verdana" w:hAnsi="Verdana"/>
        </w:rPr>
      </w:pPr>
    </w:p>
    <w:p w14:paraId="4FCD04B9" w14:textId="77777777" w:rsidR="008B1909" w:rsidRDefault="008B1909" w:rsidP="007C31D6">
      <w:pPr>
        <w:spacing w:after="0"/>
        <w:rPr>
          <w:rFonts w:ascii="Verdana" w:hAnsi="Verdana"/>
        </w:rPr>
      </w:pPr>
    </w:p>
    <w:p w14:paraId="7DEC1024" w14:textId="77777777" w:rsidR="008B1909" w:rsidRDefault="008B1909" w:rsidP="007C31D6">
      <w:pPr>
        <w:spacing w:after="0"/>
        <w:rPr>
          <w:rFonts w:ascii="Verdana" w:hAnsi="Verdana"/>
        </w:rPr>
      </w:pPr>
    </w:p>
    <w:p w14:paraId="415483D5" w14:textId="77777777" w:rsidR="008B1909" w:rsidRDefault="008B1909" w:rsidP="007C31D6">
      <w:pPr>
        <w:spacing w:after="0"/>
        <w:rPr>
          <w:rFonts w:ascii="Verdana" w:hAnsi="Verdana"/>
        </w:rPr>
      </w:pPr>
    </w:p>
    <w:p w14:paraId="0CEABF0B" w14:textId="77777777" w:rsidR="008B1909" w:rsidRDefault="008B1909" w:rsidP="007C31D6">
      <w:pPr>
        <w:spacing w:after="0"/>
        <w:rPr>
          <w:rFonts w:ascii="Verdana" w:hAnsi="Verdana"/>
        </w:rPr>
      </w:pPr>
    </w:p>
    <w:p w14:paraId="07D7FD5C" w14:textId="77777777" w:rsidR="008B1909" w:rsidRDefault="008B1909" w:rsidP="007C31D6">
      <w:pPr>
        <w:spacing w:after="0"/>
        <w:rPr>
          <w:rFonts w:ascii="Verdana" w:hAnsi="Verdana"/>
        </w:rPr>
      </w:pPr>
    </w:p>
    <w:p w14:paraId="469477B2" w14:textId="77777777" w:rsidR="008B1909" w:rsidRDefault="008B1909" w:rsidP="007C31D6">
      <w:pPr>
        <w:spacing w:after="0"/>
        <w:rPr>
          <w:rFonts w:ascii="Verdana" w:hAnsi="Verdana"/>
        </w:rPr>
      </w:pPr>
    </w:p>
    <w:p w14:paraId="15E5E617" w14:textId="77777777" w:rsidR="007C31D6" w:rsidRDefault="007C31D6" w:rsidP="007C31D6">
      <w:pPr>
        <w:spacing w:after="0"/>
        <w:rPr>
          <w:rFonts w:ascii="Verdana" w:hAnsi="Verdana"/>
        </w:rPr>
      </w:pPr>
    </w:p>
    <w:p w14:paraId="2FB8AED0" w14:textId="77777777" w:rsidR="007C31D6" w:rsidRDefault="007C31D6" w:rsidP="007C31D6">
      <w:pPr>
        <w:spacing w:after="0"/>
        <w:rPr>
          <w:rFonts w:ascii="Verdana" w:hAnsi="Verdana"/>
        </w:rPr>
      </w:pPr>
    </w:p>
    <w:p w14:paraId="5B172CB7" w14:textId="77777777" w:rsidR="007C31D6" w:rsidRDefault="007C31D6" w:rsidP="007C31D6">
      <w:pPr>
        <w:spacing w:after="0"/>
        <w:rPr>
          <w:rFonts w:ascii="Verdana" w:hAnsi="Verdana"/>
        </w:rPr>
      </w:pPr>
    </w:p>
    <w:p w14:paraId="5E56B43C" w14:textId="47416E5F" w:rsidR="008B1909" w:rsidRPr="00203FE9" w:rsidRDefault="00E51574" w:rsidP="007C31D6">
      <w:pPr>
        <w:spacing w:after="0" w:line="240" w:lineRule="auto"/>
        <w:rPr>
          <w:rFonts w:ascii="Verdana" w:eastAsia="Calibri" w:hAnsi="Verdana" w:cs="Arial"/>
          <w:bCs/>
          <w:lang w:eastAsia="es-ES_tradnl"/>
        </w:rPr>
      </w:pPr>
      <w:r w:rsidRPr="00203FE9">
        <w:rPr>
          <w:rFonts w:ascii="Verdana" w:eastAsia="Calibri" w:hAnsi="Verdana" w:cs="Arial"/>
          <w:bCs/>
          <w:lang w:eastAsia="es-ES_tradnl"/>
        </w:rPr>
        <w:lastRenderedPageBreak/>
        <w:t xml:space="preserve">Bogotá D.C., 24 de </w:t>
      </w:r>
      <w:r w:rsidR="00203FE9" w:rsidRPr="00203FE9">
        <w:rPr>
          <w:rFonts w:ascii="Verdana" w:eastAsia="Calibri" w:hAnsi="Verdana" w:cs="Arial"/>
          <w:bCs/>
          <w:lang w:eastAsia="es-ES_tradnl"/>
        </w:rPr>
        <w:t>abril</w:t>
      </w:r>
      <w:r w:rsidRPr="00203FE9">
        <w:rPr>
          <w:rFonts w:ascii="Verdana" w:eastAsia="Calibri" w:hAnsi="Verdana" w:cs="Arial"/>
          <w:bCs/>
          <w:lang w:eastAsia="es-ES_tradnl"/>
        </w:rPr>
        <w:t xml:space="preserve"> de 2026</w:t>
      </w:r>
    </w:p>
    <w:p w14:paraId="1598D87A" w14:textId="744CB39E" w:rsidR="008B1909" w:rsidRDefault="00203FE9" w:rsidP="007C31D6">
      <w:pPr>
        <w:spacing w:after="0" w:line="240" w:lineRule="auto"/>
        <w:rPr>
          <w:rFonts w:ascii="Verdana" w:eastAsia="Calibri" w:hAnsi="Verdana" w:cs="Arial"/>
          <w:lang w:eastAsia="es-ES_tradnl"/>
        </w:rPr>
      </w:pPr>
      <w:r w:rsidRPr="00E51574">
        <w:rPr>
          <w:rFonts w:ascii="Verdana" w:eastAsia="Calibri" w:hAnsi="Verdana" w:cs="Arial"/>
          <w:noProof/>
          <w:lang w:eastAsia="es-ES_tradnl"/>
        </w:rPr>
        <w:drawing>
          <wp:anchor distT="0" distB="0" distL="114300" distR="114300" simplePos="0" relativeHeight="251658240" behindDoc="1" locked="0" layoutInCell="1" allowOverlap="1" wp14:anchorId="42F5705C" wp14:editId="597672BB">
            <wp:simplePos x="0" y="0"/>
            <wp:positionH relativeFrom="margin">
              <wp:align>right</wp:align>
            </wp:positionH>
            <wp:positionV relativeFrom="paragraph">
              <wp:posOffset>53340</wp:posOffset>
            </wp:positionV>
            <wp:extent cx="2779395" cy="850265"/>
            <wp:effectExtent l="0" t="0" r="1905" b="6985"/>
            <wp:wrapSquare wrapText="bothSides"/>
            <wp:docPr id="149760616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606160" name="Imagen 1" descr="Texto&#10;&#10;Descripción generada automá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79395" cy="850265"/>
                    </a:xfrm>
                    <a:prstGeom prst="rect">
                      <a:avLst/>
                    </a:prstGeom>
                  </pic:spPr>
                </pic:pic>
              </a:graphicData>
            </a:graphic>
            <wp14:sizeRelH relativeFrom="page">
              <wp14:pctWidth>0</wp14:pctWidth>
            </wp14:sizeRelH>
            <wp14:sizeRelV relativeFrom="page">
              <wp14:pctHeight>0</wp14:pctHeight>
            </wp14:sizeRelV>
          </wp:anchor>
        </w:drawing>
      </w:r>
    </w:p>
    <w:p w14:paraId="7A7C0E2A" w14:textId="7E10535C" w:rsidR="008B1909" w:rsidRDefault="007C31D6" w:rsidP="007C31D6">
      <w:pPr>
        <w:spacing w:after="0" w:line="240" w:lineRule="auto"/>
        <w:rPr>
          <w:rFonts w:ascii="Verdana" w:eastAsia="Calibri" w:hAnsi="Verdana" w:cs="Arial"/>
          <w:lang w:eastAsia="es-ES_tradnl"/>
        </w:rPr>
      </w:pPr>
      <w:r>
        <w:rPr>
          <w:rFonts w:ascii="Verdana" w:eastAsia="Calibri" w:hAnsi="Verdana" w:cs="Arial"/>
          <w:lang w:eastAsia="es-ES_tradnl"/>
        </w:rPr>
        <w:t>Señor</w:t>
      </w:r>
      <w:r w:rsidR="008B1909">
        <w:rPr>
          <w:rFonts w:ascii="Verdana" w:eastAsia="Calibri" w:hAnsi="Verdana" w:cs="Arial"/>
          <w:lang w:eastAsia="es-ES_tradnl"/>
        </w:rPr>
        <w:t>(a)</w:t>
      </w:r>
    </w:p>
    <w:p w14:paraId="0E28D9AC" w14:textId="0D9908EC" w:rsidR="008B1909" w:rsidRDefault="008B1909" w:rsidP="007C31D6">
      <w:pPr>
        <w:spacing w:after="0" w:line="240" w:lineRule="auto"/>
        <w:rPr>
          <w:rFonts w:ascii="Verdana" w:eastAsia="Calibri" w:hAnsi="Verdana" w:cs="Arial"/>
          <w:lang w:eastAsia="es-ES_tradnl"/>
        </w:rPr>
      </w:pPr>
      <w:r>
        <w:rPr>
          <w:rFonts w:ascii="Verdana" w:eastAsia="Calibri" w:hAnsi="Verdana" w:cs="Arial"/>
          <w:lang w:eastAsia="es-ES_tradnl"/>
        </w:rPr>
        <w:t xml:space="preserve">Anónimo </w:t>
      </w:r>
    </w:p>
    <w:p w14:paraId="06BD2188" w14:textId="2A7A3A71" w:rsidR="008B1909" w:rsidRDefault="008B1909" w:rsidP="007C31D6">
      <w:pPr>
        <w:spacing w:after="0" w:line="240" w:lineRule="auto"/>
        <w:rPr>
          <w:rFonts w:ascii="Verdana" w:eastAsia="Calibri" w:hAnsi="Verdana" w:cs="Arial"/>
          <w:lang w:eastAsia="es-ES_tradnl"/>
        </w:rPr>
      </w:pPr>
      <w:hyperlink r:id="rId11" w:history="1">
        <w:r w:rsidRPr="00EE0C21">
          <w:rPr>
            <w:rStyle w:val="Hipervnculo"/>
            <w:rFonts w:ascii="Verdana" w:eastAsia="Calibri" w:hAnsi="Verdana" w:cs="Arial"/>
            <w:lang w:eastAsia="es-ES_tradnl"/>
          </w:rPr>
          <w:t>valentinabermudez96@hotmail.com</w:t>
        </w:r>
      </w:hyperlink>
    </w:p>
    <w:p w14:paraId="47A473F6" w14:textId="4F9F328A" w:rsidR="008B1909" w:rsidRDefault="008B1909" w:rsidP="007C31D6">
      <w:pPr>
        <w:spacing w:after="0" w:line="240" w:lineRule="auto"/>
        <w:rPr>
          <w:rFonts w:ascii="Verdana" w:eastAsia="Calibri" w:hAnsi="Verdana" w:cs="Arial"/>
          <w:lang w:eastAsia="es-ES_tradnl"/>
        </w:rPr>
      </w:pPr>
      <w:r>
        <w:rPr>
          <w:rFonts w:ascii="Verdana" w:eastAsia="Calibri" w:hAnsi="Verdana" w:cs="Arial"/>
          <w:lang w:eastAsia="es-ES_tradnl"/>
        </w:rPr>
        <w:t>Ciudad</w:t>
      </w:r>
    </w:p>
    <w:p w14:paraId="3CB0F78E" w14:textId="77777777" w:rsidR="008B1909" w:rsidRPr="00514983" w:rsidRDefault="008B1909" w:rsidP="007C31D6">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C31D6" w:rsidRPr="00960F72" w14:paraId="16601339" w14:textId="77777777" w:rsidTr="000E7260">
        <w:trPr>
          <w:trHeight w:val="190"/>
        </w:trPr>
        <w:tc>
          <w:tcPr>
            <w:tcW w:w="2689" w:type="dxa"/>
          </w:tcPr>
          <w:p w14:paraId="638CF024" w14:textId="77777777" w:rsidR="007C31D6" w:rsidRPr="00960F72" w:rsidRDefault="007C31D6" w:rsidP="000E7260">
            <w:pPr>
              <w:jc w:val="both"/>
              <w:rPr>
                <w:rFonts w:ascii="Verdana" w:eastAsia="Calibri" w:hAnsi="Verdana" w:cs="Arial"/>
                <w:b/>
                <w:bCs/>
                <w:lang w:eastAsia="es-ES_tradnl"/>
              </w:rPr>
            </w:pPr>
          </w:p>
        </w:tc>
        <w:tc>
          <w:tcPr>
            <w:tcW w:w="6100" w:type="dxa"/>
          </w:tcPr>
          <w:p w14:paraId="30E57AAF" w14:textId="220748D3" w:rsidR="007C31D6" w:rsidRPr="00960F72" w:rsidRDefault="007C31D6" w:rsidP="000E7260">
            <w:pPr>
              <w:jc w:val="both"/>
              <w:rPr>
                <w:rFonts w:ascii="Verdana" w:eastAsia="Calibri" w:hAnsi="Verdana" w:cs="Arial"/>
                <w:b/>
                <w:bCs/>
                <w:lang w:eastAsia="es-ES"/>
              </w:rPr>
            </w:pPr>
            <w:r w:rsidRPr="00960F72">
              <w:rPr>
                <w:rFonts w:ascii="Verdana" w:eastAsia="Calibri" w:hAnsi="Verdana" w:cs="Arial"/>
                <w:b/>
                <w:bCs/>
                <w:lang w:eastAsia="es-ES"/>
              </w:rPr>
              <w:t xml:space="preserve">Concepto C- </w:t>
            </w:r>
            <w:r w:rsidR="008B1909">
              <w:rPr>
                <w:rFonts w:ascii="Verdana" w:eastAsia="Calibri" w:hAnsi="Verdana" w:cs="Arial"/>
                <w:b/>
                <w:bCs/>
                <w:lang w:eastAsia="es-ES"/>
              </w:rPr>
              <w:t>399</w:t>
            </w:r>
            <w:r>
              <w:rPr>
                <w:rFonts w:ascii="Verdana" w:eastAsia="Calibri" w:hAnsi="Verdana" w:cs="Arial"/>
                <w:b/>
                <w:bCs/>
                <w:lang w:eastAsia="es-ES"/>
              </w:rPr>
              <w:t xml:space="preserve"> </w:t>
            </w:r>
            <w:r w:rsidRPr="00960F72">
              <w:rPr>
                <w:rFonts w:ascii="Verdana" w:eastAsia="Calibri" w:hAnsi="Verdana" w:cs="Arial"/>
                <w:b/>
                <w:bCs/>
                <w:lang w:eastAsia="es-ES"/>
              </w:rPr>
              <w:t>de 202</w:t>
            </w:r>
            <w:r>
              <w:rPr>
                <w:rFonts w:ascii="Verdana" w:eastAsia="Calibri" w:hAnsi="Verdana" w:cs="Arial"/>
                <w:b/>
                <w:bCs/>
                <w:lang w:eastAsia="es-ES"/>
              </w:rPr>
              <w:t>6</w:t>
            </w:r>
          </w:p>
          <w:p w14:paraId="6EA04ABC" w14:textId="77777777" w:rsidR="007C31D6" w:rsidRPr="00960F72" w:rsidRDefault="007C31D6" w:rsidP="000E7260">
            <w:pPr>
              <w:jc w:val="both"/>
              <w:rPr>
                <w:rFonts w:ascii="Verdana" w:eastAsia="Calibri" w:hAnsi="Verdana" w:cs="Arial"/>
                <w:b/>
                <w:bCs/>
                <w:lang w:eastAsia="es-ES"/>
              </w:rPr>
            </w:pPr>
          </w:p>
        </w:tc>
      </w:tr>
      <w:tr w:rsidR="007C31D6" w:rsidRPr="00960F72" w14:paraId="42C90597" w14:textId="77777777" w:rsidTr="000E7260">
        <w:trPr>
          <w:trHeight w:val="884"/>
        </w:trPr>
        <w:tc>
          <w:tcPr>
            <w:tcW w:w="2689" w:type="dxa"/>
          </w:tcPr>
          <w:p w14:paraId="7ECE2E2C" w14:textId="77777777" w:rsidR="007C31D6" w:rsidRPr="00960F72" w:rsidRDefault="007C31D6" w:rsidP="000E7260">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100" w:type="dxa"/>
          </w:tcPr>
          <w:p w14:paraId="14CED5DF" w14:textId="77777777" w:rsidR="008B1909" w:rsidRDefault="008B1909" w:rsidP="000E7260">
            <w:pPr>
              <w:spacing w:line="276" w:lineRule="auto"/>
              <w:jc w:val="both"/>
              <w:rPr>
                <w:rFonts w:ascii="Verdana" w:hAnsi="Verdana" w:cs="Arial"/>
                <w:lang w:val="es-ES" w:eastAsia="es-ES"/>
              </w:rPr>
            </w:pPr>
            <w:r w:rsidRPr="006D0463">
              <w:rPr>
                <w:rFonts w:ascii="Verdana" w:hAnsi="Verdana" w:cs="Arial"/>
                <w:lang w:eastAsia="es-ES"/>
              </w:rPr>
              <w:t xml:space="preserve">ARTÍCULO 355 DE LA CONSTITUCIÓN POLÍTICA – Formas de colaboración o cooperación – Estado y particulares / DECRETO 092 DE 2017 – Convenios de interés público – Convenios de asociación / CONVENIOS DE ASOCIACIÓN – Artículo 5 del Decreto 092 de 2017 – Artículo 96 de la Ley 489 de 1998 – Requisitos </w:t>
            </w:r>
            <w:r w:rsidRPr="006D0463">
              <w:rPr>
                <w:rFonts w:ascii="Verdana" w:hAnsi="Verdana" w:cs="Arial"/>
                <w:lang w:val="es-ES" w:eastAsia="es-ES"/>
              </w:rPr>
              <w:t>/ CONVENIOS DE ASOCIACIÓN – Requisitos – Nueva Guía para la contratación con Entidades Sin Ánimo de Lucro y reconocida idoneidad / INTEGRACIÓN NORMATIVA – Co</w:t>
            </w:r>
            <w:r>
              <w:rPr>
                <w:rFonts w:ascii="Verdana" w:hAnsi="Verdana" w:cs="Arial"/>
                <w:lang w:val="es-ES" w:eastAsia="es-ES"/>
              </w:rPr>
              <w:t>nvenios de asociación – Reglas / INTEGRACIÓN NORMATIVA – Supervisión – Deber de Vigilancia – Seguimiento / SUPERVISIÓN – Seguimiento – Convenios de Asociación</w:t>
            </w:r>
          </w:p>
          <w:p w14:paraId="713614CE" w14:textId="7B26A682" w:rsidR="007C31D6" w:rsidRPr="001F1B6C" w:rsidRDefault="007C31D6" w:rsidP="000E7260">
            <w:pPr>
              <w:spacing w:line="276" w:lineRule="auto"/>
              <w:jc w:val="both"/>
              <w:rPr>
                <w:rFonts w:ascii="Verdana" w:eastAsia="Calibri" w:hAnsi="Verdana" w:cs="Arial"/>
                <w:lang w:val="es-ES" w:eastAsia="es-ES"/>
              </w:rPr>
            </w:pPr>
            <w:r w:rsidRPr="00FD1291">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p>
        </w:tc>
      </w:tr>
      <w:tr w:rsidR="007C31D6" w:rsidRPr="00960F72" w14:paraId="6D1E6EE3" w14:textId="77777777" w:rsidTr="000E7260">
        <w:tc>
          <w:tcPr>
            <w:tcW w:w="2689" w:type="dxa"/>
          </w:tcPr>
          <w:p w14:paraId="34E85B48" w14:textId="77777777" w:rsidR="007C31D6" w:rsidRPr="008149BA" w:rsidRDefault="007C31D6" w:rsidP="000E7260">
            <w:pPr>
              <w:jc w:val="both"/>
              <w:rPr>
                <w:rFonts w:ascii="Verdana" w:eastAsia="Calibri" w:hAnsi="Verdana" w:cs="Arial"/>
                <w:b/>
                <w:lang w:eastAsia="es-ES_tradnl"/>
              </w:rPr>
            </w:pPr>
            <w:r w:rsidRPr="008149BA">
              <w:rPr>
                <w:rFonts w:ascii="Verdana" w:eastAsia="Calibri" w:hAnsi="Verdana" w:cs="Arial"/>
                <w:b/>
                <w:lang w:eastAsia="es-ES_tradnl"/>
              </w:rPr>
              <w:t>Radicación:</w:t>
            </w:r>
            <w:r w:rsidRPr="008149BA">
              <w:rPr>
                <w:rFonts w:ascii="Verdana" w:eastAsia="Calibri" w:hAnsi="Verdana" w:cs="Arial"/>
                <w:lang w:eastAsia="es-ES_tradnl"/>
              </w:rPr>
              <w:t xml:space="preserve">               </w:t>
            </w:r>
          </w:p>
        </w:tc>
        <w:tc>
          <w:tcPr>
            <w:tcW w:w="6100" w:type="dxa"/>
          </w:tcPr>
          <w:p w14:paraId="5102A26F" w14:textId="15057D63" w:rsidR="007C31D6" w:rsidRPr="008149BA" w:rsidRDefault="007C31D6" w:rsidP="000E7260">
            <w:pPr>
              <w:jc w:val="both"/>
              <w:rPr>
                <w:rFonts w:ascii="Verdana" w:eastAsia="Calibri" w:hAnsi="Verdana" w:cs="Arial"/>
                <w:lang w:eastAsia="es-ES_tradnl"/>
              </w:rPr>
            </w:pPr>
            <w:r w:rsidRPr="008149BA">
              <w:rPr>
                <w:rFonts w:ascii="Verdana" w:eastAsia="Calibri" w:hAnsi="Verdana" w:cs="Arial"/>
                <w:lang w:eastAsia="es-ES_tradnl"/>
              </w:rPr>
              <w:t>Respuesta a consulta con radicado No.</w:t>
            </w:r>
            <w:r w:rsidRPr="008149BA">
              <w:rPr>
                <w:rFonts w:ascii="Verdana" w:hAnsi="Verdana" w:cs="Segoe UI"/>
                <w:color w:val="2B2B2B"/>
                <w:shd w:val="clear" w:color="auto" w:fill="FFFFFF"/>
              </w:rPr>
              <w:t xml:space="preserve"> </w:t>
            </w:r>
            <w:r w:rsidR="008B1909" w:rsidRPr="008B1909">
              <w:rPr>
                <w:rFonts w:ascii="Verdana" w:hAnsi="Verdana" w:cs="Segoe UI"/>
                <w:color w:val="2B2B2B"/>
                <w:shd w:val="clear" w:color="auto" w:fill="FFFFFF"/>
              </w:rPr>
              <w:t>1_2026_03_11_003420</w:t>
            </w:r>
          </w:p>
        </w:tc>
      </w:tr>
    </w:tbl>
    <w:p w14:paraId="4390F041" w14:textId="77777777" w:rsidR="007C31D6" w:rsidRPr="00960F72" w:rsidRDefault="007C31D6" w:rsidP="007C31D6">
      <w:pPr>
        <w:spacing w:after="0" w:line="240" w:lineRule="auto"/>
        <w:jc w:val="both"/>
        <w:rPr>
          <w:rFonts w:ascii="Verdana" w:eastAsia="Calibri" w:hAnsi="Verdana" w:cs="Arial"/>
          <w:lang w:eastAsia="es-ES_tradnl"/>
        </w:rPr>
      </w:pPr>
    </w:p>
    <w:p w14:paraId="2A5DB5C5" w14:textId="6DAD4F89" w:rsidR="007C31D6" w:rsidRPr="00960F72" w:rsidRDefault="007C31D6" w:rsidP="007C31D6">
      <w:pPr>
        <w:spacing w:after="0" w:line="276" w:lineRule="auto"/>
        <w:jc w:val="both"/>
        <w:rPr>
          <w:rFonts w:ascii="Verdana" w:eastAsia="Calibri" w:hAnsi="Verdana" w:cs="Arial"/>
          <w:lang w:eastAsia="es-ES"/>
        </w:rPr>
      </w:pPr>
      <w:r>
        <w:rPr>
          <w:rFonts w:ascii="Verdana" w:eastAsia="Calibri" w:hAnsi="Verdana" w:cs="Arial"/>
          <w:lang w:eastAsia="es-ES"/>
        </w:rPr>
        <w:t>Estimad</w:t>
      </w:r>
      <w:r w:rsidR="008B1909">
        <w:rPr>
          <w:rFonts w:ascii="Verdana" w:eastAsia="Calibri" w:hAnsi="Verdana" w:cs="Arial"/>
          <w:lang w:eastAsia="es-ES"/>
        </w:rPr>
        <w:t>o(a)</w:t>
      </w:r>
      <w:r>
        <w:rPr>
          <w:rFonts w:ascii="Verdana" w:eastAsia="Calibri" w:hAnsi="Verdana" w:cs="Arial"/>
          <w:lang w:eastAsia="es-ES"/>
        </w:rPr>
        <w:t xml:space="preserve"> señor</w:t>
      </w:r>
      <w:r w:rsidR="008B1909">
        <w:rPr>
          <w:rFonts w:ascii="Verdana" w:eastAsia="Calibri" w:hAnsi="Verdana" w:cs="Arial"/>
          <w:lang w:eastAsia="es-ES"/>
        </w:rPr>
        <w:t>(a)</w:t>
      </w:r>
      <w:r>
        <w:rPr>
          <w:rFonts w:ascii="Verdana" w:eastAsia="Calibri" w:hAnsi="Verdana" w:cs="Arial"/>
          <w:lang w:eastAsia="es-ES"/>
        </w:rPr>
        <w:t xml:space="preserve"> </w:t>
      </w:r>
      <w:r w:rsidR="008B1909">
        <w:rPr>
          <w:rFonts w:ascii="Verdana" w:eastAsia="Calibri" w:hAnsi="Verdana" w:cs="Arial"/>
          <w:lang w:eastAsia="es-ES"/>
        </w:rPr>
        <w:t>anónimo</w:t>
      </w:r>
      <w:r>
        <w:rPr>
          <w:rFonts w:ascii="Verdana" w:eastAsia="Calibri" w:hAnsi="Verdana" w:cs="Arial"/>
          <w:lang w:eastAsia="es-ES"/>
        </w:rPr>
        <w:t>:</w:t>
      </w:r>
    </w:p>
    <w:p w14:paraId="68131D55" w14:textId="77777777" w:rsidR="007C31D6" w:rsidRPr="00960F72" w:rsidRDefault="007C31D6" w:rsidP="007C31D6">
      <w:pPr>
        <w:tabs>
          <w:tab w:val="left" w:pos="3768"/>
        </w:tabs>
        <w:spacing w:after="0" w:line="276" w:lineRule="auto"/>
        <w:jc w:val="both"/>
        <w:rPr>
          <w:rFonts w:ascii="Verdana" w:eastAsia="Calibri" w:hAnsi="Verdana" w:cs="Arial"/>
          <w:lang w:eastAsia="es-ES"/>
        </w:rPr>
      </w:pPr>
    </w:p>
    <w:p w14:paraId="40592CC1" w14:textId="4167BE80" w:rsidR="007C31D6" w:rsidRPr="00960F72" w:rsidRDefault="007C31D6" w:rsidP="007C31D6">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1</w:t>
      </w:r>
      <w:r w:rsidR="008B1909">
        <w:rPr>
          <w:rFonts w:ascii="Verdana" w:eastAsia="Calibri" w:hAnsi="Verdana" w:cs="Arial"/>
          <w:lang w:eastAsia="es-ES"/>
        </w:rPr>
        <w:t>1</w:t>
      </w:r>
      <w:r>
        <w:rPr>
          <w:rFonts w:ascii="Verdana" w:eastAsia="Calibri" w:hAnsi="Verdana" w:cs="Arial"/>
          <w:lang w:eastAsia="es-ES"/>
        </w:rPr>
        <w:t xml:space="preserve"> </w:t>
      </w:r>
      <w:r w:rsidRPr="00960F72">
        <w:rPr>
          <w:rFonts w:ascii="Verdana" w:eastAsia="Calibri" w:hAnsi="Verdana" w:cs="Arial"/>
          <w:lang w:eastAsia="es-ES"/>
        </w:rPr>
        <w:t xml:space="preserve">de </w:t>
      </w:r>
      <w:r w:rsidR="008B1909">
        <w:rPr>
          <w:rFonts w:ascii="Verdana" w:eastAsia="Calibri" w:hAnsi="Verdana" w:cs="Arial"/>
          <w:lang w:eastAsia="es-ES"/>
        </w:rPr>
        <w:t>marzo</w:t>
      </w:r>
      <w:r w:rsidRPr="00960F72">
        <w:rPr>
          <w:rFonts w:ascii="Verdana" w:eastAsia="Calibri" w:hAnsi="Verdana" w:cs="Arial"/>
          <w:lang w:eastAsia="es-ES"/>
        </w:rPr>
        <w:t xml:space="preserve"> de 202</w:t>
      </w:r>
      <w:r>
        <w:rPr>
          <w:rFonts w:ascii="Verdana" w:eastAsia="Calibri" w:hAnsi="Verdana" w:cs="Arial"/>
          <w:lang w:eastAsia="es-ES"/>
        </w:rPr>
        <w:t>6</w:t>
      </w:r>
      <w:r w:rsidRPr="00960F72">
        <w:rPr>
          <w:rFonts w:ascii="Verdana" w:eastAsia="Calibri" w:hAnsi="Verdana" w:cs="Arial"/>
          <w:lang w:eastAsia="es-ES"/>
        </w:rPr>
        <w:t xml:space="preserve">, en la cual manifiesta lo siguiente: </w:t>
      </w:r>
    </w:p>
    <w:p w14:paraId="3816D104" w14:textId="77777777" w:rsidR="007C31D6" w:rsidRPr="00960F72" w:rsidRDefault="007C31D6" w:rsidP="007C31D6">
      <w:pPr>
        <w:spacing w:after="0" w:line="276" w:lineRule="auto"/>
        <w:jc w:val="both"/>
        <w:rPr>
          <w:rFonts w:ascii="Verdana" w:eastAsia="Calibri" w:hAnsi="Verdana" w:cs="Arial"/>
          <w:lang w:eastAsia="es-ES"/>
        </w:rPr>
      </w:pPr>
    </w:p>
    <w:p w14:paraId="76F727F6" w14:textId="50C5C636" w:rsidR="007C31D6" w:rsidRDefault="00D62793" w:rsidP="008B1909">
      <w:pPr>
        <w:spacing w:after="0" w:line="276"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008B1909" w:rsidRPr="008B1909">
        <w:rPr>
          <w:rFonts w:ascii="Verdana" w:eastAsia="Calibri" w:hAnsi="Verdana" w:cs="Arial"/>
          <w:sz w:val="20"/>
          <w:szCs w:val="20"/>
          <w:lang w:eastAsia="es-ES"/>
        </w:rPr>
        <w:t>Solicitud de concepto jurídico respecto de los límites de supervisión contractual y autonomía del asociado en convenios de asociación regulados por el Decreto 092 de 2017</w:t>
      </w:r>
      <w:r w:rsidR="008B1909">
        <w:rPr>
          <w:rFonts w:ascii="Verdana" w:eastAsia="Calibri" w:hAnsi="Verdana" w:cs="Arial"/>
          <w:sz w:val="20"/>
          <w:szCs w:val="20"/>
          <w:lang w:eastAsia="es-ES"/>
        </w:rPr>
        <w:t>”</w:t>
      </w:r>
      <w:r w:rsidR="007C31D6">
        <w:rPr>
          <w:rFonts w:ascii="Verdana" w:eastAsia="Calibri" w:hAnsi="Verdana" w:cs="Arial"/>
          <w:sz w:val="20"/>
          <w:szCs w:val="20"/>
          <w:lang w:eastAsia="es-ES"/>
        </w:rPr>
        <w:t xml:space="preserve"> </w:t>
      </w:r>
    </w:p>
    <w:p w14:paraId="02C50C52" w14:textId="77777777" w:rsidR="007C31D6" w:rsidRPr="00755387" w:rsidRDefault="007C31D6" w:rsidP="007C31D6">
      <w:pPr>
        <w:spacing w:after="0" w:line="276" w:lineRule="auto"/>
        <w:ind w:right="709"/>
        <w:jc w:val="both"/>
        <w:rPr>
          <w:rFonts w:ascii="Verdana" w:eastAsia="Calibri" w:hAnsi="Verdana" w:cs="Arial"/>
          <w:lang w:eastAsia="es-ES"/>
        </w:rPr>
      </w:pPr>
    </w:p>
    <w:p w14:paraId="5C765451" w14:textId="77777777" w:rsidR="007C31D6" w:rsidRPr="00960F72" w:rsidRDefault="007C31D6" w:rsidP="007C31D6">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428D9FEA" w14:textId="77777777" w:rsidR="007C31D6" w:rsidRDefault="007C31D6" w:rsidP="007C31D6">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1AD97762" w14:textId="77777777" w:rsidR="007C31D6" w:rsidRPr="00960F72" w:rsidRDefault="007C31D6" w:rsidP="00D62793">
      <w:pPr>
        <w:spacing w:after="0" w:line="276" w:lineRule="auto"/>
        <w:jc w:val="both"/>
        <w:rPr>
          <w:rFonts w:ascii="Verdana" w:eastAsia="Calibri" w:hAnsi="Verdana" w:cs="Arial"/>
          <w:lang w:eastAsia="es-ES"/>
        </w:rPr>
      </w:pPr>
    </w:p>
    <w:p w14:paraId="23C5BC0D" w14:textId="77777777" w:rsidR="007C31D6" w:rsidRPr="00960F72" w:rsidRDefault="007C31D6" w:rsidP="007C31D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73CC0334" w14:textId="77777777" w:rsidR="007C31D6" w:rsidRPr="00960F72" w:rsidRDefault="007C31D6" w:rsidP="007C31D6">
      <w:pPr>
        <w:tabs>
          <w:tab w:val="left" w:pos="426"/>
        </w:tabs>
        <w:spacing w:after="0" w:line="276" w:lineRule="auto"/>
        <w:jc w:val="both"/>
        <w:rPr>
          <w:rFonts w:ascii="Verdana" w:eastAsia="Century Gothic" w:hAnsi="Verdana" w:cs="Century Gothic"/>
        </w:rPr>
      </w:pPr>
    </w:p>
    <w:p w14:paraId="74A3E2D7" w14:textId="41EA7C38" w:rsidR="007C31D6" w:rsidRPr="007801A6" w:rsidRDefault="007C31D6" w:rsidP="007C31D6">
      <w:pPr>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00B50930" w:rsidRPr="00B50930">
        <w:rPr>
          <w:rFonts w:ascii="Verdana" w:eastAsia="Century Gothic" w:hAnsi="Verdana" w:cs="Century Gothic"/>
        </w:rPr>
        <w:t>¿Las entidades estatales pueden ejercer funciones de supervisión e intervención en la ejecución de convenios de asociación regulados por el Decreto 092 de 2017</w:t>
      </w:r>
      <w:r w:rsidR="00382933">
        <w:rPr>
          <w:rFonts w:ascii="Verdana" w:eastAsia="Century Gothic" w:hAnsi="Verdana" w:cs="Century Gothic"/>
        </w:rPr>
        <w:t>?</w:t>
      </w:r>
    </w:p>
    <w:p w14:paraId="4E42432C" w14:textId="77777777" w:rsidR="007C31D6" w:rsidRPr="00960F72" w:rsidRDefault="007C31D6" w:rsidP="007C31D6">
      <w:pPr>
        <w:spacing w:after="0" w:line="276" w:lineRule="auto"/>
        <w:jc w:val="both"/>
        <w:rPr>
          <w:rFonts w:ascii="Verdana" w:eastAsia="Century Gothic" w:hAnsi="Verdana" w:cs="Century Gothic"/>
        </w:rPr>
      </w:pPr>
    </w:p>
    <w:p w14:paraId="5F17CC91" w14:textId="77777777" w:rsidR="007C31D6" w:rsidRDefault="007C31D6" w:rsidP="007C31D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2F0FD1DC" w14:textId="77777777" w:rsidR="007C31D6" w:rsidRPr="00027E7B" w:rsidRDefault="007C31D6" w:rsidP="007C31D6">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C31D6" w:rsidRPr="00960F72" w14:paraId="3CC15C7C" w14:textId="77777777" w:rsidTr="000E7260">
        <w:tc>
          <w:tcPr>
            <w:tcW w:w="8828" w:type="dxa"/>
          </w:tcPr>
          <w:p w14:paraId="7C92BF1A" w14:textId="66F62BF6" w:rsidR="00B50930" w:rsidRDefault="00382933" w:rsidP="00B50930">
            <w:pPr>
              <w:spacing w:after="120" w:line="276" w:lineRule="auto"/>
              <w:jc w:val="both"/>
              <w:rPr>
                <w:rFonts w:ascii="Verdana" w:eastAsia="Aptos" w:hAnsi="Verdana" w:cs="Arial"/>
                <w:bCs/>
                <w:lang w:val="es-ES_tradnl"/>
              </w:rPr>
            </w:pPr>
            <w:r>
              <w:rPr>
                <w:rFonts w:ascii="Verdana" w:eastAsia="Aptos" w:hAnsi="Verdana" w:cs="Arial"/>
                <w:bCs/>
              </w:rPr>
              <w:t>En primer lugar, es necesario precisar que l</w:t>
            </w:r>
            <w:r w:rsidR="00B50930">
              <w:rPr>
                <w:rFonts w:ascii="Verdana" w:eastAsia="Aptos" w:hAnsi="Verdana" w:cs="Arial"/>
                <w:bCs/>
              </w:rPr>
              <w:t>os convenios de asociación se caracterizan por no emanar intereses onerosos, o producir</w:t>
            </w:r>
            <w:r w:rsidR="00B50930" w:rsidRPr="00061AC5">
              <w:rPr>
                <w:rFonts w:ascii="Verdana" w:eastAsia="Aptos" w:hAnsi="Verdana" w:cs="Arial"/>
                <w:bCs/>
              </w:rPr>
              <w:t xml:space="preserve"> obligaciones entre los extremos con equivalencia entre sí, como sucede con los contratos de obra o de suministro. </w:t>
            </w:r>
            <w:r w:rsidR="00B50930" w:rsidRPr="00061AC5">
              <w:rPr>
                <w:rFonts w:ascii="Verdana" w:eastAsia="Aptos" w:hAnsi="Verdana" w:cs="Arial"/>
                <w:bCs/>
                <w:lang w:val="es-ES_tradnl"/>
              </w:rPr>
              <w:t>En línea con lo expuesto, resalta la exigencia de determinar con precisión las obligaciones de las partes y los aportes, por lo cual puede estipularse que una de las obligaciones a cargo de una de partes sea lo referente a las labores administrativas necesarias para el desarrollo del objeto contractual.</w:t>
            </w:r>
            <w:r w:rsidR="00B50930">
              <w:rPr>
                <w:rFonts w:ascii="Verdana" w:eastAsia="Aptos" w:hAnsi="Verdana" w:cs="Arial"/>
                <w:bCs/>
                <w:lang w:val="es-ES_tradnl"/>
              </w:rPr>
              <w:t xml:space="preserve"> En tal sentido, e</w:t>
            </w:r>
            <w:r w:rsidR="00B50930" w:rsidRPr="00597308">
              <w:rPr>
                <w:rFonts w:ascii="Verdana" w:eastAsia="Aptos" w:hAnsi="Verdana" w:cs="Arial"/>
                <w:bCs/>
                <w:lang w:val="es-ES_tradnl"/>
              </w:rPr>
              <w:t xml:space="preserve">n los convenios de asociación, el asociado </w:t>
            </w:r>
            <w:r w:rsidR="00B50930" w:rsidRPr="00597308">
              <w:rPr>
                <w:rFonts w:ascii="Verdana" w:eastAsia="Aptos" w:hAnsi="Verdana" w:cs="Arial"/>
                <w:bCs/>
                <w:lang w:val="es-ES_tradnl"/>
              </w:rPr>
              <w:lastRenderedPageBreak/>
              <w:t>mantiene autonomía administrativa, técnica y operativa para organizar y gestionar el talento humano necesario para cumplir con el objeto</w:t>
            </w:r>
            <w:r w:rsidR="00B50930">
              <w:rPr>
                <w:rFonts w:ascii="Verdana" w:eastAsia="Aptos" w:hAnsi="Verdana" w:cs="Arial"/>
                <w:bCs/>
                <w:lang w:val="es-ES_tradnl"/>
              </w:rPr>
              <w:t xml:space="preserve"> del convenio</w:t>
            </w:r>
            <w:r w:rsidR="00B50930" w:rsidRPr="00597308">
              <w:rPr>
                <w:rFonts w:ascii="Verdana" w:eastAsia="Aptos" w:hAnsi="Verdana" w:cs="Arial"/>
                <w:bCs/>
                <w:lang w:val="es-ES_tradnl"/>
              </w:rPr>
              <w:t xml:space="preserve">. </w:t>
            </w:r>
          </w:p>
          <w:p w14:paraId="24BA4CB2" w14:textId="77777777" w:rsidR="00B50930" w:rsidRDefault="00B50930" w:rsidP="00B50930">
            <w:pPr>
              <w:spacing w:after="120" w:line="276" w:lineRule="auto"/>
              <w:ind w:firstLine="709"/>
              <w:jc w:val="both"/>
              <w:rPr>
                <w:rFonts w:ascii="Verdana" w:eastAsia="Aptos" w:hAnsi="Verdana" w:cs="Arial"/>
                <w:bCs/>
                <w:lang w:val="es-ES_tradnl"/>
              </w:rPr>
            </w:pPr>
            <w:r w:rsidRPr="00597308">
              <w:rPr>
                <w:rFonts w:ascii="Verdana" w:eastAsia="Aptos" w:hAnsi="Verdana" w:cs="Arial"/>
                <w:bCs/>
                <w:lang w:val="es-ES_tradnl"/>
              </w:rPr>
              <w:t>E</w:t>
            </w:r>
            <w:r>
              <w:rPr>
                <w:rFonts w:ascii="Verdana" w:eastAsia="Aptos" w:hAnsi="Verdana" w:cs="Arial"/>
                <w:bCs/>
                <w:lang w:val="es-ES_tradnl"/>
              </w:rPr>
              <w:t>sta independencia es necesaria, puesto que el convenio de asociación implica una relación de cooperación, en la que puede reconocerse al asociado como un</w:t>
            </w:r>
            <w:r w:rsidRPr="00597308">
              <w:rPr>
                <w:rFonts w:ascii="Verdana" w:eastAsia="Aptos" w:hAnsi="Verdana" w:cs="Arial"/>
                <w:bCs/>
                <w:lang w:val="es-ES_tradnl"/>
              </w:rPr>
              <w:t xml:space="preserve"> ejecutor con capacidad propia de decisión</w:t>
            </w:r>
            <w:r>
              <w:rPr>
                <w:rFonts w:ascii="Verdana" w:eastAsia="Aptos" w:hAnsi="Verdana" w:cs="Arial"/>
                <w:bCs/>
                <w:lang w:val="es-ES_tradnl"/>
              </w:rPr>
              <w:t>, sin perjuicio del deber de vigilancia y control de la entidad pública</w:t>
            </w:r>
            <w:r w:rsidRPr="00597308">
              <w:rPr>
                <w:rFonts w:ascii="Verdana" w:eastAsia="Aptos" w:hAnsi="Verdana" w:cs="Arial"/>
                <w:bCs/>
                <w:lang w:val="es-ES_tradnl"/>
              </w:rPr>
              <w:t>.</w:t>
            </w:r>
            <w:r>
              <w:rPr>
                <w:rFonts w:ascii="Verdana" w:eastAsia="Aptos" w:hAnsi="Verdana" w:cs="Arial"/>
                <w:bCs/>
                <w:lang w:val="es-ES_tradnl"/>
              </w:rPr>
              <w:t xml:space="preserve"> En esta línea, esta autonomía está respaldada </w:t>
            </w:r>
            <w:r w:rsidRPr="00C85EFE">
              <w:rPr>
                <w:rFonts w:ascii="Verdana" w:eastAsia="Aptos" w:hAnsi="Verdana" w:cs="Arial"/>
                <w:bCs/>
                <w:lang w:val="es-ES_tradnl"/>
              </w:rPr>
              <w:t>por la supervisión de la entidad, cuya función es garantizar que los recursos públicos se utilicen de manera adecuada y que el objeto del convenio. La supervisión n</w:t>
            </w:r>
            <w:r>
              <w:rPr>
                <w:rFonts w:ascii="Verdana" w:eastAsia="Aptos" w:hAnsi="Verdana" w:cs="Arial"/>
                <w:bCs/>
                <w:lang w:val="es-ES_tradnl"/>
              </w:rPr>
              <w:t>o sustituye ni mucho menos coadministra la</w:t>
            </w:r>
            <w:r w:rsidRPr="00C85EFE">
              <w:rPr>
                <w:rFonts w:ascii="Verdana" w:eastAsia="Aptos" w:hAnsi="Verdana" w:cs="Arial"/>
                <w:bCs/>
                <w:lang w:val="es-ES_tradnl"/>
              </w:rPr>
              <w:t xml:space="preserve"> gestión del asociado, pero </w:t>
            </w:r>
            <w:r>
              <w:rPr>
                <w:rFonts w:ascii="Verdana" w:eastAsia="Aptos" w:hAnsi="Verdana" w:cs="Arial"/>
                <w:bCs/>
                <w:lang w:val="es-ES_tradnl"/>
              </w:rPr>
              <w:t xml:space="preserve">dispone </w:t>
            </w:r>
            <w:r w:rsidRPr="00C85EFE">
              <w:rPr>
                <w:rFonts w:ascii="Verdana" w:eastAsia="Aptos" w:hAnsi="Verdana" w:cs="Arial"/>
                <w:bCs/>
                <w:lang w:val="es-ES_tradnl"/>
              </w:rPr>
              <w:t>mecanismos de control, seguimiento y verificación</w:t>
            </w:r>
            <w:r>
              <w:rPr>
                <w:rFonts w:ascii="Verdana" w:eastAsia="Aptos" w:hAnsi="Verdana" w:cs="Arial"/>
                <w:bCs/>
                <w:lang w:val="es-ES_tradnl"/>
              </w:rPr>
              <w:t xml:space="preserve"> de ejecución del convenio de asociación</w:t>
            </w:r>
            <w:r w:rsidRPr="00C85EFE">
              <w:rPr>
                <w:rFonts w:ascii="Verdana" w:eastAsia="Aptos" w:hAnsi="Verdana" w:cs="Arial"/>
                <w:bCs/>
                <w:lang w:val="es-ES_tradnl"/>
              </w:rPr>
              <w:t>.</w:t>
            </w:r>
          </w:p>
          <w:p w14:paraId="1A1D1312" w14:textId="77777777" w:rsidR="00B50930" w:rsidRPr="00240397" w:rsidRDefault="00B50930" w:rsidP="00B50930">
            <w:pPr>
              <w:spacing w:after="120" w:line="276" w:lineRule="auto"/>
              <w:ind w:firstLine="709"/>
              <w:jc w:val="both"/>
              <w:rPr>
                <w:rFonts w:ascii="Verdana" w:eastAsia="Calibri" w:hAnsi="Verdana" w:cs="Arial"/>
                <w:bCs/>
                <w:color w:val="000000"/>
              </w:rPr>
            </w:pPr>
            <w:r>
              <w:rPr>
                <w:rFonts w:ascii="Verdana" w:eastAsia="Calibri" w:hAnsi="Verdana" w:cs="Arial"/>
                <w:bCs/>
                <w:color w:val="000000"/>
                <w:lang w:val="es-ES"/>
              </w:rPr>
              <w:t xml:space="preserve">Esto </w:t>
            </w:r>
            <w:r w:rsidRPr="00C3281B">
              <w:rPr>
                <w:rFonts w:ascii="Verdana" w:eastAsia="Calibri" w:hAnsi="Verdana" w:cs="Arial"/>
                <w:bCs/>
                <w:color w:val="000000"/>
              </w:rPr>
              <w:t>no debe entenderse que la entidad contratante se desentienda de la ejecución del objeto contractual</w:t>
            </w:r>
            <w:r>
              <w:rPr>
                <w:rFonts w:ascii="Verdana" w:eastAsia="Calibri" w:hAnsi="Verdana" w:cs="Arial"/>
                <w:bCs/>
                <w:color w:val="000000"/>
              </w:rPr>
              <w:t xml:space="preserve"> por no establecer instrucciones por la naturaleza misma del convenio, ya que</w:t>
            </w:r>
            <w:r w:rsidRPr="00C3281B">
              <w:rPr>
                <w:rFonts w:ascii="Verdana" w:eastAsia="Calibri" w:hAnsi="Verdana" w:cs="Arial"/>
                <w:bCs/>
                <w:color w:val="000000"/>
              </w:rPr>
              <w:t xml:space="preserve">, el artículo 83 de la Ley 1474 de 2011, aplicable en los convenios de </w:t>
            </w:r>
            <w:r>
              <w:rPr>
                <w:rFonts w:ascii="Verdana" w:eastAsia="Calibri" w:hAnsi="Verdana" w:cs="Arial"/>
                <w:bCs/>
                <w:color w:val="000000"/>
              </w:rPr>
              <w:t xml:space="preserve">asociación </w:t>
            </w:r>
            <w:r w:rsidRPr="00C3281B">
              <w:rPr>
                <w:rFonts w:ascii="Verdana" w:eastAsia="Calibri" w:hAnsi="Verdana" w:cs="Arial"/>
                <w:bCs/>
                <w:color w:val="000000"/>
              </w:rPr>
              <w:t xml:space="preserve">en virtud del artículo 8 del Decreto 092 de 2017, </w:t>
            </w:r>
            <w:r>
              <w:rPr>
                <w:rFonts w:ascii="Verdana" w:eastAsia="Calibri" w:hAnsi="Verdana" w:cs="Arial"/>
                <w:bCs/>
                <w:color w:val="000000"/>
              </w:rPr>
              <w:t xml:space="preserve">señala que </w:t>
            </w:r>
            <w:r w:rsidRPr="00C3281B">
              <w:rPr>
                <w:rFonts w:ascii="Verdana" w:eastAsia="Calibri" w:hAnsi="Verdana" w:cs="Arial"/>
                <w:bCs/>
                <w:color w:val="000000"/>
              </w:rPr>
              <w:t>el supervisor o el interventor, según sea el caso, deberá cumplir con las funciones propias del rol correspondiente, efectuando un verdadero seguimiento de carácter técnico, administrativo, financiero</w:t>
            </w:r>
            <w:r>
              <w:rPr>
                <w:rFonts w:ascii="Verdana" w:eastAsia="Calibri" w:hAnsi="Verdana" w:cs="Arial"/>
                <w:bCs/>
                <w:color w:val="000000"/>
              </w:rPr>
              <w:t>, contable y jurídico pertinente. Bajo este contexto</w:t>
            </w:r>
            <w:r>
              <w:rPr>
                <w:rFonts w:ascii="Verdana" w:eastAsia="Aptos" w:hAnsi="Verdana" w:cs="Arial"/>
                <w:bCs/>
                <w:lang w:val="es-ES"/>
              </w:rPr>
              <w:t>, la supervisión puede solicitar o requerir información complementaria, para</w:t>
            </w:r>
            <w:r w:rsidRPr="00CD1657">
              <w:rPr>
                <w:rFonts w:ascii="Verdana" w:eastAsia="Aptos" w:hAnsi="Verdana" w:cs="Arial"/>
                <w:bCs/>
                <w:lang w:val="es-ES"/>
              </w:rPr>
              <w:t xml:space="preserve"> efectos de control o pedir aclaraciones que faciliten el seguimiento. </w:t>
            </w:r>
            <w:r>
              <w:rPr>
                <w:rFonts w:ascii="Verdana" w:eastAsia="Aptos" w:hAnsi="Verdana" w:cs="Arial"/>
                <w:bCs/>
                <w:lang w:val="es-ES"/>
              </w:rPr>
              <w:t xml:space="preserve">Dichas </w:t>
            </w:r>
            <w:r w:rsidRPr="00CD1657">
              <w:rPr>
                <w:rFonts w:ascii="Verdana" w:eastAsia="Aptos" w:hAnsi="Verdana" w:cs="Arial"/>
                <w:bCs/>
                <w:lang w:val="es-ES"/>
              </w:rPr>
              <w:t xml:space="preserve">solicitudes deben entenderse como parte del ejercicio de vigilancia y no como imposiciones contractuales nuevas. Por tanto, la autonomía del asociado se mantiene, y el incumplimiento solo puede derivarse de la falta de entrega de requisitos expresamente </w:t>
            </w:r>
            <w:r>
              <w:rPr>
                <w:rFonts w:ascii="Verdana" w:eastAsia="Aptos" w:hAnsi="Verdana" w:cs="Arial"/>
                <w:bCs/>
                <w:lang w:val="es-ES"/>
              </w:rPr>
              <w:t xml:space="preserve">estipulados </w:t>
            </w:r>
            <w:r w:rsidRPr="00CD1657">
              <w:rPr>
                <w:rFonts w:ascii="Verdana" w:eastAsia="Aptos" w:hAnsi="Verdana" w:cs="Arial"/>
                <w:bCs/>
                <w:lang w:val="es-ES"/>
              </w:rPr>
              <w:t xml:space="preserve">en el convenio </w:t>
            </w:r>
            <w:r>
              <w:rPr>
                <w:rFonts w:ascii="Verdana" w:eastAsia="Aptos" w:hAnsi="Verdana" w:cs="Arial"/>
                <w:bCs/>
                <w:lang w:val="es-ES"/>
              </w:rPr>
              <w:t xml:space="preserve">y que tengan relación con la ejecución de este. </w:t>
            </w:r>
          </w:p>
          <w:p w14:paraId="5D41B4C9" w14:textId="5DDA5E99" w:rsidR="007C31D6" w:rsidRPr="00B50930" w:rsidRDefault="00B50930" w:rsidP="00B50930">
            <w:pPr>
              <w:snapToGrid w:val="0"/>
              <w:spacing w:line="276" w:lineRule="auto"/>
              <w:ind w:firstLine="708"/>
              <w:contextualSpacing/>
              <w:jc w:val="both"/>
              <w:rPr>
                <w:rFonts w:ascii="Verdana" w:hAnsi="Verdana" w:cs="Arial"/>
                <w:bCs/>
                <w:lang w:val="es-ES_tradnl" w:eastAsia="es-ES"/>
              </w:rPr>
            </w:pPr>
            <w:r>
              <w:rPr>
                <w:rFonts w:ascii="Verdana" w:hAnsi="Verdana" w:cs="Arial"/>
                <w:bCs/>
                <w:lang w:val="es-ES" w:eastAsia="es-ES"/>
              </w:rPr>
              <w:t>De igual modo</w:t>
            </w:r>
            <w:r w:rsidRPr="00122CAD">
              <w:rPr>
                <w:rFonts w:ascii="Verdana" w:hAnsi="Verdana" w:cs="Arial"/>
                <w:bCs/>
                <w:lang w:eastAsia="es-ES"/>
              </w:rPr>
              <w:t xml:space="preserve">, cobra relevancia el deber legal de </w:t>
            </w:r>
            <w:r w:rsidRPr="00122CAD">
              <w:rPr>
                <w:rFonts w:ascii="Verdana" w:hAnsi="Verdana" w:cs="Arial"/>
                <w:bCs/>
                <w:lang w:val="es-ES" w:eastAsia="es-ES"/>
              </w:rPr>
              <w:t xml:space="preserve">seguimiento de la ejecución del contrato, que implica la dirección, control y vigilancia de su correcto cumplimiento, la cual permita a las entidades estatales tomar medidas orientadas a la satisfacción de los fines de la contratación. Por esto, el EGCAP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 Esta obligación se predica, en principio, </w:t>
            </w:r>
            <w:r w:rsidRPr="00122CAD">
              <w:rPr>
                <w:rFonts w:ascii="Verdana" w:hAnsi="Verdana" w:cs="Arial"/>
                <w:bCs/>
                <w:lang w:val="es-ES" w:eastAsia="es-ES"/>
              </w:rPr>
              <w:lastRenderedPageBreak/>
              <w:t xml:space="preserve">del jefe o representante legal de la entidad, por tener la responsabilidad de la dirección y manejo de la actividad contractual, pero también de los servidores públicos que intervienen en ella, como es el caso de los supervisores. </w:t>
            </w:r>
          </w:p>
        </w:tc>
      </w:tr>
    </w:tbl>
    <w:p w14:paraId="6105D63D" w14:textId="77777777" w:rsidR="007C31D6" w:rsidRPr="00960F72" w:rsidRDefault="007C31D6" w:rsidP="007C31D6">
      <w:pPr>
        <w:tabs>
          <w:tab w:val="left" w:pos="142"/>
          <w:tab w:val="left" w:pos="284"/>
        </w:tabs>
        <w:spacing w:after="0" w:line="276" w:lineRule="auto"/>
        <w:jc w:val="both"/>
        <w:rPr>
          <w:rFonts w:ascii="Verdana" w:eastAsia="Century Gothic" w:hAnsi="Verdana" w:cs="Century Gothic"/>
          <w:b/>
          <w:bCs/>
        </w:rPr>
      </w:pPr>
    </w:p>
    <w:p w14:paraId="37F8D028" w14:textId="77777777" w:rsidR="007C31D6" w:rsidRDefault="007C31D6" w:rsidP="007C31D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5F565AE2" w14:textId="77777777" w:rsidR="007C31D6" w:rsidRDefault="007C31D6" w:rsidP="007C31D6">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721C6B8F" w14:textId="77777777" w:rsidR="00B50930" w:rsidRPr="00F17EB6" w:rsidRDefault="00B50930" w:rsidP="00B50930">
      <w:pPr>
        <w:spacing w:after="120" w:line="276" w:lineRule="auto"/>
        <w:jc w:val="both"/>
        <w:rPr>
          <w:rFonts w:ascii="Verdana" w:eastAsia="Calibri" w:hAnsi="Verdana" w:cs="Arial"/>
          <w:color w:val="000000"/>
          <w:lang w:val="es-MX"/>
        </w:rPr>
      </w:pPr>
      <w:r>
        <w:rPr>
          <w:rFonts w:ascii="Verdana" w:eastAsia="Calibri" w:hAnsi="Verdana" w:cs="Arial"/>
          <w:bCs/>
          <w:lang w:val="es-ES_tradnl"/>
        </w:rPr>
        <w:t>i.</w:t>
      </w:r>
      <w:r>
        <w:rPr>
          <w:rFonts w:ascii="Verdana" w:eastAsia="Calibri" w:hAnsi="Verdana" w:cs="Arial"/>
          <w:color w:val="000000"/>
          <w:lang w:val="es-MX"/>
        </w:rPr>
        <w:t xml:space="preserve"> </w:t>
      </w:r>
      <w:r w:rsidRPr="00F17EB6">
        <w:rPr>
          <w:rFonts w:ascii="Verdana" w:eastAsia="Calibri" w:hAnsi="Verdana" w:cs="Arial"/>
          <w:color w:val="000000"/>
          <w:lang w:val="es-MX"/>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w:t>
      </w:r>
      <w:r>
        <w:rPr>
          <w:rFonts w:ascii="Verdana" w:eastAsia="Calibri" w:hAnsi="Verdana" w:cs="Arial"/>
          <w:color w:val="000000"/>
          <w:lang w:val="es-MX"/>
        </w:rPr>
        <w:t>,</w:t>
      </w:r>
      <w:r w:rsidRPr="00F17EB6">
        <w:rPr>
          <w:rFonts w:ascii="Verdana" w:eastAsia="Calibri" w:hAnsi="Verdana" w:cs="Arial"/>
          <w:color w:val="000000"/>
          <w:lang w:val="es-MX"/>
        </w:rPr>
        <w:t xml:space="preserve"> con el fin de impulsar programas y actividades de interés público acordes con el plan nacional y los planes seccionales de desarrollo</w:t>
      </w:r>
      <w:r w:rsidRPr="00F17EB6">
        <w:rPr>
          <w:rFonts w:ascii="Verdana" w:eastAsia="Calibri" w:hAnsi="Verdana" w:cs="Arial"/>
          <w:color w:val="000000"/>
          <w:vertAlign w:val="superscript"/>
          <w:lang w:val="es-MX"/>
        </w:rPr>
        <w:footnoteReference w:id="1"/>
      </w:r>
      <w:r w:rsidRPr="00F17EB6">
        <w:rPr>
          <w:rFonts w:ascii="Verdana" w:eastAsia="Calibri" w:hAnsi="Verdana" w:cs="Arial"/>
          <w:color w:val="000000"/>
          <w:lang w:val="es-MX"/>
        </w:rPr>
        <w:t>. Por otra parte, la Ley 489 de 1998, en el artículo 96, permite a las entidades públicas en general, es decir, cualquiera sea su naturaleza y orden administrativo, asociarse con personas jurídicas particulares, mediante la celebración de convenios de asociación o la creación de personas jurídicas</w:t>
      </w:r>
      <w:r w:rsidRPr="00F17EB6">
        <w:rPr>
          <w:rFonts w:ascii="Verdana" w:eastAsia="Calibri" w:hAnsi="Verdana" w:cs="Arial"/>
          <w:color w:val="000000"/>
          <w:vertAlign w:val="superscript"/>
          <w:lang w:val="es-MX"/>
        </w:rPr>
        <w:footnoteReference w:id="2"/>
      </w:r>
      <w:r w:rsidRPr="00F17EB6">
        <w:rPr>
          <w:rFonts w:ascii="Verdana" w:eastAsia="Calibri" w:hAnsi="Verdana" w:cs="Arial"/>
          <w:color w:val="000000"/>
          <w:lang w:val="es-MX"/>
        </w:rPr>
        <w:t>. Ambas figuras tienen como fin desarrollar conjuntamente actividades relacionadas con los cometidos y funciones legales asignadas a la entidad.</w:t>
      </w:r>
    </w:p>
    <w:p w14:paraId="47574B81" w14:textId="77777777" w:rsidR="00B50930" w:rsidRPr="00D91C0D" w:rsidRDefault="00B50930" w:rsidP="00B50930">
      <w:pPr>
        <w:spacing w:after="120" w:line="276" w:lineRule="auto"/>
        <w:ind w:firstLine="709"/>
        <w:jc w:val="both"/>
        <w:rPr>
          <w:rFonts w:ascii="Verdana" w:eastAsia="Calibri" w:hAnsi="Verdana" w:cs="Arial"/>
          <w:color w:val="000000"/>
          <w:lang w:val="es-MX"/>
        </w:rPr>
      </w:pPr>
      <w:r w:rsidRPr="00F17EB6">
        <w:rPr>
          <w:rFonts w:ascii="Verdana" w:eastAsia="Calibri" w:hAnsi="Verdana" w:cs="Arial"/>
          <w:color w:val="000000"/>
          <w:lang w:val="es-MX"/>
        </w:rPr>
        <w:t xml:space="preserve">En desarrollo del artículo 355 de la Constitución, el Gobierno Nacional expidió el Decreto 92 de 2017, que dispone las reglas para las contrataciones que realicen las entidades estatales con las ESAL. El Decreto regula dos eventos: i) los </w:t>
      </w:r>
      <w:r w:rsidRPr="00F17EB6">
        <w:rPr>
          <w:rFonts w:ascii="Verdana" w:eastAsia="Calibri" w:hAnsi="Verdana" w:cs="Arial"/>
          <w:i/>
          <w:iCs/>
          <w:color w:val="000000"/>
          <w:lang w:val="es-MX"/>
        </w:rPr>
        <w:t>contratos de colaboración</w:t>
      </w:r>
      <w:r w:rsidRPr="00F17EB6">
        <w:rPr>
          <w:rFonts w:ascii="Verdana" w:eastAsia="Calibri" w:hAnsi="Verdana" w:cs="Arial"/>
          <w:color w:val="000000"/>
          <w:lang w:val="es-MX"/>
        </w:rPr>
        <w:t xml:space="preserve"> o de interés público, con el fin impulsar programas y actividades de interés público de acuerdo con el Plan Nacional o los planes seccionales de desarrollo, en los términos del artículo 355 de la Constitución Política; y </w:t>
      </w:r>
      <w:proofErr w:type="spellStart"/>
      <w:r w:rsidRPr="00F17EB6">
        <w:rPr>
          <w:rFonts w:ascii="Verdana" w:eastAsia="Calibri" w:hAnsi="Verdana" w:cs="Arial"/>
          <w:color w:val="000000"/>
          <w:lang w:val="es-MX"/>
        </w:rPr>
        <w:t>ii</w:t>
      </w:r>
      <w:proofErr w:type="spellEnd"/>
      <w:r w:rsidRPr="00F17EB6">
        <w:rPr>
          <w:rFonts w:ascii="Verdana" w:eastAsia="Calibri" w:hAnsi="Verdana" w:cs="Arial"/>
          <w:color w:val="000000"/>
          <w:lang w:val="es-MX"/>
        </w:rPr>
        <w:t xml:space="preserve">) los </w:t>
      </w:r>
      <w:r w:rsidRPr="00F17EB6">
        <w:rPr>
          <w:rFonts w:ascii="Verdana" w:eastAsia="Calibri" w:hAnsi="Verdana" w:cs="Arial"/>
          <w:i/>
          <w:iCs/>
          <w:color w:val="000000"/>
          <w:lang w:val="es-MX"/>
        </w:rPr>
        <w:t>convenios de asociación</w:t>
      </w:r>
      <w:r w:rsidRPr="00F17EB6">
        <w:rPr>
          <w:rFonts w:ascii="Verdana" w:eastAsia="Calibri" w:hAnsi="Verdana" w:cs="Arial"/>
          <w:color w:val="000000"/>
          <w:lang w:val="es-MX"/>
        </w:rPr>
        <w:t xml:space="preserve">, para el desarrollo conjunto de actividades relacionadas con las funciones de las entidades estatales, en desarrollo del artículo 96 de la Ley 489 de 1998. Los primeros están regulados en el artículo 2 del Decreto 92 de 2017, mientras que los segundos </w:t>
      </w:r>
      <w:r w:rsidRPr="00F17EB6">
        <w:rPr>
          <w:rFonts w:ascii="Verdana" w:eastAsia="Calibri" w:hAnsi="Verdana" w:cs="Arial"/>
          <w:color w:val="000000"/>
          <w:lang w:val="es-MX"/>
        </w:rPr>
        <w:lastRenderedPageBreak/>
        <w:t xml:space="preserve">en los artículos 5, 6, 7 y 8 </w:t>
      </w:r>
      <w:r w:rsidRPr="00F17EB6">
        <w:rPr>
          <w:rFonts w:ascii="Verdana" w:eastAsia="Calibri" w:hAnsi="Verdana" w:cs="Arial"/>
          <w:i/>
          <w:iCs/>
          <w:color w:val="000000"/>
          <w:lang w:val="es-MX"/>
        </w:rPr>
        <w:t>ibidem</w:t>
      </w:r>
      <w:r w:rsidRPr="00F17EB6">
        <w:rPr>
          <w:rFonts w:ascii="Verdana" w:eastAsia="Calibri" w:hAnsi="Verdana" w:cs="Arial"/>
          <w:color w:val="000000"/>
          <w:lang w:val="es-MX"/>
        </w:rPr>
        <w:t xml:space="preserve">. Es posible diferenciar, pues, los </w:t>
      </w:r>
      <w:r w:rsidRPr="00F17EB6">
        <w:rPr>
          <w:rFonts w:ascii="Verdana" w:eastAsia="Calibri" w:hAnsi="Verdana" w:cs="Arial"/>
          <w:i/>
          <w:iCs/>
          <w:color w:val="000000"/>
          <w:lang w:val="es-MX"/>
        </w:rPr>
        <w:t>convenios de asociación</w:t>
      </w:r>
      <w:r w:rsidRPr="00F17EB6">
        <w:rPr>
          <w:rFonts w:ascii="Verdana" w:eastAsia="Calibri" w:hAnsi="Verdana" w:cs="Arial"/>
          <w:color w:val="000000"/>
          <w:lang w:val="es-MX"/>
        </w:rPr>
        <w:t xml:space="preserve">, regulados en el artículo 5, de los </w:t>
      </w:r>
      <w:r w:rsidRPr="00F17EB6">
        <w:rPr>
          <w:rFonts w:ascii="Verdana" w:eastAsia="Calibri" w:hAnsi="Verdana" w:cs="Arial"/>
          <w:i/>
          <w:iCs/>
          <w:color w:val="000000"/>
          <w:lang w:val="es-MX"/>
        </w:rPr>
        <w:t>contratos de colaboración</w:t>
      </w:r>
      <w:r w:rsidRPr="00F17EB6">
        <w:rPr>
          <w:rFonts w:ascii="Verdana" w:eastAsia="Calibri" w:hAnsi="Verdana" w:cs="Arial"/>
          <w:color w:val="000000"/>
          <w:lang w:val="es-MX"/>
        </w:rPr>
        <w:t>, establecidos en el artículo 2 del Decreto 092 de 2017</w:t>
      </w:r>
      <w:r w:rsidRPr="00F17EB6">
        <w:rPr>
          <w:rFonts w:ascii="Verdana" w:eastAsia="Calibri" w:hAnsi="Verdana" w:cs="Arial"/>
          <w:color w:val="000000"/>
          <w:vertAlign w:val="superscript"/>
          <w:lang w:val="es-MX"/>
        </w:rPr>
        <w:footnoteReference w:id="3"/>
      </w:r>
      <w:r w:rsidRPr="00F17EB6">
        <w:rPr>
          <w:rFonts w:ascii="Verdana" w:eastAsia="Calibri" w:hAnsi="Verdana" w:cs="Arial"/>
          <w:color w:val="000000"/>
          <w:lang w:val="es-MX"/>
        </w:rPr>
        <w:t xml:space="preserve">. </w:t>
      </w:r>
      <w:r w:rsidRPr="00A745FA">
        <w:rPr>
          <w:rFonts w:ascii="Verdana" w:eastAsia="Calibri" w:hAnsi="Verdana" w:cs="Arial"/>
          <w:color w:val="000000"/>
        </w:rPr>
        <w:t xml:space="preserve">Al respecto, La Sala de Consulta y Servicio Civil del Consejo de Estado haciendo un análisis del Decreto 777 de 1992 y asimilándolo en el Decreto 092 de 2017, estableció diferencias entre los contratos de apoyo y los convenios de asociación, expresando: </w:t>
      </w:r>
    </w:p>
    <w:p w14:paraId="7AF865C2" w14:textId="77777777" w:rsidR="00B50930" w:rsidRPr="00A745FA" w:rsidRDefault="00B50930" w:rsidP="00B50930">
      <w:pPr>
        <w:spacing w:after="0" w:line="276" w:lineRule="auto"/>
        <w:ind w:firstLine="708"/>
        <w:jc w:val="both"/>
        <w:rPr>
          <w:rFonts w:ascii="Verdana" w:eastAsia="Calibri" w:hAnsi="Verdana"/>
          <w:bCs/>
          <w:iCs/>
          <w:color w:val="000000"/>
        </w:rPr>
      </w:pPr>
    </w:p>
    <w:p w14:paraId="2664B1C6" w14:textId="77777777" w:rsidR="00B50930" w:rsidRPr="008C1758" w:rsidRDefault="00B50930" w:rsidP="00B50930">
      <w:pPr>
        <w:spacing w:after="0" w:line="240" w:lineRule="auto"/>
        <w:ind w:left="709" w:right="709"/>
        <w:jc w:val="both"/>
        <w:rPr>
          <w:rFonts w:ascii="Verdana" w:eastAsia="Calibri" w:hAnsi="Verdana"/>
          <w:bCs/>
          <w:iCs/>
          <w:color w:val="000000"/>
          <w:sz w:val="20"/>
          <w:szCs w:val="20"/>
        </w:rPr>
      </w:pPr>
      <w:r>
        <w:rPr>
          <w:rFonts w:ascii="Verdana" w:eastAsia="Calibri" w:hAnsi="Verdana"/>
          <w:color w:val="000000"/>
          <w:sz w:val="20"/>
          <w:szCs w:val="20"/>
          <w:lang w:val="es-ES"/>
        </w:rPr>
        <w:t>“</w:t>
      </w:r>
      <w:r w:rsidRPr="008C1758">
        <w:rPr>
          <w:rFonts w:ascii="Verdana" w:eastAsia="Calibri" w:hAnsi="Verdana"/>
          <w:bCs/>
          <w:iCs/>
          <w:color w:val="000000"/>
          <w:sz w:val="20"/>
          <w:szCs w:val="20"/>
        </w:rPr>
        <w:t>1ª) Los contratos de apoyo se celebran con personas jurídicas privadas sin ánimo de lucro. Los contratos de asociación se celebran con personas jurídicas privadas con o sin ánimo de lucro.</w:t>
      </w:r>
    </w:p>
    <w:p w14:paraId="0004BACC" w14:textId="77777777" w:rsidR="00B50930" w:rsidRPr="008C1758" w:rsidRDefault="00B50930" w:rsidP="00B50930">
      <w:pPr>
        <w:spacing w:after="0" w:line="240" w:lineRule="auto"/>
        <w:ind w:left="709" w:right="709"/>
        <w:jc w:val="both"/>
        <w:rPr>
          <w:rFonts w:ascii="Verdana" w:eastAsia="Calibri" w:hAnsi="Verdana"/>
          <w:bCs/>
          <w:iCs/>
          <w:color w:val="000000"/>
          <w:sz w:val="20"/>
          <w:szCs w:val="20"/>
        </w:rPr>
      </w:pPr>
    </w:p>
    <w:p w14:paraId="507ECA9F" w14:textId="77777777" w:rsidR="00B50930" w:rsidRPr="008C1758" w:rsidRDefault="00B50930" w:rsidP="00B50930">
      <w:pPr>
        <w:spacing w:after="0" w:line="240" w:lineRule="auto"/>
        <w:ind w:left="709" w:right="709"/>
        <w:jc w:val="both"/>
        <w:rPr>
          <w:rFonts w:ascii="Verdana" w:eastAsia="Calibri" w:hAnsi="Verdana"/>
          <w:bCs/>
          <w:iCs/>
          <w:color w:val="000000"/>
          <w:sz w:val="20"/>
          <w:szCs w:val="20"/>
        </w:rPr>
      </w:pPr>
      <w:r w:rsidRPr="008C1758">
        <w:rPr>
          <w:rFonts w:ascii="Verdana" w:eastAsia="Calibri" w:hAnsi="Verdana"/>
          <w:bCs/>
          <w:iCs/>
          <w:color w:val="000000"/>
          <w:sz w:val="20"/>
          <w:szCs w:val="20"/>
        </w:rPr>
        <w:t>2ª) Los contratos de apoyo se celebran para impulsar programas y actividades de interés público acordes con los planes de desarrollo. Los contratos de asociación se pueden celebrar con esa finalidad, pero también para el desarrollo conjunto de actividades en relación con los cometidos y funciones asignadas legalmente a las entidades estatales.</w:t>
      </w:r>
    </w:p>
    <w:p w14:paraId="2B301D8A" w14:textId="77777777" w:rsidR="00B50930" w:rsidRPr="008C1758" w:rsidRDefault="00B50930" w:rsidP="00B50930">
      <w:pPr>
        <w:spacing w:after="0" w:line="240" w:lineRule="auto"/>
        <w:ind w:left="709" w:right="709"/>
        <w:jc w:val="both"/>
        <w:rPr>
          <w:rFonts w:ascii="Verdana" w:eastAsia="Calibri" w:hAnsi="Verdana"/>
          <w:bCs/>
          <w:iCs/>
          <w:color w:val="000000"/>
          <w:sz w:val="20"/>
          <w:szCs w:val="20"/>
        </w:rPr>
      </w:pPr>
    </w:p>
    <w:p w14:paraId="6FEA0E6C" w14:textId="77777777" w:rsidR="00B50930" w:rsidRPr="008C1758" w:rsidRDefault="00B50930" w:rsidP="00B50930">
      <w:pPr>
        <w:spacing w:after="0" w:line="240" w:lineRule="auto"/>
        <w:ind w:left="709" w:right="709"/>
        <w:jc w:val="both"/>
        <w:rPr>
          <w:rFonts w:ascii="Verdana" w:eastAsia="Calibri" w:hAnsi="Verdana"/>
          <w:bCs/>
          <w:iCs/>
          <w:color w:val="000000"/>
          <w:sz w:val="20"/>
          <w:szCs w:val="20"/>
        </w:rPr>
      </w:pPr>
      <w:r w:rsidRPr="008C1758">
        <w:rPr>
          <w:rFonts w:ascii="Verdana" w:eastAsia="Calibri" w:hAnsi="Verdana" w:cs="Arial"/>
          <w:bCs/>
          <w:iCs/>
          <w:color w:val="000000"/>
          <w:sz w:val="20"/>
          <w:szCs w:val="20"/>
        </w:rPr>
        <w:t xml:space="preserve">3ª) Los contratos de apoyo se celebran con cargo al respectivo presupuesto de la entidad pública. En los contratos de asociación se deben determinar, como señala el inciso segundo del citado artículo </w:t>
      </w:r>
      <w:r w:rsidRPr="004608D1">
        <w:rPr>
          <w:rFonts w:ascii="Verdana" w:eastAsia="Calibri" w:hAnsi="Verdana" w:cs="Arial"/>
          <w:bCs/>
          <w:iCs/>
          <w:color w:val="000000"/>
          <w:sz w:val="20"/>
          <w:szCs w:val="20"/>
        </w:rPr>
        <w:t>96, los</w:t>
      </w:r>
      <w:r w:rsidRPr="008C1758">
        <w:rPr>
          <w:rFonts w:ascii="Verdana" w:eastAsia="Calibri" w:hAnsi="Verdana" w:cs="Arial"/>
          <w:bCs/>
          <w:iCs/>
          <w:color w:val="000000"/>
          <w:sz w:val="20"/>
          <w:szCs w:val="20"/>
        </w:rPr>
        <w:t xml:space="preserve"> </w:t>
      </w:r>
      <w:r w:rsidRPr="008C1758">
        <w:rPr>
          <w:rFonts w:ascii="Verdana" w:eastAsia="Calibri" w:hAnsi="Verdana" w:cs="Arial"/>
          <w:bCs/>
          <w:i/>
          <w:iCs/>
          <w:color w:val="000000"/>
          <w:sz w:val="20"/>
          <w:szCs w:val="20"/>
        </w:rPr>
        <w:t>“aportes”</w:t>
      </w:r>
      <w:r w:rsidRPr="008C1758">
        <w:rPr>
          <w:rFonts w:ascii="Verdana" w:eastAsia="Calibri" w:hAnsi="Verdana" w:cs="Arial"/>
          <w:bCs/>
          <w:iCs/>
          <w:color w:val="000000"/>
          <w:sz w:val="20"/>
          <w:szCs w:val="20"/>
        </w:rPr>
        <w:t xml:space="preserve"> tanto de la entidad pública como de la persona jurídica particular</w:t>
      </w:r>
      <w:r>
        <w:rPr>
          <w:rFonts w:ascii="Verdana" w:eastAsia="Calibri" w:hAnsi="Verdana" w:cs="Arial"/>
          <w:color w:val="000000"/>
          <w:sz w:val="20"/>
          <w:szCs w:val="20"/>
        </w:rPr>
        <w:t>”</w:t>
      </w:r>
      <w:r w:rsidRPr="008C1758">
        <w:rPr>
          <w:rFonts w:ascii="Verdana" w:eastAsia="Calibri" w:hAnsi="Verdana" w:cs="Arial"/>
          <w:bCs/>
          <w:iCs/>
          <w:color w:val="000000"/>
          <w:sz w:val="20"/>
          <w:szCs w:val="20"/>
          <w:vertAlign w:val="superscript"/>
        </w:rPr>
        <w:footnoteReference w:id="4"/>
      </w:r>
      <w:r w:rsidRPr="008C1758">
        <w:rPr>
          <w:rFonts w:ascii="Verdana" w:eastAsia="Calibri" w:hAnsi="Verdana" w:cs="Arial"/>
          <w:bCs/>
          <w:iCs/>
          <w:color w:val="000000"/>
          <w:sz w:val="20"/>
          <w:szCs w:val="20"/>
        </w:rPr>
        <w:t>.</w:t>
      </w:r>
    </w:p>
    <w:p w14:paraId="01383688" w14:textId="77777777" w:rsidR="00B50930" w:rsidRPr="00A745FA" w:rsidRDefault="00B50930" w:rsidP="00B50930">
      <w:pPr>
        <w:spacing w:after="0" w:line="276" w:lineRule="auto"/>
        <w:ind w:firstLine="708"/>
        <w:jc w:val="both"/>
        <w:rPr>
          <w:rFonts w:ascii="Verdana" w:eastAsia="Calibri" w:hAnsi="Verdana" w:cs="Arial"/>
          <w:color w:val="000000"/>
          <w:lang w:val="es-MX"/>
        </w:rPr>
      </w:pPr>
    </w:p>
    <w:p w14:paraId="6490A518" w14:textId="77777777" w:rsidR="00B50930" w:rsidRDefault="00B50930" w:rsidP="00B50930">
      <w:pPr>
        <w:spacing w:after="120" w:line="276" w:lineRule="auto"/>
        <w:ind w:firstLine="708"/>
        <w:jc w:val="both"/>
        <w:rPr>
          <w:rFonts w:ascii="Verdana" w:eastAsia="Calibri" w:hAnsi="Verdana" w:cs="Arial"/>
          <w:color w:val="000000"/>
          <w:lang w:val="es-MX"/>
        </w:rPr>
      </w:pPr>
      <w:r w:rsidRPr="00F17EB6">
        <w:rPr>
          <w:rFonts w:ascii="Verdana" w:eastAsia="Calibri" w:hAnsi="Verdana" w:cs="Arial"/>
          <w:color w:val="000000"/>
          <w:lang w:val="es-MX"/>
        </w:rPr>
        <w:t xml:space="preserve">Los </w:t>
      </w:r>
      <w:r w:rsidRPr="00F17EB6">
        <w:rPr>
          <w:rFonts w:ascii="Verdana" w:eastAsia="Calibri" w:hAnsi="Verdana" w:cs="Arial"/>
          <w:i/>
          <w:iCs/>
          <w:color w:val="000000"/>
          <w:lang w:val="es-MX"/>
        </w:rPr>
        <w:t>contratos</w:t>
      </w:r>
      <w:r>
        <w:rPr>
          <w:rFonts w:ascii="Verdana" w:eastAsia="Calibri" w:hAnsi="Verdana" w:cs="Arial"/>
          <w:i/>
          <w:iCs/>
          <w:color w:val="000000"/>
          <w:lang w:val="es-MX"/>
        </w:rPr>
        <w:t xml:space="preserve"> o convenios</w:t>
      </w:r>
      <w:r w:rsidRPr="00F17EB6">
        <w:rPr>
          <w:rFonts w:ascii="Verdana" w:eastAsia="Calibri" w:hAnsi="Verdana" w:cs="Arial"/>
          <w:i/>
          <w:iCs/>
          <w:color w:val="000000"/>
          <w:lang w:val="es-MX"/>
        </w:rPr>
        <w:t xml:space="preserve"> de colaboración </w:t>
      </w:r>
      <w:r w:rsidRPr="00F17EB6">
        <w:rPr>
          <w:rFonts w:ascii="Verdana" w:eastAsia="Calibri" w:hAnsi="Verdana" w:cs="Arial"/>
          <w:color w:val="000000"/>
          <w:lang w:val="es-MX"/>
        </w:rPr>
        <w:t xml:space="preserve">tienen como objeto promover acciones de fomento social en beneficio de los sectores más desprotegidos de la población, previstas en los planes de desarrollo, motivo por el cual no dan lugar a una contraprestación directa a favor de la entidad y tampoco a una relación conmutativa entre esta y la ESAL, toda vez que el beneficio real y directo lo reciben, en últimas, los terceros beneficiarios de este tipo de acciones de fomento. </w:t>
      </w:r>
    </w:p>
    <w:p w14:paraId="1C1A7193" w14:textId="77777777" w:rsidR="00B50930" w:rsidRDefault="00B50930" w:rsidP="00B50930">
      <w:pPr>
        <w:shd w:val="clear" w:color="auto" w:fill="FFFFFF"/>
        <w:spacing w:after="120" w:line="276" w:lineRule="auto"/>
        <w:ind w:firstLine="708"/>
        <w:jc w:val="both"/>
        <w:textAlignment w:val="baseline"/>
        <w:rPr>
          <w:rFonts w:ascii="Verdana" w:eastAsia="Calibri" w:hAnsi="Verdana" w:cs="Arial"/>
          <w:color w:val="000000" w:themeColor="text1"/>
        </w:rPr>
      </w:pPr>
      <w:r w:rsidRPr="00D44070">
        <w:rPr>
          <w:rFonts w:ascii="Verdana" w:eastAsia="Calibri" w:hAnsi="Verdana" w:cs="Arial"/>
          <w:color w:val="000000" w:themeColor="text1"/>
        </w:rPr>
        <w:t xml:space="preserve">De otro lado, los </w:t>
      </w:r>
      <w:r w:rsidRPr="00D44070">
        <w:rPr>
          <w:rFonts w:ascii="Verdana" w:eastAsia="Calibri" w:hAnsi="Verdana" w:cs="Arial"/>
          <w:i/>
          <w:iCs/>
          <w:color w:val="000000" w:themeColor="text1"/>
        </w:rPr>
        <w:t xml:space="preserve">convenios de asociación </w:t>
      </w:r>
      <w:r w:rsidRPr="00D44070">
        <w:rPr>
          <w:rFonts w:ascii="Verdana" w:eastAsia="Calibri" w:hAnsi="Verdana" w:cs="Arial"/>
          <w:color w:val="000000" w:themeColor="text1"/>
        </w:rPr>
        <w:t>– a los cuales hace referencia en su consulta – “[…] [t]</w:t>
      </w:r>
      <w:proofErr w:type="spellStart"/>
      <w:r w:rsidRPr="00D44070">
        <w:rPr>
          <w:rFonts w:ascii="Verdana" w:eastAsia="Calibri" w:hAnsi="Verdana" w:cs="Arial"/>
          <w:color w:val="000000" w:themeColor="text1"/>
        </w:rPr>
        <w:t>ienen</w:t>
      </w:r>
      <w:proofErr w:type="spellEnd"/>
      <w:r w:rsidRPr="00D44070">
        <w:rPr>
          <w:rFonts w:ascii="Verdana" w:eastAsia="Calibri" w:hAnsi="Verdana" w:cs="Arial"/>
          <w:color w:val="000000" w:themeColor="text1"/>
        </w:rPr>
        <w:t xml:space="preserve"> como finalidad que la entidad estatal, cualquiera que sea su naturaleza y orden administrativo, se asocien con personas jurídicas particulares para el desarrollo conjunto de actividades relacionadas con los </w:t>
      </w:r>
      <w:r w:rsidRPr="00D44070">
        <w:rPr>
          <w:rFonts w:ascii="Verdana" w:eastAsia="Calibri" w:hAnsi="Verdana" w:cs="Arial"/>
          <w:color w:val="000000" w:themeColor="text1"/>
        </w:rPr>
        <w:lastRenderedPageBreak/>
        <w:t>cometidos y funciones asignadas a aquellas conforme a la Constitución y a la Ley”</w:t>
      </w:r>
      <w:r w:rsidRPr="00E277D4">
        <w:rPr>
          <w:rFonts w:ascii="Verdana" w:hAnsi="Verdana"/>
          <w:vertAlign w:val="superscript"/>
        </w:rPr>
        <w:footnoteReference w:id="5"/>
      </w:r>
      <w:r w:rsidRPr="00D44070">
        <w:rPr>
          <w:rFonts w:ascii="Verdana" w:eastAsia="Calibri" w:hAnsi="Verdana" w:cs="Arial"/>
          <w:color w:val="000000" w:themeColor="text1"/>
        </w:rPr>
        <w:t xml:space="preserve">. En estos convenios – al igual que en los contratos de colaboración antes explicados – no existe contraprestación o pago, sino aportes, los cuales están dirigidos, exclusivamente, a lograr la ejecución del convenio no a remunerar la actividad o actuaciones del asociado. </w:t>
      </w:r>
      <w:r>
        <w:rPr>
          <w:rFonts w:ascii="Verdana" w:eastAsia="Calibri" w:hAnsi="Verdana" w:cs="Arial"/>
          <w:color w:val="000000" w:themeColor="text1"/>
        </w:rPr>
        <w:t xml:space="preserve">Para analizar un poco sobre este tipo de convenios se desarrollará el siguiente apartado. </w:t>
      </w:r>
    </w:p>
    <w:p w14:paraId="3D83C9E7" w14:textId="77777777" w:rsidR="00B50930" w:rsidRDefault="00B50930" w:rsidP="00B50930">
      <w:pPr>
        <w:shd w:val="clear" w:color="auto" w:fill="FFFFFF"/>
        <w:spacing w:after="0" w:line="276" w:lineRule="auto"/>
        <w:jc w:val="both"/>
        <w:textAlignment w:val="baseline"/>
        <w:rPr>
          <w:rFonts w:ascii="Verdana" w:eastAsia="Calibri" w:hAnsi="Verdana" w:cs="Arial"/>
          <w:color w:val="000000" w:themeColor="text1"/>
        </w:rPr>
      </w:pPr>
    </w:p>
    <w:p w14:paraId="03E570EC" w14:textId="77777777" w:rsidR="00B50930" w:rsidRDefault="00B50930" w:rsidP="00B50930">
      <w:pPr>
        <w:spacing w:after="120" w:line="276" w:lineRule="auto"/>
        <w:jc w:val="both"/>
        <w:rPr>
          <w:rFonts w:ascii="Verdana" w:eastAsia="Calibri" w:hAnsi="Verdana" w:cs="Arial"/>
          <w:lang w:val="es-MX"/>
        </w:rPr>
      </w:pPr>
      <w:proofErr w:type="spellStart"/>
      <w:r>
        <w:rPr>
          <w:rFonts w:ascii="Verdana" w:eastAsia="Calibri" w:hAnsi="Verdana" w:cs="Arial"/>
          <w:bCs/>
          <w:color w:val="000000"/>
        </w:rPr>
        <w:t>ii</w:t>
      </w:r>
      <w:proofErr w:type="spellEnd"/>
      <w:r>
        <w:rPr>
          <w:rFonts w:ascii="Verdana" w:eastAsia="Calibri" w:hAnsi="Verdana" w:cs="Arial"/>
          <w:bCs/>
          <w:color w:val="000000"/>
        </w:rPr>
        <w:t xml:space="preserve">. </w:t>
      </w:r>
      <w:r w:rsidRPr="00E9090B">
        <w:rPr>
          <w:rFonts w:ascii="Verdana" w:eastAsia="Calibri" w:hAnsi="Verdana" w:cs="Arial"/>
          <w:lang w:val="es-MX"/>
        </w:rPr>
        <w:t xml:space="preserve">Los </w:t>
      </w:r>
      <w:r w:rsidRPr="00E9090B">
        <w:rPr>
          <w:rFonts w:ascii="Verdana" w:eastAsia="Calibri" w:hAnsi="Verdana" w:cs="Arial"/>
          <w:i/>
          <w:iCs/>
          <w:lang w:val="es-MX"/>
        </w:rPr>
        <w:t>convenios de asociación</w:t>
      </w:r>
      <w:r w:rsidRPr="00E9090B">
        <w:rPr>
          <w:rFonts w:ascii="Verdana" w:eastAsia="Calibri" w:hAnsi="Verdana" w:cs="Arial"/>
          <w:lang w:val="es-MX"/>
        </w:rPr>
        <w:t xml:space="preserve"> tienen como fin que la entidad estatal, cualquiera que sea su naturaleza y orden administrativo como es el caso de las entidades territoriales –distritos, municipios, departamentos, entre otros- se asocien con personas jurídicas particulares para el desarrollo conjunto de actividades relacionadas con los cometidos y funciones asignadas a aquellas conforme a la Constitución y a la Ley. Los convenios de asociación están regulados en el artículo 5° del Decreto 092 de 2017 y el artículo 96 de la Ley 489 de 1998, sin dejar de lado los artículos 6,7, 8, 9, 10 y 11 del precitado Decreto</w:t>
      </w:r>
      <w:r>
        <w:rPr>
          <w:rFonts w:ascii="Verdana" w:eastAsia="Calibri" w:hAnsi="Verdana" w:cs="Arial"/>
          <w:lang w:val="es-MX"/>
        </w:rPr>
        <w:t xml:space="preserve"> Autónomo</w:t>
      </w:r>
      <w:r w:rsidRPr="00E9090B">
        <w:rPr>
          <w:rFonts w:ascii="Verdana" w:eastAsia="Calibri" w:hAnsi="Verdana" w:cs="Arial"/>
          <w:lang w:val="es-MX"/>
        </w:rPr>
        <w:t xml:space="preserve">. </w:t>
      </w:r>
    </w:p>
    <w:p w14:paraId="1429C496" w14:textId="77777777" w:rsidR="00B50930" w:rsidRPr="00E9090B" w:rsidRDefault="00B50930" w:rsidP="00B50930">
      <w:pPr>
        <w:spacing w:after="120" w:line="276" w:lineRule="auto"/>
        <w:ind w:firstLine="708"/>
        <w:jc w:val="both"/>
        <w:rPr>
          <w:rFonts w:ascii="Verdana" w:eastAsia="Calibri" w:hAnsi="Verdana" w:cs="Arial"/>
          <w:lang w:val="es-MX"/>
        </w:rPr>
      </w:pPr>
      <w:r w:rsidRPr="00E9090B">
        <w:rPr>
          <w:rFonts w:ascii="Verdana" w:eastAsia="Calibri" w:hAnsi="Verdana" w:cs="Arial"/>
          <w:lang w:val="es-MX"/>
        </w:rPr>
        <w:t xml:space="preserve">En estos convenios no existe contraprestación o pago, sino aportes, los cuales están dirigidos, exclusivamente, a lograr la ejecución del convenio y no a remunerar la actividad o actuaciones del asociado. De todos modos, la entidad debe adelantar un proceso competitivo, salvo cuando la ESAL comprometa recursos en dinero para la ejecución de estas actividades, en una proporción no inferior al 30% del valor total del convenio. </w:t>
      </w:r>
    </w:p>
    <w:p w14:paraId="21676079" w14:textId="77777777" w:rsidR="00B50930" w:rsidRPr="00E9090B" w:rsidRDefault="00B50930" w:rsidP="00B50930">
      <w:pPr>
        <w:spacing w:after="120" w:line="276" w:lineRule="auto"/>
        <w:ind w:firstLine="708"/>
        <w:jc w:val="both"/>
        <w:rPr>
          <w:rFonts w:ascii="Verdana" w:eastAsia="Calibri" w:hAnsi="Verdana" w:cs="Arial"/>
          <w:lang w:val="es-MX"/>
        </w:rPr>
      </w:pPr>
      <w:r w:rsidRPr="00E9090B">
        <w:rPr>
          <w:rFonts w:ascii="Verdana" w:eastAsia="Calibri" w:hAnsi="Verdana" w:cs="Arial"/>
          <w:lang w:val="es-MX"/>
        </w:rPr>
        <w:t>De conformidad con el inciso segundo del artículo 96 de la Ley 489 de 1998, en est</w:t>
      </w:r>
      <w:r>
        <w:rPr>
          <w:rFonts w:ascii="Verdana" w:eastAsia="Calibri" w:hAnsi="Verdana" w:cs="Arial"/>
          <w:lang w:val="es-MX"/>
        </w:rPr>
        <w:t>os convenios debe determinarse “</w:t>
      </w:r>
      <w:r w:rsidRPr="00E9090B">
        <w:rPr>
          <w:rFonts w:ascii="Verdana" w:eastAsia="Calibri" w:hAnsi="Verdana" w:cs="Arial"/>
          <w:lang w:val="es-MX"/>
        </w:rPr>
        <w:t>con precisión su objeto, término, obligaciones de las partes, aportes, coordinación y todos aquellos aspecto</w:t>
      </w:r>
      <w:r>
        <w:rPr>
          <w:rFonts w:ascii="Verdana" w:eastAsia="Calibri" w:hAnsi="Verdana" w:cs="Arial"/>
          <w:lang w:val="es-MX"/>
        </w:rPr>
        <w:t>s que se consideren pertinentes”</w:t>
      </w:r>
      <w:r w:rsidRPr="00E9090B">
        <w:rPr>
          <w:rFonts w:ascii="Verdana" w:eastAsia="Calibri" w:hAnsi="Verdana" w:cs="Arial"/>
          <w:lang w:val="es-MX"/>
        </w:rPr>
        <w:t xml:space="preserve">, elementos dentro de los que resalta la exigencia de aportes, que debe interpretarse en el sentido de que las ESAL deben realizar aportes a los convenios que suscriban, los cuales pueden ser en dinero, en porcentajes inferiores o superiores al 30%, o en especie, los cuales deben servir al desarrollo de los objetivos comunes de la asociación. </w:t>
      </w:r>
    </w:p>
    <w:p w14:paraId="15ECBB5B" w14:textId="77777777" w:rsidR="00B50930" w:rsidRPr="00E9090B" w:rsidRDefault="00B50930" w:rsidP="00B50930">
      <w:pPr>
        <w:spacing w:after="120" w:line="276" w:lineRule="auto"/>
        <w:ind w:firstLine="708"/>
        <w:jc w:val="both"/>
        <w:rPr>
          <w:rFonts w:ascii="Verdana" w:eastAsia="Calibri" w:hAnsi="Verdana" w:cs="Arial"/>
          <w:lang w:val="es-MX"/>
        </w:rPr>
      </w:pPr>
      <w:r w:rsidRPr="00E9090B">
        <w:rPr>
          <w:rFonts w:ascii="Verdana" w:eastAsia="Calibri" w:hAnsi="Verdana" w:cs="Arial"/>
          <w:lang w:val="es-MX"/>
        </w:rPr>
        <w:t xml:space="preserve">La normativa vigente no impide que varias entidades suscriban conjuntamente el convenio de asociación ni tampoco que dos o más ESAL pueden hacerlo a través de las figuras asociativas autorizadas por la ley, por </w:t>
      </w:r>
      <w:r w:rsidRPr="00E9090B">
        <w:rPr>
          <w:rFonts w:ascii="Verdana" w:eastAsia="Calibri" w:hAnsi="Verdana" w:cs="Arial"/>
          <w:lang w:val="es-MX"/>
        </w:rPr>
        <w:lastRenderedPageBreak/>
        <w:t xml:space="preserve">ejemplo, la unión temporal o el consorcio. Sin embargo, comoquiera que el artículo 96 de la Ley 489 de 1998 determina que el convenio debe buscar el desarrollo conjunto de actividades relacionadas con los cometidos y funciones que la ley les asigna a las entidades estatales involucradas, es necesario que las funciones legales de las entidades estatales que suscriben conjuntamente el convenio coincidan de alguna de tal manera que, los cometidos funcionales de una y otra entidad se relacionen con el objeto del convenio.  </w:t>
      </w:r>
    </w:p>
    <w:p w14:paraId="35DC4AC8" w14:textId="77777777" w:rsidR="00B50930" w:rsidRPr="00E9090B" w:rsidRDefault="00B50930" w:rsidP="00B50930">
      <w:pPr>
        <w:spacing w:after="120" w:line="276" w:lineRule="auto"/>
        <w:ind w:firstLine="708"/>
        <w:jc w:val="both"/>
        <w:rPr>
          <w:rFonts w:ascii="Verdana" w:eastAsia="Calibri" w:hAnsi="Verdana" w:cs="Arial"/>
          <w:lang w:val="es-MX"/>
        </w:rPr>
      </w:pPr>
      <w:r w:rsidRPr="00E9090B">
        <w:rPr>
          <w:rFonts w:ascii="Verdana" w:eastAsia="Calibri" w:hAnsi="Verdana" w:cs="Arial"/>
          <w:lang w:val="es-MX"/>
        </w:rPr>
        <w:t>Igualmente, considerando que los convenios de asociación “no estarán sujetos a competencia cuando la entidad sin ánimo de lucro comprometa recursos en dinero para la ejecución de esas actividades en una proporción no inferior al 30% del valor total del convenio”, las entidades deben asegurarse de que su contratista, es decir, una o varias ESAL, aporten al menos el treinta por ciento (30%), en dinero, del valor del convenio para celebrarlo directamente, pues de lo contrario deberá adelantarse un proceso competitivo. Además, en atención al inciso 2 del artículo 5 del Decreto 092 de 2017, deben “asegurarse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r w:rsidRPr="00E9090B">
        <w:rPr>
          <w:rFonts w:ascii="Verdana" w:eastAsia="Calibri" w:hAnsi="Verdana" w:cs="Arial"/>
          <w:vertAlign w:val="superscript"/>
          <w:lang w:val="es-MX"/>
        </w:rPr>
        <w:footnoteReference w:id="6"/>
      </w:r>
      <w:r w:rsidRPr="00E9090B">
        <w:rPr>
          <w:rFonts w:ascii="Verdana" w:eastAsia="Calibri" w:hAnsi="Verdana" w:cs="Arial"/>
          <w:lang w:val="es-MX"/>
        </w:rPr>
        <w:t>.</w:t>
      </w:r>
    </w:p>
    <w:p w14:paraId="5F2DA163" w14:textId="77777777" w:rsidR="00B50930" w:rsidRPr="00E9090B" w:rsidRDefault="00B50930" w:rsidP="00B50930">
      <w:pPr>
        <w:spacing w:after="120" w:line="276" w:lineRule="auto"/>
        <w:ind w:firstLine="708"/>
        <w:jc w:val="both"/>
        <w:rPr>
          <w:rFonts w:ascii="Verdana" w:eastAsia="Calibri" w:hAnsi="Verdana" w:cs="Arial"/>
          <w:lang w:val="es-MX"/>
        </w:rPr>
      </w:pPr>
      <w:r w:rsidRPr="00E9090B">
        <w:rPr>
          <w:rFonts w:ascii="Verdana" w:eastAsia="Calibri" w:hAnsi="Verdana" w:cs="Arial"/>
          <w:lang w:val="es-MX"/>
        </w:rPr>
        <w:t xml:space="preserve">La noción “seleccionar de forma objetiva”, contenida en la disposición </w:t>
      </w:r>
      <w:r w:rsidRPr="00E9090B">
        <w:rPr>
          <w:rFonts w:ascii="Verdana" w:eastAsia="Calibri" w:hAnsi="Verdana" w:cs="Arial"/>
          <w:i/>
          <w:iCs/>
          <w:lang w:val="es-MX"/>
        </w:rPr>
        <w:t xml:space="preserve">sub examine </w:t>
      </w:r>
      <w:r w:rsidRPr="00E9090B">
        <w:rPr>
          <w:rFonts w:ascii="Verdana" w:eastAsia="Calibri" w:hAnsi="Verdana" w:cs="Arial"/>
          <w:lang w:val="es-MX"/>
        </w:rPr>
        <w:t>no puede ser entendida como una remisión total a las Leyes 80 de 1993 y 1150 de 2007. A lo que se refiere la norma es a que la entidad estatal debe diseñar herramientas que permitan una comparación objetiva de las entidades sin ánimo de lucro para seleccionar objetivamente a aquella que tenga las mejores condiciones para alcanzar el resultado esperado con el proyecto de cooperación, por lo que los criterios que permitan una selección objetiva deben definirse en términos de la obtención de los objetivos del convenio de asociación. Sin perjuicio de lo anterior, la entidad puede decidir acudir a los procesos de selección de contratistas que establece el EGCAP o, incluso, al trámite que regula el inciso 2 del artículo 2 del Decreto 92 de 2017.</w:t>
      </w:r>
    </w:p>
    <w:p w14:paraId="74953EC9" w14:textId="77777777" w:rsidR="00B50930" w:rsidRDefault="00B50930" w:rsidP="00B50930">
      <w:pPr>
        <w:spacing w:after="120" w:line="276" w:lineRule="auto"/>
        <w:ind w:firstLine="708"/>
        <w:jc w:val="both"/>
        <w:textAlignment w:val="baseline"/>
        <w:rPr>
          <w:rFonts w:ascii="Verdana" w:eastAsia="Calibri" w:hAnsi="Verdana" w:cs="Arial"/>
          <w:lang w:val="es-MX"/>
        </w:rPr>
      </w:pPr>
      <w:r w:rsidRPr="00E9090B">
        <w:rPr>
          <w:rFonts w:ascii="Verdana" w:eastAsia="Arial" w:hAnsi="Verdana" w:cs="Arial"/>
          <w:lang w:val="es-ES"/>
        </w:rPr>
        <w:t xml:space="preserve">En suma, las entidades estatales son autónomas en la configuración del proceso competitivo en desarrollo del artículo 5 del Decreto 092 de 2017. En </w:t>
      </w:r>
      <w:r w:rsidRPr="00E9090B">
        <w:rPr>
          <w:rFonts w:ascii="Verdana" w:eastAsia="Arial" w:hAnsi="Verdana" w:cs="Arial"/>
          <w:lang w:val="es-ES"/>
        </w:rPr>
        <w:lastRenderedPageBreak/>
        <w:t>todo caso, el proceso competitivo que definan las entidades estatales para sus convenios de asociación debe garantizar que esté relacionado con las funciones de la entidad, la libre concurrencia y la pluralidad de interesados y la comparación objetiva de las ofertas. Este procedimiento puede ser análogo a otros donde existe competencia, como la licitación pública</w:t>
      </w:r>
      <w:r>
        <w:rPr>
          <w:rFonts w:ascii="Verdana" w:eastAsia="Calibri" w:hAnsi="Verdana" w:cs="Arial"/>
          <w:lang w:val="es-MX"/>
        </w:rPr>
        <w:t>.</w:t>
      </w:r>
    </w:p>
    <w:p w14:paraId="1C968D79" w14:textId="77777777" w:rsidR="00B50930" w:rsidRPr="003356E7" w:rsidRDefault="00B50930" w:rsidP="00B50930">
      <w:pPr>
        <w:spacing w:after="120" w:line="276" w:lineRule="auto"/>
        <w:ind w:firstLine="708"/>
        <w:jc w:val="both"/>
        <w:textAlignment w:val="baseline"/>
        <w:rPr>
          <w:rFonts w:ascii="Verdana" w:eastAsia="Calibri" w:hAnsi="Verdana" w:cs="Arial"/>
        </w:rPr>
      </w:pPr>
      <w:r>
        <w:rPr>
          <w:rFonts w:ascii="Verdana" w:eastAsia="Calibri" w:hAnsi="Verdana" w:cs="Arial"/>
          <w:lang w:val="es-MX"/>
        </w:rPr>
        <w:t xml:space="preserve">A partir de lo expuesto, se encuentra que en la Nueva </w:t>
      </w:r>
      <w:r w:rsidRPr="00886DAE">
        <w:rPr>
          <w:rFonts w:ascii="Verdana" w:eastAsia="Calibri" w:hAnsi="Verdana" w:cs="Arial"/>
          <w:bCs/>
        </w:rPr>
        <w:t>“</w:t>
      </w:r>
      <w:r w:rsidRPr="00886DAE">
        <w:rPr>
          <w:rFonts w:ascii="Verdana" w:eastAsia="Calibri" w:hAnsi="Verdana" w:cs="Arial"/>
          <w:bCs/>
          <w:i/>
          <w:iCs/>
        </w:rPr>
        <w:t>Guía para la contratación con entidades privadas sin ánimo de lucro y de reconocida idoneidad”</w:t>
      </w:r>
      <w:r>
        <w:rPr>
          <w:rFonts w:ascii="Verdana" w:eastAsia="Calibri" w:hAnsi="Verdana" w:cs="Arial"/>
          <w:bCs/>
          <w:i/>
          <w:iCs/>
        </w:rPr>
        <w:t xml:space="preserve"> </w:t>
      </w:r>
      <w:r>
        <w:rPr>
          <w:rFonts w:ascii="Verdana" w:eastAsia="Calibri" w:hAnsi="Verdana" w:cs="Arial"/>
          <w:lang w:val="es-MX"/>
        </w:rPr>
        <w:t>se establece tres condiciones para contratar mediante convenios de asociación: en primer lugar, e</w:t>
      </w:r>
      <w:r w:rsidRPr="0033599C">
        <w:rPr>
          <w:rFonts w:ascii="Verdana" w:eastAsia="Calibri" w:hAnsi="Verdana" w:cs="Arial"/>
        </w:rPr>
        <w:t xml:space="preserve">l </w:t>
      </w:r>
      <w:r>
        <w:rPr>
          <w:rFonts w:ascii="Verdana" w:eastAsia="Calibri" w:hAnsi="Verdana" w:cs="Arial"/>
        </w:rPr>
        <w:t xml:space="preserve">convenio de asociación debe suscribirse mediante un proceso competitivo </w:t>
      </w:r>
      <w:r w:rsidRPr="0033599C">
        <w:rPr>
          <w:rFonts w:ascii="Verdana" w:eastAsia="Calibri" w:hAnsi="Verdana" w:cs="Arial"/>
        </w:rPr>
        <w:t>con</w:t>
      </w:r>
      <w:r>
        <w:rPr>
          <w:rFonts w:ascii="Verdana" w:eastAsia="Calibri" w:hAnsi="Verdana" w:cs="Arial"/>
        </w:rPr>
        <w:t xml:space="preserve"> </w:t>
      </w:r>
      <w:r w:rsidRPr="0033599C">
        <w:rPr>
          <w:rFonts w:ascii="Verdana" w:eastAsia="Calibri" w:hAnsi="Verdana" w:cs="Arial"/>
        </w:rPr>
        <w:t>Entidades Privadas Sin Ánimo de Lucro de</w:t>
      </w:r>
      <w:r>
        <w:rPr>
          <w:rFonts w:ascii="Verdana" w:eastAsia="Calibri" w:hAnsi="Verdana" w:cs="Arial"/>
        </w:rPr>
        <w:t xml:space="preserve"> </w:t>
      </w:r>
      <w:r w:rsidRPr="0033599C">
        <w:rPr>
          <w:rFonts w:ascii="Verdana" w:eastAsia="Calibri" w:hAnsi="Verdana" w:cs="Arial"/>
        </w:rPr>
        <w:t xml:space="preserve">reconocida idoneidad, </w:t>
      </w:r>
      <w:r>
        <w:rPr>
          <w:rFonts w:ascii="Verdana" w:eastAsia="Calibri" w:hAnsi="Verdana" w:cs="Arial"/>
        </w:rPr>
        <w:t xml:space="preserve">con la condición de que el </w:t>
      </w:r>
      <w:r w:rsidRPr="0033599C">
        <w:rPr>
          <w:rFonts w:ascii="Verdana" w:eastAsia="Calibri" w:hAnsi="Verdana" w:cs="Arial"/>
        </w:rPr>
        <w:t>aporte de la Entidad Privada Sin Ánimo de</w:t>
      </w:r>
      <w:r>
        <w:rPr>
          <w:rFonts w:ascii="Verdana" w:eastAsia="Calibri" w:hAnsi="Verdana" w:cs="Arial"/>
        </w:rPr>
        <w:t xml:space="preserve"> </w:t>
      </w:r>
      <w:r w:rsidRPr="0033599C">
        <w:rPr>
          <w:rFonts w:ascii="Verdana" w:eastAsia="Calibri" w:hAnsi="Verdana" w:cs="Arial"/>
        </w:rPr>
        <w:t>Lucro sea inferior al 30% en dinero propio o</w:t>
      </w:r>
      <w:r>
        <w:rPr>
          <w:rFonts w:ascii="Verdana" w:eastAsia="Calibri" w:hAnsi="Verdana" w:cs="Arial"/>
        </w:rPr>
        <w:t xml:space="preserve"> </w:t>
      </w:r>
      <w:r w:rsidRPr="0033599C">
        <w:rPr>
          <w:rFonts w:ascii="Verdana" w:eastAsia="Calibri" w:hAnsi="Verdana" w:cs="Arial"/>
        </w:rPr>
        <w:t>de cooperación internacional.</w:t>
      </w:r>
      <w:r>
        <w:rPr>
          <w:rFonts w:ascii="Verdana" w:eastAsia="Calibri" w:hAnsi="Verdana" w:cs="Arial"/>
        </w:rPr>
        <w:t xml:space="preserve"> En segundo lugar, la suscripción del convenio de asociación d</w:t>
      </w:r>
      <w:r w:rsidRPr="0033599C">
        <w:rPr>
          <w:rFonts w:ascii="Verdana" w:eastAsia="Calibri" w:hAnsi="Verdana" w:cs="Arial"/>
        </w:rPr>
        <w:t>el convenio de asociación</w:t>
      </w:r>
      <w:r>
        <w:rPr>
          <w:rFonts w:ascii="Verdana" w:eastAsia="Calibri" w:hAnsi="Verdana" w:cs="Arial"/>
        </w:rPr>
        <w:t xml:space="preserve"> no está </w:t>
      </w:r>
      <w:r w:rsidRPr="0033599C">
        <w:rPr>
          <w:rFonts w:ascii="Verdana" w:eastAsia="Calibri" w:hAnsi="Verdana" w:cs="Arial"/>
        </w:rPr>
        <w:t>sujeto a un proceso competitivo</w:t>
      </w:r>
      <w:r>
        <w:rPr>
          <w:rFonts w:ascii="Verdana" w:eastAsia="Calibri" w:hAnsi="Verdana" w:cs="Arial"/>
        </w:rPr>
        <w:t xml:space="preserve"> </w:t>
      </w:r>
      <w:r w:rsidRPr="0033599C">
        <w:rPr>
          <w:rFonts w:ascii="Verdana" w:eastAsia="Calibri" w:hAnsi="Verdana" w:cs="Arial"/>
        </w:rPr>
        <w:t>cuando la Entidad Privada Sin Ánimo de Lucro</w:t>
      </w:r>
      <w:r>
        <w:rPr>
          <w:rFonts w:ascii="Verdana" w:eastAsia="Calibri" w:hAnsi="Verdana" w:cs="Arial"/>
        </w:rPr>
        <w:t xml:space="preserve"> </w:t>
      </w:r>
      <w:r w:rsidRPr="0033599C">
        <w:rPr>
          <w:rFonts w:ascii="Verdana" w:eastAsia="Calibri" w:hAnsi="Verdana" w:cs="Arial"/>
        </w:rPr>
        <w:t>comprometa recursos en dinero propio o de</w:t>
      </w:r>
      <w:r>
        <w:rPr>
          <w:rFonts w:ascii="Verdana" w:eastAsia="Calibri" w:hAnsi="Verdana" w:cs="Arial"/>
        </w:rPr>
        <w:t xml:space="preserve"> </w:t>
      </w:r>
      <w:r w:rsidRPr="0033599C">
        <w:rPr>
          <w:rFonts w:ascii="Verdana" w:eastAsia="Calibri" w:hAnsi="Verdana" w:cs="Arial"/>
        </w:rPr>
        <w:t>cooperación internacional para la ejecución</w:t>
      </w:r>
      <w:r>
        <w:rPr>
          <w:rFonts w:ascii="Verdana" w:eastAsia="Calibri" w:hAnsi="Verdana" w:cs="Arial"/>
        </w:rPr>
        <w:t xml:space="preserve"> </w:t>
      </w:r>
      <w:r w:rsidRPr="0033599C">
        <w:rPr>
          <w:rFonts w:ascii="Verdana" w:eastAsia="Calibri" w:hAnsi="Verdana" w:cs="Arial"/>
        </w:rPr>
        <w:t>de las actividades en un porcentaje no inferior</w:t>
      </w:r>
      <w:r>
        <w:rPr>
          <w:rFonts w:ascii="Verdana" w:eastAsia="Calibri" w:hAnsi="Verdana" w:cs="Arial"/>
        </w:rPr>
        <w:t xml:space="preserve"> </w:t>
      </w:r>
      <w:r w:rsidRPr="0033599C">
        <w:rPr>
          <w:rFonts w:ascii="Verdana" w:eastAsia="Calibri" w:hAnsi="Verdana" w:cs="Arial"/>
        </w:rPr>
        <w:t>al 3</w:t>
      </w:r>
      <w:r>
        <w:rPr>
          <w:rFonts w:ascii="Verdana" w:eastAsia="Calibri" w:hAnsi="Verdana" w:cs="Arial"/>
        </w:rPr>
        <w:t>0% del valor total del convenio. Por último, s</w:t>
      </w:r>
      <w:r w:rsidRPr="0033599C">
        <w:rPr>
          <w:rFonts w:ascii="Verdana" w:eastAsia="Calibri" w:hAnsi="Verdana" w:cs="Arial"/>
        </w:rPr>
        <w:t>i más de una Entidad Privada Sin Ánimo</w:t>
      </w:r>
      <w:r>
        <w:rPr>
          <w:rFonts w:ascii="Verdana" w:eastAsia="Calibri" w:hAnsi="Verdana" w:cs="Arial"/>
        </w:rPr>
        <w:t xml:space="preserve"> </w:t>
      </w:r>
      <w:r w:rsidRPr="0033599C">
        <w:rPr>
          <w:rFonts w:ascii="Verdana" w:eastAsia="Calibri" w:hAnsi="Verdana" w:cs="Arial"/>
        </w:rPr>
        <w:t>de Lucro promete recursos en dinero para el</w:t>
      </w:r>
      <w:r>
        <w:rPr>
          <w:rFonts w:ascii="Verdana" w:eastAsia="Calibri" w:hAnsi="Verdana" w:cs="Arial"/>
        </w:rPr>
        <w:t xml:space="preserve"> </w:t>
      </w:r>
      <w:r w:rsidRPr="0033599C">
        <w:rPr>
          <w:rFonts w:ascii="Verdana" w:eastAsia="Calibri" w:hAnsi="Verdana" w:cs="Arial"/>
        </w:rPr>
        <w:t>desarrollo de las actividades del convenio de</w:t>
      </w:r>
      <w:r>
        <w:rPr>
          <w:rFonts w:ascii="Verdana" w:eastAsia="Calibri" w:hAnsi="Verdana" w:cs="Arial"/>
        </w:rPr>
        <w:t xml:space="preserve"> </w:t>
      </w:r>
      <w:r w:rsidRPr="0033599C">
        <w:rPr>
          <w:rFonts w:ascii="Verdana" w:eastAsia="Calibri" w:hAnsi="Verdana" w:cs="Arial"/>
        </w:rPr>
        <w:t>asociación en un porcentaje no inferior al 30%</w:t>
      </w:r>
      <w:r>
        <w:rPr>
          <w:rFonts w:ascii="Verdana" w:eastAsia="Calibri" w:hAnsi="Verdana" w:cs="Arial"/>
        </w:rPr>
        <w:t xml:space="preserve"> </w:t>
      </w:r>
      <w:r w:rsidRPr="0033599C">
        <w:rPr>
          <w:rFonts w:ascii="Verdana" w:eastAsia="Calibri" w:hAnsi="Verdana" w:cs="Arial"/>
        </w:rPr>
        <w:t xml:space="preserve">del valor total del convenio, la Entidad </w:t>
      </w:r>
      <w:r>
        <w:rPr>
          <w:rFonts w:ascii="Verdana" w:eastAsia="Calibri" w:hAnsi="Verdana" w:cs="Arial"/>
        </w:rPr>
        <w:t>debe</w:t>
      </w:r>
      <w:r w:rsidRPr="0033599C">
        <w:rPr>
          <w:rFonts w:ascii="Verdana" w:eastAsia="Calibri" w:hAnsi="Verdana" w:cs="Arial"/>
        </w:rPr>
        <w:t xml:space="preserve"> seleccionar </w:t>
      </w:r>
      <w:r>
        <w:rPr>
          <w:rFonts w:ascii="Verdana" w:eastAsia="Calibri" w:hAnsi="Verdana" w:cs="Arial"/>
        </w:rPr>
        <w:t xml:space="preserve">de forma objetiva y con justificación las razones </w:t>
      </w:r>
      <w:r w:rsidRPr="0033599C">
        <w:rPr>
          <w:rFonts w:ascii="Verdana" w:eastAsia="Calibri" w:hAnsi="Verdana" w:cs="Arial"/>
        </w:rPr>
        <w:t>para dicha</w:t>
      </w:r>
      <w:r>
        <w:rPr>
          <w:rFonts w:ascii="Verdana" w:eastAsia="Calibri" w:hAnsi="Verdana" w:cs="Arial"/>
        </w:rPr>
        <w:t xml:space="preserve"> </w:t>
      </w:r>
      <w:r w:rsidRPr="003356E7">
        <w:rPr>
          <w:rFonts w:ascii="Verdana" w:eastAsia="Calibri" w:hAnsi="Verdana" w:cs="Arial"/>
        </w:rPr>
        <w:t>selección</w:t>
      </w:r>
      <w:r w:rsidRPr="003356E7">
        <w:rPr>
          <w:rFonts w:ascii="Verdana" w:eastAsia="Calibri" w:hAnsi="Verdana" w:cs="Arial"/>
          <w:bCs/>
          <w:i/>
          <w:iCs/>
          <w:vertAlign w:val="superscript"/>
        </w:rPr>
        <w:footnoteReference w:id="7"/>
      </w:r>
      <w:r w:rsidRPr="003356E7">
        <w:rPr>
          <w:rFonts w:ascii="Verdana" w:eastAsia="Calibri" w:hAnsi="Verdana" w:cs="Arial"/>
        </w:rPr>
        <w:t>.</w:t>
      </w:r>
    </w:p>
    <w:p w14:paraId="56BE1686" w14:textId="77777777" w:rsidR="00B50930" w:rsidRPr="00E9090B" w:rsidRDefault="00B50930" w:rsidP="00B50930">
      <w:pPr>
        <w:spacing w:after="120" w:line="276" w:lineRule="auto"/>
        <w:ind w:firstLine="709"/>
        <w:jc w:val="both"/>
        <w:rPr>
          <w:rFonts w:ascii="Verdana" w:eastAsia="Calibri" w:hAnsi="Verdana" w:cs="Arial"/>
          <w:lang w:val="es-MX"/>
        </w:rPr>
      </w:pPr>
      <w:r w:rsidRPr="00E9090B">
        <w:rPr>
          <w:rFonts w:ascii="Verdana" w:eastAsia="Calibri" w:hAnsi="Verdana" w:cs="Arial"/>
          <w:lang w:val="es-MX"/>
        </w:rPr>
        <w:t>Ahora bien, el Consejo de Estado, en el Auto del 6 de agosto de 2019 de la Sección Tercera, Subsección A –</w:t>
      </w:r>
      <w:proofErr w:type="spellStart"/>
      <w:r w:rsidRPr="00E9090B">
        <w:rPr>
          <w:rFonts w:ascii="Verdana" w:eastAsia="Calibri" w:hAnsi="Verdana" w:cs="Arial"/>
          <w:lang w:val="es-MX"/>
        </w:rPr>
        <w:t>Exp</w:t>
      </w:r>
      <w:proofErr w:type="spellEnd"/>
      <w:r w:rsidRPr="00E9090B">
        <w:rPr>
          <w:rFonts w:ascii="Verdana" w:eastAsia="Calibri" w:hAnsi="Verdana" w:cs="Arial"/>
          <w:lang w:val="es-MX"/>
        </w:rPr>
        <w:t>. 62.003–, estudió la solicitud de suspensión provisional</w:t>
      </w:r>
      <w:r w:rsidRPr="00E9090B">
        <w:rPr>
          <w:rFonts w:ascii="Verdana" w:eastAsia="Calibri" w:hAnsi="Verdana" w:cs="Arial"/>
          <w:vertAlign w:val="superscript"/>
          <w:lang w:val="es-MX"/>
        </w:rPr>
        <w:footnoteReference w:id="8"/>
      </w:r>
      <w:r w:rsidRPr="00E9090B">
        <w:rPr>
          <w:rFonts w:ascii="Verdana" w:eastAsia="Calibri" w:hAnsi="Verdana" w:cs="Arial"/>
          <w:lang w:val="es-MX"/>
        </w:rPr>
        <w:t xml:space="preserve"> del inciso 2 del artículo 1, literales a y c del artículo 2, inciso 5 del artículo 2, inciso 2 del artículo 3, inciso final del artículo 4 y artículo 5 del Decreto 092 de 2017. No obstante, sobre esta última norma concluyó que el análisis de esta disposición debe realizarse a profundidad para establecer si efectivamente existe una contradicción normativa que implique que se afectó la competencia del legislador. En consecuencia, negó la solicitud de suspensión </w:t>
      </w:r>
      <w:r w:rsidRPr="00E9090B">
        <w:rPr>
          <w:rFonts w:ascii="Verdana" w:eastAsia="Calibri" w:hAnsi="Verdana" w:cs="Arial"/>
          <w:lang w:val="es-MX"/>
        </w:rPr>
        <w:lastRenderedPageBreak/>
        <w:t xml:space="preserve">provisional frente a la última disposición relacionada con los convenios de asociación, reservando el análisis sobre la legalidad de dicho artículo a la sentencia de fondo. Por tanto, si se pretende realizar un </w:t>
      </w:r>
      <w:r w:rsidRPr="00E9090B">
        <w:rPr>
          <w:rFonts w:ascii="Verdana" w:eastAsia="Calibri" w:hAnsi="Verdana" w:cs="Arial"/>
          <w:i/>
          <w:iCs/>
          <w:lang w:val="es-MX"/>
        </w:rPr>
        <w:t>convenio de asociación</w:t>
      </w:r>
      <w:r w:rsidRPr="00E9090B">
        <w:rPr>
          <w:rFonts w:ascii="Verdana" w:eastAsia="Calibri" w:hAnsi="Verdana" w:cs="Arial"/>
          <w:lang w:val="es-MX"/>
        </w:rPr>
        <w:t xml:space="preserve"> con ESAL de reconocida idoneidad para el cumplimiento de las funciones que la ley les asigna a las entidades públicas, debe aplicarse lo dispuesto en el artículo 5 del Decreto 092 de 2017. </w:t>
      </w:r>
      <w:r w:rsidRPr="00E9090B">
        <w:rPr>
          <w:rFonts w:ascii="Verdana" w:eastAsia="Calibri" w:hAnsi="Verdana" w:cs="Arial"/>
          <w:lang w:val="es-ES_tradnl"/>
        </w:rPr>
        <w:t>En todo caso, conviene precisar que mediante Auto del 15 de marzo de 2022</w:t>
      </w:r>
      <w:r w:rsidRPr="00E9090B">
        <w:rPr>
          <w:rFonts w:ascii="Verdana" w:eastAsia="Calibri" w:hAnsi="Verdana" w:cs="Arial"/>
          <w:vertAlign w:val="superscript"/>
          <w:lang w:val="es-ES_tradnl"/>
        </w:rPr>
        <w:footnoteReference w:id="9"/>
      </w:r>
      <w:r w:rsidRPr="00E9090B">
        <w:rPr>
          <w:rFonts w:ascii="Verdana" w:eastAsia="Calibri" w:hAnsi="Verdana" w:cs="Arial"/>
          <w:lang w:val="es-ES_tradnl"/>
        </w:rPr>
        <w:t>, el Consejo de Estado levantó la medida cautelar de suspensión provisional respecto del inciso 2 del artículo 1 y el inciso 2 del artículo 3, del Decreto 092 de 2007, por lo que surten en la actualidad efectos jurídicos</w:t>
      </w:r>
      <w:r w:rsidRPr="00E9090B">
        <w:rPr>
          <w:rFonts w:ascii="Verdana" w:eastAsia="Calibri" w:hAnsi="Verdana" w:cs="Arial"/>
          <w:vertAlign w:val="superscript"/>
          <w:lang w:val="es-ES_tradnl"/>
        </w:rPr>
        <w:footnoteReference w:id="10"/>
      </w:r>
      <w:r w:rsidRPr="00E9090B">
        <w:rPr>
          <w:rFonts w:ascii="Verdana" w:eastAsia="Calibri" w:hAnsi="Verdana" w:cs="Arial"/>
          <w:lang w:val="es-ES_tradnl"/>
        </w:rPr>
        <w:t>.</w:t>
      </w:r>
    </w:p>
    <w:p w14:paraId="5572FC07" w14:textId="77777777" w:rsidR="00B50930" w:rsidRPr="00E9090B" w:rsidRDefault="00B50930" w:rsidP="00B50930">
      <w:pPr>
        <w:spacing w:before="120" w:after="0" w:line="276" w:lineRule="auto"/>
        <w:ind w:firstLine="708"/>
        <w:jc w:val="both"/>
        <w:textAlignment w:val="baseline"/>
        <w:rPr>
          <w:rFonts w:ascii="Verdana" w:eastAsia="Calibri" w:hAnsi="Verdana" w:cs="Arial"/>
          <w:lang w:val="es-ES_tradnl" w:eastAsia="es-ES_tradnl"/>
        </w:rPr>
      </w:pPr>
      <w:r w:rsidRPr="00E9090B">
        <w:rPr>
          <w:rFonts w:ascii="Verdana" w:eastAsia="Calibri" w:hAnsi="Verdana" w:cs="Arial"/>
          <w:lang w:val="es-MX"/>
        </w:rPr>
        <w:t xml:space="preserve">Como se explicó, en relación con los convenios de asociación, el artículo 5 del citado Decreto establece que el proceso para la selección de la ESAL, por regla general, debe estar sujeto a competencia; salvo en aquellos casos en que </w:t>
      </w:r>
      <w:r w:rsidRPr="00E9090B">
        <w:rPr>
          <w:rFonts w:ascii="Verdana" w:eastAsia="Calibri" w:hAnsi="Verdana" w:cs="Arial"/>
          <w:i/>
          <w:iCs/>
          <w:lang w:val="es-MX"/>
        </w:rPr>
        <w:t>una</w:t>
      </w:r>
      <w:r w:rsidRPr="00E9090B">
        <w:rPr>
          <w:rFonts w:ascii="Verdana" w:eastAsia="Calibri" w:hAnsi="Verdana" w:cs="Arial"/>
          <w:lang w:val="es-MX"/>
        </w:rPr>
        <w:t xml:space="preserve"> entidad sin ánimo de lucro comprometa recursos en dinero por un valor igual o superior al 30% del valor total del convenio</w:t>
      </w:r>
      <w:r w:rsidRPr="00E9090B">
        <w:rPr>
          <w:rFonts w:ascii="Verdana" w:eastAsia="Calibri" w:hAnsi="Verdana" w:cs="Arial"/>
          <w:vertAlign w:val="superscript"/>
          <w:lang w:val="es-MX"/>
        </w:rPr>
        <w:footnoteReference w:id="11"/>
      </w:r>
      <w:r w:rsidRPr="00E9090B">
        <w:rPr>
          <w:rFonts w:ascii="Verdana" w:eastAsia="Calibri" w:hAnsi="Verdana" w:cs="Arial"/>
          <w:lang w:val="es-MX"/>
        </w:rPr>
        <w:t xml:space="preserve">, y siempre que la entidad estatal verifique previamente que no existe ninguna otra entidad sin ánimo de lucro que ofrezca aportes en dinero iguales o superiores al 30%, ya que en este último evento también deberá adelantar un proceso competitivo. De hecho, en </w:t>
      </w:r>
      <w:r w:rsidRPr="00E9090B">
        <w:rPr>
          <w:rFonts w:ascii="Verdana" w:eastAsia="Calibri" w:hAnsi="Verdana" w:cs="Arial"/>
          <w:lang w:val="es-MX"/>
        </w:rPr>
        <w:lastRenderedPageBreak/>
        <w:t>relación con la naturaleza y cuantía de los convenios, la norma anteriormente citada no prohíbe la celebración de convenios en que la ESAL aporte menos del 30% o cuando aporten recursos en especie. En efecto, solo indica que en esos casos la entidad estatal debe acudir al proceso competitivo para seleccionar a la entidad sin ánimo de lucro con la cual celebrará el respectivo convenio.</w:t>
      </w:r>
    </w:p>
    <w:p w14:paraId="373B8138" w14:textId="77777777" w:rsidR="00B50930" w:rsidRPr="00E9090B" w:rsidRDefault="00B50930" w:rsidP="00B50930">
      <w:pPr>
        <w:spacing w:before="120" w:after="120" w:line="276" w:lineRule="auto"/>
        <w:ind w:firstLine="709"/>
        <w:jc w:val="both"/>
        <w:rPr>
          <w:rFonts w:ascii="Verdana" w:eastAsia="Calibri" w:hAnsi="Verdana" w:cs="Arial"/>
          <w:lang w:val="es-ES_tradnl"/>
        </w:rPr>
      </w:pPr>
      <w:r w:rsidRPr="00E9090B">
        <w:rPr>
          <w:rFonts w:ascii="Verdana" w:eastAsia="Calibri" w:hAnsi="Verdana" w:cs="Arial"/>
          <w:lang w:val="es-ES_tradnl" w:eastAsia="es-ES_tradnl"/>
        </w:rPr>
        <w:t xml:space="preserve">Finalmente, sintetizando lo expresado en relación con los </w:t>
      </w:r>
      <w:r w:rsidRPr="00E9090B">
        <w:rPr>
          <w:rFonts w:ascii="Verdana" w:eastAsia="Calibri" w:hAnsi="Verdana" w:cs="Arial"/>
          <w:i/>
          <w:iCs/>
          <w:lang w:val="es-ES_tradnl" w:eastAsia="es-ES_tradnl"/>
        </w:rPr>
        <w:t xml:space="preserve">convenios de </w:t>
      </w:r>
      <w:r w:rsidRPr="00E9090B">
        <w:rPr>
          <w:rFonts w:ascii="Verdana" w:eastAsia="Calibri" w:hAnsi="Verdana" w:cs="Arial"/>
          <w:lang w:val="es-ES_tradnl" w:eastAsia="es-ES_tradnl"/>
        </w:rPr>
        <w:t xml:space="preserve">asociación, la finalidad de los aportes está dirigido concretamente a lograr la ejecución del convenio. De todos modos, la entidad deberá adelantar un proceso competitivo, salvo cuando la ESAL comprometa recursos en dinero para la ejecución de estas actividades, en una proporción no inferior al 30% del valor total del convenio. Así, </w:t>
      </w:r>
      <w:r w:rsidRPr="00E9090B">
        <w:rPr>
          <w:rFonts w:ascii="Verdana" w:eastAsia="Calibri" w:hAnsi="Verdana" w:cs="Arial"/>
          <w:lang w:val="es-ES_tradnl"/>
        </w:rPr>
        <w:t xml:space="preserve">si se pretende suscribir un </w:t>
      </w:r>
      <w:r w:rsidRPr="00E9090B">
        <w:rPr>
          <w:rFonts w:ascii="Verdana" w:eastAsia="Calibri" w:hAnsi="Verdana" w:cs="Arial"/>
          <w:i/>
          <w:iCs/>
          <w:lang w:val="es-ES_tradnl"/>
        </w:rPr>
        <w:t>convenio de asociación</w:t>
      </w:r>
      <w:r w:rsidRPr="00E9090B">
        <w:rPr>
          <w:rFonts w:ascii="Verdana" w:eastAsia="Calibri" w:hAnsi="Verdana" w:cs="Arial"/>
          <w:lang w:val="es-ES_tradnl"/>
        </w:rPr>
        <w:t xml:space="preserve"> con una ESAL de reconocida idoneidad para el cumplimiento de las funciones que la ley les asigna a las entidades públicas, deben aplicar lo dispuesto en el artículo 5 del Decreto 92 de 2017. Como se estableció </w:t>
      </w:r>
      <w:r w:rsidRPr="00E9090B">
        <w:rPr>
          <w:rFonts w:ascii="Verdana" w:eastAsia="Calibri" w:hAnsi="Verdana" w:cs="Arial"/>
          <w:i/>
          <w:iCs/>
          <w:lang w:val="es-ES_tradnl"/>
        </w:rPr>
        <w:t>supra</w:t>
      </w:r>
      <w:r w:rsidRPr="00E9090B">
        <w:rPr>
          <w:rFonts w:ascii="Verdana" w:eastAsia="Calibri" w:hAnsi="Verdana" w:cs="Arial"/>
          <w:lang w:val="es-ES_tradnl"/>
        </w:rPr>
        <w:t xml:space="preserve">, este artículo dispone que el proceso para la escogencia de la ESAL, por regla general, debe estar sujeto a competencia. </w:t>
      </w:r>
    </w:p>
    <w:p w14:paraId="00D911AC" w14:textId="77777777" w:rsidR="00B50930" w:rsidRPr="00E9090B" w:rsidRDefault="00B50930" w:rsidP="00B50930">
      <w:pPr>
        <w:spacing w:before="120" w:after="120" w:line="276" w:lineRule="auto"/>
        <w:ind w:firstLine="709"/>
        <w:jc w:val="both"/>
        <w:rPr>
          <w:rFonts w:ascii="Verdana" w:eastAsia="Calibri" w:hAnsi="Verdana" w:cs="Arial"/>
          <w:lang w:val="es-ES"/>
        </w:rPr>
      </w:pPr>
      <w:r w:rsidRPr="00E9090B">
        <w:rPr>
          <w:rFonts w:ascii="Verdana" w:eastAsia="Calibri" w:hAnsi="Verdana" w:cs="Arial"/>
          <w:lang w:val="es-ES"/>
        </w:rPr>
        <w:t xml:space="preserve">Esto, salvo en aquellos casos en los que una ESAL manifieste su compromiso de aportar recursos en dinero por un valor igual o superior al 30% del valor total del convenio, con la condición de que no existan otras ESAL que ofrezca aportes en monto igual o superior a dicho porcentaje, pues en este evento también se tendría que realizar un proceso competitivo. Finalmente, dada la regla concreta y específica establecida en la norma, si los aportes no son en dinero, sino únicamente en especie, esto es, bienes diferentes o no equivalente al dinero, no se dará aplicación a dicha regla y el proceso de selección será competitivo. </w:t>
      </w:r>
    </w:p>
    <w:p w14:paraId="22879C2C" w14:textId="77777777" w:rsidR="00B50930" w:rsidRPr="003356E7" w:rsidRDefault="00B50930" w:rsidP="00B50930">
      <w:pPr>
        <w:spacing w:after="0" w:line="276" w:lineRule="auto"/>
        <w:ind w:firstLine="709"/>
        <w:jc w:val="both"/>
        <w:textAlignment w:val="baseline"/>
        <w:rPr>
          <w:rFonts w:ascii="Verdana" w:eastAsia="Calibri" w:hAnsi="Verdana" w:cs="Arial"/>
          <w:lang w:val="es-ES"/>
        </w:rPr>
      </w:pPr>
      <w:r w:rsidRPr="00E9090B">
        <w:rPr>
          <w:rFonts w:ascii="Verdana" w:eastAsia="Calibri" w:hAnsi="Verdana" w:cs="Arial"/>
          <w:lang w:val="es-ES"/>
        </w:rPr>
        <w:t xml:space="preserve">En ese contexto, cuando el aporte de la ESAL al convenio de asociación, que se realizará con una entidad estatal bajo los términos del artículo 5 del Decreto 092 de 2017, no sea en dinero, sino en especie, esto es, con bienes tangibles e intangibles distintos al dinero o que no sean equivalentes a este, en los términos indicados en el párrafo anterior, </w:t>
      </w:r>
      <w:r w:rsidRPr="00E9090B">
        <w:rPr>
          <w:rFonts w:ascii="Verdana" w:eastAsia="Calibri" w:hAnsi="Verdana" w:cs="Arial"/>
          <w:i/>
          <w:iCs/>
          <w:lang w:val="es-ES"/>
        </w:rPr>
        <w:t>no</w:t>
      </w:r>
      <w:r w:rsidRPr="00E9090B">
        <w:rPr>
          <w:rFonts w:ascii="Verdana" w:eastAsia="Calibri" w:hAnsi="Verdana" w:cs="Arial"/>
          <w:lang w:val="es-ES"/>
        </w:rPr>
        <w:t xml:space="preserve"> se aplicará la regla que determina que si el aporte de recursos en dinero es igual o superior a un 30% del valor del convenio, este se podrá celebrar de forma directa, por lo que deberá adelantarse un proceso competitivo. No obstante, se precisa que no significa que no puedan hacerse aportes en especie, sino que como mínimo debe realizarse un aporte en dinero del 30% del valor del convenio de asociación para que pueda </w:t>
      </w:r>
      <w:r w:rsidRPr="00E9090B">
        <w:rPr>
          <w:rFonts w:ascii="Verdana" w:eastAsia="Calibri" w:hAnsi="Verdana" w:cs="Arial"/>
          <w:lang w:val="es-ES"/>
        </w:rPr>
        <w:lastRenderedPageBreak/>
        <w:t>aplicar la selección directa de la ESAL, siempre que no haya otra entidad privada sin ánimo de lucro que realice el mismo ofrecimiento.</w:t>
      </w:r>
      <w:r>
        <w:rPr>
          <w:rFonts w:ascii="Verdana" w:eastAsia="Calibri" w:hAnsi="Verdana" w:cs="Arial"/>
          <w:lang w:val="es-ES"/>
        </w:rPr>
        <w:t xml:space="preserve"> </w:t>
      </w:r>
      <w:r w:rsidRPr="00E9090B">
        <w:rPr>
          <w:rFonts w:ascii="Verdana" w:eastAsia="Calibri" w:hAnsi="Verdana" w:cs="Arial"/>
          <w:bCs/>
          <w:lang w:val="es-MX"/>
        </w:rPr>
        <w:t xml:space="preserve">Ahora bien, </w:t>
      </w:r>
      <w:r w:rsidRPr="00E9090B">
        <w:rPr>
          <w:rFonts w:ascii="Verdana" w:eastAsia="Calibri" w:hAnsi="Verdana" w:cs="Arial"/>
          <w:bCs/>
          <w:lang w:val="es-ES_tradnl"/>
        </w:rPr>
        <w:t>frente a la regulación sumaria de los contratos del artículo 355 de la Constitución y los convenios de asociación, los artículos 6, 7 y 8 del Decreto 092 de 2017 disponen:</w:t>
      </w:r>
    </w:p>
    <w:p w14:paraId="477F0FAA" w14:textId="77777777" w:rsidR="00B50930" w:rsidRPr="003356E7" w:rsidRDefault="00B50930" w:rsidP="00B50930">
      <w:pPr>
        <w:spacing w:after="0" w:line="276" w:lineRule="auto"/>
        <w:ind w:firstLine="709"/>
        <w:jc w:val="both"/>
        <w:rPr>
          <w:rFonts w:ascii="Verdana" w:eastAsia="Calibri" w:hAnsi="Verdana" w:cs="Arial"/>
          <w:bCs/>
          <w:lang w:val="es-ES"/>
        </w:rPr>
      </w:pPr>
    </w:p>
    <w:p w14:paraId="7088BD44" w14:textId="77777777" w:rsidR="00B50930" w:rsidRPr="00B74143" w:rsidRDefault="00B50930" w:rsidP="00B50930">
      <w:pPr>
        <w:spacing w:after="0" w:line="240" w:lineRule="auto"/>
        <w:ind w:left="709" w:right="709"/>
        <w:jc w:val="both"/>
        <w:rPr>
          <w:rFonts w:ascii="Verdana" w:eastAsia="Calibri" w:hAnsi="Verdana" w:cs="Arial"/>
          <w:sz w:val="20"/>
          <w:szCs w:val="20"/>
          <w:lang w:val="es-ES_tradnl"/>
        </w:rPr>
      </w:pPr>
      <w:r w:rsidRPr="00B74143">
        <w:rPr>
          <w:rFonts w:ascii="Verdana" w:eastAsia="Calibri" w:hAnsi="Verdana" w:cs="Arial"/>
          <w:sz w:val="20"/>
          <w:szCs w:val="20"/>
          <w:lang w:val="es-ES_tradnl"/>
        </w:rPr>
        <w:t>“Artículo 6°. Prohibiciones, inhabilidades e incompatibilidades. Las prohibiciones, inhabilidades e incompatibilidades establecidas en la Constitución y en las Leyes 80 de 1993, 1150 de 2007 y 1474 de 2011, y en las normas que las modifiquen, aclaren, adicionen o sustituyan, o en cualquier otra norma especial, son aplicables a la contratación a la que hace referencia el presente decreto.</w:t>
      </w:r>
    </w:p>
    <w:p w14:paraId="48D1CD64" w14:textId="77777777" w:rsidR="00B50930" w:rsidRPr="00B74143" w:rsidRDefault="00B50930" w:rsidP="00B50930">
      <w:pPr>
        <w:spacing w:after="0" w:line="240" w:lineRule="auto"/>
        <w:ind w:left="709" w:right="709"/>
        <w:jc w:val="both"/>
        <w:rPr>
          <w:rFonts w:ascii="Verdana" w:eastAsia="Calibri" w:hAnsi="Verdana" w:cs="Arial"/>
          <w:sz w:val="20"/>
          <w:szCs w:val="20"/>
          <w:lang w:val="es-ES_tradnl"/>
        </w:rPr>
      </w:pPr>
    </w:p>
    <w:p w14:paraId="33C1608D" w14:textId="77777777" w:rsidR="00B50930" w:rsidRPr="00B74143" w:rsidRDefault="00B50930" w:rsidP="00B50930">
      <w:pPr>
        <w:spacing w:after="0" w:line="240" w:lineRule="auto"/>
        <w:ind w:left="709" w:right="709"/>
        <w:jc w:val="both"/>
        <w:rPr>
          <w:rFonts w:ascii="Verdana" w:eastAsia="Calibri" w:hAnsi="Verdana" w:cs="Arial"/>
          <w:sz w:val="20"/>
          <w:szCs w:val="20"/>
          <w:lang w:val="es-ES_tradnl"/>
        </w:rPr>
      </w:pPr>
      <w:r w:rsidRPr="00B74143">
        <w:rPr>
          <w:rFonts w:ascii="Verdana" w:eastAsia="Calibri" w:hAnsi="Verdana" w:cs="Arial"/>
          <w:sz w:val="20"/>
          <w:szCs w:val="20"/>
          <w:lang w:val="es-ES_tradnl"/>
        </w:rPr>
        <w:t>Artículo 7°. Aplicación de los principios de la contratación estatal. La contratación a la que hace referencia el presente decreto está sujeta a los principios de la contratación estatal y a las normas presupuestales aplicables […]</w:t>
      </w:r>
    </w:p>
    <w:p w14:paraId="1CA1D84B" w14:textId="77777777" w:rsidR="00B50930" w:rsidRPr="00B74143" w:rsidRDefault="00B50930" w:rsidP="00B50930">
      <w:pPr>
        <w:spacing w:after="0" w:line="240" w:lineRule="auto"/>
        <w:ind w:left="709" w:right="709"/>
        <w:jc w:val="both"/>
        <w:rPr>
          <w:rFonts w:ascii="Verdana" w:eastAsia="Calibri" w:hAnsi="Verdana" w:cs="Arial"/>
          <w:sz w:val="20"/>
          <w:szCs w:val="20"/>
          <w:lang w:val="es-ES_tradnl"/>
        </w:rPr>
      </w:pPr>
    </w:p>
    <w:p w14:paraId="07F36B46" w14:textId="77777777" w:rsidR="00B50930" w:rsidRPr="00B74143" w:rsidRDefault="00B50930" w:rsidP="00B50930">
      <w:pPr>
        <w:spacing w:after="0" w:line="240" w:lineRule="auto"/>
        <w:ind w:left="709" w:right="709"/>
        <w:jc w:val="both"/>
        <w:rPr>
          <w:rFonts w:ascii="Verdana" w:eastAsia="Calibri" w:hAnsi="Verdana" w:cs="Arial"/>
          <w:sz w:val="20"/>
          <w:szCs w:val="20"/>
          <w:lang w:val="es-ES_tradnl"/>
        </w:rPr>
      </w:pPr>
      <w:r w:rsidRPr="00B74143">
        <w:rPr>
          <w:rFonts w:ascii="Verdana" w:eastAsia="Calibri" w:hAnsi="Verdana" w:cs="Arial"/>
          <w:sz w:val="20"/>
          <w:szCs w:val="20"/>
          <w:lang w:val="es-ES_tradnl"/>
        </w:rPr>
        <w:t xml:space="preserve">Artículo 8°. Aplicación de normas generales del sistema de contratación pública. La contratación a la que hace referencia el presente decreto está sujeta a las normas generales aplicables a la contratación pública excepto en lo reglamentado en el presente decreto”. </w:t>
      </w:r>
    </w:p>
    <w:p w14:paraId="20670E7C" w14:textId="77777777" w:rsidR="00B50930" w:rsidRPr="00E9090B" w:rsidRDefault="00B50930" w:rsidP="00B50930">
      <w:pPr>
        <w:spacing w:after="0" w:line="276" w:lineRule="auto"/>
        <w:ind w:firstLine="709"/>
        <w:jc w:val="both"/>
        <w:rPr>
          <w:rFonts w:ascii="Arial" w:eastAsia="Calibri" w:hAnsi="Arial" w:cs="Arial"/>
          <w:bCs/>
          <w:lang w:val="es-MX"/>
        </w:rPr>
      </w:pPr>
    </w:p>
    <w:p w14:paraId="2CA36B69" w14:textId="77777777" w:rsidR="00B50930" w:rsidRPr="00E9090B" w:rsidRDefault="00B50930" w:rsidP="00B50930">
      <w:pPr>
        <w:spacing w:after="120" w:line="276" w:lineRule="auto"/>
        <w:ind w:firstLine="709"/>
        <w:jc w:val="both"/>
        <w:rPr>
          <w:rFonts w:ascii="Verdana" w:eastAsia="Calibri" w:hAnsi="Verdana" w:cs="Arial"/>
          <w:bCs/>
        </w:rPr>
      </w:pPr>
      <w:r w:rsidRPr="00E9090B">
        <w:rPr>
          <w:rFonts w:ascii="Verdana" w:eastAsia="Calibri" w:hAnsi="Verdana" w:cs="Arial"/>
          <w:bCs/>
        </w:rPr>
        <w:t xml:space="preserve">Estas normas integran las lagunas o vacíos normativos del reglamento autónomo, y se aplican a todo lo que no esté expresamente regulado en él. Por ello no es posible aplicar ninguna de las disposiciones anteriormente citadas en temas como la competencia para celebrar los contratos del artículo 355 de la Constitución y la </w:t>
      </w:r>
      <w:proofErr w:type="spellStart"/>
      <w:r w:rsidRPr="00E9090B">
        <w:rPr>
          <w:rFonts w:ascii="Verdana" w:eastAsia="Calibri" w:hAnsi="Verdana" w:cs="Arial"/>
          <w:bCs/>
        </w:rPr>
        <w:t>indelegabilidad</w:t>
      </w:r>
      <w:proofErr w:type="spellEnd"/>
      <w:r w:rsidRPr="00E9090B">
        <w:rPr>
          <w:rFonts w:ascii="Verdana" w:eastAsia="Calibri" w:hAnsi="Verdana" w:cs="Arial"/>
          <w:bCs/>
        </w:rPr>
        <w:t xml:space="preserve"> de la autorización –art. 2–, la idoneidad de las ESAL –art. 3–, su registro en el SECOP –art. 9– y la inaplicación del registro único de proponentes –art. 10–. </w:t>
      </w:r>
    </w:p>
    <w:p w14:paraId="145C761C" w14:textId="77777777" w:rsidR="00B50930" w:rsidRPr="00E9090B" w:rsidRDefault="00B50930" w:rsidP="00B50930">
      <w:pPr>
        <w:spacing w:before="120" w:after="120" w:line="276" w:lineRule="auto"/>
        <w:ind w:firstLine="708"/>
        <w:jc w:val="both"/>
        <w:rPr>
          <w:rFonts w:ascii="Verdana" w:eastAsia="Calibri" w:hAnsi="Verdana" w:cs="Arial"/>
        </w:rPr>
      </w:pPr>
      <w:r w:rsidRPr="00E9090B">
        <w:rPr>
          <w:rFonts w:ascii="Verdana" w:eastAsia="Rockwell" w:hAnsi="Verdana" w:cs="Arial"/>
          <w:lang w:eastAsia="es-CO"/>
        </w:rPr>
        <w:t xml:space="preserve">Sobre la interpretación de estos artículos del </w:t>
      </w:r>
      <w:r w:rsidRPr="00E9090B">
        <w:rPr>
          <w:rFonts w:ascii="Verdana" w:eastAsia="Calibri" w:hAnsi="Verdana" w:cs="Arial"/>
        </w:rPr>
        <w:t xml:space="preserve">Decreto 092 de 2017, </w:t>
      </w:r>
      <w:r w:rsidRPr="00E9090B">
        <w:rPr>
          <w:rFonts w:ascii="Verdana" w:eastAsia="Rockwell" w:hAnsi="Verdana" w:cs="Arial"/>
          <w:lang w:eastAsia="es-CO"/>
        </w:rPr>
        <w:t>esta Agencia en el</w:t>
      </w:r>
      <w:r w:rsidRPr="00E9090B">
        <w:rPr>
          <w:rFonts w:ascii="Verdana" w:eastAsia="Calibri" w:hAnsi="Verdana" w:cs="Arial"/>
        </w:rPr>
        <w:t xml:space="preserve"> Concepto C-223 del 29 de abril de 2020 señaló que cuando el artículo 8 menciona a las “[…] normas generales aplicables a la contratación pública […]”, bien podrían referirse a las disposiciones comunes del Estatuto General –</w:t>
      </w:r>
      <w:r w:rsidRPr="00E9090B">
        <w:rPr>
          <w:rFonts w:ascii="Verdana" w:eastAsia="Calibri" w:hAnsi="Verdana" w:cs="Arial"/>
          <w:i/>
          <w:iCs/>
        </w:rPr>
        <w:t xml:space="preserve">remisión parcial </w:t>
      </w:r>
      <w:proofErr w:type="spellStart"/>
      <w:r w:rsidRPr="00E9090B">
        <w:rPr>
          <w:rFonts w:ascii="Verdana" w:eastAsia="Calibri" w:hAnsi="Verdana" w:cs="Arial"/>
          <w:i/>
          <w:iCs/>
        </w:rPr>
        <w:t>latu</w:t>
      </w:r>
      <w:proofErr w:type="spellEnd"/>
      <w:r w:rsidRPr="00E9090B">
        <w:rPr>
          <w:rFonts w:ascii="Verdana" w:eastAsia="Calibri" w:hAnsi="Verdana" w:cs="Arial"/>
          <w:i/>
          <w:iCs/>
        </w:rPr>
        <w:t xml:space="preserve"> sensu</w:t>
      </w:r>
      <w:r w:rsidRPr="00E9090B">
        <w:rPr>
          <w:rFonts w:ascii="Verdana" w:eastAsia="Calibri" w:hAnsi="Verdana" w:cs="Arial"/>
        </w:rPr>
        <w:t>– o a la totalidad de la Ley 80 de 1993 –</w:t>
      </w:r>
      <w:r w:rsidRPr="00E9090B">
        <w:rPr>
          <w:rFonts w:ascii="Verdana" w:eastAsia="Calibri" w:hAnsi="Verdana" w:cs="Arial"/>
          <w:i/>
          <w:iCs/>
        </w:rPr>
        <w:t>remisión integral</w:t>
      </w:r>
      <w:r w:rsidRPr="00E9090B">
        <w:rPr>
          <w:rFonts w:ascii="Verdana" w:eastAsia="Calibri" w:hAnsi="Verdana" w:cs="Arial"/>
        </w:rPr>
        <w:t xml:space="preserve">–. En esta medida, determinar el alcance de la remisión del artículo 8 del Decreto 092 requiere considerar que no hay lugar a distinguir entre normas de carácter general o especial dentro del Estatuto de Contratación de la Administración Pública, ya que de la competencia dispuesta en el inciso final del artículo 150 de la Constitución Política se desprende que todas estas </w:t>
      </w:r>
      <w:r w:rsidRPr="00E9090B">
        <w:rPr>
          <w:rFonts w:ascii="Verdana" w:eastAsia="Calibri" w:hAnsi="Verdana" w:cs="Arial"/>
        </w:rPr>
        <w:lastRenderedPageBreak/>
        <w:t xml:space="preserve">disposiciones regulan con el mismo grado de generalidad la actividad contractual del Estado.     </w:t>
      </w:r>
    </w:p>
    <w:p w14:paraId="3A2BD748" w14:textId="77777777" w:rsidR="00B50930" w:rsidRDefault="00B50930" w:rsidP="00B50930">
      <w:pPr>
        <w:spacing w:before="120" w:after="120" w:line="276" w:lineRule="auto"/>
        <w:ind w:firstLine="708"/>
        <w:jc w:val="both"/>
        <w:rPr>
          <w:rFonts w:ascii="Verdana" w:eastAsia="Calibri" w:hAnsi="Verdana" w:cs="Arial"/>
          <w:lang w:val="es-ES"/>
        </w:rPr>
      </w:pPr>
      <w:r w:rsidRPr="00E9090B">
        <w:rPr>
          <w:rFonts w:ascii="Verdana" w:eastAsia="Calibri" w:hAnsi="Verdana" w:cs="Arial"/>
          <w:lang w:val="es-ES"/>
        </w:rPr>
        <w:t xml:space="preserve">Por ello, considerando que la Ley 80 de 1993 tiene el mismo grado de generalidad, se concluyó que el artículo 8 del Decreto 092 de 2017 remite integralmente al Estatuto de Contratación. Esta remisión alcanza tanto el régimen de inhabilidades e incompatibilidades como los principios aplicables a la contratación estatal. Por tanto, los artículos 6, 7 y 8 del reglamento autónomo deben interpretarse en bloque, es decir, aplicando la Ley 80 de 1993 a todo supuesto que no esté expresamente regulado en el Decreto 092 de 2017. </w:t>
      </w:r>
    </w:p>
    <w:p w14:paraId="3EEEA718" w14:textId="77777777" w:rsidR="00B50930" w:rsidRPr="00E16080" w:rsidRDefault="00B50930" w:rsidP="00B50930">
      <w:pPr>
        <w:spacing w:after="0" w:line="276" w:lineRule="auto"/>
        <w:ind w:firstLine="708"/>
        <w:jc w:val="both"/>
        <w:rPr>
          <w:rFonts w:ascii="Verdana" w:eastAsia="Calibri" w:hAnsi="Verdana" w:cs="Arial"/>
          <w:lang w:val="es-ES_tradnl"/>
        </w:rPr>
      </w:pPr>
      <w:r w:rsidRPr="000A33B7">
        <w:rPr>
          <w:rFonts w:ascii="Verdana" w:eastAsia="Calibri" w:hAnsi="Verdana" w:cs="Arial"/>
          <w:lang w:val="es-ES_tradnl"/>
        </w:rPr>
        <w:t xml:space="preserve">En esta medida, los </w:t>
      </w:r>
      <w:bookmarkStart w:id="1" w:name="_Hlk38213744"/>
      <w:r w:rsidRPr="000A33B7">
        <w:rPr>
          <w:rFonts w:ascii="Verdana" w:eastAsia="Calibri" w:hAnsi="Verdana" w:cs="Arial"/>
          <w:i/>
          <w:iCs/>
          <w:lang w:val="es-ES_tradnl"/>
        </w:rPr>
        <w:t xml:space="preserve">contratos del artículo 355 de la Constitución </w:t>
      </w:r>
      <w:r w:rsidRPr="000A33B7">
        <w:rPr>
          <w:rFonts w:ascii="Verdana" w:eastAsia="Calibri" w:hAnsi="Verdana" w:cs="Arial"/>
          <w:lang w:val="es-ES_tradnl"/>
        </w:rPr>
        <w:t xml:space="preserve">y los </w:t>
      </w:r>
      <w:r w:rsidRPr="000A33B7">
        <w:rPr>
          <w:rFonts w:ascii="Verdana" w:eastAsia="Calibri" w:hAnsi="Verdana" w:cs="Arial"/>
          <w:i/>
          <w:iCs/>
          <w:lang w:val="es-ES_tradnl"/>
        </w:rPr>
        <w:t>convenios de asociación</w:t>
      </w:r>
      <w:bookmarkEnd w:id="1"/>
      <w:r w:rsidRPr="000A33B7">
        <w:rPr>
          <w:rFonts w:ascii="Verdana" w:eastAsia="Calibri" w:hAnsi="Verdana" w:cs="Arial"/>
          <w:lang w:val="es-ES_tradnl"/>
        </w:rPr>
        <w:t xml:space="preserve"> se rigen por el decreto y las normas del Estatuto General que sean compatibles con él, como, por ejemplo, los fines de la contratación –art. 3–, los derechos y deberes del contratante y del contratista –arts. 4 y 5–, los consorcios o uniones temporales –art. 7–, el régimen de inhabilidades e incompatibilidades –art. 8–, los principios de la contratación estatal –art. 23 y ss.–, las tipologías contractuales –art. 32–, el contenido del contrato y la prohibición de adicionarlo en más del cincuenta por ciento –art. 40–, el régimen de perfeccionamiento –art. 41–, las causales de nulidad –art. 44 y ss.–, el régimen de responsabilidad contractual –art. 50 y ss.– y de liquidación de los contratos –art. 60–. </w:t>
      </w:r>
      <w:r w:rsidRPr="00E9090B">
        <w:rPr>
          <w:rFonts w:ascii="Verdana" w:eastAsia="Calibri" w:hAnsi="Verdana" w:cs="Arial"/>
          <w:lang w:val="es-ES"/>
        </w:rPr>
        <w:t xml:space="preserve">Ahora bien, esta remisión del artículo 8 del Decreto 092 de 2017 no puede integrarse de plano con las normas del Estatuto General de Contratación de la Administración Pública, sin tener en cuenta las características y condiciones especiales de los diferentes tipos de convenios que se suscribe bajo el amparo del artículo 355 de la Constitución Política y cuya reglamentación está dispuesta en el Decreto 092 de 2017.  </w:t>
      </w:r>
    </w:p>
    <w:p w14:paraId="648D1790" w14:textId="77777777" w:rsidR="00B50930" w:rsidRPr="00AE420E" w:rsidRDefault="00B50930" w:rsidP="00B50930">
      <w:pPr>
        <w:spacing w:after="0" w:line="276" w:lineRule="auto"/>
        <w:jc w:val="both"/>
        <w:rPr>
          <w:rFonts w:ascii="Verdana" w:eastAsia="Aptos" w:hAnsi="Verdana" w:cs="Arial"/>
          <w:shd w:val="clear" w:color="auto" w:fill="FFFFFF"/>
          <w:lang w:val="es-ES"/>
        </w:rPr>
      </w:pPr>
    </w:p>
    <w:p w14:paraId="13CDD2F8" w14:textId="77777777" w:rsidR="00B50930" w:rsidRPr="00E7254D" w:rsidRDefault="00B50930" w:rsidP="00B50930">
      <w:pPr>
        <w:spacing w:after="120" w:line="276" w:lineRule="auto"/>
        <w:jc w:val="both"/>
        <w:rPr>
          <w:rFonts w:ascii="Verdana" w:eastAsia="Calibri" w:hAnsi="Verdana" w:cs="Arial"/>
          <w:color w:val="000000"/>
          <w:lang w:val="es-ES"/>
        </w:rPr>
      </w:pPr>
      <w:proofErr w:type="spellStart"/>
      <w:r>
        <w:rPr>
          <w:rFonts w:ascii="Verdana" w:eastAsia="Aptos" w:hAnsi="Verdana" w:cs="Arial"/>
          <w:shd w:val="clear" w:color="auto" w:fill="FFFFFF"/>
        </w:rPr>
        <w:t>iii</w:t>
      </w:r>
      <w:proofErr w:type="spellEnd"/>
      <w:r>
        <w:rPr>
          <w:rFonts w:ascii="Verdana" w:eastAsia="Aptos" w:hAnsi="Verdana" w:cs="Arial"/>
          <w:shd w:val="clear" w:color="auto" w:fill="FFFFFF"/>
        </w:rPr>
        <w:t xml:space="preserve">. </w:t>
      </w:r>
      <w:r w:rsidRPr="00E7254D">
        <w:rPr>
          <w:rFonts w:ascii="Verdana" w:eastAsia="Calibri" w:hAnsi="Verdana" w:cs="Arial"/>
          <w:color w:val="000000"/>
          <w:lang w:val="es-ES"/>
        </w:rPr>
        <w:t xml:space="preserve">El seguimiento de la ejecución del contrato para la dirección, control y vigilancia de su correcto cumplimiento es un deber legal que permite a las entidades estatales tomar medidas orientadas a la satisfacción de los fines de la contratación. Por esto, el EGCAP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las especificaciones de </w:t>
      </w:r>
      <w:r w:rsidRPr="00E7254D">
        <w:rPr>
          <w:rFonts w:ascii="Verdana" w:eastAsia="Calibri" w:hAnsi="Verdana" w:cs="Arial"/>
          <w:color w:val="000000"/>
          <w:lang w:val="es-ES"/>
        </w:rPr>
        <w:lastRenderedPageBreak/>
        <w:t>los bienes, obras y servicios objeto de este, y las condiciones de calidad ofrecidas, entre otras.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cumplimiento.</w:t>
      </w:r>
    </w:p>
    <w:p w14:paraId="5A233DE6" w14:textId="77777777" w:rsidR="00B50930" w:rsidRPr="00E7254D" w:rsidRDefault="00B50930" w:rsidP="00B50930">
      <w:pPr>
        <w:spacing w:after="0" w:line="276" w:lineRule="auto"/>
        <w:ind w:firstLine="708"/>
        <w:jc w:val="both"/>
        <w:rPr>
          <w:rFonts w:ascii="Verdana" w:eastAsia="Times New Roman" w:hAnsi="Verdana" w:cs="Arial"/>
          <w:lang w:val="es-ES" w:eastAsia="es-MX"/>
        </w:rPr>
      </w:pPr>
      <w:r w:rsidRPr="00E7254D">
        <w:rPr>
          <w:rFonts w:ascii="Verdana" w:eastAsia="Times New Roman" w:hAnsi="Verdana" w:cs="Arial"/>
          <w:lang w:val="es-ES" w:eastAsia="es-MX"/>
        </w:rPr>
        <w:t>Las Leyes 1150 de 2007 y 1474 de 2011, complementan el régimen jurídico de la obligación de vigilar la correcta ejecución de los contratos estatales. En dichas normas 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w:t>
      </w:r>
      <w:r w:rsidRPr="00E7254D">
        <w:rPr>
          <w:rFonts w:ascii="Verdana" w:eastAsia="Times New Roman" w:hAnsi="Verdana" w:cs="Arial"/>
          <w:vertAlign w:val="superscript"/>
          <w:lang w:val="es-ES" w:eastAsia="es-MX"/>
        </w:rPr>
        <w:footnoteReference w:id="12"/>
      </w:r>
      <w:r w:rsidRPr="00E7254D">
        <w:rPr>
          <w:rFonts w:ascii="Verdana" w:eastAsia="Times New Roman" w:hAnsi="Verdana" w:cs="Arial"/>
          <w:lang w:val="es-ES" w:eastAsia="es-MX"/>
        </w:rPr>
        <w:t>. También se establecen los límites de la responsabilidad del representante legal ante la delegación de sus funciones en materia contractual</w:t>
      </w:r>
      <w:r w:rsidRPr="00E7254D">
        <w:rPr>
          <w:rFonts w:ascii="Verdana" w:eastAsia="Times New Roman" w:hAnsi="Verdana" w:cs="Arial"/>
          <w:vertAlign w:val="superscript"/>
          <w:lang w:val="es-ES" w:eastAsia="es-MX"/>
        </w:rPr>
        <w:footnoteReference w:id="13"/>
      </w:r>
      <w:r w:rsidRPr="00E7254D">
        <w:rPr>
          <w:rFonts w:ascii="Verdana" w:eastAsia="Times New Roman" w:hAnsi="Verdana" w:cs="Arial"/>
          <w:lang w:val="es-ES" w:eastAsia="es-MX"/>
        </w:rPr>
        <w:t xml:space="preserve"> y se regula la supervisión y la interventoría de los contratos estatales</w:t>
      </w:r>
      <w:r w:rsidRPr="00E7254D">
        <w:rPr>
          <w:rFonts w:ascii="Verdana" w:eastAsia="Times New Roman" w:hAnsi="Verdana" w:cs="Arial"/>
          <w:vertAlign w:val="superscript"/>
          <w:lang w:val="es-ES" w:eastAsia="es-MX"/>
        </w:rPr>
        <w:footnoteReference w:id="14"/>
      </w:r>
      <w:r w:rsidRPr="00E7254D">
        <w:rPr>
          <w:rFonts w:ascii="Verdana" w:eastAsia="Times New Roman" w:hAnsi="Verdana" w:cs="Arial"/>
          <w:lang w:val="es-ES" w:eastAsia="es-MX"/>
        </w:rPr>
        <w:t xml:space="preserve">. En consecuencia, se tiene que, la jurisprudencia contencioso-administrativa, por su parte, ha considerado que la obligación de vigilar la correcta ejecución del objeto contractual es una función de la entidad contratante, en los siguientes términos: </w:t>
      </w:r>
    </w:p>
    <w:p w14:paraId="150A772D" w14:textId="77777777" w:rsidR="00B50930" w:rsidRPr="00624EEC" w:rsidRDefault="00B50930" w:rsidP="00B50930">
      <w:pPr>
        <w:spacing w:after="0"/>
        <w:ind w:left="709"/>
        <w:contextualSpacing/>
        <w:jc w:val="both"/>
        <w:rPr>
          <w:rFonts w:ascii="Verdana" w:eastAsia="Times New Roman" w:hAnsi="Verdana" w:cs="Arial"/>
          <w:sz w:val="20"/>
          <w:szCs w:val="20"/>
          <w:lang w:val="es-ES_tradnl" w:eastAsia="es-MX"/>
        </w:rPr>
      </w:pPr>
    </w:p>
    <w:p w14:paraId="4D8AABEC" w14:textId="77777777" w:rsidR="00B50930" w:rsidRPr="00624EEC" w:rsidRDefault="00B50930" w:rsidP="00B50930">
      <w:pPr>
        <w:spacing w:after="0" w:line="240" w:lineRule="auto"/>
        <w:ind w:left="709" w:right="709"/>
        <w:contextualSpacing/>
        <w:jc w:val="both"/>
        <w:rPr>
          <w:rFonts w:ascii="Verdana" w:eastAsia="Times New Roman" w:hAnsi="Verdana" w:cs="Arial"/>
          <w:sz w:val="20"/>
          <w:szCs w:val="20"/>
          <w:lang w:val="es-ES_tradnl" w:eastAsia="es-MX"/>
        </w:rPr>
      </w:pPr>
      <w:r w:rsidRPr="00624EEC">
        <w:rPr>
          <w:rFonts w:ascii="Verdana" w:eastAsia="Times New Roman" w:hAnsi="Verdana" w:cs="Arial"/>
          <w:sz w:val="20"/>
          <w:szCs w:val="20"/>
          <w:lang w:val="es-ES_tradnl" w:eastAsia="es-MX"/>
        </w:rPr>
        <w:t>“La función de vigilancia y control del contrato estatal supone el cuidado y la supervisión, de forma tal que en ejercicio de esa función,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administración buscaba alcanzar con la celebración del respectivo contrato”</w:t>
      </w:r>
      <w:r w:rsidRPr="00624EEC">
        <w:rPr>
          <w:rFonts w:ascii="Verdana" w:eastAsia="Times New Roman" w:hAnsi="Verdana" w:cs="Arial"/>
          <w:sz w:val="20"/>
          <w:szCs w:val="20"/>
          <w:vertAlign w:val="superscript"/>
          <w:lang w:val="es-ES_tradnl" w:eastAsia="es-MX"/>
        </w:rPr>
        <w:footnoteReference w:id="15"/>
      </w:r>
      <w:r w:rsidRPr="00624EEC">
        <w:rPr>
          <w:rFonts w:ascii="Verdana" w:eastAsia="Times New Roman" w:hAnsi="Verdana" w:cs="Arial"/>
          <w:sz w:val="20"/>
          <w:szCs w:val="20"/>
          <w:lang w:val="es-ES_tradnl" w:eastAsia="es-MX"/>
        </w:rPr>
        <w:t>.</w:t>
      </w:r>
    </w:p>
    <w:p w14:paraId="5BF26DE0" w14:textId="77777777" w:rsidR="00B50930" w:rsidRPr="00E7254D" w:rsidRDefault="00B50930" w:rsidP="00B50930">
      <w:pPr>
        <w:snapToGrid w:val="0"/>
        <w:spacing w:after="0" w:line="276" w:lineRule="auto"/>
        <w:ind w:left="720"/>
        <w:rPr>
          <w:rFonts w:ascii="Verdana" w:eastAsia="Times New Roman" w:hAnsi="Verdana" w:cs="Arial"/>
          <w:lang w:val="es-ES_tradnl" w:eastAsia="es-MX"/>
        </w:rPr>
      </w:pPr>
    </w:p>
    <w:p w14:paraId="7E6E0EDA" w14:textId="77777777" w:rsidR="00B50930" w:rsidRPr="00E7254D" w:rsidRDefault="00B50930" w:rsidP="00B50930">
      <w:pPr>
        <w:spacing w:after="0" w:line="276" w:lineRule="auto"/>
        <w:ind w:firstLine="709"/>
        <w:jc w:val="both"/>
        <w:rPr>
          <w:rFonts w:ascii="Verdana" w:eastAsia="Times New Roman" w:hAnsi="Verdana" w:cs="Arial"/>
          <w:lang w:val="es-ES" w:eastAsia="es-MX"/>
        </w:rPr>
      </w:pPr>
      <w:r w:rsidRPr="00E7254D">
        <w:rPr>
          <w:rFonts w:ascii="Verdana" w:eastAsia="Times New Roman" w:hAnsi="Verdana" w:cs="Arial"/>
          <w:lang w:val="es-ES" w:eastAsia="es-MX"/>
        </w:rPr>
        <w:t xml:space="preserve">De esta forma,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w:t>
      </w:r>
      <w:r w:rsidRPr="00E7254D">
        <w:rPr>
          <w:rFonts w:ascii="Verdana" w:eastAsia="Times New Roman" w:hAnsi="Verdana" w:cs="Arial"/>
          <w:lang w:val="es-ES" w:eastAsia="es-MX"/>
        </w:rPr>
        <w:lastRenderedPageBreak/>
        <w:t xml:space="preserve">públicas están obligadas a vigilar permanentemente la correcta ejecución del objeto contratado a través de un supervisor o un interventor, según corresponda”. El legislador además definió las nociones de supervisión e interventoría, como mecanismos que pueden usar las </w:t>
      </w:r>
      <w:r>
        <w:rPr>
          <w:rFonts w:ascii="Verdana" w:eastAsia="Times New Roman" w:hAnsi="Verdana" w:cs="Arial"/>
          <w:lang w:val="es-ES" w:eastAsia="es-MX"/>
        </w:rPr>
        <w:t>e</w:t>
      </w:r>
      <w:r w:rsidRPr="00E7254D">
        <w:rPr>
          <w:rFonts w:ascii="Verdana" w:eastAsia="Times New Roman" w:hAnsi="Verdana" w:cs="Arial"/>
          <w:lang w:val="es-ES" w:eastAsia="es-MX"/>
        </w:rPr>
        <w:t xml:space="preserve">ntidades </w:t>
      </w:r>
      <w:r>
        <w:rPr>
          <w:rFonts w:ascii="Verdana" w:eastAsia="Times New Roman" w:hAnsi="Verdana" w:cs="Arial"/>
          <w:lang w:val="es-ES" w:eastAsia="es-MX"/>
        </w:rPr>
        <w:t>e</w:t>
      </w:r>
      <w:r w:rsidRPr="00E7254D">
        <w:rPr>
          <w:rFonts w:ascii="Verdana" w:eastAsia="Times New Roman" w:hAnsi="Verdana" w:cs="Arial"/>
          <w:lang w:val="es-ES" w:eastAsia="es-MX"/>
        </w:rPr>
        <w:t xml:space="preserve">statales para vigilar el contrato, en estos términos: </w:t>
      </w:r>
    </w:p>
    <w:p w14:paraId="5F3CB149" w14:textId="77777777" w:rsidR="00B50930" w:rsidRPr="00E7254D" w:rsidRDefault="00B50930" w:rsidP="00B50930">
      <w:pPr>
        <w:spacing w:after="0" w:line="276" w:lineRule="auto"/>
        <w:ind w:left="720"/>
        <w:jc w:val="both"/>
        <w:textAlignment w:val="baseline"/>
        <w:rPr>
          <w:rFonts w:ascii="Verdana" w:eastAsia="Times New Roman" w:hAnsi="Verdana" w:cs="Arial"/>
          <w:lang w:val="es-ES_tradnl" w:eastAsia="es-MX"/>
        </w:rPr>
      </w:pPr>
    </w:p>
    <w:p w14:paraId="366A3388" w14:textId="77777777" w:rsidR="00B50930" w:rsidRDefault="00B50930" w:rsidP="00B50930">
      <w:pPr>
        <w:spacing w:after="0" w:line="240" w:lineRule="auto"/>
        <w:ind w:left="709" w:right="709"/>
        <w:jc w:val="both"/>
        <w:textAlignment w:val="baseline"/>
        <w:rPr>
          <w:rFonts w:ascii="Verdana" w:eastAsia="Times New Roman" w:hAnsi="Verdana" w:cs="Arial"/>
          <w:sz w:val="20"/>
          <w:szCs w:val="20"/>
          <w:lang w:val="es-ES" w:eastAsia="es-MX"/>
        </w:rPr>
      </w:pPr>
      <w:r w:rsidRPr="00624EEC">
        <w:rPr>
          <w:rFonts w:ascii="Verdana" w:eastAsia="Times New Roman" w:hAnsi="Verdana" w:cs="Arial"/>
          <w:sz w:val="20"/>
          <w:szCs w:val="20"/>
          <w:lang w:val="es-ES" w:eastAsia="es-MX"/>
        </w:rPr>
        <w:t xml:space="preserve">“La supervisión consistirá en el seguimiento técnico, administrativo, financiero, contable, y jurídico </w:t>
      </w:r>
      <w:proofErr w:type="gramStart"/>
      <w:r w:rsidRPr="00624EEC">
        <w:rPr>
          <w:rFonts w:ascii="Verdana" w:eastAsia="Times New Roman" w:hAnsi="Verdana" w:cs="Arial"/>
          <w:sz w:val="20"/>
          <w:szCs w:val="20"/>
          <w:lang w:val="es-ES" w:eastAsia="es-MX"/>
        </w:rPr>
        <w:t>que</w:t>
      </w:r>
      <w:proofErr w:type="gramEnd"/>
      <w:r w:rsidRPr="00624EEC">
        <w:rPr>
          <w:rFonts w:ascii="Verdana" w:eastAsia="Times New Roman" w:hAnsi="Verdana" w:cs="Arial"/>
          <w:sz w:val="20"/>
          <w:szCs w:val="20"/>
          <w:lang w:val="es-ES" w:eastAsia="es-MX"/>
        </w:rPr>
        <w:t xml:space="preserve"> sobre el cumplimiento del objeto del contrato, es ejercida por la misma entidad estatal cuando no requieran conocimientos especializadas. Para la supervisión, la entidad estatal podrá contratar personal de apoyo, a través de los contratos de prestación de servicio que sean requeridos.</w:t>
      </w:r>
    </w:p>
    <w:p w14:paraId="2347C578" w14:textId="77777777" w:rsidR="00B50930" w:rsidRPr="00624EEC" w:rsidRDefault="00B50930" w:rsidP="00B50930">
      <w:pPr>
        <w:spacing w:after="0" w:line="240" w:lineRule="auto"/>
        <w:ind w:left="709" w:right="709"/>
        <w:jc w:val="both"/>
        <w:textAlignment w:val="baseline"/>
        <w:rPr>
          <w:rFonts w:ascii="Verdana" w:eastAsia="Times New Roman" w:hAnsi="Verdana" w:cs="Arial"/>
          <w:sz w:val="20"/>
          <w:szCs w:val="20"/>
          <w:lang w:val="es-ES" w:eastAsia="es-MX"/>
        </w:rPr>
      </w:pPr>
    </w:p>
    <w:p w14:paraId="136F5700" w14:textId="77777777" w:rsidR="00B50930" w:rsidRPr="00624EEC" w:rsidRDefault="00B50930" w:rsidP="00B50930">
      <w:pPr>
        <w:spacing w:after="0" w:line="240" w:lineRule="auto"/>
        <w:ind w:left="709" w:right="709"/>
        <w:jc w:val="both"/>
        <w:textAlignment w:val="baseline"/>
        <w:rPr>
          <w:rFonts w:ascii="Verdana" w:eastAsia="Times New Roman" w:hAnsi="Verdana" w:cs="Arial"/>
          <w:sz w:val="20"/>
          <w:szCs w:val="20"/>
          <w:lang w:val="es-ES" w:eastAsia="es-MX"/>
        </w:rPr>
      </w:pPr>
      <w:r w:rsidRPr="00624EEC">
        <w:rPr>
          <w:rFonts w:ascii="Verdana" w:eastAsia="Times New Roman" w:hAnsi="Verdana" w:cs="Arial"/>
          <w:sz w:val="20"/>
          <w:szCs w:val="20"/>
          <w:lang w:val="es-ES" w:eastAsia="es-MX"/>
        </w:rPr>
        <w:t xml:space="preserve">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w:t>
      </w:r>
      <w:proofErr w:type="gramStart"/>
      <w:r w:rsidRPr="00624EEC">
        <w:rPr>
          <w:rFonts w:ascii="Verdana" w:eastAsia="Times New Roman" w:hAnsi="Verdana" w:cs="Arial"/>
          <w:sz w:val="20"/>
          <w:szCs w:val="20"/>
          <w:lang w:val="es-ES" w:eastAsia="es-MX"/>
        </w:rPr>
        <w:t>del mismo</w:t>
      </w:r>
      <w:proofErr w:type="gramEnd"/>
      <w:r w:rsidRPr="00624EEC">
        <w:rPr>
          <w:rFonts w:ascii="Verdana" w:eastAsia="Times New Roman" w:hAnsi="Verdana" w:cs="Arial"/>
          <w:sz w:val="20"/>
          <w:szCs w:val="20"/>
          <w:lang w:val="es-ES" w:eastAsia="es-MX"/>
        </w:rPr>
        <w:t xml:space="preserve"> lo justifiquen. No obstante, lo anterior cuando la entidad lo encuentre justificado y acorde a la naturaleza del contrato principal, podrá contratar el seguimiento administrativo, técnico, financiero, contable, jurídico del objeto o contrato dentro de la interventoría”</w:t>
      </w:r>
      <w:r w:rsidRPr="00624EEC">
        <w:rPr>
          <w:rFonts w:ascii="Verdana" w:eastAsia="Times New Roman" w:hAnsi="Verdana" w:cs="Arial"/>
          <w:sz w:val="20"/>
          <w:szCs w:val="20"/>
          <w:vertAlign w:val="superscript"/>
          <w:lang w:val="es-ES" w:eastAsia="es-MX"/>
        </w:rPr>
        <w:footnoteReference w:id="16"/>
      </w:r>
      <w:r w:rsidRPr="00624EEC">
        <w:rPr>
          <w:rFonts w:ascii="Verdana" w:eastAsia="Times New Roman" w:hAnsi="Verdana" w:cs="Arial"/>
          <w:sz w:val="20"/>
          <w:szCs w:val="20"/>
          <w:lang w:val="es-ES" w:eastAsia="es-MX"/>
        </w:rPr>
        <w:t>.</w:t>
      </w:r>
    </w:p>
    <w:p w14:paraId="31695CA3" w14:textId="77777777" w:rsidR="00B50930" w:rsidRPr="00E7254D" w:rsidRDefault="00B50930" w:rsidP="00B50930">
      <w:pPr>
        <w:spacing w:after="0" w:line="276" w:lineRule="auto"/>
        <w:ind w:left="720"/>
        <w:contextualSpacing/>
        <w:jc w:val="both"/>
        <w:textAlignment w:val="baseline"/>
        <w:rPr>
          <w:rFonts w:ascii="Verdana" w:eastAsia="Times New Roman" w:hAnsi="Verdana" w:cs="Arial"/>
          <w:lang w:val="es-ES" w:eastAsia="es-MX"/>
        </w:rPr>
      </w:pPr>
    </w:p>
    <w:p w14:paraId="3213B78D" w14:textId="77777777" w:rsidR="00B50930" w:rsidRPr="00E7254D" w:rsidRDefault="00B50930" w:rsidP="00B50930">
      <w:pPr>
        <w:spacing w:after="120" w:line="276" w:lineRule="auto"/>
        <w:ind w:firstLine="709"/>
        <w:jc w:val="both"/>
        <w:rPr>
          <w:rFonts w:ascii="Verdana" w:eastAsia="Times New Roman" w:hAnsi="Verdana" w:cs="Arial"/>
          <w:shd w:val="clear" w:color="auto" w:fill="FFFFFF"/>
          <w:lang w:val="es-ES"/>
        </w:rPr>
      </w:pPr>
      <w:r w:rsidRPr="00E7254D">
        <w:rPr>
          <w:rFonts w:ascii="Verdana" w:eastAsia="Times New Roman" w:hAnsi="Verdana" w:cs="Arial"/>
          <w:bCs/>
          <w:lang w:val="es-ES"/>
        </w:rPr>
        <w:t>Sin perjuicio de lo anterior, según lo expresado por esta Agencia en el concepto No. 4201913000008240 del 20 de diciembre de 2019 y en el concepto C-972 de 2024,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w:t>
      </w:r>
      <w:r w:rsidRPr="00E7254D">
        <w:rPr>
          <w:rFonts w:ascii="Verdana" w:eastAsia="Times New Roman" w:hAnsi="Verdana" w:cs="Arial"/>
          <w:bCs/>
          <w:vertAlign w:val="superscript"/>
          <w:lang w:val="es-ES"/>
        </w:rPr>
        <w:footnoteReference w:id="17"/>
      </w:r>
      <w:r w:rsidRPr="00E7254D">
        <w:rPr>
          <w:rFonts w:ascii="Verdana" w:eastAsia="Times New Roman" w:hAnsi="Verdana" w:cs="Arial"/>
          <w:bCs/>
          <w:lang w:val="es-ES"/>
        </w:rPr>
        <w:t xml:space="preserve">–; </w:t>
      </w:r>
      <w:proofErr w:type="spellStart"/>
      <w:r w:rsidRPr="00E7254D">
        <w:rPr>
          <w:rFonts w:ascii="Verdana" w:eastAsia="Times New Roman" w:hAnsi="Verdana" w:cs="Arial"/>
          <w:bCs/>
          <w:lang w:val="es-ES"/>
        </w:rPr>
        <w:t>ii</w:t>
      </w:r>
      <w:proofErr w:type="spellEnd"/>
      <w:r w:rsidRPr="00E7254D">
        <w:rPr>
          <w:rFonts w:ascii="Verdana" w:eastAsia="Times New Roman" w:hAnsi="Verdana" w:cs="Arial"/>
          <w:bCs/>
          <w:lang w:val="es-ES"/>
        </w:rPr>
        <w:t xml:space="preserve">) no requiere conocimientos tan especializados como la interventoría; </w:t>
      </w:r>
      <w:proofErr w:type="spellStart"/>
      <w:r w:rsidRPr="00E7254D">
        <w:rPr>
          <w:rFonts w:ascii="Verdana" w:eastAsia="Times New Roman" w:hAnsi="Verdana" w:cs="Arial"/>
          <w:bCs/>
          <w:lang w:val="es-ES"/>
        </w:rPr>
        <w:t>iii</w:t>
      </w:r>
      <w:proofErr w:type="spellEnd"/>
      <w:r w:rsidRPr="00E7254D">
        <w:rPr>
          <w:rFonts w:ascii="Verdana" w:eastAsia="Times New Roman" w:hAnsi="Verdana" w:cs="Arial"/>
          <w:bCs/>
          <w:lang w:val="es-ES"/>
        </w:rPr>
        <w:t xml:space="preserve">) se ejerce por la Entidad Estatal por conducto de la designación de servidores públicos idóneos para cumplir la función; </w:t>
      </w:r>
      <w:proofErr w:type="spellStart"/>
      <w:r w:rsidRPr="00E7254D">
        <w:rPr>
          <w:rFonts w:ascii="Verdana" w:eastAsia="Times New Roman" w:hAnsi="Verdana" w:cs="Arial"/>
          <w:bCs/>
          <w:lang w:val="es-ES"/>
        </w:rPr>
        <w:t>iv</w:t>
      </w:r>
      <w:proofErr w:type="spellEnd"/>
      <w:r w:rsidRPr="00E7254D">
        <w:rPr>
          <w:rFonts w:ascii="Verdana" w:eastAsia="Times New Roman" w:hAnsi="Verdana" w:cs="Arial"/>
          <w:bCs/>
          <w:lang w:val="es-ES"/>
        </w:rPr>
        <w:t>) puede recibir apoyo de personal contratado para tal fin mediante contratos de prestación de servicios; y v) le es inseparable el seguimiento técnico, administrativo, financiero, contable y jurídico del contrato vigilado.</w:t>
      </w:r>
    </w:p>
    <w:p w14:paraId="39756A00" w14:textId="77777777" w:rsidR="00B50930" w:rsidRDefault="00B50930" w:rsidP="00B50930">
      <w:pPr>
        <w:tabs>
          <w:tab w:val="left" w:pos="709"/>
        </w:tabs>
        <w:snapToGrid w:val="0"/>
        <w:spacing w:after="120" w:line="276" w:lineRule="auto"/>
        <w:jc w:val="both"/>
        <w:rPr>
          <w:rFonts w:ascii="Verdana" w:eastAsia="Aptos" w:hAnsi="Verdana" w:cs="Arial"/>
          <w:bCs/>
        </w:rPr>
      </w:pPr>
      <w:r w:rsidRPr="00E7254D">
        <w:rPr>
          <w:rFonts w:ascii="Verdana" w:eastAsia="Aptos" w:hAnsi="Verdana" w:cs="Arial"/>
          <w:bCs/>
          <w:lang w:val="es-ES"/>
        </w:rPr>
        <w:lastRenderedPageBreak/>
        <w:tab/>
        <w:t xml:space="preserve">Por otro lado, </w:t>
      </w:r>
      <w:r w:rsidRPr="00E7254D">
        <w:rPr>
          <w:rFonts w:ascii="Verdana" w:eastAsia="Aptos" w:hAnsi="Verdana" w:cs="Arial"/>
          <w:bCs/>
        </w:rPr>
        <w:t xml:space="preserve">la interventoría puede caracterizarse de la siguiente manera: i) es un mecanismo de vigilancia contingente en la medida que solo es obligatorio para el seguimiento de los contratos de obra adjudicados por licitación pública –art. 32, numeral 1; en los demás casos se requerirá cuando “el seguimiento del contrato suponga conocimiento especializado en la materia, o cuando la complejidad o la extensión del mismo lo justifique” –art, 83, Ley 1474 de 2011–; </w:t>
      </w:r>
      <w:proofErr w:type="spellStart"/>
      <w:r w:rsidRPr="00E7254D">
        <w:rPr>
          <w:rFonts w:ascii="Verdana" w:eastAsia="Aptos" w:hAnsi="Verdana" w:cs="Arial"/>
          <w:bCs/>
        </w:rPr>
        <w:t>ii</w:t>
      </w:r>
      <w:proofErr w:type="spellEnd"/>
      <w:r w:rsidRPr="00E7254D">
        <w:rPr>
          <w:rFonts w:ascii="Verdana" w:eastAsia="Aptos" w:hAnsi="Verdana" w:cs="Arial"/>
          <w:bCs/>
        </w:rPr>
        <w:t xml:space="preserve">) es un mecanismo de vigilancia que exige, en su ejecución, la utilización de conocimientos especializados; </w:t>
      </w:r>
      <w:proofErr w:type="spellStart"/>
      <w:r w:rsidRPr="00E7254D">
        <w:rPr>
          <w:rFonts w:ascii="Verdana" w:eastAsia="Aptos" w:hAnsi="Verdana" w:cs="Arial"/>
          <w:bCs/>
        </w:rPr>
        <w:t>iii</w:t>
      </w:r>
      <w:proofErr w:type="spellEnd"/>
      <w:r w:rsidRPr="00E7254D">
        <w:rPr>
          <w:rFonts w:ascii="Verdana" w:eastAsia="Aptos" w:hAnsi="Verdana" w:cs="Arial"/>
          <w:bCs/>
        </w:rPr>
        <w:t>) por lo anterior, la entidad contrata un experto, por regla general, mediante la modalidad de selección de concurso de méritos, al tratarse la interventoría de una especie del contrato de consultoría –art. 32, numeral 2, inciso 2, Ley 80 de 1993</w:t>
      </w:r>
      <w:r w:rsidRPr="00E7254D">
        <w:rPr>
          <w:rFonts w:ascii="Verdana" w:eastAsia="Aptos" w:hAnsi="Verdana" w:cs="Times New Roman"/>
          <w:kern w:val="2"/>
          <w:vertAlign w:val="superscript"/>
          <w14:ligatures w14:val="standardContextual"/>
        </w:rPr>
        <w:footnoteReference w:id="18"/>
      </w:r>
      <w:r w:rsidRPr="00E7254D">
        <w:rPr>
          <w:rFonts w:ascii="Verdana" w:eastAsia="Aptos" w:hAnsi="Verdana" w:cs="Arial"/>
          <w:bCs/>
        </w:rPr>
        <w:t xml:space="preserve">‒, de manera que la interventoría es realizada por “una persona natural o jurídica contratada para tal fin por la Entidad Estatal” –art. 83, Ley 1474–; </w:t>
      </w:r>
      <w:proofErr w:type="spellStart"/>
      <w:r w:rsidRPr="00E7254D">
        <w:rPr>
          <w:rFonts w:ascii="Verdana" w:eastAsia="Aptos" w:hAnsi="Verdana" w:cs="Arial"/>
          <w:bCs/>
        </w:rPr>
        <w:t>iv</w:t>
      </w:r>
      <w:proofErr w:type="spellEnd"/>
      <w:r w:rsidRPr="00E7254D">
        <w:rPr>
          <w:rFonts w:ascii="Verdana" w:eastAsia="Aptos" w:hAnsi="Verdana" w:cs="Arial"/>
          <w:bCs/>
        </w:rPr>
        <w:t>) le es inherente el seguimiento técnico, frente 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 el seguimiento total del contrato, en el contrato de interventoría “se deberán indicar las actividades técnicas a cargo del interventor y las demás quedarán a cargo de la Entidad a través del supervisor” –art. 83, inciso 4–, y finalmente, vi) el contrato de interventoría será supervisado directamente por la entidad –art. 83, inciso 4–.</w:t>
      </w:r>
    </w:p>
    <w:p w14:paraId="68704A4E" w14:textId="77777777" w:rsidR="00B50930" w:rsidRDefault="00B50930" w:rsidP="00B50930">
      <w:pPr>
        <w:spacing w:after="120" w:line="276" w:lineRule="auto"/>
        <w:ind w:firstLine="709"/>
        <w:jc w:val="both"/>
        <w:rPr>
          <w:rFonts w:ascii="Verdana" w:eastAsia="Aptos" w:hAnsi="Verdana" w:cs="Arial"/>
          <w:bCs/>
          <w:lang w:val="es-ES_tradnl"/>
        </w:rPr>
      </w:pPr>
      <w:r>
        <w:rPr>
          <w:rFonts w:ascii="Verdana" w:eastAsia="Aptos" w:hAnsi="Verdana" w:cs="Arial"/>
          <w:bCs/>
        </w:rPr>
        <w:t>En el asunto que nos compete, se destaca que los convenios de asociación se caracterizan por no emanar intereses onerosos, o producir</w:t>
      </w:r>
      <w:r w:rsidRPr="00061AC5">
        <w:rPr>
          <w:rFonts w:ascii="Verdana" w:eastAsia="Aptos" w:hAnsi="Verdana" w:cs="Arial"/>
          <w:bCs/>
        </w:rPr>
        <w:t xml:space="preserve"> obligaciones entre los extremos con equivalencia entre sí, como sucede con los contratos de obra o de suministro. </w:t>
      </w:r>
      <w:r w:rsidRPr="00061AC5">
        <w:rPr>
          <w:rFonts w:ascii="Verdana" w:eastAsia="Aptos" w:hAnsi="Verdana" w:cs="Arial"/>
          <w:bCs/>
          <w:lang w:val="es-ES_tradnl"/>
        </w:rPr>
        <w:t>En línea con lo expuesto, resalta la exigencia de determinar con precisión las obligaciones de las partes y los aportes, por lo cual puede estipularse que una de las obligaciones a cargo de una de partes sea lo referente a las labores administrativas necesarias para el desarrollo del objeto contractual.</w:t>
      </w:r>
      <w:r>
        <w:rPr>
          <w:rFonts w:ascii="Verdana" w:eastAsia="Aptos" w:hAnsi="Verdana" w:cs="Arial"/>
          <w:bCs/>
          <w:lang w:val="es-ES_tradnl"/>
        </w:rPr>
        <w:t xml:space="preserve"> En tal sentido, e</w:t>
      </w:r>
      <w:r w:rsidRPr="00597308">
        <w:rPr>
          <w:rFonts w:ascii="Verdana" w:eastAsia="Aptos" w:hAnsi="Verdana" w:cs="Arial"/>
          <w:bCs/>
          <w:lang w:val="es-ES_tradnl"/>
        </w:rPr>
        <w:t>n los convenios de asociación, el asociado mantiene autonomía administrativa, técnica y operativa para organizar y gestionar el talento humano necesario para cumplir con el objeto</w:t>
      </w:r>
      <w:r>
        <w:rPr>
          <w:rFonts w:ascii="Verdana" w:eastAsia="Aptos" w:hAnsi="Verdana" w:cs="Arial"/>
          <w:bCs/>
          <w:lang w:val="es-ES_tradnl"/>
        </w:rPr>
        <w:t xml:space="preserve"> del convenio</w:t>
      </w:r>
      <w:r w:rsidRPr="00597308">
        <w:rPr>
          <w:rFonts w:ascii="Verdana" w:eastAsia="Aptos" w:hAnsi="Verdana" w:cs="Arial"/>
          <w:bCs/>
          <w:lang w:val="es-ES_tradnl"/>
        </w:rPr>
        <w:t xml:space="preserve">. </w:t>
      </w:r>
    </w:p>
    <w:p w14:paraId="36DF770A" w14:textId="77777777" w:rsidR="00B50930" w:rsidRDefault="00B50930" w:rsidP="00B50930">
      <w:pPr>
        <w:spacing w:after="120" w:line="276" w:lineRule="auto"/>
        <w:ind w:firstLine="709"/>
        <w:jc w:val="both"/>
        <w:rPr>
          <w:rFonts w:ascii="Verdana" w:eastAsia="Aptos" w:hAnsi="Verdana" w:cs="Arial"/>
          <w:bCs/>
          <w:lang w:val="es-ES_tradnl"/>
        </w:rPr>
      </w:pPr>
      <w:r w:rsidRPr="00597308">
        <w:rPr>
          <w:rFonts w:ascii="Verdana" w:eastAsia="Aptos" w:hAnsi="Verdana" w:cs="Arial"/>
          <w:bCs/>
          <w:lang w:val="es-ES_tradnl"/>
        </w:rPr>
        <w:t>E</w:t>
      </w:r>
      <w:r>
        <w:rPr>
          <w:rFonts w:ascii="Verdana" w:eastAsia="Aptos" w:hAnsi="Verdana" w:cs="Arial"/>
          <w:bCs/>
          <w:lang w:val="es-ES_tradnl"/>
        </w:rPr>
        <w:t xml:space="preserve">sta independencia es necesaria, puesto que el convenio de asociación implica una relación de cooperación, en la que puede reconocerse al asociado </w:t>
      </w:r>
      <w:r>
        <w:rPr>
          <w:rFonts w:ascii="Verdana" w:eastAsia="Aptos" w:hAnsi="Verdana" w:cs="Arial"/>
          <w:bCs/>
          <w:lang w:val="es-ES_tradnl"/>
        </w:rPr>
        <w:lastRenderedPageBreak/>
        <w:t>como un</w:t>
      </w:r>
      <w:r w:rsidRPr="00597308">
        <w:rPr>
          <w:rFonts w:ascii="Verdana" w:eastAsia="Aptos" w:hAnsi="Verdana" w:cs="Arial"/>
          <w:bCs/>
          <w:lang w:val="es-ES_tradnl"/>
        </w:rPr>
        <w:t xml:space="preserve"> ejecutor con capacidad propia de decisión</w:t>
      </w:r>
      <w:r>
        <w:rPr>
          <w:rFonts w:ascii="Verdana" w:eastAsia="Aptos" w:hAnsi="Verdana" w:cs="Arial"/>
          <w:bCs/>
          <w:lang w:val="es-ES_tradnl"/>
        </w:rPr>
        <w:t>, sin perjuicio del deber de vigilancia y control de la entidad pública</w:t>
      </w:r>
      <w:r w:rsidRPr="00597308">
        <w:rPr>
          <w:rFonts w:ascii="Verdana" w:eastAsia="Aptos" w:hAnsi="Verdana" w:cs="Arial"/>
          <w:bCs/>
          <w:lang w:val="es-ES_tradnl"/>
        </w:rPr>
        <w:t>.</w:t>
      </w:r>
      <w:r>
        <w:rPr>
          <w:rFonts w:ascii="Verdana" w:eastAsia="Aptos" w:hAnsi="Verdana" w:cs="Arial"/>
          <w:bCs/>
          <w:lang w:val="es-ES_tradnl"/>
        </w:rPr>
        <w:t xml:space="preserve"> En esta línea, esta autonomía está respaldada </w:t>
      </w:r>
      <w:r w:rsidRPr="00C85EFE">
        <w:rPr>
          <w:rFonts w:ascii="Verdana" w:eastAsia="Aptos" w:hAnsi="Verdana" w:cs="Arial"/>
          <w:bCs/>
          <w:lang w:val="es-ES_tradnl"/>
        </w:rPr>
        <w:t>por la supervisión de la entidad, cuya función es garantizar que los recursos públicos se utilicen de manera adecuada y que el objeto del convenio. La supervisión n</w:t>
      </w:r>
      <w:r>
        <w:rPr>
          <w:rFonts w:ascii="Verdana" w:eastAsia="Aptos" w:hAnsi="Verdana" w:cs="Arial"/>
          <w:bCs/>
          <w:lang w:val="es-ES_tradnl"/>
        </w:rPr>
        <w:t>o sustituye ni mucho menos coadministra la</w:t>
      </w:r>
      <w:r w:rsidRPr="00C85EFE">
        <w:rPr>
          <w:rFonts w:ascii="Verdana" w:eastAsia="Aptos" w:hAnsi="Verdana" w:cs="Arial"/>
          <w:bCs/>
          <w:lang w:val="es-ES_tradnl"/>
        </w:rPr>
        <w:t xml:space="preserve"> gestión del asociado, pero </w:t>
      </w:r>
      <w:r>
        <w:rPr>
          <w:rFonts w:ascii="Verdana" w:eastAsia="Aptos" w:hAnsi="Verdana" w:cs="Arial"/>
          <w:bCs/>
          <w:lang w:val="es-ES_tradnl"/>
        </w:rPr>
        <w:t xml:space="preserve">dispone </w:t>
      </w:r>
      <w:r w:rsidRPr="00C85EFE">
        <w:rPr>
          <w:rFonts w:ascii="Verdana" w:eastAsia="Aptos" w:hAnsi="Verdana" w:cs="Arial"/>
          <w:bCs/>
          <w:lang w:val="es-ES_tradnl"/>
        </w:rPr>
        <w:t>mecanismos de control, seguimiento y verificación</w:t>
      </w:r>
      <w:r>
        <w:rPr>
          <w:rFonts w:ascii="Verdana" w:eastAsia="Aptos" w:hAnsi="Verdana" w:cs="Arial"/>
          <w:bCs/>
          <w:lang w:val="es-ES_tradnl"/>
        </w:rPr>
        <w:t xml:space="preserve"> de ejecución del convenio de asociación</w:t>
      </w:r>
      <w:r w:rsidRPr="00C85EFE">
        <w:rPr>
          <w:rFonts w:ascii="Verdana" w:eastAsia="Aptos" w:hAnsi="Verdana" w:cs="Arial"/>
          <w:bCs/>
          <w:lang w:val="es-ES_tradnl"/>
        </w:rPr>
        <w:t>.</w:t>
      </w:r>
    </w:p>
    <w:p w14:paraId="35E69945" w14:textId="77777777" w:rsidR="00B50930" w:rsidRPr="00950D14" w:rsidRDefault="00B50930" w:rsidP="00B50930">
      <w:pPr>
        <w:spacing w:after="120" w:line="276" w:lineRule="auto"/>
        <w:ind w:firstLine="709"/>
        <w:jc w:val="both"/>
        <w:rPr>
          <w:rFonts w:ascii="Verdana" w:hAnsi="Verdana"/>
        </w:rPr>
      </w:pPr>
      <w:r w:rsidRPr="00950D14">
        <w:rPr>
          <w:rFonts w:ascii="Verdana" w:hAnsi="Verdana"/>
        </w:rPr>
        <w:t xml:space="preserve">En virtud de lo anterior, las partes del convenio </w:t>
      </w:r>
      <w:r>
        <w:rPr>
          <w:rFonts w:ascii="Verdana" w:hAnsi="Verdana"/>
        </w:rPr>
        <w:t>de asociación debe</w:t>
      </w:r>
      <w:r w:rsidRPr="00950D14">
        <w:rPr>
          <w:rFonts w:ascii="Verdana" w:hAnsi="Verdana"/>
        </w:rPr>
        <w:t xml:space="preserve">n establecer las condiciones y medidas que emplearán para verificar el cumplimiento de las actividades pactadas y para realizar una supervisión adecuada durante su ejecución. De cualquier modo, estas estipulaciones deben cumplir con el principio de responsabilidad que rige la contratación estatal, según el cual las entidades públicas están obligadas a vigilar la correcta ejecución del objeto contratado y a proteger tanto los derechos de la propia entidad como los del </w:t>
      </w:r>
      <w:r>
        <w:rPr>
          <w:rFonts w:ascii="Verdana" w:hAnsi="Verdana"/>
        </w:rPr>
        <w:t xml:space="preserve">asociado </w:t>
      </w:r>
      <w:r w:rsidRPr="00950D14">
        <w:rPr>
          <w:rFonts w:ascii="Verdana" w:hAnsi="Verdana"/>
        </w:rPr>
        <w:t>ejecutor y terceros que puedan verse afectad</w:t>
      </w:r>
      <w:r>
        <w:rPr>
          <w:rFonts w:ascii="Verdana" w:hAnsi="Verdana"/>
        </w:rPr>
        <w:t>os por la ejecución del convenio</w:t>
      </w:r>
      <w:r w:rsidRPr="00950D14">
        <w:rPr>
          <w:rFonts w:ascii="Verdana" w:hAnsi="Verdana"/>
          <w:vertAlign w:val="superscript"/>
        </w:rPr>
        <w:footnoteReference w:id="19"/>
      </w:r>
      <w:r w:rsidRPr="00950D14">
        <w:rPr>
          <w:rFonts w:ascii="Verdana" w:hAnsi="Verdana"/>
        </w:rPr>
        <w:t xml:space="preserve">. </w:t>
      </w:r>
    </w:p>
    <w:p w14:paraId="6A92AF5A" w14:textId="77777777" w:rsidR="00B50930" w:rsidRDefault="00B50930" w:rsidP="00B50930">
      <w:pPr>
        <w:spacing w:after="120" w:line="276" w:lineRule="auto"/>
        <w:ind w:firstLine="709"/>
        <w:jc w:val="both"/>
        <w:rPr>
          <w:rFonts w:ascii="Verdana" w:eastAsia="Calibri" w:hAnsi="Verdana" w:cs="Arial"/>
          <w:bCs/>
          <w:color w:val="000000"/>
        </w:rPr>
      </w:pPr>
      <w:r>
        <w:rPr>
          <w:rFonts w:ascii="Verdana" w:eastAsia="Calibri" w:hAnsi="Verdana" w:cs="Arial"/>
          <w:bCs/>
          <w:color w:val="000000"/>
          <w:lang w:val="es-ES"/>
        </w:rPr>
        <w:t>En todo caso</w:t>
      </w:r>
      <w:r w:rsidRPr="00C3281B">
        <w:rPr>
          <w:rFonts w:ascii="Verdana" w:eastAsia="Calibri" w:hAnsi="Verdana" w:cs="Arial"/>
          <w:bCs/>
          <w:color w:val="000000"/>
        </w:rPr>
        <w:t>, no debe entenderse que la entidad contratante se desentienda de la ejecución del objeto contractual</w:t>
      </w:r>
      <w:r>
        <w:rPr>
          <w:rFonts w:ascii="Verdana" w:eastAsia="Calibri" w:hAnsi="Verdana" w:cs="Arial"/>
          <w:bCs/>
          <w:color w:val="000000"/>
        </w:rPr>
        <w:t xml:space="preserve"> por no establecer instrucciones por la naturaleza misma del convenio, ya que</w:t>
      </w:r>
      <w:r w:rsidRPr="00C3281B">
        <w:rPr>
          <w:rFonts w:ascii="Verdana" w:eastAsia="Calibri" w:hAnsi="Verdana" w:cs="Arial"/>
          <w:bCs/>
          <w:color w:val="000000"/>
        </w:rPr>
        <w:t xml:space="preserve">, el artículo 83 de la Ley 1474 de 2011, aplicable en los convenios de </w:t>
      </w:r>
      <w:r>
        <w:rPr>
          <w:rFonts w:ascii="Verdana" w:eastAsia="Calibri" w:hAnsi="Verdana" w:cs="Arial"/>
          <w:bCs/>
          <w:color w:val="000000"/>
        </w:rPr>
        <w:t xml:space="preserve">asociación </w:t>
      </w:r>
      <w:r w:rsidRPr="00C3281B">
        <w:rPr>
          <w:rFonts w:ascii="Verdana" w:eastAsia="Calibri" w:hAnsi="Verdana" w:cs="Arial"/>
          <w:bCs/>
          <w:color w:val="000000"/>
        </w:rPr>
        <w:t xml:space="preserve">en virtud del artículo 8 del Decreto 092 de 2017, </w:t>
      </w:r>
      <w:r>
        <w:rPr>
          <w:rFonts w:ascii="Verdana" w:eastAsia="Calibri" w:hAnsi="Verdana" w:cs="Arial"/>
          <w:bCs/>
          <w:color w:val="000000"/>
        </w:rPr>
        <w:t xml:space="preserve">señala que </w:t>
      </w:r>
      <w:r w:rsidRPr="00C3281B">
        <w:rPr>
          <w:rFonts w:ascii="Verdana" w:eastAsia="Calibri" w:hAnsi="Verdana" w:cs="Arial"/>
          <w:bCs/>
          <w:color w:val="000000"/>
        </w:rPr>
        <w:t>el supervisor o el interventor, según sea el caso, deberá cumplir con las funciones propias del rol correspondiente, efectuando un verdadero seguimiento de carácter técnico, administrativo, financiero</w:t>
      </w:r>
      <w:r>
        <w:rPr>
          <w:rFonts w:ascii="Verdana" w:eastAsia="Calibri" w:hAnsi="Verdana" w:cs="Arial"/>
          <w:bCs/>
          <w:color w:val="000000"/>
        </w:rPr>
        <w:t xml:space="preserve">, contable y jurídico pertinente. Por tanto, no </w:t>
      </w:r>
      <w:r w:rsidRPr="00C3281B">
        <w:rPr>
          <w:rFonts w:ascii="Verdana" w:eastAsia="Calibri" w:hAnsi="Verdana" w:cs="Arial"/>
          <w:bCs/>
          <w:color w:val="000000"/>
        </w:rPr>
        <w:t>pueden confundir</w:t>
      </w:r>
      <w:r>
        <w:rPr>
          <w:rFonts w:ascii="Verdana" w:eastAsia="Calibri" w:hAnsi="Verdana" w:cs="Arial"/>
          <w:bCs/>
          <w:color w:val="000000"/>
        </w:rPr>
        <w:t>se</w:t>
      </w:r>
      <w:r w:rsidRPr="00C3281B">
        <w:rPr>
          <w:rFonts w:ascii="Verdana" w:eastAsia="Calibri" w:hAnsi="Verdana" w:cs="Arial"/>
          <w:bCs/>
          <w:color w:val="000000"/>
        </w:rPr>
        <w:t xml:space="preserve"> las reglas generales que se impartan al contratista por parte de las entidades contratantes</w:t>
      </w:r>
      <w:r>
        <w:rPr>
          <w:rFonts w:ascii="Verdana" w:eastAsia="Calibri" w:hAnsi="Verdana" w:cs="Arial"/>
          <w:bCs/>
          <w:color w:val="000000"/>
        </w:rPr>
        <w:t xml:space="preserve"> en el marco del seguimiento y control a la ejecución contractual</w:t>
      </w:r>
      <w:r w:rsidRPr="00C3281B">
        <w:rPr>
          <w:rFonts w:ascii="Verdana" w:eastAsia="Calibri" w:hAnsi="Verdana" w:cs="Arial"/>
          <w:bCs/>
          <w:color w:val="000000"/>
        </w:rPr>
        <w:t>, con</w:t>
      </w:r>
      <w:r>
        <w:rPr>
          <w:rFonts w:ascii="Verdana" w:eastAsia="Calibri" w:hAnsi="Verdana" w:cs="Arial"/>
          <w:bCs/>
          <w:color w:val="000000"/>
        </w:rPr>
        <w:t xml:space="preserve"> instrucciones para el </w:t>
      </w:r>
      <w:r w:rsidRPr="00C3281B">
        <w:rPr>
          <w:rFonts w:ascii="Verdana" w:eastAsia="Calibri" w:hAnsi="Verdana" w:cs="Arial"/>
          <w:bCs/>
          <w:color w:val="000000"/>
        </w:rPr>
        <w:t>cumplimiento del objeto.</w:t>
      </w:r>
      <w:r>
        <w:rPr>
          <w:rFonts w:ascii="Verdana" w:eastAsia="Calibri" w:hAnsi="Verdana" w:cs="Arial"/>
          <w:bCs/>
          <w:color w:val="000000"/>
        </w:rPr>
        <w:t xml:space="preserve"> En otras palabras, no establecer instrucciones precisas no significa que deje de efectuarse un seguimiento y control a la ejecución del convenio de asociación. </w:t>
      </w:r>
    </w:p>
    <w:p w14:paraId="185DEDE2" w14:textId="77777777" w:rsidR="00B50930" w:rsidRDefault="00B50930" w:rsidP="00B50930">
      <w:pPr>
        <w:spacing w:after="120" w:line="276" w:lineRule="auto"/>
        <w:ind w:firstLine="709"/>
        <w:jc w:val="both"/>
        <w:rPr>
          <w:rFonts w:ascii="Verdana" w:eastAsia="Aptos" w:hAnsi="Verdana" w:cs="Arial"/>
          <w:bCs/>
          <w:lang w:val="es-ES"/>
        </w:rPr>
      </w:pPr>
      <w:r>
        <w:rPr>
          <w:rFonts w:ascii="Verdana" w:eastAsia="Calibri" w:hAnsi="Verdana" w:cs="Arial"/>
          <w:bCs/>
          <w:color w:val="000000"/>
        </w:rPr>
        <w:t xml:space="preserve">Bajo este contexto, la </w:t>
      </w:r>
      <w:r w:rsidRPr="00CD1657">
        <w:rPr>
          <w:rFonts w:ascii="Verdana" w:eastAsia="Aptos" w:hAnsi="Verdana" w:cs="Arial"/>
          <w:bCs/>
          <w:lang w:val="es-ES"/>
        </w:rPr>
        <w:t>supervisión en los conveni</w:t>
      </w:r>
      <w:r>
        <w:rPr>
          <w:rFonts w:ascii="Verdana" w:eastAsia="Aptos" w:hAnsi="Verdana" w:cs="Arial"/>
          <w:bCs/>
          <w:lang w:val="es-ES"/>
        </w:rPr>
        <w:t xml:space="preserve">os de asociación tiene como propósito </w:t>
      </w:r>
      <w:r w:rsidRPr="00CD1657">
        <w:rPr>
          <w:rFonts w:ascii="Verdana" w:eastAsia="Aptos" w:hAnsi="Verdana" w:cs="Arial"/>
          <w:bCs/>
          <w:lang w:val="es-ES"/>
        </w:rPr>
        <w:t xml:space="preserve">verificar el cumplimiento del objeto contractual y la adecuada utilización de los recursos públicos, pero no </w:t>
      </w:r>
      <w:r>
        <w:rPr>
          <w:rFonts w:ascii="Verdana" w:eastAsia="Aptos" w:hAnsi="Verdana" w:cs="Arial"/>
          <w:bCs/>
          <w:lang w:val="es-ES"/>
        </w:rPr>
        <w:t xml:space="preserve">puede </w:t>
      </w:r>
      <w:r w:rsidRPr="00CD1657">
        <w:rPr>
          <w:rFonts w:ascii="Verdana" w:eastAsia="Aptos" w:hAnsi="Verdana" w:cs="Arial"/>
          <w:bCs/>
          <w:lang w:val="es-ES"/>
        </w:rPr>
        <w:t xml:space="preserve">imponer requisitos o </w:t>
      </w:r>
      <w:r w:rsidRPr="00CD1657">
        <w:rPr>
          <w:rFonts w:ascii="Verdana" w:eastAsia="Aptos" w:hAnsi="Verdana" w:cs="Arial"/>
          <w:bCs/>
          <w:lang w:val="es-ES"/>
        </w:rPr>
        <w:lastRenderedPageBreak/>
        <w:t xml:space="preserve">condiciones adicionales que no estén </w:t>
      </w:r>
      <w:r>
        <w:rPr>
          <w:rFonts w:ascii="Verdana" w:eastAsia="Aptos" w:hAnsi="Verdana" w:cs="Arial"/>
          <w:bCs/>
          <w:lang w:val="es-ES"/>
        </w:rPr>
        <w:t xml:space="preserve">estipulados </w:t>
      </w:r>
      <w:r w:rsidRPr="00CD1657">
        <w:rPr>
          <w:rFonts w:ascii="Verdana" w:eastAsia="Aptos" w:hAnsi="Verdana" w:cs="Arial"/>
          <w:bCs/>
          <w:lang w:val="es-ES"/>
        </w:rPr>
        <w:t>en el convenio, los estudios previos, los anexos técnicos o demás documentos contractuales</w:t>
      </w:r>
      <w:r>
        <w:rPr>
          <w:rFonts w:ascii="Verdana" w:eastAsia="Aptos" w:hAnsi="Verdana" w:cs="Arial"/>
          <w:bCs/>
          <w:lang w:val="es-ES"/>
        </w:rPr>
        <w:t>, que no estén dentro del marco de la ejecución del convenio</w:t>
      </w:r>
      <w:r w:rsidRPr="00CD1657">
        <w:rPr>
          <w:rFonts w:ascii="Verdana" w:eastAsia="Aptos" w:hAnsi="Verdana" w:cs="Arial"/>
          <w:bCs/>
          <w:lang w:val="es-ES"/>
        </w:rPr>
        <w:t>.</w:t>
      </w:r>
      <w:r>
        <w:rPr>
          <w:rFonts w:ascii="Verdana" w:eastAsia="Aptos" w:hAnsi="Verdana" w:cs="Arial"/>
          <w:bCs/>
          <w:lang w:val="es-ES"/>
        </w:rPr>
        <w:t xml:space="preserve"> En todo caso, la supervisión puede solicitar o requerir información complementaria, para</w:t>
      </w:r>
      <w:r w:rsidRPr="00CD1657">
        <w:rPr>
          <w:rFonts w:ascii="Verdana" w:eastAsia="Aptos" w:hAnsi="Verdana" w:cs="Arial"/>
          <w:bCs/>
          <w:lang w:val="es-ES"/>
        </w:rPr>
        <w:t xml:space="preserve"> efectos de control o pedir aclaraciones que faciliten el seguimiento. </w:t>
      </w:r>
      <w:r>
        <w:rPr>
          <w:rFonts w:ascii="Verdana" w:eastAsia="Aptos" w:hAnsi="Verdana" w:cs="Arial"/>
          <w:bCs/>
          <w:lang w:val="es-ES"/>
        </w:rPr>
        <w:t xml:space="preserve">Dichas </w:t>
      </w:r>
      <w:r w:rsidRPr="00CD1657">
        <w:rPr>
          <w:rFonts w:ascii="Verdana" w:eastAsia="Aptos" w:hAnsi="Verdana" w:cs="Arial"/>
          <w:bCs/>
          <w:lang w:val="es-ES"/>
        </w:rPr>
        <w:t xml:space="preserve">solicitudes deben entenderse como parte del ejercicio de vigilancia y no como imposiciones contractuales nuevas. Por tanto, la autonomía del asociado se mantiene, y el incumplimiento solo puede derivarse de la falta de entrega de requisitos expresamente </w:t>
      </w:r>
      <w:r>
        <w:rPr>
          <w:rFonts w:ascii="Verdana" w:eastAsia="Aptos" w:hAnsi="Verdana" w:cs="Arial"/>
          <w:bCs/>
          <w:lang w:val="es-ES"/>
        </w:rPr>
        <w:t xml:space="preserve">estipulados </w:t>
      </w:r>
      <w:r w:rsidRPr="00CD1657">
        <w:rPr>
          <w:rFonts w:ascii="Verdana" w:eastAsia="Aptos" w:hAnsi="Verdana" w:cs="Arial"/>
          <w:bCs/>
          <w:lang w:val="es-ES"/>
        </w:rPr>
        <w:t xml:space="preserve">en el convenio </w:t>
      </w:r>
      <w:r>
        <w:rPr>
          <w:rFonts w:ascii="Verdana" w:eastAsia="Aptos" w:hAnsi="Verdana" w:cs="Arial"/>
          <w:bCs/>
          <w:lang w:val="es-ES"/>
        </w:rPr>
        <w:t xml:space="preserve">y que tengan relación con la ejecución de este. </w:t>
      </w:r>
    </w:p>
    <w:p w14:paraId="667BB6F0" w14:textId="77777777" w:rsidR="00B50930" w:rsidRDefault="00B50930" w:rsidP="00B50930">
      <w:pPr>
        <w:snapToGrid w:val="0"/>
        <w:spacing w:line="276" w:lineRule="auto"/>
        <w:ind w:firstLine="708"/>
        <w:contextualSpacing/>
        <w:jc w:val="both"/>
        <w:rPr>
          <w:rFonts w:ascii="Verdana" w:hAnsi="Verdana" w:cs="Arial"/>
          <w:bCs/>
          <w:lang w:val="es-ES" w:eastAsia="es-ES"/>
        </w:rPr>
      </w:pPr>
      <w:r>
        <w:rPr>
          <w:rFonts w:ascii="Verdana" w:hAnsi="Verdana" w:cs="Arial"/>
          <w:bCs/>
          <w:lang w:val="es-ES" w:eastAsia="es-ES"/>
        </w:rPr>
        <w:t>De igual modo</w:t>
      </w:r>
      <w:r w:rsidRPr="00122CAD">
        <w:rPr>
          <w:rFonts w:ascii="Verdana" w:hAnsi="Verdana" w:cs="Arial"/>
          <w:bCs/>
          <w:lang w:eastAsia="es-ES"/>
        </w:rPr>
        <w:t xml:space="preserve">, cobra relevancia el deber legal de </w:t>
      </w:r>
      <w:r w:rsidRPr="00122CAD">
        <w:rPr>
          <w:rFonts w:ascii="Verdana" w:hAnsi="Verdana" w:cs="Arial"/>
          <w:bCs/>
          <w:lang w:val="es-ES" w:eastAsia="es-ES"/>
        </w:rPr>
        <w:t xml:space="preserve">seguimiento de la ejecución del contrato, que implica la dirección, control y vigilancia de su correcto cumplimiento, la cual permita a las entidades estatales tomar medidas orientadas a la satisfacción de los fines de la contratación. Por esto, el EGCAP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 Esta obligación se predica, en principio, del jefe o representante legal de la entidad, por tener la responsabilidad de la dirección y manejo de la actividad contractual, pero también de los servidores públicos que intervienen en ella, como es el caso de los supervisores. </w:t>
      </w:r>
    </w:p>
    <w:p w14:paraId="146D0ED4" w14:textId="77777777" w:rsidR="00382933" w:rsidRDefault="00382933" w:rsidP="00B50930">
      <w:pPr>
        <w:snapToGrid w:val="0"/>
        <w:spacing w:line="276" w:lineRule="auto"/>
        <w:ind w:firstLine="708"/>
        <w:contextualSpacing/>
        <w:jc w:val="both"/>
        <w:rPr>
          <w:rFonts w:ascii="Verdana" w:hAnsi="Verdana" w:cs="Arial"/>
          <w:bCs/>
          <w:lang w:val="es-ES" w:eastAsia="es-ES"/>
        </w:rPr>
      </w:pPr>
    </w:p>
    <w:p w14:paraId="4DBB1626" w14:textId="77777777" w:rsidR="00382933" w:rsidRPr="00CE650F" w:rsidRDefault="00382933" w:rsidP="00382933">
      <w:pPr>
        <w:spacing w:before="120" w:after="0" w:line="276" w:lineRule="auto"/>
        <w:ind w:firstLine="708"/>
        <w:jc w:val="both"/>
        <w:rPr>
          <w:rFonts w:ascii="Verdana" w:eastAsia="Calibri" w:hAnsi="Verdana" w:cs="Arial"/>
        </w:rPr>
      </w:pPr>
      <w:r w:rsidRPr="00CE650F">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0AB14545" w14:textId="77777777" w:rsidR="00382933" w:rsidRDefault="00382933" w:rsidP="00B50930">
      <w:pPr>
        <w:snapToGrid w:val="0"/>
        <w:spacing w:line="276" w:lineRule="auto"/>
        <w:ind w:firstLine="708"/>
        <w:contextualSpacing/>
        <w:jc w:val="both"/>
        <w:rPr>
          <w:rFonts w:ascii="Verdana" w:hAnsi="Verdana" w:cs="Arial"/>
          <w:bCs/>
          <w:lang w:val="es-ES_tradnl" w:eastAsia="es-ES"/>
        </w:rPr>
      </w:pPr>
    </w:p>
    <w:p w14:paraId="5722A562" w14:textId="77777777" w:rsidR="00AF223C" w:rsidRDefault="00AF223C" w:rsidP="00B50930">
      <w:pPr>
        <w:spacing w:after="0" w:line="276" w:lineRule="auto"/>
        <w:jc w:val="both"/>
        <w:rPr>
          <w:rFonts w:ascii="Verdana" w:eastAsia="Calibri" w:hAnsi="Verdana" w:cs="Arial"/>
          <w:bCs/>
          <w:color w:val="000000" w:themeColor="text1"/>
        </w:rPr>
      </w:pPr>
    </w:p>
    <w:p w14:paraId="672F9629" w14:textId="77777777" w:rsidR="00AF223C" w:rsidRDefault="00AF223C" w:rsidP="00AF223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Referencias normativas:</w:t>
      </w:r>
    </w:p>
    <w:p w14:paraId="27A0A2E0" w14:textId="77777777" w:rsidR="00AF223C" w:rsidRDefault="00AF223C" w:rsidP="00AF223C">
      <w:pPr>
        <w:widowControl w:val="0"/>
        <w:autoSpaceDE w:val="0"/>
        <w:autoSpaceDN w:val="0"/>
        <w:spacing w:after="0" w:line="276" w:lineRule="auto"/>
        <w:jc w:val="both"/>
        <w:rPr>
          <w:rFonts w:ascii="Verdana" w:hAnsi="Verdana" w:cs="Arial"/>
        </w:rPr>
      </w:pPr>
    </w:p>
    <w:tbl>
      <w:tblPr>
        <w:tblStyle w:val="Tablaconcuadrcula"/>
        <w:tblW w:w="8640"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AF223C" w14:paraId="5C0F8EE4" w14:textId="77777777" w:rsidTr="00A40198">
        <w:trPr>
          <w:trHeight w:val="870"/>
          <w:jc w:val="center"/>
        </w:trPr>
        <w:tc>
          <w:tcPr>
            <w:tcW w:w="8647" w:type="dxa"/>
            <w:tcBorders>
              <w:top w:val="dotted" w:sz="4" w:space="0" w:color="auto"/>
              <w:left w:val="dotted" w:sz="4" w:space="0" w:color="auto"/>
              <w:bottom w:val="dotted" w:sz="4" w:space="0" w:color="auto"/>
              <w:right w:val="dotted" w:sz="4" w:space="0" w:color="auto"/>
            </w:tcBorders>
            <w:hideMark/>
          </w:tcPr>
          <w:p w14:paraId="04678238" w14:textId="77777777" w:rsidR="00B50930" w:rsidRDefault="00B50930" w:rsidP="00B50930">
            <w:pPr>
              <w:pStyle w:val="Prrafodelista"/>
              <w:numPr>
                <w:ilvl w:val="0"/>
                <w:numId w:val="17"/>
              </w:numPr>
              <w:spacing w:before="120" w:after="120"/>
              <w:contextualSpacing w:val="0"/>
              <w:rPr>
                <w:rFonts w:ascii="Verdana" w:eastAsia="Arial MT" w:hAnsi="Verdana" w:cs="Arial"/>
                <w:lang w:eastAsia="es-ES" w:bidi="es-ES"/>
              </w:rPr>
            </w:pPr>
            <w:r>
              <w:rPr>
                <w:rFonts w:ascii="Verdana" w:eastAsia="Arial MT" w:hAnsi="Verdana" w:cs="Arial"/>
                <w:lang w:eastAsia="es-ES" w:bidi="es-ES"/>
              </w:rPr>
              <w:lastRenderedPageBreak/>
              <w:t>Constitución Política, artículo 355.</w:t>
            </w:r>
          </w:p>
          <w:p w14:paraId="11FB556B" w14:textId="77777777" w:rsidR="00B50930" w:rsidRDefault="00B50930" w:rsidP="00B50930">
            <w:pPr>
              <w:pStyle w:val="Prrafodelista"/>
              <w:numPr>
                <w:ilvl w:val="0"/>
                <w:numId w:val="17"/>
              </w:numPr>
              <w:spacing w:before="120" w:after="120"/>
              <w:contextualSpacing w:val="0"/>
              <w:rPr>
                <w:rFonts w:ascii="Verdana" w:eastAsia="Arial MT" w:hAnsi="Verdana" w:cs="Arial"/>
                <w:lang w:eastAsia="es-ES" w:bidi="es-ES"/>
              </w:rPr>
            </w:pPr>
            <w:r>
              <w:rPr>
                <w:rFonts w:ascii="Verdana" w:eastAsia="Arial MT" w:hAnsi="Verdana" w:cs="Arial"/>
                <w:lang w:eastAsia="es-ES" w:bidi="es-ES"/>
              </w:rPr>
              <w:t xml:space="preserve">Ley 80 de 1993, artículos </w:t>
            </w:r>
            <w:r w:rsidRPr="00122CAD">
              <w:rPr>
                <w:rFonts w:ascii="Verdana" w:hAnsi="Verdana" w:cs="Arial"/>
                <w:bCs/>
                <w:lang w:eastAsia="es-ES"/>
              </w:rPr>
              <w:t xml:space="preserve">4, 5, </w:t>
            </w:r>
            <w:r>
              <w:rPr>
                <w:rFonts w:ascii="Verdana" w:eastAsia="Arial MT" w:hAnsi="Verdana" w:cs="Arial"/>
                <w:lang w:eastAsia="es-ES" w:bidi="es-ES"/>
              </w:rPr>
              <w:t xml:space="preserve">8 y 9. </w:t>
            </w:r>
            <w:r w:rsidRPr="00122CAD">
              <w:rPr>
                <w:rFonts w:ascii="Verdana" w:eastAsia="Arial MT" w:hAnsi="Verdana" w:cs="Arial"/>
                <w:bCs/>
                <w:lang w:val="es-CO" w:eastAsia="es-ES" w:bidi="es-ES"/>
              </w:rPr>
              <w:t>12, 14 y 26</w:t>
            </w:r>
          </w:p>
          <w:p w14:paraId="7208B0C0" w14:textId="77777777" w:rsidR="00B50930" w:rsidRDefault="00B50930" w:rsidP="00B50930">
            <w:pPr>
              <w:pStyle w:val="Prrafodelista"/>
              <w:numPr>
                <w:ilvl w:val="0"/>
                <w:numId w:val="17"/>
              </w:numPr>
              <w:spacing w:before="120" w:after="120"/>
              <w:contextualSpacing w:val="0"/>
              <w:rPr>
                <w:rFonts w:ascii="Verdana" w:eastAsia="Arial MT" w:hAnsi="Verdana" w:cs="Arial"/>
                <w:lang w:eastAsia="es-ES" w:bidi="es-ES"/>
              </w:rPr>
            </w:pPr>
            <w:r w:rsidRPr="008A5497">
              <w:rPr>
                <w:rFonts w:ascii="Verdana" w:eastAsia="Arial MT" w:hAnsi="Verdana" w:cs="Arial"/>
                <w:lang w:eastAsia="es-ES" w:bidi="es-ES"/>
              </w:rPr>
              <w:t xml:space="preserve">Ley 489 de 1998, artículo 96. </w:t>
            </w:r>
          </w:p>
          <w:p w14:paraId="5271AF82" w14:textId="77777777" w:rsidR="00B50930" w:rsidRPr="006650F0" w:rsidRDefault="00B50930" w:rsidP="00B50930">
            <w:pPr>
              <w:pStyle w:val="Prrafodelista"/>
              <w:numPr>
                <w:ilvl w:val="0"/>
                <w:numId w:val="17"/>
              </w:numPr>
              <w:spacing w:before="120" w:after="120"/>
              <w:contextualSpacing w:val="0"/>
              <w:rPr>
                <w:rFonts w:ascii="Verdana" w:eastAsia="Arial MT" w:hAnsi="Verdana" w:cs="Arial"/>
                <w:lang w:eastAsia="es-ES" w:bidi="es-ES"/>
              </w:rPr>
            </w:pPr>
            <w:r>
              <w:rPr>
                <w:rFonts w:ascii="Verdana" w:eastAsia="Arial MT" w:hAnsi="Verdana" w:cs="Arial"/>
                <w:lang w:eastAsia="es-ES" w:bidi="es-ES"/>
              </w:rPr>
              <w:t xml:space="preserve">Ley 1474 de 2011, artículos 83 a 85. </w:t>
            </w:r>
          </w:p>
          <w:p w14:paraId="6E66EE82" w14:textId="77777777" w:rsidR="00B50930" w:rsidRPr="008A5497" w:rsidRDefault="00B50930" w:rsidP="00B50930">
            <w:pPr>
              <w:pStyle w:val="Prrafodelista"/>
              <w:numPr>
                <w:ilvl w:val="0"/>
                <w:numId w:val="17"/>
              </w:numPr>
              <w:spacing w:before="120" w:after="120"/>
              <w:contextualSpacing w:val="0"/>
              <w:rPr>
                <w:rFonts w:ascii="Verdana" w:eastAsia="Arial MT" w:hAnsi="Verdana" w:cs="Arial"/>
                <w:lang w:eastAsia="es-ES" w:bidi="es-ES"/>
              </w:rPr>
            </w:pPr>
            <w:r w:rsidRPr="008A5497">
              <w:rPr>
                <w:rFonts w:ascii="Verdana" w:eastAsia="Arial MT" w:hAnsi="Verdana" w:cs="Arial"/>
                <w:lang w:eastAsia="es-ES" w:bidi="es-ES"/>
              </w:rPr>
              <w:t>Decreto 092 de 2017</w:t>
            </w:r>
            <w:r>
              <w:rPr>
                <w:rFonts w:ascii="Verdana" w:eastAsia="Arial MT" w:hAnsi="Verdana" w:cs="Arial"/>
                <w:lang w:eastAsia="es-ES" w:bidi="es-ES"/>
              </w:rPr>
              <w:t>, artículos 5, 6, 7 y 8</w:t>
            </w:r>
            <w:r w:rsidRPr="008A5497">
              <w:rPr>
                <w:rFonts w:ascii="Verdana" w:eastAsia="Arial MT" w:hAnsi="Verdana" w:cs="Arial"/>
                <w:lang w:eastAsia="es-ES" w:bidi="es-ES"/>
              </w:rPr>
              <w:t xml:space="preserve">. </w:t>
            </w:r>
          </w:p>
          <w:p w14:paraId="340C6F1E" w14:textId="7DD8DAB9" w:rsidR="00AF223C" w:rsidRDefault="00B50930" w:rsidP="00B50930">
            <w:pPr>
              <w:pStyle w:val="Prrafodelista"/>
              <w:widowControl w:val="0"/>
              <w:numPr>
                <w:ilvl w:val="0"/>
                <w:numId w:val="17"/>
              </w:numPr>
              <w:autoSpaceDE w:val="0"/>
              <w:autoSpaceDN w:val="0"/>
              <w:spacing w:line="276" w:lineRule="auto"/>
              <w:jc w:val="both"/>
              <w:rPr>
                <w:rFonts w:ascii="Verdana" w:hAnsi="Verdana" w:cs="Arial"/>
              </w:rPr>
            </w:pPr>
            <w:r w:rsidRPr="009A3571">
              <w:rPr>
                <w:rFonts w:ascii="Verdana" w:eastAsia="Arial MT" w:hAnsi="Verdana" w:cs="Arial"/>
                <w:lang w:eastAsia="es-ES" w:bidi="es-ES"/>
              </w:rPr>
              <w:t>Agencia Nacional de Contratación Pública –Colombia Compra Eficiente. Guía para la contratación con entidades privadas sin ánimo de lucro y de reconocida idoneida</w:t>
            </w:r>
            <w:r>
              <w:rPr>
                <w:rFonts w:ascii="Verdana" w:eastAsia="Arial MT" w:hAnsi="Verdana" w:cs="Arial"/>
                <w:lang w:eastAsia="es-ES" w:bidi="es-ES"/>
              </w:rPr>
              <w:t>d, 2025. Disponible en línea:</w:t>
            </w:r>
            <w:r>
              <w:t xml:space="preserve"> </w:t>
            </w:r>
            <w:hyperlink r:id="rId12" w:history="1">
              <w:r w:rsidRPr="007008C8">
                <w:rPr>
                  <w:rStyle w:val="Hipervnculo"/>
                  <w:rFonts w:ascii="Verdana" w:eastAsia="Arial MT" w:hAnsi="Verdana" w:cs="Arial"/>
                  <w:lang w:eastAsia="es-ES" w:bidi="es-ES"/>
                </w:rPr>
                <w:t>https://www.colombiacompra.gov.co/archivos/manual/guia-para-la-contratacion-con-entidades-sin-animo-de-lucro-y-de-reconocida-idoneidad</w:t>
              </w:r>
            </w:hyperlink>
          </w:p>
        </w:tc>
      </w:tr>
    </w:tbl>
    <w:p w14:paraId="5BE9951F" w14:textId="77777777" w:rsidR="00AF223C" w:rsidRDefault="00AF223C" w:rsidP="00AF223C">
      <w:pPr>
        <w:widowControl w:val="0"/>
        <w:autoSpaceDE w:val="0"/>
        <w:autoSpaceDN w:val="0"/>
        <w:spacing w:after="0" w:line="276" w:lineRule="auto"/>
        <w:jc w:val="both"/>
        <w:rPr>
          <w:rFonts w:ascii="Verdana" w:hAnsi="Verdana" w:cs="Arial"/>
        </w:rPr>
      </w:pPr>
    </w:p>
    <w:p w14:paraId="2B0AAD5D" w14:textId="77777777" w:rsidR="00AF223C" w:rsidRDefault="00AF223C" w:rsidP="00AF223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53A9A03A" w14:textId="77777777" w:rsidR="00AF223C" w:rsidRDefault="00AF223C" w:rsidP="00AF223C">
      <w:pPr>
        <w:widowControl w:val="0"/>
        <w:autoSpaceDE w:val="0"/>
        <w:autoSpaceDN w:val="0"/>
        <w:spacing w:after="0" w:line="276" w:lineRule="auto"/>
        <w:jc w:val="both"/>
        <w:rPr>
          <w:rFonts w:ascii="Verdana" w:hAnsi="Verdana" w:cs="Arial"/>
        </w:rPr>
      </w:pPr>
    </w:p>
    <w:p w14:paraId="470CE345" w14:textId="77777777" w:rsidR="00B50930" w:rsidRPr="006745D3" w:rsidRDefault="00B50930" w:rsidP="00B50930">
      <w:pPr>
        <w:widowControl w:val="0"/>
        <w:autoSpaceDE w:val="0"/>
        <w:autoSpaceDN w:val="0"/>
        <w:spacing w:after="0" w:line="276" w:lineRule="auto"/>
        <w:jc w:val="both"/>
        <w:rPr>
          <w:rFonts w:ascii="Verdana" w:eastAsia="Calibri" w:hAnsi="Verdana" w:cs="Arial"/>
          <w:b/>
          <w:bCs/>
          <w:lang w:val="es-ES" w:eastAsia="es-ES"/>
        </w:rPr>
      </w:pPr>
      <w:r w:rsidRPr="00B57A1B">
        <w:rPr>
          <w:rFonts w:ascii="Verdana" w:hAnsi="Verdana" w:cs="Arial"/>
          <w:shd w:val="clear" w:color="auto" w:fill="FFFFFF"/>
        </w:rPr>
        <w:t>Esta Subdirección se ha pronunciado sobre</w:t>
      </w:r>
      <w:r>
        <w:rPr>
          <w:rFonts w:ascii="Verdana" w:hAnsi="Verdana" w:cs="Arial"/>
          <w:shd w:val="clear" w:color="auto" w:fill="FFFFFF"/>
        </w:rPr>
        <w:t xml:space="preserve"> el </w:t>
      </w:r>
      <w:r w:rsidRPr="0017378C">
        <w:rPr>
          <w:rFonts w:ascii="Verdana" w:hAnsi="Verdana" w:cs="Arial"/>
          <w:shd w:val="clear" w:color="auto" w:fill="FFFFFF"/>
          <w:lang w:val="es-ES"/>
        </w:rPr>
        <w:t>régimen contractual de las ESAL con fundamento en el Decreto 092 de 2017 en los conceptos 4201912000008310 del 26 de diciembre de 2019, 4201912000007899 del 27 de diciembre de 2019, 4201912000007901 del 27 de diciembre de 2019, C-070 04 de marzo de 2020, C-094 del 04 de marzo de 2020, C-086 del 16 de marzo de 2020, C-594 del 7 de septiembre de 2020, C-670 del 22 de noviembre de 2020, C-689 del 1 de diciembre de 2020, C-724 de 14 de diciembre de 2020, C-364 de 26 de julio de 2021, C-379 de 20 de julio de 2021, C-537 del 27 de septiembre de 2021,  C-021 del 22 de febrero de 2022, C-236 del 27 de abril de 2022, C-273 del 6 de mayo de 2022, C-274 del 6 de mayo de 2022, C-291 del 18 de mayo de 2022, C-550 del 31 de agosto de 2022, C-560 del 7 de septiembre de 2022, C-853 del 9 de diciembre de 2022, C-351 del 6 de octubre de 2023, , C-064 del 24 de abril de 2024, C-080 del 7 de mayo de 2024, C-281 del 29 de octubre de 2024, C-957 del 17 de diciembre de 2024,</w:t>
      </w:r>
      <w:r w:rsidRPr="0017378C">
        <w:rPr>
          <w:rFonts w:ascii="Verdana" w:eastAsia="Calibri" w:hAnsi="Verdana" w:cs="Arial"/>
          <w:b/>
          <w:bCs/>
          <w:lang w:val="es-ES" w:eastAsia="es-ES"/>
        </w:rPr>
        <w:t xml:space="preserve"> </w:t>
      </w:r>
      <w:r>
        <w:rPr>
          <w:rFonts w:ascii="Verdana" w:eastAsia="Calibri" w:hAnsi="Verdana" w:cs="Arial"/>
          <w:lang w:val="es-ES" w:eastAsia="es-ES"/>
        </w:rPr>
        <w:t>C-875 del 13 de agosto de 2025, C-138 del 14 de marzo de 2025, C-373 del 6 de mayo de 2025,</w:t>
      </w:r>
      <w:r w:rsidRPr="0017378C">
        <w:rPr>
          <w:rFonts w:ascii="Verdana" w:eastAsia="Calibri" w:hAnsi="Verdana" w:cs="Arial"/>
          <w:b/>
          <w:bCs/>
          <w:lang w:val="es-ES" w:eastAsia="es-ES"/>
        </w:rPr>
        <w:t xml:space="preserve"> </w:t>
      </w:r>
      <w:r w:rsidRPr="0017378C">
        <w:rPr>
          <w:rFonts w:ascii="Verdana" w:hAnsi="Verdana" w:cs="Arial"/>
          <w:shd w:val="clear" w:color="auto" w:fill="FFFFFF"/>
          <w:lang w:val="es-ES"/>
        </w:rPr>
        <w:t xml:space="preserve">C-1384 del 5 de noviembre de 2025, </w:t>
      </w:r>
      <w:r>
        <w:rPr>
          <w:rFonts w:ascii="Verdana" w:hAnsi="Verdana" w:cs="Arial"/>
          <w:shd w:val="clear" w:color="auto" w:fill="FFFFFF"/>
          <w:lang w:val="es-ES"/>
        </w:rPr>
        <w:t>C-1498 del 26 de noviembre de 2025, C-1709 del 22 de diciembre de 2025, C- 1802 del 22 de diciembre de 2025, entre</w:t>
      </w:r>
      <w:r w:rsidRPr="0017378C">
        <w:rPr>
          <w:rFonts w:ascii="Verdana" w:hAnsi="Verdana" w:cs="Arial"/>
          <w:shd w:val="clear" w:color="auto" w:fill="FFFFFF"/>
          <w:lang w:val="es-ES"/>
        </w:rPr>
        <w:t xml:space="preserve"> otros</w:t>
      </w:r>
      <w:r>
        <w:rPr>
          <w:rFonts w:ascii="Verdana" w:hAnsi="Verdana" w:cs="Arial"/>
          <w:shd w:val="clear" w:color="auto" w:fill="FFFFFF"/>
        </w:rPr>
        <w:t>.</w:t>
      </w:r>
      <w:r>
        <w:rPr>
          <w:rFonts w:ascii="Verdana" w:hAnsi="Verdana" w:cs="Arial"/>
          <w:bCs/>
          <w:shd w:val="clear" w:color="auto" w:fill="FFFFFF"/>
          <w:lang w:val="es-ES"/>
        </w:rPr>
        <w:t xml:space="preserve"> </w:t>
      </w:r>
      <w:r w:rsidRPr="00185EE9">
        <w:rPr>
          <w:rFonts w:ascii="Verdana" w:eastAsia="Calibri" w:hAnsi="Verdana" w:cs="Times New Roman"/>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w:t>
      </w:r>
      <w:r w:rsidRPr="00185EE9">
        <w:rPr>
          <w:rFonts w:ascii="Verdana" w:eastAsia="Calibri" w:hAnsi="Verdana" w:cs="Times New Roman"/>
        </w:rPr>
        <w:lastRenderedPageBreak/>
        <w:t>Contractual, accede a través del siguiente enlace:</w:t>
      </w:r>
    </w:p>
    <w:p w14:paraId="2D74A9F0" w14:textId="340F3910" w:rsidR="00AF223C" w:rsidRDefault="00AF223C" w:rsidP="00AF223C">
      <w:pPr>
        <w:widowControl w:val="0"/>
        <w:autoSpaceDE w:val="0"/>
        <w:autoSpaceDN w:val="0"/>
        <w:spacing w:after="0" w:line="276" w:lineRule="auto"/>
        <w:jc w:val="both"/>
        <w:rPr>
          <w:rStyle w:val="normaltextrun"/>
          <w:shd w:val="clear" w:color="auto" w:fill="FFFFFF"/>
        </w:rPr>
      </w:pPr>
      <w:hyperlink r:id="rId13" w:history="1">
        <w:r>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6FA81FFF" w14:textId="77777777" w:rsidR="00AF223C" w:rsidRPr="00C15525" w:rsidRDefault="00AF223C" w:rsidP="00AF223C">
      <w:pPr>
        <w:widowControl w:val="0"/>
        <w:autoSpaceDE w:val="0"/>
        <w:autoSpaceDN w:val="0"/>
        <w:spacing w:after="0" w:line="276" w:lineRule="auto"/>
        <w:jc w:val="both"/>
        <w:rPr>
          <w:color w:val="000000" w:themeColor="text1"/>
        </w:rPr>
      </w:pPr>
    </w:p>
    <w:p w14:paraId="1FE0623D" w14:textId="77777777" w:rsidR="00AF223C" w:rsidRPr="00C15525" w:rsidRDefault="00AF223C" w:rsidP="00AF223C">
      <w:pPr>
        <w:jc w:val="both"/>
        <w:rPr>
          <w:rFonts w:ascii="Verdana" w:hAnsi="Verdana"/>
        </w:rPr>
      </w:pPr>
      <w:r w:rsidRPr="00C15525">
        <w:rPr>
          <w:rFonts w:ascii="Verdana" w:hAnsi="Verdana"/>
        </w:rPr>
        <w:t xml:space="preserve">La sostenibilidad no es una opción, es una obligación. Por ello, la Agencia Nacional de Contratación Pública –Colombia Compra Eficiente– te invita a realizar el </w:t>
      </w:r>
      <w:r w:rsidRPr="00C15525">
        <w:rPr>
          <w:rFonts w:ascii="Verdana" w:hAnsi="Verdana"/>
          <w:b/>
          <w:bCs/>
        </w:rPr>
        <w:t>Curso de Contratación Pública Sostenible y Socialmente Responsable</w:t>
      </w:r>
      <w:r w:rsidRPr="00C15525">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C15525">
        <w:rPr>
          <w:rFonts w:ascii="Verdana" w:hAnsi="Verdana"/>
        </w:rPr>
        <w:br/>
      </w:r>
      <w:hyperlink r:id="rId14" w:tgtFrame="_new" w:history="1">
        <w:r w:rsidRPr="00C15525">
          <w:rPr>
            <w:rFonts w:ascii="Verdana" w:hAnsi="Verdana"/>
            <w:color w:val="0000FF"/>
            <w:u w:val="single"/>
          </w:rPr>
          <w:t>https://formacionvirtual.colombiacompra.gov.co/mod/page/view.php?id=3718</w:t>
        </w:r>
      </w:hyperlink>
    </w:p>
    <w:p w14:paraId="7E258783" w14:textId="77777777" w:rsidR="00AF223C" w:rsidRPr="00C15525" w:rsidRDefault="00AF223C" w:rsidP="00AF223C">
      <w:pPr>
        <w:jc w:val="both"/>
        <w:rPr>
          <w:rFonts w:ascii="Verdana" w:hAnsi="Verdana"/>
        </w:rPr>
      </w:pPr>
      <w:r w:rsidRPr="00C15525">
        <w:rPr>
          <w:rFonts w:ascii="Verdana" w:hAnsi="Verdana"/>
        </w:rPr>
        <w:t xml:space="preserve">De otro lado, te contamos que esta Agencia ha da un paso decisivo en la estandarización y modernización del </w:t>
      </w:r>
      <w:r w:rsidRPr="00C15525">
        <w:rPr>
          <w:rFonts w:ascii="Verdana" w:hAnsi="Verdana"/>
          <w:b/>
          <w:bCs/>
        </w:rPr>
        <w:t>sector  social</w:t>
      </w:r>
      <w:r w:rsidRPr="00C15525">
        <w:rPr>
          <w:rFonts w:ascii="Verdana" w:hAnsi="Verdana"/>
        </w:rPr>
        <w:t xml:space="preserve"> con la expedición de las </w:t>
      </w:r>
      <w:r w:rsidRPr="00C15525">
        <w:rPr>
          <w:rFonts w:ascii="Verdana" w:hAnsi="Verdana"/>
          <w:b/>
          <w:bCs/>
        </w:rPr>
        <w:t>Resoluciones 539, 540, 541, 952 y 953 de 2025</w:t>
      </w:r>
      <w:r w:rsidRPr="00C15525">
        <w:rPr>
          <w:rFonts w:ascii="Verdana" w:hAnsi="Verdana"/>
        </w:rPr>
        <w:t xml:space="preserve">, </w:t>
      </w:r>
      <w:r w:rsidRPr="00C15525">
        <w:rPr>
          <w:rFonts w:ascii="Verdana" w:hAnsi="Verdana"/>
          <w:b/>
          <w:bCs/>
        </w:rPr>
        <w:t>mediante las cuales adoptó Documentos Tipo</w:t>
      </w:r>
      <w:r w:rsidRPr="00C15525">
        <w:rPr>
          <w:rFonts w:ascii="Verdana" w:hAnsi="Verdana"/>
        </w:rPr>
        <w:t xml:space="preserve"> para las modalidades de selección de</w:t>
      </w:r>
      <w:r w:rsidRPr="00C15525">
        <w:rPr>
          <w:rFonts w:ascii="Verdana" w:hAnsi="Verdana"/>
          <w:b/>
          <w:bCs/>
        </w:rPr>
        <w:t xml:space="preserve"> licitación pública (versión 2), selección abreviada de menor cuantía, mínima cuantía, consultoría e interventoría</w:t>
      </w:r>
      <w:r w:rsidRPr="00C15525">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C15525">
          <w:rPr>
            <w:rFonts w:ascii="Verdana" w:hAnsi="Verdana"/>
            <w:color w:val="0000FF"/>
            <w:u w:val="single"/>
          </w:rPr>
          <w:t>https://www.colombiacompra.gov.co/normativa-y-relatoria/documentos-tipo</w:t>
        </w:r>
      </w:hyperlink>
    </w:p>
    <w:p w14:paraId="00CCA621" w14:textId="77777777" w:rsidR="00AF223C" w:rsidRPr="00C15525" w:rsidRDefault="00AF223C" w:rsidP="00AF223C">
      <w:pPr>
        <w:jc w:val="both"/>
        <w:rPr>
          <w:rFonts w:ascii="Verdana" w:hAnsi="Verdana"/>
          <w:color w:val="000000"/>
          <w:lang w:val="es-ES_tradnl"/>
        </w:rPr>
      </w:pPr>
      <w:r w:rsidRPr="00C15525">
        <w:rPr>
          <w:rFonts w:ascii="Verdana" w:hAnsi="Verdana"/>
        </w:rPr>
        <w:t xml:space="preserve">Si quieres conocer más sobre la aplicación de Documentos Tipo puedes consultar la última versión de la </w:t>
      </w:r>
      <w:r w:rsidRPr="00C15525">
        <w:rPr>
          <w:rFonts w:ascii="Verdana" w:hAnsi="Verdana"/>
          <w:b/>
          <w:bCs/>
        </w:rPr>
        <w:t>Guía para la comprensión e implementación de los Documentos Tipo de obra pública de infraestructura de transporte</w:t>
      </w:r>
      <w:r w:rsidRPr="00C15525">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C15525">
        <w:rPr>
          <w:rFonts w:ascii="Verdana" w:hAnsi="Verdana"/>
        </w:rPr>
        <w:br/>
      </w:r>
      <w:hyperlink r:id="rId16" w:tgtFrame="_new" w:history="1">
        <w:r w:rsidRPr="00C15525">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460DE514" w14:textId="77777777" w:rsidR="00AF223C" w:rsidRPr="00C15525" w:rsidRDefault="00AF223C" w:rsidP="00AF223C">
      <w:pPr>
        <w:spacing w:after="0"/>
        <w:jc w:val="both"/>
        <w:rPr>
          <w:rFonts w:ascii="Verdana" w:hAnsi="Verdana"/>
        </w:rPr>
      </w:pPr>
      <w:r w:rsidRPr="00C15525">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w:t>
      </w:r>
      <w:r w:rsidRPr="00C15525">
        <w:rPr>
          <w:rFonts w:ascii="Verdana" w:hAnsi="Verdana"/>
        </w:rPr>
        <w:lastRenderedPageBreak/>
        <w:t xml:space="preserve">marco de nuestras funciones a través de nuestros diferentes canales de atención: </w:t>
      </w:r>
    </w:p>
    <w:p w14:paraId="1E1A06BD" w14:textId="77777777" w:rsidR="00AF223C" w:rsidRPr="00C15525" w:rsidRDefault="00AF223C" w:rsidP="00AF223C">
      <w:pPr>
        <w:spacing w:after="0"/>
        <w:jc w:val="both"/>
        <w:rPr>
          <w:rFonts w:ascii="Verdana" w:hAnsi="Verdana"/>
        </w:rPr>
      </w:pPr>
    </w:p>
    <w:p w14:paraId="678130C3" w14:textId="77777777" w:rsidR="00AF223C" w:rsidRPr="00C15525" w:rsidRDefault="00AF223C" w:rsidP="00AF223C">
      <w:pPr>
        <w:numPr>
          <w:ilvl w:val="0"/>
          <w:numId w:val="15"/>
        </w:numPr>
        <w:spacing w:after="0" w:line="240" w:lineRule="auto"/>
        <w:contextualSpacing/>
        <w:jc w:val="both"/>
        <w:rPr>
          <w:rFonts w:ascii="Verdana" w:eastAsia="Verdana" w:hAnsi="Verdana" w:cs="Verdana"/>
          <w:color w:val="4472C4" w:themeColor="accent1"/>
          <w:u w:val="single"/>
          <w:lang w:val="es-MX"/>
        </w:rPr>
      </w:pPr>
      <w:r w:rsidRPr="00C15525">
        <w:rPr>
          <w:rFonts w:ascii="Verdana" w:eastAsia="Verdana" w:hAnsi="Verdana" w:cs="Verdana"/>
          <w:lang w:val="es-MX"/>
        </w:rPr>
        <w:t xml:space="preserve">Línea nacional gratuita o servicio a la ciudadanía (Mesa de servicio): </w:t>
      </w:r>
      <w:r w:rsidRPr="00C15525">
        <w:rPr>
          <w:rFonts w:ascii="Verdana" w:hAnsi="Verdana"/>
          <w:color w:val="0000FF"/>
          <w:u w:val="single"/>
          <w:lang w:val="es-ES"/>
        </w:rPr>
        <w:t>01800 0520808</w:t>
      </w:r>
    </w:p>
    <w:p w14:paraId="62389A34" w14:textId="77777777" w:rsidR="00AF223C" w:rsidRPr="00C15525" w:rsidRDefault="00AF223C" w:rsidP="00AF223C">
      <w:pPr>
        <w:numPr>
          <w:ilvl w:val="0"/>
          <w:numId w:val="15"/>
        </w:numPr>
        <w:spacing w:after="0" w:line="256" w:lineRule="auto"/>
        <w:contextualSpacing/>
        <w:rPr>
          <w:rFonts w:ascii="Verdana" w:eastAsia="Verdana" w:hAnsi="Verdana" w:cs="Verdana"/>
          <w:color w:val="4472C4" w:themeColor="accent1"/>
          <w:u w:val="single"/>
          <w:lang w:val="es-MX"/>
        </w:rPr>
      </w:pPr>
      <w:r w:rsidRPr="00C15525">
        <w:rPr>
          <w:rFonts w:ascii="Verdana" w:eastAsia="Verdana" w:hAnsi="Verdana" w:cs="Verdana"/>
          <w:lang w:val="es-MX"/>
        </w:rPr>
        <w:t>Línea en Bogotá (Mesa de servicio</w:t>
      </w:r>
      <w:proofErr w:type="gramStart"/>
      <w:r w:rsidRPr="00C15525">
        <w:rPr>
          <w:rFonts w:ascii="Verdana" w:eastAsia="Verdana" w:hAnsi="Verdana" w:cs="Verdana"/>
          <w:lang w:val="es-MX"/>
        </w:rPr>
        <w:t>):</w:t>
      </w:r>
      <w:r w:rsidRPr="00C15525">
        <w:rPr>
          <w:rFonts w:ascii="Verdana" w:hAnsi="Verdana"/>
          <w:color w:val="0000FF"/>
          <w:u w:val="single"/>
          <w:lang w:val="es-ES"/>
        </w:rPr>
        <w:t>+</w:t>
      </w:r>
      <w:proofErr w:type="gramEnd"/>
      <w:r w:rsidRPr="00C15525">
        <w:rPr>
          <w:rFonts w:ascii="Verdana" w:hAnsi="Verdana"/>
          <w:color w:val="0000FF"/>
          <w:u w:val="single"/>
          <w:lang w:val="es-ES"/>
        </w:rPr>
        <w:t>57 601 7456788</w:t>
      </w:r>
    </w:p>
    <w:p w14:paraId="3080B647" w14:textId="77777777" w:rsidR="00AF223C" w:rsidRPr="00C15525" w:rsidRDefault="00AF223C" w:rsidP="00AF223C">
      <w:pPr>
        <w:numPr>
          <w:ilvl w:val="0"/>
          <w:numId w:val="15"/>
        </w:numPr>
        <w:spacing w:after="0" w:line="256" w:lineRule="auto"/>
        <w:contextualSpacing/>
        <w:rPr>
          <w:rFonts w:ascii="Verdana" w:eastAsia="Verdana" w:hAnsi="Verdana" w:cs="Verdana"/>
          <w:color w:val="0000FF"/>
          <w:u w:val="single"/>
          <w:lang w:val="es-MX"/>
        </w:rPr>
      </w:pPr>
      <w:r w:rsidRPr="00C15525">
        <w:rPr>
          <w:rFonts w:ascii="Verdana" w:eastAsia="Verdana" w:hAnsi="Verdana" w:cs="Verdana"/>
          <w:lang w:val="es-MX"/>
        </w:rPr>
        <w:t xml:space="preserve">Correo de radicación de correspondencia: </w:t>
      </w:r>
      <w:hyperlink r:id="rId17" w:history="1">
        <w:r w:rsidRPr="00C15525">
          <w:rPr>
            <w:rFonts w:ascii="Verdana" w:eastAsia="Verdana" w:hAnsi="Verdana" w:cs="Verdana"/>
            <w:color w:val="0000FF"/>
            <w:u w:val="single"/>
            <w:lang w:val="es-MX"/>
          </w:rPr>
          <w:t>ventanilladeradicacion@colombiacompra.gov.co</w:t>
        </w:r>
      </w:hyperlink>
    </w:p>
    <w:p w14:paraId="54DD7F29" w14:textId="77777777" w:rsidR="00AF223C" w:rsidRPr="00C15525" w:rsidRDefault="00AF223C" w:rsidP="00AF223C">
      <w:pPr>
        <w:numPr>
          <w:ilvl w:val="0"/>
          <w:numId w:val="15"/>
        </w:numPr>
        <w:spacing w:after="0" w:line="256" w:lineRule="auto"/>
        <w:contextualSpacing/>
        <w:rPr>
          <w:rFonts w:ascii="Verdana" w:eastAsia="Verdana" w:hAnsi="Verdana" w:cs="Verdana"/>
          <w:color w:val="0000FF"/>
          <w:u w:val="single"/>
          <w:lang w:val="es-MX"/>
        </w:rPr>
      </w:pPr>
      <w:r w:rsidRPr="00C15525">
        <w:rPr>
          <w:rFonts w:ascii="Verdana" w:eastAsia="Verdana" w:hAnsi="Verdana" w:cs="Verdana"/>
          <w:lang w:val="es-ES"/>
        </w:rPr>
        <w:t xml:space="preserve">Formulario web para PQRSD: </w:t>
      </w:r>
      <w:hyperlink r:id="rId18" w:history="1">
        <w:r w:rsidRPr="00C15525">
          <w:rPr>
            <w:rFonts w:ascii="Verdana" w:eastAsia="Verdana" w:hAnsi="Verdana" w:cs="Verdana"/>
            <w:color w:val="0000FF"/>
            <w:u w:val="single"/>
            <w:lang w:val="es-MX"/>
          </w:rPr>
          <w:t>https://www.colombiacompra.gov.co/pqrsd/informacion-importante-antes-de-formular-una-pqrsd</w:t>
        </w:r>
      </w:hyperlink>
    </w:p>
    <w:p w14:paraId="506418AB" w14:textId="77777777" w:rsidR="00AF223C" w:rsidRPr="00C15525" w:rsidRDefault="00AF223C" w:rsidP="00AF223C">
      <w:pPr>
        <w:spacing w:after="0" w:line="240" w:lineRule="auto"/>
        <w:ind w:left="720"/>
        <w:jc w:val="both"/>
        <w:rPr>
          <w:rFonts w:ascii="Verdana" w:hAnsi="Verdana"/>
        </w:rPr>
      </w:pPr>
    </w:p>
    <w:p w14:paraId="2B132A9E" w14:textId="77777777" w:rsidR="00AF223C" w:rsidRPr="00C15525" w:rsidRDefault="00AF223C" w:rsidP="00AF223C">
      <w:pPr>
        <w:spacing w:after="0" w:line="240" w:lineRule="auto"/>
        <w:rPr>
          <w:rFonts w:ascii="Verdana" w:hAnsi="Verdana"/>
        </w:rPr>
      </w:pPr>
      <w:r w:rsidRPr="00C15525">
        <w:rPr>
          <w:rFonts w:ascii="Verdana" w:hAnsi="Verdana"/>
        </w:rPr>
        <w:t xml:space="preserve">Evalúa el servicio que ofrece la Agencia por el canal de atención de PQRSD en el siguiente </w:t>
      </w:r>
      <w:proofErr w:type="gramStart"/>
      <w:r w:rsidRPr="00C15525">
        <w:rPr>
          <w:rFonts w:ascii="Verdana" w:hAnsi="Verdana"/>
        </w:rPr>
        <w:t>enlace :</w:t>
      </w:r>
      <w:proofErr w:type="gramEnd"/>
      <w:hyperlink r:id="rId19" w:tgtFrame="_blank" w:tooltip="https://forms.office.com/r/pphywvs2sz" w:history="1">
        <w:r w:rsidRPr="00C15525">
          <w:rPr>
            <w:rFonts w:ascii="Verdana" w:hAnsi="Verdana"/>
            <w:color w:val="0000FF"/>
            <w:u w:val="single"/>
          </w:rPr>
          <w:t>https://forms.office.com/r/pPHyWVs2SZ</w:t>
        </w:r>
      </w:hyperlink>
      <w:r w:rsidRPr="00C15525">
        <w:rPr>
          <w:rFonts w:ascii="Verdana" w:hAnsi="Verdana"/>
        </w:rPr>
        <w:t xml:space="preserve"> .¡Ayúdanos a mejorar porque el compromiso es de todos!</w:t>
      </w:r>
    </w:p>
    <w:p w14:paraId="1956C8B7" w14:textId="77777777" w:rsidR="00AF223C" w:rsidRPr="00C15525" w:rsidRDefault="00AF223C" w:rsidP="00AF223C">
      <w:pPr>
        <w:spacing w:after="0" w:line="240" w:lineRule="auto"/>
        <w:rPr>
          <w:rFonts w:ascii="Verdana" w:hAnsi="Verdana"/>
        </w:rPr>
      </w:pPr>
    </w:p>
    <w:p w14:paraId="315EDBBD" w14:textId="77777777" w:rsidR="00AF223C" w:rsidRPr="00C15525" w:rsidRDefault="00AF223C" w:rsidP="00AF223C">
      <w:pPr>
        <w:spacing w:after="0" w:line="240" w:lineRule="auto"/>
        <w:jc w:val="both"/>
        <w:rPr>
          <w:rFonts w:ascii="Verdana" w:hAnsi="Verdana"/>
        </w:rPr>
      </w:pPr>
      <w:r w:rsidRPr="00C15525">
        <w:rPr>
          <w:rFonts w:ascii="Verdana" w:hAnsi="Verdana"/>
        </w:rPr>
        <w:t xml:space="preserve">Por último, lo invitamos a seguirnos en las redes sociales en las cuales se difunde información institucional: </w:t>
      </w:r>
    </w:p>
    <w:p w14:paraId="1F20B189" w14:textId="77777777" w:rsidR="00AF223C" w:rsidRPr="00C15525" w:rsidRDefault="00AF223C" w:rsidP="00AF223C">
      <w:pPr>
        <w:spacing w:after="0" w:line="240" w:lineRule="auto"/>
        <w:jc w:val="both"/>
        <w:rPr>
          <w:rFonts w:ascii="Verdana" w:hAnsi="Verdana"/>
        </w:rPr>
      </w:pPr>
    </w:p>
    <w:p w14:paraId="4447A05F" w14:textId="77777777" w:rsidR="00AF223C" w:rsidRPr="00C15525" w:rsidRDefault="00AF223C" w:rsidP="00AF223C">
      <w:pPr>
        <w:spacing w:after="0" w:line="240" w:lineRule="auto"/>
        <w:jc w:val="both"/>
        <w:rPr>
          <w:rFonts w:ascii="Verdana" w:hAnsi="Verdana"/>
        </w:rPr>
      </w:pPr>
      <w:r w:rsidRPr="00C15525">
        <w:rPr>
          <w:rFonts w:ascii="Verdana" w:hAnsi="Verdana"/>
        </w:rPr>
        <w:t xml:space="preserve">Twitter: </w:t>
      </w:r>
      <w:r w:rsidRPr="00C15525">
        <w:rPr>
          <w:rFonts w:ascii="Verdana" w:hAnsi="Verdana"/>
          <w:color w:val="0000FF"/>
          <w:u w:val="single"/>
        </w:rPr>
        <w:t>@colombiacompra</w:t>
      </w:r>
      <w:r w:rsidRPr="00C15525">
        <w:rPr>
          <w:rFonts w:ascii="Verdana" w:hAnsi="Verdana"/>
        </w:rPr>
        <w:t xml:space="preserve"> </w:t>
      </w:r>
    </w:p>
    <w:p w14:paraId="0AE040EB" w14:textId="77777777" w:rsidR="00AF223C" w:rsidRPr="00C15525" w:rsidRDefault="00AF223C" w:rsidP="00AF223C">
      <w:pPr>
        <w:spacing w:after="0" w:line="240" w:lineRule="auto"/>
        <w:jc w:val="both"/>
        <w:rPr>
          <w:rFonts w:ascii="Verdana" w:hAnsi="Verdana"/>
        </w:rPr>
      </w:pPr>
      <w:r w:rsidRPr="00C15525">
        <w:rPr>
          <w:rFonts w:ascii="Verdana" w:hAnsi="Verdana"/>
        </w:rPr>
        <w:t xml:space="preserve">Facebook: </w:t>
      </w:r>
      <w:proofErr w:type="spellStart"/>
      <w:r w:rsidRPr="00C15525">
        <w:rPr>
          <w:rFonts w:ascii="Verdana" w:hAnsi="Verdana"/>
          <w:color w:val="0000FF"/>
          <w:u w:val="single"/>
        </w:rPr>
        <w:t>ColombiaCompraEficiente</w:t>
      </w:r>
      <w:proofErr w:type="spellEnd"/>
    </w:p>
    <w:p w14:paraId="58273A22" w14:textId="77777777" w:rsidR="00AF223C" w:rsidRPr="00C15525" w:rsidRDefault="00AF223C" w:rsidP="00AF223C">
      <w:pPr>
        <w:spacing w:after="0" w:line="240" w:lineRule="auto"/>
        <w:jc w:val="both"/>
        <w:rPr>
          <w:rFonts w:ascii="Verdana" w:hAnsi="Verdana"/>
        </w:rPr>
      </w:pPr>
      <w:r w:rsidRPr="00C15525">
        <w:rPr>
          <w:rFonts w:ascii="Verdana" w:hAnsi="Verdana"/>
        </w:rPr>
        <w:t xml:space="preserve">LinkedIn: </w:t>
      </w:r>
      <w:r w:rsidRPr="00C15525">
        <w:rPr>
          <w:rFonts w:ascii="Verdana" w:hAnsi="Verdana"/>
          <w:color w:val="0000FF"/>
          <w:u w:val="single"/>
        </w:rPr>
        <w:t>Agencia Nacional de Contratación Pública - Colombia Compra Eficiente</w:t>
      </w:r>
      <w:r w:rsidRPr="00C15525">
        <w:rPr>
          <w:rFonts w:ascii="Verdana" w:hAnsi="Verdana"/>
        </w:rPr>
        <w:t xml:space="preserve"> Instagram: </w:t>
      </w:r>
      <w:r w:rsidRPr="00C15525">
        <w:rPr>
          <w:rFonts w:ascii="Verdana" w:hAnsi="Verdana"/>
          <w:color w:val="0000FF"/>
          <w:u w:val="single"/>
        </w:rPr>
        <w:t>@colombiacompraeficiente_cce</w:t>
      </w:r>
    </w:p>
    <w:p w14:paraId="73EDFE1E" w14:textId="77777777" w:rsidR="00AF223C" w:rsidRPr="008278B1" w:rsidRDefault="00AF223C" w:rsidP="00AF223C">
      <w:pPr>
        <w:widowControl w:val="0"/>
        <w:autoSpaceDE w:val="0"/>
        <w:autoSpaceDN w:val="0"/>
        <w:spacing w:after="120" w:line="276" w:lineRule="auto"/>
        <w:jc w:val="both"/>
        <w:rPr>
          <w:rFonts w:ascii="Verdana" w:hAnsi="Verdana" w:cs="Arial"/>
          <w:lang w:val="es-ES"/>
        </w:rPr>
      </w:pPr>
      <w:r w:rsidRPr="00C15525">
        <w:rPr>
          <w:rFonts w:ascii="Verdana" w:hAnsi="Verdana" w:cs="Arial"/>
          <w:color w:val="FF0000"/>
          <w:shd w:val="clear" w:color="auto" w:fill="FFFFFF"/>
          <w:lang w:val="es-ES_tradnl"/>
        </w:rPr>
        <w:t xml:space="preserve">        </w:t>
      </w:r>
    </w:p>
    <w:p w14:paraId="0C3AC7F4" w14:textId="77777777" w:rsidR="00AF223C" w:rsidRPr="008278B1" w:rsidRDefault="00AF223C" w:rsidP="00AF223C">
      <w:pPr>
        <w:widowControl w:val="0"/>
        <w:autoSpaceDE w:val="0"/>
        <w:autoSpaceDN w:val="0"/>
        <w:spacing w:after="0" w:line="276" w:lineRule="auto"/>
        <w:jc w:val="both"/>
        <w:rPr>
          <w:rFonts w:ascii="Verdana" w:hAnsi="Verdana" w:cs="Arial"/>
          <w:lang w:val="es-ES"/>
        </w:rPr>
      </w:pPr>
      <w:r w:rsidRPr="008278B1">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6158347" w14:textId="77777777" w:rsidR="00AF223C" w:rsidRPr="008278B1" w:rsidRDefault="00AF223C" w:rsidP="00AF223C">
      <w:pPr>
        <w:widowControl w:val="0"/>
        <w:autoSpaceDE w:val="0"/>
        <w:autoSpaceDN w:val="0"/>
        <w:spacing w:after="0" w:line="276" w:lineRule="auto"/>
        <w:jc w:val="both"/>
        <w:rPr>
          <w:rFonts w:ascii="Verdana" w:hAnsi="Verdana" w:cs="Arial"/>
          <w:lang w:val="es-ES"/>
        </w:rPr>
      </w:pPr>
    </w:p>
    <w:p w14:paraId="4D644E69" w14:textId="365F3DD6" w:rsidR="007C31D6" w:rsidRPr="00E51574" w:rsidRDefault="00AF223C" w:rsidP="00E51574">
      <w:pPr>
        <w:spacing w:after="0" w:line="276" w:lineRule="auto"/>
        <w:rPr>
          <w:rFonts w:ascii="Verdana" w:hAnsi="Verdana" w:cs="Arial"/>
          <w:lang w:val="es-ES" w:eastAsia="es-CO"/>
        </w:rPr>
      </w:pPr>
      <w:r w:rsidRPr="008278B1">
        <w:rPr>
          <w:rFonts w:ascii="Verdana" w:eastAsia="Times New Roman" w:hAnsi="Verdana" w:cs="Arial"/>
          <w:lang w:val="es-ES" w:eastAsia="es-CO"/>
        </w:rPr>
        <w:t>Atentamente,</w:t>
      </w:r>
      <w:r w:rsidRPr="008278B1">
        <w:rPr>
          <w:rFonts w:ascii="Verdana" w:hAnsi="Verdana" w:cs="Arial"/>
          <w:lang w:val="es-ES" w:eastAsia="es-CO"/>
        </w:rPr>
        <w:t xml:space="preserve"> </w:t>
      </w:r>
    </w:p>
    <w:p w14:paraId="1C20DF8C" w14:textId="216D70B2" w:rsidR="007C31D6" w:rsidRDefault="00E51574" w:rsidP="007C31D6">
      <w:pPr>
        <w:spacing w:after="0" w:line="276" w:lineRule="auto"/>
        <w:jc w:val="center"/>
        <w:rPr>
          <w:rFonts w:ascii="Verdana" w:hAnsi="Verdana"/>
          <w:lang w:val="es-ES_tradnl"/>
        </w:rPr>
      </w:pPr>
      <w:r>
        <w:rPr>
          <w:rFonts w:ascii="Verdana" w:hAnsi="Verdana"/>
          <w:noProof/>
          <w:lang w:val="es-ES_tradnl"/>
        </w:rPr>
        <w:drawing>
          <wp:inline distT="0" distB="0" distL="0" distR="0" wp14:anchorId="7E8926FD" wp14:editId="120FA79E">
            <wp:extent cx="2724150" cy="1005510"/>
            <wp:effectExtent l="0" t="0" r="0" b="4445"/>
            <wp:docPr id="123980144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9801443" name="Imagen 1" descr="Texto&#10;&#10;Descripción generada automáticamente"/>
                    <pic:cNvPicPr/>
                  </pic:nvPicPr>
                  <pic:blipFill>
                    <a:blip r:embed="rId20">
                      <a:extLst>
                        <a:ext uri="{28A0092B-C50C-407E-A947-70E740481C1C}">
                          <a14:useLocalDpi xmlns:a14="http://schemas.microsoft.com/office/drawing/2010/main" val="0"/>
                        </a:ext>
                      </a:extLst>
                    </a:blip>
                    <a:stretch>
                      <a:fillRect/>
                    </a:stretch>
                  </pic:blipFill>
                  <pic:spPr>
                    <a:xfrm>
                      <a:off x="0" y="0"/>
                      <a:ext cx="2729413" cy="1007453"/>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C31D6" w:rsidRPr="00D53651" w14:paraId="275BB42E" w14:textId="77777777" w:rsidTr="000E7260">
        <w:trPr>
          <w:trHeight w:val="315"/>
        </w:trPr>
        <w:tc>
          <w:tcPr>
            <w:tcW w:w="893" w:type="dxa"/>
            <w:vAlign w:val="center"/>
            <w:hideMark/>
          </w:tcPr>
          <w:p w14:paraId="342CC9B0" w14:textId="77777777" w:rsidR="007C31D6" w:rsidRPr="00D53651" w:rsidRDefault="007C31D6" w:rsidP="000E7260">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354237E2" w14:textId="77777777" w:rsidR="007C31D6" w:rsidRPr="00D53651" w:rsidRDefault="007C31D6" w:rsidP="000E7260">
            <w:pPr>
              <w:spacing w:line="276" w:lineRule="auto"/>
              <w:jc w:val="both"/>
              <w:rPr>
                <w:rFonts w:ascii="Verdana" w:hAnsi="Verdana"/>
                <w:sz w:val="16"/>
                <w:szCs w:val="16"/>
              </w:rPr>
            </w:pPr>
            <w:r>
              <w:rPr>
                <w:rFonts w:ascii="Verdana" w:hAnsi="Verdana"/>
                <w:sz w:val="16"/>
                <w:szCs w:val="16"/>
              </w:rPr>
              <w:t>Gloria Elizabeth Arango Builes</w:t>
            </w:r>
          </w:p>
          <w:p w14:paraId="4866B5DD" w14:textId="77777777" w:rsidR="007C31D6" w:rsidRPr="00D53651" w:rsidRDefault="007C31D6" w:rsidP="000E7260">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7C31D6" w:rsidRPr="00D53651" w14:paraId="283ACB79" w14:textId="77777777" w:rsidTr="000E7260">
        <w:trPr>
          <w:trHeight w:val="330"/>
        </w:trPr>
        <w:tc>
          <w:tcPr>
            <w:tcW w:w="893" w:type="dxa"/>
            <w:vAlign w:val="center"/>
            <w:hideMark/>
          </w:tcPr>
          <w:p w14:paraId="041C1AD6" w14:textId="77777777" w:rsidR="007C31D6" w:rsidRPr="00D53651" w:rsidRDefault="007C31D6" w:rsidP="000E7260">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453E3A37" w14:textId="77777777" w:rsidR="007C31D6" w:rsidRPr="00D53651" w:rsidRDefault="007C31D6" w:rsidP="000E7260">
            <w:pPr>
              <w:spacing w:line="276" w:lineRule="auto"/>
              <w:jc w:val="both"/>
              <w:rPr>
                <w:rFonts w:ascii="Verdana" w:hAnsi="Verdana"/>
                <w:sz w:val="16"/>
                <w:szCs w:val="16"/>
              </w:rPr>
            </w:pPr>
            <w:r>
              <w:rPr>
                <w:rFonts w:ascii="Verdana" w:hAnsi="Verdana"/>
                <w:sz w:val="16"/>
                <w:szCs w:val="16"/>
              </w:rPr>
              <w:t>Diana Lucía Saavedra Castañeda</w:t>
            </w:r>
          </w:p>
          <w:p w14:paraId="7F4C2BD7" w14:textId="77777777" w:rsidR="007C31D6" w:rsidRPr="00D53651" w:rsidRDefault="007C31D6" w:rsidP="000E7260">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7C31D6" w:rsidRPr="00D53651" w14:paraId="0A66432D" w14:textId="77777777" w:rsidTr="000E7260">
        <w:trPr>
          <w:trHeight w:val="300"/>
        </w:trPr>
        <w:tc>
          <w:tcPr>
            <w:tcW w:w="893" w:type="dxa"/>
            <w:vAlign w:val="center"/>
            <w:hideMark/>
          </w:tcPr>
          <w:p w14:paraId="729C97E0" w14:textId="77777777" w:rsidR="007C31D6" w:rsidRPr="00D53651" w:rsidRDefault="007C31D6" w:rsidP="000E7260">
            <w:pPr>
              <w:spacing w:line="276" w:lineRule="auto"/>
              <w:jc w:val="both"/>
              <w:rPr>
                <w:rFonts w:ascii="Verdana" w:hAnsi="Verdana"/>
                <w:sz w:val="16"/>
                <w:szCs w:val="16"/>
              </w:rPr>
            </w:pPr>
            <w:r w:rsidRPr="00D53651">
              <w:rPr>
                <w:rFonts w:ascii="Verdana" w:hAnsi="Verdana"/>
                <w:sz w:val="16"/>
                <w:szCs w:val="16"/>
              </w:rPr>
              <w:lastRenderedPageBreak/>
              <w:t>Aprobó:</w:t>
            </w:r>
          </w:p>
        </w:tc>
        <w:tc>
          <w:tcPr>
            <w:tcW w:w="5628" w:type="dxa"/>
            <w:tcBorders>
              <w:top w:val="dotted" w:sz="4" w:space="0" w:color="7F7F7F"/>
              <w:left w:val="nil"/>
              <w:bottom w:val="dotted" w:sz="4" w:space="0" w:color="7F7F7F"/>
              <w:right w:val="nil"/>
            </w:tcBorders>
            <w:vAlign w:val="center"/>
            <w:hideMark/>
          </w:tcPr>
          <w:p w14:paraId="7C7B720B" w14:textId="77777777" w:rsidR="007C31D6" w:rsidRPr="00D53651" w:rsidRDefault="007C31D6" w:rsidP="000E7260">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26D31200" w14:textId="77777777" w:rsidR="007C31D6" w:rsidRPr="00D53651" w:rsidRDefault="007C31D6" w:rsidP="000E7260">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102BB92B" w14:textId="77777777" w:rsidR="007C31D6" w:rsidRPr="000931E9" w:rsidRDefault="007C31D6" w:rsidP="007C31D6"/>
    <w:p w14:paraId="786B535A" w14:textId="77777777" w:rsidR="007C31D6" w:rsidRPr="0044528D" w:rsidRDefault="007C31D6" w:rsidP="007C31D6">
      <w:pPr>
        <w:spacing w:after="0"/>
        <w:rPr>
          <w:rFonts w:ascii="Verdana" w:hAnsi="Verdana"/>
        </w:rPr>
      </w:pPr>
    </w:p>
    <w:p w14:paraId="48698E65" w14:textId="77777777" w:rsidR="007C31D6" w:rsidRPr="00FA01E0" w:rsidRDefault="007C31D6" w:rsidP="007C31D6">
      <w:pPr>
        <w:spacing w:after="0" w:line="276" w:lineRule="auto"/>
        <w:jc w:val="both"/>
        <w:rPr>
          <w:rFonts w:ascii="Verdana" w:eastAsia="Calibri" w:hAnsi="Verdana" w:cs="Arial"/>
          <w:lang w:val="es-ES"/>
        </w:rPr>
      </w:pPr>
    </w:p>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17E978FA"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F4564E" w14:textId="77777777" w:rsidR="004969E2" w:rsidRDefault="004969E2" w:rsidP="004A1847">
      <w:pPr>
        <w:spacing w:after="0" w:line="240" w:lineRule="auto"/>
      </w:pPr>
      <w:r>
        <w:separator/>
      </w:r>
    </w:p>
  </w:endnote>
  <w:endnote w:type="continuationSeparator" w:id="0">
    <w:p w14:paraId="6CD112FA" w14:textId="77777777" w:rsidR="004969E2" w:rsidRDefault="004969E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Rockwell">
    <w:panose1 w:val="02060603020205020403"/>
    <w:charset w:val="00"/>
    <w:family w:val="roman"/>
    <w:pitch w:val="variable"/>
    <w:sig w:usb0="00000003" w:usb1="00000000"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4729D8" w14:textId="77777777" w:rsidR="004969E2" w:rsidRDefault="004969E2" w:rsidP="004A1847">
      <w:pPr>
        <w:spacing w:after="0" w:line="240" w:lineRule="auto"/>
      </w:pPr>
      <w:r>
        <w:separator/>
      </w:r>
    </w:p>
  </w:footnote>
  <w:footnote w:type="continuationSeparator" w:id="0">
    <w:p w14:paraId="4536E5AD" w14:textId="77777777" w:rsidR="004969E2" w:rsidRDefault="004969E2" w:rsidP="004A1847">
      <w:pPr>
        <w:spacing w:after="0" w:line="240" w:lineRule="auto"/>
      </w:pPr>
      <w:r>
        <w:continuationSeparator/>
      </w:r>
    </w:p>
  </w:footnote>
  <w:footnote w:id="1">
    <w:p w14:paraId="55AAFF09" w14:textId="77777777" w:rsidR="00B50930" w:rsidRPr="0086345B" w:rsidRDefault="00B50930" w:rsidP="00B50930">
      <w:pPr>
        <w:pStyle w:val="Textonotapie"/>
        <w:ind w:firstLine="708"/>
        <w:jc w:val="both"/>
        <w:rPr>
          <w:rFonts w:ascii="Verdana" w:hAnsi="Verdana" w:cs="Arial"/>
          <w:color w:val="000000"/>
          <w:sz w:val="16"/>
          <w:szCs w:val="16"/>
        </w:rPr>
      </w:pPr>
      <w:r w:rsidRPr="0086345B">
        <w:rPr>
          <w:rStyle w:val="Refdenotaalpie"/>
          <w:rFonts w:ascii="Verdana" w:hAnsi="Verdana" w:cs="Arial"/>
          <w:color w:val="000000"/>
          <w:sz w:val="16"/>
          <w:szCs w:val="16"/>
        </w:rPr>
        <w:footnoteRef/>
      </w:r>
      <w:r w:rsidRPr="0086345B">
        <w:rPr>
          <w:rFonts w:ascii="Verdana" w:hAnsi="Verdana" w:cs="Arial"/>
          <w:color w:val="000000"/>
          <w:sz w:val="16"/>
          <w:szCs w:val="16"/>
        </w:rPr>
        <w:t xml:space="preserve"> Sobre esta norma consultar los conceptos del 8 de octubre de 2019, con radicado 2201913000007532, y del 20 de diciembre de 2019, cuyo radicado es el No. 4201913000008240.</w:t>
      </w:r>
    </w:p>
  </w:footnote>
  <w:footnote w:id="2">
    <w:p w14:paraId="1C06E1F3" w14:textId="77777777" w:rsidR="00B50930" w:rsidRPr="0086345B" w:rsidRDefault="00B50930" w:rsidP="00B50930">
      <w:pPr>
        <w:pStyle w:val="Textonotapie"/>
        <w:ind w:firstLine="708"/>
        <w:jc w:val="both"/>
        <w:rPr>
          <w:rFonts w:ascii="Verdana" w:hAnsi="Verdana" w:cs="Arial"/>
          <w:color w:val="000000"/>
          <w:sz w:val="16"/>
          <w:szCs w:val="16"/>
        </w:rPr>
      </w:pPr>
      <w:r w:rsidRPr="0086345B">
        <w:rPr>
          <w:rStyle w:val="Refdenotaalpie"/>
          <w:rFonts w:ascii="Verdana" w:hAnsi="Verdana" w:cs="Arial"/>
          <w:color w:val="000000"/>
          <w:sz w:val="16"/>
          <w:szCs w:val="16"/>
        </w:rPr>
        <w:footnoteRef/>
      </w:r>
      <w:r w:rsidRPr="0086345B">
        <w:rPr>
          <w:rFonts w:ascii="Verdana" w:hAnsi="Verdana" w:cs="Arial"/>
          <w:color w:val="000000"/>
          <w:sz w:val="16"/>
          <w:szCs w:val="16"/>
        </w:rPr>
        <w:t xml:space="preserve"> Articulo 96. Constitución de asociaciones y fundaciones para el cumplimiento de las actividades propias de las entidades públicas con participación de particulares.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4F16ED69" w14:textId="77777777" w:rsidR="00B50930" w:rsidRPr="0086345B" w:rsidRDefault="00B50930" w:rsidP="00B50930">
      <w:pPr>
        <w:pStyle w:val="Textonotapie"/>
        <w:ind w:firstLine="708"/>
        <w:jc w:val="both"/>
        <w:rPr>
          <w:rFonts w:ascii="Verdana" w:hAnsi="Verdana" w:cs="Arial"/>
          <w:color w:val="000000"/>
          <w:sz w:val="16"/>
          <w:szCs w:val="16"/>
        </w:rPr>
      </w:pPr>
      <w:r w:rsidRPr="0086345B">
        <w:rPr>
          <w:rFonts w:ascii="Verdana" w:hAnsi="Verdana" w:cs="Arial"/>
          <w:color w:val="000000"/>
          <w:sz w:val="16"/>
          <w:szCs w:val="16"/>
        </w:rPr>
        <w:t>Los convenios de asociación a que se refiere el presente artículo se celebrarán de conformidad con lo dispuesto en el artículo 355 de la Constitución Política, en ellos se determinará con precisión su objeto, término, obligaciones de las partes, aportes, coordinación y todos aquellos aspectos que se consideren pertinentes.</w:t>
      </w:r>
    </w:p>
  </w:footnote>
  <w:footnote w:id="3">
    <w:p w14:paraId="3D9EAF95" w14:textId="77777777" w:rsidR="00B50930" w:rsidRPr="0086345B" w:rsidRDefault="00B50930" w:rsidP="00B50930">
      <w:pPr>
        <w:pStyle w:val="Textonotapie"/>
        <w:ind w:firstLine="708"/>
        <w:jc w:val="both"/>
        <w:rPr>
          <w:rFonts w:ascii="Verdana" w:hAnsi="Verdana" w:cs="Arial"/>
          <w:color w:val="000000"/>
          <w:sz w:val="16"/>
          <w:szCs w:val="16"/>
        </w:rPr>
      </w:pPr>
      <w:r w:rsidRPr="0086345B">
        <w:rPr>
          <w:rStyle w:val="Refdenotaalpie"/>
          <w:rFonts w:ascii="Verdana" w:hAnsi="Verdana" w:cs="Arial"/>
          <w:color w:val="000000"/>
          <w:sz w:val="16"/>
          <w:szCs w:val="16"/>
        </w:rPr>
        <w:footnoteRef/>
      </w:r>
      <w:r w:rsidRPr="0086345B">
        <w:rPr>
          <w:rFonts w:ascii="Verdana" w:hAnsi="Verdana" w:cs="Arial"/>
          <w:color w:val="000000"/>
          <w:sz w:val="16"/>
          <w:szCs w:val="16"/>
        </w:rPr>
        <w:t xml:space="preserve"> En el concepto emitido el 5 de febrero de 2019, dentro del radicado No. 2201913000000663, se dijo: «[l]os convenios de asociación del artículo 5 son distintos a los contratos de colaboración del artículo 2 del Decreto 092 de 2017».</w:t>
      </w:r>
    </w:p>
  </w:footnote>
  <w:footnote w:id="4">
    <w:p w14:paraId="0BC2CA30" w14:textId="77777777" w:rsidR="00B50930" w:rsidRPr="0086345B" w:rsidRDefault="00B50930" w:rsidP="00B50930">
      <w:pPr>
        <w:pStyle w:val="Textonotapie"/>
        <w:ind w:firstLine="708"/>
        <w:jc w:val="both"/>
        <w:rPr>
          <w:rFonts w:ascii="Verdana" w:hAnsi="Verdana"/>
          <w:sz w:val="16"/>
          <w:szCs w:val="16"/>
        </w:rPr>
      </w:pPr>
      <w:r w:rsidRPr="0086345B">
        <w:rPr>
          <w:rStyle w:val="Refdenotaalpie"/>
          <w:rFonts w:ascii="Verdana" w:hAnsi="Verdana"/>
          <w:sz w:val="16"/>
          <w:szCs w:val="16"/>
        </w:rPr>
        <w:footnoteRef/>
      </w:r>
      <w:r w:rsidRPr="0086345B">
        <w:rPr>
          <w:rFonts w:ascii="Verdana" w:hAnsi="Verdana"/>
          <w:sz w:val="16"/>
          <w:szCs w:val="16"/>
        </w:rPr>
        <w:t xml:space="preserve"> Consejo De Estado. Sala de Consulta y Servicio Civil. Concepto del 30 de mayo de 2017. C.P. Edgar González López. Rad. 2.319. </w:t>
      </w:r>
    </w:p>
  </w:footnote>
  <w:footnote w:id="5">
    <w:p w14:paraId="4AD34BDC" w14:textId="77777777" w:rsidR="00B50930" w:rsidRPr="0086345B" w:rsidRDefault="00B50930" w:rsidP="00B50930">
      <w:pPr>
        <w:pStyle w:val="Textonotapie"/>
        <w:ind w:firstLine="709"/>
        <w:jc w:val="both"/>
        <w:rPr>
          <w:rFonts w:ascii="Verdana" w:hAnsi="Verdana" w:cs="Arial"/>
          <w:color w:val="000000" w:themeColor="text1"/>
          <w:sz w:val="16"/>
          <w:szCs w:val="16"/>
        </w:rPr>
      </w:pPr>
      <w:r w:rsidRPr="0086345B">
        <w:rPr>
          <w:rStyle w:val="Refdenotaalpie"/>
          <w:rFonts w:ascii="Verdana" w:hAnsi="Verdana" w:cs="Arial"/>
          <w:color w:val="000000" w:themeColor="text1"/>
          <w:sz w:val="16"/>
          <w:szCs w:val="16"/>
        </w:rPr>
        <w:footnoteRef/>
      </w:r>
      <w:r w:rsidRPr="0086345B">
        <w:rPr>
          <w:rFonts w:ascii="Verdana" w:hAnsi="Verdana" w:cs="Arial"/>
          <w:color w:val="000000" w:themeColor="text1"/>
          <w:sz w:val="16"/>
          <w:szCs w:val="16"/>
        </w:rPr>
        <w:t xml:space="preserve"> Agencia Nacional de Contratación Pública – Colombia Compra Eficiente. Concepto del 3 de septiembre de 2019, con radicado No. 2201913000006512.</w:t>
      </w:r>
    </w:p>
    <w:p w14:paraId="27120825" w14:textId="77777777" w:rsidR="00B50930" w:rsidRPr="0086345B" w:rsidRDefault="00B50930" w:rsidP="00B50930">
      <w:pPr>
        <w:pStyle w:val="Textonotapie"/>
        <w:ind w:firstLine="709"/>
        <w:jc w:val="both"/>
        <w:rPr>
          <w:rFonts w:ascii="Verdana" w:hAnsi="Verdana" w:cs="Arial"/>
          <w:color w:val="000000" w:themeColor="text1"/>
          <w:sz w:val="16"/>
          <w:szCs w:val="16"/>
        </w:rPr>
      </w:pPr>
    </w:p>
  </w:footnote>
  <w:footnote w:id="6">
    <w:p w14:paraId="79CF4962" w14:textId="77777777" w:rsidR="00B50930" w:rsidRPr="0086345B" w:rsidRDefault="00B50930" w:rsidP="00B50930">
      <w:pPr>
        <w:pStyle w:val="Textonotapie"/>
        <w:ind w:firstLine="708"/>
        <w:jc w:val="both"/>
        <w:rPr>
          <w:rFonts w:ascii="Verdana" w:hAnsi="Verdana" w:cs="Arial"/>
          <w:color w:val="000000"/>
          <w:sz w:val="16"/>
          <w:szCs w:val="16"/>
          <w:lang w:val="es-ES"/>
        </w:rPr>
      </w:pPr>
      <w:r w:rsidRPr="0086345B">
        <w:rPr>
          <w:rStyle w:val="Refdenotaalpie"/>
          <w:rFonts w:ascii="Verdana" w:hAnsi="Verdana" w:cs="Arial"/>
          <w:color w:val="000000"/>
          <w:sz w:val="16"/>
          <w:szCs w:val="16"/>
        </w:rPr>
        <w:footnoteRef/>
      </w:r>
      <w:r w:rsidRPr="0086345B">
        <w:rPr>
          <w:rFonts w:ascii="Verdana" w:hAnsi="Verdana" w:cs="Arial"/>
          <w:color w:val="000000"/>
          <w:sz w:val="16"/>
          <w:szCs w:val="16"/>
        </w:rPr>
        <w:t xml:space="preserve"> Concepto del 19 de noviembre de 2019, emitido en el radicado No. 2201913000008611.</w:t>
      </w:r>
    </w:p>
  </w:footnote>
  <w:footnote w:id="7">
    <w:p w14:paraId="203F1B8E" w14:textId="77777777" w:rsidR="00B50930" w:rsidRPr="0086345B" w:rsidRDefault="00B50930" w:rsidP="00B50930">
      <w:pPr>
        <w:pStyle w:val="Textonotapie"/>
        <w:ind w:firstLine="708"/>
        <w:rPr>
          <w:rFonts w:ascii="Verdana" w:hAnsi="Verdana"/>
          <w:sz w:val="16"/>
          <w:szCs w:val="16"/>
          <w:lang w:val="es-ES"/>
        </w:rPr>
      </w:pPr>
      <w:r w:rsidRPr="0086345B">
        <w:rPr>
          <w:rStyle w:val="Refdenotaalpie"/>
          <w:rFonts w:ascii="Verdana" w:hAnsi="Verdana"/>
          <w:sz w:val="16"/>
          <w:szCs w:val="16"/>
        </w:rPr>
        <w:footnoteRef/>
      </w:r>
      <w:r w:rsidRPr="0086345B">
        <w:rPr>
          <w:rFonts w:ascii="Verdana" w:hAnsi="Verdana"/>
          <w:sz w:val="16"/>
          <w:szCs w:val="16"/>
        </w:rPr>
        <w:t xml:space="preserve"> Agencia Nacional de Contratación Pública –Colombia Compra Eficiente. </w:t>
      </w:r>
      <w:r w:rsidRPr="0086345B">
        <w:rPr>
          <w:rFonts w:ascii="Verdana" w:hAnsi="Verdana"/>
          <w:bCs/>
          <w:iCs/>
          <w:sz w:val="16"/>
          <w:szCs w:val="16"/>
          <w:lang w:val="es-CO"/>
        </w:rPr>
        <w:t>Guía para la contratación con entidades privadas sin ánimo de lucro y de reconocida idoneidad, 2025. p. 14.</w:t>
      </w:r>
      <w:r w:rsidRPr="0086345B">
        <w:rPr>
          <w:rFonts w:ascii="Verdana" w:hAnsi="Verdana"/>
          <w:bCs/>
          <w:i/>
          <w:iCs/>
          <w:sz w:val="16"/>
          <w:szCs w:val="16"/>
          <w:lang w:val="es-CO"/>
        </w:rPr>
        <w:t xml:space="preserve"> </w:t>
      </w:r>
    </w:p>
  </w:footnote>
  <w:footnote w:id="8">
    <w:p w14:paraId="3010E03E" w14:textId="77777777" w:rsidR="00B50930" w:rsidRPr="0086345B" w:rsidRDefault="00B50930" w:rsidP="00B50930">
      <w:pPr>
        <w:pStyle w:val="Textonotapie"/>
        <w:ind w:firstLine="708"/>
        <w:jc w:val="both"/>
        <w:rPr>
          <w:rFonts w:ascii="Verdana" w:hAnsi="Verdana" w:cs="Arial"/>
          <w:color w:val="000000"/>
          <w:sz w:val="16"/>
          <w:szCs w:val="16"/>
        </w:rPr>
      </w:pPr>
      <w:r w:rsidRPr="0086345B">
        <w:rPr>
          <w:rStyle w:val="Refdenotaalpie"/>
          <w:rFonts w:ascii="Verdana" w:hAnsi="Verdana" w:cs="Arial"/>
          <w:color w:val="000000"/>
          <w:sz w:val="16"/>
          <w:szCs w:val="16"/>
        </w:rPr>
        <w:footnoteRef/>
      </w:r>
      <w:r w:rsidRPr="0086345B">
        <w:rPr>
          <w:rFonts w:ascii="Verdana" w:hAnsi="Verdana" w:cs="Arial"/>
          <w:color w:val="000000"/>
          <w:sz w:val="16"/>
          <w:szCs w:val="16"/>
        </w:rPr>
        <w:t xml:space="preserve"> Se precisa que la suspensión provisional, de acuerdo con el artículo 231 de la Ley 1437 de 2011, es una medida cautelar que busca proteger y garantizar, de forma provisional, que la norma demandada no genere actos contrarios al ordenamiento jurídico, razón por la cual, para decretarla es necesario que la transgresión de las normas superiores invocadas surja de la comparación entre estas y los actos acusados o del estudio de las pruebas aportadas con la solicitud.</w:t>
      </w:r>
    </w:p>
    <w:p w14:paraId="12777335" w14:textId="77777777" w:rsidR="00B50930" w:rsidRPr="0086345B" w:rsidRDefault="00B50930" w:rsidP="00B50930">
      <w:pPr>
        <w:pStyle w:val="Textonotapie"/>
        <w:ind w:firstLine="708"/>
        <w:jc w:val="both"/>
        <w:rPr>
          <w:rFonts w:ascii="Verdana" w:hAnsi="Verdana" w:cs="Arial"/>
          <w:color w:val="000000"/>
          <w:sz w:val="16"/>
          <w:szCs w:val="16"/>
        </w:rPr>
      </w:pPr>
    </w:p>
  </w:footnote>
  <w:footnote w:id="9">
    <w:p w14:paraId="0B8B7313" w14:textId="77777777" w:rsidR="00B50930" w:rsidRPr="0086345B" w:rsidRDefault="00B50930" w:rsidP="00B50930">
      <w:pPr>
        <w:pStyle w:val="Textonotapie"/>
        <w:ind w:firstLine="708"/>
        <w:jc w:val="both"/>
        <w:rPr>
          <w:rFonts w:ascii="Verdana" w:hAnsi="Verdana" w:cs="Arial"/>
          <w:sz w:val="16"/>
          <w:szCs w:val="16"/>
          <w:lang w:val="es-ES"/>
        </w:rPr>
      </w:pPr>
      <w:r w:rsidRPr="0086345B">
        <w:rPr>
          <w:rStyle w:val="Refdenotaalpie"/>
          <w:rFonts w:ascii="Verdana" w:hAnsi="Verdana" w:cs="Arial"/>
          <w:sz w:val="16"/>
          <w:szCs w:val="16"/>
        </w:rPr>
        <w:footnoteRef/>
      </w:r>
      <w:r w:rsidRPr="0086345B">
        <w:rPr>
          <w:rFonts w:ascii="Verdana" w:hAnsi="Verdana" w:cs="Arial"/>
          <w:sz w:val="16"/>
          <w:szCs w:val="16"/>
        </w:rPr>
        <w:t xml:space="preserve"> </w:t>
      </w:r>
      <w:r w:rsidRPr="0086345B">
        <w:rPr>
          <w:rFonts w:ascii="Verdana" w:hAnsi="Verdana" w:cs="Arial"/>
          <w:sz w:val="16"/>
          <w:szCs w:val="16"/>
          <w:lang w:val="es-ES"/>
        </w:rPr>
        <w:t>Consejo de Estado. Sala Plena. Auto del 15 de marzo de 2022. Consejera Ponente: Rocío Araujo Oñate. Expediente: 62.003. En esta decisión, en efecto, se decidió: “REVOCAR los numerales primero y tercero de la parte resolutiva del auto proferido el 6 de agosto de 2019, que suspendieron de manera provisional los efectos del inciso segundo del artículo 1 y del inciso segundo del artículo 3 del Decreto 92 de 2017, respectivamente, y en su lugar NEGAR la medida cautelar”, y “CONFIRMAR LA SUSPENSIÓN PROVISIONAL de los literales a) y c) del artículo segundo y el inciso quinto de la misma norma, así como del inciso final del artículo 4 del Decreto 92 de 2017, por las razones expuestas”.</w:t>
      </w:r>
    </w:p>
    <w:p w14:paraId="7FCA69EE" w14:textId="77777777" w:rsidR="00B50930" w:rsidRPr="0086345B" w:rsidRDefault="00B50930" w:rsidP="00B50930">
      <w:pPr>
        <w:pStyle w:val="Textonotapie"/>
        <w:ind w:firstLine="708"/>
        <w:jc w:val="both"/>
        <w:rPr>
          <w:rFonts w:ascii="Verdana" w:hAnsi="Verdana" w:cs="Arial"/>
          <w:sz w:val="16"/>
          <w:szCs w:val="16"/>
          <w:lang w:val="es-ES"/>
        </w:rPr>
      </w:pPr>
    </w:p>
  </w:footnote>
  <w:footnote w:id="10">
    <w:p w14:paraId="134EBAFC" w14:textId="77777777" w:rsidR="00B50930" w:rsidRPr="0086345B" w:rsidRDefault="00B50930" w:rsidP="00B50930">
      <w:pPr>
        <w:spacing w:after="0" w:line="240" w:lineRule="auto"/>
        <w:ind w:firstLine="708"/>
        <w:jc w:val="both"/>
        <w:textAlignment w:val="baseline"/>
        <w:rPr>
          <w:rFonts w:ascii="Verdana" w:hAnsi="Verdana" w:cs="Arial"/>
          <w:sz w:val="16"/>
          <w:szCs w:val="16"/>
        </w:rPr>
      </w:pPr>
      <w:r w:rsidRPr="0086345B">
        <w:rPr>
          <w:rStyle w:val="Refdenotaalpie"/>
          <w:rFonts w:ascii="Verdana" w:hAnsi="Verdana" w:cs="Arial"/>
          <w:sz w:val="16"/>
          <w:szCs w:val="16"/>
        </w:rPr>
        <w:footnoteRef/>
      </w:r>
      <w:r w:rsidRPr="0086345B">
        <w:rPr>
          <w:rFonts w:ascii="Verdana" w:hAnsi="Verdana" w:cs="Arial"/>
          <w:sz w:val="16"/>
          <w:szCs w:val="16"/>
        </w:rPr>
        <w:t xml:space="preserve"> </w:t>
      </w:r>
      <w:r w:rsidRPr="0086345B">
        <w:rPr>
          <w:rFonts w:ascii="Verdana" w:eastAsia="Calibri" w:hAnsi="Verdana" w:cs="Arial"/>
          <w:color w:val="000000"/>
          <w:sz w:val="16"/>
          <w:szCs w:val="16"/>
          <w:lang w:val="es-MX"/>
        </w:rPr>
        <w:t>E</w:t>
      </w:r>
      <w:r w:rsidRPr="0086345B">
        <w:rPr>
          <w:rFonts w:ascii="Verdana" w:eastAsia="Calibri" w:hAnsi="Verdana" w:cs="Arial"/>
          <w:sz w:val="16"/>
          <w:szCs w:val="16"/>
          <w:lang w:val="es-ES_tradnl" w:eastAsia="es-ES_tradnl"/>
        </w:rPr>
        <w:t xml:space="preserve">n armonía con lo anterior, las siguientes son las conclusiones que dedujo esta Agencia en relación con los </w:t>
      </w:r>
      <w:r w:rsidRPr="0086345B">
        <w:rPr>
          <w:rFonts w:ascii="Verdana" w:eastAsia="Calibri" w:hAnsi="Verdana" w:cs="Arial"/>
          <w:i/>
          <w:iCs/>
          <w:sz w:val="16"/>
          <w:szCs w:val="16"/>
          <w:lang w:val="es-ES_tradnl" w:eastAsia="es-ES_tradnl"/>
        </w:rPr>
        <w:t>contratos de colaboración</w:t>
      </w:r>
      <w:r w:rsidRPr="0086345B">
        <w:rPr>
          <w:rFonts w:ascii="Verdana" w:eastAsia="Calibri" w:hAnsi="Verdana" w:cs="Arial"/>
          <w:sz w:val="16"/>
          <w:szCs w:val="16"/>
          <w:lang w:val="es-ES_tradnl" w:eastAsia="es-ES_tradnl"/>
        </w:rPr>
        <w:t>, tal como se expresa, por ejemplo, en el concepto C-529 del 11 de agosto de 2020: “</w:t>
      </w:r>
      <w:r w:rsidRPr="0086345B">
        <w:rPr>
          <w:rFonts w:ascii="Verdana" w:eastAsia="Calibri" w:hAnsi="Verdana" w:cs="Arial"/>
          <w:color w:val="000000"/>
          <w:sz w:val="16"/>
          <w:szCs w:val="16"/>
          <w:lang w:val="es-MX"/>
        </w:rPr>
        <w:t>En este orden de ideas, la contratación con entidades sin ánimo de lucro se sigue rigiendo por el Decreto 092 de 2017, salvo lo que fue objeto de suspensión provisional. Por lo tanto, las entidades públicas que desean celebrar contratos de interés público, en los términos del artículo 355 de la Constitución Política, deben contratar con ESAL de reconocida idoneidad, como ya se dijo, realizando un proceso competitivo, y teniendo en cuenta, se insiste, las siguientes características: i) no se debe condicionar el proceso de contratación a la inexistencia de oferta en el mercado de bienes y servicios; ii) tampoco se debe condicionar a que la contratación con las ESAL garantice la optimización de los recursos públicos en términos de eficiencia, eficacia, economía y manejo del riesgo; iii) el objeto del contrato debe estar acorde con el plan nacional o seccional de desarrollo; iv) no se puede condicionar únicamente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iii); y v) el contrato no establezca una relación conmutativa en el cual haya una contraprestación directa a favor de la entidad, ni instrucciones precisas dadas por esta al contratista para cumplir con el objeto del contrato”.</w:t>
      </w:r>
    </w:p>
  </w:footnote>
  <w:footnote w:id="11">
    <w:p w14:paraId="4E682233" w14:textId="77777777" w:rsidR="00B50930" w:rsidRPr="0086345B" w:rsidRDefault="00B50930" w:rsidP="00B50930">
      <w:pPr>
        <w:pStyle w:val="Textonotapie"/>
        <w:ind w:firstLine="708"/>
        <w:jc w:val="both"/>
        <w:rPr>
          <w:rFonts w:ascii="Verdana" w:hAnsi="Verdana" w:cs="Arial"/>
          <w:color w:val="000000"/>
          <w:sz w:val="16"/>
          <w:szCs w:val="16"/>
        </w:rPr>
      </w:pPr>
      <w:r w:rsidRPr="0086345B">
        <w:rPr>
          <w:rStyle w:val="Refdenotaalpie"/>
          <w:rFonts w:ascii="Verdana" w:hAnsi="Verdana" w:cs="Arial"/>
          <w:color w:val="000000"/>
          <w:sz w:val="16"/>
          <w:szCs w:val="16"/>
        </w:rPr>
        <w:footnoteRef/>
      </w:r>
      <w:r w:rsidRPr="0086345B">
        <w:rPr>
          <w:rFonts w:ascii="Verdana" w:hAnsi="Verdana" w:cs="Arial"/>
          <w:color w:val="000000"/>
          <w:sz w:val="16"/>
          <w:szCs w:val="16"/>
        </w:rPr>
        <w:t xml:space="preserve"> Decreto 092, artículo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footnote>
  <w:footnote w:id="12">
    <w:p w14:paraId="0BF4D167" w14:textId="77777777" w:rsidR="00B50930" w:rsidRPr="00FD0A03" w:rsidRDefault="00B50930" w:rsidP="00B50930">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Artículo 17 de la Ley 1150 de 2007</w:t>
      </w:r>
    </w:p>
  </w:footnote>
  <w:footnote w:id="13">
    <w:p w14:paraId="4A120BD9" w14:textId="77777777" w:rsidR="00B50930" w:rsidRPr="00FD0A03" w:rsidRDefault="00B50930" w:rsidP="00B50930">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Artículo 21 de la Ley 1150 de 2007</w:t>
      </w:r>
    </w:p>
  </w:footnote>
  <w:footnote w:id="14">
    <w:p w14:paraId="315D5CD9" w14:textId="77777777" w:rsidR="00B50930" w:rsidRPr="00FD0A03" w:rsidRDefault="00B50930" w:rsidP="00B50930">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Artículos 83 a 86 de la Ley 1474 de 2011</w:t>
      </w:r>
    </w:p>
  </w:footnote>
  <w:footnote w:id="15">
    <w:p w14:paraId="65BFC294" w14:textId="77777777" w:rsidR="00B50930" w:rsidRPr="00FD0A03" w:rsidRDefault="00B50930" w:rsidP="00B50930">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Consejo de Estado. Sección Tercera –Subsección C. Sentencia del 27 de noviembre de 2017.</w:t>
      </w:r>
      <w:r w:rsidRPr="003D494E">
        <w:rPr>
          <w:rFonts w:ascii="Verdana" w:hAnsi="Verdana"/>
          <w:sz w:val="16"/>
          <w:szCs w:val="16"/>
          <w:lang w:val="es-CO"/>
        </w:rPr>
        <w:t xml:space="preserve"> Exp. 51.802</w:t>
      </w:r>
      <w:r>
        <w:rPr>
          <w:rFonts w:ascii="Verdana" w:hAnsi="Verdana"/>
          <w:sz w:val="16"/>
          <w:szCs w:val="16"/>
          <w:lang w:val="es-CO"/>
        </w:rPr>
        <w:t>.</w:t>
      </w:r>
      <w:r>
        <w:rPr>
          <w:rFonts w:ascii="Verdana" w:hAnsi="Verdana"/>
          <w:sz w:val="16"/>
          <w:szCs w:val="16"/>
        </w:rPr>
        <w:t xml:space="preserve"> C</w:t>
      </w:r>
      <w:r w:rsidRPr="00FD0A03">
        <w:rPr>
          <w:rFonts w:ascii="Verdana" w:hAnsi="Verdana"/>
          <w:sz w:val="16"/>
          <w:szCs w:val="16"/>
        </w:rPr>
        <w:t>.P. Jaime Orlando Santofimio</w:t>
      </w:r>
      <w:r>
        <w:rPr>
          <w:rFonts w:ascii="Verdana" w:hAnsi="Verdana"/>
          <w:sz w:val="16"/>
          <w:szCs w:val="16"/>
        </w:rPr>
        <w:t xml:space="preserve"> Gamboa</w:t>
      </w:r>
      <w:r w:rsidRPr="00FD0A03">
        <w:rPr>
          <w:rFonts w:ascii="Verdana" w:hAnsi="Verdana"/>
          <w:sz w:val="16"/>
          <w:szCs w:val="16"/>
        </w:rPr>
        <w:t xml:space="preserve">. </w:t>
      </w:r>
    </w:p>
  </w:footnote>
  <w:footnote w:id="16">
    <w:p w14:paraId="08988821" w14:textId="77777777" w:rsidR="00B50930" w:rsidRPr="00FD0A03" w:rsidRDefault="00B50930" w:rsidP="00B50930">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Artículo 83 de la Ley 1474 de 2011</w:t>
      </w:r>
    </w:p>
  </w:footnote>
  <w:footnote w:id="17">
    <w:p w14:paraId="5EAAFDBA" w14:textId="77777777" w:rsidR="00B50930" w:rsidRPr="00FD0A03" w:rsidRDefault="00B50930" w:rsidP="00B50930">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 excepción de la interventoría del contrato de obra adjudicado por licitación pública que es obligatoria según el numeral 1° del artículo 32 de la Ley 80 de 1993.</w:t>
      </w:r>
    </w:p>
  </w:footnote>
  <w:footnote w:id="18">
    <w:p w14:paraId="60D4BB0F" w14:textId="77777777" w:rsidR="00B50930" w:rsidRPr="0087460F" w:rsidRDefault="00B50930" w:rsidP="00B50930">
      <w:pPr>
        <w:pStyle w:val="Textonotapie"/>
        <w:adjustRightInd w:val="0"/>
        <w:snapToGrid w:val="0"/>
        <w:ind w:firstLine="709"/>
        <w:jc w:val="both"/>
        <w:rPr>
          <w:rFonts w:ascii="Verdana" w:hAnsi="Verdana" w:cs="Arial"/>
          <w:color w:val="161616"/>
          <w:sz w:val="16"/>
          <w:szCs w:val="16"/>
        </w:rPr>
      </w:pPr>
      <w:r w:rsidRPr="00FD0A03">
        <w:rPr>
          <w:rStyle w:val="Refdenotaalpie"/>
          <w:rFonts w:ascii="Verdana" w:hAnsi="Verdana"/>
          <w:sz w:val="16"/>
          <w:szCs w:val="16"/>
        </w:rPr>
        <w:footnoteRef/>
      </w:r>
      <w:r w:rsidRPr="00FD0A03">
        <w:rPr>
          <w:rFonts w:ascii="Verdana" w:hAnsi="Verdana"/>
          <w:sz w:val="16"/>
          <w:szCs w:val="16"/>
        </w:rPr>
        <w:t xml:space="preserve"> </w:t>
      </w:r>
      <w:r w:rsidRPr="00FD0A03">
        <w:rPr>
          <w:rFonts w:ascii="Verdana" w:hAnsi="Verdana" w:cs="Arial"/>
          <w:color w:val="161616"/>
          <w:sz w:val="16"/>
          <w:szCs w:val="16"/>
        </w:rPr>
        <w:t>“Son también contratos de consultoría los que tienen por objeto la interventoría […]”</w:t>
      </w:r>
    </w:p>
  </w:footnote>
  <w:footnote w:id="19">
    <w:p w14:paraId="5C191D44" w14:textId="77777777" w:rsidR="00B50930" w:rsidRPr="009B0144" w:rsidRDefault="00B50930" w:rsidP="00B50930">
      <w:pPr>
        <w:pStyle w:val="Textonotapie"/>
        <w:ind w:firstLine="709"/>
        <w:jc w:val="both"/>
        <w:rPr>
          <w:rFonts w:ascii="Verdana" w:hAnsi="Verdana"/>
          <w:sz w:val="16"/>
          <w:szCs w:val="16"/>
          <w:lang w:val="es-CO"/>
        </w:rPr>
      </w:pPr>
      <w:r w:rsidRPr="009B0144">
        <w:rPr>
          <w:rStyle w:val="Refdenotaalpie"/>
          <w:rFonts w:ascii="Verdana" w:hAnsi="Verdana"/>
          <w:sz w:val="16"/>
          <w:szCs w:val="16"/>
        </w:rPr>
        <w:footnoteRef/>
      </w:r>
      <w:r w:rsidRPr="009B0144">
        <w:rPr>
          <w:rFonts w:ascii="Verdana" w:hAnsi="Verdana"/>
          <w:sz w:val="16"/>
          <w:szCs w:val="16"/>
        </w:rPr>
        <w:t xml:space="preserve"> </w:t>
      </w:r>
      <w:r w:rsidRPr="009B0144">
        <w:rPr>
          <w:rFonts w:ascii="Verdana" w:hAnsi="Verdana"/>
          <w:sz w:val="16"/>
          <w:szCs w:val="16"/>
          <w:lang w:val="es-CO"/>
        </w:rPr>
        <w:t xml:space="preserve">Ley 80 de 1993: “Artículo 26. Del principio de responsabilidad. En virtud de este principio: </w:t>
      </w:r>
    </w:p>
    <w:p w14:paraId="4A84AC58" w14:textId="77777777" w:rsidR="00B50930" w:rsidRPr="009B0144" w:rsidRDefault="00B50930" w:rsidP="00B50930">
      <w:pPr>
        <w:pStyle w:val="Textonotapie"/>
        <w:ind w:firstLine="709"/>
        <w:jc w:val="both"/>
        <w:rPr>
          <w:rFonts w:ascii="Verdana" w:hAnsi="Verdana"/>
          <w:sz w:val="16"/>
          <w:szCs w:val="16"/>
        </w:rPr>
      </w:pPr>
      <w:r w:rsidRPr="009B0144">
        <w:rPr>
          <w:rFonts w:ascii="Verdana" w:hAnsi="Verdana"/>
          <w:sz w:val="16"/>
          <w:szCs w:val="16"/>
          <w:lang w:val="es-CO"/>
        </w:rPr>
        <w:t>“1. Los servidores públicos están obligados a buscar el cumplimiento de los fines de la contratación, a vigilar la correcta ejecución del objeto contratado y a proteger los derechos de la entidad, del contratista y de los terceros que puedan verse afectados por la ejecución del contrato”.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1CC6F5F"/>
    <w:multiLevelType w:val="hybridMultilevel"/>
    <w:tmpl w:val="D2B628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756A231F"/>
    <w:multiLevelType w:val="hybridMultilevel"/>
    <w:tmpl w:val="42E84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679089576">
    <w:abstractNumId w:val="10"/>
  </w:num>
  <w:num w:numId="18" w16cid:durableId="1290623316">
    <w:abstractNumId w:val="3"/>
  </w:num>
  <w:num w:numId="19" w16cid:durableId="784039179">
    <w:abstractNumId w:val="16"/>
  </w:num>
  <w:num w:numId="20" w16cid:durableId="163174644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421F"/>
    <w:rsid w:val="00125105"/>
    <w:rsid w:val="00127233"/>
    <w:rsid w:val="0015699B"/>
    <w:rsid w:val="001A33BF"/>
    <w:rsid w:val="001E4177"/>
    <w:rsid w:val="001F0B24"/>
    <w:rsid w:val="001F7DC6"/>
    <w:rsid w:val="00203FE9"/>
    <w:rsid w:val="0022400B"/>
    <w:rsid w:val="002421BB"/>
    <w:rsid w:val="0025796E"/>
    <w:rsid w:val="002707A2"/>
    <w:rsid w:val="002951A0"/>
    <w:rsid w:val="002962BC"/>
    <w:rsid w:val="002A093D"/>
    <w:rsid w:val="002A0DD0"/>
    <w:rsid w:val="002A49AC"/>
    <w:rsid w:val="002A64FD"/>
    <w:rsid w:val="002B253C"/>
    <w:rsid w:val="002C7A84"/>
    <w:rsid w:val="002E2BF8"/>
    <w:rsid w:val="002E4FD9"/>
    <w:rsid w:val="0030657A"/>
    <w:rsid w:val="00322A85"/>
    <w:rsid w:val="00324168"/>
    <w:rsid w:val="00330834"/>
    <w:rsid w:val="003448F4"/>
    <w:rsid w:val="00366A6E"/>
    <w:rsid w:val="00374F5E"/>
    <w:rsid w:val="0037799F"/>
    <w:rsid w:val="00377E3E"/>
    <w:rsid w:val="00382933"/>
    <w:rsid w:val="003A779E"/>
    <w:rsid w:val="003D0F4D"/>
    <w:rsid w:val="003D5B0D"/>
    <w:rsid w:val="003E0499"/>
    <w:rsid w:val="003E4F80"/>
    <w:rsid w:val="003E6439"/>
    <w:rsid w:val="003F3941"/>
    <w:rsid w:val="00406575"/>
    <w:rsid w:val="00414C74"/>
    <w:rsid w:val="0042722E"/>
    <w:rsid w:val="0044528D"/>
    <w:rsid w:val="00466E39"/>
    <w:rsid w:val="00485824"/>
    <w:rsid w:val="004969E2"/>
    <w:rsid w:val="004A1847"/>
    <w:rsid w:val="004A305D"/>
    <w:rsid w:val="004F21C4"/>
    <w:rsid w:val="004F685F"/>
    <w:rsid w:val="005566E8"/>
    <w:rsid w:val="00574867"/>
    <w:rsid w:val="00591460"/>
    <w:rsid w:val="005A65E0"/>
    <w:rsid w:val="005C3777"/>
    <w:rsid w:val="005C4CBB"/>
    <w:rsid w:val="005C5CDC"/>
    <w:rsid w:val="005D476C"/>
    <w:rsid w:val="006200BF"/>
    <w:rsid w:val="006219F8"/>
    <w:rsid w:val="006302F7"/>
    <w:rsid w:val="00646B9F"/>
    <w:rsid w:val="00665D70"/>
    <w:rsid w:val="006900D9"/>
    <w:rsid w:val="00691DC9"/>
    <w:rsid w:val="00706C16"/>
    <w:rsid w:val="007340C3"/>
    <w:rsid w:val="0075235A"/>
    <w:rsid w:val="00756841"/>
    <w:rsid w:val="007649AB"/>
    <w:rsid w:val="00771D0C"/>
    <w:rsid w:val="007833AC"/>
    <w:rsid w:val="007B268C"/>
    <w:rsid w:val="007B7171"/>
    <w:rsid w:val="007C0C0F"/>
    <w:rsid w:val="007C31D6"/>
    <w:rsid w:val="007C3DC2"/>
    <w:rsid w:val="007E5497"/>
    <w:rsid w:val="00806F5F"/>
    <w:rsid w:val="00820278"/>
    <w:rsid w:val="008258C9"/>
    <w:rsid w:val="00844AE9"/>
    <w:rsid w:val="00851270"/>
    <w:rsid w:val="00867F95"/>
    <w:rsid w:val="008843B6"/>
    <w:rsid w:val="00891928"/>
    <w:rsid w:val="008A446D"/>
    <w:rsid w:val="008B1909"/>
    <w:rsid w:val="008B25F1"/>
    <w:rsid w:val="008D180B"/>
    <w:rsid w:val="008F0EA7"/>
    <w:rsid w:val="00913733"/>
    <w:rsid w:val="00923EEF"/>
    <w:rsid w:val="009419F9"/>
    <w:rsid w:val="0095685E"/>
    <w:rsid w:val="00961B09"/>
    <w:rsid w:val="00965334"/>
    <w:rsid w:val="0097093E"/>
    <w:rsid w:val="009A0DFA"/>
    <w:rsid w:val="009A1C6F"/>
    <w:rsid w:val="009A5AD7"/>
    <w:rsid w:val="009B2D26"/>
    <w:rsid w:val="009C71FA"/>
    <w:rsid w:val="009C72E7"/>
    <w:rsid w:val="009C7F7E"/>
    <w:rsid w:val="009D3058"/>
    <w:rsid w:val="009F3A13"/>
    <w:rsid w:val="009F569E"/>
    <w:rsid w:val="00A122D3"/>
    <w:rsid w:val="00A14468"/>
    <w:rsid w:val="00A17F13"/>
    <w:rsid w:val="00A20739"/>
    <w:rsid w:val="00A23AF9"/>
    <w:rsid w:val="00A33C78"/>
    <w:rsid w:val="00AB0ADB"/>
    <w:rsid w:val="00AF223C"/>
    <w:rsid w:val="00B00C0E"/>
    <w:rsid w:val="00B01B1A"/>
    <w:rsid w:val="00B0381D"/>
    <w:rsid w:val="00B44A47"/>
    <w:rsid w:val="00B50930"/>
    <w:rsid w:val="00B72CD3"/>
    <w:rsid w:val="00B72FFF"/>
    <w:rsid w:val="00BC3D36"/>
    <w:rsid w:val="00BD54A6"/>
    <w:rsid w:val="00BD7F72"/>
    <w:rsid w:val="00BF7425"/>
    <w:rsid w:val="00C03868"/>
    <w:rsid w:val="00C048B9"/>
    <w:rsid w:val="00C04FB3"/>
    <w:rsid w:val="00C11D8B"/>
    <w:rsid w:val="00C15139"/>
    <w:rsid w:val="00C330EB"/>
    <w:rsid w:val="00C50D69"/>
    <w:rsid w:val="00C5365C"/>
    <w:rsid w:val="00C754BE"/>
    <w:rsid w:val="00C76B1C"/>
    <w:rsid w:val="00C925AC"/>
    <w:rsid w:val="00CB6357"/>
    <w:rsid w:val="00CC1B26"/>
    <w:rsid w:val="00CE3818"/>
    <w:rsid w:val="00D0616C"/>
    <w:rsid w:val="00D173FF"/>
    <w:rsid w:val="00D361FD"/>
    <w:rsid w:val="00D423A2"/>
    <w:rsid w:val="00D44E26"/>
    <w:rsid w:val="00D520D8"/>
    <w:rsid w:val="00D62793"/>
    <w:rsid w:val="00D63AC2"/>
    <w:rsid w:val="00D7383B"/>
    <w:rsid w:val="00D7788A"/>
    <w:rsid w:val="00DA231B"/>
    <w:rsid w:val="00DC39FC"/>
    <w:rsid w:val="00DF5254"/>
    <w:rsid w:val="00E02524"/>
    <w:rsid w:val="00E16408"/>
    <w:rsid w:val="00E20894"/>
    <w:rsid w:val="00E245AB"/>
    <w:rsid w:val="00E2764C"/>
    <w:rsid w:val="00E27F2E"/>
    <w:rsid w:val="00E50AFE"/>
    <w:rsid w:val="00E51574"/>
    <w:rsid w:val="00E51799"/>
    <w:rsid w:val="00E75C92"/>
    <w:rsid w:val="00E771DC"/>
    <w:rsid w:val="00E8772A"/>
    <w:rsid w:val="00E90F6B"/>
    <w:rsid w:val="00E92C27"/>
    <w:rsid w:val="00EA0E3D"/>
    <w:rsid w:val="00EC38A7"/>
    <w:rsid w:val="00EE1AA8"/>
    <w:rsid w:val="00EF00A9"/>
    <w:rsid w:val="00F23FEA"/>
    <w:rsid w:val="00F31EDC"/>
    <w:rsid w:val="00F367FD"/>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uiPriority w:val="99"/>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C31D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C31D6"/>
    <w:rPr>
      <w:rFonts w:ascii="Geomanist Light" w:hAnsi="Geomanist Light"/>
      <w:lang w:val="es-ES"/>
    </w:rPr>
  </w:style>
  <w:style w:type="paragraph" w:styleId="Textoindependiente">
    <w:name w:val="Body Text"/>
    <w:basedOn w:val="Normal"/>
    <w:link w:val="TextoindependienteCar"/>
    <w:uiPriority w:val="1"/>
    <w:qFormat/>
    <w:rsid w:val="007C31D6"/>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7C31D6"/>
    <w:rPr>
      <w:rFonts w:ascii="Verdana" w:eastAsia="Verdana" w:hAnsi="Verdana" w:cs="Verdana"/>
      <w:lang w:val="es-ES"/>
    </w:rPr>
  </w:style>
  <w:style w:type="character" w:customStyle="1" w:styleId="baj">
    <w:name w:val="b_aj"/>
    <w:basedOn w:val="Fuentedeprrafopredeter"/>
    <w:rsid w:val="00AF223C"/>
  </w:style>
  <w:style w:type="character" w:customStyle="1" w:styleId="NormalWebCar">
    <w:name w:val="Normal (Web) Car"/>
    <w:link w:val="NormalWeb"/>
    <w:uiPriority w:val="99"/>
    <w:locked/>
    <w:rsid w:val="00AF223C"/>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www.colombiacompra.gov.co/archivos/manual/guia-para-la-contratacion-con-entidades-sin-animo-de-lucro-y-de-reconocida-idoneidad"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valentinabermudez96@hotmail.com"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forms.office.com/r/pPHyWVs2SZ"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BE160574-9C58-484C-88A7-FC8D66EF22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25</Pages>
  <Words>8722</Words>
  <Characters>47977</Characters>
  <Application>Microsoft Office Word</Application>
  <DocSecurity>0</DocSecurity>
  <Lines>399</Lines>
  <Paragraphs>113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2026-04-13T01:37:00Z</dcterms:created>
  <dcterms:modified xsi:type="dcterms:W3CDTF">2026-04-28T18:00:00Z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