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36664F" w14:textId="77777777" w:rsidR="00C41BA8" w:rsidRPr="00C41BA8" w:rsidRDefault="00C41BA8" w:rsidP="00C41BA8">
      <w:pPr>
        <w:spacing w:after="0" w:line="240" w:lineRule="auto"/>
        <w:jc w:val="both"/>
        <w:rPr>
          <w:rFonts w:ascii="Verdana" w:eastAsia="Verdana" w:hAnsi="Verdana" w:cs="Verdana"/>
          <w:b/>
          <w:bCs/>
          <w:color w:val="000000" w:themeColor="text1"/>
        </w:rPr>
      </w:pPr>
      <w:bookmarkStart w:id="0" w:name="_Hlk143780582"/>
      <w:r w:rsidRPr="00C41BA8">
        <w:rPr>
          <w:rFonts w:ascii="Verdana" w:eastAsia="Verdana" w:hAnsi="Verdana" w:cs="Verdana"/>
          <w:b/>
          <w:bCs/>
          <w:color w:val="000000" w:themeColor="text1"/>
        </w:rPr>
        <w:t xml:space="preserve">LEY DE GARANTÍAS ELECTORALES – Propósito </w:t>
      </w:r>
    </w:p>
    <w:p w14:paraId="05A93CDB" w14:textId="77777777" w:rsidR="00C41BA8" w:rsidRDefault="00C41BA8" w:rsidP="00C41BA8">
      <w:pPr>
        <w:spacing w:after="0" w:line="240" w:lineRule="auto"/>
        <w:jc w:val="both"/>
        <w:rPr>
          <w:rFonts w:ascii="Verdana" w:eastAsia="Verdana" w:hAnsi="Verdana" w:cs="Verdana"/>
          <w:color w:val="000000" w:themeColor="text1"/>
        </w:rPr>
      </w:pPr>
    </w:p>
    <w:p w14:paraId="2D344B15" w14:textId="77777777" w:rsidR="00C41BA8" w:rsidRDefault="00C41BA8" w:rsidP="00C41BA8">
      <w:pPr>
        <w:tabs>
          <w:tab w:val="left" w:pos="426"/>
        </w:tabs>
        <w:spacing w:after="0" w:line="240" w:lineRule="auto"/>
        <w:jc w:val="both"/>
        <w:rPr>
          <w:rFonts w:ascii="Verdana" w:eastAsia="Calibri" w:hAnsi="Verdana" w:cs="Arial"/>
          <w:noProof/>
          <w:sz w:val="20"/>
          <w:szCs w:val="20"/>
          <w:lang w:val="es-ES_tradnl"/>
        </w:rPr>
      </w:pPr>
      <w:r w:rsidRPr="001A5F15">
        <w:rPr>
          <w:rFonts w:ascii="Verdana" w:eastAsia="Times New Roman" w:hAnsi="Verdana" w:cs="Arial"/>
          <w:bCs/>
          <w:sz w:val="20"/>
          <w:szCs w:val="20"/>
          <w:lang w:eastAsia="es-CO"/>
        </w:rPr>
        <w:t>Ley 996 de 2005 […]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1A5F15">
        <w:rPr>
          <w:rFonts w:ascii="Verdana" w:eastAsia="Calibri" w:hAnsi="Verdana" w:cs="Arial"/>
          <w:noProof/>
          <w:sz w:val="20"/>
          <w:szCs w:val="20"/>
          <w:lang w:val="es-ES_tradnl"/>
        </w:rPr>
        <w:t xml:space="preserve"> </w:t>
      </w:r>
    </w:p>
    <w:p w14:paraId="63FD3261" w14:textId="77777777" w:rsidR="00C41BA8" w:rsidRPr="00C41BA8" w:rsidRDefault="00C41BA8" w:rsidP="00C41BA8">
      <w:pPr>
        <w:spacing w:after="0" w:line="240" w:lineRule="auto"/>
        <w:jc w:val="both"/>
        <w:rPr>
          <w:rFonts w:ascii="Verdana" w:eastAsia="Verdana" w:hAnsi="Verdana" w:cs="Verdana"/>
          <w:color w:val="000000" w:themeColor="text1"/>
          <w:lang w:val="es-ES_tradnl"/>
        </w:rPr>
      </w:pPr>
    </w:p>
    <w:p w14:paraId="6B659706" w14:textId="399A919E" w:rsidR="00C41BA8" w:rsidRPr="00C41BA8" w:rsidRDefault="00C41BA8" w:rsidP="00C41BA8">
      <w:pPr>
        <w:spacing w:after="0" w:line="240" w:lineRule="auto"/>
        <w:jc w:val="both"/>
        <w:rPr>
          <w:rFonts w:ascii="Verdana" w:eastAsia="Verdana" w:hAnsi="Verdana" w:cs="Verdana"/>
          <w:b/>
          <w:bCs/>
          <w:color w:val="000000" w:themeColor="text1"/>
        </w:rPr>
      </w:pPr>
      <w:r w:rsidRPr="00C41BA8">
        <w:rPr>
          <w:rFonts w:ascii="Verdana" w:eastAsia="Verdana" w:hAnsi="Verdana" w:cs="Verdana"/>
          <w:b/>
          <w:bCs/>
          <w:color w:val="000000" w:themeColor="text1"/>
        </w:rPr>
        <w:t xml:space="preserve">LEY DE GARANTÍAS ELECTORALES – Prohibiciones – Restricciones </w:t>
      </w:r>
    </w:p>
    <w:p w14:paraId="30B24203" w14:textId="77777777" w:rsidR="00C41BA8" w:rsidRDefault="00C41BA8" w:rsidP="00C41BA8">
      <w:pPr>
        <w:spacing w:after="0" w:line="240" w:lineRule="auto"/>
        <w:jc w:val="both"/>
        <w:rPr>
          <w:rFonts w:ascii="Verdana" w:eastAsia="Verdana" w:hAnsi="Verdana" w:cs="Verdana"/>
          <w:color w:val="000000" w:themeColor="text1"/>
        </w:rPr>
      </w:pPr>
    </w:p>
    <w:p w14:paraId="0E822AB3" w14:textId="77777777" w:rsidR="00C41BA8" w:rsidRDefault="00C41BA8" w:rsidP="00C41BA8">
      <w:pPr>
        <w:tabs>
          <w:tab w:val="left" w:pos="426"/>
        </w:tabs>
        <w:spacing w:after="0" w:line="240" w:lineRule="auto"/>
        <w:jc w:val="both"/>
        <w:rPr>
          <w:rFonts w:ascii="Verdana" w:eastAsia="Times New Roman" w:hAnsi="Verdana" w:cs="Arial"/>
          <w:bCs/>
          <w:sz w:val="20"/>
          <w:szCs w:val="20"/>
          <w:lang w:eastAsia="es-CO"/>
        </w:rPr>
      </w:pPr>
      <w:r>
        <w:rPr>
          <w:rFonts w:ascii="Verdana" w:eastAsia="Times New Roman" w:hAnsi="Verdana" w:cs="Arial"/>
          <w:bCs/>
          <w:sz w:val="20"/>
          <w:szCs w:val="20"/>
          <w:lang w:eastAsia="es-CO"/>
        </w:rPr>
        <w:t xml:space="preserve">[…] </w:t>
      </w:r>
      <w:r w:rsidRPr="00BD7D83">
        <w:rPr>
          <w:rFonts w:ascii="Verdana" w:eastAsia="Times New Roman" w:hAnsi="Verdana" w:cs="Arial"/>
          <w:bCs/>
          <w:sz w:val="20"/>
          <w:szCs w:val="20"/>
          <w:lang w:eastAsia="es-CO"/>
        </w:rPr>
        <w:t>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w:t>
      </w:r>
    </w:p>
    <w:p w14:paraId="32ACC0DD" w14:textId="77777777" w:rsidR="00C41BA8" w:rsidRDefault="00C41BA8" w:rsidP="00C41BA8">
      <w:pPr>
        <w:tabs>
          <w:tab w:val="left" w:pos="426"/>
        </w:tabs>
        <w:spacing w:after="0" w:line="240" w:lineRule="auto"/>
        <w:jc w:val="both"/>
        <w:rPr>
          <w:rFonts w:ascii="Verdana" w:eastAsia="Times New Roman" w:hAnsi="Verdana" w:cs="Arial"/>
          <w:bCs/>
          <w:sz w:val="20"/>
          <w:szCs w:val="20"/>
          <w:lang w:eastAsia="es-CO"/>
        </w:rPr>
      </w:pPr>
    </w:p>
    <w:p w14:paraId="286F9BBA" w14:textId="77777777" w:rsidR="00C41BA8" w:rsidRDefault="00C41BA8" w:rsidP="00C41BA8">
      <w:pPr>
        <w:tabs>
          <w:tab w:val="left" w:pos="426"/>
        </w:tabs>
        <w:spacing w:after="0" w:line="240" w:lineRule="auto"/>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 xml:space="preserve">[…] </w:t>
      </w:r>
    </w:p>
    <w:p w14:paraId="5CB6064F" w14:textId="77777777" w:rsidR="00C41BA8" w:rsidRDefault="00C41BA8" w:rsidP="00C41BA8">
      <w:pPr>
        <w:tabs>
          <w:tab w:val="left" w:pos="426"/>
        </w:tabs>
        <w:spacing w:after="0" w:line="240" w:lineRule="auto"/>
        <w:jc w:val="both"/>
        <w:rPr>
          <w:rFonts w:ascii="Verdana" w:eastAsia="Arial" w:hAnsi="Verdana" w:cs="Arial"/>
          <w:sz w:val="20"/>
          <w:szCs w:val="20"/>
          <w:lang w:val="es-ES" w:eastAsia="es-ES" w:bidi="es-ES"/>
        </w:rPr>
      </w:pPr>
    </w:p>
    <w:p w14:paraId="4E1CF970" w14:textId="77777777" w:rsidR="00C41BA8" w:rsidRDefault="00C41BA8" w:rsidP="00C41BA8">
      <w:pPr>
        <w:tabs>
          <w:tab w:val="left" w:pos="426"/>
        </w:tabs>
        <w:spacing w:after="0" w:line="240" w:lineRule="auto"/>
        <w:jc w:val="both"/>
        <w:rPr>
          <w:rFonts w:ascii="Verdana" w:eastAsia="Arial" w:hAnsi="Verdana" w:cs="Arial"/>
          <w:sz w:val="20"/>
          <w:szCs w:val="20"/>
          <w:lang w:val="es-ES" w:eastAsia="es-ES" w:bidi="es-ES"/>
        </w:rPr>
      </w:pPr>
      <w:r w:rsidRPr="00BD7D83">
        <w:rPr>
          <w:rFonts w:ascii="Verdana" w:eastAsia="Arial" w:hAnsi="Verdana" w:cs="Arial"/>
          <w:sz w:val="20"/>
          <w:szCs w:val="20"/>
          <w:lang w:val="es-ES" w:eastAsia="es-ES" w:bidi="es-ES"/>
        </w:rPr>
        <w:t>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r>
        <w:rPr>
          <w:rFonts w:ascii="Verdana" w:eastAsia="Arial" w:hAnsi="Verdana" w:cs="Arial"/>
          <w:sz w:val="20"/>
          <w:szCs w:val="20"/>
          <w:lang w:val="es-ES" w:eastAsia="es-ES" w:bidi="es-ES"/>
        </w:rPr>
        <w:t>.</w:t>
      </w:r>
    </w:p>
    <w:p w14:paraId="489A1760" w14:textId="77777777" w:rsidR="00C41BA8" w:rsidRDefault="00C41BA8" w:rsidP="00C41BA8">
      <w:pPr>
        <w:tabs>
          <w:tab w:val="left" w:pos="426"/>
        </w:tabs>
        <w:spacing w:after="0" w:line="240" w:lineRule="auto"/>
        <w:jc w:val="both"/>
        <w:rPr>
          <w:rFonts w:ascii="Verdana" w:eastAsia="Arial" w:hAnsi="Verdana" w:cs="Arial"/>
          <w:sz w:val="20"/>
          <w:szCs w:val="20"/>
          <w:lang w:val="es-ES" w:eastAsia="es-ES" w:bidi="es-ES"/>
        </w:rPr>
      </w:pPr>
    </w:p>
    <w:p w14:paraId="5A7FA7F9" w14:textId="77777777" w:rsidR="00C41BA8" w:rsidRPr="00BD7D83" w:rsidRDefault="00C41BA8" w:rsidP="00C41BA8">
      <w:pPr>
        <w:tabs>
          <w:tab w:val="left" w:pos="426"/>
        </w:tabs>
        <w:spacing w:after="0" w:line="240" w:lineRule="auto"/>
        <w:jc w:val="both"/>
        <w:rPr>
          <w:rFonts w:ascii="Verdana" w:eastAsia="Times New Roman" w:hAnsi="Verdana" w:cs="Arial"/>
          <w:bCs/>
          <w:sz w:val="20"/>
          <w:szCs w:val="20"/>
          <w:lang w:eastAsia="es-CO"/>
        </w:rPr>
      </w:pPr>
      <w:r w:rsidRPr="00BD7D83">
        <w:rPr>
          <w:rFonts w:ascii="Verdana" w:eastAsia="Calibri" w:hAnsi="Verdana" w:cs="Arial"/>
          <w:sz w:val="20"/>
          <w:szCs w:val="20"/>
        </w:rPr>
        <w:t xml:space="preserve">Por un lado, </w:t>
      </w:r>
      <w:r w:rsidRPr="00BD7D83">
        <w:rPr>
          <w:rFonts w:ascii="Verdana" w:eastAsia="Calibri" w:hAnsi="Verdana" w:cs="Arial"/>
          <w:i/>
          <w:sz w:val="20"/>
          <w:szCs w:val="20"/>
        </w:rPr>
        <w:t>el artículo 33</w:t>
      </w:r>
      <w:r w:rsidRPr="00BD7D83">
        <w:rPr>
          <w:rFonts w:ascii="Verdana" w:eastAsia="Calibri" w:hAnsi="Verdana" w:cs="Arial"/>
          <w:sz w:val="20"/>
          <w:szCs w:val="20"/>
        </w:rPr>
        <w:t xml:space="preserve"> de la Ley 996 de 2005 prohíbe “</w:t>
      </w:r>
      <w:r w:rsidRPr="00BD7D83">
        <w:rPr>
          <w:rFonts w:ascii="Verdana" w:eastAsia="Calibri" w:hAnsi="Verdana" w:cs="Arial"/>
          <w:bCs/>
          <w:sz w:val="20"/>
          <w:szCs w:val="20"/>
        </w:rPr>
        <w:t xml:space="preserve">(…) </w:t>
      </w:r>
      <w:r w:rsidRPr="00BD7D83">
        <w:rPr>
          <w:rFonts w:ascii="Verdana" w:eastAsia="Calibri" w:hAnsi="Verdana" w:cs="Arial"/>
          <w:sz w:val="20"/>
          <w:szCs w:val="20"/>
        </w:rPr>
        <w:t>la contratación directa por parte de todos los entes del Estado</w:t>
      </w:r>
      <w:r w:rsidRPr="00BD7D83">
        <w:rPr>
          <w:rFonts w:ascii="Verdana" w:eastAsia="Calibri" w:hAnsi="Verdana" w:cs="Arial"/>
          <w:bCs/>
          <w:sz w:val="20"/>
          <w:szCs w:val="20"/>
        </w:rPr>
        <w:t>”</w:t>
      </w:r>
      <w:r w:rsidRPr="00BD7D83">
        <w:rPr>
          <w:rFonts w:ascii="Verdana" w:eastAsia="Calibri" w:hAnsi="Verdana" w:cs="Arial"/>
          <w:sz w:val="20"/>
          <w:szCs w:val="20"/>
        </w:rPr>
        <w:t xml:space="preserve"> durante los cuatro (4) meses anteriores a las elecciones presidenciales, salvo </w:t>
      </w:r>
      <w:r w:rsidRPr="00BD7D83">
        <w:rPr>
          <w:rFonts w:ascii="Verdana" w:eastAsia="Calibri" w:hAnsi="Verdana" w:cs="Arial"/>
          <w:bCs/>
          <w:sz w:val="20"/>
          <w:szCs w:val="20"/>
        </w:rPr>
        <w:t xml:space="preserve">“(…) </w:t>
      </w:r>
      <w:r w:rsidRPr="00BD7D83">
        <w:rPr>
          <w:rFonts w:ascii="Verdana" w:eastAsia="Calibri" w:hAnsi="Verdana" w:cs="Arial"/>
          <w:sz w:val="20"/>
          <w:szCs w:val="20"/>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BD7D83">
        <w:rPr>
          <w:rFonts w:ascii="Verdana" w:eastAsia="Calibri" w:hAnsi="Verdana" w:cs="Arial"/>
          <w:bCs/>
          <w:sz w:val="20"/>
          <w:szCs w:val="20"/>
        </w:rPr>
        <w:t>”</w:t>
      </w:r>
      <w:r w:rsidRPr="00BD7D83">
        <w:rPr>
          <w:rFonts w:ascii="Verdana" w:eastAsia="Calibri" w:hAnsi="Verdana" w:cs="Arial"/>
          <w:sz w:val="20"/>
          <w:szCs w:val="20"/>
        </w:rPr>
        <w:t>.</w:t>
      </w:r>
    </w:p>
    <w:p w14:paraId="6E5BDD16" w14:textId="77777777" w:rsidR="00C41BA8" w:rsidRDefault="00C41BA8" w:rsidP="00C41BA8">
      <w:pPr>
        <w:tabs>
          <w:tab w:val="left" w:pos="426"/>
        </w:tabs>
        <w:spacing w:after="0" w:line="240" w:lineRule="auto"/>
        <w:jc w:val="both"/>
        <w:rPr>
          <w:rFonts w:ascii="Verdana" w:eastAsia="Calibri" w:hAnsi="Verdana" w:cs="Arial"/>
          <w:sz w:val="20"/>
          <w:szCs w:val="20"/>
        </w:rPr>
      </w:pPr>
    </w:p>
    <w:p w14:paraId="553D88D5" w14:textId="77777777" w:rsidR="00C41BA8" w:rsidRPr="00BD7D83" w:rsidRDefault="00C41BA8" w:rsidP="00C41BA8">
      <w:pPr>
        <w:tabs>
          <w:tab w:val="left" w:pos="426"/>
        </w:tabs>
        <w:spacing w:after="0" w:line="240" w:lineRule="auto"/>
        <w:jc w:val="both"/>
        <w:rPr>
          <w:rFonts w:ascii="Verdana" w:eastAsia="Calibri" w:hAnsi="Verdana" w:cs="Arial"/>
          <w:noProof/>
          <w:sz w:val="20"/>
          <w:szCs w:val="20"/>
        </w:rPr>
      </w:pPr>
      <w:r w:rsidRPr="00BD7D83">
        <w:rPr>
          <w:rFonts w:ascii="Verdana" w:eastAsia="Calibri" w:hAnsi="Verdana" w:cs="Arial"/>
          <w:sz w:val="20"/>
          <w:szCs w:val="20"/>
        </w:rPr>
        <w:t xml:space="preserve">Por otro lado, </w:t>
      </w:r>
      <w:r w:rsidRPr="00BD7D83">
        <w:rPr>
          <w:rFonts w:ascii="Verdana" w:eastAsia="Calibri" w:hAnsi="Verdana" w:cs="Arial"/>
          <w:i/>
          <w:sz w:val="20"/>
          <w:szCs w:val="20"/>
        </w:rPr>
        <w:t xml:space="preserve">el parágrafo del artículo 38 </w:t>
      </w:r>
      <w:r w:rsidRPr="00BD7D83">
        <w:rPr>
          <w:rFonts w:ascii="Verdana" w:eastAsia="Calibri" w:hAnsi="Verdana" w:cs="Arial"/>
          <w:sz w:val="20"/>
          <w:szCs w:val="20"/>
        </w:rPr>
        <w:t xml:space="preserve">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sidRPr="00BD7D83">
        <w:rPr>
          <w:rFonts w:ascii="Verdana" w:eastAsia="Calibri" w:hAnsi="Verdana" w:cs="Arial"/>
          <w:bCs/>
          <w:sz w:val="20"/>
          <w:szCs w:val="20"/>
        </w:rPr>
        <w:t xml:space="preserve">“(…) </w:t>
      </w:r>
      <w:r w:rsidRPr="00BD7D83">
        <w:rPr>
          <w:rFonts w:ascii="Verdana" w:eastAsia="Calibri" w:hAnsi="Verdana" w:cs="Arial"/>
          <w:sz w:val="20"/>
          <w:szCs w:val="20"/>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BD7D83">
        <w:rPr>
          <w:rFonts w:ascii="Verdana" w:eastAsia="Calibri" w:hAnsi="Verdana" w:cs="Arial"/>
          <w:bCs/>
          <w:sz w:val="20"/>
          <w:szCs w:val="20"/>
        </w:rPr>
        <w:t>”</w:t>
      </w:r>
      <w:r w:rsidRPr="00BD7D83">
        <w:rPr>
          <w:rFonts w:ascii="Verdana" w:eastAsia="Calibri" w:hAnsi="Verdana" w:cs="Arial"/>
          <w:sz w:val="20"/>
          <w:szCs w:val="20"/>
        </w:rPr>
        <w:t>.</w:t>
      </w:r>
    </w:p>
    <w:p w14:paraId="4DB40720" w14:textId="77777777" w:rsidR="00C41BA8" w:rsidRDefault="00C41BA8" w:rsidP="00C41BA8">
      <w:pPr>
        <w:spacing w:after="0" w:line="240" w:lineRule="auto"/>
        <w:jc w:val="both"/>
        <w:rPr>
          <w:rFonts w:ascii="Verdana" w:eastAsia="Verdana" w:hAnsi="Verdana" w:cs="Verdana"/>
          <w:color w:val="000000" w:themeColor="text1"/>
        </w:rPr>
      </w:pPr>
    </w:p>
    <w:p w14:paraId="185EB377" w14:textId="0A81CD6B" w:rsidR="00C41BA8" w:rsidRDefault="00C41BA8" w:rsidP="00C41BA8">
      <w:pPr>
        <w:spacing w:after="0" w:line="240" w:lineRule="auto"/>
        <w:jc w:val="both"/>
        <w:rPr>
          <w:rFonts w:ascii="Verdana" w:eastAsia="Verdana" w:hAnsi="Verdana" w:cs="Verdana"/>
          <w:b/>
          <w:bCs/>
          <w:color w:val="000000" w:themeColor="text1"/>
        </w:rPr>
      </w:pPr>
      <w:r w:rsidRPr="00C41BA8">
        <w:rPr>
          <w:rFonts w:ascii="Verdana" w:eastAsia="Verdana" w:hAnsi="Verdana" w:cs="Verdana"/>
          <w:b/>
          <w:bCs/>
          <w:color w:val="000000" w:themeColor="text1"/>
        </w:rPr>
        <w:t xml:space="preserve">LEY DE GARANTÍAS ELECTORALES – Artículo 33 – Ámbito material </w:t>
      </w:r>
    </w:p>
    <w:p w14:paraId="0B361273" w14:textId="77777777" w:rsidR="00C41BA8" w:rsidRDefault="00C41BA8" w:rsidP="00C41BA8">
      <w:pPr>
        <w:jc w:val="both"/>
        <w:rPr>
          <w:rFonts w:ascii="Verdana" w:hAnsi="Verdana" w:cs="Arial"/>
          <w:bCs/>
          <w:sz w:val="20"/>
          <w:szCs w:val="20"/>
          <w:lang w:eastAsia="x-none"/>
        </w:rPr>
      </w:pPr>
    </w:p>
    <w:p w14:paraId="2C14789C" w14:textId="0EB9DBE8" w:rsidR="00C41BA8" w:rsidRDefault="00C41BA8" w:rsidP="00C41BA8">
      <w:pPr>
        <w:spacing w:after="0" w:line="240" w:lineRule="auto"/>
        <w:jc w:val="both"/>
        <w:rPr>
          <w:rFonts w:ascii="Verdana" w:hAnsi="Verdana" w:cs="Arial"/>
          <w:bCs/>
          <w:sz w:val="20"/>
          <w:szCs w:val="20"/>
          <w:lang w:eastAsia="x-none"/>
        </w:rPr>
      </w:pPr>
      <w:r w:rsidRPr="00C8766A">
        <w:rPr>
          <w:rFonts w:ascii="Verdana" w:hAnsi="Verdana" w:cs="Arial"/>
          <w:bCs/>
          <w:sz w:val="20"/>
          <w:szCs w:val="20"/>
          <w:lang w:eastAsia="x-none"/>
        </w:rPr>
        <w:lastRenderedPageBreak/>
        <w:t xml:space="preserve">En primer lugar, el ámbito material de la prohibición contenida en el artículo 33 de la Ley 996 de 2005 está delimitado por la expresión </w:t>
      </w:r>
      <w:r w:rsidRPr="00C8766A">
        <w:rPr>
          <w:rFonts w:ascii="Verdana" w:eastAsia="Calibri" w:hAnsi="Verdana" w:cs="Arial"/>
          <w:bCs/>
          <w:i/>
          <w:iCs/>
          <w:sz w:val="20"/>
          <w:szCs w:val="20"/>
        </w:rPr>
        <w:t>“</w:t>
      </w:r>
      <w:r w:rsidRPr="00C8766A">
        <w:rPr>
          <w:rFonts w:ascii="Verdana" w:hAnsi="Verdana" w:cs="Arial"/>
          <w:bCs/>
          <w:i/>
          <w:iCs/>
          <w:sz w:val="20"/>
          <w:szCs w:val="20"/>
          <w:lang w:eastAsia="x-none"/>
        </w:rPr>
        <w:t>queda prohibida la contratación directa</w:t>
      </w:r>
      <w:r w:rsidRPr="00C8766A">
        <w:rPr>
          <w:rFonts w:ascii="Verdana" w:hAnsi="Verdana" w:cs="Arial"/>
          <w:sz w:val="20"/>
          <w:szCs w:val="20"/>
        </w:rPr>
        <w:t>”</w:t>
      </w:r>
      <w:r w:rsidRPr="00C8766A">
        <w:rPr>
          <w:rFonts w:ascii="Verdana" w:hAnsi="Verdana" w:cs="Arial"/>
          <w:bCs/>
          <w:sz w:val="20"/>
          <w:szCs w:val="20"/>
          <w:lang w:eastAsia="x-none"/>
        </w:rPr>
        <w:t>.</w:t>
      </w:r>
      <w:r>
        <w:rPr>
          <w:rFonts w:ascii="Verdana" w:hAnsi="Verdana" w:cs="Arial"/>
          <w:bCs/>
          <w:sz w:val="20"/>
          <w:szCs w:val="20"/>
          <w:lang w:eastAsia="x-none"/>
        </w:rPr>
        <w:t xml:space="preserve"> […] </w:t>
      </w:r>
      <w:r w:rsidRPr="00C8766A">
        <w:rPr>
          <w:rFonts w:ascii="Verdana" w:hAnsi="Verdana" w:cs="Arial"/>
          <w:bCs/>
          <w:sz w:val="20"/>
          <w:szCs w:val="20"/>
          <w:lang w:eastAsia="x-none"/>
        </w:rPr>
        <w:t>De acuerdo con el citado concepto, la prohibición del artículo 33 de la Ley de Garantías Electorales se refiere a “cualquier sistema que no implique convocatoria pública y posibilidad de pluralidad de oferentes”, por lo que excluye las demás modalidades de contratación previstas en la Ley 1150 de 2007,</w:t>
      </w:r>
    </w:p>
    <w:p w14:paraId="2863B4B1" w14:textId="77777777" w:rsidR="00C41BA8" w:rsidRPr="00C8766A" w:rsidRDefault="00C41BA8" w:rsidP="00C41BA8">
      <w:pPr>
        <w:spacing w:after="0" w:line="240" w:lineRule="auto"/>
        <w:jc w:val="both"/>
        <w:rPr>
          <w:rFonts w:ascii="Verdana" w:hAnsi="Verdana" w:cs="Arial"/>
          <w:sz w:val="20"/>
          <w:szCs w:val="20"/>
          <w:lang w:eastAsia="x-none"/>
        </w:rPr>
      </w:pPr>
      <w:r w:rsidRPr="00C8766A">
        <w:rPr>
          <w:rFonts w:ascii="Verdana" w:hAnsi="Verdana" w:cs="Arial"/>
          <w:color w:val="000000" w:themeColor="text1"/>
          <w:sz w:val="20"/>
          <w:szCs w:val="20"/>
        </w:rPr>
        <w:t xml:space="preserve">[…] </w:t>
      </w:r>
    </w:p>
    <w:p w14:paraId="1417B0BD" w14:textId="77777777" w:rsidR="00C41BA8" w:rsidRPr="00C8766A" w:rsidRDefault="00C41BA8" w:rsidP="00C41BA8">
      <w:pPr>
        <w:spacing w:after="0" w:line="240" w:lineRule="auto"/>
        <w:jc w:val="both"/>
        <w:rPr>
          <w:rFonts w:ascii="Verdana" w:hAnsi="Verdana" w:cs="Arial"/>
          <w:sz w:val="20"/>
          <w:szCs w:val="20"/>
          <w:lang w:eastAsia="x-none"/>
        </w:rPr>
      </w:pPr>
    </w:p>
    <w:p w14:paraId="6BE3EC3E" w14:textId="77777777" w:rsidR="00C41BA8" w:rsidRDefault="00C41BA8" w:rsidP="00C41BA8">
      <w:pPr>
        <w:spacing w:after="0" w:line="240" w:lineRule="auto"/>
        <w:jc w:val="both"/>
        <w:rPr>
          <w:rFonts w:ascii="Verdana" w:hAnsi="Verdana" w:cs="Arial"/>
          <w:sz w:val="20"/>
          <w:szCs w:val="20"/>
          <w:lang w:eastAsia="x-none"/>
        </w:rPr>
      </w:pPr>
      <w:r w:rsidRPr="00C8766A">
        <w:rPr>
          <w:rFonts w:ascii="Verdana" w:hAnsi="Verdana" w:cs="Arial"/>
          <w:sz w:val="20"/>
          <w:szCs w:val="20"/>
          <w:lang w:eastAsia="x-none"/>
        </w:rPr>
        <w:t>Lo anterior supone que, en aquellos procedimientos que contemplen convocatorias o invitaciones para contratar que se limiten a aquellas personas que previamente se hayan inscrito en una lista de precalificados o de interesados, lo determinante para considerar que dicho sistema no constituye “contratación directa”, es que la convocatoria para inscribirse en forma previa se haga de manera pública, y que se permita la participación de una pluralidad de oferentes. Esta circunstancia no se extiende a la contratación directa aplicable en algunos regímenes especiales con listas de precalificados, ya que a efecto de que no se configure la contratación directa, la selección del futuro contratista debe darse en términos de competencia</w:t>
      </w:r>
      <w:r>
        <w:rPr>
          <w:rFonts w:ascii="Verdana" w:hAnsi="Verdana" w:cs="Arial"/>
          <w:sz w:val="20"/>
          <w:szCs w:val="20"/>
          <w:lang w:eastAsia="x-none"/>
        </w:rPr>
        <w:t>.</w:t>
      </w:r>
    </w:p>
    <w:p w14:paraId="182705C1" w14:textId="77777777" w:rsidR="00C41BA8" w:rsidRPr="00C41BA8" w:rsidRDefault="00C41BA8" w:rsidP="00C41BA8">
      <w:pPr>
        <w:spacing w:after="0" w:line="240" w:lineRule="auto"/>
        <w:jc w:val="both"/>
        <w:rPr>
          <w:rFonts w:ascii="Verdana" w:eastAsia="Verdana" w:hAnsi="Verdana" w:cs="Verdana"/>
          <w:b/>
          <w:bCs/>
          <w:color w:val="000000" w:themeColor="text1"/>
        </w:rPr>
      </w:pPr>
    </w:p>
    <w:p w14:paraId="62879368" w14:textId="77777777" w:rsidR="00C41BA8" w:rsidRPr="00C41BA8" w:rsidRDefault="00C41BA8" w:rsidP="00C41BA8">
      <w:pPr>
        <w:spacing w:after="0" w:line="240" w:lineRule="auto"/>
        <w:jc w:val="both"/>
        <w:rPr>
          <w:rFonts w:ascii="Verdana" w:eastAsia="Verdana" w:hAnsi="Verdana" w:cs="Verdana"/>
          <w:b/>
          <w:bCs/>
          <w:color w:val="000000" w:themeColor="text1"/>
        </w:rPr>
      </w:pPr>
      <w:r w:rsidRPr="00C41BA8">
        <w:rPr>
          <w:rFonts w:ascii="Verdana" w:eastAsia="Verdana" w:hAnsi="Verdana" w:cs="Verdana"/>
          <w:b/>
          <w:bCs/>
          <w:color w:val="000000" w:themeColor="text1"/>
        </w:rPr>
        <w:t xml:space="preserve">LEY DE GARANTÍAS ELECTORALES – Destinatarios </w:t>
      </w:r>
    </w:p>
    <w:p w14:paraId="1A82C72B" w14:textId="77777777" w:rsidR="00C41BA8" w:rsidRDefault="00C41BA8" w:rsidP="00C41BA8">
      <w:pPr>
        <w:spacing w:after="0" w:line="240" w:lineRule="auto"/>
        <w:jc w:val="both"/>
        <w:rPr>
          <w:rFonts w:ascii="Verdana" w:eastAsia="Verdana" w:hAnsi="Verdana" w:cs="Verdana"/>
          <w:color w:val="000000" w:themeColor="text1"/>
        </w:rPr>
      </w:pPr>
    </w:p>
    <w:p w14:paraId="738F10A2" w14:textId="77777777" w:rsidR="00C41BA8" w:rsidRDefault="00C41BA8" w:rsidP="00C41BA8">
      <w:pPr>
        <w:spacing w:after="0" w:line="240" w:lineRule="auto"/>
        <w:jc w:val="both"/>
        <w:rPr>
          <w:rFonts w:ascii="Verdana" w:hAnsi="Verdana" w:cs="Arial"/>
          <w:color w:val="000000" w:themeColor="text1"/>
          <w:sz w:val="20"/>
          <w:szCs w:val="20"/>
          <w:lang w:val="es-MX"/>
        </w:rPr>
      </w:pPr>
      <w:r w:rsidRPr="00C8766A">
        <w:rPr>
          <w:rFonts w:ascii="Verdana" w:hAnsi="Verdana" w:cs="Arial"/>
          <w:color w:val="000000" w:themeColor="text1"/>
          <w:sz w:val="20"/>
          <w:szCs w:val="20"/>
          <w:lang w:val="es-MX"/>
        </w:rPr>
        <w:t>[…] en relación con los destinatarios de las restricciones, el artículo 33 de la Ley 996 de 2005 los señala expresamente, en el sentido de que son “</w:t>
      </w:r>
      <w:r w:rsidRPr="00C8766A">
        <w:rPr>
          <w:rFonts w:ascii="Verdana" w:hAnsi="Verdana" w:cs="Arial"/>
          <w:i/>
          <w:color w:val="000000" w:themeColor="text1"/>
          <w:sz w:val="20"/>
          <w:szCs w:val="20"/>
          <w:lang w:val="es-MX"/>
        </w:rPr>
        <w:t>todos los entes del Estado</w:t>
      </w:r>
      <w:r w:rsidRPr="00C8766A">
        <w:rPr>
          <w:rFonts w:ascii="Verdana" w:hAnsi="Verdana" w:cs="Arial"/>
          <w:color w:val="000000" w:themeColor="text1"/>
          <w:sz w:val="20"/>
          <w:szCs w:val="20"/>
          <w:lang w:val="es-MX"/>
        </w:rPr>
        <w:t xml:space="preserve">”,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22EAA720" w14:textId="77777777" w:rsidR="00C41BA8" w:rsidRDefault="00C41BA8" w:rsidP="00C41BA8">
      <w:pPr>
        <w:spacing w:after="0" w:line="240" w:lineRule="auto"/>
        <w:jc w:val="both"/>
        <w:rPr>
          <w:rFonts w:ascii="Verdana" w:hAnsi="Verdana" w:cs="Arial"/>
          <w:color w:val="000000" w:themeColor="text1"/>
          <w:sz w:val="20"/>
          <w:szCs w:val="20"/>
          <w:lang w:val="es-MX"/>
        </w:rPr>
      </w:pPr>
    </w:p>
    <w:p w14:paraId="0C98F692" w14:textId="77777777" w:rsidR="00C41BA8" w:rsidRDefault="00C41BA8" w:rsidP="00C41BA8">
      <w:pPr>
        <w:spacing w:after="0" w:line="240" w:lineRule="auto"/>
        <w:jc w:val="both"/>
        <w:rPr>
          <w:rFonts w:ascii="Verdana" w:eastAsia="Verdana" w:hAnsi="Verdana" w:cs="Verdana"/>
          <w:b/>
          <w:bCs/>
          <w:color w:val="000000" w:themeColor="text1"/>
        </w:rPr>
      </w:pPr>
      <w:r w:rsidRPr="00C41BA8">
        <w:rPr>
          <w:rFonts w:ascii="Verdana" w:eastAsia="Verdana" w:hAnsi="Verdana" w:cs="Verdana"/>
          <w:b/>
          <w:bCs/>
          <w:color w:val="000000" w:themeColor="text1"/>
        </w:rPr>
        <w:t xml:space="preserve">LEY DE GARANTÍAS ELECTORALES – Excepciones </w:t>
      </w:r>
    </w:p>
    <w:p w14:paraId="28712020" w14:textId="77777777" w:rsidR="00C41BA8" w:rsidRDefault="00C41BA8" w:rsidP="00C41BA8">
      <w:pPr>
        <w:spacing w:after="0" w:line="240" w:lineRule="auto"/>
        <w:jc w:val="both"/>
        <w:rPr>
          <w:rFonts w:ascii="Verdana" w:eastAsia="Verdana" w:hAnsi="Verdana" w:cs="Verdana"/>
          <w:b/>
          <w:bCs/>
          <w:color w:val="000000" w:themeColor="text1"/>
        </w:rPr>
      </w:pPr>
    </w:p>
    <w:p w14:paraId="5E7AB384" w14:textId="77777777" w:rsidR="00C41BA8" w:rsidRDefault="00C41BA8" w:rsidP="00C41BA8">
      <w:pPr>
        <w:spacing w:after="0" w:line="240" w:lineRule="auto"/>
        <w:jc w:val="both"/>
        <w:rPr>
          <w:rFonts w:ascii="Verdana" w:eastAsia="Times New Roman" w:hAnsi="Verdana" w:cs="Arial"/>
          <w:bCs/>
          <w:sz w:val="20"/>
          <w:szCs w:val="20"/>
          <w:lang w:val="es-ES" w:eastAsia="es-CO" w:bidi="es-ES"/>
        </w:rPr>
      </w:pPr>
      <w:r w:rsidRPr="00C8766A">
        <w:rPr>
          <w:rFonts w:ascii="Verdana" w:eastAsia="Times New Roman" w:hAnsi="Verdana" w:cs="Arial"/>
          <w:bCs/>
          <w:sz w:val="20"/>
          <w:szCs w:val="20"/>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w:t>
      </w:r>
      <w:proofErr w:type="spellStart"/>
      <w:r w:rsidRPr="00C8766A">
        <w:rPr>
          <w:rFonts w:ascii="Verdana" w:eastAsia="Times New Roman" w:hAnsi="Verdana" w:cs="Arial"/>
          <w:bCs/>
          <w:sz w:val="20"/>
          <w:szCs w:val="20"/>
          <w:lang w:val="es-ES" w:eastAsia="es-CO" w:bidi="es-ES"/>
        </w:rPr>
        <w:t>ii</w:t>
      </w:r>
      <w:proofErr w:type="spellEnd"/>
      <w:r w:rsidRPr="00C8766A">
        <w:rPr>
          <w:rFonts w:ascii="Verdana" w:eastAsia="Times New Roman" w:hAnsi="Verdana" w:cs="Arial"/>
          <w:bCs/>
          <w:sz w:val="20"/>
          <w:szCs w:val="20"/>
          <w:lang w:val="es-ES" w:eastAsia="es-CO" w:bidi="es-ES"/>
        </w:rPr>
        <w:t xml:space="preserve">) los contratos de crédito público; </w:t>
      </w:r>
      <w:proofErr w:type="spellStart"/>
      <w:r w:rsidRPr="00C8766A">
        <w:rPr>
          <w:rFonts w:ascii="Verdana" w:eastAsia="Times New Roman" w:hAnsi="Verdana" w:cs="Arial"/>
          <w:bCs/>
          <w:sz w:val="20"/>
          <w:szCs w:val="20"/>
          <w:lang w:val="es-ES" w:eastAsia="es-CO" w:bidi="es-ES"/>
        </w:rPr>
        <w:t>iii</w:t>
      </w:r>
      <w:proofErr w:type="spellEnd"/>
      <w:r w:rsidRPr="00C8766A">
        <w:rPr>
          <w:rFonts w:ascii="Verdana" w:eastAsia="Times New Roman" w:hAnsi="Verdana" w:cs="Arial"/>
          <w:bCs/>
          <w:sz w:val="20"/>
          <w:szCs w:val="20"/>
          <w:lang w:val="es-ES" w:eastAsia="es-CO" w:bidi="es-ES"/>
        </w:rPr>
        <w:t xml:space="preserve">) los requeridos para cubrir las emergencias educativas, sanitarias y desastres; </w:t>
      </w:r>
      <w:proofErr w:type="spellStart"/>
      <w:r w:rsidRPr="00C8766A">
        <w:rPr>
          <w:rFonts w:ascii="Verdana" w:eastAsia="Times New Roman" w:hAnsi="Verdana" w:cs="Arial"/>
          <w:bCs/>
          <w:sz w:val="20"/>
          <w:szCs w:val="20"/>
          <w:lang w:val="es-ES" w:eastAsia="es-CO" w:bidi="es-ES"/>
        </w:rPr>
        <w:t>iv</w:t>
      </w:r>
      <w:proofErr w:type="spellEnd"/>
      <w:r w:rsidRPr="00C8766A">
        <w:rPr>
          <w:rFonts w:ascii="Verdana" w:eastAsia="Times New Roman" w:hAnsi="Verdana" w:cs="Arial"/>
          <w:bCs/>
          <w:sz w:val="20"/>
          <w:szCs w:val="20"/>
          <w:lang w:val="es-ES" w:eastAsia="es-CO" w:bidi="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w:t>
      </w:r>
    </w:p>
    <w:p w14:paraId="2445C797" w14:textId="77777777" w:rsidR="00C41BA8" w:rsidRDefault="00C41BA8" w:rsidP="00C41BA8">
      <w:pPr>
        <w:spacing w:after="0" w:line="240" w:lineRule="auto"/>
        <w:jc w:val="both"/>
        <w:rPr>
          <w:rFonts w:ascii="Verdana" w:eastAsia="Times New Roman" w:hAnsi="Verdana" w:cs="Arial"/>
          <w:bCs/>
          <w:sz w:val="20"/>
          <w:szCs w:val="20"/>
          <w:lang w:val="es-ES" w:eastAsia="es-CO" w:bidi="es-ES"/>
        </w:rPr>
      </w:pPr>
    </w:p>
    <w:p w14:paraId="2406B044" w14:textId="77777777" w:rsidR="00C41BA8" w:rsidRPr="00C8766A" w:rsidRDefault="00C41BA8" w:rsidP="00C41BA8">
      <w:pPr>
        <w:spacing w:after="0" w:line="240" w:lineRule="auto"/>
        <w:jc w:val="both"/>
        <w:rPr>
          <w:rFonts w:ascii="Verdana" w:hAnsi="Verdana" w:cs="Arial"/>
          <w:bCs/>
          <w:sz w:val="20"/>
          <w:szCs w:val="20"/>
          <w:lang w:eastAsia="x-none"/>
        </w:rPr>
      </w:pPr>
      <w:r w:rsidRPr="00C8766A">
        <w:rPr>
          <w:rFonts w:ascii="Verdana" w:eastAsia="Times New Roman" w:hAnsi="Verdana" w:cs="Arial"/>
          <w:bCs/>
          <w:sz w:val="20"/>
          <w:szCs w:val="20"/>
          <w:lang w:val="es-ES" w:eastAsia="es-CO" w:bidi="es-ES"/>
        </w:rPr>
        <w:t xml:space="preserve">En todo caso, </w:t>
      </w:r>
      <w:r w:rsidRPr="00C8766A">
        <w:rPr>
          <w:rFonts w:ascii="Verdana" w:hAnsi="Verdana" w:cs="Arial"/>
          <w:bCs/>
          <w:sz w:val="20"/>
          <w:szCs w:val="20"/>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p>
    <w:p w14:paraId="324A10FE" w14:textId="77777777" w:rsidR="00C41BA8" w:rsidRPr="00C41BA8" w:rsidRDefault="00C41BA8" w:rsidP="00C41BA8">
      <w:pPr>
        <w:spacing w:after="0" w:line="240" w:lineRule="auto"/>
        <w:jc w:val="both"/>
        <w:rPr>
          <w:rFonts w:ascii="Verdana" w:eastAsia="Verdana" w:hAnsi="Verdana" w:cs="Verdana"/>
          <w:b/>
          <w:bCs/>
          <w:color w:val="000000" w:themeColor="text1"/>
        </w:rPr>
      </w:pPr>
    </w:p>
    <w:p w14:paraId="1108F7E3" w14:textId="6EA35687" w:rsidR="00C41BA8" w:rsidRDefault="00C41BA8" w:rsidP="00C41BA8">
      <w:pPr>
        <w:spacing w:after="0" w:line="240" w:lineRule="auto"/>
        <w:jc w:val="both"/>
        <w:rPr>
          <w:rFonts w:ascii="Verdana" w:hAnsi="Verdana" w:cs="Arial"/>
          <w:b/>
          <w:bCs/>
          <w:color w:val="000000" w:themeColor="text1"/>
        </w:rPr>
      </w:pPr>
      <w:r w:rsidRPr="00C41BA8">
        <w:rPr>
          <w:rFonts w:ascii="Verdana" w:eastAsia="Verdana" w:hAnsi="Verdana" w:cs="Verdana"/>
          <w:b/>
          <w:bCs/>
          <w:color w:val="000000" w:themeColor="text1"/>
        </w:rPr>
        <w:t xml:space="preserve">LEY DE GARANTÍAS ELECTORALES - </w:t>
      </w:r>
      <w:r w:rsidRPr="00C41BA8">
        <w:rPr>
          <w:rFonts w:ascii="Verdana" w:hAnsi="Verdana" w:cs="Arial"/>
          <w:b/>
          <w:bCs/>
          <w:color w:val="000000" w:themeColor="text1"/>
        </w:rPr>
        <w:t xml:space="preserve">Parágrafo del artículo 38 - Alcance </w:t>
      </w:r>
    </w:p>
    <w:p w14:paraId="78808A47" w14:textId="77777777" w:rsidR="00C41BA8" w:rsidRDefault="00C41BA8" w:rsidP="00C41BA8">
      <w:pPr>
        <w:spacing w:after="0" w:line="240" w:lineRule="auto"/>
        <w:jc w:val="both"/>
        <w:rPr>
          <w:rFonts w:ascii="Verdana" w:hAnsi="Verdana" w:cs="Arial"/>
          <w:b/>
          <w:bCs/>
          <w:color w:val="000000" w:themeColor="text1"/>
        </w:rPr>
      </w:pPr>
    </w:p>
    <w:p w14:paraId="3653001C" w14:textId="77777777" w:rsidR="00C41BA8" w:rsidRDefault="00C41BA8" w:rsidP="00C41BA8">
      <w:pPr>
        <w:spacing w:after="0" w:line="240" w:lineRule="auto"/>
        <w:jc w:val="both"/>
        <w:rPr>
          <w:rFonts w:ascii="Verdana" w:hAnsi="Verdana" w:cs="Arial"/>
          <w:color w:val="000000" w:themeColor="text1"/>
          <w:sz w:val="20"/>
          <w:szCs w:val="20"/>
        </w:rPr>
      </w:pPr>
      <w:r w:rsidRPr="00C8766A">
        <w:rPr>
          <w:rFonts w:ascii="Verdana" w:hAnsi="Verdana" w:cs="Arial"/>
          <w:color w:val="000000" w:themeColor="text1"/>
          <w:sz w:val="20"/>
          <w:szCs w:val="20"/>
        </w:rPr>
        <w:t xml:space="preserve">En segundo lugar, respecto del alcance del parágrafo del artículo 38 de la Ley 996 de 2005, esta prohibición dispone en primera medida que: “[l]os Gobernadores, </w:t>
      </w:r>
      <w:proofErr w:type="gramStart"/>
      <w:r w:rsidRPr="00C8766A">
        <w:rPr>
          <w:rFonts w:ascii="Verdana" w:hAnsi="Verdana" w:cs="Arial"/>
          <w:color w:val="000000" w:themeColor="text1"/>
          <w:sz w:val="20"/>
          <w:szCs w:val="20"/>
        </w:rPr>
        <w:t>Alcaldes</w:t>
      </w:r>
      <w:proofErr w:type="gramEnd"/>
      <w:r w:rsidRPr="00C8766A">
        <w:rPr>
          <w:rFonts w:ascii="Verdana" w:hAnsi="Verdana" w:cs="Arial"/>
          <w:color w:val="000000" w:themeColor="text1"/>
          <w:sz w:val="20"/>
          <w:szCs w:val="20"/>
        </w:rPr>
        <w:t xml:space="preserve"> Municipales y/o Distritales, </w:t>
      </w:r>
      <w:proofErr w:type="gramStart"/>
      <w:r w:rsidRPr="00C8766A">
        <w:rPr>
          <w:rFonts w:ascii="Verdana" w:hAnsi="Verdana" w:cs="Arial"/>
          <w:color w:val="000000" w:themeColor="text1"/>
          <w:sz w:val="20"/>
          <w:szCs w:val="20"/>
        </w:rPr>
        <w:t>Secretarios</w:t>
      </w:r>
      <w:proofErr w:type="gramEnd"/>
      <w:r w:rsidRPr="00C8766A">
        <w:rPr>
          <w:rFonts w:ascii="Verdana" w:hAnsi="Verdana" w:cs="Arial"/>
          <w:color w:val="000000" w:themeColor="text1"/>
          <w:sz w:val="20"/>
          <w:szCs w:val="20"/>
        </w:rPr>
        <w:t>, Gerentes y directores de Entidades Descentralizadas del orden Municipal, Departamental o Distrital, dentro de los cuatro (4) meses anteriores a las elecciones, no podrán celebrar convenios interadministrativos para la ejecución de recursos públicos”.</w:t>
      </w:r>
    </w:p>
    <w:p w14:paraId="6DB57A36" w14:textId="77777777" w:rsidR="00C41BA8" w:rsidRPr="00C41BA8" w:rsidRDefault="00C41BA8" w:rsidP="00C41BA8">
      <w:pPr>
        <w:spacing w:after="0" w:line="240" w:lineRule="auto"/>
        <w:jc w:val="both"/>
        <w:rPr>
          <w:rFonts w:ascii="Verdana" w:hAnsi="Verdana" w:cs="Arial"/>
          <w:b/>
          <w:bCs/>
          <w:color w:val="000000" w:themeColor="text1"/>
        </w:rPr>
      </w:pPr>
    </w:p>
    <w:p w14:paraId="6B8C059B" w14:textId="02906442" w:rsidR="00C41BA8" w:rsidRDefault="00C41BA8" w:rsidP="00C41BA8">
      <w:pPr>
        <w:spacing w:after="0" w:line="240" w:lineRule="auto"/>
        <w:jc w:val="both"/>
        <w:rPr>
          <w:rFonts w:ascii="Verdana" w:hAnsi="Verdana" w:cs="Arial"/>
          <w:b/>
          <w:bCs/>
          <w:color w:val="000000" w:themeColor="text1"/>
        </w:rPr>
      </w:pPr>
      <w:r w:rsidRPr="00C41BA8">
        <w:rPr>
          <w:rFonts w:ascii="Verdana" w:hAnsi="Verdana" w:cs="Arial"/>
          <w:b/>
          <w:bCs/>
          <w:color w:val="000000" w:themeColor="text1"/>
        </w:rPr>
        <w:t xml:space="preserve">LEY DE GARANTÍAS ELECTORALES – Convenios interadministrativos – Contratos interadministrativos </w:t>
      </w:r>
    </w:p>
    <w:p w14:paraId="3979FF58" w14:textId="77777777" w:rsidR="00C41BA8" w:rsidRDefault="00C41BA8" w:rsidP="00C41BA8">
      <w:pPr>
        <w:spacing w:after="0" w:line="240" w:lineRule="auto"/>
        <w:jc w:val="both"/>
        <w:rPr>
          <w:rFonts w:ascii="Verdana" w:hAnsi="Verdana" w:cs="Arial"/>
          <w:b/>
          <w:bCs/>
          <w:color w:val="000000" w:themeColor="text1"/>
        </w:rPr>
      </w:pPr>
    </w:p>
    <w:p w14:paraId="3F57EDE4" w14:textId="77777777" w:rsidR="00C41BA8" w:rsidRPr="00DC0BD9" w:rsidRDefault="00C41BA8" w:rsidP="00C41BA8">
      <w:pPr>
        <w:spacing w:after="0" w:line="240" w:lineRule="auto"/>
        <w:jc w:val="both"/>
        <w:rPr>
          <w:rFonts w:ascii="Verdana" w:hAnsi="Verdana" w:cs="Arial"/>
          <w:b/>
          <w:bCs/>
          <w:color w:val="000000" w:themeColor="text1"/>
        </w:rPr>
      </w:pPr>
      <w:r>
        <w:rPr>
          <w:rFonts w:ascii="Verdana" w:eastAsia="Times New Roman" w:hAnsi="Verdana" w:cs="Arial"/>
          <w:color w:val="000000" w:themeColor="text1"/>
          <w:sz w:val="20"/>
          <w:szCs w:val="20"/>
          <w:lang w:val="es-ES" w:eastAsia="es-CO"/>
        </w:rPr>
        <w:t xml:space="preserve">[…] </w:t>
      </w:r>
      <w:r w:rsidRPr="007D50EF">
        <w:rPr>
          <w:rFonts w:ascii="Verdana" w:eastAsia="Times New Roman" w:hAnsi="Verdana" w:cs="Arial"/>
          <w:color w:val="000000" w:themeColor="text1"/>
          <w:sz w:val="20"/>
          <w:szCs w:val="20"/>
          <w:lang w:val="es-ES" w:eastAsia="es-CO"/>
        </w:rPr>
        <w:t xml:space="preserve">los contratos o convenios interadministrativos están determinados por un criterio orgánico, pues es necesario que los extremos de la relación contractual sean entidades públicas, </w:t>
      </w:r>
      <w:r w:rsidRPr="007D50EF">
        <w:rPr>
          <w:rFonts w:ascii="Verdana" w:hAnsi="Verdana" w:cs="Arial"/>
          <w:sz w:val="20"/>
          <w:szCs w:val="20"/>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Pr>
          <w:rFonts w:ascii="Verdana" w:hAnsi="Verdana" w:cs="Arial"/>
          <w:sz w:val="20"/>
          <w:szCs w:val="20"/>
          <w:vertAlign w:val="superscript"/>
          <w:lang w:eastAsia="es-ES"/>
        </w:rPr>
        <w:t>.</w:t>
      </w:r>
    </w:p>
    <w:p w14:paraId="2B4E193F" w14:textId="77777777" w:rsidR="00C41BA8" w:rsidRDefault="00C41BA8" w:rsidP="00C41BA8">
      <w:pPr>
        <w:spacing w:after="0" w:line="240" w:lineRule="auto"/>
        <w:jc w:val="both"/>
        <w:rPr>
          <w:rFonts w:ascii="Verdana" w:hAnsi="Verdana" w:cs="Arial"/>
          <w:sz w:val="20"/>
          <w:szCs w:val="20"/>
          <w:vertAlign w:val="superscript"/>
          <w:lang w:eastAsia="es-ES"/>
        </w:rPr>
      </w:pPr>
    </w:p>
    <w:p w14:paraId="6E2B626C" w14:textId="77777777" w:rsidR="00C41BA8" w:rsidRDefault="00C41BA8" w:rsidP="00C41BA8">
      <w:pPr>
        <w:spacing w:after="0" w:line="240" w:lineRule="auto"/>
        <w:jc w:val="both"/>
        <w:rPr>
          <w:rFonts w:ascii="Verdana" w:eastAsia="Calibri" w:hAnsi="Verdana" w:cs="Arial"/>
          <w:sz w:val="20"/>
          <w:szCs w:val="20"/>
          <w:lang w:val="es-ES"/>
        </w:rPr>
      </w:pPr>
      <w:r w:rsidRPr="007D50EF">
        <w:rPr>
          <w:rFonts w:ascii="Verdana" w:hAnsi="Verdana" w:cs="Arial"/>
          <w:color w:val="000000" w:themeColor="text1"/>
          <w:sz w:val="20"/>
          <w:szCs w:val="20"/>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116BAF97" w14:textId="77777777" w:rsidR="00C41BA8" w:rsidRDefault="00C41BA8" w:rsidP="00C41BA8">
      <w:pPr>
        <w:spacing w:after="0" w:line="240" w:lineRule="auto"/>
        <w:jc w:val="both"/>
        <w:rPr>
          <w:rFonts w:ascii="Verdana" w:eastAsia="Calibri" w:hAnsi="Verdana" w:cs="Arial"/>
          <w:sz w:val="20"/>
          <w:szCs w:val="20"/>
          <w:lang w:val="es-ES"/>
        </w:rPr>
      </w:pPr>
    </w:p>
    <w:p w14:paraId="6B3BEC20" w14:textId="77777777" w:rsidR="00C41BA8" w:rsidRPr="007D50EF" w:rsidRDefault="00C41BA8" w:rsidP="00C41BA8">
      <w:pPr>
        <w:spacing w:after="0" w:line="240" w:lineRule="auto"/>
        <w:jc w:val="both"/>
        <w:rPr>
          <w:rFonts w:ascii="Verdana" w:eastAsia="Calibri" w:hAnsi="Verdana" w:cs="Arial"/>
          <w:sz w:val="20"/>
          <w:szCs w:val="20"/>
          <w:lang w:val="es-ES"/>
        </w:rPr>
      </w:pPr>
      <w:r w:rsidRPr="007D50EF">
        <w:rPr>
          <w:rFonts w:ascii="Verdana" w:hAnsi="Verdana" w:cs="Arial"/>
          <w:sz w:val="20"/>
          <w:szCs w:val="20"/>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 Nótese que, en este caso, lo que cambia es la modalidad de selección y no la naturaleza de contrato interadministrativo.</w:t>
      </w:r>
    </w:p>
    <w:p w14:paraId="74DE7145" w14:textId="77777777" w:rsidR="00C41BA8" w:rsidRPr="007D50EF" w:rsidRDefault="00C41BA8" w:rsidP="00C41BA8">
      <w:pPr>
        <w:spacing w:after="0" w:line="240" w:lineRule="auto"/>
        <w:jc w:val="both"/>
        <w:rPr>
          <w:rFonts w:ascii="Verdana" w:hAnsi="Verdana" w:cs="Arial"/>
          <w:b/>
          <w:bCs/>
          <w:color w:val="000000" w:themeColor="text1"/>
          <w:lang w:val="es-ES_tradnl"/>
        </w:rPr>
      </w:pPr>
    </w:p>
    <w:p w14:paraId="14AC68C4" w14:textId="77777777" w:rsidR="00C41BA8" w:rsidRPr="006D6CAB" w:rsidRDefault="00C41BA8" w:rsidP="00C41BA8">
      <w:pPr>
        <w:spacing w:after="0" w:line="240" w:lineRule="auto"/>
        <w:jc w:val="both"/>
        <w:rPr>
          <w:rFonts w:ascii="Verdana" w:hAnsi="Verdana" w:cs="Arial"/>
          <w:color w:val="000000" w:themeColor="text1"/>
          <w:sz w:val="20"/>
          <w:szCs w:val="20"/>
        </w:rPr>
      </w:pPr>
      <w:r w:rsidRPr="006D6CAB">
        <w:rPr>
          <w:rFonts w:ascii="Verdana" w:hAnsi="Verdana" w:cs="Arial"/>
          <w:color w:val="000000" w:themeColor="text1"/>
          <w:sz w:val="20"/>
          <w:szCs w:val="20"/>
        </w:rPr>
        <w:t xml:space="preserve">[…] </w:t>
      </w:r>
    </w:p>
    <w:p w14:paraId="353BF50E" w14:textId="77777777" w:rsidR="00C41BA8" w:rsidRDefault="00C41BA8" w:rsidP="00C41BA8">
      <w:pPr>
        <w:spacing w:after="0" w:line="240" w:lineRule="auto"/>
        <w:jc w:val="both"/>
        <w:rPr>
          <w:rFonts w:ascii="Verdana" w:eastAsia="Arial" w:hAnsi="Verdana" w:cs="Arial"/>
          <w:sz w:val="20"/>
          <w:szCs w:val="20"/>
          <w:lang w:val="es-MX" w:eastAsia="es-ES" w:bidi="es-ES"/>
        </w:rPr>
      </w:pPr>
    </w:p>
    <w:p w14:paraId="5834E95C" w14:textId="77777777" w:rsidR="00C41BA8" w:rsidRDefault="00C41BA8" w:rsidP="00C41BA8">
      <w:pPr>
        <w:spacing w:after="0" w:line="240" w:lineRule="auto"/>
        <w:jc w:val="both"/>
        <w:rPr>
          <w:rFonts w:ascii="Verdana" w:eastAsia="Times New Roman" w:hAnsi="Verdana" w:cs="Arial"/>
          <w:sz w:val="20"/>
          <w:szCs w:val="20"/>
          <w:lang w:val="es-MX" w:eastAsia="es-CO"/>
        </w:rPr>
      </w:pPr>
      <w:r w:rsidRPr="006D6CAB">
        <w:rPr>
          <w:rFonts w:ascii="Verdana" w:eastAsia="Arial" w:hAnsi="Verdana" w:cs="Arial"/>
          <w:sz w:val="20"/>
          <w:szCs w:val="20"/>
          <w:lang w:val="es-MX" w:eastAsia="es-ES" w:bidi="es-ES"/>
        </w:rPr>
        <w:t>De esta manera, se</w:t>
      </w:r>
      <w:r w:rsidRPr="006D6CAB">
        <w:rPr>
          <w:rFonts w:ascii="Verdana" w:eastAsia="Times New Roman" w:hAnsi="Verdana" w:cs="Arial"/>
          <w:sz w:val="20"/>
          <w:szCs w:val="20"/>
          <w:lang w:eastAsia="es-CO"/>
        </w:rPr>
        <w:t xml:space="preserve"> observa entonces que </w:t>
      </w:r>
      <w:r w:rsidRPr="006D6CAB">
        <w:rPr>
          <w:rFonts w:ascii="Verdana" w:eastAsia="Times New Roman" w:hAnsi="Verdana" w:cs="Arial"/>
          <w:sz w:val="20"/>
          <w:szCs w:val="20"/>
          <w:lang w:val="es-MX" w:eastAsia="es-CO"/>
        </w:rPr>
        <w:t xml:space="preserve">el parágrafo del artículo 38 de la Ley 996 de 2005 prohíbe a los </w:t>
      </w:r>
      <w:proofErr w:type="gramStart"/>
      <w:r w:rsidRPr="006D6CAB">
        <w:rPr>
          <w:rFonts w:ascii="Verdana" w:eastAsia="Times New Roman" w:hAnsi="Verdana" w:cs="Arial"/>
          <w:sz w:val="20"/>
          <w:szCs w:val="20"/>
          <w:lang w:val="es-MX" w:eastAsia="es-CO"/>
        </w:rPr>
        <w:t>Alcaldes</w:t>
      </w:r>
      <w:proofErr w:type="gramEnd"/>
      <w:r w:rsidRPr="006D6CAB">
        <w:rPr>
          <w:rFonts w:ascii="Verdana" w:eastAsia="Times New Roman" w:hAnsi="Verdana" w:cs="Arial"/>
          <w:sz w:val="20"/>
          <w:szCs w:val="20"/>
          <w:lang w:val="es-MX" w:eastAsia="es-CO"/>
        </w:rPr>
        <w:t xml:space="preserve">, Gobernadores, </w:t>
      </w:r>
      <w:proofErr w:type="gramStart"/>
      <w:r w:rsidRPr="006D6CAB">
        <w:rPr>
          <w:rFonts w:ascii="Verdana" w:eastAsia="Times New Roman" w:hAnsi="Verdana" w:cs="Arial"/>
          <w:sz w:val="20"/>
          <w:szCs w:val="20"/>
          <w:lang w:val="es-MX" w:eastAsia="es-CO"/>
        </w:rPr>
        <w:t>Secretarios</w:t>
      </w:r>
      <w:proofErr w:type="gramEnd"/>
      <w:r w:rsidRPr="006D6CAB">
        <w:rPr>
          <w:rFonts w:ascii="Verdana" w:eastAsia="Times New Roman" w:hAnsi="Verdana" w:cs="Arial"/>
          <w:sz w:val="20"/>
          <w:szCs w:val="20"/>
          <w:lang w:val="es-MX" w:eastAsia="es-CO"/>
        </w:rPr>
        <w:t xml:space="preserve">, Gerentes y </w:t>
      </w:r>
      <w:proofErr w:type="gramStart"/>
      <w:r w:rsidRPr="006D6CAB">
        <w:rPr>
          <w:rFonts w:ascii="Verdana" w:eastAsia="Times New Roman" w:hAnsi="Verdana" w:cs="Arial"/>
          <w:sz w:val="20"/>
          <w:szCs w:val="20"/>
          <w:lang w:val="es-MX" w:eastAsia="es-CO"/>
        </w:rPr>
        <w:t>Directores</w:t>
      </w:r>
      <w:proofErr w:type="gramEnd"/>
      <w:r w:rsidRPr="006D6CAB">
        <w:rPr>
          <w:rFonts w:ascii="Verdana" w:eastAsia="Times New Roman" w:hAnsi="Verdana" w:cs="Arial"/>
          <w:sz w:val="20"/>
          <w:szCs w:val="20"/>
          <w:lang w:val="es-MX" w:eastAsia="es-CO"/>
        </w:rPr>
        <w:t xml:space="preserve"> de las entidades del orden municipal, departamental o distrital celebrar </w:t>
      </w:r>
      <w:r w:rsidRPr="006D6CAB">
        <w:rPr>
          <w:rFonts w:ascii="Verdana" w:eastAsia="Times New Roman" w:hAnsi="Verdana" w:cs="Arial"/>
          <w:i/>
          <w:iCs/>
          <w:sz w:val="20"/>
          <w:szCs w:val="20"/>
          <w:lang w:val="es-MX" w:eastAsia="es-CO"/>
        </w:rPr>
        <w:t>convenios interadministrativos</w:t>
      </w:r>
      <w:r w:rsidRPr="006D6CAB">
        <w:rPr>
          <w:rFonts w:ascii="Verdana" w:eastAsia="Times New Roman" w:hAnsi="Verdana" w:cs="Arial"/>
          <w:sz w:val="20"/>
          <w:szCs w:val="20"/>
          <w:lang w:val="es-MX" w:eastAsia="es-CO"/>
        </w:rPr>
        <w:t xml:space="preserve"> para la ejecución de recursos públicos. En este sentido, si una o ambas partes de la relación contractual es una entidad de aquellas descritas en el parágrafo </w:t>
      </w:r>
      <w:r w:rsidRPr="006D6CAB">
        <w:rPr>
          <w:rFonts w:ascii="Verdana" w:eastAsia="Times New Roman" w:hAnsi="Verdana" w:cs="Arial"/>
          <w:i/>
          <w:sz w:val="20"/>
          <w:szCs w:val="20"/>
          <w:lang w:val="es-MX" w:eastAsia="es-CO"/>
        </w:rPr>
        <w:t>ibidem</w:t>
      </w:r>
      <w:r w:rsidRPr="006D6CAB">
        <w:rPr>
          <w:rFonts w:ascii="Verdana" w:eastAsia="Times New Roman" w:hAnsi="Verdana" w:cs="Arial"/>
          <w:sz w:val="20"/>
          <w:szCs w:val="20"/>
          <w:lang w:val="es-MX" w:eastAsia="es-CO"/>
        </w:rPr>
        <w:t xml:space="preserve">, es decir, </w:t>
      </w:r>
      <w:r w:rsidRPr="006D6CAB">
        <w:rPr>
          <w:rFonts w:ascii="Verdana" w:eastAsia="Times New Roman" w:hAnsi="Verdana" w:cs="Arial"/>
          <w:sz w:val="20"/>
          <w:szCs w:val="20"/>
          <w:lang w:eastAsia="es-CO"/>
        </w:rPr>
        <w:t xml:space="preserve">alcaldías, gobernaciones, secretarías de despacho, así como entidades descentralizadas por servicios del orden municipal, departamental o distrital </w:t>
      </w:r>
      <w:r w:rsidRPr="006D6CAB">
        <w:rPr>
          <w:rFonts w:ascii="Verdana" w:eastAsia="Times New Roman" w:hAnsi="Verdana" w:cs="Arial"/>
          <w:sz w:val="20"/>
          <w:szCs w:val="20"/>
          <w:lang w:val="es-MX" w:eastAsia="es-CO"/>
        </w:rPr>
        <w:t xml:space="preserve">no podrá celebrar tales </w:t>
      </w:r>
      <w:r w:rsidRPr="006D6CAB">
        <w:rPr>
          <w:rFonts w:ascii="Verdana" w:eastAsia="Times New Roman" w:hAnsi="Verdana" w:cs="Arial"/>
          <w:i/>
          <w:iCs/>
          <w:sz w:val="20"/>
          <w:szCs w:val="20"/>
          <w:lang w:val="es-MX" w:eastAsia="es-CO"/>
        </w:rPr>
        <w:t>convenios</w:t>
      </w:r>
      <w:r w:rsidRPr="006D6CAB">
        <w:rPr>
          <w:rFonts w:ascii="Verdana" w:eastAsia="Times New Roman" w:hAnsi="Verdana" w:cs="Arial"/>
          <w:sz w:val="20"/>
          <w:szCs w:val="20"/>
          <w:lang w:val="es-MX" w:eastAsia="es-CO"/>
        </w:rPr>
        <w:t xml:space="preserve"> durante la aplicación de la Ley de Garantías Electorales, toda vez que la citada disposición se refiere a dicha tipología contractual sin que el legislador hubiere contemplado un efecto extensivo a otra tipología. </w:t>
      </w:r>
    </w:p>
    <w:p w14:paraId="40C7781E" w14:textId="77777777" w:rsidR="00C41BA8" w:rsidRPr="00C41BA8" w:rsidRDefault="00C41BA8" w:rsidP="00C41BA8">
      <w:pPr>
        <w:spacing w:after="0" w:line="240" w:lineRule="auto"/>
        <w:jc w:val="both"/>
        <w:rPr>
          <w:rFonts w:ascii="Verdana" w:hAnsi="Verdana" w:cs="Arial"/>
          <w:b/>
          <w:bCs/>
          <w:color w:val="000000" w:themeColor="text1"/>
          <w:lang w:val="es-MX"/>
        </w:rPr>
      </w:pPr>
    </w:p>
    <w:p w14:paraId="6594BF97" w14:textId="3FBF4787" w:rsidR="00C41BA8" w:rsidRDefault="00C41BA8" w:rsidP="00C41BA8">
      <w:pPr>
        <w:spacing w:after="0" w:line="240" w:lineRule="auto"/>
        <w:jc w:val="both"/>
        <w:rPr>
          <w:rFonts w:ascii="Verdana" w:hAnsi="Verdana" w:cs="Arial"/>
          <w:b/>
          <w:bCs/>
          <w:color w:val="000000" w:themeColor="text1"/>
        </w:rPr>
      </w:pPr>
      <w:r w:rsidRPr="00C41BA8">
        <w:rPr>
          <w:rFonts w:ascii="Verdana" w:hAnsi="Verdana" w:cs="Arial"/>
          <w:b/>
          <w:bCs/>
          <w:color w:val="000000" w:themeColor="text1"/>
        </w:rPr>
        <w:t>CONSEJO DE ESTADO</w:t>
      </w:r>
      <w:r>
        <w:rPr>
          <w:rFonts w:ascii="Verdana" w:hAnsi="Verdana" w:cs="Arial"/>
          <w:b/>
          <w:bCs/>
          <w:color w:val="000000" w:themeColor="text1"/>
        </w:rPr>
        <w:t xml:space="preserve"> - P</w:t>
      </w:r>
      <w:r w:rsidRPr="00C41BA8">
        <w:rPr>
          <w:rFonts w:ascii="Verdana" w:hAnsi="Verdana" w:cs="Arial"/>
          <w:b/>
          <w:bCs/>
          <w:color w:val="000000" w:themeColor="text1"/>
        </w:rPr>
        <w:t xml:space="preserve">osición </w:t>
      </w:r>
    </w:p>
    <w:p w14:paraId="19F8F2FA" w14:textId="77777777" w:rsidR="00C41BA8" w:rsidRDefault="00C41BA8" w:rsidP="00C41BA8">
      <w:pPr>
        <w:spacing w:after="0" w:line="240" w:lineRule="auto"/>
        <w:jc w:val="both"/>
        <w:rPr>
          <w:rFonts w:ascii="Verdana" w:hAnsi="Verdana" w:cs="Arial"/>
          <w:b/>
          <w:bCs/>
          <w:color w:val="000000" w:themeColor="text1"/>
        </w:rPr>
      </w:pPr>
    </w:p>
    <w:p w14:paraId="3A543393" w14:textId="77777777" w:rsidR="00C41BA8" w:rsidRDefault="00C41BA8" w:rsidP="00C41BA8">
      <w:pPr>
        <w:spacing w:after="0" w:line="240" w:lineRule="auto"/>
        <w:jc w:val="both"/>
        <w:rPr>
          <w:rFonts w:ascii="Verdana" w:eastAsia="Times New Roman" w:hAnsi="Verdana" w:cs="Times New Roman"/>
          <w:sz w:val="20"/>
          <w:szCs w:val="20"/>
          <w:lang w:eastAsia="es-ES"/>
        </w:rPr>
      </w:pPr>
      <w:r w:rsidRPr="006D6CAB">
        <w:rPr>
          <w:rFonts w:ascii="Verdana" w:eastAsia="Arial" w:hAnsi="Verdana" w:cs="Arial"/>
          <w:sz w:val="20"/>
          <w:szCs w:val="20"/>
          <w:lang w:eastAsia="es-ES" w:bidi="es-ES"/>
        </w:rPr>
        <w:t xml:space="preserve">[…] mediante sentencia del 17 de octubre de 2025, emitida por la Sección Tercera del Consejo de Estado, dentro del expediente </w:t>
      </w:r>
      <w:r w:rsidRPr="006D6CAB">
        <w:rPr>
          <w:rFonts w:ascii="Verdana" w:eastAsia="Times New Roman" w:hAnsi="Verdana" w:cs="Times New Roman"/>
          <w:sz w:val="20"/>
          <w:szCs w:val="20"/>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 </w:t>
      </w:r>
    </w:p>
    <w:p w14:paraId="4B4B70DC" w14:textId="77777777" w:rsidR="00C41BA8" w:rsidRDefault="00C41BA8" w:rsidP="00C41BA8">
      <w:pPr>
        <w:spacing w:after="0" w:line="240" w:lineRule="auto"/>
        <w:jc w:val="both"/>
        <w:rPr>
          <w:rFonts w:ascii="Verdana" w:eastAsia="Times New Roman" w:hAnsi="Verdana" w:cs="Times New Roman"/>
          <w:sz w:val="20"/>
          <w:szCs w:val="20"/>
          <w:lang w:eastAsia="es-ES"/>
        </w:rPr>
      </w:pPr>
    </w:p>
    <w:p w14:paraId="28357553" w14:textId="77777777" w:rsidR="00C41BA8" w:rsidRPr="006D6CAB" w:rsidRDefault="00C41BA8" w:rsidP="00C41BA8">
      <w:pPr>
        <w:spacing w:after="0" w:line="240" w:lineRule="auto"/>
        <w:jc w:val="both"/>
        <w:rPr>
          <w:rFonts w:ascii="Verdana" w:eastAsia="Times New Roman" w:hAnsi="Verdana" w:cs="Times New Roman"/>
          <w:sz w:val="20"/>
          <w:szCs w:val="20"/>
          <w:lang w:eastAsia="es-ES"/>
        </w:rPr>
      </w:pPr>
      <w:r w:rsidRPr="006D6CAB">
        <w:rPr>
          <w:rFonts w:ascii="Verdana" w:eastAsia="Times New Roman" w:hAnsi="Verdana" w:cs="Times New Roman"/>
          <w:sz w:val="20"/>
          <w:szCs w:val="20"/>
          <w:lang w:eastAsia="es-ES"/>
        </w:rPr>
        <w:t>[…]</w:t>
      </w:r>
    </w:p>
    <w:p w14:paraId="25E2BCFB" w14:textId="77777777" w:rsidR="00C41BA8" w:rsidRPr="006D6CAB" w:rsidRDefault="00C41BA8" w:rsidP="00C41BA8">
      <w:pPr>
        <w:spacing w:after="0" w:line="240" w:lineRule="auto"/>
        <w:jc w:val="both"/>
        <w:rPr>
          <w:rFonts w:ascii="Verdana" w:eastAsia="Times New Roman" w:hAnsi="Verdana" w:cs="Times New Roman"/>
          <w:sz w:val="20"/>
          <w:szCs w:val="20"/>
          <w:lang w:eastAsia="es-ES"/>
        </w:rPr>
      </w:pPr>
    </w:p>
    <w:p w14:paraId="0678BC22" w14:textId="77777777" w:rsidR="00C41BA8" w:rsidRDefault="00C41BA8" w:rsidP="00C41BA8">
      <w:pPr>
        <w:spacing w:after="0" w:line="240" w:lineRule="auto"/>
        <w:jc w:val="both"/>
        <w:rPr>
          <w:rFonts w:ascii="Verdana" w:eastAsia="Times New Roman" w:hAnsi="Verdana" w:cs="Times New Roman"/>
          <w:sz w:val="20"/>
          <w:szCs w:val="20"/>
          <w:lang w:eastAsia="es-ES"/>
        </w:rPr>
      </w:pPr>
      <w:r w:rsidRPr="006D6CAB">
        <w:rPr>
          <w:rFonts w:ascii="Verdana" w:eastAsia="Times New Roman" w:hAnsi="Verdana" w:cs="Times New Roman"/>
          <w:sz w:val="20"/>
          <w:szCs w:val="20"/>
          <w:lang w:eastAsia="es-ES"/>
        </w:rPr>
        <w:t xml:space="preserve">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60D61ABF" w14:textId="77777777" w:rsidR="00C41BA8" w:rsidRDefault="00C41BA8" w:rsidP="00C41BA8">
      <w:pPr>
        <w:spacing w:after="0" w:line="240" w:lineRule="auto"/>
        <w:jc w:val="both"/>
        <w:rPr>
          <w:rFonts w:ascii="Verdana" w:eastAsia="Times New Roman" w:hAnsi="Verdana" w:cs="Times New Roman"/>
          <w:sz w:val="20"/>
          <w:szCs w:val="20"/>
          <w:lang w:eastAsia="es-ES"/>
        </w:rPr>
      </w:pPr>
    </w:p>
    <w:p w14:paraId="10CD0CA6" w14:textId="77777777" w:rsidR="00C41BA8" w:rsidRDefault="00C41BA8" w:rsidP="00C41BA8">
      <w:pPr>
        <w:spacing w:after="0" w:line="240" w:lineRule="auto"/>
        <w:jc w:val="both"/>
        <w:rPr>
          <w:rFonts w:ascii="Verdana" w:eastAsia="Times New Roman" w:hAnsi="Verdana" w:cs="Times New Roman"/>
          <w:sz w:val="20"/>
          <w:szCs w:val="20"/>
          <w:lang w:eastAsia="es-ES"/>
        </w:rPr>
      </w:pPr>
      <w:r>
        <w:rPr>
          <w:rFonts w:ascii="Verdana" w:eastAsia="Times New Roman" w:hAnsi="Verdana" w:cs="Times New Roman"/>
          <w:sz w:val="20"/>
          <w:szCs w:val="20"/>
          <w:lang w:eastAsia="es-ES"/>
        </w:rPr>
        <w:t>[…]</w:t>
      </w:r>
    </w:p>
    <w:p w14:paraId="256AE811" w14:textId="77777777" w:rsidR="00C41BA8" w:rsidRDefault="00C41BA8" w:rsidP="00C41BA8">
      <w:pPr>
        <w:spacing w:after="0" w:line="240" w:lineRule="auto"/>
        <w:jc w:val="both"/>
        <w:rPr>
          <w:rFonts w:ascii="Verdana" w:eastAsia="Times New Roman" w:hAnsi="Verdana" w:cs="Times New Roman"/>
          <w:sz w:val="20"/>
          <w:szCs w:val="20"/>
          <w:lang w:eastAsia="es-ES"/>
        </w:rPr>
      </w:pPr>
    </w:p>
    <w:p w14:paraId="11558AA7" w14:textId="77777777" w:rsidR="00C41BA8" w:rsidRDefault="00C41BA8" w:rsidP="00C41BA8">
      <w:pPr>
        <w:spacing w:after="0" w:line="240" w:lineRule="auto"/>
        <w:jc w:val="both"/>
        <w:rPr>
          <w:rFonts w:ascii="Verdana" w:eastAsia="Times New Roman" w:hAnsi="Verdana" w:cs="Times New Roman"/>
          <w:sz w:val="20"/>
          <w:szCs w:val="20"/>
          <w:lang w:eastAsia="es-ES"/>
        </w:rPr>
      </w:pPr>
      <w:r>
        <w:rPr>
          <w:rFonts w:ascii="Verdana" w:eastAsia="Times New Roman" w:hAnsi="Verdana" w:cs="Arial"/>
          <w:sz w:val="20"/>
          <w:szCs w:val="20"/>
          <w:lang w:eastAsia="es-CO"/>
        </w:rPr>
        <w:t xml:space="preserve">[…] </w:t>
      </w:r>
      <w:r w:rsidRPr="006D6CAB">
        <w:rPr>
          <w:rFonts w:ascii="Verdana" w:eastAsia="Times New Roman" w:hAnsi="Verdana" w:cs="Arial"/>
          <w:sz w:val="20"/>
          <w:szCs w:val="20"/>
          <w:lang w:eastAsia="es-CO"/>
        </w:rPr>
        <w:t xml:space="preserve">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6D6CAB">
        <w:rPr>
          <w:rFonts w:ascii="Verdana" w:eastAsia="Times New Roman" w:hAnsi="Verdana" w:cs="Arial"/>
          <w:i/>
          <w:iCs/>
          <w:sz w:val="20"/>
          <w:szCs w:val="20"/>
          <w:lang w:eastAsia="es-CO"/>
        </w:rPr>
        <w:t>contratos interadministrativos</w:t>
      </w:r>
      <w:r w:rsidRPr="006D6CAB">
        <w:rPr>
          <w:rFonts w:ascii="Verdana" w:eastAsia="Times New Roman" w:hAnsi="Verdana" w:cs="Arial"/>
          <w:sz w:val="20"/>
          <w:szCs w:val="20"/>
          <w:lang w:eastAsia="es-CO"/>
        </w:rPr>
        <w:t xml:space="preserve">, esta prohibición solo aplicaría a los convenios interadministrativos que impliquen la ejecución de recursos públicos. Conforme a lo señalado por el Consejo de Estado, cuando dos entidades públicas celebren un </w:t>
      </w:r>
      <w:r w:rsidRPr="006D6CAB">
        <w:rPr>
          <w:rFonts w:ascii="Verdana" w:eastAsia="Times New Roman" w:hAnsi="Verdana" w:cs="Arial"/>
          <w:i/>
          <w:iCs/>
          <w:sz w:val="20"/>
          <w:szCs w:val="20"/>
          <w:lang w:eastAsia="es-CO"/>
        </w:rPr>
        <w:t>contrato interadministrativo,</w:t>
      </w:r>
      <w:r w:rsidRPr="006D6CAB">
        <w:rPr>
          <w:rFonts w:ascii="Verdana" w:eastAsia="Times New Roman" w:hAnsi="Verdana" w:cs="Arial"/>
          <w:sz w:val="20"/>
          <w:szCs w:val="20"/>
          <w:lang w:eastAsia="es-CO"/>
        </w:rPr>
        <w:t xml:space="preserve"> independientemente del objeto, dicho contrato puede suscribirse durante el periodo preelectoral.</w:t>
      </w:r>
    </w:p>
    <w:p w14:paraId="2FE92887" w14:textId="77777777" w:rsidR="00C41BA8" w:rsidRPr="00C41BA8" w:rsidRDefault="00C41BA8" w:rsidP="00C41BA8">
      <w:pPr>
        <w:spacing w:after="0" w:line="240" w:lineRule="auto"/>
        <w:jc w:val="both"/>
        <w:rPr>
          <w:rFonts w:ascii="Verdana" w:hAnsi="Verdana" w:cs="Arial"/>
          <w:b/>
          <w:bCs/>
          <w:color w:val="000000" w:themeColor="text1"/>
        </w:rPr>
      </w:pPr>
    </w:p>
    <w:p w14:paraId="7397235B" w14:textId="7A3C4570" w:rsidR="00C41BA8" w:rsidRPr="00C41BA8" w:rsidRDefault="00C41BA8" w:rsidP="00C41BA8">
      <w:pPr>
        <w:spacing w:after="0" w:line="240" w:lineRule="auto"/>
        <w:jc w:val="both"/>
        <w:rPr>
          <w:rFonts w:ascii="Verdana" w:hAnsi="Verdana"/>
          <w:b/>
          <w:bCs/>
          <w:lang w:val="es-ES"/>
        </w:rPr>
      </w:pPr>
      <w:r w:rsidRPr="00C41BA8">
        <w:rPr>
          <w:rFonts w:ascii="Verdana" w:hAnsi="Verdana"/>
          <w:b/>
          <w:bCs/>
          <w:lang w:val="es-ES"/>
        </w:rPr>
        <w:t xml:space="preserve">FONDO DE ENERGÍAS NO CONVENCIONALES Y GESTIÓN EFICIENTE DE ENERGÍA – Régimen de contratación </w:t>
      </w:r>
    </w:p>
    <w:p w14:paraId="1F046E83" w14:textId="77777777" w:rsidR="00C41BA8" w:rsidRDefault="00C41BA8" w:rsidP="00C41BA8">
      <w:pPr>
        <w:spacing w:after="0" w:line="240" w:lineRule="auto"/>
        <w:jc w:val="both"/>
        <w:rPr>
          <w:rFonts w:ascii="Verdana" w:hAnsi="Verdana"/>
          <w:lang w:val="es-ES"/>
        </w:rPr>
      </w:pPr>
    </w:p>
    <w:p w14:paraId="208F67D3" w14:textId="190DC5C8" w:rsidR="00C41BA8" w:rsidRDefault="00C41BA8" w:rsidP="00C41BA8">
      <w:pPr>
        <w:spacing w:after="0" w:line="240" w:lineRule="auto"/>
        <w:jc w:val="both"/>
        <w:rPr>
          <w:rFonts w:ascii="Verdana" w:eastAsia="Calibri" w:hAnsi="Verdana" w:cs="Arial"/>
          <w:sz w:val="20"/>
          <w:szCs w:val="20"/>
          <w:lang w:eastAsia="es-ES"/>
        </w:rPr>
      </w:pPr>
      <w:r w:rsidRPr="00C41BA8">
        <w:rPr>
          <w:rFonts w:ascii="Verdana" w:eastAsia="Calibri" w:hAnsi="Verdana" w:cs="Arial"/>
          <w:sz w:val="20"/>
          <w:szCs w:val="20"/>
          <w:lang w:eastAsia="es-ES"/>
        </w:rPr>
        <w:t xml:space="preserve">La Ley 1715 de 2014 en su artículo 10, modificado por la Ley 2099 de 2021, creó dicho Fondo como un patrimonio autónomo administrado a través de una fiducia mercantil, previa celebración por parte del Ministerio de Minas y Energía de un contrato de fiducia, y cuyo objeto es promover, ejecutar y financiar planes, programas y proyectos de Fuentes No Convencionales de Energía – FNCE, principalmente aquellas de carácter renovable y de Gestión Eficiente de la Energía - GEE y estableció que este FONDO sería reglamentado por el Ministerio de Minas y Energía, labor que se surtió con la creación de un Manual Operativo y un Comité Directivo. </w:t>
      </w:r>
    </w:p>
    <w:p w14:paraId="59B7CD1A" w14:textId="77777777" w:rsidR="00C41BA8" w:rsidRDefault="00C41BA8" w:rsidP="00C41BA8">
      <w:pPr>
        <w:spacing w:after="0" w:line="240" w:lineRule="auto"/>
        <w:jc w:val="both"/>
        <w:rPr>
          <w:rFonts w:ascii="Verdana" w:eastAsia="Calibri" w:hAnsi="Verdana" w:cs="Arial"/>
          <w:sz w:val="20"/>
          <w:szCs w:val="20"/>
          <w:lang w:eastAsia="es-ES"/>
        </w:rPr>
      </w:pPr>
    </w:p>
    <w:p w14:paraId="3131EE6B" w14:textId="388ECF69" w:rsidR="00C41BA8" w:rsidRDefault="00C41BA8" w:rsidP="00C41BA8">
      <w:pPr>
        <w:spacing w:after="0" w:line="240" w:lineRule="auto"/>
        <w:jc w:val="both"/>
        <w:rPr>
          <w:rFonts w:ascii="Verdana" w:eastAsia="Calibri" w:hAnsi="Verdana" w:cs="Arial"/>
          <w:sz w:val="20"/>
          <w:szCs w:val="20"/>
          <w:lang w:eastAsia="es-ES"/>
        </w:rPr>
      </w:pPr>
      <w:r w:rsidRPr="00C41BA8">
        <w:rPr>
          <w:rFonts w:ascii="Verdana" w:eastAsia="Calibri" w:hAnsi="Verdana" w:cs="Arial"/>
          <w:sz w:val="20"/>
          <w:szCs w:val="20"/>
          <w:lang w:eastAsia="es-ES"/>
        </w:rPr>
        <w:t xml:space="preserve">El mismo artículo 10 en el literal e) dispuso que el régimen de contratación y administración de sus recursos será regido por el derecho privado, con plena observancia de los principios de transparencia, economía, igualdad, publicidad y selección objetiva, definidos por la Constitución y la ley, además de aplicar el régimen de inhabilidades e incompatibilidades previsto legalmente. </w:t>
      </w:r>
    </w:p>
    <w:p w14:paraId="07A826B9" w14:textId="77777777" w:rsidR="00C41BA8" w:rsidRDefault="00C41BA8" w:rsidP="00C41BA8">
      <w:pPr>
        <w:spacing w:after="0" w:line="240" w:lineRule="auto"/>
        <w:jc w:val="both"/>
        <w:rPr>
          <w:rFonts w:ascii="Verdana" w:eastAsia="Calibri" w:hAnsi="Verdana" w:cs="Arial"/>
          <w:sz w:val="20"/>
          <w:szCs w:val="20"/>
          <w:lang w:eastAsia="es-ES"/>
        </w:rPr>
      </w:pPr>
    </w:p>
    <w:p w14:paraId="35B4EC80" w14:textId="507E7968" w:rsidR="00C41BA8" w:rsidRPr="000466F5" w:rsidRDefault="00C41BA8" w:rsidP="00C41BA8">
      <w:pPr>
        <w:spacing w:after="0" w:line="240" w:lineRule="auto"/>
        <w:jc w:val="both"/>
        <w:rPr>
          <w:rFonts w:ascii="Verdana" w:hAnsi="Verdana"/>
          <w:b/>
          <w:bCs/>
          <w:lang w:val="es-ES"/>
        </w:rPr>
      </w:pPr>
      <w:r w:rsidRPr="000466F5">
        <w:rPr>
          <w:rFonts w:ascii="Verdana" w:hAnsi="Verdana"/>
          <w:b/>
          <w:bCs/>
          <w:lang w:val="es-ES"/>
        </w:rPr>
        <w:t>LEY DE GARANTÍAS ELECTORALES – Restricción artículo 33</w:t>
      </w:r>
    </w:p>
    <w:p w14:paraId="2B7BAD6C" w14:textId="77777777" w:rsidR="00C41BA8" w:rsidRPr="000466F5" w:rsidRDefault="00C41BA8" w:rsidP="000466F5">
      <w:pPr>
        <w:spacing w:after="0" w:line="240" w:lineRule="auto"/>
        <w:rPr>
          <w:rFonts w:ascii="Verdana" w:eastAsia="Verdana" w:hAnsi="Verdana" w:cs="Verdana"/>
          <w:sz w:val="20"/>
          <w:szCs w:val="20"/>
          <w:lang w:val="es-ES"/>
        </w:rPr>
      </w:pPr>
    </w:p>
    <w:p w14:paraId="0280F6C2" w14:textId="40694885" w:rsidR="000466F5" w:rsidRPr="000466F5" w:rsidRDefault="000466F5" w:rsidP="000466F5">
      <w:pPr>
        <w:spacing w:after="0" w:line="240" w:lineRule="auto"/>
        <w:jc w:val="both"/>
        <w:rPr>
          <w:rFonts w:ascii="Verdana" w:eastAsia="Verdana" w:hAnsi="Verdana" w:cs="Verdana"/>
          <w:sz w:val="20"/>
          <w:szCs w:val="20"/>
        </w:rPr>
      </w:pPr>
      <w:r w:rsidRPr="000466F5">
        <w:rPr>
          <w:rFonts w:ascii="Verdana" w:eastAsia="Verdana" w:hAnsi="Verdana" w:cs="Verdana"/>
          <w:sz w:val="20"/>
          <w:szCs w:val="20"/>
        </w:rPr>
        <w:t xml:space="preserve">De acuerdo con lo anterior, será la Entidad Estatal, en el marco de su autonomía contractual, y bajo las reglas definidas para la celebración de sus contratos en su manual de contratación, determinar si se encuentra dentro de las excepciones contempladas en el artículo 33 de la Ley 996 de 2005.  </w:t>
      </w:r>
    </w:p>
    <w:p w14:paraId="2F6EE31A" w14:textId="77777777" w:rsidR="00C41BA8" w:rsidRDefault="00C41BA8" w:rsidP="00F853CC">
      <w:pPr>
        <w:spacing w:after="0"/>
        <w:rPr>
          <w:rFonts w:ascii="Verdana" w:eastAsia="Verdana" w:hAnsi="Verdana" w:cs="Verdana"/>
        </w:rPr>
      </w:pPr>
    </w:p>
    <w:p w14:paraId="65483F07" w14:textId="77777777" w:rsidR="00C41BA8" w:rsidRDefault="00C41BA8" w:rsidP="00F853CC">
      <w:pPr>
        <w:spacing w:after="0"/>
        <w:rPr>
          <w:rFonts w:ascii="Verdana" w:eastAsia="Verdana" w:hAnsi="Verdana" w:cs="Verdana"/>
        </w:rPr>
      </w:pPr>
    </w:p>
    <w:p w14:paraId="320C2FCA" w14:textId="77777777" w:rsidR="000466F5" w:rsidRDefault="000466F5" w:rsidP="00F853CC">
      <w:pPr>
        <w:spacing w:after="0"/>
        <w:rPr>
          <w:rFonts w:ascii="Verdana" w:eastAsia="Verdana" w:hAnsi="Verdana" w:cs="Verdana"/>
        </w:rPr>
      </w:pPr>
    </w:p>
    <w:p w14:paraId="3BC2E4B3" w14:textId="77777777" w:rsidR="000466F5" w:rsidRDefault="000466F5" w:rsidP="00F853CC">
      <w:pPr>
        <w:spacing w:after="0"/>
        <w:rPr>
          <w:rFonts w:ascii="Verdana" w:eastAsia="Verdana" w:hAnsi="Verdana" w:cs="Verdana"/>
        </w:rPr>
      </w:pPr>
    </w:p>
    <w:p w14:paraId="441FD159" w14:textId="77777777" w:rsidR="000466F5" w:rsidRDefault="000466F5" w:rsidP="00F853CC">
      <w:pPr>
        <w:spacing w:after="0"/>
        <w:rPr>
          <w:rFonts w:ascii="Verdana" w:eastAsia="Verdana" w:hAnsi="Verdana" w:cs="Verdana"/>
        </w:rPr>
      </w:pPr>
    </w:p>
    <w:p w14:paraId="4285B58F" w14:textId="77777777" w:rsidR="000466F5" w:rsidRDefault="000466F5" w:rsidP="00F853CC">
      <w:pPr>
        <w:spacing w:after="0"/>
        <w:rPr>
          <w:rFonts w:ascii="Verdana" w:eastAsia="Verdana" w:hAnsi="Verdana" w:cs="Verdana"/>
        </w:rPr>
      </w:pPr>
    </w:p>
    <w:p w14:paraId="08B9AB16" w14:textId="77777777" w:rsidR="000466F5" w:rsidRDefault="000466F5" w:rsidP="00F853CC">
      <w:pPr>
        <w:spacing w:after="0"/>
        <w:rPr>
          <w:rFonts w:ascii="Verdana" w:eastAsia="Verdana" w:hAnsi="Verdana" w:cs="Verdana"/>
        </w:rPr>
      </w:pPr>
    </w:p>
    <w:p w14:paraId="51AF14B0" w14:textId="77777777" w:rsidR="000466F5" w:rsidRDefault="000466F5" w:rsidP="00F853CC">
      <w:pPr>
        <w:spacing w:after="0"/>
        <w:rPr>
          <w:rFonts w:ascii="Verdana" w:eastAsia="Verdana" w:hAnsi="Verdana" w:cs="Verdana"/>
        </w:rPr>
      </w:pPr>
    </w:p>
    <w:p w14:paraId="1C1521B7" w14:textId="77777777" w:rsidR="000466F5" w:rsidRDefault="000466F5" w:rsidP="00F853CC">
      <w:pPr>
        <w:spacing w:after="0"/>
        <w:rPr>
          <w:rFonts w:ascii="Verdana" w:eastAsia="Verdana" w:hAnsi="Verdana" w:cs="Verdana"/>
        </w:rPr>
      </w:pPr>
    </w:p>
    <w:p w14:paraId="36046A21" w14:textId="77777777" w:rsidR="000466F5" w:rsidRDefault="000466F5" w:rsidP="00F853CC">
      <w:pPr>
        <w:spacing w:after="0"/>
        <w:rPr>
          <w:rFonts w:ascii="Verdana" w:eastAsia="Verdana" w:hAnsi="Verdana" w:cs="Verdana"/>
        </w:rPr>
      </w:pPr>
    </w:p>
    <w:p w14:paraId="547926F7" w14:textId="77777777" w:rsidR="000466F5" w:rsidRDefault="000466F5" w:rsidP="00F853CC">
      <w:pPr>
        <w:spacing w:after="0"/>
        <w:rPr>
          <w:rFonts w:ascii="Verdana" w:eastAsia="Verdana" w:hAnsi="Verdana" w:cs="Verdana"/>
        </w:rPr>
      </w:pPr>
    </w:p>
    <w:p w14:paraId="0317FC3F" w14:textId="77777777" w:rsidR="000466F5" w:rsidRDefault="000466F5" w:rsidP="00F853CC">
      <w:pPr>
        <w:spacing w:after="0"/>
        <w:rPr>
          <w:rFonts w:ascii="Verdana" w:eastAsia="Verdana" w:hAnsi="Verdana" w:cs="Verdana"/>
        </w:rPr>
      </w:pPr>
    </w:p>
    <w:p w14:paraId="6344A71D" w14:textId="77777777" w:rsidR="000466F5" w:rsidRDefault="000466F5" w:rsidP="00F853CC">
      <w:pPr>
        <w:spacing w:after="0"/>
        <w:rPr>
          <w:rFonts w:ascii="Verdana" w:eastAsia="Verdana" w:hAnsi="Verdana" w:cs="Verdana"/>
        </w:rPr>
      </w:pPr>
    </w:p>
    <w:p w14:paraId="36EFDDF0" w14:textId="77777777" w:rsidR="000466F5" w:rsidRDefault="000466F5" w:rsidP="00F853CC">
      <w:pPr>
        <w:spacing w:after="0"/>
        <w:rPr>
          <w:rFonts w:ascii="Verdana" w:eastAsia="Verdana" w:hAnsi="Verdana" w:cs="Verdana"/>
        </w:rPr>
      </w:pPr>
    </w:p>
    <w:p w14:paraId="52569DDE" w14:textId="77777777" w:rsidR="000466F5" w:rsidRDefault="000466F5" w:rsidP="00F853CC">
      <w:pPr>
        <w:spacing w:after="0"/>
        <w:rPr>
          <w:rFonts w:ascii="Verdana" w:eastAsia="Verdana" w:hAnsi="Verdana" w:cs="Verdana"/>
        </w:rPr>
      </w:pPr>
    </w:p>
    <w:p w14:paraId="0DB79E2A" w14:textId="77777777" w:rsidR="000466F5" w:rsidRDefault="000466F5" w:rsidP="00F853CC">
      <w:pPr>
        <w:spacing w:after="0"/>
        <w:rPr>
          <w:rFonts w:ascii="Verdana" w:eastAsia="Verdana" w:hAnsi="Verdana" w:cs="Verdana"/>
        </w:rPr>
      </w:pPr>
    </w:p>
    <w:p w14:paraId="79CAEF82" w14:textId="77777777" w:rsidR="000466F5" w:rsidRDefault="000466F5" w:rsidP="00F853CC">
      <w:pPr>
        <w:spacing w:after="0"/>
        <w:rPr>
          <w:rFonts w:ascii="Verdana" w:eastAsia="Verdana" w:hAnsi="Verdana" w:cs="Verdana"/>
        </w:rPr>
      </w:pPr>
    </w:p>
    <w:p w14:paraId="0BA70721" w14:textId="77777777" w:rsidR="000466F5" w:rsidRDefault="000466F5" w:rsidP="00F853CC">
      <w:pPr>
        <w:spacing w:after="0"/>
        <w:rPr>
          <w:rFonts w:ascii="Verdana" w:eastAsia="Verdana" w:hAnsi="Verdana" w:cs="Verdana"/>
        </w:rPr>
      </w:pPr>
    </w:p>
    <w:p w14:paraId="3DB41E25" w14:textId="77777777" w:rsidR="000466F5" w:rsidRDefault="000466F5" w:rsidP="00F853CC">
      <w:pPr>
        <w:spacing w:after="0"/>
        <w:rPr>
          <w:rFonts w:ascii="Verdana" w:eastAsia="Verdana" w:hAnsi="Verdana" w:cs="Verdana"/>
        </w:rPr>
      </w:pPr>
    </w:p>
    <w:p w14:paraId="7A5B9A91" w14:textId="77777777" w:rsidR="000466F5" w:rsidRDefault="000466F5" w:rsidP="00F853CC">
      <w:pPr>
        <w:spacing w:after="0"/>
        <w:rPr>
          <w:rFonts w:ascii="Verdana" w:eastAsia="Verdana" w:hAnsi="Verdana" w:cs="Verdana"/>
        </w:rPr>
      </w:pPr>
    </w:p>
    <w:p w14:paraId="35B8947D" w14:textId="77777777" w:rsidR="000466F5" w:rsidRDefault="000466F5" w:rsidP="00F853CC">
      <w:pPr>
        <w:spacing w:after="0"/>
        <w:rPr>
          <w:rFonts w:ascii="Verdana" w:eastAsia="Verdana" w:hAnsi="Verdana" w:cs="Verdana"/>
        </w:rPr>
      </w:pPr>
    </w:p>
    <w:p w14:paraId="02BE765E" w14:textId="77777777" w:rsidR="000466F5" w:rsidRDefault="000466F5" w:rsidP="00F853CC">
      <w:pPr>
        <w:spacing w:after="0"/>
        <w:rPr>
          <w:rFonts w:ascii="Verdana" w:eastAsia="Verdana" w:hAnsi="Verdana" w:cs="Verdana"/>
        </w:rPr>
      </w:pPr>
    </w:p>
    <w:p w14:paraId="3E0AC388" w14:textId="77777777" w:rsidR="000466F5" w:rsidRDefault="000466F5" w:rsidP="00F853CC">
      <w:pPr>
        <w:spacing w:after="0"/>
        <w:rPr>
          <w:rFonts w:ascii="Verdana" w:eastAsia="Verdana" w:hAnsi="Verdana" w:cs="Verdana"/>
        </w:rPr>
      </w:pPr>
    </w:p>
    <w:p w14:paraId="07EDA83D" w14:textId="77777777" w:rsidR="000466F5" w:rsidRDefault="000466F5" w:rsidP="00F853CC">
      <w:pPr>
        <w:spacing w:after="0"/>
        <w:rPr>
          <w:rFonts w:ascii="Verdana" w:eastAsia="Verdana" w:hAnsi="Verdana" w:cs="Verdana"/>
        </w:rPr>
      </w:pPr>
    </w:p>
    <w:p w14:paraId="5CA824D9" w14:textId="77777777" w:rsidR="00C41BA8" w:rsidRDefault="00C41BA8" w:rsidP="00F853CC">
      <w:pPr>
        <w:spacing w:after="0"/>
        <w:rPr>
          <w:rFonts w:ascii="Verdana" w:eastAsia="Verdana" w:hAnsi="Verdana" w:cs="Verdana"/>
        </w:rPr>
      </w:pPr>
    </w:p>
    <w:p w14:paraId="1C6B5ED7" w14:textId="1FA6CA35" w:rsidR="00C41BA8" w:rsidRDefault="00C15139" w:rsidP="00F853CC">
      <w:pPr>
        <w:spacing w:after="0"/>
        <w:rPr>
          <w:rFonts w:ascii="Verdana" w:eastAsia="Verdana" w:hAnsi="Verdana" w:cs="Verdana"/>
        </w:rPr>
      </w:pPr>
      <w:r w:rsidRPr="30821638">
        <w:rPr>
          <w:rFonts w:ascii="Verdana" w:eastAsia="Verdana" w:hAnsi="Verdana" w:cs="Verdana"/>
        </w:rPr>
        <w:t xml:space="preserve">Bogotá D.C., </w:t>
      </w:r>
      <w:r w:rsidR="00C41BA8">
        <w:rPr>
          <w:rFonts w:ascii="Verdana" w:eastAsia="Verdana" w:hAnsi="Verdana" w:cs="Verdana"/>
        </w:rPr>
        <w:t xml:space="preserve">10 </w:t>
      </w:r>
      <w:proofErr w:type="gramStart"/>
      <w:r w:rsidR="00C41BA8">
        <w:rPr>
          <w:rFonts w:ascii="Verdana" w:eastAsia="Verdana" w:hAnsi="Verdana" w:cs="Verdana"/>
        </w:rPr>
        <w:t>Abril</w:t>
      </w:r>
      <w:proofErr w:type="gramEnd"/>
      <w:r w:rsidR="00C41BA8">
        <w:rPr>
          <w:rFonts w:ascii="Verdana" w:eastAsia="Verdana" w:hAnsi="Verdana" w:cs="Verdana"/>
        </w:rPr>
        <w:t xml:space="preserve"> 2026</w:t>
      </w:r>
    </w:p>
    <w:p w14:paraId="363EA96A" w14:textId="4D2CDF09" w:rsidR="00F853CC" w:rsidRPr="00F853CC" w:rsidRDefault="00C41BA8" w:rsidP="00C41BA8">
      <w:pPr>
        <w:spacing w:after="0"/>
        <w:jc w:val="right"/>
        <w:rPr>
          <w:rFonts w:ascii="Verdana" w:eastAsia="Verdana" w:hAnsi="Verdana" w:cs="Verdana"/>
        </w:rPr>
      </w:pPr>
      <w:r w:rsidRPr="00C41BA8">
        <w:drawing>
          <wp:inline distT="0" distB="0" distL="0" distR="0" wp14:anchorId="4D752E17" wp14:editId="726D76B4">
            <wp:extent cx="2190750" cy="587211"/>
            <wp:effectExtent l="0" t="0" r="0" b="3810"/>
            <wp:docPr id="181297224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2972247" name=""/>
                    <pic:cNvPicPr/>
                  </pic:nvPicPr>
                  <pic:blipFill>
                    <a:blip r:embed="rId10"/>
                    <a:stretch>
                      <a:fillRect/>
                    </a:stretch>
                  </pic:blipFill>
                  <pic:spPr>
                    <a:xfrm>
                      <a:off x="0" y="0"/>
                      <a:ext cx="2208500" cy="591969"/>
                    </a:xfrm>
                    <a:prstGeom prst="rect">
                      <a:avLst/>
                    </a:prstGeom>
                  </pic:spPr>
                </pic:pic>
              </a:graphicData>
            </a:graphic>
          </wp:inline>
        </w:drawing>
      </w:r>
      <w:r w:rsidR="00C15139">
        <w:br/>
      </w:r>
      <w:r w:rsidR="00C15139">
        <w:tab/>
      </w:r>
      <w:bookmarkStart w:id="1" w:name="_Hlk214366482"/>
    </w:p>
    <w:p w14:paraId="1CF60AB9" w14:textId="77777777" w:rsidR="00F853CC" w:rsidRDefault="00F853CC" w:rsidP="00F853CC">
      <w:pPr>
        <w:spacing w:after="0" w:line="240" w:lineRule="auto"/>
        <w:jc w:val="both"/>
        <w:rPr>
          <w:rFonts w:ascii="Verdana" w:eastAsia="Calibri" w:hAnsi="Verdana" w:cs="Arial"/>
          <w:b/>
          <w:bCs/>
          <w:lang w:eastAsia="es-ES"/>
        </w:rPr>
      </w:pPr>
      <w:r>
        <w:rPr>
          <w:rFonts w:ascii="Verdana" w:eastAsia="Calibri" w:hAnsi="Verdana" w:cs="Arial"/>
          <w:b/>
          <w:bCs/>
          <w:lang w:eastAsia="es-ES"/>
        </w:rPr>
        <w:t>Señores</w:t>
      </w:r>
    </w:p>
    <w:p w14:paraId="26060C10" w14:textId="77777777" w:rsidR="00F853CC" w:rsidRDefault="00F853CC" w:rsidP="00F853CC">
      <w:pPr>
        <w:spacing w:after="0" w:line="240" w:lineRule="auto"/>
        <w:jc w:val="both"/>
        <w:rPr>
          <w:rFonts w:ascii="Verdana" w:eastAsia="Calibri" w:hAnsi="Verdana" w:cs="Arial"/>
          <w:b/>
          <w:bCs/>
          <w:lang w:eastAsia="es-ES"/>
        </w:rPr>
      </w:pPr>
      <w:r>
        <w:rPr>
          <w:rFonts w:ascii="Verdana" w:eastAsia="Calibri" w:hAnsi="Verdana" w:cs="Arial"/>
          <w:b/>
          <w:bCs/>
          <w:lang w:eastAsia="es-ES"/>
        </w:rPr>
        <w:t xml:space="preserve">Fondo de Energías no Convencionales y Gestión de la Energía </w:t>
      </w:r>
    </w:p>
    <w:p w14:paraId="510985C6" w14:textId="77777777" w:rsidR="00F853CC" w:rsidRPr="00D2332A" w:rsidRDefault="00F853CC" w:rsidP="00F853CC">
      <w:pPr>
        <w:spacing w:after="0" w:line="240" w:lineRule="auto"/>
        <w:jc w:val="both"/>
        <w:rPr>
          <w:rFonts w:ascii="Verdana" w:eastAsia="Calibri" w:hAnsi="Verdana" w:cs="Arial"/>
          <w:b/>
          <w:bCs/>
          <w:lang w:val="en-US" w:eastAsia="es-ES"/>
        </w:rPr>
      </w:pPr>
      <w:r w:rsidRPr="00D2332A">
        <w:rPr>
          <w:rFonts w:ascii="Verdana" w:eastAsia="Calibri" w:hAnsi="Verdana" w:cs="Arial"/>
          <w:b/>
          <w:bCs/>
          <w:lang w:val="en-US" w:eastAsia="es-ES"/>
        </w:rPr>
        <w:t xml:space="preserve">Doctor </w:t>
      </w:r>
    </w:p>
    <w:p w14:paraId="755DCD1A" w14:textId="77777777" w:rsidR="00F853CC" w:rsidRPr="00A75807" w:rsidRDefault="00F853CC" w:rsidP="00F853CC">
      <w:pPr>
        <w:spacing w:after="0" w:line="240" w:lineRule="auto"/>
        <w:jc w:val="both"/>
        <w:rPr>
          <w:rFonts w:ascii="Verdana" w:eastAsia="Calibri" w:hAnsi="Verdana" w:cs="Arial"/>
          <w:b/>
          <w:bCs/>
          <w:lang w:val="en-US" w:eastAsia="es-ES"/>
        </w:rPr>
      </w:pPr>
      <w:r w:rsidRPr="00A75807">
        <w:rPr>
          <w:rFonts w:ascii="Verdana" w:eastAsia="Calibri" w:hAnsi="Verdana" w:cs="Arial"/>
          <w:b/>
          <w:bCs/>
          <w:lang w:val="en-US" w:eastAsia="es-ES"/>
        </w:rPr>
        <w:t>Juan David Sterling Olave</w:t>
      </w:r>
    </w:p>
    <w:p w14:paraId="2A9245EC" w14:textId="77777777" w:rsidR="00F853CC" w:rsidRPr="00A75807" w:rsidRDefault="00F853CC" w:rsidP="00F853CC">
      <w:pPr>
        <w:spacing w:after="0" w:line="240" w:lineRule="auto"/>
        <w:jc w:val="both"/>
        <w:rPr>
          <w:rFonts w:ascii="Verdana" w:hAnsi="Verdana"/>
          <w:b/>
          <w:bCs/>
          <w:lang w:val="en-US"/>
        </w:rPr>
      </w:pPr>
      <w:hyperlink r:id="rId11" w:history="1">
        <w:r w:rsidRPr="00A75807">
          <w:rPr>
            <w:rStyle w:val="Hipervnculo"/>
            <w:rFonts w:ascii="Verdana" w:hAnsi="Verdana"/>
            <w:b/>
            <w:bCs/>
            <w:lang w:val="en-US"/>
          </w:rPr>
          <w:t>info@fenoge.gov.co</w:t>
        </w:r>
      </w:hyperlink>
    </w:p>
    <w:p w14:paraId="489142BB" w14:textId="77777777" w:rsidR="00F853CC" w:rsidRPr="00A75807" w:rsidRDefault="00F853CC" w:rsidP="00F853CC">
      <w:pPr>
        <w:spacing w:after="0" w:line="240" w:lineRule="auto"/>
        <w:jc w:val="both"/>
        <w:rPr>
          <w:rFonts w:ascii="Verdana" w:hAnsi="Verdana"/>
        </w:rPr>
      </w:pPr>
      <w:r>
        <w:rPr>
          <w:rFonts w:ascii="Verdana" w:hAnsi="Verdana"/>
        </w:rPr>
        <w:t xml:space="preserve">Ciudad </w:t>
      </w:r>
    </w:p>
    <w:p w14:paraId="07B9CB2A" w14:textId="77777777" w:rsidR="00F853CC" w:rsidRPr="00A75807" w:rsidRDefault="00F853CC" w:rsidP="00F853CC">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F853CC" w:rsidRPr="005644FE" w14:paraId="54EF7635" w14:textId="77777777" w:rsidTr="00650004">
        <w:trPr>
          <w:trHeight w:val="162"/>
        </w:trPr>
        <w:tc>
          <w:tcPr>
            <w:tcW w:w="3119" w:type="dxa"/>
          </w:tcPr>
          <w:p w14:paraId="7DB3CBD1" w14:textId="77777777" w:rsidR="00F853CC" w:rsidRPr="00A75807" w:rsidRDefault="00F853CC" w:rsidP="00650004">
            <w:pPr>
              <w:jc w:val="both"/>
              <w:rPr>
                <w:rFonts w:ascii="Verdana" w:eastAsia="Calibri" w:hAnsi="Verdana" w:cs="Arial"/>
                <w:b/>
                <w:bCs/>
                <w:color w:val="7030A0"/>
                <w:lang w:eastAsia="es-ES_tradnl"/>
              </w:rPr>
            </w:pPr>
          </w:p>
        </w:tc>
        <w:tc>
          <w:tcPr>
            <w:tcW w:w="5670" w:type="dxa"/>
          </w:tcPr>
          <w:p w14:paraId="759F0EA7" w14:textId="77777777" w:rsidR="00F853CC" w:rsidRPr="005644FE" w:rsidRDefault="00F853CC" w:rsidP="00650004">
            <w:pPr>
              <w:jc w:val="both"/>
              <w:rPr>
                <w:rFonts w:ascii="Verdana" w:eastAsia="Calibri" w:hAnsi="Verdana" w:cs="Arial"/>
                <w:b/>
                <w:bCs/>
                <w:lang w:eastAsia="es-ES"/>
              </w:rPr>
            </w:pPr>
            <w:r w:rsidRPr="005644FE">
              <w:rPr>
                <w:rFonts w:ascii="Verdana" w:eastAsia="Calibri" w:hAnsi="Verdana" w:cs="Arial"/>
                <w:b/>
                <w:bCs/>
                <w:lang w:eastAsia="es-ES"/>
              </w:rPr>
              <w:t>Concepto C</w:t>
            </w:r>
            <w:r w:rsidRPr="00205473">
              <w:rPr>
                <w:rFonts w:ascii="Verdana" w:eastAsia="Calibri" w:hAnsi="Verdana" w:cs="Arial"/>
                <w:b/>
                <w:bCs/>
                <w:lang w:eastAsia="es-ES"/>
              </w:rPr>
              <w:t>-</w:t>
            </w:r>
            <w:r>
              <w:rPr>
                <w:rFonts w:ascii="Verdana" w:eastAsia="Calibri" w:hAnsi="Verdana" w:cs="Arial"/>
                <w:b/>
                <w:bCs/>
                <w:lang w:eastAsia="es-ES"/>
              </w:rPr>
              <w:t>400 de 2026</w:t>
            </w:r>
          </w:p>
          <w:p w14:paraId="72021513" w14:textId="77777777" w:rsidR="00F853CC" w:rsidRPr="005644FE" w:rsidRDefault="00F853CC" w:rsidP="00650004">
            <w:pPr>
              <w:jc w:val="both"/>
              <w:rPr>
                <w:rFonts w:ascii="Verdana" w:eastAsia="Calibri" w:hAnsi="Verdana" w:cs="Arial"/>
                <w:b/>
                <w:bCs/>
                <w:color w:val="7030A0"/>
                <w:lang w:eastAsia="es-ES"/>
              </w:rPr>
            </w:pPr>
          </w:p>
        </w:tc>
      </w:tr>
      <w:tr w:rsidR="00F853CC" w:rsidRPr="005644FE" w14:paraId="55787842" w14:textId="77777777" w:rsidTr="00650004">
        <w:trPr>
          <w:trHeight w:val="884"/>
        </w:trPr>
        <w:tc>
          <w:tcPr>
            <w:tcW w:w="3119" w:type="dxa"/>
          </w:tcPr>
          <w:p w14:paraId="0196B649" w14:textId="77777777" w:rsidR="00F853CC" w:rsidRPr="005644FE" w:rsidRDefault="00F853CC" w:rsidP="00650004">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0DDBB8A2" w14:textId="77777777" w:rsidR="00F853CC" w:rsidRDefault="00F853CC" w:rsidP="00650004">
            <w:pPr>
              <w:spacing w:line="276" w:lineRule="auto"/>
              <w:jc w:val="both"/>
              <w:rPr>
                <w:rFonts w:ascii="Verdana" w:hAnsi="Verdana"/>
                <w:lang w:val="es-ES"/>
              </w:rPr>
            </w:pPr>
            <w:r w:rsidRPr="0062698A">
              <w:rPr>
                <w:rFonts w:ascii="Verdana" w:eastAsia="Verdana" w:hAnsi="Verdana" w:cs="Verdana"/>
                <w:color w:val="000000" w:themeColor="text1"/>
              </w:rPr>
              <w:t>LEY DE GARANTÍAS ELECTORALES – Propósito /</w:t>
            </w:r>
            <w:r>
              <w:rPr>
                <w:rFonts w:ascii="Verdana" w:eastAsia="Verdana" w:hAnsi="Verdana" w:cs="Verdana"/>
                <w:color w:val="000000" w:themeColor="text1"/>
              </w:rPr>
              <w:t xml:space="preserve"> </w:t>
            </w:r>
            <w:r w:rsidRPr="0062698A">
              <w:rPr>
                <w:rFonts w:ascii="Verdana" w:eastAsia="Verdana" w:hAnsi="Verdana" w:cs="Verdana"/>
                <w:color w:val="000000" w:themeColor="text1"/>
              </w:rPr>
              <w:t>LEY DE GARANTÍAS ELECTORALES – Prohibiciones – Restricciones / LEY DE GARANTÍAS ELECTORALES – Artículo 33 – Ámbito material / LEY DE GARANTÍAS ELECTORALES – Destinatarios / LEY DE GARANTÍAS ELEC</w:t>
            </w:r>
            <w:r w:rsidRPr="0099386F">
              <w:rPr>
                <w:rFonts w:ascii="Verdana" w:eastAsia="Verdana" w:hAnsi="Verdana" w:cs="Verdana"/>
                <w:color w:val="000000" w:themeColor="text1"/>
              </w:rPr>
              <w:t xml:space="preserve">TORALES – Excepciones / </w:t>
            </w:r>
            <w:r>
              <w:rPr>
                <w:rFonts w:ascii="Verdana" w:eastAsia="Verdana" w:hAnsi="Verdana" w:cs="Verdana"/>
                <w:color w:val="000000" w:themeColor="text1"/>
              </w:rPr>
              <w:t xml:space="preserve">LEY DE GARANTÍAS ELECTORALES - </w:t>
            </w:r>
            <w:r w:rsidRPr="00937FB6">
              <w:rPr>
                <w:rFonts w:ascii="Verdana" w:hAnsi="Verdana" w:cs="Arial"/>
                <w:color w:val="000000" w:themeColor="text1"/>
              </w:rPr>
              <w:t>Parágrafo del artículo 38 - Alcance / LEY DE GARANTÍAS ELECTORALES – Convenios interadministrativos – Contratos interadministrativos / CONSEJO DE ESTADO posición /</w:t>
            </w:r>
            <w:r w:rsidRPr="00937FB6">
              <w:rPr>
                <w:rFonts w:ascii="Verdana" w:hAnsi="Verdana"/>
                <w:color w:val="000000" w:themeColor="text1"/>
              </w:rPr>
              <w:t xml:space="preserve"> </w:t>
            </w:r>
            <w:r>
              <w:rPr>
                <w:rFonts w:ascii="Verdana" w:hAnsi="Verdana"/>
                <w:lang w:val="es-ES"/>
              </w:rPr>
              <w:t>FONDO DE ENERGÍAS NO CONVENCIONALES Y GESTIÓN EFICIENTE DE ENERGÍA – Régimen de contratación – LEY DE GARANTÍAS ELECTORALES – Restricción artículo 33</w:t>
            </w:r>
          </w:p>
          <w:p w14:paraId="4146D57A" w14:textId="77777777" w:rsidR="00F853CC" w:rsidRPr="00886C89" w:rsidRDefault="00F853CC" w:rsidP="00650004">
            <w:pPr>
              <w:spacing w:line="276" w:lineRule="auto"/>
              <w:jc w:val="both"/>
              <w:rPr>
                <w:rFonts w:ascii="Verdana" w:eastAsia="Calibri" w:hAnsi="Verdana" w:cs="Arial"/>
                <w:lang w:eastAsia="es-ES"/>
              </w:rPr>
            </w:pPr>
            <w:r>
              <w:rPr>
                <w:rFonts w:ascii="Verdana" w:hAnsi="Verdana"/>
                <w:lang w:val="es-ES"/>
              </w:rPr>
              <w:t xml:space="preserve"> </w:t>
            </w:r>
          </w:p>
        </w:tc>
      </w:tr>
      <w:tr w:rsidR="00F853CC" w:rsidRPr="005644FE" w14:paraId="57C808F4" w14:textId="77777777" w:rsidTr="00650004">
        <w:tc>
          <w:tcPr>
            <w:tcW w:w="3119" w:type="dxa"/>
          </w:tcPr>
          <w:p w14:paraId="09AA5059" w14:textId="77777777" w:rsidR="00F853CC" w:rsidRPr="005644FE" w:rsidRDefault="00F853CC" w:rsidP="00650004">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65D92E09" w14:textId="77777777" w:rsidR="00F853CC" w:rsidRPr="00F04657" w:rsidRDefault="00F853CC" w:rsidP="00650004">
            <w:pPr>
              <w:jc w:val="both"/>
              <w:rPr>
                <w:rFonts w:ascii="Verdana" w:eastAsia="Calibri" w:hAnsi="Verdana" w:cs="Arial"/>
                <w:lang w:eastAsia="es-ES_tradnl"/>
              </w:rPr>
            </w:pPr>
            <w:r w:rsidRPr="005644FE">
              <w:rPr>
                <w:rFonts w:ascii="Verdana" w:eastAsia="Calibri" w:hAnsi="Verdana" w:cs="Arial"/>
                <w:lang w:eastAsia="es-ES_tradnl"/>
              </w:rPr>
              <w:t>Respuesta a consulta con radicado</w:t>
            </w:r>
            <w:r>
              <w:rPr>
                <w:rFonts w:ascii="Verdana" w:eastAsia="Calibri" w:hAnsi="Verdana" w:cs="Arial"/>
                <w:lang w:eastAsia="es-ES_tradnl"/>
              </w:rPr>
              <w:t>s 1</w:t>
            </w:r>
            <w:r w:rsidRPr="00A75807">
              <w:rPr>
                <w:rFonts w:ascii="Verdana" w:eastAsia="Calibri" w:hAnsi="Verdana" w:cs="Arial"/>
                <w:lang w:eastAsia="es-ES_tradnl"/>
              </w:rPr>
              <w:t>_2026_03_11_003426</w:t>
            </w:r>
            <w:r>
              <w:rPr>
                <w:rFonts w:ascii="Verdana" w:eastAsia="Calibri" w:hAnsi="Verdana" w:cs="Arial"/>
                <w:lang w:eastAsia="es-ES_tradnl"/>
              </w:rPr>
              <w:t xml:space="preserve"> y </w:t>
            </w:r>
            <w:r w:rsidRPr="00A75807">
              <w:rPr>
                <w:rFonts w:ascii="Verdana" w:eastAsia="Calibri" w:hAnsi="Verdana" w:cs="Arial"/>
                <w:lang w:eastAsia="es-ES_tradnl"/>
              </w:rPr>
              <w:t>1_2026_03_11_003429</w:t>
            </w:r>
            <w:r>
              <w:rPr>
                <w:rFonts w:ascii="Verdana" w:eastAsia="Calibri" w:hAnsi="Verdana" w:cs="Arial"/>
                <w:lang w:eastAsia="es-ES_tradnl"/>
              </w:rPr>
              <w:t xml:space="preserve"> (Acumuladas) </w:t>
            </w:r>
          </w:p>
        </w:tc>
      </w:tr>
    </w:tbl>
    <w:p w14:paraId="300C51E2" w14:textId="77777777" w:rsidR="00F853CC" w:rsidRPr="005644FE" w:rsidRDefault="00F853CC" w:rsidP="00F853CC">
      <w:pPr>
        <w:spacing w:after="0" w:line="276" w:lineRule="auto"/>
        <w:jc w:val="both"/>
        <w:rPr>
          <w:rFonts w:ascii="Verdana" w:eastAsia="Calibri" w:hAnsi="Verdana" w:cs="Arial"/>
          <w:lang w:eastAsia="es-ES_tradnl"/>
        </w:rPr>
      </w:pPr>
      <w:r>
        <w:rPr>
          <w:rFonts w:ascii="Verdana" w:eastAsia="Calibri" w:hAnsi="Verdana" w:cs="Arial"/>
          <w:lang w:eastAsia="es-ES_tradnl"/>
        </w:rPr>
        <w:t xml:space="preserve"> </w:t>
      </w:r>
    </w:p>
    <w:p w14:paraId="63AE0B63" w14:textId="77777777" w:rsidR="00F853CC" w:rsidRPr="005644FE" w:rsidRDefault="00F853CC" w:rsidP="00F853CC">
      <w:pPr>
        <w:spacing w:after="0" w:line="276" w:lineRule="auto"/>
        <w:jc w:val="both"/>
        <w:rPr>
          <w:rFonts w:ascii="Verdana" w:eastAsia="Calibri" w:hAnsi="Verdana" w:cs="Arial"/>
          <w:lang w:eastAsia="es-ES"/>
        </w:rPr>
      </w:pPr>
      <w:r>
        <w:rPr>
          <w:rFonts w:ascii="Verdana" w:eastAsia="Calibri" w:hAnsi="Verdana" w:cs="Arial"/>
          <w:lang w:eastAsia="es-ES"/>
        </w:rPr>
        <w:t xml:space="preserve">Estimada entidad: </w:t>
      </w:r>
    </w:p>
    <w:p w14:paraId="26F7CF53" w14:textId="77777777" w:rsidR="00F853CC" w:rsidRPr="00E02524" w:rsidRDefault="00F853CC" w:rsidP="00F853CC">
      <w:pPr>
        <w:spacing w:after="0" w:line="276" w:lineRule="auto"/>
        <w:jc w:val="both"/>
        <w:rPr>
          <w:rFonts w:ascii="Verdana" w:hAnsi="Verdana"/>
          <w:lang w:val="es-MX"/>
        </w:rPr>
      </w:pPr>
    </w:p>
    <w:p w14:paraId="0BD96E62" w14:textId="77777777" w:rsidR="00F853CC" w:rsidRDefault="00F853CC" w:rsidP="00F853CC">
      <w:pPr>
        <w:spacing w:after="120" w:line="276" w:lineRule="auto"/>
        <w:jc w:val="both"/>
        <w:rPr>
          <w:rFonts w:ascii="Verdana" w:eastAsia="Calibri" w:hAnsi="Verdana" w:cs="Arial"/>
          <w:lang w:eastAsia="es-ES"/>
        </w:rPr>
      </w:pPr>
      <w:r w:rsidRPr="00E02524">
        <w:rPr>
          <w:rFonts w:ascii="Verdana" w:hAnsi="Verdana"/>
        </w:rPr>
        <w:t xml:space="preserve">La Agencia Nacional de Contratación Pública – Colombia Compra Eficiente –, en ejercicio de las competencias otorgadas </w:t>
      </w:r>
      <w:r w:rsidRPr="005644FE">
        <w:rPr>
          <w:rFonts w:ascii="Verdana" w:eastAsia="Calibri" w:hAnsi="Verdana" w:cs="Arial"/>
          <w:lang w:eastAsia="es-ES"/>
        </w:rPr>
        <w:t>por los artículos 3, numeral 5º, y 11, numeral 8º, del Decreto Ley 4170 de 2011</w:t>
      </w:r>
      <w:r>
        <w:rPr>
          <w:rFonts w:ascii="Verdana" w:eastAsia="Calibri" w:hAnsi="Verdana" w:cs="Arial"/>
          <w:lang w:eastAsia="es-ES"/>
        </w:rPr>
        <w:t xml:space="preserve"> y </w:t>
      </w:r>
      <w:r w:rsidRPr="00E02524">
        <w:rPr>
          <w:rFonts w:ascii="Verdana" w:hAnsi="Verdana"/>
        </w:rPr>
        <w:t>de conformidad con las modalidades del derecho de petición contempladas en la Ley 1755 de 2015</w:t>
      </w:r>
      <w:r>
        <w:rPr>
          <w:rFonts w:ascii="Verdana" w:hAnsi="Verdana"/>
        </w:rPr>
        <w:t xml:space="preserve"> y en </w:t>
      </w:r>
      <w:r w:rsidRPr="00E02524">
        <w:rPr>
          <w:rFonts w:ascii="Verdana" w:hAnsi="Verdana"/>
        </w:rPr>
        <w:t xml:space="preserve">la resolución </w:t>
      </w:r>
      <w:proofErr w:type="spellStart"/>
      <w:r w:rsidRPr="00E02524">
        <w:rPr>
          <w:rFonts w:ascii="Verdana" w:eastAsia="Times New Roman" w:hAnsi="Verdana" w:cs="Segoe UI"/>
          <w:lang w:eastAsia="es-CO"/>
        </w:rPr>
        <w:t>N°</w:t>
      </w:r>
      <w:proofErr w:type="spellEnd"/>
      <w:r w:rsidRPr="00E02524">
        <w:rPr>
          <w:rFonts w:ascii="Verdana" w:eastAsia="Times New Roman" w:hAnsi="Verdana" w:cs="Segoe UI"/>
          <w:lang w:eastAsia="es-CO"/>
        </w:rPr>
        <w:t xml:space="preserve"> 469 del 2025 </w:t>
      </w:r>
      <w:r w:rsidRPr="00E02524">
        <w:rPr>
          <w:rFonts w:ascii="Verdana" w:hAnsi="Verdana"/>
        </w:rPr>
        <w:t xml:space="preserve">expedida por esta Agencia, </w:t>
      </w:r>
      <w:r w:rsidRPr="005644FE">
        <w:rPr>
          <w:rFonts w:ascii="Verdana" w:eastAsia="Calibri" w:hAnsi="Verdana" w:cs="Arial"/>
          <w:lang w:eastAsia="es-ES"/>
        </w:rPr>
        <w:t>responde su solicitud de consulta de fecha</w:t>
      </w:r>
      <w:r>
        <w:rPr>
          <w:rFonts w:ascii="Verdana" w:eastAsia="Calibri" w:hAnsi="Verdana" w:cs="Arial"/>
          <w:lang w:eastAsia="es-ES"/>
        </w:rPr>
        <w:t xml:space="preserve"> 11 de marzo de 2026, </w:t>
      </w:r>
      <w:r w:rsidRPr="005644FE">
        <w:rPr>
          <w:rFonts w:ascii="Verdana" w:eastAsia="Calibri" w:hAnsi="Verdana" w:cs="Arial"/>
          <w:lang w:eastAsia="es-ES"/>
        </w:rPr>
        <w:t>en la cual manifiesta lo siguiente:</w:t>
      </w:r>
    </w:p>
    <w:p w14:paraId="2F6C672A" w14:textId="77777777" w:rsidR="00F853CC" w:rsidRPr="00886C89" w:rsidRDefault="00F853CC" w:rsidP="00F853CC">
      <w:pPr>
        <w:spacing w:after="120" w:line="276" w:lineRule="auto"/>
        <w:jc w:val="both"/>
        <w:rPr>
          <w:rFonts w:ascii="Verdana" w:eastAsia="Calibri" w:hAnsi="Verdana" w:cs="Arial"/>
          <w:lang w:eastAsia="es-ES"/>
        </w:rPr>
      </w:pPr>
      <w:r w:rsidRPr="00E02524">
        <w:rPr>
          <w:rFonts w:ascii="Verdana" w:hAnsi="Verdana"/>
        </w:rPr>
        <w:t xml:space="preserve">PETICIÓN REALIZADA </w:t>
      </w:r>
    </w:p>
    <w:p w14:paraId="6CBE8D9F" w14:textId="77777777" w:rsidR="00F853CC" w:rsidRDefault="00F853CC" w:rsidP="00F853CC">
      <w:pPr>
        <w:spacing w:after="0" w:line="240" w:lineRule="auto"/>
        <w:ind w:left="709" w:right="709"/>
        <w:jc w:val="both"/>
        <w:rPr>
          <w:rFonts w:ascii="Verdana" w:hAnsi="Verdana"/>
          <w:sz w:val="20"/>
          <w:szCs w:val="20"/>
        </w:rPr>
      </w:pPr>
      <w:r>
        <w:rPr>
          <w:rFonts w:ascii="Verdana" w:hAnsi="Verdana"/>
          <w:sz w:val="20"/>
          <w:szCs w:val="20"/>
        </w:rPr>
        <w:t xml:space="preserve">“(…) </w:t>
      </w:r>
      <w:r w:rsidRPr="00A75807">
        <w:rPr>
          <w:rFonts w:ascii="Verdana" w:hAnsi="Verdana"/>
          <w:sz w:val="20"/>
          <w:szCs w:val="20"/>
        </w:rPr>
        <w:t>Desde el Fondo de Energías No Convencionales y Gestión Eficiente de la Energía – FENOGE, en ejercicio de sus funciones de estructuración, financiación e implementación de iniciativas orientadas a promover el uso de fuentes no convencionales de energía y la gestión eficiente de la energía en el territorio nacional, nos permitimos elevar ante Uds. la presente solicitud de concepto jurídico, con el fin de precisar el alcance de las restricciones previstas en la Ley 996 de 2005 frente a los denominados </w:t>
      </w:r>
      <w:r w:rsidRPr="00A75807">
        <w:rPr>
          <w:rFonts w:ascii="Verdana" w:hAnsi="Verdana"/>
          <w:b/>
          <w:bCs/>
          <w:sz w:val="20"/>
          <w:szCs w:val="20"/>
        </w:rPr>
        <w:t>Contratos Especiales de Transferencia de Activos</w:t>
      </w:r>
      <w:r w:rsidRPr="00A75807">
        <w:rPr>
          <w:rFonts w:ascii="Verdana" w:hAnsi="Verdana"/>
          <w:sz w:val="20"/>
          <w:szCs w:val="20"/>
        </w:rPr>
        <w:t xml:space="preserve"> que se suscriben en el marco de las iniciativas financiadas por el Fondo. </w:t>
      </w:r>
    </w:p>
    <w:p w14:paraId="654C0505" w14:textId="77777777" w:rsidR="00F853CC" w:rsidRDefault="00F853CC" w:rsidP="00F853CC">
      <w:pPr>
        <w:spacing w:after="0" w:line="240" w:lineRule="auto"/>
        <w:ind w:left="709" w:right="709"/>
        <w:jc w:val="both"/>
        <w:rPr>
          <w:rFonts w:ascii="Verdana" w:hAnsi="Verdana"/>
          <w:sz w:val="20"/>
          <w:szCs w:val="20"/>
        </w:rPr>
      </w:pPr>
    </w:p>
    <w:p w14:paraId="30697F30" w14:textId="77777777" w:rsidR="00F853CC" w:rsidRDefault="00F853CC" w:rsidP="00F853CC">
      <w:pPr>
        <w:spacing w:after="0" w:line="240" w:lineRule="auto"/>
        <w:ind w:left="709" w:right="709"/>
        <w:jc w:val="both"/>
        <w:rPr>
          <w:rFonts w:ascii="Verdana" w:hAnsi="Verdana"/>
          <w:sz w:val="20"/>
          <w:szCs w:val="20"/>
        </w:rPr>
      </w:pPr>
      <w:r w:rsidRPr="00A75807">
        <w:rPr>
          <w:rFonts w:ascii="Verdana" w:hAnsi="Verdana"/>
          <w:sz w:val="20"/>
          <w:szCs w:val="20"/>
        </w:rPr>
        <w:t xml:space="preserve">La consulta surge a partir de diversas interpretaciones institucionales que han planteado algunas entidades territoriales beneficiarias de proyectos financiados con recursos del FENOGE, particularmente en escenarios en los cuales, durante periodos electorales, se ha manifestado la presunta imposibilidad de suscribir los contratos mediante los cuales se formaliza la transferencia de propiedad de los activos energéticos instalados. </w:t>
      </w:r>
    </w:p>
    <w:p w14:paraId="5A411D44" w14:textId="77777777" w:rsidR="00F853CC" w:rsidRDefault="00F853CC" w:rsidP="00F853CC">
      <w:pPr>
        <w:spacing w:after="0" w:line="240" w:lineRule="auto"/>
        <w:ind w:left="709" w:right="709"/>
        <w:jc w:val="both"/>
        <w:rPr>
          <w:rFonts w:ascii="Verdana" w:hAnsi="Verdana"/>
          <w:sz w:val="20"/>
          <w:szCs w:val="20"/>
        </w:rPr>
      </w:pPr>
    </w:p>
    <w:p w14:paraId="0F0CA8D3" w14:textId="77777777" w:rsidR="00F853CC" w:rsidRDefault="00F853CC" w:rsidP="00F853CC">
      <w:pPr>
        <w:spacing w:after="0" w:line="240" w:lineRule="auto"/>
        <w:ind w:left="709" w:right="709"/>
        <w:jc w:val="both"/>
        <w:rPr>
          <w:rFonts w:ascii="Verdana" w:hAnsi="Verdana"/>
          <w:sz w:val="20"/>
          <w:szCs w:val="20"/>
        </w:rPr>
      </w:pPr>
      <w:r w:rsidRPr="00A75807">
        <w:rPr>
          <w:rFonts w:ascii="Verdana" w:hAnsi="Verdana"/>
          <w:sz w:val="20"/>
          <w:szCs w:val="20"/>
        </w:rPr>
        <w:t>En ese contexto, resulta necesario exponer brevemente el marco jurídico y operativo en el cual se celebran dichos instrumentos.</w:t>
      </w:r>
    </w:p>
    <w:p w14:paraId="73B56870" w14:textId="77777777" w:rsidR="00F853CC" w:rsidRDefault="00F853CC" w:rsidP="00F853CC">
      <w:pPr>
        <w:spacing w:after="0" w:line="240" w:lineRule="auto"/>
        <w:ind w:left="709" w:right="709"/>
        <w:jc w:val="both"/>
        <w:rPr>
          <w:rFonts w:ascii="Verdana" w:hAnsi="Verdana"/>
          <w:sz w:val="20"/>
          <w:szCs w:val="20"/>
        </w:rPr>
      </w:pPr>
      <w:r w:rsidRPr="00A75807">
        <w:rPr>
          <w:rFonts w:ascii="Verdana" w:hAnsi="Verdana"/>
          <w:sz w:val="20"/>
          <w:szCs w:val="20"/>
        </w:rPr>
        <w:t xml:space="preserve"> </w:t>
      </w:r>
    </w:p>
    <w:p w14:paraId="11747CF6" w14:textId="77777777" w:rsidR="00F853CC" w:rsidRDefault="00F853CC" w:rsidP="00F853CC">
      <w:pPr>
        <w:spacing w:after="0" w:line="240" w:lineRule="auto"/>
        <w:ind w:left="709" w:right="709"/>
        <w:jc w:val="both"/>
        <w:rPr>
          <w:rFonts w:ascii="Verdana" w:hAnsi="Verdana"/>
          <w:sz w:val="20"/>
          <w:szCs w:val="20"/>
        </w:rPr>
      </w:pPr>
      <w:r w:rsidRPr="00A75807">
        <w:rPr>
          <w:rFonts w:ascii="Verdana" w:hAnsi="Verdana"/>
          <w:sz w:val="20"/>
          <w:szCs w:val="20"/>
        </w:rPr>
        <w:t>El FENOGE, creado mediante la Ley 1715 de 2014 y reglamentado posteriormente en el Decreto 1073 de 2015, financia proyectos de infraestructura energética destinados a mejorar el acceso a la energía y promover la transición energética en el país. En desarrollo de estas iniciativas, el Fondo financia la adquisición e instalación de activos energéticos, entre ellos sistemas solares fotovoltaicos, que son implementados en entidades territoriales, instituciones públicas o comunidades beneficiarias</w:t>
      </w:r>
      <w:r>
        <w:rPr>
          <w:rFonts w:ascii="Verdana" w:hAnsi="Verdana"/>
          <w:sz w:val="20"/>
          <w:szCs w:val="20"/>
        </w:rPr>
        <w:t>.</w:t>
      </w:r>
    </w:p>
    <w:p w14:paraId="3CEAAEFA" w14:textId="77777777" w:rsidR="00F853CC" w:rsidRDefault="00F853CC" w:rsidP="00F853CC">
      <w:pPr>
        <w:spacing w:after="0" w:line="240" w:lineRule="auto"/>
        <w:ind w:left="709" w:right="709"/>
        <w:jc w:val="both"/>
        <w:rPr>
          <w:rFonts w:ascii="Verdana" w:hAnsi="Verdana"/>
          <w:sz w:val="20"/>
          <w:szCs w:val="20"/>
        </w:rPr>
      </w:pPr>
    </w:p>
    <w:p w14:paraId="12477CD9" w14:textId="77777777" w:rsidR="00F853CC" w:rsidRDefault="00F853CC" w:rsidP="00F853CC">
      <w:pPr>
        <w:spacing w:after="0" w:line="240" w:lineRule="auto"/>
        <w:ind w:left="709" w:right="709"/>
        <w:jc w:val="both"/>
        <w:rPr>
          <w:rFonts w:ascii="Verdana" w:hAnsi="Verdana"/>
          <w:sz w:val="20"/>
          <w:szCs w:val="20"/>
        </w:rPr>
      </w:pPr>
      <w:r w:rsidRPr="007B531B">
        <w:rPr>
          <w:rFonts w:ascii="Verdana" w:hAnsi="Verdana"/>
          <w:sz w:val="20"/>
          <w:szCs w:val="20"/>
        </w:rPr>
        <w:t xml:space="preserve">De conformidad con lo dispuesto en el artículo 2.2.3.3.5.7 del Decreto 1073 de 2015, la Nación </w:t>
      </w:r>
    </w:p>
    <w:p w14:paraId="5B8D4402" w14:textId="77777777" w:rsidR="00F853CC" w:rsidRDefault="00F853CC" w:rsidP="00F853CC">
      <w:pPr>
        <w:spacing w:after="0" w:line="240" w:lineRule="auto"/>
        <w:ind w:left="709" w:right="709"/>
        <w:jc w:val="both"/>
        <w:rPr>
          <w:rFonts w:ascii="Verdana" w:hAnsi="Verdana"/>
          <w:sz w:val="20"/>
          <w:szCs w:val="20"/>
        </w:rPr>
      </w:pPr>
    </w:p>
    <w:p w14:paraId="5576DCE3" w14:textId="77777777" w:rsidR="00F853CC" w:rsidRDefault="00F853CC" w:rsidP="00F853CC">
      <w:pPr>
        <w:spacing w:after="0" w:line="240" w:lineRule="auto"/>
        <w:ind w:left="709" w:right="709"/>
        <w:jc w:val="both"/>
        <w:rPr>
          <w:rFonts w:ascii="Verdana" w:hAnsi="Verdana"/>
          <w:sz w:val="20"/>
          <w:szCs w:val="20"/>
        </w:rPr>
      </w:pPr>
      <w:r w:rsidRPr="007B531B">
        <w:rPr>
          <w:rFonts w:ascii="Verdana" w:hAnsi="Verdana"/>
          <w:sz w:val="20"/>
          <w:szCs w:val="20"/>
        </w:rPr>
        <w:t xml:space="preserve">– Ministerio de Minas y Energía es titular, en proporción a su aporte, de la infraestructura que se financie con recursos del FENOGE. La misma disposición prevé expresamente la posibilidad de transferir la propiedad de dichos bienes, en los términos del artículo 39.3 de la Ley 142 de 1994, norma que regula los contratos especiales en el marco del régimen de los servicios públicos domiciliarios. </w:t>
      </w:r>
    </w:p>
    <w:p w14:paraId="4C04DA57" w14:textId="77777777" w:rsidR="00F853CC" w:rsidRDefault="00F853CC" w:rsidP="00F853CC">
      <w:pPr>
        <w:spacing w:after="0" w:line="240" w:lineRule="auto"/>
        <w:ind w:left="709" w:right="709"/>
        <w:jc w:val="both"/>
        <w:rPr>
          <w:rFonts w:ascii="Verdana" w:hAnsi="Verdana"/>
          <w:sz w:val="20"/>
          <w:szCs w:val="20"/>
        </w:rPr>
      </w:pPr>
    </w:p>
    <w:p w14:paraId="71390854" w14:textId="77777777" w:rsidR="00F853CC" w:rsidRDefault="00F853CC" w:rsidP="00F853CC">
      <w:pPr>
        <w:spacing w:after="0" w:line="240" w:lineRule="auto"/>
        <w:ind w:left="709" w:right="709"/>
        <w:jc w:val="both"/>
        <w:rPr>
          <w:rFonts w:ascii="Verdana" w:hAnsi="Verdana"/>
          <w:sz w:val="20"/>
          <w:szCs w:val="20"/>
        </w:rPr>
      </w:pPr>
      <w:r w:rsidRPr="007B531B">
        <w:rPr>
          <w:rFonts w:ascii="Verdana" w:hAnsi="Verdana"/>
          <w:sz w:val="20"/>
          <w:szCs w:val="20"/>
        </w:rPr>
        <w:t>En desarrollo de las iniciativas financiadas por el Fondo, previamente se suscriben </w:t>
      </w:r>
      <w:r w:rsidRPr="007B531B">
        <w:rPr>
          <w:rFonts w:ascii="Verdana" w:hAnsi="Verdana"/>
          <w:sz w:val="20"/>
          <w:szCs w:val="20"/>
          <w:u w:val="single"/>
        </w:rPr>
        <w:t>Convenios Interadministrativos con las entidades beneficiarias</w:t>
      </w:r>
      <w:r w:rsidRPr="007B531B">
        <w:rPr>
          <w:rFonts w:ascii="Verdana" w:hAnsi="Verdana"/>
          <w:sz w:val="20"/>
          <w:szCs w:val="20"/>
        </w:rPr>
        <w:t>, en los cuales se establecen las condiciones para la implementación de los proyectos energéticos y se definen, entre otros aspectos, las responsabilidades de dichas entidades frente a los activos que sean instalados o construidos con ocasión de la iniciativa. Dentro de estas obligaciones se encuentra la de </w:t>
      </w:r>
      <w:r w:rsidRPr="007B531B">
        <w:rPr>
          <w:rFonts w:ascii="Verdana" w:hAnsi="Verdana"/>
          <w:b/>
          <w:bCs/>
          <w:sz w:val="20"/>
          <w:szCs w:val="20"/>
          <w:u w:val="single"/>
        </w:rPr>
        <w:t>recibir los activos implementados y asumir su administración, operación y mantenimiento (AOM)</w:t>
      </w:r>
      <w:r w:rsidRPr="007B531B">
        <w:rPr>
          <w:rFonts w:ascii="Verdana" w:hAnsi="Verdana"/>
          <w:sz w:val="20"/>
          <w:szCs w:val="20"/>
        </w:rPr>
        <w:t>, garantizando su adecuada gestión, sostenibilidad y funcionamiento</w:t>
      </w:r>
      <w:r>
        <w:rPr>
          <w:rFonts w:ascii="Verdana" w:hAnsi="Verdana"/>
          <w:sz w:val="20"/>
          <w:szCs w:val="20"/>
        </w:rPr>
        <w:t>.</w:t>
      </w:r>
    </w:p>
    <w:p w14:paraId="34017EB8" w14:textId="77777777" w:rsidR="00F853CC" w:rsidRDefault="00F853CC" w:rsidP="00F853CC">
      <w:pPr>
        <w:spacing w:after="0" w:line="240" w:lineRule="auto"/>
        <w:ind w:left="709" w:right="709"/>
        <w:jc w:val="both"/>
        <w:rPr>
          <w:rFonts w:ascii="Verdana" w:hAnsi="Verdana"/>
          <w:sz w:val="20"/>
          <w:szCs w:val="20"/>
        </w:rPr>
      </w:pPr>
    </w:p>
    <w:p w14:paraId="38672A97" w14:textId="77777777" w:rsidR="00F853CC" w:rsidRDefault="00F853CC" w:rsidP="00F853CC">
      <w:pPr>
        <w:spacing w:after="0" w:line="240" w:lineRule="auto"/>
        <w:ind w:left="709" w:right="709"/>
        <w:jc w:val="both"/>
        <w:rPr>
          <w:rFonts w:ascii="Verdana" w:hAnsi="Verdana"/>
          <w:sz w:val="20"/>
          <w:szCs w:val="20"/>
        </w:rPr>
      </w:pPr>
      <w:r w:rsidRPr="007B531B">
        <w:rPr>
          <w:rFonts w:ascii="Verdana" w:hAnsi="Verdana"/>
          <w:sz w:val="20"/>
          <w:szCs w:val="20"/>
        </w:rPr>
        <w:t xml:space="preserve">En aplicación de este marco jurídico, una vez finalizada la ejecución de las iniciativas y efectuadas las respectivas actas de entrega material de los bienes, se procede a suscribir </w:t>
      </w:r>
      <w:r w:rsidRPr="007B531B">
        <w:rPr>
          <w:rFonts w:ascii="Verdana" w:hAnsi="Verdana"/>
          <w:b/>
          <w:bCs/>
          <w:sz w:val="20"/>
          <w:szCs w:val="20"/>
          <w:u w:val="single"/>
        </w:rPr>
        <w:t>a título gratuito</w:t>
      </w:r>
      <w:r w:rsidRPr="007B531B">
        <w:rPr>
          <w:rFonts w:ascii="Verdana" w:hAnsi="Verdana"/>
          <w:sz w:val="20"/>
          <w:szCs w:val="20"/>
        </w:rPr>
        <w:t xml:space="preserve"> con la entidad beneficiaria un </w:t>
      </w:r>
      <w:r w:rsidRPr="007B531B">
        <w:rPr>
          <w:rFonts w:ascii="Verdana" w:hAnsi="Verdana"/>
          <w:b/>
          <w:bCs/>
          <w:sz w:val="20"/>
          <w:szCs w:val="20"/>
          <w:u w:val="single"/>
        </w:rPr>
        <w:t>Contrato Especial de Transferencia de Activos</w:t>
      </w:r>
      <w:r w:rsidRPr="007B531B">
        <w:rPr>
          <w:rFonts w:ascii="Verdana" w:hAnsi="Verdana"/>
          <w:sz w:val="20"/>
          <w:szCs w:val="20"/>
        </w:rPr>
        <w:t>, cuyo objeto consiste exclusivamente en formalizar la transferencia del derecho de dominio de dichos bienes, sin que ello implique ejecución de recursos públicos ni la asunción de nuevas obligaciones financieras por parte del beneficiario</w:t>
      </w:r>
      <w:r>
        <w:rPr>
          <w:rFonts w:ascii="Verdana" w:hAnsi="Verdana"/>
          <w:sz w:val="20"/>
          <w:szCs w:val="20"/>
        </w:rPr>
        <w:t>.</w:t>
      </w:r>
    </w:p>
    <w:p w14:paraId="68D9C336" w14:textId="77777777" w:rsidR="00F853CC" w:rsidRDefault="00F853CC" w:rsidP="00F853CC">
      <w:pPr>
        <w:spacing w:after="0" w:line="240" w:lineRule="auto"/>
        <w:ind w:left="709" w:right="709"/>
        <w:jc w:val="both"/>
        <w:rPr>
          <w:rFonts w:ascii="Verdana" w:hAnsi="Verdana"/>
          <w:sz w:val="20"/>
          <w:szCs w:val="20"/>
        </w:rPr>
      </w:pPr>
    </w:p>
    <w:p w14:paraId="0522DF17" w14:textId="77777777" w:rsidR="00F853CC" w:rsidRDefault="00F853CC" w:rsidP="00F853CC">
      <w:pPr>
        <w:spacing w:after="0" w:line="240" w:lineRule="auto"/>
        <w:ind w:left="709" w:right="709"/>
        <w:jc w:val="both"/>
        <w:rPr>
          <w:rFonts w:ascii="Verdana" w:hAnsi="Verdana"/>
          <w:sz w:val="20"/>
          <w:szCs w:val="20"/>
        </w:rPr>
      </w:pPr>
      <w:r w:rsidRPr="007B531B">
        <w:rPr>
          <w:rFonts w:ascii="Verdana" w:hAnsi="Verdana"/>
          <w:sz w:val="20"/>
          <w:szCs w:val="20"/>
        </w:rPr>
        <w:t xml:space="preserve">Este instrumento contractual presenta características particulares que resultan relevantes para efectos del análisis jurídico. </w:t>
      </w:r>
    </w:p>
    <w:p w14:paraId="25D51B1F" w14:textId="77777777" w:rsidR="00F853CC" w:rsidRDefault="00F853CC" w:rsidP="00F853CC">
      <w:pPr>
        <w:spacing w:after="0" w:line="240" w:lineRule="auto"/>
        <w:ind w:left="709" w:right="709"/>
        <w:jc w:val="both"/>
        <w:rPr>
          <w:rFonts w:ascii="Verdana" w:hAnsi="Verdana"/>
          <w:sz w:val="20"/>
          <w:szCs w:val="20"/>
        </w:rPr>
      </w:pPr>
      <w:r w:rsidRPr="007B531B">
        <w:rPr>
          <w:rFonts w:ascii="Verdana" w:hAnsi="Verdana"/>
          <w:sz w:val="20"/>
          <w:szCs w:val="20"/>
        </w:rPr>
        <w:sym w:font="Symbol" w:char="F0B7"/>
      </w:r>
      <w:r w:rsidRPr="007B531B">
        <w:rPr>
          <w:rFonts w:ascii="Verdana" w:hAnsi="Verdana"/>
          <w:sz w:val="20"/>
          <w:szCs w:val="20"/>
        </w:rPr>
        <w:t xml:space="preserve"> En primer lugar, se trata de un instrumento que se celebra </w:t>
      </w:r>
      <w:r w:rsidRPr="007B531B">
        <w:rPr>
          <w:rFonts w:ascii="Verdana" w:hAnsi="Verdana"/>
          <w:b/>
          <w:bCs/>
          <w:sz w:val="20"/>
          <w:szCs w:val="20"/>
          <w:u w:val="single"/>
        </w:rPr>
        <w:t>a título gratuito</w:t>
      </w:r>
      <w:r w:rsidRPr="007B531B">
        <w:rPr>
          <w:rFonts w:ascii="Verdana" w:hAnsi="Verdana"/>
          <w:sz w:val="20"/>
          <w:szCs w:val="20"/>
        </w:rPr>
        <w:t xml:space="preserve">, sin contraprestación económica ni reconocimiento de valor alguno. </w:t>
      </w:r>
    </w:p>
    <w:p w14:paraId="7B7E3CB7" w14:textId="77777777" w:rsidR="00F853CC" w:rsidRDefault="00F853CC" w:rsidP="00F853CC">
      <w:pPr>
        <w:spacing w:after="0" w:line="240" w:lineRule="auto"/>
        <w:ind w:left="709" w:right="709"/>
        <w:jc w:val="both"/>
        <w:rPr>
          <w:rFonts w:ascii="Verdana" w:hAnsi="Verdana"/>
          <w:sz w:val="20"/>
          <w:szCs w:val="20"/>
        </w:rPr>
      </w:pPr>
      <w:r w:rsidRPr="007B531B">
        <w:rPr>
          <w:rFonts w:ascii="Verdana" w:hAnsi="Verdana"/>
          <w:sz w:val="20"/>
          <w:szCs w:val="20"/>
        </w:rPr>
        <w:sym w:font="Symbol" w:char="F0B7"/>
      </w:r>
      <w:r>
        <w:rPr>
          <w:rFonts w:ascii="Verdana" w:hAnsi="Verdana"/>
          <w:sz w:val="20"/>
          <w:szCs w:val="20"/>
        </w:rPr>
        <w:t xml:space="preserve"> </w:t>
      </w:r>
      <w:r w:rsidRPr="007B531B">
        <w:rPr>
          <w:rFonts w:ascii="Verdana" w:hAnsi="Verdana"/>
          <w:sz w:val="20"/>
          <w:szCs w:val="20"/>
        </w:rPr>
        <w:t xml:space="preserve">En segundo lugar, tiene un carácter esencialmente patrimonial y formal, en cuanto busca perfeccionar jurídicamente la transferencia de propiedad de activos que ya fueron financiados, adquiridos e instalados en desarrollo de la iniciativa correspondiente. </w:t>
      </w:r>
    </w:p>
    <w:p w14:paraId="34EC2B1F" w14:textId="77777777" w:rsidR="00F853CC" w:rsidRDefault="00F853CC" w:rsidP="00F853CC">
      <w:pPr>
        <w:spacing w:after="0" w:line="240" w:lineRule="auto"/>
        <w:ind w:left="709" w:right="709"/>
        <w:jc w:val="both"/>
        <w:rPr>
          <w:rFonts w:ascii="Verdana" w:hAnsi="Verdana"/>
          <w:sz w:val="20"/>
          <w:szCs w:val="20"/>
        </w:rPr>
      </w:pPr>
      <w:r w:rsidRPr="007B531B">
        <w:rPr>
          <w:rFonts w:ascii="Verdana" w:hAnsi="Verdana"/>
          <w:sz w:val="20"/>
          <w:szCs w:val="20"/>
        </w:rPr>
        <w:sym w:font="Symbol" w:char="F0B7"/>
      </w:r>
      <w:r>
        <w:rPr>
          <w:rFonts w:ascii="Verdana" w:hAnsi="Verdana"/>
          <w:sz w:val="20"/>
          <w:szCs w:val="20"/>
        </w:rPr>
        <w:t xml:space="preserve"> </w:t>
      </w:r>
      <w:r w:rsidRPr="007B531B">
        <w:rPr>
          <w:rFonts w:ascii="Verdana" w:hAnsi="Verdana"/>
          <w:sz w:val="20"/>
          <w:szCs w:val="20"/>
        </w:rPr>
        <w:t xml:space="preserve">En tercer lugar, </w:t>
      </w:r>
      <w:r w:rsidRPr="007B531B">
        <w:rPr>
          <w:rFonts w:ascii="Verdana" w:hAnsi="Verdana"/>
          <w:b/>
          <w:bCs/>
          <w:sz w:val="20"/>
          <w:szCs w:val="20"/>
        </w:rPr>
        <w:t>no implica ejecución de recursos públicos</w:t>
      </w:r>
      <w:r w:rsidRPr="007B531B">
        <w:rPr>
          <w:rFonts w:ascii="Verdana" w:hAnsi="Verdana"/>
          <w:sz w:val="20"/>
          <w:szCs w:val="20"/>
        </w:rPr>
        <w:t>, ni apropiación presupuestal, ni desembolsos a cargo de la entidad receptora de los activos.</w:t>
      </w:r>
    </w:p>
    <w:p w14:paraId="633F1ACD" w14:textId="77777777" w:rsidR="00F853CC" w:rsidRDefault="00F853CC" w:rsidP="00F853CC">
      <w:pPr>
        <w:spacing w:after="0" w:line="240" w:lineRule="auto"/>
        <w:ind w:left="709" w:right="709"/>
        <w:jc w:val="both"/>
        <w:rPr>
          <w:rFonts w:ascii="Verdana" w:hAnsi="Verdana"/>
          <w:sz w:val="20"/>
          <w:szCs w:val="20"/>
        </w:rPr>
      </w:pPr>
    </w:p>
    <w:p w14:paraId="06F422D0" w14:textId="77777777" w:rsidR="00F853CC" w:rsidRDefault="00F853CC" w:rsidP="00F853CC">
      <w:pPr>
        <w:spacing w:after="0" w:line="240" w:lineRule="auto"/>
        <w:ind w:left="709" w:right="709"/>
        <w:jc w:val="both"/>
        <w:rPr>
          <w:rFonts w:ascii="Verdana" w:hAnsi="Verdana"/>
          <w:sz w:val="20"/>
          <w:szCs w:val="20"/>
        </w:rPr>
      </w:pPr>
      <w:r w:rsidRPr="007B531B">
        <w:rPr>
          <w:rFonts w:ascii="Verdana" w:hAnsi="Verdana"/>
          <w:sz w:val="20"/>
          <w:szCs w:val="20"/>
        </w:rPr>
        <w:t>Adicionalmente, los activos objeto de transferencia ya han sido entregados materialmente mediante las respectivas actas de entrega y recibo final, en las cuales se establecen las obligaciones de custodia, cuidado, administración, operación y mantenimiento por parte de la entidad beneficiaria</w:t>
      </w:r>
      <w:r>
        <w:rPr>
          <w:rFonts w:ascii="Verdana" w:hAnsi="Verdana"/>
          <w:sz w:val="20"/>
          <w:szCs w:val="20"/>
        </w:rPr>
        <w:t>.</w:t>
      </w:r>
    </w:p>
    <w:p w14:paraId="5EE82E19" w14:textId="77777777" w:rsidR="00F853CC" w:rsidRDefault="00F853CC" w:rsidP="00F853CC">
      <w:pPr>
        <w:spacing w:after="0" w:line="240" w:lineRule="auto"/>
        <w:ind w:left="709" w:right="709"/>
        <w:jc w:val="both"/>
        <w:rPr>
          <w:rFonts w:ascii="Verdana" w:hAnsi="Verdana"/>
          <w:sz w:val="20"/>
          <w:szCs w:val="20"/>
        </w:rPr>
      </w:pPr>
    </w:p>
    <w:p w14:paraId="0C3D5931" w14:textId="77777777" w:rsidR="00F853CC" w:rsidRDefault="00F853CC" w:rsidP="00F853CC">
      <w:pPr>
        <w:spacing w:after="0" w:line="240" w:lineRule="auto"/>
        <w:ind w:left="709" w:right="709"/>
        <w:jc w:val="both"/>
        <w:rPr>
          <w:rFonts w:ascii="Verdana" w:hAnsi="Verdana"/>
          <w:sz w:val="20"/>
          <w:szCs w:val="20"/>
        </w:rPr>
      </w:pPr>
      <w:r w:rsidRPr="007B531B">
        <w:rPr>
          <w:rFonts w:ascii="Verdana" w:hAnsi="Verdana"/>
          <w:sz w:val="20"/>
          <w:szCs w:val="20"/>
        </w:rPr>
        <w:t>El valor contable que eventualmente se incorpora en el contrato responde únicamente a finalidades de registro patrimonial y contable, necesarias para la correcta incorporación de los activos en los inventarios, estados financieros y pólizas correspondientes del beneficiario, conforme a las normas de contabilidad pública. Dicho</w:t>
      </w:r>
      <w:r>
        <w:rPr>
          <w:rFonts w:ascii="Verdana" w:hAnsi="Verdana"/>
          <w:sz w:val="20"/>
          <w:szCs w:val="20"/>
        </w:rPr>
        <w:t xml:space="preserve"> </w:t>
      </w:r>
      <w:r w:rsidRPr="007B531B">
        <w:rPr>
          <w:rFonts w:ascii="Verdana" w:hAnsi="Verdana"/>
          <w:sz w:val="20"/>
          <w:szCs w:val="20"/>
        </w:rPr>
        <w:t>valor no habilita pagos, giros ni apropiaciones presupuestales, ni constituye una obligación dineraria</w:t>
      </w:r>
      <w:r>
        <w:rPr>
          <w:rFonts w:ascii="Verdana" w:hAnsi="Verdana"/>
          <w:sz w:val="20"/>
          <w:szCs w:val="20"/>
        </w:rPr>
        <w:t>.</w:t>
      </w:r>
    </w:p>
    <w:p w14:paraId="289353B1" w14:textId="77777777" w:rsidR="00F853CC" w:rsidRDefault="00F853CC" w:rsidP="00F853CC">
      <w:pPr>
        <w:spacing w:after="0" w:line="240" w:lineRule="auto"/>
        <w:ind w:left="709" w:right="709"/>
        <w:jc w:val="both"/>
        <w:rPr>
          <w:rFonts w:ascii="Verdana" w:hAnsi="Verdana"/>
          <w:sz w:val="20"/>
          <w:szCs w:val="20"/>
        </w:rPr>
      </w:pPr>
    </w:p>
    <w:p w14:paraId="36FE6B31" w14:textId="77777777" w:rsidR="00F853CC" w:rsidRDefault="00F853CC" w:rsidP="00F853CC">
      <w:pPr>
        <w:spacing w:after="0" w:line="240" w:lineRule="auto"/>
        <w:ind w:left="709" w:right="709"/>
        <w:jc w:val="both"/>
        <w:rPr>
          <w:rFonts w:ascii="Verdana" w:hAnsi="Verdana"/>
          <w:sz w:val="20"/>
          <w:szCs w:val="20"/>
        </w:rPr>
      </w:pPr>
      <w:r w:rsidRPr="007B531B">
        <w:rPr>
          <w:rFonts w:ascii="Verdana" w:hAnsi="Verdana"/>
          <w:sz w:val="20"/>
          <w:szCs w:val="20"/>
        </w:rPr>
        <w:t xml:space="preserve">A pesar de estas características, en algunos casos las entidades territoriales han considerado que la suscripción de estos contratos podría encontrarse restringida durante la vigencia de la denominada Ley de Garantías Electorales (Ley 996 de 2005). </w:t>
      </w:r>
    </w:p>
    <w:p w14:paraId="596311FD" w14:textId="77777777" w:rsidR="00F853CC" w:rsidRDefault="00F853CC" w:rsidP="00F853CC">
      <w:pPr>
        <w:spacing w:after="0" w:line="240" w:lineRule="auto"/>
        <w:ind w:left="709" w:right="709"/>
        <w:jc w:val="both"/>
        <w:rPr>
          <w:rFonts w:ascii="Verdana" w:hAnsi="Verdana"/>
          <w:sz w:val="20"/>
          <w:szCs w:val="20"/>
        </w:rPr>
      </w:pPr>
    </w:p>
    <w:p w14:paraId="48B5F2EC" w14:textId="77777777" w:rsidR="00F853CC" w:rsidRDefault="00F853CC" w:rsidP="00F853CC">
      <w:pPr>
        <w:spacing w:after="0" w:line="240" w:lineRule="auto"/>
        <w:ind w:left="709" w:right="709"/>
        <w:jc w:val="both"/>
        <w:rPr>
          <w:rFonts w:ascii="Verdana" w:hAnsi="Verdana"/>
          <w:sz w:val="20"/>
          <w:szCs w:val="20"/>
        </w:rPr>
      </w:pPr>
      <w:r w:rsidRPr="007B531B">
        <w:rPr>
          <w:rFonts w:ascii="Verdana" w:hAnsi="Verdana"/>
          <w:sz w:val="20"/>
          <w:szCs w:val="20"/>
        </w:rPr>
        <w:t xml:space="preserve">Particularmente, se ha invocado el artículo 38 de la Ley 996 de 2005, el cual establece que los gobernadores y alcaldes no podrán celebrar convenios interadministrativos para la ejecución de recursos públicos dentro de los cuatro (4) meses anteriores a las elecciones. Así mismo, se ha hecho referencia al artículo 33 de la misma ley, que establece restricciones relacionadas con la contratación directa durante el periodo electoral, con el propósito de evitar que la actividad contractual de las entidades públicas pueda ser utilizada con fines de intervención indebida en los procesos electorales. </w:t>
      </w:r>
    </w:p>
    <w:p w14:paraId="073523AD" w14:textId="77777777" w:rsidR="00F853CC" w:rsidRDefault="00F853CC" w:rsidP="00F853CC">
      <w:pPr>
        <w:spacing w:after="0" w:line="240" w:lineRule="auto"/>
        <w:ind w:left="709" w:right="709"/>
        <w:jc w:val="both"/>
        <w:rPr>
          <w:rFonts w:ascii="Verdana" w:hAnsi="Verdana"/>
          <w:sz w:val="20"/>
          <w:szCs w:val="20"/>
        </w:rPr>
      </w:pPr>
    </w:p>
    <w:p w14:paraId="1CA65275" w14:textId="77777777" w:rsidR="00F853CC" w:rsidRDefault="00F853CC" w:rsidP="00F853CC">
      <w:pPr>
        <w:spacing w:after="0" w:line="240" w:lineRule="auto"/>
        <w:ind w:left="709" w:right="709"/>
        <w:jc w:val="both"/>
        <w:rPr>
          <w:rFonts w:ascii="Verdana" w:hAnsi="Verdana"/>
          <w:sz w:val="20"/>
          <w:szCs w:val="20"/>
        </w:rPr>
      </w:pPr>
      <w:proofErr w:type="gramStart"/>
      <w:r w:rsidRPr="007B531B">
        <w:rPr>
          <w:rFonts w:ascii="Verdana" w:hAnsi="Verdana"/>
          <w:sz w:val="20"/>
          <w:szCs w:val="20"/>
        </w:rPr>
        <w:t>En razón de</w:t>
      </w:r>
      <w:proofErr w:type="gramEnd"/>
      <w:r w:rsidRPr="007B531B">
        <w:rPr>
          <w:rFonts w:ascii="Verdana" w:hAnsi="Verdana"/>
          <w:sz w:val="20"/>
          <w:szCs w:val="20"/>
        </w:rPr>
        <w:t xml:space="preserve"> lo anterior, algunas entidades territoriales han considerado que la suscripción de los Contratos Especiales de Transferencia de Activos podría encontrarse comprendida dentro de dichas restricciones. No obstante, resulta necesario precisar que las prohibiciones contenidas en la Ley 996 de 2005 se encuentran delimitadas por supuestos normativos específicos y, por tanto, deben interpretarse de manera estricta, en la medida en que constituyen limitaciones excepcionales al ejercicio de la función administrativa. </w:t>
      </w:r>
    </w:p>
    <w:p w14:paraId="33B6053B" w14:textId="77777777" w:rsidR="00F853CC" w:rsidRDefault="00F853CC" w:rsidP="00F853CC">
      <w:pPr>
        <w:spacing w:after="0" w:line="240" w:lineRule="auto"/>
        <w:ind w:left="709" w:right="709"/>
        <w:jc w:val="both"/>
        <w:rPr>
          <w:rFonts w:ascii="Verdana" w:hAnsi="Verdana"/>
          <w:sz w:val="20"/>
          <w:szCs w:val="20"/>
        </w:rPr>
      </w:pPr>
    </w:p>
    <w:p w14:paraId="68F38126" w14:textId="77777777" w:rsidR="00F853CC" w:rsidRDefault="00F853CC" w:rsidP="00F853CC">
      <w:pPr>
        <w:spacing w:after="0" w:line="240" w:lineRule="auto"/>
        <w:ind w:left="709" w:right="709"/>
        <w:jc w:val="both"/>
        <w:rPr>
          <w:rFonts w:ascii="Verdana" w:hAnsi="Verdana"/>
          <w:sz w:val="20"/>
          <w:szCs w:val="20"/>
        </w:rPr>
      </w:pPr>
      <w:r w:rsidRPr="007B531B">
        <w:rPr>
          <w:rFonts w:ascii="Verdana" w:hAnsi="Verdana"/>
          <w:sz w:val="20"/>
          <w:szCs w:val="20"/>
        </w:rPr>
        <w:t>Frente a esta disposición, resulta relevante señalar que la estructura normativa de la prohibición exige la concurrencia simultánea de dos elementos: de una parte, que se trate efectivamente de un </w:t>
      </w:r>
      <w:r w:rsidRPr="007B531B">
        <w:rPr>
          <w:rFonts w:ascii="Verdana" w:hAnsi="Verdana"/>
          <w:b/>
          <w:bCs/>
          <w:sz w:val="20"/>
          <w:szCs w:val="20"/>
        </w:rPr>
        <w:t>convenio interadministrativo</w:t>
      </w:r>
      <w:r w:rsidRPr="007B531B">
        <w:rPr>
          <w:rFonts w:ascii="Verdana" w:hAnsi="Verdana"/>
          <w:sz w:val="20"/>
          <w:szCs w:val="20"/>
        </w:rPr>
        <w:t> y, de otra, que dicho instrumento implique la </w:t>
      </w:r>
      <w:r w:rsidRPr="007B531B">
        <w:rPr>
          <w:rFonts w:ascii="Verdana" w:hAnsi="Verdana"/>
          <w:b/>
          <w:bCs/>
          <w:sz w:val="20"/>
          <w:szCs w:val="20"/>
        </w:rPr>
        <w:t>ejecución de recursos públicos</w:t>
      </w:r>
      <w:r w:rsidRPr="007B531B">
        <w:rPr>
          <w:rFonts w:ascii="Verdana" w:hAnsi="Verdana"/>
          <w:sz w:val="20"/>
          <w:szCs w:val="20"/>
        </w:rPr>
        <w:t xml:space="preserve">. </w:t>
      </w:r>
    </w:p>
    <w:p w14:paraId="60AE6B0A" w14:textId="77777777" w:rsidR="00F853CC" w:rsidRDefault="00F853CC" w:rsidP="00F853CC">
      <w:pPr>
        <w:spacing w:after="0" w:line="240" w:lineRule="auto"/>
        <w:ind w:left="709" w:right="709"/>
        <w:jc w:val="both"/>
        <w:rPr>
          <w:rFonts w:ascii="Verdana" w:hAnsi="Verdana"/>
          <w:sz w:val="20"/>
          <w:szCs w:val="20"/>
        </w:rPr>
      </w:pPr>
    </w:p>
    <w:p w14:paraId="1E4D4F7A" w14:textId="77777777" w:rsidR="00F853CC" w:rsidRDefault="00F853CC" w:rsidP="00F853CC">
      <w:pPr>
        <w:spacing w:after="0" w:line="240" w:lineRule="auto"/>
        <w:ind w:left="709" w:right="709"/>
        <w:jc w:val="both"/>
        <w:rPr>
          <w:rFonts w:ascii="Verdana" w:hAnsi="Verdana"/>
          <w:sz w:val="20"/>
          <w:szCs w:val="20"/>
        </w:rPr>
      </w:pPr>
      <w:r w:rsidRPr="007B531B">
        <w:rPr>
          <w:rFonts w:ascii="Verdana" w:hAnsi="Verdana"/>
          <w:sz w:val="20"/>
          <w:szCs w:val="20"/>
        </w:rPr>
        <w:t xml:space="preserve">En ese sentido, diversas interpretaciones jurídicas han señalado que, al no tratarse de convenios interadministrativos ni implicar ejecución de recursos, los Contratos Especiales de Transferencia de Activos no se encontrarían comprendidos dentro del supuesto normativo de la restricción. </w:t>
      </w:r>
    </w:p>
    <w:p w14:paraId="16EEC3EE" w14:textId="77777777" w:rsidR="00F853CC" w:rsidRDefault="00F853CC" w:rsidP="00F853CC">
      <w:pPr>
        <w:spacing w:after="0" w:line="240" w:lineRule="auto"/>
        <w:ind w:left="709" w:right="709"/>
        <w:jc w:val="both"/>
        <w:rPr>
          <w:rFonts w:ascii="Verdana" w:hAnsi="Verdana"/>
          <w:sz w:val="20"/>
          <w:szCs w:val="20"/>
        </w:rPr>
      </w:pPr>
    </w:p>
    <w:p w14:paraId="60DF354F" w14:textId="77777777" w:rsidR="00F853CC" w:rsidRDefault="00F853CC" w:rsidP="00F853CC">
      <w:pPr>
        <w:spacing w:after="0" w:line="240" w:lineRule="auto"/>
        <w:ind w:left="709" w:right="709"/>
        <w:jc w:val="both"/>
        <w:rPr>
          <w:rFonts w:ascii="Verdana" w:hAnsi="Verdana"/>
          <w:sz w:val="20"/>
          <w:szCs w:val="20"/>
        </w:rPr>
      </w:pPr>
      <w:r w:rsidRPr="007B531B">
        <w:rPr>
          <w:rFonts w:ascii="Verdana" w:hAnsi="Verdana"/>
          <w:sz w:val="20"/>
          <w:szCs w:val="20"/>
        </w:rPr>
        <w:t xml:space="preserve">Esta interpretación ha sido reforzada por la doctrina administrativa, en particular por lo señalado en la Circular Externa 006 de 2025 de la Agencia Nacional de Contratación Pública – Colombia Compra Eficiente, la cual precisa que durante la vigencia de las restricciones de la Ley de Garantías las entidades pueden celebrar instrumentos interadministrativos siempre que estos no impliquen ejecución de recursos públicos. </w:t>
      </w:r>
    </w:p>
    <w:p w14:paraId="6E0D0C36" w14:textId="77777777" w:rsidR="00F853CC" w:rsidRDefault="00F853CC" w:rsidP="00F853CC">
      <w:pPr>
        <w:spacing w:after="0" w:line="240" w:lineRule="auto"/>
        <w:ind w:left="709" w:right="709"/>
        <w:jc w:val="both"/>
        <w:rPr>
          <w:rFonts w:ascii="Verdana" w:hAnsi="Verdana"/>
          <w:sz w:val="20"/>
          <w:szCs w:val="20"/>
        </w:rPr>
      </w:pPr>
    </w:p>
    <w:p w14:paraId="059A5EC5" w14:textId="77777777" w:rsidR="00F853CC" w:rsidRDefault="00F853CC" w:rsidP="00F853CC">
      <w:pPr>
        <w:spacing w:after="0" w:line="240" w:lineRule="auto"/>
        <w:ind w:left="709" w:right="709"/>
        <w:jc w:val="both"/>
        <w:rPr>
          <w:rFonts w:ascii="Verdana" w:hAnsi="Verdana"/>
          <w:sz w:val="20"/>
          <w:szCs w:val="20"/>
        </w:rPr>
      </w:pPr>
      <w:r w:rsidRPr="007B531B">
        <w:rPr>
          <w:rFonts w:ascii="Verdana" w:hAnsi="Verdana"/>
          <w:sz w:val="20"/>
          <w:szCs w:val="20"/>
        </w:rPr>
        <w:t xml:space="preserve">Adicionalmente, la jurisprudencia </w:t>
      </w:r>
      <w:proofErr w:type="gramStart"/>
      <w:r w:rsidRPr="007B531B">
        <w:rPr>
          <w:rFonts w:ascii="Verdana" w:hAnsi="Verdana"/>
          <w:sz w:val="20"/>
          <w:szCs w:val="20"/>
        </w:rPr>
        <w:t>contencioso administrativa</w:t>
      </w:r>
      <w:proofErr w:type="gramEnd"/>
      <w:r w:rsidRPr="007B531B">
        <w:rPr>
          <w:rFonts w:ascii="Verdana" w:hAnsi="Verdana"/>
          <w:sz w:val="20"/>
          <w:szCs w:val="20"/>
        </w:rPr>
        <w:t xml:space="preserve"> ha reiterado que las restricciones electorales deben ser objeto de interpretación restrictiva, por tratarse de limitaciones excepcionales a la función administrativa, razón por la cual no pueden extenderse a supuestos no previstos expresamente por el legislador</w:t>
      </w:r>
      <w:r>
        <w:rPr>
          <w:rFonts w:ascii="Verdana" w:hAnsi="Verdana"/>
          <w:sz w:val="20"/>
          <w:szCs w:val="20"/>
        </w:rPr>
        <w:t xml:space="preserve">. </w:t>
      </w:r>
    </w:p>
    <w:p w14:paraId="0E325574" w14:textId="77777777" w:rsidR="00F853CC" w:rsidRDefault="00F853CC" w:rsidP="00F853CC">
      <w:pPr>
        <w:spacing w:after="0" w:line="240" w:lineRule="auto"/>
        <w:ind w:left="709" w:right="709"/>
        <w:jc w:val="both"/>
        <w:rPr>
          <w:rFonts w:ascii="Verdana" w:hAnsi="Verdana"/>
          <w:sz w:val="20"/>
          <w:szCs w:val="20"/>
        </w:rPr>
      </w:pPr>
    </w:p>
    <w:p w14:paraId="3C050B39" w14:textId="77777777" w:rsidR="00F853CC" w:rsidRDefault="00F853CC" w:rsidP="00F853CC">
      <w:pPr>
        <w:spacing w:after="0" w:line="240" w:lineRule="auto"/>
        <w:ind w:left="709" w:right="709"/>
        <w:jc w:val="both"/>
        <w:rPr>
          <w:rFonts w:ascii="Verdana" w:hAnsi="Verdana"/>
          <w:sz w:val="20"/>
          <w:szCs w:val="20"/>
        </w:rPr>
      </w:pPr>
      <w:r w:rsidRPr="007B531B">
        <w:rPr>
          <w:rFonts w:ascii="Verdana" w:hAnsi="Verdana"/>
          <w:sz w:val="20"/>
          <w:szCs w:val="20"/>
        </w:rPr>
        <w:t>De otra parte, resulta pertinente señalar que los activos cuya transferencia se formaliza corresponden, en su mayoría, a </w:t>
      </w:r>
      <w:r w:rsidRPr="007B531B">
        <w:rPr>
          <w:rFonts w:ascii="Verdana" w:hAnsi="Verdana"/>
          <w:b/>
          <w:bCs/>
          <w:sz w:val="20"/>
          <w:szCs w:val="20"/>
          <w:u w:val="single"/>
        </w:rPr>
        <w:t>infraestructura energética asociada a la prestación del servicio público domiciliario de energía eléctrica o a soluciones</w:t>
      </w:r>
      <w:r>
        <w:rPr>
          <w:rFonts w:ascii="Verdana" w:hAnsi="Verdana"/>
          <w:b/>
          <w:bCs/>
          <w:sz w:val="20"/>
          <w:szCs w:val="20"/>
          <w:u w:val="single"/>
        </w:rPr>
        <w:t xml:space="preserve"> </w:t>
      </w:r>
      <w:r w:rsidRPr="007B531B">
        <w:rPr>
          <w:rFonts w:ascii="Verdana" w:hAnsi="Verdana"/>
          <w:b/>
          <w:bCs/>
          <w:sz w:val="20"/>
          <w:szCs w:val="20"/>
          <w:u w:val="single"/>
        </w:rPr>
        <w:t xml:space="preserve">de autogeneración en entidades públicas, </w:t>
      </w:r>
      <w:r w:rsidRPr="007B531B">
        <w:rPr>
          <w:rFonts w:ascii="Verdana" w:hAnsi="Verdana"/>
          <w:sz w:val="20"/>
          <w:szCs w:val="20"/>
        </w:rPr>
        <w:t>lo cual los vincula directamente con la garantía de un servicio público esencial</w:t>
      </w:r>
      <w:r>
        <w:rPr>
          <w:rFonts w:ascii="Verdana" w:hAnsi="Verdana"/>
          <w:sz w:val="20"/>
          <w:szCs w:val="20"/>
        </w:rPr>
        <w:t>.</w:t>
      </w:r>
    </w:p>
    <w:p w14:paraId="288C5982" w14:textId="77777777" w:rsidR="00F853CC" w:rsidRDefault="00F853CC" w:rsidP="00F853CC">
      <w:pPr>
        <w:spacing w:after="0" w:line="240" w:lineRule="auto"/>
        <w:ind w:left="709" w:right="709"/>
        <w:jc w:val="both"/>
        <w:rPr>
          <w:rFonts w:ascii="Verdana" w:hAnsi="Verdana"/>
          <w:sz w:val="20"/>
          <w:szCs w:val="20"/>
        </w:rPr>
      </w:pPr>
    </w:p>
    <w:p w14:paraId="2B5294DD" w14:textId="77777777" w:rsidR="00F853CC" w:rsidRDefault="00F853CC" w:rsidP="00F853CC">
      <w:pPr>
        <w:spacing w:after="0" w:line="240" w:lineRule="auto"/>
        <w:ind w:left="709" w:right="709"/>
        <w:jc w:val="both"/>
        <w:rPr>
          <w:rFonts w:ascii="Verdana" w:hAnsi="Verdana"/>
          <w:sz w:val="20"/>
          <w:szCs w:val="20"/>
        </w:rPr>
      </w:pPr>
      <w:r w:rsidRPr="007B531B">
        <w:rPr>
          <w:rFonts w:ascii="Verdana" w:hAnsi="Verdana"/>
          <w:sz w:val="20"/>
          <w:szCs w:val="20"/>
        </w:rPr>
        <w:t xml:space="preserve">En este sentido, la Constitución Política establece en sus artículos 365 y siguientes que los servicios públicos son inherentes a la finalidad social del Estado y que corresponde a éste asegurar su prestación eficiente y continua. De igual manera, la Ley 142 de 1994 establece el marco jurídico para la prestación de los servicios públicos domiciliarios, dentro del cual la adecuada gestión de la infraestructura que soporta dichos servicios resulta fundamental para garantizar su sostenibilidad y continuidad. </w:t>
      </w:r>
    </w:p>
    <w:p w14:paraId="1A25A473" w14:textId="77777777" w:rsidR="00F853CC" w:rsidRDefault="00F853CC" w:rsidP="00F853CC">
      <w:pPr>
        <w:spacing w:after="0" w:line="240" w:lineRule="auto"/>
        <w:ind w:left="709" w:right="709"/>
        <w:jc w:val="both"/>
        <w:rPr>
          <w:rFonts w:ascii="Verdana" w:hAnsi="Verdana"/>
          <w:sz w:val="20"/>
          <w:szCs w:val="20"/>
        </w:rPr>
      </w:pPr>
    </w:p>
    <w:p w14:paraId="3122922A" w14:textId="77777777" w:rsidR="00F853CC" w:rsidRDefault="00F853CC" w:rsidP="00F853CC">
      <w:pPr>
        <w:spacing w:after="0" w:line="240" w:lineRule="auto"/>
        <w:ind w:left="709" w:right="709"/>
        <w:jc w:val="both"/>
        <w:rPr>
          <w:rFonts w:ascii="Verdana" w:hAnsi="Verdana"/>
          <w:sz w:val="20"/>
          <w:szCs w:val="20"/>
        </w:rPr>
      </w:pPr>
      <w:r w:rsidRPr="007B531B">
        <w:rPr>
          <w:rFonts w:ascii="Verdana" w:hAnsi="Verdana"/>
          <w:sz w:val="20"/>
          <w:szCs w:val="20"/>
        </w:rPr>
        <w:t xml:space="preserve">Por esta razón, la formalización jurídica de la titularidad de los activos energéticos instalados no solo responde a necesidades de orden patrimonial y contable, sino también a la adecuada delimitación de responsabilidades en materia de administración, operación y mantenimiento, así como a la sostenibilidad de los sistemas implementados. </w:t>
      </w:r>
    </w:p>
    <w:p w14:paraId="164E2C8D" w14:textId="77777777" w:rsidR="00F853CC" w:rsidRDefault="00F853CC" w:rsidP="00F853CC">
      <w:pPr>
        <w:spacing w:after="0" w:line="240" w:lineRule="auto"/>
        <w:ind w:left="709" w:right="709"/>
        <w:jc w:val="both"/>
        <w:rPr>
          <w:rFonts w:ascii="Verdana" w:hAnsi="Verdana"/>
          <w:sz w:val="20"/>
          <w:szCs w:val="20"/>
        </w:rPr>
      </w:pPr>
    </w:p>
    <w:p w14:paraId="500FE826" w14:textId="77777777" w:rsidR="00F853CC" w:rsidRDefault="00F853CC" w:rsidP="00F853CC">
      <w:pPr>
        <w:spacing w:after="0" w:line="240" w:lineRule="auto"/>
        <w:ind w:left="709" w:right="709"/>
        <w:jc w:val="both"/>
        <w:rPr>
          <w:rFonts w:ascii="Verdana" w:hAnsi="Verdana"/>
          <w:sz w:val="20"/>
          <w:szCs w:val="20"/>
        </w:rPr>
      </w:pPr>
      <w:r w:rsidRPr="007B531B">
        <w:rPr>
          <w:rFonts w:ascii="Verdana" w:hAnsi="Verdana"/>
          <w:sz w:val="20"/>
          <w:szCs w:val="20"/>
        </w:rPr>
        <w:t xml:space="preserve">Desde esta perspectiva, impedir o postergar la suscripción de los instrumentos jurídicos que consolidan la titularidad de dichos activos podría generar incertidumbre jurídica sobre la gestión de infraestructura asociada a un servicio público esencial, circunstancia que resulta contraria a los principios de eficiencia, continuidad y responsabilidad en la prestación de los servicios públicos. </w:t>
      </w:r>
    </w:p>
    <w:p w14:paraId="0D49EC39" w14:textId="77777777" w:rsidR="00F853CC" w:rsidRDefault="00F853CC" w:rsidP="00F853CC">
      <w:pPr>
        <w:spacing w:after="0" w:line="240" w:lineRule="auto"/>
        <w:ind w:left="709" w:right="709"/>
        <w:jc w:val="both"/>
        <w:rPr>
          <w:rFonts w:ascii="Verdana" w:hAnsi="Verdana"/>
          <w:sz w:val="20"/>
          <w:szCs w:val="20"/>
        </w:rPr>
      </w:pPr>
    </w:p>
    <w:p w14:paraId="67F80831" w14:textId="77777777" w:rsidR="00F853CC" w:rsidRDefault="00F853CC" w:rsidP="00F853CC">
      <w:pPr>
        <w:spacing w:after="0" w:line="240" w:lineRule="auto"/>
        <w:ind w:left="709" w:right="709"/>
        <w:jc w:val="both"/>
        <w:rPr>
          <w:rFonts w:ascii="Verdana" w:hAnsi="Verdana"/>
          <w:sz w:val="20"/>
          <w:szCs w:val="20"/>
        </w:rPr>
      </w:pPr>
      <w:r w:rsidRPr="007B531B">
        <w:rPr>
          <w:rFonts w:ascii="Verdana" w:hAnsi="Verdana"/>
          <w:sz w:val="20"/>
          <w:szCs w:val="20"/>
        </w:rPr>
        <w:t>Adicionalmente, la no formalización oportuna de la transferencia mantiene una situación patrimonial incompleta respecto de bienes financiados con recursos públicos que ya se encuentran instalados y en operación. Si bien las entidades beneficiarias han asumido obligaciones de custodia y mantenimiento desde la entrega material de los activos, la ausencia de formalización jurídica de la transferencia puede generar incertidumbres en materia de titularidad, registro contable, delimitación de responsabilidades y trazabilidad patrimonial de los bienes financiados con recursos públicos.</w:t>
      </w:r>
    </w:p>
    <w:p w14:paraId="315F3690" w14:textId="77777777" w:rsidR="00F853CC" w:rsidRDefault="00F853CC" w:rsidP="00F853CC">
      <w:pPr>
        <w:spacing w:after="0" w:line="240" w:lineRule="auto"/>
        <w:ind w:left="709" w:right="709"/>
        <w:jc w:val="both"/>
        <w:rPr>
          <w:rFonts w:ascii="Verdana" w:hAnsi="Verdana"/>
          <w:sz w:val="20"/>
          <w:szCs w:val="20"/>
        </w:rPr>
      </w:pPr>
    </w:p>
    <w:p w14:paraId="2CBD0855" w14:textId="77777777" w:rsidR="00F853CC" w:rsidRDefault="00F853CC" w:rsidP="00F853CC">
      <w:pPr>
        <w:spacing w:after="0" w:line="240" w:lineRule="auto"/>
        <w:ind w:left="709" w:right="709"/>
        <w:jc w:val="both"/>
        <w:rPr>
          <w:rFonts w:ascii="Verdana" w:hAnsi="Verdana"/>
          <w:sz w:val="20"/>
          <w:szCs w:val="20"/>
        </w:rPr>
      </w:pPr>
      <w:r>
        <w:rPr>
          <w:rFonts w:ascii="Verdana" w:hAnsi="Verdana"/>
          <w:sz w:val="20"/>
          <w:szCs w:val="20"/>
        </w:rPr>
        <w:t>En</w:t>
      </w:r>
      <w:r w:rsidRPr="007B531B">
        <w:rPr>
          <w:rFonts w:ascii="Verdana" w:hAnsi="Verdana"/>
          <w:sz w:val="20"/>
          <w:szCs w:val="20"/>
        </w:rPr>
        <w:t xml:space="preserve"> atención a lo anteriormente expuesto, respetuosamente solicitamos a esa Agencia emitir concepto respecto del siguiente problema jurídico:</w:t>
      </w:r>
      <w:r w:rsidRPr="00B07F38">
        <w:rPr>
          <w:rFonts w:ascii="Verdana" w:hAnsi="Verdana"/>
          <w:sz w:val="20"/>
          <w:szCs w:val="20"/>
        </w:rPr>
        <w:t xml:space="preserve"> </w:t>
      </w:r>
    </w:p>
    <w:p w14:paraId="6AF56C6F" w14:textId="77777777" w:rsidR="00F853CC" w:rsidRDefault="00F853CC" w:rsidP="00F853CC">
      <w:pPr>
        <w:spacing w:after="0" w:line="240" w:lineRule="auto"/>
        <w:ind w:left="709" w:right="709"/>
        <w:jc w:val="both"/>
        <w:rPr>
          <w:rFonts w:ascii="Verdana" w:hAnsi="Verdana"/>
          <w:sz w:val="20"/>
          <w:szCs w:val="20"/>
        </w:rPr>
      </w:pPr>
    </w:p>
    <w:p w14:paraId="644DCA12" w14:textId="77777777" w:rsidR="00F853CC" w:rsidRDefault="00F853CC" w:rsidP="00F853CC">
      <w:pPr>
        <w:spacing w:after="0" w:line="240" w:lineRule="auto"/>
        <w:ind w:left="709" w:right="709"/>
        <w:jc w:val="both"/>
        <w:rPr>
          <w:rFonts w:ascii="Verdana" w:hAnsi="Verdana"/>
          <w:sz w:val="20"/>
          <w:szCs w:val="20"/>
        </w:rPr>
      </w:pPr>
      <w:r w:rsidRPr="007B531B">
        <w:rPr>
          <w:rFonts w:ascii="Verdana" w:hAnsi="Verdana"/>
          <w:sz w:val="20"/>
          <w:szCs w:val="20"/>
        </w:rPr>
        <w:t>¿Los </w:t>
      </w:r>
      <w:r w:rsidRPr="007B531B">
        <w:rPr>
          <w:rFonts w:ascii="Verdana" w:hAnsi="Verdana"/>
          <w:b/>
          <w:bCs/>
          <w:sz w:val="20"/>
          <w:szCs w:val="20"/>
        </w:rPr>
        <w:t>Contratos Especiales de Transferencia de Activos</w:t>
      </w:r>
      <w:r w:rsidRPr="007B531B">
        <w:rPr>
          <w:rFonts w:ascii="Verdana" w:hAnsi="Verdana"/>
          <w:sz w:val="20"/>
          <w:szCs w:val="20"/>
        </w:rPr>
        <w:t>, celebrados a título gratuito con entidades públicas beneficiarias de proyectos financiados con recursos del Fondo de Energías No Convencionales y Gestión Eficiente de la Energía – FENOGE, cuyo objeto consiste exclusivamente en formalizar la transferencia del derecho de dominio de bienes ya instalados y entregados materialmente en desarrollo de un convenio interadministrativo previamente suscrito, y respecto de los cuales la entidad beneficiaria ya ha asumido obligaciones de administración, operación y mantenimiento (AOM), se encuentran sujetos a las restricciones previstas en los </w:t>
      </w:r>
      <w:r w:rsidRPr="007B531B">
        <w:rPr>
          <w:rFonts w:ascii="Verdana" w:hAnsi="Verdana"/>
          <w:b/>
          <w:bCs/>
          <w:sz w:val="20"/>
          <w:szCs w:val="20"/>
        </w:rPr>
        <w:t>artículos 33 y 38 de la Ley 996 de 2005 (Ley de Garantías Electorales)</w:t>
      </w:r>
      <w:r w:rsidRPr="007B531B">
        <w:rPr>
          <w:rFonts w:ascii="Verdana" w:hAnsi="Verdana"/>
          <w:sz w:val="20"/>
          <w:szCs w:val="20"/>
        </w:rPr>
        <w:t xml:space="preserve">? </w:t>
      </w:r>
    </w:p>
    <w:p w14:paraId="174DF62C" w14:textId="77777777" w:rsidR="00F853CC" w:rsidRDefault="00F853CC" w:rsidP="00F853CC">
      <w:pPr>
        <w:spacing w:after="0" w:line="240" w:lineRule="auto"/>
        <w:ind w:left="709" w:right="709"/>
        <w:jc w:val="both"/>
        <w:rPr>
          <w:rFonts w:ascii="Verdana" w:hAnsi="Verdana"/>
          <w:sz w:val="20"/>
          <w:szCs w:val="20"/>
        </w:rPr>
      </w:pPr>
    </w:p>
    <w:p w14:paraId="24E9C376" w14:textId="77777777" w:rsidR="00F853CC" w:rsidRDefault="00F853CC" w:rsidP="00F853CC">
      <w:pPr>
        <w:spacing w:after="0" w:line="240" w:lineRule="auto"/>
        <w:ind w:left="709" w:right="709"/>
        <w:jc w:val="both"/>
        <w:rPr>
          <w:rFonts w:ascii="Verdana" w:hAnsi="Verdana"/>
          <w:sz w:val="20"/>
          <w:szCs w:val="20"/>
        </w:rPr>
      </w:pPr>
      <w:r w:rsidRPr="007B531B">
        <w:rPr>
          <w:rFonts w:ascii="Verdana" w:hAnsi="Verdana"/>
          <w:sz w:val="20"/>
          <w:szCs w:val="20"/>
        </w:rPr>
        <w:t xml:space="preserve">De manera complementaria, solicitamos respetuosamente precisar: </w:t>
      </w:r>
    </w:p>
    <w:p w14:paraId="36FC58AA" w14:textId="77777777" w:rsidR="00F853CC" w:rsidRDefault="00F853CC" w:rsidP="00F853CC">
      <w:pPr>
        <w:spacing w:after="0" w:line="240" w:lineRule="auto"/>
        <w:ind w:left="709" w:right="709"/>
        <w:jc w:val="both"/>
        <w:rPr>
          <w:rFonts w:ascii="Verdana" w:hAnsi="Verdana"/>
          <w:sz w:val="20"/>
          <w:szCs w:val="20"/>
        </w:rPr>
      </w:pPr>
    </w:p>
    <w:p w14:paraId="09E24096" w14:textId="77777777" w:rsidR="00F853CC" w:rsidRDefault="00F853CC" w:rsidP="00F853CC">
      <w:pPr>
        <w:spacing w:after="0" w:line="240" w:lineRule="auto"/>
        <w:ind w:left="709" w:right="709"/>
        <w:jc w:val="both"/>
        <w:rPr>
          <w:rFonts w:ascii="Verdana" w:hAnsi="Verdana"/>
          <w:sz w:val="20"/>
          <w:szCs w:val="20"/>
        </w:rPr>
      </w:pPr>
      <w:r w:rsidRPr="007B531B">
        <w:rPr>
          <w:rFonts w:ascii="Verdana" w:hAnsi="Verdana"/>
          <w:sz w:val="20"/>
          <w:szCs w:val="20"/>
        </w:rPr>
        <w:t>Si la suscripción de este tipo de contratos puede considerarse comprendida dentro de la prohibición prevista en el artículo 38 de la Ley 996 de 2005, relativa a la celebración de convenios interadministrativos para la ejecución de recursos públicos dentro del periodo previo a elecciones</w:t>
      </w:r>
      <w:r>
        <w:rPr>
          <w:rFonts w:ascii="Verdana" w:hAnsi="Verdana"/>
          <w:sz w:val="20"/>
          <w:szCs w:val="20"/>
        </w:rPr>
        <w:t>.</w:t>
      </w:r>
    </w:p>
    <w:p w14:paraId="47D47144" w14:textId="77777777" w:rsidR="00F853CC" w:rsidRDefault="00F853CC" w:rsidP="00F853CC">
      <w:pPr>
        <w:spacing w:after="0" w:line="240" w:lineRule="auto"/>
        <w:ind w:left="709" w:right="709"/>
        <w:jc w:val="both"/>
        <w:rPr>
          <w:rFonts w:ascii="Verdana" w:hAnsi="Verdana"/>
          <w:sz w:val="20"/>
          <w:szCs w:val="20"/>
        </w:rPr>
      </w:pPr>
    </w:p>
    <w:p w14:paraId="3C0A0F13" w14:textId="77777777" w:rsidR="00F853CC" w:rsidRDefault="00F853CC" w:rsidP="00F853CC">
      <w:pPr>
        <w:spacing w:after="0" w:line="240" w:lineRule="auto"/>
        <w:ind w:left="709" w:right="709"/>
        <w:jc w:val="both"/>
        <w:rPr>
          <w:rFonts w:ascii="Verdana" w:hAnsi="Verdana"/>
          <w:sz w:val="20"/>
          <w:szCs w:val="20"/>
        </w:rPr>
      </w:pPr>
      <w:r w:rsidRPr="007B531B">
        <w:rPr>
          <w:rFonts w:ascii="Verdana" w:hAnsi="Verdana"/>
          <w:sz w:val="20"/>
          <w:szCs w:val="20"/>
        </w:rPr>
        <w:t xml:space="preserve">Si la formalización jurídica de la transferencia de propiedad de activos financiados previamente con recursos públicos, que no implica ejecución presupuestal ni erogación alguna por parte de la entidad beneficiaria, podría entenderse comprendida dentro de las restricciones relacionadas con </w:t>
      </w:r>
      <w:r w:rsidRPr="007B531B">
        <w:rPr>
          <w:rFonts w:ascii="Verdana" w:hAnsi="Verdana"/>
          <w:b/>
          <w:bCs/>
          <w:sz w:val="20"/>
          <w:szCs w:val="20"/>
        </w:rPr>
        <w:t>la contratación directa previstas en el artículo 33 de la Ley 996 de 2005</w:t>
      </w:r>
      <w:r w:rsidRPr="007B531B">
        <w:rPr>
          <w:rFonts w:ascii="Verdana" w:hAnsi="Verdana"/>
          <w:sz w:val="20"/>
          <w:szCs w:val="20"/>
        </w:rPr>
        <w:t xml:space="preserve">. </w:t>
      </w:r>
    </w:p>
    <w:p w14:paraId="68F12FC8" w14:textId="77777777" w:rsidR="00F853CC" w:rsidRDefault="00F853CC" w:rsidP="00F853CC">
      <w:pPr>
        <w:spacing w:after="0" w:line="240" w:lineRule="auto"/>
        <w:ind w:left="709" w:right="709"/>
        <w:jc w:val="both"/>
        <w:rPr>
          <w:rFonts w:ascii="Verdana" w:hAnsi="Verdana"/>
          <w:sz w:val="20"/>
          <w:szCs w:val="20"/>
        </w:rPr>
      </w:pPr>
    </w:p>
    <w:p w14:paraId="07C2EA5F" w14:textId="77777777" w:rsidR="00F853CC" w:rsidRPr="00B07F38" w:rsidRDefault="00F853CC" w:rsidP="00F853CC">
      <w:pPr>
        <w:spacing w:after="0" w:line="240" w:lineRule="auto"/>
        <w:ind w:left="709" w:right="709"/>
        <w:jc w:val="both"/>
        <w:rPr>
          <w:rFonts w:ascii="Verdana" w:hAnsi="Verdana"/>
          <w:sz w:val="20"/>
          <w:szCs w:val="20"/>
        </w:rPr>
      </w:pPr>
      <w:r w:rsidRPr="007B531B">
        <w:rPr>
          <w:rFonts w:ascii="Verdana" w:hAnsi="Verdana"/>
          <w:sz w:val="20"/>
          <w:szCs w:val="20"/>
        </w:rPr>
        <w:t xml:space="preserve">Si, teniendo en cuenta que dichos instrumentos contractuales tienen por finalidad consolidar la titularidad patrimonial de activos ya instalados y en operación, asociados en muchos casos a la prestación de un servicio público esencial, su suscripción puede adelantarse durante la vigencia de las restricciones electorales previstas en la citada ley. </w:t>
      </w:r>
      <w:r w:rsidRPr="00B07F38">
        <w:rPr>
          <w:rFonts w:ascii="Verdana" w:hAnsi="Verdana"/>
          <w:sz w:val="20"/>
          <w:szCs w:val="20"/>
        </w:rPr>
        <w:t>(…)”.</w:t>
      </w:r>
    </w:p>
    <w:p w14:paraId="5BA5E267" w14:textId="77777777" w:rsidR="00F853CC" w:rsidRPr="00647D77" w:rsidRDefault="00F853CC" w:rsidP="00F853CC">
      <w:pPr>
        <w:spacing w:after="0" w:line="276" w:lineRule="auto"/>
        <w:ind w:left="567" w:right="760"/>
        <w:jc w:val="both"/>
        <w:rPr>
          <w:rFonts w:ascii="Verdana" w:hAnsi="Verdana"/>
        </w:rPr>
      </w:pPr>
    </w:p>
    <w:p w14:paraId="05EB637C" w14:textId="77777777" w:rsidR="00F853CC" w:rsidRPr="00F64722" w:rsidRDefault="00F853CC" w:rsidP="00F853CC">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color w:val="000000"/>
          <w:lang w:eastAsia="es-ES"/>
        </w:rPr>
        <w:t xml:space="preserve">la Agencia Nacional de Contratación Pública - </w:t>
      </w:r>
      <w:r w:rsidRPr="005644FE">
        <w:rPr>
          <w:rFonts w:ascii="Verdana" w:eastAsia="Calibri" w:hAnsi="Verdana" w:cs="Arial"/>
          <w:color w:val="000000"/>
          <w:lang w:eastAsia="es-ES"/>
        </w:rPr>
        <w:t xml:space="preserve">Colombia Compra Eficiente como una autoridad para solucionar problemas jurídicos particulares de todos los partícipes del sistema de compra pública. La competencia de esta entidad se fija con límites claros, con </w:t>
      </w:r>
      <w:r w:rsidRPr="00F64722">
        <w:rPr>
          <w:rFonts w:ascii="Verdana" w:eastAsia="Calibri" w:hAnsi="Verdana" w:cs="Arial"/>
          <w:color w:val="000000"/>
          <w:lang w:eastAsia="es-ES"/>
        </w:rPr>
        <w:t xml:space="preserve">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32544C43" w14:textId="77777777" w:rsidR="00F853CC" w:rsidRDefault="00F853CC" w:rsidP="00F853CC">
      <w:pPr>
        <w:spacing w:after="120" w:line="276" w:lineRule="auto"/>
        <w:ind w:firstLine="709"/>
        <w:jc w:val="both"/>
        <w:rPr>
          <w:rFonts w:ascii="Verdana" w:eastAsia="Calibri" w:hAnsi="Verdana" w:cs="Arial"/>
          <w:lang w:eastAsia="es-ES"/>
        </w:rPr>
      </w:pPr>
      <w:r w:rsidRPr="00B75E8F">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w:t>
      </w:r>
      <w:r w:rsidRPr="00C52681">
        <w:rPr>
          <w:rFonts w:ascii="Verdana" w:eastAsia="Calibri" w:hAnsi="Verdana" w:cs="Arial"/>
          <w:color w:val="000000"/>
          <w:lang w:eastAsia="es-ES"/>
        </w:rPr>
        <w:t>petición, pero señalando algunas consideraciones sobre las normas generales relacionadas al problema jurídico de su consulta.</w:t>
      </w:r>
      <w:r w:rsidRPr="00C52681">
        <w:rPr>
          <w:rFonts w:ascii="Verdana" w:eastAsia="Calibri" w:hAnsi="Verdana" w:cs="Arial"/>
          <w:lang w:eastAsia="es-ES"/>
        </w:rPr>
        <w:t xml:space="preserve">  </w:t>
      </w:r>
    </w:p>
    <w:p w14:paraId="66FE735D" w14:textId="77777777" w:rsidR="00F853CC" w:rsidRPr="0086689B" w:rsidRDefault="00F853CC" w:rsidP="00F853CC">
      <w:pPr>
        <w:spacing w:after="120" w:line="276" w:lineRule="auto"/>
        <w:jc w:val="both"/>
        <w:rPr>
          <w:rFonts w:ascii="Verdana" w:eastAsia="Calibri" w:hAnsi="Verdana" w:cs="Arial"/>
          <w:lang w:eastAsia="es-ES"/>
        </w:rPr>
      </w:pPr>
      <w:r>
        <w:rPr>
          <w:rFonts w:ascii="Verdana" w:eastAsia="Century Gothic" w:hAnsi="Verdana" w:cs="Century Gothic"/>
          <w:b/>
          <w:bCs/>
        </w:rPr>
        <w:t xml:space="preserve">1. </w:t>
      </w:r>
      <w:r w:rsidRPr="00C52681">
        <w:rPr>
          <w:rFonts w:ascii="Verdana" w:eastAsia="Century Gothic" w:hAnsi="Verdana" w:cs="Century Gothic"/>
          <w:b/>
          <w:bCs/>
        </w:rPr>
        <w:t>Problema planteado:</w:t>
      </w:r>
    </w:p>
    <w:p w14:paraId="4A9CAC7F" w14:textId="77777777" w:rsidR="00F853CC" w:rsidRPr="00F76FC0" w:rsidRDefault="00F853CC" w:rsidP="00F853CC">
      <w:pPr>
        <w:spacing w:after="120" w:line="276" w:lineRule="auto"/>
        <w:jc w:val="both"/>
        <w:rPr>
          <w:rFonts w:ascii="Verdana" w:hAnsi="Verdana" w:cs="Arial"/>
        </w:rPr>
      </w:pPr>
      <w:r w:rsidRPr="00C52681">
        <w:rPr>
          <w:rFonts w:ascii="Verdana" w:eastAsia="Calibri" w:hAnsi="Verdana" w:cs="Arial"/>
          <w:color w:val="000000"/>
          <w:lang w:eastAsia="es-ES"/>
        </w:rPr>
        <w:t>De acuerdo con el contenido de su solicitud, esta Agencia resolverá el siguiente problema jurídico: ¿</w:t>
      </w:r>
      <w:r w:rsidRPr="00C52681">
        <w:rPr>
          <w:rFonts w:ascii="Verdana" w:hAnsi="Verdana"/>
          <w:lang w:val="es-ES"/>
        </w:rPr>
        <w:t xml:space="preserve">Cuál es alcance </w:t>
      </w:r>
      <w:r>
        <w:rPr>
          <w:rFonts w:ascii="Verdana" w:hAnsi="Verdana"/>
          <w:lang w:val="es-ES"/>
        </w:rPr>
        <w:t xml:space="preserve">de la Ley 996 de 2005 conocida como la Ley de Garantías Electorales y cuál es su incidencia en la celebración de contratos de transferencia de activos a través del Fondo de Energías No convencionales y Gestión Eficiente de Energía? </w:t>
      </w:r>
    </w:p>
    <w:p w14:paraId="77926BAF" w14:textId="77777777" w:rsidR="00F853CC" w:rsidRPr="00886C89" w:rsidRDefault="00F853CC" w:rsidP="00F853CC">
      <w:pPr>
        <w:spacing w:after="0" w:line="276" w:lineRule="auto"/>
        <w:jc w:val="both"/>
        <w:rPr>
          <w:rFonts w:ascii="Verdana" w:hAnsi="Verdana" w:cs="Arial"/>
        </w:rPr>
      </w:pPr>
      <w:r w:rsidRPr="00B33011">
        <w:rPr>
          <w:rFonts w:ascii="Verdana" w:eastAsia="Century Gothic" w:hAnsi="Verdana" w:cs="Century Gothic"/>
          <w:b/>
          <w:bCs/>
        </w:rPr>
        <w:t>2. Respuesta:</w:t>
      </w:r>
    </w:p>
    <w:p w14:paraId="473A19D3" w14:textId="77777777" w:rsidR="00F853CC" w:rsidRPr="005644FE" w:rsidRDefault="00F853CC" w:rsidP="00F853CC">
      <w:pPr>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F853CC" w:rsidRPr="005644FE" w14:paraId="4B92A87D" w14:textId="77777777" w:rsidTr="00650004">
        <w:tc>
          <w:tcPr>
            <w:tcW w:w="8828" w:type="dxa"/>
          </w:tcPr>
          <w:p w14:paraId="1AFD9A3B" w14:textId="74B3BAE9" w:rsidR="00F853CC" w:rsidRDefault="00F853CC" w:rsidP="00650004">
            <w:pPr>
              <w:spacing w:after="120" w:line="276" w:lineRule="auto"/>
              <w:jc w:val="both"/>
              <w:rPr>
                <w:rFonts w:ascii="Verdana" w:eastAsia="Calibri" w:hAnsi="Verdana" w:cs="Arial"/>
                <w:lang w:eastAsia="es-ES"/>
              </w:rPr>
            </w:pPr>
            <w:r w:rsidRPr="009A37CC">
              <w:rPr>
                <w:rFonts w:ascii="Verdana" w:eastAsia="Calibri" w:hAnsi="Verdana" w:cs="Arial"/>
                <w:lang w:eastAsia="es-ES"/>
              </w:rPr>
              <w:t xml:space="preserve">Las restricciones contenidas en el artículo 33 de la Ley 996 de 2005 aplica para “la contratación directa” de todos los entes del Estado, </w:t>
            </w:r>
            <w:r w:rsidRPr="009A37CC">
              <w:rPr>
                <w:rFonts w:ascii="Verdana" w:hAnsi="Verdana" w:cs="Arial"/>
                <w:color w:val="000000" w:themeColor="text1"/>
                <w:lang w:val="es-MX"/>
              </w:rPr>
              <w:t xml:space="preserve">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9A37CC">
              <w:rPr>
                <w:rFonts w:ascii="Verdana" w:eastAsia="Calibri" w:hAnsi="Verdana" w:cs="Arial"/>
                <w:lang w:eastAsia="es-ES"/>
              </w:rPr>
              <w:t xml:space="preserve">Se trata de la prohibición de </w:t>
            </w:r>
            <w:r w:rsidRPr="009A37CC">
              <w:rPr>
                <w:rFonts w:ascii="Verdana" w:hAnsi="Verdana" w:cs="Arial"/>
                <w:bCs/>
                <w:lang w:eastAsia="x-none"/>
              </w:rPr>
              <w:t>aquellos contratos en los que no exista un proceso abierto y competitivo.</w:t>
            </w:r>
            <w:r w:rsidRPr="009A37CC">
              <w:rPr>
                <w:rFonts w:ascii="Verdana" w:hAnsi="Verdana" w:cs="Arial"/>
                <w:lang w:eastAsia="x-none"/>
              </w:rPr>
              <w:t xml:space="preserve"> Por lo tanto, no son materia de la prohibición las demás modalidades de selección previstas en la Ley 1150 de 2007, esto es, la licitación pública, el concurso de méritos, la selección abreviada y la contratación de mínima cuantía o los procesos competitivos establecidos en los manuales de contratación de las entidades con regímenes exceptuados. Adicionalmente, la celebración de la contratación directa </w:t>
            </w:r>
            <w:r w:rsidRPr="009A37CC">
              <w:rPr>
                <w:rFonts w:ascii="Verdana" w:eastAsia="Calibri" w:hAnsi="Verdana" w:cs="Arial"/>
                <w:lang w:eastAsia="es-ES"/>
              </w:rPr>
              <w:t xml:space="preserve">no se encuentra condicionada por la ejecución de recursos en el marco de los respectivos contratos o el origen de estos, de manera que aplica las restricciones independientemente de que el contrato implique o no la ejecución de recursos o si los recursos destinados son de naturaleza pública o privada. </w:t>
            </w:r>
          </w:p>
          <w:p w14:paraId="0E129677" w14:textId="77777777" w:rsidR="00F853CC" w:rsidRDefault="00F853CC" w:rsidP="00650004">
            <w:pPr>
              <w:spacing w:after="120" w:line="276" w:lineRule="auto"/>
              <w:ind w:firstLine="709"/>
              <w:jc w:val="both"/>
              <w:rPr>
                <w:rFonts w:ascii="Verdana" w:eastAsia="Calibri" w:hAnsi="Verdana" w:cs="Arial"/>
                <w:lang w:eastAsia="es-ES"/>
              </w:rPr>
            </w:pPr>
            <w:r w:rsidRPr="009A37CC">
              <w:rPr>
                <w:rFonts w:ascii="Verdana" w:eastAsia="Calibri" w:hAnsi="Verdana" w:cs="Arial"/>
                <w:lang w:eastAsia="es-ES"/>
              </w:rPr>
              <w:t xml:space="preserve">La Entidad Estatal definirá si la contratación que pretende celebrar se enmarca en alguna de las excepciones definidas en el artículo 33 de la Ley 996 de 2005, de tal manera que las excepciones contempladas no permiten efectuar una interpretación extensiva para incluir otros supuestos. </w:t>
            </w:r>
          </w:p>
          <w:p w14:paraId="7A22FC37" w14:textId="77777777" w:rsidR="00F853CC" w:rsidRDefault="00F853CC" w:rsidP="00650004">
            <w:pPr>
              <w:spacing w:after="120" w:line="276" w:lineRule="auto"/>
              <w:ind w:firstLine="709"/>
              <w:jc w:val="both"/>
              <w:rPr>
                <w:rFonts w:ascii="Verdana" w:eastAsia="Calibri" w:hAnsi="Verdana" w:cs="Arial"/>
                <w:lang w:eastAsia="es-ES"/>
              </w:rPr>
            </w:pPr>
            <w:r w:rsidRPr="009A37CC">
              <w:rPr>
                <w:rFonts w:ascii="Verdana" w:eastAsia="Calibri" w:hAnsi="Verdana" w:cs="Arial"/>
                <w:lang w:eastAsia="es-ES"/>
              </w:rPr>
              <w:t xml:space="preserve">En cuanto a la restricción definida en el parágrafo del artículo 38 de la Ley 996 de 2005 ésta se refiere a la celebración de convenios interadministrativos para la ejecución de recursos públicos, independientemente de que se configuren los supuestos de excepción que señala en artículo 33 de la misma ley. En otras palabras, en vigencia de la restricción definida en dicho parágrafo podrán celebrarse </w:t>
            </w:r>
            <w:proofErr w:type="gramStart"/>
            <w:r w:rsidRPr="009A37CC">
              <w:rPr>
                <w:rFonts w:ascii="Verdana" w:eastAsia="Calibri" w:hAnsi="Verdana" w:cs="Arial"/>
                <w:lang w:eastAsia="es-ES"/>
              </w:rPr>
              <w:t>contratos interadministrativos o convenios interadministrativos</w:t>
            </w:r>
            <w:proofErr w:type="gramEnd"/>
            <w:r w:rsidRPr="009A37CC">
              <w:rPr>
                <w:rFonts w:ascii="Verdana" w:eastAsia="Calibri" w:hAnsi="Verdana" w:cs="Arial"/>
                <w:lang w:eastAsia="es-ES"/>
              </w:rPr>
              <w:t xml:space="preserve"> que no implique ejecución de recursos. Sin embargo, teniendo en cuenta que actualmente está vigente la restricción contenida en el artículo 33 de la Ley 996 de 2005, queda prohibida la contratación directa, esto es, la celebración de contratos o convenios independientemente de la ejecución o no de recursos públicos, y solo será factible la celebración de contratos a través de los cuales sean utilizadas las modalidades de selección definidas bien sea en la Ley 1150 de </w:t>
            </w:r>
            <w:r>
              <w:rPr>
                <w:rFonts w:ascii="Verdana" w:eastAsia="Calibri" w:hAnsi="Verdana" w:cs="Arial"/>
                <w:lang w:eastAsia="es-ES"/>
              </w:rPr>
              <w:t>2007</w:t>
            </w:r>
            <w:r w:rsidRPr="009A37CC">
              <w:rPr>
                <w:rFonts w:ascii="Verdana" w:eastAsia="Calibri" w:hAnsi="Verdana" w:cs="Arial"/>
                <w:lang w:eastAsia="es-ES"/>
              </w:rPr>
              <w:t xml:space="preserve"> o las modalidades competitivas diseñadas en los manuales de contratación de aquellas entidades que están excluidas de la aplicación del EGCAP.     </w:t>
            </w:r>
          </w:p>
          <w:p w14:paraId="2B32B188" w14:textId="77777777" w:rsidR="00F853CC" w:rsidRDefault="00F853CC" w:rsidP="00650004">
            <w:pPr>
              <w:spacing w:after="120" w:line="276" w:lineRule="auto"/>
              <w:ind w:firstLine="709"/>
              <w:jc w:val="both"/>
              <w:rPr>
                <w:rFonts w:ascii="Verdana" w:eastAsia="Calibri" w:hAnsi="Verdana" w:cs="Arial"/>
                <w:lang w:eastAsia="es-ES"/>
              </w:rPr>
            </w:pPr>
            <w:r w:rsidRPr="009A37CC">
              <w:rPr>
                <w:rFonts w:ascii="Verdana" w:eastAsia="Calibri" w:hAnsi="Verdana" w:cs="Arial"/>
                <w:lang w:eastAsia="es-ES"/>
              </w:rPr>
              <w:t xml:space="preserve">La posición definida en las decisiones adoptadas por la Sección Tercera del Consejo de Estado se enmarcó en la imposibilidad de extender la aplicación de la restricción a los contratos interadministrativos que, en vigencia de la prohibición del parágrafo del artículo 38 de la Ley de Garantías Electorales se trata, esto es, en las elecciones distintas a las presidenciales. Específicamente, en la sentencia del 17 de octubre de 2025, el alto tribunal declaró la nulidad parcial del numeral 16.2 de la Circular Externa Única de 2022, por lo tanto, cuando dos entidades públicas celebran un contrato interadministrativo, independientemente del objeto, dicho contrato puede suscribirse durante el periodo preelectoral, pero se insiste, en el marco de las elecciones distintas a las presidenciales. Por lo tanto, ambas restricciones no son excluyentes, lo que permite concluir que, en el período preelectoral para elección de </w:t>
            </w:r>
            <w:proofErr w:type="gramStart"/>
            <w:r w:rsidRPr="009A37CC">
              <w:rPr>
                <w:rFonts w:ascii="Verdana" w:eastAsia="Calibri" w:hAnsi="Verdana" w:cs="Arial"/>
                <w:lang w:eastAsia="es-ES"/>
              </w:rPr>
              <w:t>Presidente</w:t>
            </w:r>
            <w:proofErr w:type="gramEnd"/>
            <w:r w:rsidRPr="009A37CC">
              <w:rPr>
                <w:rFonts w:ascii="Verdana" w:eastAsia="Calibri" w:hAnsi="Verdana" w:cs="Arial"/>
                <w:lang w:eastAsia="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9A37CC">
              <w:rPr>
                <w:rFonts w:ascii="Verdana" w:eastAsia="Calibri" w:hAnsi="Verdana" w:cs="Arial"/>
                <w:lang w:eastAsia="es-ES"/>
              </w:rPr>
              <w:t>Presidente</w:t>
            </w:r>
            <w:proofErr w:type="gramEnd"/>
            <w:r w:rsidRPr="009A37CC">
              <w:rPr>
                <w:rFonts w:ascii="Verdana" w:eastAsia="Calibri" w:hAnsi="Verdana" w:cs="Arial"/>
                <w:lang w:eastAsia="es-ES"/>
              </w:rPr>
              <w:t xml:space="preserve"> de la República, las autoridades allí mencionadas sólo deben aplicar las restricciones contenidas en el parágrafo del artículo 38. </w:t>
            </w:r>
          </w:p>
          <w:p w14:paraId="52D18971" w14:textId="77777777" w:rsidR="00F853CC" w:rsidRPr="009A37CC" w:rsidRDefault="00F853CC" w:rsidP="00650004">
            <w:pPr>
              <w:spacing w:after="120" w:line="276" w:lineRule="auto"/>
              <w:ind w:firstLine="709"/>
              <w:jc w:val="both"/>
              <w:rPr>
                <w:rFonts w:ascii="Verdana" w:hAnsi="Verdana" w:cs="Arial"/>
                <w:bCs/>
                <w:color w:val="000000" w:themeColor="text1"/>
                <w:lang w:val="es-MX" w:eastAsia="x-none"/>
              </w:rPr>
            </w:pPr>
            <w:r>
              <w:rPr>
                <w:rFonts w:ascii="Verdana" w:hAnsi="Verdana" w:cs="Arial"/>
                <w:bCs/>
                <w:color w:val="000000" w:themeColor="text1"/>
              </w:rPr>
              <w:t xml:space="preserve">De acuerdo con lo anterior, será la Entidad Estatal, en el marco de su autonomía contractual, y bajo las reglas definidas para la celebración de sus contratos en su manual de contratación, determinar si se encuentra dentro de las excepciones contempladas en el artículo 33 de la Ley 996 de 2005.  </w:t>
            </w:r>
          </w:p>
        </w:tc>
      </w:tr>
    </w:tbl>
    <w:p w14:paraId="5456A797" w14:textId="77777777" w:rsidR="00F853CC" w:rsidRPr="005644FE" w:rsidRDefault="00F853CC" w:rsidP="00F853CC">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1B682014" w14:textId="77777777" w:rsidR="00F853CC" w:rsidRPr="005644FE" w:rsidRDefault="00F853CC" w:rsidP="00F853CC">
      <w:pPr>
        <w:pStyle w:val="Prrafodelista"/>
        <w:tabs>
          <w:tab w:val="left" w:pos="142"/>
          <w:tab w:val="left" w:pos="284"/>
        </w:tabs>
        <w:spacing w:after="0" w:line="240" w:lineRule="auto"/>
        <w:ind w:left="0"/>
        <w:contextualSpacing w:val="0"/>
        <w:jc w:val="both"/>
        <w:rPr>
          <w:rFonts w:ascii="Verdana" w:eastAsia="Calibri" w:hAnsi="Verdana" w:cs="Arial"/>
        </w:rPr>
      </w:pPr>
    </w:p>
    <w:p w14:paraId="04A3590A" w14:textId="77777777" w:rsidR="00F853CC" w:rsidRDefault="00F853CC" w:rsidP="00F853CC">
      <w:pPr>
        <w:tabs>
          <w:tab w:val="left" w:pos="142"/>
          <w:tab w:val="left" w:pos="284"/>
          <w:tab w:val="left" w:pos="6975"/>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p>
    <w:p w14:paraId="099B89D6" w14:textId="77777777" w:rsidR="00F853CC" w:rsidRDefault="00F853CC" w:rsidP="00F853CC">
      <w:pPr>
        <w:tabs>
          <w:tab w:val="left" w:pos="142"/>
          <w:tab w:val="left" w:pos="284"/>
          <w:tab w:val="left" w:pos="6975"/>
        </w:tabs>
        <w:spacing w:after="0" w:line="240" w:lineRule="auto"/>
        <w:jc w:val="both"/>
        <w:rPr>
          <w:rFonts w:ascii="Verdana" w:eastAsia="Calibri" w:hAnsi="Verdana" w:cs="Arial"/>
        </w:rPr>
      </w:pPr>
    </w:p>
    <w:p w14:paraId="2F0388DF" w14:textId="77777777" w:rsidR="00F853CC" w:rsidRPr="009D221F" w:rsidRDefault="00F853CC" w:rsidP="00F853CC">
      <w:pPr>
        <w:tabs>
          <w:tab w:val="left" w:pos="142"/>
          <w:tab w:val="left" w:pos="284"/>
          <w:tab w:val="left" w:pos="6912"/>
        </w:tabs>
        <w:spacing w:after="120" w:line="276" w:lineRule="auto"/>
        <w:jc w:val="both"/>
        <w:rPr>
          <w:rFonts w:ascii="Verdana" w:eastAsia="Times New Roman" w:hAnsi="Verdana" w:cs="Arial"/>
          <w:bCs/>
          <w:lang w:eastAsia="es-CO"/>
        </w:rPr>
      </w:pPr>
      <w:r>
        <w:rPr>
          <w:rFonts w:ascii="Verdana" w:eastAsia="Times New Roman" w:hAnsi="Verdana" w:cs="Arial"/>
          <w:bCs/>
          <w:lang w:eastAsia="es-CO"/>
        </w:rPr>
        <w:t xml:space="preserve">i) </w:t>
      </w:r>
      <w:r w:rsidRPr="002D6B92">
        <w:rPr>
          <w:rFonts w:ascii="Verdana" w:eastAsia="Times New Roman" w:hAnsi="Verdana" w:cs="Arial"/>
          <w:bCs/>
          <w:lang w:eastAsia="es-CO"/>
        </w:rPr>
        <w:t>El ordenamiento jurídico colombiano contempla previsiones claras para evitar la obtención de beneficios personales en asuntos propios de la administración pública. Por ejemplo, el artículo 127 de la Constitución Política establece una prohibición contractual a los servidores públicos y en cuanto a aspectos políticos establece restricciones a ciertos empleados del Estado, incluso en época no electoral</w:t>
      </w:r>
      <w:r w:rsidRPr="00F10E52">
        <w:rPr>
          <w:rStyle w:val="Refdenotaalpie"/>
          <w:rFonts w:ascii="Verdana" w:eastAsia="Calibri" w:hAnsi="Verdana" w:cs="Arial"/>
          <w:bCs/>
        </w:rPr>
        <w:footnoteReference w:id="1"/>
      </w:r>
      <w:r w:rsidRPr="00F10E52">
        <w:rPr>
          <w:rFonts w:ascii="Verdana" w:eastAsia="Calibri" w:hAnsi="Verdana" w:cs="Arial"/>
          <w:bCs/>
        </w:rPr>
        <w:t xml:space="preserve">. </w:t>
      </w:r>
    </w:p>
    <w:p w14:paraId="35A69A58" w14:textId="77777777" w:rsidR="00F853CC" w:rsidRDefault="00F853CC" w:rsidP="00F853CC">
      <w:pPr>
        <w:tabs>
          <w:tab w:val="left" w:pos="426"/>
        </w:tabs>
        <w:spacing w:after="120" w:line="276" w:lineRule="auto"/>
        <w:ind w:firstLine="709"/>
        <w:jc w:val="both"/>
        <w:rPr>
          <w:rFonts w:ascii="Verdana" w:eastAsia="Calibri" w:hAnsi="Verdana" w:cs="Arial"/>
          <w:noProof/>
          <w:lang w:val="es-ES_tradnl"/>
        </w:rPr>
      </w:pPr>
      <w:r w:rsidRPr="00F10E52">
        <w:rPr>
          <w:rFonts w:ascii="Verdana" w:eastAsia="Times New Roman" w:hAnsi="Verdana" w:cs="Arial"/>
          <w:bCs/>
          <w:lang w:eastAsia="es-CO"/>
        </w:rPr>
        <w:t xml:space="preserve">En el mismo sentido, la Ley 996 de 2005, conocida como </w:t>
      </w:r>
      <w:r>
        <w:rPr>
          <w:rFonts w:ascii="Verdana" w:eastAsia="Times New Roman" w:hAnsi="Verdana" w:cs="Arial"/>
          <w:bCs/>
          <w:lang w:eastAsia="es-CO"/>
        </w:rPr>
        <w:t>“</w:t>
      </w:r>
      <w:r w:rsidRPr="00F10E52">
        <w:rPr>
          <w:rFonts w:ascii="Verdana" w:eastAsia="Times New Roman" w:hAnsi="Verdana" w:cs="Arial"/>
          <w:bCs/>
          <w:lang w:eastAsia="es-CO"/>
        </w:rPr>
        <w:t>Ley de Garantías Electorales</w:t>
      </w:r>
      <w:r>
        <w:rPr>
          <w:rFonts w:ascii="Verdana" w:eastAsia="Times New Roman" w:hAnsi="Verdana" w:cs="Arial"/>
          <w:bCs/>
          <w:lang w:eastAsia="es-CO"/>
        </w:rPr>
        <w:t>”</w:t>
      </w:r>
      <w:r w:rsidRPr="00F10E52">
        <w:rPr>
          <w:rFonts w:ascii="Verdana" w:eastAsia="Times New Roman" w:hAnsi="Verdana" w:cs="Arial"/>
          <w:bCs/>
          <w:lang w:eastAsia="es-CO"/>
        </w:rPr>
        <w:t xml:space="preserve">, se suma al andamiaje de orden constitucional y legal que se ha ocupado de evitar la injerencia inadecuada de intereses particulares en el ejercicio de la función pública. Esta </w:t>
      </w:r>
      <w:r>
        <w:rPr>
          <w:rFonts w:ascii="Verdana" w:eastAsia="Times New Roman" w:hAnsi="Verdana" w:cs="Arial"/>
          <w:bCs/>
          <w:lang w:eastAsia="es-CO"/>
        </w:rPr>
        <w:t>L</w:t>
      </w:r>
      <w:r w:rsidRPr="00F10E52">
        <w:rPr>
          <w:rFonts w:ascii="Verdana" w:eastAsia="Times New Roman" w:hAnsi="Verdana" w:cs="Arial"/>
          <w:bCs/>
          <w:lang w:eastAsia="es-CO"/>
        </w:rPr>
        <w:t>ey tiene como propósito evitar cualquier tipo de arbitrariedad, de ventaja injustificada, de uso irregular de los recursos del Estado en las campañas o falta de garantías en la elección presidencial</w:t>
      </w:r>
      <w:r w:rsidRPr="00F10E52">
        <w:rPr>
          <w:rStyle w:val="Refdenotaalpie"/>
          <w:rFonts w:ascii="Verdana" w:eastAsia="Times New Roman" w:hAnsi="Verdana" w:cs="Arial"/>
          <w:bCs/>
          <w:lang w:eastAsia="es-CO"/>
        </w:rPr>
        <w:footnoteReference w:id="2"/>
      </w:r>
      <w:r w:rsidRPr="00F10E52">
        <w:rPr>
          <w:rFonts w:ascii="Verdana" w:eastAsia="Times New Roman" w:hAnsi="Verdana" w:cs="Arial"/>
          <w:bCs/>
          <w:lang w:eastAsia="es-CO"/>
        </w:rPr>
        <w:t>. En esta medida, introduce limitaciones para realizar nombramientos, postulaciones, contrataciones o cualquier otro tipo de actividad que implique destinación de recursos públicos bajo el devenir propio de las entidades estatales.</w:t>
      </w:r>
      <w:r w:rsidRPr="00F10E52">
        <w:rPr>
          <w:rFonts w:ascii="Verdana" w:eastAsia="Calibri" w:hAnsi="Verdana" w:cs="Arial"/>
          <w:noProof/>
          <w:lang w:val="es-ES_tradnl"/>
        </w:rPr>
        <w:t xml:space="preserve"> </w:t>
      </w:r>
    </w:p>
    <w:p w14:paraId="537BF8CF" w14:textId="77777777" w:rsidR="00F853CC" w:rsidRPr="00F10E52" w:rsidRDefault="00F853CC" w:rsidP="00F853CC">
      <w:pPr>
        <w:tabs>
          <w:tab w:val="left" w:pos="426"/>
        </w:tabs>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armonía con lo anterior, la Corte Constitucional ha abordado la definición de la Ley de Garantías Electorales. De esta manera, explica que tiene como propósito:</w:t>
      </w:r>
    </w:p>
    <w:p w14:paraId="56050B0B" w14:textId="77777777" w:rsidR="00F853CC" w:rsidRPr="0062447A" w:rsidRDefault="00F853CC" w:rsidP="00F853CC">
      <w:pPr>
        <w:spacing w:after="0" w:line="240" w:lineRule="auto"/>
        <w:ind w:left="709" w:right="709"/>
        <w:jc w:val="both"/>
        <w:rPr>
          <w:rFonts w:ascii="Verdana" w:eastAsia="Times New Roman" w:hAnsi="Verdana" w:cs="Arial"/>
          <w:sz w:val="20"/>
          <w:szCs w:val="20"/>
          <w:lang w:val="es-ES" w:eastAsia="es-CO"/>
        </w:rPr>
      </w:pPr>
      <w:r>
        <w:rPr>
          <w:rFonts w:ascii="Verdana" w:eastAsia="Times New Roman" w:hAnsi="Verdana" w:cs="Arial"/>
          <w:sz w:val="20"/>
          <w:szCs w:val="20"/>
          <w:lang w:val="es-ES" w:eastAsia="es-CO"/>
        </w:rPr>
        <w:t>“(…)</w:t>
      </w:r>
      <w:r w:rsidRPr="006A51F6">
        <w:rPr>
          <w:rFonts w:ascii="Verdana" w:eastAsia="Times New Roman" w:hAnsi="Verdana" w:cs="Arial"/>
          <w:sz w:val="20"/>
          <w:szCs w:val="20"/>
          <w:lang w:val="es-ES" w:eastAsia="es-CO"/>
        </w:rPr>
        <w:t xml:space="preserve"> </w:t>
      </w:r>
      <w:r w:rsidRPr="009E6EDF">
        <w:rPr>
          <w:rFonts w:ascii="Verdana" w:eastAsia="Times New Roman" w:hAnsi="Verdana" w:cs="Arial"/>
          <w:bCs/>
          <w:sz w:val="20"/>
          <w:szCs w:val="20"/>
          <w:lang w:eastAsia="es-CO"/>
        </w:rPr>
        <w:t>La definición de reglas claras que permitan acceder a los canales de expresión democrática de manera efectiva e igualitaria. El objetivo de una ley de garantías es definir esas reglas.</w:t>
      </w:r>
    </w:p>
    <w:p w14:paraId="5F7E1231" w14:textId="77777777" w:rsidR="00F853CC" w:rsidRDefault="00F853CC" w:rsidP="00F853CC">
      <w:pPr>
        <w:spacing w:after="0" w:line="240" w:lineRule="auto"/>
        <w:ind w:left="709" w:right="709"/>
        <w:jc w:val="both"/>
        <w:rPr>
          <w:rFonts w:ascii="Verdana" w:eastAsia="Times New Roman" w:hAnsi="Verdana" w:cs="Arial"/>
          <w:bCs/>
          <w:sz w:val="20"/>
          <w:szCs w:val="20"/>
          <w:lang w:eastAsia="es-CO"/>
        </w:rPr>
      </w:pPr>
    </w:p>
    <w:p w14:paraId="1A8589C7" w14:textId="29CAADE6" w:rsidR="00F853CC" w:rsidRPr="00E80F85" w:rsidRDefault="00F853CC" w:rsidP="00F853CC">
      <w:pPr>
        <w:spacing w:after="0" w:line="240" w:lineRule="auto"/>
        <w:ind w:left="709" w:right="709"/>
        <w:jc w:val="both"/>
        <w:rPr>
          <w:rFonts w:ascii="Verdana" w:eastAsia="Times New Roman" w:hAnsi="Verdana" w:cs="Arial"/>
          <w:bCs/>
          <w:sz w:val="20"/>
          <w:szCs w:val="20"/>
          <w:lang w:eastAsia="es-CO"/>
        </w:rPr>
      </w:pPr>
      <w:r w:rsidRPr="009E6EDF">
        <w:rPr>
          <w:rFonts w:ascii="Verdana" w:eastAsia="Times New Roman" w:hAnsi="Verdana" w:cs="Arial"/>
          <w:bCs/>
          <w:sz w:val="20"/>
          <w:szCs w:val="20"/>
          <w:lang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Pr>
          <w:rFonts w:ascii="Verdana" w:eastAsia="Times New Roman" w:hAnsi="Verdana" w:cs="Arial"/>
          <w:bCs/>
          <w:sz w:val="20"/>
          <w:szCs w:val="20"/>
          <w:lang w:eastAsia="es-CO"/>
        </w:rPr>
        <w:t xml:space="preserve"> (…)”</w:t>
      </w:r>
      <w:r w:rsidRPr="009E6EDF">
        <w:rPr>
          <w:rStyle w:val="Refdenotaalpie"/>
          <w:rFonts w:ascii="Verdana" w:hAnsi="Verdana" w:cs="Arial"/>
          <w:sz w:val="20"/>
          <w:szCs w:val="20"/>
        </w:rPr>
        <w:footnoteReference w:id="3"/>
      </w:r>
      <w:r>
        <w:rPr>
          <w:rFonts w:ascii="Verdana" w:eastAsia="Times New Roman" w:hAnsi="Verdana" w:cs="Arial"/>
          <w:bCs/>
          <w:sz w:val="20"/>
          <w:szCs w:val="20"/>
          <w:lang w:eastAsia="es-CO"/>
        </w:rPr>
        <w:t>.</w:t>
      </w:r>
      <w:r w:rsidRPr="006A51F6">
        <w:rPr>
          <w:rFonts w:ascii="Verdana" w:eastAsia="Times New Roman" w:hAnsi="Verdana" w:cs="Arial"/>
          <w:bCs/>
          <w:sz w:val="20"/>
          <w:szCs w:val="20"/>
          <w:lang w:eastAsia="es-CO"/>
        </w:rPr>
        <w:t xml:space="preserve"> </w:t>
      </w:r>
      <w:bookmarkStart w:id="2" w:name="_Hlk78818186"/>
    </w:p>
    <w:p w14:paraId="10035689" w14:textId="77777777" w:rsidR="00F853CC" w:rsidRDefault="00F853CC" w:rsidP="00F853CC">
      <w:pPr>
        <w:spacing w:after="0" w:line="240" w:lineRule="auto"/>
        <w:ind w:firstLine="709"/>
        <w:jc w:val="both"/>
        <w:rPr>
          <w:rFonts w:ascii="Verdana" w:eastAsia="Times New Roman" w:hAnsi="Verdana" w:cs="Arial"/>
          <w:bCs/>
          <w:lang w:eastAsia="es-CO"/>
        </w:rPr>
      </w:pPr>
    </w:p>
    <w:p w14:paraId="6B1B84EF" w14:textId="77777777" w:rsidR="00F853CC" w:rsidRDefault="00F853CC" w:rsidP="00F853CC">
      <w:pPr>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 xml:space="preserve">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2"/>
      <w:r w:rsidRPr="00F10E52">
        <w:rPr>
          <w:rFonts w:ascii="Verdana" w:eastAsia="Times New Roman" w:hAnsi="Verdana" w:cs="Arial"/>
          <w:bCs/>
          <w:lang w:eastAsia="es-CO"/>
        </w:rPr>
        <w:t xml:space="preserve">Por ello, varias de las disposiciones de la Ley 996 de 2005, al contener normas prohibitivas, no admiten una interpretación amplia, sino que deben interpretarse restrictivamente. </w:t>
      </w:r>
    </w:p>
    <w:p w14:paraId="19C7A363" w14:textId="77777777" w:rsidR="00F853CC" w:rsidRPr="002D6B92" w:rsidRDefault="00F853CC" w:rsidP="00F853CC">
      <w:pPr>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efecto, la Sala de Consulta y Servicio Civil del Consejo de Estado al analizar la referida ley, precisó lo siguiente:</w:t>
      </w:r>
    </w:p>
    <w:p w14:paraId="1AD3C96F" w14:textId="77777777" w:rsidR="00F853CC" w:rsidRPr="009B20C5" w:rsidRDefault="00F853CC" w:rsidP="00F853CC">
      <w:pPr>
        <w:spacing w:after="0" w:line="240" w:lineRule="auto"/>
        <w:ind w:left="709" w:right="709"/>
        <w:jc w:val="both"/>
        <w:rPr>
          <w:rFonts w:ascii="Verdana" w:eastAsia="Times New Roman" w:hAnsi="Verdana" w:cs="Arial"/>
          <w:bCs/>
          <w:sz w:val="20"/>
          <w:szCs w:val="20"/>
          <w:lang w:eastAsia="es-CO"/>
        </w:rPr>
      </w:pPr>
      <w:r>
        <w:rPr>
          <w:rFonts w:ascii="Verdana" w:eastAsia="Times New Roman" w:hAnsi="Verdana" w:cs="Arial"/>
          <w:bCs/>
          <w:sz w:val="20"/>
          <w:szCs w:val="20"/>
          <w:lang w:eastAsia="es-CO"/>
        </w:rPr>
        <w:t>“</w:t>
      </w:r>
      <w:r w:rsidRPr="009B20C5">
        <w:rPr>
          <w:rFonts w:ascii="Verdana" w:eastAsia="Times New Roman" w:hAnsi="Verdana" w:cs="Arial"/>
          <w:bCs/>
          <w:sz w:val="20"/>
          <w:szCs w:val="20"/>
          <w:lang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9B20C5">
        <w:rPr>
          <w:rFonts w:ascii="Verdana" w:eastAsia="Times New Roman" w:hAnsi="Verdana" w:cs="Arial"/>
          <w:bCs/>
          <w:sz w:val="20"/>
          <w:szCs w:val="20"/>
          <w:lang w:eastAsia="es-CO"/>
        </w:rPr>
        <w:t>legis</w:t>
      </w:r>
      <w:proofErr w:type="spellEnd"/>
      <w:r w:rsidRPr="009B20C5">
        <w:rPr>
          <w:rFonts w:ascii="Verdana" w:eastAsia="Times New Roman" w:hAnsi="Verdana" w:cs="Arial"/>
          <w:bCs/>
          <w:sz w:val="20"/>
          <w:szCs w:val="20"/>
          <w:lang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49E37134" w14:textId="77777777" w:rsidR="00F853CC" w:rsidRDefault="00F853CC" w:rsidP="00F853CC">
      <w:pPr>
        <w:spacing w:after="0" w:line="240" w:lineRule="auto"/>
        <w:ind w:left="709" w:right="709"/>
        <w:jc w:val="both"/>
        <w:rPr>
          <w:rFonts w:ascii="Verdana" w:eastAsia="Times New Roman" w:hAnsi="Verdana" w:cs="Arial"/>
          <w:bCs/>
          <w:sz w:val="20"/>
          <w:szCs w:val="20"/>
          <w:lang w:eastAsia="es-CO"/>
        </w:rPr>
      </w:pPr>
    </w:p>
    <w:p w14:paraId="357AB57A" w14:textId="77777777" w:rsidR="00F853CC" w:rsidRPr="009B20C5" w:rsidRDefault="00F853CC" w:rsidP="00F853CC">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La jurisprudencia de la Corte Constitucional</w:t>
      </w:r>
      <w:r w:rsidRPr="009B20C5">
        <w:rPr>
          <w:rStyle w:val="Refdenotaalpie"/>
          <w:rFonts w:ascii="Verdana" w:eastAsia="Times New Roman" w:hAnsi="Verdana" w:cs="Arial"/>
          <w:bCs/>
          <w:sz w:val="20"/>
          <w:szCs w:val="20"/>
          <w:lang w:eastAsia="es-CO"/>
        </w:rPr>
        <w:footnoteReference w:id="4"/>
      </w:r>
      <w:r w:rsidRPr="009B20C5">
        <w:rPr>
          <w:rFonts w:ascii="Verdana" w:eastAsia="Times New Roman" w:hAnsi="Verdana" w:cs="Arial"/>
          <w:bCs/>
          <w:sz w:val="20"/>
          <w:szCs w:val="20"/>
          <w:lang w:eastAsia="es-CO"/>
        </w:rPr>
        <w:t> y del Consejo de Estado</w:t>
      </w:r>
      <w:r w:rsidRPr="009B20C5">
        <w:rPr>
          <w:rStyle w:val="Refdenotaalpie"/>
          <w:rFonts w:ascii="Verdana" w:eastAsia="Times New Roman" w:hAnsi="Verdana" w:cs="Arial"/>
          <w:bCs/>
          <w:sz w:val="20"/>
          <w:szCs w:val="20"/>
          <w:lang w:eastAsia="es-CO"/>
        </w:rPr>
        <w:footnoteReference w:id="5"/>
      </w:r>
      <w:r w:rsidRPr="009B20C5">
        <w:rPr>
          <w:rFonts w:ascii="Verdana" w:eastAsia="Times New Roman" w:hAnsi="Verdana" w:cs="Arial"/>
          <w:bCs/>
          <w:sz w:val="20"/>
          <w:szCs w:val="20"/>
          <w:lang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Pr>
          <w:rFonts w:ascii="Verdana" w:eastAsia="Times New Roman" w:hAnsi="Verdana" w:cs="Arial"/>
          <w:bCs/>
          <w:sz w:val="20"/>
          <w:szCs w:val="20"/>
          <w:lang w:eastAsia="es-CO"/>
        </w:rPr>
        <w:t>”</w:t>
      </w:r>
      <w:r w:rsidRPr="009B20C5">
        <w:rPr>
          <w:rStyle w:val="Refdenotaalpie"/>
          <w:rFonts w:ascii="Verdana" w:eastAsia="Times New Roman" w:hAnsi="Verdana" w:cs="Arial"/>
          <w:bCs/>
          <w:sz w:val="20"/>
          <w:szCs w:val="20"/>
          <w:lang w:eastAsia="es-CO"/>
        </w:rPr>
        <w:footnoteReference w:id="6"/>
      </w:r>
      <w:r w:rsidRPr="009B20C5">
        <w:rPr>
          <w:rFonts w:ascii="Verdana" w:eastAsia="Times New Roman" w:hAnsi="Verdana" w:cs="Arial"/>
          <w:bCs/>
          <w:sz w:val="20"/>
          <w:szCs w:val="20"/>
          <w:lang w:eastAsia="es-CO"/>
        </w:rPr>
        <w:t>.</w:t>
      </w:r>
    </w:p>
    <w:p w14:paraId="3F90DE24" w14:textId="77777777" w:rsidR="00F853CC" w:rsidRDefault="00F853CC" w:rsidP="00F853CC">
      <w:pPr>
        <w:spacing w:after="0" w:line="276" w:lineRule="auto"/>
        <w:jc w:val="both"/>
        <w:rPr>
          <w:rFonts w:ascii="Verdana" w:eastAsia="Times New Roman" w:hAnsi="Verdana" w:cs="Arial"/>
          <w:bCs/>
          <w:lang w:eastAsia="es-CO"/>
        </w:rPr>
      </w:pPr>
      <w:r w:rsidRPr="00F10E52">
        <w:rPr>
          <w:rFonts w:ascii="Verdana" w:eastAsia="Times New Roman" w:hAnsi="Verdana" w:cs="Arial"/>
          <w:bCs/>
          <w:lang w:eastAsia="es-CO"/>
        </w:rPr>
        <w:tab/>
      </w:r>
    </w:p>
    <w:p w14:paraId="33A6D63B" w14:textId="77777777" w:rsidR="00F853CC" w:rsidRDefault="00F853CC" w:rsidP="00F853CC">
      <w:pPr>
        <w:spacing w:after="120" w:line="276" w:lineRule="auto"/>
        <w:ind w:firstLine="709"/>
        <w:jc w:val="both"/>
        <w:rPr>
          <w:rFonts w:ascii="Verdana" w:eastAsia="Arial" w:hAnsi="Verdana" w:cs="Arial"/>
          <w:lang w:val="es-ES" w:eastAsia="es-ES" w:bidi="es-ES"/>
        </w:rPr>
      </w:pPr>
      <w:r w:rsidRPr="00F10E52">
        <w:rPr>
          <w:rFonts w:ascii="Verdana" w:eastAsia="Times New Roman" w:hAnsi="Verdana" w:cs="Arial"/>
          <w:bCs/>
          <w:lang w:eastAsia="es-CO"/>
        </w:rPr>
        <w:t>De</w:t>
      </w:r>
      <w:r w:rsidRPr="00F10E52">
        <w:rPr>
          <w:rFonts w:ascii="Verdana" w:eastAsia="Arial" w:hAnsi="Verdana" w:cs="Arial"/>
          <w:lang w:val="es-ES" w:eastAsia="es-ES" w:bidi="es-ES"/>
        </w:rPr>
        <w:t xml:space="preserve"> conformidad con lo anterior, </w:t>
      </w:r>
      <w:bookmarkStart w:id="3" w:name="_Hlk77236098"/>
      <w:r w:rsidRPr="00F10E52">
        <w:rPr>
          <w:rFonts w:ascii="Verdana" w:eastAsia="Arial" w:hAnsi="Verdana" w:cs="Arial"/>
          <w:lang w:val="es-ES" w:eastAsia="es-ES" w:bidi="es-ES"/>
        </w:rPr>
        <w:t xml:space="preserve">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22757665" w14:textId="77777777" w:rsidR="00F853CC" w:rsidRPr="00F10E52" w:rsidRDefault="00F853CC" w:rsidP="00F853CC">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3"/>
    </w:p>
    <w:p w14:paraId="0F4BB5D2" w14:textId="77777777" w:rsidR="00F853CC" w:rsidRPr="00F10E52" w:rsidRDefault="00F853CC" w:rsidP="00F853CC">
      <w:pPr>
        <w:spacing w:after="120" w:line="276" w:lineRule="auto"/>
        <w:ind w:firstLine="709"/>
        <w:jc w:val="both"/>
        <w:rPr>
          <w:rFonts w:ascii="Verdana" w:eastAsia="Calibri" w:hAnsi="Verdana" w:cs="Arial"/>
        </w:rPr>
      </w:pPr>
      <w:r w:rsidRPr="00F10E52">
        <w:rPr>
          <w:rFonts w:ascii="Verdana" w:eastAsia="Calibri" w:hAnsi="Verdana" w:cs="Arial"/>
        </w:rPr>
        <w:t xml:space="preserve">Por un lado, el artículo 33 de la Ley 996 de 2005 prohíbe </w:t>
      </w:r>
      <w:r>
        <w:rPr>
          <w:rFonts w:ascii="Verdana" w:eastAsia="Calibri" w:hAnsi="Verdana" w:cs="Arial"/>
        </w:rPr>
        <w:t>“</w:t>
      </w:r>
      <w:r>
        <w:rPr>
          <w:rFonts w:ascii="Verdana" w:eastAsia="Calibri" w:hAnsi="Verdana" w:cs="Arial"/>
          <w:bCs/>
        </w:rPr>
        <w:t xml:space="preserve">(…) </w:t>
      </w:r>
      <w:r w:rsidRPr="00F10E52">
        <w:rPr>
          <w:rFonts w:ascii="Verdana" w:eastAsia="Calibri" w:hAnsi="Verdana" w:cs="Arial"/>
        </w:rPr>
        <w:t>la contratación directa por parte de todos los entes del Estado</w:t>
      </w:r>
      <w:r>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rPr>
        <w:t>”</w:t>
      </w:r>
      <w:r w:rsidRPr="00F10E52">
        <w:rPr>
          <w:rFonts w:ascii="Verdana" w:eastAsia="Calibri" w:hAnsi="Verdana" w:cs="Arial"/>
          <w:bCs/>
          <w:vertAlign w:val="superscript"/>
        </w:rPr>
        <w:footnoteReference w:id="7"/>
      </w:r>
      <w:r w:rsidRPr="00F10E52">
        <w:rPr>
          <w:rFonts w:ascii="Verdana" w:eastAsia="Calibri" w:hAnsi="Verdana" w:cs="Arial"/>
        </w:rPr>
        <w:t>.</w:t>
      </w:r>
    </w:p>
    <w:p w14:paraId="668AE472" w14:textId="77777777" w:rsidR="00F853CC" w:rsidRDefault="00F853CC" w:rsidP="00F853CC">
      <w:pPr>
        <w:widowControl w:val="0"/>
        <w:autoSpaceDE w:val="0"/>
        <w:autoSpaceDN w:val="0"/>
        <w:spacing w:after="120" w:line="276" w:lineRule="auto"/>
        <w:ind w:firstLine="709"/>
        <w:jc w:val="both"/>
        <w:rPr>
          <w:rFonts w:ascii="Verdana" w:eastAsia="Arial" w:hAnsi="Verdana" w:cs="Arial"/>
          <w:lang w:val="es-ES" w:eastAsia="es-ES" w:bidi="es-ES"/>
        </w:rPr>
      </w:pPr>
      <w:r w:rsidRPr="00F10E52">
        <w:rPr>
          <w:rFonts w:ascii="Verdana" w:eastAsia="Calibri" w:hAnsi="Verdana" w:cs="Aria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rPr>
        <w:t>”</w:t>
      </w:r>
      <w:r w:rsidRPr="00F10E52">
        <w:rPr>
          <w:rFonts w:ascii="Verdana" w:eastAsia="Calibri" w:hAnsi="Verdana" w:cs="Arial"/>
          <w:bCs/>
          <w:vertAlign w:val="superscript"/>
        </w:rPr>
        <w:footnoteReference w:id="8"/>
      </w:r>
      <w:r w:rsidRPr="00F10E52">
        <w:rPr>
          <w:rFonts w:ascii="Verdana" w:eastAsia="Calibri" w:hAnsi="Verdana" w:cs="Arial"/>
        </w:rPr>
        <w:t>.</w:t>
      </w:r>
      <w:r w:rsidRPr="00F10E52">
        <w:rPr>
          <w:rFonts w:ascii="Verdana" w:eastAsia="Arial" w:hAnsi="Verdana" w:cs="Arial"/>
          <w:lang w:val="es-ES" w:eastAsia="es-ES" w:bidi="es-ES"/>
        </w:rPr>
        <w:t xml:space="preserve"> </w:t>
      </w:r>
    </w:p>
    <w:p w14:paraId="796ADB3A" w14:textId="77777777" w:rsidR="00F853CC" w:rsidRPr="006A51F6" w:rsidRDefault="00F853CC" w:rsidP="00F853CC">
      <w:pPr>
        <w:widowControl w:val="0"/>
        <w:autoSpaceDE w:val="0"/>
        <w:autoSpaceDN w:val="0"/>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13693CE7" w14:textId="77777777" w:rsidR="00F853CC" w:rsidRDefault="00F853CC" w:rsidP="00F853CC">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w:t>
      </w:r>
      <w:r w:rsidRPr="009B20C5">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6" w:name="_Hlk76109421"/>
      <w:r w:rsidRPr="009B20C5">
        <w:rPr>
          <w:rFonts w:ascii="Verdana" w:eastAsia="Arial" w:hAnsi="Verdana" w:cs="Arial"/>
          <w:sz w:val="20"/>
          <w:szCs w:val="20"/>
          <w:lang w:val="es-ES" w:eastAsia="es-ES" w:bidi="es-ES"/>
        </w:rPr>
        <w:t>se integran parcialmente</w:t>
      </w:r>
      <w:bookmarkEnd w:id="6"/>
      <w:r w:rsidRPr="009B20C5">
        <w:rPr>
          <w:rFonts w:ascii="Verdana" w:eastAsia="Arial" w:hAnsi="Verdana" w:cs="Arial"/>
          <w:sz w:val="20"/>
          <w:szCs w:val="20"/>
          <w:lang w:val="es-ES"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w:t>
      </w:r>
      <w:r w:rsidRPr="009B20C5">
        <w:rPr>
          <w:rFonts w:ascii="Verdana" w:eastAsia="Arial" w:hAnsi="Verdana" w:cs="Arial"/>
          <w:bCs/>
          <w:sz w:val="20"/>
          <w:szCs w:val="20"/>
          <w:lang w:val="es-ES" w:eastAsia="es-ES" w:bidi="es-ES"/>
        </w:rPr>
        <w:t xml:space="preserve">En cambio, para elecciones en general, excluyendo las correspondientes a </w:t>
      </w:r>
      <w:proofErr w:type="gramStart"/>
      <w:r w:rsidRPr="009B20C5">
        <w:rPr>
          <w:rFonts w:ascii="Verdana" w:eastAsia="Arial" w:hAnsi="Verdana" w:cs="Arial"/>
          <w:bCs/>
          <w:sz w:val="20"/>
          <w:szCs w:val="20"/>
          <w:lang w:val="es-ES" w:eastAsia="es-ES" w:bidi="es-ES"/>
        </w:rPr>
        <w:t>Presidente</w:t>
      </w:r>
      <w:proofErr w:type="gramEnd"/>
      <w:r w:rsidRPr="009B20C5">
        <w:rPr>
          <w:rFonts w:ascii="Verdana" w:eastAsia="Arial" w:hAnsi="Verdana" w:cs="Arial"/>
          <w:bCs/>
          <w:sz w:val="20"/>
          <w:szCs w:val="20"/>
          <w:lang w:val="es-ES" w:eastAsia="es-ES" w:bidi="es-ES"/>
        </w:rPr>
        <w:t xml:space="preserve"> de la República, a las autoridades territoriales allí mencionadas sólo se aplican las restricciones contenidas en el parágrafo del artículo 38</w:t>
      </w:r>
      <w:r>
        <w:rPr>
          <w:rFonts w:ascii="Verdana" w:eastAsia="Arial" w:hAnsi="Verdana" w:cs="Arial"/>
          <w:sz w:val="20"/>
          <w:szCs w:val="20"/>
          <w:lang w:val="es-ES" w:eastAsia="es-ES" w:bidi="es-ES"/>
        </w:rPr>
        <w:t>”</w:t>
      </w:r>
      <w:r w:rsidRPr="009B20C5">
        <w:rPr>
          <w:rFonts w:ascii="Verdana" w:eastAsia="Arial" w:hAnsi="Verdana" w:cs="Arial"/>
          <w:sz w:val="20"/>
          <w:szCs w:val="20"/>
          <w:vertAlign w:val="superscript"/>
          <w:lang w:val="es-ES" w:eastAsia="es-ES" w:bidi="es-ES"/>
        </w:rPr>
        <w:footnoteReference w:id="9"/>
      </w:r>
      <w:r>
        <w:rPr>
          <w:rFonts w:ascii="Verdana" w:eastAsia="Arial" w:hAnsi="Verdana" w:cs="Arial"/>
          <w:sz w:val="20"/>
          <w:szCs w:val="20"/>
          <w:lang w:val="es-ES" w:eastAsia="es-ES" w:bidi="es-ES"/>
        </w:rPr>
        <w:t>.</w:t>
      </w:r>
    </w:p>
    <w:p w14:paraId="47523512" w14:textId="77777777" w:rsidR="00F853CC" w:rsidRPr="00647D77" w:rsidRDefault="00F853CC" w:rsidP="00F853CC">
      <w:pPr>
        <w:widowControl w:val="0"/>
        <w:autoSpaceDE w:val="0"/>
        <w:autoSpaceDN w:val="0"/>
        <w:spacing w:after="0" w:line="240" w:lineRule="auto"/>
        <w:ind w:left="709" w:right="709"/>
        <w:jc w:val="both"/>
        <w:rPr>
          <w:rFonts w:ascii="Verdana" w:eastAsia="Arial" w:hAnsi="Verdana" w:cs="Arial"/>
          <w:lang w:val="es-ES" w:eastAsia="es-ES" w:bidi="es-ES"/>
        </w:rPr>
      </w:pPr>
    </w:p>
    <w:p w14:paraId="37CAD47F" w14:textId="77777777" w:rsidR="00F853CC" w:rsidRPr="00F10E52" w:rsidRDefault="00F853CC" w:rsidP="00F853CC">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De conformidad con lo anterior</w:t>
      </w:r>
      <w:bookmarkStart w:id="7" w:name="_Hlk99438241"/>
      <w:r w:rsidRPr="00F10E52">
        <w:rPr>
          <w:rFonts w:ascii="Verdana" w:eastAsia="Arial" w:hAnsi="Verdana" w:cs="Arial"/>
          <w:lang w:val="es-ES" w:eastAsia="es-ES" w:bidi="es-ES"/>
        </w:rPr>
        <w:t xml:space="preserve">, </w:t>
      </w:r>
      <w:bookmarkStart w:id="8" w:name="_Hlk77236420"/>
      <w:bookmarkStart w:id="9" w:name="_Hlk78818435"/>
      <w:bookmarkStart w:id="10" w:name="_Hlk75780333"/>
      <w:r w:rsidRPr="00F10E52">
        <w:rPr>
          <w:rFonts w:ascii="Verdana" w:eastAsia="Arial" w:hAnsi="Verdana" w:cs="Arial"/>
          <w:lang w:val="es-ES" w:eastAsia="es-ES" w:bidi="es-ES"/>
        </w:rPr>
        <w:t xml:space="preserve">la Ley 996 de 2005 establece dos (2) tipos de restricciones en materia de contratación, las cuales coinciden parcialmente. </w:t>
      </w:r>
      <w:r w:rsidRPr="00F10E52">
        <w:rPr>
          <w:rFonts w:ascii="Verdana" w:eastAsia="Arial" w:hAnsi="Verdana" w:cs="Arial"/>
          <w:i/>
          <w:iCs/>
          <w:lang w:val="es-ES" w:eastAsia="es-ES" w:bidi="es-ES"/>
        </w:rPr>
        <w:t>En primer lugar</w:t>
      </w:r>
      <w:r w:rsidRPr="00F10E52">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10E52">
        <w:rPr>
          <w:rFonts w:ascii="Verdana" w:eastAsia="Arial" w:hAnsi="Verdana" w:cs="Arial"/>
          <w:i/>
          <w:iCs/>
          <w:lang w:val="es-ES" w:eastAsia="es-ES" w:bidi="es-ES"/>
        </w:rPr>
        <w:t>En segundo lugar</w:t>
      </w:r>
      <w:r w:rsidRPr="00F10E52">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8"/>
    </w:p>
    <w:bookmarkEnd w:id="7"/>
    <w:bookmarkEnd w:id="9"/>
    <w:p w14:paraId="7B46E79F" w14:textId="77777777" w:rsidR="00F853CC" w:rsidRPr="00F10E52" w:rsidRDefault="00F853CC" w:rsidP="00F853CC">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0"/>
    <w:p w14:paraId="6A30B6A5" w14:textId="77777777" w:rsidR="00F853CC" w:rsidRDefault="00F853CC" w:rsidP="00F853CC">
      <w:pPr>
        <w:spacing w:after="120" w:line="276" w:lineRule="auto"/>
        <w:ind w:firstLine="709"/>
        <w:jc w:val="both"/>
        <w:rPr>
          <w:rFonts w:ascii="Verdana" w:eastAsia="Times New Roman" w:hAnsi="Verdana" w:cs="Arial"/>
          <w:bCs/>
          <w:lang w:val="es-ES" w:eastAsia="es-CO"/>
        </w:rPr>
      </w:pPr>
      <w:r w:rsidRPr="00F10E52">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o el </w:t>
      </w:r>
      <w:proofErr w:type="gramStart"/>
      <w:r w:rsidRPr="00F10E52">
        <w:rPr>
          <w:rFonts w:ascii="Verdana" w:eastAsia="Arial" w:hAnsi="Verdana" w:cs="Arial"/>
          <w:lang w:val="es-ES" w:eastAsia="es-ES" w:bidi="es-ES"/>
        </w:rPr>
        <w:t>Vicepresidente</w:t>
      </w:r>
      <w:proofErr w:type="gramEnd"/>
      <w:r w:rsidRPr="00F10E52">
        <w:rPr>
          <w:rFonts w:ascii="Verdana" w:eastAsia="Arial" w:hAnsi="Verdana" w:cs="Arial"/>
          <w:lang w:val="es-ES" w:eastAsia="es-ES" w:bidi="es-ES"/>
        </w:rPr>
        <w:t xml:space="preserve"> desde que éstos –estando en ejercicio de su cargo– manifiesten el interés de ser candidato presidencial, lo cual debe ocurrir seis </w:t>
      </w:r>
      <w:r>
        <w:rPr>
          <w:rFonts w:ascii="Verdana" w:eastAsia="Arial" w:hAnsi="Verdana" w:cs="Arial"/>
          <w:lang w:val="es-ES" w:eastAsia="es-ES" w:bidi="es-ES"/>
        </w:rPr>
        <w:t xml:space="preserve">(6) </w:t>
      </w:r>
      <w:r w:rsidRPr="00F10E52">
        <w:rPr>
          <w:rFonts w:ascii="Verdana" w:eastAsia="Arial" w:hAnsi="Verdana" w:cs="Arial"/>
          <w:lang w:val="es-ES" w:eastAsia="es-ES" w:bidi="es-ES"/>
        </w:rPr>
        <w:t xml:space="preserve">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  </w:t>
      </w:r>
    </w:p>
    <w:p w14:paraId="69DBC9C1" w14:textId="77777777" w:rsidR="00F853CC" w:rsidRDefault="00F853CC" w:rsidP="00F853CC">
      <w:pPr>
        <w:spacing w:after="120" w:line="276" w:lineRule="auto"/>
        <w:ind w:firstLine="709"/>
        <w:jc w:val="both"/>
        <w:rPr>
          <w:rFonts w:ascii="Verdana" w:eastAsia="Times New Roman" w:hAnsi="Verdana" w:cs="Arial"/>
          <w:lang w:val="es-ES" w:eastAsia="es-CO"/>
        </w:rPr>
      </w:pPr>
      <w:r w:rsidRPr="00647D77">
        <w:rPr>
          <w:rFonts w:ascii="Verdana" w:eastAsia="Times New Roman" w:hAnsi="Verdana" w:cs="Arial"/>
          <w:lang w:val="es-ES" w:eastAsia="es-CO"/>
        </w:rPr>
        <w:t xml:space="preserve">Teniendo en cuenta lo anterior, a continuación, se hará un análisis sobre la aplicación de la prohibición contenida en el artículo 33 </w:t>
      </w:r>
      <w:r w:rsidRPr="00647D77">
        <w:rPr>
          <w:rFonts w:ascii="Verdana" w:eastAsia="Times New Roman" w:hAnsi="Verdana" w:cs="Arial"/>
          <w:bCs/>
          <w:lang w:val="es-ES" w:eastAsia="es-CO"/>
        </w:rPr>
        <w:t>de la Ley de Garantías Electorales</w:t>
      </w:r>
      <w:r w:rsidRPr="00647D77">
        <w:rPr>
          <w:rFonts w:ascii="Verdana" w:eastAsia="Times New Roman" w:hAnsi="Verdana" w:cs="Arial"/>
          <w:lang w:val="es-ES" w:eastAsia="es-CO"/>
        </w:rPr>
        <w:t>, relacionada con su ámbito de aplicación</w:t>
      </w:r>
      <w:r w:rsidRPr="00647D77">
        <w:rPr>
          <w:rFonts w:ascii="Verdana" w:eastAsia="Times New Roman" w:hAnsi="Verdana" w:cs="Arial"/>
          <w:bCs/>
          <w:lang w:val="es-ES" w:eastAsia="es-CO"/>
        </w:rPr>
        <w:t xml:space="preserve">, </w:t>
      </w:r>
      <w:r w:rsidRPr="00647D77">
        <w:rPr>
          <w:rFonts w:ascii="Verdana" w:eastAsia="Times New Roman" w:hAnsi="Verdana" w:cs="Arial"/>
          <w:lang w:val="es-ES" w:eastAsia="es-CO"/>
        </w:rPr>
        <w:t>sus destinatarios</w:t>
      </w:r>
      <w:r w:rsidRPr="00647D77">
        <w:rPr>
          <w:rFonts w:ascii="Verdana" w:eastAsia="Times New Roman" w:hAnsi="Verdana" w:cs="Arial"/>
          <w:bCs/>
          <w:lang w:val="es-ES" w:eastAsia="es-CO"/>
        </w:rPr>
        <w:t xml:space="preserve"> y sus excepciones</w:t>
      </w:r>
      <w:r w:rsidRPr="00647D77">
        <w:rPr>
          <w:rFonts w:ascii="Verdana" w:eastAsia="Times New Roman" w:hAnsi="Verdana" w:cs="Arial"/>
          <w:lang w:val="es-ES" w:eastAsia="es-CO"/>
        </w:rPr>
        <w:t>.</w:t>
      </w:r>
      <w:r>
        <w:rPr>
          <w:rFonts w:ascii="Verdana" w:eastAsia="Times New Roman" w:hAnsi="Verdana" w:cs="Arial"/>
          <w:bCs/>
          <w:lang w:val="es-ES" w:eastAsia="es-CO"/>
        </w:rPr>
        <w:t xml:space="preserve"> </w:t>
      </w:r>
    </w:p>
    <w:p w14:paraId="2FD7EDF2" w14:textId="77777777" w:rsidR="00F853CC" w:rsidRPr="00C16480" w:rsidRDefault="00F853CC" w:rsidP="00F853CC">
      <w:pPr>
        <w:spacing w:after="120" w:line="276" w:lineRule="auto"/>
        <w:ind w:firstLine="709"/>
        <w:jc w:val="both"/>
        <w:rPr>
          <w:rFonts w:ascii="Verdana" w:eastAsia="Times New Roman" w:hAnsi="Verdana" w:cs="Arial"/>
          <w:lang w:val="es-ES" w:eastAsia="es-CO"/>
        </w:rPr>
      </w:pPr>
      <w:r w:rsidRPr="00195E24">
        <w:rPr>
          <w:rFonts w:ascii="Verdana" w:hAnsi="Verdana" w:cs="Arial"/>
          <w:bCs/>
          <w:lang w:eastAsia="x-none"/>
        </w:rPr>
        <w:t xml:space="preserve">El ámbito material de la prohibición contenida </w:t>
      </w:r>
      <w:bookmarkStart w:id="11" w:name="_Hlk75628761"/>
      <w:r w:rsidRPr="00195E24">
        <w:rPr>
          <w:rFonts w:ascii="Verdana" w:hAnsi="Verdana" w:cs="Arial"/>
          <w:bCs/>
          <w:lang w:eastAsia="x-none"/>
        </w:rPr>
        <w:t xml:space="preserve">en el artículo 33 de la </w:t>
      </w:r>
      <w:r>
        <w:rPr>
          <w:rFonts w:ascii="Verdana" w:hAnsi="Verdana" w:cs="Arial"/>
          <w:bCs/>
          <w:lang w:eastAsia="x-none"/>
        </w:rPr>
        <w:t>L</w:t>
      </w:r>
      <w:r w:rsidRPr="00195E24">
        <w:rPr>
          <w:rFonts w:ascii="Verdana" w:hAnsi="Verdana" w:cs="Arial"/>
          <w:bCs/>
          <w:lang w:eastAsia="x-none"/>
        </w:rPr>
        <w:t xml:space="preserve">ey 996 de 2005 </w:t>
      </w:r>
      <w:bookmarkEnd w:id="11"/>
      <w:r w:rsidRPr="00195E24">
        <w:rPr>
          <w:rFonts w:ascii="Verdana" w:hAnsi="Verdana" w:cs="Arial"/>
          <w:bCs/>
          <w:lang w:eastAsia="x-none"/>
        </w:rPr>
        <w:t xml:space="preserve">está delimitado por la expresión </w:t>
      </w:r>
      <w:r w:rsidRPr="00195E24">
        <w:rPr>
          <w:rFonts w:ascii="Verdana" w:eastAsia="Calibri" w:hAnsi="Verdana" w:cs="Arial"/>
          <w:bCs/>
          <w:i/>
          <w:iCs/>
          <w:sz w:val="20"/>
          <w:szCs w:val="20"/>
        </w:rPr>
        <w:t>“</w:t>
      </w:r>
      <w:r w:rsidRPr="00195E24">
        <w:rPr>
          <w:rFonts w:ascii="Verdana" w:hAnsi="Verdana" w:cs="Arial"/>
          <w:bCs/>
          <w:i/>
          <w:iCs/>
          <w:lang w:eastAsia="x-none"/>
        </w:rPr>
        <w:t>queda prohibida la contratación directa</w:t>
      </w:r>
      <w:r w:rsidRPr="00195E24">
        <w:rPr>
          <w:rFonts w:ascii="Verdana" w:hAnsi="Verdana" w:cs="Arial"/>
          <w:sz w:val="20"/>
          <w:szCs w:val="20"/>
        </w:rPr>
        <w:t>”</w:t>
      </w:r>
      <w:r w:rsidRPr="00195E24">
        <w:rPr>
          <w:rFonts w:ascii="Verdana" w:hAnsi="Verdana" w:cs="Arial"/>
          <w:bCs/>
          <w:lang w:eastAsia="x-none"/>
        </w:rPr>
        <w:t>.</w:t>
      </w:r>
      <w:r w:rsidRPr="00195E24">
        <w:rPr>
          <w:rFonts w:ascii="Verdana" w:hAnsi="Verdana" w:cs="Arial"/>
          <w:lang w:eastAsia="es-CO"/>
        </w:rPr>
        <w:t xml:space="preserve"> A propósito de esta restricción de la Ley de Garantías Electorales, la Sala de Consulta y Servicio Civil del Consejo de Estado ha considerado que:</w:t>
      </w:r>
    </w:p>
    <w:p w14:paraId="09D027EC" w14:textId="77777777" w:rsidR="00F853CC" w:rsidRPr="005800D0" w:rsidRDefault="00F853CC" w:rsidP="00F853CC">
      <w:pPr>
        <w:spacing w:after="0" w:line="240" w:lineRule="auto"/>
        <w:ind w:left="709" w:right="709"/>
        <w:jc w:val="both"/>
        <w:rPr>
          <w:rFonts w:ascii="Verdana" w:hAnsi="Verdana" w:cs="Arial"/>
          <w:sz w:val="20"/>
          <w:szCs w:val="20"/>
        </w:rPr>
      </w:pPr>
      <w:r w:rsidRPr="005800D0">
        <w:rPr>
          <w:rFonts w:ascii="Verdana" w:hAnsi="Verdana" w:cs="Arial"/>
          <w:sz w:val="20"/>
          <w:szCs w:val="20"/>
        </w:rPr>
        <w:t>“</w:t>
      </w:r>
      <w:r>
        <w:rPr>
          <w:rFonts w:ascii="Verdana" w:hAnsi="Verdana" w:cs="Arial"/>
          <w:sz w:val="20"/>
          <w:szCs w:val="20"/>
        </w:rPr>
        <w:t xml:space="preserve">(…) </w:t>
      </w:r>
      <w:r w:rsidRPr="005800D0">
        <w:rPr>
          <w:rFonts w:ascii="Verdana" w:hAnsi="Verdana" w:cs="Arial"/>
          <w:sz w:val="20"/>
          <w:szCs w:val="20"/>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5800D0">
        <w:rPr>
          <w:rFonts w:ascii="Verdana" w:hAnsi="Verdana" w:cs="Arial"/>
          <w:sz w:val="20"/>
          <w:szCs w:val="20"/>
          <w:vertAlign w:val="superscript"/>
          <w:lang w:eastAsia="es-CO"/>
        </w:rPr>
        <w:footnoteReference w:id="10"/>
      </w:r>
      <w:r w:rsidRPr="005800D0">
        <w:rPr>
          <w:rFonts w:ascii="Verdana" w:hAnsi="Verdana" w:cs="Arial"/>
          <w:sz w:val="20"/>
          <w:szCs w:val="20"/>
        </w:rPr>
        <w:t>.</w:t>
      </w:r>
    </w:p>
    <w:p w14:paraId="11983565" w14:textId="77777777" w:rsidR="00F853CC" w:rsidRDefault="00F853CC" w:rsidP="00F853CC">
      <w:pPr>
        <w:spacing w:after="0" w:line="240" w:lineRule="auto"/>
        <w:ind w:left="709" w:right="709"/>
        <w:jc w:val="both"/>
        <w:rPr>
          <w:rFonts w:ascii="Verdana" w:hAnsi="Verdana" w:cs="Arial"/>
          <w:sz w:val="20"/>
          <w:szCs w:val="20"/>
        </w:rPr>
      </w:pPr>
    </w:p>
    <w:p w14:paraId="1745210F" w14:textId="77777777" w:rsidR="00F853CC" w:rsidRPr="005703BF" w:rsidRDefault="00F853CC" w:rsidP="00F853CC">
      <w:pPr>
        <w:spacing w:after="0" w:line="240" w:lineRule="auto"/>
        <w:ind w:left="709" w:right="709"/>
        <w:jc w:val="both"/>
        <w:rPr>
          <w:rFonts w:ascii="Verdana" w:hAnsi="Verdana" w:cs="Arial"/>
          <w:sz w:val="20"/>
          <w:szCs w:val="20"/>
        </w:rPr>
      </w:pPr>
      <w:r w:rsidRPr="005800D0">
        <w:rPr>
          <w:rFonts w:ascii="Verdana" w:hAnsi="Verdana" w:cs="Arial"/>
          <w:sz w:val="20"/>
          <w:szCs w:val="20"/>
        </w:rPr>
        <w:t xml:space="preserve">Esta Sala ha entendido </w:t>
      </w:r>
      <w:proofErr w:type="gramStart"/>
      <w:r w:rsidRPr="005800D0">
        <w:rPr>
          <w:rFonts w:ascii="Verdana" w:hAnsi="Verdana" w:cs="Arial"/>
          <w:sz w:val="20"/>
          <w:szCs w:val="20"/>
        </w:rPr>
        <w:t>que</w:t>
      </w:r>
      <w:proofErr w:type="gramEnd"/>
      <w:r w:rsidRPr="005800D0">
        <w:rPr>
          <w:rFonts w:ascii="Verdana" w:hAnsi="Verdana" w:cs="Arial"/>
          <w:sz w:val="20"/>
          <w:szCs w:val="20"/>
        </w:rPr>
        <w:t xml:space="preserve"> para los efectos de la ley de garantías, y dada su finalidad, el enunciado ´contratación directa´ es sinónimo </w:t>
      </w:r>
      <w:bookmarkStart w:id="12" w:name="_Hlk75741738"/>
      <w:r w:rsidRPr="005800D0">
        <w:rPr>
          <w:rFonts w:ascii="Verdana" w:hAnsi="Verdana" w:cs="Arial"/>
          <w:sz w:val="20"/>
          <w:szCs w:val="20"/>
        </w:rPr>
        <w:t xml:space="preserve">de cualquier sistema que no implique convocatoria pública y posibilidad de pluralidad de oferentes, </w:t>
      </w:r>
      <w:bookmarkEnd w:id="12"/>
      <w:r w:rsidRPr="005800D0">
        <w:rPr>
          <w:rFonts w:ascii="Verdana" w:hAnsi="Verdana" w:cs="Arial"/>
          <w:sz w:val="20"/>
          <w:szCs w:val="20"/>
        </w:rPr>
        <w:t>y que, además, no necesariamente hace referencia al procedimiento especial regulado por la ley de contratación estatal, sino a cualquier otro que prescinda de un proceso de licitación pública o concurso</w:t>
      </w:r>
      <w:r w:rsidRPr="005800D0">
        <w:rPr>
          <w:rFonts w:ascii="Verdana" w:hAnsi="Verdana" w:cs="Arial"/>
          <w:sz w:val="20"/>
          <w:szCs w:val="20"/>
          <w:vertAlign w:val="superscript"/>
        </w:rPr>
        <w:footnoteReference w:id="11"/>
      </w:r>
      <w:r w:rsidRPr="005800D0">
        <w:rPr>
          <w:rFonts w:ascii="Verdana" w:hAnsi="Verdana" w:cs="Arial"/>
          <w:sz w:val="20"/>
          <w:szCs w:val="20"/>
          <w:vertAlign w:val="superscript"/>
        </w:rPr>
        <w:t>.</w:t>
      </w:r>
      <w:r w:rsidRPr="005800D0">
        <w:rPr>
          <w:rFonts w:ascii="Verdana"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hAnsi="Verdana" w:cs="Arial"/>
          <w:sz w:val="20"/>
          <w:szCs w:val="20"/>
        </w:rPr>
        <w:t>(…)”</w:t>
      </w:r>
      <w:r w:rsidRPr="005800D0">
        <w:rPr>
          <w:rFonts w:ascii="Verdana" w:hAnsi="Verdana" w:cs="Arial"/>
          <w:sz w:val="20"/>
          <w:szCs w:val="20"/>
          <w:vertAlign w:val="superscript"/>
          <w:lang w:eastAsia="es-CO"/>
        </w:rPr>
        <w:footnoteReference w:id="12"/>
      </w:r>
      <w:r w:rsidRPr="005800D0">
        <w:rPr>
          <w:rFonts w:ascii="Verdana" w:hAnsi="Verdana" w:cs="Arial"/>
          <w:sz w:val="20"/>
          <w:szCs w:val="20"/>
        </w:rPr>
        <w:t>.</w:t>
      </w:r>
    </w:p>
    <w:p w14:paraId="52120D39" w14:textId="77777777" w:rsidR="00F853CC" w:rsidRDefault="00F853CC" w:rsidP="00F853CC">
      <w:pPr>
        <w:spacing w:after="0" w:line="240" w:lineRule="auto"/>
        <w:ind w:firstLine="709"/>
        <w:jc w:val="both"/>
        <w:rPr>
          <w:rFonts w:ascii="Verdana" w:hAnsi="Verdana" w:cs="Arial"/>
          <w:lang w:eastAsia="x-none"/>
        </w:rPr>
      </w:pPr>
      <w:bookmarkStart w:id="14" w:name="_Hlk94521748"/>
    </w:p>
    <w:p w14:paraId="19921635" w14:textId="77777777" w:rsidR="00F853CC" w:rsidRPr="00195E24" w:rsidRDefault="00F853CC" w:rsidP="00F853CC">
      <w:pPr>
        <w:spacing w:after="120" w:line="276" w:lineRule="auto"/>
        <w:ind w:firstLine="709"/>
        <w:jc w:val="both"/>
        <w:rPr>
          <w:rFonts w:ascii="Verdana" w:hAnsi="Verdana" w:cs="Arial"/>
          <w:bCs/>
          <w:lang w:eastAsia="x-none"/>
        </w:rPr>
      </w:pPr>
      <w:r w:rsidRPr="00195E24">
        <w:rPr>
          <w:rFonts w:ascii="Verdana" w:hAnsi="Verdana" w:cs="Arial"/>
          <w:lang w:eastAsia="x-none"/>
        </w:rPr>
        <w:t xml:space="preserve">De acuerdo con el citado concepto, la prohibición del artículo 33 de la Ley de Garantías Electorales se refiere a </w:t>
      </w:r>
      <w:r w:rsidRPr="007E27D9">
        <w:rPr>
          <w:rFonts w:ascii="Verdana" w:hAnsi="Verdana" w:cs="Arial"/>
          <w:lang w:eastAsia="en-GB"/>
        </w:rPr>
        <w:t>“</w:t>
      </w:r>
      <w:r w:rsidRPr="00195E24">
        <w:rPr>
          <w:rFonts w:ascii="Verdana" w:hAnsi="Verdana" w:cs="Arial"/>
          <w:lang w:eastAsia="x-none"/>
        </w:rPr>
        <w:t>cualquier sistema que no implique convocatoria pública y posibilidad de pluralidad de oferentes</w:t>
      </w:r>
      <w:r>
        <w:rPr>
          <w:rFonts w:ascii="Verdana" w:hAnsi="Verdana" w:cs="Arial"/>
          <w:lang w:eastAsia="en-GB"/>
        </w:rPr>
        <w:t>”</w:t>
      </w:r>
      <w:r w:rsidRPr="00195E24">
        <w:rPr>
          <w:rFonts w:ascii="Verdana" w:hAnsi="Verdana" w:cs="Arial"/>
          <w:lang w:eastAsia="x-none"/>
        </w:rPr>
        <w:t xml:space="preserve">, por lo que excluye las demás modalidades de contratación previstas en la Ley 1150 de 2007, es decir, la licitación pública, la selección abreviada, el concurso de méritos </w:t>
      </w:r>
      <w:r w:rsidRPr="00195E24">
        <w:rPr>
          <w:rFonts w:ascii="Verdana" w:hAnsi="Verdana" w:cs="Arial"/>
          <w:lang w:val="es-ES_tradnl" w:eastAsia="x-none"/>
        </w:rPr>
        <w:t>y la mínima cuantía</w:t>
      </w:r>
      <w:r w:rsidRPr="00195E24" w:rsidDel="00A85D9F">
        <w:rPr>
          <w:rFonts w:ascii="Verdana" w:hAnsi="Verdana" w:cs="Arial"/>
          <w:lang w:eastAsia="x-none"/>
        </w:rPr>
        <w:t xml:space="preserve"> </w:t>
      </w:r>
      <w:r w:rsidRPr="00195E24">
        <w:rPr>
          <w:rFonts w:ascii="Verdana" w:hAnsi="Verdana" w:cs="Arial"/>
          <w:lang w:eastAsia="x-none"/>
        </w:rPr>
        <w:t xml:space="preserve">u otros previstos </w:t>
      </w:r>
      <w:r w:rsidRPr="00130C72">
        <w:rPr>
          <w:rFonts w:ascii="Verdana" w:hAnsi="Verdana" w:cs="Arial"/>
          <w:lang w:eastAsia="x-none"/>
        </w:rPr>
        <w:t>sistemas abiertos y competitivos dispuestos en normas especiales.</w:t>
      </w:r>
      <w:r w:rsidRPr="00195E24">
        <w:rPr>
          <w:rFonts w:ascii="Verdana" w:hAnsi="Verdana" w:cs="Arial"/>
          <w:lang w:eastAsia="x-none"/>
        </w:rPr>
        <w:t xml:space="preserve"> Esta posición es congruente con la expedición de la Ley 1150 de 2007 que, entre otras reformas, introdujo la selección abreviada, rediseñó el concurso de méritos</w:t>
      </w:r>
      <w:r w:rsidRPr="00195E24">
        <w:rPr>
          <w:rFonts w:ascii="Verdana" w:hAnsi="Verdana" w:cs="Arial"/>
          <w:vertAlign w:val="superscript"/>
          <w:lang w:val="en-GB" w:eastAsia="x-none"/>
        </w:rPr>
        <w:footnoteReference w:id="13"/>
      </w:r>
      <w:r w:rsidRPr="00195E24">
        <w:rPr>
          <w:rFonts w:ascii="Verdana" w:hAnsi="Verdana" w:cs="Arial"/>
          <w:lang w:eastAsia="x-none"/>
        </w:rPr>
        <w:t xml:space="preserve"> y sistematizó las causales de contratación directa</w:t>
      </w:r>
      <w:r w:rsidRPr="00195E24">
        <w:rPr>
          <w:rFonts w:ascii="Verdana" w:hAnsi="Verdana" w:cs="Arial"/>
          <w:vertAlign w:val="superscript"/>
          <w:lang w:val="en-GB" w:eastAsia="x-none"/>
        </w:rPr>
        <w:footnoteReference w:id="14"/>
      </w:r>
      <w:r w:rsidRPr="00195E24">
        <w:rPr>
          <w:rFonts w:ascii="Verdana" w:hAnsi="Verdana" w:cs="Arial"/>
          <w:lang w:eastAsia="x-none"/>
        </w:rPr>
        <w:t>, además lo es con la posterior creación de la modalidad de mínima cuantía establecida actualmente en el numeral 5 del artículo 2 de la Ley 1150 de 2007, de acuerdo con las modificaciones realizadas por leyes posteriores.</w:t>
      </w:r>
    </w:p>
    <w:bookmarkEnd w:id="14"/>
    <w:p w14:paraId="146AA235" w14:textId="77777777" w:rsidR="00F853CC" w:rsidRPr="00195E24" w:rsidRDefault="00F853CC" w:rsidP="00F853CC">
      <w:pPr>
        <w:spacing w:after="120" w:line="276" w:lineRule="auto"/>
        <w:ind w:firstLine="709"/>
        <w:jc w:val="both"/>
        <w:rPr>
          <w:rFonts w:ascii="Verdana" w:hAnsi="Verdana" w:cs="Arial"/>
          <w:lang w:eastAsia="x-none"/>
        </w:rPr>
      </w:pPr>
      <w:r w:rsidRPr="00195E24">
        <w:rPr>
          <w:rFonts w:ascii="Verdana" w:hAnsi="Verdana" w:cs="Arial"/>
          <w:lang w:eastAsia="x-none"/>
        </w:rPr>
        <w:t xml:space="preserve">De esta forma, con fundamento en la evolución de la normativa sobre la contratación pública, se ha depurado la noción de </w:t>
      </w:r>
      <w:r w:rsidRPr="007E27D9">
        <w:rPr>
          <w:rFonts w:ascii="Verdana" w:hAnsi="Verdana" w:cs="Arial"/>
          <w:i/>
          <w:lang w:eastAsia="en-GB"/>
        </w:rPr>
        <w:t>“</w:t>
      </w:r>
      <w:r w:rsidRPr="00195E24">
        <w:rPr>
          <w:rFonts w:ascii="Verdana" w:hAnsi="Verdana" w:cs="Arial"/>
          <w:i/>
          <w:iCs/>
          <w:lang w:eastAsia="x-none"/>
        </w:rPr>
        <w:t>contratación directa</w:t>
      </w:r>
      <w:r w:rsidRPr="00195E24">
        <w:rPr>
          <w:rFonts w:ascii="Verdana" w:hAnsi="Verdana" w:cs="Arial"/>
          <w:lang w:eastAsia="en-GB"/>
        </w:rPr>
        <w:t>”</w:t>
      </w:r>
      <w:r w:rsidRPr="00195E24">
        <w:rPr>
          <w:rFonts w:ascii="Verdana" w:hAnsi="Verdana" w:cs="Arial"/>
          <w:lang w:eastAsia="x-none"/>
        </w:rPr>
        <w:t>, precisando el Consejo de Estado –en el concepto citado– que, “aun cuando no coincide única y exactamente con la regulación que de dicho sistema de selección hace el artículo 2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195E24">
        <w:rPr>
          <w:rFonts w:ascii="Verdana" w:hAnsi="Verdana" w:cs="Arial"/>
          <w:vertAlign w:val="superscript"/>
          <w:lang w:val="en-GB" w:eastAsia="x-none"/>
        </w:rPr>
        <w:footnoteReference w:id="15"/>
      </w:r>
      <w:r w:rsidRPr="00195E24">
        <w:rPr>
          <w:rFonts w:ascii="Verdana" w:hAnsi="Verdana" w:cs="Arial"/>
          <w:lang w:eastAsia="x-none"/>
        </w:rPr>
        <w:t>, han establecido sistemas de contratación que implican convocatoria pública y participación de varios oferentes</w:t>
      </w:r>
      <w:r w:rsidRPr="00195E24">
        <w:rPr>
          <w:rFonts w:ascii="Verdana" w:hAnsi="Verdana" w:cs="Arial"/>
          <w:lang w:eastAsia="en-GB"/>
        </w:rPr>
        <w:t>”</w:t>
      </w:r>
      <w:r w:rsidRPr="00195E24">
        <w:rPr>
          <w:rFonts w:ascii="Verdana" w:hAnsi="Verdana" w:cs="Arial"/>
          <w:lang w:eastAsia="x-none"/>
        </w:rPr>
        <w:t>.</w:t>
      </w:r>
    </w:p>
    <w:p w14:paraId="59DD9282" w14:textId="77777777" w:rsidR="00F853CC" w:rsidRPr="00195E24" w:rsidRDefault="00F853CC" w:rsidP="00F853CC">
      <w:pPr>
        <w:spacing w:after="120" w:line="276" w:lineRule="auto"/>
        <w:ind w:firstLine="709"/>
        <w:jc w:val="both"/>
        <w:rPr>
          <w:rFonts w:ascii="Verdana" w:hAnsi="Verdana" w:cs="Arial"/>
          <w:bCs/>
          <w:lang w:eastAsia="es-CO"/>
        </w:rPr>
      </w:pPr>
      <w:r w:rsidRPr="00195E24">
        <w:rPr>
          <w:rFonts w:ascii="Verdana" w:hAnsi="Verdana" w:cs="Arial"/>
          <w:bCs/>
          <w:lang w:eastAsia="x-none"/>
        </w:rPr>
        <w:t>E</w:t>
      </w:r>
      <w:r w:rsidRPr="00195E24">
        <w:rPr>
          <w:rFonts w:ascii="Verdana" w:hAnsi="Verdana" w:cs="Arial"/>
          <w:lang w:eastAsia="x-none"/>
        </w:rPr>
        <w:t xml:space="preserve">n efecto, vale la pena mencionar que, </w:t>
      </w:r>
      <w:bookmarkStart w:id="15" w:name="_Hlk75636073"/>
      <w:r w:rsidRPr="00195E24">
        <w:rPr>
          <w:rFonts w:ascii="Verdana" w:hAnsi="Verdana" w:cs="Arial"/>
          <w:lang w:eastAsia="x-none"/>
        </w:rPr>
        <w:t xml:space="preserve">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sidRPr="00195E24">
        <w:rPr>
          <w:rFonts w:ascii="Verdana" w:hAnsi="Verdana" w:cs="Arial"/>
          <w:i/>
          <w:iCs/>
          <w:lang w:eastAsia="x-none"/>
        </w:rPr>
        <w:t>“contratación directa</w:t>
      </w:r>
      <w:r w:rsidRPr="00195E24">
        <w:rPr>
          <w:rFonts w:ascii="Verdana" w:hAnsi="Verdana" w:cs="Arial"/>
          <w:lang w:eastAsia="x-none"/>
        </w:rPr>
        <w:t>”, es que la convocatoria para inscribirse en forma previa se haga de manera pública, y que se permita la participación de una pluralidad de oferentes</w:t>
      </w:r>
      <w:bookmarkEnd w:id="15"/>
      <w:r w:rsidRPr="00195E24">
        <w:rPr>
          <w:rFonts w:ascii="Verdana" w:hAnsi="Verdana" w:cs="Arial"/>
          <w:vertAlign w:val="superscript"/>
          <w:lang w:eastAsia="x-none"/>
        </w:rPr>
        <w:footnoteReference w:id="16"/>
      </w:r>
      <w:r w:rsidRPr="00195E24">
        <w:rPr>
          <w:rFonts w:ascii="Verdana" w:hAnsi="Verdana" w:cs="Arial"/>
          <w:lang w:eastAsia="x-none"/>
        </w:rPr>
        <w:t xml:space="preserve">. </w:t>
      </w:r>
    </w:p>
    <w:p w14:paraId="244A7B77" w14:textId="77777777" w:rsidR="00F853CC" w:rsidRPr="00CE0712" w:rsidRDefault="00F853CC" w:rsidP="00F853CC">
      <w:pPr>
        <w:spacing w:after="120" w:line="276" w:lineRule="auto"/>
        <w:ind w:firstLine="709"/>
        <w:jc w:val="both"/>
        <w:rPr>
          <w:rFonts w:ascii="Verdana" w:hAnsi="Verdana" w:cs="Arial"/>
          <w:bCs/>
          <w:lang w:eastAsia="es-CO"/>
        </w:rPr>
      </w:pPr>
      <w:r w:rsidRPr="00195E24">
        <w:rPr>
          <w:rFonts w:ascii="Verdana" w:hAnsi="Verdana" w:cs="Arial"/>
          <w:bCs/>
          <w:lang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sidRPr="00195E24">
        <w:rPr>
          <w:rFonts w:ascii="Verdana" w:hAnsi="Verdana" w:cs="Arial"/>
          <w:bCs/>
          <w:i/>
          <w:iCs/>
          <w:lang w:eastAsia="es-CO"/>
        </w:rPr>
        <w:t>“contratación directa”.</w:t>
      </w:r>
    </w:p>
    <w:p w14:paraId="586F4FD5" w14:textId="77777777" w:rsidR="00F853CC" w:rsidRDefault="00F853CC" w:rsidP="00F853CC">
      <w:pPr>
        <w:spacing w:after="120" w:line="276" w:lineRule="auto"/>
        <w:ind w:firstLine="709"/>
        <w:jc w:val="both"/>
        <w:rPr>
          <w:rFonts w:ascii="Verdana" w:hAnsi="Verdana" w:cs="Arial"/>
          <w:vertAlign w:val="superscript"/>
          <w:lang w:eastAsia="x-none"/>
        </w:rPr>
      </w:pPr>
      <w:bookmarkStart w:id="16" w:name="_Hlk78818796"/>
      <w:r w:rsidRPr="00195E24">
        <w:rPr>
          <w:rFonts w:ascii="Verdana" w:hAnsi="Verdana" w:cs="Arial"/>
          <w:bCs/>
          <w:lang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7E27D9">
        <w:rPr>
          <w:rFonts w:ascii="Verdana" w:hAnsi="Verdana" w:cs="Arial"/>
          <w:vertAlign w:val="superscript"/>
          <w:lang w:eastAsia="x-none"/>
        </w:rPr>
        <w:footnoteReference w:id="17"/>
      </w:r>
      <w:r w:rsidRPr="007E27D9">
        <w:rPr>
          <w:rFonts w:ascii="Verdana" w:hAnsi="Verdana" w:cs="Arial"/>
          <w:lang w:eastAsia="x-none"/>
        </w:rPr>
        <w:t>.</w:t>
      </w:r>
      <w:r w:rsidRPr="007E27D9">
        <w:rPr>
          <w:rFonts w:ascii="Verdana" w:hAnsi="Verdana" w:cs="Arial"/>
          <w:vertAlign w:val="superscript"/>
          <w:lang w:eastAsia="x-none"/>
        </w:rPr>
        <w:t xml:space="preserve"> </w:t>
      </w:r>
    </w:p>
    <w:p w14:paraId="415682C8" w14:textId="77777777" w:rsidR="00F853CC" w:rsidRDefault="00F853CC" w:rsidP="00F853CC">
      <w:pPr>
        <w:spacing w:after="120" w:line="276" w:lineRule="auto"/>
        <w:ind w:firstLine="709"/>
        <w:jc w:val="both"/>
        <w:rPr>
          <w:rFonts w:ascii="Verdana" w:hAnsi="Verdana" w:cs="Arial"/>
          <w:lang w:eastAsia="x-none"/>
        </w:rPr>
      </w:pPr>
      <w:r w:rsidRPr="00AD17FF">
        <w:rPr>
          <w:rFonts w:ascii="Verdana" w:hAnsi="Verdana" w:cs="Arial"/>
          <w:lang w:eastAsia="x-none"/>
        </w:rPr>
        <w:t>Lo anterior supone que, en aquellos procedimientos que contemplen convocatorias o invitaciones para contratar que se limiten a aquellas personas que previamente se hayan inscrito en una lista de precalificados o de interesados, lo determinante para considerar que dicho sistema no constituye “contratación directa”, es que la convocatoria para inscribirse en forma previa se haga de manera pública, y que se permita la participación de una pluralidad de oferentes. Esta circunstancia no se extiende a la contratación directa aplicable en algunos regímenes especiales con listas de precalificados, ya que a efecto de que no se configure la contratación directa, la selección del futuro contratista debe darse en términos de competencia</w:t>
      </w:r>
      <w:r>
        <w:rPr>
          <w:rStyle w:val="Refdenotaalpie"/>
          <w:rFonts w:ascii="Verdana" w:hAnsi="Verdana" w:cs="Arial"/>
          <w:lang w:eastAsia="x-none"/>
        </w:rPr>
        <w:footnoteReference w:id="18"/>
      </w:r>
      <w:r w:rsidRPr="00AD17FF">
        <w:rPr>
          <w:rFonts w:ascii="Verdana" w:hAnsi="Verdana" w:cs="Arial"/>
          <w:lang w:eastAsia="x-none"/>
        </w:rPr>
        <w:t>.</w:t>
      </w:r>
    </w:p>
    <w:p w14:paraId="2EE41BC8" w14:textId="77777777" w:rsidR="00F853CC" w:rsidRDefault="00F853CC" w:rsidP="00F853CC">
      <w:pPr>
        <w:spacing w:after="120" w:line="276" w:lineRule="auto"/>
        <w:ind w:firstLine="709"/>
        <w:jc w:val="both"/>
        <w:rPr>
          <w:rFonts w:ascii="Verdana" w:hAnsi="Verdana" w:cs="Arial"/>
          <w:lang w:eastAsia="x-none"/>
        </w:rPr>
      </w:pPr>
      <w:r>
        <w:rPr>
          <w:rFonts w:ascii="Verdana" w:hAnsi="Verdana" w:cs="Arial"/>
          <w:lang w:eastAsia="x-none"/>
        </w:rPr>
        <w:t xml:space="preserve">En este sentido la Agencia Nacional de Contratación Pública </w:t>
      </w:r>
      <w:r w:rsidRPr="00066B32">
        <w:rPr>
          <w:rFonts w:ascii="Verdana" w:hAnsi="Verdana" w:cs="Arial"/>
          <w:lang w:eastAsia="x-none"/>
        </w:rPr>
        <w:t xml:space="preserve">– Colombia </w:t>
      </w:r>
      <w:r w:rsidRPr="00360AB5">
        <w:rPr>
          <w:rFonts w:ascii="Verdana" w:hAnsi="Verdana" w:cs="Arial"/>
          <w:lang w:eastAsia="x-none"/>
        </w:rPr>
        <w:t>Compra Eficiente,</w:t>
      </w:r>
      <w:r w:rsidRPr="001D6D08">
        <w:rPr>
          <w:rFonts w:ascii="Verdana" w:hAnsi="Verdana" w:cs="Arial"/>
          <w:lang w:eastAsia="x-none"/>
        </w:rPr>
        <w:t xml:space="preserve"> en </w:t>
      </w:r>
      <w:r w:rsidRPr="00A53A1E">
        <w:rPr>
          <w:rFonts w:ascii="Verdana" w:hAnsi="Verdana" w:cs="Arial"/>
          <w:lang w:eastAsia="x-none"/>
        </w:rPr>
        <w:t>el</w:t>
      </w:r>
      <w:r>
        <w:rPr>
          <w:rFonts w:ascii="Verdana" w:hAnsi="Verdana" w:cs="Arial"/>
          <w:lang w:eastAsia="x-none"/>
        </w:rPr>
        <w:t xml:space="preserve"> concepto </w:t>
      </w:r>
      <w:r w:rsidRPr="004A2E70">
        <w:rPr>
          <w:rFonts w:ascii="Verdana" w:eastAsia="Verdana" w:hAnsi="Verdana" w:cs="Verdana"/>
          <w:bCs/>
        </w:rPr>
        <w:t>C-048 de 2026</w:t>
      </w:r>
      <w:r w:rsidRPr="004A2E70">
        <w:rPr>
          <w:rStyle w:val="Refdenotaalpie"/>
          <w:rFonts w:ascii="Verdana" w:eastAsia="Verdana" w:hAnsi="Verdana" w:cs="Verdana"/>
          <w:bCs/>
        </w:rPr>
        <w:footnoteReference w:id="19"/>
      </w:r>
      <w:r w:rsidRPr="00130C72">
        <w:rPr>
          <w:rFonts w:ascii="Verdana" w:eastAsia="Verdana" w:hAnsi="Verdana" w:cs="Verdana"/>
          <w:bCs/>
        </w:rPr>
        <w:t>,</w:t>
      </w:r>
      <w:r>
        <w:rPr>
          <w:rFonts w:ascii="Verdana" w:eastAsia="Verdana" w:hAnsi="Verdana" w:cs="Verdana"/>
          <w:bCs/>
        </w:rPr>
        <w:t xml:space="preserve"> reitera la anterior postura al sostener que</w:t>
      </w:r>
      <w:r w:rsidRPr="004A2E70">
        <w:rPr>
          <w:rFonts w:ascii="Verdana" w:eastAsia="Verdana" w:hAnsi="Verdana" w:cs="Verdana"/>
          <w:bCs/>
        </w:rPr>
        <w:t xml:space="preserve"> </w:t>
      </w:r>
      <w:r w:rsidRPr="00647D77">
        <w:rPr>
          <w:rFonts w:ascii="Verdana" w:eastAsia="Verdana" w:hAnsi="Verdana" w:cs="Verdana"/>
          <w:i/>
        </w:rPr>
        <w:t>“</w:t>
      </w:r>
      <w:r w:rsidRPr="00095A89">
        <w:rPr>
          <w:rFonts w:ascii="Verdana" w:eastAsia="Times New Roman" w:hAnsi="Verdana" w:cs="Arial"/>
          <w:bCs/>
          <w:lang w:eastAsia="x-none"/>
        </w:rPr>
        <w:t xml:space="preserve">para determinar la aplicación de la restricción prevista en el artículo 33 de la Ley de Garantías Electorales en aquellos sistemas de contratación en los cuales se invita a presentar propuesta […] seleccionados de un banco de proveedores, resulta fundamental que se cumplan los dos criterios señalados. De un lado, es indispensable que tanto la inscripción en la lista de precalificados o en el banco de proveedores como el acceso a la etapa de presentación de ofertas se encuentren precedidos de mecanismos de convocatoria pública que garanticen la participación real de una pluralidad de oferentes, en condiciones de igualdad y transparencia. De otro lado, la selección del contratista debe estar sometida a criterios objetivos de tal manera que la escogencia del contratista sea el resultado de un ejercicio de comparación de propuestas en competencia y no de decisiones discrecionales de la entidad”. </w:t>
      </w:r>
    </w:p>
    <w:p w14:paraId="000A9B6E" w14:textId="77777777" w:rsidR="00F853CC" w:rsidRPr="00095A89" w:rsidRDefault="00F853CC" w:rsidP="00F853CC">
      <w:pPr>
        <w:spacing w:after="120" w:line="276" w:lineRule="auto"/>
        <w:ind w:firstLine="709"/>
        <w:jc w:val="both"/>
        <w:rPr>
          <w:rFonts w:ascii="Verdana" w:hAnsi="Verdana" w:cs="Arial"/>
          <w:lang w:eastAsia="x-none"/>
        </w:rPr>
      </w:pPr>
      <w:r w:rsidRPr="00095A89">
        <w:rPr>
          <w:rFonts w:ascii="Verdana" w:eastAsia="Verdana" w:hAnsi="Verdana" w:cs="Verdana"/>
          <w:bCs/>
        </w:rPr>
        <w:t>“</w:t>
      </w:r>
      <w:r w:rsidRPr="00095A89">
        <w:rPr>
          <w:rFonts w:ascii="Verdana" w:eastAsia="Times New Roman" w:hAnsi="Verdana" w:cs="Arial"/>
          <w:bCs/>
          <w:lang w:eastAsia="x-none"/>
        </w:rPr>
        <w:t xml:space="preserve">En todo caso, las entidades sometidas a regímenes especiales o al derecho privado son responsables de evaluar, en cada caso concreto, si la implementación de sistemas como listas de precalificados, bancos de proveedores o esquemas de invitación cerrada comporta efectivamente la realización de una convocatoria pública y asegura la participación real de una pluralidad de oferentes. Dicha valoración debe efectuarse a la luz de las reglas previstas en sus respectivos manuales de contratación, lo cual exige un análisis del procedimiento adoptado, de manera que se garantice que la selección del contratista se derive de un escenario de competencia efectiva y no de mecanismos que, bajo una apariencia de pluralidad de oferentes, habiliten contrataciones que se encuentra bajo el ámbito de aplicación del artículo 33 de la Ley de Garantías Electorales”.  </w:t>
      </w:r>
    </w:p>
    <w:bookmarkEnd w:id="16"/>
    <w:p w14:paraId="31F98149" w14:textId="77777777" w:rsidR="00F853CC" w:rsidRDefault="00F853CC" w:rsidP="00F853CC">
      <w:pPr>
        <w:spacing w:after="120" w:line="276" w:lineRule="auto"/>
        <w:ind w:firstLine="709"/>
        <w:jc w:val="both"/>
        <w:rPr>
          <w:rFonts w:ascii="Verdana" w:hAnsi="Verdana" w:cs="Arial"/>
          <w:lang w:eastAsia="x-none"/>
        </w:rPr>
      </w:pPr>
      <w:r w:rsidRPr="00195E24">
        <w:rPr>
          <w:rFonts w:ascii="Verdana" w:hAnsi="Verdana" w:cs="Arial"/>
          <w:bCs/>
          <w:lang w:eastAsia="x-none"/>
        </w:rPr>
        <w:t xml:space="preserve">De lo anterior se desprende que la restricción aplica, sin perjuicio de las excepciones establecidas en la misma </w:t>
      </w:r>
      <w:r w:rsidRPr="00130C72">
        <w:rPr>
          <w:rFonts w:ascii="Verdana" w:hAnsi="Verdana" w:cs="Arial"/>
          <w:bCs/>
          <w:lang w:eastAsia="x-none"/>
        </w:rPr>
        <w:t>L</w:t>
      </w:r>
      <w:r w:rsidRPr="00195E24">
        <w:rPr>
          <w:rFonts w:ascii="Verdana" w:hAnsi="Verdana" w:cs="Arial"/>
          <w:bCs/>
          <w:lang w:eastAsia="x-none"/>
        </w:rPr>
        <w:t>ey</w:t>
      </w:r>
      <w:r w:rsidRPr="00671D27">
        <w:rPr>
          <w:rFonts w:ascii="Verdana" w:hAnsi="Verdana" w:cs="Arial"/>
          <w:bCs/>
          <w:lang w:eastAsia="x-none"/>
        </w:rPr>
        <w:t>, para celebrar cualquier contrato de forma directa, esto es, sin que exista un proceso abierto y competitivo.</w:t>
      </w:r>
      <w:r w:rsidRPr="00671D27">
        <w:rPr>
          <w:rFonts w:ascii="Verdana" w:hAnsi="Verdana" w:cs="Arial"/>
          <w:lang w:eastAsia="x-none"/>
        </w:rPr>
        <w:t xml:space="preserve"> Por tanto, no son materia de la prohibición las demás modalidades de selección previstas en la Ley 1150 de 2007, es decir, la licitación pública, el concurso de méritos, la selección abreviada y la contratación de mínima cuantía, razón por la cual en el</w:t>
      </w:r>
      <w:r w:rsidRPr="00195E24">
        <w:rPr>
          <w:rFonts w:ascii="Verdana" w:hAnsi="Verdana" w:cs="Arial"/>
          <w:lang w:eastAsia="x-none"/>
        </w:rPr>
        <w:t xml:space="preserve"> período preelectoral de que trata la disposición las entidades públicas pueden seguir contratando bajo estos sistemas</w:t>
      </w:r>
      <w:r w:rsidRPr="007E27D9">
        <w:rPr>
          <w:rFonts w:ascii="Verdana" w:hAnsi="Verdana" w:cs="Arial"/>
          <w:lang w:eastAsia="x-none"/>
        </w:rPr>
        <w:t>.</w:t>
      </w:r>
      <w:r>
        <w:rPr>
          <w:rFonts w:ascii="Verdana" w:hAnsi="Verdana" w:cs="Arial"/>
          <w:lang w:eastAsia="x-none"/>
        </w:rPr>
        <w:t xml:space="preserve"> </w:t>
      </w:r>
    </w:p>
    <w:p w14:paraId="4BE19B72" w14:textId="77777777" w:rsidR="00F853CC" w:rsidRDefault="00F853CC" w:rsidP="00F853CC">
      <w:pPr>
        <w:spacing w:after="120" w:line="276" w:lineRule="auto"/>
        <w:ind w:firstLine="709"/>
        <w:jc w:val="both"/>
        <w:rPr>
          <w:rFonts w:ascii="Verdana" w:eastAsia="Arial" w:hAnsi="Verdana" w:cs="Arial"/>
          <w:color w:val="1A1A1A" w:themeColor="background1" w:themeShade="1A"/>
          <w:lang w:val="es-ES_tradnl"/>
        </w:rPr>
      </w:pPr>
      <w:r>
        <w:rPr>
          <w:rFonts w:ascii="Verdana" w:hAnsi="Verdana" w:cs="Arial"/>
          <w:lang w:eastAsia="x-none"/>
        </w:rPr>
        <w:t xml:space="preserve">De acuerdo con lo anterior, la celebración del contrato podrá realizarse en el periodo de restricciones electorales de que trata el artículo 33 de la Ley 996 de 2005 siempre que dicha contratación se derive de un proceso de selección distinto a la contratación directa. </w:t>
      </w:r>
      <w:r>
        <w:rPr>
          <w:rFonts w:ascii="Verdana" w:hAnsi="Verdana" w:cs="Arial"/>
          <w:color w:val="1A1A1A" w:themeColor="background1" w:themeShade="1A"/>
          <w:shd w:val="clear" w:color="auto" w:fill="FFFFFF"/>
          <w:lang w:val="es-ES_tradnl"/>
        </w:rPr>
        <w:t>Por lo tanto,</w:t>
      </w:r>
      <w:r w:rsidRPr="008363F8">
        <w:rPr>
          <w:rFonts w:ascii="Verdana" w:hAnsi="Verdana" w:cs="Arial"/>
          <w:color w:val="1A1A1A" w:themeColor="background1" w:themeShade="1A"/>
          <w:shd w:val="clear" w:color="auto" w:fill="FFFFFF"/>
          <w:lang w:val="es-ES_tradnl"/>
        </w:rPr>
        <w:t xml:space="preserve"> en principio </w:t>
      </w:r>
      <w:r>
        <w:rPr>
          <w:rFonts w:ascii="Verdana" w:hAnsi="Verdana" w:cs="Arial"/>
          <w:color w:val="1A1A1A" w:themeColor="background1" w:themeShade="1A"/>
          <w:shd w:val="clear" w:color="auto" w:fill="FFFFFF"/>
          <w:lang w:val="es-ES_tradnl"/>
        </w:rPr>
        <w:t>lo que</w:t>
      </w:r>
      <w:r w:rsidRPr="00AD294A">
        <w:rPr>
          <w:rFonts w:ascii="Verdana" w:hAnsi="Verdana" w:cs="Arial"/>
          <w:color w:val="1A1A1A" w:themeColor="background1" w:themeShade="1A"/>
          <w:shd w:val="clear" w:color="auto" w:fill="FFFFFF"/>
          <w:lang w:val="es-ES_tradnl"/>
        </w:rPr>
        <w:t xml:space="preserve"> </w:t>
      </w:r>
      <w:r w:rsidRPr="008363F8">
        <w:rPr>
          <w:rFonts w:ascii="Verdana" w:hAnsi="Verdana" w:cs="Arial"/>
          <w:color w:val="1A1A1A" w:themeColor="background1" w:themeShade="1A"/>
          <w:shd w:val="clear" w:color="auto" w:fill="FFFFFF"/>
          <w:lang w:val="es-ES_tradnl"/>
        </w:rPr>
        <w:t xml:space="preserve">está prohibida </w:t>
      </w:r>
      <w:r>
        <w:rPr>
          <w:rFonts w:ascii="Verdana" w:hAnsi="Verdana" w:cs="Arial"/>
          <w:color w:val="1A1A1A" w:themeColor="background1" w:themeShade="1A"/>
          <w:shd w:val="clear" w:color="auto" w:fill="FFFFFF"/>
          <w:lang w:val="es-ES_tradnl"/>
        </w:rPr>
        <w:t>es</w:t>
      </w:r>
      <w:r w:rsidRPr="00AD294A">
        <w:rPr>
          <w:rFonts w:ascii="Verdana" w:hAnsi="Verdana" w:cs="Arial"/>
          <w:color w:val="1A1A1A" w:themeColor="background1" w:themeShade="1A"/>
          <w:shd w:val="clear" w:color="auto" w:fill="FFFFFF"/>
          <w:lang w:val="es-ES_tradnl"/>
        </w:rPr>
        <w:t xml:space="preserve"> </w:t>
      </w:r>
      <w:r w:rsidRPr="008363F8">
        <w:rPr>
          <w:rFonts w:ascii="Verdana" w:hAnsi="Verdana" w:cs="Arial"/>
          <w:i/>
          <w:iCs/>
          <w:color w:val="1A1A1A" w:themeColor="background1" w:themeShade="1A"/>
          <w:shd w:val="clear" w:color="auto" w:fill="FFFFFF"/>
          <w:lang w:val="es-ES_tradnl"/>
        </w:rPr>
        <w:t>la contratación directa</w:t>
      </w:r>
      <w:r w:rsidRPr="008363F8">
        <w:rPr>
          <w:rFonts w:ascii="Verdana" w:hAnsi="Verdana" w:cs="Arial"/>
          <w:color w:val="1A1A1A" w:themeColor="background1" w:themeShade="1A"/>
          <w:shd w:val="clear" w:color="auto" w:fill="FFFFFF"/>
          <w:lang w:val="es-ES_tradnl"/>
        </w:rPr>
        <w:t xml:space="preserve">, salvo que </w:t>
      </w:r>
      <w:r>
        <w:rPr>
          <w:rFonts w:ascii="Verdana" w:hAnsi="Verdana" w:cs="Arial"/>
          <w:color w:val="1A1A1A" w:themeColor="background1" w:themeShade="1A"/>
          <w:shd w:val="clear" w:color="auto" w:fill="FFFFFF"/>
          <w:lang w:val="es-ES_tradnl"/>
        </w:rPr>
        <w:t>la contratación que se va a realizar se ajuste en alguna de las excepciones consagradas en el mismo artículo. Lo que está permitido en dicha época son los contratos que se</w:t>
      </w:r>
      <w:r w:rsidRPr="00AD294A">
        <w:rPr>
          <w:rFonts w:ascii="Verdana" w:hAnsi="Verdana" w:cs="Arial"/>
          <w:color w:val="1A1A1A" w:themeColor="background1" w:themeShade="1A"/>
          <w:shd w:val="clear" w:color="auto" w:fill="FFFFFF"/>
          <w:lang w:val="es-ES_tradnl"/>
        </w:rPr>
        <w:t xml:space="preserve"> celebr</w:t>
      </w:r>
      <w:r>
        <w:rPr>
          <w:rFonts w:ascii="Verdana" w:hAnsi="Verdana" w:cs="Arial"/>
          <w:color w:val="1A1A1A" w:themeColor="background1" w:themeShade="1A"/>
          <w:shd w:val="clear" w:color="auto" w:fill="FFFFFF"/>
          <w:lang w:val="es-ES_tradnl"/>
        </w:rPr>
        <w:t xml:space="preserve">en </w:t>
      </w:r>
      <w:r w:rsidRPr="008363F8">
        <w:rPr>
          <w:rFonts w:ascii="Verdana" w:hAnsi="Verdana" w:cs="Arial"/>
          <w:i/>
          <w:iCs/>
          <w:color w:val="1A1A1A" w:themeColor="background1" w:themeShade="1A"/>
          <w:shd w:val="clear" w:color="auto" w:fill="FFFFFF"/>
          <w:lang w:val="es-ES_tradnl"/>
        </w:rPr>
        <w:t>de manera competitiva</w:t>
      </w:r>
      <w:r>
        <w:rPr>
          <w:rFonts w:ascii="Verdana" w:hAnsi="Verdana" w:cs="Arial"/>
          <w:i/>
          <w:iCs/>
          <w:color w:val="1A1A1A" w:themeColor="background1" w:themeShade="1A"/>
          <w:shd w:val="clear" w:color="auto" w:fill="FFFFFF"/>
          <w:lang w:val="es-ES_tradnl"/>
        </w:rPr>
        <w:t xml:space="preserve">. </w:t>
      </w:r>
    </w:p>
    <w:p w14:paraId="2915484C" w14:textId="77777777" w:rsidR="00F853CC" w:rsidRPr="00012D64" w:rsidRDefault="00F853CC" w:rsidP="00F853CC">
      <w:pPr>
        <w:spacing w:after="12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Ahora bien, en relación con los destinatarios de las restricciones, el artículo 33 de la Ley 996 de 2005 los señala expresamente, en el sentido de que son “</w:t>
      </w:r>
      <w:r w:rsidRPr="73D21086">
        <w:rPr>
          <w:rFonts w:ascii="Verdana" w:hAnsi="Verdana" w:cs="Arial"/>
          <w:i/>
          <w:color w:val="000000" w:themeColor="text1"/>
          <w:lang w:val="es-MX"/>
        </w:rPr>
        <w:t>todos los entes del Estado</w:t>
      </w:r>
      <w:r w:rsidRPr="73D21086">
        <w:rPr>
          <w:rFonts w:ascii="Verdana" w:hAnsi="Verdana" w:cs="Arial"/>
          <w:color w:val="000000" w:themeColor="text1"/>
          <w:lang w:val="es-MX"/>
        </w:rPr>
        <w:t xml:space="preserve">”,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308343F5" w14:textId="77777777" w:rsidR="00F853CC" w:rsidRDefault="00F853CC" w:rsidP="00F853CC">
      <w:pPr>
        <w:spacing w:after="12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La Sala de Consulta y Servicio Civil del Consejo de Estado, en Concepto 1727 del 20 de febrero de 2006, consideró que 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73D21086">
        <w:rPr>
          <w:rFonts w:ascii="Verdana" w:hAnsi="Verdana" w:cs="Arial"/>
          <w:color w:val="000000" w:themeColor="text1"/>
          <w:vertAlign w:val="superscript"/>
          <w:lang w:val="es-MX"/>
        </w:rPr>
        <w:footnoteReference w:id="20"/>
      </w:r>
      <w:r w:rsidRPr="73D21086">
        <w:rPr>
          <w:rFonts w:ascii="Verdana" w:hAnsi="Verdana" w:cs="Arial"/>
          <w:color w:val="000000" w:themeColor="text1"/>
          <w:lang w:val="es-MX"/>
        </w:rPr>
        <w:t xml:space="preserve">. </w:t>
      </w:r>
    </w:p>
    <w:p w14:paraId="36D2D842" w14:textId="77777777" w:rsidR="00F853CC" w:rsidRPr="002D6B92" w:rsidRDefault="00F853CC" w:rsidP="00F853CC">
      <w:pPr>
        <w:spacing w:after="12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sidRPr="00CE0D82">
        <w:rPr>
          <w:rFonts w:ascii="Verdana" w:hAnsi="Verdana" w:cs="Arial"/>
          <w:color w:val="000000" w:themeColor="text1"/>
          <w:vertAlign w:val="superscript"/>
          <w:lang w:val="es-MX"/>
        </w:rPr>
        <w:footnoteReference w:id="21"/>
      </w:r>
      <w:r w:rsidRPr="73D21086">
        <w:rPr>
          <w:rFonts w:ascii="Verdana" w:hAnsi="Verdana" w:cs="Arial"/>
          <w:color w:val="000000" w:themeColor="text1"/>
          <w:lang w:val="es-MX"/>
        </w:rPr>
        <w:t>.</w:t>
      </w:r>
      <w:r w:rsidRPr="00CE0D82">
        <w:rPr>
          <w:rFonts w:ascii="Verdana" w:hAnsi="Verdana" w:cs="Arial"/>
          <w:color w:val="000000" w:themeColor="text1"/>
          <w:lang w:val="es-MX"/>
        </w:rPr>
        <w:t xml:space="preserve"> Además, la Sala de Consulta y Servicio Civil del Consejo de Estado realizó la siguiente distinción, retomando el pronunciamiento de la misma sala del 20 de febrero de 2006, citado anteriormente:</w:t>
      </w:r>
    </w:p>
    <w:p w14:paraId="51BF360A" w14:textId="77777777" w:rsidR="00F853CC" w:rsidRDefault="00F853CC" w:rsidP="00F853CC">
      <w:pPr>
        <w:spacing w:after="0" w:line="240" w:lineRule="auto"/>
        <w:ind w:left="709" w:right="709"/>
        <w:jc w:val="both"/>
        <w:rPr>
          <w:rFonts w:ascii="Verdana" w:hAnsi="Verdana" w:cs="Arial"/>
          <w:color w:val="000000" w:themeColor="text1"/>
          <w:sz w:val="20"/>
          <w:szCs w:val="20"/>
          <w:lang w:val="es-MX"/>
        </w:rPr>
      </w:pPr>
      <w:r w:rsidRPr="005800D0">
        <w:rPr>
          <w:rFonts w:ascii="Verdana" w:hAnsi="Verdana" w:cs="Arial"/>
          <w:color w:val="000000" w:themeColor="text1"/>
          <w:sz w:val="20"/>
          <w:szCs w:val="20"/>
          <w:lang w:val="es-MX"/>
        </w:rPr>
        <w:t>“</w:t>
      </w:r>
      <w:r>
        <w:rPr>
          <w:rFonts w:ascii="Verdana" w:hAnsi="Verdana" w:cs="Arial"/>
          <w:color w:val="000000" w:themeColor="text1"/>
          <w:sz w:val="20"/>
          <w:szCs w:val="20"/>
          <w:lang w:val="es-MX"/>
        </w:rPr>
        <w:t>(…)</w:t>
      </w:r>
      <w:r w:rsidRPr="005800D0">
        <w:rPr>
          <w:rFonts w:ascii="Verdana" w:hAnsi="Verdana" w:cs="Arial"/>
          <w:color w:val="000000" w:themeColor="text1"/>
          <w:sz w:val="20"/>
          <w:szCs w:val="20"/>
          <w:lang w:val="es-MX"/>
        </w:rPr>
        <w:t xml:space="preserve"> 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2F890436" w14:textId="77777777" w:rsidR="00F853CC" w:rsidRDefault="00F853CC" w:rsidP="00F853CC">
      <w:pPr>
        <w:spacing w:after="0" w:line="240" w:lineRule="auto"/>
        <w:ind w:left="709" w:right="709"/>
        <w:jc w:val="both"/>
        <w:rPr>
          <w:rFonts w:ascii="Verdana" w:hAnsi="Verdana" w:cs="Arial"/>
          <w:color w:val="000000" w:themeColor="text1"/>
          <w:sz w:val="20"/>
          <w:szCs w:val="20"/>
          <w:lang w:val="es-MX"/>
        </w:rPr>
      </w:pPr>
    </w:p>
    <w:p w14:paraId="367358A5" w14:textId="77777777" w:rsidR="00F853CC" w:rsidRPr="00435A6A" w:rsidRDefault="00F853CC" w:rsidP="00F853CC">
      <w:pPr>
        <w:spacing w:after="0" w:line="240" w:lineRule="auto"/>
        <w:ind w:left="709" w:right="709"/>
        <w:jc w:val="both"/>
        <w:rPr>
          <w:rFonts w:ascii="Verdana" w:hAnsi="Verdana" w:cs="Arial"/>
          <w:color w:val="000000" w:themeColor="text1"/>
          <w:sz w:val="20"/>
          <w:szCs w:val="20"/>
          <w:lang w:val="es-MX" w:eastAsia="x-none"/>
        </w:rPr>
      </w:pPr>
      <w:r w:rsidRPr="005800D0">
        <w:rPr>
          <w:rFonts w:ascii="Verdana" w:hAnsi="Verdana" w:cs="Arial"/>
          <w:color w:val="000000" w:themeColor="text1"/>
          <w:sz w:val="20"/>
          <w:szCs w:val="20"/>
          <w:lang w:val="es-MX"/>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Pr>
          <w:rFonts w:ascii="Verdana" w:hAnsi="Verdana" w:cs="Arial"/>
          <w:color w:val="000000" w:themeColor="text1"/>
          <w:sz w:val="20"/>
          <w:szCs w:val="20"/>
          <w:lang w:val="es-MX"/>
        </w:rPr>
        <w:t>”</w:t>
      </w:r>
      <w:r w:rsidRPr="005800D0">
        <w:rPr>
          <w:rFonts w:ascii="Verdana" w:hAnsi="Verdana" w:cs="Arial"/>
          <w:color w:val="000000" w:themeColor="text1"/>
          <w:sz w:val="20"/>
          <w:szCs w:val="20"/>
          <w:vertAlign w:val="superscript"/>
          <w:lang w:val="es-MX"/>
        </w:rPr>
        <w:footnoteReference w:id="22"/>
      </w:r>
      <w:r w:rsidRPr="005800D0">
        <w:rPr>
          <w:rFonts w:ascii="Verdana" w:hAnsi="Verdana" w:cs="Arial"/>
          <w:color w:val="000000" w:themeColor="text1"/>
          <w:sz w:val="20"/>
          <w:szCs w:val="20"/>
          <w:lang w:val="es-MX" w:eastAsia="x-none"/>
        </w:rPr>
        <w:t>.</w:t>
      </w:r>
    </w:p>
    <w:p w14:paraId="021C814B" w14:textId="77777777" w:rsidR="00F853CC" w:rsidRDefault="00F853CC" w:rsidP="00F853CC">
      <w:pPr>
        <w:spacing w:after="0" w:line="240" w:lineRule="auto"/>
        <w:jc w:val="both"/>
        <w:rPr>
          <w:rFonts w:ascii="Verdana" w:hAnsi="Verdana" w:cs="Arial"/>
          <w:color w:val="000000" w:themeColor="text1"/>
          <w:lang w:val="es-MX"/>
        </w:rPr>
      </w:pPr>
    </w:p>
    <w:p w14:paraId="1A98DB70" w14:textId="77777777" w:rsidR="00F853CC" w:rsidRDefault="00F853CC" w:rsidP="00F853CC">
      <w:pPr>
        <w:spacing w:after="120" w:line="276" w:lineRule="auto"/>
        <w:ind w:firstLine="709"/>
        <w:jc w:val="both"/>
        <w:rPr>
          <w:rFonts w:ascii="Verdana" w:hAnsi="Verdana" w:cs="Arial"/>
          <w:color w:val="000000" w:themeColor="text1"/>
          <w:lang w:eastAsia="es-CO"/>
        </w:rPr>
      </w:pPr>
      <w:r w:rsidRPr="00195E24">
        <w:rPr>
          <w:rFonts w:ascii="Verdana" w:hAnsi="Verdana" w:cs="Arial"/>
          <w:color w:val="000000" w:themeColor="text1"/>
          <w:lang w:val="es-MX"/>
        </w:rPr>
        <w:t>De acuerdo con estos pronunciamientos de la Sala de Consulta y Servicio Civil del Consejo de Estado, la prohibición de la contratación directa también aplica frente a las entidades exceptuadas del E</w:t>
      </w:r>
      <w:r>
        <w:rPr>
          <w:rFonts w:ascii="Verdana" w:hAnsi="Verdana" w:cs="Arial"/>
          <w:color w:val="000000" w:themeColor="text1"/>
          <w:lang w:val="es-MX"/>
        </w:rPr>
        <w:t xml:space="preserve">statuto </w:t>
      </w:r>
      <w:r w:rsidRPr="00195E24">
        <w:rPr>
          <w:rFonts w:ascii="Verdana" w:hAnsi="Verdana" w:cs="Arial"/>
          <w:color w:val="000000" w:themeColor="text1"/>
          <w:lang w:val="es-MX"/>
        </w:rPr>
        <w:t>G</w:t>
      </w:r>
      <w:r>
        <w:rPr>
          <w:rFonts w:ascii="Verdana" w:hAnsi="Verdana" w:cs="Arial"/>
          <w:color w:val="000000" w:themeColor="text1"/>
          <w:lang w:val="es-MX"/>
        </w:rPr>
        <w:t xml:space="preserve">eneral de </w:t>
      </w:r>
      <w:r w:rsidRPr="00195E24">
        <w:rPr>
          <w:rFonts w:ascii="Verdana" w:hAnsi="Verdana" w:cs="Arial"/>
          <w:color w:val="000000" w:themeColor="text1"/>
          <w:lang w:val="es-MX"/>
        </w:rPr>
        <w:t>C</w:t>
      </w:r>
      <w:r>
        <w:rPr>
          <w:rFonts w:ascii="Verdana" w:hAnsi="Verdana" w:cs="Arial"/>
          <w:color w:val="000000" w:themeColor="text1"/>
          <w:lang w:val="es-MX"/>
        </w:rPr>
        <w:t xml:space="preserve">ontratación de la </w:t>
      </w:r>
      <w:r w:rsidRPr="00195E24">
        <w:rPr>
          <w:rFonts w:ascii="Verdana" w:hAnsi="Verdana" w:cs="Arial"/>
          <w:color w:val="000000" w:themeColor="text1"/>
          <w:lang w:val="es-MX"/>
        </w:rPr>
        <w:t>A</w:t>
      </w:r>
      <w:r>
        <w:rPr>
          <w:rFonts w:ascii="Verdana" w:hAnsi="Verdana" w:cs="Arial"/>
          <w:color w:val="000000" w:themeColor="text1"/>
          <w:lang w:val="es-MX"/>
        </w:rPr>
        <w:t xml:space="preserve">dministración </w:t>
      </w:r>
      <w:r w:rsidRPr="00195E24">
        <w:rPr>
          <w:rFonts w:ascii="Verdana" w:hAnsi="Verdana" w:cs="Arial"/>
          <w:color w:val="000000" w:themeColor="text1"/>
          <w:lang w:val="es-MX"/>
        </w:rPr>
        <w:t>P</w:t>
      </w:r>
      <w:r>
        <w:rPr>
          <w:rFonts w:ascii="Verdana" w:hAnsi="Verdana" w:cs="Arial"/>
          <w:color w:val="000000" w:themeColor="text1"/>
          <w:lang w:val="es-MX"/>
        </w:rPr>
        <w:t>ública</w:t>
      </w:r>
      <w:r w:rsidRPr="00195E24">
        <w:rPr>
          <w:rFonts w:ascii="Verdana" w:hAnsi="Verdana" w:cs="Arial"/>
          <w:color w:val="000000" w:themeColor="text1"/>
          <w:lang w:val="es-MX"/>
        </w:rPr>
        <w:t xml:space="preserve"> y que se rigen en materia contractual por el derecho privado. Sin embargo, señaló que algunas de estas entidades, como sucede con las empresas de servicios públicos domiciliarios, los </w:t>
      </w:r>
      <w:r w:rsidRPr="73D21086">
        <w:rPr>
          <w:rFonts w:ascii="Verdana" w:hAnsi="Verdana" w:cs="Arial"/>
          <w:color w:val="000000" w:themeColor="text1"/>
          <w:lang w:val="es-MX"/>
        </w:rPr>
        <w:t>establecimientos de crédito, las sociedades de servicios financieros y las entidades aseguradoras</w:t>
      </w:r>
      <w:r w:rsidRPr="00195E24">
        <w:rPr>
          <w:rFonts w:ascii="Verdana" w:hAnsi="Verdana" w:cs="Arial"/>
          <w:color w:val="000000" w:themeColor="text1"/>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sidRPr="00195E24">
        <w:rPr>
          <w:rFonts w:ascii="Verdana" w:hAnsi="Verdana" w:cs="Arial"/>
          <w:color w:val="000000" w:themeColor="text1"/>
          <w:vertAlign w:val="superscript"/>
          <w:lang w:val="es-MX"/>
        </w:rPr>
        <w:footnoteReference w:id="23"/>
      </w:r>
      <w:r w:rsidRPr="00195E24">
        <w:rPr>
          <w:rFonts w:ascii="Verdana" w:hAnsi="Verdana" w:cs="Arial"/>
          <w:color w:val="000000" w:themeColor="text1"/>
          <w:lang w:val="es-MX"/>
        </w:rPr>
        <w:t>.</w:t>
      </w:r>
      <w:r w:rsidRPr="00195E24">
        <w:rPr>
          <w:rFonts w:ascii="Verdana" w:hAnsi="Verdana" w:cs="Arial"/>
          <w:color w:val="000000" w:themeColor="text1"/>
          <w:lang w:eastAsia="es-CO"/>
        </w:rPr>
        <w:t xml:space="preserve"> </w:t>
      </w:r>
    </w:p>
    <w:p w14:paraId="75270C36" w14:textId="77777777" w:rsidR="00F853CC" w:rsidRPr="00195E24" w:rsidRDefault="00F853CC" w:rsidP="00F853CC">
      <w:pPr>
        <w:spacing w:after="120" w:line="276" w:lineRule="auto"/>
        <w:ind w:firstLine="709"/>
        <w:jc w:val="both"/>
        <w:rPr>
          <w:rFonts w:ascii="Verdana" w:hAnsi="Verdana" w:cs="Arial"/>
          <w:color w:val="000000" w:themeColor="text1"/>
          <w:lang w:eastAsia="es-CO"/>
        </w:rPr>
      </w:pPr>
      <w:r w:rsidRPr="00CE0D82">
        <w:rPr>
          <w:rFonts w:ascii="Verdana" w:hAnsi="Verdana" w:cs="Arial"/>
          <w:color w:val="000000" w:themeColor="text1"/>
          <w:lang w:eastAsia="es-CO"/>
        </w:rPr>
        <w:t>Sin perjuicio de estos pronunciamientos de la Sala de Consulta y Servicio Civil</w:t>
      </w:r>
      <w:r w:rsidRPr="00CE0D82">
        <w:rPr>
          <w:rFonts w:ascii="Verdana" w:hAnsi="Verdana" w:cs="Arial"/>
          <w:color w:val="000000" w:themeColor="text1"/>
          <w:lang w:val="es-MX"/>
        </w:rPr>
        <w:t xml:space="preserve">, como la ha señalado esa misma Corporación, la restricción prevista en la Ley 996 de 2005 </w:t>
      </w:r>
      <w:r w:rsidRPr="00CE0D82">
        <w:rPr>
          <w:rFonts w:ascii="Verdana" w:hAnsi="Verdana" w:cs="Arial"/>
          <w:bCs/>
          <w:color w:val="000000" w:themeColor="text1"/>
          <w:lang w:val="es-MX" w:eastAsia="x-none"/>
        </w:rPr>
        <w:t xml:space="preserve">cobija a cualquier entidad pública independiente del régimen jurídico, que pueda mediante la contratación directa romper el equilibrio entre los candidatos en desarrollo de las elecciones presidenciales. </w:t>
      </w:r>
    </w:p>
    <w:p w14:paraId="760C711E" w14:textId="77777777" w:rsidR="00F853CC" w:rsidRPr="00CE0712" w:rsidRDefault="00F853CC" w:rsidP="00F853CC">
      <w:pPr>
        <w:spacing w:after="120" w:line="276" w:lineRule="auto"/>
        <w:ind w:firstLine="709"/>
        <w:jc w:val="both"/>
        <w:rPr>
          <w:rFonts w:ascii="Verdana" w:hAnsi="Verdana" w:cs="Arial"/>
          <w:bCs/>
          <w:color w:val="000000" w:themeColor="text1"/>
          <w:lang w:val="es-MX" w:eastAsia="x-none"/>
        </w:rPr>
      </w:pPr>
      <w:r w:rsidRPr="73D21086">
        <w:rPr>
          <w:rFonts w:ascii="Verdana" w:hAnsi="Verdana" w:cs="Arial"/>
          <w:color w:val="000000" w:themeColor="text1"/>
          <w:lang w:val="es-MX"/>
        </w:rPr>
        <w:t xml:space="preserve">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puede presentarse tanto en la contratación regulada por la Ley 80 de 1993 como en la regida por normas especiales. </w:t>
      </w:r>
    </w:p>
    <w:p w14:paraId="565C95B1" w14:textId="77777777" w:rsidR="00F853CC" w:rsidRDefault="00F853CC" w:rsidP="00F853CC">
      <w:pPr>
        <w:spacing w:after="120" w:line="276" w:lineRule="auto"/>
        <w:ind w:firstLine="709"/>
        <w:jc w:val="both"/>
        <w:rPr>
          <w:rFonts w:ascii="Verdana" w:hAnsi="Verdana" w:cs="Arial"/>
          <w:bCs/>
          <w:lang w:eastAsia="x-none"/>
        </w:rPr>
      </w:pPr>
      <w:r w:rsidRPr="00E36918">
        <w:rPr>
          <w:rFonts w:ascii="Verdana" w:eastAsia="Times New Roman" w:hAnsi="Verdana" w:cs="Arial"/>
          <w:bCs/>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w:t>
      </w:r>
      <w:proofErr w:type="spellStart"/>
      <w:r w:rsidRPr="00E36918">
        <w:rPr>
          <w:rFonts w:ascii="Verdana" w:eastAsia="Times New Roman" w:hAnsi="Verdana" w:cs="Arial"/>
          <w:bCs/>
          <w:lang w:val="es-ES" w:eastAsia="es-CO" w:bidi="es-ES"/>
        </w:rPr>
        <w:t>ii</w:t>
      </w:r>
      <w:proofErr w:type="spellEnd"/>
      <w:r w:rsidRPr="00E36918">
        <w:rPr>
          <w:rFonts w:ascii="Verdana" w:eastAsia="Times New Roman" w:hAnsi="Verdana" w:cs="Arial"/>
          <w:bCs/>
          <w:lang w:val="es-ES" w:eastAsia="es-CO" w:bidi="es-ES"/>
        </w:rPr>
        <w:t xml:space="preserve">) los contratos de crédito público; </w:t>
      </w:r>
      <w:proofErr w:type="spellStart"/>
      <w:r w:rsidRPr="00E36918">
        <w:rPr>
          <w:rFonts w:ascii="Verdana" w:eastAsia="Times New Roman" w:hAnsi="Verdana" w:cs="Arial"/>
          <w:bCs/>
          <w:lang w:val="es-ES" w:eastAsia="es-CO" w:bidi="es-ES"/>
        </w:rPr>
        <w:t>iii</w:t>
      </w:r>
      <w:proofErr w:type="spellEnd"/>
      <w:r w:rsidRPr="00E36918">
        <w:rPr>
          <w:rFonts w:ascii="Verdana" w:eastAsia="Times New Roman" w:hAnsi="Verdana" w:cs="Arial"/>
          <w:bCs/>
          <w:lang w:val="es-ES" w:eastAsia="es-CO" w:bidi="es-ES"/>
        </w:rPr>
        <w:t xml:space="preserve">) los requeridos para cubrir las emergencias educativas, sanitarias y desastres; </w:t>
      </w:r>
      <w:proofErr w:type="spellStart"/>
      <w:r w:rsidRPr="00E36918">
        <w:rPr>
          <w:rFonts w:ascii="Verdana" w:eastAsia="Times New Roman" w:hAnsi="Verdana" w:cs="Arial"/>
          <w:bCs/>
          <w:lang w:val="es-ES" w:eastAsia="es-CO" w:bidi="es-ES"/>
        </w:rPr>
        <w:t>iv</w:t>
      </w:r>
      <w:proofErr w:type="spellEnd"/>
      <w:r w:rsidRPr="00E36918">
        <w:rPr>
          <w:rFonts w:ascii="Verdana" w:eastAsia="Times New Roman" w:hAnsi="Verdana" w:cs="Arial"/>
          <w:bCs/>
          <w:lang w:val="es-ES" w:eastAsia="es-CO" w:bidi="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E36918">
        <w:rPr>
          <w:rFonts w:ascii="Verdana" w:hAnsi="Verdana" w:cs="Arial"/>
          <w:bCs/>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p>
    <w:p w14:paraId="38E782A4" w14:textId="77777777" w:rsidR="00F853CC" w:rsidRDefault="00F853CC" w:rsidP="00F853CC">
      <w:pPr>
        <w:spacing w:after="120" w:line="276" w:lineRule="auto"/>
        <w:ind w:firstLine="709"/>
        <w:jc w:val="both"/>
        <w:rPr>
          <w:rFonts w:ascii="Verdana" w:hAnsi="Verdana" w:cs="Arial"/>
          <w:bCs/>
          <w:lang w:val="es-MX" w:eastAsia="x-none"/>
        </w:rPr>
      </w:pPr>
      <w:r w:rsidRPr="00F8199A">
        <w:rPr>
          <w:rFonts w:ascii="Verdana" w:hAnsi="Verdana" w:cs="Arial"/>
          <w:bCs/>
          <w:lang w:val="es-MX" w:eastAsia="x-none"/>
        </w:rPr>
        <w:t xml:space="preserve">En esta labor es importante tener en cuenta, como lo anotó la Corte Constitucional, en Sentencia C-1153 de noviembre 11 de 2005 </w:t>
      </w:r>
      <w:bookmarkStart w:id="18" w:name="_Hlk74309042"/>
      <w:r w:rsidRPr="00F8199A">
        <w:rPr>
          <w:rFonts w:ascii="Verdana" w:hAnsi="Verdana" w:cs="Arial"/>
          <w:bCs/>
          <w:lang w:val="es-MX" w:eastAsia="x-none"/>
        </w:rPr>
        <w:t xml:space="preserve">que </w:t>
      </w:r>
      <w:r>
        <w:rPr>
          <w:rFonts w:ascii="Verdana" w:hAnsi="Verdana" w:cs="Arial"/>
          <w:bCs/>
          <w:lang w:val="es-MX" w:eastAsia="x-none"/>
        </w:rPr>
        <w:t>“</w:t>
      </w:r>
      <w:bookmarkEnd w:id="18"/>
      <w:r w:rsidRPr="00F8199A">
        <w:rPr>
          <w:rFonts w:ascii="Verdana" w:hAnsi="Verdana" w:cs="Arial"/>
          <w:bCs/>
          <w:lang w:val="es-MX" w:eastAsia="x-none"/>
        </w:rPr>
        <w:t xml:space="preserve">si bien la limitación garantiza la igualdad de condiciones, también es necesario que tal limitación que pretende la igualdad </w:t>
      </w:r>
      <w:bookmarkStart w:id="19" w:name="_Hlk75768308"/>
      <w:r w:rsidRPr="00F8199A">
        <w:rPr>
          <w:rFonts w:ascii="Verdana" w:hAnsi="Verdana" w:cs="Arial"/>
          <w:bCs/>
          <w:lang w:val="es-MX" w:eastAsia="x-none"/>
        </w:rPr>
        <w:t>no termine yendo en detrimento de intereses públicos, cuya garantía está en cabeza del ejecutivo, como son los inmersos en las excepciones para la prohibición de contratación</w:t>
      </w:r>
      <w:r>
        <w:rPr>
          <w:rFonts w:ascii="Verdana" w:hAnsi="Verdana" w:cs="Arial"/>
          <w:bCs/>
          <w:lang w:val="es-MX" w:eastAsia="x-none"/>
        </w:rPr>
        <w:t>”</w:t>
      </w:r>
      <w:r w:rsidRPr="00F8199A">
        <w:rPr>
          <w:rFonts w:ascii="Verdana" w:hAnsi="Verdana" w:cs="Arial"/>
          <w:vertAlign w:val="superscript"/>
          <w:lang w:val="es-MX"/>
        </w:rPr>
        <w:footnoteReference w:id="24"/>
      </w:r>
      <w:r w:rsidRPr="00F8199A">
        <w:rPr>
          <w:rFonts w:ascii="Verdana"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bookmarkEnd w:id="19"/>
    </w:p>
    <w:p w14:paraId="248B912A" w14:textId="77777777" w:rsidR="00F853CC" w:rsidRPr="0004207F" w:rsidRDefault="00F853CC" w:rsidP="00F853CC">
      <w:pPr>
        <w:shd w:val="clear" w:color="auto" w:fill="FFFFFF" w:themeFill="background1"/>
        <w:spacing w:after="120" w:line="276" w:lineRule="auto"/>
        <w:ind w:firstLine="709"/>
        <w:jc w:val="both"/>
        <w:rPr>
          <w:rFonts w:ascii="Verdana" w:hAnsi="Verdana" w:cs="Arial"/>
          <w:lang w:val="es-ES" w:eastAsia="es-CO"/>
        </w:rPr>
      </w:pPr>
      <w:r w:rsidRPr="2E79A5E2">
        <w:rPr>
          <w:rFonts w:ascii="Verdana" w:hAnsi="Verdana" w:cs="Arial"/>
          <w:lang w:val="es-ES" w:eastAsia="es-CO"/>
        </w:rPr>
        <w:t xml:space="preserve">A su vez, la Corte Constitucional, al analizar la constitucionalidad de la Ley de Garantías Electorales, consideró que las prohibiciones consagradas en los artículos 32 y 33 de la ley mencionada no pueden ir en detrimento de intereses públicos. Por lo anterior, la Alta Corte consideró que las excepciones para la prohibición de contratación se encontraban justificadas, declarando su </w:t>
      </w:r>
      <w:proofErr w:type="spellStart"/>
      <w:r w:rsidRPr="2E79A5E2">
        <w:rPr>
          <w:rFonts w:ascii="Verdana" w:hAnsi="Verdana" w:cs="Arial"/>
          <w:lang w:val="es-ES" w:eastAsia="es-CO"/>
        </w:rPr>
        <w:t>exequibilidad</w:t>
      </w:r>
      <w:proofErr w:type="spellEnd"/>
      <w:r w:rsidRPr="2E79A5E2">
        <w:rPr>
          <w:rFonts w:ascii="Verdana" w:hAnsi="Verdana" w:cs="Arial"/>
          <w:lang w:val="es-ES" w:eastAsia="es-CO"/>
        </w:rPr>
        <w:t>. Así, por ejemplo, la Corte Constitucional explicó que “</w:t>
      </w:r>
      <w:r>
        <w:rPr>
          <w:rFonts w:ascii="Verdana" w:hAnsi="Verdana" w:cs="Arial"/>
          <w:lang w:val="es-ES" w:eastAsia="es-CO"/>
        </w:rPr>
        <w:t>(…)</w:t>
      </w:r>
      <w:r w:rsidRPr="2E79A5E2">
        <w:rPr>
          <w:rFonts w:ascii="Verdana" w:hAnsi="Verdana" w:cs="Arial"/>
          <w:lang w:val="es-ES" w:eastAsia="es-CO"/>
        </w:rPr>
        <w:t xml:space="preserve"> las excepciones de limitación protegen diversos tipos de urgencias de defensa, salud, educación, infraestructura vial y de servicios públicos y ecológicas tienden a no limitar desproporcionadamente la acción del Estado en el cumplimiento de sus fines, en procura de la igualdad entre candidatos como garantía electoral”</w:t>
      </w:r>
      <w:r w:rsidRPr="2E79A5E2">
        <w:rPr>
          <w:rStyle w:val="Refdenotaalpie"/>
          <w:rFonts w:ascii="Verdana" w:hAnsi="Verdana" w:cs="Arial"/>
          <w:lang w:val="es-ES" w:eastAsia="es-CO"/>
        </w:rPr>
        <w:footnoteReference w:id="25"/>
      </w:r>
      <w:r w:rsidRPr="2E79A5E2">
        <w:rPr>
          <w:rFonts w:ascii="Verdana" w:hAnsi="Verdana" w:cs="Arial"/>
          <w:lang w:val="es-ES" w:eastAsia="es-CO"/>
        </w:rPr>
        <w:t xml:space="preserve">. </w:t>
      </w:r>
    </w:p>
    <w:p w14:paraId="194CCBF5" w14:textId="77777777" w:rsidR="00F853CC" w:rsidRPr="0004207F" w:rsidRDefault="00F853CC" w:rsidP="00F853CC">
      <w:pPr>
        <w:spacing w:after="120" w:line="276" w:lineRule="auto"/>
        <w:ind w:firstLine="709"/>
        <w:jc w:val="both"/>
        <w:rPr>
          <w:rFonts w:ascii="Verdana" w:hAnsi="Verdana" w:cs="Arial"/>
          <w:lang w:val="es-ES" w:eastAsia="es-CO"/>
        </w:rPr>
      </w:pPr>
      <w:r>
        <w:rPr>
          <w:rFonts w:ascii="Verdana" w:hAnsi="Verdana" w:cs="Arial"/>
          <w:bCs/>
          <w:lang w:val="es-MX" w:eastAsia="x-none"/>
        </w:rPr>
        <w:t>Igualmente,</w:t>
      </w:r>
      <w:r w:rsidRPr="0004207F">
        <w:rPr>
          <w:rFonts w:ascii="Verdana" w:hAnsi="Verdana" w:cs="Arial"/>
          <w:bCs/>
          <w:lang w:val="es-MX" w:eastAsia="x-none"/>
        </w:rPr>
        <w:t xml:space="preserve"> </w:t>
      </w:r>
      <w:r>
        <w:rPr>
          <w:rFonts w:ascii="Verdana" w:hAnsi="Verdana" w:cs="Arial"/>
          <w:bCs/>
          <w:lang w:val="es-MX" w:eastAsia="x-none"/>
        </w:rPr>
        <w:t>l</w:t>
      </w:r>
      <w:r w:rsidRPr="0004207F">
        <w:rPr>
          <w:rFonts w:ascii="Verdana" w:hAnsi="Verdana" w:cs="Arial"/>
          <w:bCs/>
          <w:lang w:val="es-MX" w:eastAsia="x-none"/>
        </w:rPr>
        <w:t>a Sala de Consulta y Servicio Civil del Consejo de Estado, en Concepto del 4 de febrero de 2010, explica que “</w:t>
      </w:r>
      <w:r>
        <w:rPr>
          <w:rFonts w:ascii="Verdana" w:hAnsi="Verdana" w:cs="Arial"/>
          <w:bCs/>
          <w:lang w:val="es-MX" w:eastAsia="x-none"/>
        </w:rPr>
        <w:t>(…)</w:t>
      </w:r>
      <w:r w:rsidRPr="0004207F">
        <w:rPr>
          <w:rFonts w:ascii="Verdana" w:hAnsi="Verdana" w:cs="Arial"/>
          <w:bCs/>
          <w:lang w:val="es-MX" w:eastAsia="x-none"/>
        </w:rPr>
        <w:t xml:space="preserve"> Las excepciones establecidas en los artículos 32 y 33 en comento, guardan relación, exclusivamente, con algunos servicios públicos que por su naturaleza no admiten postergaciones en la atención de sus necesidades de personal, bienes y servicios </w:t>
      </w:r>
      <w:r>
        <w:rPr>
          <w:rFonts w:ascii="Verdana" w:hAnsi="Verdana" w:cs="Arial"/>
          <w:bCs/>
          <w:lang w:val="es-MX" w:eastAsia="x-none"/>
        </w:rPr>
        <w:t>(…)</w:t>
      </w:r>
      <w:r w:rsidRPr="0004207F">
        <w:rPr>
          <w:rFonts w:ascii="Verdana" w:hAnsi="Verdana" w:cs="Arial"/>
          <w:bCs/>
          <w:lang w:val="es-MX" w:eastAsia="x-none"/>
        </w:rPr>
        <w:t>”</w:t>
      </w:r>
      <w:r w:rsidRPr="0004207F">
        <w:rPr>
          <w:rStyle w:val="Refdenotaalpie"/>
          <w:rFonts w:ascii="Verdana" w:hAnsi="Verdana" w:cs="Arial"/>
          <w:lang w:val="es-ES_tradnl" w:eastAsia="es-CO"/>
        </w:rPr>
        <w:footnoteReference w:id="26"/>
      </w:r>
      <w:r w:rsidRPr="0004207F">
        <w:rPr>
          <w:rFonts w:ascii="Verdana" w:hAnsi="Verdana" w:cs="Arial"/>
          <w:bCs/>
          <w:lang w:val="es-MX" w:eastAsia="x-none"/>
        </w:rPr>
        <w:t>.</w:t>
      </w:r>
    </w:p>
    <w:p w14:paraId="3239255C" w14:textId="77777777" w:rsidR="00F853CC" w:rsidRDefault="00F853CC" w:rsidP="00F853CC">
      <w:pPr>
        <w:shd w:val="clear" w:color="auto" w:fill="FFFFFF"/>
        <w:spacing w:after="120" w:line="276" w:lineRule="auto"/>
        <w:ind w:firstLine="709"/>
        <w:jc w:val="both"/>
        <w:rPr>
          <w:rFonts w:ascii="Verdana" w:hAnsi="Verdana" w:cs="Arial"/>
          <w:bCs/>
          <w:lang w:val="es-ES_tradnl"/>
        </w:rPr>
      </w:pPr>
      <w:r w:rsidRPr="0004207F">
        <w:rPr>
          <w:rFonts w:ascii="Verdana" w:hAnsi="Verdana" w:cs="Arial"/>
          <w:bCs/>
          <w:lang w:val="es-ES_tradnl"/>
        </w:rPr>
        <w:t>Por tanto, las excepciones a la prohibición contenida en el inciso segundo de artículo 33 de la ley de garantías electorales tienen por finalidad garantizar la prestación ininterrumpida de algunos servicios públicos que, dada su importancia en el orden interno, se verían irrazonablemente afectados por la restricción explicada. Lo anterior implica que las excepciones al artículo 33 en comento deben interpretarse y aplicarse de manera restrictiva. En otras palabras, que no sería factible hacer interpretaciones extensivas para incluir otros supuestos de hecho similares a las circunstancias previstas en dicho artículo, pues el carácter taxativo implica que solo en los eventos consagrados expresamente en la norma permiten que ciertas entidades estatales se vean exceptuadas de la prohibición.</w:t>
      </w:r>
    </w:p>
    <w:p w14:paraId="555B0C78" w14:textId="77777777" w:rsidR="00F853CC" w:rsidRPr="006177F8" w:rsidRDefault="00F853CC" w:rsidP="00F853CC">
      <w:pPr>
        <w:spacing w:after="120" w:line="276" w:lineRule="auto"/>
        <w:ind w:firstLine="708"/>
        <w:jc w:val="both"/>
        <w:rPr>
          <w:rFonts w:ascii="Verdana" w:eastAsia="Arial" w:hAnsi="Verdana" w:cs="Arial"/>
          <w:lang w:val="es-ES" w:eastAsia="es-ES" w:bidi="es-ES"/>
        </w:rPr>
      </w:pPr>
      <w:r>
        <w:rPr>
          <w:rFonts w:ascii="Verdana" w:hAnsi="Verdana" w:cs="Arial"/>
          <w:bCs/>
          <w:lang w:val="es-ES_tradnl"/>
        </w:rPr>
        <w:t xml:space="preserve">Así mismo, procede la inaplicación de la restricción contenida en el artículo 33 de la Ley 996 de 2005 en los eventos en que las </w:t>
      </w:r>
      <w:r w:rsidRPr="006177F8">
        <w:rPr>
          <w:rFonts w:ascii="Verdana" w:eastAsia="Arial" w:hAnsi="Verdana" w:cs="Arial"/>
          <w:lang w:val="es-ES" w:eastAsia="es-ES" w:bidi="es-ES"/>
        </w:rPr>
        <w:t>decisiones judiciales</w:t>
      </w:r>
      <w:r>
        <w:rPr>
          <w:rFonts w:ascii="Verdana" w:eastAsia="Arial" w:hAnsi="Verdana" w:cs="Arial"/>
          <w:lang w:val="es-ES" w:eastAsia="es-ES" w:bidi="es-ES"/>
        </w:rPr>
        <w:t xml:space="preserve"> así lo indiquen; lo anterior se sustenta en la fuerza vinculante de aquéllas lo cual deviene en su cumplimiento </w:t>
      </w:r>
      <w:r w:rsidRPr="006177F8">
        <w:rPr>
          <w:rFonts w:ascii="Verdana" w:eastAsia="Arial" w:hAnsi="Verdana" w:cs="Arial"/>
          <w:lang w:val="es-ES" w:eastAsia="es-ES" w:bidi="es-ES"/>
        </w:rPr>
        <w:t>en virtud del principio de supremacía constitucional y del derecho fundamental de acceso a la administraci</w:t>
      </w:r>
      <w:r>
        <w:rPr>
          <w:rFonts w:ascii="Verdana" w:eastAsia="Arial" w:hAnsi="Verdana" w:cs="Arial"/>
          <w:lang w:val="es-ES" w:eastAsia="es-ES" w:bidi="es-ES"/>
        </w:rPr>
        <w:t xml:space="preserve">ón de justicia. La celebración de un contrato de forma directa o de un convenio interadministrativo para la ejecución de recursos públicos </w:t>
      </w:r>
      <w:r w:rsidRPr="006177F8">
        <w:rPr>
          <w:rFonts w:ascii="Verdana" w:eastAsia="Arial" w:hAnsi="Verdana" w:cs="Arial"/>
          <w:lang w:val="es-ES" w:eastAsia="es-ES" w:bidi="es-ES"/>
        </w:rPr>
        <w:t>no obedece a una decisión discrecional de la administración, sino al cumplimiento de un mandato judicial, lo cual la diferencia de la contratación ordinaria y lo pone en un plano de obligatoriedad que no puede desconocerse por las restricciones de la Ley de Garantías.</w:t>
      </w:r>
    </w:p>
    <w:p w14:paraId="20FA2D77" w14:textId="77777777" w:rsidR="00F853CC" w:rsidRPr="006177F8" w:rsidRDefault="00F853CC" w:rsidP="00F853CC">
      <w:pPr>
        <w:spacing w:after="0" w:line="276" w:lineRule="auto"/>
        <w:ind w:firstLine="709"/>
        <w:jc w:val="both"/>
        <w:rPr>
          <w:rFonts w:ascii="Verdana" w:eastAsia="Arial" w:hAnsi="Verdana" w:cs="Arial"/>
          <w:lang w:val="es-ES" w:eastAsia="es-ES" w:bidi="es-ES"/>
        </w:rPr>
      </w:pPr>
      <w:r w:rsidRPr="006177F8">
        <w:rPr>
          <w:rFonts w:ascii="Verdana" w:eastAsia="Arial" w:hAnsi="Verdana" w:cs="Arial"/>
          <w:lang w:val="es-ES" w:eastAsia="es-ES" w:bidi="es-ES"/>
        </w:rPr>
        <w:t xml:space="preserve">En este asunto, es importante resaltar que la Sala de Consulta y Servicio Civil del Consejo de Estado </w:t>
      </w:r>
      <w:r>
        <w:rPr>
          <w:rFonts w:ascii="Verdana" w:eastAsia="Arial" w:hAnsi="Verdana" w:cs="Arial"/>
          <w:lang w:val="es-ES" w:eastAsia="es-ES" w:bidi="es-ES"/>
        </w:rPr>
        <w:t xml:space="preserve">mediante </w:t>
      </w:r>
      <w:r w:rsidRPr="00CD734E">
        <w:rPr>
          <w:rFonts w:ascii="Verdana" w:eastAsia="Arial" w:hAnsi="Verdana" w:cs="Arial"/>
          <w:lang w:val="es-ES" w:eastAsia="es-ES" w:bidi="es-ES"/>
        </w:rPr>
        <w:t>Concepto</w:t>
      </w:r>
      <w:r>
        <w:rPr>
          <w:rFonts w:ascii="Verdana" w:eastAsia="Arial" w:hAnsi="Verdana" w:cs="Arial"/>
          <w:lang w:val="es-ES" w:eastAsia="es-ES" w:bidi="es-ES"/>
        </w:rPr>
        <w:t xml:space="preserve"> con Radicado</w:t>
      </w:r>
      <w:r w:rsidRPr="00CD734E">
        <w:rPr>
          <w:rFonts w:ascii="Verdana" w:eastAsia="Arial" w:hAnsi="Verdana" w:cs="Arial"/>
          <w:lang w:val="es-ES" w:eastAsia="es-ES" w:bidi="es-ES"/>
        </w:rPr>
        <w:t xml:space="preserve"> 1863 del 15 de noviembre de 2007 </w:t>
      </w:r>
      <w:r w:rsidRPr="006177F8">
        <w:rPr>
          <w:rFonts w:ascii="Verdana" w:eastAsia="Arial" w:hAnsi="Verdana" w:cs="Arial"/>
          <w:lang w:val="es-ES" w:eastAsia="es-ES" w:bidi="es-ES"/>
        </w:rPr>
        <w:t xml:space="preserve">se ha pronunciado en el sentido de que </w:t>
      </w:r>
      <w:bookmarkStart w:id="20" w:name="_Hlk78820889"/>
      <w:r w:rsidRPr="006177F8">
        <w:rPr>
          <w:rFonts w:ascii="Verdana" w:eastAsia="Arial" w:hAnsi="Verdana" w:cs="Arial"/>
          <w:lang w:val="es-ES" w:eastAsia="es-ES" w:bidi="es-ES"/>
        </w:rPr>
        <w:t>no se les aplica las restricciones contempladas en Ley de Garantías Electorales que deben celebrarse en virtud de un fallo judicial. Esto</w:t>
      </w:r>
      <w:r>
        <w:rPr>
          <w:rFonts w:ascii="Verdana" w:eastAsia="Arial" w:hAnsi="Verdana" w:cs="Arial"/>
          <w:lang w:val="es-ES" w:eastAsia="es-ES" w:bidi="es-ES"/>
        </w:rPr>
        <w:t>,</w:t>
      </w:r>
      <w:r w:rsidRPr="006177F8">
        <w:rPr>
          <w:rFonts w:ascii="Verdana" w:eastAsia="Arial" w:hAnsi="Verdana" w:cs="Arial"/>
          <w:lang w:val="es-ES" w:eastAsia="es-ES" w:bidi="es-ES"/>
        </w:rPr>
        <w:t xml:space="preserve">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bookmarkEnd w:id="20"/>
      <w:r w:rsidRPr="006177F8">
        <w:rPr>
          <w:rFonts w:ascii="Verdana" w:eastAsia="Arial" w:hAnsi="Verdana" w:cs="Arial"/>
          <w:vertAlign w:val="superscript"/>
          <w:lang w:val="es-ES" w:eastAsia="es-ES" w:bidi="es-ES"/>
        </w:rPr>
        <w:footnoteReference w:id="27"/>
      </w:r>
      <w:r w:rsidRPr="006177F8">
        <w:rPr>
          <w:rFonts w:ascii="Verdana" w:eastAsia="Arial" w:hAnsi="Verdana" w:cs="Arial"/>
          <w:lang w:val="es-ES" w:eastAsia="es-ES" w:bidi="es-ES"/>
        </w:rPr>
        <w:t>. Al respecto, dicho Concepto expresa:</w:t>
      </w:r>
    </w:p>
    <w:p w14:paraId="38AEE7DA" w14:textId="77777777" w:rsidR="00F853CC" w:rsidRPr="006177F8" w:rsidRDefault="00F853CC" w:rsidP="00F853CC">
      <w:pPr>
        <w:spacing w:after="0" w:line="276" w:lineRule="auto"/>
        <w:ind w:firstLine="709"/>
        <w:jc w:val="both"/>
        <w:rPr>
          <w:rFonts w:ascii="Verdana" w:eastAsia="Arial" w:hAnsi="Verdana" w:cs="Arial"/>
          <w:lang w:val="es-ES" w:eastAsia="es-ES" w:bidi="es-ES"/>
        </w:rPr>
      </w:pPr>
    </w:p>
    <w:p w14:paraId="290163D3" w14:textId="77777777" w:rsidR="00F853CC" w:rsidRPr="006177F8" w:rsidRDefault="00F853CC" w:rsidP="00F853CC">
      <w:pPr>
        <w:spacing w:after="0" w:line="240" w:lineRule="auto"/>
        <w:ind w:left="709" w:right="709"/>
        <w:jc w:val="both"/>
        <w:rPr>
          <w:rFonts w:ascii="Verdana" w:eastAsia="Arial" w:hAnsi="Verdana" w:cs="Arial"/>
          <w:sz w:val="20"/>
          <w:lang w:eastAsia="es-ES" w:bidi="es-ES"/>
        </w:rPr>
      </w:pPr>
      <w:r>
        <w:rPr>
          <w:rFonts w:ascii="Verdana" w:eastAsia="Arial" w:hAnsi="Verdana" w:cs="Arial"/>
          <w:sz w:val="20"/>
          <w:lang w:val="es-ES" w:eastAsia="es-ES" w:bidi="es-ES"/>
        </w:rPr>
        <w:t>“</w:t>
      </w:r>
      <w:r w:rsidRPr="006177F8">
        <w:rPr>
          <w:rFonts w:ascii="Verdana" w:eastAsia="Arial" w:hAnsi="Verdana" w:cs="Arial"/>
          <w:sz w:val="20"/>
          <w:lang w:val="es-ES" w:eastAsia="es-ES" w:bidi="es-ES"/>
        </w:rPr>
        <w:t xml:space="preserve">[…] considera </w:t>
      </w:r>
      <w:r w:rsidRPr="006177F8">
        <w:rPr>
          <w:rFonts w:ascii="Verdana" w:eastAsia="Arial" w:hAnsi="Verdana" w:cs="Arial"/>
          <w:sz w:val="20"/>
          <w:lang w:eastAsia="es-ES" w:bidi="es-ES"/>
        </w:rPr>
        <w:t>la Sala que los servidores públicos del nivel nacional o territorial que en cumplimiento de una sentencia judicial o de una providencia proferida en una acción popular o de tutela, deban contratar, ejecutar obras, efectuar gastos e incluso hacer algún reintegro de personal durante los cuatro meses anteriores a las elecciones para cargos de elección popular general o de Presidente, según el caso, </w:t>
      </w:r>
      <w:r w:rsidRPr="006177F8">
        <w:rPr>
          <w:rFonts w:ascii="Verdana" w:eastAsia="Arial" w:hAnsi="Verdana" w:cs="Arial"/>
          <w:b/>
          <w:bCs/>
          <w:sz w:val="20"/>
          <w:lang w:eastAsia="es-ES" w:bidi="es-ES"/>
        </w:rPr>
        <w:t>no violan la ley de garantías electorales</w:t>
      </w:r>
      <w:r w:rsidRPr="006177F8">
        <w:rPr>
          <w:rFonts w:ascii="Verdana" w:eastAsia="Arial" w:hAnsi="Verdana" w:cs="Arial"/>
          <w:sz w:val="20"/>
          <w:lang w:eastAsia="es-ES" w:bidi="es-ES"/>
        </w:rPr>
        <w:t>, por las razones de orden constitucional y legal que se explican a continuación.</w:t>
      </w:r>
    </w:p>
    <w:p w14:paraId="355F5006" w14:textId="77777777" w:rsidR="00F853CC" w:rsidRDefault="00F853CC" w:rsidP="00F853CC">
      <w:pPr>
        <w:spacing w:after="0" w:line="240" w:lineRule="auto"/>
        <w:ind w:left="709" w:right="709"/>
        <w:jc w:val="both"/>
        <w:rPr>
          <w:rFonts w:ascii="Verdana" w:eastAsia="Arial" w:hAnsi="Verdana" w:cs="Arial"/>
          <w:sz w:val="20"/>
          <w:lang w:eastAsia="es-ES" w:bidi="es-ES"/>
        </w:rPr>
      </w:pPr>
    </w:p>
    <w:p w14:paraId="248DBCC4" w14:textId="77777777" w:rsidR="00F853CC" w:rsidRPr="006177F8" w:rsidRDefault="00F853CC" w:rsidP="00F853CC">
      <w:pPr>
        <w:spacing w:after="0" w:line="240" w:lineRule="auto"/>
        <w:ind w:left="709" w:right="709"/>
        <w:jc w:val="both"/>
        <w:rPr>
          <w:rFonts w:ascii="Verdana" w:eastAsia="Arial" w:hAnsi="Verdana" w:cs="Arial"/>
          <w:sz w:val="20"/>
          <w:lang w:eastAsia="es-ES" w:bidi="es-ES"/>
        </w:rPr>
      </w:pPr>
      <w:r w:rsidRPr="006177F8">
        <w:rPr>
          <w:rFonts w:ascii="Verdana" w:eastAsia="Arial" w:hAnsi="Verdana" w:cs="Arial"/>
          <w:sz w:val="20"/>
          <w:lang w:eastAsia="es-ES" w:bidi="es-ES"/>
        </w:rPr>
        <w:t>Con fundamento en la autonomía del poder judicial derivada de la separación de poderes y del derecho al acceso a la administración de justicia que tienen todos los ciudadanos, las decisiones de los jueces, como ya se expuso en el acápite anterior, son de obligatorio cumplimiento para la administración y los particulares en los términos y condiciones previstos en cada providencia.</w:t>
      </w:r>
    </w:p>
    <w:p w14:paraId="6C8F62B9" w14:textId="77777777" w:rsidR="00F853CC" w:rsidRDefault="00F853CC" w:rsidP="00F853CC">
      <w:pPr>
        <w:spacing w:after="0" w:line="240" w:lineRule="auto"/>
        <w:ind w:left="709" w:right="709"/>
        <w:jc w:val="both"/>
        <w:rPr>
          <w:rFonts w:ascii="Verdana" w:eastAsia="Arial" w:hAnsi="Verdana" w:cs="Arial"/>
          <w:sz w:val="20"/>
          <w:lang w:eastAsia="es-ES" w:bidi="es-ES"/>
        </w:rPr>
      </w:pPr>
    </w:p>
    <w:p w14:paraId="37F8AF96" w14:textId="435BDEBD" w:rsidR="00F853CC" w:rsidRDefault="00F853CC" w:rsidP="000466F5">
      <w:pPr>
        <w:spacing w:after="0" w:line="240" w:lineRule="auto"/>
        <w:ind w:left="709" w:right="709"/>
        <w:jc w:val="both"/>
        <w:rPr>
          <w:rFonts w:ascii="Verdana" w:eastAsia="Arial" w:hAnsi="Verdana" w:cs="Arial"/>
          <w:sz w:val="20"/>
          <w:lang w:eastAsia="es-ES" w:bidi="es-ES"/>
        </w:rPr>
      </w:pPr>
      <w:r w:rsidRPr="006177F8">
        <w:rPr>
          <w:rFonts w:ascii="Verdana" w:eastAsia="Arial" w:hAnsi="Verdana" w:cs="Arial"/>
          <w:sz w:val="20"/>
          <w:lang w:eastAsia="es-ES" w:bidi="es-ES"/>
        </w:rPr>
        <w:t>Los actos de ejecución que la administración deba expedir o realizar para dar cabal cumplimiento a lo ordenado en las providencias judiciales, se fundamentan en decisiones desprovistas </w:t>
      </w:r>
      <w:r w:rsidRPr="006177F8">
        <w:rPr>
          <w:rFonts w:ascii="Verdana" w:eastAsia="Arial" w:hAnsi="Verdana" w:cs="Arial"/>
          <w:i/>
          <w:iCs/>
          <w:sz w:val="20"/>
          <w:lang w:eastAsia="es-ES" w:bidi="es-ES"/>
        </w:rPr>
        <w:t>per se </w:t>
      </w:r>
      <w:r w:rsidRPr="006177F8">
        <w:rPr>
          <w:rFonts w:ascii="Verdana" w:eastAsia="Arial" w:hAnsi="Verdana" w:cs="Arial"/>
          <w:sz w:val="20"/>
          <w:lang w:eastAsia="es-ES" w:bidi="es-ES"/>
        </w:rPr>
        <w:t>de intereses proselitistas, pues los funcionarios investidos de jurisdicción, al impartir justicia sólo están sometidos al imperio de la Constitución y de la ley (artículo 230 C.P.), de manera que sus fallos no son fruto de las presiones propias de épocas de campaña electoral, ni comprometen o amenazan la transparencia de la actividad administrativa tutelada en la ley de </w:t>
      </w:r>
      <w:hyperlink r:id="rId12" w:anchor="0" w:history="1">
        <w:r w:rsidRPr="006177F8">
          <w:rPr>
            <w:rStyle w:val="Hipervnculo"/>
            <w:rFonts w:ascii="Verdana" w:eastAsia="Arial" w:hAnsi="Verdana" w:cs="Arial"/>
            <w:color w:val="auto"/>
            <w:sz w:val="20"/>
            <w:u w:val="none"/>
            <w:lang w:eastAsia="es-ES" w:bidi="es-ES"/>
          </w:rPr>
          <w:t>996</w:t>
        </w:r>
      </w:hyperlink>
      <w:r w:rsidRPr="006177F8">
        <w:rPr>
          <w:rFonts w:ascii="Verdana" w:eastAsia="Arial" w:hAnsi="Verdana" w:cs="Arial"/>
          <w:sz w:val="20"/>
          <w:lang w:eastAsia="es-ES" w:bidi="es-ES"/>
        </w:rPr>
        <w:t> de 2005</w:t>
      </w:r>
    </w:p>
    <w:p w14:paraId="5A74EFF2" w14:textId="77777777" w:rsidR="00F853CC" w:rsidRDefault="00F853CC" w:rsidP="00F853CC">
      <w:pPr>
        <w:spacing w:after="0" w:line="240" w:lineRule="auto"/>
        <w:ind w:left="709" w:right="709"/>
        <w:jc w:val="both"/>
        <w:rPr>
          <w:rFonts w:ascii="Verdana" w:eastAsia="Arial" w:hAnsi="Verdana" w:cs="Arial"/>
          <w:sz w:val="20"/>
          <w:lang w:eastAsia="es-ES" w:bidi="es-ES"/>
        </w:rPr>
      </w:pPr>
      <w:r w:rsidRPr="006177F8">
        <w:rPr>
          <w:rFonts w:ascii="Verdana" w:eastAsia="Arial" w:hAnsi="Verdana" w:cs="Arial"/>
          <w:sz w:val="20"/>
          <w:lang w:eastAsia="es-ES" w:bidi="es-ES"/>
        </w:rPr>
        <w:t>Por tanto, el derecho de acceso y de obtener una pronta y cumplida administración de justicia , que se concreta cuando se cumple lo ordenado en las respectivas sentencias, hacen que no sea necesario que el legislador hubiese incluido el cumplimiento de fallos judiciales como parte de las excepciones a los regímenes prohibitivos contendido en los artículos </w:t>
      </w:r>
      <w:hyperlink r:id="rId13" w:anchor="32" w:history="1">
        <w:r w:rsidRPr="006177F8">
          <w:rPr>
            <w:rStyle w:val="Hipervnculo"/>
            <w:rFonts w:ascii="Verdana" w:eastAsia="Arial" w:hAnsi="Verdana" w:cs="Arial"/>
            <w:color w:val="auto"/>
            <w:sz w:val="20"/>
            <w:u w:val="none"/>
            <w:lang w:eastAsia="es-ES" w:bidi="es-ES"/>
          </w:rPr>
          <w:t>32</w:t>
        </w:r>
      </w:hyperlink>
      <w:r w:rsidRPr="006177F8">
        <w:rPr>
          <w:rFonts w:ascii="Verdana" w:eastAsia="Arial" w:hAnsi="Verdana" w:cs="Arial"/>
          <w:sz w:val="20"/>
          <w:lang w:eastAsia="es-ES" w:bidi="es-ES"/>
        </w:rPr>
        <w:t>, </w:t>
      </w:r>
      <w:hyperlink r:id="rId14" w:anchor="33" w:history="1">
        <w:r w:rsidRPr="006177F8">
          <w:rPr>
            <w:rStyle w:val="Hipervnculo"/>
            <w:rFonts w:ascii="Verdana" w:eastAsia="Arial" w:hAnsi="Verdana" w:cs="Arial"/>
            <w:color w:val="auto"/>
            <w:sz w:val="20"/>
            <w:u w:val="none"/>
            <w:lang w:eastAsia="es-ES" w:bidi="es-ES"/>
          </w:rPr>
          <w:t>33</w:t>
        </w:r>
      </w:hyperlink>
      <w:r w:rsidRPr="006177F8">
        <w:rPr>
          <w:rFonts w:ascii="Verdana" w:eastAsia="Arial" w:hAnsi="Verdana" w:cs="Arial"/>
          <w:sz w:val="20"/>
          <w:lang w:eastAsia="es-ES" w:bidi="es-ES"/>
        </w:rPr>
        <w:t> y el parágrafo del artículo </w:t>
      </w:r>
      <w:hyperlink r:id="rId15" w:anchor="38" w:history="1">
        <w:r w:rsidRPr="006177F8">
          <w:rPr>
            <w:rStyle w:val="Hipervnculo"/>
            <w:rFonts w:ascii="Verdana" w:eastAsia="Arial" w:hAnsi="Verdana" w:cs="Arial"/>
            <w:color w:val="auto"/>
            <w:sz w:val="20"/>
            <w:u w:val="none"/>
            <w:lang w:eastAsia="es-ES" w:bidi="es-ES"/>
          </w:rPr>
          <w:t>38</w:t>
        </w:r>
      </w:hyperlink>
      <w:r w:rsidRPr="006177F8">
        <w:rPr>
          <w:rFonts w:ascii="Verdana" w:eastAsia="Arial" w:hAnsi="Verdana" w:cs="Arial"/>
          <w:sz w:val="20"/>
          <w:lang w:eastAsia="es-ES" w:bidi="es-ES"/>
        </w:rPr>
        <w:t>, todos ellos de la ley 996 de 2005, ya que la fuerza vinculante de la sentencias emana directamente de estructura del Estado y de la autonomía conferida al poder judicial</w:t>
      </w:r>
      <w:r>
        <w:rPr>
          <w:rFonts w:ascii="Verdana" w:eastAsia="Arial" w:hAnsi="Verdana" w:cs="Arial"/>
          <w:sz w:val="20"/>
          <w:lang w:eastAsia="es-ES" w:bidi="es-ES"/>
        </w:rPr>
        <w:t>”</w:t>
      </w:r>
      <w:r w:rsidRPr="006177F8">
        <w:rPr>
          <w:rFonts w:ascii="Verdana" w:eastAsia="Arial" w:hAnsi="Verdana" w:cs="Arial"/>
          <w:sz w:val="20"/>
          <w:lang w:eastAsia="es-ES" w:bidi="es-ES"/>
        </w:rPr>
        <w:t>.</w:t>
      </w:r>
      <w:r>
        <w:rPr>
          <w:rFonts w:ascii="Verdana" w:eastAsia="Arial" w:hAnsi="Verdana" w:cs="Arial"/>
          <w:sz w:val="20"/>
          <w:lang w:eastAsia="es-ES" w:bidi="es-ES"/>
        </w:rPr>
        <w:t xml:space="preserve"> (énfasis dentro del texto). </w:t>
      </w:r>
    </w:p>
    <w:p w14:paraId="53260AAD" w14:textId="77777777" w:rsidR="00F853CC" w:rsidRPr="000433F8" w:rsidRDefault="00F853CC" w:rsidP="00F853CC">
      <w:pPr>
        <w:spacing w:after="0" w:line="240" w:lineRule="auto"/>
        <w:ind w:left="709" w:right="709"/>
        <w:jc w:val="both"/>
        <w:rPr>
          <w:rFonts w:ascii="Verdana" w:eastAsia="Arial" w:hAnsi="Verdana" w:cs="Arial"/>
          <w:sz w:val="20"/>
          <w:lang w:eastAsia="es-ES" w:bidi="es-ES"/>
        </w:rPr>
      </w:pPr>
    </w:p>
    <w:p w14:paraId="75748109" w14:textId="77777777" w:rsidR="00F853CC" w:rsidRDefault="00F853CC" w:rsidP="00F853CC">
      <w:pPr>
        <w:spacing w:before="120" w:after="0" w:line="276" w:lineRule="auto"/>
        <w:ind w:firstLine="709"/>
        <w:jc w:val="both"/>
        <w:rPr>
          <w:rFonts w:ascii="Verdana" w:eastAsia="Calibri" w:hAnsi="Verdana" w:cs="Arial"/>
          <w:lang w:val="es-ES"/>
        </w:rPr>
      </w:pPr>
      <w:r>
        <w:rPr>
          <w:rFonts w:ascii="Verdana" w:hAnsi="Verdana" w:cs="Arial"/>
          <w:lang w:val="es-ES"/>
        </w:rPr>
        <w:t>En segundo lugar</w:t>
      </w:r>
      <w:r w:rsidRPr="00B91291">
        <w:rPr>
          <w:rFonts w:ascii="Verdana" w:hAnsi="Verdana" w:cs="Arial"/>
          <w:lang w:val="es-ES"/>
        </w:rPr>
        <w:t xml:space="preserve">, respecto del alcance del parágrafo </w:t>
      </w:r>
      <w:r w:rsidRPr="00B91291">
        <w:rPr>
          <w:rFonts w:ascii="Verdana" w:hAnsi="Verdana" w:cs="Arial"/>
        </w:rPr>
        <w:t xml:space="preserve">del artículo 38 de la Ley 996 de 2005, esta prohibición dispone en primera medida que: “[l]os Gobernadores, </w:t>
      </w:r>
      <w:proofErr w:type="gramStart"/>
      <w:r w:rsidRPr="00B91291">
        <w:rPr>
          <w:rFonts w:ascii="Verdana" w:hAnsi="Verdana" w:cs="Arial"/>
        </w:rPr>
        <w:t>Alcaldes</w:t>
      </w:r>
      <w:proofErr w:type="gramEnd"/>
      <w:r w:rsidRPr="00B91291">
        <w:rPr>
          <w:rFonts w:ascii="Verdana" w:hAnsi="Verdana" w:cs="Arial"/>
        </w:rPr>
        <w:t xml:space="preserve"> Municipales y/o Distritales, </w:t>
      </w:r>
      <w:proofErr w:type="gramStart"/>
      <w:r w:rsidRPr="00B91291">
        <w:rPr>
          <w:rFonts w:ascii="Verdana" w:hAnsi="Verdana" w:cs="Arial"/>
        </w:rPr>
        <w:t>Secretarios</w:t>
      </w:r>
      <w:proofErr w:type="gramEnd"/>
      <w:r w:rsidRPr="00B91291">
        <w:rPr>
          <w:rFonts w:ascii="Verdana" w:hAnsi="Verdana" w:cs="Arial"/>
        </w:rPr>
        <w:t xml:space="preserve">, Gerentes y directores de Entidades Descentralizadas del orden Municipal, Departamental o Distrital, dentro de los cuatro (4) meses anteriores a las elecciones, no podrán celebrar </w:t>
      </w:r>
      <w:r w:rsidRPr="00B91291">
        <w:rPr>
          <w:rFonts w:ascii="Verdana" w:hAnsi="Verdana" w:cs="Arial"/>
          <w:i/>
          <w:iCs/>
        </w:rPr>
        <w:t>convenios interadministrativos</w:t>
      </w:r>
      <w:r w:rsidRPr="00B91291">
        <w:rPr>
          <w:rFonts w:ascii="Verdana" w:hAnsi="Verdana" w:cs="Arial"/>
        </w:rPr>
        <w:t xml:space="preserve"> </w:t>
      </w:r>
      <w:r w:rsidRPr="00B91291">
        <w:rPr>
          <w:rFonts w:ascii="Verdana" w:hAnsi="Verdana" w:cs="Arial"/>
          <w:i/>
          <w:iCs/>
        </w:rPr>
        <w:t>para la ejecución de recursos públicos</w:t>
      </w:r>
      <w:r w:rsidRPr="00B91291">
        <w:rPr>
          <w:rFonts w:ascii="Verdana" w:hAnsi="Verdana" w:cs="Arial"/>
        </w:rPr>
        <w:t>”.</w:t>
      </w:r>
      <w:r w:rsidRPr="00B91291">
        <w:rPr>
          <w:rFonts w:ascii="Verdana" w:eastAsia="Times New Roman" w:hAnsi="Verdana" w:cs="Arial"/>
          <w:lang w:val="es-MX" w:eastAsia="x-none"/>
        </w:rPr>
        <w:t xml:space="preserve"> </w:t>
      </w:r>
      <w:r>
        <w:rPr>
          <w:rFonts w:ascii="Verdana" w:eastAsia="Times New Roman" w:hAnsi="Verdana" w:cs="Arial"/>
          <w:lang w:val="es-MX" w:eastAsia="x-none"/>
        </w:rPr>
        <w:t>(</w:t>
      </w:r>
      <w:r w:rsidRPr="00B91291">
        <w:rPr>
          <w:rFonts w:ascii="Verdana" w:eastAsia="Times New Roman" w:hAnsi="Verdana" w:cs="Arial"/>
          <w:lang w:val="es-MX" w:eastAsia="x-none"/>
        </w:rPr>
        <w:t>Énfasis fuera del texto original</w:t>
      </w:r>
      <w:r>
        <w:rPr>
          <w:rFonts w:ascii="Verdana" w:eastAsia="Times New Roman" w:hAnsi="Verdana" w:cs="Arial"/>
          <w:lang w:val="es-MX" w:eastAsia="x-none"/>
        </w:rPr>
        <w:t>)</w:t>
      </w:r>
    </w:p>
    <w:p w14:paraId="11872F95" w14:textId="77777777" w:rsidR="00F853CC" w:rsidRDefault="00F853CC" w:rsidP="00F853CC">
      <w:pPr>
        <w:spacing w:before="120" w:after="0" w:line="276" w:lineRule="auto"/>
        <w:ind w:firstLine="709"/>
        <w:jc w:val="both"/>
        <w:rPr>
          <w:rFonts w:ascii="Verdana" w:eastAsia="Calibri" w:hAnsi="Verdana" w:cs="Arial"/>
          <w:lang w:val="es-ES"/>
        </w:rPr>
      </w:pPr>
      <w:r w:rsidRPr="00B91291">
        <w:rPr>
          <w:rFonts w:ascii="Verdana" w:eastAsia="Times New Roman" w:hAnsi="Verdana" w:cs="Arial"/>
          <w:lang w:val="es-ES" w:eastAsia="es-ES"/>
        </w:rPr>
        <w:t xml:space="preserve">Para tales efectos, debe precisarse que </w:t>
      </w:r>
      <w:r w:rsidRPr="00B91291">
        <w:rPr>
          <w:rFonts w:ascii="Verdana" w:eastAsia="Times New Roman" w:hAnsi="Verdana" w:cs="Arial"/>
          <w:color w:val="000000" w:themeColor="text1"/>
          <w:lang w:val="es-ES" w:eastAsia="es-CO"/>
        </w:rPr>
        <w:t>los contratos o convenios interadministrativos están determinados</w:t>
      </w:r>
      <w:r w:rsidRPr="00667CD6">
        <w:rPr>
          <w:rFonts w:ascii="Verdana" w:eastAsia="Times New Roman" w:hAnsi="Verdana" w:cs="Arial"/>
          <w:color w:val="000000" w:themeColor="text1"/>
          <w:lang w:val="es-ES" w:eastAsia="es-CO"/>
        </w:rPr>
        <w:t xml:space="preserve"> por un criterio orgánico, pues es necesario que los extremos de la relación contractual sean entidades públicas, </w:t>
      </w:r>
      <w:r w:rsidRPr="00667CD6">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667CD6">
        <w:rPr>
          <w:rFonts w:ascii="Verdana" w:hAnsi="Verdana" w:cs="Arial"/>
          <w:vertAlign w:val="superscript"/>
          <w:lang w:eastAsia="es-ES"/>
        </w:rPr>
        <w:footnoteReference w:id="28"/>
      </w:r>
      <w:r w:rsidRPr="00667CD6">
        <w:rPr>
          <w:rFonts w:ascii="Verdana" w:hAnsi="Verdana" w:cs="Arial"/>
          <w:lang w:eastAsia="es-ES"/>
        </w:rPr>
        <w:t>.</w:t>
      </w:r>
    </w:p>
    <w:p w14:paraId="0A391D9B" w14:textId="77777777" w:rsidR="00F853CC" w:rsidRPr="00AD17FF" w:rsidRDefault="00F853CC" w:rsidP="00F853CC">
      <w:pPr>
        <w:spacing w:before="120" w:after="0" w:line="276" w:lineRule="auto"/>
        <w:ind w:firstLine="709"/>
        <w:jc w:val="both"/>
        <w:rPr>
          <w:rFonts w:ascii="Verdana" w:eastAsia="Calibri" w:hAnsi="Verdana" w:cs="Arial"/>
          <w:lang w:val="es-ES"/>
        </w:rPr>
      </w:pPr>
      <w:r w:rsidRPr="00667CD6">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4C3178CF" w14:textId="77777777" w:rsidR="00F853CC" w:rsidRPr="00667CD6" w:rsidRDefault="00F853CC" w:rsidP="00F853CC">
      <w:pPr>
        <w:spacing w:before="120" w:after="0" w:line="276" w:lineRule="auto"/>
        <w:ind w:firstLine="708"/>
        <w:jc w:val="both"/>
        <w:rPr>
          <w:rFonts w:ascii="Verdana" w:hAnsi="Verdana" w:cs="Arial"/>
          <w:lang w:val="es-ES_tradnl"/>
        </w:rPr>
      </w:pPr>
      <w:r w:rsidRPr="2035D652">
        <w:rPr>
          <w:rFonts w:ascii="Verdana" w:hAnsi="Verdana" w:cs="Arial"/>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2035D652">
        <w:rPr>
          <w:rFonts w:ascii="Verdana" w:hAnsi="Verdana" w:cs="Arial"/>
          <w:vertAlign w:val="superscript"/>
          <w:lang w:val="es-ES"/>
        </w:rPr>
        <w:footnoteReference w:id="29"/>
      </w:r>
      <w:r w:rsidRPr="2035D652">
        <w:rPr>
          <w:rFonts w:ascii="Verdana" w:hAnsi="Verdana" w:cs="Arial"/>
          <w:lang w:val="es-ES"/>
        </w:rPr>
        <w:t>. Nótese que, en este caso, lo que cambia es la modalidad de selección y no la naturaleza de contrato interadministrativo.</w:t>
      </w:r>
    </w:p>
    <w:p w14:paraId="20F46B34" w14:textId="77777777" w:rsidR="00F853CC" w:rsidRPr="00667CD6" w:rsidRDefault="00F853CC" w:rsidP="00F853CC">
      <w:pPr>
        <w:spacing w:before="120" w:after="0" w:line="276" w:lineRule="auto"/>
        <w:ind w:firstLine="708"/>
        <w:jc w:val="both"/>
        <w:rPr>
          <w:rFonts w:ascii="Verdana" w:hAnsi="Verdana" w:cs="Arial"/>
          <w:lang w:val="es-ES_tradnl"/>
        </w:rPr>
      </w:pPr>
      <w:r w:rsidRPr="2035D652">
        <w:rPr>
          <w:rFonts w:ascii="Verdana" w:hAnsi="Verdana" w:cs="Arial"/>
          <w:lang w:val="es-ES"/>
        </w:rPr>
        <w:t>Además, es necesario tener en cuenta que para que un contrato o convenio interadministrativo exista debe cumplir con los siguientes elementos: acuerdo sobre el objeto y la contraprestación y que conste por escrito</w:t>
      </w:r>
      <w:r w:rsidRPr="2035D652">
        <w:rPr>
          <w:rFonts w:ascii="Verdana" w:hAnsi="Verdana" w:cs="Arial"/>
          <w:vertAlign w:val="superscript"/>
          <w:lang w:val="es-ES"/>
        </w:rPr>
        <w:footnoteReference w:id="30"/>
      </w:r>
      <w:r w:rsidRPr="2035D652">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5BC160BD" w14:textId="77777777" w:rsidR="00F853CC" w:rsidRPr="00B8078E" w:rsidRDefault="00F853CC" w:rsidP="00F853CC">
      <w:pPr>
        <w:spacing w:before="120" w:after="0" w:line="276" w:lineRule="auto"/>
        <w:ind w:firstLine="708"/>
        <w:jc w:val="both"/>
        <w:rPr>
          <w:rFonts w:ascii="Verdana" w:hAnsi="Verdana"/>
          <w:lang w:eastAsia="es-CO"/>
        </w:rPr>
      </w:pPr>
      <w:r w:rsidRPr="2035D652">
        <w:rPr>
          <w:rFonts w:ascii="Verdana" w:hAnsi="Verdana" w:cs="Arial"/>
          <w:lang w:val="es-ES"/>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2035D652">
        <w:rPr>
          <w:rFonts w:ascii="Verdana" w:hAnsi="Verdana" w:cs="Arial"/>
          <w:vertAlign w:val="superscript"/>
          <w:lang w:val="es-ES"/>
        </w:rPr>
        <w:footnoteReference w:id="31"/>
      </w:r>
      <w:r w:rsidRPr="2035D652">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sidRPr="00B8078E">
        <w:rPr>
          <w:rFonts w:ascii="Verdana" w:hAnsi="Verdana"/>
          <w:lang w:eastAsia="es-CO"/>
        </w:rPr>
        <w:t>.</w:t>
      </w:r>
    </w:p>
    <w:p w14:paraId="24A90B01" w14:textId="77777777" w:rsidR="00F853CC" w:rsidRDefault="00F853CC" w:rsidP="00F853CC">
      <w:pPr>
        <w:spacing w:before="120" w:after="0" w:line="276" w:lineRule="auto"/>
        <w:ind w:firstLine="708"/>
        <w:jc w:val="both"/>
        <w:rPr>
          <w:rFonts w:ascii="Verdana" w:eastAsia="Times New Roman" w:hAnsi="Verdana" w:cs="Arial"/>
          <w:lang w:val="es-MX" w:eastAsia="es-CO"/>
        </w:rPr>
      </w:pPr>
      <w:r w:rsidRPr="00667CD6">
        <w:rPr>
          <w:rFonts w:ascii="Verdana" w:eastAsia="Arial" w:hAnsi="Verdana" w:cs="Arial"/>
          <w:lang w:val="es-MX" w:eastAsia="es-ES" w:bidi="es-ES"/>
        </w:rPr>
        <w:t>De esta manera, se</w:t>
      </w:r>
      <w:r w:rsidRPr="00667CD6">
        <w:rPr>
          <w:rFonts w:ascii="Verdana" w:eastAsia="Times New Roman" w:hAnsi="Verdana" w:cs="Arial"/>
          <w:lang w:eastAsia="es-CO"/>
        </w:rPr>
        <w:t xml:space="preserve"> observa entonces que </w:t>
      </w:r>
      <w:r w:rsidRPr="00667CD6">
        <w:rPr>
          <w:rFonts w:ascii="Verdana" w:eastAsia="Times New Roman" w:hAnsi="Verdana" w:cs="Arial"/>
          <w:lang w:val="es-MX" w:eastAsia="es-CO"/>
        </w:rPr>
        <w:t xml:space="preserve">el parágrafo del artículo 38 de la Ley 996 de 2005 prohíbe a los </w:t>
      </w:r>
      <w:proofErr w:type="gramStart"/>
      <w:r w:rsidRPr="00667CD6">
        <w:rPr>
          <w:rFonts w:ascii="Verdana" w:eastAsia="Times New Roman" w:hAnsi="Verdana" w:cs="Arial"/>
          <w:lang w:val="es-MX" w:eastAsia="es-CO"/>
        </w:rPr>
        <w:t>Alcaldes</w:t>
      </w:r>
      <w:proofErr w:type="gramEnd"/>
      <w:r w:rsidRPr="00667CD6">
        <w:rPr>
          <w:rFonts w:ascii="Verdana" w:eastAsia="Times New Roman" w:hAnsi="Verdana" w:cs="Arial"/>
          <w:lang w:val="es-MX" w:eastAsia="es-CO"/>
        </w:rPr>
        <w:t xml:space="preserve">, Gobernadores, </w:t>
      </w:r>
      <w:proofErr w:type="gramStart"/>
      <w:r w:rsidRPr="00667CD6">
        <w:rPr>
          <w:rFonts w:ascii="Verdana" w:eastAsia="Times New Roman" w:hAnsi="Verdana" w:cs="Arial"/>
          <w:lang w:val="es-MX" w:eastAsia="es-CO"/>
        </w:rPr>
        <w:t>Secretarios</w:t>
      </w:r>
      <w:proofErr w:type="gramEnd"/>
      <w:r w:rsidRPr="00667CD6">
        <w:rPr>
          <w:rFonts w:ascii="Verdana" w:eastAsia="Times New Roman" w:hAnsi="Verdana" w:cs="Arial"/>
          <w:lang w:val="es-MX" w:eastAsia="es-CO"/>
        </w:rPr>
        <w:t xml:space="preserve">, Gerentes y </w:t>
      </w:r>
      <w:proofErr w:type="gramStart"/>
      <w:r w:rsidRPr="00667CD6">
        <w:rPr>
          <w:rFonts w:ascii="Verdana" w:eastAsia="Times New Roman" w:hAnsi="Verdana" w:cs="Arial"/>
          <w:lang w:val="es-MX" w:eastAsia="es-CO"/>
        </w:rPr>
        <w:t>Directores</w:t>
      </w:r>
      <w:proofErr w:type="gramEnd"/>
      <w:r w:rsidRPr="00667CD6">
        <w:rPr>
          <w:rFonts w:ascii="Verdana" w:eastAsia="Times New Roman" w:hAnsi="Verdana" w:cs="Arial"/>
          <w:lang w:val="es-MX" w:eastAsia="es-CO"/>
        </w:rPr>
        <w:t xml:space="preserve"> de las entidades del orden municipal, departamental o distrital celebrar </w:t>
      </w:r>
      <w:r w:rsidRPr="00667CD6">
        <w:rPr>
          <w:rFonts w:ascii="Verdana" w:eastAsia="Times New Roman" w:hAnsi="Verdana" w:cs="Arial"/>
          <w:i/>
          <w:iCs/>
          <w:lang w:val="es-MX" w:eastAsia="es-CO"/>
        </w:rPr>
        <w:t>convenios interadministrativos</w:t>
      </w:r>
      <w:r w:rsidRPr="00667CD6">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667CD6">
        <w:rPr>
          <w:rFonts w:ascii="Verdana" w:eastAsia="Times New Roman" w:hAnsi="Verdana" w:cs="Arial"/>
          <w:i/>
          <w:lang w:val="es-MX" w:eastAsia="es-CO"/>
        </w:rPr>
        <w:t>ibidem</w:t>
      </w:r>
      <w:r w:rsidRPr="00667CD6">
        <w:rPr>
          <w:rFonts w:ascii="Verdana" w:eastAsia="Times New Roman" w:hAnsi="Verdana" w:cs="Arial"/>
          <w:lang w:val="es-MX" w:eastAsia="es-CO"/>
        </w:rPr>
        <w:t xml:space="preserve">, </w:t>
      </w:r>
      <w:r>
        <w:rPr>
          <w:rFonts w:ascii="Verdana" w:eastAsia="Times New Roman" w:hAnsi="Verdana" w:cs="Arial"/>
          <w:lang w:val="es-MX" w:eastAsia="es-CO"/>
        </w:rPr>
        <w:t xml:space="preserve">es decir, </w:t>
      </w:r>
      <w:r w:rsidRPr="00E60AD8">
        <w:rPr>
          <w:rFonts w:ascii="Verdana" w:eastAsia="Times New Roman" w:hAnsi="Verdana" w:cs="Arial"/>
          <w:lang w:eastAsia="es-CO"/>
        </w:rPr>
        <w:t>alcaldías, gobernaciones, secretarías de despacho, así como entidades</w:t>
      </w:r>
      <w:r>
        <w:rPr>
          <w:rFonts w:ascii="Verdana" w:eastAsia="Times New Roman" w:hAnsi="Verdana" w:cs="Arial"/>
          <w:lang w:eastAsia="es-CO"/>
        </w:rPr>
        <w:t xml:space="preserve"> descentralizadas por servicios del orden municipal, departamental o distrital</w:t>
      </w:r>
      <w:r w:rsidRPr="00E60AD8">
        <w:rPr>
          <w:rFonts w:ascii="Verdana" w:eastAsia="Times New Roman" w:hAnsi="Verdana" w:cs="Arial"/>
          <w:lang w:eastAsia="es-CO"/>
        </w:rPr>
        <w:t xml:space="preserve"> </w:t>
      </w:r>
      <w:r w:rsidRPr="00667CD6">
        <w:rPr>
          <w:rFonts w:ascii="Verdana" w:eastAsia="Times New Roman" w:hAnsi="Verdana" w:cs="Arial"/>
          <w:lang w:val="es-MX" w:eastAsia="es-CO"/>
        </w:rPr>
        <w:t xml:space="preserve">no podrá celebrar tales </w:t>
      </w:r>
      <w:r w:rsidRPr="00667CD6">
        <w:rPr>
          <w:rFonts w:ascii="Verdana" w:eastAsia="Times New Roman" w:hAnsi="Verdana" w:cs="Arial"/>
          <w:i/>
          <w:iCs/>
          <w:lang w:val="es-MX" w:eastAsia="es-CO"/>
        </w:rPr>
        <w:t>convenios</w:t>
      </w:r>
      <w:r w:rsidRPr="00667CD6">
        <w:rPr>
          <w:rFonts w:ascii="Verdana" w:eastAsia="Times New Roman" w:hAnsi="Verdana" w:cs="Arial"/>
          <w:lang w:val="es-MX" w:eastAsia="es-CO"/>
        </w:rPr>
        <w:t xml:space="preserve"> durante la aplicación de la Ley de Garantías Electorales, toda vez que la citada disposición </w:t>
      </w:r>
      <w:r>
        <w:rPr>
          <w:rFonts w:ascii="Verdana" w:eastAsia="Times New Roman" w:hAnsi="Verdana" w:cs="Arial"/>
          <w:lang w:val="es-MX" w:eastAsia="es-CO"/>
        </w:rPr>
        <w:t xml:space="preserve">se refiere </w:t>
      </w:r>
      <w:r w:rsidRPr="00667CD6">
        <w:rPr>
          <w:rFonts w:ascii="Verdana" w:eastAsia="Times New Roman" w:hAnsi="Verdana" w:cs="Arial"/>
          <w:lang w:val="es-MX" w:eastAsia="es-CO"/>
        </w:rPr>
        <w:t xml:space="preserve">a dicha tipología contractual sin que el legislador hubiere contemplado un efecto extensivo a otra tipología. </w:t>
      </w:r>
    </w:p>
    <w:p w14:paraId="0417DEC3" w14:textId="77777777" w:rsidR="00F853CC" w:rsidRDefault="00F853CC" w:rsidP="00F853CC">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val="es-MX" w:eastAsia="es-CO"/>
        </w:rPr>
        <w:t xml:space="preserve">Respecto del alcance de esta prohibición la Circular Externa No. 006 de 2025 expedida por la ANCP -CCE, en los literales </w:t>
      </w:r>
      <w:proofErr w:type="spellStart"/>
      <w:r w:rsidRPr="00667CD6">
        <w:rPr>
          <w:rFonts w:ascii="Verdana" w:eastAsia="Times New Roman" w:hAnsi="Verdana" w:cs="Arial"/>
          <w:lang w:val="es-MX" w:eastAsia="es-CO"/>
        </w:rPr>
        <w:t>ii</w:t>
      </w:r>
      <w:proofErr w:type="spellEnd"/>
      <w:r w:rsidRPr="00667CD6">
        <w:rPr>
          <w:rFonts w:ascii="Verdana" w:eastAsia="Times New Roman" w:hAnsi="Verdana" w:cs="Arial"/>
          <w:lang w:val="es-MX" w:eastAsia="es-CO"/>
        </w:rPr>
        <w:t xml:space="preserve">) y </w:t>
      </w:r>
      <w:proofErr w:type="spellStart"/>
      <w:r w:rsidRPr="00667CD6">
        <w:rPr>
          <w:rFonts w:ascii="Verdana" w:eastAsia="Times New Roman" w:hAnsi="Verdana" w:cs="Arial"/>
          <w:lang w:val="es-MX" w:eastAsia="es-CO"/>
        </w:rPr>
        <w:t>iv</w:t>
      </w:r>
      <w:proofErr w:type="spellEnd"/>
      <w:r w:rsidRPr="00667CD6">
        <w:rPr>
          <w:rFonts w:ascii="Verdana" w:eastAsia="Times New Roman" w:hAnsi="Verdana" w:cs="Arial"/>
          <w:lang w:val="es-MX" w:eastAsia="es-CO"/>
        </w:rPr>
        <w:t>) del numeral 2</w:t>
      </w:r>
      <w:r w:rsidRPr="00667CD6">
        <w:rPr>
          <w:rFonts w:ascii="Verdana" w:eastAsia="Times New Roman" w:hAnsi="Verdana" w:cs="Arial"/>
          <w:lang w:eastAsia="es-CO"/>
        </w:rPr>
        <w:t>,</w:t>
      </w:r>
      <w:r w:rsidRPr="00667CD6">
        <w:rPr>
          <w:rFonts w:ascii="Verdana" w:eastAsia="Times New Roman" w:hAnsi="Verdana" w:cs="Arial"/>
          <w:lang w:val="es-MX" w:eastAsia="es-CO"/>
        </w:rPr>
        <w:t xml:space="preserve"> indica que el </w:t>
      </w:r>
      <w:r w:rsidRPr="00667CD6">
        <w:rPr>
          <w:rFonts w:ascii="Verdana" w:eastAsia="Times New Roman" w:hAnsi="Verdana" w:cs="Arial"/>
          <w:lang w:eastAsia="es-CO"/>
        </w:rPr>
        <w:t xml:space="preserve">parágrafo del artículo 38 de la Ley 996 de 2005 cobija expresamente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667CD6">
        <w:rPr>
          <w:rFonts w:ascii="Verdana" w:eastAsia="Times New Roman" w:hAnsi="Verdana" w:cs="Arial"/>
          <w:i/>
          <w:iCs/>
          <w:lang w:eastAsia="es-CO"/>
        </w:rPr>
        <w:t>“aunque se configure alguno de los supuestos de excepción que señaló el inciso final del artículo 33”.</w:t>
      </w:r>
      <w:r w:rsidRPr="00667CD6">
        <w:rPr>
          <w:rFonts w:ascii="Verdana" w:eastAsia="Times New Roman" w:hAnsi="Verdana" w:cs="Arial"/>
          <w:lang w:eastAsia="es-CO"/>
        </w:rPr>
        <w:t xml:space="preserve"> </w:t>
      </w:r>
    </w:p>
    <w:p w14:paraId="22C99790" w14:textId="77777777" w:rsidR="00F853CC" w:rsidRPr="00667CD6" w:rsidRDefault="00F853CC" w:rsidP="00F853CC">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Sin embargo, el ámbito de aplicación de la restricción prevista en el parágrafo del artículo 38 de la Ley 996 de 2005 </w:t>
      </w:r>
      <w:r>
        <w:rPr>
          <w:rFonts w:ascii="Verdana" w:eastAsia="Times New Roman" w:hAnsi="Verdana" w:cs="Arial"/>
          <w:lang w:eastAsia="es-CO"/>
        </w:rPr>
        <w:t>comprende</w:t>
      </w:r>
      <w:r w:rsidRPr="00667CD6">
        <w:rPr>
          <w:rFonts w:ascii="Verdana" w:eastAsia="Times New Roman" w:hAnsi="Verdana" w:cs="Arial"/>
          <w:lang w:eastAsia="es-CO"/>
        </w:rPr>
        <w:t xml:space="preserv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w:t>
      </w:r>
      <w:r>
        <w:rPr>
          <w:rFonts w:ascii="Verdana" w:eastAsia="Times New Roman" w:hAnsi="Verdana" w:cs="Arial"/>
          <w:lang w:eastAsia="es-CO"/>
        </w:rPr>
        <w:t>exista</w:t>
      </w:r>
      <w:r w:rsidRPr="00667CD6">
        <w:rPr>
          <w:rFonts w:ascii="Verdana" w:eastAsia="Times New Roman" w:hAnsi="Verdana" w:cs="Arial"/>
          <w:lang w:eastAsia="es-CO"/>
        </w:rPr>
        <w:t xml:space="preserve"> </w:t>
      </w:r>
      <w:r w:rsidRPr="00667CD6">
        <w:rPr>
          <w:rFonts w:ascii="Verdana" w:eastAsia="Times New Roman" w:hAnsi="Verdana" w:cs="Arial"/>
          <w:i/>
          <w:iCs/>
          <w:lang w:eastAsia="es-CO"/>
        </w:rPr>
        <w:t>ejecución de recursos públicos</w:t>
      </w:r>
      <w:r>
        <w:rPr>
          <w:rFonts w:ascii="Verdana" w:eastAsia="Times New Roman" w:hAnsi="Verdana" w:cs="Arial"/>
          <w:lang w:eastAsia="es-CO"/>
        </w:rPr>
        <w:t>, sin importar de que estos sean en dinero o en especie, ya que la norma no distingue</w:t>
      </w:r>
      <w:r w:rsidRPr="00667CD6">
        <w:rPr>
          <w:rFonts w:ascii="Verdana" w:eastAsia="Times New Roman" w:hAnsi="Verdana" w:cs="Arial"/>
          <w:lang w:eastAsia="es-CO"/>
        </w:rPr>
        <w:t xml:space="preserve">. </w:t>
      </w:r>
      <w:r w:rsidRPr="00C016C8">
        <w:rPr>
          <w:rFonts w:ascii="Verdana" w:eastAsia="Times New Roman" w:hAnsi="Verdana" w:cs="Arial"/>
          <w:lang w:val="es-ES" w:eastAsia="es-CO"/>
        </w:rPr>
        <w:t>Lo anterior conforme a la directriz interpretativa del artículo 31 del Código Civil, según la cual “Lo favorable u odioso de una disposición no se tomará en cuenta para ampliar o restringir su interpretación. La extensión que deba darse a toda ley se determinará por su genuino sentido, y según las reglas de interpretación precedentes”</w:t>
      </w:r>
      <w:r>
        <w:rPr>
          <w:rStyle w:val="Refdenotaalpie"/>
          <w:rFonts w:ascii="Verdana" w:hAnsi="Verdana" w:cs="Arial"/>
          <w:lang w:val="es-ES"/>
        </w:rPr>
        <w:footnoteReference w:id="32"/>
      </w:r>
      <w:r>
        <w:rPr>
          <w:rFonts w:ascii="Verdana" w:eastAsia="Times New Roman" w:hAnsi="Verdana" w:cs="Arial"/>
          <w:lang w:val="es-ES" w:eastAsia="es-CO"/>
        </w:rPr>
        <w:t>.</w:t>
      </w:r>
      <w:r w:rsidRPr="00667CD6">
        <w:rPr>
          <w:rFonts w:ascii="Verdana" w:eastAsia="Times New Roman" w:hAnsi="Verdana" w:cs="Arial"/>
          <w:lang w:eastAsia="es-CO"/>
        </w:rPr>
        <w:t xml:space="preserve"> </w:t>
      </w:r>
      <w:r>
        <w:rPr>
          <w:rFonts w:ascii="Verdana" w:eastAsia="Times New Roman" w:hAnsi="Verdana" w:cs="Arial"/>
          <w:lang w:eastAsia="es-CO"/>
        </w:rPr>
        <w:t xml:space="preserve">Por ello, en el Concepto </w:t>
      </w:r>
      <w:r w:rsidRPr="00C016C8">
        <w:rPr>
          <w:rFonts w:ascii="Verdana" w:eastAsia="Times New Roman" w:hAnsi="Verdana" w:cs="Arial"/>
          <w:lang w:eastAsia="es-CO"/>
        </w:rPr>
        <w:t>2201913000006634</w:t>
      </w:r>
      <w:r>
        <w:rPr>
          <w:rFonts w:ascii="Verdana" w:eastAsia="Times New Roman" w:hAnsi="Verdana" w:cs="Arial"/>
          <w:lang w:eastAsia="es-CO"/>
        </w:rPr>
        <w:t xml:space="preserve"> del 6 de septiembre de 2019, la Agencia sostuvo que la ejecución de recursos no se agota en el “[…] </w:t>
      </w:r>
      <w:r w:rsidRPr="00C016C8">
        <w:rPr>
          <w:rFonts w:ascii="Verdana" w:eastAsia="Times New Roman" w:hAnsi="Verdana" w:cs="Arial"/>
          <w:lang w:eastAsia="es-CO"/>
        </w:rPr>
        <w:t>el dinero que integra el ciclo presupuestal de la entidad</w:t>
      </w:r>
      <w:r>
        <w:rPr>
          <w:rFonts w:ascii="Verdana" w:eastAsia="Times New Roman" w:hAnsi="Verdana" w:cs="Arial"/>
          <w:lang w:eastAsia="es-CO"/>
        </w:rPr>
        <w:t xml:space="preserve"> […]”, pues “[…] </w:t>
      </w:r>
      <w:r w:rsidRPr="00C016C8">
        <w:rPr>
          <w:rFonts w:ascii="Verdana" w:eastAsia="Times New Roman" w:hAnsi="Verdana" w:cs="Arial"/>
          <w:lang w:eastAsia="es-CO"/>
        </w:rPr>
        <w:t xml:space="preserve">también los bienes muebles, inmuebles y personal hacen parte del concepto de </w:t>
      </w:r>
      <w:r>
        <w:rPr>
          <w:rFonts w:ascii="Verdana" w:eastAsia="Times New Roman" w:hAnsi="Verdana" w:cs="Arial"/>
          <w:lang w:eastAsia="es-CO"/>
        </w:rPr>
        <w:t>‘</w:t>
      </w:r>
      <w:r w:rsidRPr="00C016C8">
        <w:rPr>
          <w:rFonts w:ascii="Verdana" w:eastAsia="Times New Roman" w:hAnsi="Verdana" w:cs="Arial"/>
          <w:lang w:eastAsia="es-CO"/>
        </w:rPr>
        <w:t>recursos públicos</w:t>
      </w:r>
      <w:r>
        <w:rPr>
          <w:rFonts w:ascii="Verdana" w:eastAsia="Times New Roman" w:hAnsi="Verdana" w:cs="Arial"/>
          <w:lang w:eastAsia="es-CO"/>
        </w:rPr>
        <w:t>’”.</w:t>
      </w:r>
    </w:p>
    <w:p w14:paraId="2AC8360C" w14:textId="77777777" w:rsidR="00F853CC" w:rsidRPr="00667CD6" w:rsidRDefault="00F853CC" w:rsidP="00F853CC">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De esta manera, conforme a lo dispuesto en la Circular referida, si se suscriben </w:t>
      </w:r>
      <w:r w:rsidRPr="00667CD6">
        <w:rPr>
          <w:rFonts w:ascii="Verdana" w:eastAsia="Times New Roman" w:hAnsi="Verdana" w:cs="Arial"/>
          <w:i/>
          <w:iCs/>
          <w:lang w:eastAsia="es-CO"/>
        </w:rPr>
        <w:t>convenios interadministrativos para la ejecución de recursos públicos</w:t>
      </w:r>
      <w:r w:rsidRPr="00667CD6">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667CD6">
        <w:rPr>
          <w:rFonts w:ascii="Verdana" w:eastAsia="Times New Roman" w:hAnsi="Verdana" w:cs="Arial"/>
          <w:i/>
          <w:iCs/>
          <w:lang w:eastAsia="es-CO"/>
        </w:rPr>
        <w:t>ibidem</w:t>
      </w:r>
      <w:r w:rsidRPr="00667CD6">
        <w:rPr>
          <w:rFonts w:ascii="Verdana" w:eastAsia="Times New Roman" w:hAnsi="Verdana" w:cs="Arial"/>
          <w:lang w:eastAsia="es-CO"/>
        </w:rPr>
        <w:t>, independientemente de que se configure alguno de los supuestos de excepción que señaló el inciso final del artículo 33, es decir, que se trate de:</w:t>
      </w:r>
      <w:r w:rsidRPr="00667CD6">
        <w:rPr>
          <w:rFonts w:ascii="Verdana" w:hAnsi="Verdana" w:cs="Arial"/>
          <w:bCs/>
          <w:lang w:val="es-MX" w:eastAsia="x-none"/>
        </w:rPr>
        <w:t xml:space="preserve"> i) la defensa y seguridad del Estado; </w:t>
      </w:r>
      <w:proofErr w:type="spellStart"/>
      <w:r w:rsidRPr="00667CD6">
        <w:rPr>
          <w:rFonts w:ascii="Verdana" w:hAnsi="Verdana" w:cs="Arial"/>
          <w:bCs/>
          <w:lang w:val="es-MX" w:eastAsia="x-none"/>
        </w:rPr>
        <w:t>ii</w:t>
      </w:r>
      <w:proofErr w:type="spellEnd"/>
      <w:r w:rsidRPr="00667CD6">
        <w:rPr>
          <w:rFonts w:ascii="Verdana" w:hAnsi="Verdana" w:cs="Arial"/>
          <w:bCs/>
          <w:lang w:val="es-MX" w:eastAsia="x-none"/>
        </w:rPr>
        <w:t xml:space="preserve">) los contratos de crédito público; </w:t>
      </w:r>
      <w:proofErr w:type="spellStart"/>
      <w:r w:rsidRPr="00667CD6">
        <w:rPr>
          <w:rFonts w:ascii="Verdana" w:hAnsi="Verdana" w:cs="Arial"/>
          <w:bCs/>
          <w:lang w:val="es-MX" w:eastAsia="x-none"/>
        </w:rPr>
        <w:t>iii</w:t>
      </w:r>
      <w:proofErr w:type="spellEnd"/>
      <w:r w:rsidRPr="00667CD6">
        <w:rPr>
          <w:rFonts w:ascii="Verdana" w:hAnsi="Verdana" w:cs="Arial"/>
          <w:bCs/>
          <w:lang w:val="es-MX" w:eastAsia="x-none"/>
        </w:rPr>
        <w:t xml:space="preserve">) los requeridos para cubrir las emergencias educativas, sanitarias y desastres; </w:t>
      </w:r>
      <w:proofErr w:type="spellStart"/>
      <w:r w:rsidRPr="00667CD6">
        <w:rPr>
          <w:rFonts w:ascii="Verdana" w:hAnsi="Verdana" w:cs="Arial"/>
          <w:bCs/>
          <w:lang w:val="es-MX" w:eastAsia="x-none"/>
        </w:rPr>
        <w:t>iv</w:t>
      </w:r>
      <w:proofErr w:type="spellEnd"/>
      <w:r w:rsidRPr="00667CD6">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667CD6">
        <w:rPr>
          <w:rFonts w:ascii="Verdana" w:hAnsi="Verdana" w:cs="Arial"/>
          <w:bCs/>
          <w:lang w:val="es-MX" w:eastAsia="es-CO"/>
        </w:rPr>
        <w:t xml:space="preserve"> </w:t>
      </w:r>
      <w:r>
        <w:rPr>
          <w:rFonts w:ascii="Verdana" w:eastAsia="Times New Roman" w:hAnsi="Verdana" w:cs="Arial"/>
          <w:lang w:eastAsia="es-CO"/>
        </w:rPr>
        <w:t xml:space="preserve">Es decir, las excepciones contempladas en el artículo 33 no son aplicables a la restricción del artículo 38. </w:t>
      </w:r>
    </w:p>
    <w:p w14:paraId="5DCE2FD1" w14:textId="77777777" w:rsidR="00F853CC" w:rsidRPr="00667CD6" w:rsidRDefault="00F853CC" w:rsidP="00F853CC">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En este punto, vale la pena destacar que</w:t>
      </w:r>
      <w:r>
        <w:rPr>
          <w:rFonts w:ascii="Verdana" w:eastAsia="Times New Roman" w:hAnsi="Verdana" w:cs="Arial"/>
          <w:lang w:eastAsia="es-CO"/>
        </w:rPr>
        <w:t>,</w:t>
      </w:r>
      <w:r w:rsidRPr="00667CD6">
        <w:rPr>
          <w:rFonts w:ascii="Verdana" w:eastAsia="Times New Roman" w:hAnsi="Verdana" w:cs="Arial"/>
          <w:lang w:eastAsia="es-CO"/>
        </w:rPr>
        <w:t xml:space="preserve"> </w:t>
      </w:r>
      <w:r w:rsidRPr="00667CD6">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667CD6">
        <w:rPr>
          <w:rFonts w:ascii="Verdana" w:hAnsi="Verdana" w:cs="Arial"/>
        </w:rPr>
        <w:t xml:space="preserve">numeral 16.2 de la Circular Externa Única de 2022 expedida por la Agencia Nacional de Contratación Pública </w:t>
      </w:r>
      <w:r>
        <w:rPr>
          <w:rFonts w:ascii="Verdana" w:hAnsi="Verdana" w:cs="Arial"/>
        </w:rPr>
        <w:t xml:space="preserve">– </w:t>
      </w:r>
      <w:r w:rsidRPr="00667CD6">
        <w:rPr>
          <w:rFonts w:ascii="Verdana" w:hAnsi="Verdana" w:cs="Arial"/>
        </w:rPr>
        <w:t>Colombia Compra Eficiente, concretamente, respecto de los siguientes apartes normativos</w:t>
      </w:r>
      <w:r w:rsidRPr="00667CD6">
        <w:rPr>
          <w:rFonts w:ascii="Verdana" w:hAnsi="Verdana" w:cs="Arial"/>
          <w:vertAlign w:val="superscript"/>
        </w:rPr>
        <w:footnoteReference w:id="33"/>
      </w:r>
      <w:r w:rsidRPr="00667CD6">
        <w:rPr>
          <w:rFonts w:ascii="Verdana" w:hAnsi="Verdana" w:cs="Arial"/>
        </w:rPr>
        <w:t xml:space="preserve">: </w:t>
      </w:r>
    </w:p>
    <w:p w14:paraId="4A0D4D60" w14:textId="77777777" w:rsidR="00F853CC" w:rsidRPr="00667CD6" w:rsidRDefault="00F853CC" w:rsidP="00F853CC">
      <w:pPr>
        <w:spacing w:after="0" w:line="240" w:lineRule="auto"/>
        <w:ind w:firstLine="709"/>
        <w:jc w:val="both"/>
        <w:rPr>
          <w:rFonts w:ascii="Verdana" w:hAnsi="Verdana" w:cs="Arial"/>
        </w:rPr>
      </w:pPr>
    </w:p>
    <w:p w14:paraId="7B5E3DA7" w14:textId="77777777" w:rsidR="00F853CC" w:rsidRDefault="00F853CC" w:rsidP="00F853CC">
      <w:pPr>
        <w:spacing w:after="0" w:line="240" w:lineRule="auto"/>
        <w:ind w:left="709" w:right="709"/>
        <w:jc w:val="both"/>
        <w:rPr>
          <w:rFonts w:ascii="Verdana" w:hAnsi="Verdana" w:cs="Arial"/>
          <w:sz w:val="20"/>
          <w:szCs w:val="20"/>
        </w:rPr>
      </w:pPr>
      <w:r>
        <w:rPr>
          <w:rFonts w:ascii="Verdana" w:hAnsi="Verdana" w:cs="Arial"/>
          <w:sz w:val="20"/>
          <w:szCs w:val="20"/>
          <w:lang w:val="es-MX"/>
        </w:rPr>
        <w:t>“</w:t>
      </w:r>
      <w:r w:rsidRPr="00667CD6">
        <w:rPr>
          <w:rFonts w:ascii="Verdana" w:hAnsi="Verdana" w:cs="Arial"/>
          <w:sz w:val="20"/>
          <w:szCs w:val="20"/>
          <w:lang w:val="es-MX"/>
        </w:rPr>
        <w:t>i)</w:t>
      </w:r>
      <w:r w:rsidRPr="00667CD6">
        <w:rPr>
          <w:rFonts w:ascii="Verdana" w:hAnsi="Verdana" w:cs="Arial"/>
          <w:sz w:val="20"/>
          <w:szCs w:val="20"/>
        </w:rPr>
        <w:t xml:space="preserve"> el inciso segundo 2 que dispone: </w:t>
      </w:r>
      <w:r>
        <w:rPr>
          <w:rFonts w:ascii="Verdana" w:hAnsi="Verdana" w:cs="Arial"/>
          <w:sz w:val="20"/>
          <w:szCs w:val="20"/>
        </w:rPr>
        <w:t>‘</w:t>
      </w:r>
      <w:r w:rsidRPr="00667CD6">
        <w:rPr>
          <w:rFonts w:ascii="Verdana" w:hAnsi="Verdana" w:cs="Arial"/>
          <w:sz w:val="20"/>
          <w:szCs w:val="20"/>
        </w:rPr>
        <w:t>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Pr>
          <w:rFonts w:ascii="Verdana" w:hAnsi="Verdana" w:cs="Arial"/>
          <w:sz w:val="20"/>
          <w:szCs w:val="20"/>
        </w:rPr>
        <w:t>’</w:t>
      </w:r>
      <w:r w:rsidRPr="00667CD6">
        <w:rPr>
          <w:rFonts w:ascii="Verdana" w:hAnsi="Verdana" w:cs="Arial"/>
          <w:sz w:val="20"/>
          <w:szCs w:val="20"/>
        </w:rPr>
        <w:t xml:space="preserve"> y, </w:t>
      </w:r>
    </w:p>
    <w:p w14:paraId="69703171" w14:textId="77777777" w:rsidR="00F853CC" w:rsidRPr="00667CD6" w:rsidRDefault="00F853CC" w:rsidP="00F853CC">
      <w:pPr>
        <w:spacing w:after="0" w:line="240" w:lineRule="auto"/>
        <w:ind w:left="709" w:right="709"/>
        <w:jc w:val="both"/>
        <w:rPr>
          <w:rFonts w:ascii="Verdana" w:hAnsi="Verdana" w:cs="Arial"/>
          <w:sz w:val="20"/>
          <w:szCs w:val="20"/>
        </w:rPr>
      </w:pPr>
    </w:p>
    <w:p w14:paraId="1025ACF9" w14:textId="77777777" w:rsidR="00F853CC" w:rsidRPr="00667CD6" w:rsidRDefault="00F853CC" w:rsidP="00F853CC">
      <w:pPr>
        <w:spacing w:after="0" w:line="240" w:lineRule="auto"/>
        <w:ind w:left="709" w:right="709"/>
        <w:jc w:val="both"/>
        <w:rPr>
          <w:rFonts w:ascii="Verdana" w:hAnsi="Verdana" w:cs="Arial"/>
          <w:sz w:val="20"/>
          <w:szCs w:val="20"/>
        </w:rPr>
      </w:pPr>
      <w:proofErr w:type="spellStart"/>
      <w:r w:rsidRPr="00667CD6">
        <w:rPr>
          <w:rFonts w:ascii="Verdana" w:hAnsi="Verdana" w:cs="Arial"/>
          <w:sz w:val="20"/>
          <w:szCs w:val="20"/>
        </w:rPr>
        <w:t>ii</w:t>
      </w:r>
      <w:proofErr w:type="spellEnd"/>
      <w:r w:rsidRPr="00667CD6">
        <w:rPr>
          <w:rFonts w:ascii="Verdana" w:hAnsi="Verdana" w:cs="Arial"/>
          <w:sz w:val="20"/>
          <w:szCs w:val="20"/>
        </w:rPr>
        <w:t xml:space="preserve">) la expresión y el siguiente párrafo contenidos en el inciso cuarto </w:t>
      </w:r>
      <w:r>
        <w:rPr>
          <w:rFonts w:ascii="Verdana" w:hAnsi="Verdana" w:cs="Arial"/>
          <w:sz w:val="20"/>
          <w:szCs w:val="20"/>
        </w:rPr>
        <w:t>‘</w:t>
      </w:r>
      <w:r w:rsidRPr="00667CD6">
        <w:rPr>
          <w:rFonts w:ascii="Verdana" w:hAnsi="Verdana" w:cs="Arial"/>
          <w:sz w:val="20"/>
          <w:szCs w:val="20"/>
        </w:rPr>
        <w:t>contratos</w:t>
      </w:r>
      <w:r>
        <w:rPr>
          <w:rFonts w:ascii="Verdana" w:hAnsi="Verdana" w:cs="Arial"/>
          <w:sz w:val="20"/>
          <w:szCs w:val="20"/>
        </w:rPr>
        <w:t>’</w:t>
      </w:r>
      <w:r w:rsidRPr="00667CD6">
        <w:rPr>
          <w:rFonts w:ascii="Verdana" w:hAnsi="Verdana" w:cs="Arial"/>
          <w:sz w:val="20"/>
          <w:szCs w:val="20"/>
        </w:rPr>
        <w:t xml:space="preserve"> y </w:t>
      </w:r>
      <w:r>
        <w:rPr>
          <w:rFonts w:ascii="Verdana" w:hAnsi="Verdana" w:cs="Arial"/>
          <w:sz w:val="20"/>
          <w:szCs w:val="20"/>
        </w:rPr>
        <w:t>‘</w:t>
      </w:r>
      <w:r w:rsidRPr="00667CD6">
        <w:rPr>
          <w:rFonts w:ascii="Verdana" w:hAnsi="Verdana" w:cs="Arial"/>
          <w:sz w:val="20"/>
          <w:szCs w:val="20"/>
        </w:rPr>
        <w:t>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r>
        <w:rPr>
          <w:rFonts w:ascii="Verdana" w:hAnsi="Verdana" w:cs="Arial"/>
          <w:sz w:val="20"/>
          <w:szCs w:val="20"/>
        </w:rPr>
        <w:t>’”</w:t>
      </w:r>
      <w:r w:rsidRPr="00667CD6">
        <w:rPr>
          <w:rFonts w:ascii="Verdana" w:hAnsi="Verdana" w:cs="Arial"/>
          <w:sz w:val="20"/>
          <w:szCs w:val="20"/>
        </w:rPr>
        <w:t xml:space="preserve">. </w:t>
      </w:r>
    </w:p>
    <w:p w14:paraId="106975AC" w14:textId="77777777" w:rsidR="00F853CC" w:rsidRPr="00667CD6" w:rsidRDefault="00F853CC" w:rsidP="00F853CC">
      <w:pPr>
        <w:spacing w:after="0" w:line="276" w:lineRule="auto"/>
        <w:ind w:left="709" w:right="709"/>
        <w:jc w:val="both"/>
        <w:rPr>
          <w:rFonts w:ascii="Verdana" w:hAnsi="Verdana" w:cs="Arial"/>
        </w:rPr>
      </w:pPr>
    </w:p>
    <w:p w14:paraId="38D3F737" w14:textId="77777777" w:rsidR="00F853CC" w:rsidRPr="00667CD6" w:rsidRDefault="00F853CC" w:rsidP="00F853CC">
      <w:pPr>
        <w:spacing w:after="120" w:line="276" w:lineRule="auto"/>
        <w:ind w:firstLine="709"/>
        <w:jc w:val="both"/>
        <w:rPr>
          <w:rFonts w:ascii="Verdana" w:eastAsia="Arial" w:hAnsi="Verdana" w:cs="Arial"/>
          <w:i/>
          <w:iCs/>
          <w:lang w:eastAsia="es-ES" w:bidi="es-ES"/>
        </w:rPr>
      </w:pPr>
      <w:r w:rsidRPr="00667CD6">
        <w:rPr>
          <w:rFonts w:ascii="Verdana" w:eastAsia="Arial" w:hAnsi="Verdana" w:cs="Arial"/>
          <w:lang w:val="es-MX" w:eastAsia="es-ES" w:bidi="es-ES"/>
        </w:rPr>
        <w:t xml:space="preserve">De conformidad con los argumentos de dicha providencia, se parte de la distinción entre los conceptos </w:t>
      </w:r>
      <w:r w:rsidRPr="00667CD6">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667CD6">
        <w:rPr>
          <w:rFonts w:ascii="Verdana" w:hAnsi="Verdana"/>
          <w:sz w:val="24"/>
          <w:szCs w:val="24"/>
          <w:lang w:eastAsia="es-CO"/>
        </w:rPr>
        <w:t xml:space="preserve"> </w:t>
      </w:r>
      <w:r w:rsidRPr="00667CD6">
        <w:rPr>
          <w:rFonts w:ascii="Verdana" w:eastAsia="Arial" w:hAnsi="Verdana" w:cs="Arial"/>
          <w:lang w:eastAsia="es-ES" w:bidi="es-ES"/>
        </w:rPr>
        <w:t xml:space="preserve">En este sentido, en relación con el parágrafo del artículo 38 de la Ley 996 de 2005 concluyó que </w:t>
      </w:r>
      <w:r w:rsidRPr="00667CD6">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667CD6">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667CD6">
        <w:rPr>
          <w:rFonts w:ascii="Verdana" w:eastAsia="Arial" w:hAnsi="Verdana" w:cs="Arial"/>
          <w:i/>
          <w:iCs/>
          <w:lang w:eastAsia="es-ES" w:bidi="es-ES"/>
        </w:rPr>
        <w:t>“con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w:t>
      </w:r>
      <w:r>
        <w:rPr>
          <w:rFonts w:ascii="Verdana" w:eastAsia="Arial" w:hAnsi="Verdana" w:cs="Arial"/>
          <w:lang w:eastAsia="es-ES" w:bidi="es-ES"/>
        </w:rPr>
        <w:t>”</w:t>
      </w:r>
      <w:r w:rsidRPr="00667CD6">
        <w:rPr>
          <w:rFonts w:ascii="Verdana" w:eastAsia="Arial" w:hAnsi="Verdana" w:cs="Arial"/>
          <w:i/>
          <w:iCs/>
          <w:lang w:eastAsia="es-ES" w:bidi="es-ES"/>
        </w:rPr>
        <w:t xml:space="preserve">. </w:t>
      </w:r>
    </w:p>
    <w:p w14:paraId="36BFC782" w14:textId="77777777" w:rsidR="00F853CC" w:rsidRPr="00667CD6" w:rsidRDefault="00F853CC" w:rsidP="00F853CC">
      <w:pPr>
        <w:spacing w:after="120" w:line="276" w:lineRule="auto"/>
        <w:ind w:firstLine="709"/>
        <w:jc w:val="both"/>
        <w:rPr>
          <w:rFonts w:ascii="Verdana" w:eastAsia="Arial" w:hAnsi="Verdana" w:cs="Arial"/>
          <w:lang w:eastAsia="es-ES" w:bidi="es-ES"/>
        </w:rPr>
      </w:pPr>
      <w:r w:rsidRPr="00667CD6">
        <w:rPr>
          <w:rFonts w:ascii="Verdana" w:eastAsia="Arial" w:hAnsi="Verdana" w:cs="Arial"/>
          <w:lang w:eastAsia="es-ES" w:bidi="es-ES"/>
        </w:rPr>
        <w:t>De igual manera, mediante auto del 6 de noviembre de 2025, el Consejo de Estado, Subsección A de la Sección Tercera, decretó</w:t>
      </w:r>
      <w:r w:rsidRPr="00667CD6">
        <w:rPr>
          <w:rFonts w:ascii="Verdana" w:eastAsia="Arial" w:hAnsi="Verdana" w:cs="Arial"/>
          <w:b/>
          <w:bCs/>
          <w:lang w:eastAsia="es-ES" w:bidi="es-ES"/>
        </w:rPr>
        <w:t xml:space="preserve"> </w:t>
      </w:r>
      <w:r w:rsidRPr="00667CD6">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667CD6">
        <w:rPr>
          <w:rFonts w:ascii="Verdana" w:eastAsia="Arial" w:hAnsi="Verdana" w:cs="Arial"/>
          <w:vertAlign w:val="superscript"/>
          <w:lang w:eastAsia="es-ES" w:bidi="es-ES"/>
        </w:rPr>
        <w:footnoteReference w:id="34"/>
      </w:r>
      <w:r w:rsidRPr="00667CD6">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w:t>
      </w:r>
      <w:proofErr w:type="spellStart"/>
      <w:r w:rsidRPr="00667CD6">
        <w:rPr>
          <w:rFonts w:ascii="Verdana" w:eastAsia="Arial" w:hAnsi="Verdana" w:cs="Arial"/>
          <w:lang w:eastAsia="es-ES" w:bidi="es-ES"/>
        </w:rPr>
        <w:t>legis</w:t>
      </w:r>
      <w:proofErr w:type="spellEnd"/>
      <w:r w:rsidRPr="00667CD6">
        <w:rPr>
          <w:rFonts w:ascii="Verdana" w:eastAsia="Arial" w:hAnsi="Verdana" w:cs="Arial"/>
          <w:lang w:eastAsia="es-ES" w:bidi="es-ES"/>
        </w:rPr>
        <w:t xml:space="preserve"> o iuris y la interpretación extensiva y reiteró los argumentos sobre la diferencia entre contratos y convenios interadministrativos. </w:t>
      </w:r>
    </w:p>
    <w:p w14:paraId="7655877C" w14:textId="77777777" w:rsidR="00F853CC" w:rsidRDefault="00F853CC" w:rsidP="00F853CC">
      <w:pPr>
        <w:spacing w:after="120" w:line="276" w:lineRule="auto"/>
        <w:ind w:firstLine="709"/>
        <w:jc w:val="both"/>
        <w:rPr>
          <w:rFonts w:ascii="Verdana" w:eastAsia="Times New Roman" w:hAnsi="Verdana" w:cs="Times New Roman"/>
          <w:lang w:eastAsia="es-ES"/>
        </w:rPr>
      </w:pPr>
      <w:r w:rsidRPr="31E4E861">
        <w:rPr>
          <w:rFonts w:ascii="Verdana" w:eastAsia="Arial" w:hAnsi="Verdana" w:cs="Arial"/>
          <w:lang w:eastAsia="es-ES" w:bidi="es-ES"/>
        </w:rPr>
        <w:t>Finalmente, mediante sentencia del 17 de octubre de 2025, emitida por la S</w:t>
      </w:r>
      <w:r>
        <w:rPr>
          <w:rFonts w:ascii="Verdana" w:eastAsia="Arial" w:hAnsi="Verdana" w:cs="Arial"/>
          <w:lang w:eastAsia="es-ES" w:bidi="es-ES"/>
        </w:rPr>
        <w:t xml:space="preserve">ección Tercera del </w:t>
      </w:r>
      <w:r w:rsidRPr="31E4E861">
        <w:rPr>
          <w:rFonts w:ascii="Verdana" w:eastAsia="Arial" w:hAnsi="Verdana" w:cs="Arial"/>
          <w:lang w:eastAsia="es-ES" w:bidi="es-ES"/>
        </w:rPr>
        <w:t xml:space="preserve">Consejo de Estado, dentro del expediente </w:t>
      </w:r>
      <w:r w:rsidRPr="31E4E861">
        <w:rPr>
          <w:rFonts w:ascii="Verdana" w:eastAsia="Times New Roman" w:hAnsi="Verdana" w:cs="Times New Roman"/>
          <w:lang w:eastAsia="es-ES"/>
        </w:rPr>
        <w:t>11001-03-26-000-2023-00139-00, se declaró la nulidad parcial del numeral 16.2 de la Circular Externa Única de 2022 expedida por la Agencia Nacional de Contratación Pública - Colombia Compra Eficiente que indicaba: “Esta restricción es aplicable tanto a los convenios como a los</w:t>
      </w:r>
      <w:r>
        <w:rPr>
          <w:rFonts w:ascii="Verdana" w:eastAsia="Times New Roman" w:hAnsi="Verdana" w:cs="Times New Roman"/>
          <w:lang w:eastAsia="es-ES"/>
        </w:rPr>
        <w:t xml:space="preserve"> contratos interadministrativos (…)</w:t>
      </w:r>
      <w:r w:rsidRPr="31E4E861">
        <w:rPr>
          <w:rFonts w:ascii="Verdana" w:eastAsia="Times New Roman" w:hAnsi="Verdana" w:cs="Times New Roman"/>
          <w:lang w:eastAsia="es-ES"/>
        </w:rPr>
        <w:t xml:space="preserve">”. </w:t>
      </w:r>
    </w:p>
    <w:p w14:paraId="4A3BA844" w14:textId="77777777" w:rsidR="00F853CC" w:rsidRDefault="00F853CC" w:rsidP="00F853CC">
      <w:pPr>
        <w:spacing w:after="120" w:line="276" w:lineRule="auto"/>
        <w:ind w:firstLine="709"/>
        <w:jc w:val="both"/>
        <w:rPr>
          <w:rFonts w:ascii="Verdana" w:eastAsia="Times New Roman" w:hAnsi="Verdana" w:cs="Times New Roman"/>
          <w:lang w:eastAsia="es-ES"/>
        </w:rPr>
      </w:pPr>
      <w:r w:rsidRPr="2035D652">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2035D652">
        <w:rPr>
          <w:rStyle w:val="Refdenotaalpie"/>
          <w:rFonts w:ascii="Verdana" w:eastAsia="Times New Roman" w:hAnsi="Verdana" w:cs="Times New Roman"/>
          <w:lang w:eastAsia="es-ES"/>
        </w:rPr>
        <w:footnoteReference w:id="35"/>
      </w:r>
      <w:r w:rsidRPr="2035D652">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6DB31B3B" w14:textId="77777777" w:rsidR="00F853CC" w:rsidRDefault="00F853CC" w:rsidP="00F853CC">
      <w:pPr>
        <w:spacing w:after="120" w:line="276" w:lineRule="auto"/>
        <w:ind w:firstLine="709"/>
        <w:jc w:val="both"/>
        <w:rPr>
          <w:rFonts w:ascii="Verdana" w:eastAsia="Times New Roman" w:hAnsi="Verdana" w:cs="Arial"/>
          <w:lang w:eastAsia="es-CO"/>
        </w:rPr>
      </w:pPr>
      <w:r w:rsidRPr="2035D652">
        <w:rPr>
          <w:rFonts w:ascii="Verdana" w:eastAsia="Times New Roman" w:hAnsi="Verdana" w:cs="Times New Roman"/>
          <w:lang w:eastAsia="es-ES"/>
        </w:rPr>
        <w:t xml:space="preserve">A juicio de la Sala, aunque el propósito de la Circular Externa era legítimo </w:t>
      </w:r>
      <w:r>
        <w:rPr>
          <w:rFonts w:ascii="Verdana" w:eastAsia="Times New Roman" w:hAnsi="Verdana" w:cs="Times New Roman"/>
          <w:lang w:eastAsia="es-ES"/>
        </w:rPr>
        <w:t>–</w:t>
      </w:r>
      <w:r w:rsidRPr="2035D652">
        <w:rPr>
          <w:rFonts w:ascii="Verdana" w:eastAsia="Times New Roman" w:hAnsi="Verdana" w:cs="Times New Roman"/>
          <w:lang w:eastAsia="es-ES"/>
        </w:rPr>
        <w:t>evitar el uso indebido de recursos en época electoral</w:t>
      </w:r>
      <w:r>
        <w:rPr>
          <w:rFonts w:ascii="Verdana" w:eastAsia="Times New Roman" w:hAnsi="Verdana" w:cs="Times New Roman"/>
          <w:lang w:eastAsia="es-ES"/>
        </w:rPr>
        <w:t>–</w:t>
      </w:r>
      <w:r w:rsidRPr="2035D652">
        <w:rPr>
          <w:rFonts w:ascii="Verdana" w:eastAsia="Times New Roman" w:hAnsi="Verdana" w:cs="Times New Roman"/>
          <w:lang w:eastAsia="es-ES"/>
        </w:rPr>
        <w:t>, el numeral 16.2. desconoció el alcance literal del artículo 38 de la Ley 996 de 2005 y los límites de la potestad reglamentaria, lo que configuró un vicio de contenido.</w:t>
      </w:r>
      <w:r>
        <w:rPr>
          <w:rFonts w:ascii="Verdana" w:eastAsia="Times New Roman" w:hAnsi="Verdana" w:cs="Times New Roman"/>
          <w:lang w:eastAsia="es-ES"/>
        </w:rPr>
        <w:t xml:space="preserve"> </w:t>
      </w:r>
      <w:r w:rsidRPr="00667CD6">
        <w:rPr>
          <w:rFonts w:ascii="Verdana" w:eastAsia="Times New Roman" w:hAnsi="Verdana" w:cs="Arial"/>
          <w:lang w:eastAsia="es-CO"/>
        </w:rPr>
        <w:t>Así las cosas, a la luz de lo expuesto por el Consejo de Estado</w:t>
      </w:r>
      <w:r>
        <w:rPr>
          <w:rFonts w:ascii="Verdana" w:eastAsia="Times New Roman" w:hAnsi="Verdana" w:cs="Arial"/>
          <w:lang w:eastAsia="es-CO"/>
        </w:rPr>
        <w:t xml:space="preserve">, </w:t>
      </w:r>
      <w:r w:rsidRPr="2035D652">
        <w:rPr>
          <w:rFonts w:ascii="Verdana" w:eastAsia="Times New Roman" w:hAnsi="Verdana" w:cs="Arial"/>
          <w:lang w:eastAsia="es-CO"/>
        </w:rPr>
        <w:t>en la sentencia expedida por la Sección Tercera de la Sala de lo Contencioso Administrativo del 17 de octubre de 2025</w:t>
      </w:r>
      <w:r>
        <w:rPr>
          <w:rFonts w:ascii="Verdana" w:eastAsia="Times New Roman" w:hAnsi="Verdana" w:cs="Arial"/>
          <w:lang w:eastAsia="es-CO"/>
        </w:rPr>
        <w:t>,</w:t>
      </w:r>
      <w:r w:rsidRPr="00667CD6">
        <w:rPr>
          <w:rFonts w:ascii="Verdana" w:eastAsia="Times New Roman" w:hAnsi="Verdana" w:cs="Arial"/>
          <w:lang w:eastAsia="es-CO"/>
        </w:rPr>
        <w:t xml:space="preserve"> en los autos del 4 de octubre de 2024 y 6 de noviembre de 2025, no resultaría aplicable la prohibición del parágrafo del artículo 38 de la Ley de Garantías Electorales a los </w:t>
      </w:r>
      <w:r w:rsidRPr="00667CD6">
        <w:rPr>
          <w:rFonts w:ascii="Verdana" w:eastAsia="Times New Roman" w:hAnsi="Verdana" w:cs="Arial"/>
          <w:i/>
          <w:iCs/>
          <w:lang w:eastAsia="es-CO"/>
        </w:rPr>
        <w:t>contratos interadministrativos</w:t>
      </w:r>
      <w:r>
        <w:rPr>
          <w:rFonts w:ascii="Verdana" w:eastAsia="Times New Roman" w:hAnsi="Verdana" w:cs="Arial"/>
          <w:lang w:eastAsia="es-CO"/>
        </w:rPr>
        <w:t>, esta prohibición solo aplicaría a los convenios interadministrativos que impliquen la ejecución de recursos públicos</w:t>
      </w:r>
      <w:r>
        <w:rPr>
          <w:rStyle w:val="Refdenotaalpie"/>
          <w:rFonts w:ascii="Verdana" w:eastAsia="Times New Roman" w:hAnsi="Verdana" w:cs="Arial"/>
          <w:lang w:eastAsia="es-CO"/>
        </w:rPr>
        <w:footnoteReference w:id="36"/>
      </w:r>
      <w:r>
        <w:rPr>
          <w:rFonts w:ascii="Verdana" w:eastAsia="Times New Roman" w:hAnsi="Verdana" w:cs="Arial"/>
          <w:lang w:eastAsia="es-CO"/>
        </w:rPr>
        <w:t>. C</w:t>
      </w:r>
      <w:r w:rsidRPr="00667CD6">
        <w:rPr>
          <w:rFonts w:ascii="Verdana" w:eastAsia="Times New Roman" w:hAnsi="Verdana" w:cs="Arial"/>
          <w:lang w:eastAsia="es-CO"/>
        </w:rPr>
        <w:t xml:space="preserve">onforme a lo señalado por el Consejo de Estado, cuando dos entidades públicas celebren un </w:t>
      </w:r>
      <w:r w:rsidRPr="00667CD6">
        <w:rPr>
          <w:rFonts w:ascii="Verdana" w:eastAsia="Times New Roman" w:hAnsi="Verdana" w:cs="Arial"/>
          <w:i/>
          <w:iCs/>
          <w:lang w:eastAsia="es-CO"/>
        </w:rPr>
        <w:t>contrato interadministrativo,</w:t>
      </w:r>
      <w:r w:rsidRPr="00667CD6">
        <w:rPr>
          <w:rFonts w:ascii="Verdana" w:eastAsia="Times New Roman" w:hAnsi="Verdana" w:cs="Arial"/>
          <w:lang w:eastAsia="es-CO"/>
        </w:rPr>
        <w:t xml:space="preserve"> independientemente del objeto, dicho contrato puede suscribirse durante el periodo preelectoral.</w:t>
      </w:r>
    </w:p>
    <w:p w14:paraId="0B28A12B" w14:textId="77777777" w:rsidR="00F853CC" w:rsidRDefault="00F853CC" w:rsidP="00F853CC">
      <w:pPr>
        <w:spacing w:after="120" w:line="276" w:lineRule="auto"/>
        <w:ind w:firstLine="708"/>
        <w:jc w:val="both"/>
        <w:rPr>
          <w:rFonts w:ascii="Verdana" w:eastAsia="Times New Roman" w:hAnsi="Verdana" w:cs="Arial"/>
          <w:lang w:eastAsia="es-CO"/>
        </w:rPr>
      </w:pPr>
      <w:r>
        <w:rPr>
          <w:rFonts w:ascii="Verdana" w:eastAsia="Times New Roman" w:hAnsi="Verdana" w:cs="Arial"/>
          <w:lang w:eastAsia="es-CO"/>
        </w:rPr>
        <w:t>En este aspecto, se encuentra que la restricción para la celebración de convenios interadministrativos para la ejecución de recursos públicos no puede aludirse a contratantes o contratistas, sino de partes cooperantes o colaboradoras. Así mismo, aplica para cualquier tipo de elección, lo que implica que la restricción del parágrafo del artículo 38</w:t>
      </w:r>
      <w:r>
        <w:rPr>
          <w:rFonts w:ascii="Verdana" w:eastAsia="Times New Roman" w:hAnsi="Verdana" w:cs="Arial"/>
          <w:bCs/>
          <w:lang w:val="es-MX" w:eastAsia="x-none"/>
        </w:rPr>
        <w:t xml:space="preserve"> aplica desde el 8 de noviembre de 2025, teniendo en cuenta que la Resolución 02580 del 5 de marzo de 2025 de la Registraduría Nacional del Estado Civil dispuso que las elecciones de senado y cámara se celebraron el 8 de marzo de 2026. Esta restricción se extiende a las elecciones presidenciales que se celebrarán el 31 de mayo de 2026, así como una posible segunda vuelta tres semanas después, es decir, el 21 de junio de 2026. </w:t>
      </w:r>
    </w:p>
    <w:p w14:paraId="30BBB67B" w14:textId="77777777" w:rsidR="00F853CC" w:rsidRDefault="00F853CC" w:rsidP="00F853CC">
      <w:pPr>
        <w:spacing w:after="120" w:line="276" w:lineRule="auto"/>
        <w:ind w:firstLine="708"/>
        <w:jc w:val="both"/>
        <w:rPr>
          <w:rFonts w:ascii="Verdana" w:eastAsia="Calibri" w:hAnsi="Verdana" w:cs="Arial"/>
          <w:lang w:val="es-ES" w:eastAsia="es-ES"/>
        </w:rPr>
      </w:pPr>
      <w:r w:rsidRPr="00667CD6">
        <w:rPr>
          <w:rFonts w:ascii="Verdana" w:eastAsia="Times New Roman" w:hAnsi="Verdana" w:cs="Arial"/>
          <w:lang w:eastAsia="es-CO"/>
        </w:rPr>
        <w:t xml:space="preserve"> </w:t>
      </w:r>
      <w:r w:rsidRPr="605533EB">
        <w:rPr>
          <w:rFonts w:ascii="Verdana" w:eastAsia="Times New Roman" w:hAnsi="Verdana" w:cs="Arial"/>
          <w:lang w:eastAsia="es-CO"/>
        </w:rPr>
        <w:t xml:space="preserve">No </w:t>
      </w:r>
      <w:r>
        <w:rPr>
          <w:rFonts w:ascii="Verdana" w:eastAsia="Times New Roman" w:hAnsi="Verdana" w:cs="Arial"/>
          <w:lang w:eastAsia="es-CO"/>
        </w:rPr>
        <w:t>obstante</w:t>
      </w:r>
      <w:r w:rsidRPr="605533EB">
        <w:rPr>
          <w:rFonts w:ascii="Verdana" w:eastAsia="Times New Roman" w:hAnsi="Verdana" w:cs="Arial"/>
          <w:lang w:eastAsia="es-CO"/>
        </w:rPr>
        <w:t xml:space="preserve">, es importante mencionar que aún se encuentra por definir la demanda </w:t>
      </w:r>
      <w:r w:rsidRPr="605533EB">
        <w:rPr>
          <w:rFonts w:ascii="Verdana" w:eastAsia="Calibri" w:hAnsi="Verdana" w:cs="Arial"/>
          <w:lang w:val="es-ES" w:eastAsia="es-ES"/>
        </w:rPr>
        <w:t xml:space="preserve">de nulidad simple, identificada con el Radicado número 11001-03-26-000-2025-00016-00, en la cual se cuestiona </w:t>
      </w:r>
      <w:r w:rsidRPr="605533EB">
        <w:rPr>
          <w:rFonts w:ascii="Verdana" w:eastAsia="Calibri" w:hAnsi="Verdana" w:cs="Arial"/>
          <w:lang w:eastAsia="es-ES"/>
        </w:rPr>
        <w:t>parcialmente el numeral 16.2 de la Circular Externa Única CCE-EICP-MA-06, Versión 03 del 27 de diciembre de 2023.</w:t>
      </w:r>
      <w:r w:rsidRPr="605533EB">
        <w:rPr>
          <w:rFonts w:ascii="Verdana" w:eastAsia="Calibri" w:hAnsi="Verdana" w:cs="Arial"/>
          <w:lang w:val="es-ES" w:eastAsia="es-ES"/>
        </w:rPr>
        <w:t xml:space="preserve"> </w:t>
      </w:r>
    </w:p>
    <w:p w14:paraId="2C544794" w14:textId="77777777" w:rsidR="00F853CC" w:rsidRDefault="00F853CC" w:rsidP="00F853CC">
      <w:pPr>
        <w:spacing w:after="120" w:line="276" w:lineRule="auto"/>
        <w:ind w:firstLine="708"/>
        <w:jc w:val="both"/>
        <w:rPr>
          <w:rFonts w:ascii="Verdana" w:eastAsia="Calibri" w:hAnsi="Verdana" w:cs="Arial"/>
          <w:lang w:eastAsia="es-ES"/>
        </w:rPr>
      </w:pPr>
      <w:r w:rsidRPr="000864DE">
        <w:rPr>
          <w:rFonts w:ascii="Verdana" w:eastAsia="Calibri" w:hAnsi="Verdana" w:cs="Arial"/>
          <w:lang w:val="es-ES" w:eastAsia="es-ES"/>
        </w:rPr>
        <w:t xml:space="preserve">Con base en la anterior exposición sobre el alcance de la Ley 996 de 2005, resulta oportuno analizar la naturaleza del </w:t>
      </w:r>
      <w:r>
        <w:rPr>
          <w:rFonts w:ascii="Verdana" w:eastAsia="Calibri" w:hAnsi="Verdana" w:cs="Arial"/>
          <w:lang w:val="es-ES" w:eastAsia="es-ES"/>
        </w:rPr>
        <w:t xml:space="preserve">Fondo </w:t>
      </w:r>
      <w:r w:rsidRPr="000864DE">
        <w:rPr>
          <w:rFonts w:ascii="Verdana" w:eastAsia="Calibri" w:hAnsi="Verdana" w:cs="Arial"/>
          <w:lang w:eastAsia="es-ES"/>
        </w:rPr>
        <w:t>de Energías No Convencionales y Gestión Eficiente de la Energía – FENOGE</w:t>
      </w:r>
      <w:r>
        <w:rPr>
          <w:rFonts w:ascii="Verdana" w:eastAsia="Calibri" w:hAnsi="Verdana" w:cs="Arial"/>
          <w:lang w:eastAsia="es-ES"/>
        </w:rPr>
        <w:t xml:space="preserve"> -. La Ley 1715 de 2014 en su artículo 10, modificado por la Ley 2099 de 2021, creó dicho Fondo como un patrimonio autónomo administrado a través de una fiducia mercantil, previa celebración por parte del </w:t>
      </w:r>
      <w:r w:rsidRPr="000864DE">
        <w:rPr>
          <w:rFonts w:ascii="Verdana" w:eastAsia="Calibri" w:hAnsi="Verdana" w:cs="Arial"/>
          <w:lang w:eastAsia="es-ES"/>
        </w:rPr>
        <w:t xml:space="preserve">Ministerio de Minas y Energía </w:t>
      </w:r>
      <w:r>
        <w:rPr>
          <w:rFonts w:ascii="Verdana" w:eastAsia="Calibri" w:hAnsi="Verdana" w:cs="Arial"/>
          <w:lang w:eastAsia="es-ES"/>
        </w:rPr>
        <w:t xml:space="preserve">de un contrato de fiducia, </w:t>
      </w:r>
      <w:r w:rsidRPr="000864DE">
        <w:rPr>
          <w:rFonts w:ascii="Verdana" w:eastAsia="Calibri" w:hAnsi="Verdana" w:cs="Arial"/>
          <w:lang w:eastAsia="es-ES"/>
        </w:rPr>
        <w:t>y cuyo objeto es promover, ejecutar y financiar planes, programas y proyectos de Fuentes No Convencionales de Energía – FNCE</w:t>
      </w:r>
      <w:r>
        <w:rPr>
          <w:rStyle w:val="Refdenotaalpie"/>
          <w:rFonts w:ascii="Verdana" w:eastAsia="Calibri" w:hAnsi="Verdana" w:cs="Arial"/>
          <w:lang w:eastAsia="es-ES"/>
        </w:rPr>
        <w:footnoteReference w:id="37"/>
      </w:r>
      <w:r w:rsidRPr="000864DE">
        <w:rPr>
          <w:rFonts w:ascii="Verdana" w:eastAsia="Calibri" w:hAnsi="Verdana" w:cs="Arial"/>
          <w:lang w:eastAsia="es-ES"/>
        </w:rPr>
        <w:t>, principalmente aquellas de carácter renovable y de Gestión Eficiente de la Energía - GEE</w:t>
      </w:r>
      <w:r>
        <w:rPr>
          <w:rStyle w:val="Refdenotaalpie"/>
          <w:rFonts w:ascii="Verdana" w:eastAsia="Calibri" w:hAnsi="Verdana" w:cs="Arial"/>
          <w:lang w:eastAsia="es-ES"/>
        </w:rPr>
        <w:footnoteReference w:id="38"/>
      </w:r>
      <w:r w:rsidRPr="000864DE">
        <w:rPr>
          <w:rFonts w:ascii="Verdana" w:eastAsia="Calibri" w:hAnsi="Verdana" w:cs="Arial"/>
          <w:lang w:eastAsia="es-ES"/>
        </w:rPr>
        <w:t xml:space="preserve"> y estableció que este FONDO sería reglamentado por el Ministerio de Minas y Energía, labor que se surtió con la creación de un Manual Operativo</w:t>
      </w:r>
      <w:r>
        <w:rPr>
          <w:rStyle w:val="Refdenotaalpie"/>
          <w:rFonts w:ascii="Verdana" w:eastAsia="Calibri" w:hAnsi="Verdana" w:cs="Arial"/>
          <w:lang w:eastAsia="es-ES"/>
        </w:rPr>
        <w:footnoteReference w:id="39"/>
      </w:r>
      <w:r w:rsidRPr="000864DE">
        <w:rPr>
          <w:rFonts w:ascii="Verdana" w:eastAsia="Calibri" w:hAnsi="Verdana" w:cs="Arial"/>
          <w:lang w:eastAsia="es-ES"/>
        </w:rPr>
        <w:t xml:space="preserve"> y un Comité Directivo</w:t>
      </w:r>
      <w:r>
        <w:rPr>
          <w:rFonts w:ascii="Verdana" w:eastAsia="Calibri" w:hAnsi="Verdana" w:cs="Arial"/>
          <w:lang w:eastAsia="es-ES"/>
        </w:rPr>
        <w:t xml:space="preserve">. </w:t>
      </w:r>
    </w:p>
    <w:p w14:paraId="384AC9C4" w14:textId="77777777" w:rsidR="00F853CC" w:rsidRDefault="00F853CC" w:rsidP="00F853CC">
      <w:pPr>
        <w:spacing w:after="120" w:line="276" w:lineRule="auto"/>
        <w:ind w:firstLine="708"/>
        <w:jc w:val="both"/>
        <w:rPr>
          <w:rFonts w:ascii="Verdana" w:eastAsia="Calibri" w:hAnsi="Verdana" w:cs="Arial"/>
          <w:lang w:eastAsia="es-ES"/>
        </w:rPr>
      </w:pPr>
      <w:r>
        <w:rPr>
          <w:rFonts w:ascii="Verdana" w:eastAsia="Calibri" w:hAnsi="Verdana" w:cs="Arial"/>
          <w:lang w:eastAsia="es-ES"/>
        </w:rPr>
        <w:t xml:space="preserve">El mismo artículo 10 en el literal e) dispuso que el </w:t>
      </w:r>
      <w:r w:rsidRPr="007C631E">
        <w:rPr>
          <w:rFonts w:ascii="Verdana" w:eastAsia="Calibri" w:hAnsi="Verdana" w:cs="Arial"/>
          <w:lang w:eastAsia="es-ES"/>
        </w:rPr>
        <w:t>régimen de contratación y administración de sus recursos será regido por el derecho privado, con plena observancia de los principios de transparencia, economía, igualdad, publicidad y selección objetiva, definidos por la Constitución y la ley, además de aplicar el régimen de inhabilidades e incompatibilidades previsto legalmente.</w:t>
      </w:r>
      <w:r>
        <w:rPr>
          <w:rFonts w:ascii="Verdana" w:eastAsia="Calibri" w:hAnsi="Verdana" w:cs="Arial"/>
          <w:lang w:eastAsia="es-ES"/>
        </w:rPr>
        <w:t xml:space="preserve"> </w:t>
      </w:r>
    </w:p>
    <w:p w14:paraId="282B253E" w14:textId="77777777" w:rsidR="00F853CC" w:rsidRDefault="00F853CC" w:rsidP="00F853CC">
      <w:pPr>
        <w:spacing w:after="120" w:line="276" w:lineRule="auto"/>
        <w:ind w:firstLine="708"/>
        <w:jc w:val="both"/>
        <w:rPr>
          <w:rFonts w:ascii="Verdana" w:eastAsia="Calibri" w:hAnsi="Verdana" w:cs="Arial"/>
          <w:lang w:eastAsia="es-ES"/>
        </w:rPr>
      </w:pPr>
      <w:r>
        <w:rPr>
          <w:rFonts w:ascii="Verdana" w:eastAsia="Calibri" w:hAnsi="Verdana" w:cs="Arial"/>
          <w:lang w:eastAsia="es-ES"/>
        </w:rPr>
        <w:t xml:space="preserve">El artículo 2 de la Ley 1715 de 2014 definió como finalidad de la Ley: </w:t>
      </w:r>
      <w:r w:rsidRPr="002B0D84">
        <w:rPr>
          <w:rFonts w:ascii="Verdana" w:eastAsia="Calibri" w:hAnsi="Verdana" w:cs="Arial"/>
          <w:lang w:eastAsia="es-ES"/>
        </w:rPr>
        <w:t>b) Incentivar la penetración de las fuentes no convencionales de energía, principalmente aquellas de carácter renovable en el sistema energético colombiano, la eficiencia energética y la respuesta de la demanda en todos los sectores y actividades, con criterios de sostenibilidad medioambiental, social y económica; c) Establecer mecanismos de cooperación y coordinación entre el sector público, el sector privado y los usuarios para el desarrollo de fuentes no convencionales de energía, principalmente aquellas de carácter renovable, y el fomento de la gestión eficiente de la energía; d) Establecer el deber a cargo del Estado a través de las entidades del orden nacional, departamental, municipal o de desarrollar programas y políticas para asegurar el impulso y uso de mecanismos de fomento de la gestión eficiente de la energía y de la penetración de las fuentes no convencionales de energía, principalmente aquellas de carácter renovable, en la canasta energética colombiana. (…)”.</w:t>
      </w:r>
      <w:r>
        <w:rPr>
          <w:rFonts w:ascii="Verdana" w:eastAsia="Calibri" w:hAnsi="Verdana" w:cs="Arial"/>
          <w:lang w:eastAsia="es-ES"/>
        </w:rPr>
        <w:t xml:space="preserve"> </w:t>
      </w:r>
    </w:p>
    <w:p w14:paraId="1A40887A" w14:textId="77777777" w:rsidR="00F853CC" w:rsidRDefault="00F853CC" w:rsidP="00F853CC">
      <w:pPr>
        <w:spacing w:after="120" w:line="276" w:lineRule="auto"/>
        <w:ind w:firstLine="708"/>
        <w:jc w:val="both"/>
        <w:rPr>
          <w:rFonts w:ascii="Verdana" w:eastAsia="Calibri" w:hAnsi="Verdana" w:cs="Arial"/>
          <w:lang w:eastAsia="es-ES"/>
        </w:rPr>
      </w:pPr>
      <w:r>
        <w:rPr>
          <w:rFonts w:ascii="Verdana" w:eastAsia="Calibri" w:hAnsi="Verdana" w:cs="Arial"/>
          <w:lang w:eastAsia="es-ES"/>
        </w:rPr>
        <w:t xml:space="preserve">En ese contexto, la fiducia, como vocera del fondo podrá celebrar entre otros negocios jurídicos, contratos y convenios interadministrativos con las entidades estatales de cualquier orden, sometidas a la Ley 80 de 1993 </w:t>
      </w:r>
      <w:r w:rsidRPr="002B0D84">
        <w:rPr>
          <w:rFonts w:ascii="Verdana" w:eastAsia="Calibri" w:hAnsi="Verdana" w:cs="Arial"/>
          <w:lang w:eastAsia="es-ES"/>
        </w:rPr>
        <w:t>para la ejecución de planes, programas y/o proyectos, así como los recursos destinados a la promoción y desarrollo de Fuentes No Convencionales de Energía, y Gestión Eficiente de la Energía. Dichos convenios o contratos se considerarán contratos interadministrativos</w:t>
      </w:r>
      <w:r>
        <w:rPr>
          <w:rFonts w:ascii="Verdana" w:eastAsia="Calibri" w:hAnsi="Verdana" w:cs="Arial"/>
          <w:lang w:eastAsia="es-ES"/>
        </w:rPr>
        <w:t xml:space="preserve"> (parágrafo 2 del artículo 10 de la Ley 1715 de 2014)</w:t>
      </w:r>
      <w:r w:rsidRPr="002B0D84">
        <w:rPr>
          <w:rFonts w:ascii="Verdana" w:eastAsia="Calibri" w:hAnsi="Verdana" w:cs="Arial"/>
          <w:lang w:eastAsia="es-ES"/>
        </w:rPr>
        <w:t>.</w:t>
      </w:r>
    </w:p>
    <w:p w14:paraId="38C078B4" w14:textId="77777777" w:rsidR="00F853CC" w:rsidRDefault="00F853CC" w:rsidP="00F853CC">
      <w:pPr>
        <w:spacing w:after="120" w:line="276" w:lineRule="auto"/>
        <w:ind w:firstLine="708"/>
        <w:jc w:val="both"/>
        <w:rPr>
          <w:rFonts w:ascii="Verdana" w:eastAsia="Calibri" w:hAnsi="Verdana" w:cs="Arial"/>
          <w:lang w:eastAsia="es-ES"/>
        </w:rPr>
      </w:pPr>
      <w:r>
        <w:rPr>
          <w:rFonts w:ascii="Verdana" w:eastAsia="Calibri" w:hAnsi="Verdana" w:cs="Arial"/>
          <w:lang w:eastAsia="es-ES"/>
        </w:rPr>
        <w:t xml:space="preserve">Ahora bien, el Decreto 1073 de 2015 en el artículo 2.2.3.3.5.7 determina lo siguiente: </w:t>
      </w:r>
    </w:p>
    <w:p w14:paraId="4AE356B3" w14:textId="77777777" w:rsidR="00F853CC" w:rsidRDefault="00F853CC" w:rsidP="00F853CC">
      <w:pPr>
        <w:pStyle w:val="Prrafodelista"/>
        <w:numPr>
          <w:ilvl w:val="0"/>
          <w:numId w:val="18"/>
        </w:numPr>
        <w:spacing w:after="120" w:line="276" w:lineRule="auto"/>
        <w:jc w:val="both"/>
        <w:rPr>
          <w:rFonts w:ascii="Verdana" w:eastAsia="Calibri" w:hAnsi="Verdana" w:cs="Arial"/>
          <w:lang w:eastAsia="es-ES"/>
        </w:rPr>
      </w:pPr>
      <w:r w:rsidRPr="00D435B3">
        <w:rPr>
          <w:rFonts w:ascii="Verdana" w:eastAsia="Calibri" w:hAnsi="Verdana" w:cs="Arial"/>
          <w:lang w:eastAsia="es-ES"/>
        </w:rPr>
        <w:t xml:space="preserve">La Nación - Ministerio de Minas y Energía será titular, en proporción a su aporte, de la infraestructura que se financie con recursos del </w:t>
      </w:r>
      <w:proofErr w:type="spellStart"/>
      <w:r w:rsidRPr="00D435B3">
        <w:rPr>
          <w:rFonts w:ascii="Verdana" w:eastAsia="Calibri" w:hAnsi="Verdana" w:cs="Arial"/>
          <w:lang w:eastAsia="es-ES"/>
        </w:rPr>
        <w:t>Fenoge</w:t>
      </w:r>
      <w:proofErr w:type="spellEnd"/>
      <w:r w:rsidRPr="00D435B3">
        <w:rPr>
          <w:rFonts w:ascii="Verdana" w:eastAsia="Calibri" w:hAnsi="Verdana" w:cs="Arial"/>
          <w:lang w:eastAsia="es-ES"/>
        </w:rPr>
        <w:t>. </w:t>
      </w:r>
    </w:p>
    <w:p w14:paraId="0E81EB8B" w14:textId="77777777" w:rsidR="00F853CC" w:rsidRDefault="00F853CC" w:rsidP="00F853CC">
      <w:pPr>
        <w:pStyle w:val="Prrafodelista"/>
        <w:numPr>
          <w:ilvl w:val="0"/>
          <w:numId w:val="18"/>
        </w:numPr>
        <w:spacing w:after="120" w:line="276" w:lineRule="auto"/>
        <w:jc w:val="both"/>
        <w:rPr>
          <w:rFonts w:ascii="Verdana" w:eastAsia="Calibri" w:hAnsi="Verdana" w:cs="Arial"/>
          <w:lang w:eastAsia="es-ES"/>
        </w:rPr>
      </w:pPr>
      <w:r w:rsidRPr="00D435B3">
        <w:rPr>
          <w:rFonts w:ascii="Verdana" w:eastAsia="Calibri" w:hAnsi="Verdana" w:cs="Arial"/>
          <w:lang w:eastAsia="es-ES"/>
        </w:rPr>
        <w:t xml:space="preserve">En los proyectos en los cuales se financie infraestructura con recursos del </w:t>
      </w:r>
      <w:proofErr w:type="spellStart"/>
      <w:r w:rsidRPr="00D435B3">
        <w:rPr>
          <w:rFonts w:ascii="Verdana" w:eastAsia="Calibri" w:hAnsi="Verdana" w:cs="Arial"/>
          <w:lang w:eastAsia="es-ES"/>
        </w:rPr>
        <w:t>Fenoge</w:t>
      </w:r>
      <w:proofErr w:type="spellEnd"/>
      <w:r w:rsidRPr="00D435B3">
        <w:rPr>
          <w:rFonts w:ascii="Verdana" w:eastAsia="Calibri" w:hAnsi="Verdana" w:cs="Arial"/>
          <w:lang w:eastAsia="es-ES"/>
        </w:rPr>
        <w:t>, cuyo fin sea la prestación de servicios públicos domiciliarios, esta podrá aportarse a empresas de servicios públicos domiciliarios en los términos del numeral 87.9 del artículo 87 de la Ley 142 de 1994. </w:t>
      </w:r>
    </w:p>
    <w:p w14:paraId="2935F728" w14:textId="77777777" w:rsidR="00F853CC" w:rsidRPr="00D435B3" w:rsidRDefault="00F853CC" w:rsidP="00F853CC">
      <w:pPr>
        <w:pStyle w:val="Prrafodelista"/>
        <w:numPr>
          <w:ilvl w:val="0"/>
          <w:numId w:val="18"/>
        </w:numPr>
        <w:spacing w:after="120" w:line="276" w:lineRule="auto"/>
        <w:jc w:val="both"/>
        <w:rPr>
          <w:rFonts w:ascii="Verdana" w:eastAsia="Calibri" w:hAnsi="Verdana" w:cs="Arial"/>
          <w:lang w:eastAsia="es-ES"/>
        </w:rPr>
      </w:pPr>
      <w:r w:rsidRPr="00D435B3">
        <w:rPr>
          <w:rFonts w:ascii="Verdana" w:eastAsia="Calibri" w:hAnsi="Verdana" w:cs="Arial"/>
          <w:lang w:eastAsia="es-ES"/>
        </w:rPr>
        <w:t xml:space="preserve">En todo caso, previa aprobación del Ministerio de Minas y Energía, el </w:t>
      </w:r>
      <w:proofErr w:type="spellStart"/>
      <w:r w:rsidRPr="00D435B3">
        <w:rPr>
          <w:rFonts w:ascii="Verdana" w:eastAsia="Calibri" w:hAnsi="Verdana" w:cs="Arial"/>
          <w:lang w:eastAsia="es-ES"/>
        </w:rPr>
        <w:t>Fenoge</w:t>
      </w:r>
      <w:proofErr w:type="spellEnd"/>
      <w:r w:rsidRPr="00D435B3">
        <w:rPr>
          <w:rFonts w:ascii="Verdana" w:eastAsia="Calibri" w:hAnsi="Verdana" w:cs="Arial"/>
          <w:lang w:eastAsia="es-ES"/>
        </w:rPr>
        <w:t xml:space="preserve"> podrá transferir la propiedad de los bienes que sean financiados con sus recursos, en los términos del artículo 39.3 de la Ley 142 de 1994. </w:t>
      </w:r>
    </w:p>
    <w:p w14:paraId="16579433" w14:textId="77777777" w:rsidR="00F853CC" w:rsidRDefault="00F853CC" w:rsidP="00F853CC">
      <w:pPr>
        <w:spacing w:after="120" w:line="276" w:lineRule="auto"/>
        <w:jc w:val="both"/>
        <w:rPr>
          <w:rFonts w:ascii="Verdana" w:eastAsia="Calibri" w:hAnsi="Verdana" w:cs="Arial"/>
          <w:lang w:eastAsia="es-ES"/>
        </w:rPr>
      </w:pPr>
      <w:r>
        <w:rPr>
          <w:rFonts w:ascii="Verdana" w:eastAsia="Calibri" w:hAnsi="Verdana" w:cs="Arial"/>
          <w:lang w:eastAsia="es-ES"/>
        </w:rPr>
        <w:t xml:space="preserve">Como se observa, los bienes financiados con los recursos del Fondo y previa autorización del Ministerio de Minas y </w:t>
      </w:r>
      <w:proofErr w:type="gramStart"/>
      <w:r>
        <w:rPr>
          <w:rFonts w:ascii="Verdana" w:eastAsia="Calibri" w:hAnsi="Verdana" w:cs="Arial"/>
          <w:lang w:eastAsia="es-ES"/>
        </w:rPr>
        <w:t>Energía,</w:t>
      </w:r>
      <w:proofErr w:type="gramEnd"/>
      <w:r>
        <w:rPr>
          <w:rFonts w:ascii="Verdana" w:eastAsia="Calibri" w:hAnsi="Verdana" w:cs="Arial"/>
          <w:lang w:eastAsia="es-ES"/>
        </w:rPr>
        <w:t xml:space="preserve"> podrán ser transferidos mediante los contratos de transferencia de activos dispuesto en el artículo 39 numeral 3</w:t>
      </w:r>
      <w:r>
        <w:rPr>
          <w:rStyle w:val="Refdenotaalpie"/>
          <w:rFonts w:ascii="Verdana" w:eastAsia="Calibri" w:hAnsi="Verdana" w:cs="Arial"/>
          <w:lang w:eastAsia="es-ES"/>
        </w:rPr>
        <w:footnoteReference w:id="40"/>
      </w:r>
      <w:r>
        <w:rPr>
          <w:rFonts w:ascii="Verdana" w:eastAsia="Calibri" w:hAnsi="Verdana" w:cs="Arial"/>
          <w:lang w:eastAsia="es-ES"/>
        </w:rPr>
        <w:t xml:space="preserve"> de la Ley 142 de 1994. </w:t>
      </w:r>
    </w:p>
    <w:p w14:paraId="38DD13C3" w14:textId="77777777" w:rsidR="00F853CC" w:rsidRDefault="00F853CC" w:rsidP="00F853CC">
      <w:pPr>
        <w:spacing w:after="120" w:line="276" w:lineRule="auto"/>
        <w:ind w:firstLine="709"/>
        <w:jc w:val="both"/>
        <w:rPr>
          <w:rFonts w:ascii="Verdana" w:eastAsia="Calibri" w:hAnsi="Verdana" w:cs="Arial"/>
          <w:lang w:eastAsia="es-ES"/>
        </w:rPr>
      </w:pPr>
      <w:r>
        <w:rPr>
          <w:rFonts w:ascii="Verdana" w:eastAsia="Calibri" w:hAnsi="Verdana" w:cs="Arial"/>
          <w:lang w:eastAsia="es-ES"/>
        </w:rPr>
        <w:t xml:space="preserve">De ahí que la potestad que le otorgó el legislador al vocero del fondo para transferir los activos a través de un contrato implica que es facultativo efectuar dicha transferencia, previa autorización por parte del Ministerio de Minas y Energía. </w:t>
      </w:r>
    </w:p>
    <w:p w14:paraId="144BF244" w14:textId="77777777" w:rsidR="00F853CC" w:rsidRDefault="00F853CC" w:rsidP="00F853CC">
      <w:pPr>
        <w:spacing w:after="120" w:line="276" w:lineRule="auto"/>
        <w:ind w:firstLine="709"/>
        <w:jc w:val="both"/>
        <w:rPr>
          <w:rFonts w:ascii="Verdana" w:eastAsia="Calibri" w:hAnsi="Verdana" w:cs="Arial"/>
          <w:lang w:eastAsia="es-ES"/>
        </w:rPr>
      </w:pPr>
      <w:r w:rsidRPr="007937AB">
        <w:rPr>
          <w:rFonts w:ascii="Verdana" w:eastAsia="Times New Roman" w:hAnsi="Verdana" w:cs="Arial"/>
          <w:bCs/>
          <w:lang w:val="es-MX" w:eastAsia="es-CO"/>
        </w:rPr>
        <w:t xml:space="preserve">Para entender el momento de aplicación de </w:t>
      </w:r>
      <w:r>
        <w:rPr>
          <w:rFonts w:ascii="Verdana" w:eastAsia="Times New Roman" w:hAnsi="Verdana" w:cs="Arial"/>
          <w:bCs/>
          <w:lang w:val="es-MX" w:eastAsia="es-CO"/>
        </w:rPr>
        <w:t>las restricciones dispuestas en la Ley 996 de 2005</w:t>
      </w:r>
      <w:r w:rsidRPr="007937AB">
        <w:rPr>
          <w:rFonts w:ascii="Verdana" w:eastAsia="Times New Roman" w:hAnsi="Verdana" w:cs="Arial"/>
          <w:bCs/>
          <w:lang w:val="es-MX" w:eastAsia="es-CO"/>
        </w:rPr>
        <w:t>, es preciso señalar que el vocablo “celebrar” es definido por el Diccionario Panhispánico del Español Jurídico como: “</w:t>
      </w:r>
      <w:r w:rsidRPr="007937AB">
        <w:rPr>
          <w:rFonts w:ascii="Verdana" w:eastAsia="Times New Roman" w:hAnsi="Verdana" w:cs="Arial"/>
          <w:bCs/>
          <w:lang w:eastAsia="es-CO"/>
        </w:rPr>
        <w:t>1. </w:t>
      </w:r>
      <w:r w:rsidRPr="007937AB">
        <w:rPr>
          <w:rFonts w:ascii="Verdana" w:eastAsia="Times New Roman" w:hAnsi="Verdana" w:cs="Arial"/>
          <w:bCs/>
          <w:i/>
          <w:iCs/>
          <w:lang w:eastAsia="es-CO"/>
        </w:rPr>
        <w:t>Gral.</w:t>
      </w:r>
      <w:r w:rsidRPr="007937AB">
        <w:rPr>
          <w:rFonts w:ascii="Verdana" w:eastAsia="Times New Roman" w:hAnsi="Verdana" w:cs="Arial"/>
          <w:bCs/>
          <w:lang w:eastAsia="es-CO"/>
        </w:rPr>
        <w:t xml:space="preserve"> Otorgar o firmar un contrato. 2. </w:t>
      </w:r>
      <w:proofErr w:type="spellStart"/>
      <w:r w:rsidRPr="007937AB">
        <w:rPr>
          <w:rFonts w:ascii="Verdana" w:eastAsia="Times New Roman" w:hAnsi="Verdana" w:cs="Arial"/>
          <w:bCs/>
          <w:i/>
          <w:iCs/>
          <w:lang w:eastAsia="es-CO"/>
        </w:rPr>
        <w:t>Proc</w:t>
      </w:r>
      <w:proofErr w:type="spellEnd"/>
      <w:r w:rsidRPr="007937AB">
        <w:rPr>
          <w:rFonts w:ascii="Verdana" w:eastAsia="Times New Roman" w:hAnsi="Verdana" w:cs="Arial"/>
          <w:bCs/>
          <w:i/>
          <w:iCs/>
          <w:lang w:eastAsia="es-CO"/>
        </w:rPr>
        <w:t>.</w:t>
      </w:r>
      <w:r w:rsidRPr="007937AB">
        <w:rPr>
          <w:rFonts w:ascii="Verdana" w:eastAsia="Times New Roman" w:hAnsi="Verdana" w:cs="Arial"/>
          <w:bCs/>
          <w:lang w:eastAsia="es-CO"/>
        </w:rPr>
        <w:t xml:space="preserve"> Realizar los actos procesales propios de un juicio o vista”. Dentro de las dos definiciones, la que se acerca a la expresión “celebrar” en el contexto de la Ley de Garantías Electorales es la primera, esto es, al perfeccionamiento del contrato. </w:t>
      </w:r>
    </w:p>
    <w:p w14:paraId="4099C6B0" w14:textId="77777777" w:rsidR="00F853CC" w:rsidRDefault="00F853CC" w:rsidP="00F853CC">
      <w:pPr>
        <w:spacing w:after="120" w:line="276" w:lineRule="auto"/>
        <w:ind w:firstLine="709"/>
        <w:jc w:val="both"/>
        <w:rPr>
          <w:rFonts w:ascii="Verdana" w:eastAsia="Times New Roman" w:hAnsi="Verdana" w:cs="Arial"/>
          <w:bCs/>
          <w:lang w:val="es-ES" w:eastAsia="es-CO"/>
        </w:rPr>
      </w:pPr>
      <w:r w:rsidRPr="007937AB">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7937AB">
        <w:rPr>
          <w:rFonts w:ascii="Verdana" w:eastAsia="Times New Roman" w:hAnsi="Verdana" w:cs="Arial"/>
          <w:bCs/>
          <w:lang w:val="es-ES" w:eastAsia="es-CO"/>
        </w:rPr>
        <w:t xml:space="preserve">la existencia de los contratos estatales, es decir, la producción de efectos jurídicos en los términos del artículo 1501 </w:t>
      </w:r>
      <w:r w:rsidRPr="007937AB">
        <w:rPr>
          <w:rFonts w:ascii="Verdana" w:eastAsia="Times New Roman" w:hAnsi="Verdana" w:cs="Arial"/>
          <w:bCs/>
          <w:i/>
          <w:lang w:val="es-ES" w:eastAsia="es-CO"/>
        </w:rPr>
        <w:t>ibidem</w:t>
      </w:r>
      <w:r w:rsidRPr="007937AB">
        <w:rPr>
          <w:rFonts w:ascii="Verdana" w:eastAsia="Times New Roman" w:hAnsi="Verdana" w:cs="Arial"/>
          <w:bCs/>
          <w:lang w:val="es-ES" w:eastAsia="es-CO"/>
        </w:rPr>
        <w:t>,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r w:rsidRPr="00424D9A">
        <w:rPr>
          <w:rFonts w:ascii="Verdana" w:eastAsia="Times New Roman" w:hAnsi="Verdana" w:cs="Arial"/>
          <w:bCs/>
          <w:lang w:val="es-ES" w:eastAsia="es-CO"/>
        </w:rPr>
        <w:t xml:space="preserve"> </w:t>
      </w:r>
    </w:p>
    <w:p w14:paraId="66681950" w14:textId="77777777" w:rsidR="00F853CC" w:rsidRPr="006F06C0" w:rsidRDefault="00F853CC" w:rsidP="00F853CC">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De esta manera la restricción cobija la celebración del contrato, pero no las </w:t>
      </w:r>
      <w:r w:rsidRPr="00894384">
        <w:rPr>
          <w:rFonts w:ascii="Verdana" w:eastAsia="Times New Roman" w:hAnsi="Verdana" w:cs="Arial"/>
          <w:bCs/>
          <w:lang w:val="es-MX" w:eastAsia="es-CO"/>
        </w:rPr>
        <w:t xml:space="preserve">prórrogas, modificaciones o adiciones de los contratos suscritos antes de la entrada en vigor de las prohibiciones anotadas, así como la cesión de estos, </w:t>
      </w:r>
      <w:r>
        <w:rPr>
          <w:rFonts w:ascii="Verdana" w:eastAsia="Times New Roman" w:hAnsi="Verdana" w:cs="Arial"/>
          <w:bCs/>
          <w:lang w:val="es-MX" w:eastAsia="es-CO"/>
        </w:rPr>
        <w:t xml:space="preserve">por lo que </w:t>
      </w:r>
      <w:r w:rsidRPr="00894384">
        <w:rPr>
          <w:rFonts w:ascii="Verdana" w:eastAsia="Times New Roman" w:hAnsi="Verdana" w:cs="Arial"/>
          <w:bCs/>
          <w:lang w:val="es-MX" w:eastAsia="es-CO"/>
        </w:rPr>
        <w:t>pueden tener lugar en el período de aplicación de la Ley de Garantías, sin que ello haga nugatoria la restricción de la contratación directa y siempre que cumplan los principios de planeación, transparencia y responsabilidad</w:t>
      </w:r>
      <w:r w:rsidRPr="00894384">
        <w:rPr>
          <w:rFonts w:ascii="Verdana" w:eastAsia="Times New Roman" w:hAnsi="Verdana" w:cs="Arial"/>
          <w:bCs/>
          <w:vertAlign w:val="superscript"/>
          <w:lang w:val="es-MX" w:eastAsia="es-CO"/>
        </w:rPr>
        <w:footnoteReference w:id="41"/>
      </w:r>
      <w:r w:rsidRPr="00894384">
        <w:rPr>
          <w:rFonts w:ascii="Verdana" w:eastAsia="Times New Roman" w:hAnsi="Verdana" w:cs="Arial"/>
          <w:bCs/>
          <w:lang w:val="es-MX" w:eastAsia="es-CO"/>
        </w:rPr>
        <w:t xml:space="preserve">. </w:t>
      </w:r>
      <w:r w:rsidRPr="00E2397D">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w:t>
      </w:r>
      <w:r>
        <w:rPr>
          <w:rFonts w:ascii="Verdana" w:eastAsia="Arial" w:hAnsi="Verdana" w:cs="Arial"/>
          <w:lang w:val="es-ES" w:eastAsia="es-ES" w:bidi="es-ES"/>
        </w:rPr>
        <w:t>era</w:t>
      </w:r>
      <w:r w:rsidRPr="00E2397D">
        <w:rPr>
          <w:rFonts w:ascii="Verdana" w:eastAsia="Arial" w:hAnsi="Verdana" w:cs="Arial"/>
          <w:lang w:val="es-ES" w:eastAsia="es-ES" w:bidi="es-ES"/>
        </w:rPr>
        <w:t>:</w:t>
      </w:r>
    </w:p>
    <w:p w14:paraId="42A007ED" w14:textId="77777777" w:rsidR="00F853CC" w:rsidRDefault="00F853CC" w:rsidP="00F853CC">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E2397D">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E2397D">
        <w:rPr>
          <w:rFonts w:ascii="Verdana" w:eastAsia="Arial" w:hAnsi="Verdana" w:cs="Arial"/>
          <w:sz w:val="20"/>
          <w:szCs w:val="20"/>
          <w:lang w:eastAsia="es-ES" w:bidi="es-ES"/>
        </w:rPr>
        <w:t>Presidente</w:t>
      </w:r>
      <w:proofErr w:type="gramEnd"/>
      <w:r w:rsidRPr="00E2397D">
        <w:rPr>
          <w:rFonts w:ascii="Verdana" w:eastAsia="Arial" w:hAnsi="Verdana" w:cs="Arial"/>
          <w:sz w:val="20"/>
          <w:szCs w:val="20"/>
          <w:lang w:eastAsia="es-ES" w:bidi="es-ES"/>
        </w:rPr>
        <w:t xml:space="preserve"> de la República, a las autoridades territoriales allí mencionadas sólo se aplican las restricciones contenidas en el parágrafo del artículo 38”.</w:t>
      </w:r>
      <w:r w:rsidRPr="00E2397D">
        <w:rPr>
          <w:rFonts w:ascii="Verdana" w:eastAsia="Arial" w:hAnsi="Verdana" w:cs="Arial"/>
          <w:sz w:val="20"/>
          <w:szCs w:val="20"/>
          <w:vertAlign w:val="superscript"/>
          <w:lang w:eastAsia="es-ES" w:bidi="es-ES"/>
        </w:rPr>
        <w:footnoteReference w:id="42"/>
      </w:r>
    </w:p>
    <w:p w14:paraId="105CDE3A" w14:textId="77777777" w:rsidR="00F853CC" w:rsidRPr="00886C89" w:rsidRDefault="00F853CC" w:rsidP="00F853CC">
      <w:pPr>
        <w:widowControl w:val="0"/>
        <w:autoSpaceDE w:val="0"/>
        <w:autoSpaceDN w:val="0"/>
        <w:spacing w:after="0" w:line="240" w:lineRule="auto"/>
        <w:ind w:right="709"/>
        <w:jc w:val="both"/>
        <w:rPr>
          <w:rFonts w:ascii="Verdana" w:eastAsia="Arial" w:hAnsi="Verdana" w:cs="Arial"/>
          <w:sz w:val="20"/>
          <w:szCs w:val="20"/>
          <w:lang w:eastAsia="es-ES" w:bidi="es-ES"/>
        </w:rPr>
      </w:pPr>
    </w:p>
    <w:p w14:paraId="55C6035A" w14:textId="77777777" w:rsidR="00F853CC" w:rsidRPr="006022CB" w:rsidRDefault="00F853CC" w:rsidP="00F853CC">
      <w:pPr>
        <w:spacing w:after="0" w:line="276" w:lineRule="auto"/>
        <w:ind w:firstLine="708"/>
        <w:jc w:val="both"/>
        <w:rPr>
          <w:rFonts w:ascii="Verdana" w:eastAsia="Calibri" w:hAnsi="Verdana" w:cs="Arial"/>
          <w:lang w:val="es-ES" w:eastAsia="es-ES"/>
        </w:rPr>
      </w:pPr>
      <w:r w:rsidRPr="006022CB">
        <w:rPr>
          <w:rFonts w:ascii="Verdana" w:eastAsia="Calibri" w:hAnsi="Verdana" w:cs="Arial"/>
          <w:lang w:val="es-ES" w:eastAsia="es-ES"/>
        </w:rPr>
        <w:t xml:space="preserve">De acuerdo con lo anterior se presentan las siguientes conclusiones: </w:t>
      </w:r>
    </w:p>
    <w:p w14:paraId="287B7AF3" w14:textId="77777777" w:rsidR="00F853CC" w:rsidRPr="006022CB" w:rsidRDefault="00F853CC" w:rsidP="00F853CC">
      <w:pPr>
        <w:spacing w:after="0" w:line="240" w:lineRule="auto"/>
        <w:jc w:val="both"/>
        <w:rPr>
          <w:rFonts w:ascii="Verdana" w:eastAsia="Calibri" w:hAnsi="Verdana" w:cs="Arial"/>
          <w:lang w:val="es-ES" w:eastAsia="es-ES"/>
        </w:rPr>
      </w:pPr>
    </w:p>
    <w:p w14:paraId="24287B4B" w14:textId="77777777" w:rsidR="00F853CC" w:rsidRPr="006022CB" w:rsidRDefault="00F853CC" w:rsidP="00F853CC">
      <w:pPr>
        <w:pStyle w:val="Prrafodelista"/>
        <w:numPr>
          <w:ilvl w:val="0"/>
          <w:numId w:val="17"/>
        </w:numPr>
        <w:spacing w:after="120" w:line="276" w:lineRule="auto"/>
        <w:ind w:left="357" w:hanging="357"/>
        <w:jc w:val="both"/>
        <w:rPr>
          <w:rFonts w:ascii="Verdana" w:hAnsi="Verdana" w:cs="Arial"/>
          <w:bCs/>
          <w:color w:val="000000" w:themeColor="text1"/>
          <w:lang w:val="es-MX" w:eastAsia="x-none"/>
        </w:rPr>
      </w:pPr>
      <w:r w:rsidRPr="006022CB">
        <w:rPr>
          <w:rFonts w:ascii="Verdana" w:eastAsia="Calibri" w:hAnsi="Verdana" w:cs="Arial"/>
          <w:lang w:eastAsia="es-ES"/>
        </w:rPr>
        <w:t xml:space="preserve">Las restricciones contenidas en el artículo 33 de la Ley 996 de 2005 aplica para “la contratación directa” de todos los entes del Estado, </w:t>
      </w:r>
      <w:r w:rsidRPr="006022CB">
        <w:rPr>
          <w:rFonts w:ascii="Verdana" w:hAnsi="Verdana" w:cs="Arial"/>
          <w:color w:val="000000" w:themeColor="text1"/>
          <w:lang w:val="es-MX"/>
        </w:rPr>
        <w:t xml:space="preserve">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6022CB">
        <w:rPr>
          <w:rFonts w:ascii="Verdana" w:eastAsia="Calibri" w:hAnsi="Verdana" w:cs="Arial"/>
          <w:lang w:eastAsia="es-ES"/>
        </w:rPr>
        <w:t xml:space="preserve">Se trata de la prohibición de </w:t>
      </w:r>
      <w:r w:rsidRPr="006022CB">
        <w:rPr>
          <w:rFonts w:ascii="Verdana" w:hAnsi="Verdana" w:cs="Arial"/>
          <w:bCs/>
          <w:lang w:eastAsia="x-none"/>
        </w:rPr>
        <w:t>aquellos contratos en los que no exista un proceso abierto y competitivo.</w:t>
      </w:r>
      <w:r w:rsidRPr="006022CB">
        <w:rPr>
          <w:rFonts w:ascii="Verdana" w:hAnsi="Verdana" w:cs="Arial"/>
          <w:lang w:eastAsia="x-none"/>
        </w:rPr>
        <w:t xml:space="preserve"> Por lo tanto, no son materia de la prohibición las demás modalidades de selección previstas en la Ley 1150 de 2007, esto es, la licitación pública, el concurso de méritos, la selección abreviada y la contratación de mínima cuantía o los procesos competitivos establecidos en los manuales de contratación de las entidades con regímenes exceptuados. Adicionalmente, la celebración de la contratación directa </w:t>
      </w:r>
      <w:r w:rsidRPr="006022CB">
        <w:rPr>
          <w:rFonts w:ascii="Verdana" w:eastAsia="Calibri" w:hAnsi="Verdana" w:cs="Arial"/>
          <w:lang w:val="es-CO" w:eastAsia="es-ES"/>
        </w:rPr>
        <w:t>no se encuentra condicionada por la ejecución de recursos en el marco de los respectivos contratos o el origen de estos, de manera que aplica las restricciones independientemente de que el contrato implique o no la ejecución de recursos o si los recursos destinados son de naturaleza pública o privada</w:t>
      </w:r>
      <w:r w:rsidRPr="006022CB">
        <w:rPr>
          <w:rStyle w:val="Refdenotaalpie"/>
          <w:rFonts w:ascii="Verdana" w:eastAsia="Calibri" w:hAnsi="Verdana" w:cs="Arial"/>
          <w:lang w:val="es-CO" w:eastAsia="es-ES"/>
        </w:rPr>
        <w:footnoteReference w:id="43"/>
      </w:r>
      <w:r w:rsidRPr="006022CB">
        <w:rPr>
          <w:rFonts w:ascii="Verdana" w:eastAsia="Calibri" w:hAnsi="Verdana" w:cs="Arial"/>
          <w:lang w:val="es-CO" w:eastAsia="es-ES"/>
        </w:rPr>
        <w:t xml:space="preserve">. </w:t>
      </w:r>
    </w:p>
    <w:p w14:paraId="400EBCDF" w14:textId="77777777" w:rsidR="00F853CC" w:rsidRPr="006022CB" w:rsidRDefault="00F853CC" w:rsidP="00F853CC">
      <w:pPr>
        <w:pStyle w:val="Prrafodelista"/>
        <w:spacing w:after="0" w:line="240" w:lineRule="auto"/>
        <w:ind w:left="0"/>
        <w:jc w:val="both"/>
        <w:rPr>
          <w:rFonts w:ascii="Verdana" w:hAnsi="Verdana" w:cs="Arial"/>
          <w:bCs/>
          <w:color w:val="000000" w:themeColor="text1"/>
          <w:lang w:val="es-MX" w:eastAsia="x-none"/>
        </w:rPr>
      </w:pPr>
    </w:p>
    <w:p w14:paraId="10707B93" w14:textId="77777777" w:rsidR="00F853CC" w:rsidRPr="006022CB" w:rsidRDefault="00F853CC" w:rsidP="00F853CC">
      <w:pPr>
        <w:pStyle w:val="Prrafodelista"/>
        <w:numPr>
          <w:ilvl w:val="0"/>
          <w:numId w:val="17"/>
        </w:numPr>
        <w:spacing w:after="120" w:line="276" w:lineRule="auto"/>
        <w:ind w:left="357" w:hanging="357"/>
        <w:jc w:val="both"/>
        <w:rPr>
          <w:rFonts w:ascii="Verdana" w:eastAsia="Calibri" w:hAnsi="Verdana" w:cs="Arial"/>
          <w:lang w:eastAsia="es-ES"/>
        </w:rPr>
      </w:pPr>
      <w:r w:rsidRPr="006022CB">
        <w:rPr>
          <w:rFonts w:ascii="Verdana" w:eastAsia="Calibri" w:hAnsi="Verdana" w:cs="Arial"/>
          <w:lang w:eastAsia="es-ES"/>
        </w:rPr>
        <w:t xml:space="preserve">La Entidad Estatal definirá si la contratación que pretende celebrar se enmarca en alguna de las excepciones definidas en el artículo 33 de la Ley 996 de 2005, de tal manera que las excepciones contempladas no permiten efectuar una interpretación extensiva para incluir otros supuestos. </w:t>
      </w:r>
    </w:p>
    <w:p w14:paraId="46417198" w14:textId="77777777" w:rsidR="00F853CC" w:rsidRPr="006022CB" w:rsidRDefault="00F853CC" w:rsidP="00F853CC">
      <w:pPr>
        <w:pStyle w:val="Prrafodelista"/>
        <w:spacing w:after="0" w:line="240" w:lineRule="auto"/>
        <w:ind w:left="0"/>
        <w:rPr>
          <w:rFonts w:ascii="Verdana" w:eastAsia="Calibri" w:hAnsi="Verdana" w:cs="Arial"/>
          <w:lang w:eastAsia="es-ES"/>
        </w:rPr>
      </w:pPr>
    </w:p>
    <w:p w14:paraId="57AFC117" w14:textId="77777777" w:rsidR="00F853CC" w:rsidRPr="006022CB" w:rsidRDefault="00F853CC" w:rsidP="00F853CC">
      <w:pPr>
        <w:pStyle w:val="Prrafodelista"/>
        <w:numPr>
          <w:ilvl w:val="0"/>
          <w:numId w:val="17"/>
        </w:numPr>
        <w:spacing w:after="120" w:line="276" w:lineRule="auto"/>
        <w:ind w:left="360"/>
        <w:jc w:val="both"/>
        <w:rPr>
          <w:rFonts w:ascii="Verdana" w:eastAsia="Calibri" w:hAnsi="Verdana" w:cs="Arial"/>
          <w:lang w:eastAsia="es-ES"/>
        </w:rPr>
      </w:pPr>
      <w:r w:rsidRPr="006022CB">
        <w:rPr>
          <w:rFonts w:ascii="Verdana" w:eastAsia="Calibri" w:hAnsi="Verdana" w:cs="Arial"/>
          <w:lang w:eastAsia="es-ES"/>
        </w:rPr>
        <w:t xml:space="preserve">En cuanto a la restricción definida en el parágrafo del artículo 38 de la Ley 996 de 2005 ésta se refiere a la celebración de convenios interadministrativos para la ejecución de recursos públicos, independientemente de que se configuren los supuestos de excepción que señala en artículo 33 de la misma ley. En otras palabras, en vigencia de la restricción definida en dicho parágrafo podrán celebrarse </w:t>
      </w:r>
      <w:proofErr w:type="gramStart"/>
      <w:r w:rsidRPr="006022CB">
        <w:rPr>
          <w:rFonts w:ascii="Verdana" w:eastAsia="Calibri" w:hAnsi="Verdana" w:cs="Arial"/>
          <w:lang w:eastAsia="es-ES"/>
        </w:rPr>
        <w:t>contratos interadministrativos o convenios interadministrativos</w:t>
      </w:r>
      <w:proofErr w:type="gramEnd"/>
      <w:r w:rsidRPr="006022CB">
        <w:rPr>
          <w:rFonts w:ascii="Verdana" w:eastAsia="Calibri" w:hAnsi="Verdana" w:cs="Arial"/>
          <w:lang w:eastAsia="es-ES"/>
        </w:rPr>
        <w:t xml:space="preserve"> que no implique ejecución de recursos. Sin embargo, teniendo en cuenta que actualmente está vigente la restricción contenida en el artículo 33 de la Ley 996 de 2005, queda prohibida la contratación directa, esto es, la celebración de contratos o convenios independientemente de la ejecución o no de recursos públicos, y solo será factible la celebración de contratos a través de los cuales sean utilizadas las modalidades de selección definidas bien sea en </w:t>
      </w:r>
      <w:r>
        <w:rPr>
          <w:rFonts w:ascii="Verdana" w:eastAsia="Calibri" w:hAnsi="Verdana" w:cs="Arial"/>
          <w:lang w:eastAsia="es-ES"/>
        </w:rPr>
        <w:t>la Ley 1150 de 2007</w:t>
      </w:r>
      <w:r w:rsidRPr="006022CB">
        <w:rPr>
          <w:rFonts w:ascii="Verdana" w:eastAsia="Calibri" w:hAnsi="Verdana" w:cs="Arial"/>
          <w:lang w:eastAsia="es-ES"/>
        </w:rPr>
        <w:t xml:space="preserve"> o las modalidades competitivas diseñadas en los manuales de contratación de aquellas entidades</w:t>
      </w:r>
      <w:r>
        <w:rPr>
          <w:rFonts w:ascii="Verdana" w:eastAsia="Calibri" w:hAnsi="Verdana" w:cs="Arial"/>
          <w:lang w:eastAsia="es-ES"/>
        </w:rPr>
        <w:t xml:space="preserve"> que están excluidas de la aplicación del EGCAP. </w:t>
      </w:r>
      <w:r w:rsidRPr="006022CB">
        <w:rPr>
          <w:rFonts w:ascii="Verdana" w:eastAsia="Calibri" w:hAnsi="Verdana" w:cs="Arial"/>
          <w:lang w:eastAsia="es-ES"/>
        </w:rPr>
        <w:t xml:space="preserve">    </w:t>
      </w:r>
    </w:p>
    <w:p w14:paraId="0C8F6647" w14:textId="77777777" w:rsidR="00F853CC" w:rsidRPr="006022CB" w:rsidRDefault="00F853CC" w:rsidP="00F853CC">
      <w:pPr>
        <w:pStyle w:val="Prrafodelista"/>
        <w:spacing w:after="0" w:line="240" w:lineRule="auto"/>
        <w:rPr>
          <w:rFonts w:ascii="Verdana" w:eastAsia="Calibri" w:hAnsi="Verdana" w:cs="Arial"/>
          <w:lang w:eastAsia="es-ES"/>
        </w:rPr>
      </w:pPr>
    </w:p>
    <w:p w14:paraId="745359E0" w14:textId="77777777" w:rsidR="00F853CC" w:rsidRPr="006022CB" w:rsidRDefault="00F853CC" w:rsidP="00F853CC">
      <w:pPr>
        <w:pStyle w:val="Prrafodelista"/>
        <w:numPr>
          <w:ilvl w:val="0"/>
          <w:numId w:val="17"/>
        </w:numPr>
        <w:spacing w:after="120" w:line="276" w:lineRule="auto"/>
        <w:ind w:left="357" w:hanging="357"/>
        <w:jc w:val="both"/>
        <w:rPr>
          <w:rFonts w:ascii="Verdana" w:eastAsia="Calibri" w:hAnsi="Verdana" w:cs="Arial"/>
          <w:lang w:eastAsia="es-ES"/>
        </w:rPr>
      </w:pPr>
      <w:r w:rsidRPr="006022CB">
        <w:rPr>
          <w:rFonts w:ascii="Verdana" w:eastAsia="Calibri" w:hAnsi="Verdana" w:cs="Arial"/>
          <w:lang w:eastAsia="es-ES"/>
        </w:rPr>
        <w:t>La posición definida en las decisiones adoptadas por la Sección Tercera del Consejo de Estado se enmarcó en la imposibilidad de extender la aplicación de la restricción a los contratos interadministrativos que, en vigencia de la prohibición del parágrafo del artículo 38 de la Ley de Garantías Electorales se trata, esto es, en las elecciones distintas a las presidenciales. Específicamente, en la sentencia del 17 de octubre de 2025, el alto tribunal declaró la nulidad parcial del numeral 16.2 de la Circular Externa Única de 2022, por lo tanto, cuando dos entidades públicas celebran un contrato interadministrativo, independientemente del objeto, dicho contrato puede suscribirse durante el periodo preelectoral</w:t>
      </w:r>
      <w:r>
        <w:rPr>
          <w:rFonts w:ascii="Verdana" w:eastAsia="Calibri" w:hAnsi="Verdana" w:cs="Arial"/>
          <w:lang w:eastAsia="es-ES"/>
        </w:rPr>
        <w:t xml:space="preserve">, pero se insiste, en el marco de las elecciones distintas a las presidenciales. Por lo tanto, ambas restricciones no son excluyentes, lo </w:t>
      </w:r>
      <w:r w:rsidRPr="006022CB">
        <w:rPr>
          <w:rFonts w:ascii="Verdana" w:eastAsia="Calibri" w:hAnsi="Verdana" w:cs="Arial"/>
          <w:lang w:eastAsia="es-ES"/>
        </w:rPr>
        <w:t xml:space="preserve">que permite concluir que, en el período preelectoral para elección de </w:t>
      </w:r>
      <w:proofErr w:type="gramStart"/>
      <w:r w:rsidRPr="006022CB">
        <w:rPr>
          <w:rFonts w:ascii="Verdana" w:eastAsia="Calibri" w:hAnsi="Verdana" w:cs="Arial"/>
          <w:lang w:eastAsia="es-ES"/>
        </w:rPr>
        <w:t>Presidente</w:t>
      </w:r>
      <w:proofErr w:type="gramEnd"/>
      <w:r w:rsidRPr="006022CB">
        <w:rPr>
          <w:rFonts w:ascii="Verdana" w:eastAsia="Calibri" w:hAnsi="Verdana" w:cs="Arial"/>
          <w:lang w:eastAsia="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6022CB">
        <w:rPr>
          <w:rFonts w:ascii="Verdana" w:eastAsia="Calibri" w:hAnsi="Verdana" w:cs="Arial"/>
          <w:lang w:eastAsia="es-ES"/>
        </w:rPr>
        <w:t>Presidente</w:t>
      </w:r>
      <w:proofErr w:type="gramEnd"/>
      <w:r w:rsidRPr="006022CB">
        <w:rPr>
          <w:rFonts w:ascii="Verdana" w:eastAsia="Calibri" w:hAnsi="Verdana" w:cs="Arial"/>
          <w:lang w:eastAsia="es-ES"/>
        </w:rPr>
        <w:t xml:space="preserve"> de la República, las autoridades allí mencionadas sólo deben aplicar las restricciones contenidas en el parágrafo del artículo 38. </w:t>
      </w:r>
    </w:p>
    <w:p w14:paraId="3CABED65" w14:textId="77777777" w:rsidR="00F853CC" w:rsidRPr="006022CB" w:rsidRDefault="00F853CC" w:rsidP="00F853CC">
      <w:pPr>
        <w:pStyle w:val="Prrafodelista"/>
        <w:spacing w:after="0" w:line="240" w:lineRule="auto"/>
        <w:rPr>
          <w:rFonts w:ascii="Verdana" w:eastAsia="Calibri" w:hAnsi="Verdana" w:cs="Arial"/>
          <w:lang w:eastAsia="es-ES"/>
        </w:rPr>
      </w:pPr>
    </w:p>
    <w:p w14:paraId="2ABF21D2" w14:textId="77777777" w:rsidR="00F853CC" w:rsidRDefault="00F853CC" w:rsidP="00F853CC">
      <w:pPr>
        <w:pStyle w:val="Textoindependiente"/>
        <w:spacing w:before="0" w:after="120" w:line="276" w:lineRule="auto"/>
        <w:ind w:firstLine="709"/>
        <w:jc w:val="both"/>
        <w:rPr>
          <w:rFonts w:ascii="Verdana" w:hAnsi="Verdana" w:cs="Arial"/>
          <w:bCs/>
          <w:color w:val="000000" w:themeColor="text1"/>
          <w:sz w:val="22"/>
          <w:szCs w:val="22"/>
        </w:rPr>
      </w:pPr>
      <w:r>
        <w:rPr>
          <w:rFonts w:ascii="Verdana" w:hAnsi="Verdana" w:cs="Arial"/>
          <w:bCs/>
          <w:color w:val="000000" w:themeColor="text1"/>
          <w:sz w:val="22"/>
          <w:szCs w:val="22"/>
        </w:rPr>
        <w:t>De acuerdo con lo anterior, será la Entidad Estatal, en el marco de su autonomía contractual, y bajo las reglas definidas para la celebración de sus contratos en su manual de contratación</w:t>
      </w:r>
      <w:r>
        <w:rPr>
          <w:rStyle w:val="Refdenotaalpie"/>
          <w:rFonts w:ascii="Verdana" w:hAnsi="Verdana" w:cs="Arial"/>
          <w:bCs/>
          <w:color w:val="000000" w:themeColor="text1"/>
          <w:sz w:val="22"/>
          <w:szCs w:val="22"/>
        </w:rPr>
        <w:footnoteReference w:id="44"/>
      </w:r>
      <w:r>
        <w:rPr>
          <w:rFonts w:ascii="Verdana" w:hAnsi="Verdana" w:cs="Arial"/>
          <w:bCs/>
          <w:color w:val="000000" w:themeColor="text1"/>
          <w:sz w:val="22"/>
          <w:szCs w:val="22"/>
        </w:rPr>
        <w:t xml:space="preserve">, determinar si se encuentra dentro de las excepciones contempladas en el artículo 33 de la Ley 996 de 2005.  </w:t>
      </w:r>
    </w:p>
    <w:p w14:paraId="01813EDF" w14:textId="77777777" w:rsidR="00F853CC" w:rsidRPr="0086689B" w:rsidRDefault="00F853CC" w:rsidP="00F853CC">
      <w:pPr>
        <w:pStyle w:val="Textoindependiente"/>
        <w:spacing w:before="0" w:after="120" w:line="276" w:lineRule="auto"/>
        <w:ind w:firstLine="709"/>
        <w:jc w:val="both"/>
        <w:rPr>
          <w:rFonts w:ascii="Verdana" w:hAnsi="Verdana" w:cs="Arial"/>
          <w:bCs/>
          <w:color w:val="000000" w:themeColor="text1"/>
          <w:sz w:val="22"/>
          <w:szCs w:val="22"/>
        </w:rPr>
      </w:pPr>
      <w:r w:rsidRPr="00A97278">
        <w:rPr>
          <w:rFonts w:ascii="Verdana" w:hAnsi="Verdana" w:cs="Arial"/>
          <w:bCs/>
          <w:color w:val="000000" w:themeColor="text1"/>
          <w:sz w:val="22"/>
          <w:szCs w:val="22"/>
        </w:rPr>
        <w:t>Al margen de la explicación precedente, debe advertirse que el análisis requerido para resolver problemas específicos en torno a la gestión contractual de las entidades públicas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655B2B9" w14:textId="77777777" w:rsidR="00F853CC" w:rsidRDefault="00F853CC" w:rsidP="00F853CC">
      <w:pPr>
        <w:spacing w:after="0" w:line="276" w:lineRule="auto"/>
        <w:ind w:firstLine="709"/>
        <w:jc w:val="both"/>
        <w:rPr>
          <w:rFonts w:ascii="Verdana" w:hAnsi="Verdana" w:cs="Arial"/>
          <w:bCs/>
          <w:color w:val="000000" w:themeColor="text1"/>
        </w:rPr>
      </w:pPr>
      <w:r w:rsidRPr="001450CA">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30B64883" w14:textId="77777777" w:rsidR="00F853CC" w:rsidRPr="0086689B" w:rsidRDefault="00F853CC" w:rsidP="00F853CC">
      <w:pPr>
        <w:spacing w:after="0" w:line="240" w:lineRule="auto"/>
        <w:ind w:firstLine="709"/>
        <w:jc w:val="both"/>
        <w:rPr>
          <w:rFonts w:ascii="Verdana" w:hAnsi="Verdana" w:cs="Arial"/>
          <w:bCs/>
          <w:color w:val="000000" w:themeColor="text1"/>
        </w:rPr>
      </w:pPr>
    </w:p>
    <w:p w14:paraId="5C089EB5" w14:textId="77777777" w:rsidR="00F853CC" w:rsidRDefault="00F853CC" w:rsidP="00F853CC">
      <w:pPr>
        <w:spacing w:after="0" w:line="276" w:lineRule="auto"/>
        <w:jc w:val="both"/>
        <w:rPr>
          <w:rFonts w:ascii="Verdana" w:eastAsia="Century Gothic" w:hAnsi="Verdana" w:cs="Century Gothic"/>
          <w:b/>
          <w:bCs/>
        </w:rPr>
      </w:pPr>
      <w:bookmarkStart w:id="23" w:name="_Hlk204854194"/>
      <w:r w:rsidRPr="00237877">
        <w:rPr>
          <w:rFonts w:ascii="Verdana" w:hAnsi="Verdana" w:cs="Arial"/>
          <w:b/>
          <w:color w:val="000000" w:themeColor="text1"/>
        </w:rPr>
        <w:t>4.</w:t>
      </w:r>
      <w:r>
        <w:rPr>
          <w:rFonts w:ascii="Verdana" w:hAnsi="Verdana" w:cs="Arial"/>
          <w:bCs/>
          <w:color w:val="000000" w:themeColor="text1"/>
        </w:rPr>
        <w:t xml:space="preserve"> </w:t>
      </w:r>
      <w:r w:rsidRPr="005644FE">
        <w:rPr>
          <w:rFonts w:ascii="Verdana" w:eastAsia="Century Gothic" w:hAnsi="Verdana" w:cs="Century Gothic"/>
          <w:b/>
          <w:bCs/>
        </w:rPr>
        <w:t>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23"/>
    </w:p>
    <w:p w14:paraId="51BD6CC8" w14:textId="77777777" w:rsidR="00F853CC" w:rsidRPr="000B6E79" w:rsidRDefault="00F853CC" w:rsidP="00F853CC">
      <w:pPr>
        <w:spacing w:after="0" w:line="276" w:lineRule="auto"/>
        <w:jc w:val="both"/>
        <w:rPr>
          <w:rFonts w:ascii="Verdana" w:hAnsi="Verdana" w:cs="Arial"/>
          <w:bCs/>
          <w:color w:val="000000" w:themeColor="text1"/>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853CC" w:rsidRPr="002D2C18" w14:paraId="7B461721" w14:textId="77777777" w:rsidTr="00650004">
        <w:trPr>
          <w:trHeight w:val="56"/>
          <w:jc w:val="center"/>
        </w:trPr>
        <w:tc>
          <w:tcPr>
            <w:tcW w:w="8647" w:type="dxa"/>
          </w:tcPr>
          <w:p w14:paraId="6B030520" w14:textId="77777777" w:rsidR="00F853CC" w:rsidRDefault="00F853CC" w:rsidP="00F853CC">
            <w:pPr>
              <w:pStyle w:val="Prrafodelista"/>
              <w:numPr>
                <w:ilvl w:val="0"/>
                <w:numId w:val="16"/>
              </w:numPr>
              <w:spacing w:after="120" w:line="276" w:lineRule="auto"/>
              <w:jc w:val="both"/>
              <w:rPr>
                <w:rFonts w:ascii="Verdana" w:hAnsi="Verdana" w:cs="Arial"/>
                <w:lang w:eastAsia="es-ES"/>
              </w:rPr>
            </w:pPr>
            <w:r w:rsidRPr="00071DB3">
              <w:rPr>
                <w:rFonts w:ascii="Verdana" w:hAnsi="Verdana" w:cs="Arial"/>
                <w:lang w:eastAsia="es-ES"/>
              </w:rPr>
              <w:t>Constitución Política. Artículo 127.</w:t>
            </w:r>
          </w:p>
          <w:p w14:paraId="6DE89FF9" w14:textId="77777777" w:rsidR="00F853CC" w:rsidRDefault="00F853CC" w:rsidP="00F853CC">
            <w:pPr>
              <w:pStyle w:val="Prrafodelista"/>
              <w:numPr>
                <w:ilvl w:val="0"/>
                <w:numId w:val="16"/>
              </w:numPr>
              <w:spacing w:after="120" w:line="276" w:lineRule="auto"/>
              <w:jc w:val="both"/>
              <w:rPr>
                <w:rFonts w:ascii="Verdana" w:hAnsi="Verdana" w:cs="Arial"/>
                <w:lang w:eastAsia="es-ES"/>
              </w:rPr>
            </w:pPr>
            <w:r>
              <w:rPr>
                <w:rFonts w:ascii="Verdana" w:hAnsi="Verdana" w:cs="Arial"/>
                <w:lang w:eastAsia="es-ES"/>
              </w:rPr>
              <w:t>Código Civil. Artículo 31.</w:t>
            </w:r>
          </w:p>
          <w:p w14:paraId="104DFD55" w14:textId="77777777" w:rsidR="00F853CC" w:rsidRDefault="00F853CC" w:rsidP="00F853CC">
            <w:pPr>
              <w:pStyle w:val="Prrafodelista"/>
              <w:numPr>
                <w:ilvl w:val="0"/>
                <w:numId w:val="16"/>
              </w:numPr>
              <w:spacing w:after="120" w:line="276" w:lineRule="auto"/>
              <w:jc w:val="both"/>
              <w:rPr>
                <w:rFonts w:ascii="Verdana" w:hAnsi="Verdana" w:cs="Arial"/>
                <w:lang w:eastAsia="es-ES"/>
              </w:rPr>
            </w:pPr>
            <w:r>
              <w:rPr>
                <w:rFonts w:ascii="Verdana" w:hAnsi="Verdana" w:cs="Arial"/>
                <w:lang w:eastAsia="es-ES"/>
              </w:rPr>
              <w:t>Ley 996 de 2005. Artículos 33 y 38.</w:t>
            </w:r>
          </w:p>
          <w:p w14:paraId="1AFC72AF" w14:textId="77777777" w:rsidR="00F853CC" w:rsidRDefault="00F853CC" w:rsidP="00F853CC">
            <w:pPr>
              <w:pStyle w:val="Prrafodelista"/>
              <w:numPr>
                <w:ilvl w:val="0"/>
                <w:numId w:val="16"/>
              </w:numPr>
              <w:spacing w:after="120" w:line="276" w:lineRule="auto"/>
              <w:jc w:val="both"/>
              <w:rPr>
                <w:rFonts w:ascii="Verdana" w:hAnsi="Verdana" w:cs="Arial"/>
                <w:lang w:eastAsia="es-ES"/>
              </w:rPr>
            </w:pPr>
            <w:r>
              <w:rPr>
                <w:rFonts w:ascii="Verdana" w:hAnsi="Verdana" w:cs="Arial"/>
                <w:lang w:eastAsia="es-ES"/>
              </w:rPr>
              <w:t xml:space="preserve">Ley 80 de 1993. Artículo 41. </w:t>
            </w:r>
          </w:p>
          <w:p w14:paraId="61C85E04" w14:textId="77777777" w:rsidR="00F853CC" w:rsidRDefault="00F853CC" w:rsidP="00F853CC">
            <w:pPr>
              <w:pStyle w:val="Prrafodelista"/>
              <w:numPr>
                <w:ilvl w:val="0"/>
                <w:numId w:val="16"/>
              </w:numPr>
              <w:spacing w:after="120" w:line="276" w:lineRule="auto"/>
              <w:jc w:val="both"/>
              <w:rPr>
                <w:rFonts w:ascii="Verdana" w:hAnsi="Verdana" w:cs="Arial"/>
                <w:lang w:eastAsia="es-ES"/>
              </w:rPr>
            </w:pPr>
            <w:r>
              <w:rPr>
                <w:rFonts w:ascii="Verdana" w:hAnsi="Verdana" w:cs="Arial"/>
                <w:lang w:eastAsia="es-ES"/>
              </w:rPr>
              <w:t xml:space="preserve">Ley 142 de 1994. Artículos 39 numeral 3, 87 numeral 9. </w:t>
            </w:r>
          </w:p>
          <w:p w14:paraId="5ECBB35E" w14:textId="77777777" w:rsidR="00F853CC" w:rsidRDefault="00F853CC" w:rsidP="00F853CC">
            <w:pPr>
              <w:pStyle w:val="Prrafodelista"/>
              <w:numPr>
                <w:ilvl w:val="0"/>
                <w:numId w:val="16"/>
              </w:numPr>
              <w:spacing w:after="120" w:line="276" w:lineRule="auto"/>
              <w:jc w:val="both"/>
              <w:rPr>
                <w:rFonts w:ascii="Verdana" w:hAnsi="Verdana" w:cs="Arial"/>
                <w:lang w:eastAsia="es-ES"/>
              </w:rPr>
            </w:pPr>
            <w:r>
              <w:rPr>
                <w:rFonts w:ascii="Verdana" w:hAnsi="Verdana" w:cs="Arial"/>
                <w:lang w:eastAsia="es-ES"/>
              </w:rPr>
              <w:t>Ley 1150 de 2007. Artículo 2, numeral 4 literal c).</w:t>
            </w:r>
          </w:p>
          <w:p w14:paraId="47ACF6EA" w14:textId="77777777" w:rsidR="00F853CC" w:rsidRDefault="00F853CC" w:rsidP="00F853CC">
            <w:pPr>
              <w:pStyle w:val="Prrafodelista"/>
              <w:numPr>
                <w:ilvl w:val="0"/>
                <w:numId w:val="16"/>
              </w:numPr>
              <w:spacing w:after="120" w:line="276" w:lineRule="auto"/>
              <w:jc w:val="both"/>
              <w:rPr>
                <w:rFonts w:ascii="Verdana" w:hAnsi="Verdana" w:cs="Arial"/>
                <w:lang w:eastAsia="es-ES"/>
              </w:rPr>
            </w:pPr>
            <w:r>
              <w:rPr>
                <w:rFonts w:ascii="Verdana" w:hAnsi="Verdana" w:cs="Arial"/>
                <w:lang w:eastAsia="es-ES"/>
              </w:rPr>
              <w:t xml:space="preserve">Ley 1715 de 2014. Artículos 2, 10. </w:t>
            </w:r>
          </w:p>
          <w:p w14:paraId="518939B6" w14:textId="77777777" w:rsidR="00F853CC" w:rsidRPr="00033152" w:rsidRDefault="00F853CC" w:rsidP="00F853CC">
            <w:pPr>
              <w:pStyle w:val="Prrafodelista"/>
              <w:numPr>
                <w:ilvl w:val="0"/>
                <w:numId w:val="16"/>
              </w:numPr>
              <w:spacing w:after="120" w:line="276" w:lineRule="auto"/>
              <w:jc w:val="both"/>
              <w:rPr>
                <w:rFonts w:ascii="Verdana" w:hAnsi="Verdana" w:cs="Arial"/>
                <w:lang w:eastAsia="es-ES"/>
              </w:rPr>
            </w:pPr>
            <w:r w:rsidRPr="00033152">
              <w:rPr>
                <w:rFonts w:ascii="Verdana" w:eastAsia="Calibri" w:hAnsi="Verdana" w:cs="Arial"/>
                <w:lang w:eastAsia="es-ES"/>
              </w:rPr>
              <w:t xml:space="preserve">Decreto 1073 de 2015. Artículo 2.2.3.3.5.7. </w:t>
            </w:r>
          </w:p>
          <w:p w14:paraId="1877D8A1" w14:textId="77777777" w:rsidR="00F853CC" w:rsidRPr="00033152" w:rsidRDefault="00F853CC" w:rsidP="00F853CC">
            <w:pPr>
              <w:pStyle w:val="Prrafodelista"/>
              <w:numPr>
                <w:ilvl w:val="0"/>
                <w:numId w:val="16"/>
              </w:numPr>
              <w:spacing w:after="120" w:line="276" w:lineRule="auto"/>
              <w:jc w:val="both"/>
              <w:rPr>
                <w:rFonts w:ascii="Verdana" w:hAnsi="Verdana" w:cs="Arial"/>
                <w:lang w:eastAsia="es-ES"/>
              </w:rPr>
            </w:pPr>
            <w:r w:rsidRPr="00033152">
              <w:rPr>
                <w:rFonts w:ascii="Verdana" w:hAnsi="Verdana" w:cs="Arial"/>
                <w:lang w:eastAsia="es-ES"/>
              </w:rPr>
              <w:t xml:space="preserve">Consejo de Estado. Sala de lo Contencioso Administrativo. Sección Primera. Sentencia de 3 de marzo de 2005. Radicado: 25001-23-15-000-2004-00823-01 (PI). C.P: Camilo Arciniegas Andrade. </w:t>
            </w:r>
          </w:p>
          <w:p w14:paraId="48BE6657" w14:textId="77777777" w:rsidR="00F853CC" w:rsidRPr="00033152" w:rsidRDefault="00F853CC" w:rsidP="00F853CC">
            <w:pPr>
              <w:pStyle w:val="Prrafodelista"/>
              <w:numPr>
                <w:ilvl w:val="0"/>
                <w:numId w:val="16"/>
              </w:numPr>
              <w:spacing w:after="120" w:line="276" w:lineRule="auto"/>
              <w:jc w:val="both"/>
              <w:rPr>
                <w:rFonts w:ascii="Verdana" w:hAnsi="Verdana" w:cs="Arial"/>
                <w:lang w:eastAsia="es-ES"/>
              </w:rPr>
            </w:pPr>
            <w:r w:rsidRPr="00033152">
              <w:rPr>
                <w:rFonts w:ascii="Verdana" w:hAnsi="Verdana" w:cs="Arial"/>
                <w:lang w:eastAsia="es-ES"/>
              </w:rPr>
              <w:t>Consejo de Estado. Sala de lo Contencioso Administrativo Sección Tercera. Sentencia de 22 de enero de 2002, expediente número 2001-0148-01.</w:t>
            </w:r>
          </w:p>
          <w:p w14:paraId="4B68E6E1" w14:textId="77777777" w:rsidR="00F853CC" w:rsidRPr="00033152" w:rsidRDefault="00F853CC" w:rsidP="00F853CC">
            <w:pPr>
              <w:pStyle w:val="Prrafodelista"/>
              <w:numPr>
                <w:ilvl w:val="0"/>
                <w:numId w:val="16"/>
              </w:numPr>
              <w:spacing w:after="120" w:line="276" w:lineRule="auto"/>
              <w:jc w:val="both"/>
              <w:rPr>
                <w:rFonts w:ascii="Verdana" w:hAnsi="Verdana" w:cs="Arial"/>
                <w:lang w:eastAsia="es-ES"/>
              </w:rPr>
            </w:pPr>
            <w:r w:rsidRPr="00033152">
              <w:rPr>
                <w:rFonts w:ascii="Verdana" w:hAnsi="Verdana" w:cs="Arial"/>
                <w:lang w:eastAsia="es-ES"/>
              </w:rPr>
              <w:t>Consejo de Estado. Sala de lo Contencioso Administrativo. Sección Tercera. Sentencia de 20 de noviembre de 2001, expediente número 2001-0130-01(PI).</w:t>
            </w:r>
          </w:p>
          <w:p w14:paraId="126E2653" w14:textId="77777777" w:rsidR="00F853CC" w:rsidRPr="00033152" w:rsidRDefault="00F853CC" w:rsidP="00F853CC">
            <w:pPr>
              <w:pStyle w:val="Prrafodelista"/>
              <w:numPr>
                <w:ilvl w:val="0"/>
                <w:numId w:val="16"/>
              </w:numPr>
              <w:spacing w:after="120" w:line="276" w:lineRule="auto"/>
              <w:jc w:val="both"/>
              <w:rPr>
                <w:rFonts w:ascii="Verdana" w:hAnsi="Verdana" w:cs="Arial"/>
                <w:lang w:eastAsia="es-ES"/>
              </w:rPr>
            </w:pPr>
            <w:r w:rsidRPr="00033152">
              <w:rPr>
                <w:rFonts w:ascii="Verdana" w:hAnsi="Verdana" w:cs="Arial"/>
                <w:lang w:eastAsia="es-ES"/>
              </w:rPr>
              <w:t xml:space="preserve">Consejo de Estado, Sala de Consulta y Servicio Civil. 24 de julio de 2013. Radicado: 11001-03-06-000-2013-00407-00 (2166). C.P. Álvaro Namén Vargas.  </w:t>
            </w:r>
          </w:p>
          <w:p w14:paraId="26C0F6CD" w14:textId="77777777" w:rsidR="00F853CC" w:rsidRPr="00033152" w:rsidRDefault="00F853CC" w:rsidP="00F853CC">
            <w:pPr>
              <w:pStyle w:val="Prrafodelista"/>
              <w:numPr>
                <w:ilvl w:val="0"/>
                <w:numId w:val="16"/>
              </w:numPr>
              <w:spacing w:after="120" w:line="276" w:lineRule="auto"/>
              <w:jc w:val="both"/>
              <w:rPr>
                <w:rFonts w:ascii="Verdana" w:hAnsi="Verdana" w:cs="Arial"/>
                <w:lang w:eastAsia="es-ES"/>
              </w:rPr>
            </w:pPr>
            <w:r w:rsidRPr="00033152">
              <w:rPr>
                <w:rFonts w:ascii="Verdana" w:hAnsi="Verdana" w:cs="Arial"/>
                <w:lang w:eastAsia="es-ES"/>
              </w:rPr>
              <w:t>Consejo de Estado. Sala de Consulta y Servicio Civil. Concepto del 17 de febrero de 2015. Radicado: 11001-03-06-000-2015-00164-00 (2269). C.P. William Zambrano Cetina.</w:t>
            </w:r>
          </w:p>
          <w:p w14:paraId="53C8D63C" w14:textId="77777777" w:rsidR="00F853CC" w:rsidRPr="00033152" w:rsidRDefault="00F853CC" w:rsidP="00F853CC">
            <w:pPr>
              <w:pStyle w:val="Prrafodelista"/>
              <w:numPr>
                <w:ilvl w:val="0"/>
                <w:numId w:val="16"/>
              </w:numPr>
              <w:spacing w:after="120" w:line="276" w:lineRule="auto"/>
              <w:jc w:val="both"/>
              <w:rPr>
                <w:rFonts w:ascii="Verdana" w:hAnsi="Verdana" w:cs="Arial"/>
                <w:lang w:eastAsia="es-ES"/>
              </w:rPr>
            </w:pPr>
            <w:r w:rsidRPr="00033152">
              <w:rPr>
                <w:rFonts w:ascii="Verdana" w:hAnsi="Verdana" w:cs="Arial"/>
                <w:lang w:eastAsia="es-ES"/>
              </w:rPr>
              <w:t>Consejo de Estado. Sala de Consulta y Servicio Civil. Concepto del 2 de septiembre de 2013. Radicación número: 11001-03-06-000-2013-00412-00 (2168). C.P: Álvaro Namén Vargas.</w:t>
            </w:r>
          </w:p>
          <w:p w14:paraId="5ACFABBD" w14:textId="77777777" w:rsidR="00F853CC" w:rsidRPr="00033152" w:rsidRDefault="00F853CC" w:rsidP="00F853CC">
            <w:pPr>
              <w:pStyle w:val="Prrafodelista"/>
              <w:numPr>
                <w:ilvl w:val="0"/>
                <w:numId w:val="16"/>
              </w:numPr>
              <w:spacing w:after="120" w:line="276" w:lineRule="auto"/>
              <w:jc w:val="both"/>
              <w:rPr>
                <w:rFonts w:ascii="Verdana" w:hAnsi="Verdana" w:cs="Arial"/>
                <w:lang w:eastAsia="es-ES"/>
              </w:rPr>
            </w:pPr>
            <w:r w:rsidRPr="00033152">
              <w:rPr>
                <w:rFonts w:ascii="Verdana" w:hAnsi="Verdana" w:cs="Arial"/>
                <w:lang w:eastAsia="es-ES"/>
              </w:rPr>
              <w:t>Consejo de Estado. Sala de Consulta y Servicio Civil, Concepto de 8 de mayo de 2018. Radicación Número: 11001-03-06-000-2018-00095-00 (2382). C.P: Álvaro Namén Vargas.</w:t>
            </w:r>
          </w:p>
          <w:p w14:paraId="6BFC59BC" w14:textId="77777777" w:rsidR="00F853CC" w:rsidRPr="00033152" w:rsidRDefault="00F853CC" w:rsidP="00F853CC">
            <w:pPr>
              <w:pStyle w:val="Prrafodelista"/>
              <w:numPr>
                <w:ilvl w:val="0"/>
                <w:numId w:val="16"/>
              </w:numPr>
              <w:spacing w:after="120" w:line="276" w:lineRule="auto"/>
              <w:jc w:val="both"/>
              <w:rPr>
                <w:rFonts w:ascii="Verdana" w:hAnsi="Verdana" w:cs="Arial"/>
                <w:lang w:eastAsia="es-ES"/>
              </w:rPr>
            </w:pPr>
            <w:r w:rsidRPr="00033152">
              <w:rPr>
                <w:rFonts w:ascii="Verdana" w:hAnsi="Verdana" w:cs="Arial"/>
                <w:lang w:eastAsia="es-ES"/>
              </w:rPr>
              <w:t>Consejo de Estado. Sala de Consulta y Servicio Civil. Concepto de 20 de febrero de 2006. Radicación Número: 11001-03-06-000-2006-00026-00 (1727). C.P: Enrique José Arboleda Perdomo.</w:t>
            </w:r>
          </w:p>
          <w:p w14:paraId="4B0B6699" w14:textId="77777777" w:rsidR="00F853CC" w:rsidRPr="00033152" w:rsidRDefault="00F853CC" w:rsidP="00F853CC">
            <w:pPr>
              <w:pStyle w:val="Prrafodelista"/>
              <w:numPr>
                <w:ilvl w:val="0"/>
                <w:numId w:val="16"/>
              </w:numPr>
              <w:spacing w:after="120" w:line="276" w:lineRule="auto"/>
              <w:jc w:val="both"/>
              <w:rPr>
                <w:rFonts w:ascii="Verdana" w:hAnsi="Verdana" w:cs="Arial"/>
                <w:lang w:eastAsia="es-ES"/>
              </w:rPr>
            </w:pPr>
            <w:r w:rsidRPr="00033152">
              <w:rPr>
                <w:rFonts w:ascii="Verdana" w:hAnsi="Verdana" w:cs="Arial"/>
                <w:lang w:eastAsia="es-ES"/>
              </w:rPr>
              <w:t>Consejo de Estado. Sala de Consulta y Servicio Civil. Concepto del 15 de noviembre de 2007. Rad. 1863. C.P: Luis Fernando Álvarez Jaramillo.</w:t>
            </w:r>
          </w:p>
          <w:p w14:paraId="0F6BEB9A" w14:textId="77777777" w:rsidR="00F853CC" w:rsidRPr="00033152" w:rsidRDefault="00F853CC" w:rsidP="00F853CC">
            <w:pPr>
              <w:pStyle w:val="Prrafodelista"/>
              <w:numPr>
                <w:ilvl w:val="0"/>
                <w:numId w:val="16"/>
              </w:numPr>
              <w:spacing w:line="276" w:lineRule="auto"/>
              <w:ind w:left="714" w:hanging="357"/>
              <w:jc w:val="both"/>
              <w:rPr>
                <w:rFonts w:ascii="Verdana" w:hAnsi="Verdana" w:cs="Arial"/>
                <w:lang w:eastAsia="es-ES"/>
              </w:rPr>
            </w:pPr>
            <w:r w:rsidRPr="00033152">
              <w:rPr>
                <w:rFonts w:ascii="Verdana" w:hAnsi="Verdana" w:cs="Arial"/>
                <w:lang w:eastAsia="es-ES"/>
              </w:rPr>
              <w:t xml:space="preserve">Consejo de Estado. Sala de lo Contencioso Administrativo. Sección Tercera. Sentencia del 21 de febrero de 2025. </w:t>
            </w:r>
            <w:proofErr w:type="spellStart"/>
            <w:r w:rsidRPr="00033152">
              <w:rPr>
                <w:rFonts w:ascii="Verdana" w:hAnsi="Verdana" w:cs="Arial"/>
                <w:lang w:eastAsia="es-ES"/>
              </w:rPr>
              <w:t>Exp</w:t>
            </w:r>
            <w:proofErr w:type="spellEnd"/>
            <w:r w:rsidRPr="00033152">
              <w:rPr>
                <w:rFonts w:ascii="Verdana" w:hAnsi="Verdana" w:cs="Arial"/>
                <w:lang w:eastAsia="es-ES"/>
              </w:rPr>
              <w:t>. 68.280. CP: José Roberto Sáchica Méndez.</w:t>
            </w:r>
          </w:p>
          <w:p w14:paraId="3A3A3BA0" w14:textId="77777777" w:rsidR="00F853CC" w:rsidRPr="00033152" w:rsidRDefault="00F853CC" w:rsidP="00F853CC">
            <w:pPr>
              <w:pStyle w:val="Prrafodelista"/>
              <w:numPr>
                <w:ilvl w:val="0"/>
                <w:numId w:val="16"/>
              </w:numPr>
              <w:spacing w:line="276" w:lineRule="auto"/>
              <w:ind w:left="714" w:hanging="357"/>
              <w:jc w:val="both"/>
              <w:rPr>
                <w:rFonts w:ascii="Verdana" w:hAnsi="Verdana" w:cs="Arial"/>
                <w:lang w:eastAsia="es-ES"/>
              </w:rPr>
            </w:pPr>
            <w:r w:rsidRPr="00033152">
              <w:rPr>
                <w:rFonts w:ascii="Verdana" w:hAnsi="Verdana" w:cs="Arial"/>
                <w:lang w:eastAsia="es-ES"/>
              </w:rPr>
              <w:t xml:space="preserve">Consejo de Estado. Sala de lo Contencioso Administrativo. Sección Tercera. Subsección B. Auto del 4 de octubre de 2024. </w:t>
            </w:r>
            <w:proofErr w:type="spellStart"/>
            <w:r w:rsidRPr="00033152">
              <w:rPr>
                <w:rFonts w:ascii="Verdana" w:hAnsi="Verdana" w:cs="Arial"/>
                <w:lang w:eastAsia="es-ES"/>
              </w:rPr>
              <w:t>Exp</w:t>
            </w:r>
            <w:proofErr w:type="spellEnd"/>
            <w:r w:rsidRPr="00033152">
              <w:rPr>
                <w:rFonts w:ascii="Verdana" w:hAnsi="Verdana" w:cs="Arial"/>
                <w:lang w:eastAsia="es-ES"/>
              </w:rPr>
              <w:t>. 70.313. C.P: Fredy Ibarra Martínez.</w:t>
            </w:r>
          </w:p>
          <w:p w14:paraId="670E4A4E" w14:textId="77777777" w:rsidR="00F853CC" w:rsidRPr="00033152" w:rsidRDefault="00F853CC" w:rsidP="00F853CC">
            <w:pPr>
              <w:pStyle w:val="Prrafodelista"/>
              <w:numPr>
                <w:ilvl w:val="0"/>
                <w:numId w:val="16"/>
              </w:numPr>
              <w:spacing w:line="276" w:lineRule="auto"/>
              <w:ind w:left="714" w:hanging="357"/>
              <w:jc w:val="both"/>
              <w:rPr>
                <w:rFonts w:ascii="Verdana" w:hAnsi="Verdana" w:cs="Arial"/>
                <w:lang w:eastAsia="es-ES"/>
              </w:rPr>
            </w:pPr>
            <w:r w:rsidRPr="00033152">
              <w:rPr>
                <w:rFonts w:ascii="Verdana" w:hAnsi="Verdana" w:cs="Arial"/>
                <w:lang w:eastAsia="es-ES"/>
              </w:rPr>
              <w:t xml:space="preserve">Consejo de Estado, Sección Tercera. Auto del 6 de noviembre de 2025. </w:t>
            </w:r>
            <w:proofErr w:type="spellStart"/>
            <w:r w:rsidRPr="00033152">
              <w:rPr>
                <w:rFonts w:ascii="Verdana" w:hAnsi="Verdana" w:cs="Arial"/>
                <w:lang w:eastAsia="es-ES"/>
              </w:rPr>
              <w:t>Exp</w:t>
            </w:r>
            <w:proofErr w:type="spellEnd"/>
            <w:r w:rsidRPr="00033152">
              <w:rPr>
                <w:rFonts w:ascii="Verdana" w:hAnsi="Verdana" w:cs="Arial"/>
                <w:lang w:eastAsia="es-ES"/>
              </w:rPr>
              <w:t>. 72.424. C.P: Fernando Alexei Pardo Flórez.</w:t>
            </w:r>
          </w:p>
          <w:p w14:paraId="2A4582BB" w14:textId="77777777" w:rsidR="00F853CC" w:rsidRPr="00033152" w:rsidRDefault="00F853CC" w:rsidP="00F853CC">
            <w:pPr>
              <w:pStyle w:val="Prrafodelista"/>
              <w:numPr>
                <w:ilvl w:val="0"/>
                <w:numId w:val="16"/>
              </w:numPr>
              <w:spacing w:line="276" w:lineRule="auto"/>
              <w:ind w:left="714" w:hanging="357"/>
              <w:jc w:val="both"/>
              <w:rPr>
                <w:rFonts w:ascii="Verdana" w:hAnsi="Verdana" w:cs="Arial"/>
                <w:lang w:eastAsia="es-ES"/>
              </w:rPr>
            </w:pPr>
            <w:r w:rsidRPr="00033152">
              <w:rPr>
                <w:rFonts w:ascii="Verdana" w:hAnsi="Verdana" w:cs="Arial"/>
                <w:lang w:eastAsia="es-ES"/>
              </w:rPr>
              <w:t>Corte Constitucional. Sentencia C- 1153 de 2005, M.P: Marco Gerardo Monroy Cabra.</w:t>
            </w:r>
            <w:r w:rsidRPr="00033152">
              <w:rPr>
                <w:rFonts w:ascii="Verdana" w:hAnsi="Verdana" w:cs="Arial"/>
                <w:lang w:eastAsia="es-ES"/>
              </w:rPr>
              <w:tab/>
            </w:r>
          </w:p>
          <w:p w14:paraId="47B50518" w14:textId="77777777" w:rsidR="00F853CC" w:rsidRPr="00033152" w:rsidRDefault="00F853CC" w:rsidP="00F853CC">
            <w:pPr>
              <w:pStyle w:val="Prrafodelista"/>
              <w:numPr>
                <w:ilvl w:val="0"/>
                <w:numId w:val="16"/>
              </w:numPr>
              <w:spacing w:after="120" w:line="276" w:lineRule="auto"/>
              <w:jc w:val="both"/>
              <w:rPr>
                <w:rFonts w:ascii="Verdana" w:hAnsi="Verdana" w:cs="Arial"/>
                <w:lang w:eastAsia="es-ES"/>
              </w:rPr>
            </w:pPr>
            <w:r w:rsidRPr="00033152">
              <w:rPr>
                <w:rFonts w:ascii="Verdana" w:hAnsi="Verdana" w:cs="Arial"/>
                <w:lang w:eastAsia="es-ES"/>
              </w:rPr>
              <w:t>Corte Constitucional. Sentencia C-233 de 4 de abril de 2002. M.P: Álvaro Tafur Galvis.</w:t>
            </w:r>
          </w:p>
          <w:p w14:paraId="0691364D" w14:textId="77777777" w:rsidR="00F853CC" w:rsidRPr="00033152" w:rsidRDefault="00F853CC" w:rsidP="00F853CC">
            <w:pPr>
              <w:pStyle w:val="Prrafodelista"/>
              <w:numPr>
                <w:ilvl w:val="0"/>
                <w:numId w:val="16"/>
              </w:numPr>
              <w:spacing w:after="120" w:line="276" w:lineRule="auto"/>
              <w:jc w:val="both"/>
              <w:rPr>
                <w:rFonts w:ascii="Verdana" w:hAnsi="Verdana" w:cs="Arial"/>
                <w:lang w:eastAsia="es-ES"/>
              </w:rPr>
            </w:pPr>
            <w:r w:rsidRPr="00033152">
              <w:rPr>
                <w:rFonts w:ascii="Verdana" w:hAnsi="Verdana" w:cs="Arial"/>
                <w:lang w:eastAsia="es-ES"/>
              </w:rPr>
              <w:t>Corte Constitucional. Sentencia C-551 de 9 de julio de 2003. M.P: Eduardo Montealegre Lynnet.</w:t>
            </w:r>
          </w:p>
          <w:p w14:paraId="0BDCCD84" w14:textId="77777777" w:rsidR="00F853CC" w:rsidRPr="00033152" w:rsidRDefault="00F853CC" w:rsidP="00F853CC">
            <w:pPr>
              <w:pStyle w:val="Prrafodelista"/>
              <w:numPr>
                <w:ilvl w:val="0"/>
                <w:numId w:val="16"/>
              </w:numPr>
              <w:spacing w:after="120" w:line="276" w:lineRule="auto"/>
              <w:jc w:val="both"/>
              <w:rPr>
                <w:rFonts w:ascii="Verdana" w:hAnsi="Verdana" w:cs="Arial"/>
                <w:lang w:eastAsia="es-ES"/>
              </w:rPr>
            </w:pPr>
            <w:r w:rsidRPr="00033152">
              <w:rPr>
                <w:rFonts w:ascii="Verdana" w:hAnsi="Verdana" w:cs="Arial"/>
                <w:lang w:eastAsia="es-ES"/>
              </w:rPr>
              <w:t xml:space="preserve">Corte Constitucional. Sentencia C-353 de 20 de mayo de 2009. M.P: Jorge Iván Palacio </w:t>
            </w:r>
            <w:proofErr w:type="spellStart"/>
            <w:r w:rsidRPr="00033152">
              <w:rPr>
                <w:rFonts w:ascii="Verdana" w:hAnsi="Verdana" w:cs="Arial"/>
                <w:lang w:eastAsia="es-ES"/>
              </w:rPr>
              <w:t>Palacio</w:t>
            </w:r>
            <w:proofErr w:type="spellEnd"/>
            <w:r w:rsidRPr="00033152">
              <w:rPr>
                <w:rFonts w:ascii="Verdana" w:hAnsi="Verdana" w:cs="Arial"/>
                <w:lang w:eastAsia="es-ES"/>
              </w:rPr>
              <w:t>.</w:t>
            </w:r>
          </w:p>
          <w:p w14:paraId="30C4F481" w14:textId="77777777" w:rsidR="00F853CC" w:rsidRPr="00033152" w:rsidRDefault="00F853CC" w:rsidP="00F853CC">
            <w:pPr>
              <w:pStyle w:val="Prrafodelista"/>
              <w:numPr>
                <w:ilvl w:val="0"/>
                <w:numId w:val="16"/>
              </w:numPr>
              <w:spacing w:after="120" w:line="276" w:lineRule="auto"/>
              <w:jc w:val="both"/>
              <w:rPr>
                <w:rFonts w:ascii="Verdana" w:hAnsi="Verdana" w:cs="Arial"/>
                <w:lang w:eastAsia="es-ES"/>
              </w:rPr>
            </w:pPr>
            <w:r w:rsidRPr="00033152">
              <w:rPr>
                <w:rFonts w:ascii="Verdana" w:hAnsi="Verdana"/>
              </w:rPr>
              <w:t xml:space="preserve">Agencia Nacional de Contratación Pública – Colombia Compra Eficiente. Circular Externa 006 del 25 de septiembre de 2025. Disponible en </w:t>
            </w:r>
            <w:hyperlink r:id="rId16" w:history="1">
              <w:r w:rsidRPr="00033152">
                <w:rPr>
                  <w:rStyle w:val="Hipervnculo"/>
                  <w:rFonts w:ascii="Verdana" w:hAnsi="Verdana"/>
                  <w:lang w:val="es-CO"/>
                </w:rPr>
                <w:t>006-de-2025-Circular-Externa-L996-ajustado-comentarios-BM-BID-Rev-ARSC-V3.d-1.pdf</w:t>
              </w:r>
            </w:hyperlink>
          </w:p>
          <w:p w14:paraId="0EE4D182" w14:textId="77777777" w:rsidR="00F853CC" w:rsidRPr="00033152" w:rsidRDefault="00F853CC" w:rsidP="00F853CC">
            <w:pPr>
              <w:pStyle w:val="Prrafodelista"/>
              <w:numPr>
                <w:ilvl w:val="0"/>
                <w:numId w:val="16"/>
              </w:numPr>
              <w:spacing w:after="120" w:line="276" w:lineRule="auto"/>
              <w:jc w:val="both"/>
              <w:rPr>
                <w:rFonts w:ascii="Verdana" w:hAnsi="Verdana" w:cs="Arial"/>
                <w:lang w:eastAsia="es-ES"/>
              </w:rPr>
            </w:pPr>
            <w:r w:rsidRPr="00033152">
              <w:rPr>
                <w:rFonts w:ascii="Verdana" w:hAnsi="Verdana" w:cs="Arial"/>
                <w:lang w:eastAsia="es-ES"/>
              </w:rPr>
              <w:t>CLARO SOLAR, Luis. Explicaciones de derecho civil chileno y comparado. Volumen I. Tomo I. Santiago:</w:t>
            </w:r>
            <w:r w:rsidRPr="00EB6D0E">
              <w:rPr>
                <w:rFonts w:ascii="Verdana" w:hAnsi="Verdana" w:cs="Arial"/>
                <w:lang w:eastAsia="es-ES"/>
              </w:rPr>
              <w:t xml:space="preserve"> Editorial Jurídica de Chile, 2013.</w:t>
            </w:r>
          </w:p>
        </w:tc>
      </w:tr>
    </w:tbl>
    <w:p w14:paraId="4AF241F3" w14:textId="77777777" w:rsidR="00F853CC" w:rsidRDefault="00F853CC" w:rsidP="00F853CC">
      <w:pPr>
        <w:tabs>
          <w:tab w:val="left" w:pos="142"/>
          <w:tab w:val="left" w:pos="284"/>
          <w:tab w:val="left" w:pos="3828"/>
        </w:tabs>
        <w:spacing w:after="0" w:line="276" w:lineRule="auto"/>
        <w:jc w:val="both"/>
        <w:rPr>
          <w:rFonts w:ascii="Verdana" w:eastAsia="Century Gothic" w:hAnsi="Verdana" w:cs="Century Gothic"/>
          <w:b/>
          <w:bCs/>
        </w:rPr>
      </w:pPr>
    </w:p>
    <w:p w14:paraId="4AD8F5F2" w14:textId="77777777" w:rsidR="00F853CC" w:rsidRPr="0091091D" w:rsidRDefault="00F853CC" w:rsidP="00F853CC">
      <w:pPr>
        <w:tabs>
          <w:tab w:val="left" w:pos="142"/>
          <w:tab w:val="left" w:pos="284"/>
          <w:tab w:val="left" w:pos="3828"/>
        </w:tabs>
        <w:spacing w:after="0" w:line="276" w:lineRule="auto"/>
        <w:jc w:val="both"/>
        <w:rPr>
          <w:rFonts w:ascii="Verdana" w:eastAsia="Century Gothic" w:hAnsi="Verdana" w:cs="Century Gothic"/>
          <w:b/>
          <w:bCs/>
        </w:rPr>
      </w:pPr>
      <w:r w:rsidRPr="0091091D">
        <w:rPr>
          <w:rFonts w:ascii="Verdana" w:eastAsia="Century Gothic" w:hAnsi="Verdana" w:cs="Century Gothic"/>
          <w:b/>
          <w:bCs/>
        </w:rPr>
        <w:t>5. Doctrina de la Agencia Nacional de Contratación Pública:</w:t>
      </w:r>
    </w:p>
    <w:p w14:paraId="0060299F" w14:textId="77777777" w:rsidR="00F853CC" w:rsidRPr="007A3DD4" w:rsidRDefault="00F853CC" w:rsidP="00F853CC">
      <w:pPr>
        <w:widowControl w:val="0"/>
        <w:autoSpaceDE w:val="0"/>
        <w:autoSpaceDN w:val="0"/>
        <w:spacing w:after="0" w:line="240" w:lineRule="auto"/>
        <w:jc w:val="both"/>
        <w:rPr>
          <w:rStyle w:val="normaltextrun"/>
          <w:rFonts w:ascii="Verdana" w:hAnsi="Verdana" w:cs="Arial"/>
          <w:shd w:val="clear" w:color="auto" w:fill="FFFFFF"/>
        </w:rPr>
      </w:pPr>
    </w:p>
    <w:p w14:paraId="04297109" w14:textId="77777777" w:rsidR="00F853CC" w:rsidRPr="00147D6A" w:rsidRDefault="00F853CC" w:rsidP="00F853CC">
      <w:pPr>
        <w:widowControl w:val="0"/>
        <w:autoSpaceDE w:val="0"/>
        <w:autoSpaceDN w:val="0"/>
        <w:spacing w:after="120" w:line="276" w:lineRule="auto"/>
        <w:jc w:val="both"/>
        <w:rPr>
          <w:rFonts w:ascii="Verdana" w:hAnsi="Verdana" w:cs="Arial"/>
          <w:shd w:val="clear" w:color="auto" w:fill="FFFFFF"/>
        </w:rPr>
      </w:pPr>
      <w:r w:rsidRPr="00147D6A">
        <w:rPr>
          <w:rFonts w:ascii="Verdana" w:hAnsi="Verdana" w:cs="Arial"/>
          <w:shd w:val="clear" w:color="auto" w:fill="FFFFFF"/>
        </w:rPr>
        <w:t xml:space="preserve">Esta Subdirección se ha pronunciado sobre la Ley de Garantías Electorales en  los conceptos C-681 del 7 de diciembre de 2021, C-686 del 21 de diciembre de 2021, C-134 del 7 de abril de 2022, C-697 del 3 de enero de 2022, C-180 del 21 de marzo de 2025, C-317 del 25 de abril de 2025, C-510 del 4 de junio de 2025, C -635 del 27 de junio de 2025, C–750 de 17 de julio 2025, C-868 del 12 de agosto de 2025, C-1124 del 18 de septiembre de 2025, C-1174 del 29 de septiembre de 2025, C-1491 del 20 de noviembre de 2025, C- 1492 del </w:t>
      </w:r>
      <w:r w:rsidRPr="00147D6A">
        <w:rPr>
          <w:rFonts w:ascii="Verdana" w:hAnsi="Verdana"/>
        </w:rPr>
        <w:t>21 de noviembre del 2025, C-1629, C-1646 del 17 de diciembre de 2025, C-1662 del 22 de diciembre de 2025</w:t>
      </w:r>
      <w:r w:rsidRPr="00147D6A">
        <w:rPr>
          <w:rStyle w:val="normaltextrun"/>
          <w:rFonts w:ascii="Verdana" w:hAnsi="Verdana" w:cs="Arial"/>
          <w:shd w:val="clear" w:color="auto" w:fill="FFFFFF"/>
          <w:lang w:val="es-ES"/>
        </w:rPr>
        <w:t xml:space="preserve">, C-063 del 23 de febrero de 2026, C-160 del 24 de febrero de 2026, </w:t>
      </w:r>
      <w:r>
        <w:rPr>
          <w:rStyle w:val="normaltextrun"/>
          <w:rFonts w:ascii="Verdana" w:hAnsi="Verdana" w:cs="Arial"/>
          <w:shd w:val="clear" w:color="auto" w:fill="FFFFFF"/>
          <w:lang w:val="es-ES"/>
        </w:rPr>
        <w:t xml:space="preserve">C-095 del 4 de marzo de 2026, </w:t>
      </w:r>
      <w:r w:rsidRPr="00147D6A">
        <w:rPr>
          <w:rStyle w:val="normaltextrun"/>
          <w:rFonts w:ascii="Verdana" w:hAnsi="Verdana" w:cs="Arial"/>
          <w:shd w:val="clear" w:color="auto" w:fill="FFFFFF"/>
          <w:lang w:val="es-ES"/>
        </w:rPr>
        <w:t>C-108 del 4 de marzo de 2026, C-177 del 16 de marzo de 2026, entre otros.</w:t>
      </w:r>
      <w:r w:rsidRPr="00147D6A">
        <w:rPr>
          <w:rFonts w:ascii="Verdana" w:hAnsi="Verdana" w:cs="Arial"/>
          <w:shd w:val="clear" w:color="auto" w:fill="FFFFFF"/>
          <w:lang w:val="es-ES"/>
        </w:rPr>
        <w:t xml:space="preserve"> </w:t>
      </w:r>
      <w:r w:rsidRPr="00147D6A">
        <w:rPr>
          <w:rFonts w:ascii="Verdana" w:hAnsi="Verdana" w:cs="Arial"/>
        </w:rPr>
        <w:t xml:space="preserve">Estos y otros </w:t>
      </w:r>
      <w:r w:rsidRPr="00147D6A">
        <w:rPr>
          <w:rFonts w:ascii="Verdana" w:hAnsi="Verdana"/>
        </w:rPr>
        <w:t>conceptos se encuentran disponibles para consulta en el Sistema de relatoría de la Agencia, al cual se puede acceder a través del siguiente enlace:</w:t>
      </w:r>
      <w:r w:rsidRPr="00147D6A">
        <w:rPr>
          <w:rFonts w:ascii="Verdana" w:hAnsi="Verdana" w:cs="Arial"/>
          <w:shd w:val="clear" w:color="auto" w:fill="FFFFFF"/>
        </w:rPr>
        <w:t xml:space="preserve"> </w:t>
      </w:r>
      <w:hyperlink r:id="rId17" w:history="1">
        <w:r w:rsidRPr="00147D6A">
          <w:rPr>
            <w:rFonts w:ascii="Verdana" w:hAnsi="Verdana" w:cs="Arial"/>
            <w:color w:val="0563C1" w:themeColor="hyperlink"/>
            <w:u w:val="single"/>
            <w:shd w:val="clear" w:color="auto" w:fill="FFFFFF"/>
          </w:rPr>
          <w:t>https://relatoria.colombiacompra.gov.co/busqueda/conceptos</w:t>
        </w:r>
      </w:hyperlink>
      <w:r w:rsidRPr="00147D6A">
        <w:rPr>
          <w:rFonts w:ascii="Verdana" w:hAnsi="Verdana" w:cs="Arial"/>
          <w:shd w:val="clear" w:color="auto" w:fill="FFFFFF"/>
        </w:rPr>
        <w:t>.</w:t>
      </w:r>
      <w:r w:rsidRPr="00147D6A">
        <w:rPr>
          <w:rFonts w:ascii="Verdana" w:hAnsi="Verdana" w:cs="Arial"/>
          <w:color w:val="FF0000"/>
          <w:shd w:val="clear" w:color="auto" w:fill="FFFFFF"/>
        </w:rPr>
        <w:t xml:space="preserve"> </w:t>
      </w:r>
      <w:r w:rsidRPr="00147D6A">
        <w:rPr>
          <w:rFonts w:ascii="Verdana" w:hAnsi="Verdana" w:cs="Arial"/>
          <w:color w:val="000000" w:themeColor="text1"/>
          <w:shd w:val="clear" w:color="auto" w:fill="FFFFFF"/>
        </w:rPr>
        <w:t>  </w:t>
      </w:r>
    </w:p>
    <w:p w14:paraId="44E2298E" w14:textId="77777777" w:rsidR="00F853CC" w:rsidRDefault="00F853CC" w:rsidP="00F853CC">
      <w:pPr>
        <w:widowControl w:val="0"/>
        <w:autoSpaceDE w:val="0"/>
        <w:autoSpaceDN w:val="0"/>
        <w:spacing w:after="120" w:line="276" w:lineRule="auto"/>
        <w:jc w:val="both"/>
        <w:rPr>
          <w:rFonts w:ascii="Verdana" w:hAnsi="Verdana" w:cs="Arial"/>
        </w:rPr>
      </w:pPr>
      <w:r w:rsidRPr="00147D6A">
        <w:rPr>
          <w:rFonts w:ascii="Verdana" w:hAnsi="Verdana"/>
        </w:rPr>
        <w:t>La sostenibilidad no es una opción, es una obligación. Por ello</w:t>
      </w:r>
      <w:r w:rsidRPr="009A385A">
        <w:rPr>
          <w:rFonts w:ascii="Verdana" w:hAnsi="Verdana"/>
        </w:rPr>
        <w:t xml:space="preserve">,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8" w:tgtFrame="_new" w:history="1">
        <w:r w:rsidRPr="008746BD">
          <w:rPr>
            <w:rStyle w:val="Hipervnculo"/>
            <w:rFonts w:ascii="Verdana" w:hAnsi="Verdana"/>
          </w:rPr>
          <w:t>https://formacionvirtual.colombiacompra.gov.co/mod/page/view.php?id=3718</w:t>
        </w:r>
      </w:hyperlink>
    </w:p>
    <w:p w14:paraId="33611925" w14:textId="77777777" w:rsidR="00F853CC" w:rsidRDefault="00F853CC" w:rsidP="00F853CC">
      <w:pPr>
        <w:widowControl w:val="0"/>
        <w:autoSpaceDE w:val="0"/>
        <w:autoSpaceDN w:val="0"/>
        <w:spacing w:after="120" w:line="276" w:lineRule="auto"/>
        <w:jc w:val="both"/>
        <w:rPr>
          <w:rStyle w:val="Hipervnculo"/>
          <w:rFonts w:ascii="Verdana" w:hAnsi="Verdana" w:cs="Arial"/>
          <w:color w:val="auto"/>
          <w:u w:val="none"/>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da</w:t>
      </w:r>
      <w:r>
        <w:rPr>
          <w:rFonts w:ascii="Verdana" w:hAnsi="Verdana"/>
        </w:rPr>
        <w:t>do</w:t>
      </w:r>
      <w:r w:rsidRPr="00635F16">
        <w:rPr>
          <w:rFonts w:ascii="Verdana" w:hAnsi="Verdana"/>
        </w:rPr>
        <w:t xml:space="preserve">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w:t>
      </w:r>
      <w:r w:rsidRPr="008746BD">
        <w:rPr>
          <w:rFonts w:ascii="Verdana" w:hAnsi="Verdana"/>
        </w:rPr>
        <w:t xml:space="preserve">Consulta y descarga los documentos aquí: </w:t>
      </w:r>
      <w:hyperlink r:id="rId19" w:tgtFrame="_new" w:history="1">
        <w:r w:rsidRPr="008746BD">
          <w:rPr>
            <w:rStyle w:val="Hipervnculo"/>
            <w:rFonts w:ascii="Verdana" w:hAnsi="Verdana"/>
          </w:rPr>
          <w:t>https://www.colombiacompra.gov.co/normativa-y-relatoria/documentos-tipo</w:t>
        </w:r>
      </w:hyperlink>
    </w:p>
    <w:p w14:paraId="2F0E6AFF" w14:textId="77777777" w:rsidR="00F853CC" w:rsidRDefault="00F853CC" w:rsidP="00F853CC">
      <w:pPr>
        <w:widowControl w:val="0"/>
        <w:autoSpaceDE w:val="0"/>
        <w:autoSpaceDN w:val="0"/>
        <w:spacing w:after="120" w:line="276" w:lineRule="auto"/>
        <w:jc w:val="both"/>
        <w:rPr>
          <w:rStyle w:val="Hipervnculo"/>
          <w:rFonts w:ascii="Verdana" w:hAnsi="Verdana" w:cs="Arial"/>
          <w:color w:val="auto"/>
          <w:u w:val="none"/>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8746BD">
        <w:rPr>
          <w:rFonts w:ascii="Verdana" w:hAnsi="Verdana"/>
        </w:rPr>
        <w:t>Además se incluyeron lineamientos que orientan la implementación de los criterios ambientales y sociales incluidos en los documentos tipo: Consulta la guía aquí:</w:t>
      </w:r>
      <w:r w:rsidRPr="008746BD">
        <w:rPr>
          <w:rFonts w:ascii="Verdana" w:hAnsi="Verdana"/>
        </w:rPr>
        <w:br/>
      </w:r>
      <w:hyperlink r:id="rId20" w:tgtFrame="_new" w:history="1">
        <w:r w:rsidRPr="008746BD">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572B8836" w14:textId="77777777" w:rsidR="00F853CC" w:rsidRPr="007A3DD4" w:rsidRDefault="00F853CC" w:rsidP="00F853CC">
      <w:pPr>
        <w:widowControl w:val="0"/>
        <w:autoSpaceDE w:val="0"/>
        <w:autoSpaceDN w:val="0"/>
        <w:spacing w:after="120" w:line="276" w:lineRule="auto"/>
        <w:jc w:val="both"/>
        <w:rPr>
          <w:rFonts w:ascii="Verdana" w:hAnsi="Verdana" w:cs="Arial"/>
        </w:rPr>
      </w:pPr>
      <w:r w:rsidRPr="001A68FB">
        <w:rPr>
          <w:rFonts w:ascii="Verdana" w:hAnsi="Verdana"/>
        </w:rPr>
        <w:t>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w:t>
      </w:r>
      <w:r w:rsidRPr="00116940">
        <w:rPr>
          <w:rFonts w:ascii="Verdana" w:hAnsi="Verdana"/>
        </w:rPr>
        <w:t xml:space="preserve"> </w:t>
      </w:r>
    </w:p>
    <w:p w14:paraId="3C1555B6" w14:textId="77777777" w:rsidR="00F853CC" w:rsidRPr="00116940" w:rsidRDefault="00F853CC" w:rsidP="00F853CC">
      <w:pPr>
        <w:pStyle w:val="Prrafodelista"/>
        <w:numPr>
          <w:ilvl w:val="0"/>
          <w:numId w:val="15"/>
        </w:numPr>
        <w:spacing w:after="0" w:line="276" w:lineRule="auto"/>
        <w:contextualSpacing w:val="0"/>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1985F5A5" w14:textId="77777777" w:rsidR="00F853CC" w:rsidRPr="00116940" w:rsidRDefault="00F853CC" w:rsidP="00F853CC">
      <w:pPr>
        <w:pStyle w:val="Prrafodelista"/>
        <w:numPr>
          <w:ilvl w:val="0"/>
          <w:numId w:val="15"/>
        </w:numPr>
        <w:spacing w:after="0" w:line="276" w:lineRule="auto"/>
        <w:contextualSpacing w:val="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432D7C34" w14:textId="77777777" w:rsidR="00F853CC" w:rsidRPr="00116940" w:rsidRDefault="00F853CC" w:rsidP="00F853CC">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21">
        <w:r w:rsidRPr="00116940">
          <w:rPr>
            <w:rStyle w:val="Hipervnculo"/>
            <w:rFonts w:ascii="Verdana" w:eastAsia="Verdana" w:hAnsi="Verdana" w:cs="Verdana"/>
            <w:lang w:val="es-MX"/>
          </w:rPr>
          <w:t>ventanilladeradicacion@colombiacompra.gov.co</w:t>
        </w:r>
      </w:hyperlink>
    </w:p>
    <w:p w14:paraId="4302B8BF" w14:textId="77777777" w:rsidR="00F853CC" w:rsidRPr="00116940" w:rsidRDefault="00F853CC" w:rsidP="00F853CC">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22">
        <w:r w:rsidRPr="00116940">
          <w:rPr>
            <w:rStyle w:val="Hipervnculo"/>
            <w:rFonts w:ascii="Verdana" w:eastAsia="Verdana" w:hAnsi="Verdana" w:cs="Verdana"/>
            <w:lang w:val="es-MX"/>
          </w:rPr>
          <w:t>https://www.colombiacompra.gov.co/pqrsd/informacion-importante-antes-de-formular-una-pqrsd</w:t>
        </w:r>
      </w:hyperlink>
    </w:p>
    <w:p w14:paraId="5A7659C4" w14:textId="77777777" w:rsidR="00F853CC" w:rsidRPr="00116940" w:rsidRDefault="00F853CC" w:rsidP="00F853CC">
      <w:pPr>
        <w:spacing w:after="0" w:line="276" w:lineRule="auto"/>
        <w:ind w:left="720"/>
        <w:jc w:val="both"/>
        <w:rPr>
          <w:rFonts w:ascii="Verdana" w:hAnsi="Verdana"/>
        </w:rPr>
      </w:pPr>
    </w:p>
    <w:p w14:paraId="095EA101" w14:textId="77777777" w:rsidR="00F853CC" w:rsidRDefault="00F853CC" w:rsidP="00F853CC">
      <w:pPr>
        <w:spacing w:after="0" w:line="276" w:lineRule="auto"/>
        <w:jc w:val="both"/>
        <w:rPr>
          <w:rFonts w:ascii="Verdana" w:hAnsi="Verdana"/>
        </w:rPr>
      </w:pPr>
      <w:r w:rsidRPr="00116940">
        <w:rPr>
          <w:rFonts w:ascii="Verdana" w:hAnsi="Verdana"/>
        </w:rPr>
        <w:t>Evalúa el servicio que ofrece la Agencia por el canal de atención de PQRSD en el siguiente enlace:</w:t>
      </w:r>
      <w:r>
        <w:rPr>
          <w:rFonts w:ascii="Verdana" w:hAnsi="Verdana"/>
        </w:rPr>
        <w:t xml:space="preserve"> </w:t>
      </w:r>
      <w:hyperlink r:id="rId23" w:history="1">
        <w:r w:rsidRPr="008746BD">
          <w:rPr>
            <w:rStyle w:val="Hipervnculo"/>
            <w:rFonts w:ascii="Verdana" w:eastAsia="Verdana" w:hAnsi="Verdana" w:cs="Verdana"/>
            <w:lang w:val="es-MX"/>
          </w:rPr>
          <w:t>https://forms.office.com/r/pPHyWVs2SZ</w:t>
        </w:r>
      </w:hyperlink>
      <w:r w:rsidRPr="008746BD">
        <w:rPr>
          <w:rStyle w:val="Hipervnculo"/>
          <w:rFonts w:ascii="Verdana" w:eastAsia="Verdana" w:hAnsi="Verdana" w:cs="Verdana"/>
          <w:lang w:val="es-MX"/>
        </w:rPr>
        <w:t>.</w:t>
      </w:r>
      <w:r>
        <w:rPr>
          <w:rFonts w:ascii="Verdana" w:hAnsi="Verdana"/>
        </w:rPr>
        <w:t xml:space="preserve"> </w:t>
      </w:r>
      <w:r w:rsidRPr="00116940">
        <w:rPr>
          <w:rFonts w:ascii="Verdana" w:hAnsi="Verdana"/>
        </w:rPr>
        <w:t>¡Ayúdanos a mejorar porque el compromiso es de todos!</w:t>
      </w:r>
    </w:p>
    <w:p w14:paraId="0E534CF4" w14:textId="77777777" w:rsidR="00F853CC" w:rsidRPr="00116940" w:rsidRDefault="00F853CC" w:rsidP="00F853CC">
      <w:pPr>
        <w:spacing w:after="0" w:line="276"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2CBBD8DA" w14:textId="77777777" w:rsidR="00F853CC" w:rsidRPr="008746BD" w:rsidRDefault="00F853CC" w:rsidP="00F853CC">
      <w:pPr>
        <w:spacing w:after="0" w:line="276" w:lineRule="auto"/>
        <w:jc w:val="both"/>
        <w:rPr>
          <w:rFonts w:ascii="Verdana" w:hAnsi="Verdana"/>
        </w:rPr>
      </w:pPr>
    </w:p>
    <w:p w14:paraId="3D7ADD1E" w14:textId="77777777" w:rsidR="00F853CC" w:rsidRPr="00116940" w:rsidRDefault="00F853CC" w:rsidP="00F853CC">
      <w:pPr>
        <w:spacing w:after="0" w:line="276"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2D818B09" w14:textId="77777777" w:rsidR="00F853CC" w:rsidRPr="00116940" w:rsidRDefault="00F853CC" w:rsidP="00F853CC">
      <w:pPr>
        <w:spacing w:after="0" w:line="276"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5DBFA884" w14:textId="77777777" w:rsidR="00F853CC" w:rsidRPr="00116940" w:rsidRDefault="00F853CC" w:rsidP="00F853CC">
      <w:pPr>
        <w:spacing w:after="0" w:line="276"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1CB0BE66" w14:textId="77777777" w:rsidR="00F853CC" w:rsidRDefault="00F853CC" w:rsidP="00F853CC">
      <w:pPr>
        <w:spacing w:after="0" w:line="276" w:lineRule="auto"/>
        <w:jc w:val="both"/>
        <w:rPr>
          <w:rFonts w:ascii="Verdana" w:hAnsi="Verdana"/>
          <w:lang w:val="es-MX"/>
        </w:rPr>
      </w:pPr>
    </w:p>
    <w:p w14:paraId="64FD7C31" w14:textId="02653045" w:rsidR="00F853CC" w:rsidRPr="00C41BA8" w:rsidRDefault="00F853CC" w:rsidP="00C41BA8">
      <w:pPr>
        <w:spacing w:after="0" w:line="276" w:lineRule="auto"/>
        <w:jc w:val="both"/>
        <w:rPr>
          <w:rFonts w:ascii="Verdana" w:hAnsi="Verdana"/>
          <w:lang w:val="es-MX"/>
        </w:rPr>
      </w:pPr>
      <w:r w:rsidRPr="00E02524">
        <w:rPr>
          <w:rFonts w:ascii="Verdana" w:hAnsi="Verdana"/>
          <w:lang w:val="es-MX"/>
        </w:rPr>
        <w:t>Cordialmente,</w:t>
      </w:r>
    </w:p>
    <w:p w14:paraId="6B924C53" w14:textId="09F5611D" w:rsidR="00F853CC" w:rsidRDefault="00C41BA8" w:rsidP="00F853CC">
      <w:pPr>
        <w:spacing w:after="0" w:line="256" w:lineRule="auto"/>
        <w:jc w:val="center"/>
        <w:rPr>
          <w:rFonts w:ascii="Verdana" w:eastAsia="Calibri" w:hAnsi="Verdana" w:cs="Times New Roman"/>
        </w:rPr>
      </w:pPr>
      <w:r w:rsidRPr="0065791A">
        <w:rPr>
          <w:rFonts w:ascii="Century Gothic" w:hAnsi="Century Gothic"/>
          <w:noProof/>
        </w:rPr>
        <w:drawing>
          <wp:inline distT="0" distB="0" distL="0" distR="0" wp14:anchorId="259B3BE6" wp14:editId="66625EFD">
            <wp:extent cx="2980961" cy="1404493"/>
            <wp:effectExtent l="0" t="0" r="0" b="5715"/>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24"/>
                    <a:stretch>
                      <a:fillRect/>
                    </a:stretch>
                  </pic:blipFill>
                  <pic:spPr>
                    <a:xfrm>
                      <a:off x="0" y="0"/>
                      <a:ext cx="3036823" cy="1430813"/>
                    </a:xfrm>
                    <a:prstGeom prst="rect">
                      <a:avLst/>
                    </a:prstGeom>
                  </pic:spPr>
                </pic:pic>
              </a:graphicData>
            </a:graphic>
          </wp:inline>
        </w:drawing>
      </w:r>
    </w:p>
    <w:p w14:paraId="6686F4E6" w14:textId="77777777" w:rsidR="00F853CC" w:rsidRDefault="00F853CC" w:rsidP="00F853CC">
      <w:pPr>
        <w:spacing w:after="0" w:line="256" w:lineRule="auto"/>
        <w:jc w:val="center"/>
        <w:rPr>
          <w:rFonts w:ascii="Verdana" w:eastAsia="Calibri" w:hAnsi="Verdana" w:cs="Times New Roman"/>
        </w:rPr>
      </w:pP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F853CC" w:rsidRPr="005644FE" w14:paraId="575F4FE6" w14:textId="77777777" w:rsidTr="00650004">
        <w:trPr>
          <w:trHeight w:val="288"/>
        </w:trPr>
        <w:tc>
          <w:tcPr>
            <w:tcW w:w="893" w:type="dxa"/>
            <w:vAlign w:val="center"/>
            <w:hideMark/>
          </w:tcPr>
          <w:p w14:paraId="626E195C" w14:textId="77777777" w:rsidR="00F853CC" w:rsidRPr="005644FE" w:rsidRDefault="00F853CC" w:rsidP="00650004">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34CFB74A" w14:textId="77777777" w:rsidR="00F853CC" w:rsidRPr="005644FE" w:rsidRDefault="00F853CC" w:rsidP="00650004">
            <w:pPr>
              <w:contextualSpacing/>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1FB755B2" w14:textId="77777777" w:rsidR="00F853CC" w:rsidRPr="005644FE" w:rsidRDefault="00F853CC" w:rsidP="00650004">
            <w:pPr>
              <w:contextualSpacing/>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F853CC" w:rsidRPr="005644FE" w14:paraId="78997498" w14:textId="77777777" w:rsidTr="00650004">
        <w:trPr>
          <w:trHeight w:val="330"/>
        </w:trPr>
        <w:tc>
          <w:tcPr>
            <w:tcW w:w="893" w:type="dxa"/>
            <w:vAlign w:val="center"/>
            <w:hideMark/>
          </w:tcPr>
          <w:p w14:paraId="7E891A45" w14:textId="77777777" w:rsidR="00F853CC" w:rsidRPr="005644FE" w:rsidRDefault="00F853CC" w:rsidP="00650004">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6CC1C299" w14:textId="77777777" w:rsidR="00F853CC" w:rsidRPr="00147D6A" w:rsidRDefault="00F853CC" w:rsidP="00650004">
            <w:pPr>
              <w:pStyle w:val="paragraph"/>
              <w:spacing w:before="0" w:beforeAutospacing="0" w:after="0" w:afterAutospacing="0"/>
              <w:contextualSpacing/>
              <w:textAlignment w:val="baseline"/>
              <w:rPr>
                <w:rStyle w:val="normaltextrun"/>
                <w:rFonts w:ascii="Verdana" w:hAnsi="Verdana"/>
                <w:sz w:val="16"/>
                <w:szCs w:val="16"/>
              </w:rPr>
            </w:pPr>
            <w:r w:rsidRPr="00147D6A">
              <w:rPr>
                <w:rStyle w:val="normaltextrun"/>
                <w:rFonts w:ascii="Verdana" w:hAnsi="Verdana"/>
                <w:sz w:val="16"/>
                <w:szCs w:val="16"/>
              </w:rPr>
              <w:t xml:space="preserve">Adriana </w:t>
            </w:r>
            <w:proofErr w:type="spellStart"/>
            <w:r w:rsidRPr="00147D6A">
              <w:rPr>
                <w:rStyle w:val="normaltextrun"/>
                <w:rFonts w:ascii="Verdana" w:hAnsi="Verdana"/>
                <w:sz w:val="16"/>
                <w:szCs w:val="16"/>
              </w:rPr>
              <w:t>Katerine</w:t>
            </w:r>
            <w:proofErr w:type="spellEnd"/>
            <w:r w:rsidRPr="00147D6A">
              <w:rPr>
                <w:rStyle w:val="normaltextrun"/>
                <w:rFonts w:ascii="Verdana" w:hAnsi="Verdana"/>
                <w:sz w:val="16"/>
                <w:szCs w:val="16"/>
              </w:rPr>
              <w:t xml:space="preserve"> López</w:t>
            </w:r>
            <w:r>
              <w:rPr>
                <w:rStyle w:val="normaltextrun"/>
                <w:rFonts w:ascii="Verdana" w:hAnsi="Verdana"/>
                <w:sz w:val="16"/>
                <w:szCs w:val="16"/>
              </w:rPr>
              <w:t xml:space="preserve"> Rodríguez. </w:t>
            </w:r>
          </w:p>
          <w:p w14:paraId="60535965" w14:textId="77777777" w:rsidR="00F853CC" w:rsidRPr="00147D6A" w:rsidRDefault="00F853CC" w:rsidP="00650004">
            <w:pPr>
              <w:pStyle w:val="paragraph"/>
              <w:spacing w:before="0" w:beforeAutospacing="0" w:after="0" w:afterAutospacing="0"/>
              <w:contextualSpacing/>
              <w:textAlignment w:val="baseline"/>
              <w:rPr>
                <w:rFonts w:ascii="Verdana" w:hAnsi="Verdana" w:cs="Segoe UI"/>
                <w:sz w:val="16"/>
                <w:szCs w:val="16"/>
              </w:rPr>
            </w:pPr>
            <w:r w:rsidRPr="00147D6A">
              <w:rPr>
                <w:rStyle w:val="normaltextrun"/>
                <w:rFonts w:ascii="Verdana" w:hAnsi="Verdana"/>
                <w:sz w:val="16"/>
                <w:szCs w:val="16"/>
              </w:rPr>
              <w:t xml:space="preserve">Contratista Subdirección Gestión Contractual  </w:t>
            </w:r>
          </w:p>
        </w:tc>
      </w:tr>
      <w:tr w:rsidR="00F853CC" w:rsidRPr="005644FE" w14:paraId="74E42333" w14:textId="77777777" w:rsidTr="00650004">
        <w:trPr>
          <w:trHeight w:val="300"/>
        </w:trPr>
        <w:tc>
          <w:tcPr>
            <w:tcW w:w="893" w:type="dxa"/>
            <w:vAlign w:val="center"/>
          </w:tcPr>
          <w:p w14:paraId="321AE38E" w14:textId="77777777" w:rsidR="00F853CC" w:rsidRPr="005644FE" w:rsidRDefault="00F853CC" w:rsidP="00650004">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4C988DA3" w14:textId="77777777" w:rsidR="00F853CC" w:rsidRPr="00147D6A" w:rsidRDefault="00F853CC" w:rsidP="00650004">
            <w:pPr>
              <w:contextualSpacing/>
              <w:rPr>
                <w:rFonts w:ascii="Verdana" w:eastAsia="Calibri" w:hAnsi="Verdana" w:cs="Arial"/>
                <w:sz w:val="16"/>
                <w:szCs w:val="16"/>
                <w:lang w:eastAsia="es-ES"/>
              </w:rPr>
            </w:pPr>
            <w:r w:rsidRPr="00147D6A">
              <w:rPr>
                <w:rFonts w:ascii="Verdana" w:eastAsia="Calibri" w:hAnsi="Verdana" w:cs="Arial"/>
                <w:sz w:val="16"/>
                <w:szCs w:val="16"/>
                <w:lang w:eastAsia="es-ES"/>
              </w:rPr>
              <w:t>Carolina Quintero Gacharná</w:t>
            </w:r>
          </w:p>
          <w:p w14:paraId="137E71E5" w14:textId="77777777" w:rsidR="00F853CC" w:rsidRPr="00147D6A" w:rsidRDefault="00F853CC" w:rsidP="00650004">
            <w:pPr>
              <w:contextualSpacing/>
              <w:rPr>
                <w:rFonts w:ascii="Verdana" w:eastAsia="Calibri" w:hAnsi="Verdana" w:cs="Arial"/>
                <w:sz w:val="16"/>
                <w:szCs w:val="16"/>
                <w:lang w:eastAsia="es-ES"/>
              </w:rPr>
            </w:pPr>
            <w:r w:rsidRPr="00147D6A">
              <w:rPr>
                <w:rFonts w:ascii="Verdana" w:eastAsia="Calibri" w:hAnsi="Verdana" w:cs="Arial"/>
                <w:sz w:val="16"/>
                <w:szCs w:val="16"/>
                <w:lang w:eastAsia="es-ES"/>
              </w:rPr>
              <w:t>Subdirectora de Gestión Contractual ANCP – CCE</w:t>
            </w:r>
          </w:p>
        </w:tc>
      </w:tr>
      <w:bookmarkEnd w:id="0"/>
      <w:bookmarkEnd w:id="1"/>
    </w:tbl>
    <w:p w14:paraId="12443EE0" w14:textId="77777777" w:rsidR="00C15139" w:rsidRPr="0024624F" w:rsidRDefault="00C15139" w:rsidP="30821638">
      <w:pPr>
        <w:spacing w:after="0"/>
        <w:rPr>
          <w:rFonts w:ascii="Verdana" w:eastAsia="Verdana" w:hAnsi="Verdana" w:cs="Verdana"/>
        </w:rPr>
      </w:pPr>
    </w:p>
    <w:sectPr w:rsidR="00C15139" w:rsidRPr="0024624F" w:rsidSect="007C0C0F">
      <w:headerReference w:type="default" r:id="rId25"/>
      <w:footerReference w:type="default" r:id="rId2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119E11" w14:textId="77777777" w:rsidR="00AF3FBC" w:rsidRDefault="00AF3FBC" w:rsidP="004A1847">
      <w:pPr>
        <w:spacing w:after="0" w:line="240" w:lineRule="auto"/>
      </w:pPr>
      <w:r>
        <w:separator/>
      </w:r>
    </w:p>
  </w:endnote>
  <w:endnote w:type="continuationSeparator" w:id="0">
    <w:p w14:paraId="1233CA6F" w14:textId="77777777" w:rsidR="00AF3FBC" w:rsidRDefault="00AF3FBC"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5A33AA"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BR" w:eastAsia="es-CO"/>
      </w:rPr>
    </w:pPr>
    <w:r w:rsidRPr="005A33AA">
      <w:rPr>
        <w:rFonts w:ascii="Verdana" w:eastAsia="Verdana" w:hAnsi="Verdana" w:cs="Verdana"/>
        <w:b/>
        <w:color w:val="000000" w:themeColor="text1"/>
        <w:sz w:val="18"/>
        <w:szCs w:val="18"/>
        <w:lang w:val="pt-BR" w:eastAsia="es-CO"/>
      </w:rPr>
      <w:t xml:space="preserve">Código: </w:t>
    </w:r>
    <w:r w:rsidRPr="005A33AA">
      <w:rPr>
        <w:rFonts w:ascii="Verdana" w:eastAsia="Verdana" w:hAnsi="Verdana" w:cs="Verdana"/>
        <w:color w:val="000000" w:themeColor="text1"/>
        <w:sz w:val="18"/>
        <w:szCs w:val="18"/>
        <w:lang w:val="pt-BR" w:eastAsia="es-CO"/>
      </w:rPr>
      <w:t xml:space="preserve">CCE-REC-FM-17 </w:t>
    </w:r>
    <w:r w:rsidRPr="005A33AA">
      <w:rPr>
        <w:rFonts w:ascii="Verdana" w:eastAsia="Verdana" w:hAnsi="Verdana" w:cs="Verdana"/>
        <w:b/>
        <w:color w:val="000000" w:themeColor="text1"/>
        <w:sz w:val="18"/>
        <w:szCs w:val="18"/>
        <w:lang w:val="pt-BR" w:eastAsia="es-CO"/>
      </w:rPr>
      <w:t xml:space="preserve">V: </w:t>
    </w:r>
    <w:r w:rsidRPr="005A33AA">
      <w:rPr>
        <w:rFonts w:ascii="Verdana" w:eastAsia="Verdana" w:hAnsi="Verdana" w:cs="Verdana"/>
        <w:sz w:val="18"/>
        <w:szCs w:val="18"/>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465D09" w14:textId="77777777" w:rsidR="00AF3FBC" w:rsidRDefault="00AF3FBC" w:rsidP="004A1847">
      <w:pPr>
        <w:spacing w:after="0" w:line="240" w:lineRule="auto"/>
      </w:pPr>
      <w:r>
        <w:separator/>
      </w:r>
    </w:p>
  </w:footnote>
  <w:footnote w:type="continuationSeparator" w:id="0">
    <w:p w14:paraId="55CD17A9" w14:textId="77777777" w:rsidR="00AF3FBC" w:rsidRDefault="00AF3FBC" w:rsidP="004A1847">
      <w:pPr>
        <w:spacing w:after="0" w:line="240" w:lineRule="auto"/>
      </w:pPr>
      <w:r>
        <w:continuationSeparator/>
      </w:r>
    </w:p>
  </w:footnote>
  <w:footnote w:id="1">
    <w:p w14:paraId="2D912CAE" w14:textId="77777777" w:rsidR="00F853CC" w:rsidRPr="00C32EC0" w:rsidRDefault="00F853CC" w:rsidP="00F853CC">
      <w:pPr>
        <w:pStyle w:val="Textonotapie"/>
        <w:ind w:firstLine="709"/>
        <w:jc w:val="both"/>
        <w:rPr>
          <w:rFonts w:ascii="Verdana" w:hAnsi="Verdana" w:cs="Arial"/>
          <w:sz w:val="16"/>
          <w:szCs w:val="16"/>
        </w:rPr>
      </w:pPr>
      <w:r w:rsidRPr="00C32EC0">
        <w:rPr>
          <w:rStyle w:val="Refdenotaalpie"/>
          <w:rFonts w:ascii="Verdana" w:hAnsi="Verdana" w:cs="Arial"/>
          <w:sz w:val="16"/>
          <w:szCs w:val="16"/>
        </w:rPr>
        <w:footnoteRef/>
      </w:r>
      <w:r w:rsidRPr="00C32EC0">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356BE275" w14:textId="77777777" w:rsidR="00F853CC" w:rsidRPr="00C32EC0" w:rsidRDefault="00F853CC" w:rsidP="00F853CC">
      <w:pPr>
        <w:pStyle w:val="Textonotapie"/>
        <w:ind w:firstLine="709"/>
        <w:jc w:val="both"/>
        <w:rPr>
          <w:rFonts w:ascii="Verdana" w:hAnsi="Verdana" w:cs="Arial"/>
          <w:sz w:val="16"/>
          <w:szCs w:val="16"/>
        </w:rPr>
      </w:pPr>
      <w:r w:rsidRPr="00C32EC0">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06DB74C7" w14:textId="77777777" w:rsidR="00F853CC" w:rsidRPr="00C32EC0" w:rsidRDefault="00F853CC" w:rsidP="00F853CC">
      <w:pPr>
        <w:pStyle w:val="Textonotapie"/>
        <w:ind w:firstLine="709"/>
        <w:jc w:val="both"/>
        <w:rPr>
          <w:rFonts w:ascii="Verdana" w:hAnsi="Verdana" w:cs="Arial"/>
          <w:sz w:val="16"/>
          <w:szCs w:val="16"/>
        </w:rPr>
      </w:pPr>
    </w:p>
  </w:footnote>
  <w:footnote w:id="2">
    <w:p w14:paraId="2C1BBAB4" w14:textId="77777777" w:rsidR="00F853CC" w:rsidRPr="00C32EC0" w:rsidRDefault="00F853CC" w:rsidP="00F853CC">
      <w:pPr>
        <w:pStyle w:val="Textonotapie"/>
        <w:ind w:firstLine="709"/>
        <w:jc w:val="both"/>
        <w:rPr>
          <w:rFonts w:ascii="Verdana" w:hAnsi="Verdana" w:cs="Arial"/>
          <w:sz w:val="16"/>
          <w:szCs w:val="16"/>
        </w:rPr>
      </w:pPr>
      <w:r w:rsidRPr="00C32EC0">
        <w:rPr>
          <w:rStyle w:val="Refdenotaalpie"/>
          <w:rFonts w:ascii="Verdana" w:hAnsi="Verdana" w:cs="Arial"/>
          <w:sz w:val="16"/>
          <w:szCs w:val="16"/>
        </w:rPr>
        <w:footnoteRef/>
      </w:r>
      <w:r w:rsidRPr="00C32EC0">
        <w:rPr>
          <w:rFonts w:ascii="Verdana" w:hAnsi="Verdana" w:cs="Arial"/>
          <w:sz w:val="16"/>
          <w:szCs w:val="16"/>
        </w:rPr>
        <w:t xml:space="preserve"> Gaceta del Congreso de la República No. 71 del 2005.</w:t>
      </w:r>
    </w:p>
    <w:p w14:paraId="3ED65F03" w14:textId="77777777" w:rsidR="00F853CC" w:rsidRPr="00C32EC0" w:rsidRDefault="00F853CC" w:rsidP="00F853CC">
      <w:pPr>
        <w:pStyle w:val="Textonotapie"/>
        <w:ind w:firstLine="709"/>
        <w:jc w:val="both"/>
        <w:rPr>
          <w:rFonts w:ascii="Verdana" w:hAnsi="Verdana" w:cs="Arial"/>
          <w:sz w:val="16"/>
          <w:szCs w:val="16"/>
        </w:rPr>
      </w:pPr>
    </w:p>
  </w:footnote>
  <w:footnote w:id="3">
    <w:p w14:paraId="4107C4D7" w14:textId="77777777" w:rsidR="00F853CC" w:rsidRPr="0062447A" w:rsidRDefault="00F853CC" w:rsidP="00F853CC">
      <w:pPr>
        <w:pStyle w:val="Textonotapie"/>
        <w:tabs>
          <w:tab w:val="left" w:pos="8145"/>
        </w:tabs>
        <w:ind w:firstLine="709"/>
        <w:jc w:val="both"/>
        <w:rPr>
          <w:rFonts w:ascii="Verdana" w:hAnsi="Verdana" w:cs="Arial"/>
          <w:sz w:val="16"/>
          <w:szCs w:val="16"/>
          <w:lang w:val="pt-PT"/>
        </w:rPr>
      </w:pPr>
      <w:r w:rsidRPr="0062447A">
        <w:rPr>
          <w:rStyle w:val="Refdenotaalpie"/>
          <w:rFonts w:ascii="Verdana" w:hAnsi="Verdana" w:cs="Arial"/>
          <w:sz w:val="16"/>
          <w:szCs w:val="16"/>
        </w:rPr>
        <w:footnoteRef/>
      </w:r>
      <w:r w:rsidRPr="0062447A">
        <w:rPr>
          <w:rFonts w:ascii="Verdana" w:hAnsi="Verdana" w:cs="Arial"/>
          <w:sz w:val="16"/>
          <w:szCs w:val="16"/>
          <w:lang w:val="pt-PT"/>
        </w:rPr>
        <w:t xml:space="preserve"> Corte Constitucional. Sentencia C- 1153 de 2005, M.P: Marco Gerardo Monroy Cabra.</w:t>
      </w:r>
      <w:r w:rsidRPr="0062447A">
        <w:rPr>
          <w:rFonts w:ascii="Verdana" w:hAnsi="Verdana" w:cs="Arial"/>
          <w:sz w:val="16"/>
          <w:szCs w:val="16"/>
          <w:lang w:val="pt-PT"/>
        </w:rPr>
        <w:tab/>
      </w:r>
    </w:p>
    <w:p w14:paraId="62174245" w14:textId="77777777" w:rsidR="00F853CC" w:rsidRPr="0062447A" w:rsidRDefault="00F853CC" w:rsidP="00F853CC">
      <w:pPr>
        <w:pStyle w:val="Textonotapie"/>
        <w:tabs>
          <w:tab w:val="left" w:pos="8145"/>
        </w:tabs>
        <w:ind w:firstLine="709"/>
        <w:jc w:val="both"/>
        <w:rPr>
          <w:rFonts w:ascii="Verdana" w:hAnsi="Verdana" w:cs="Arial"/>
          <w:sz w:val="16"/>
          <w:szCs w:val="16"/>
          <w:lang w:val="pt-PT"/>
        </w:rPr>
      </w:pPr>
    </w:p>
  </w:footnote>
  <w:footnote w:id="4">
    <w:p w14:paraId="31564CED" w14:textId="77777777" w:rsidR="00F853CC" w:rsidRPr="0062447A" w:rsidRDefault="00F853CC" w:rsidP="00F853CC">
      <w:pPr>
        <w:pStyle w:val="Textonotapie"/>
        <w:ind w:firstLine="709"/>
        <w:jc w:val="both"/>
        <w:rPr>
          <w:rFonts w:ascii="Verdana" w:hAnsi="Verdana" w:cs="Arial"/>
          <w:sz w:val="16"/>
          <w:szCs w:val="16"/>
          <w:lang w:val="pt-PT"/>
        </w:rPr>
      </w:pPr>
      <w:r w:rsidRPr="0062447A">
        <w:rPr>
          <w:rStyle w:val="Refdenotaalpie"/>
          <w:rFonts w:ascii="Verdana" w:hAnsi="Verdana" w:cs="Arial"/>
          <w:sz w:val="16"/>
          <w:szCs w:val="16"/>
        </w:rPr>
        <w:footnoteRef/>
      </w:r>
      <w:r w:rsidRPr="0062447A">
        <w:rPr>
          <w:rFonts w:ascii="Verdana" w:hAnsi="Verdana" w:cs="Arial"/>
          <w:sz w:val="16"/>
          <w:szCs w:val="16"/>
          <w:lang w:val="pt-PT"/>
        </w:rPr>
        <w:t xml:space="preserve"> </w:t>
      </w:r>
      <w:r w:rsidRPr="005A33AA">
        <w:rPr>
          <w:rFonts w:ascii="Verdana" w:hAnsi="Verdana" w:cs="Arial"/>
          <w:sz w:val="16"/>
          <w:szCs w:val="16"/>
          <w:lang w:val="pt-BR"/>
        </w:rPr>
        <w:t xml:space="preserve">Corte Constitucional. Sentencias: C-233 de 4 de abril de 2002. M.P: Álvaro Tafur Galvis; C-551 de 9 de julio de 2003. M.P: Eduardo Montealegre Lynnet; C-353 de 20 de mayo de 2009. M.P: Jorge Iván Palacio </w:t>
      </w:r>
      <w:proofErr w:type="spellStart"/>
      <w:r w:rsidRPr="005A33AA">
        <w:rPr>
          <w:rFonts w:ascii="Verdana" w:hAnsi="Verdana" w:cs="Arial"/>
          <w:sz w:val="16"/>
          <w:szCs w:val="16"/>
          <w:lang w:val="pt-BR"/>
        </w:rPr>
        <w:t>Palacio</w:t>
      </w:r>
      <w:proofErr w:type="spellEnd"/>
      <w:r w:rsidRPr="005A33AA">
        <w:rPr>
          <w:rFonts w:ascii="Verdana" w:hAnsi="Verdana" w:cs="Arial"/>
          <w:sz w:val="16"/>
          <w:szCs w:val="16"/>
          <w:lang w:val="pt-BR"/>
        </w:rPr>
        <w:t>; C-541 de 30 de junio de 2010. M.P: Gabriel Eduardo Mendoza Martelo; entre otras.</w:t>
      </w:r>
    </w:p>
    <w:p w14:paraId="56D1DD3D" w14:textId="77777777" w:rsidR="00F853CC" w:rsidRPr="0062447A" w:rsidRDefault="00F853CC" w:rsidP="00F853CC">
      <w:pPr>
        <w:pStyle w:val="Textonotapie"/>
        <w:ind w:firstLine="709"/>
        <w:jc w:val="both"/>
        <w:rPr>
          <w:rFonts w:ascii="Verdana" w:hAnsi="Verdana" w:cs="Arial"/>
          <w:sz w:val="16"/>
          <w:szCs w:val="16"/>
          <w:lang w:val="pt-PT"/>
        </w:rPr>
      </w:pPr>
    </w:p>
  </w:footnote>
  <w:footnote w:id="5">
    <w:p w14:paraId="4C214F64" w14:textId="77777777" w:rsidR="00F853CC" w:rsidRPr="0062447A" w:rsidRDefault="00F853CC" w:rsidP="00F853CC">
      <w:pPr>
        <w:pStyle w:val="Textonotapie"/>
        <w:ind w:firstLine="709"/>
        <w:jc w:val="both"/>
        <w:rPr>
          <w:rFonts w:ascii="Verdana" w:hAnsi="Verdana" w:cs="Arial"/>
          <w:sz w:val="16"/>
          <w:szCs w:val="16"/>
          <w:lang w:val="es-CO"/>
        </w:rPr>
      </w:pPr>
      <w:r w:rsidRPr="0062447A">
        <w:rPr>
          <w:rStyle w:val="Refdenotaalpie"/>
          <w:rFonts w:ascii="Verdana" w:hAnsi="Verdana" w:cs="Arial"/>
          <w:sz w:val="16"/>
          <w:szCs w:val="16"/>
        </w:rPr>
        <w:footnoteRef/>
      </w:r>
      <w:r w:rsidRPr="005A33AA">
        <w:rPr>
          <w:rFonts w:ascii="Verdana" w:hAnsi="Verdana" w:cs="Arial"/>
          <w:sz w:val="16"/>
          <w:szCs w:val="16"/>
          <w:lang w:val="pt-BR"/>
        </w:rPr>
        <w:t xml:space="preserve"> Consejo de Estado. </w:t>
      </w:r>
      <w:r w:rsidRPr="0062447A">
        <w:rPr>
          <w:rFonts w:ascii="Verdana" w:hAnsi="Verdana" w:cs="Arial"/>
          <w:sz w:val="16"/>
          <w:szCs w:val="16"/>
          <w:lang w:val="es-CO"/>
        </w:rPr>
        <w:t xml:space="preserve">Sala de lo Contencioso Administrativo. Sección Primera. Sentencia de 3 de marzo de 2005. Radicado: </w:t>
      </w:r>
      <w:r w:rsidRPr="0062447A">
        <w:rPr>
          <w:rFonts w:ascii="Verdana" w:hAnsi="Verdana" w:cs="Arial"/>
          <w:sz w:val="16"/>
          <w:szCs w:val="16"/>
          <w:lang w:val="es-ES"/>
        </w:rPr>
        <w:t xml:space="preserve">25001-23-15-000-2004-00823-01 (PI). </w:t>
      </w:r>
      <w:r w:rsidRPr="0062447A">
        <w:rPr>
          <w:rFonts w:ascii="Verdana" w:hAnsi="Verdana" w:cs="Arial"/>
          <w:sz w:val="16"/>
          <w:szCs w:val="16"/>
          <w:lang w:val="es-CO"/>
        </w:rPr>
        <w:t>C.P: Camilo Arciniegas Andrade. Ver también, de la Sección Tercera. Sentencia de 22 de enero de 2002, expediente número 2001-0148-01 y, Sección Tercera. Sentencia de 20 de noviembre de 2001, expediente número 2001-0130-01(PI), entre otras.</w:t>
      </w:r>
    </w:p>
  </w:footnote>
  <w:footnote w:id="6">
    <w:p w14:paraId="34EF8E30" w14:textId="77777777" w:rsidR="00F853CC" w:rsidRPr="0062447A" w:rsidRDefault="00F853CC" w:rsidP="00F853CC">
      <w:pPr>
        <w:pStyle w:val="Textonotapie"/>
        <w:ind w:firstLine="709"/>
        <w:jc w:val="both"/>
        <w:rPr>
          <w:rFonts w:ascii="Verdana" w:hAnsi="Verdana" w:cs="Arial"/>
          <w:sz w:val="16"/>
          <w:szCs w:val="16"/>
        </w:rPr>
      </w:pPr>
      <w:r w:rsidRPr="0062447A">
        <w:rPr>
          <w:rStyle w:val="Refdenotaalpie"/>
          <w:rFonts w:ascii="Verdana" w:hAnsi="Verdana" w:cs="Arial"/>
          <w:sz w:val="16"/>
          <w:szCs w:val="16"/>
        </w:rPr>
        <w:footnoteRef/>
      </w:r>
      <w:r w:rsidRPr="0062447A">
        <w:rPr>
          <w:rFonts w:ascii="Verdana" w:hAnsi="Verdana" w:cs="Arial"/>
          <w:sz w:val="16"/>
          <w:szCs w:val="16"/>
        </w:rPr>
        <w:t xml:space="preserve"> Consejo de Estado, Sala de Consulta y Servicio Civil. 24 de julio de 2013. Radicado: </w:t>
      </w:r>
      <w:r w:rsidRPr="0062447A">
        <w:rPr>
          <w:rFonts w:ascii="Verdana" w:hAnsi="Verdana" w:cs="Arial"/>
          <w:sz w:val="16"/>
          <w:szCs w:val="16"/>
          <w:lang w:val="es-CO"/>
        </w:rPr>
        <w:t xml:space="preserve">11001-03-06-000-2013-00407-00 </w:t>
      </w:r>
      <w:r w:rsidRPr="0062447A">
        <w:rPr>
          <w:rFonts w:ascii="Verdana" w:hAnsi="Verdana" w:cs="Arial"/>
          <w:sz w:val="16"/>
          <w:szCs w:val="16"/>
        </w:rPr>
        <w:t xml:space="preserve">(2166). C.P. Álvaro Namén Vargas.  </w:t>
      </w:r>
    </w:p>
    <w:p w14:paraId="652E9FA0" w14:textId="77777777" w:rsidR="00F853CC" w:rsidRPr="0062447A" w:rsidRDefault="00F853CC" w:rsidP="00F853CC">
      <w:pPr>
        <w:pStyle w:val="Textonotapie"/>
        <w:ind w:firstLine="709"/>
        <w:jc w:val="both"/>
        <w:rPr>
          <w:rFonts w:ascii="Verdana" w:hAnsi="Verdana" w:cs="Arial"/>
          <w:sz w:val="16"/>
          <w:szCs w:val="16"/>
        </w:rPr>
      </w:pPr>
    </w:p>
  </w:footnote>
  <w:footnote w:id="7">
    <w:p w14:paraId="48AEB54F" w14:textId="77777777" w:rsidR="00F853CC" w:rsidRPr="0062447A" w:rsidRDefault="00F853CC" w:rsidP="00F853CC">
      <w:pPr>
        <w:spacing w:after="0" w:line="240" w:lineRule="auto"/>
        <w:ind w:firstLine="709"/>
        <w:jc w:val="both"/>
        <w:rPr>
          <w:rFonts w:ascii="Verdana" w:eastAsia="Times New Roman" w:hAnsi="Verdana" w:cs="Arial"/>
          <w:sz w:val="16"/>
          <w:szCs w:val="16"/>
        </w:rPr>
      </w:pPr>
      <w:r w:rsidRPr="0062447A">
        <w:rPr>
          <w:rStyle w:val="Refdenotaalpie"/>
          <w:rFonts w:ascii="Verdana" w:hAnsi="Verdana" w:cs="Arial"/>
          <w:sz w:val="16"/>
          <w:szCs w:val="16"/>
        </w:rPr>
        <w:footnoteRef/>
      </w:r>
      <w:r w:rsidRPr="0062447A">
        <w:rPr>
          <w:rFonts w:ascii="Verdana" w:hAnsi="Verdana" w:cs="Arial"/>
          <w:sz w:val="16"/>
          <w:szCs w:val="16"/>
        </w:rPr>
        <w:t xml:space="preserve"> </w:t>
      </w:r>
      <w:bookmarkStart w:id="4" w:name="33"/>
      <w:r w:rsidRPr="0062447A">
        <w:rPr>
          <w:rFonts w:ascii="Verdana" w:eastAsia="Calibri" w:hAnsi="Verdana" w:cs="Arial"/>
          <w:color w:val="000000"/>
          <w:sz w:val="16"/>
          <w:szCs w:val="16"/>
        </w:rPr>
        <w:t>“</w:t>
      </w:r>
      <w:r w:rsidRPr="0062447A">
        <w:rPr>
          <w:rFonts w:ascii="Verdana" w:eastAsia="Times New Roman" w:hAnsi="Verdana" w:cs="Arial"/>
          <w:sz w:val="16"/>
          <w:szCs w:val="16"/>
        </w:rPr>
        <w:t>Artículo 33. Restricciones a la contratación pública.</w:t>
      </w:r>
      <w:bookmarkEnd w:id="4"/>
      <w:r w:rsidRPr="0062447A">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716E7F06" w14:textId="77777777" w:rsidR="00F853CC" w:rsidRPr="0062447A" w:rsidRDefault="00F853CC" w:rsidP="00F853CC">
      <w:pPr>
        <w:spacing w:after="0" w:line="240" w:lineRule="auto"/>
        <w:ind w:firstLine="709"/>
        <w:jc w:val="both"/>
        <w:rPr>
          <w:rFonts w:ascii="Verdana" w:eastAsia="Times New Roman" w:hAnsi="Verdana" w:cs="Arial"/>
          <w:sz w:val="16"/>
          <w:szCs w:val="16"/>
        </w:rPr>
      </w:pPr>
      <w:r w:rsidRPr="0062447A">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370BF587" w14:textId="77777777" w:rsidR="00F853CC" w:rsidRPr="00647D77" w:rsidRDefault="00F853CC" w:rsidP="00F853CC">
      <w:pPr>
        <w:spacing w:after="0" w:line="240" w:lineRule="auto"/>
        <w:ind w:firstLine="709"/>
        <w:jc w:val="both"/>
        <w:rPr>
          <w:rFonts w:ascii="Verdana" w:eastAsia="Times New Roman" w:hAnsi="Verdana" w:cs="Arial"/>
          <w:sz w:val="14"/>
          <w:szCs w:val="14"/>
        </w:rPr>
      </w:pPr>
    </w:p>
  </w:footnote>
  <w:footnote w:id="8">
    <w:p w14:paraId="60D708B1" w14:textId="77777777" w:rsidR="00F853CC" w:rsidRPr="0062447A" w:rsidRDefault="00F853CC" w:rsidP="00F853CC">
      <w:pPr>
        <w:pStyle w:val="NormalWeb"/>
        <w:spacing w:before="0" w:beforeAutospacing="0" w:after="0" w:afterAutospacing="0"/>
        <w:ind w:firstLine="709"/>
        <w:jc w:val="both"/>
        <w:rPr>
          <w:rFonts w:ascii="Verdana" w:hAnsi="Verdana" w:cs="Arial"/>
          <w:sz w:val="16"/>
          <w:szCs w:val="16"/>
          <w:lang w:val="es-MX"/>
        </w:rPr>
      </w:pPr>
      <w:r w:rsidRPr="0062447A">
        <w:rPr>
          <w:rStyle w:val="Refdenotaalpie"/>
          <w:rFonts w:ascii="Verdana" w:eastAsiaTheme="majorEastAsia" w:hAnsi="Verdana" w:cs="Arial"/>
          <w:sz w:val="16"/>
          <w:szCs w:val="16"/>
        </w:rPr>
        <w:footnoteRef/>
      </w:r>
      <w:r w:rsidRPr="0062447A">
        <w:rPr>
          <w:rFonts w:ascii="Verdana" w:hAnsi="Verdana" w:cs="Arial"/>
          <w:sz w:val="16"/>
          <w:szCs w:val="16"/>
        </w:rPr>
        <w:t xml:space="preserve"> </w:t>
      </w:r>
      <w:bookmarkStart w:id="5" w:name="38"/>
      <w:r w:rsidRPr="0062447A">
        <w:rPr>
          <w:rFonts w:ascii="Verdana" w:eastAsia="Calibri" w:hAnsi="Verdana" w:cs="Arial"/>
          <w:color w:val="000000"/>
          <w:sz w:val="16"/>
          <w:szCs w:val="16"/>
        </w:rPr>
        <w:t>“</w:t>
      </w:r>
      <w:r w:rsidRPr="0062447A">
        <w:rPr>
          <w:rFonts w:ascii="Verdana" w:hAnsi="Verdana" w:cs="Arial"/>
          <w:sz w:val="16"/>
          <w:szCs w:val="16"/>
          <w:lang w:val="es-MX"/>
        </w:rPr>
        <w:t>Artículo 38. Prohibiciones para los servidores públicos. A los empleados del Estado les está prohibido:</w:t>
      </w:r>
      <w:bookmarkEnd w:id="5"/>
    </w:p>
    <w:p w14:paraId="34756789" w14:textId="77777777" w:rsidR="00F853CC" w:rsidRPr="0062447A" w:rsidRDefault="00F853CC" w:rsidP="00F853CC">
      <w:pPr>
        <w:pStyle w:val="NormalWeb"/>
        <w:spacing w:before="0" w:beforeAutospacing="0" w:after="0" w:afterAutospacing="0"/>
        <w:ind w:firstLine="709"/>
        <w:jc w:val="both"/>
        <w:rPr>
          <w:rFonts w:ascii="Verdana" w:hAnsi="Verdana" w:cs="Arial"/>
          <w:sz w:val="16"/>
          <w:szCs w:val="16"/>
          <w:lang w:val="es-MX"/>
        </w:rPr>
      </w:pPr>
      <w:r w:rsidRPr="0062447A">
        <w:rPr>
          <w:rFonts w:ascii="Verdana" w:hAnsi="Verdana" w:cs="Arial"/>
          <w:sz w:val="16"/>
          <w:szCs w:val="16"/>
          <w:lang w:val="es-MX"/>
        </w:rPr>
        <w:t>(…)</w:t>
      </w:r>
    </w:p>
    <w:p w14:paraId="1711C891" w14:textId="77777777" w:rsidR="00F853CC" w:rsidRPr="0062447A" w:rsidRDefault="00F853CC" w:rsidP="00F853CC">
      <w:pPr>
        <w:pStyle w:val="NormalWeb"/>
        <w:spacing w:before="0" w:beforeAutospacing="0" w:after="0" w:afterAutospacing="0"/>
        <w:ind w:firstLine="709"/>
        <w:jc w:val="both"/>
        <w:rPr>
          <w:rFonts w:ascii="Verdana" w:eastAsia="Calibri" w:hAnsi="Verdana" w:cs="Arial"/>
          <w:color w:val="000000"/>
          <w:sz w:val="16"/>
          <w:szCs w:val="16"/>
        </w:rPr>
      </w:pPr>
      <w:r w:rsidRPr="0062447A">
        <w:rPr>
          <w:rStyle w:val="baj"/>
          <w:rFonts w:ascii="Verdana" w:hAnsi="Verdana" w:cs="Arial"/>
          <w:sz w:val="16"/>
          <w:szCs w:val="16"/>
          <w:lang w:val="es-MX"/>
        </w:rPr>
        <w:t>Parágrafo.</w:t>
      </w:r>
      <w:r w:rsidRPr="0062447A">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62447A">
        <w:rPr>
          <w:rFonts w:ascii="Verdana" w:eastAsia="Calibri" w:hAnsi="Verdana" w:cs="Arial"/>
          <w:color w:val="000000"/>
          <w:sz w:val="16"/>
          <w:szCs w:val="16"/>
        </w:rPr>
        <w:t>”.</w:t>
      </w:r>
    </w:p>
    <w:p w14:paraId="20481554" w14:textId="77777777" w:rsidR="00F853CC" w:rsidRPr="0062447A" w:rsidRDefault="00F853CC" w:rsidP="00F853CC">
      <w:pPr>
        <w:pStyle w:val="NormalWeb"/>
        <w:spacing w:before="0" w:beforeAutospacing="0" w:after="0" w:afterAutospacing="0"/>
        <w:ind w:firstLine="709"/>
        <w:jc w:val="both"/>
        <w:rPr>
          <w:rFonts w:ascii="Verdana" w:eastAsia="Calibri" w:hAnsi="Verdana" w:cs="Arial"/>
          <w:color w:val="000000"/>
          <w:sz w:val="16"/>
          <w:szCs w:val="16"/>
        </w:rPr>
      </w:pPr>
    </w:p>
  </w:footnote>
  <w:footnote w:id="9">
    <w:p w14:paraId="08670944" w14:textId="77777777" w:rsidR="00F853CC" w:rsidRPr="0062447A" w:rsidRDefault="00F853CC" w:rsidP="00F853CC">
      <w:pPr>
        <w:tabs>
          <w:tab w:val="left" w:pos="2127"/>
        </w:tabs>
        <w:spacing w:after="0" w:line="240" w:lineRule="auto"/>
        <w:ind w:left="100" w:right="244" w:firstLine="709"/>
        <w:jc w:val="both"/>
        <w:rPr>
          <w:rFonts w:ascii="Verdana" w:hAnsi="Verdana" w:cs="Arial"/>
          <w:sz w:val="16"/>
          <w:szCs w:val="16"/>
        </w:rPr>
      </w:pPr>
      <w:r w:rsidRPr="0062447A">
        <w:rPr>
          <w:rStyle w:val="Refdenotaalpie"/>
          <w:rFonts w:ascii="Verdana" w:hAnsi="Verdana" w:cs="Arial"/>
          <w:sz w:val="16"/>
          <w:szCs w:val="16"/>
        </w:rPr>
        <w:footnoteRef/>
      </w:r>
      <w:r w:rsidRPr="0062447A">
        <w:rPr>
          <w:rFonts w:ascii="Verdana" w:hAnsi="Verdana" w:cs="Arial"/>
          <w:sz w:val="16"/>
          <w:szCs w:val="16"/>
        </w:rPr>
        <w:t xml:space="preserve"> Consejo de Estado. Sala de Consulta y Servicio Civil. Concepto del 17 de febrero de 2015. Radicado: 11001-03-06-000-2015-00164-00 (2269). C.P. William Zambrano Cetina.</w:t>
      </w:r>
    </w:p>
    <w:p w14:paraId="73DB2FB2" w14:textId="77777777" w:rsidR="00F853CC" w:rsidRPr="005703BF" w:rsidRDefault="00F853CC" w:rsidP="00F853CC">
      <w:pPr>
        <w:spacing w:after="0" w:line="240" w:lineRule="auto"/>
        <w:ind w:left="100" w:right="244" w:firstLine="709"/>
        <w:jc w:val="both"/>
        <w:rPr>
          <w:rFonts w:ascii="Verdana" w:hAnsi="Verdana" w:cs="Arial"/>
          <w:sz w:val="16"/>
          <w:szCs w:val="16"/>
          <w:lang w:val="es-ES"/>
        </w:rPr>
      </w:pPr>
    </w:p>
  </w:footnote>
  <w:footnote w:id="10">
    <w:p w14:paraId="3AC1B022" w14:textId="77777777" w:rsidR="00F853CC" w:rsidRPr="005703BF" w:rsidRDefault="00F853CC" w:rsidP="00F853CC">
      <w:pPr>
        <w:pStyle w:val="Textonotapie"/>
        <w:ind w:firstLine="709"/>
        <w:jc w:val="both"/>
        <w:rPr>
          <w:rFonts w:ascii="Verdana" w:hAnsi="Verdana" w:cs="Arial"/>
          <w:sz w:val="16"/>
          <w:szCs w:val="16"/>
        </w:rPr>
      </w:pPr>
      <w:r w:rsidRPr="005703BF">
        <w:rPr>
          <w:rStyle w:val="Refdenotaalpie"/>
          <w:rFonts w:ascii="Verdana" w:hAnsi="Verdana" w:cs="Arial"/>
          <w:sz w:val="16"/>
          <w:szCs w:val="16"/>
        </w:rPr>
        <w:footnoteRef/>
      </w:r>
      <w:r w:rsidRPr="005703BF">
        <w:rPr>
          <w:rFonts w:ascii="Verdana" w:hAnsi="Verdana" w:cs="Arial"/>
          <w:sz w:val="16"/>
          <w:szCs w:val="16"/>
        </w:rPr>
        <w:t xml:space="preserve"> “</w:t>
      </w:r>
      <w:r w:rsidRPr="005703BF">
        <w:rPr>
          <w:rFonts w:ascii="Verdana" w:hAnsi="Verdana" w:cs="Arial"/>
          <w:sz w:val="16"/>
          <w:szCs w:val="16"/>
          <w:lang w:val="es-ES"/>
        </w:rPr>
        <w:t xml:space="preserve">[25] </w:t>
      </w:r>
      <w:r w:rsidRPr="005703BF">
        <w:rPr>
          <w:rFonts w:ascii="Verdana" w:hAnsi="Verdana" w:cs="Arial"/>
          <w:sz w:val="16"/>
          <w:szCs w:val="16"/>
        </w:rPr>
        <w:t>Cfr. Consejo de Estado. Sección Tercera. Sentencia de 3 de diciembre de 2007. Radicados: 24.715, 25.206, 25.409, 24.524, 27.834, 25.410, 26.105, 28.244, 31.447 -acumulados</w:t>
      </w:r>
      <w:proofErr w:type="gramStart"/>
      <w:r w:rsidRPr="005703BF">
        <w:rPr>
          <w:rFonts w:ascii="Verdana" w:hAnsi="Verdana" w:cs="Arial"/>
          <w:sz w:val="16"/>
          <w:szCs w:val="16"/>
        </w:rPr>
        <w:t>-“</w:t>
      </w:r>
      <w:proofErr w:type="gramEnd"/>
      <w:r w:rsidRPr="005703BF">
        <w:rPr>
          <w:rFonts w:ascii="Verdana" w:hAnsi="Verdana" w:cs="Arial"/>
          <w:sz w:val="16"/>
          <w:szCs w:val="16"/>
        </w:rPr>
        <w:t>.</w:t>
      </w:r>
    </w:p>
    <w:p w14:paraId="338ED48E" w14:textId="77777777" w:rsidR="00F853CC" w:rsidRPr="005703BF" w:rsidRDefault="00F853CC" w:rsidP="00F853CC">
      <w:pPr>
        <w:pStyle w:val="Textonotapie"/>
        <w:ind w:firstLine="709"/>
        <w:jc w:val="both"/>
        <w:rPr>
          <w:rFonts w:ascii="Verdana" w:hAnsi="Verdana" w:cs="Arial"/>
          <w:sz w:val="16"/>
          <w:szCs w:val="16"/>
        </w:rPr>
      </w:pPr>
    </w:p>
  </w:footnote>
  <w:footnote w:id="11">
    <w:p w14:paraId="097D1B03" w14:textId="77777777" w:rsidR="00F853CC" w:rsidRPr="005703BF" w:rsidRDefault="00F853CC" w:rsidP="00F853CC">
      <w:pPr>
        <w:pStyle w:val="Textonotapie"/>
        <w:ind w:firstLine="709"/>
        <w:jc w:val="both"/>
        <w:rPr>
          <w:rFonts w:ascii="Verdana" w:hAnsi="Verdana" w:cs="Arial"/>
          <w:sz w:val="16"/>
          <w:szCs w:val="16"/>
        </w:rPr>
      </w:pPr>
      <w:r w:rsidRPr="005703BF">
        <w:rPr>
          <w:rStyle w:val="Refdenotaalpie"/>
          <w:rFonts w:ascii="Verdana" w:hAnsi="Verdana" w:cs="Arial"/>
          <w:sz w:val="16"/>
          <w:szCs w:val="16"/>
        </w:rPr>
        <w:footnoteRef/>
      </w:r>
      <w:r w:rsidRPr="005703BF">
        <w:rPr>
          <w:rFonts w:ascii="Verdana" w:hAnsi="Verdana" w:cs="Arial"/>
          <w:sz w:val="16"/>
          <w:szCs w:val="16"/>
        </w:rPr>
        <w:t xml:space="preserve"> </w:t>
      </w:r>
      <w:bookmarkStart w:id="13" w:name="_Hlk74294506"/>
      <w:r w:rsidRPr="005703BF">
        <w:rPr>
          <w:rFonts w:ascii="Verdana" w:hAnsi="Verdana" w:cs="Arial"/>
          <w:sz w:val="16"/>
          <w:szCs w:val="16"/>
        </w:rPr>
        <w:t>“</w:t>
      </w:r>
      <w:r w:rsidRPr="005703BF">
        <w:rPr>
          <w:rFonts w:ascii="Verdana" w:hAnsi="Verdana" w:cs="Arial"/>
          <w:sz w:val="16"/>
          <w:szCs w:val="16"/>
          <w:lang w:val="es-ES"/>
        </w:rPr>
        <w:t xml:space="preserve">[26] </w:t>
      </w:r>
      <w:bookmarkEnd w:id="13"/>
      <w:r w:rsidRPr="005703BF">
        <w:rPr>
          <w:rFonts w:ascii="Verdana" w:hAnsi="Verdana" w:cs="Arial"/>
          <w:sz w:val="16"/>
          <w:szCs w:val="16"/>
        </w:rPr>
        <w:t>Al respecto ver el concepto 1712 de 2 de febrero de 2006. Consejo de Estado Sala de Consulta y Servicio Civil”.</w:t>
      </w:r>
    </w:p>
    <w:p w14:paraId="1F820A40" w14:textId="77777777" w:rsidR="00F853CC" w:rsidRPr="005703BF" w:rsidRDefault="00F853CC" w:rsidP="00F853CC">
      <w:pPr>
        <w:pStyle w:val="Textonotapie"/>
        <w:ind w:firstLine="709"/>
        <w:jc w:val="both"/>
        <w:rPr>
          <w:rFonts w:ascii="Verdana" w:hAnsi="Verdana" w:cs="Arial"/>
          <w:sz w:val="16"/>
          <w:szCs w:val="16"/>
        </w:rPr>
      </w:pPr>
    </w:p>
  </w:footnote>
  <w:footnote w:id="12">
    <w:p w14:paraId="5ACFE9A7" w14:textId="77777777" w:rsidR="00F853CC" w:rsidRPr="005703BF" w:rsidRDefault="00F853CC" w:rsidP="00F853CC">
      <w:pPr>
        <w:pStyle w:val="Textonotapie"/>
        <w:ind w:firstLine="709"/>
        <w:jc w:val="both"/>
        <w:rPr>
          <w:rFonts w:ascii="Verdana" w:hAnsi="Verdana" w:cs="Arial"/>
          <w:sz w:val="16"/>
          <w:szCs w:val="16"/>
        </w:rPr>
      </w:pPr>
      <w:r w:rsidRPr="005703BF">
        <w:rPr>
          <w:rStyle w:val="Refdenotaalpie"/>
          <w:rFonts w:ascii="Verdana" w:hAnsi="Verdana" w:cs="Arial"/>
          <w:sz w:val="16"/>
          <w:szCs w:val="16"/>
        </w:rPr>
        <w:footnoteRef/>
      </w:r>
      <w:r w:rsidRPr="005703BF">
        <w:rPr>
          <w:rFonts w:ascii="Verdana" w:hAnsi="Verdana" w:cs="Arial"/>
          <w:sz w:val="16"/>
          <w:szCs w:val="16"/>
        </w:rPr>
        <w:t xml:space="preserve"> Consejo de Estado. Sala de Consulta y Servicio Civil. Concepto del 2 de septiembre de 2013. Radicación número: 11001-03-06-000-2013-00412-00 (2168). C.P: Álvaro Namén Vargas.</w:t>
      </w:r>
    </w:p>
  </w:footnote>
  <w:footnote w:id="13">
    <w:p w14:paraId="7543928B" w14:textId="77777777" w:rsidR="00F853CC" w:rsidRPr="005703BF" w:rsidRDefault="00F853CC" w:rsidP="00F853CC">
      <w:pPr>
        <w:pStyle w:val="Textonotapie"/>
        <w:ind w:firstLine="709"/>
        <w:jc w:val="both"/>
        <w:rPr>
          <w:rFonts w:ascii="Verdana" w:hAnsi="Verdana" w:cs="Arial"/>
          <w:sz w:val="16"/>
          <w:szCs w:val="16"/>
          <w:lang w:val="es-ES"/>
        </w:rPr>
      </w:pPr>
      <w:r w:rsidRPr="005703BF">
        <w:rPr>
          <w:rStyle w:val="Refdenotaalpie"/>
          <w:rFonts w:ascii="Verdana" w:hAnsi="Verdana" w:cs="Arial"/>
          <w:sz w:val="16"/>
          <w:szCs w:val="16"/>
        </w:rPr>
        <w:footnoteRef/>
      </w:r>
      <w:r w:rsidRPr="005703BF">
        <w:rPr>
          <w:rFonts w:ascii="Verdana" w:hAnsi="Verdana" w:cs="Arial"/>
          <w:sz w:val="16"/>
          <w:szCs w:val="16"/>
        </w:rPr>
        <w:t xml:space="preserve"> </w:t>
      </w:r>
      <w:r w:rsidRPr="005703BF">
        <w:rPr>
          <w:rFonts w:ascii="Verdana" w:hAnsi="Verdana" w:cs="Arial"/>
          <w:sz w:val="16"/>
          <w:szCs w:val="16"/>
          <w:lang w:val="es-ES"/>
        </w:rPr>
        <w:t xml:space="preserve">Artículo 2. </w:t>
      </w:r>
    </w:p>
    <w:p w14:paraId="3C59C765" w14:textId="77777777" w:rsidR="00F853CC" w:rsidRPr="005703BF" w:rsidRDefault="00F853CC" w:rsidP="00F853CC">
      <w:pPr>
        <w:pStyle w:val="Textonotapie"/>
        <w:ind w:firstLine="709"/>
        <w:jc w:val="both"/>
        <w:rPr>
          <w:rFonts w:ascii="Verdana" w:hAnsi="Verdana" w:cs="Arial"/>
          <w:sz w:val="16"/>
          <w:szCs w:val="16"/>
          <w:lang w:val="es-ES"/>
        </w:rPr>
      </w:pPr>
    </w:p>
  </w:footnote>
  <w:footnote w:id="14">
    <w:p w14:paraId="5B4352EB" w14:textId="77777777" w:rsidR="00F853CC" w:rsidRPr="005703BF" w:rsidRDefault="00F853CC" w:rsidP="00F853CC">
      <w:pPr>
        <w:pStyle w:val="Textonotapie"/>
        <w:ind w:firstLine="709"/>
        <w:jc w:val="both"/>
        <w:rPr>
          <w:rFonts w:ascii="Verdana" w:hAnsi="Verdana" w:cs="Arial"/>
          <w:sz w:val="16"/>
          <w:szCs w:val="16"/>
          <w:lang w:val="es-ES"/>
        </w:rPr>
      </w:pPr>
      <w:r w:rsidRPr="005703BF">
        <w:rPr>
          <w:rStyle w:val="Refdenotaalpie"/>
          <w:rFonts w:ascii="Verdana" w:hAnsi="Verdana" w:cs="Arial"/>
          <w:sz w:val="16"/>
          <w:szCs w:val="16"/>
        </w:rPr>
        <w:footnoteRef/>
      </w:r>
      <w:r w:rsidRPr="005703BF">
        <w:rPr>
          <w:rFonts w:ascii="Verdana" w:hAnsi="Verdana" w:cs="Arial"/>
          <w:sz w:val="16"/>
          <w:szCs w:val="16"/>
        </w:rPr>
        <w:t xml:space="preserve"> </w:t>
      </w:r>
      <w:r w:rsidRPr="005703BF">
        <w:rPr>
          <w:rFonts w:ascii="Verdana" w:hAnsi="Verdana" w:cs="Arial"/>
          <w:i/>
          <w:sz w:val="16"/>
          <w:szCs w:val="16"/>
          <w:lang w:val="es-ES"/>
        </w:rPr>
        <w:t>Ídem</w:t>
      </w:r>
      <w:r w:rsidRPr="005703BF">
        <w:rPr>
          <w:rFonts w:ascii="Verdana" w:hAnsi="Verdana" w:cs="Arial"/>
          <w:sz w:val="16"/>
          <w:szCs w:val="16"/>
          <w:lang w:val="es-ES"/>
        </w:rPr>
        <w:t>.</w:t>
      </w:r>
    </w:p>
    <w:p w14:paraId="40D0EA6C" w14:textId="77777777" w:rsidR="00F853CC" w:rsidRPr="005703BF" w:rsidRDefault="00F853CC" w:rsidP="00F853CC">
      <w:pPr>
        <w:pStyle w:val="Textonotapie"/>
        <w:ind w:firstLine="709"/>
        <w:jc w:val="both"/>
        <w:rPr>
          <w:rFonts w:ascii="Verdana" w:hAnsi="Verdana" w:cs="Arial"/>
          <w:sz w:val="16"/>
          <w:szCs w:val="16"/>
          <w:lang w:val="es-ES"/>
        </w:rPr>
      </w:pPr>
    </w:p>
  </w:footnote>
  <w:footnote w:id="15">
    <w:p w14:paraId="29BDFE0A" w14:textId="77777777" w:rsidR="00F853CC" w:rsidRPr="005703BF" w:rsidRDefault="00F853CC" w:rsidP="00F853CC">
      <w:pPr>
        <w:pStyle w:val="Textonotapie"/>
        <w:ind w:firstLine="709"/>
        <w:jc w:val="both"/>
        <w:rPr>
          <w:rFonts w:ascii="Verdana" w:hAnsi="Verdana" w:cs="Arial"/>
          <w:sz w:val="16"/>
          <w:szCs w:val="16"/>
          <w:lang w:val="es-ES"/>
        </w:rPr>
      </w:pPr>
      <w:r w:rsidRPr="005703BF">
        <w:rPr>
          <w:rStyle w:val="Refdenotaalpie"/>
          <w:rFonts w:ascii="Verdana" w:hAnsi="Verdana" w:cs="Arial"/>
          <w:sz w:val="16"/>
          <w:szCs w:val="16"/>
        </w:rPr>
        <w:footnoteRef/>
      </w:r>
      <w:r w:rsidRPr="005703BF">
        <w:rPr>
          <w:rStyle w:val="Refdenotaalpie"/>
          <w:rFonts w:ascii="Verdana" w:hAnsi="Verdana" w:cs="Arial"/>
          <w:sz w:val="16"/>
          <w:szCs w:val="16"/>
        </w:rPr>
        <w:t xml:space="preserve"> </w:t>
      </w:r>
      <w:r w:rsidRPr="005703BF">
        <w:rPr>
          <w:rFonts w:ascii="Verdana" w:hAnsi="Verdana" w:cs="Arial"/>
          <w:sz w:val="16"/>
          <w:szCs w:val="16"/>
          <w:lang w:val="es-ES"/>
        </w:rPr>
        <w:t xml:space="preserve">[…] A este respecto, cabe recordar que el artículo 860 del Código de Comercio regula la licitación en el derecho privado. </w:t>
      </w:r>
    </w:p>
    <w:p w14:paraId="78C78013" w14:textId="77777777" w:rsidR="00F853CC" w:rsidRPr="005703BF" w:rsidRDefault="00F853CC" w:rsidP="00F853CC">
      <w:pPr>
        <w:pStyle w:val="Textonotapie"/>
        <w:ind w:firstLine="709"/>
        <w:jc w:val="both"/>
        <w:rPr>
          <w:rFonts w:ascii="Verdana" w:hAnsi="Verdana" w:cs="Arial"/>
          <w:sz w:val="16"/>
          <w:szCs w:val="16"/>
          <w:lang w:val="es-ES"/>
        </w:rPr>
      </w:pPr>
    </w:p>
  </w:footnote>
  <w:footnote w:id="16">
    <w:p w14:paraId="18894CD2" w14:textId="77777777" w:rsidR="00F853CC" w:rsidRPr="005703BF" w:rsidRDefault="00F853CC" w:rsidP="00F853CC">
      <w:pPr>
        <w:shd w:val="clear" w:color="auto" w:fill="FFFFFF"/>
        <w:spacing w:after="0" w:line="240" w:lineRule="auto"/>
        <w:ind w:firstLine="709"/>
        <w:jc w:val="both"/>
        <w:rPr>
          <w:rFonts w:ascii="Verdana" w:hAnsi="Verdana" w:cs="Arial"/>
          <w:sz w:val="16"/>
          <w:szCs w:val="16"/>
          <w:lang w:val="es-ES"/>
        </w:rPr>
      </w:pPr>
      <w:r w:rsidRPr="005703BF">
        <w:rPr>
          <w:rStyle w:val="Refdenotaalpie"/>
          <w:rFonts w:ascii="Verdana" w:hAnsi="Verdana" w:cs="Arial"/>
          <w:sz w:val="16"/>
          <w:szCs w:val="16"/>
        </w:rPr>
        <w:footnoteRef/>
      </w:r>
      <w:r w:rsidRPr="005703BF">
        <w:rPr>
          <w:rStyle w:val="Refdenotaalpie"/>
          <w:rFonts w:ascii="Verdana" w:hAnsi="Verdana" w:cs="Arial"/>
          <w:sz w:val="16"/>
          <w:szCs w:val="16"/>
        </w:rPr>
        <w:t xml:space="preserve"> </w:t>
      </w:r>
      <w:r w:rsidRPr="005703BF">
        <w:rPr>
          <w:rFonts w:ascii="Verdana" w:hAnsi="Verdana" w:cs="Arial"/>
          <w:sz w:val="16"/>
          <w:szCs w:val="16"/>
          <w:lang w:val="es-ES"/>
        </w:rPr>
        <w:t>Consejo de Estado. Sala de Consulta y Servicio Civil, Concepto de 8 de mayo de 2018. Radicación Número: 11001-03-06-000-2018-00095-00 (2382). C.P: Álvaro Namén Vargas.</w:t>
      </w:r>
    </w:p>
    <w:p w14:paraId="6654C7C3" w14:textId="77777777" w:rsidR="00F853CC" w:rsidRPr="005703BF" w:rsidRDefault="00F853CC" w:rsidP="00F853CC">
      <w:pPr>
        <w:shd w:val="clear" w:color="auto" w:fill="FFFFFF"/>
        <w:spacing w:after="0" w:line="240" w:lineRule="auto"/>
        <w:ind w:firstLine="709"/>
        <w:jc w:val="both"/>
        <w:rPr>
          <w:rFonts w:ascii="Verdana" w:hAnsi="Verdana" w:cs="Arial"/>
          <w:sz w:val="16"/>
          <w:szCs w:val="16"/>
          <w:lang w:val="es-ES"/>
        </w:rPr>
      </w:pPr>
    </w:p>
  </w:footnote>
  <w:footnote w:id="17">
    <w:p w14:paraId="5D807BE0" w14:textId="77777777" w:rsidR="00F853CC" w:rsidRPr="005703BF" w:rsidRDefault="00F853CC" w:rsidP="00F853CC">
      <w:pPr>
        <w:pStyle w:val="Textonotapie"/>
        <w:ind w:firstLine="709"/>
        <w:jc w:val="both"/>
        <w:rPr>
          <w:rFonts w:ascii="Verdana" w:hAnsi="Verdana" w:cs="Arial"/>
          <w:sz w:val="16"/>
          <w:szCs w:val="16"/>
        </w:rPr>
      </w:pPr>
      <w:r w:rsidRPr="005703BF">
        <w:rPr>
          <w:rStyle w:val="Refdenotaalpie"/>
          <w:rFonts w:ascii="Verdana" w:hAnsi="Verdana" w:cs="Arial"/>
          <w:sz w:val="16"/>
          <w:szCs w:val="16"/>
        </w:rPr>
        <w:footnoteRef/>
      </w:r>
      <w:r w:rsidRPr="005703BF">
        <w:rPr>
          <w:rFonts w:ascii="Verdana" w:hAnsi="Verdana" w:cs="Arial"/>
          <w:sz w:val="16"/>
          <w:szCs w:val="16"/>
        </w:rPr>
        <w:t xml:space="preserve"> Consejo de Estado. Sala de Consulta y Servicio Civil. Concepto del 08 de mayo de 2018. </w:t>
      </w:r>
      <w:proofErr w:type="spellStart"/>
      <w:r w:rsidRPr="005703BF">
        <w:rPr>
          <w:rFonts w:ascii="Verdana" w:hAnsi="Verdana" w:cs="Arial"/>
          <w:sz w:val="16"/>
          <w:szCs w:val="16"/>
        </w:rPr>
        <w:t>Exp</w:t>
      </w:r>
      <w:proofErr w:type="spellEnd"/>
      <w:r w:rsidRPr="005703BF">
        <w:rPr>
          <w:rFonts w:ascii="Verdana" w:hAnsi="Verdana" w:cs="Arial"/>
          <w:sz w:val="16"/>
          <w:szCs w:val="16"/>
        </w:rPr>
        <w:t>. 2.382. C.P. Álvaro Namén Vargas.</w:t>
      </w:r>
    </w:p>
    <w:p w14:paraId="251D19C4" w14:textId="77777777" w:rsidR="00F853CC" w:rsidRPr="005703BF" w:rsidRDefault="00F853CC" w:rsidP="00F853CC">
      <w:pPr>
        <w:pStyle w:val="Textonotapie"/>
        <w:ind w:firstLine="709"/>
        <w:jc w:val="both"/>
        <w:rPr>
          <w:rFonts w:ascii="Verdana" w:hAnsi="Verdana" w:cs="Arial"/>
          <w:sz w:val="16"/>
          <w:szCs w:val="16"/>
        </w:rPr>
      </w:pPr>
    </w:p>
  </w:footnote>
  <w:footnote w:id="18">
    <w:p w14:paraId="6872426D" w14:textId="77777777" w:rsidR="00F853CC" w:rsidRPr="005703BF" w:rsidRDefault="00F853CC" w:rsidP="00F853CC">
      <w:pPr>
        <w:pStyle w:val="Textonotapie"/>
        <w:ind w:firstLine="709"/>
        <w:jc w:val="both"/>
        <w:rPr>
          <w:rFonts w:ascii="Verdana" w:hAnsi="Verdana"/>
          <w:sz w:val="16"/>
          <w:szCs w:val="16"/>
          <w:lang w:val="es-ES"/>
        </w:rPr>
      </w:pPr>
      <w:r w:rsidRPr="005703BF">
        <w:rPr>
          <w:rStyle w:val="Refdenotaalpie"/>
          <w:rFonts w:ascii="Verdana" w:hAnsi="Verdana"/>
          <w:sz w:val="16"/>
          <w:szCs w:val="16"/>
        </w:rPr>
        <w:footnoteRef/>
      </w:r>
      <w:r w:rsidRPr="005703BF">
        <w:rPr>
          <w:rFonts w:ascii="Verdana" w:hAnsi="Verdana"/>
          <w:sz w:val="16"/>
          <w:szCs w:val="16"/>
        </w:rPr>
        <w:t xml:space="preserve"> </w:t>
      </w:r>
      <w:r w:rsidRPr="005703BF">
        <w:rPr>
          <w:rFonts w:ascii="Verdana" w:hAnsi="Verdana"/>
          <w:sz w:val="16"/>
          <w:szCs w:val="16"/>
          <w:lang w:val="es-ES"/>
        </w:rPr>
        <w:t xml:space="preserve">Agencia Nacional de Contratación Pública – Colombia Compra Eficiente. Circular Externa 006 del 25 de septiembre de 2025. Disponible en </w:t>
      </w:r>
      <w:hyperlink r:id="rId1" w:history="1">
        <w:r w:rsidRPr="005703BF">
          <w:rPr>
            <w:rStyle w:val="Hipervnculo"/>
            <w:rFonts w:ascii="Verdana" w:hAnsi="Verdana"/>
            <w:sz w:val="16"/>
            <w:szCs w:val="16"/>
            <w:lang w:val="es-CO"/>
          </w:rPr>
          <w:t>006-de-2025-Circular-Externa-L996-ajustado-comentarios-BM-BID-Rev-ARSC-V3.d-1.pdf</w:t>
        </w:r>
      </w:hyperlink>
    </w:p>
    <w:p w14:paraId="026B41B8" w14:textId="77777777" w:rsidR="00F853CC" w:rsidRPr="005703BF" w:rsidRDefault="00F853CC" w:rsidP="00F853CC">
      <w:pPr>
        <w:pStyle w:val="Textonotapie"/>
        <w:ind w:firstLine="709"/>
        <w:jc w:val="both"/>
        <w:rPr>
          <w:rFonts w:ascii="Verdana" w:hAnsi="Verdana"/>
          <w:sz w:val="16"/>
          <w:szCs w:val="16"/>
          <w:lang w:val="es-ES"/>
        </w:rPr>
      </w:pPr>
    </w:p>
  </w:footnote>
  <w:footnote w:id="19">
    <w:p w14:paraId="67C4D575" w14:textId="77777777" w:rsidR="00F853CC" w:rsidRPr="005703BF" w:rsidRDefault="00F853CC" w:rsidP="00F853CC">
      <w:pPr>
        <w:pStyle w:val="Textonotapie"/>
        <w:ind w:firstLine="709"/>
        <w:jc w:val="both"/>
        <w:rPr>
          <w:rFonts w:ascii="Verdana" w:hAnsi="Verdana"/>
          <w:sz w:val="16"/>
          <w:szCs w:val="16"/>
          <w:lang w:val="es-ES"/>
        </w:rPr>
      </w:pPr>
      <w:r w:rsidRPr="005703BF">
        <w:rPr>
          <w:rStyle w:val="Refdenotaalpie"/>
          <w:rFonts w:ascii="Verdana" w:hAnsi="Verdana"/>
          <w:sz w:val="16"/>
          <w:szCs w:val="16"/>
        </w:rPr>
        <w:footnoteRef/>
      </w:r>
      <w:r w:rsidRPr="005703BF">
        <w:rPr>
          <w:rFonts w:ascii="Verdana" w:hAnsi="Verdana"/>
          <w:sz w:val="16"/>
          <w:szCs w:val="16"/>
        </w:rPr>
        <w:t xml:space="preserve"> </w:t>
      </w:r>
      <w:r w:rsidRPr="005703BF">
        <w:rPr>
          <w:rFonts w:ascii="Verdana" w:hAnsi="Verdana"/>
          <w:sz w:val="16"/>
          <w:szCs w:val="16"/>
          <w:lang w:val="es-ES"/>
        </w:rPr>
        <w:t xml:space="preserve">Agencia Nacional de Contratación Pública - Colombia Compra Eficiente. Concepto </w:t>
      </w:r>
      <w:hyperlink r:id="rId2" w:history="1">
        <w:r w:rsidRPr="005703BF">
          <w:rPr>
            <w:rStyle w:val="Hipervnculo"/>
            <w:rFonts w:ascii="Verdana" w:hAnsi="Verdana"/>
            <w:sz w:val="16"/>
            <w:szCs w:val="16"/>
          </w:rPr>
          <w:t xml:space="preserve">C-048 de 2026 – </w:t>
        </w:r>
        <w:proofErr w:type="spellStart"/>
        <w:r w:rsidRPr="005703BF">
          <w:rPr>
            <w:rStyle w:val="Hipervnculo"/>
            <w:rFonts w:ascii="Verdana" w:hAnsi="Verdana"/>
            <w:sz w:val="16"/>
            <w:szCs w:val="16"/>
          </w:rPr>
          <w:t>Relatoria</w:t>
        </w:r>
        <w:proofErr w:type="spellEnd"/>
        <w:r w:rsidRPr="005703BF">
          <w:rPr>
            <w:rStyle w:val="Hipervnculo"/>
            <w:rFonts w:ascii="Verdana" w:hAnsi="Verdana"/>
            <w:sz w:val="16"/>
            <w:szCs w:val="16"/>
          </w:rPr>
          <w:t xml:space="preserve"> ANCP-CCE</w:t>
        </w:r>
      </w:hyperlink>
      <w:r w:rsidRPr="005703BF">
        <w:rPr>
          <w:rFonts w:ascii="Verdana" w:hAnsi="Verdana"/>
          <w:sz w:val="16"/>
          <w:szCs w:val="16"/>
          <w:lang w:val="es-ES"/>
        </w:rPr>
        <w:t>.</w:t>
      </w:r>
    </w:p>
  </w:footnote>
  <w:footnote w:id="20">
    <w:p w14:paraId="053DCA64" w14:textId="77777777" w:rsidR="00F853CC" w:rsidRPr="007269D0" w:rsidRDefault="00F853CC" w:rsidP="00F853CC">
      <w:pPr>
        <w:spacing w:after="0" w:line="240" w:lineRule="auto"/>
        <w:ind w:firstLine="709"/>
        <w:jc w:val="both"/>
        <w:rPr>
          <w:rFonts w:ascii="Verdana" w:hAnsi="Verdana" w:cs="Arial"/>
          <w:color w:val="000000" w:themeColor="text1"/>
          <w:sz w:val="16"/>
          <w:szCs w:val="16"/>
        </w:rPr>
      </w:pPr>
      <w:r w:rsidRPr="007269D0">
        <w:rPr>
          <w:rStyle w:val="Refdenotaalpie"/>
          <w:rFonts w:ascii="Verdana" w:hAnsi="Verdana" w:cs="Arial"/>
          <w:color w:val="000000" w:themeColor="text1"/>
          <w:sz w:val="16"/>
          <w:szCs w:val="16"/>
        </w:rPr>
        <w:footnoteRef/>
      </w:r>
      <w:r w:rsidRPr="007269D0">
        <w:rPr>
          <w:rFonts w:ascii="Verdana" w:hAnsi="Verdana" w:cs="Arial"/>
          <w:color w:val="000000" w:themeColor="text1"/>
          <w:sz w:val="16"/>
          <w:szCs w:val="16"/>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2E8A237D" w14:textId="77777777" w:rsidR="00F853CC" w:rsidRPr="007269D0" w:rsidRDefault="00F853CC" w:rsidP="00F853CC">
      <w:pPr>
        <w:spacing w:after="0" w:line="240" w:lineRule="auto"/>
        <w:ind w:firstLine="709"/>
        <w:jc w:val="both"/>
        <w:rPr>
          <w:rFonts w:ascii="Verdana" w:hAnsi="Verdana" w:cs="Arial"/>
          <w:color w:val="000000" w:themeColor="text1"/>
          <w:sz w:val="16"/>
          <w:szCs w:val="16"/>
        </w:rPr>
      </w:pPr>
    </w:p>
  </w:footnote>
  <w:footnote w:id="21">
    <w:p w14:paraId="04803EFE" w14:textId="77777777" w:rsidR="00F853CC" w:rsidRPr="00954165" w:rsidRDefault="00F853CC" w:rsidP="00F853CC">
      <w:pPr>
        <w:pStyle w:val="Textonotapie"/>
        <w:ind w:firstLine="709"/>
        <w:jc w:val="both"/>
        <w:rPr>
          <w:rFonts w:ascii="Verdana" w:eastAsia="Times New Roman" w:hAnsi="Verdana" w:cs="Arial"/>
          <w:color w:val="000000" w:themeColor="text1"/>
          <w:sz w:val="16"/>
          <w:szCs w:val="16"/>
          <w:lang w:eastAsia="x-none"/>
        </w:rPr>
      </w:pPr>
      <w:r w:rsidRPr="007269D0">
        <w:rPr>
          <w:rStyle w:val="Refdenotaalpie"/>
          <w:rFonts w:ascii="Verdana" w:hAnsi="Verdana" w:cs="Arial"/>
          <w:color w:val="000000" w:themeColor="text1"/>
          <w:sz w:val="16"/>
          <w:szCs w:val="16"/>
        </w:rPr>
        <w:footnoteRef/>
      </w:r>
      <w:r w:rsidRPr="007269D0">
        <w:rPr>
          <w:rFonts w:ascii="Verdana" w:hAnsi="Verdana" w:cs="Arial"/>
          <w:color w:val="000000" w:themeColor="text1"/>
          <w:sz w:val="16"/>
          <w:szCs w:val="16"/>
        </w:rPr>
        <w:t xml:space="preserve"> Consejo de Estado. Sala de Consulta y Servicio Civil. Concepto de 6 de abril de 2006. Radicación Número: 11001-03-06-000-2006-00038-00 (1738). C.P: Enrique José Arboleda Perdomo:</w:t>
      </w:r>
      <w:r w:rsidRPr="007269D0">
        <w:rPr>
          <w:rFonts w:ascii="Verdana" w:eastAsia="Times New Roman" w:hAnsi="Verdana" w:cs="Arial"/>
          <w:color w:val="000000" w:themeColor="text1"/>
          <w:sz w:val="16"/>
          <w:szCs w:val="16"/>
          <w:lang w:eastAsia="x-none"/>
        </w:rPr>
        <w:t xml:space="preserve"> </w:t>
      </w:r>
      <w:bookmarkStart w:id="17" w:name="_Hlk97890572"/>
      <w:r w:rsidRPr="007269D0">
        <w:rPr>
          <w:rFonts w:ascii="Verdana" w:eastAsia="Times New Roman" w:hAnsi="Verdana" w:cs="Arial"/>
          <w:color w:val="000000" w:themeColor="text1"/>
          <w:sz w:val="16"/>
          <w:szCs w:val="16"/>
          <w:lang w:eastAsia="x-none"/>
        </w:rPr>
        <w:t>“</w:t>
      </w:r>
      <w:r w:rsidRPr="007269D0">
        <w:rPr>
          <w:rFonts w:ascii="Verdana" w:hAnsi="Verdana" w:cs="Arial"/>
          <w:color w:val="000000" w:themeColor="text1"/>
          <w:sz w:val="16"/>
          <w:szCs w:val="16"/>
        </w:rPr>
        <w:t xml:space="preserve">Si bien en el tema </w:t>
      </w:r>
      <w:r w:rsidRPr="00954165">
        <w:rPr>
          <w:rFonts w:ascii="Verdana" w:hAnsi="Verdana" w:cs="Arial"/>
          <w:color w:val="000000" w:themeColor="text1"/>
          <w:sz w:val="16"/>
          <w:szCs w:val="16"/>
        </w:rPr>
        <w:t xml:space="preserve">del concepto del que se extractaron </w:t>
      </w:r>
      <w:bookmarkEnd w:id="17"/>
      <w:r w:rsidRPr="00954165">
        <w:rPr>
          <w:rFonts w:ascii="Verdana" w:hAnsi="Verdana" w:cs="Arial"/>
          <w:color w:val="000000" w:themeColor="text1"/>
          <w:sz w:val="16"/>
          <w:szCs w:val="16"/>
        </w:rPr>
        <w:t>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954165">
        <w:rPr>
          <w:rFonts w:ascii="Verdana" w:eastAsia="Times New Roman" w:hAnsi="Verdana" w:cs="Arial"/>
          <w:color w:val="000000" w:themeColor="text1"/>
          <w:sz w:val="16"/>
          <w:szCs w:val="16"/>
          <w:lang w:eastAsia="x-none"/>
        </w:rPr>
        <w:t>”.</w:t>
      </w:r>
    </w:p>
    <w:p w14:paraId="46FD3BD0" w14:textId="77777777" w:rsidR="00F853CC" w:rsidRPr="00954165" w:rsidRDefault="00F853CC" w:rsidP="00F853CC">
      <w:pPr>
        <w:pStyle w:val="Textonotapie"/>
        <w:ind w:firstLine="709"/>
        <w:jc w:val="both"/>
        <w:rPr>
          <w:rFonts w:ascii="Verdana" w:hAnsi="Verdana" w:cs="Arial"/>
          <w:color w:val="000000" w:themeColor="text1"/>
          <w:sz w:val="16"/>
          <w:szCs w:val="16"/>
        </w:rPr>
      </w:pPr>
    </w:p>
  </w:footnote>
  <w:footnote w:id="22">
    <w:p w14:paraId="7BEC7479" w14:textId="77777777" w:rsidR="00F853CC" w:rsidRPr="00954165" w:rsidRDefault="00F853CC" w:rsidP="00F853CC">
      <w:pPr>
        <w:spacing w:after="0" w:line="240" w:lineRule="auto"/>
        <w:ind w:firstLine="709"/>
        <w:jc w:val="both"/>
        <w:rPr>
          <w:rFonts w:ascii="Verdana" w:hAnsi="Verdana" w:cs="Arial"/>
          <w:color w:val="000000" w:themeColor="text1"/>
          <w:sz w:val="16"/>
          <w:szCs w:val="16"/>
        </w:rPr>
      </w:pPr>
      <w:r w:rsidRPr="00954165">
        <w:rPr>
          <w:rStyle w:val="Refdenotaalpie"/>
          <w:rFonts w:ascii="Verdana" w:hAnsi="Verdana" w:cs="Arial"/>
          <w:color w:val="000000" w:themeColor="text1"/>
          <w:sz w:val="16"/>
          <w:szCs w:val="16"/>
        </w:rPr>
        <w:footnoteRef/>
      </w:r>
      <w:r w:rsidRPr="00954165">
        <w:rPr>
          <w:rFonts w:ascii="Verdana" w:hAnsi="Verdana" w:cs="Arial"/>
          <w:color w:val="000000" w:themeColor="text1"/>
          <w:sz w:val="16"/>
          <w:szCs w:val="16"/>
        </w:rPr>
        <w:t xml:space="preserve"> Consejo de Estado. Sala de Consulta y Servicio Civil. Concepto de 6 de abril de 2006. Radicación Número: 11001-03-06-000-2006-00038-00(1738). C.P: Enrique José Arboleda Perdomo. </w:t>
      </w:r>
    </w:p>
    <w:p w14:paraId="393D44F6" w14:textId="77777777" w:rsidR="00F853CC" w:rsidRPr="003E253F" w:rsidRDefault="00F853CC" w:rsidP="00F853CC">
      <w:pPr>
        <w:spacing w:after="0" w:line="240" w:lineRule="auto"/>
        <w:ind w:firstLine="709"/>
        <w:jc w:val="both"/>
        <w:rPr>
          <w:rFonts w:ascii="Verdana" w:hAnsi="Verdana" w:cs="Arial"/>
          <w:color w:val="000000" w:themeColor="text1"/>
          <w:sz w:val="14"/>
          <w:szCs w:val="14"/>
        </w:rPr>
      </w:pPr>
    </w:p>
  </w:footnote>
  <w:footnote w:id="23">
    <w:p w14:paraId="7E8B66B5" w14:textId="77777777" w:rsidR="00F853CC" w:rsidRPr="003E253F" w:rsidRDefault="00F853CC" w:rsidP="00F853CC">
      <w:pPr>
        <w:pStyle w:val="Textonotapie"/>
        <w:ind w:firstLine="709"/>
        <w:jc w:val="both"/>
        <w:rPr>
          <w:rFonts w:ascii="Verdana" w:hAnsi="Verdana" w:cs="Arial"/>
          <w:color w:val="000000" w:themeColor="text1"/>
          <w:sz w:val="14"/>
          <w:szCs w:val="14"/>
        </w:rPr>
      </w:pPr>
      <w:r w:rsidRPr="003E253F">
        <w:rPr>
          <w:rStyle w:val="Refdenotaalpie"/>
          <w:rFonts w:ascii="Verdana" w:hAnsi="Verdana" w:cs="Arial"/>
          <w:color w:val="000000" w:themeColor="text1"/>
          <w:sz w:val="14"/>
          <w:szCs w:val="14"/>
        </w:rPr>
        <w:footnoteRef/>
      </w:r>
      <w:r w:rsidRPr="003E253F">
        <w:rPr>
          <w:rFonts w:ascii="Verdana" w:hAnsi="Verdana" w:cs="Arial"/>
          <w:color w:val="000000" w:themeColor="text1"/>
          <w:sz w:val="14"/>
          <w:szCs w:val="14"/>
        </w:rPr>
        <w:t xml:space="preserve"> Consejo de Estado. Sala de Consulta y Servicio Civil, ídem.</w:t>
      </w:r>
    </w:p>
    <w:p w14:paraId="44F029AF" w14:textId="77777777" w:rsidR="00F853CC" w:rsidRPr="003E253F" w:rsidRDefault="00F853CC" w:rsidP="00F853CC">
      <w:pPr>
        <w:pStyle w:val="Textonotapie"/>
        <w:ind w:firstLine="709"/>
        <w:jc w:val="both"/>
        <w:rPr>
          <w:rFonts w:ascii="Verdana" w:hAnsi="Verdana" w:cs="Arial"/>
          <w:color w:val="000000" w:themeColor="text1"/>
          <w:sz w:val="14"/>
          <w:szCs w:val="14"/>
        </w:rPr>
      </w:pPr>
    </w:p>
  </w:footnote>
  <w:footnote w:id="24">
    <w:p w14:paraId="4C7C0932" w14:textId="77777777" w:rsidR="00F853CC" w:rsidRPr="006E3E52" w:rsidRDefault="00F853CC" w:rsidP="00F853CC">
      <w:pPr>
        <w:pStyle w:val="Textonotapie"/>
        <w:ind w:firstLine="709"/>
        <w:jc w:val="both"/>
        <w:rPr>
          <w:rFonts w:ascii="Verdana" w:hAnsi="Verdana" w:cs="Arial"/>
          <w:sz w:val="16"/>
          <w:szCs w:val="16"/>
        </w:rPr>
      </w:pPr>
      <w:r w:rsidRPr="006E3E52">
        <w:rPr>
          <w:rStyle w:val="Refdenotaalpie"/>
          <w:rFonts w:ascii="Verdana" w:hAnsi="Verdana" w:cs="Arial"/>
          <w:sz w:val="16"/>
          <w:szCs w:val="16"/>
        </w:rPr>
        <w:footnoteRef/>
      </w:r>
      <w:r w:rsidRPr="006E3E52">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w:t>
      </w:r>
      <w:proofErr w:type="spellStart"/>
      <w:r w:rsidRPr="006E3E52">
        <w:rPr>
          <w:rFonts w:ascii="Verdana" w:hAnsi="Verdana" w:cs="Arial"/>
          <w:sz w:val="16"/>
          <w:szCs w:val="16"/>
        </w:rPr>
        <w:t>N°</w:t>
      </w:r>
      <w:proofErr w:type="spellEnd"/>
      <w:r w:rsidRPr="006E3E52">
        <w:rPr>
          <w:rFonts w:ascii="Verdana" w:hAnsi="Verdana" w:cs="Arial"/>
          <w:sz w:val="16"/>
          <w:szCs w:val="16"/>
        </w:rPr>
        <w:t xml:space="preserve"> 216/05 Senado, </w:t>
      </w:r>
      <w:proofErr w:type="spellStart"/>
      <w:r w:rsidRPr="006E3E52">
        <w:rPr>
          <w:rFonts w:ascii="Verdana" w:hAnsi="Verdana" w:cs="Arial"/>
          <w:sz w:val="16"/>
          <w:szCs w:val="16"/>
        </w:rPr>
        <w:t>N°</w:t>
      </w:r>
      <w:proofErr w:type="spellEnd"/>
      <w:r w:rsidRPr="006E3E52">
        <w:rPr>
          <w:rFonts w:ascii="Verdana" w:hAnsi="Verdana" w:cs="Arial"/>
          <w:sz w:val="16"/>
          <w:szCs w:val="16"/>
        </w:rPr>
        <w:t xml:space="preserve"> 235-Cámara que dio lugar a la Ley de Garantías Electorales.</w:t>
      </w:r>
    </w:p>
    <w:p w14:paraId="4D79AF36" w14:textId="77777777" w:rsidR="00F853CC" w:rsidRPr="006E3E52" w:rsidRDefault="00F853CC" w:rsidP="00F853CC">
      <w:pPr>
        <w:pStyle w:val="Textonotapie"/>
        <w:ind w:firstLine="709"/>
        <w:jc w:val="both"/>
        <w:rPr>
          <w:rFonts w:ascii="Verdana" w:hAnsi="Verdana" w:cs="Arial"/>
          <w:sz w:val="16"/>
          <w:szCs w:val="16"/>
        </w:rPr>
      </w:pPr>
    </w:p>
  </w:footnote>
  <w:footnote w:id="25">
    <w:p w14:paraId="5043819C" w14:textId="77777777" w:rsidR="00F853CC" w:rsidRPr="004824B3" w:rsidRDefault="00F853CC" w:rsidP="00F853CC">
      <w:pPr>
        <w:pStyle w:val="Textonotapie"/>
        <w:ind w:firstLine="709"/>
        <w:jc w:val="both"/>
        <w:rPr>
          <w:rFonts w:ascii="Verdana" w:hAnsi="Verdana" w:cs="Arial"/>
          <w:sz w:val="16"/>
          <w:szCs w:val="16"/>
        </w:rPr>
      </w:pPr>
      <w:r w:rsidRPr="004824B3">
        <w:rPr>
          <w:rStyle w:val="Refdenotaalpie"/>
          <w:rFonts w:ascii="Verdana" w:hAnsi="Verdana" w:cs="Arial"/>
          <w:sz w:val="16"/>
          <w:szCs w:val="16"/>
        </w:rPr>
        <w:footnoteRef/>
      </w:r>
      <w:r w:rsidRPr="004824B3">
        <w:rPr>
          <w:rFonts w:ascii="Verdana" w:hAnsi="Verdana" w:cs="Arial"/>
          <w:sz w:val="16"/>
          <w:szCs w:val="16"/>
        </w:rPr>
        <w:t xml:space="preserve"> Corte Constitucional. Sentencia C-1153 de 2005 M.P. Marco Gerardo Monroy Cabra. </w:t>
      </w:r>
    </w:p>
    <w:p w14:paraId="48D01317" w14:textId="77777777" w:rsidR="00F853CC" w:rsidRPr="004824B3" w:rsidRDefault="00F853CC" w:rsidP="00F853CC">
      <w:pPr>
        <w:pStyle w:val="Textonotapie"/>
        <w:ind w:firstLine="709"/>
        <w:jc w:val="both"/>
        <w:rPr>
          <w:rFonts w:ascii="Verdana" w:hAnsi="Verdana" w:cs="Arial"/>
          <w:sz w:val="16"/>
          <w:szCs w:val="16"/>
        </w:rPr>
      </w:pPr>
    </w:p>
  </w:footnote>
  <w:footnote w:id="26">
    <w:p w14:paraId="717935E4" w14:textId="77777777" w:rsidR="00F853CC" w:rsidRPr="004824B3" w:rsidRDefault="00F853CC" w:rsidP="00F853CC">
      <w:pPr>
        <w:pStyle w:val="Textonotapie"/>
        <w:ind w:firstLine="709"/>
        <w:jc w:val="both"/>
        <w:rPr>
          <w:rFonts w:ascii="Verdana" w:hAnsi="Verdana" w:cs="Arial"/>
          <w:sz w:val="16"/>
          <w:szCs w:val="16"/>
        </w:rPr>
      </w:pPr>
      <w:r w:rsidRPr="004824B3">
        <w:rPr>
          <w:rStyle w:val="Refdenotaalpie"/>
          <w:rFonts w:ascii="Verdana" w:hAnsi="Verdana" w:cs="Arial"/>
          <w:sz w:val="16"/>
          <w:szCs w:val="16"/>
        </w:rPr>
        <w:footnoteRef/>
      </w:r>
      <w:r w:rsidRPr="004824B3">
        <w:rPr>
          <w:rFonts w:ascii="Verdana" w:hAnsi="Verdana" w:cs="Arial"/>
          <w:sz w:val="16"/>
          <w:szCs w:val="16"/>
        </w:rPr>
        <w:t xml:space="preserve"> Consejo de Estado. Sala de Consulta y Servicio Civil. Concepto del 18 de febrero 2010. Rad. 11001-03-06-000-2010-00006-00 (1985). C.P. Enrique José Arboleda Perdomo.</w:t>
      </w:r>
    </w:p>
    <w:p w14:paraId="5215522E" w14:textId="77777777" w:rsidR="00F853CC" w:rsidRPr="004824B3" w:rsidRDefault="00F853CC" w:rsidP="00F853CC">
      <w:pPr>
        <w:pStyle w:val="Textonotapie"/>
        <w:ind w:firstLine="709"/>
        <w:jc w:val="both"/>
        <w:rPr>
          <w:rFonts w:ascii="Verdana" w:hAnsi="Verdana" w:cs="Arial"/>
          <w:sz w:val="16"/>
          <w:szCs w:val="16"/>
        </w:rPr>
      </w:pPr>
    </w:p>
  </w:footnote>
  <w:footnote w:id="27">
    <w:p w14:paraId="16FE8D59" w14:textId="77777777" w:rsidR="00F853CC" w:rsidRPr="00C45436" w:rsidRDefault="00F853CC" w:rsidP="00F853CC">
      <w:pPr>
        <w:pStyle w:val="Textonotapie"/>
        <w:ind w:firstLine="709"/>
        <w:contextualSpacing/>
        <w:jc w:val="both"/>
        <w:rPr>
          <w:rFonts w:ascii="Verdana" w:hAnsi="Verdana" w:cs="Arial"/>
          <w:sz w:val="16"/>
          <w:szCs w:val="16"/>
        </w:rPr>
      </w:pPr>
      <w:r w:rsidRPr="00C45436">
        <w:rPr>
          <w:rStyle w:val="Refdenotaalpie"/>
          <w:rFonts w:ascii="Verdana" w:hAnsi="Verdana" w:cs="Arial"/>
          <w:sz w:val="16"/>
          <w:szCs w:val="16"/>
        </w:rPr>
        <w:footnoteRef/>
      </w:r>
      <w:r w:rsidRPr="00C45436">
        <w:rPr>
          <w:rFonts w:ascii="Verdana" w:hAnsi="Verdana" w:cs="Arial"/>
          <w:sz w:val="16"/>
          <w:szCs w:val="16"/>
        </w:rPr>
        <w:t xml:space="preserve"> </w:t>
      </w:r>
      <w:bookmarkStart w:id="21" w:name="_Hlk192533196"/>
      <w:r w:rsidRPr="00C45436">
        <w:rPr>
          <w:rFonts w:ascii="Verdana" w:hAnsi="Verdana" w:cs="Arial"/>
          <w:sz w:val="16"/>
          <w:szCs w:val="16"/>
        </w:rPr>
        <w:t>Consejo de Estado. Sala de Consulta y Servicio Civil. Concepto del 15 de noviembre de 2007. Rad. 1863. C.P: Luis Fernando Álvarez Jaramillo.</w:t>
      </w:r>
      <w:bookmarkEnd w:id="21"/>
    </w:p>
  </w:footnote>
  <w:footnote w:id="28">
    <w:p w14:paraId="3E81529E" w14:textId="77777777" w:rsidR="00F853CC" w:rsidRPr="009D0D83" w:rsidRDefault="00F853CC" w:rsidP="00F853CC">
      <w:pPr>
        <w:pStyle w:val="Textonotapie"/>
        <w:ind w:firstLine="709"/>
        <w:contextualSpacing/>
        <w:jc w:val="both"/>
        <w:rPr>
          <w:rFonts w:ascii="Verdana" w:hAnsi="Verdana" w:cs="Arial"/>
          <w:sz w:val="16"/>
          <w:szCs w:val="16"/>
        </w:rPr>
      </w:pPr>
      <w:r w:rsidRPr="00B8078E">
        <w:rPr>
          <w:rStyle w:val="Refdenotaalpie"/>
          <w:rFonts w:ascii="Verdana" w:hAnsi="Verdana"/>
          <w:sz w:val="16"/>
          <w:szCs w:val="16"/>
        </w:rPr>
        <w:footnoteRef/>
      </w:r>
      <w:r w:rsidRPr="00B8078E">
        <w:rPr>
          <w:rFonts w:ascii="Verdana" w:hAnsi="Verdana"/>
          <w:sz w:val="16"/>
          <w:szCs w:val="16"/>
        </w:rPr>
        <w:t xml:space="preserve"> </w:t>
      </w:r>
      <w:r w:rsidRPr="00B8078E">
        <w:rPr>
          <w:rFonts w:ascii="Verdana" w:hAnsi="Verdana" w:cs="Arial"/>
          <w:sz w:val="16"/>
          <w:szCs w:val="16"/>
        </w:rPr>
        <w:t xml:space="preserve">Consejo de Estado. Sala de lo Contencioso Administrativo. Sección Tercera. Sentencia del 21 de febrero de 2025. </w:t>
      </w:r>
      <w:proofErr w:type="spellStart"/>
      <w:r w:rsidRPr="00B8078E">
        <w:rPr>
          <w:rFonts w:ascii="Verdana" w:hAnsi="Verdana" w:cs="Arial"/>
          <w:sz w:val="16"/>
          <w:szCs w:val="16"/>
        </w:rPr>
        <w:t>Exp</w:t>
      </w:r>
      <w:proofErr w:type="spellEnd"/>
      <w:r w:rsidRPr="00B8078E">
        <w:rPr>
          <w:rFonts w:ascii="Verdana" w:hAnsi="Verdana" w:cs="Arial"/>
          <w:sz w:val="16"/>
          <w:szCs w:val="16"/>
        </w:rPr>
        <w:t>. 68.280. CP: José Roberto Sáchica Méndez.</w:t>
      </w:r>
    </w:p>
  </w:footnote>
  <w:footnote w:id="29">
    <w:p w14:paraId="024B5596" w14:textId="77777777" w:rsidR="00F853CC" w:rsidRDefault="00F853CC" w:rsidP="00F853CC">
      <w:pPr>
        <w:pStyle w:val="Textonotapie"/>
        <w:ind w:firstLine="709"/>
        <w:contextualSpacing/>
        <w:jc w:val="both"/>
        <w:rPr>
          <w:rFonts w:ascii="Verdana" w:hAnsi="Verdana"/>
          <w:sz w:val="16"/>
          <w:szCs w:val="16"/>
          <w:vertAlign w:val="superscript"/>
        </w:rPr>
      </w:pPr>
    </w:p>
    <w:p w14:paraId="1F1F1B55" w14:textId="77777777" w:rsidR="00F853CC" w:rsidRPr="00B8078E" w:rsidRDefault="00F853CC" w:rsidP="00F853CC">
      <w:pPr>
        <w:pStyle w:val="Textonotapie"/>
        <w:ind w:firstLine="709"/>
        <w:contextualSpacing/>
        <w:jc w:val="both"/>
        <w:rPr>
          <w:rFonts w:ascii="Verdana" w:hAnsi="Verdana" w:cs="Arial"/>
          <w:sz w:val="16"/>
          <w:szCs w:val="16"/>
        </w:rPr>
      </w:pPr>
      <w:r w:rsidRPr="00B8078E">
        <w:rPr>
          <w:rFonts w:ascii="Verdana" w:hAnsi="Verdana"/>
          <w:sz w:val="16"/>
          <w:szCs w:val="16"/>
          <w:vertAlign w:val="superscript"/>
        </w:rPr>
        <w:footnoteRef/>
      </w:r>
      <w:r w:rsidRPr="00B8078E">
        <w:rPr>
          <w:rFonts w:ascii="Verdana" w:hAnsi="Verdana"/>
          <w:sz w:val="16"/>
          <w:szCs w:val="16"/>
          <w:vertAlign w:val="superscript"/>
        </w:rPr>
        <w:t xml:space="preserve"> </w:t>
      </w:r>
      <w:r w:rsidRPr="00B8078E">
        <w:rPr>
          <w:rFonts w:ascii="Verdana" w:hAnsi="Verdana" w:cs="Arial"/>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07685C6F" w14:textId="77777777" w:rsidR="00F853CC" w:rsidRPr="00B8078E" w:rsidRDefault="00F853CC" w:rsidP="00F853CC">
      <w:pPr>
        <w:pStyle w:val="Textonotapie"/>
        <w:ind w:firstLine="709"/>
        <w:contextualSpacing/>
        <w:jc w:val="both"/>
        <w:rPr>
          <w:rFonts w:ascii="Verdana" w:hAnsi="Verdana" w:cs="Arial"/>
          <w:sz w:val="16"/>
          <w:szCs w:val="16"/>
        </w:rPr>
      </w:pPr>
    </w:p>
  </w:footnote>
  <w:footnote w:id="30">
    <w:p w14:paraId="49AEBC8E" w14:textId="77777777" w:rsidR="00F853CC" w:rsidRPr="00B8078E" w:rsidRDefault="00F853CC" w:rsidP="00F853CC">
      <w:pPr>
        <w:pStyle w:val="Textonotapie"/>
        <w:ind w:firstLine="709"/>
        <w:contextualSpacing/>
        <w:jc w:val="both"/>
        <w:rPr>
          <w:rFonts w:ascii="Verdana" w:hAnsi="Verdana" w:cs="Arial"/>
          <w:sz w:val="16"/>
          <w:szCs w:val="16"/>
        </w:rPr>
      </w:pPr>
      <w:r w:rsidRPr="00B8078E">
        <w:rPr>
          <w:rFonts w:ascii="Verdana" w:hAnsi="Verdana"/>
          <w:sz w:val="16"/>
          <w:szCs w:val="16"/>
          <w:vertAlign w:val="superscript"/>
        </w:rPr>
        <w:footnoteRef/>
      </w:r>
      <w:r w:rsidRPr="00B8078E">
        <w:rPr>
          <w:rFonts w:ascii="Verdana" w:hAnsi="Verdana" w:cs="Arial"/>
          <w:sz w:val="16"/>
          <w:szCs w:val="16"/>
          <w:vertAlign w:val="superscript"/>
        </w:rPr>
        <w:t xml:space="preserve"> </w:t>
      </w:r>
      <w:r w:rsidRPr="00B8078E">
        <w:rPr>
          <w:rFonts w:ascii="Verdana" w:hAnsi="Verdana" w:cs="Arial"/>
          <w:sz w:val="16"/>
          <w:szCs w:val="16"/>
        </w:rPr>
        <w:t>Ley 80 de 1993: “Artículo 41. Del perfeccionamiento del contrato. Los contratos del Estado se perfeccionan cuando se logre acuerdo sobre el objeto y la contraprestación y éste se eleve a escrito.</w:t>
      </w:r>
    </w:p>
    <w:p w14:paraId="4F847032" w14:textId="77777777" w:rsidR="00F853CC" w:rsidRPr="00B8078E" w:rsidRDefault="00F853CC" w:rsidP="00F853CC">
      <w:pPr>
        <w:pStyle w:val="Textonotapie"/>
        <w:ind w:firstLine="709"/>
        <w:contextualSpacing/>
        <w:jc w:val="both"/>
        <w:rPr>
          <w:rFonts w:ascii="Verdana" w:hAnsi="Verdana" w:cs="Arial"/>
          <w:sz w:val="16"/>
          <w:szCs w:val="16"/>
        </w:rPr>
      </w:pPr>
    </w:p>
  </w:footnote>
  <w:footnote w:id="31">
    <w:p w14:paraId="26D11B7C" w14:textId="77777777" w:rsidR="00F853CC" w:rsidRDefault="00F853CC" w:rsidP="00F853CC">
      <w:pPr>
        <w:pStyle w:val="Textonotapie"/>
        <w:ind w:firstLine="709"/>
        <w:contextualSpacing/>
        <w:jc w:val="both"/>
        <w:rPr>
          <w:rFonts w:ascii="Verdana" w:hAnsi="Verdana" w:cs="Arial"/>
          <w:sz w:val="16"/>
          <w:szCs w:val="16"/>
        </w:rPr>
      </w:pPr>
      <w:r w:rsidRPr="00B8078E">
        <w:rPr>
          <w:rFonts w:ascii="Verdana" w:hAnsi="Verdana"/>
          <w:sz w:val="16"/>
          <w:szCs w:val="16"/>
          <w:vertAlign w:val="superscript"/>
        </w:rPr>
        <w:footnoteRef/>
      </w:r>
      <w:r w:rsidRPr="00B8078E">
        <w:rPr>
          <w:rFonts w:ascii="Verdana" w:hAnsi="Verdana" w:cs="Arial"/>
          <w:sz w:val="16"/>
          <w:szCs w:val="16"/>
          <w:vertAlign w:val="superscript"/>
        </w:rPr>
        <w:t xml:space="preserve"> </w:t>
      </w:r>
      <w:r w:rsidRPr="00B8078E">
        <w:rPr>
          <w:rFonts w:ascii="Verdana" w:hAnsi="Verdana" w:cs="Arial"/>
          <w:sz w:val="16"/>
          <w:szCs w:val="16"/>
        </w:rPr>
        <w:t>Código Civil: “Artículo 27. Cuando el sentido de la ley sea claro, no se desatenderá su tenor a pretexto de consultar su espíritu”.</w:t>
      </w:r>
    </w:p>
    <w:p w14:paraId="3F183E69" w14:textId="77777777" w:rsidR="00F853CC" w:rsidRPr="00852048" w:rsidRDefault="00F853CC" w:rsidP="00F853CC">
      <w:pPr>
        <w:pStyle w:val="Textonotapie"/>
        <w:ind w:firstLine="709"/>
        <w:contextualSpacing/>
        <w:jc w:val="both"/>
        <w:rPr>
          <w:rFonts w:ascii="Verdana" w:hAnsi="Verdana" w:cs="Arial"/>
          <w:sz w:val="16"/>
          <w:szCs w:val="16"/>
        </w:rPr>
      </w:pPr>
    </w:p>
  </w:footnote>
  <w:footnote w:id="32">
    <w:p w14:paraId="201F1E3C" w14:textId="77777777" w:rsidR="00F853CC" w:rsidRPr="00B8078E" w:rsidRDefault="00F853CC" w:rsidP="00F853CC">
      <w:pPr>
        <w:pStyle w:val="Textonotapie"/>
        <w:ind w:firstLine="708"/>
        <w:jc w:val="both"/>
        <w:rPr>
          <w:rFonts w:ascii="Verdana" w:hAnsi="Verdana"/>
          <w:sz w:val="16"/>
          <w:szCs w:val="16"/>
          <w:lang w:val="es-ES"/>
        </w:rPr>
      </w:pPr>
      <w:r w:rsidRPr="00B8078E">
        <w:rPr>
          <w:rStyle w:val="Refdenotaalpie"/>
          <w:rFonts w:ascii="Verdana" w:hAnsi="Verdana"/>
          <w:sz w:val="16"/>
          <w:szCs w:val="16"/>
        </w:rPr>
        <w:footnoteRef/>
      </w:r>
      <w:r w:rsidRPr="00B8078E">
        <w:rPr>
          <w:rFonts w:ascii="Verdana" w:hAnsi="Verdana"/>
          <w:sz w:val="16"/>
          <w:szCs w:val="16"/>
        </w:rPr>
        <w:t xml:space="preserve"> </w:t>
      </w:r>
      <w:r w:rsidRPr="00B8078E">
        <w:rPr>
          <w:rFonts w:ascii="Verdana" w:hAnsi="Verdana"/>
          <w:sz w:val="16"/>
          <w:szCs w:val="16"/>
          <w:lang w:val="es-ES"/>
        </w:rPr>
        <w:t xml:space="preserve">La doctrina chilena ilustra su aplicación en los siguientes términos: “La ley se ha de entender general e indistintamente. Cuando la ley no hace excepción alguna, pudiendo haberla hecho, no podemos separarnos de su disposición general por medio de una distinción que ella no ha formulado. </w:t>
      </w:r>
      <w:proofErr w:type="spellStart"/>
      <w:r w:rsidRPr="00B8078E">
        <w:rPr>
          <w:rFonts w:ascii="Verdana" w:hAnsi="Verdana"/>
          <w:i/>
          <w:sz w:val="16"/>
          <w:szCs w:val="16"/>
          <w:lang w:val="es-ES"/>
        </w:rPr>
        <w:t>Ubi</w:t>
      </w:r>
      <w:proofErr w:type="spellEnd"/>
      <w:r w:rsidRPr="00B8078E">
        <w:rPr>
          <w:rFonts w:ascii="Verdana" w:hAnsi="Verdana"/>
          <w:i/>
          <w:sz w:val="16"/>
          <w:szCs w:val="16"/>
          <w:lang w:val="es-ES"/>
        </w:rPr>
        <w:t xml:space="preserve"> lex non </w:t>
      </w:r>
      <w:proofErr w:type="spellStart"/>
      <w:r w:rsidRPr="00B8078E">
        <w:rPr>
          <w:rFonts w:ascii="Verdana" w:hAnsi="Verdana"/>
          <w:i/>
          <w:sz w:val="16"/>
          <w:szCs w:val="16"/>
          <w:lang w:val="es-ES"/>
        </w:rPr>
        <w:t>distinguit</w:t>
      </w:r>
      <w:proofErr w:type="spellEnd"/>
      <w:r w:rsidRPr="00B8078E">
        <w:rPr>
          <w:rFonts w:ascii="Verdana" w:hAnsi="Verdana"/>
          <w:i/>
          <w:sz w:val="16"/>
          <w:szCs w:val="16"/>
          <w:lang w:val="es-ES"/>
        </w:rPr>
        <w:t xml:space="preserve"> </w:t>
      </w:r>
      <w:proofErr w:type="spellStart"/>
      <w:r w:rsidRPr="00B8078E">
        <w:rPr>
          <w:rFonts w:ascii="Verdana" w:hAnsi="Verdana"/>
          <w:i/>
          <w:sz w:val="16"/>
          <w:szCs w:val="16"/>
          <w:lang w:val="es-ES"/>
        </w:rPr>
        <w:t>nec</w:t>
      </w:r>
      <w:proofErr w:type="spellEnd"/>
      <w:r w:rsidRPr="00B8078E">
        <w:rPr>
          <w:rFonts w:ascii="Verdana" w:hAnsi="Verdana"/>
          <w:i/>
          <w:sz w:val="16"/>
          <w:szCs w:val="16"/>
          <w:lang w:val="es-ES"/>
        </w:rPr>
        <w:t xml:space="preserve"> nos </w:t>
      </w:r>
      <w:proofErr w:type="spellStart"/>
      <w:r w:rsidRPr="00B8078E">
        <w:rPr>
          <w:rFonts w:ascii="Verdana" w:hAnsi="Verdana"/>
          <w:i/>
          <w:sz w:val="16"/>
          <w:szCs w:val="16"/>
          <w:lang w:val="es-ES"/>
        </w:rPr>
        <w:t>distinguere</w:t>
      </w:r>
      <w:proofErr w:type="spellEnd"/>
      <w:r w:rsidRPr="00B8078E">
        <w:rPr>
          <w:rFonts w:ascii="Verdana" w:hAnsi="Verdana"/>
          <w:i/>
          <w:sz w:val="16"/>
          <w:szCs w:val="16"/>
          <w:lang w:val="es-ES"/>
        </w:rPr>
        <w:t xml:space="preserve"> </w:t>
      </w:r>
      <w:proofErr w:type="spellStart"/>
      <w:r w:rsidRPr="00B8078E">
        <w:rPr>
          <w:rFonts w:ascii="Verdana" w:hAnsi="Verdana"/>
          <w:i/>
          <w:sz w:val="16"/>
          <w:szCs w:val="16"/>
          <w:lang w:val="es-ES"/>
        </w:rPr>
        <w:t>debemus</w:t>
      </w:r>
      <w:proofErr w:type="spellEnd"/>
      <w:r w:rsidRPr="00B8078E">
        <w:rPr>
          <w:rFonts w:ascii="Verdana" w:hAnsi="Verdana"/>
          <w:sz w:val="16"/>
          <w:szCs w:val="16"/>
          <w:lang w:val="es-ES"/>
        </w:rPr>
        <w:t>, ‘donde la ley no distingue no puede el hombre distinguir’. ‘La extensión que deba dársele a la ley se determinará por su genuino sentido y según las reglas de interpretación precedentes’, dice el artículo 23.</w:t>
      </w:r>
    </w:p>
    <w:p w14:paraId="64D7A056" w14:textId="77777777" w:rsidR="00F853CC" w:rsidRPr="00B8078E" w:rsidRDefault="00F853CC" w:rsidP="00F853CC">
      <w:pPr>
        <w:pStyle w:val="Textonotapie"/>
        <w:ind w:firstLine="708"/>
        <w:jc w:val="both"/>
        <w:rPr>
          <w:rFonts w:ascii="Verdana" w:hAnsi="Verdana"/>
          <w:sz w:val="16"/>
          <w:szCs w:val="16"/>
        </w:rPr>
      </w:pPr>
      <w:r w:rsidRPr="00B8078E">
        <w:rPr>
          <w:rFonts w:ascii="Verdana" w:hAnsi="Verdana"/>
          <w:sz w:val="16"/>
          <w:szCs w:val="16"/>
          <w:lang w:val="es-ES"/>
        </w:rPr>
        <w:t xml:space="preserve">En el derecho antiguo y en el derecho canónico se distinguían las leyes en favorables y odiosas, para ampliar o restringir su interpretación. </w:t>
      </w:r>
      <w:r w:rsidRPr="00B8078E">
        <w:rPr>
          <w:rFonts w:ascii="Verdana" w:hAnsi="Verdana"/>
          <w:i/>
          <w:sz w:val="16"/>
          <w:szCs w:val="16"/>
          <w:lang w:val="es-ES"/>
        </w:rPr>
        <w:t xml:space="preserve">Odia restringí et favores </w:t>
      </w:r>
      <w:proofErr w:type="spellStart"/>
      <w:r w:rsidRPr="00B8078E">
        <w:rPr>
          <w:rFonts w:ascii="Verdana" w:hAnsi="Verdana"/>
          <w:i/>
          <w:sz w:val="16"/>
          <w:szCs w:val="16"/>
          <w:lang w:val="es-ES"/>
        </w:rPr>
        <w:t>convenit</w:t>
      </w:r>
      <w:proofErr w:type="spellEnd"/>
      <w:r w:rsidRPr="00B8078E">
        <w:rPr>
          <w:rFonts w:ascii="Verdana" w:hAnsi="Verdana"/>
          <w:i/>
          <w:sz w:val="16"/>
          <w:szCs w:val="16"/>
          <w:lang w:val="es-ES"/>
        </w:rPr>
        <w:t xml:space="preserve"> </w:t>
      </w:r>
      <w:proofErr w:type="spellStart"/>
      <w:r w:rsidRPr="00B8078E">
        <w:rPr>
          <w:rFonts w:ascii="Verdana" w:hAnsi="Verdana"/>
          <w:i/>
          <w:sz w:val="16"/>
          <w:szCs w:val="16"/>
          <w:lang w:val="es-ES"/>
        </w:rPr>
        <w:t>ampliari</w:t>
      </w:r>
      <w:proofErr w:type="spellEnd"/>
      <w:r w:rsidRPr="00B8078E">
        <w:rPr>
          <w:rFonts w:ascii="Verdana" w:hAnsi="Verdana"/>
          <w:sz w:val="16"/>
          <w:szCs w:val="16"/>
          <w:lang w:val="es-ES"/>
        </w:rPr>
        <w:t xml:space="preserve">. Según esto se tomaban las palabras en su más amplia y extensa significación en materia favorable y se procuraba limitar en lo posible, en caso de duda, en materia odiosa. Estas reglas de aplicación de las leyes eran contrarias a los principios de una correcta interpretación, que no tiene otro objeto que reconstruir el pensamiento del legislador y llegar por este medio al conocimiento completo de la ley. Por este motivo el Código no las admite […]” (Cfr. </w:t>
      </w:r>
      <w:r w:rsidRPr="00B8078E">
        <w:rPr>
          <w:rFonts w:ascii="Verdana" w:hAnsi="Verdana"/>
          <w:sz w:val="16"/>
          <w:szCs w:val="16"/>
        </w:rPr>
        <w:t>CLARO SOLAR, Luis. Explicaciones de derecho civil chileno y comparado. Volumen I. Tomo I. Santiago: Editorial Jurídica de Chile, 2013. p. 119. Énfasis dentro del texto).</w:t>
      </w:r>
    </w:p>
    <w:p w14:paraId="3F2EFA74" w14:textId="77777777" w:rsidR="00F853CC" w:rsidRPr="00B8078E" w:rsidRDefault="00F853CC" w:rsidP="00F853CC">
      <w:pPr>
        <w:pStyle w:val="Textonotapie"/>
        <w:ind w:firstLine="708"/>
        <w:jc w:val="both"/>
        <w:rPr>
          <w:rFonts w:ascii="Verdana" w:hAnsi="Verdana"/>
          <w:sz w:val="16"/>
          <w:szCs w:val="16"/>
          <w:lang w:val="es-CO"/>
        </w:rPr>
      </w:pPr>
    </w:p>
  </w:footnote>
  <w:footnote w:id="33">
    <w:p w14:paraId="084B0D9C" w14:textId="77777777" w:rsidR="00F853CC" w:rsidRPr="00B8078E" w:rsidRDefault="00F853CC" w:rsidP="00F853CC">
      <w:pPr>
        <w:spacing w:after="0" w:line="240" w:lineRule="auto"/>
        <w:ind w:firstLine="709"/>
        <w:jc w:val="both"/>
        <w:rPr>
          <w:rFonts w:ascii="Verdana" w:hAnsi="Verdana" w:cs="Arial"/>
          <w:sz w:val="16"/>
          <w:szCs w:val="16"/>
          <w:lang w:eastAsia="es-ES"/>
        </w:rPr>
      </w:pPr>
      <w:r w:rsidRPr="00B8078E">
        <w:rPr>
          <w:rStyle w:val="Refdenotaalpie"/>
          <w:rFonts w:ascii="Verdana" w:hAnsi="Verdana"/>
          <w:sz w:val="16"/>
          <w:szCs w:val="16"/>
        </w:rPr>
        <w:footnoteRef/>
      </w:r>
      <w:r w:rsidRPr="00B8078E">
        <w:rPr>
          <w:rFonts w:ascii="Verdana" w:hAnsi="Verdana"/>
          <w:sz w:val="16"/>
          <w:szCs w:val="16"/>
        </w:rPr>
        <w:t xml:space="preserve"> Consejo de Estado. Sala de lo Contencioso Administrativo. Sección Tercera. Subsección B. Auto del 4 de octubre de 2024. </w:t>
      </w:r>
      <w:proofErr w:type="spellStart"/>
      <w:r w:rsidRPr="00B8078E">
        <w:rPr>
          <w:rFonts w:ascii="Verdana" w:hAnsi="Verdana"/>
          <w:sz w:val="16"/>
          <w:szCs w:val="16"/>
        </w:rPr>
        <w:t>Exp</w:t>
      </w:r>
      <w:proofErr w:type="spellEnd"/>
      <w:r w:rsidRPr="00B8078E">
        <w:rPr>
          <w:rFonts w:ascii="Verdana" w:hAnsi="Verdana"/>
          <w:sz w:val="16"/>
          <w:szCs w:val="16"/>
        </w:rPr>
        <w:t>. 70.313. C.P: Fredy Ibarra Martínez.</w:t>
      </w:r>
    </w:p>
    <w:p w14:paraId="4255C881" w14:textId="77777777" w:rsidR="00F853CC" w:rsidRPr="00B8078E" w:rsidRDefault="00F853CC" w:rsidP="00F853CC">
      <w:pPr>
        <w:pStyle w:val="Textonotapie"/>
        <w:ind w:firstLine="709"/>
        <w:contextualSpacing/>
        <w:jc w:val="both"/>
        <w:rPr>
          <w:rFonts w:ascii="Verdana" w:hAnsi="Verdana"/>
          <w:sz w:val="16"/>
          <w:szCs w:val="16"/>
          <w:lang w:val="es-CO"/>
        </w:rPr>
      </w:pPr>
    </w:p>
  </w:footnote>
  <w:footnote w:id="34">
    <w:p w14:paraId="6FF9C47E" w14:textId="77777777" w:rsidR="00F853CC" w:rsidRPr="00B8078E" w:rsidRDefault="00F853CC" w:rsidP="00F853CC">
      <w:pPr>
        <w:pStyle w:val="Textonotapie"/>
        <w:ind w:firstLine="709"/>
        <w:contextualSpacing/>
        <w:jc w:val="both"/>
        <w:rPr>
          <w:rFonts w:ascii="Verdana" w:hAnsi="Verdana"/>
          <w:sz w:val="16"/>
          <w:szCs w:val="16"/>
          <w:lang w:val="es-CO"/>
        </w:rPr>
      </w:pPr>
      <w:r w:rsidRPr="00B8078E">
        <w:rPr>
          <w:rStyle w:val="Refdenotaalpie"/>
          <w:rFonts w:ascii="Verdana" w:hAnsi="Verdana"/>
          <w:sz w:val="16"/>
          <w:szCs w:val="16"/>
        </w:rPr>
        <w:footnoteRef/>
      </w:r>
      <w:r w:rsidRPr="00B8078E">
        <w:rPr>
          <w:rFonts w:ascii="Verdana" w:hAnsi="Verdana"/>
          <w:sz w:val="16"/>
          <w:szCs w:val="16"/>
        </w:rPr>
        <w:t xml:space="preserve"> La parte resolutiva del auto dispone lo siguiente; “</w:t>
      </w:r>
      <w:r w:rsidRPr="00B8078E">
        <w:rPr>
          <w:rFonts w:ascii="Verdana" w:hAnsi="Verdana"/>
          <w:b/>
          <w:sz w:val="16"/>
          <w:szCs w:val="16"/>
          <w:lang w:val="es-CO"/>
        </w:rPr>
        <w:t xml:space="preserve">PRIMERO: DECRETAR </w:t>
      </w:r>
      <w:r w:rsidRPr="00B8078E">
        <w:rPr>
          <w:rFonts w:ascii="Verdana" w:hAnsi="Verdana"/>
          <w:sz w:val="16"/>
          <w:szCs w:val="16"/>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B8078E">
        <w:rPr>
          <w:rFonts w:ascii="Verdana" w:hAnsi="Verdana"/>
          <w:i/>
          <w:sz w:val="16"/>
          <w:szCs w:val="16"/>
          <w:lang w:val="es-CO"/>
        </w:rPr>
        <w:t>“[e]</w:t>
      </w:r>
      <w:proofErr w:type="spellStart"/>
      <w:r w:rsidRPr="00B8078E">
        <w:rPr>
          <w:rFonts w:ascii="Verdana" w:hAnsi="Verdana"/>
          <w:i/>
          <w:sz w:val="16"/>
          <w:szCs w:val="16"/>
          <w:lang w:val="es-CO"/>
        </w:rPr>
        <w:t>sta</w:t>
      </w:r>
      <w:proofErr w:type="spellEnd"/>
      <w:r w:rsidRPr="00B8078E">
        <w:rPr>
          <w:rFonts w:ascii="Verdana" w:hAnsi="Verdana"/>
          <w:i/>
          <w:sz w:val="16"/>
          <w:szCs w:val="16"/>
          <w:lang w:val="es-CO"/>
        </w:rPr>
        <w:t xml:space="preserve">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B8078E">
        <w:rPr>
          <w:rFonts w:ascii="Verdana" w:hAnsi="Verdana"/>
          <w:sz w:val="16"/>
          <w:szCs w:val="16"/>
          <w:lang w:val="es-CO"/>
        </w:rPr>
        <w:t xml:space="preserve">, por las razones expuestas en precedencia. </w:t>
      </w:r>
    </w:p>
    <w:p w14:paraId="5BF4087D" w14:textId="77777777" w:rsidR="00F853CC" w:rsidRDefault="00F853CC" w:rsidP="00F853CC">
      <w:pPr>
        <w:pStyle w:val="Textonotapie"/>
        <w:ind w:firstLine="709"/>
        <w:contextualSpacing/>
        <w:jc w:val="both"/>
        <w:rPr>
          <w:rFonts w:ascii="Verdana" w:hAnsi="Verdana"/>
          <w:sz w:val="16"/>
          <w:szCs w:val="16"/>
          <w:lang w:val="es-CO"/>
        </w:rPr>
      </w:pPr>
      <w:r w:rsidRPr="00B8078E">
        <w:rPr>
          <w:rFonts w:ascii="Verdana" w:hAnsi="Verdana"/>
          <w:b/>
          <w:sz w:val="16"/>
          <w:szCs w:val="16"/>
          <w:lang w:val="es-CO"/>
        </w:rPr>
        <w:t xml:space="preserve">SEGUNDO: DECRETAR </w:t>
      </w:r>
      <w:r w:rsidRPr="00B8078E">
        <w:rPr>
          <w:rFonts w:ascii="Verdana" w:hAnsi="Verdana"/>
          <w:sz w:val="16"/>
          <w:szCs w:val="16"/>
          <w:lang w:val="es-CO"/>
        </w:rPr>
        <w:t>la suspensión provisional de la expresión “</w:t>
      </w:r>
      <w:r w:rsidRPr="00B8078E">
        <w:rPr>
          <w:rFonts w:ascii="Verdana" w:hAnsi="Verdana"/>
          <w:i/>
          <w:sz w:val="16"/>
          <w:szCs w:val="16"/>
          <w:lang w:val="es-CO"/>
        </w:rPr>
        <w:t>contratos</w:t>
      </w:r>
      <w:r w:rsidRPr="00B8078E">
        <w:rPr>
          <w:rFonts w:ascii="Verdana" w:hAnsi="Verdana"/>
          <w:sz w:val="16"/>
          <w:szCs w:val="16"/>
          <w:lang w:val="es-CO"/>
        </w:rPr>
        <w:t xml:space="preserve">” y del párrafo </w:t>
      </w:r>
      <w:r w:rsidRPr="00B8078E">
        <w:rPr>
          <w:rFonts w:ascii="Verdana" w:hAnsi="Verdana"/>
          <w:i/>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B8078E">
        <w:rPr>
          <w:rFonts w:ascii="Verdana" w:hAnsi="Verdana"/>
          <w:sz w:val="16"/>
          <w:szCs w:val="16"/>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w:t>
      </w:r>
      <w:proofErr w:type="spellStart"/>
      <w:r w:rsidRPr="00B8078E">
        <w:rPr>
          <w:rFonts w:ascii="Verdana" w:hAnsi="Verdana"/>
          <w:sz w:val="16"/>
          <w:szCs w:val="16"/>
          <w:lang w:val="es-CO"/>
        </w:rPr>
        <w:t>Exp</w:t>
      </w:r>
      <w:proofErr w:type="spellEnd"/>
      <w:r w:rsidRPr="00B8078E">
        <w:rPr>
          <w:rFonts w:ascii="Verdana" w:hAnsi="Verdana"/>
          <w:sz w:val="16"/>
          <w:szCs w:val="16"/>
          <w:lang w:val="es-CO"/>
        </w:rPr>
        <w:t>. 72.424. C.P: Fernando Alexei Pardo Flórez.</w:t>
      </w:r>
      <w:r w:rsidRPr="009D0D83">
        <w:rPr>
          <w:rFonts w:ascii="Verdana" w:hAnsi="Verdana"/>
          <w:sz w:val="16"/>
          <w:szCs w:val="16"/>
          <w:lang w:val="es-CO"/>
        </w:rPr>
        <w:t xml:space="preserve"> </w:t>
      </w:r>
    </w:p>
    <w:p w14:paraId="3BF680D9" w14:textId="77777777" w:rsidR="00F853CC" w:rsidRPr="009D0D83" w:rsidRDefault="00F853CC" w:rsidP="00F853CC">
      <w:pPr>
        <w:pStyle w:val="Textonotapie"/>
        <w:ind w:firstLine="709"/>
        <w:contextualSpacing/>
        <w:jc w:val="both"/>
        <w:rPr>
          <w:rFonts w:ascii="Verdana" w:hAnsi="Verdana"/>
          <w:sz w:val="16"/>
          <w:szCs w:val="16"/>
          <w:lang w:val="es-CO"/>
        </w:rPr>
      </w:pPr>
    </w:p>
  </w:footnote>
  <w:footnote w:id="35">
    <w:p w14:paraId="7AB9CBB6" w14:textId="77777777" w:rsidR="00F853CC" w:rsidRDefault="00F853CC" w:rsidP="00F853CC">
      <w:pPr>
        <w:spacing w:after="0" w:line="240" w:lineRule="auto"/>
        <w:ind w:firstLine="709"/>
        <w:contextualSpacing/>
        <w:jc w:val="both"/>
        <w:rPr>
          <w:rFonts w:ascii="Verdana" w:eastAsia="Times New Roman" w:hAnsi="Verdana" w:cs="Times New Roman"/>
          <w:sz w:val="16"/>
          <w:szCs w:val="16"/>
          <w:lang w:eastAsia="es-ES"/>
        </w:rPr>
      </w:pPr>
      <w:r w:rsidRPr="00B8078E">
        <w:rPr>
          <w:rStyle w:val="Refdenotaalpie"/>
          <w:rFonts w:ascii="Verdana" w:hAnsi="Verdana"/>
          <w:sz w:val="16"/>
          <w:szCs w:val="16"/>
        </w:rPr>
        <w:footnoteRef/>
      </w:r>
      <w:r w:rsidRPr="00B8078E">
        <w:rPr>
          <w:rFonts w:ascii="Verdana" w:hAnsi="Verdana"/>
          <w:sz w:val="16"/>
          <w:szCs w:val="16"/>
        </w:rPr>
        <w:t xml:space="preserve"> </w:t>
      </w:r>
      <w:r w:rsidRPr="00B8078E">
        <w:rPr>
          <w:rFonts w:ascii="Verdana" w:eastAsia="Times New Roman" w:hAnsi="Verdana" w:cs="Times New Roman"/>
          <w:sz w:val="16"/>
          <w:szCs w:val="16"/>
          <w:lang w:eastAsia="es-ES"/>
        </w:rPr>
        <w:t xml:space="preserve">Consejo de Estado. Sala de lo Contencioso Administrativo. Sección Tercera. Subsección B. 17 de octubre de 2025. C.P. Fredy Ibarra Martínez. </w:t>
      </w:r>
      <w:r w:rsidRPr="00B8078E">
        <w:rPr>
          <w:rFonts w:ascii="Verdana" w:hAnsi="Verdana"/>
          <w:sz w:val="16"/>
          <w:szCs w:val="16"/>
        </w:rPr>
        <w:t xml:space="preserve">La parte de la providencia señala: </w:t>
      </w:r>
      <w:r w:rsidRPr="00B8078E">
        <w:rPr>
          <w:rFonts w:ascii="Verdana" w:eastAsia="Times New Roman" w:hAnsi="Verdana" w:cs="Times New Roman"/>
          <w:sz w:val="16"/>
          <w:szCs w:val="16"/>
          <w:lang w:eastAsia="es-ES"/>
        </w:rPr>
        <w:t xml:space="preserve">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roofErr w:type="spellStart"/>
      <w:r w:rsidRPr="00B8078E">
        <w:rPr>
          <w:rFonts w:ascii="Verdana" w:eastAsia="Times New Roman" w:hAnsi="Verdana" w:cs="Times New Roman"/>
          <w:sz w:val="16"/>
          <w:szCs w:val="16"/>
          <w:lang w:eastAsia="es-ES"/>
        </w:rPr>
        <w:t>ii</w:t>
      </w:r>
      <w:proofErr w:type="spellEnd"/>
      <w:r w:rsidRPr="00B8078E">
        <w:rPr>
          <w:rFonts w:ascii="Verdana" w:eastAsia="Times New Roman" w:hAnsi="Verdana" w:cs="Times New Roman"/>
          <w:sz w:val="16"/>
          <w:szCs w:val="16"/>
          <w:lang w:eastAsia="es-ES"/>
        </w:rPr>
        <w:t>)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14:paraId="44C8FEE0" w14:textId="77777777" w:rsidR="00F853CC" w:rsidRPr="00852048" w:rsidRDefault="00F853CC" w:rsidP="00F853CC">
      <w:pPr>
        <w:spacing w:after="0" w:line="240" w:lineRule="auto"/>
        <w:ind w:firstLine="709"/>
        <w:contextualSpacing/>
        <w:jc w:val="both"/>
        <w:rPr>
          <w:rFonts w:ascii="Verdana" w:eastAsia="Times New Roman" w:hAnsi="Verdana" w:cs="Times New Roman"/>
          <w:sz w:val="16"/>
          <w:szCs w:val="16"/>
          <w:lang w:eastAsia="es-ES"/>
        </w:rPr>
      </w:pPr>
    </w:p>
  </w:footnote>
  <w:footnote w:id="36">
    <w:p w14:paraId="6DE6B7A8" w14:textId="77777777" w:rsidR="00F853CC" w:rsidRDefault="00F853CC" w:rsidP="00F853CC">
      <w:pPr>
        <w:pStyle w:val="Textonotapie"/>
        <w:ind w:firstLine="709"/>
        <w:jc w:val="both"/>
        <w:rPr>
          <w:rFonts w:ascii="Verdana" w:hAnsi="Verdana"/>
          <w:sz w:val="16"/>
          <w:szCs w:val="16"/>
        </w:rPr>
      </w:pPr>
      <w:r w:rsidRPr="00B8078E">
        <w:rPr>
          <w:rStyle w:val="Refdenotaalpie"/>
          <w:rFonts w:ascii="Verdana" w:hAnsi="Verdana"/>
          <w:sz w:val="16"/>
          <w:szCs w:val="16"/>
        </w:rPr>
        <w:footnoteRef/>
      </w:r>
      <w:r w:rsidRPr="00B8078E">
        <w:rPr>
          <w:rFonts w:ascii="Verdana" w:hAnsi="Verdana"/>
          <w:sz w:val="16"/>
          <w:szCs w:val="16"/>
        </w:rPr>
        <w:t xml:space="preserve"> No </w:t>
      </w:r>
      <w:proofErr w:type="gramStart"/>
      <w:r w:rsidRPr="00B8078E">
        <w:rPr>
          <w:rFonts w:ascii="Verdana" w:hAnsi="Verdana"/>
          <w:sz w:val="16"/>
          <w:szCs w:val="16"/>
        </w:rPr>
        <w:t>obstante</w:t>
      </w:r>
      <w:proofErr w:type="gramEnd"/>
      <w:r w:rsidRPr="00B8078E">
        <w:rPr>
          <w:rFonts w:ascii="Verdana" w:hAnsi="Verdana"/>
          <w:sz w:val="16"/>
          <w:szCs w:val="16"/>
        </w:rPr>
        <w:t xml:space="preserv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p w14:paraId="47209188" w14:textId="77777777" w:rsidR="00F853CC" w:rsidRPr="00B8078E" w:rsidRDefault="00F853CC" w:rsidP="00F853CC">
      <w:pPr>
        <w:pStyle w:val="Textonotapie"/>
        <w:ind w:firstLine="709"/>
        <w:jc w:val="both"/>
        <w:rPr>
          <w:rFonts w:ascii="Verdana" w:hAnsi="Verdana"/>
          <w:sz w:val="16"/>
          <w:szCs w:val="16"/>
          <w:lang w:val="es-CO"/>
        </w:rPr>
      </w:pPr>
    </w:p>
  </w:footnote>
  <w:footnote w:id="37">
    <w:p w14:paraId="477BDEA8" w14:textId="77777777" w:rsidR="00F853CC" w:rsidRDefault="00F853CC" w:rsidP="00F853CC">
      <w:pPr>
        <w:pStyle w:val="Textonotapie"/>
        <w:ind w:firstLine="709"/>
        <w:jc w:val="both"/>
        <w:rPr>
          <w:rFonts w:ascii="Verdana" w:hAnsi="Verdana"/>
          <w:sz w:val="16"/>
          <w:szCs w:val="16"/>
          <w:lang w:val="es-CO"/>
        </w:rPr>
      </w:pPr>
      <w:r w:rsidRPr="006A61B0">
        <w:rPr>
          <w:rStyle w:val="Refdenotaalpie"/>
          <w:rFonts w:ascii="Verdana" w:hAnsi="Verdana"/>
          <w:sz w:val="16"/>
          <w:szCs w:val="16"/>
        </w:rPr>
        <w:footnoteRef/>
      </w:r>
      <w:r w:rsidRPr="006A61B0">
        <w:rPr>
          <w:rFonts w:ascii="Verdana" w:hAnsi="Verdana"/>
          <w:sz w:val="16"/>
          <w:szCs w:val="16"/>
        </w:rPr>
        <w:t xml:space="preserve"> Artículo 5 de la Ley 1715 de 2014: DEFINICIONES: (…) </w:t>
      </w:r>
      <w:r w:rsidRPr="006A61B0">
        <w:rPr>
          <w:rFonts w:ascii="Verdana" w:hAnsi="Verdana"/>
          <w:b/>
          <w:bCs/>
          <w:sz w:val="16"/>
          <w:szCs w:val="16"/>
          <w:lang w:val="es-CO"/>
        </w:rPr>
        <w:t>16. Fuentes No Convencionales de Energía (FNCE).</w:t>
      </w:r>
      <w:r w:rsidRPr="006A61B0">
        <w:rPr>
          <w:rFonts w:ascii="Verdana" w:hAnsi="Verdana"/>
          <w:sz w:val="16"/>
          <w:szCs w:val="16"/>
          <w:lang w:val="es-CO"/>
        </w:rPr>
        <w:t> Son aquellos recursos de energía disponibles a nivel mundial que son ambientalmente sostenibles, pero que en el país no son empleados o son utilizados de manera marginal y no se comercializan ampliamente. Se consideran FNCE la energía nuclear o atómica y las FNCER. Otras fuentes podrán ser consideradas como FNCE según lo determine la UPME.</w:t>
      </w:r>
    </w:p>
    <w:p w14:paraId="76199B1C" w14:textId="77777777" w:rsidR="00F853CC" w:rsidRPr="006A61B0" w:rsidRDefault="00F853CC" w:rsidP="00F853CC">
      <w:pPr>
        <w:pStyle w:val="Textonotapie"/>
        <w:ind w:firstLine="709"/>
        <w:jc w:val="both"/>
        <w:rPr>
          <w:rFonts w:ascii="Verdana" w:hAnsi="Verdana"/>
          <w:sz w:val="16"/>
          <w:szCs w:val="16"/>
        </w:rPr>
      </w:pPr>
    </w:p>
  </w:footnote>
  <w:footnote w:id="38">
    <w:p w14:paraId="4F607755" w14:textId="77777777" w:rsidR="00F853CC" w:rsidRPr="00F322B4" w:rsidRDefault="00F853CC" w:rsidP="00F853CC">
      <w:pPr>
        <w:pStyle w:val="Textonotapie"/>
        <w:ind w:firstLine="709"/>
        <w:jc w:val="both"/>
        <w:rPr>
          <w:rFonts w:ascii="Verdana" w:hAnsi="Verdana"/>
          <w:sz w:val="16"/>
          <w:szCs w:val="16"/>
        </w:rPr>
      </w:pPr>
      <w:r w:rsidRPr="00F322B4">
        <w:rPr>
          <w:rStyle w:val="Refdenotaalpie"/>
          <w:rFonts w:ascii="Verdana" w:hAnsi="Verdana"/>
          <w:sz w:val="16"/>
          <w:szCs w:val="16"/>
        </w:rPr>
        <w:footnoteRef/>
      </w:r>
      <w:r w:rsidRPr="00F322B4">
        <w:rPr>
          <w:rFonts w:ascii="Verdana" w:hAnsi="Verdana"/>
          <w:sz w:val="16"/>
          <w:szCs w:val="16"/>
        </w:rPr>
        <w:t xml:space="preserve"> Ley 1715 de 2014. Artículo 5 DEFINICIONES: (…) </w:t>
      </w:r>
      <w:r w:rsidRPr="00F322B4">
        <w:rPr>
          <w:rFonts w:ascii="Verdana" w:hAnsi="Verdana"/>
          <w:b/>
          <w:bCs/>
          <w:sz w:val="16"/>
          <w:szCs w:val="16"/>
        </w:rPr>
        <w:t>19. Gestión eficiente de la energía.</w:t>
      </w:r>
      <w:r w:rsidRPr="00F322B4">
        <w:rPr>
          <w:rFonts w:ascii="Verdana" w:hAnsi="Verdana"/>
          <w:sz w:val="16"/>
          <w:szCs w:val="16"/>
        </w:rPr>
        <w:t xml:space="preserve"> Conjunto de acciones orientadas a asegurar el suministro energético a través de la implementación de medidas de eficiencia energética y respuesta de la demanda.</w:t>
      </w:r>
    </w:p>
  </w:footnote>
  <w:footnote w:id="39">
    <w:p w14:paraId="42CEE2F4" w14:textId="77777777" w:rsidR="00F853CC" w:rsidRPr="00F322B4" w:rsidRDefault="00F853CC" w:rsidP="00F853CC">
      <w:pPr>
        <w:pStyle w:val="Textonotapie"/>
      </w:pPr>
      <w:r>
        <w:rPr>
          <w:rStyle w:val="Refdenotaalpie"/>
        </w:rPr>
        <w:footnoteRef/>
      </w:r>
      <w:r>
        <w:t xml:space="preserve"> Manual de Contratación de GENOGE. 20 de junio de 2025. Disponible en </w:t>
      </w:r>
      <w:hyperlink r:id="rId3" w:history="1">
        <w:r w:rsidRPr="00F322B4">
          <w:rPr>
            <w:rStyle w:val="Hipervnculo"/>
            <w:lang w:val="es-CO"/>
          </w:rPr>
          <w:t>CONTRATACIONFENOGE.pdf</w:t>
        </w:r>
      </w:hyperlink>
    </w:p>
  </w:footnote>
  <w:footnote w:id="40">
    <w:p w14:paraId="15E573C6" w14:textId="77777777" w:rsidR="00F853CC" w:rsidRPr="00424D9A" w:rsidRDefault="00F853CC" w:rsidP="00F853CC">
      <w:pPr>
        <w:pStyle w:val="Textonotapie"/>
        <w:ind w:firstLine="709"/>
        <w:jc w:val="both"/>
        <w:rPr>
          <w:rFonts w:ascii="Verdana" w:hAnsi="Verdana"/>
          <w:sz w:val="16"/>
          <w:szCs w:val="16"/>
        </w:rPr>
      </w:pPr>
      <w:r w:rsidRPr="00424D9A">
        <w:rPr>
          <w:rStyle w:val="Refdenotaalpie"/>
          <w:rFonts w:ascii="Verdana" w:hAnsi="Verdana"/>
          <w:sz w:val="16"/>
          <w:szCs w:val="16"/>
        </w:rPr>
        <w:footnoteRef/>
      </w:r>
      <w:r w:rsidRPr="00424D9A">
        <w:rPr>
          <w:rFonts w:ascii="Verdana" w:hAnsi="Verdana"/>
          <w:sz w:val="16"/>
          <w:szCs w:val="16"/>
        </w:rPr>
        <w:t xml:space="preserve"> </w:t>
      </w:r>
      <w:bookmarkStart w:id="22" w:name="39"/>
      <w:r w:rsidRPr="00424D9A">
        <w:rPr>
          <w:rFonts w:ascii="Verdana" w:hAnsi="Verdana"/>
          <w:b/>
          <w:bCs/>
          <w:sz w:val="16"/>
          <w:szCs w:val="16"/>
          <w:lang w:val="es-CO"/>
        </w:rPr>
        <w:t>ARTÍCULO 39. CONTRATOS ESPECIALES.</w:t>
      </w:r>
      <w:bookmarkEnd w:id="22"/>
      <w:r w:rsidRPr="00424D9A">
        <w:rPr>
          <w:rFonts w:ascii="Verdana" w:hAnsi="Verdana"/>
          <w:sz w:val="16"/>
          <w:szCs w:val="16"/>
          <w:lang w:val="es-CO"/>
        </w:rPr>
        <w:t> Para los efectos de la gestión de los servicios públicos se autoriza la celebración, entre otros, de los siguientes contratos especiales: (…) 39.3. Contratos de las entidades oficiales para transferir la propiedad o el uso y goce de los bienes que destina especialmente a prestar los servicios públicos; o concesiones o similares; o para encomendar a terceros cualquiera de las actividades que ellas hayan realizado para prestar los servicios públicos; o para permitir que uno o más usuarios realicen las obras necesarias para recibir un servicio que las entidades oficiales estén prestando; o para recibir de uno o más usuarios el valor de las obras necesarias para prestar un servicio que las entidades oficiales estén prestando; o para pagar con acciones de empresas los bienes o servicios que reciban</w:t>
      </w:r>
    </w:p>
  </w:footnote>
  <w:footnote w:id="41">
    <w:p w14:paraId="1E973133" w14:textId="77777777" w:rsidR="00F853CC" w:rsidRDefault="00F853CC" w:rsidP="00F853CC">
      <w:pPr>
        <w:pStyle w:val="Textonotapie"/>
        <w:ind w:firstLine="708"/>
        <w:jc w:val="both"/>
        <w:rPr>
          <w:rFonts w:ascii="Verdana" w:hAnsi="Verdana" w:cs="Arial"/>
          <w:sz w:val="16"/>
          <w:szCs w:val="16"/>
        </w:rPr>
      </w:pPr>
      <w:r w:rsidRPr="00C45436">
        <w:rPr>
          <w:rStyle w:val="Refdenotaalpie"/>
          <w:rFonts w:ascii="Verdana" w:hAnsi="Verdana" w:cs="Arial"/>
          <w:sz w:val="16"/>
          <w:szCs w:val="16"/>
        </w:rPr>
        <w:footnoteRef/>
      </w:r>
      <w:r w:rsidRPr="00C45436">
        <w:rPr>
          <w:rFonts w:ascii="Verdana" w:hAnsi="Verdana" w:cs="Arial"/>
          <w:sz w:val="16"/>
          <w:szCs w:val="16"/>
        </w:rPr>
        <w:t xml:space="preserve"> Colombia Compra Eficiente. Circular Externa Única. Numeral 16.5. </w:t>
      </w:r>
    </w:p>
    <w:p w14:paraId="294722D5" w14:textId="77777777" w:rsidR="00F853CC" w:rsidRPr="00C45436" w:rsidRDefault="00F853CC" w:rsidP="00F853CC">
      <w:pPr>
        <w:pStyle w:val="Textonotapie"/>
        <w:ind w:firstLine="708"/>
        <w:jc w:val="both"/>
        <w:rPr>
          <w:rFonts w:ascii="Verdana" w:hAnsi="Verdana" w:cs="Arial"/>
          <w:sz w:val="16"/>
          <w:szCs w:val="16"/>
        </w:rPr>
      </w:pPr>
    </w:p>
  </w:footnote>
  <w:footnote w:id="42">
    <w:p w14:paraId="29100CCA" w14:textId="77777777" w:rsidR="00F853CC" w:rsidRPr="00C45436" w:rsidRDefault="00F853CC" w:rsidP="00F853CC">
      <w:pPr>
        <w:spacing w:after="0" w:line="240" w:lineRule="auto"/>
        <w:ind w:left="100" w:right="244" w:firstLine="608"/>
        <w:jc w:val="both"/>
        <w:rPr>
          <w:rFonts w:ascii="Verdana" w:hAnsi="Verdana" w:cs="Arial"/>
          <w:sz w:val="16"/>
          <w:szCs w:val="16"/>
          <w:lang w:val="es-ES"/>
        </w:rPr>
      </w:pPr>
      <w:r w:rsidRPr="00C45436">
        <w:rPr>
          <w:rStyle w:val="Refdenotaalpie"/>
          <w:rFonts w:ascii="Verdana" w:hAnsi="Verdana" w:cs="Arial"/>
          <w:sz w:val="16"/>
          <w:szCs w:val="16"/>
        </w:rPr>
        <w:footnoteRef/>
      </w:r>
      <w:r w:rsidRPr="00C45436">
        <w:rPr>
          <w:rFonts w:ascii="Verdana" w:hAnsi="Verdana" w:cs="Arial"/>
          <w:sz w:val="16"/>
          <w:szCs w:val="16"/>
        </w:rPr>
        <w:t xml:space="preserve"> Consejo de Estado. Sala de Consulta y Servicio Civil. Concepto del 17 de febrero de 2015.</w:t>
      </w:r>
      <w:r>
        <w:rPr>
          <w:rFonts w:ascii="Verdana" w:hAnsi="Verdana" w:cs="Arial"/>
          <w:sz w:val="16"/>
          <w:szCs w:val="16"/>
        </w:rPr>
        <w:t xml:space="preserve"> </w:t>
      </w:r>
      <w:r w:rsidRPr="00C45436">
        <w:rPr>
          <w:rFonts w:ascii="Verdana" w:hAnsi="Verdana" w:cs="Arial"/>
          <w:sz w:val="16"/>
          <w:szCs w:val="16"/>
        </w:rPr>
        <w:t>Rad. 2269</w:t>
      </w:r>
      <w:r>
        <w:rPr>
          <w:rFonts w:ascii="Verdana" w:hAnsi="Verdana" w:cs="Arial"/>
          <w:sz w:val="16"/>
          <w:szCs w:val="16"/>
        </w:rPr>
        <w:t>.</w:t>
      </w:r>
      <w:r w:rsidRPr="00C45436">
        <w:rPr>
          <w:rFonts w:ascii="Verdana" w:hAnsi="Verdana" w:cs="Arial"/>
          <w:sz w:val="16"/>
          <w:szCs w:val="16"/>
        </w:rPr>
        <w:t xml:space="preserve"> </w:t>
      </w:r>
      <w:r w:rsidRPr="00F853CC">
        <w:rPr>
          <w:rFonts w:ascii="Verdana" w:hAnsi="Verdana" w:cs="Arial"/>
          <w:sz w:val="16"/>
          <w:szCs w:val="16"/>
        </w:rPr>
        <w:t>C.P. William Zambrano Cetina</w:t>
      </w:r>
      <w:r w:rsidRPr="00C45436">
        <w:rPr>
          <w:rFonts w:ascii="Verdana" w:hAnsi="Verdana" w:cs="Arial"/>
          <w:sz w:val="16"/>
          <w:szCs w:val="16"/>
        </w:rPr>
        <w:t>.</w:t>
      </w:r>
    </w:p>
  </w:footnote>
  <w:footnote w:id="43">
    <w:p w14:paraId="67C758D4" w14:textId="77777777" w:rsidR="00F853CC" w:rsidRPr="00DD5A6D" w:rsidRDefault="00F853CC" w:rsidP="00F853CC">
      <w:pPr>
        <w:pStyle w:val="Textonotapie"/>
        <w:ind w:firstLine="709"/>
        <w:rPr>
          <w:rFonts w:ascii="Verdana" w:hAnsi="Verdana"/>
          <w:sz w:val="16"/>
          <w:szCs w:val="16"/>
          <w:lang w:val="es-ES"/>
        </w:rPr>
      </w:pPr>
      <w:r w:rsidRPr="00DD5A6D">
        <w:rPr>
          <w:rStyle w:val="Refdenotaalpie"/>
          <w:rFonts w:ascii="Verdana" w:hAnsi="Verdana"/>
          <w:sz w:val="16"/>
          <w:szCs w:val="16"/>
        </w:rPr>
        <w:footnoteRef/>
      </w:r>
      <w:r w:rsidRPr="00DD5A6D">
        <w:rPr>
          <w:rFonts w:ascii="Verdana" w:hAnsi="Verdana"/>
          <w:sz w:val="16"/>
          <w:szCs w:val="16"/>
        </w:rPr>
        <w:t xml:space="preserve"> </w:t>
      </w:r>
      <w:r w:rsidRPr="00DD5A6D">
        <w:rPr>
          <w:rFonts w:ascii="Verdana" w:hAnsi="Verdana"/>
          <w:sz w:val="16"/>
          <w:szCs w:val="16"/>
          <w:lang w:val="es-ES"/>
        </w:rPr>
        <w:t xml:space="preserve">Agencia Nacional de Contratación Pública – Colombia Compra Eficiente. Circular Externa No. 006 del 25 de septiembre de 2025. Disponible en </w:t>
      </w:r>
      <w:hyperlink r:id="rId4" w:history="1">
        <w:r w:rsidRPr="00DD5A6D">
          <w:rPr>
            <w:rStyle w:val="Hipervnculo"/>
            <w:rFonts w:ascii="Verdana" w:hAnsi="Verdana"/>
            <w:sz w:val="16"/>
            <w:szCs w:val="16"/>
            <w:lang w:val="es-CO"/>
          </w:rPr>
          <w:t>006-de-2025-Circular-Externa-L996-ajustado-comentarios-BM-BID-Rev-ARSC-V3.d-1.pdf</w:t>
        </w:r>
      </w:hyperlink>
    </w:p>
  </w:footnote>
  <w:footnote w:id="44">
    <w:p w14:paraId="65A7A6BD" w14:textId="77777777" w:rsidR="00F853CC" w:rsidRPr="004A39B7" w:rsidRDefault="00F853CC" w:rsidP="00F853CC">
      <w:pPr>
        <w:pStyle w:val="Textoindependiente"/>
        <w:spacing w:before="0" w:after="0"/>
        <w:ind w:firstLine="709"/>
        <w:jc w:val="both"/>
        <w:rPr>
          <w:rFonts w:ascii="Verdana" w:hAnsi="Verdana" w:cs="Arial"/>
          <w:bCs/>
          <w:color w:val="000000" w:themeColor="text1"/>
          <w:sz w:val="16"/>
          <w:szCs w:val="16"/>
        </w:rPr>
      </w:pPr>
      <w:r w:rsidRPr="004A39B7">
        <w:rPr>
          <w:rStyle w:val="Refdenotaalpie"/>
          <w:rFonts w:ascii="Verdana" w:hAnsi="Verdana"/>
          <w:sz w:val="16"/>
          <w:szCs w:val="16"/>
        </w:rPr>
        <w:footnoteRef/>
      </w:r>
      <w:r w:rsidRPr="004A39B7">
        <w:rPr>
          <w:rFonts w:ascii="Verdana" w:hAnsi="Verdana"/>
          <w:sz w:val="16"/>
          <w:szCs w:val="16"/>
        </w:rPr>
        <w:t xml:space="preserve"> </w:t>
      </w:r>
      <w:r w:rsidRPr="004A39B7">
        <w:rPr>
          <w:rFonts w:ascii="Verdana" w:hAnsi="Verdana"/>
          <w:sz w:val="16"/>
          <w:szCs w:val="16"/>
          <w:lang w:val="es-ES"/>
        </w:rPr>
        <w:t xml:space="preserve"> No </w:t>
      </w:r>
      <w:proofErr w:type="gramStart"/>
      <w:r w:rsidRPr="004A39B7">
        <w:rPr>
          <w:rFonts w:ascii="Verdana" w:hAnsi="Verdana"/>
          <w:sz w:val="16"/>
          <w:szCs w:val="16"/>
          <w:lang w:val="es-ES"/>
        </w:rPr>
        <w:t>obstante</w:t>
      </w:r>
      <w:proofErr w:type="gramEnd"/>
      <w:r w:rsidRPr="004A39B7">
        <w:rPr>
          <w:rFonts w:ascii="Verdana" w:hAnsi="Verdana"/>
          <w:sz w:val="16"/>
          <w:szCs w:val="16"/>
          <w:lang w:val="es-ES"/>
        </w:rPr>
        <w:t xml:space="preserve"> </w:t>
      </w:r>
      <w:r>
        <w:rPr>
          <w:rFonts w:ascii="Verdana" w:hAnsi="Verdana"/>
          <w:sz w:val="16"/>
          <w:szCs w:val="16"/>
          <w:lang w:val="es-ES"/>
        </w:rPr>
        <w:t xml:space="preserve">deberá observar </w:t>
      </w:r>
      <w:r w:rsidRPr="004A39B7">
        <w:rPr>
          <w:rFonts w:ascii="Verdana" w:hAnsi="Verdana" w:cs="Arial"/>
          <w:bCs/>
          <w:color w:val="000000" w:themeColor="text1"/>
          <w:sz w:val="16"/>
          <w:szCs w:val="16"/>
        </w:rPr>
        <w:t>los principios de transparencia, economía, igualdad, publicidad y selección objetiva, definidos por la Constitución y la ley, además de aplicar el régimen de inhabilidades e incompatibilidades previsto legalmente (Artículo 10 de la Ley 1715 de 2014)</w:t>
      </w:r>
      <w:r>
        <w:rPr>
          <w:rFonts w:ascii="Verdana" w:hAnsi="Verdana" w:cs="Arial"/>
          <w:bCs/>
          <w:color w:val="000000" w:themeColor="text1"/>
          <w:sz w:val="16"/>
          <w:szCs w:val="16"/>
        </w:rPr>
        <w:t>.</w:t>
      </w:r>
      <w:r w:rsidRPr="004A39B7">
        <w:rPr>
          <w:rFonts w:ascii="Verdana" w:hAnsi="Verdana" w:cs="Arial"/>
          <w:bCs/>
          <w:color w:val="000000" w:themeColor="text1"/>
          <w:sz w:val="16"/>
          <w:szCs w:val="16"/>
        </w:rPr>
        <w:t xml:space="preserve">  </w:t>
      </w:r>
    </w:p>
    <w:p w14:paraId="6BB485D0" w14:textId="77777777" w:rsidR="00F853CC" w:rsidRPr="004A39B7" w:rsidRDefault="00F853CC" w:rsidP="00F853CC">
      <w:pPr>
        <w:pStyle w:val="Textonotapie"/>
        <w:rPr>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FBC25EC"/>
    <w:multiLevelType w:val="hybridMultilevel"/>
    <w:tmpl w:val="3F7C01B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E30246E"/>
    <w:multiLevelType w:val="hybridMultilevel"/>
    <w:tmpl w:val="5718B7D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FDB5B7D"/>
    <w:multiLevelType w:val="hybridMultilevel"/>
    <w:tmpl w:val="19E0031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0"/>
  </w:num>
  <w:num w:numId="13" w16cid:durableId="1512908409">
    <w:abstractNumId w:val="3"/>
  </w:num>
  <w:num w:numId="14" w16cid:durableId="895897244">
    <w:abstractNumId w:val="14"/>
  </w:num>
  <w:num w:numId="15" w16cid:durableId="390349800">
    <w:abstractNumId w:val="10"/>
  </w:num>
  <w:num w:numId="16" w16cid:durableId="1358431546">
    <w:abstractNumId w:val="2"/>
  </w:num>
  <w:num w:numId="17" w16cid:durableId="129062122">
    <w:abstractNumId w:val="9"/>
  </w:num>
  <w:num w:numId="18" w16cid:durableId="121604112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6F5"/>
    <w:rsid w:val="00046945"/>
    <w:rsid w:val="00061B2A"/>
    <w:rsid w:val="000813B8"/>
    <w:rsid w:val="00082362"/>
    <w:rsid w:val="000A683E"/>
    <w:rsid w:val="000B19B9"/>
    <w:rsid w:val="000D0334"/>
    <w:rsid w:val="000D5DA7"/>
    <w:rsid w:val="000F6486"/>
    <w:rsid w:val="00116940"/>
    <w:rsid w:val="00125105"/>
    <w:rsid w:val="00127233"/>
    <w:rsid w:val="0013123F"/>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15A30"/>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D5C85"/>
    <w:rsid w:val="004F21C4"/>
    <w:rsid w:val="004F685F"/>
    <w:rsid w:val="005566E8"/>
    <w:rsid w:val="00574867"/>
    <w:rsid w:val="00576C28"/>
    <w:rsid w:val="00591460"/>
    <w:rsid w:val="005A33AA"/>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66794"/>
    <w:rsid w:val="00771D0C"/>
    <w:rsid w:val="007833AC"/>
    <w:rsid w:val="007B268C"/>
    <w:rsid w:val="007B7171"/>
    <w:rsid w:val="007C0C0F"/>
    <w:rsid w:val="007C2E10"/>
    <w:rsid w:val="007C3DC2"/>
    <w:rsid w:val="007E5497"/>
    <w:rsid w:val="00806F5F"/>
    <w:rsid w:val="00820278"/>
    <w:rsid w:val="008258C9"/>
    <w:rsid w:val="00844AE9"/>
    <w:rsid w:val="00867F95"/>
    <w:rsid w:val="008752E0"/>
    <w:rsid w:val="008843B6"/>
    <w:rsid w:val="00891928"/>
    <w:rsid w:val="008A446D"/>
    <w:rsid w:val="008B25F1"/>
    <w:rsid w:val="008D180B"/>
    <w:rsid w:val="008F0EA7"/>
    <w:rsid w:val="00903F33"/>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AF3FBC"/>
    <w:rsid w:val="00B00C0E"/>
    <w:rsid w:val="00B01B1A"/>
    <w:rsid w:val="00B0381D"/>
    <w:rsid w:val="00B44A47"/>
    <w:rsid w:val="00B44B9A"/>
    <w:rsid w:val="00B72CD3"/>
    <w:rsid w:val="00B72FFF"/>
    <w:rsid w:val="00BC3D36"/>
    <w:rsid w:val="00BC6A7F"/>
    <w:rsid w:val="00BD54A6"/>
    <w:rsid w:val="00BD7F72"/>
    <w:rsid w:val="00BF7425"/>
    <w:rsid w:val="00C04FB3"/>
    <w:rsid w:val="00C11D8B"/>
    <w:rsid w:val="00C15139"/>
    <w:rsid w:val="00C330EB"/>
    <w:rsid w:val="00C41BA8"/>
    <w:rsid w:val="00C50D69"/>
    <w:rsid w:val="00C5365C"/>
    <w:rsid w:val="00C663FF"/>
    <w:rsid w:val="00C754BE"/>
    <w:rsid w:val="00C76B1C"/>
    <w:rsid w:val="00C925AC"/>
    <w:rsid w:val="00CB6357"/>
    <w:rsid w:val="00CC1B26"/>
    <w:rsid w:val="00D361FD"/>
    <w:rsid w:val="00D423A2"/>
    <w:rsid w:val="00D44E26"/>
    <w:rsid w:val="00D520D8"/>
    <w:rsid w:val="00D63AC2"/>
    <w:rsid w:val="00D7383B"/>
    <w:rsid w:val="00D7788A"/>
    <w:rsid w:val="00D94435"/>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853C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853CC"/>
    <w:rPr>
      <w:rFonts w:ascii="Geomanist Light" w:hAnsi="Geomanist Light"/>
      <w:lang w:val="es-ES"/>
    </w:rPr>
  </w:style>
  <w:style w:type="paragraph" w:customStyle="1" w:styleId="Appelnotedebasde">
    <w:name w:val="Appel note de bas de..."/>
    <w:basedOn w:val="Normal"/>
    <w:link w:val="Refdenotaalpie"/>
    <w:uiPriority w:val="99"/>
    <w:rsid w:val="00F853CC"/>
    <w:pPr>
      <w:spacing w:line="240" w:lineRule="exact"/>
    </w:pPr>
    <w:rPr>
      <w:vertAlign w:val="superscript"/>
    </w:rPr>
  </w:style>
  <w:style w:type="character" w:customStyle="1" w:styleId="NormalWebCar">
    <w:name w:val="Normal (Web) Car"/>
    <w:link w:val="NormalWeb"/>
    <w:uiPriority w:val="99"/>
    <w:locked/>
    <w:rsid w:val="00F853CC"/>
    <w:rPr>
      <w:rFonts w:ascii="Times New Roman" w:eastAsia="Times New Roman" w:hAnsi="Times New Roman" w:cs="Times New Roman"/>
      <w:sz w:val="24"/>
      <w:szCs w:val="24"/>
      <w:lang w:eastAsia="es-CO"/>
    </w:rPr>
  </w:style>
  <w:style w:type="character" w:customStyle="1" w:styleId="baj">
    <w:name w:val="b_aj"/>
    <w:basedOn w:val="Fuentedeprrafopredeter"/>
    <w:rsid w:val="00F853CC"/>
  </w:style>
  <w:style w:type="paragraph" w:styleId="Textoindependiente">
    <w:name w:val="Body Text"/>
    <w:basedOn w:val="Normal"/>
    <w:link w:val="TextoindependienteCar"/>
    <w:qFormat/>
    <w:rsid w:val="00F853CC"/>
    <w:pPr>
      <w:spacing w:before="180" w:after="180" w:line="240" w:lineRule="auto"/>
    </w:pPr>
    <w:rPr>
      <w:sz w:val="24"/>
      <w:szCs w:val="24"/>
    </w:rPr>
  </w:style>
  <w:style w:type="character" w:customStyle="1" w:styleId="TextoindependienteCar">
    <w:name w:val="Texto independiente Car"/>
    <w:basedOn w:val="Fuentedeprrafopredeter"/>
    <w:link w:val="Textoindependiente"/>
    <w:rsid w:val="00F853CC"/>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funcionpublica.gov.co/eva/gestornormativo/norma.php?i=18232" TargetMode="External"/><Relationship Id="rId18" Type="http://schemas.openxmlformats.org/officeDocument/2006/relationships/hyperlink" Target="https://formacionvirtual.colombiacompra.gov.co/mod/page/view.php?id=3718"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mailto:ventanilladeradicacion@colombiacompra.gov.co" TargetMode="External"/><Relationship Id="rId7" Type="http://schemas.openxmlformats.org/officeDocument/2006/relationships/webSettings" Target="webSettings.xml"/><Relationship Id="rId12" Type="http://schemas.openxmlformats.org/officeDocument/2006/relationships/hyperlink" Target="https://www.funcionpublica.gov.co/eva/gestornormativo/norma.php?i=18232" TargetMode="External"/><Relationship Id="rId17" Type="http://schemas.openxmlformats.org/officeDocument/2006/relationships/hyperlink" Target="https://relatoria.colombiacompra.gov.co/busqueda/conceptos"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colombiacompra.gov.co/wp-content/uploads/2025/09/006-de-2025-Circular-Externa-L996-ajustado-comentarios-BM-BID-Rev-ARSC-V3.d-1.pdf" TargetMode="External"/><Relationship Id="rId20"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nfo@fenoge.gov.co" TargetMode="External"/><Relationship Id="rId24" Type="http://schemas.openxmlformats.org/officeDocument/2006/relationships/image" Target="media/image3.png"/><Relationship Id="rId5" Type="http://schemas.openxmlformats.org/officeDocument/2006/relationships/styles" Target="styles.xml"/><Relationship Id="rId15" Type="http://schemas.openxmlformats.org/officeDocument/2006/relationships/hyperlink" Target="https://www.funcionpublica.gov.co/eva/gestornormativo/norma.php?i=18232" TargetMode="External"/><Relationship Id="rId23" Type="http://schemas.openxmlformats.org/officeDocument/2006/relationships/hyperlink" Target="https://forms.office.com/r/pPHyWVs2SZ" TargetMode="External"/><Relationship Id="rId28"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hyperlink" Target="https://www.colombiacompra.gov.co/normativa-y-relatoria/documentos-tipo"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funcionpublica.gov.co/eva/gestornormativo/norma.php?i=18232" TargetMode="External"/><Relationship Id="rId22" Type="http://schemas.openxmlformats.org/officeDocument/2006/relationships/hyperlink" Target="https://www.colombiacompra.gov.co/pqrsd/informacion-importante-antes-de-formular-una-pqrsd" TargetMode="External"/><Relationship Id="rId27"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fenoge.gov.co/documentos-pdf/CONTRATACIONFENOGE.pdf" TargetMode="External"/><Relationship Id="rId2" Type="http://schemas.openxmlformats.org/officeDocument/2006/relationships/hyperlink" Target="https://relatoria.colombiacompra.gov.co/conceptos/c-048-de-2026/" TargetMode="External"/><Relationship Id="rId1" Type="http://schemas.openxmlformats.org/officeDocument/2006/relationships/hyperlink" Target="https://colombiacompra.gov.co/wp-content/uploads/2025/09/006-de-2025-Circular-Externa-L996-ajustado-comentarios-BM-BID-Rev-ARSC-V3.d-1.pdf" TargetMode="External"/><Relationship Id="rId4" Type="http://schemas.openxmlformats.org/officeDocument/2006/relationships/hyperlink" Target="https://colombiacompra.gov.co/wp-content/uploads/2025/09/006-de-2025-Circular-Externa-L996-ajustado-comentarios-BM-BID-Rev-ARSC-V3.d-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1800FBA-3E98-465C-BC63-284F189DAF59}"/>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15</TotalTime>
  <Pages>45</Pages>
  <Words>15240</Words>
  <Characters>84433</Characters>
  <Application>Microsoft Office Word</Application>
  <DocSecurity>0</DocSecurity>
  <Lines>1563</Lines>
  <Paragraphs>278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99395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3</cp:revision>
  <cp:lastPrinted>2023-01-10T21:18:00Z</cp:lastPrinted>
  <dcterms:created xsi:type="dcterms:W3CDTF">2026-04-10T16:32:00Z</dcterms:created>
  <dcterms:modified xsi:type="dcterms:W3CDTF">2026-04-14T03:48:00Z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