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1301B0" w14:textId="12EBBA8A" w:rsidR="00926E06" w:rsidRDefault="00926E06" w:rsidP="00947516">
      <w:pPr>
        <w:spacing w:line="240" w:lineRule="auto"/>
        <w:jc w:val="both"/>
        <w:textAlignment w:val="baseline"/>
        <w:rPr>
          <w:rFonts w:ascii="Verdana" w:eastAsia="Times New Roman" w:hAnsi="Verdana" w:cs="Arial"/>
          <w:b/>
          <w:bCs/>
          <w:lang w:eastAsia="es-ES_tradnl"/>
        </w:rPr>
      </w:pPr>
      <w:bookmarkStart w:id="0" w:name="_Hlk143780582"/>
      <w:r w:rsidRPr="00926E06">
        <w:rPr>
          <w:rFonts w:ascii="Verdana" w:eastAsia="Times New Roman" w:hAnsi="Verdana" w:cs="Arial"/>
          <w:b/>
          <w:bCs/>
          <w:lang w:eastAsia="es-ES_tradnl"/>
        </w:rPr>
        <w:t xml:space="preserve">CONTRATOS DE CONCESIÓN DE ALUMBRADO PÚBLICO – Regulación </w:t>
      </w:r>
    </w:p>
    <w:p w14:paraId="12C369E2" w14:textId="77777777" w:rsidR="00947516" w:rsidRDefault="00947516" w:rsidP="00947516">
      <w:pPr>
        <w:spacing w:after="0" w:line="240" w:lineRule="auto"/>
        <w:jc w:val="both"/>
        <w:textAlignment w:val="baseline"/>
        <w:rPr>
          <w:rFonts w:ascii="Verdana" w:eastAsia="Times New Roman" w:hAnsi="Verdana" w:cs="Arial"/>
          <w:b/>
          <w:bCs/>
          <w:lang w:eastAsia="es-ES_tradnl"/>
        </w:rPr>
      </w:pPr>
    </w:p>
    <w:p w14:paraId="2C1F8733" w14:textId="2DDCAF48" w:rsidR="009102F4" w:rsidRPr="009102F4" w:rsidRDefault="009102F4" w:rsidP="00947516">
      <w:pPr>
        <w:tabs>
          <w:tab w:val="left" w:pos="284"/>
        </w:tabs>
        <w:spacing w:after="0" w:line="240" w:lineRule="auto"/>
        <w:jc w:val="both"/>
        <w:rPr>
          <w:rFonts w:ascii="Verdana" w:eastAsia="Calibri" w:hAnsi="Verdana" w:cs="Arial"/>
          <w:sz w:val="20"/>
          <w:szCs w:val="20"/>
          <w:lang w:val="es-ES_tradnl"/>
        </w:rPr>
      </w:pPr>
      <w:r w:rsidRPr="009102F4">
        <w:rPr>
          <w:rFonts w:ascii="Verdana" w:hAnsi="Verdana"/>
          <w:sz w:val="20"/>
          <w:szCs w:val="20"/>
        </w:rPr>
        <w:t xml:space="preserve">La prestación del servicio de alumbrado público es una función que le compete cumplir a los municipios y distritos, quienes podrán cumplirla de forma directa o través de empresas de servicios públicos domiciliarios u otros prestadores de este servicio </w:t>
      </w:r>
      <w:r w:rsidRPr="009102F4">
        <w:rPr>
          <w:rFonts w:ascii="Verdana" w:hAnsi="Verdana" w:cs="Arial"/>
          <w:sz w:val="20"/>
          <w:szCs w:val="20"/>
        </w:rPr>
        <w:t>que demuestren idoneidad en la prestación del mismo</w:t>
      </w:r>
      <w:r w:rsidRPr="009102F4">
        <w:rPr>
          <w:rFonts w:ascii="Verdana" w:eastAsia="Calibri" w:hAnsi="Verdana" w:cs="Arial"/>
          <w:sz w:val="20"/>
          <w:szCs w:val="20"/>
          <w:lang w:val="es-ES_tradnl"/>
        </w:rPr>
        <w:t>.</w:t>
      </w:r>
    </w:p>
    <w:p w14:paraId="49EDE8F3" w14:textId="1A480936" w:rsidR="00926E06" w:rsidRDefault="009102F4" w:rsidP="00BA0417">
      <w:pPr>
        <w:spacing w:line="276" w:lineRule="auto"/>
        <w:jc w:val="both"/>
        <w:textAlignment w:val="baseline"/>
        <w:rPr>
          <w:rFonts w:ascii="Verdana" w:hAnsi="Verdana"/>
          <w:sz w:val="20"/>
          <w:szCs w:val="20"/>
        </w:rPr>
      </w:pPr>
      <w:r w:rsidRPr="009102F4">
        <w:rPr>
          <w:rFonts w:ascii="Verdana" w:hAnsi="Verdana"/>
          <w:sz w:val="20"/>
          <w:szCs w:val="20"/>
        </w:rPr>
        <w:t>En relación con el régimen de contratación aplicable a los contratos, celebrados con terceros por los municipios y distritos, para la prestación del servicio de alumbrado público, el artículo 2.2.3.6.1.4. del referido Decreto dispone que éstos se someten al Estatuto General de Contratación de la Administración Pública.</w:t>
      </w:r>
      <w:r w:rsidR="009B1D23">
        <w:rPr>
          <w:rFonts w:ascii="Verdana" w:hAnsi="Verdana"/>
          <w:sz w:val="20"/>
          <w:szCs w:val="20"/>
        </w:rPr>
        <w:t xml:space="preserve"> </w:t>
      </w:r>
      <w:r w:rsidR="003266DC">
        <w:rPr>
          <w:rFonts w:ascii="Verdana" w:hAnsi="Verdana"/>
          <w:sz w:val="20"/>
          <w:szCs w:val="20"/>
        </w:rPr>
        <w:t>[</w:t>
      </w:r>
      <w:r w:rsidR="009B1D23">
        <w:rPr>
          <w:rFonts w:ascii="Verdana" w:hAnsi="Verdana"/>
          <w:sz w:val="20"/>
          <w:szCs w:val="20"/>
        </w:rPr>
        <w:t>…</w:t>
      </w:r>
      <w:r w:rsidR="00DE420F" w:rsidRPr="00071C46">
        <w:rPr>
          <w:rFonts w:ascii="Verdana" w:hAnsi="Verdana"/>
        </w:rPr>
        <w:t>]</w:t>
      </w:r>
    </w:p>
    <w:p w14:paraId="57F55C58" w14:textId="3CD477C5" w:rsidR="009B1D23" w:rsidRDefault="009B1D23" w:rsidP="00BA0417">
      <w:pPr>
        <w:spacing w:line="276" w:lineRule="auto"/>
        <w:jc w:val="both"/>
        <w:textAlignment w:val="baseline"/>
        <w:rPr>
          <w:rFonts w:ascii="Verdana" w:hAnsi="Verdana"/>
          <w:sz w:val="20"/>
          <w:szCs w:val="20"/>
        </w:rPr>
      </w:pPr>
      <w:r w:rsidRPr="009B1D23">
        <w:rPr>
          <w:rFonts w:ascii="Verdana" w:hAnsi="Verdana"/>
          <w:sz w:val="20"/>
          <w:szCs w:val="20"/>
        </w:rPr>
        <w:t>Esto significa que los referidos contratos se someten a lo dispuesto en el artículo 32 de la Ley 80 de 1993, que, entre otros tipos contractuales, define el contrato de concesión; así como al artículo 2 de la Ley 1150 de 2007, que regula los procedimientos de selección. Así mismo, conforme a la citada norma, a los contratos que se celebren con el objeto de prestar el servicio de alumbrado público les resulta aplicable el artículo 29 de la Ley 1150 de 2007</w:t>
      </w:r>
      <w:r>
        <w:rPr>
          <w:rFonts w:ascii="Verdana" w:hAnsi="Verdana"/>
          <w:sz w:val="20"/>
          <w:szCs w:val="20"/>
        </w:rPr>
        <w:t xml:space="preserve"> </w:t>
      </w:r>
      <w:r w:rsidR="00DE420F">
        <w:rPr>
          <w:rFonts w:ascii="Verdana" w:hAnsi="Verdana"/>
          <w:sz w:val="20"/>
          <w:szCs w:val="20"/>
        </w:rPr>
        <w:t>[…</w:t>
      </w:r>
      <w:r w:rsidR="00DE420F" w:rsidRPr="00071C46">
        <w:rPr>
          <w:rFonts w:ascii="Verdana" w:hAnsi="Verdana"/>
        </w:rPr>
        <w:t>]</w:t>
      </w:r>
      <w:r w:rsidR="00DE420F">
        <w:rPr>
          <w:rFonts w:ascii="Verdana" w:hAnsi="Verdana"/>
        </w:rPr>
        <w:t>.</w:t>
      </w:r>
    </w:p>
    <w:p w14:paraId="1800DE3F" w14:textId="77777777" w:rsidR="009102F4" w:rsidRPr="009102F4" w:rsidRDefault="009102F4" w:rsidP="009102F4">
      <w:pPr>
        <w:jc w:val="both"/>
        <w:textAlignment w:val="baseline"/>
        <w:rPr>
          <w:rFonts w:ascii="Verdana" w:eastAsia="Times New Roman" w:hAnsi="Verdana" w:cs="Arial"/>
          <w:b/>
          <w:bCs/>
          <w:sz w:val="20"/>
          <w:szCs w:val="20"/>
          <w:lang w:eastAsia="es-ES_tradnl"/>
        </w:rPr>
      </w:pPr>
    </w:p>
    <w:p w14:paraId="1775924A" w14:textId="77777777" w:rsidR="00926E06" w:rsidRDefault="00926E06" w:rsidP="00947516">
      <w:pPr>
        <w:spacing w:line="240" w:lineRule="auto"/>
        <w:jc w:val="both"/>
        <w:textAlignment w:val="baseline"/>
        <w:rPr>
          <w:rFonts w:ascii="Verdana" w:eastAsia="Times New Roman" w:hAnsi="Verdana" w:cs="Arial"/>
          <w:b/>
          <w:bCs/>
          <w:lang w:eastAsia="es-ES_tradnl"/>
        </w:rPr>
      </w:pPr>
      <w:r w:rsidRPr="00926E06">
        <w:rPr>
          <w:rFonts w:ascii="Verdana" w:eastAsia="Times New Roman" w:hAnsi="Verdana" w:cs="Arial"/>
          <w:b/>
          <w:bCs/>
          <w:lang w:eastAsia="es-ES_tradnl"/>
        </w:rPr>
        <w:t>CONTRATOS DE CONCESIÓN DE ALUMBRADO PÚBLICO – Empresas mixtas</w:t>
      </w:r>
    </w:p>
    <w:p w14:paraId="5F257A87" w14:textId="77777777" w:rsidR="007D3CE6" w:rsidRDefault="007D3CE6" w:rsidP="00947516">
      <w:pPr>
        <w:spacing w:after="0" w:line="240" w:lineRule="auto"/>
        <w:jc w:val="both"/>
        <w:textAlignment w:val="baseline"/>
        <w:rPr>
          <w:rFonts w:ascii="Verdana" w:eastAsia="Times New Roman" w:hAnsi="Verdana" w:cs="Arial"/>
          <w:b/>
          <w:bCs/>
          <w:lang w:eastAsia="es-ES_tradnl"/>
        </w:rPr>
      </w:pPr>
    </w:p>
    <w:p w14:paraId="2C172669" w14:textId="2D280B90" w:rsidR="00BA0417" w:rsidRPr="00BA0417" w:rsidRDefault="00BA0417" w:rsidP="007D3CE6">
      <w:pPr>
        <w:spacing w:after="0" w:line="276" w:lineRule="auto"/>
        <w:jc w:val="both"/>
        <w:textAlignment w:val="baseline"/>
        <w:rPr>
          <w:rFonts w:ascii="Verdana" w:eastAsia="Times New Roman" w:hAnsi="Verdana" w:cs="Arial"/>
          <w:sz w:val="20"/>
          <w:szCs w:val="20"/>
          <w:lang w:eastAsia="es-ES_tradnl"/>
        </w:rPr>
      </w:pPr>
      <w:r w:rsidRPr="00BA0417">
        <w:rPr>
          <w:rFonts w:ascii="Verdana" w:eastAsia="Times New Roman" w:hAnsi="Verdana" w:cs="Arial"/>
          <w:sz w:val="20"/>
          <w:szCs w:val="20"/>
          <w:lang w:eastAsia="es-ES_tradnl"/>
        </w:rPr>
        <w:t xml:space="preserve">Mediante la celebración de contratos de concesión, las entidades públicas reciben el apoyo de los particulares para el cumplimiento de los fines del Estado, permitiendo que aquellos exploten, operen, organicen, construyan, conserven o gestionen un determinado bien o servicio de propiedad estatal, en la medida de lo posible con sus propios recursos privados y con la oportunidad de recuperar su inversión en el futuro. </w:t>
      </w:r>
    </w:p>
    <w:p w14:paraId="23F97AE2" w14:textId="42BD785A" w:rsidR="00926E06" w:rsidRDefault="00BA0417" w:rsidP="007D3CE6">
      <w:pPr>
        <w:spacing w:line="276" w:lineRule="auto"/>
        <w:jc w:val="both"/>
        <w:textAlignment w:val="baseline"/>
        <w:rPr>
          <w:rFonts w:ascii="Verdana" w:eastAsia="Times New Roman" w:hAnsi="Verdana" w:cs="Arial"/>
          <w:sz w:val="20"/>
          <w:szCs w:val="20"/>
          <w:lang w:eastAsia="es-ES_tradnl"/>
        </w:rPr>
      </w:pPr>
      <w:r w:rsidRPr="00BA0417">
        <w:rPr>
          <w:rFonts w:ascii="Verdana" w:eastAsia="Times New Roman" w:hAnsi="Verdana" w:cs="Arial"/>
          <w:sz w:val="20"/>
          <w:szCs w:val="20"/>
          <w:lang w:eastAsia="es-ES_tradnl"/>
        </w:rPr>
        <w:t>Por tanto, en el contrato de concesión el contratista es, en principio, quien por su cuenta y riesgo ejecuta la prestación, operación, explotación u organización del servicio, así como la construcción, explotación o conservación del bien, a cambio de una remuneración, tal como lo ha reconocido la jurisprudencia de la Corte Constitucional. A partir de la tipificación de este contrato, en el artículo citado, y sin perjuicio de la existencia de regímenes especiales, las disposiciones del Estatuto General de Contratación de la Administración Pública son principalmente las aplicables a las entidades públicas en la celebración de los contratos de concesión</w:t>
      </w:r>
      <w:r>
        <w:rPr>
          <w:rFonts w:ascii="Verdana" w:eastAsia="Times New Roman" w:hAnsi="Verdana" w:cs="Arial"/>
          <w:sz w:val="20"/>
          <w:szCs w:val="20"/>
          <w:lang w:eastAsia="es-ES_tradnl"/>
        </w:rPr>
        <w:t>.</w:t>
      </w:r>
    </w:p>
    <w:p w14:paraId="4B1F525C" w14:textId="77777777" w:rsidR="00BA0417" w:rsidRPr="00BA0417" w:rsidRDefault="00BA0417" w:rsidP="00BA0417">
      <w:pPr>
        <w:jc w:val="both"/>
        <w:textAlignment w:val="baseline"/>
        <w:rPr>
          <w:rFonts w:ascii="Verdana" w:eastAsia="Times New Roman" w:hAnsi="Verdana" w:cs="Arial"/>
          <w:sz w:val="20"/>
          <w:szCs w:val="20"/>
          <w:lang w:eastAsia="es-ES_tradnl"/>
        </w:rPr>
      </w:pPr>
    </w:p>
    <w:p w14:paraId="6AC1B0A0" w14:textId="77777777" w:rsidR="00926E06" w:rsidRDefault="00926E06" w:rsidP="00926E06">
      <w:pPr>
        <w:jc w:val="both"/>
        <w:textAlignment w:val="baseline"/>
        <w:rPr>
          <w:rFonts w:ascii="Verdana" w:eastAsia="Times New Roman" w:hAnsi="Verdana" w:cs="Arial"/>
          <w:b/>
          <w:bCs/>
          <w:lang w:eastAsia="es-ES_tradnl"/>
        </w:rPr>
      </w:pPr>
      <w:r w:rsidRPr="00926E06">
        <w:rPr>
          <w:rFonts w:ascii="Verdana" w:eastAsia="Times New Roman" w:hAnsi="Verdana" w:cs="Arial"/>
          <w:b/>
          <w:bCs/>
          <w:lang w:eastAsia="es-ES_tradnl"/>
        </w:rPr>
        <w:t xml:space="preserve">COMPETENCIAS DE LOS CONCEJOS MUNICIPALES – Autorización – Suscripción de contratos </w:t>
      </w:r>
    </w:p>
    <w:p w14:paraId="39B0AB89" w14:textId="77777777" w:rsidR="008904F6" w:rsidRPr="008904F6" w:rsidRDefault="008904F6" w:rsidP="008904F6">
      <w:pPr>
        <w:widowControl w:val="0"/>
        <w:autoSpaceDE w:val="0"/>
        <w:autoSpaceDN w:val="0"/>
        <w:spacing w:after="120" w:line="276" w:lineRule="auto"/>
        <w:jc w:val="both"/>
        <w:rPr>
          <w:rFonts w:ascii="Verdana" w:hAnsi="Verdana" w:cs="Arial"/>
          <w:sz w:val="20"/>
          <w:szCs w:val="20"/>
        </w:rPr>
      </w:pPr>
      <w:r w:rsidRPr="008904F6">
        <w:rPr>
          <w:rFonts w:ascii="Verdana" w:hAnsi="Verdana" w:cs="Arial"/>
          <w:sz w:val="20"/>
          <w:szCs w:val="20"/>
        </w:rPr>
        <w:lastRenderedPageBreak/>
        <w:t xml:space="preserve">De modo que, por expresa disposición legal, los municipios y distritos pueden celebrar contratos de concesión para la prestación del servicio de alumbrado público, los cuales se someten a las reglas previstas para el efecto en el Estatuto General de Contratación de la Administración Pública y deben observar el mandato perentorio contenido en el artículo 29 de la Ley 1150 de 2007 en relación con la obligatoriedad de contar con una interventoría idónea, esto es, en los términos del artículo 83 de la Ley 1474 de 2011, consistente en “[…] el seguimiento técnico que sobre el cumplimiento del contrato realice una persona natural o jurídica contratada para tal fin por la Entidad Estatal, cuando el seguimiento del contrato suponga conocimiento especializado en la materia, o cuando la complejidad o la extensión del mismo lo justifiquen”. </w:t>
      </w:r>
    </w:p>
    <w:p w14:paraId="3ECF645D" w14:textId="77777777" w:rsidR="008904F6" w:rsidRDefault="008904F6" w:rsidP="00926E06">
      <w:pPr>
        <w:jc w:val="both"/>
        <w:textAlignment w:val="baseline"/>
        <w:rPr>
          <w:rFonts w:ascii="Verdana" w:eastAsia="Times New Roman" w:hAnsi="Verdana" w:cs="Arial"/>
          <w:b/>
          <w:bCs/>
          <w:lang w:eastAsia="es-ES_tradnl"/>
        </w:rPr>
      </w:pPr>
    </w:p>
    <w:p w14:paraId="2F39C108" w14:textId="77777777" w:rsidR="00926E06" w:rsidRDefault="00926E06" w:rsidP="007D3CE6">
      <w:pPr>
        <w:spacing w:line="240" w:lineRule="auto"/>
        <w:jc w:val="both"/>
        <w:textAlignment w:val="baseline"/>
        <w:rPr>
          <w:rFonts w:ascii="Verdana" w:eastAsia="Times New Roman" w:hAnsi="Verdana" w:cs="Arial"/>
          <w:b/>
          <w:bCs/>
          <w:lang w:eastAsia="es-ES_tradnl"/>
        </w:rPr>
      </w:pPr>
      <w:r w:rsidRPr="00926E06">
        <w:rPr>
          <w:rFonts w:ascii="Verdana" w:eastAsia="Times New Roman" w:hAnsi="Verdana" w:cs="Arial"/>
          <w:b/>
          <w:bCs/>
          <w:lang w:eastAsia="es-ES_tradnl"/>
        </w:rPr>
        <w:t>PRINCIPIO DE ANUALIDAD – régimen – excepciones</w:t>
      </w:r>
    </w:p>
    <w:p w14:paraId="2EA51F52" w14:textId="77777777" w:rsidR="007D3CE6" w:rsidRDefault="007D3CE6" w:rsidP="007D3CE6">
      <w:pPr>
        <w:spacing w:after="0" w:line="240" w:lineRule="auto"/>
        <w:jc w:val="both"/>
        <w:textAlignment w:val="baseline"/>
        <w:rPr>
          <w:rFonts w:ascii="Verdana" w:eastAsia="Times New Roman" w:hAnsi="Verdana" w:cs="Arial"/>
          <w:b/>
          <w:bCs/>
          <w:lang w:eastAsia="es-ES_tradnl"/>
        </w:rPr>
      </w:pPr>
    </w:p>
    <w:p w14:paraId="428AB078" w14:textId="2AF58671" w:rsidR="00147102" w:rsidRDefault="00147102" w:rsidP="007D3CE6">
      <w:pPr>
        <w:shd w:val="clear" w:color="auto" w:fill="FFFFFF" w:themeFill="background1"/>
        <w:spacing w:after="0" w:line="276" w:lineRule="auto"/>
        <w:ind w:right="51"/>
        <w:jc w:val="both"/>
        <w:rPr>
          <w:rFonts w:ascii="Verdana" w:eastAsia="Calibri" w:hAnsi="Verdana" w:cs="Arial"/>
          <w:color w:val="000000" w:themeColor="text1"/>
          <w:sz w:val="20"/>
          <w:szCs w:val="20"/>
          <w:lang w:val="es-ES"/>
        </w:rPr>
      </w:pPr>
      <w:r w:rsidRPr="00147102">
        <w:rPr>
          <w:rFonts w:ascii="Verdana" w:eastAsia="Calibri" w:hAnsi="Verdana" w:cs="Arial"/>
          <w:color w:val="000000" w:themeColor="text1"/>
          <w:sz w:val="20"/>
          <w:szCs w:val="20"/>
          <w:lang w:val="es-ES"/>
        </w:rPr>
        <w:t xml:space="preserve">Las Entidades Estatales deben sujetarse a los principios que rigen el sistema presupuestal, entre los cuales se encuentra el de anualidad del gasto público. Este principio encuentra fundamento constitucional en el artículo 346 superior que contiene el régimen general del presupuesto de rentas y la ley de apropiaciones, que deberá presentarse al Congreso dentro de los primeros diez días de cada legislatura, elaborarse y aprobarse dentro de un marco de sostenibilidad fiscal y corresponder al Plan Nacional de Desarrollo. De conformidad con la misma norma constitucional, el presupuesto tiene vigencia anual y, por tanto, tienen como finalidad fijar los gastos y las rentas nacionales del Estado para la respectiva vigencia fiscal anual. </w:t>
      </w:r>
    </w:p>
    <w:p w14:paraId="604EC343" w14:textId="77777777" w:rsidR="00A73CA5" w:rsidRPr="00147102" w:rsidRDefault="00A73CA5" w:rsidP="00A73CA5">
      <w:pPr>
        <w:jc w:val="both"/>
        <w:textAlignment w:val="baseline"/>
        <w:rPr>
          <w:rFonts w:ascii="Verdana" w:hAnsi="Verdana" w:cs="Arial"/>
          <w:b/>
          <w:bCs/>
          <w:sz w:val="20"/>
          <w:szCs w:val="20"/>
          <w:lang w:val="es-MX" w:eastAsia="es-ES" w:bidi="es-ES"/>
        </w:rPr>
      </w:pPr>
      <w:r>
        <w:rPr>
          <w:rFonts w:ascii="Verdana" w:hAnsi="Verdana"/>
          <w:sz w:val="20"/>
          <w:szCs w:val="20"/>
        </w:rPr>
        <w:t>[…</w:t>
      </w:r>
      <w:r w:rsidRPr="00071C46">
        <w:rPr>
          <w:rFonts w:ascii="Verdana" w:hAnsi="Verdana"/>
        </w:rPr>
        <w:t>]</w:t>
      </w:r>
      <w:r>
        <w:rPr>
          <w:rFonts w:ascii="Verdana" w:hAnsi="Verdana"/>
        </w:rPr>
        <w:t xml:space="preserve"> </w:t>
      </w:r>
    </w:p>
    <w:p w14:paraId="0F3DBC61" w14:textId="57C9CCFE" w:rsidR="005427A1" w:rsidRDefault="005427A1" w:rsidP="007D3CE6">
      <w:pPr>
        <w:shd w:val="clear" w:color="auto" w:fill="FFFFFF" w:themeFill="background1"/>
        <w:spacing w:after="0" w:line="276" w:lineRule="auto"/>
        <w:ind w:right="51"/>
        <w:jc w:val="both"/>
        <w:rPr>
          <w:rFonts w:ascii="Verdana" w:eastAsia="Calibri" w:hAnsi="Verdana" w:cs="Arial"/>
          <w:color w:val="000000" w:themeColor="text1"/>
          <w:sz w:val="20"/>
          <w:szCs w:val="20"/>
          <w:lang w:val="es-ES"/>
        </w:rPr>
      </w:pPr>
      <w:r w:rsidRPr="005427A1">
        <w:rPr>
          <w:rFonts w:ascii="Verdana" w:eastAsia="Calibri" w:hAnsi="Verdana" w:cs="Arial"/>
          <w:color w:val="000000" w:themeColor="text1"/>
          <w:sz w:val="20"/>
          <w:szCs w:val="20"/>
          <w:lang w:val="es-ES"/>
        </w:rPr>
        <w:t xml:space="preserve">Dentro de los mecanismos presupuestales que constituyen excepciones al principio de anualidad se identifican: i) las vigencias futuras, ii) las cuentas por pagar y iii) las reservas presupuestales. Las primeras, de conformidad con el artículo 23 del Estatuto Orgánico del </w:t>
      </w:r>
      <w:r w:rsidR="00A73CA5" w:rsidRPr="005427A1">
        <w:rPr>
          <w:rFonts w:ascii="Verdana" w:eastAsia="Calibri" w:hAnsi="Verdana" w:cs="Arial"/>
          <w:color w:val="000000" w:themeColor="text1"/>
          <w:sz w:val="20"/>
          <w:szCs w:val="20"/>
          <w:lang w:val="es-ES"/>
        </w:rPr>
        <w:t>Presupuesto,</w:t>
      </w:r>
      <w:r w:rsidRPr="005427A1">
        <w:rPr>
          <w:rFonts w:ascii="Verdana" w:eastAsia="Calibri" w:hAnsi="Verdana" w:cs="Arial"/>
          <w:color w:val="000000" w:themeColor="text1"/>
          <w:sz w:val="20"/>
          <w:szCs w:val="20"/>
          <w:lang w:val="es-ES"/>
        </w:rPr>
        <w:t xml:space="preserve"> se refieren a la autorización que deben solicitar las entidades para asumir obligaciones que afectarán los presupuestos siguientes a los de la vigencia fiscal en la que inició la ejecución, es decir, correspondientes a las obligaciones cuya ejecución inició con presupuesto de una vigencia fiscal, pero que deberá continuarse con presupuestos de las siguientes vigencias.</w:t>
      </w:r>
    </w:p>
    <w:p w14:paraId="4F0F1D62" w14:textId="77777777" w:rsidR="007D3CE6" w:rsidRPr="00147102" w:rsidRDefault="007D3CE6" w:rsidP="007D3CE6">
      <w:pPr>
        <w:shd w:val="clear" w:color="auto" w:fill="FFFFFF" w:themeFill="background1"/>
        <w:spacing w:after="0" w:line="240" w:lineRule="auto"/>
        <w:ind w:right="51"/>
        <w:jc w:val="both"/>
        <w:rPr>
          <w:rFonts w:ascii="Verdana" w:eastAsia="Calibri" w:hAnsi="Verdana" w:cs="Arial"/>
          <w:color w:val="000000" w:themeColor="text1"/>
          <w:sz w:val="20"/>
          <w:szCs w:val="20"/>
          <w:lang w:val="es-ES"/>
        </w:rPr>
      </w:pPr>
    </w:p>
    <w:p w14:paraId="08775561" w14:textId="77777777" w:rsidR="00926E06" w:rsidRDefault="00926E06" w:rsidP="007D3CE6">
      <w:pPr>
        <w:spacing w:line="240" w:lineRule="auto"/>
        <w:jc w:val="both"/>
        <w:textAlignment w:val="baseline"/>
        <w:rPr>
          <w:rFonts w:ascii="Verdana" w:hAnsi="Verdana" w:cs="Arial"/>
          <w:b/>
          <w:bCs/>
          <w:lang w:val="es-MX" w:eastAsia="es-ES" w:bidi="es-ES"/>
        </w:rPr>
      </w:pPr>
      <w:r w:rsidRPr="00926E06">
        <w:rPr>
          <w:rFonts w:ascii="Verdana" w:hAnsi="Verdana" w:cs="Arial"/>
          <w:b/>
          <w:bCs/>
          <w:lang w:val="es-MX" w:eastAsia="es-ES" w:bidi="es-ES"/>
        </w:rPr>
        <w:t xml:space="preserve">GARANTIAS – naturaleza – características – excepciones </w:t>
      </w:r>
    </w:p>
    <w:p w14:paraId="683150EE" w14:textId="77777777" w:rsidR="007D3CE6" w:rsidRDefault="007D3CE6" w:rsidP="007D3CE6">
      <w:pPr>
        <w:spacing w:after="0" w:line="240" w:lineRule="auto"/>
        <w:jc w:val="both"/>
        <w:textAlignment w:val="baseline"/>
        <w:rPr>
          <w:rFonts w:ascii="Verdana" w:hAnsi="Verdana" w:cs="Arial"/>
          <w:b/>
          <w:bCs/>
          <w:lang w:val="es-MX" w:eastAsia="es-ES" w:bidi="es-ES"/>
        </w:rPr>
      </w:pPr>
    </w:p>
    <w:p w14:paraId="1228791A" w14:textId="65F7588E" w:rsidR="00147102" w:rsidRPr="00772919" w:rsidRDefault="00147102" w:rsidP="00772919">
      <w:pPr>
        <w:spacing w:line="276" w:lineRule="auto"/>
        <w:jc w:val="both"/>
        <w:textAlignment w:val="baseline"/>
        <w:rPr>
          <w:rFonts w:ascii="Verdana" w:eastAsia="Calibri" w:hAnsi="Verdana" w:cs="Arial"/>
          <w:color w:val="000000" w:themeColor="text1"/>
          <w:sz w:val="20"/>
          <w:szCs w:val="20"/>
          <w:lang w:val="es-ES_tradnl"/>
        </w:rPr>
      </w:pPr>
      <w:r w:rsidRPr="00147102">
        <w:rPr>
          <w:rFonts w:ascii="Verdana" w:eastAsia="Calibri" w:hAnsi="Verdana" w:cs="Arial"/>
          <w:color w:val="000000"/>
          <w:sz w:val="20"/>
          <w:szCs w:val="20"/>
          <w:lang w:val="es-ES_tradnl"/>
        </w:rPr>
        <w:t>De acuerdo con el Estatuto General de Contratación de la Administración Pública, p</w:t>
      </w:r>
      <w:r w:rsidRPr="00147102">
        <w:rPr>
          <w:rFonts w:ascii="Verdana" w:eastAsia="Calibri" w:hAnsi="Verdana" w:cs="Arial"/>
          <w:color w:val="000000" w:themeColor="text1"/>
          <w:sz w:val="20"/>
          <w:szCs w:val="20"/>
          <w:lang w:val="es-ES_tradnl"/>
        </w:rPr>
        <w:t xml:space="preserve">or regla general, </w:t>
      </w:r>
      <w:r w:rsidRPr="00147102">
        <w:rPr>
          <w:rFonts w:ascii="Verdana" w:eastAsia="Calibri" w:hAnsi="Verdana" w:cs="Arial"/>
          <w:color w:val="000000" w:themeColor="text1"/>
          <w:sz w:val="20"/>
          <w:szCs w:val="20"/>
          <w:lang w:val="es-ES"/>
        </w:rPr>
        <w:t>para seleccionar los contratistas y para ejecutar los contratos se requiere la constitución de garantías</w:t>
      </w:r>
      <w:r w:rsidRPr="00147102">
        <w:rPr>
          <w:rFonts w:ascii="Verdana" w:eastAsia="Calibri" w:hAnsi="Verdana" w:cs="Arial"/>
          <w:color w:val="000000" w:themeColor="text1"/>
          <w:sz w:val="20"/>
          <w:szCs w:val="20"/>
          <w:lang w:val="es-ES_tradnl"/>
        </w:rPr>
        <w:t xml:space="preserve">. Por ello, el artículo 7 de la Ley 1150 de 2007 dispone que </w:t>
      </w:r>
      <w:r w:rsidRPr="00147102">
        <w:rPr>
          <w:rFonts w:ascii="Verdana" w:eastAsia="Calibri" w:hAnsi="Verdana" w:cs="Arial"/>
          <w:color w:val="000000" w:themeColor="text1"/>
          <w:sz w:val="20"/>
          <w:szCs w:val="20"/>
          <w:lang w:val="es-ES_tradnl"/>
        </w:rPr>
        <w:lastRenderedPageBreak/>
        <w:t>los contratistas tienen la obligación de constituir garantías para el cumplimiento de las obligaciones surgidas del contrato, y los proponentes por el ofrecimiento realizado, pudiendo consistir en pólizas expedidas por compañías aseguradoras, garantías bancarias u otros mecanismos permitidos por la ley y el reglamento</w:t>
      </w:r>
      <w:r>
        <w:rPr>
          <w:rFonts w:ascii="Verdana" w:eastAsia="Calibri" w:hAnsi="Verdana" w:cs="Arial"/>
          <w:color w:val="000000" w:themeColor="text1"/>
          <w:sz w:val="20"/>
          <w:szCs w:val="20"/>
          <w:lang w:val="es-ES_tradnl"/>
        </w:rPr>
        <w:t>.</w:t>
      </w:r>
    </w:p>
    <w:p w14:paraId="135B270B" w14:textId="0AB5FC03" w:rsidR="00926E06" w:rsidRDefault="00926E06" w:rsidP="007D3CE6">
      <w:pPr>
        <w:spacing w:after="0" w:line="240" w:lineRule="auto"/>
        <w:jc w:val="both"/>
        <w:textAlignment w:val="baseline"/>
        <w:rPr>
          <w:rFonts w:ascii="Verdana" w:hAnsi="Verdana" w:cs="Arial"/>
          <w:b/>
          <w:bCs/>
          <w:lang w:val="es-MX" w:eastAsia="es-ES" w:bidi="es-ES"/>
        </w:rPr>
      </w:pPr>
      <w:r w:rsidRPr="00926E06">
        <w:rPr>
          <w:rFonts w:ascii="Verdana" w:hAnsi="Verdana" w:cs="Arial"/>
          <w:b/>
          <w:bCs/>
          <w:lang w:val="es-MX" w:eastAsia="es-ES" w:bidi="es-ES"/>
        </w:rPr>
        <w:t>GARANTIAS – Principio de indivisibilidad</w:t>
      </w:r>
    </w:p>
    <w:p w14:paraId="4E9D950E" w14:textId="77777777" w:rsidR="007D3CE6" w:rsidRPr="00926E06" w:rsidRDefault="007D3CE6" w:rsidP="007D3CE6">
      <w:pPr>
        <w:spacing w:after="0" w:line="240" w:lineRule="auto"/>
        <w:jc w:val="both"/>
        <w:textAlignment w:val="baseline"/>
        <w:rPr>
          <w:rFonts w:ascii="Verdana" w:hAnsi="Verdana" w:cs="Arial"/>
          <w:b/>
          <w:bCs/>
          <w:lang w:val="es-MX" w:eastAsia="es-ES" w:bidi="es-ES"/>
        </w:rPr>
      </w:pPr>
    </w:p>
    <w:p w14:paraId="26AC3E3A" w14:textId="7C489508" w:rsidR="00926E06" w:rsidRPr="00956F81" w:rsidRDefault="00CB12CD" w:rsidP="007D3CE6">
      <w:pPr>
        <w:spacing w:after="0" w:line="276" w:lineRule="auto"/>
        <w:jc w:val="both"/>
        <w:rPr>
          <w:rFonts w:ascii="Verdana" w:hAnsi="Verdana"/>
          <w:sz w:val="20"/>
          <w:szCs w:val="20"/>
        </w:rPr>
      </w:pPr>
      <w:r w:rsidRPr="00956F81">
        <w:rPr>
          <w:rFonts w:ascii="Verdana" w:hAnsi="Verdana" w:cs="Arial"/>
          <w:color w:val="000000" w:themeColor="text1"/>
          <w:sz w:val="20"/>
          <w:szCs w:val="20"/>
          <w:lang w:val="es-MX"/>
        </w:rPr>
        <w:t xml:space="preserve">El artículo 2.2.1.2.3.1.3 del Decreto 1082 de 2015, por ejemplo, establece que la “garantía de cobertura del Riesgo es indivisible”, además de la obligación de los contratantes de establecer en los pliegos de condiciones las garantías exigidas para cada etapa del contrato o periodo contractual o cada unidad funcional </w:t>
      </w:r>
      <w:r w:rsidRPr="00956F81">
        <w:rPr>
          <w:rFonts w:ascii="Verdana" w:hAnsi="Verdana" w:cs="Arial"/>
          <w:color w:val="000000" w:themeColor="text1"/>
          <w:sz w:val="20"/>
          <w:szCs w:val="20"/>
        </w:rPr>
        <w:t>en el caso de las Asociaciones Público Privadas</w:t>
      </w:r>
      <w:r w:rsidRPr="00956F81">
        <w:rPr>
          <w:rFonts w:ascii="Verdana" w:hAnsi="Verdana" w:cs="Arial"/>
          <w:color w:val="000000" w:themeColor="text1"/>
          <w:sz w:val="20"/>
          <w:szCs w:val="20"/>
          <w:lang w:val="es-MX"/>
        </w:rPr>
        <w:t xml:space="preserve">. Seguidamente el artículo 2.2.1.3.1.7 prescribe que la garantía de cumplimiento debe cubrir: i) el buen manejo y correcta inversión del anticipo; ii) la devolución del pago anticipado; iii) cumplimiento del contrato; iv) pago de salarios, prestaciones sociales legales e indemnizaciones laborales; v) estabilidad y calidad de la obra; vi) </w:t>
      </w:r>
      <w:r w:rsidRPr="00956F81">
        <w:rPr>
          <w:rFonts w:ascii="Verdana" w:hAnsi="Verdana" w:cs="Arial"/>
          <w:color w:val="000000" w:themeColor="text1"/>
          <w:sz w:val="20"/>
          <w:szCs w:val="20"/>
          <w:lang w:eastAsia="es-CO"/>
        </w:rPr>
        <w:t>calidad del servicio; vii) calidad y correcto funcionamiento de los bienes; y viii) los demás incumplimientos de las obligaciones que la entidad estatal considere deben ser amparados. Por su parte, el artículo 2.2.1.2.3.1.12 regula la suficiencia del amparo de cumplimiento, al determinar que esta debe tener una vigencia mínima hasta la liquidación del contrato y un valor de por lo menos el diez por ciento (10%) del total del contrato, siempre que este sea inferior a un millón (1.000.000) de S.M.M.L.V., estableciendo otros mínimos para el valor de las pólizas en contratos con montos superiores</w:t>
      </w:r>
      <w:r w:rsidR="00956F81">
        <w:rPr>
          <w:rFonts w:ascii="Verdana" w:hAnsi="Verdana" w:cs="Arial"/>
          <w:color w:val="000000" w:themeColor="text1"/>
          <w:sz w:val="20"/>
          <w:szCs w:val="20"/>
          <w:lang w:eastAsia="es-CO"/>
        </w:rPr>
        <w:t>.</w:t>
      </w:r>
    </w:p>
    <w:p w14:paraId="6B84C334" w14:textId="77777777" w:rsidR="00926E06" w:rsidRDefault="00926E06" w:rsidP="00FC28F5">
      <w:pPr>
        <w:spacing w:after="0" w:line="240" w:lineRule="auto"/>
        <w:rPr>
          <w:rFonts w:ascii="Verdana" w:hAnsi="Verdana"/>
        </w:rPr>
      </w:pPr>
    </w:p>
    <w:p w14:paraId="73F72442" w14:textId="77777777" w:rsidR="00926E06" w:rsidRDefault="00926E06" w:rsidP="00FC28F5">
      <w:pPr>
        <w:spacing w:after="0" w:line="240" w:lineRule="auto"/>
        <w:rPr>
          <w:rFonts w:ascii="Verdana" w:hAnsi="Verdana"/>
        </w:rPr>
      </w:pPr>
    </w:p>
    <w:p w14:paraId="362C766C" w14:textId="77777777" w:rsidR="00926E06" w:rsidRDefault="00926E06" w:rsidP="00FC28F5">
      <w:pPr>
        <w:spacing w:after="0" w:line="240" w:lineRule="auto"/>
        <w:rPr>
          <w:rFonts w:ascii="Verdana" w:hAnsi="Verdana"/>
        </w:rPr>
      </w:pPr>
    </w:p>
    <w:p w14:paraId="051658DA" w14:textId="77777777" w:rsidR="00956F81" w:rsidRDefault="00956F81" w:rsidP="00FC28F5">
      <w:pPr>
        <w:spacing w:after="0" w:line="240" w:lineRule="auto"/>
        <w:rPr>
          <w:rFonts w:ascii="Verdana" w:hAnsi="Verdana"/>
        </w:rPr>
      </w:pPr>
    </w:p>
    <w:p w14:paraId="5E353DD7" w14:textId="77777777" w:rsidR="00956F81" w:rsidRDefault="00956F81" w:rsidP="00FC28F5">
      <w:pPr>
        <w:spacing w:after="0" w:line="240" w:lineRule="auto"/>
        <w:rPr>
          <w:rFonts w:ascii="Verdana" w:hAnsi="Verdana"/>
        </w:rPr>
      </w:pPr>
    </w:p>
    <w:p w14:paraId="787B3314" w14:textId="77777777" w:rsidR="00956F81" w:rsidRDefault="00956F81" w:rsidP="00FC28F5">
      <w:pPr>
        <w:spacing w:after="0" w:line="240" w:lineRule="auto"/>
        <w:rPr>
          <w:rFonts w:ascii="Verdana" w:hAnsi="Verdana"/>
        </w:rPr>
      </w:pPr>
    </w:p>
    <w:p w14:paraId="6692A4B9" w14:textId="77777777" w:rsidR="00956F81" w:rsidRDefault="00956F81" w:rsidP="00FC28F5">
      <w:pPr>
        <w:spacing w:after="0" w:line="240" w:lineRule="auto"/>
        <w:rPr>
          <w:rFonts w:ascii="Verdana" w:hAnsi="Verdana"/>
        </w:rPr>
      </w:pPr>
    </w:p>
    <w:p w14:paraId="29F6C4F3" w14:textId="77777777" w:rsidR="00956F81" w:rsidRDefault="00956F81" w:rsidP="00FC28F5">
      <w:pPr>
        <w:spacing w:after="0" w:line="240" w:lineRule="auto"/>
        <w:rPr>
          <w:rFonts w:ascii="Verdana" w:hAnsi="Verdana"/>
        </w:rPr>
      </w:pPr>
    </w:p>
    <w:p w14:paraId="299CC768" w14:textId="77777777" w:rsidR="00956F81" w:rsidRDefault="00956F81" w:rsidP="00FC28F5">
      <w:pPr>
        <w:spacing w:after="0" w:line="240" w:lineRule="auto"/>
        <w:rPr>
          <w:rFonts w:ascii="Verdana" w:hAnsi="Verdana"/>
        </w:rPr>
      </w:pPr>
    </w:p>
    <w:p w14:paraId="1118B5E3" w14:textId="77777777" w:rsidR="00956F81" w:rsidRDefault="00956F81" w:rsidP="00FC28F5">
      <w:pPr>
        <w:spacing w:after="0" w:line="240" w:lineRule="auto"/>
        <w:rPr>
          <w:rFonts w:ascii="Verdana" w:hAnsi="Verdana"/>
        </w:rPr>
      </w:pPr>
    </w:p>
    <w:p w14:paraId="1DA59AE2" w14:textId="77777777" w:rsidR="00956F81" w:rsidRDefault="00956F81" w:rsidP="00FC28F5">
      <w:pPr>
        <w:spacing w:after="0" w:line="240" w:lineRule="auto"/>
        <w:rPr>
          <w:rFonts w:ascii="Verdana" w:hAnsi="Verdana"/>
        </w:rPr>
      </w:pPr>
    </w:p>
    <w:p w14:paraId="5623013A" w14:textId="77777777" w:rsidR="00956F81" w:rsidRDefault="00956F81" w:rsidP="00FC28F5">
      <w:pPr>
        <w:spacing w:after="0" w:line="240" w:lineRule="auto"/>
        <w:rPr>
          <w:rFonts w:ascii="Verdana" w:hAnsi="Verdana"/>
        </w:rPr>
      </w:pPr>
    </w:p>
    <w:p w14:paraId="5EDF8E7C" w14:textId="77777777" w:rsidR="00956F81" w:rsidRDefault="00956F81" w:rsidP="00FC28F5">
      <w:pPr>
        <w:spacing w:after="0" w:line="240" w:lineRule="auto"/>
        <w:rPr>
          <w:rFonts w:ascii="Verdana" w:hAnsi="Verdana"/>
        </w:rPr>
      </w:pPr>
    </w:p>
    <w:p w14:paraId="1D60F216" w14:textId="77777777" w:rsidR="00956F81" w:rsidRDefault="00956F81" w:rsidP="00FC28F5">
      <w:pPr>
        <w:spacing w:after="0" w:line="240" w:lineRule="auto"/>
        <w:rPr>
          <w:rFonts w:ascii="Verdana" w:hAnsi="Verdana"/>
        </w:rPr>
      </w:pPr>
    </w:p>
    <w:p w14:paraId="019BF1C1" w14:textId="77777777" w:rsidR="00956F81" w:rsidRDefault="00956F81" w:rsidP="00FC28F5">
      <w:pPr>
        <w:spacing w:after="0" w:line="240" w:lineRule="auto"/>
        <w:rPr>
          <w:rFonts w:ascii="Verdana" w:hAnsi="Verdana"/>
        </w:rPr>
      </w:pPr>
    </w:p>
    <w:p w14:paraId="57AFCBC1" w14:textId="77777777" w:rsidR="00956F81" w:rsidRDefault="00956F81" w:rsidP="00FC28F5">
      <w:pPr>
        <w:spacing w:after="0" w:line="240" w:lineRule="auto"/>
        <w:rPr>
          <w:rFonts w:ascii="Verdana" w:hAnsi="Verdana"/>
        </w:rPr>
      </w:pPr>
    </w:p>
    <w:p w14:paraId="46C010F0" w14:textId="77777777" w:rsidR="00956F81" w:rsidRDefault="00956F81" w:rsidP="00FC28F5">
      <w:pPr>
        <w:spacing w:after="0" w:line="240" w:lineRule="auto"/>
        <w:rPr>
          <w:rFonts w:ascii="Verdana" w:hAnsi="Verdana"/>
        </w:rPr>
      </w:pPr>
    </w:p>
    <w:p w14:paraId="0318FEF8" w14:textId="77777777" w:rsidR="00956F81" w:rsidRDefault="00956F81" w:rsidP="00FC28F5">
      <w:pPr>
        <w:spacing w:after="0" w:line="240" w:lineRule="auto"/>
        <w:rPr>
          <w:rFonts w:ascii="Verdana" w:hAnsi="Verdana"/>
        </w:rPr>
      </w:pPr>
    </w:p>
    <w:p w14:paraId="32AFECEC" w14:textId="53C33D9F" w:rsidR="00FC28F5" w:rsidRPr="008A7B79" w:rsidRDefault="00FC28F5" w:rsidP="00FC28F5">
      <w:pPr>
        <w:spacing w:after="0" w:line="240" w:lineRule="auto"/>
        <w:rPr>
          <w:rFonts w:ascii="Verdana" w:hAnsi="Verdana"/>
        </w:rPr>
      </w:pPr>
      <w:r w:rsidRPr="008A7B79">
        <w:rPr>
          <w:rFonts w:ascii="Verdana" w:hAnsi="Verdana"/>
        </w:rPr>
        <w:lastRenderedPageBreak/>
        <w:t>Bogotá D.C.,</w:t>
      </w:r>
      <w:r w:rsidRPr="008A7B79">
        <w:rPr>
          <w:rFonts w:ascii="Verdana" w:hAnsi="Verdana"/>
        </w:rPr>
        <w:tab/>
      </w:r>
      <w:r>
        <w:rPr>
          <w:rFonts w:ascii="Verdana" w:hAnsi="Verdana"/>
        </w:rPr>
        <w:t xml:space="preserve"> </w:t>
      </w:r>
      <w:r w:rsidR="005C2846">
        <w:rPr>
          <w:rFonts w:ascii="Verdana" w:hAnsi="Verdana"/>
        </w:rPr>
        <w:t>27 abril 2026</w:t>
      </w:r>
    </w:p>
    <w:bookmarkEnd w:id="0"/>
    <w:p w14:paraId="2220E723" w14:textId="77777777" w:rsidR="00FC28F5" w:rsidRPr="008A7B79" w:rsidRDefault="00FC28F5" w:rsidP="00FC28F5">
      <w:pPr>
        <w:spacing w:after="0" w:line="240" w:lineRule="auto"/>
        <w:rPr>
          <w:rFonts w:ascii="Verdana" w:hAnsi="Verdana"/>
        </w:rPr>
      </w:pPr>
    </w:p>
    <w:p w14:paraId="634FF58A" w14:textId="402F3D1B" w:rsidR="00FC28F5" w:rsidRPr="008A7B79" w:rsidRDefault="005C2846" w:rsidP="00FC28F5">
      <w:pPr>
        <w:spacing w:after="0" w:line="240" w:lineRule="auto"/>
        <w:jc w:val="both"/>
        <w:rPr>
          <w:rFonts w:ascii="Verdana" w:hAnsi="Verdana" w:cs="Arial"/>
          <w:bCs/>
          <w:lang w:val="es-ES" w:eastAsia="es-ES" w:bidi="es-ES"/>
        </w:rPr>
      </w:pPr>
      <w:r w:rsidRPr="005C2846">
        <w:rPr>
          <w:rFonts w:ascii="Verdana" w:eastAsia="Verdana" w:hAnsi="Verdana" w:cs="Verdana"/>
          <w:b/>
          <w:bCs/>
          <w:noProof/>
        </w:rPr>
        <w:drawing>
          <wp:anchor distT="0" distB="0" distL="114300" distR="114300" simplePos="0" relativeHeight="251658240" behindDoc="1" locked="0" layoutInCell="1" allowOverlap="1" wp14:anchorId="43D9046B" wp14:editId="617E3D01">
            <wp:simplePos x="0" y="0"/>
            <wp:positionH relativeFrom="column">
              <wp:posOffset>3086128</wp:posOffset>
            </wp:positionH>
            <wp:positionV relativeFrom="paragraph">
              <wp:posOffset>11816</wp:posOffset>
            </wp:positionV>
            <wp:extent cx="2623820" cy="725170"/>
            <wp:effectExtent l="0" t="0" r="5080" b="0"/>
            <wp:wrapTight wrapText="bothSides">
              <wp:wrapPolygon edited="0">
                <wp:start x="0" y="0"/>
                <wp:lineTo x="0" y="20995"/>
                <wp:lineTo x="21485" y="20995"/>
                <wp:lineTo x="21485" y="0"/>
                <wp:lineTo x="0" y="0"/>
              </wp:wrapPolygon>
            </wp:wrapTight>
            <wp:docPr id="90775386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623820" cy="72517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D8BA872" w14:textId="01A8B4DD" w:rsidR="00FC28F5" w:rsidRPr="008A7B79" w:rsidRDefault="00FC28F5" w:rsidP="00FC28F5">
      <w:pPr>
        <w:widowControl w:val="0"/>
        <w:autoSpaceDE w:val="0"/>
        <w:autoSpaceDN w:val="0"/>
        <w:spacing w:after="0" w:line="240" w:lineRule="auto"/>
        <w:rPr>
          <w:rFonts w:ascii="Verdana" w:eastAsia="Verdana" w:hAnsi="Verdana" w:cs="Verdana"/>
          <w:lang w:val="es-ES"/>
        </w:rPr>
      </w:pPr>
      <w:r w:rsidRPr="008A7B79">
        <w:rPr>
          <w:rFonts w:ascii="Verdana" w:eastAsia="Verdana" w:hAnsi="Verdana" w:cs="Verdana"/>
          <w:spacing w:val="-2"/>
          <w:lang w:val="es-ES"/>
        </w:rPr>
        <w:t>Señor</w:t>
      </w:r>
      <w:r>
        <w:rPr>
          <w:rFonts w:ascii="Verdana" w:eastAsia="Verdana" w:hAnsi="Verdana" w:cs="Verdana"/>
          <w:spacing w:val="-2"/>
          <w:lang w:val="es-ES"/>
        </w:rPr>
        <w:t>(a)</w:t>
      </w:r>
    </w:p>
    <w:p w14:paraId="41C9D3D0" w14:textId="71A96603" w:rsidR="00FC28F5" w:rsidRPr="008A7B79" w:rsidRDefault="00FC28F5" w:rsidP="00FC28F5">
      <w:pPr>
        <w:widowControl w:val="0"/>
        <w:autoSpaceDE w:val="0"/>
        <w:autoSpaceDN w:val="0"/>
        <w:spacing w:after="0" w:line="240" w:lineRule="auto"/>
        <w:outlineLvl w:val="0"/>
        <w:rPr>
          <w:rFonts w:ascii="Verdana" w:eastAsia="Verdana" w:hAnsi="Verdana" w:cs="Verdana"/>
          <w:b/>
          <w:bCs/>
          <w:lang w:val="es-ES"/>
        </w:rPr>
      </w:pPr>
      <w:r>
        <w:rPr>
          <w:rFonts w:ascii="Verdana" w:eastAsia="Verdana" w:hAnsi="Verdana" w:cs="Verdana"/>
          <w:b/>
          <w:bCs/>
        </w:rPr>
        <w:t>Anónimo</w:t>
      </w:r>
    </w:p>
    <w:p w14:paraId="76CFA774" w14:textId="77777777" w:rsidR="00FC28F5" w:rsidRPr="006328BE" w:rsidRDefault="00FC28F5" w:rsidP="00FC28F5">
      <w:pPr>
        <w:spacing w:after="0" w:line="240" w:lineRule="auto"/>
        <w:jc w:val="both"/>
        <w:rPr>
          <w:rFonts w:ascii="Verdana" w:hAnsi="Verdana"/>
        </w:rPr>
      </w:pPr>
      <w:hyperlink r:id="rId11" w:history="1">
        <w:r w:rsidRPr="006328BE">
          <w:rPr>
            <w:rStyle w:val="Hipervnculo"/>
            <w:rFonts w:ascii="Verdana" w:hAnsi="Verdana"/>
          </w:rPr>
          <w:t>silvy_02_05@hotmail.com</w:t>
        </w:r>
      </w:hyperlink>
    </w:p>
    <w:p w14:paraId="175805A1" w14:textId="77777777" w:rsidR="00FC28F5" w:rsidRPr="008A7B79" w:rsidRDefault="00FC28F5" w:rsidP="00FC28F5">
      <w:pPr>
        <w:spacing w:after="0" w:line="240" w:lineRule="auto"/>
        <w:jc w:val="both"/>
        <w:rPr>
          <w:rFonts w:ascii="Verdana" w:eastAsia="Verdana" w:hAnsi="Verdana" w:cs="Verdana"/>
          <w:lang w:val="es-ES"/>
        </w:rPr>
      </w:pPr>
      <w:r w:rsidRPr="008A7B79">
        <w:rPr>
          <w:rFonts w:ascii="Verdana" w:eastAsia="Verdana" w:hAnsi="Verdana" w:cs="Verdana"/>
          <w:lang w:val="es-ES"/>
        </w:rPr>
        <w:t>C</w:t>
      </w:r>
      <w:r>
        <w:rPr>
          <w:rFonts w:ascii="Verdana" w:eastAsia="Verdana" w:hAnsi="Verdana" w:cs="Verdana"/>
          <w:lang w:val="es-ES"/>
        </w:rPr>
        <w:t>iudad</w:t>
      </w:r>
    </w:p>
    <w:p w14:paraId="26DCA7F7" w14:textId="77777777" w:rsidR="00FC28F5" w:rsidRPr="008A7B79" w:rsidRDefault="00FC28F5" w:rsidP="00FC28F5">
      <w:pPr>
        <w:spacing w:after="0" w:line="240" w:lineRule="auto"/>
        <w:jc w:val="both"/>
        <w:rPr>
          <w:rFonts w:ascii="Verdana" w:hAnsi="Verdana" w:cs="Arial"/>
          <w:b/>
          <w:bCs/>
          <w:lang w:val="es-ES_tradnl" w:eastAsia="es-ES" w:bidi="es-ES"/>
        </w:rPr>
      </w:pPr>
    </w:p>
    <w:p w14:paraId="7A24643A" w14:textId="77777777" w:rsidR="00FC28F5" w:rsidRPr="008A7B79" w:rsidRDefault="00FC28F5" w:rsidP="00FC28F5">
      <w:pPr>
        <w:spacing w:after="0" w:line="240" w:lineRule="auto"/>
        <w:jc w:val="both"/>
        <w:rPr>
          <w:rFonts w:ascii="Verdana" w:hAnsi="Verdana" w:cs="Arial"/>
          <w:b/>
          <w:bCs/>
          <w:lang w:val="es-ES_tradnl" w:eastAsia="es-ES" w:bidi="es-ES"/>
        </w:rPr>
      </w:pPr>
    </w:p>
    <w:tbl>
      <w:tblPr>
        <w:tblStyle w:val="Tablaconcuadrcula1"/>
        <w:tblW w:w="893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242"/>
      </w:tblGrid>
      <w:tr w:rsidR="00FC28F5" w:rsidRPr="008A7B79" w14:paraId="75E8EFD1" w14:textId="77777777" w:rsidTr="00572D33">
        <w:trPr>
          <w:trHeight w:val="208"/>
        </w:trPr>
        <w:tc>
          <w:tcPr>
            <w:tcW w:w="2689" w:type="dxa"/>
          </w:tcPr>
          <w:p w14:paraId="6125F96F" w14:textId="77777777" w:rsidR="00FC28F5" w:rsidRPr="008A7B79" w:rsidRDefault="00FC28F5" w:rsidP="00572D33">
            <w:pPr>
              <w:jc w:val="both"/>
              <w:rPr>
                <w:rFonts w:ascii="Verdana" w:hAnsi="Verdana" w:cs="Arial"/>
                <w:b/>
                <w:bCs/>
                <w:lang w:val="es-ES_tradnl" w:eastAsia="es-ES" w:bidi="es-ES"/>
              </w:rPr>
            </w:pPr>
          </w:p>
        </w:tc>
        <w:tc>
          <w:tcPr>
            <w:tcW w:w="6242" w:type="dxa"/>
          </w:tcPr>
          <w:p w14:paraId="08DEF49D" w14:textId="77777777" w:rsidR="00FC28F5" w:rsidRDefault="00FC28F5" w:rsidP="00572D33">
            <w:pPr>
              <w:jc w:val="both"/>
              <w:rPr>
                <w:rFonts w:ascii="Verdana" w:hAnsi="Verdana" w:cs="Arial"/>
                <w:b/>
                <w:bCs/>
                <w:lang w:val="es-MX" w:eastAsia="es-ES" w:bidi="es-ES"/>
              </w:rPr>
            </w:pPr>
            <w:r w:rsidRPr="008A7B79">
              <w:rPr>
                <w:rFonts w:ascii="Verdana" w:hAnsi="Verdana" w:cs="Arial"/>
                <w:b/>
                <w:bCs/>
                <w:lang w:val="es-MX" w:eastAsia="es-ES" w:bidi="es-ES"/>
              </w:rPr>
              <w:t xml:space="preserve">Concepto C- </w:t>
            </w:r>
            <w:r>
              <w:rPr>
                <w:rFonts w:ascii="Verdana" w:hAnsi="Verdana" w:cs="Arial"/>
                <w:b/>
                <w:bCs/>
                <w:lang w:val="es-MX" w:eastAsia="es-ES" w:bidi="es-ES"/>
              </w:rPr>
              <w:t>402</w:t>
            </w:r>
            <w:r w:rsidRPr="008A7B79">
              <w:rPr>
                <w:rFonts w:ascii="Verdana" w:hAnsi="Verdana" w:cs="Arial"/>
                <w:b/>
                <w:bCs/>
                <w:lang w:val="es-MX" w:eastAsia="es-ES" w:bidi="es-ES"/>
              </w:rPr>
              <w:t xml:space="preserve"> de 202</w:t>
            </w:r>
            <w:r>
              <w:rPr>
                <w:rFonts w:ascii="Verdana" w:hAnsi="Verdana" w:cs="Arial"/>
                <w:b/>
                <w:bCs/>
                <w:lang w:val="es-MX" w:eastAsia="es-ES" w:bidi="es-ES"/>
              </w:rPr>
              <w:t>6</w:t>
            </w:r>
          </w:p>
          <w:p w14:paraId="6C5AE3FA" w14:textId="77777777" w:rsidR="00FC28F5" w:rsidRPr="008A7B79" w:rsidRDefault="00FC28F5" w:rsidP="00572D33">
            <w:pPr>
              <w:jc w:val="both"/>
              <w:rPr>
                <w:rFonts w:ascii="Verdana" w:hAnsi="Verdana" w:cs="Arial"/>
                <w:b/>
                <w:bCs/>
                <w:lang w:val="es-MX" w:eastAsia="es-ES" w:bidi="es-ES"/>
              </w:rPr>
            </w:pPr>
          </w:p>
        </w:tc>
      </w:tr>
      <w:tr w:rsidR="00FC28F5" w:rsidRPr="00692DE5" w14:paraId="7FA9F6B1" w14:textId="77777777" w:rsidTr="00572D33">
        <w:trPr>
          <w:trHeight w:val="884"/>
        </w:trPr>
        <w:tc>
          <w:tcPr>
            <w:tcW w:w="2689" w:type="dxa"/>
          </w:tcPr>
          <w:p w14:paraId="04452AD4" w14:textId="77777777" w:rsidR="00FC28F5" w:rsidRPr="008A7B79" w:rsidRDefault="00FC28F5" w:rsidP="00572D33">
            <w:pPr>
              <w:jc w:val="both"/>
              <w:rPr>
                <w:rFonts w:ascii="Verdana" w:hAnsi="Verdana" w:cs="Arial"/>
                <w:b/>
                <w:bCs/>
                <w:lang w:val="es-MX" w:eastAsia="es-ES" w:bidi="es-ES"/>
              </w:rPr>
            </w:pPr>
            <w:r w:rsidRPr="008A7B79">
              <w:rPr>
                <w:rFonts w:ascii="Verdana" w:hAnsi="Verdana" w:cs="Arial"/>
                <w:b/>
                <w:bCs/>
                <w:lang w:val="es-MX" w:eastAsia="es-ES" w:bidi="es-ES"/>
              </w:rPr>
              <w:t xml:space="preserve">Temas:                   </w:t>
            </w:r>
          </w:p>
        </w:tc>
        <w:tc>
          <w:tcPr>
            <w:tcW w:w="6242" w:type="dxa"/>
          </w:tcPr>
          <w:p w14:paraId="6C88AAE7" w14:textId="77777777" w:rsidR="00FC28F5" w:rsidRPr="00A56521" w:rsidRDefault="00FC28F5" w:rsidP="00572D33">
            <w:pPr>
              <w:jc w:val="both"/>
              <w:textAlignment w:val="baseline"/>
              <w:rPr>
                <w:rFonts w:ascii="Verdana" w:hAnsi="Verdana" w:cs="Arial"/>
                <w:bCs/>
                <w:lang w:val="es-MX" w:eastAsia="es-ES" w:bidi="es-ES"/>
              </w:rPr>
            </w:pPr>
            <w:r w:rsidRPr="00A56521">
              <w:rPr>
                <w:rFonts w:ascii="Verdana" w:eastAsia="Times New Roman" w:hAnsi="Verdana" w:cs="Arial"/>
                <w:lang w:eastAsia="es-ES_tradnl"/>
              </w:rPr>
              <w:t xml:space="preserve">CONTRATOS DE CONCESIÓN DE ALUMBRADO PÚBLICO – Regulación / CONTRATOS DE CONCESIÓN DE ALUMBRADO PÚBLICO – Empresas mixtas / COMPETENCIAS DE LOS CONCEJOS MUNICIPALES – Autorización – Suscripción de contratos / PRINCIPIO DE ANUALIDAD – régimen – excepciones / </w:t>
            </w:r>
            <w:r w:rsidRPr="00A56521">
              <w:rPr>
                <w:rFonts w:ascii="Verdana" w:hAnsi="Verdana" w:cs="Arial"/>
                <w:bCs/>
                <w:lang w:val="es-MX" w:eastAsia="es-ES" w:bidi="es-ES"/>
              </w:rPr>
              <w:t>GARANTIAS – naturaleza – características – excepciones / GARANTIAS – Principio de indivisibilidad</w:t>
            </w:r>
          </w:p>
          <w:p w14:paraId="52116058" w14:textId="77777777" w:rsidR="00FC28F5" w:rsidRPr="00692DE5" w:rsidRDefault="00FC28F5" w:rsidP="00572D33">
            <w:pPr>
              <w:jc w:val="both"/>
              <w:rPr>
                <w:rFonts w:ascii="Verdana" w:hAnsi="Verdana" w:cs="Arial"/>
                <w:bCs/>
                <w:highlight w:val="yellow"/>
                <w:lang w:val="es-MX" w:eastAsia="es-ES" w:bidi="es-ES"/>
              </w:rPr>
            </w:pPr>
          </w:p>
        </w:tc>
      </w:tr>
      <w:tr w:rsidR="00FC28F5" w:rsidRPr="008A7B79" w14:paraId="34112743" w14:textId="77777777" w:rsidTr="00572D33">
        <w:trPr>
          <w:trHeight w:val="314"/>
        </w:trPr>
        <w:tc>
          <w:tcPr>
            <w:tcW w:w="2689" w:type="dxa"/>
          </w:tcPr>
          <w:p w14:paraId="3669E5A1" w14:textId="77777777" w:rsidR="00FC28F5" w:rsidRPr="008A7B79" w:rsidRDefault="00FC28F5" w:rsidP="00572D33">
            <w:pPr>
              <w:jc w:val="both"/>
              <w:rPr>
                <w:rFonts w:ascii="Verdana" w:hAnsi="Verdana" w:cs="Arial"/>
                <w:b/>
                <w:bCs/>
                <w:lang w:val="es-MX" w:eastAsia="es-ES" w:bidi="es-ES"/>
              </w:rPr>
            </w:pPr>
            <w:r w:rsidRPr="008A7B79">
              <w:rPr>
                <w:rFonts w:ascii="Verdana" w:hAnsi="Verdana" w:cs="Arial"/>
                <w:b/>
                <w:bCs/>
                <w:lang w:val="es-MX" w:eastAsia="es-ES" w:bidi="es-ES"/>
              </w:rPr>
              <w:t xml:space="preserve">Radicación:               </w:t>
            </w:r>
          </w:p>
        </w:tc>
        <w:tc>
          <w:tcPr>
            <w:tcW w:w="6242" w:type="dxa"/>
          </w:tcPr>
          <w:p w14:paraId="179B18BF" w14:textId="77777777" w:rsidR="00FC28F5" w:rsidRPr="008A7B79" w:rsidRDefault="00FC28F5" w:rsidP="00572D33">
            <w:pPr>
              <w:jc w:val="both"/>
              <w:rPr>
                <w:rFonts w:ascii="Verdana" w:hAnsi="Verdana" w:cs="Arial"/>
                <w:bCs/>
                <w:lang w:val="es-MX" w:eastAsia="es-ES" w:bidi="es-ES"/>
              </w:rPr>
            </w:pPr>
            <w:r w:rsidRPr="008A7B79">
              <w:rPr>
                <w:rFonts w:ascii="Verdana" w:hAnsi="Verdana" w:cs="Arial"/>
                <w:bCs/>
                <w:lang w:val="es-MX" w:eastAsia="es-ES" w:bidi="es-ES"/>
              </w:rPr>
              <w:t xml:space="preserve">Respuesta a consulta con radicado No. </w:t>
            </w:r>
            <w:r w:rsidRPr="008A7B79">
              <w:rPr>
                <w:rFonts w:ascii="Verdana" w:hAnsi="Verdana" w:cs="Arial"/>
                <w:bCs/>
                <w:lang w:eastAsia="es-ES" w:bidi="es-ES"/>
              </w:rPr>
              <w:t>1_</w:t>
            </w:r>
            <w:r>
              <w:rPr>
                <w:rFonts w:ascii="Verdana" w:hAnsi="Verdana" w:cs="Arial"/>
                <w:bCs/>
                <w:lang w:eastAsia="es-ES" w:bidi="es-ES"/>
              </w:rPr>
              <w:t>2026_03_11_003431</w:t>
            </w:r>
          </w:p>
        </w:tc>
      </w:tr>
    </w:tbl>
    <w:p w14:paraId="111C00F2" w14:textId="77777777" w:rsidR="00FC28F5" w:rsidRPr="008A7B79" w:rsidRDefault="00FC28F5" w:rsidP="00FC28F5">
      <w:pPr>
        <w:spacing w:after="0" w:line="240" w:lineRule="auto"/>
        <w:jc w:val="both"/>
        <w:rPr>
          <w:rFonts w:ascii="Verdana" w:hAnsi="Verdana" w:cs="Arial"/>
          <w:bCs/>
          <w:lang w:val="es-ES_tradnl" w:eastAsia="es-ES" w:bidi="es-ES"/>
        </w:rPr>
      </w:pPr>
    </w:p>
    <w:p w14:paraId="7A5D01F4" w14:textId="77777777" w:rsidR="00FC28F5" w:rsidRPr="008A7B79" w:rsidRDefault="00FC28F5" w:rsidP="00FC28F5">
      <w:pPr>
        <w:spacing w:after="0" w:line="240" w:lineRule="auto"/>
        <w:jc w:val="both"/>
        <w:rPr>
          <w:rFonts w:ascii="Verdana" w:hAnsi="Verdana" w:cs="Arial"/>
          <w:bCs/>
          <w:lang w:val="es-ES_tradnl" w:eastAsia="es-ES" w:bidi="es-ES"/>
        </w:rPr>
      </w:pPr>
    </w:p>
    <w:p w14:paraId="5D20D6C3" w14:textId="77777777" w:rsidR="00FC28F5" w:rsidRPr="008A7B79" w:rsidRDefault="00FC28F5" w:rsidP="00FC28F5">
      <w:pPr>
        <w:spacing w:after="0" w:line="240" w:lineRule="auto"/>
        <w:jc w:val="both"/>
        <w:rPr>
          <w:rFonts w:ascii="Verdana" w:hAnsi="Verdana" w:cs="Arial"/>
          <w:bCs/>
          <w:lang w:val="es-MX" w:eastAsia="es-ES" w:bidi="es-ES"/>
        </w:rPr>
      </w:pPr>
      <w:r w:rsidRPr="008A7B79">
        <w:rPr>
          <w:rFonts w:ascii="Verdana" w:hAnsi="Verdana" w:cs="Arial"/>
          <w:bCs/>
          <w:lang w:val="es-MX" w:eastAsia="es-ES" w:bidi="es-ES"/>
        </w:rPr>
        <w:t>Estimado</w:t>
      </w:r>
      <w:r>
        <w:rPr>
          <w:rFonts w:ascii="Verdana" w:hAnsi="Verdana" w:cs="Arial"/>
          <w:bCs/>
          <w:lang w:val="es-MX" w:eastAsia="es-ES" w:bidi="es-ES"/>
        </w:rPr>
        <w:t>(a)</w:t>
      </w:r>
      <w:r w:rsidRPr="008A7B79">
        <w:rPr>
          <w:rFonts w:ascii="Verdana" w:hAnsi="Verdana" w:cs="Arial"/>
          <w:bCs/>
          <w:lang w:val="es-MX" w:eastAsia="es-ES" w:bidi="es-ES"/>
        </w:rPr>
        <w:t xml:space="preserve"> Señor</w:t>
      </w:r>
      <w:r>
        <w:rPr>
          <w:rFonts w:ascii="Verdana" w:hAnsi="Verdana" w:cs="Arial"/>
          <w:bCs/>
          <w:lang w:val="es-MX" w:eastAsia="es-ES" w:bidi="es-ES"/>
        </w:rPr>
        <w:t>(a)</w:t>
      </w:r>
      <w:r w:rsidRPr="008A7B79">
        <w:rPr>
          <w:rFonts w:ascii="Verdana" w:hAnsi="Verdana" w:cs="Arial"/>
          <w:bCs/>
          <w:lang w:val="es-MX" w:eastAsia="es-ES" w:bidi="es-ES"/>
        </w:rPr>
        <w:t xml:space="preserve"> </w:t>
      </w:r>
      <w:r>
        <w:rPr>
          <w:rFonts w:ascii="Verdana" w:hAnsi="Verdana" w:cs="Arial"/>
          <w:bCs/>
          <w:lang w:val="es-MX" w:eastAsia="es-ES" w:bidi="es-ES"/>
        </w:rPr>
        <w:t>Anónimo</w:t>
      </w:r>
      <w:r w:rsidRPr="008A7B79">
        <w:rPr>
          <w:rFonts w:ascii="Verdana" w:hAnsi="Verdana" w:cs="Arial"/>
          <w:bCs/>
          <w:lang w:val="es-MX" w:eastAsia="es-ES" w:bidi="es-ES"/>
        </w:rPr>
        <w:t xml:space="preserve">: </w:t>
      </w:r>
    </w:p>
    <w:p w14:paraId="4FDBF10C" w14:textId="77777777" w:rsidR="00FC28F5" w:rsidRPr="002675E7" w:rsidRDefault="00FC28F5" w:rsidP="00FC28F5">
      <w:pPr>
        <w:spacing w:after="0" w:line="240" w:lineRule="auto"/>
        <w:jc w:val="both"/>
        <w:rPr>
          <w:rFonts w:ascii="Verdana" w:hAnsi="Verdana" w:cs="Arial"/>
          <w:bCs/>
          <w:lang w:val="es-ES" w:eastAsia="es-ES" w:bidi="es-ES"/>
        </w:rPr>
      </w:pPr>
    </w:p>
    <w:p w14:paraId="43BB3D04" w14:textId="18A03A13" w:rsidR="00FC28F5" w:rsidRPr="002675E7" w:rsidRDefault="00FC28F5" w:rsidP="00FC28F5">
      <w:pPr>
        <w:spacing w:after="0" w:line="276" w:lineRule="auto"/>
        <w:jc w:val="both"/>
        <w:rPr>
          <w:rFonts w:ascii="Verdana" w:hAnsi="Verdana" w:cs="Arial"/>
          <w:bCs/>
          <w:lang w:val="es-ES" w:eastAsia="es-ES" w:bidi="es-ES"/>
        </w:rPr>
      </w:pPr>
      <w:r w:rsidRPr="002675E7">
        <w:rPr>
          <w:rFonts w:ascii="Verdana" w:hAnsi="Verdana" w:cs="Arial"/>
          <w:bCs/>
          <w:lang w:val="es-ES" w:eastAsia="es-ES" w:bidi="es-ES"/>
        </w:rPr>
        <w:t xml:space="preserve">En ejercicio de la competencia otorgada por los artículos 3, numeral 5º, y 11, numeral 8º, del Decreto Ley 4170 de 2011, </w:t>
      </w:r>
      <w:r w:rsidRPr="002675E7">
        <w:rPr>
          <w:rFonts w:ascii="Verdana" w:hAnsi="Verdana" w:cs="Arial"/>
          <w:bCs/>
          <w:lang w:eastAsia="es-ES" w:bidi="es-ES"/>
        </w:rPr>
        <w:t xml:space="preserve">así como lo establecido por la Resolución 469 de 2025 expedida por esta Entidad, </w:t>
      </w:r>
      <w:r w:rsidRPr="002675E7">
        <w:rPr>
          <w:rFonts w:ascii="Verdana" w:hAnsi="Verdana" w:cs="Arial"/>
          <w:bCs/>
          <w:lang w:val="es-ES" w:eastAsia="es-ES" w:bidi="es-ES"/>
        </w:rPr>
        <w:t xml:space="preserve">la Agencia Nacional de Contratación Pública – Colombia Compra Eficiente– responde su solicitud de consulta del </w:t>
      </w:r>
      <w:r w:rsidR="006244B5">
        <w:rPr>
          <w:rFonts w:ascii="Verdana" w:hAnsi="Verdana" w:cs="Arial"/>
          <w:bCs/>
          <w:lang w:val="es-ES" w:eastAsia="es-ES" w:bidi="es-ES"/>
        </w:rPr>
        <w:t>11</w:t>
      </w:r>
      <w:r w:rsidRPr="002675E7">
        <w:rPr>
          <w:rFonts w:ascii="Verdana" w:hAnsi="Verdana" w:cs="Arial"/>
          <w:bCs/>
          <w:lang w:val="es-ES" w:eastAsia="es-ES" w:bidi="es-ES"/>
        </w:rPr>
        <w:t xml:space="preserve"> de </w:t>
      </w:r>
      <w:r w:rsidR="006244B5">
        <w:rPr>
          <w:rFonts w:ascii="Verdana" w:hAnsi="Verdana" w:cs="Arial"/>
          <w:bCs/>
          <w:lang w:val="es-ES" w:eastAsia="es-ES" w:bidi="es-ES"/>
        </w:rPr>
        <w:t>marzo</w:t>
      </w:r>
      <w:r w:rsidRPr="002675E7">
        <w:rPr>
          <w:rFonts w:ascii="Verdana" w:hAnsi="Verdana" w:cs="Arial"/>
          <w:bCs/>
          <w:lang w:val="es-ES" w:eastAsia="es-ES" w:bidi="es-ES"/>
        </w:rPr>
        <w:t xml:space="preserve"> de 2025, en la cual manifiesta: </w:t>
      </w:r>
    </w:p>
    <w:p w14:paraId="01208C43" w14:textId="77777777" w:rsidR="00FC28F5" w:rsidRPr="002675E7" w:rsidRDefault="00FC28F5" w:rsidP="00FC28F5">
      <w:pPr>
        <w:spacing w:after="0" w:line="240" w:lineRule="auto"/>
        <w:jc w:val="both"/>
        <w:rPr>
          <w:rFonts w:ascii="Verdana" w:hAnsi="Verdana" w:cs="Arial"/>
          <w:b/>
          <w:bCs/>
          <w:lang w:eastAsia="es-ES" w:bidi="es-ES"/>
        </w:rPr>
      </w:pPr>
    </w:p>
    <w:p w14:paraId="58B19698" w14:textId="77777777" w:rsidR="00FC28F5" w:rsidRPr="00A147BA" w:rsidRDefault="00FC28F5" w:rsidP="00FC28F5">
      <w:pPr>
        <w:spacing w:after="0" w:line="240" w:lineRule="auto"/>
        <w:ind w:left="709" w:right="709"/>
        <w:jc w:val="both"/>
        <w:rPr>
          <w:rFonts w:ascii="Verdana" w:hAnsi="Verdana" w:cs="Arial"/>
          <w:bCs/>
          <w:sz w:val="20"/>
          <w:szCs w:val="20"/>
          <w:lang w:eastAsia="es-ES" w:bidi="es-ES"/>
        </w:rPr>
      </w:pPr>
      <w:r>
        <w:rPr>
          <w:rFonts w:ascii="Verdana" w:hAnsi="Verdana" w:cs="Arial"/>
          <w:bCs/>
          <w:sz w:val="20"/>
          <w:szCs w:val="20"/>
          <w:lang w:eastAsia="es-ES" w:bidi="es-ES"/>
        </w:rPr>
        <w:t>“</w:t>
      </w:r>
      <w:r w:rsidRPr="00A147BA">
        <w:rPr>
          <w:rFonts w:ascii="Verdana" w:hAnsi="Verdana" w:cs="Arial"/>
          <w:bCs/>
          <w:sz w:val="20"/>
          <w:szCs w:val="20"/>
          <w:lang w:eastAsia="es-ES" w:bidi="es-ES"/>
        </w:rPr>
        <w:t>buenas tardes, tengo las siguientes inquietudes con respecto a los</w:t>
      </w:r>
    </w:p>
    <w:p w14:paraId="2FEB1E29" w14:textId="77777777" w:rsidR="00FC28F5" w:rsidRDefault="00FC28F5" w:rsidP="00FC28F5">
      <w:pPr>
        <w:spacing w:after="0" w:line="240" w:lineRule="auto"/>
        <w:ind w:left="709" w:right="709"/>
        <w:jc w:val="both"/>
        <w:rPr>
          <w:rFonts w:ascii="Verdana" w:hAnsi="Verdana" w:cs="Arial"/>
          <w:bCs/>
          <w:sz w:val="20"/>
          <w:szCs w:val="20"/>
          <w:lang w:eastAsia="es-ES" w:bidi="es-ES"/>
        </w:rPr>
      </w:pPr>
      <w:r w:rsidRPr="00A147BA">
        <w:rPr>
          <w:rFonts w:ascii="Verdana" w:hAnsi="Verdana" w:cs="Arial"/>
          <w:bCs/>
          <w:sz w:val="20"/>
          <w:szCs w:val="20"/>
          <w:lang w:eastAsia="es-ES" w:bidi="es-ES"/>
        </w:rPr>
        <w:t>procesos de concesión de alumbrado público:</w:t>
      </w:r>
    </w:p>
    <w:p w14:paraId="69F0E122" w14:textId="77777777" w:rsidR="00FC28F5" w:rsidRPr="00A147BA" w:rsidRDefault="00FC28F5" w:rsidP="00FC28F5">
      <w:pPr>
        <w:spacing w:after="0" w:line="240" w:lineRule="auto"/>
        <w:ind w:left="709" w:right="709"/>
        <w:jc w:val="both"/>
        <w:rPr>
          <w:rFonts w:ascii="Verdana" w:hAnsi="Verdana" w:cs="Arial"/>
          <w:bCs/>
          <w:sz w:val="20"/>
          <w:szCs w:val="20"/>
          <w:lang w:eastAsia="es-ES" w:bidi="es-ES"/>
        </w:rPr>
      </w:pPr>
    </w:p>
    <w:p w14:paraId="58F9D82D" w14:textId="77777777" w:rsidR="00FC28F5" w:rsidRPr="00797208" w:rsidRDefault="00FC28F5" w:rsidP="00FC28F5">
      <w:pPr>
        <w:pStyle w:val="Prrafodelista"/>
        <w:numPr>
          <w:ilvl w:val="0"/>
          <w:numId w:val="4"/>
        </w:numPr>
        <w:spacing w:after="0" w:line="240" w:lineRule="auto"/>
        <w:ind w:left="709" w:right="709" w:hanging="425"/>
        <w:jc w:val="both"/>
        <w:rPr>
          <w:rFonts w:ascii="Verdana" w:hAnsi="Verdana" w:cs="Arial"/>
          <w:bCs/>
          <w:sz w:val="20"/>
          <w:szCs w:val="20"/>
          <w:lang w:eastAsia="es-ES" w:bidi="es-ES"/>
        </w:rPr>
      </w:pPr>
      <w:r w:rsidRPr="00797208">
        <w:rPr>
          <w:rFonts w:ascii="Verdana" w:hAnsi="Verdana" w:cs="Arial"/>
          <w:bCs/>
          <w:sz w:val="20"/>
          <w:szCs w:val="20"/>
          <w:lang w:eastAsia="es-ES" w:bidi="es-ES"/>
        </w:rPr>
        <w:t>los procesos de concesion de alumbrado publico para aperturar el proceso es obligacion de la entidad tener un certificado de disponibilidad presupuestal o si solo con el acuerdo por medio del cual se compromete vigencias futuras del impuesto de alumbrado público?</w:t>
      </w:r>
    </w:p>
    <w:p w14:paraId="03E715BC" w14:textId="77777777" w:rsidR="00FC28F5" w:rsidRPr="00A147BA" w:rsidRDefault="00FC28F5" w:rsidP="00FC28F5">
      <w:pPr>
        <w:pStyle w:val="Prrafodelista"/>
        <w:spacing w:after="0" w:line="240" w:lineRule="auto"/>
        <w:ind w:left="1069" w:right="709"/>
        <w:jc w:val="both"/>
        <w:rPr>
          <w:rFonts w:ascii="Verdana" w:hAnsi="Verdana" w:cs="Arial"/>
          <w:bCs/>
          <w:sz w:val="20"/>
          <w:szCs w:val="20"/>
          <w:lang w:eastAsia="es-ES" w:bidi="es-ES"/>
        </w:rPr>
      </w:pPr>
    </w:p>
    <w:p w14:paraId="5339898A" w14:textId="77777777" w:rsidR="00FC28F5" w:rsidRDefault="00FC28F5" w:rsidP="00FC28F5">
      <w:pPr>
        <w:pStyle w:val="Prrafodelista"/>
        <w:numPr>
          <w:ilvl w:val="0"/>
          <w:numId w:val="4"/>
        </w:numPr>
        <w:spacing w:after="0" w:line="240" w:lineRule="auto"/>
        <w:ind w:left="709" w:right="709"/>
        <w:jc w:val="both"/>
        <w:rPr>
          <w:rFonts w:ascii="Verdana" w:hAnsi="Verdana" w:cs="Arial"/>
          <w:bCs/>
          <w:sz w:val="20"/>
          <w:szCs w:val="20"/>
          <w:lang w:eastAsia="es-ES" w:bidi="es-ES"/>
        </w:rPr>
      </w:pPr>
      <w:r w:rsidRPr="00A147BA">
        <w:rPr>
          <w:rFonts w:ascii="Verdana" w:hAnsi="Verdana" w:cs="Arial"/>
          <w:bCs/>
          <w:sz w:val="20"/>
          <w:szCs w:val="20"/>
          <w:lang w:eastAsia="es-ES" w:bidi="es-ES"/>
        </w:rPr>
        <w:lastRenderedPageBreak/>
        <w:t>El valor del contrato de concesion seria el valor de la inversion inicial ofertada por el contratista? o cual sería?</w:t>
      </w:r>
    </w:p>
    <w:p w14:paraId="615E4E78" w14:textId="77777777" w:rsidR="00FC28F5" w:rsidRPr="00797208" w:rsidRDefault="00FC28F5" w:rsidP="00FC28F5">
      <w:pPr>
        <w:pStyle w:val="Prrafodelista"/>
        <w:rPr>
          <w:rFonts w:ascii="Verdana" w:hAnsi="Verdana" w:cs="Arial"/>
          <w:bCs/>
          <w:sz w:val="20"/>
          <w:szCs w:val="20"/>
          <w:lang w:eastAsia="es-ES" w:bidi="es-ES"/>
        </w:rPr>
      </w:pPr>
    </w:p>
    <w:p w14:paraId="79F53B8A" w14:textId="77777777" w:rsidR="00FC28F5" w:rsidRPr="00797208" w:rsidRDefault="00FC28F5" w:rsidP="00FC28F5">
      <w:pPr>
        <w:pStyle w:val="Prrafodelista"/>
        <w:numPr>
          <w:ilvl w:val="0"/>
          <w:numId w:val="4"/>
        </w:numPr>
        <w:spacing w:after="0" w:line="240" w:lineRule="auto"/>
        <w:ind w:left="709" w:right="709"/>
        <w:jc w:val="both"/>
        <w:rPr>
          <w:rFonts w:ascii="Verdana" w:hAnsi="Verdana" w:cs="Arial"/>
          <w:bCs/>
          <w:sz w:val="20"/>
          <w:szCs w:val="20"/>
          <w:lang w:eastAsia="es-ES" w:bidi="es-ES"/>
        </w:rPr>
      </w:pPr>
      <w:r w:rsidRPr="00797208">
        <w:rPr>
          <w:rFonts w:ascii="Verdana" w:hAnsi="Verdana" w:cs="Arial"/>
          <w:bCs/>
          <w:sz w:val="20"/>
          <w:szCs w:val="20"/>
          <w:lang w:eastAsia="es-ES" w:bidi="es-ES"/>
        </w:rPr>
        <w:t xml:space="preserve">para efectos de la expedicion de polizas de cumplimiento y </w:t>
      </w:r>
      <w:r w:rsidRPr="00A147BA">
        <w:rPr>
          <w:rFonts w:ascii="Verdana" w:hAnsi="Verdana" w:cs="Arial"/>
          <w:bCs/>
          <w:sz w:val="20"/>
          <w:szCs w:val="20"/>
          <w:lang w:eastAsia="es-ES" w:bidi="es-ES"/>
        </w:rPr>
        <w:t xml:space="preserve">responsabilidad fiscal de un contrato de concesión, como se </w:t>
      </w:r>
      <w:r w:rsidRPr="00797208">
        <w:rPr>
          <w:rFonts w:ascii="Verdana" w:hAnsi="Verdana" w:cs="Arial"/>
          <w:bCs/>
          <w:sz w:val="20"/>
          <w:szCs w:val="20"/>
          <w:lang w:eastAsia="es-ES" w:bidi="es-ES"/>
        </w:rPr>
        <w:t xml:space="preserve">determinaría </w:t>
      </w:r>
      <w:r w:rsidRPr="00A147BA">
        <w:rPr>
          <w:rFonts w:ascii="Verdana" w:hAnsi="Verdana" w:cs="Arial"/>
          <w:bCs/>
          <w:sz w:val="20"/>
          <w:szCs w:val="20"/>
          <w:lang w:eastAsia="es-ES" w:bidi="es-ES"/>
        </w:rPr>
        <w:t>el valor anual de estas? seria el valor de la inversion dividida por el plazo</w:t>
      </w:r>
      <w:r w:rsidRPr="00797208">
        <w:rPr>
          <w:rFonts w:ascii="Verdana" w:hAnsi="Verdana" w:cs="Arial"/>
          <w:bCs/>
          <w:sz w:val="20"/>
          <w:szCs w:val="20"/>
          <w:lang w:eastAsia="es-ES" w:bidi="es-ES"/>
        </w:rPr>
        <w:t xml:space="preserve"> del contrato o como se tomaria el valor fiscal del contrato.”</w:t>
      </w:r>
    </w:p>
    <w:p w14:paraId="4FFA1731" w14:textId="77777777" w:rsidR="00FC28F5" w:rsidRPr="002675E7" w:rsidRDefault="00FC28F5" w:rsidP="00FC28F5">
      <w:pPr>
        <w:spacing w:after="0" w:line="240" w:lineRule="auto"/>
        <w:ind w:left="709" w:right="709"/>
        <w:jc w:val="both"/>
        <w:rPr>
          <w:rFonts w:ascii="Verdana" w:hAnsi="Verdana" w:cs="Arial"/>
          <w:b/>
          <w:bCs/>
          <w:lang w:eastAsia="es-ES" w:bidi="es-ES"/>
        </w:rPr>
      </w:pPr>
    </w:p>
    <w:p w14:paraId="48588898" w14:textId="77777777" w:rsidR="00FC28F5" w:rsidRPr="002675E7" w:rsidRDefault="00FC28F5" w:rsidP="00FC28F5">
      <w:pPr>
        <w:spacing w:after="120" w:line="276" w:lineRule="auto"/>
        <w:jc w:val="both"/>
        <w:rPr>
          <w:rFonts w:ascii="Verdana" w:eastAsia="Calibri" w:hAnsi="Verdana" w:cs="Times New Roman"/>
          <w:lang w:val="es-ES"/>
        </w:rPr>
      </w:pPr>
      <w:r w:rsidRPr="002675E7">
        <w:rPr>
          <w:rFonts w:ascii="Verdana" w:eastAsia="Calibri" w:hAnsi="Verdana" w:cs="Times New Roman"/>
          <w:lang w:val="es-ES"/>
        </w:rPr>
        <w:t>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ni a determinar grados de responsabilidad por las actuaciones de los diferentes participes del sistema de compra pública.</w:t>
      </w:r>
    </w:p>
    <w:p w14:paraId="077D083D" w14:textId="77777777" w:rsidR="00FC28F5" w:rsidRPr="002675E7" w:rsidRDefault="00FC28F5" w:rsidP="00FC28F5">
      <w:pPr>
        <w:spacing w:after="0" w:line="276" w:lineRule="auto"/>
        <w:ind w:firstLine="708"/>
        <w:jc w:val="both"/>
        <w:rPr>
          <w:rFonts w:ascii="Verdana" w:eastAsia="Calibri" w:hAnsi="Verdana" w:cs="Times New Roman"/>
          <w:lang w:val="es-ES"/>
        </w:rPr>
      </w:pPr>
      <w:r w:rsidRPr="002675E7">
        <w:rPr>
          <w:rFonts w:ascii="Verdana" w:eastAsia="Calibri" w:hAnsi="Verdana" w:cs="Times New Roman"/>
          <w:lang w:val="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los problemas jurídicos de su consulta.</w:t>
      </w:r>
    </w:p>
    <w:p w14:paraId="62B1B78B" w14:textId="77777777" w:rsidR="00FC28F5" w:rsidRPr="002675E7" w:rsidRDefault="00FC28F5" w:rsidP="00FC28F5">
      <w:pPr>
        <w:spacing w:after="0" w:line="256" w:lineRule="auto"/>
        <w:rPr>
          <w:rFonts w:ascii="Verdana" w:eastAsia="Calibri" w:hAnsi="Verdana" w:cs="Times New Roman"/>
          <w:lang w:val="es-ES"/>
        </w:rPr>
      </w:pPr>
    </w:p>
    <w:p w14:paraId="56DB2FDA" w14:textId="77777777" w:rsidR="00FC28F5" w:rsidRPr="002675E7" w:rsidRDefault="00FC28F5" w:rsidP="00FC28F5">
      <w:pPr>
        <w:numPr>
          <w:ilvl w:val="0"/>
          <w:numId w:val="2"/>
        </w:numPr>
        <w:spacing w:after="0" w:line="256" w:lineRule="auto"/>
        <w:contextualSpacing/>
        <w:rPr>
          <w:rFonts w:ascii="Verdana" w:eastAsia="Calibri" w:hAnsi="Verdana" w:cs="Times New Roman"/>
          <w:b/>
          <w:bCs/>
          <w:lang w:val="es-ES"/>
        </w:rPr>
      </w:pPr>
      <w:r w:rsidRPr="002675E7">
        <w:rPr>
          <w:rFonts w:ascii="Verdana" w:eastAsia="Calibri" w:hAnsi="Verdana" w:cs="Times New Roman"/>
          <w:b/>
          <w:bCs/>
          <w:lang w:val="es-ES"/>
        </w:rPr>
        <w:t>Problema planteado:</w:t>
      </w:r>
    </w:p>
    <w:p w14:paraId="31C7AEAA" w14:textId="77777777" w:rsidR="00FC28F5" w:rsidRPr="002675E7" w:rsidRDefault="00FC28F5" w:rsidP="00FC28F5">
      <w:pPr>
        <w:spacing w:after="0" w:line="256" w:lineRule="auto"/>
        <w:rPr>
          <w:rFonts w:ascii="Verdana" w:eastAsia="Calibri" w:hAnsi="Verdana" w:cs="Times New Roman"/>
        </w:rPr>
      </w:pPr>
    </w:p>
    <w:p w14:paraId="54847BE2" w14:textId="77777777" w:rsidR="00FC28F5" w:rsidRPr="002675E7" w:rsidRDefault="00FC28F5" w:rsidP="00FC28F5">
      <w:pPr>
        <w:spacing w:after="0" w:line="276" w:lineRule="auto"/>
        <w:jc w:val="both"/>
        <w:rPr>
          <w:rFonts w:ascii="Verdana" w:eastAsia="Calibri" w:hAnsi="Verdana" w:cs="Times New Roman"/>
        </w:rPr>
      </w:pPr>
      <w:r w:rsidRPr="002675E7">
        <w:rPr>
          <w:rFonts w:ascii="Verdana" w:eastAsia="Calibri" w:hAnsi="Verdana" w:cs="Times New Roman"/>
        </w:rPr>
        <w:t xml:space="preserve">De acuerdo con el contenido de sus solicitudes, esta Agencia procede a condensarlas en los siguientes problemas jurídicos: </w:t>
      </w:r>
      <w:r>
        <w:rPr>
          <w:rFonts w:ascii="Verdana" w:eastAsia="Calibri" w:hAnsi="Verdana" w:cs="Times New Roman"/>
        </w:rPr>
        <w:t xml:space="preserve">En los procesos de concesión de alumbrado público; </w:t>
      </w:r>
      <w:r w:rsidRPr="00E033E2">
        <w:rPr>
          <w:rFonts w:ascii="Verdana" w:eastAsia="Calibri" w:hAnsi="Verdana" w:cs="Times New Roman"/>
        </w:rPr>
        <w:t>i) ¿Es necesaria la expedición del Certificado de Disponibilidad Presupuestal por el valor total de contrato para aperturar e proceso de selección?, ii) ¿Cuál debería ser el valor del contrato, teniendo en cuenta que los aportes están divididos por la naturaleza del contrato?, iii) ¿Cómo opera la expedición de garantías para este tipo de contratos?</w:t>
      </w:r>
    </w:p>
    <w:p w14:paraId="5D4BD903" w14:textId="77777777" w:rsidR="00FC28F5" w:rsidRPr="002675E7" w:rsidRDefault="00FC28F5" w:rsidP="00FC28F5">
      <w:pPr>
        <w:numPr>
          <w:ilvl w:val="0"/>
          <w:numId w:val="2"/>
        </w:numPr>
        <w:spacing w:after="0" w:line="276" w:lineRule="auto"/>
        <w:contextualSpacing/>
        <w:rPr>
          <w:rFonts w:ascii="Verdana" w:eastAsia="Calibri" w:hAnsi="Verdana" w:cs="Times New Roman"/>
          <w:b/>
          <w:bCs/>
          <w:lang w:val="es-ES"/>
        </w:rPr>
      </w:pPr>
      <w:r w:rsidRPr="002675E7">
        <w:rPr>
          <w:rFonts w:ascii="Verdana" w:eastAsia="Calibri" w:hAnsi="Verdana" w:cs="Times New Roman"/>
          <w:b/>
          <w:bCs/>
          <w:lang w:val="es-ES"/>
        </w:rPr>
        <w:lastRenderedPageBreak/>
        <w:t>Respuesta:</w:t>
      </w:r>
    </w:p>
    <w:p w14:paraId="41D11EA2" w14:textId="77777777" w:rsidR="00FC28F5" w:rsidRPr="002675E7" w:rsidRDefault="00FC28F5" w:rsidP="00FC28F5">
      <w:pPr>
        <w:spacing w:after="0" w:line="276" w:lineRule="auto"/>
        <w:jc w:val="both"/>
        <w:rPr>
          <w:rFonts w:ascii="Verdana" w:hAnsi="Verdana" w:cs="Arial"/>
          <w:bCs/>
          <w:lang w:val="es-ES" w:eastAsia="es-ES" w:bidi="es-ES"/>
        </w:rPr>
      </w:pPr>
    </w:p>
    <w:tbl>
      <w:tblPr>
        <w:tblStyle w:val="Tablaconcuadrcula1"/>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FC28F5" w:rsidRPr="002675E7" w14:paraId="3D71BA2C" w14:textId="77777777" w:rsidTr="00572D33">
        <w:trPr>
          <w:trHeight w:val="870"/>
          <w:jc w:val="center"/>
        </w:trPr>
        <w:tc>
          <w:tcPr>
            <w:tcW w:w="8647" w:type="dxa"/>
          </w:tcPr>
          <w:p w14:paraId="0E90FED4" w14:textId="77777777" w:rsidR="00FC28F5" w:rsidRPr="00354BFB" w:rsidRDefault="00FC28F5" w:rsidP="00572D33">
            <w:pPr>
              <w:tabs>
                <w:tab w:val="left" w:pos="284"/>
              </w:tabs>
              <w:spacing w:after="120" w:line="276" w:lineRule="auto"/>
              <w:jc w:val="both"/>
              <w:rPr>
                <w:rFonts w:ascii="Verdana" w:eastAsia="Calibri" w:hAnsi="Verdana" w:cs="Arial"/>
                <w:lang w:val="es-ES_tradnl"/>
              </w:rPr>
            </w:pPr>
            <w:r w:rsidRPr="00493989">
              <w:rPr>
                <w:rFonts w:ascii="Verdana" w:hAnsi="Verdana"/>
                <w:b/>
                <w:bCs/>
              </w:rPr>
              <w:t>i</w:t>
            </w:r>
            <w:r w:rsidRPr="00354BFB">
              <w:rPr>
                <w:rFonts w:ascii="Verdana" w:hAnsi="Verdana"/>
              </w:rPr>
              <w:t>.</w:t>
            </w:r>
            <w:r>
              <w:rPr>
                <w:rFonts w:ascii="Verdana" w:hAnsi="Verdana"/>
              </w:rPr>
              <w:t xml:space="preserve"> </w:t>
            </w:r>
            <w:r w:rsidRPr="00354BFB">
              <w:rPr>
                <w:rFonts w:ascii="Verdana" w:hAnsi="Verdana"/>
              </w:rPr>
              <w:t xml:space="preserve">La prestación del servicio de alumbrado público es una función que le compete cumplir a los municipios y distritos, quienes podrán cumplirla de forma directa o través de empresas de servicios públicos domiciliarios u otros prestadores de este servicio </w:t>
            </w:r>
            <w:r w:rsidRPr="00354BFB">
              <w:rPr>
                <w:rFonts w:ascii="Verdana" w:hAnsi="Verdana" w:cs="Arial"/>
              </w:rPr>
              <w:t>que demuestren idoneidad en la prestación del mismo</w:t>
            </w:r>
            <w:r w:rsidRPr="004E584E">
              <w:rPr>
                <w:rFonts w:eastAsia="Calibri" w:cs="Arial"/>
                <w:vertAlign w:val="superscript"/>
                <w:lang w:val="es-ES_tradnl"/>
              </w:rPr>
              <w:footnoteReference w:id="1"/>
            </w:r>
            <w:r w:rsidRPr="00354BFB">
              <w:rPr>
                <w:rFonts w:ascii="Verdana" w:eastAsia="Calibri" w:hAnsi="Verdana" w:cs="Arial"/>
                <w:lang w:val="es-ES_tradnl"/>
              </w:rPr>
              <w:t>.</w:t>
            </w:r>
          </w:p>
          <w:p w14:paraId="6B8CB38D" w14:textId="77777777" w:rsidR="00FC28F5" w:rsidRDefault="00FC28F5" w:rsidP="00572D33">
            <w:pPr>
              <w:spacing w:before="120" w:after="120" w:line="276" w:lineRule="auto"/>
              <w:jc w:val="both"/>
              <w:rPr>
                <w:rFonts w:ascii="Verdana" w:hAnsi="Verdana"/>
              </w:rPr>
            </w:pPr>
            <w:r w:rsidRPr="004E584E">
              <w:rPr>
                <w:rFonts w:ascii="Verdana" w:eastAsia="Calibri" w:hAnsi="Verdana" w:cs="Arial"/>
                <w:lang w:val="es-ES_tradnl"/>
              </w:rPr>
              <w:tab/>
            </w:r>
            <w:r w:rsidRPr="004E584E">
              <w:rPr>
                <w:rFonts w:ascii="Verdana" w:hAnsi="Verdana"/>
              </w:rPr>
              <w:t xml:space="preserve">En relación con el régimen de contratación aplicable a los contratos, celebrados con terceros por los municipios y distritos, para la prestación del servicio de alumbrado público, el artículo 2.2.3.6.1.4. del referido Decreto dispone que éstos se someten al Estatuto General de Contratación de la Administración Pública.  </w:t>
            </w:r>
          </w:p>
          <w:p w14:paraId="0FD10C55" w14:textId="77777777" w:rsidR="00FC28F5" w:rsidRDefault="00FC28F5" w:rsidP="00572D33">
            <w:pPr>
              <w:spacing w:before="120" w:after="120" w:line="276" w:lineRule="auto"/>
              <w:ind w:firstLine="738"/>
              <w:jc w:val="both"/>
              <w:rPr>
                <w:rFonts w:ascii="Verdana" w:hAnsi="Verdana"/>
              </w:rPr>
            </w:pPr>
            <w:r w:rsidRPr="004E584E">
              <w:rPr>
                <w:rFonts w:ascii="Verdana" w:hAnsi="Verdana"/>
              </w:rPr>
              <w:t>Esto significa que los referidos contratos se someten a lo dispuesto en el artículo 32 de la Ley 80 de 1993, que, entre otros tipos contractuales, define el contrato de concesión; así como al artículo 2 de la Ley 1150 de 2007, que regula los procedimientos de selección</w:t>
            </w:r>
            <w:r>
              <w:rPr>
                <w:rFonts w:ascii="Verdana" w:hAnsi="Verdana"/>
              </w:rPr>
              <w:t xml:space="preserve">, y en este sentido, les aplica también lo consagrado por </w:t>
            </w:r>
            <w:r w:rsidRPr="004E584E">
              <w:rPr>
                <w:rFonts w:ascii="Verdana" w:hAnsi="Verdana"/>
              </w:rPr>
              <w:t>el artículo 29 de la Ley 1150 de 2007</w:t>
            </w:r>
            <w:r>
              <w:rPr>
                <w:rFonts w:ascii="Verdana" w:hAnsi="Verdana"/>
              </w:rPr>
              <w:t>.</w:t>
            </w:r>
          </w:p>
          <w:p w14:paraId="61D2BFC4" w14:textId="77777777" w:rsidR="00FC28F5" w:rsidRPr="004E584E" w:rsidRDefault="00FC28F5" w:rsidP="00572D33">
            <w:pPr>
              <w:widowControl w:val="0"/>
              <w:autoSpaceDE w:val="0"/>
              <w:autoSpaceDN w:val="0"/>
              <w:spacing w:after="120" w:line="276" w:lineRule="auto"/>
              <w:ind w:firstLine="708"/>
              <w:jc w:val="both"/>
              <w:rPr>
                <w:rFonts w:ascii="Verdana" w:hAnsi="Verdana" w:cs="Arial"/>
              </w:rPr>
            </w:pPr>
            <w:r w:rsidRPr="004E584E">
              <w:rPr>
                <w:rFonts w:ascii="Verdana" w:hAnsi="Verdana" w:cs="Arial"/>
              </w:rPr>
              <w:t xml:space="preserve">De modo que, por expresa disposición legal, los municipios y distritos pueden celebrar contratos de concesión para la prestación del servicio de alumbrado público, los cuales se someten a las reglas previstas para el efecto en el Estatuto General de Contratación de la Administración Pública y deben observar el mandato perentorio contenido en el artículo 29 de la Ley 1150 </w:t>
            </w:r>
            <w:r w:rsidRPr="004E584E">
              <w:rPr>
                <w:rFonts w:ascii="Verdana" w:hAnsi="Verdana" w:cs="Arial"/>
              </w:rPr>
              <w:lastRenderedPageBreak/>
              <w:t xml:space="preserve">de 2007 en relación con la obligatoriedad de contar con una interventoría idónea, esto es, en los términos del artículo 83 de la Ley 1474 de 2011, consistente en </w:t>
            </w:r>
            <w:r w:rsidRPr="009C21AD">
              <w:rPr>
                <w:rFonts w:ascii="Verdana" w:hAnsi="Verdana" w:cs="Arial"/>
              </w:rPr>
              <w:t>“</w:t>
            </w:r>
            <w:r w:rsidRPr="004E584E">
              <w:rPr>
                <w:rFonts w:ascii="Verdana" w:hAnsi="Verdana" w:cs="Arial"/>
              </w:rPr>
              <w:t>[…] el seguimiento técnico que sobre el cumplimiento del contrato realice una persona natural o jurídica contratada para tal fin por la Entidad Estatal, cuando el seguimiento del contrato suponga conocimiento especializado en la materia, o cuando la complejidad o la extensión del mismo lo justifiquen</w:t>
            </w:r>
            <w:r w:rsidRPr="009C21AD">
              <w:rPr>
                <w:rFonts w:ascii="Verdana" w:hAnsi="Verdana" w:cs="Arial"/>
              </w:rPr>
              <w:t>”</w:t>
            </w:r>
            <w:r w:rsidRPr="004E584E">
              <w:rPr>
                <w:rFonts w:ascii="Verdana" w:hAnsi="Verdana" w:cs="Arial"/>
              </w:rPr>
              <w:t xml:space="preserve">. </w:t>
            </w:r>
          </w:p>
          <w:p w14:paraId="6D13A674" w14:textId="77777777" w:rsidR="00FC28F5" w:rsidRPr="00D854E7" w:rsidRDefault="00FC28F5" w:rsidP="00572D33">
            <w:pPr>
              <w:widowControl w:val="0"/>
              <w:autoSpaceDE w:val="0"/>
              <w:autoSpaceDN w:val="0"/>
              <w:spacing w:after="120" w:line="276" w:lineRule="auto"/>
              <w:ind w:firstLine="708"/>
              <w:jc w:val="both"/>
              <w:rPr>
                <w:rFonts w:ascii="Verdana" w:hAnsi="Verdana" w:cs="Arial"/>
              </w:rPr>
            </w:pPr>
            <w:r w:rsidRPr="004E584E">
              <w:rPr>
                <w:rFonts w:ascii="Verdana" w:hAnsi="Verdana" w:cs="Arial"/>
              </w:rPr>
              <w:t>Mediante la celebración de contratos de concesión, las entidades públicas reciben el apoyo de los particulares para el cumplimiento de los fines del Estado, permitiendo que aquellos exploten, operen, organicen, construyan, conserven o gestionen un determinado bien o servicio de propiedad estatal, en la medida de lo posible con sus propios recursos privados y con la oportunidad de recuperar su inversión en el futuro</w:t>
            </w:r>
            <w:r w:rsidRPr="004E584E">
              <w:rPr>
                <w:rFonts w:ascii="Verdana" w:eastAsia="Calibri" w:hAnsi="Verdana" w:cs="Arial"/>
                <w:bCs/>
                <w:vertAlign w:val="superscript"/>
                <w:lang w:val="es-ES_tradnl"/>
              </w:rPr>
              <w:footnoteReference w:id="2"/>
            </w:r>
            <w:r w:rsidRPr="004E584E">
              <w:rPr>
                <w:rFonts w:ascii="Verdana" w:eastAsia="Calibri" w:hAnsi="Verdana" w:cs="Arial"/>
                <w:bCs/>
                <w:lang w:val="es-ES_tradnl"/>
              </w:rPr>
              <w:t xml:space="preserve">. </w:t>
            </w:r>
          </w:p>
          <w:p w14:paraId="25E5B1B2" w14:textId="77777777" w:rsidR="00FC28F5" w:rsidRPr="004E584E" w:rsidRDefault="00FC28F5" w:rsidP="00572D33">
            <w:pPr>
              <w:widowControl w:val="0"/>
              <w:autoSpaceDE w:val="0"/>
              <w:autoSpaceDN w:val="0"/>
              <w:spacing w:after="120" w:line="276" w:lineRule="auto"/>
              <w:ind w:firstLine="708"/>
              <w:jc w:val="both"/>
              <w:rPr>
                <w:rFonts w:ascii="Verdana" w:hAnsi="Verdana" w:cs="Arial"/>
              </w:rPr>
            </w:pPr>
            <w:r w:rsidRPr="004E584E">
              <w:rPr>
                <w:rFonts w:ascii="Verdana" w:hAnsi="Verdana" w:cs="Arial"/>
              </w:rPr>
              <w:t xml:space="preserve">En esas condiciones, conforme a las normas vigentes y a la interpretación que la jurisprudencia contencioso-administrativa le ha dado a su alcance, los contratos de concesión del servicio de alumbrado público se someten a las reglas fijadas para su celebración y ejecución en el Estatuto General de Contratación Pública, que se complementan con la previsión específica del artículo 55 de la Ley 143 del 1994, según la cual en este tipo de contratos siempre se requerirá de oferta pública. </w:t>
            </w:r>
          </w:p>
          <w:p w14:paraId="77DEAF62" w14:textId="77777777" w:rsidR="00FC28F5" w:rsidRDefault="00FC28F5" w:rsidP="00572D33">
            <w:pPr>
              <w:spacing w:after="120" w:line="276" w:lineRule="auto"/>
              <w:jc w:val="both"/>
              <w:rPr>
                <w:rFonts w:ascii="Verdana" w:eastAsia="Calibri" w:hAnsi="Verdana" w:cs="Arial"/>
                <w:lang w:val="es-ES"/>
              </w:rPr>
            </w:pPr>
            <w:r w:rsidRPr="00447978">
              <w:rPr>
                <w:rFonts w:ascii="Verdana" w:eastAsia="Verdana" w:hAnsi="Verdana" w:cs="Verdana"/>
                <w:b/>
                <w:bCs/>
                <w:lang w:val="es-ES"/>
              </w:rPr>
              <w:t>ii</w:t>
            </w:r>
            <w:r w:rsidRPr="002675E7">
              <w:rPr>
                <w:rFonts w:ascii="Verdana" w:eastAsia="Verdana" w:hAnsi="Verdana" w:cs="Verdana"/>
                <w:lang w:val="es-ES"/>
              </w:rPr>
              <w:t xml:space="preserve">. </w:t>
            </w:r>
            <w:r>
              <w:rPr>
                <w:rFonts w:ascii="Verdana" w:eastAsia="Verdana" w:hAnsi="Verdana" w:cs="Verdana"/>
                <w:lang w:val="es-ES"/>
              </w:rPr>
              <w:t>Ahora bien, teniendo en cuenta la naturaleza del contrato de concesión, se expondrá de manera relevante el tratamiento para las vigencias futuras y el manejo presupuestal en este tipo de contratos.</w:t>
            </w:r>
          </w:p>
          <w:p w14:paraId="34FB4BDF" w14:textId="77777777" w:rsidR="00FC28F5" w:rsidRPr="00D069D8" w:rsidRDefault="00FC28F5" w:rsidP="00572D33">
            <w:pPr>
              <w:shd w:val="clear" w:color="auto" w:fill="FFFFFF" w:themeFill="background1"/>
              <w:spacing w:after="120" w:line="276" w:lineRule="auto"/>
              <w:ind w:right="51" w:firstLine="709"/>
              <w:jc w:val="both"/>
              <w:rPr>
                <w:rFonts w:ascii="Verdana" w:eastAsia="Calibri" w:hAnsi="Verdana" w:cs="Arial"/>
                <w:color w:val="000000" w:themeColor="text1"/>
                <w:lang w:val="es-ES"/>
              </w:rPr>
            </w:pPr>
            <w:r>
              <w:rPr>
                <w:rFonts w:ascii="Verdana" w:eastAsia="Calibri" w:hAnsi="Verdana" w:cs="Arial"/>
                <w:color w:val="000000" w:themeColor="text1"/>
                <w:lang w:val="es-ES"/>
              </w:rPr>
              <w:t>L</w:t>
            </w:r>
            <w:r w:rsidRPr="00D069D8">
              <w:rPr>
                <w:rFonts w:ascii="Verdana" w:eastAsia="Calibri" w:hAnsi="Verdana" w:cs="Arial"/>
                <w:color w:val="000000" w:themeColor="text1"/>
                <w:lang w:val="es-ES"/>
              </w:rPr>
              <w:t xml:space="preserve">a anualidad del gasto es uno de los principios rectores de la actividad contractual pública, conforme al cual las entidades deben planear sus contrataciones de manera que sus compromisos contractuales sean atendidos durante la respectiva vigencia fiscal comprendida entre el 1 de </w:t>
            </w:r>
            <w:r w:rsidRPr="00D069D8">
              <w:rPr>
                <w:rFonts w:ascii="Verdana" w:eastAsia="Calibri" w:hAnsi="Verdana" w:cs="Arial"/>
                <w:color w:val="000000" w:themeColor="text1"/>
                <w:lang w:val="es-ES"/>
              </w:rPr>
              <w:lastRenderedPageBreak/>
              <w:t>enero y el 31 de diciembre. En este sentido, la regla general es que las Entidades Estatales solo pueden adquirir compromisos presupuestales que no excedan en su ejecución la vigencia fiscal en la que se suscribe el respectivo contrato.</w:t>
            </w:r>
          </w:p>
          <w:p w14:paraId="279A7ADC" w14:textId="77777777" w:rsidR="00FC28F5" w:rsidRDefault="00FC28F5" w:rsidP="00572D33">
            <w:pPr>
              <w:spacing w:before="120" w:after="120" w:line="276" w:lineRule="auto"/>
              <w:ind w:firstLine="738"/>
              <w:jc w:val="both"/>
              <w:rPr>
                <w:rFonts w:ascii="Verdana" w:eastAsia="Calibri" w:hAnsi="Verdana" w:cs="Arial"/>
                <w:color w:val="000000" w:themeColor="text1"/>
              </w:rPr>
            </w:pPr>
            <w:r w:rsidRPr="00D069D8">
              <w:rPr>
                <w:rFonts w:ascii="Verdana" w:eastAsia="Calibri" w:hAnsi="Verdana" w:cs="Arial"/>
                <w:color w:val="000000" w:themeColor="text1"/>
                <w:lang w:val="es-ES_tradnl"/>
              </w:rPr>
              <w:t xml:space="preserve">No obstante, conforme lo ha señalado el Consejo de Estado, el principio de anualidad no es absoluto </w:t>
            </w:r>
            <w:r w:rsidRPr="00D069D8">
              <w:rPr>
                <w:rFonts w:ascii="Verdana" w:eastAsia="Calibri" w:hAnsi="Verdana" w:cs="Arial"/>
                <w:color w:val="000000" w:themeColor="text1"/>
              </w:rPr>
              <w:t xml:space="preserve">en </w:t>
            </w:r>
            <w:r w:rsidRPr="00D069D8">
              <w:rPr>
                <w:rFonts w:ascii="Verdana" w:eastAsia="Calibri" w:hAnsi="Verdana" w:cs="Arial"/>
              </w:rPr>
              <w:t>“</w:t>
            </w:r>
            <w:r w:rsidRPr="00D069D8">
              <w:rPr>
                <w:rFonts w:ascii="Verdana" w:eastAsia="Calibri" w:hAnsi="Verdana" w:cs="Arial"/>
                <w:color w:val="000000" w:themeColor="text1"/>
              </w:rPr>
              <w:t>la medida en que la actividad presupuestal está íntimamente ligada con el principio de planeación, la cual normalmente es efectuada para periodos que superan el año calendario</w:t>
            </w:r>
            <w:r>
              <w:rPr>
                <w:rFonts w:ascii="Verdana" w:eastAsia="Calibri" w:hAnsi="Verdana" w:cs="Arial"/>
                <w:color w:val="000000" w:themeColor="text1"/>
              </w:rPr>
              <w:t xml:space="preserve">. </w:t>
            </w:r>
          </w:p>
          <w:p w14:paraId="6C682362" w14:textId="77777777" w:rsidR="00FC28F5" w:rsidRDefault="00FC28F5" w:rsidP="00572D33">
            <w:pPr>
              <w:shd w:val="clear" w:color="auto" w:fill="FFFFFF" w:themeFill="background1"/>
              <w:spacing w:after="120" w:line="276" w:lineRule="auto"/>
              <w:ind w:right="51" w:firstLine="709"/>
              <w:jc w:val="both"/>
              <w:rPr>
                <w:rFonts w:ascii="Verdana" w:eastAsia="Calibri" w:hAnsi="Verdana" w:cs="Arial"/>
                <w:color w:val="000000" w:themeColor="text1"/>
                <w:lang w:val="es-ES"/>
              </w:rPr>
            </w:pPr>
            <w:r w:rsidRPr="25391C55">
              <w:rPr>
                <w:rFonts w:ascii="Verdana" w:eastAsia="Calibri" w:hAnsi="Verdana" w:cs="Arial"/>
                <w:color w:val="000000" w:themeColor="text1"/>
                <w:lang w:val="es-ES"/>
              </w:rPr>
              <w:t xml:space="preserve">Dentro de los mecanismos presupuestales que constituyen excepciones al principio de anualidad se identifican: i) las vigencias futuras, ii) las cuentas por pagar y iii) las reservas presupuestales. Las </w:t>
            </w:r>
            <w:r w:rsidRPr="25391C55">
              <w:rPr>
                <w:rFonts w:ascii="Verdana" w:eastAsia="Calibri" w:hAnsi="Verdana" w:cs="Arial"/>
                <w:i/>
                <w:color w:val="000000" w:themeColor="text1"/>
                <w:lang w:val="es-ES"/>
              </w:rPr>
              <w:t>primeras</w:t>
            </w:r>
            <w:r w:rsidRPr="25391C55">
              <w:rPr>
                <w:rFonts w:ascii="Verdana" w:eastAsia="Calibri" w:hAnsi="Verdana" w:cs="Arial"/>
                <w:color w:val="000000" w:themeColor="text1"/>
                <w:lang w:val="es-ES"/>
              </w:rPr>
              <w:t>, de conformidad con el artículo 23 del Estatuto Orgánico del Presupuesto</w:t>
            </w:r>
            <w:r w:rsidRPr="25391C55">
              <w:rPr>
                <w:rFonts w:ascii="Verdana" w:eastAsia="Calibri" w:hAnsi="Verdana" w:cs="Arial"/>
                <w:color w:val="000000" w:themeColor="text1"/>
                <w:vertAlign w:val="superscript"/>
                <w:lang w:val="es-ES"/>
              </w:rPr>
              <w:footnoteReference w:id="3"/>
            </w:r>
            <w:r w:rsidRPr="25391C55">
              <w:rPr>
                <w:rFonts w:ascii="Verdana" w:eastAsia="Calibri" w:hAnsi="Verdana" w:cs="Arial"/>
                <w:i/>
                <w:color w:val="000000" w:themeColor="text1"/>
                <w:lang w:val="es-ES"/>
              </w:rPr>
              <w:t xml:space="preserve">, </w:t>
            </w:r>
            <w:r w:rsidRPr="25391C55">
              <w:rPr>
                <w:rFonts w:ascii="Verdana" w:eastAsia="Calibri" w:hAnsi="Verdana" w:cs="Arial"/>
                <w:color w:val="000000" w:themeColor="text1"/>
                <w:lang w:val="es-ES"/>
              </w:rPr>
              <w:t>se</w:t>
            </w:r>
            <w:r w:rsidRPr="25391C55">
              <w:rPr>
                <w:rFonts w:ascii="Verdana" w:eastAsia="Calibri" w:hAnsi="Verdana" w:cs="Arial"/>
                <w:i/>
                <w:color w:val="000000" w:themeColor="text1"/>
                <w:lang w:val="es-ES"/>
              </w:rPr>
              <w:t xml:space="preserve"> </w:t>
            </w:r>
            <w:r w:rsidRPr="25391C55">
              <w:rPr>
                <w:rFonts w:ascii="Verdana" w:eastAsia="Calibri" w:hAnsi="Verdana" w:cs="Arial"/>
                <w:color w:val="000000" w:themeColor="text1"/>
                <w:lang w:val="es-ES"/>
              </w:rPr>
              <w:t xml:space="preserve">refieren a la autorización que deben solicitar las entidades para asumir obligaciones que afectarán los presupuestos siguientes a los de la vigencia fiscal en la que inició la ejecución, es decir, correspondientes a las obligaciones cuya ejecución inició con presupuesto de una vigencia fiscal, pero que deberá continuarse con presupuestos de las siguientes vigencias. </w:t>
            </w:r>
          </w:p>
          <w:p w14:paraId="72226228" w14:textId="77777777" w:rsidR="00FC28F5" w:rsidRPr="00D069D8" w:rsidRDefault="00FC28F5" w:rsidP="00572D33">
            <w:pPr>
              <w:shd w:val="clear" w:color="auto" w:fill="FFFFFF"/>
              <w:spacing w:after="120" w:line="276" w:lineRule="auto"/>
              <w:ind w:right="51" w:firstLine="709"/>
              <w:jc w:val="both"/>
              <w:rPr>
                <w:rFonts w:ascii="Verdana" w:eastAsia="Calibri" w:hAnsi="Verdana" w:cs="Arial"/>
                <w:lang w:val="es-ES_tradnl"/>
              </w:rPr>
            </w:pPr>
            <w:r w:rsidRPr="00D069D8">
              <w:rPr>
                <w:rFonts w:ascii="Verdana" w:eastAsia="Calibri" w:hAnsi="Verdana" w:cs="Arial"/>
                <w:color w:val="000000" w:themeColor="text1"/>
                <w:lang w:val="es-ES_tradnl"/>
              </w:rPr>
              <w:t xml:space="preserve">Sobre esta institución el Consejo de Estado precisó que </w:t>
            </w:r>
            <w:r w:rsidRPr="00D069D8">
              <w:rPr>
                <w:rFonts w:ascii="Verdana" w:eastAsia="Calibri" w:hAnsi="Verdana" w:cs="Arial"/>
                <w:lang w:val="es-ES_tradnl"/>
              </w:rPr>
              <w:t>“</w:t>
            </w:r>
            <w:r w:rsidRPr="00D069D8">
              <w:rPr>
                <w:rFonts w:ascii="Verdana" w:eastAsia="Calibri" w:hAnsi="Verdana" w:cs="Arial"/>
                <w:color w:val="000000" w:themeColor="text1"/>
              </w:rPr>
              <w:t xml:space="preserve">son un instrumento de planificación presupuestal y financiero que permite autorizar la asunción de obligaciones que afecten los presupuestos de vigencias posteriores, y tienen como fin garantizar la existencia de apropiaciones suficientes en los años siguientes para asumir compromisos y obligaciones con cargo a ellas, así como también disponer de los recursos financieros, y </w:t>
            </w:r>
            <w:r w:rsidRPr="00D069D8">
              <w:rPr>
                <w:rFonts w:ascii="Verdana" w:eastAsia="Calibri" w:hAnsi="Verdana" w:cs="Arial"/>
                <w:color w:val="000000" w:themeColor="text1"/>
              </w:rPr>
              <w:lastRenderedPageBreak/>
              <w:t>de esa manera garantizar el avance y conclusión de proyectos plurianuales</w:t>
            </w:r>
            <w:r w:rsidRPr="00D069D8">
              <w:rPr>
                <w:rFonts w:ascii="Verdana" w:eastAsia="Calibri" w:hAnsi="Verdana" w:cs="Arial"/>
              </w:rPr>
              <w:t>”</w:t>
            </w:r>
            <w:r w:rsidRPr="00D069D8">
              <w:rPr>
                <w:rFonts w:ascii="Verdana" w:eastAsia="Calibri" w:hAnsi="Verdana" w:cs="Arial"/>
                <w:vertAlign w:val="superscript"/>
                <w:lang w:val="es-ES_tradnl"/>
              </w:rPr>
              <w:footnoteReference w:id="4"/>
            </w:r>
            <w:r w:rsidRPr="00D069D8">
              <w:rPr>
                <w:rFonts w:ascii="Verdana" w:eastAsia="Calibri" w:hAnsi="Verdana" w:cs="Arial"/>
                <w:lang w:val="es-ES_tradnl"/>
              </w:rPr>
              <w:t xml:space="preserve">. </w:t>
            </w:r>
          </w:p>
          <w:p w14:paraId="2C1C869A" w14:textId="77777777" w:rsidR="00FC28F5" w:rsidRPr="00E05C0F" w:rsidRDefault="00FC28F5" w:rsidP="00572D33">
            <w:pPr>
              <w:spacing w:after="120" w:line="276" w:lineRule="auto"/>
              <w:jc w:val="both"/>
              <w:rPr>
                <w:rFonts w:ascii="Verdana" w:eastAsia="Times New Roman" w:hAnsi="Verdana" w:cs="Arial"/>
                <w:lang w:val="es-ES" w:eastAsia="es-MX"/>
              </w:rPr>
            </w:pPr>
            <w:r w:rsidRPr="005A31D2">
              <w:rPr>
                <w:rFonts w:ascii="Verdana" w:eastAsia="Times New Roman" w:hAnsi="Verdana" w:cs="Arial"/>
                <w:b/>
                <w:bCs/>
                <w:lang w:val="es-ES" w:eastAsia="es-MX"/>
              </w:rPr>
              <w:t>iii.</w:t>
            </w:r>
            <w:r>
              <w:rPr>
                <w:rFonts w:ascii="Verdana" w:eastAsia="Times New Roman" w:hAnsi="Verdana" w:cs="Arial"/>
                <w:lang w:val="es-ES" w:eastAsia="es-MX"/>
              </w:rPr>
              <w:t xml:space="preserve"> </w:t>
            </w:r>
            <w:r w:rsidRPr="00E05C0F">
              <w:rPr>
                <w:rFonts w:ascii="Verdana" w:eastAsia="Times New Roman" w:hAnsi="Verdana" w:cs="Arial"/>
                <w:lang w:val="es-ES" w:eastAsia="es-MX"/>
              </w:rPr>
              <w:t>Finalmente</w:t>
            </w:r>
            <w:r>
              <w:rPr>
                <w:rFonts w:ascii="Verdana" w:eastAsia="Times New Roman" w:hAnsi="Verdana" w:cs="Arial"/>
                <w:lang w:val="es-ES" w:eastAsia="es-MX"/>
              </w:rPr>
              <w:t xml:space="preserve">, le corresponde a esta Agencia pronunciarse respecto de las garantías en procesos de contratación que tienen como finalidad la prestación de un servicio a través de la modalidad de concesión. </w:t>
            </w:r>
          </w:p>
          <w:p w14:paraId="5D649557" w14:textId="77777777" w:rsidR="00FC28F5" w:rsidRDefault="00FC28F5" w:rsidP="00572D33">
            <w:pPr>
              <w:spacing w:before="120" w:after="120" w:line="276" w:lineRule="auto"/>
              <w:ind w:firstLine="738"/>
              <w:jc w:val="both"/>
              <w:rPr>
                <w:rFonts w:ascii="Verdana" w:eastAsia="Calibri" w:hAnsi="Verdana" w:cs="Arial"/>
                <w:color w:val="000000" w:themeColor="text1"/>
                <w:lang w:val="es-ES_tradnl"/>
              </w:rPr>
            </w:pPr>
            <w:r w:rsidRPr="00C31767">
              <w:rPr>
                <w:rFonts w:ascii="Verdana" w:eastAsia="Calibri" w:hAnsi="Verdana" w:cs="Arial"/>
                <w:color w:val="000000"/>
                <w:lang w:val="es-ES_tradnl"/>
              </w:rPr>
              <w:t>De acuerdo con el Estatuto General de Contratación de la Administración Pública, p</w:t>
            </w:r>
            <w:r w:rsidRPr="00C31767">
              <w:rPr>
                <w:rFonts w:ascii="Verdana" w:eastAsia="Calibri" w:hAnsi="Verdana" w:cs="Arial"/>
                <w:color w:val="000000" w:themeColor="text1"/>
                <w:lang w:val="es-ES_tradnl"/>
              </w:rPr>
              <w:t xml:space="preserve">or regla general, </w:t>
            </w:r>
            <w:r w:rsidRPr="00C31767">
              <w:rPr>
                <w:rFonts w:ascii="Verdana" w:eastAsia="Calibri" w:hAnsi="Verdana" w:cs="Arial"/>
                <w:color w:val="000000" w:themeColor="text1"/>
                <w:lang w:val="es-ES"/>
              </w:rPr>
              <w:t>para seleccionar los contratistas y para ejecutar los contratos se requiere la constitución de garantías</w:t>
            </w:r>
            <w:r w:rsidRPr="00C31767">
              <w:rPr>
                <w:rFonts w:ascii="Verdana" w:eastAsia="Calibri" w:hAnsi="Verdana" w:cs="Arial"/>
                <w:color w:val="000000" w:themeColor="text1"/>
                <w:lang w:val="es-ES_tradnl"/>
              </w:rPr>
              <w:t>. Por ello, el artículo 7 de la Ley 1150 de 2007 dispone que los contratistas tienen la obligación de constituir garantías para el cumplimiento de las obligaciones surgidas del contrato, y los proponentes por el ofrecimiento realizado, pudiendo consistir en pólizas expedidas por compañías aseguradoras, garantías bancarias u otros mecanismos permitidos por la ley y el reglamento</w:t>
            </w:r>
            <w:r>
              <w:rPr>
                <w:rFonts w:ascii="Verdana" w:eastAsia="Calibri" w:hAnsi="Verdana" w:cs="Arial"/>
                <w:color w:val="000000" w:themeColor="text1"/>
                <w:lang w:val="es-ES_tradnl"/>
              </w:rPr>
              <w:t xml:space="preserve">. </w:t>
            </w:r>
          </w:p>
          <w:p w14:paraId="76C20ACF" w14:textId="77777777" w:rsidR="00FC28F5" w:rsidRDefault="00FC28F5" w:rsidP="00572D33">
            <w:pPr>
              <w:spacing w:before="120" w:after="120" w:line="276" w:lineRule="auto"/>
              <w:ind w:firstLine="738"/>
              <w:jc w:val="both"/>
              <w:rPr>
                <w:rFonts w:ascii="Verdana" w:hAnsi="Verdana" w:cs="Arial"/>
                <w:color w:val="000000" w:themeColor="text1"/>
                <w:lang w:val="es-MX"/>
              </w:rPr>
            </w:pPr>
            <w:r w:rsidRPr="00C31767">
              <w:rPr>
                <w:rFonts w:ascii="Verdana" w:hAnsi="Verdana" w:cs="Arial"/>
                <w:color w:val="000000" w:themeColor="text1"/>
                <w:lang w:val="es-MX"/>
              </w:rPr>
              <w:t>El artículo 2.2.1.2.3.1.3</w:t>
            </w:r>
            <w:r>
              <w:rPr>
                <w:rFonts w:ascii="Verdana" w:hAnsi="Verdana" w:cs="Arial"/>
                <w:color w:val="000000" w:themeColor="text1"/>
                <w:lang w:val="es-MX"/>
              </w:rPr>
              <w:t xml:space="preserve"> del Decreto 1082 de 2015</w:t>
            </w:r>
            <w:r w:rsidRPr="00C31767">
              <w:rPr>
                <w:rFonts w:ascii="Verdana" w:hAnsi="Verdana" w:cs="Arial"/>
                <w:color w:val="000000" w:themeColor="text1"/>
                <w:lang w:val="es-MX"/>
              </w:rPr>
              <w:t xml:space="preserve">, por ejemplo, establece que la “garantía de cobertura del Riesgo es indivisible”, además de la obligación de los contratantes de establecer en los pliegos de condiciones las garantías exigidas para cada </w:t>
            </w:r>
            <w:r>
              <w:rPr>
                <w:rFonts w:ascii="Verdana" w:hAnsi="Verdana" w:cs="Arial"/>
                <w:color w:val="000000" w:themeColor="text1"/>
                <w:lang w:val="es-MX"/>
              </w:rPr>
              <w:t xml:space="preserve">etapa del contrato o </w:t>
            </w:r>
            <w:r w:rsidRPr="00C31767">
              <w:rPr>
                <w:rFonts w:ascii="Verdana" w:hAnsi="Verdana" w:cs="Arial"/>
                <w:color w:val="000000" w:themeColor="text1"/>
                <w:lang w:val="es-MX"/>
              </w:rPr>
              <w:t>periodo contractual</w:t>
            </w:r>
            <w:r>
              <w:rPr>
                <w:rFonts w:ascii="Verdana" w:hAnsi="Verdana" w:cs="Arial"/>
                <w:color w:val="000000" w:themeColor="text1"/>
                <w:lang w:val="es-MX"/>
              </w:rPr>
              <w:t xml:space="preserve"> o cada unidad funcional </w:t>
            </w:r>
            <w:r w:rsidRPr="00FE1CF0">
              <w:rPr>
                <w:rFonts w:ascii="Verdana" w:hAnsi="Verdana" w:cs="Arial"/>
                <w:color w:val="000000" w:themeColor="text1"/>
              </w:rPr>
              <w:t>en el caso de las Asociaciones Público Privadas</w:t>
            </w:r>
            <w:r w:rsidRPr="00C31767">
              <w:rPr>
                <w:rFonts w:ascii="Verdana" w:hAnsi="Verdana" w:cs="Arial"/>
                <w:color w:val="000000" w:themeColor="text1"/>
                <w:lang w:val="es-MX"/>
              </w:rPr>
              <w:t>.</w:t>
            </w:r>
          </w:p>
          <w:p w14:paraId="0D25B019" w14:textId="77777777" w:rsidR="00FC28F5" w:rsidRPr="00F50B9E" w:rsidRDefault="00FC28F5" w:rsidP="00572D33">
            <w:pPr>
              <w:spacing w:after="120" w:line="276" w:lineRule="auto"/>
              <w:ind w:firstLine="709"/>
              <w:jc w:val="both"/>
              <w:rPr>
                <w:rFonts w:ascii="Verdana" w:eastAsia="Times New Roman" w:hAnsi="Verdana" w:cs="Arial"/>
                <w:lang w:eastAsia="es-ES_tradnl"/>
              </w:rPr>
            </w:pPr>
            <w:r>
              <w:rPr>
                <w:rFonts w:ascii="Verdana" w:eastAsia="Calibri" w:hAnsi="Verdana" w:cs="Arial"/>
                <w:color w:val="000000" w:themeColor="text1"/>
              </w:rPr>
              <w:t xml:space="preserve">Dicho lo anterior, es preciso traer a colación lo referente a la indivisibilidad de la garantía </w:t>
            </w:r>
            <w:r w:rsidRPr="00F50B9E">
              <w:rPr>
                <w:rFonts w:ascii="Verdana" w:eastAsia="Times New Roman" w:hAnsi="Verdana" w:cs="Arial"/>
                <w:lang w:eastAsia="es-ES_tradnl"/>
              </w:rPr>
              <w:t>previst</w:t>
            </w:r>
            <w:r>
              <w:rPr>
                <w:rFonts w:ascii="Verdana" w:eastAsia="Times New Roman" w:hAnsi="Verdana" w:cs="Arial"/>
                <w:lang w:eastAsia="es-ES_tradnl"/>
              </w:rPr>
              <w:t>a</w:t>
            </w:r>
            <w:r w:rsidRPr="00F50B9E">
              <w:rPr>
                <w:rFonts w:ascii="Verdana" w:eastAsia="Times New Roman" w:hAnsi="Verdana" w:cs="Arial"/>
                <w:lang w:eastAsia="es-ES_tradnl"/>
              </w:rPr>
              <w:t xml:space="preserve"> en el artículo 2.2.1.2.3.1.3 del Decreto 1082 de 2015</w:t>
            </w:r>
            <w:r>
              <w:rPr>
                <w:rFonts w:ascii="Verdana" w:eastAsia="Times New Roman" w:hAnsi="Verdana" w:cs="Arial"/>
                <w:lang w:eastAsia="es-ES_tradnl"/>
              </w:rPr>
              <w:t xml:space="preserve">. </w:t>
            </w:r>
            <w:r w:rsidRPr="00F50B9E">
              <w:rPr>
                <w:rFonts w:ascii="Verdana" w:eastAsia="Times New Roman" w:hAnsi="Verdana" w:cs="Arial"/>
                <w:lang w:eastAsia="es-ES_tradnl"/>
              </w:rPr>
              <w:t xml:space="preserve">En relación con esta exigencia es importante mencionar que, por regla general, un contrato estatal debe estar amparado mediante una sola garantía, sin perjuicio de algunas excepciones, como la que se deriva de la norma analizada. En efecto, en los contratos cuyo plazo de ejecución sea mayor a cinco (5) años se podrá dividir la garantía, tal como lo prevé el Decreto 1082 de 2015: “La garantía de cobertura del Riesgo es indivisible. Sin embargo, en los contratos con un plazo mayor a cinco (5) años las garantías pueden cubrir los Riesgos de la Etapa del Contrato o del Periodo Contractual, de acuerdo con lo previsto en el contrato”. </w:t>
            </w:r>
          </w:p>
          <w:p w14:paraId="79E15D29" w14:textId="77777777" w:rsidR="00FC28F5" w:rsidRDefault="00FC28F5" w:rsidP="00572D33">
            <w:pPr>
              <w:spacing w:line="276" w:lineRule="auto"/>
              <w:ind w:firstLine="360"/>
              <w:contextualSpacing/>
              <w:jc w:val="both"/>
              <w:rPr>
                <w:rFonts w:ascii="Verdana" w:eastAsia="Calibri" w:hAnsi="Verdana" w:cs="Times New Roman"/>
                <w:lang w:val="es-ES"/>
              </w:rPr>
            </w:pPr>
            <w:r w:rsidRPr="00D65578">
              <w:rPr>
                <w:rFonts w:ascii="Verdana" w:eastAsia="Calibri" w:hAnsi="Verdana" w:cs="Times New Roman"/>
              </w:rPr>
              <w:t xml:space="preserve">Por último, debe advertirse que corresponde a cada entidad pública, en ejercicio de su competencia y previa valoración de los elementos fácticos y </w:t>
            </w:r>
            <w:r w:rsidRPr="00D65578">
              <w:rPr>
                <w:rFonts w:ascii="Verdana" w:eastAsia="Calibri" w:hAnsi="Verdana" w:cs="Times New Roman"/>
              </w:rPr>
              <w:lastRenderedPageBreak/>
              <w:t>jurídicos así como de las disposiciones legales anteriormente mencionadas, determinar si es pertinente la aprobación de una garantía adicional a la aprobada cuando dio inicio al contrato para cada etapa del contrato, periodo contractual o unidad funcional, ya que, al tratarse de un análisis que se debe realizar en cada caso concreto, la Agencia, por vía consultiva, no puede definir un criterio universal y absoluto, sino que brinda elementos hermenéuticos de carácter general para que los partícipes del sistema de compras y contratación pública adopten la decisión que corresponda, lo cual es acorde con el principio de juridicidad. Por lo anterior, previo concepto de sus órganos asesores, la solución de casos particulares corresponde a la entidad que debe adoptar la decisión correspondiente y, en caso de conflicto, a las autoridades judiciales, fiscales y disciplinarias.</w:t>
            </w:r>
          </w:p>
          <w:p w14:paraId="55BFE2EE" w14:textId="77777777" w:rsidR="00FC28F5" w:rsidRPr="008A7B79" w:rsidRDefault="00FC28F5" w:rsidP="00572D33">
            <w:pPr>
              <w:spacing w:line="276" w:lineRule="auto"/>
              <w:ind w:firstLine="708"/>
              <w:jc w:val="both"/>
              <w:rPr>
                <w:rFonts w:ascii="Verdana" w:eastAsia="Calibri" w:hAnsi="Verdana" w:cs="Arial"/>
                <w:bCs/>
                <w:color w:val="000000" w:themeColor="text1"/>
              </w:rPr>
            </w:pPr>
            <w:r w:rsidRPr="00592F2E">
              <w:rPr>
                <w:rFonts w:ascii="Verdana" w:eastAsia="Calibri" w:hAnsi="Verdana" w:cs="Arial"/>
                <w:bCs/>
                <w:color w:val="000000" w:themeColor="text1"/>
              </w:rPr>
              <w:t xml:space="preserve"> </w:t>
            </w:r>
          </w:p>
        </w:tc>
      </w:tr>
    </w:tbl>
    <w:p w14:paraId="4F001189" w14:textId="77777777" w:rsidR="00FC28F5" w:rsidRPr="002675E7" w:rsidRDefault="00FC28F5" w:rsidP="00FC28F5">
      <w:pPr>
        <w:spacing w:after="0" w:line="276" w:lineRule="auto"/>
        <w:jc w:val="both"/>
        <w:rPr>
          <w:rFonts w:ascii="Verdana" w:eastAsia="Calibri" w:hAnsi="Verdana" w:cs="Arial"/>
          <w:bCs/>
          <w:color w:val="000000" w:themeColor="text1"/>
        </w:rPr>
      </w:pPr>
    </w:p>
    <w:p w14:paraId="50AD8FA8" w14:textId="77777777" w:rsidR="00FC28F5" w:rsidRPr="002675E7" w:rsidRDefault="00FC28F5" w:rsidP="00FC28F5">
      <w:pPr>
        <w:numPr>
          <w:ilvl w:val="0"/>
          <w:numId w:val="5"/>
        </w:numPr>
        <w:spacing w:after="0" w:line="256" w:lineRule="auto"/>
        <w:rPr>
          <w:rFonts w:ascii="Verdana" w:eastAsia="Calibri" w:hAnsi="Verdana" w:cs="Times New Roman"/>
          <w:b/>
          <w:bCs/>
          <w:lang w:val="es-ES"/>
        </w:rPr>
      </w:pPr>
      <w:r w:rsidRPr="002675E7">
        <w:rPr>
          <w:rFonts w:ascii="Verdana" w:eastAsia="Calibri" w:hAnsi="Verdana" w:cs="Times New Roman"/>
          <w:b/>
          <w:bCs/>
          <w:lang w:val="es-ES"/>
        </w:rPr>
        <w:t>Razones de la respuesta:</w:t>
      </w:r>
    </w:p>
    <w:p w14:paraId="2D6D0689" w14:textId="77777777" w:rsidR="00FC28F5" w:rsidRPr="002675E7" w:rsidRDefault="00FC28F5" w:rsidP="00FC28F5">
      <w:pPr>
        <w:spacing w:after="0" w:line="256" w:lineRule="auto"/>
        <w:rPr>
          <w:rFonts w:ascii="Verdana" w:eastAsia="Calibri" w:hAnsi="Verdana" w:cs="Times New Roman"/>
          <w:b/>
          <w:bCs/>
          <w:lang w:val="es-ES"/>
        </w:rPr>
      </w:pPr>
    </w:p>
    <w:p w14:paraId="4AA07BD4" w14:textId="77777777" w:rsidR="00FC28F5" w:rsidRPr="002675E7" w:rsidRDefault="00FC28F5" w:rsidP="00FC28F5">
      <w:pPr>
        <w:spacing w:after="0" w:line="276" w:lineRule="auto"/>
        <w:jc w:val="both"/>
        <w:rPr>
          <w:rFonts w:ascii="Verdana" w:eastAsia="Calibri" w:hAnsi="Verdana" w:cs="Arial"/>
          <w:lang w:val="es-ES"/>
        </w:rPr>
      </w:pPr>
      <w:r w:rsidRPr="002675E7">
        <w:rPr>
          <w:rFonts w:ascii="Verdana" w:eastAsia="Calibri" w:hAnsi="Verdana" w:cs="Arial"/>
          <w:lang w:val="es-ES"/>
        </w:rPr>
        <w:t xml:space="preserve">Lo anterior se sustenta en las siguientes consideraciones: </w:t>
      </w:r>
    </w:p>
    <w:p w14:paraId="09BB477D" w14:textId="77777777" w:rsidR="00FC28F5" w:rsidRPr="002675E7" w:rsidRDefault="00FC28F5" w:rsidP="00FC28F5">
      <w:pPr>
        <w:spacing w:after="0" w:line="276" w:lineRule="auto"/>
        <w:jc w:val="both"/>
        <w:rPr>
          <w:rFonts w:ascii="Verdana" w:eastAsia="Calibri" w:hAnsi="Verdana" w:cs="Arial"/>
          <w:lang w:val="es-ES"/>
        </w:rPr>
      </w:pPr>
    </w:p>
    <w:p w14:paraId="70B24738" w14:textId="77777777" w:rsidR="00FC28F5" w:rsidRPr="00447978" w:rsidRDefault="00FC28F5" w:rsidP="00FC28F5">
      <w:pPr>
        <w:spacing w:after="120" w:line="276" w:lineRule="auto"/>
        <w:jc w:val="both"/>
        <w:rPr>
          <w:rFonts w:ascii="Verdana" w:eastAsia="Calibri" w:hAnsi="Verdana" w:cs="Arial"/>
          <w:bCs/>
          <w:lang w:val="es-MX"/>
        </w:rPr>
      </w:pPr>
      <w:r w:rsidRPr="00AA5F2B">
        <w:rPr>
          <w:rFonts w:ascii="Verdana" w:eastAsia="Calibri" w:hAnsi="Verdana" w:cs="Arial"/>
          <w:b/>
          <w:lang w:val="es-MX"/>
        </w:rPr>
        <w:t>i.</w:t>
      </w:r>
      <w:r>
        <w:rPr>
          <w:rFonts w:ascii="Verdana" w:eastAsia="Calibri" w:hAnsi="Verdana" w:cs="Arial"/>
          <w:bCs/>
          <w:lang w:val="es-MX"/>
        </w:rPr>
        <w:t xml:space="preserve"> </w:t>
      </w:r>
      <w:r w:rsidRPr="00447978">
        <w:rPr>
          <w:rFonts w:ascii="Verdana" w:eastAsia="Calibri" w:hAnsi="Verdana" w:cs="Arial"/>
          <w:bCs/>
          <w:lang w:val="es-MX"/>
        </w:rPr>
        <w:t>El artículo 1 del Decreto 943 del 2018, que modificó el artículo 2.2.3.1.2. del Decreto Único Reglamentario del Sector Administrativo de Minas y Energía 1073 de 2015, define al servicio de alumbrado público en los siguientes términos:</w:t>
      </w:r>
    </w:p>
    <w:p w14:paraId="0263341F" w14:textId="77777777" w:rsidR="00FC28F5" w:rsidRPr="004E584E" w:rsidRDefault="00FC28F5" w:rsidP="00FC28F5">
      <w:pPr>
        <w:tabs>
          <w:tab w:val="left" w:pos="284"/>
        </w:tabs>
        <w:spacing w:after="0" w:line="276" w:lineRule="auto"/>
        <w:jc w:val="both"/>
        <w:rPr>
          <w:rFonts w:ascii="Verdana" w:eastAsia="Calibri" w:hAnsi="Verdana" w:cs="Arial"/>
          <w:lang w:val="es-ES_tradnl"/>
        </w:rPr>
      </w:pPr>
    </w:p>
    <w:p w14:paraId="32D337A5" w14:textId="77777777" w:rsidR="00FC28F5" w:rsidRPr="004E584E" w:rsidRDefault="00FC28F5" w:rsidP="00FC28F5">
      <w:pPr>
        <w:spacing w:after="0" w:line="240" w:lineRule="auto"/>
        <w:ind w:left="709" w:right="709"/>
        <w:contextualSpacing/>
        <w:jc w:val="both"/>
        <w:rPr>
          <w:rFonts w:ascii="Verdana" w:hAnsi="Verdana" w:cs="Arial"/>
          <w:sz w:val="20"/>
          <w:szCs w:val="20"/>
        </w:rPr>
      </w:pPr>
      <w:r w:rsidRPr="00245FBB">
        <w:rPr>
          <w:rFonts w:ascii="Verdana" w:hAnsi="Verdana" w:cs="Arial"/>
          <w:sz w:val="20"/>
          <w:szCs w:val="20"/>
        </w:rPr>
        <w:t>“</w:t>
      </w:r>
      <w:r w:rsidRPr="004E584E">
        <w:rPr>
          <w:rFonts w:ascii="Verdana" w:hAnsi="Verdana" w:cs="Arial"/>
          <w:sz w:val="20"/>
          <w:szCs w:val="20"/>
        </w:rPr>
        <w:t>Servicio público no domiciliario de iluminación, inherente al servicio de energía eléctrica, que se presta con el fin de dar visibilidad al espacio público, bienes de uso público y demás espacios de libre circulación, con tránsito vehicular o peatonal, dentro del perímetro urbano y rural de un municipio o distrito, para el normal desarrollo de las actividades.</w:t>
      </w:r>
    </w:p>
    <w:p w14:paraId="6C0A7920" w14:textId="77777777" w:rsidR="00FC28F5" w:rsidRPr="004E584E" w:rsidRDefault="00FC28F5" w:rsidP="00FC28F5">
      <w:pPr>
        <w:spacing w:after="0" w:line="240" w:lineRule="auto"/>
        <w:ind w:left="709" w:right="709"/>
        <w:contextualSpacing/>
        <w:jc w:val="both"/>
        <w:rPr>
          <w:rFonts w:ascii="Verdana" w:hAnsi="Verdana" w:cs="Arial"/>
          <w:sz w:val="20"/>
          <w:szCs w:val="20"/>
        </w:rPr>
      </w:pPr>
    </w:p>
    <w:p w14:paraId="68D5BCB4" w14:textId="77777777" w:rsidR="00FC28F5" w:rsidRPr="004E584E" w:rsidRDefault="00FC28F5" w:rsidP="00FC28F5">
      <w:pPr>
        <w:spacing w:after="0" w:line="240" w:lineRule="auto"/>
        <w:ind w:left="709" w:right="709"/>
        <w:contextualSpacing/>
        <w:jc w:val="both"/>
        <w:rPr>
          <w:rFonts w:ascii="Verdana" w:hAnsi="Verdana" w:cs="Arial"/>
          <w:sz w:val="20"/>
          <w:szCs w:val="20"/>
        </w:rPr>
      </w:pPr>
      <w:r w:rsidRPr="004E584E">
        <w:rPr>
          <w:rFonts w:ascii="Verdana" w:hAnsi="Verdana" w:cs="Arial"/>
          <w:sz w:val="20"/>
          <w:szCs w:val="20"/>
        </w:rPr>
        <w:t>El servicio de alumbrado público comprende las actividades de suministro de energía eléctrica al sistema de alumbrado público, la administración, operación, mantenimiento, modernización, reposición y expansión de dicho sistema, el desarrollo tecnológico asociado a él, y la interventoría en los casos que aplique.</w:t>
      </w:r>
    </w:p>
    <w:p w14:paraId="6AB53DCC" w14:textId="77777777" w:rsidR="00FC28F5" w:rsidRPr="004E584E" w:rsidRDefault="00FC28F5" w:rsidP="00FC28F5">
      <w:pPr>
        <w:spacing w:after="0" w:line="240" w:lineRule="auto"/>
        <w:ind w:left="709" w:right="709"/>
        <w:contextualSpacing/>
        <w:jc w:val="both"/>
        <w:rPr>
          <w:rFonts w:ascii="Verdana" w:hAnsi="Verdana" w:cs="Arial"/>
          <w:sz w:val="20"/>
          <w:szCs w:val="20"/>
        </w:rPr>
      </w:pPr>
    </w:p>
    <w:p w14:paraId="4610B757" w14:textId="77777777" w:rsidR="00FC28F5" w:rsidRPr="004E584E" w:rsidRDefault="00FC28F5" w:rsidP="00FC28F5">
      <w:pPr>
        <w:spacing w:after="0" w:line="240" w:lineRule="auto"/>
        <w:ind w:left="709" w:right="709"/>
        <w:contextualSpacing/>
        <w:jc w:val="both"/>
        <w:rPr>
          <w:rFonts w:ascii="Verdana" w:hAnsi="Verdana" w:cs="Arial"/>
          <w:sz w:val="20"/>
          <w:szCs w:val="20"/>
        </w:rPr>
      </w:pPr>
      <w:r w:rsidRPr="004E584E">
        <w:rPr>
          <w:rFonts w:ascii="Verdana" w:hAnsi="Verdana" w:cs="Arial"/>
          <w:sz w:val="20"/>
          <w:szCs w:val="20"/>
        </w:rPr>
        <w:t>Parágrafo. No se considera servicio de alumbrado público la semaforización, los relojes digitales y la iluminación de las zonas comunes en las unidades inmobiliarias cerradas o en los edificios o conjuntos de uso residencial, comercial, industrial o mixto, sometidos al régimen de propiedad horizontal, la cual estará a cargo de la copropiedad.</w:t>
      </w:r>
    </w:p>
    <w:p w14:paraId="0A566498" w14:textId="77777777" w:rsidR="00FC28F5" w:rsidRPr="004E584E" w:rsidRDefault="00FC28F5" w:rsidP="00FC28F5">
      <w:pPr>
        <w:spacing w:after="0" w:line="240" w:lineRule="auto"/>
        <w:ind w:left="709" w:right="709"/>
        <w:contextualSpacing/>
        <w:jc w:val="both"/>
        <w:rPr>
          <w:rFonts w:ascii="Verdana" w:hAnsi="Verdana" w:cs="Arial"/>
          <w:sz w:val="20"/>
          <w:szCs w:val="20"/>
        </w:rPr>
      </w:pPr>
    </w:p>
    <w:p w14:paraId="2F5DC27C" w14:textId="77777777" w:rsidR="00FC28F5" w:rsidRPr="004E584E" w:rsidRDefault="00FC28F5" w:rsidP="00FC28F5">
      <w:pPr>
        <w:spacing w:after="0" w:line="240" w:lineRule="auto"/>
        <w:ind w:left="709" w:right="709"/>
        <w:contextualSpacing/>
        <w:jc w:val="both"/>
        <w:rPr>
          <w:rFonts w:ascii="Verdana" w:hAnsi="Verdana" w:cs="Arial"/>
          <w:sz w:val="20"/>
          <w:szCs w:val="20"/>
        </w:rPr>
      </w:pPr>
      <w:r w:rsidRPr="004E584E">
        <w:rPr>
          <w:rFonts w:ascii="Verdana" w:hAnsi="Verdana" w:cs="Arial"/>
          <w:sz w:val="20"/>
          <w:szCs w:val="20"/>
        </w:rPr>
        <w:lastRenderedPageBreak/>
        <w:t>Se excluyen del servicio de alumbrado público la iluminación de carreteras que no se encuentren a cargo del municipio o distrito, con excepción de aquellos municipios y distritos que presten el servicio de alumbrado público en corredores viales nacionales o departamentales que se encuentren dentro su perímetro urbano y rural, para garantizar la seguridad y mejorar el nivel de servicio a la población en el uso de la infraestructura de transporte, previa autorización de la entidad titular del respectivo corredor vial, acorde a lo dispuesto por el artículo 68 de la Ley 1682 de 2013.</w:t>
      </w:r>
    </w:p>
    <w:p w14:paraId="3AFAC96B" w14:textId="77777777" w:rsidR="00FC28F5" w:rsidRPr="004E584E" w:rsidRDefault="00FC28F5" w:rsidP="00FC28F5">
      <w:pPr>
        <w:spacing w:after="0" w:line="240" w:lineRule="auto"/>
        <w:ind w:left="709" w:right="709"/>
        <w:contextualSpacing/>
        <w:jc w:val="both"/>
        <w:rPr>
          <w:rFonts w:ascii="Verdana" w:hAnsi="Verdana" w:cs="Arial"/>
          <w:sz w:val="20"/>
          <w:szCs w:val="20"/>
        </w:rPr>
      </w:pPr>
    </w:p>
    <w:p w14:paraId="420DD474" w14:textId="77777777" w:rsidR="00FC28F5" w:rsidRPr="004E584E" w:rsidRDefault="00FC28F5" w:rsidP="00FC28F5">
      <w:pPr>
        <w:spacing w:after="0" w:line="240" w:lineRule="auto"/>
        <w:ind w:left="709" w:right="709"/>
        <w:contextualSpacing/>
        <w:jc w:val="both"/>
        <w:rPr>
          <w:rFonts w:ascii="Verdana" w:hAnsi="Verdana" w:cs="Arial"/>
          <w:sz w:val="20"/>
          <w:szCs w:val="20"/>
        </w:rPr>
      </w:pPr>
      <w:r w:rsidRPr="004E584E">
        <w:rPr>
          <w:rFonts w:ascii="Verdana" w:hAnsi="Verdana" w:cs="Arial"/>
          <w:sz w:val="20"/>
          <w:szCs w:val="20"/>
        </w:rPr>
        <w:t>Tampoco se considera servicio de alumbrado público la iluminación ornamental y navideña en los espacios públicos, pese a que las Entidades Territoriales en virtud de su autonomía, podrán complementar la destinación del impuesto a dichas actividades, de conformidad con el parágrafo del artículo 350 de la Ley 1819 de 2016</w:t>
      </w:r>
      <w:r w:rsidRPr="00245FBB">
        <w:rPr>
          <w:rFonts w:ascii="Verdana" w:hAnsi="Verdana" w:cs="Arial"/>
          <w:sz w:val="20"/>
          <w:szCs w:val="20"/>
        </w:rPr>
        <w:t>”</w:t>
      </w:r>
      <w:r w:rsidRPr="004E584E">
        <w:rPr>
          <w:rFonts w:ascii="Verdana" w:hAnsi="Verdana" w:cs="Arial"/>
          <w:sz w:val="20"/>
          <w:szCs w:val="20"/>
        </w:rPr>
        <w:t>.</w:t>
      </w:r>
    </w:p>
    <w:p w14:paraId="279C4407" w14:textId="77777777" w:rsidR="00FC28F5" w:rsidRPr="004E584E" w:rsidRDefault="00FC28F5" w:rsidP="00FC28F5">
      <w:pPr>
        <w:tabs>
          <w:tab w:val="left" w:pos="284"/>
        </w:tabs>
        <w:spacing w:after="0" w:line="276" w:lineRule="auto"/>
        <w:ind w:left="708"/>
        <w:jc w:val="both"/>
        <w:rPr>
          <w:rFonts w:ascii="Verdana" w:eastAsia="Calibri" w:hAnsi="Verdana" w:cs="Arial"/>
          <w:lang w:val="es-ES_tradnl"/>
        </w:rPr>
      </w:pPr>
    </w:p>
    <w:p w14:paraId="30EA8AE0" w14:textId="77777777" w:rsidR="00FC28F5" w:rsidRPr="004E584E" w:rsidRDefault="00FC28F5" w:rsidP="00FC28F5">
      <w:pPr>
        <w:tabs>
          <w:tab w:val="left" w:pos="284"/>
        </w:tabs>
        <w:spacing w:after="120" w:line="276" w:lineRule="auto"/>
        <w:jc w:val="both"/>
        <w:rPr>
          <w:rFonts w:ascii="Verdana" w:eastAsia="Calibri" w:hAnsi="Verdana" w:cs="Arial"/>
          <w:lang w:val="es-ES_tradnl"/>
        </w:rPr>
      </w:pPr>
      <w:r w:rsidRPr="004E584E">
        <w:rPr>
          <w:rFonts w:ascii="Verdana" w:eastAsia="Calibri" w:hAnsi="Verdana" w:cs="Arial"/>
          <w:lang w:val="es-ES_tradnl"/>
        </w:rPr>
        <w:tab/>
      </w:r>
      <w:r w:rsidRPr="004E584E">
        <w:rPr>
          <w:rFonts w:ascii="Verdana" w:eastAsia="Calibri" w:hAnsi="Verdana" w:cs="Arial"/>
          <w:lang w:val="es-ES_tradnl"/>
        </w:rPr>
        <w:tab/>
      </w:r>
      <w:r w:rsidRPr="004E584E">
        <w:rPr>
          <w:rFonts w:ascii="Verdana" w:hAnsi="Verdana"/>
        </w:rPr>
        <w:t xml:space="preserve">La prestación del servicio de alumbrado público es una función que le compete cumplir a los municipios y distritos, quienes podrán cumplirla de forma directa o través de empresas de servicios públicos domiciliarios u otros prestadores de este servicio </w:t>
      </w:r>
      <w:r w:rsidRPr="004E584E">
        <w:rPr>
          <w:rFonts w:ascii="Verdana" w:hAnsi="Verdana" w:cs="Arial"/>
        </w:rPr>
        <w:t>que demuestren idoneidad en la prestación del mismo</w:t>
      </w:r>
      <w:r w:rsidRPr="004E584E">
        <w:rPr>
          <w:rFonts w:ascii="Verdana" w:eastAsia="Calibri" w:hAnsi="Verdana" w:cs="Arial"/>
          <w:vertAlign w:val="superscript"/>
          <w:lang w:val="es-ES_tradnl"/>
        </w:rPr>
        <w:footnoteReference w:id="5"/>
      </w:r>
      <w:r w:rsidRPr="004E584E">
        <w:rPr>
          <w:rFonts w:ascii="Verdana" w:eastAsia="Calibri" w:hAnsi="Verdana" w:cs="Arial"/>
          <w:lang w:val="es-ES_tradnl"/>
        </w:rPr>
        <w:t>.</w:t>
      </w:r>
    </w:p>
    <w:p w14:paraId="30DE6E0C" w14:textId="77777777" w:rsidR="00FC28F5" w:rsidRPr="004E584E" w:rsidRDefault="00FC28F5" w:rsidP="00FC28F5">
      <w:pPr>
        <w:tabs>
          <w:tab w:val="left" w:pos="284"/>
        </w:tabs>
        <w:spacing w:after="120" w:line="276" w:lineRule="auto"/>
        <w:jc w:val="both"/>
        <w:rPr>
          <w:rFonts w:ascii="Verdana" w:eastAsia="Calibri" w:hAnsi="Verdana" w:cs="Arial"/>
          <w:lang w:val="es-ES_tradnl"/>
        </w:rPr>
      </w:pPr>
      <w:r w:rsidRPr="004E584E">
        <w:rPr>
          <w:rFonts w:ascii="Verdana" w:eastAsia="Calibri" w:hAnsi="Verdana" w:cs="Arial"/>
          <w:lang w:val="es-ES_tradnl"/>
        </w:rPr>
        <w:tab/>
      </w:r>
      <w:r w:rsidRPr="004E584E">
        <w:rPr>
          <w:rFonts w:ascii="Verdana" w:eastAsia="Calibri" w:hAnsi="Verdana" w:cs="Arial"/>
          <w:lang w:val="es-ES_tradnl"/>
        </w:rPr>
        <w:tab/>
      </w:r>
      <w:r w:rsidRPr="004E584E">
        <w:rPr>
          <w:rFonts w:ascii="Verdana" w:hAnsi="Verdana"/>
        </w:rPr>
        <w:t>En relación con el régimen de contratación aplicable a los contratos, celebrados con terceros por los municipios y distritos, para la prestación del servicio de alumbrado público, el artículo 2.2.3.6.1.4. del referido Decreto dispone que éstos se someten al Estatuto General de Contratación de la Administración Pública.  En efecto, dicha norma prevé:</w:t>
      </w:r>
    </w:p>
    <w:p w14:paraId="60307E73" w14:textId="77777777" w:rsidR="00FC28F5" w:rsidRPr="004E584E" w:rsidRDefault="00FC28F5" w:rsidP="00FC28F5">
      <w:pPr>
        <w:pStyle w:val="Sinespaciado"/>
        <w:ind w:left="709" w:right="709"/>
        <w:contextualSpacing/>
        <w:rPr>
          <w:rFonts w:ascii="Verdana" w:hAnsi="Verdana" w:cs="Arial"/>
          <w:sz w:val="20"/>
          <w:szCs w:val="20"/>
        </w:rPr>
      </w:pPr>
      <w:r w:rsidRPr="00A97366">
        <w:rPr>
          <w:rFonts w:ascii="Verdana" w:hAnsi="Verdana" w:cs="Arial"/>
          <w:sz w:val="20"/>
          <w:szCs w:val="20"/>
        </w:rPr>
        <w:lastRenderedPageBreak/>
        <w:t>“</w:t>
      </w:r>
      <w:r w:rsidRPr="004E584E">
        <w:rPr>
          <w:rFonts w:ascii="Verdana" w:hAnsi="Verdana" w:cs="Arial"/>
          <w:sz w:val="20"/>
          <w:szCs w:val="20"/>
        </w:rPr>
        <w:t>Los contratos relacionados con la prestación del servicio de alumbrado público que suscriban los municipios o distritos con los prestadores del mismo, se regirán por las disposiciones contenidas en el Estatuto General de Contratación de la Administración Pública y demás normas que lo modifiquen, adicionen o complementen, incluyendo los instrumentos de vinculación de que trata la Ley 1508 de 2012 o la disposición que la modifique, complemente o sustituya</w:t>
      </w:r>
      <w:r w:rsidRPr="00A97366">
        <w:rPr>
          <w:rFonts w:ascii="Verdana" w:hAnsi="Verdana" w:cs="Arial"/>
          <w:sz w:val="20"/>
          <w:szCs w:val="20"/>
        </w:rPr>
        <w:t>”</w:t>
      </w:r>
      <w:r w:rsidRPr="004E584E">
        <w:rPr>
          <w:rFonts w:ascii="Verdana" w:hAnsi="Verdana" w:cs="Arial"/>
          <w:sz w:val="20"/>
          <w:szCs w:val="20"/>
        </w:rPr>
        <w:t>.</w:t>
      </w:r>
    </w:p>
    <w:p w14:paraId="3F6FF58B" w14:textId="77777777" w:rsidR="00FC28F5" w:rsidRPr="004E584E" w:rsidRDefault="00FC28F5" w:rsidP="00FC28F5">
      <w:pPr>
        <w:pStyle w:val="Sinespaciado"/>
        <w:ind w:left="709" w:right="709"/>
        <w:contextualSpacing/>
        <w:rPr>
          <w:rFonts w:ascii="Verdana" w:hAnsi="Verdana" w:cs="Arial"/>
          <w:sz w:val="20"/>
          <w:szCs w:val="20"/>
        </w:rPr>
      </w:pPr>
    </w:p>
    <w:p w14:paraId="452BA153" w14:textId="77777777" w:rsidR="00FC28F5" w:rsidRPr="004E584E" w:rsidRDefault="00FC28F5" w:rsidP="00FC28F5">
      <w:pPr>
        <w:tabs>
          <w:tab w:val="left" w:pos="284"/>
        </w:tabs>
        <w:spacing w:after="120" w:line="276" w:lineRule="auto"/>
        <w:jc w:val="both"/>
        <w:rPr>
          <w:rFonts w:ascii="Verdana" w:hAnsi="Verdana"/>
        </w:rPr>
      </w:pPr>
      <w:r w:rsidRPr="004E584E">
        <w:rPr>
          <w:rFonts w:ascii="Verdana" w:eastAsia="Calibri" w:hAnsi="Verdana" w:cs="Arial"/>
          <w:lang w:val="es-ES_tradnl"/>
        </w:rPr>
        <w:tab/>
      </w:r>
      <w:r w:rsidRPr="004E584E">
        <w:rPr>
          <w:rFonts w:ascii="Verdana" w:eastAsia="Calibri" w:hAnsi="Verdana" w:cs="Arial"/>
          <w:lang w:val="es-ES_tradnl"/>
        </w:rPr>
        <w:tab/>
      </w:r>
      <w:r w:rsidRPr="004E584E">
        <w:rPr>
          <w:rFonts w:ascii="Verdana" w:hAnsi="Verdana"/>
        </w:rPr>
        <w:t>Esto significa que los referidos contratos se someten a lo dispuesto en el artículo 32 de la Ley 80 de 1993, que, entre otros tipos contractuales, define el contrato de concesión; así como al artículo 2 de la Ley 1150 de 2007, que regula los procedimientos de selección. Así mismo, conforme a la citada norma, a los contratos que se celebren con el objeto de prestar el servicio de alumbrado público les resulta aplicable el artículo 29 de la Ley 1150 de 2007, cuyo tenor es el siguiente:</w:t>
      </w:r>
    </w:p>
    <w:p w14:paraId="35D8C019" w14:textId="77777777" w:rsidR="00FC28F5" w:rsidRPr="004E584E" w:rsidRDefault="00FC28F5" w:rsidP="00FC28F5">
      <w:pPr>
        <w:pStyle w:val="Sinespaciado"/>
        <w:ind w:left="709" w:right="709"/>
        <w:contextualSpacing/>
        <w:rPr>
          <w:rFonts w:ascii="Verdana" w:hAnsi="Verdana" w:cs="Arial"/>
          <w:sz w:val="20"/>
          <w:szCs w:val="20"/>
        </w:rPr>
      </w:pPr>
      <w:r w:rsidRPr="00A97366">
        <w:rPr>
          <w:rFonts w:ascii="Verdana" w:hAnsi="Verdana" w:cs="Arial"/>
          <w:sz w:val="20"/>
          <w:szCs w:val="20"/>
        </w:rPr>
        <w:t>“</w:t>
      </w:r>
      <w:r w:rsidRPr="004E584E">
        <w:rPr>
          <w:rFonts w:ascii="Verdana" w:hAnsi="Verdana" w:cs="Arial"/>
          <w:sz w:val="20"/>
          <w:szCs w:val="20"/>
        </w:rPr>
        <w:t>Todos los contratos en que los municipios o distritos entreguen en concesión la prestación del servicio de alumbrado público a terceros, deberán sujetarse en todo a la Ley 80 de 1993, contener las garantías exigidas en la misma, incluir la cláusula de reversión de toda la infraestructura administrada, construida o modernizada, hacer obligatoria la modernización del Sistema, incorporar en el modelo financiero y contener el plazo correspondiente en armonía con ese modelo financiero. Así mismo, tendrán una interventoría idónea. Se diferenciará claramente el contrato de operación, administración, modernización, y mantenimiento de aquel a través del cual se adquiera la energía eléctrica con destino al alumbrado público, pues este se regirá por las Leyes 142 y 143 de 1994. La CREG regulará el contrato y el costo de facturación y recaudo conjunto con el servicio de energía de la contribución creada por la Ley 97 de 1913 y 84 de 1915 con destino a la financiación de este servicio especial inherente a la energía. Los contratos vigentes a la fecha de la presente ley, deberán ajustarse a lo aquí previsto</w:t>
      </w:r>
      <w:r w:rsidRPr="00A97366">
        <w:rPr>
          <w:rFonts w:ascii="Verdana" w:hAnsi="Verdana" w:cs="Arial"/>
          <w:sz w:val="20"/>
          <w:szCs w:val="20"/>
        </w:rPr>
        <w:t>”</w:t>
      </w:r>
      <w:r w:rsidRPr="004E584E">
        <w:rPr>
          <w:rFonts w:ascii="Verdana" w:hAnsi="Verdana" w:cs="Arial"/>
          <w:sz w:val="20"/>
          <w:szCs w:val="20"/>
        </w:rPr>
        <w:t>.</w:t>
      </w:r>
    </w:p>
    <w:p w14:paraId="574E5BD8" w14:textId="77777777" w:rsidR="00FC28F5" w:rsidRPr="004E584E" w:rsidRDefault="00FC28F5" w:rsidP="00FC28F5">
      <w:pPr>
        <w:tabs>
          <w:tab w:val="left" w:pos="284"/>
        </w:tabs>
        <w:spacing w:after="0" w:line="276" w:lineRule="auto"/>
        <w:ind w:left="708"/>
        <w:jc w:val="both"/>
        <w:rPr>
          <w:rFonts w:ascii="Verdana" w:eastAsia="Calibri" w:hAnsi="Verdana" w:cs="Arial"/>
          <w:lang w:val="es-ES_tradnl"/>
        </w:rPr>
      </w:pPr>
    </w:p>
    <w:p w14:paraId="7426425C" w14:textId="77777777" w:rsidR="00FC28F5" w:rsidRPr="004E584E" w:rsidRDefault="00FC28F5" w:rsidP="00FC28F5">
      <w:pPr>
        <w:widowControl w:val="0"/>
        <w:autoSpaceDE w:val="0"/>
        <w:autoSpaceDN w:val="0"/>
        <w:spacing w:after="120" w:line="276" w:lineRule="auto"/>
        <w:ind w:firstLine="708"/>
        <w:jc w:val="both"/>
        <w:rPr>
          <w:rFonts w:ascii="Verdana" w:hAnsi="Verdana" w:cs="Arial"/>
        </w:rPr>
      </w:pPr>
      <w:r w:rsidRPr="004E584E">
        <w:rPr>
          <w:rFonts w:ascii="Verdana" w:hAnsi="Verdana" w:cs="Arial"/>
        </w:rPr>
        <w:t xml:space="preserve">De modo que, por expresa disposición legal, los municipios y distritos pueden celebrar contratos de concesión para la prestación del servicio de alumbrado público, los cuales se someten a las reglas previstas para el efecto en el Estatuto General de Contratación de la Administración Pública y deben observar el mandato perentorio contenido en el artículo 29 de la Ley 1150 de 2007 en relación con la obligatoriedad de contar con una interventoría idónea, esto es, en los términos del artículo 83 de la Ley 1474 de 2011, consistente en </w:t>
      </w:r>
      <w:r w:rsidRPr="009C21AD">
        <w:rPr>
          <w:rFonts w:ascii="Verdana" w:hAnsi="Verdana" w:cs="Arial"/>
        </w:rPr>
        <w:t>“</w:t>
      </w:r>
      <w:r w:rsidRPr="004E584E">
        <w:rPr>
          <w:rFonts w:ascii="Verdana" w:hAnsi="Verdana" w:cs="Arial"/>
        </w:rPr>
        <w:t xml:space="preserve">[…] el seguimiento técnico que sobre el cumplimiento del contrato realice una persona natural o jurídica contratada para tal fin por la Entidad Estatal, cuando </w:t>
      </w:r>
      <w:r w:rsidRPr="004E584E">
        <w:rPr>
          <w:rFonts w:ascii="Verdana" w:hAnsi="Verdana" w:cs="Arial"/>
        </w:rPr>
        <w:lastRenderedPageBreak/>
        <w:t>el seguimiento del contrato suponga conocimiento especializado en la materia, o cuando la complejidad o la extensión del mismo lo justifiquen</w:t>
      </w:r>
      <w:r w:rsidRPr="009C21AD">
        <w:rPr>
          <w:rFonts w:ascii="Verdana" w:hAnsi="Verdana" w:cs="Arial"/>
        </w:rPr>
        <w:t>”</w:t>
      </w:r>
      <w:r w:rsidRPr="004E584E">
        <w:rPr>
          <w:rFonts w:ascii="Verdana" w:hAnsi="Verdana" w:cs="Arial"/>
        </w:rPr>
        <w:t xml:space="preserve">. </w:t>
      </w:r>
    </w:p>
    <w:p w14:paraId="7ACCBBE7" w14:textId="77777777" w:rsidR="00FC28F5" w:rsidRPr="004E584E" w:rsidRDefault="00FC28F5" w:rsidP="00FC28F5">
      <w:pPr>
        <w:tabs>
          <w:tab w:val="left" w:pos="284"/>
        </w:tabs>
        <w:spacing w:after="120" w:line="276" w:lineRule="auto"/>
        <w:jc w:val="both"/>
        <w:rPr>
          <w:rFonts w:ascii="Verdana" w:eastAsia="Calibri" w:hAnsi="Verdana" w:cs="Arial"/>
          <w:bCs/>
          <w:lang w:val="es-ES_tradnl"/>
        </w:rPr>
      </w:pPr>
      <w:r w:rsidRPr="004E584E">
        <w:rPr>
          <w:rFonts w:ascii="Verdana" w:eastAsia="Calibri" w:hAnsi="Verdana" w:cs="Arial"/>
          <w:bCs/>
          <w:lang w:val="es-ES_tradnl"/>
        </w:rPr>
        <w:tab/>
      </w:r>
      <w:r w:rsidRPr="004E584E">
        <w:rPr>
          <w:rFonts w:ascii="Verdana" w:eastAsia="Calibri" w:hAnsi="Verdana" w:cs="Arial"/>
          <w:bCs/>
          <w:lang w:val="es-ES_tradnl"/>
        </w:rPr>
        <w:tab/>
      </w:r>
      <w:r w:rsidRPr="004E584E">
        <w:rPr>
          <w:rFonts w:ascii="Verdana" w:hAnsi="Verdana" w:cs="Arial"/>
        </w:rPr>
        <w:t>Mediante la celebración de contratos de concesión, las entidades públicas reciben el apoyo de los particulares para el cumplimiento de los fines del Estado, permitiendo que aquellos exploten, operen, organicen, construyan, conserven o gestionen un determinado bien o servicio de propiedad estatal, en la medida de lo posible con sus propios recursos privados y con la oportunidad de recuperar su inversión en el futuro</w:t>
      </w:r>
      <w:r w:rsidRPr="004E584E">
        <w:rPr>
          <w:rFonts w:ascii="Verdana" w:eastAsia="Calibri" w:hAnsi="Verdana" w:cs="Arial"/>
          <w:bCs/>
          <w:vertAlign w:val="superscript"/>
          <w:lang w:val="es-ES_tradnl"/>
        </w:rPr>
        <w:footnoteReference w:id="6"/>
      </w:r>
      <w:r w:rsidRPr="004E584E">
        <w:rPr>
          <w:rFonts w:ascii="Verdana" w:eastAsia="Calibri" w:hAnsi="Verdana" w:cs="Arial"/>
          <w:bCs/>
          <w:lang w:val="es-ES_tradnl"/>
        </w:rPr>
        <w:t xml:space="preserve">. </w:t>
      </w:r>
    </w:p>
    <w:p w14:paraId="1B51901F" w14:textId="77777777" w:rsidR="00FC28F5" w:rsidRPr="004E584E" w:rsidRDefault="00FC28F5" w:rsidP="00FC28F5">
      <w:pPr>
        <w:tabs>
          <w:tab w:val="left" w:pos="284"/>
        </w:tabs>
        <w:spacing w:after="120" w:line="276" w:lineRule="auto"/>
        <w:jc w:val="both"/>
        <w:rPr>
          <w:rFonts w:ascii="Verdana" w:eastAsia="Calibri" w:hAnsi="Verdana" w:cs="Arial"/>
          <w:bCs/>
          <w:lang w:val="es-ES_tradnl"/>
        </w:rPr>
      </w:pPr>
      <w:r w:rsidRPr="004E584E">
        <w:rPr>
          <w:rFonts w:ascii="Verdana" w:eastAsia="Calibri" w:hAnsi="Verdana" w:cs="Arial"/>
          <w:bCs/>
          <w:lang w:val="es-ES_tradnl"/>
        </w:rPr>
        <w:tab/>
      </w:r>
      <w:r w:rsidRPr="004E584E">
        <w:rPr>
          <w:rFonts w:ascii="Verdana" w:eastAsia="Calibri" w:hAnsi="Verdana" w:cs="Arial"/>
          <w:bCs/>
          <w:lang w:val="es-ES_tradnl"/>
        </w:rPr>
        <w:tab/>
      </w:r>
      <w:r w:rsidRPr="004E584E">
        <w:rPr>
          <w:rFonts w:ascii="Verdana" w:hAnsi="Verdana" w:cs="Arial"/>
        </w:rPr>
        <w:t>Por tanto, en el contrato de concesión el contratista es, en principio, quien por su cuenta y riesgo ejecuta la prestación, operación, explotación u organización del servicio, así como la construcción, explotación o conservación del bien, a cambio de una remuneración</w:t>
      </w:r>
      <w:r w:rsidRPr="004E584E">
        <w:rPr>
          <w:rFonts w:ascii="Verdana" w:hAnsi="Verdana" w:cs="Arial"/>
          <w:vertAlign w:val="superscript"/>
        </w:rPr>
        <w:footnoteReference w:id="7"/>
      </w:r>
      <w:r w:rsidRPr="004E584E">
        <w:rPr>
          <w:rFonts w:ascii="Verdana" w:hAnsi="Verdana" w:cs="Arial"/>
        </w:rPr>
        <w:t>, tal como lo ha reconocido la jurisprudencia de la Corte Constitucional</w:t>
      </w:r>
      <w:r w:rsidRPr="004E584E">
        <w:rPr>
          <w:rFonts w:ascii="Verdana" w:hAnsi="Verdana" w:cs="Arial"/>
          <w:vertAlign w:val="superscript"/>
        </w:rPr>
        <w:footnoteReference w:id="8"/>
      </w:r>
      <w:r w:rsidRPr="004E584E">
        <w:rPr>
          <w:rFonts w:ascii="Verdana" w:hAnsi="Verdana" w:cs="Arial"/>
        </w:rPr>
        <w:t xml:space="preserve">. A partir de la tipificación de este contrato, en el artículo citado, y sin perjuicio de la existencia de regímenes especiales, las disposiciones del Estatuto General de Contratación de la </w:t>
      </w:r>
      <w:r w:rsidRPr="004E584E">
        <w:rPr>
          <w:rFonts w:ascii="Verdana" w:hAnsi="Verdana" w:cs="Arial"/>
        </w:rPr>
        <w:lastRenderedPageBreak/>
        <w:t>Administración Pública son principalmente las aplicables a las entidades públicas en la celebración de los contratos de concesión</w:t>
      </w:r>
      <w:r w:rsidRPr="004E584E">
        <w:rPr>
          <w:rFonts w:ascii="Verdana" w:eastAsia="Calibri" w:hAnsi="Verdana" w:cs="Arial"/>
          <w:bCs/>
          <w:vertAlign w:val="superscript"/>
          <w:lang w:val="es-ES_tradnl"/>
        </w:rPr>
        <w:footnoteReference w:id="9"/>
      </w:r>
      <w:r w:rsidRPr="004E584E">
        <w:rPr>
          <w:rFonts w:ascii="Verdana" w:eastAsia="Calibri" w:hAnsi="Verdana" w:cs="Arial"/>
          <w:bCs/>
          <w:lang w:val="es-ES_tradnl"/>
        </w:rPr>
        <w:t>.</w:t>
      </w:r>
    </w:p>
    <w:p w14:paraId="2312AAD6" w14:textId="77777777" w:rsidR="00FC28F5" w:rsidRPr="004E584E" w:rsidRDefault="00FC28F5" w:rsidP="00FC28F5">
      <w:pPr>
        <w:tabs>
          <w:tab w:val="left" w:pos="284"/>
        </w:tabs>
        <w:spacing w:after="120" w:line="276" w:lineRule="auto"/>
        <w:jc w:val="both"/>
        <w:rPr>
          <w:rFonts w:ascii="Verdana" w:eastAsia="Calibri" w:hAnsi="Verdana" w:cs="Arial"/>
          <w:lang w:val="es-ES_tradnl"/>
        </w:rPr>
      </w:pPr>
      <w:r w:rsidRPr="004E584E">
        <w:rPr>
          <w:rFonts w:ascii="Verdana" w:eastAsia="Calibri" w:hAnsi="Verdana" w:cs="Arial"/>
          <w:bCs/>
          <w:lang w:val="es-ES_tradnl"/>
        </w:rPr>
        <w:tab/>
      </w:r>
      <w:r w:rsidRPr="004E584E">
        <w:rPr>
          <w:rFonts w:ascii="Verdana" w:eastAsia="Calibri" w:hAnsi="Verdana" w:cs="Arial"/>
          <w:bCs/>
          <w:lang w:val="es-ES_tradnl"/>
        </w:rPr>
        <w:tab/>
      </w:r>
      <w:r w:rsidRPr="004E584E">
        <w:rPr>
          <w:rFonts w:ascii="Verdana" w:hAnsi="Verdana" w:cs="Arial"/>
        </w:rPr>
        <w:t>Ahora bien, aunque la remisión del artículo 2.2.3.6.1.4. del Decreto 1073 del 2017, al Estatuto General de la Contratación Pública para efectos de establecer el régimen al cual se someten los contratos de concesión que tengan por objeto la prestación del servicio de alumbrado público, supone que los procedimientos de selección que se deben surtir para su celebración son los previstos en el artículo 2 Ley 1150 de 2007,  la Sección Tercera del Consejo de Estado ha considerado que, el procedimiento de selección que debe efectuarse para poder suscribir el contrato de concesión del servicio de alumbrado público, debe cumplir, además, con los preceptos del artículo 55 de la Ley 143 del 1994, que establece:</w:t>
      </w:r>
    </w:p>
    <w:p w14:paraId="1E30A8B7" w14:textId="77777777" w:rsidR="00FC28F5" w:rsidRPr="004E584E" w:rsidRDefault="00FC28F5" w:rsidP="00FC28F5">
      <w:pPr>
        <w:pStyle w:val="Sinespaciado"/>
        <w:ind w:left="709" w:right="709"/>
        <w:contextualSpacing/>
        <w:rPr>
          <w:rFonts w:ascii="Verdana" w:hAnsi="Verdana" w:cs="Arial"/>
          <w:sz w:val="20"/>
          <w:szCs w:val="20"/>
        </w:rPr>
      </w:pPr>
      <w:r w:rsidRPr="00A15B95">
        <w:rPr>
          <w:rFonts w:ascii="Verdana" w:hAnsi="Verdana" w:cs="Arial"/>
          <w:sz w:val="20"/>
          <w:szCs w:val="20"/>
        </w:rPr>
        <w:t>“</w:t>
      </w:r>
      <w:r w:rsidRPr="004E584E">
        <w:rPr>
          <w:rFonts w:ascii="Verdana" w:hAnsi="Verdana" w:cs="Arial"/>
          <w:sz w:val="20"/>
          <w:szCs w:val="20"/>
        </w:rPr>
        <w:t>Mediante el contrato de concesión, la Nación, el departamento, el municipio o distrito competente podrán confiar en forma temporal la organización, prestación, mantenimiento y gestión de cualquiera de las actividades del servicio público de electricidad a una persona jurídica privada o pública o a una empresa mixta, la cual lo asume por su cuenta y riesgo, bajo la vigilancia y el control de la entidad concedente.</w:t>
      </w:r>
    </w:p>
    <w:p w14:paraId="4BC52735" w14:textId="77777777" w:rsidR="00FC28F5" w:rsidRPr="004E584E" w:rsidRDefault="00FC28F5" w:rsidP="00FC28F5">
      <w:pPr>
        <w:pStyle w:val="Sinespaciado"/>
        <w:ind w:left="709" w:right="709"/>
        <w:contextualSpacing/>
        <w:rPr>
          <w:rFonts w:ascii="Verdana" w:hAnsi="Verdana" w:cs="Arial"/>
          <w:sz w:val="20"/>
          <w:szCs w:val="20"/>
        </w:rPr>
      </w:pPr>
    </w:p>
    <w:p w14:paraId="657DF4F8" w14:textId="77777777" w:rsidR="00FC28F5" w:rsidRPr="004E584E" w:rsidRDefault="00FC28F5" w:rsidP="00FC28F5">
      <w:pPr>
        <w:pStyle w:val="Sinespaciado"/>
        <w:ind w:left="709" w:right="709"/>
        <w:contextualSpacing/>
        <w:rPr>
          <w:rFonts w:ascii="Verdana" w:hAnsi="Verdana" w:cs="Arial"/>
          <w:sz w:val="20"/>
          <w:szCs w:val="20"/>
        </w:rPr>
      </w:pPr>
      <w:r w:rsidRPr="004E584E">
        <w:rPr>
          <w:rFonts w:ascii="Verdana" w:hAnsi="Verdana" w:cs="Arial"/>
          <w:sz w:val="20"/>
          <w:szCs w:val="20"/>
        </w:rPr>
        <w:t>La vigilancia y control del concedente no obsta para que el Ministerio de Minas y Energía, así como otros organismos estatales ejerzan sus facultades legales de regulación, fiscalización, control y vigilancia.</w:t>
      </w:r>
    </w:p>
    <w:p w14:paraId="2C2BAA55" w14:textId="77777777" w:rsidR="00FC28F5" w:rsidRPr="004E584E" w:rsidRDefault="00FC28F5" w:rsidP="00FC28F5">
      <w:pPr>
        <w:pStyle w:val="Sinespaciado"/>
        <w:ind w:left="709" w:right="709"/>
        <w:contextualSpacing/>
        <w:rPr>
          <w:rFonts w:ascii="Verdana" w:hAnsi="Verdana" w:cs="Arial"/>
          <w:sz w:val="20"/>
          <w:szCs w:val="20"/>
        </w:rPr>
      </w:pPr>
    </w:p>
    <w:p w14:paraId="2232495C" w14:textId="77777777" w:rsidR="00FC28F5" w:rsidRPr="004E584E" w:rsidRDefault="00FC28F5" w:rsidP="00FC28F5">
      <w:pPr>
        <w:pStyle w:val="Sinespaciado"/>
        <w:ind w:left="709" w:right="709"/>
        <w:contextualSpacing/>
        <w:rPr>
          <w:rFonts w:ascii="Verdana" w:hAnsi="Verdana" w:cs="Arial"/>
          <w:sz w:val="20"/>
          <w:szCs w:val="20"/>
        </w:rPr>
      </w:pPr>
      <w:r w:rsidRPr="004E584E">
        <w:rPr>
          <w:rFonts w:ascii="Verdana" w:hAnsi="Verdana" w:cs="Arial"/>
          <w:sz w:val="20"/>
          <w:szCs w:val="20"/>
        </w:rPr>
        <w:t>El concesionario del servicio de electricidad deberá sujetarse a las disposiciones legales que le sean aplicables; y a lo dispuesto en el respectivo contrato de concesión.</w:t>
      </w:r>
    </w:p>
    <w:p w14:paraId="7E351706" w14:textId="77777777" w:rsidR="00FC28F5" w:rsidRPr="004E584E" w:rsidRDefault="00FC28F5" w:rsidP="00FC28F5">
      <w:pPr>
        <w:pStyle w:val="Sinespaciado"/>
        <w:ind w:left="709" w:right="709"/>
        <w:contextualSpacing/>
        <w:rPr>
          <w:rFonts w:ascii="Verdana" w:hAnsi="Verdana" w:cs="Arial"/>
          <w:sz w:val="20"/>
          <w:szCs w:val="20"/>
        </w:rPr>
      </w:pPr>
    </w:p>
    <w:p w14:paraId="55C141C1" w14:textId="77777777" w:rsidR="00FC28F5" w:rsidRPr="004E584E" w:rsidRDefault="00FC28F5" w:rsidP="00FC28F5">
      <w:pPr>
        <w:pStyle w:val="Sinespaciado"/>
        <w:ind w:left="709" w:right="709"/>
        <w:contextualSpacing/>
        <w:rPr>
          <w:rFonts w:ascii="Verdana" w:hAnsi="Verdana" w:cs="Arial"/>
          <w:sz w:val="20"/>
          <w:szCs w:val="20"/>
        </w:rPr>
      </w:pPr>
      <w:r w:rsidRPr="004E584E">
        <w:rPr>
          <w:rFonts w:ascii="Verdana" w:hAnsi="Verdana" w:cs="Arial"/>
          <w:sz w:val="20"/>
          <w:szCs w:val="20"/>
        </w:rPr>
        <w:t>El concesionario deberá reunir las condiciones que requiera el respectivo servicio, de acuerdo con los reglamentos que expida el Ministerio de Minas y Energía. El otorgamiento de la concesión se hará mediante oferta pública a quien ofrezca las mejores condiciones técnicas y económicas para el concedente y en beneficio de los usuarios.</w:t>
      </w:r>
    </w:p>
    <w:p w14:paraId="72047DA0" w14:textId="77777777" w:rsidR="00FC28F5" w:rsidRPr="004E584E" w:rsidRDefault="00FC28F5" w:rsidP="00FC28F5">
      <w:pPr>
        <w:pStyle w:val="Sinespaciado"/>
        <w:ind w:left="709" w:right="709"/>
        <w:contextualSpacing/>
        <w:rPr>
          <w:rFonts w:ascii="Verdana" w:hAnsi="Verdana" w:cs="Arial"/>
          <w:sz w:val="20"/>
          <w:szCs w:val="20"/>
        </w:rPr>
      </w:pPr>
    </w:p>
    <w:p w14:paraId="31544E46" w14:textId="77777777" w:rsidR="00FC28F5" w:rsidRPr="004E584E" w:rsidRDefault="00FC28F5" w:rsidP="00FC28F5">
      <w:pPr>
        <w:pStyle w:val="Sinespaciado"/>
        <w:ind w:left="709" w:right="709"/>
        <w:contextualSpacing/>
        <w:rPr>
          <w:rFonts w:ascii="Verdana" w:hAnsi="Verdana" w:cs="Arial"/>
          <w:sz w:val="20"/>
          <w:szCs w:val="20"/>
        </w:rPr>
      </w:pPr>
      <w:r w:rsidRPr="004E584E">
        <w:rPr>
          <w:rFonts w:ascii="Verdana" w:hAnsi="Verdana" w:cs="Arial"/>
          <w:sz w:val="20"/>
          <w:szCs w:val="20"/>
        </w:rPr>
        <w:t>Lo anterior sin perjuicio de otras modalidades contractuales viables en concordancia con el artículo 10 de la presente Ley</w:t>
      </w:r>
      <w:r w:rsidRPr="00A15B95">
        <w:rPr>
          <w:rFonts w:ascii="Verdana" w:hAnsi="Verdana" w:cs="Arial"/>
          <w:sz w:val="20"/>
          <w:szCs w:val="20"/>
        </w:rPr>
        <w:t>”</w:t>
      </w:r>
      <w:r w:rsidRPr="004E584E">
        <w:rPr>
          <w:rFonts w:ascii="Verdana" w:hAnsi="Verdana" w:cs="Arial"/>
          <w:sz w:val="20"/>
          <w:szCs w:val="20"/>
        </w:rPr>
        <w:t>.</w:t>
      </w:r>
    </w:p>
    <w:p w14:paraId="0A4BA3AE" w14:textId="77777777" w:rsidR="00FC28F5" w:rsidRPr="004E584E" w:rsidRDefault="00FC28F5" w:rsidP="00FC28F5">
      <w:pPr>
        <w:pStyle w:val="Sinespaciado"/>
        <w:ind w:left="709" w:right="709"/>
        <w:contextualSpacing/>
        <w:rPr>
          <w:rFonts w:ascii="Verdana" w:hAnsi="Verdana" w:cs="Arial"/>
          <w:sz w:val="20"/>
          <w:szCs w:val="20"/>
        </w:rPr>
      </w:pPr>
    </w:p>
    <w:p w14:paraId="12D3124C" w14:textId="77777777" w:rsidR="00FC28F5" w:rsidRPr="004E584E" w:rsidRDefault="00FC28F5" w:rsidP="00FC28F5">
      <w:pPr>
        <w:tabs>
          <w:tab w:val="left" w:pos="284"/>
        </w:tabs>
        <w:spacing w:after="120" w:line="276" w:lineRule="auto"/>
        <w:jc w:val="both"/>
        <w:rPr>
          <w:rFonts w:ascii="Verdana" w:eastAsia="Calibri" w:hAnsi="Verdana" w:cs="Arial"/>
          <w:lang w:val="es-ES_tradnl"/>
        </w:rPr>
      </w:pPr>
      <w:r w:rsidRPr="004E584E">
        <w:rPr>
          <w:rFonts w:ascii="Verdana" w:eastAsia="Calibri" w:hAnsi="Verdana" w:cs="Arial"/>
          <w:lang w:val="es-ES_tradnl"/>
        </w:rPr>
        <w:tab/>
      </w:r>
      <w:r w:rsidRPr="004E584E">
        <w:rPr>
          <w:rFonts w:ascii="Verdana" w:eastAsia="Calibri" w:hAnsi="Verdana" w:cs="Arial"/>
          <w:lang w:val="es-ES_tradnl"/>
        </w:rPr>
        <w:tab/>
      </w:r>
      <w:r w:rsidRPr="004E584E">
        <w:rPr>
          <w:rFonts w:ascii="Verdana" w:hAnsi="Verdana" w:cs="Arial"/>
        </w:rPr>
        <w:t xml:space="preserve">En efecto, la Sección Tercera del Consejo de Estado ha interpretado el citado artículo 55 de la Ley 143 de 1994 como una norma aplicable a la </w:t>
      </w:r>
      <w:r w:rsidRPr="004E584E">
        <w:rPr>
          <w:rFonts w:ascii="Verdana" w:hAnsi="Verdana" w:cs="Arial"/>
        </w:rPr>
        <w:lastRenderedPageBreak/>
        <w:t xml:space="preserve">celebración del contrato de concesión del servicio de alumbrado público por parte de los municipios y distritos, afirmando que, según lo establecido en el cuarto inciso, la autoridad concedente debe realizar un procedimiento que garantice la libre concurrencia. En tal sentido, el alto tribunal indicó que </w:t>
      </w:r>
      <w:r w:rsidRPr="0077314E">
        <w:rPr>
          <w:rFonts w:ascii="Verdana" w:hAnsi="Verdana" w:cs="Arial"/>
        </w:rPr>
        <w:t>“</w:t>
      </w:r>
      <w:r w:rsidRPr="004E584E">
        <w:rPr>
          <w:rFonts w:ascii="Verdana" w:hAnsi="Verdana" w:cs="Arial"/>
        </w:rPr>
        <w:t>[…] la Ley 143 hizo relación al contrato de concesión del servicio de alumbrado público. Adicionalmente se observa que la Ley 143 sometió la adjudicación del contrato de concesión a oferta pública, pero en manera alguna se separó el referido contrato de la aplicación de la Ley 80 de 1993, en materia de los principios de la contratación estatal</w:t>
      </w:r>
      <w:r w:rsidRPr="0077314E">
        <w:rPr>
          <w:rFonts w:ascii="Verdana" w:hAnsi="Verdana" w:cs="Arial"/>
        </w:rPr>
        <w:t>”</w:t>
      </w:r>
      <w:r w:rsidRPr="004E584E">
        <w:rPr>
          <w:rFonts w:ascii="Verdana" w:eastAsia="Calibri" w:hAnsi="Verdana" w:cs="Arial"/>
          <w:vertAlign w:val="superscript"/>
          <w:lang w:val="es-ES_tradnl"/>
        </w:rPr>
        <w:footnoteReference w:id="10"/>
      </w:r>
      <w:r w:rsidRPr="004E584E">
        <w:rPr>
          <w:rFonts w:ascii="Verdana" w:eastAsia="Calibri" w:hAnsi="Verdana" w:cs="Arial"/>
          <w:lang w:val="es-ES_tradnl"/>
        </w:rPr>
        <w:t>.</w:t>
      </w:r>
    </w:p>
    <w:p w14:paraId="4671970B" w14:textId="77777777" w:rsidR="00FC28F5" w:rsidRPr="004E584E" w:rsidRDefault="00FC28F5" w:rsidP="00FC28F5">
      <w:pPr>
        <w:tabs>
          <w:tab w:val="left" w:pos="284"/>
        </w:tabs>
        <w:spacing w:after="120" w:line="276" w:lineRule="auto"/>
        <w:jc w:val="both"/>
        <w:rPr>
          <w:rFonts w:ascii="Verdana" w:hAnsi="Verdana" w:cs="Arial"/>
        </w:rPr>
      </w:pPr>
      <w:r w:rsidRPr="004E584E">
        <w:rPr>
          <w:rFonts w:ascii="Verdana" w:eastAsia="Calibri" w:hAnsi="Verdana" w:cs="Arial"/>
          <w:lang w:val="es-ES_tradnl"/>
        </w:rPr>
        <w:tab/>
      </w:r>
      <w:r w:rsidRPr="004E584E">
        <w:rPr>
          <w:rFonts w:ascii="Verdana" w:eastAsia="Calibri" w:hAnsi="Verdana" w:cs="Arial"/>
          <w:lang w:val="es-ES_tradnl"/>
        </w:rPr>
        <w:tab/>
      </w:r>
      <w:r w:rsidRPr="004E584E">
        <w:rPr>
          <w:rFonts w:ascii="Verdana" w:hAnsi="Verdana" w:cs="Arial"/>
        </w:rPr>
        <w:t xml:space="preserve">En esas condiciones, conforme a las normas vigentes y a la interpretación que la jurisprudencia contencioso-administrativa le ha dado a su alcance, los contratos de concesión del servicio de alumbrado público se someten a las reglas fijadas para su celebración y ejecución en el Estatuto General de Contratación Pública, que se complementan con la previsión específica del artículo 55 de la Ley 143 del 1994, según la cual en este tipo de contratos siempre se requerirá de oferta pública. </w:t>
      </w:r>
    </w:p>
    <w:p w14:paraId="0EBC6BFF" w14:textId="77777777" w:rsidR="00FC28F5" w:rsidRPr="002675E7" w:rsidRDefault="00FC28F5" w:rsidP="00FC28F5">
      <w:pPr>
        <w:tabs>
          <w:tab w:val="left" w:pos="284"/>
        </w:tabs>
        <w:spacing w:after="120" w:line="276" w:lineRule="auto"/>
        <w:jc w:val="both"/>
        <w:rPr>
          <w:rFonts w:ascii="Verdana" w:eastAsia="Verdana" w:hAnsi="Verdana" w:cs="Verdana"/>
          <w:lang w:val="es-ES"/>
        </w:rPr>
      </w:pPr>
      <w:r w:rsidRPr="004E584E">
        <w:rPr>
          <w:rFonts w:ascii="Verdana" w:hAnsi="Verdana" w:cs="Arial"/>
        </w:rPr>
        <w:tab/>
      </w:r>
      <w:r w:rsidRPr="004E584E">
        <w:rPr>
          <w:rFonts w:ascii="Verdana" w:hAnsi="Verdana" w:cs="Arial"/>
        </w:rPr>
        <w:tab/>
        <w:t xml:space="preserve">Con relación a lo expresado, resulta pertinente resaltar que esta Agencia, mediante concepto C-077 del 16 de marzo del 2021 manifestó que la previsión contenida en el artículo 55 de la Ley 143 del 1994 evidencia que, en todos los casos el contrato de concesión de alumbrado público debe ser </w:t>
      </w:r>
      <w:r w:rsidRPr="0077314E">
        <w:rPr>
          <w:rFonts w:ascii="Verdana" w:hAnsi="Verdana" w:cs="Arial"/>
        </w:rPr>
        <w:t>“</w:t>
      </w:r>
      <w:r w:rsidRPr="004E584E">
        <w:rPr>
          <w:rFonts w:ascii="Verdana" w:hAnsi="Verdana" w:cs="Arial"/>
        </w:rPr>
        <w:t>el resultado de un procedimiento que garantice la presentación pública de ofertas. Por lo tanto, si bien, acudiendo al criterio orgánico, el contrato de concesión que llegare a celebrar una empresa prestadora de servicios públicos de naturaleza oficial con un municipio o distrito, para encargarse del servicio de alumbrado público, puede calificarse como un contrato interadministrativo, debe ser el resultado de un procedimiento de selección plural. En consecuencia, al existir norma especial en el artículo 55 de la Ley 143 de 1994, no puede aplicarse la causal de contratación directa del artículo 2º, numeral 4º, literal c) de la Ley 1150 de 2007</w:t>
      </w:r>
      <w:r w:rsidRPr="0077314E">
        <w:rPr>
          <w:rFonts w:ascii="Verdana" w:hAnsi="Verdana" w:cs="Arial"/>
        </w:rPr>
        <w:t>”</w:t>
      </w:r>
      <w:r w:rsidRPr="004E584E">
        <w:rPr>
          <w:rFonts w:ascii="Verdana" w:hAnsi="Verdana" w:cs="Arial"/>
        </w:rPr>
        <w:t>.</w:t>
      </w:r>
    </w:p>
    <w:p w14:paraId="6D87D7CC" w14:textId="77777777" w:rsidR="00FC28F5" w:rsidRDefault="00FC28F5" w:rsidP="00FC28F5">
      <w:pPr>
        <w:spacing w:after="120" w:line="276" w:lineRule="auto"/>
        <w:jc w:val="both"/>
        <w:rPr>
          <w:rFonts w:ascii="Verdana" w:eastAsia="Calibri" w:hAnsi="Verdana" w:cs="Arial"/>
          <w:lang w:val="es-ES"/>
        </w:rPr>
      </w:pPr>
      <w:r w:rsidRPr="00447978">
        <w:rPr>
          <w:rFonts w:ascii="Verdana" w:eastAsia="Verdana" w:hAnsi="Verdana" w:cs="Verdana"/>
          <w:b/>
          <w:bCs/>
          <w:lang w:val="es-ES"/>
        </w:rPr>
        <w:t>ii</w:t>
      </w:r>
      <w:r w:rsidRPr="002675E7">
        <w:rPr>
          <w:rFonts w:ascii="Verdana" w:eastAsia="Verdana" w:hAnsi="Verdana" w:cs="Verdana"/>
          <w:lang w:val="es-ES"/>
        </w:rPr>
        <w:t xml:space="preserve">. </w:t>
      </w:r>
      <w:r>
        <w:rPr>
          <w:rFonts w:ascii="Verdana" w:eastAsia="Verdana" w:hAnsi="Verdana" w:cs="Verdana"/>
          <w:lang w:val="es-ES"/>
        </w:rPr>
        <w:t>Ahora bien, teniendo en cuenta la naturaleza del contrato de concesión, se expondrá de manera relevante el tratamiento para las vigencias futuras y el manejo presupuestal en este tipo de contratos.</w:t>
      </w:r>
    </w:p>
    <w:p w14:paraId="0F6E95DD" w14:textId="77777777" w:rsidR="00FC28F5" w:rsidRPr="00D069D8" w:rsidRDefault="00FC28F5" w:rsidP="00FC28F5">
      <w:pPr>
        <w:shd w:val="clear" w:color="auto" w:fill="FFFFFF" w:themeFill="background1"/>
        <w:spacing w:after="120" w:line="276" w:lineRule="auto"/>
        <w:ind w:right="51" w:firstLine="708"/>
        <w:jc w:val="both"/>
        <w:rPr>
          <w:rFonts w:ascii="Verdana" w:eastAsia="Calibri" w:hAnsi="Verdana" w:cs="Arial"/>
          <w:color w:val="000000" w:themeColor="text1"/>
          <w:lang w:val="es-ES"/>
        </w:rPr>
      </w:pPr>
      <w:r w:rsidRPr="00D069D8">
        <w:rPr>
          <w:rFonts w:ascii="Verdana" w:eastAsia="Calibri" w:hAnsi="Verdana" w:cs="Arial"/>
          <w:color w:val="000000" w:themeColor="text1"/>
          <w:lang w:val="es-ES"/>
        </w:rPr>
        <w:lastRenderedPageBreak/>
        <w:t xml:space="preserve">Las Entidades Estatales deben sujetarse a los principios que rigen el sistema presupuestal, entre los cuales se encuentra el de anualidad del gasto público. Este principio encuentra fundamento constitucional </w:t>
      </w:r>
      <w:bookmarkStart w:id="1" w:name="_Hlk65717879"/>
      <w:r w:rsidRPr="00D069D8">
        <w:rPr>
          <w:rFonts w:ascii="Verdana" w:eastAsia="Calibri" w:hAnsi="Verdana" w:cs="Arial"/>
          <w:color w:val="000000" w:themeColor="text1"/>
          <w:lang w:val="es-ES"/>
        </w:rPr>
        <w:t>en el artículo 346 superior que contiene el régimen general del presupuesto de rentas y la ley de apropiaciones</w:t>
      </w:r>
      <w:r w:rsidRPr="00D069D8">
        <w:rPr>
          <w:rFonts w:ascii="Verdana" w:eastAsia="Calibri" w:hAnsi="Verdana" w:cs="Arial"/>
          <w:color w:val="000000" w:themeColor="text1"/>
          <w:vertAlign w:val="superscript"/>
          <w:lang w:val="es-ES"/>
        </w:rPr>
        <w:footnoteReference w:id="11"/>
      </w:r>
      <w:r w:rsidRPr="00D069D8">
        <w:rPr>
          <w:rFonts w:ascii="Verdana" w:eastAsia="Calibri" w:hAnsi="Verdana" w:cs="Arial"/>
          <w:color w:val="000000" w:themeColor="text1"/>
          <w:lang w:val="es-ES"/>
        </w:rPr>
        <w:t>, que deberá presentarse al Congreso dentro de los primeros diez días de cada legislatura, elaborarse y aprobarse dentro de un marco de sostenibilidad fiscal y corresponder al Plan Nacional de Desarrollo</w:t>
      </w:r>
      <w:r w:rsidRPr="00D069D8">
        <w:rPr>
          <w:rFonts w:ascii="Verdana" w:eastAsia="Calibri" w:hAnsi="Verdana" w:cs="Arial"/>
          <w:color w:val="000000" w:themeColor="text1"/>
          <w:vertAlign w:val="superscript"/>
          <w:lang w:val="es-ES"/>
        </w:rPr>
        <w:footnoteReference w:id="12"/>
      </w:r>
      <w:r w:rsidRPr="00D069D8">
        <w:rPr>
          <w:rFonts w:ascii="Verdana" w:eastAsia="Calibri" w:hAnsi="Verdana" w:cs="Arial"/>
          <w:color w:val="000000" w:themeColor="text1"/>
          <w:lang w:val="es-ES"/>
        </w:rPr>
        <w:t>. De conformidad con la misma norma constitucional, el presupuesto tiene vigencia anual y, por tanto, tienen como finalidad fijar los gastos y las rentas nacionales del Estado para la respectiva vigencia fiscal anual</w:t>
      </w:r>
      <w:bookmarkEnd w:id="1"/>
      <w:r w:rsidRPr="00D069D8">
        <w:rPr>
          <w:rFonts w:ascii="Verdana" w:eastAsia="Calibri" w:hAnsi="Verdana" w:cs="Arial"/>
          <w:color w:val="000000" w:themeColor="text1"/>
          <w:lang w:val="es-ES"/>
        </w:rPr>
        <w:t xml:space="preserve">. </w:t>
      </w:r>
    </w:p>
    <w:p w14:paraId="2077F05E" w14:textId="77777777" w:rsidR="00FC28F5" w:rsidRPr="00D069D8" w:rsidRDefault="00FC28F5" w:rsidP="00FC28F5">
      <w:pPr>
        <w:shd w:val="clear" w:color="auto" w:fill="FFFFFF"/>
        <w:spacing w:after="120" w:line="276" w:lineRule="auto"/>
        <w:ind w:right="51" w:firstLine="709"/>
        <w:jc w:val="both"/>
        <w:rPr>
          <w:rFonts w:ascii="Verdana" w:eastAsia="Calibri" w:hAnsi="Verdana" w:cs="Arial"/>
          <w:lang w:val="es-ES_tradnl"/>
        </w:rPr>
      </w:pPr>
      <w:r w:rsidRPr="00D069D8">
        <w:rPr>
          <w:rFonts w:ascii="Verdana" w:eastAsia="Calibri" w:hAnsi="Verdana" w:cs="Arial"/>
          <w:color w:val="000000" w:themeColor="text1"/>
          <w:lang w:val="es-ES_tradnl"/>
        </w:rPr>
        <w:t xml:space="preserve">En armonía con lo anterior, el Estatuto Orgánico del Presupuesto consagra este principio en el artículo 14 consistente en que </w:t>
      </w:r>
      <w:r w:rsidRPr="00D069D8">
        <w:rPr>
          <w:rFonts w:ascii="Verdana" w:eastAsia="Calibri" w:hAnsi="Verdana" w:cs="Arial"/>
          <w:lang w:val="es-ES_tradnl"/>
        </w:rPr>
        <w:t>“</w:t>
      </w:r>
      <w:r w:rsidRPr="00D069D8">
        <w:rPr>
          <w:rFonts w:ascii="Verdana" w:eastAsia="Calibri" w:hAnsi="Verdana" w:cs="Arial"/>
          <w:color w:val="000000" w:themeColor="text1"/>
          <w:lang w:val="es-ES_tradnl"/>
        </w:rPr>
        <w:t>Después del 31 de diciembre no podrán asumirse compromisos con cargo a las apropiaciones del año fiscal que se cierra en esa fecha y los saldos de apropiación no afectados por compromisos caducarán sin excepción</w:t>
      </w:r>
      <w:r w:rsidRPr="00D069D8">
        <w:rPr>
          <w:rFonts w:ascii="Verdana" w:eastAsia="Calibri" w:hAnsi="Verdana" w:cs="Arial"/>
          <w:lang w:val="es-ES_tradnl"/>
        </w:rPr>
        <w:t>”</w:t>
      </w:r>
      <w:r w:rsidRPr="00D069D8">
        <w:rPr>
          <w:rFonts w:ascii="Verdana" w:eastAsia="Calibri" w:hAnsi="Verdana" w:cs="Arial"/>
          <w:color w:val="000000" w:themeColor="text1"/>
          <w:lang w:val="es-ES_tradnl"/>
        </w:rPr>
        <w:t>. Es decir, los gastos previstos en el presupuesto anual deben ejecutarse dentro de una vigencia fiscal comprendida entre el 1 de enero y el 31 de diciembre</w:t>
      </w:r>
      <w:r w:rsidRPr="00D069D8">
        <w:rPr>
          <w:rFonts w:ascii="Verdana" w:eastAsia="Calibri" w:hAnsi="Verdana" w:cs="Arial"/>
          <w:color w:val="000000" w:themeColor="text1"/>
          <w:vertAlign w:val="superscript"/>
          <w:lang w:val="es-ES_tradnl"/>
        </w:rPr>
        <w:footnoteReference w:id="13"/>
      </w:r>
      <w:r w:rsidRPr="00D069D8">
        <w:rPr>
          <w:rFonts w:ascii="Verdana" w:eastAsia="Calibri" w:hAnsi="Verdana" w:cs="Arial"/>
          <w:color w:val="000000" w:themeColor="text1"/>
          <w:lang w:val="es-ES_tradnl"/>
        </w:rPr>
        <w:t>.</w:t>
      </w:r>
      <w:r w:rsidRPr="00D069D8">
        <w:rPr>
          <w:rFonts w:ascii="Verdana" w:eastAsia="Calibri" w:hAnsi="Verdana" w:cs="Arial"/>
          <w:color w:val="000000" w:themeColor="text1"/>
        </w:rPr>
        <w:t xml:space="preserve"> En el mismo sentido, </w:t>
      </w:r>
      <w:r w:rsidRPr="00D069D8">
        <w:rPr>
          <w:rFonts w:ascii="Verdana" w:eastAsia="Calibri" w:hAnsi="Verdana" w:cs="Arial"/>
          <w:color w:val="000000" w:themeColor="text1"/>
          <w:lang w:val="es-ES_tradnl"/>
        </w:rPr>
        <w:t xml:space="preserve">el artículo 89 </w:t>
      </w:r>
      <w:r w:rsidRPr="00D069D8">
        <w:rPr>
          <w:rFonts w:ascii="Verdana" w:eastAsia="Calibri" w:hAnsi="Verdana" w:cs="Arial"/>
          <w:i/>
          <w:iCs/>
          <w:color w:val="000000" w:themeColor="text1"/>
          <w:lang w:val="es-ES_tradnl"/>
        </w:rPr>
        <w:t>ibidem</w:t>
      </w:r>
      <w:r w:rsidRPr="00D069D8">
        <w:rPr>
          <w:rFonts w:ascii="Verdana" w:eastAsia="Calibri" w:hAnsi="Verdana" w:cs="Arial"/>
          <w:color w:val="000000" w:themeColor="text1"/>
          <w:lang w:val="es-ES_tradnl"/>
        </w:rPr>
        <w:t xml:space="preserve"> consolida al principio de anualidad como regla general en la ejecución del gasto al establecer que </w:t>
      </w:r>
      <w:r w:rsidRPr="00D069D8">
        <w:rPr>
          <w:rFonts w:ascii="Verdana" w:eastAsia="Calibri" w:hAnsi="Verdana" w:cs="Arial"/>
          <w:lang w:val="es-ES_tradnl"/>
        </w:rPr>
        <w:t>“</w:t>
      </w:r>
      <w:r w:rsidRPr="00D069D8">
        <w:rPr>
          <w:rFonts w:ascii="Verdana" w:eastAsia="Calibri" w:hAnsi="Verdana" w:cs="Arial"/>
          <w:color w:val="000000" w:themeColor="text1"/>
          <w:lang w:val="es-ES_tradnl"/>
        </w:rPr>
        <w:t xml:space="preserve">las apropiaciones presupuestales incluidas en el </w:t>
      </w:r>
      <w:r w:rsidRPr="00D069D8">
        <w:rPr>
          <w:rFonts w:ascii="Verdana" w:eastAsia="Calibri" w:hAnsi="Verdana" w:cs="Arial"/>
          <w:color w:val="000000" w:themeColor="text1"/>
          <w:lang w:val="es-ES_tradnl"/>
        </w:rPr>
        <w:lastRenderedPageBreak/>
        <w:t>Presupuesto General de la Nación son autorizaciones máximas de gasto que el Congreso aprueba para ser ejecutadas o comprometidas durante la vigencia fiscal respectiva, por lo que después del 31 de diciembre de cada año estas autorizaciones expiran y, en consecuencia, no podrán comprometerse, adicionarse, transferirse, ni contracreditarse</w:t>
      </w:r>
      <w:r w:rsidRPr="00D069D8">
        <w:rPr>
          <w:rFonts w:ascii="Verdana" w:eastAsia="Calibri" w:hAnsi="Verdana" w:cs="Arial"/>
          <w:lang w:val="es-ES_tradnl"/>
        </w:rPr>
        <w:t xml:space="preserve">”. </w:t>
      </w:r>
    </w:p>
    <w:p w14:paraId="344CF8A7" w14:textId="77777777" w:rsidR="00FC28F5" w:rsidRPr="00D069D8" w:rsidRDefault="00FC28F5" w:rsidP="00FC28F5">
      <w:pPr>
        <w:shd w:val="clear" w:color="auto" w:fill="FFFFFF"/>
        <w:spacing w:after="120" w:line="276" w:lineRule="auto"/>
        <w:ind w:right="51" w:firstLine="709"/>
        <w:jc w:val="both"/>
        <w:rPr>
          <w:rFonts w:ascii="Verdana" w:eastAsia="Calibri" w:hAnsi="Verdana" w:cs="Arial"/>
          <w:lang w:val="es-ES_tradnl"/>
        </w:rPr>
      </w:pPr>
      <w:r w:rsidRPr="00D069D8">
        <w:rPr>
          <w:rFonts w:ascii="Verdana" w:eastAsia="Calibri" w:hAnsi="Verdana" w:cs="Arial"/>
          <w:lang w:val="es-ES_tradnl"/>
        </w:rPr>
        <w:t>A su turno, el artículo 8 de la Ley 819 de 2003 consagra el principio de anualidad al disponer que “l</w:t>
      </w:r>
      <w:r w:rsidRPr="00D069D8">
        <w:rPr>
          <w:rFonts w:ascii="Verdana" w:eastAsia="Calibri" w:hAnsi="Verdana" w:cs="Arial"/>
        </w:rPr>
        <w:t>a preparación y elaboración del Presupuesto General de la Nación y el de las entidades territoriales, deberá sujetarse a los correspondientes Marcos Fiscales de Mediano Plazo de manera que las apropiaciones presupuestales aprobadas por el Congreso de la República, las Asambleas y los Concejos, puedan ejecutarse en su totalidad durante la vigencia fiscal correspondiente”.</w:t>
      </w:r>
    </w:p>
    <w:p w14:paraId="07EBE27B" w14:textId="77777777" w:rsidR="00FC28F5" w:rsidRPr="00D069D8" w:rsidRDefault="00FC28F5" w:rsidP="00FC28F5">
      <w:pPr>
        <w:shd w:val="clear" w:color="auto" w:fill="FFFFFF" w:themeFill="background1"/>
        <w:spacing w:after="120" w:line="276" w:lineRule="auto"/>
        <w:ind w:right="51" w:firstLine="709"/>
        <w:jc w:val="both"/>
        <w:rPr>
          <w:rFonts w:ascii="Verdana" w:eastAsia="Calibri" w:hAnsi="Verdana" w:cs="Arial"/>
          <w:color w:val="000000" w:themeColor="text1"/>
          <w:lang w:val="es-ES"/>
        </w:rPr>
      </w:pPr>
      <w:r w:rsidRPr="00D069D8">
        <w:rPr>
          <w:rFonts w:ascii="Verdana" w:eastAsia="Calibri" w:hAnsi="Verdana" w:cs="Arial"/>
          <w:color w:val="000000" w:themeColor="text1"/>
          <w:lang w:val="es-ES"/>
        </w:rPr>
        <w:t>En este contexto, la anualidad del gasto es uno de los principios rectores de la actividad contractual pública, conforme al cual las entidades deben planear sus contrataciones de manera que sus compromisos contractuales sean atendidos durante la respectiva vigencia fiscal comprendida entre el 1 de enero y el 31 de diciembre. En este sentido, la regla general es que las Entidades Estatales solo pueden adquirir compromisos presupuestales que no excedan en su ejecución la vigencia fiscal en la que se suscribe el respectivo contrato.</w:t>
      </w:r>
    </w:p>
    <w:p w14:paraId="7F5C4AEB" w14:textId="77777777" w:rsidR="00FC28F5" w:rsidRPr="00D069D8" w:rsidRDefault="00FC28F5" w:rsidP="00FC28F5">
      <w:pPr>
        <w:shd w:val="clear" w:color="auto" w:fill="FFFFFF"/>
        <w:spacing w:after="0" w:line="276" w:lineRule="auto"/>
        <w:ind w:right="51" w:firstLine="709"/>
        <w:jc w:val="both"/>
        <w:rPr>
          <w:rFonts w:ascii="Verdana" w:eastAsia="Calibri" w:hAnsi="Verdana" w:cs="Arial"/>
          <w:color w:val="000000" w:themeColor="text1"/>
        </w:rPr>
      </w:pPr>
      <w:r w:rsidRPr="00D069D8">
        <w:rPr>
          <w:rFonts w:ascii="Verdana" w:eastAsia="Calibri" w:hAnsi="Verdana" w:cs="Arial"/>
          <w:color w:val="000000" w:themeColor="text1"/>
          <w:lang w:val="es-ES_tradnl"/>
        </w:rPr>
        <w:t xml:space="preserve">No obstante, conforme lo ha señalado el Consejo de Estado, el principio de anualidad no es absoluto </w:t>
      </w:r>
      <w:r w:rsidRPr="00D069D8">
        <w:rPr>
          <w:rFonts w:ascii="Verdana" w:eastAsia="Calibri" w:hAnsi="Verdana" w:cs="Arial"/>
          <w:color w:val="000000" w:themeColor="text1"/>
        </w:rPr>
        <w:t xml:space="preserve">en </w:t>
      </w:r>
      <w:r w:rsidRPr="00D069D8">
        <w:rPr>
          <w:rFonts w:ascii="Verdana" w:eastAsia="Calibri" w:hAnsi="Verdana" w:cs="Arial"/>
        </w:rPr>
        <w:t>“</w:t>
      </w:r>
      <w:r w:rsidRPr="00D069D8">
        <w:rPr>
          <w:rFonts w:ascii="Verdana" w:eastAsia="Calibri" w:hAnsi="Verdana" w:cs="Arial"/>
          <w:color w:val="000000" w:themeColor="text1"/>
        </w:rPr>
        <w:t>la medida en que la actividad presupuestal está íntimamente ligada con el principio de planeación, la cual normalmente es efectuada para periodos que superan el año calendario. Esta realidad impone la configuración de mecanismos presupuestales que permitan compatibilizar tales principios”</w:t>
      </w:r>
      <w:r w:rsidRPr="00D069D8">
        <w:rPr>
          <w:rFonts w:ascii="Verdana" w:eastAsia="Calibri" w:hAnsi="Verdana" w:cs="Arial"/>
          <w:vertAlign w:val="superscript"/>
          <w:lang w:val="es-ES_tradnl"/>
        </w:rPr>
        <w:footnoteReference w:id="14"/>
      </w:r>
      <w:r w:rsidRPr="00D069D8">
        <w:rPr>
          <w:rFonts w:ascii="Verdana" w:eastAsia="Calibri" w:hAnsi="Verdana" w:cs="Arial"/>
          <w:lang w:val="es-ES_tradnl"/>
        </w:rPr>
        <w:t>.</w:t>
      </w:r>
      <w:r w:rsidRPr="00D069D8">
        <w:rPr>
          <w:rFonts w:ascii="Verdana" w:eastAsia="Calibri" w:hAnsi="Verdana" w:cs="Arial"/>
          <w:color w:val="000000" w:themeColor="text1"/>
        </w:rPr>
        <w:t xml:space="preserve"> Así mismo, la doctrina expresa:</w:t>
      </w:r>
    </w:p>
    <w:p w14:paraId="12B30918" w14:textId="77777777" w:rsidR="00FC28F5" w:rsidRPr="00D069D8" w:rsidRDefault="00FC28F5" w:rsidP="00FC28F5">
      <w:pPr>
        <w:shd w:val="clear" w:color="auto" w:fill="FFFFFF"/>
        <w:spacing w:after="0" w:line="240" w:lineRule="auto"/>
        <w:ind w:left="709" w:right="709" w:firstLine="709"/>
        <w:jc w:val="both"/>
        <w:rPr>
          <w:rFonts w:ascii="Verdana" w:eastAsia="Calibri" w:hAnsi="Verdana" w:cs="Arial"/>
          <w:color w:val="000000" w:themeColor="text1"/>
        </w:rPr>
      </w:pPr>
    </w:p>
    <w:p w14:paraId="79708A99" w14:textId="77777777" w:rsidR="00FC28F5" w:rsidRDefault="00FC28F5" w:rsidP="00FC28F5">
      <w:pPr>
        <w:autoSpaceDE w:val="0"/>
        <w:autoSpaceDN w:val="0"/>
        <w:adjustRightInd w:val="0"/>
        <w:spacing w:after="0" w:line="240" w:lineRule="auto"/>
        <w:ind w:left="709" w:right="709"/>
        <w:jc w:val="both"/>
        <w:rPr>
          <w:rFonts w:ascii="Verdana" w:hAnsi="Verdana" w:cs="Times-Roman"/>
          <w:sz w:val="21"/>
          <w:szCs w:val="21"/>
        </w:rPr>
      </w:pPr>
      <w:r w:rsidRPr="00D069D8">
        <w:rPr>
          <w:rFonts w:ascii="Verdana" w:hAnsi="Verdana" w:cs="Times-Roman"/>
          <w:sz w:val="21"/>
          <w:szCs w:val="21"/>
        </w:rPr>
        <w:t>Varias excepciones se presentan al momento de efectuar el cierre presupuestal, operación realizada al finalizar cada vigencia presupuestal en la cual se analiza la ejecución de las partidas así como el estado de las finanzas de la entidad respectiva que puede terminar en un balance de superávit, equilibrado o deficitario.</w:t>
      </w:r>
    </w:p>
    <w:p w14:paraId="6D820837" w14:textId="77777777" w:rsidR="00FC28F5" w:rsidRPr="00D069D8" w:rsidRDefault="00FC28F5" w:rsidP="00FC28F5">
      <w:pPr>
        <w:autoSpaceDE w:val="0"/>
        <w:autoSpaceDN w:val="0"/>
        <w:adjustRightInd w:val="0"/>
        <w:spacing w:after="0" w:line="240" w:lineRule="auto"/>
        <w:ind w:left="709" w:right="709"/>
        <w:jc w:val="both"/>
        <w:rPr>
          <w:rFonts w:ascii="Verdana" w:hAnsi="Verdana" w:cs="Times-Roman"/>
          <w:sz w:val="21"/>
          <w:szCs w:val="21"/>
        </w:rPr>
      </w:pPr>
    </w:p>
    <w:p w14:paraId="308210E8" w14:textId="77777777" w:rsidR="00FC28F5" w:rsidRDefault="00FC28F5" w:rsidP="00FC28F5">
      <w:pPr>
        <w:autoSpaceDE w:val="0"/>
        <w:autoSpaceDN w:val="0"/>
        <w:adjustRightInd w:val="0"/>
        <w:spacing w:after="0" w:line="240" w:lineRule="auto"/>
        <w:ind w:left="709" w:right="709"/>
        <w:jc w:val="both"/>
        <w:rPr>
          <w:rFonts w:ascii="Verdana" w:hAnsi="Verdana" w:cs="Times-Roman"/>
          <w:sz w:val="21"/>
          <w:szCs w:val="21"/>
        </w:rPr>
      </w:pPr>
      <w:r w:rsidRPr="00D069D8">
        <w:rPr>
          <w:rFonts w:ascii="Verdana" w:hAnsi="Verdana" w:cs="Times-Roman"/>
          <w:sz w:val="21"/>
          <w:szCs w:val="21"/>
        </w:rPr>
        <w:t xml:space="preserve">Según el principio de anualidad del presupuesto y en desarrollo del principio de eficacia de la Administración Pública contenido en el </w:t>
      </w:r>
      <w:r w:rsidRPr="00D069D8">
        <w:rPr>
          <w:rFonts w:ascii="Verdana" w:hAnsi="Verdana" w:cs="Times-Roman"/>
          <w:sz w:val="21"/>
          <w:szCs w:val="21"/>
        </w:rPr>
        <w:lastRenderedPageBreak/>
        <w:t>artículo 209 C.P., tenemos que el resultado que debería aparecer al cierre fiscal es que las partidas presupuestales que fueron aprobadas por la ley de presupuesto fueron debidamente comprometidas y canceladas.</w:t>
      </w:r>
    </w:p>
    <w:p w14:paraId="08CF4F8E" w14:textId="77777777" w:rsidR="00FC28F5" w:rsidRPr="00D069D8" w:rsidRDefault="00FC28F5" w:rsidP="00FC28F5">
      <w:pPr>
        <w:autoSpaceDE w:val="0"/>
        <w:autoSpaceDN w:val="0"/>
        <w:adjustRightInd w:val="0"/>
        <w:spacing w:after="0" w:line="240" w:lineRule="auto"/>
        <w:ind w:left="709" w:right="709"/>
        <w:jc w:val="both"/>
        <w:rPr>
          <w:rFonts w:ascii="Verdana" w:hAnsi="Verdana" w:cs="Times-Roman"/>
          <w:sz w:val="21"/>
          <w:szCs w:val="21"/>
        </w:rPr>
      </w:pPr>
    </w:p>
    <w:p w14:paraId="142BA1B4" w14:textId="77777777" w:rsidR="00FC28F5" w:rsidRDefault="00FC28F5" w:rsidP="00FC28F5">
      <w:pPr>
        <w:autoSpaceDE w:val="0"/>
        <w:autoSpaceDN w:val="0"/>
        <w:adjustRightInd w:val="0"/>
        <w:spacing w:after="0" w:line="240" w:lineRule="auto"/>
        <w:ind w:left="709" w:right="709"/>
        <w:jc w:val="both"/>
        <w:rPr>
          <w:rFonts w:ascii="Verdana" w:hAnsi="Verdana" w:cs="Times-Roman"/>
          <w:sz w:val="21"/>
          <w:szCs w:val="21"/>
        </w:rPr>
      </w:pPr>
      <w:r w:rsidRPr="00D069D8">
        <w:rPr>
          <w:rFonts w:ascii="Verdana" w:hAnsi="Verdana" w:cs="Times-Roman"/>
          <w:sz w:val="21"/>
          <w:szCs w:val="21"/>
        </w:rPr>
        <w:t>Sin embargo, en la práctica presupuestal muchas veces no es posible cancelar una partida dentro de su respectiva vigencia presupuestal. Piénsese a guisa de ejemplo en un contrato de construcción de una carretera que se termina por fuera del tiempo inicialmente convenido (</w:t>
      </w:r>
      <w:r w:rsidRPr="00D069D8">
        <w:rPr>
          <w:rFonts w:ascii="Verdana" w:hAnsi="Verdana" w:cs="Times-Italic"/>
          <w:i/>
          <w:iCs/>
          <w:sz w:val="21"/>
          <w:szCs w:val="21"/>
        </w:rPr>
        <w:t>v.gr</w:t>
      </w:r>
      <w:r w:rsidRPr="00D069D8">
        <w:rPr>
          <w:rFonts w:ascii="Verdana" w:hAnsi="Verdana" w:cs="Times-Roman"/>
          <w:sz w:val="21"/>
          <w:szCs w:val="21"/>
        </w:rPr>
        <w:t>. el 25 diciembre de 2004), porque las condiciones climáticas impidieron la ejecución de este durante dos o tres meses, y habrá de entregarse la obra terminada por fuera de la vigencia presupuestal en que fue aprobada la partida.</w:t>
      </w:r>
      <w:r w:rsidRPr="00D069D8">
        <w:rPr>
          <w:rFonts w:ascii="Times-Roman" w:hAnsi="Times-Roman" w:cs="Times-Roman"/>
          <w:sz w:val="21"/>
          <w:szCs w:val="21"/>
        </w:rPr>
        <w:t xml:space="preserve"> </w:t>
      </w:r>
      <w:r w:rsidRPr="00D069D8">
        <w:rPr>
          <w:rFonts w:ascii="Verdana" w:hAnsi="Verdana" w:cs="Times-Roman"/>
          <w:sz w:val="21"/>
          <w:szCs w:val="21"/>
        </w:rPr>
        <w:t>El contrato por la prórroga o suspensión, según fuere el caso, habría de extenderse hasta el 30 de marzo, razón por la cual no podrá la administración cancelar la obligación correspondiente en la vigencia presupuestal originaria sino en la que se entregó la obra completamente ejecutada.</w:t>
      </w:r>
    </w:p>
    <w:p w14:paraId="68E722D2" w14:textId="77777777" w:rsidR="00FC28F5" w:rsidRPr="00D069D8" w:rsidRDefault="00FC28F5" w:rsidP="00FC28F5">
      <w:pPr>
        <w:autoSpaceDE w:val="0"/>
        <w:autoSpaceDN w:val="0"/>
        <w:adjustRightInd w:val="0"/>
        <w:spacing w:after="0" w:line="240" w:lineRule="auto"/>
        <w:ind w:left="709" w:right="709"/>
        <w:jc w:val="both"/>
        <w:rPr>
          <w:rFonts w:ascii="Verdana" w:hAnsi="Verdana" w:cs="Times-Roman"/>
          <w:sz w:val="21"/>
          <w:szCs w:val="21"/>
        </w:rPr>
      </w:pPr>
    </w:p>
    <w:p w14:paraId="062FC77B" w14:textId="77777777" w:rsidR="00FC28F5" w:rsidRPr="00D069D8" w:rsidRDefault="00FC28F5" w:rsidP="00FC28F5">
      <w:pPr>
        <w:autoSpaceDE w:val="0"/>
        <w:autoSpaceDN w:val="0"/>
        <w:adjustRightInd w:val="0"/>
        <w:spacing w:after="0" w:line="240" w:lineRule="auto"/>
        <w:ind w:left="709" w:right="709"/>
        <w:jc w:val="both"/>
        <w:rPr>
          <w:rFonts w:ascii="Verdana" w:hAnsi="Verdana" w:cs="Times-Roman"/>
          <w:sz w:val="21"/>
          <w:szCs w:val="21"/>
        </w:rPr>
      </w:pPr>
      <w:r w:rsidRPr="00D069D8">
        <w:rPr>
          <w:rFonts w:ascii="Verdana" w:hAnsi="Verdana" w:cs="Times-Roman"/>
          <w:sz w:val="21"/>
          <w:szCs w:val="21"/>
        </w:rPr>
        <w:t>Por este tipo de circunstancias surgen las excepciones al principio de anualidad, como son: las reservas de apropiación (ra), las reservas de trámite negocial (rtn), los pasivos exigibles por vigencias expiradas (peve) y las vigencias futuras (vf), esta última figura puede presentarse tanto de forma ordinaria como excepcionales. Es de resaltar que aun cuando las vigencias futuras son una excepción al principio de anualidad, esta no aparece en el proceso de cierre presupuestal, sino que tiene su origen en el proceso de aprobación del presupuesto y tiene implicaciones para el debido perfeccionamiento o ejecución del contrato</w:t>
      </w:r>
      <w:r w:rsidRPr="00D069D8">
        <w:rPr>
          <w:rFonts w:ascii="Verdana" w:hAnsi="Verdana" w:cs="Times-Roman"/>
          <w:sz w:val="21"/>
          <w:szCs w:val="21"/>
          <w:vertAlign w:val="superscript"/>
        </w:rPr>
        <w:footnoteReference w:id="15"/>
      </w:r>
      <w:r w:rsidRPr="00D069D8">
        <w:rPr>
          <w:rFonts w:ascii="Verdana" w:hAnsi="Verdana" w:cs="Times-Roman"/>
          <w:sz w:val="21"/>
          <w:szCs w:val="21"/>
        </w:rPr>
        <w:t>.</w:t>
      </w:r>
    </w:p>
    <w:p w14:paraId="72047074" w14:textId="77777777" w:rsidR="00FC28F5" w:rsidRPr="00D069D8" w:rsidRDefault="00FC28F5" w:rsidP="00FC28F5">
      <w:pPr>
        <w:autoSpaceDE w:val="0"/>
        <w:autoSpaceDN w:val="0"/>
        <w:adjustRightInd w:val="0"/>
        <w:spacing w:after="0" w:line="240" w:lineRule="auto"/>
        <w:jc w:val="both"/>
        <w:rPr>
          <w:rFonts w:ascii="Verdana" w:hAnsi="Verdana" w:cs="Times-Roman"/>
          <w:sz w:val="21"/>
          <w:szCs w:val="21"/>
        </w:rPr>
      </w:pPr>
    </w:p>
    <w:p w14:paraId="2F5B09E1" w14:textId="77777777" w:rsidR="00FC28F5" w:rsidRPr="00D069D8" w:rsidRDefault="00FC28F5" w:rsidP="00FC28F5">
      <w:pPr>
        <w:shd w:val="clear" w:color="auto" w:fill="FFFFFF"/>
        <w:spacing w:after="120" w:line="276" w:lineRule="auto"/>
        <w:ind w:right="51" w:firstLine="709"/>
        <w:jc w:val="both"/>
        <w:rPr>
          <w:rFonts w:ascii="Verdana" w:eastAsia="Calibri" w:hAnsi="Verdana" w:cs="Arial"/>
          <w:lang w:val="es-ES_tradnl"/>
        </w:rPr>
      </w:pPr>
      <w:r w:rsidRPr="00D069D8">
        <w:rPr>
          <w:rFonts w:ascii="Verdana" w:eastAsia="Calibri" w:hAnsi="Verdana" w:cs="Arial"/>
          <w:color w:val="000000" w:themeColor="text1"/>
          <w:lang w:val="es-ES_tradnl"/>
        </w:rPr>
        <w:t xml:space="preserve">Dentro de los mecanismos presupuestales que constituyen excepciones al principio de anualidad se identifican: i) las vigencias futuras, ii) las cuentas por pagar y iii) las reservas presupuestales. Las </w:t>
      </w:r>
      <w:r w:rsidRPr="00D069D8">
        <w:rPr>
          <w:rFonts w:ascii="Verdana" w:eastAsia="Calibri" w:hAnsi="Verdana" w:cs="Arial"/>
          <w:i/>
          <w:iCs/>
          <w:color w:val="000000" w:themeColor="text1"/>
          <w:lang w:val="es-ES_tradnl"/>
        </w:rPr>
        <w:t>primeras</w:t>
      </w:r>
      <w:r w:rsidRPr="00D069D8">
        <w:rPr>
          <w:rFonts w:ascii="Verdana" w:eastAsia="Calibri" w:hAnsi="Verdana" w:cs="Arial"/>
          <w:color w:val="000000" w:themeColor="text1"/>
          <w:lang w:val="es-ES_tradnl"/>
        </w:rPr>
        <w:t>, de conformidad con el artículo 23 del Estatuto Orgánico del Presupuesto</w:t>
      </w:r>
      <w:r w:rsidRPr="00D069D8">
        <w:rPr>
          <w:rFonts w:ascii="Verdana" w:eastAsia="Calibri" w:hAnsi="Verdana" w:cs="Arial"/>
          <w:color w:val="000000" w:themeColor="text1"/>
          <w:vertAlign w:val="superscript"/>
          <w:lang w:val="es-ES_tradnl"/>
        </w:rPr>
        <w:footnoteReference w:id="16"/>
      </w:r>
      <w:r w:rsidRPr="00D069D8">
        <w:rPr>
          <w:rFonts w:ascii="Verdana" w:eastAsia="Calibri" w:hAnsi="Verdana" w:cs="Arial"/>
          <w:i/>
          <w:iCs/>
          <w:color w:val="000000" w:themeColor="text1"/>
          <w:lang w:val="es-ES_tradnl"/>
        </w:rPr>
        <w:t xml:space="preserve">, </w:t>
      </w:r>
      <w:r w:rsidRPr="00D069D8">
        <w:rPr>
          <w:rFonts w:ascii="Verdana" w:eastAsia="Calibri" w:hAnsi="Verdana" w:cs="Arial"/>
          <w:color w:val="000000" w:themeColor="text1"/>
          <w:lang w:val="es-ES_tradnl"/>
        </w:rPr>
        <w:t>se</w:t>
      </w:r>
      <w:r w:rsidRPr="00D069D8">
        <w:rPr>
          <w:rFonts w:ascii="Verdana" w:eastAsia="Calibri" w:hAnsi="Verdana" w:cs="Arial"/>
          <w:i/>
          <w:iCs/>
          <w:color w:val="000000" w:themeColor="text1"/>
          <w:lang w:val="es-ES_tradnl"/>
        </w:rPr>
        <w:t xml:space="preserve"> </w:t>
      </w:r>
      <w:r w:rsidRPr="00D069D8">
        <w:rPr>
          <w:rFonts w:ascii="Verdana" w:eastAsia="Calibri" w:hAnsi="Verdana" w:cs="Arial"/>
          <w:color w:val="000000" w:themeColor="text1"/>
          <w:lang w:val="es-ES_tradnl"/>
        </w:rPr>
        <w:t xml:space="preserve">refieren a la </w:t>
      </w:r>
      <w:r w:rsidRPr="00D069D8">
        <w:rPr>
          <w:rFonts w:ascii="Verdana" w:eastAsia="Calibri" w:hAnsi="Verdana" w:cs="Arial"/>
          <w:color w:val="000000" w:themeColor="text1"/>
          <w:lang w:val="es-ES_tradnl"/>
        </w:rPr>
        <w:lastRenderedPageBreak/>
        <w:t xml:space="preserve">autorización que deben solicitar las entidades para asumir obligaciones que afectarán los presupuestos siguientes a los de la vigencia fiscal en la que inició la ejecución, es decir, correspondientes a las obligaciones cuya ejecución inició con presupuesto de una vigencia fiscal, pero que deberá continuarse con presupuestos de las siguientes vigencias. Sobre esta institución el Consejo de Estado precisó que </w:t>
      </w:r>
      <w:r w:rsidRPr="00D069D8">
        <w:rPr>
          <w:rFonts w:ascii="Verdana" w:eastAsia="Calibri" w:hAnsi="Verdana" w:cs="Arial"/>
          <w:lang w:val="es-ES_tradnl"/>
        </w:rPr>
        <w:t>“</w:t>
      </w:r>
      <w:r w:rsidRPr="00D069D8">
        <w:rPr>
          <w:rFonts w:ascii="Verdana" w:eastAsia="Calibri" w:hAnsi="Verdana" w:cs="Arial"/>
          <w:color w:val="000000" w:themeColor="text1"/>
        </w:rPr>
        <w:t>son un instrumento de planificación presupuestal y financiero que permite autorizar la asunción de obligaciones que afecten los presupuestos de vigencias posteriores, y tienen como fin garantizar la existencia de apropiaciones suficientes en los años siguientes para asumir compromisos y obligaciones con cargo a ellas, así como también disponer de los recursos financieros, y de esa manera garantizar el avance y conclusión de proyectos plurianuales</w:t>
      </w:r>
      <w:r w:rsidRPr="00D069D8">
        <w:rPr>
          <w:rFonts w:ascii="Verdana" w:eastAsia="Calibri" w:hAnsi="Verdana" w:cs="Arial"/>
        </w:rPr>
        <w:t>”</w:t>
      </w:r>
      <w:r w:rsidRPr="00D069D8">
        <w:rPr>
          <w:rFonts w:ascii="Verdana" w:eastAsia="Calibri" w:hAnsi="Verdana" w:cs="Arial"/>
          <w:vertAlign w:val="superscript"/>
          <w:lang w:val="es-ES_tradnl"/>
        </w:rPr>
        <w:footnoteReference w:id="17"/>
      </w:r>
      <w:r w:rsidRPr="00D069D8">
        <w:rPr>
          <w:rFonts w:ascii="Verdana" w:eastAsia="Calibri" w:hAnsi="Verdana" w:cs="Arial"/>
          <w:lang w:val="es-ES_tradnl"/>
        </w:rPr>
        <w:t xml:space="preserve">. </w:t>
      </w:r>
    </w:p>
    <w:p w14:paraId="5296BA67" w14:textId="77777777" w:rsidR="00FC28F5" w:rsidRPr="00D069D8" w:rsidRDefault="00FC28F5" w:rsidP="00FC28F5">
      <w:pPr>
        <w:shd w:val="clear" w:color="auto" w:fill="FFFFFF"/>
        <w:spacing w:after="120" w:line="276" w:lineRule="auto"/>
        <w:ind w:right="51" w:firstLine="709"/>
        <w:jc w:val="both"/>
        <w:rPr>
          <w:rFonts w:ascii="Verdana" w:eastAsia="Calibri" w:hAnsi="Verdana" w:cs="Arial"/>
          <w:color w:val="000000" w:themeColor="text1"/>
        </w:rPr>
      </w:pPr>
      <w:r w:rsidRPr="00D069D8">
        <w:rPr>
          <w:rFonts w:ascii="Verdana" w:eastAsia="Calibri" w:hAnsi="Verdana" w:cs="Arial"/>
          <w:color w:val="000000" w:themeColor="text1"/>
        </w:rPr>
        <w:t xml:space="preserve">La Ley 813 de 2003 establece en sus artículos 10° y 11° dos tipos de vigencias futuras: i) las vigencias futuras ordinarias, según la cual el Consejo Superior de Política Fiscal – Confis, podrá autorizar la asunción de obligaciones que afecten presupuestos de vigencias futuras cuando su ejecución se inicie con presupuesto de la vigencia en curso y el objeto del compromiso se lleve a cabo en cada una de ellas siempre y cuando se cumplan los prepuestos señalados en la norma. Y, ii) las vigencias futuras excepcionales, en virtud de la cual el Confis, en casos excepcionales para las obras de infraestructura, energía, comunicaciones, aeronáutica, defensa y seguridad, así como para las garantías a las concesiones, podrá autorizar que se asuman obligaciones que afecten el presupuesto de vigencias futuras sin apropiación en el presupuesto del año en que se concede la autorización. </w:t>
      </w:r>
    </w:p>
    <w:p w14:paraId="7B79EE10" w14:textId="77777777" w:rsidR="00FC28F5" w:rsidRPr="00D069D8" w:rsidRDefault="00FC28F5" w:rsidP="00FC28F5">
      <w:pPr>
        <w:shd w:val="clear" w:color="auto" w:fill="FFFFFF"/>
        <w:spacing w:after="120" w:line="276" w:lineRule="auto"/>
        <w:ind w:right="51" w:firstLine="709"/>
        <w:jc w:val="both"/>
        <w:rPr>
          <w:rFonts w:ascii="Verdana" w:eastAsia="Calibri" w:hAnsi="Verdana" w:cs="Arial"/>
          <w:color w:val="000000" w:themeColor="text1"/>
        </w:rPr>
      </w:pPr>
      <w:r w:rsidRPr="00D069D8">
        <w:rPr>
          <w:rFonts w:ascii="Verdana" w:eastAsia="Calibri" w:hAnsi="Verdana" w:cs="Arial"/>
          <w:color w:val="000000" w:themeColor="text1"/>
        </w:rPr>
        <w:t xml:space="preserve">Por su parte, el artículo 12 </w:t>
      </w:r>
      <w:r w:rsidRPr="00D069D8">
        <w:rPr>
          <w:rFonts w:ascii="Verdana" w:eastAsia="Calibri" w:hAnsi="Verdana" w:cs="Arial"/>
          <w:i/>
          <w:iCs/>
          <w:color w:val="000000" w:themeColor="text1"/>
        </w:rPr>
        <w:t>ibidem</w:t>
      </w:r>
      <w:r w:rsidRPr="00D069D8">
        <w:rPr>
          <w:rFonts w:ascii="Verdana" w:eastAsia="Calibri" w:hAnsi="Verdana" w:cs="Arial"/>
          <w:color w:val="000000" w:themeColor="text1"/>
        </w:rPr>
        <w:t xml:space="preserve"> se refiere a las vigencias futuras ordinarias para entidades territoriales cuya autorización será impartida por la asamblea o concejo respectivo, a iniciativa del gobierno local, previa aprobación por el Confis territorial o el órgano que haga sus veces. Las vigencias futuras </w:t>
      </w:r>
      <w:r w:rsidRPr="00D069D8">
        <w:rPr>
          <w:rFonts w:ascii="Verdana" w:eastAsia="Calibri" w:hAnsi="Verdana" w:cs="Arial"/>
          <w:color w:val="000000" w:themeColor="text1"/>
        </w:rPr>
        <w:lastRenderedPageBreak/>
        <w:t xml:space="preserve">excepcionales para entidades territoriales se encuentran establecida en la Ley 1483 de 2011.  </w:t>
      </w:r>
    </w:p>
    <w:p w14:paraId="0FAEC431" w14:textId="77777777" w:rsidR="00FC28F5" w:rsidRDefault="00FC28F5" w:rsidP="00FC28F5">
      <w:pPr>
        <w:shd w:val="clear" w:color="auto" w:fill="FFFFFF"/>
        <w:spacing w:after="120" w:line="276" w:lineRule="auto"/>
        <w:ind w:right="51" w:firstLine="709"/>
        <w:jc w:val="both"/>
        <w:rPr>
          <w:rFonts w:ascii="Verdana" w:hAnsi="Verdana" w:cs="Symbol"/>
        </w:rPr>
      </w:pPr>
      <w:r w:rsidRPr="00D069D8">
        <w:rPr>
          <w:rFonts w:ascii="Verdana" w:eastAsia="Calibri" w:hAnsi="Verdana" w:cs="Arial"/>
          <w:color w:val="000000" w:themeColor="text1"/>
        </w:rPr>
        <w:t>Sobre la distinción entre las vigencias futuras ordinarias y las excepcionales el Consejo de Estado señaló que “</w:t>
      </w:r>
      <w:r w:rsidRPr="00D069D8">
        <w:rPr>
          <w:rFonts w:ascii="Verdana" w:hAnsi="Verdana" w:cs="Symbol"/>
        </w:rPr>
        <w:t>la diferencia fundamental entre las vigencias futuras ordinarias y las vigencias futuras excepcionales radica, esencialmente, en que en las primeras la ejecución se inicia con el presupuesto de la vigencia en curso, mientras que, en las excepcionales, se afecta el presupuesto de vigencias futuras, sin apropiación en el presupuesto del año en que se concede la autorización</w:t>
      </w:r>
      <w:r w:rsidRPr="00D069D8">
        <w:rPr>
          <w:rFonts w:ascii="Verdana" w:eastAsia="Calibri" w:hAnsi="Verdana" w:cs="Arial"/>
        </w:rPr>
        <w:t>”</w:t>
      </w:r>
      <w:r w:rsidRPr="00D069D8">
        <w:rPr>
          <w:rFonts w:ascii="Verdana" w:eastAsia="Calibri" w:hAnsi="Verdana" w:cs="Arial"/>
          <w:vertAlign w:val="superscript"/>
          <w:lang w:val="es-ES_tradnl"/>
        </w:rPr>
        <w:footnoteReference w:id="18"/>
      </w:r>
      <w:r w:rsidRPr="00D069D8">
        <w:rPr>
          <w:rFonts w:ascii="Verdana" w:hAnsi="Verdana" w:cs="Symbol"/>
        </w:rPr>
        <w:t>.</w:t>
      </w:r>
    </w:p>
    <w:p w14:paraId="3EA94053" w14:textId="77777777" w:rsidR="00FC28F5" w:rsidRPr="00D069D8" w:rsidRDefault="00FC28F5" w:rsidP="00FC28F5">
      <w:pPr>
        <w:shd w:val="clear" w:color="auto" w:fill="FFFFFF"/>
        <w:spacing w:after="120" w:line="276" w:lineRule="auto"/>
        <w:ind w:right="51" w:firstLine="709"/>
        <w:jc w:val="both"/>
        <w:rPr>
          <w:rFonts w:ascii="Verdana" w:eastAsia="Calibri" w:hAnsi="Verdana" w:cs="Arial"/>
          <w:color w:val="000000" w:themeColor="text1"/>
          <w:lang w:val="es-ES"/>
        </w:rPr>
      </w:pPr>
      <w:r>
        <w:rPr>
          <w:rFonts w:ascii="Verdana" w:hAnsi="Verdana" w:cs="Symbol"/>
        </w:rPr>
        <w:t xml:space="preserve">Por otra parte, </w:t>
      </w:r>
      <w:r>
        <w:rPr>
          <w:rFonts w:ascii="Verdana" w:eastAsia="Calibri" w:hAnsi="Verdana" w:cs="Arial"/>
          <w:color w:val="000000" w:themeColor="text1"/>
          <w:lang w:val="es-ES_tradnl"/>
        </w:rPr>
        <w:t>l</w:t>
      </w:r>
      <w:r w:rsidRPr="00D069D8">
        <w:rPr>
          <w:rFonts w:ascii="Verdana" w:eastAsia="Calibri" w:hAnsi="Verdana" w:cs="Arial"/>
          <w:color w:val="000000" w:themeColor="text1"/>
          <w:lang w:val="es-ES_tradnl"/>
        </w:rPr>
        <w:t xml:space="preserve">as </w:t>
      </w:r>
      <w:r w:rsidRPr="00D069D8">
        <w:rPr>
          <w:rFonts w:ascii="Verdana" w:eastAsia="Calibri" w:hAnsi="Verdana" w:cs="Arial"/>
          <w:i/>
          <w:iCs/>
          <w:color w:val="000000" w:themeColor="text1"/>
          <w:lang w:val="es-ES_tradnl"/>
        </w:rPr>
        <w:t xml:space="preserve">cuentas por pagar </w:t>
      </w:r>
      <w:r w:rsidRPr="00D069D8">
        <w:rPr>
          <w:rFonts w:ascii="Verdana" w:eastAsia="Calibri" w:hAnsi="Verdana" w:cs="Arial"/>
          <w:color w:val="000000" w:themeColor="text1"/>
          <w:lang w:val="es-ES_tradnl"/>
        </w:rPr>
        <w:t>consisten en obligaciones cumplidas en la vigencia actual,</w:t>
      </w:r>
      <w:r w:rsidRPr="00D069D8">
        <w:rPr>
          <w:rFonts w:ascii="Verdana" w:eastAsia="Calibri" w:hAnsi="Verdana" w:cs="Arial"/>
          <w:color w:val="000000" w:themeColor="text1"/>
          <w:sz w:val="19"/>
          <w:szCs w:val="19"/>
        </w:rPr>
        <w:t xml:space="preserve"> </w:t>
      </w:r>
      <w:r w:rsidRPr="00D069D8">
        <w:rPr>
          <w:rFonts w:ascii="Verdana" w:eastAsia="Calibri" w:hAnsi="Verdana" w:cs="Arial"/>
          <w:color w:val="000000" w:themeColor="text1"/>
        </w:rPr>
        <w:t>correspondientes a los anticipos pactados en los contratos y a la entrega de bienes y servicios,</w:t>
      </w:r>
      <w:r w:rsidRPr="00D069D8">
        <w:rPr>
          <w:rFonts w:ascii="Verdana" w:eastAsia="Calibri" w:hAnsi="Verdana" w:cs="Arial"/>
          <w:color w:val="000000" w:themeColor="text1"/>
          <w:lang w:val="es-ES_tradnl"/>
        </w:rPr>
        <w:t xml:space="preserve"> de las cuales solo se encuentra pendiente el pago de acuerdo con los compromisos presupuestales adquiridos por la entidad</w:t>
      </w:r>
      <w:r w:rsidRPr="00D069D8">
        <w:rPr>
          <w:rFonts w:ascii="Verdana" w:eastAsia="Calibri" w:hAnsi="Verdana" w:cs="Arial"/>
          <w:color w:val="000000" w:themeColor="text1"/>
          <w:vertAlign w:val="superscript"/>
          <w:lang w:val="es-ES_tradnl"/>
        </w:rPr>
        <w:footnoteReference w:id="19"/>
      </w:r>
      <w:r w:rsidRPr="00D069D8">
        <w:rPr>
          <w:rFonts w:ascii="Verdana" w:eastAsia="Calibri" w:hAnsi="Verdana" w:cs="Arial"/>
          <w:color w:val="000000" w:themeColor="text1"/>
          <w:lang w:val="es-ES_tradnl"/>
        </w:rPr>
        <w:t xml:space="preserve">. Y las </w:t>
      </w:r>
      <w:r w:rsidRPr="00D069D8">
        <w:rPr>
          <w:rFonts w:ascii="Verdana" w:eastAsia="Calibri" w:hAnsi="Verdana" w:cs="Arial"/>
          <w:i/>
          <w:iCs/>
          <w:color w:val="000000" w:themeColor="text1"/>
          <w:lang w:val="es-ES_tradnl"/>
        </w:rPr>
        <w:t xml:space="preserve">terceras, </w:t>
      </w:r>
      <w:r w:rsidRPr="00D069D8">
        <w:rPr>
          <w:rFonts w:ascii="Verdana" w:eastAsia="Calibri" w:hAnsi="Verdana" w:cs="Arial"/>
          <w:color w:val="000000" w:themeColor="text1"/>
          <w:lang w:val="es-ES_tradnl"/>
        </w:rPr>
        <w:t xml:space="preserve">las </w:t>
      </w:r>
      <w:r w:rsidRPr="00D069D8">
        <w:rPr>
          <w:rFonts w:ascii="Verdana" w:eastAsia="Calibri" w:hAnsi="Verdana" w:cs="Arial"/>
          <w:i/>
          <w:iCs/>
          <w:color w:val="000000" w:themeColor="text1"/>
          <w:lang w:val="es-ES_tradnl"/>
        </w:rPr>
        <w:t>reservas presupuestales</w:t>
      </w:r>
      <w:r w:rsidRPr="00D069D8">
        <w:rPr>
          <w:rFonts w:ascii="Verdana" w:eastAsia="Calibri" w:hAnsi="Verdana" w:cs="Arial"/>
          <w:color w:val="000000" w:themeColor="text1"/>
          <w:lang w:val="es-ES_tradnl"/>
        </w:rPr>
        <w:t xml:space="preserve"> </w:t>
      </w:r>
      <w:r w:rsidRPr="00D069D8">
        <w:rPr>
          <w:rFonts w:ascii="Verdana" w:eastAsia="Calibri" w:hAnsi="Verdana" w:cs="Arial"/>
          <w:color w:val="000000" w:themeColor="text1"/>
          <w:lang w:val="es-ES"/>
        </w:rPr>
        <w:t>suponen que «Al cierre de la vigencia fiscal cada órgano constituirá las reservas presupuestales con los compromisos que al 31 de diciembre no se hayan cumplido, siempre y cuando estén legalmente contraídos y desarrollen el objeto de la apropiación. Las reservas presupuestales sólo podrán utilizarse para cancelar los compromisos que les dieron origen»</w:t>
      </w:r>
      <w:r w:rsidRPr="00D069D8">
        <w:rPr>
          <w:rFonts w:ascii="Verdana" w:eastAsia="Calibri" w:hAnsi="Verdana" w:cs="Arial"/>
          <w:color w:val="000000" w:themeColor="text1"/>
          <w:vertAlign w:val="superscript"/>
          <w:lang w:val="es-ES"/>
        </w:rPr>
        <w:footnoteReference w:id="20"/>
      </w:r>
      <w:r w:rsidRPr="00D069D8">
        <w:rPr>
          <w:rFonts w:ascii="Verdana" w:eastAsia="Calibri" w:hAnsi="Verdana" w:cs="Arial"/>
          <w:color w:val="000000" w:themeColor="text1"/>
          <w:lang w:val="es-ES"/>
        </w:rPr>
        <w:t xml:space="preserve">. </w:t>
      </w:r>
    </w:p>
    <w:p w14:paraId="7E1596A7" w14:textId="77777777" w:rsidR="00FC28F5" w:rsidRPr="00D069D8" w:rsidRDefault="00FC28F5" w:rsidP="00FC28F5">
      <w:pPr>
        <w:shd w:val="clear" w:color="auto" w:fill="FFFFFF"/>
        <w:spacing w:after="120" w:line="276" w:lineRule="auto"/>
        <w:ind w:right="51" w:firstLine="709"/>
        <w:jc w:val="both"/>
        <w:rPr>
          <w:rFonts w:ascii="Verdana" w:eastAsia="Calibri" w:hAnsi="Verdana" w:cs="Arial"/>
          <w:sz w:val="21"/>
          <w:szCs w:val="21"/>
          <w:lang w:val="es-ES_tradnl"/>
        </w:rPr>
      </w:pPr>
      <w:r w:rsidRPr="00D069D8">
        <w:rPr>
          <w:rFonts w:ascii="Verdana" w:eastAsia="Calibri" w:hAnsi="Verdana" w:cs="Arial"/>
          <w:color w:val="000000" w:themeColor="text1"/>
          <w:lang w:val="es-ES_tradnl"/>
        </w:rPr>
        <w:t>En virtud de lo anterior, las entidades estatales pueden solicitar reservas presupuestales cuando</w:t>
      </w:r>
      <w:r>
        <w:rPr>
          <w:rFonts w:ascii="Verdana" w:eastAsia="Calibri" w:hAnsi="Verdana" w:cs="Arial"/>
          <w:color w:val="000000" w:themeColor="text1"/>
          <w:lang w:val="es-ES_tradnl"/>
        </w:rPr>
        <w:t>,</w:t>
      </w:r>
      <w:r w:rsidRPr="00D069D8">
        <w:rPr>
          <w:rFonts w:ascii="Verdana" w:eastAsia="Calibri" w:hAnsi="Verdana" w:cs="Arial"/>
          <w:color w:val="000000" w:themeColor="text1"/>
          <w:lang w:val="es-ES_tradnl"/>
        </w:rPr>
        <w:t xml:space="preserve"> habiendo adquirido compromisos en una vigencia fiscal, a 31 de diciembre no se han cumplido en su totalidad, y, por tanto, debe continuarse con la respectiva ejecución en la siguiente vigencia. Las reservas presupuestales deben constituirse a más tardar el 20 de enero de cada año en los términos indicados por el Decreto 1068 de 2015</w:t>
      </w:r>
      <w:r w:rsidRPr="00D069D8">
        <w:rPr>
          <w:rFonts w:ascii="Verdana" w:eastAsia="Calibri" w:hAnsi="Verdana" w:cs="Arial"/>
          <w:color w:val="000000" w:themeColor="text1"/>
          <w:vertAlign w:val="superscript"/>
          <w:lang w:val="es-ES_tradnl"/>
        </w:rPr>
        <w:footnoteReference w:id="21"/>
      </w:r>
      <w:r w:rsidRPr="00D069D8">
        <w:rPr>
          <w:rFonts w:ascii="Verdana" w:eastAsia="Calibri" w:hAnsi="Verdana" w:cs="Arial"/>
          <w:color w:val="000000" w:themeColor="text1"/>
          <w:lang w:val="es-ES_tradnl"/>
        </w:rPr>
        <w:t xml:space="preserve">. </w:t>
      </w:r>
    </w:p>
    <w:p w14:paraId="1D417117" w14:textId="77777777" w:rsidR="00FC28F5" w:rsidRPr="00D069D8" w:rsidRDefault="00FC28F5" w:rsidP="00FC28F5">
      <w:pPr>
        <w:shd w:val="clear" w:color="auto" w:fill="FFFFFF"/>
        <w:spacing w:after="120" w:line="276" w:lineRule="auto"/>
        <w:ind w:right="51" w:firstLine="709"/>
        <w:jc w:val="both"/>
        <w:rPr>
          <w:rFonts w:ascii="Verdana" w:eastAsia="Calibri" w:hAnsi="Verdana" w:cs="Arial"/>
          <w:color w:val="000000" w:themeColor="text1"/>
        </w:rPr>
      </w:pPr>
      <w:r w:rsidRPr="00D069D8">
        <w:rPr>
          <w:rFonts w:ascii="Verdana" w:eastAsia="Calibri" w:hAnsi="Verdana" w:cs="Arial"/>
          <w:color w:val="000000" w:themeColor="text1"/>
          <w:lang w:val="es-ES_tradnl"/>
        </w:rPr>
        <w:lastRenderedPageBreak/>
        <w:t>Sin embargo, es necesario tener en cuenta que las entidades no pueden solicitar reservas presupuestales en cualquier situación, ya que al ser un mecanismo excepcional su uso se encuentra restringido por lo que deberán estar debidamente justificadas. Esto significa que su constitución no puede obedecer a una indebida planeación contractual, pues como se anotó, tanto el régimen presupuestal como el contractual público se desarrolla sobre la base del principio de planeación. En este sentido, las reservas presupuestales no pueden ser empleadas como una herramienta ordinaria de ejecución presupuestal puesto que están concebidas como “</w:t>
      </w:r>
      <w:r w:rsidRPr="00D069D8">
        <w:rPr>
          <w:rFonts w:ascii="Verdana" w:eastAsia="Calibri" w:hAnsi="Verdana" w:cs="Arial"/>
          <w:color w:val="000000" w:themeColor="text1"/>
        </w:rPr>
        <w:t>un instrumento de uso esporádico y justificado únicamente en situaciones atípicas que impiden la ejecución de los compromisos en las fechas inicialmente previstas para ello, dentro de la misma vigencia a aquella en que el compromiso se celebró”</w:t>
      </w:r>
      <w:r w:rsidRPr="00D069D8">
        <w:rPr>
          <w:rFonts w:ascii="Verdana" w:eastAsia="Calibri" w:hAnsi="Verdana" w:cs="Arial"/>
          <w:color w:val="000000" w:themeColor="text1"/>
          <w:vertAlign w:val="superscript"/>
          <w:lang w:val="es-ES"/>
        </w:rPr>
        <w:footnoteReference w:id="22"/>
      </w:r>
      <w:r w:rsidRPr="00D069D8">
        <w:rPr>
          <w:rFonts w:ascii="Verdana" w:eastAsia="Calibri" w:hAnsi="Verdana" w:cs="Arial"/>
          <w:color w:val="000000" w:themeColor="text1"/>
        </w:rPr>
        <w:t>.</w:t>
      </w:r>
    </w:p>
    <w:p w14:paraId="729C52E6" w14:textId="77777777" w:rsidR="00FC28F5" w:rsidRPr="00D069D8" w:rsidRDefault="00FC28F5" w:rsidP="00FC28F5">
      <w:pPr>
        <w:shd w:val="clear" w:color="auto" w:fill="FFFFFF"/>
        <w:spacing w:after="120" w:line="276" w:lineRule="auto"/>
        <w:ind w:right="51" w:firstLine="709"/>
        <w:jc w:val="both"/>
        <w:rPr>
          <w:rFonts w:ascii="Verdana" w:eastAsia="Calibri" w:hAnsi="Verdana" w:cs="Arial"/>
          <w:color w:val="000000" w:themeColor="text1"/>
          <w:lang w:val="es-ES"/>
        </w:rPr>
      </w:pPr>
      <w:r w:rsidRPr="00D069D8">
        <w:rPr>
          <w:rFonts w:ascii="Verdana" w:eastAsia="Calibri" w:hAnsi="Verdana" w:cs="Arial"/>
          <w:color w:val="000000" w:themeColor="text1"/>
        </w:rPr>
        <w:t>Respecto de la distinción entre las reservas presupuestales y las vigencias futuras debe señalarse que contrario a estas últimas, “la reserva presupuestal supone la existencia de un compromiso presupuestal legalmente adquirido, en otras palabras, de la existencia de un acto o contrato expedido y perfeccionado por las autoridades públicas</w:t>
      </w:r>
      <w:r>
        <w:rPr>
          <w:rFonts w:ascii="Verdana" w:eastAsia="Calibri" w:hAnsi="Verdana" w:cs="Arial"/>
          <w:color w:val="000000" w:themeColor="text1"/>
          <w:lang w:val="es-ES"/>
        </w:rPr>
        <w:t>”</w:t>
      </w:r>
      <w:r w:rsidRPr="00D069D8">
        <w:rPr>
          <w:rFonts w:ascii="Verdana" w:eastAsia="Calibri" w:hAnsi="Verdana" w:cs="Arial"/>
          <w:color w:val="000000" w:themeColor="text1"/>
        </w:rPr>
        <w:t xml:space="preserve">. En cambio, en las vigencias futuras se realiza una autorización que afecta presupuestos futuros que </w:t>
      </w:r>
      <w:r>
        <w:rPr>
          <w:rFonts w:ascii="Verdana" w:eastAsia="Calibri" w:hAnsi="Verdana" w:cs="Arial"/>
          <w:color w:val="000000" w:themeColor="text1"/>
          <w:lang w:val="es-ES"/>
        </w:rPr>
        <w:t>“</w:t>
      </w:r>
      <w:r w:rsidRPr="00D069D8">
        <w:rPr>
          <w:rFonts w:ascii="Verdana" w:eastAsia="Calibri" w:hAnsi="Verdana" w:cs="Arial"/>
          <w:color w:val="000000" w:themeColor="text1"/>
        </w:rPr>
        <w:t>se formaliza antes de que se aprueben las vigencias en las que se van a ejecutar y la vida jurídica de tales autorizaciones se prolonga a lo largo de varias vigencias”</w:t>
      </w:r>
      <w:r w:rsidRPr="00D069D8">
        <w:rPr>
          <w:rFonts w:ascii="Verdana" w:eastAsia="Calibri" w:hAnsi="Verdana" w:cs="Arial"/>
          <w:color w:val="000000" w:themeColor="text1"/>
          <w:vertAlign w:val="superscript"/>
          <w:lang w:val="es-ES"/>
        </w:rPr>
        <w:footnoteReference w:id="23"/>
      </w:r>
      <w:r w:rsidRPr="00D069D8">
        <w:rPr>
          <w:rFonts w:ascii="Verdana" w:eastAsia="Calibri" w:hAnsi="Verdana" w:cs="Arial"/>
          <w:color w:val="000000" w:themeColor="text1"/>
        </w:rPr>
        <w:t xml:space="preserve">. </w:t>
      </w:r>
    </w:p>
    <w:p w14:paraId="72252FB2" w14:textId="77777777" w:rsidR="00FC28F5" w:rsidRDefault="00FC28F5" w:rsidP="00FC28F5">
      <w:pPr>
        <w:spacing w:before="120" w:after="120" w:line="240" w:lineRule="auto"/>
        <w:ind w:firstLine="709"/>
        <w:jc w:val="both"/>
        <w:rPr>
          <w:rFonts w:ascii="Verdana" w:eastAsia="Calibri" w:hAnsi="Verdana" w:cs="Arial"/>
          <w:bCs/>
          <w:lang w:val="es-ES" w:eastAsia="es-ES_tradnl"/>
        </w:rPr>
      </w:pPr>
      <w:r>
        <w:rPr>
          <w:rFonts w:ascii="Verdana" w:eastAsia="Calibri" w:hAnsi="Verdana" w:cs="Arial"/>
          <w:color w:val="000000" w:themeColor="text1"/>
        </w:rPr>
        <w:t xml:space="preserve">Dicho lo anterior, se refiere su consulta a la expedición del certificado de disponibilidad presupuestal cuando median en el proceso de contratación la autorización de vigencias futuras de carácter ordinario y excepcional. Al respecto, el Consejo de Estado se ha pronunciado sobre </w:t>
      </w:r>
      <w:r w:rsidRPr="00BC1770">
        <w:rPr>
          <w:rFonts w:ascii="Verdana" w:eastAsia="Calibri" w:hAnsi="Verdana" w:cs="Arial"/>
          <w:bCs/>
          <w:lang w:val="es-ES" w:eastAsia="es-ES_tradnl"/>
        </w:rPr>
        <w:t>la regulación de estos elementos presupuestales</w:t>
      </w:r>
      <w:r>
        <w:rPr>
          <w:rFonts w:ascii="Verdana" w:eastAsia="Calibri" w:hAnsi="Verdana" w:cs="Arial"/>
          <w:bCs/>
          <w:lang w:val="es-ES" w:eastAsia="es-ES_tradnl"/>
        </w:rPr>
        <w:t>, la cual</w:t>
      </w:r>
      <w:r w:rsidRPr="00BC1770">
        <w:rPr>
          <w:rFonts w:ascii="Verdana" w:eastAsia="Calibri" w:hAnsi="Verdana" w:cs="Arial"/>
          <w:bCs/>
          <w:lang w:val="es-ES" w:eastAsia="es-ES_tradnl"/>
        </w:rPr>
        <w:t xml:space="preserve"> se soporta en dos grandes cuerpos normativos:</w:t>
      </w:r>
    </w:p>
    <w:p w14:paraId="17A3C078" w14:textId="77777777" w:rsidR="00FC28F5" w:rsidRPr="009C7C0E" w:rsidRDefault="00FC28F5" w:rsidP="00FC28F5">
      <w:pPr>
        <w:spacing w:after="0" w:line="240" w:lineRule="auto"/>
        <w:ind w:left="709" w:right="709"/>
        <w:jc w:val="both"/>
        <w:rPr>
          <w:rFonts w:ascii="Verdana" w:eastAsia="Arial MT" w:hAnsi="Verdana" w:cs="Arial"/>
          <w:sz w:val="20"/>
          <w:szCs w:val="20"/>
          <w:lang w:val="es-ES"/>
        </w:rPr>
      </w:pPr>
      <w:r w:rsidRPr="009C7C0E">
        <w:rPr>
          <w:rFonts w:ascii="Verdana" w:eastAsia="Arial MT" w:hAnsi="Verdana" w:cs="Arial"/>
          <w:sz w:val="20"/>
          <w:szCs w:val="20"/>
          <w:lang w:val="es-ES"/>
        </w:rPr>
        <w:t xml:space="preserve">“[…] i) normativa presupuestal prevista en la Ley 80 de 1993 y ii) normativa presupuestal especial contenida en el Estatuto Orgánico de Presupuesto, compuesto, a su vez, por varias normas: a) Decreto 111 de 1996 -que compiló las Leyes 38 de 1989, 179 de 1994 y 225 de 1995-; b) Decreto 115 de 1996, por el cual se establecieron normas sobre la elaboración, conformación y ejecución de los presupuestos de las Empresas Industriales y Comerciales del Estado y de las Sociedades de Economía Mixta sujetas al régimen de aquéllas dedicadas a actividades financieras; c) Ley 819 de 2003, que modificó la Ley 179 de 1994; y d) </w:t>
      </w:r>
      <w:r w:rsidRPr="009C7C0E">
        <w:rPr>
          <w:rFonts w:ascii="Verdana" w:eastAsia="Arial MT" w:hAnsi="Verdana" w:cs="Arial"/>
          <w:sz w:val="20"/>
          <w:szCs w:val="20"/>
          <w:lang w:val="es-ES"/>
        </w:rPr>
        <w:lastRenderedPageBreak/>
        <w:t>Ley 1483 de 2011, que autorizo las vigencias futuras excepcionales en las entidades territoriales”</w:t>
      </w:r>
      <w:r w:rsidRPr="009C7C0E">
        <w:rPr>
          <w:rStyle w:val="Refdenotaalpie"/>
          <w:rFonts w:ascii="Verdana" w:eastAsia="Arial MT" w:hAnsi="Verdana" w:cs="Arial"/>
          <w:sz w:val="20"/>
          <w:szCs w:val="20"/>
          <w:lang w:val="es-ES"/>
        </w:rPr>
        <w:footnoteReference w:id="24"/>
      </w:r>
      <w:r w:rsidRPr="009C7C0E">
        <w:rPr>
          <w:rFonts w:ascii="Verdana" w:eastAsia="Arial MT" w:hAnsi="Verdana" w:cs="Arial"/>
          <w:sz w:val="20"/>
          <w:szCs w:val="20"/>
          <w:lang w:val="es-ES"/>
        </w:rPr>
        <w:t>.</w:t>
      </w:r>
    </w:p>
    <w:p w14:paraId="001B785D" w14:textId="77777777" w:rsidR="00FC28F5" w:rsidRPr="00BC1770" w:rsidRDefault="00FC28F5" w:rsidP="00FC28F5">
      <w:pPr>
        <w:spacing w:after="0" w:line="276" w:lineRule="auto"/>
        <w:jc w:val="both"/>
        <w:rPr>
          <w:rFonts w:ascii="Verdana" w:eastAsia="Calibri" w:hAnsi="Verdana" w:cs="Arial"/>
          <w:bCs/>
          <w:lang w:val="es-ES" w:eastAsia="es-ES_tradnl"/>
        </w:rPr>
      </w:pPr>
    </w:p>
    <w:p w14:paraId="38E5472D" w14:textId="77777777" w:rsidR="00FC28F5" w:rsidRPr="00BC1770" w:rsidRDefault="00FC28F5" w:rsidP="00FC28F5">
      <w:pPr>
        <w:spacing w:after="0" w:line="276" w:lineRule="auto"/>
        <w:ind w:firstLine="708"/>
        <w:jc w:val="both"/>
        <w:rPr>
          <w:rFonts w:ascii="Verdana" w:eastAsia="Times New Roman" w:hAnsi="Verdana" w:cs="Arial"/>
          <w:color w:val="1A1A1A" w:themeColor="background1" w:themeShade="1A"/>
          <w:lang w:val="es-ES" w:eastAsia="es-ES_tradnl"/>
        </w:rPr>
      </w:pPr>
      <w:r w:rsidRPr="00BC1770">
        <w:rPr>
          <w:rFonts w:ascii="Verdana" w:eastAsia="Calibri" w:hAnsi="Verdana" w:cs="Arial"/>
          <w:lang w:val="es-ES"/>
        </w:rPr>
        <w:t xml:space="preserve">Específicamente, el artículo 25 de </w:t>
      </w:r>
      <w:r w:rsidRPr="00BC1770">
        <w:rPr>
          <w:rFonts w:ascii="Verdana" w:eastAsia="Times New Roman" w:hAnsi="Verdana" w:cs="Arial"/>
          <w:color w:val="1A1A1A" w:themeColor="background1" w:themeShade="1A"/>
          <w:lang w:val="es-ES" w:eastAsia="es-ES_tradnl"/>
        </w:rPr>
        <w:t>la Ley 80 de 1993 estableció el régimen presupuestal en la contratación estatal. En desarrollo del principio de economía, el Estatuto impone las siguientes reglas:</w:t>
      </w:r>
    </w:p>
    <w:p w14:paraId="4EE85673" w14:textId="77777777" w:rsidR="00FC28F5" w:rsidRPr="00BC1770" w:rsidRDefault="00FC28F5" w:rsidP="00FC28F5">
      <w:pPr>
        <w:spacing w:after="0" w:line="276" w:lineRule="auto"/>
        <w:ind w:firstLine="708"/>
        <w:jc w:val="both"/>
        <w:rPr>
          <w:rFonts w:ascii="Verdana" w:eastAsia="Calibri" w:hAnsi="Verdana" w:cs="Arial"/>
          <w:bCs/>
          <w:lang w:val="es-ES" w:eastAsia="es-ES_tradnl"/>
        </w:rPr>
      </w:pPr>
    </w:p>
    <w:p w14:paraId="42495E7B" w14:textId="77777777" w:rsidR="00FC28F5" w:rsidRPr="00422627" w:rsidRDefault="00FC28F5" w:rsidP="00FC28F5">
      <w:pPr>
        <w:spacing w:after="0" w:line="240" w:lineRule="auto"/>
        <w:ind w:left="709" w:right="709"/>
        <w:jc w:val="both"/>
        <w:rPr>
          <w:rFonts w:ascii="Verdana" w:eastAsia="Calibri" w:hAnsi="Verdana" w:cs="Arial"/>
          <w:sz w:val="20"/>
          <w:szCs w:val="20"/>
          <w:lang w:val="es-ES" w:eastAsia="es-ES_tradnl"/>
        </w:rPr>
      </w:pPr>
      <w:r w:rsidRPr="00422627">
        <w:rPr>
          <w:rFonts w:ascii="Verdana" w:eastAsia="Calibri" w:hAnsi="Verdana" w:cs="Arial"/>
          <w:sz w:val="20"/>
          <w:szCs w:val="20"/>
          <w:lang w:val="es-ES" w:eastAsia="es-ES_tradnl"/>
        </w:rPr>
        <w:t>“6o. Las entidades estatales abrirán licitaciones e iniciarán procesos de suscripción de contratos, cuando existan las respectivas partidas o disponibilidades presupuestales. </w:t>
      </w:r>
    </w:p>
    <w:p w14:paraId="13BA7352" w14:textId="77777777" w:rsidR="00FC28F5" w:rsidRPr="00422627" w:rsidRDefault="00FC28F5" w:rsidP="00FC28F5">
      <w:pPr>
        <w:spacing w:after="0" w:line="240" w:lineRule="auto"/>
        <w:ind w:left="709" w:right="709"/>
        <w:jc w:val="both"/>
        <w:rPr>
          <w:rFonts w:ascii="Verdana" w:eastAsia="Calibri" w:hAnsi="Verdana" w:cs="Arial"/>
          <w:sz w:val="20"/>
          <w:szCs w:val="20"/>
          <w:lang w:val="es-ES" w:eastAsia="es-ES_tradnl"/>
        </w:rPr>
      </w:pPr>
    </w:p>
    <w:p w14:paraId="72E6D412" w14:textId="77777777" w:rsidR="00FC28F5" w:rsidRPr="00422627" w:rsidRDefault="00FC28F5" w:rsidP="00FC28F5">
      <w:pPr>
        <w:spacing w:after="0" w:line="240" w:lineRule="auto"/>
        <w:ind w:left="709" w:right="709"/>
        <w:jc w:val="both"/>
        <w:rPr>
          <w:rFonts w:ascii="Verdana" w:eastAsia="Calibri" w:hAnsi="Verdana" w:cs="Arial"/>
          <w:sz w:val="20"/>
          <w:szCs w:val="20"/>
          <w:lang w:val="es-ES" w:eastAsia="es-ES_tradnl"/>
        </w:rPr>
      </w:pPr>
      <w:r w:rsidRPr="00422627">
        <w:rPr>
          <w:rFonts w:ascii="Verdana" w:eastAsia="Calibri" w:hAnsi="Verdana" w:cs="Arial"/>
          <w:sz w:val="20"/>
          <w:szCs w:val="20"/>
          <w:lang w:val="es-ES" w:eastAsia="es-ES_tradnl"/>
        </w:rPr>
        <w:t>7o. La conveniencia o inconveniencia del objeto a contratar y las autorizaciones y aprobaciones para ello, se analizarán o impartirán con antelación al inicio del proceso de selección del contratista o al de la firma del contrato, según el caso.</w:t>
      </w:r>
    </w:p>
    <w:p w14:paraId="1C62BB17" w14:textId="77777777" w:rsidR="00FC28F5" w:rsidRPr="00422627" w:rsidRDefault="00FC28F5" w:rsidP="00FC28F5">
      <w:pPr>
        <w:spacing w:after="0" w:line="240" w:lineRule="auto"/>
        <w:ind w:left="709" w:right="709"/>
        <w:jc w:val="both"/>
        <w:rPr>
          <w:rFonts w:ascii="Verdana" w:eastAsia="Calibri" w:hAnsi="Verdana" w:cs="Arial"/>
          <w:sz w:val="20"/>
          <w:szCs w:val="20"/>
          <w:lang w:val="es-ES" w:eastAsia="es-ES_tradnl"/>
        </w:rPr>
      </w:pPr>
      <w:r w:rsidRPr="00422627">
        <w:rPr>
          <w:rFonts w:ascii="Verdana" w:eastAsia="Calibri" w:hAnsi="Verdana" w:cs="Arial"/>
          <w:sz w:val="20"/>
          <w:szCs w:val="20"/>
          <w:lang w:val="es-ES" w:eastAsia="es-ES_tradnl"/>
        </w:rPr>
        <w:t>[…]</w:t>
      </w:r>
    </w:p>
    <w:p w14:paraId="12B02146" w14:textId="77777777" w:rsidR="00FC28F5" w:rsidRPr="00422627" w:rsidRDefault="00FC28F5" w:rsidP="00FC28F5">
      <w:pPr>
        <w:spacing w:after="0" w:line="240" w:lineRule="auto"/>
        <w:ind w:left="709" w:right="709"/>
        <w:jc w:val="both"/>
        <w:rPr>
          <w:rFonts w:ascii="Verdana" w:eastAsia="Calibri" w:hAnsi="Verdana" w:cs="Arial"/>
          <w:sz w:val="20"/>
          <w:szCs w:val="20"/>
          <w:lang w:val="es-ES" w:eastAsia="es-ES_tradnl"/>
        </w:rPr>
      </w:pPr>
      <w:r w:rsidRPr="00422627">
        <w:rPr>
          <w:rFonts w:ascii="Verdana" w:eastAsia="Calibri" w:hAnsi="Verdana" w:cs="Arial"/>
          <w:sz w:val="20"/>
          <w:szCs w:val="20"/>
          <w:lang w:val="es-ES" w:eastAsia="es-ES_tradnl"/>
        </w:rPr>
        <w:t>12. Previo a la apertura de un proceso de selección, o a la firma del contrato en el caso en que la modalidad de selección sea contratación directa, deberán elaborarse los estudios, diseños y proyectos requeridos, y los pliegos de condiciones, según corresponda.</w:t>
      </w:r>
    </w:p>
    <w:p w14:paraId="09F92B96" w14:textId="77777777" w:rsidR="00FC28F5" w:rsidRPr="00422627" w:rsidRDefault="00FC28F5" w:rsidP="00FC28F5">
      <w:pPr>
        <w:spacing w:after="0" w:line="240" w:lineRule="auto"/>
        <w:ind w:left="709" w:right="709"/>
        <w:jc w:val="both"/>
        <w:rPr>
          <w:rFonts w:ascii="Verdana" w:eastAsia="Calibri" w:hAnsi="Verdana" w:cs="Arial"/>
          <w:sz w:val="20"/>
          <w:szCs w:val="20"/>
          <w:lang w:val="es-ES" w:eastAsia="es-ES_tradnl"/>
        </w:rPr>
      </w:pPr>
      <w:r w:rsidRPr="00422627">
        <w:rPr>
          <w:rFonts w:ascii="Verdana" w:eastAsia="Calibri" w:hAnsi="Verdana" w:cs="Arial"/>
          <w:sz w:val="20"/>
          <w:szCs w:val="20"/>
          <w:lang w:val="es-ES" w:eastAsia="es-ES_tradnl"/>
        </w:rPr>
        <w:t>[…]</w:t>
      </w:r>
    </w:p>
    <w:p w14:paraId="3709D2F7" w14:textId="77777777" w:rsidR="00FC28F5" w:rsidRPr="00422627" w:rsidRDefault="00FC28F5" w:rsidP="00FC28F5">
      <w:pPr>
        <w:spacing w:after="0" w:line="240" w:lineRule="auto"/>
        <w:ind w:left="709" w:right="709"/>
        <w:jc w:val="both"/>
        <w:rPr>
          <w:rFonts w:ascii="Verdana" w:eastAsia="Times New Roman" w:hAnsi="Verdana" w:cs="Arial"/>
          <w:sz w:val="20"/>
          <w:szCs w:val="20"/>
          <w:lang w:val="es-ES" w:eastAsia="es-MX"/>
        </w:rPr>
      </w:pPr>
      <w:r w:rsidRPr="00422627">
        <w:rPr>
          <w:rFonts w:ascii="Verdana" w:eastAsia="Times New Roman" w:hAnsi="Verdana" w:cs="Arial"/>
          <w:sz w:val="20"/>
          <w:szCs w:val="20"/>
          <w:lang w:val="es-ES" w:eastAsia="es-MX"/>
        </w:rPr>
        <w:t>13. Las autoridades constituirán las reservas y compromisos presupuestales necesarios, tomando como base el valor de las prestaciones al momento de celebrar el contrato y el estimativo de los ajustes resultantes de la aplicación de la cláusula de actualización de precios.</w:t>
      </w:r>
    </w:p>
    <w:p w14:paraId="0EEF0D6C" w14:textId="77777777" w:rsidR="00FC28F5" w:rsidRPr="00422627" w:rsidRDefault="00FC28F5" w:rsidP="00FC28F5">
      <w:pPr>
        <w:spacing w:after="0" w:line="240" w:lineRule="auto"/>
        <w:ind w:left="709" w:right="709"/>
        <w:jc w:val="both"/>
        <w:rPr>
          <w:rFonts w:ascii="Verdana" w:eastAsia="Times New Roman" w:hAnsi="Verdana" w:cs="Arial"/>
          <w:sz w:val="20"/>
          <w:szCs w:val="20"/>
          <w:lang w:val="es-ES" w:eastAsia="es-MX"/>
        </w:rPr>
      </w:pPr>
    </w:p>
    <w:p w14:paraId="03E2AADA" w14:textId="77777777" w:rsidR="00FC28F5" w:rsidRPr="00422627" w:rsidRDefault="00FC28F5" w:rsidP="00FC28F5">
      <w:pPr>
        <w:spacing w:after="0" w:line="240" w:lineRule="auto"/>
        <w:ind w:left="709" w:right="709"/>
        <w:jc w:val="both"/>
        <w:rPr>
          <w:rFonts w:ascii="Verdana" w:eastAsia="Times New Roman" w:hAnsi="Verdana" w:cs="Arial"/>
          <w:sz w:val="20"/>
          <w:szCs w:val="20"/>
          <w:lang w:eastAsia="es-MX"/>
        </w:rPr>
      </w:pPr>
      <w:r w:rsidRPr="00422627">
        <w:rPr>
          <w:rFonts w:ascii="Verdana" w:eastAsia="Times New Roman" w:hAnsi="Verdana" w:cs="Arial"/>
          <w:sz w:val="20"/>
          <w:szCs w:val="20"/>
          <w:lang w:eastAsia="es-MX"/>
        </w:rPr>
        <w:t>14. Las entidades incluirán en sus presupuestos anuales una apropiación global destinada a cubrir los costos imprevistos ocasionados por los retardos en los pagos, así como los que se originen en la revisión de los precios pactados por razón de los cambios o alteraciones en las condiciones iniciales de los contratos por ellas celebrados […]”</w:t>
      </w:r>
      <w:r w:rsidRPr="00422627">
        <w:rPr>
          <w:rStyle w:val="Refdenotaalpie"/>
          <w:rFonts w:ascii="Verdana" w:eastAsia="Times New Roman" w:hAnsi="Verdana" w:cs="Arial"/>
          <w:sz w:val="20"/>
          <w:szCs w:val="20"/>
          <w:lang w:eastAsia="es-MX"/>
        </w:rPr>
        <w:footnoteReference w:id="25"/>
      </w:r>
      <w:r w:rsidRPr="00422627">
        <w:rPr>
          <w:rFonts w:ascii="Verdana" w:eastAsia="Times New Roman" w:hAnsi="Verdana" w:cs="Arial"/>
          <w:sz w:val="20"/>
          <w:szCs w:val="20"/>
          <w:lang w:eastAsia="es-MX"/>
        </w:rPr>
        <w:t>. [Énfasis fuera del texto original]</w:t>
      </w:r>
    </w:p>
    <w:p w14:paraId="29C10CAB" w14:textId="77777777" w:rsidR="00FC28F5" w:rsidRPr="00BC1770" w:rsidRDefault="00FC28F5" w:rsidP="00FC28F5">
      <w:pPr>
        <w:spacing w:after="0" w:line="276" w:lineRule="auto"/>
        <w:ind w:firstLine="708"/>
        <w:jc w:val="both"/>
        <w:rPr>
          <w:rFonts w:ascii="Verdana" w:eastAsia="Calibri" w:hAnsi="Verdana" w:cs="Arial"/>
          <w:lang w:val="es-ES"/>
        </w:rPr>
      </w:pPr>
    </w:p>
    <w:p w14:paraId="6E0FBAAF" w14:textId="77777777" w:rsidR="00FC28F5" w:rsidRDefault="00FC28F5" w:rsidP="00FC28F5">
      <w:pPr>
        <w:spacing w:after="120" w:line="276" w:lineRule="auto"/>
        <w:ind w:firstLine="708"/>
        <w:jc w:val="both"/>
        <w:rPr>
          <w:rFonts w:ascii="Verdana" w:eastAsia="Times New Roman" w:hAnsi="Verdana" w:cs="Arial"/>
          <w:lang w:val="es-ES" w:eastAsia="es-MX"/>
        </w:rPr>
      </w:pPr>
      <w:r w:rsidRPr="00BC1770">
        <w:rPr>
          <w:rFonts w:ascii="Verdana" w:eastAsia="Times New Roman" w:hAnsi="Verdana" w:cs="Arial"/>
          <w:lang w:val="es-ES" w:eastAsia="es-MX"/>
        </w:rPr>
        <w:t>Como se observa, la norma establece de manera expresa el momento o la oportunidad en la que las entidades deben expedir el certificado</w:t>
      </w:r>
      <w:r>
        <w:rPr>
          <w:rFonts w:ascii="Verdana" w:eastAsia="Times New Roman" w:hAnsi="Verdana" w:cs="Arial"/>
          <w:lang w:val="es-ES" w:eastAsia="es-MX"/>
        </w:rPr>
        <w:t xml:space="preserve">. </w:t>
      </w:r>
      <w:r w:rsidRPr="00BC1770">
        <w:rPr>
          <w:rFonts w:ascii="Verdana" w:eastAsia="Times New Roman" w:hAnsi="Verdana" w:cs="Arial"/>
          <w:lang w:val="es-ES" w:eastAsia="es-MX"/>
        </w:rPr>
        <w:t xml:space="preserve">En ese orden, la norma precisa que, en procesos competitivos, el certificado de disponibilidad presupuestal debe ser expedido por la entidad contratante </w:t>
      </w:r>
      <w:r w:rsidRPr="00BC1770">
        <w:rPr>
          <w:rFonts w:ascii="Verdana" w:eastAsia="Times New Roman" w:hAnsi="Verdana" w:cs="Arial"/>
          <w:i/>
          <w:iCs/>
          <w:lang w:val="es-ES" w:eastAsia="es-MX"/>
        </w:rPr>
        <w:t>antes</w:t>
      </w:r>
      <w:r w:rsidRPr="00BC1770">
        <w:rPr>
          <w:rFonts w:ascii="Verdana" w:eastAsia="Times New Roman" w:hAnsi="Verdana" w:cs="Arial"/>
          <w:lang w:val="es-ES" w:eastAsia="es-MX"/>
        </w:rPr>
        <w:t xml:space="preserve"> de que inicie </w:t>
      </w:r>
      <w:r w:rsidRPr="00BC1770">
        <w:rPr>
          <w:rFonts w:ascii="Verdana" w:eastAsia="Times New Roman" w:hAnsi="Verdana" w:cs="Arial"/>
          <w:lang w:val="es-ES" w:eastAsia="es-MX"/>
        </w:rPr>
        <w:lastRenderedPageBreak/>
        <w:t xml:space="preserve">formalmente la etapa de selección del contratista, es decir, previo a la expedición y publicación del acto administrativo de apertura del proceso. </w:t>
      </w:r>
    </w:p>
    <w:p w14:paraId="6C79BF1C" w14:textId="77777777" w:rsidR="00FC28F5" w:rsidRPr="00E05C0F" w:rsidRDefault="00FC28F5" w:rsidP="00FC28F5">
      <w:pPr>
        <w:spacing w:after="120" w:line="276" w:lineRule="auto"/>
        <w:jc w:val="both"/>
        <w:rPr>
          <w:rFonts w:ascii="Verdana" w:eastAsia="Times New Roman" w:hAnsi="Verdana" w:cs="Arial"/>
          <w:lang w:val="es-ES" w:eastAsia="es-MX"/>
        </w:rPr>
      </w:pPr>
      <w:r w:rsidRPr="00E05C0F">
        <w:rPr>
          <w:rFonts w:ascii="Verdana" w:eastAsia="Times New Roman" w:hAnsi="Verdana" w:cs="Arial"/>
          <w:lang w:val="es-ES" w:eastAsia="es-MX"/>
        </w:rPr>
        <w:t>iii.</w:t>
      </w:r>
      <w:r>
        <w:rPr>
          <w:rFonts w:ascii="Verdana" w:eastAsia="Times New Roman" w:hAnsi="Verdana" w:cs="Arial"/>
          <w:lang w:val="es-ES" w:eastAsia="es-MX"/>
        </w:rPr>
        <w:t xml:space="preserve"> </w:t>
      </w:r>
      <w:r w:rsidRPr="00E05C0F">
        <w:rPr>
          <w:rFonts w:ascii="Verdana" w:eastAsia="Times New Roman" w:hAnsi="Verdana" w:cs="Arial"/>
          <w:lang w:val="es-ES" w:eastAsia="es-MX"/>
        </w:rPr>
        <w:t>Finalmente</w:t>
      </w:r>
      <w:r>
        <w:rPr>
          <w:rFonts w:ascii="Verdana" w:eastAsia="Times New Roman" w:hAnsi="Verdana" w:cs="Arial"/>
          <w:lang w:val="es-ES" w:eastAsia="es-MX"/>
        </w:rPr>
        <w:t xml:space="preserve">, le corresponde a esta Agencia pronunciarse respecto de las garantías en procesos de contratación que tienen como finalidad la prestación de un servicio a través de la modalidad de concesión. </w:t>
      </w:r>
    </w:p>
    <w:p w14:paraId="15A598F9" w14:textId="77777777" w:rsidR="00FC28F5" w:rsidRPr="00C31767" w:rsidRDefault="00FC28F5" w:rsidP="00FC28F5">
      <w:pPr>
        <w:spacing w:after="0" w:line="276" w:lineRule="auto"/>
        <w:ind w:firstLine="708"/>
        <w:jc w:val="both"/>
        <w:rPr>
          <w:rFonts w:ascii="Verdana" w:eastAsia="Calibri" w:hAnsi="Verdana" w:cs="Arial"/>
          <w:color w:val="000000" w:themeColor="text1"/>
          <w:lang w:val="es-ES_tradnl"/>
        </w:rPr>
      </w:pPr>
      <w:r w:rsidRPr="00C31767">
        <w:rPr>
          <w:rFonts w:ascii="Verdana" w:eastAsia="Calibri" w:hAnsi="Verdana" w:cs="Arial"/>
          <w:color w:val="000000"/>
          <w:lang w:val="es-ES_tradnl"/>
        </w:rPr>
        <w:t>De acuerdo con el Estatuto General de Contratación de la Administración Pública, p</w:t>
      </w:r>
      <w:r w:rsidRPr="00C31767">
        <w:rPr>
          <w:rFonts w:ascii="Verdana" w:eastAsia="Calibri" w:hAnsi="Verdana" w:cs="Arial"/>
          <w:color w:val="000000" w:themeColor="text1"/>
          <w:lang w:val="es-ES_tradnl"/>
        </w:rPr>
        <w:t xml:space="preserve">or regla general, </w:t>
      </w:r>
      <w:r w:rsidRPr="00C31767">
        <w:rPr>
          <w:rFonts w:ascii="Verdana" w:eastAsia="Calibri" w:hAnsi="Verdana" w:cs="Arial"/>
          <w:color w:val="000000" w:themeColor="text1"/>
          <w:lang w:val="es-ES"/>
        </w:rPr>
        <w:t>para seleccionar los contratistas y para ejecutar los contratos se requiere la constitución de garantías</w:t>
      </w:r>
      <w:r w:rsidRPr="00C31767">
        <w:rPr>
          <w:rFonts w:ascii="Verdana" w:eastAsia="Calibri" w:hAnsi="Verdana" w:cs="Arial"/>
          <w:color w:val="000000" w:themeColor="text1"/>
          <w:lang w:val="es-ES_tradnl"/>
        </w:rPr>
        <w:t>. Por ello, el artículo 7 de la Ley 1150 de 2007 dispone que los contratistas tienen la obligación de constituir garantías para el cumplimiento de las obligaciones surgidas del contrato, y los proponentes por el ofrecimiento realizado, pudiendo consistir en pólizas expedidas por compañías aseguradoras, garantías bancarias u otros mecanismos permitidos por la ley y el reglamento. Esta norma dispone lo siguiente:</w:t>
      </w:r>
    </w:p>
    <w:p w14:paraId="0CEA4F6B" w14:textId="77777777" w:rsidR="00FC28F5" w:rsidRPr="00C31767" w:rsidRDefault="00FC28F5" w:rsidP="00FC28F5">
      <w:pPr>
        <w:spacing w:after="0" w:line="276" w:lineRule="auto"/>
        <w:ind w:firstLine="708"/>
        <w:jc w:val="both"/>
        <w:rPr>
          <w:rFonts w:ascii="Verdana" w:hAnsi="Verdana" w:cs="Arial"/>
          <w:color w:val="000000" w:themeColor="text1"/>
          <w:lang w:eastAsia="es-CO"/>
        </w:rPr>
      </w:pPr>
    </w:p>
    <w:p w14:paraId="13F56FE0" w14:textId="77777777" w:rsidR="00FC28F5" w:rsidRPr="00C31767" w:rsidRDefault="00FC28F5" w:rsidP="00FC28F5">
      <w:pPr>
        <w:spacing w:after="120" w:line="240" w:lineRule="auto"/>
        <w:ind w:left="709" w:right="709"/>
        <w:jc w:val="both"/>
        <w:rPr>
          <w:rFonts w:ascii="Verdana" w:hAnsi="Verdana" w:cs="Arial"/>
          <w:color w:val="000000" w:themeColor="text1"/>
          <w:sz w:val="21"/>
          <w:szCs w:val="21"/>
          <w:lang w:eastAsia="es-CO"/>
        </w:rPr>
      </w:pPr>
      <w:r w:rsidRPr="00C31767">
        <w:rPr>
          <w:rFonts w:ascii="Verdana" w:hAnsi="Verdana" w:cs="Arial"/>
          <w:color w:val="000000" w:themeColor="text1"/>
          <w:sz w:val="21"/>
          <w:szCs w:val="21"/>
          <w:lang w:eastAsia="es-CO"/>
        </w:rPr>
        <w:t>“Artículo 7. Los contratistas prestarán garantía única para el cumplimiento de las obligaciones surgidas del contrato. Los proponentes prestarán garantía de seriedad de los ofrecimientos hechos. </w:t>
      </w:r>
    </w:p>
    <w:p w14:paraId="49D19A19" w14:textId="77777777" w:rsidR="00FC28F5" w:rsidRPr="00C31767" w:rsidRDefault="00FC28F5" w:rsidP="00FC28F5">
      <w:pPr>
        <w:spacing w:after="120" w:line="240" w:lineRule="auto"/>
        <w:ind w:left="709" w:right="709"/>
        <w:jc w:val="both"/>
        <w:rPr>
          <w:rFonts w:ascii="Verdana" w:hAnsi="Verdana" w:cs="Arial"/>
          <w:color w:val="000000" w:themeColor="text1"/>
          <w:sz w:val="21"/>
          <w:szCs w:val="21"/>
          <w:lang w:eastAsia="es-CO"/>
        </w:rPr>
      </w:pPr>
      <w:r w:rsidRPr="00C31767">
        <w:rPr>
          <w:rFonts w:ascii="Verdana" w:hAnsi="Verdana" w:cs="Arial"/>
          <w:color w:val="000000" w:themeColor="text1"/>
          <w:sz w:val="21"/>
          <w:szCs w:val="21"/>
          <w:lang w:eastAsia="es-CO"/>
        </w:rPr>
        <w:t>Las garantías consistirán en pólizas expedidas por compañías de seguros legalmente autorizadas para funcionar en Colombia, en garantías bancarias y en general, en los demás mecanismos de cobertura del riesgo autorizados por el reglamento para el efecto. Tratándose de pólizas, las mismas no expirarán por falta de pago de la prima o por revocatoria unilateral. El Gobierno Nacional señalará las condiciones generales que deberán ser incluidas en las pólizas de cumplimiento de los contratos estatales. </w:t>
      </w:r>
    </w:p>
    <w:p w14:paraId="091193FE" w14:textId="77777777" w:rsidR="00FC28F5" w:rsidRPr="00C31767" w:rsidRDefault="00FC28F5" w:rsidP="00FC28F5">
      <w:pPr>
        <w:spacing w:after="120" w:line="240" w:lineRule="auto"/>
        <w:ind w:left="709" w:right="709"/>
        <w:jc w:val="both"/>
        <w:rPr>
          <w:rFonts w:ascii="Verdana" w:hAnsi="Verdana" w:cs="Arial"/>
          <w:color w:val="000000" w:themeColor="text1"/>
          <w:sz w:val="21"/>
          <w:szCs w:val="21"/>
          <w:lang w:eastAsia="es-CO"/>
        </w:rPr>
      </w:pPr>
      <w:r w:rsidRPr="00C31767">
        <w:rPr>
          <w:rFonts w:ascii="Verdana" w:hAnsi="Verdana" w:cs="Arial"/>
          <w:color w:val="000000" w:themeColor="text1"/>
          <w:sz w:val="21"/>
          <w:szCs w:val="21"/>
          <w:lang w:eastAsia="es-CO"/>
        </w:rPr>
        <w:t>El Gobierno Nacional señalará los criterios que seguirán las entidades para la exigencia de garantías, las clases y niveles de amparo de los riesgos de los contratos, así como los casos en que por las características y complejidad del contrato a celebrar, la garantía pueda ser dividida teniendo en cuenta las etapas o riesgos relativos a la ejecución del respectivo contrato. </w:t>
      </w:r>
    </w:p>
    <w:p w14:paraId="026721C3" w14:textId="77777777" w:rsidR="00FC28F5" w:rsidRPr="00C31767" w:rsidRDefault="00FC28F5" w:rsidP="00FC28F5">
      <w:pPr>
        <w:spacing w:after="120" w:line="240" w:lineRule="auto"/>
        <w:ind w:left="709" w:right="709"/>
        <w:jc w:val="both"/>
        <w:rPr>
          <w:rFonts w:ascii="Verdana" w:hAnsi="Verdana" w:cs="Arial"/>
          <w:color w:val="000000" w:themeColor="text1"/>
          <w:sz w:val="21"/>
          <w:szCs w:val="21"/>
          <w:lang w:eastAsia="es-CO"/>
        </w:rPr>
      </w:pPr>
      <w:r w:rsidRPr="00C31767">
        <w:rPr>
          <w:rFonts w:ascii="Verdana" w:hAnsi="Verdana" w:cs="Arial"/>
          <w:color w:val="000000" w:themeColor="text1"/>
          <w:sz w:val="21"/>
          <w:szCs w:val="21"/>
          <w:lang w:eastAsia="es-CO"/>
        </w:rPr>
        <w:t>El acaecimiento del siniestro que amparan las garantías será comunicado por la entidad pública al respectivo asegurador mediante la notificación del acto administrativo que así lo declare. </w:t>
      </w:r>
    </w:p>
    <w:p w14:paraId="4986E8F1" w14:textId="77777777" w:rsidR="00FC28F5" w:rsidRPr="00C31767" w:rsidRDefault="00FC28F5" w:rsidP="00FC28F5">
      <w:pPr>
        <w:spacing w:after="0" w:line="240" w:lineRule="auto"/>
        <w:ind w:left="709" w:right="709"/>
        <w:jc w:val="both"/>
        <w:rPr>
          <w:rFonts w:ascii="Verdana" w:hAnsi="Verdana" w:cs="Arial"/>
          <w:color w:val="000000" w:themeColor="text1"/>
          <w:sz w:val="21"/>
          <w:szCs w:val="21"/>
          <w:lang w:eastAsia="es-CO"/>
        </w:rPr>
      </w:pPr>
      <w:r w:rsidRPr="00C31767">
        <w:rPr>
          <w:rFonts w:ascii="Verdana" w:hAnsi="Verdana" w:cs="Arial"/>
          <w:color w:val="000000" w:themeColor="text1"/>
          <w:sz w:val="21"/>
          <w:szCs w:val="21"/>
          <w:lang w:eastAsia="es-CO"/>
        </w:rPr>
        <w:t xml:space="preserve">Las garantías no serán obligatorias en los contratos de empréstito, en los interadministrativos, en los de seguro y en los contratos cuyo valor </w:t>
      </w:r>
      <w:r w:rsidRPr="00C31767">
        <w:rPr>
          <w:rFonts w:ascii="Verdana" w:hAnsi="Verdana" w:cs="Arial"/>
          <w:color w:val="000000" w:themeColor="text1"/>
          <w:sz w:val="21"/>
          <w:szCs w:val="21"/>
          <w:lang w:eastAsia="es-CO"/>
        </w:rPr>
        <w:lastRenderedPageBreak/>
        <w:t>sea inferior al 10% de la menor cuantía a que se refiere esta ley, caso en el cual corresponderá a la entidad determinar la necesidad de exigirla, atendiendo a la naturaleza del objeto del contrato y a la forma de pago, así como en los demás que señale el reglamento”.</w:t>
      </w:r>
    </w:p>
    <w:p w14:paraId="57A33ABF" w14:textId="77777777" w:rsidR="00FC28F5" w:rsidRPr="00C31767" w:rsidRDefault="00FC28F5" w:rsidP="00FC28F5">
      <w:pPr>
        <w:spacing w:after="0" w:line="276" w:lineRule="auto"/>
        <w:ind w:left="709" w:right="709"/>
        <w:jc w:val="both"/>
        <w:rPr>
          <w:rFonts w:ascii="Verdana" w:hAnsi="Verdana" w:cs="Arial"/>
          <w:color w:val="000000" w:themeColor="text1"/>
          <w:lang w:eastAsia="es-CO"/>
        </w:rPr>
      </w:pPr>
    </w:p>
    <w:p w14:paraId="2C119006" w14:textId="77777777" w:rsidR="00FC28F5" w:rsidRPr="00C31767" w:rsidRDefault="00FC28F5" w:rsidP="00FC28F5">
      <w:pPr>
        <w:spacing w:line="276" w:lineRule="auto"/>
        <w:ind w:firstLine="708"/>
        <w:jc w:val="both"/>
        <w:rPr>
          <w:rFonts w:ascii="Verdana" w:hAnsi="Verdana" w:cs="Arial"/>
          <w:color w:val="000000" w:themeColor="text1"/>
          <w:lang w:val="es-MX"/>
        </w:rPr>
      </w:pPr>
      <w:r w:rsidRPr="00C31767">
        <w:rPr>
          <w:rFonts w:ascii="Verdana" w:hAnsi="Verdana" w:cs="Arial"/>
          <w:color w:val="000000" w:themeColor="text1"/>
          <w:lang w:val="es-MX"/>
        </w:rPr>
        <w:t xml:space="preserve">Las condiciones en las que debe cumplirse esta obligación fueron reglamentadas por el Decreto 1082 de 2015, el cual entre sus artículos 2.2.1.2.3.1.1. y 2.2.1.2.3.1.19 se refiere a asuntos como las clases de garantías permitidas, su indivisibilidad, los diferentes riesgos que deben ser objeto de garantía, la vigencia y valores mínimos que deben cubrir los amparos, entre otros aspectos que debe cumplir las garantías constituidas por los contratistas ya sea a través de pólizas de seguro, garantías bancarías o patrimonios autónomos. </w:t>
      </w:r>
    </w:p>
    <w:p w14:paraId="38CEF977" w14:textId="77777777" w:rsidR="00FC28F5" w:rsidRPr="00C31767" w:rsidRDefault="00FC28F5" w:rsidP="00FC28F5">
      <w:pPr>
        <w:spacing w:before="120" w:line="276" w:lineRule="auto"/>
        <w:ind w:firstLine="708"/>
        <w:jc w:val="both"/>
        <w:rPr>
          <w:rFonts w:ascii="Verdana" w:hAnsi="Verdana" w:cs="Arial"/>
          <w:color w:val="000000" w:themeColor="text1"/>
          <w:lang w:eastAsia="es-CO"/>
        </w:rPr>
      </w:pPr>
      <w:r w:rsidRPr="00C31767">
        <w:rPr>
          <w:rFonts w:ascii="Verdana" w:hAnsi="Verdana" w:cs="Arial"/>
          <w:color w:val="000000" w:themeColor="text1"/>
          <w:lang w:val="es-MX"/>
        </w:rPr>
        <w:t>El artículo 2.2.1.2.3.1.3</w:t>
      </w:r>
      <w:r>
        <w:rPr>
          <w:rFonts w:ascii="Verdana" w:hAnsi="Verdana" w:cs="Arial"/>
          <w:color w:val="000000" w:themeColor="text1"/>
          <w:lang w:val="es-MX"/>
        </w:rPr>
        <w:t xml:space="preserve"> del Decreto 1082 de 2015</w:t>
      </w:r>
      <w:r w:rsidRPr="00C31767">
        <w:rPr>
          <w:rFonts w:ascii="Verdana" w:hAnsi="Verdana" w:cs="Arial"/>
          <w:color w:val="000000" w:themeColor="text1"/>
          <w:lang w:val="es-MX"/>
        </w:rPr>
        <w:t xml:space="preserve">, por ejemplo, establece que la “garantía de cobertura del Riesgo es indivisible”, además de la obligación de los contratantes de establecer en los pliegos de condiciones las garantías exigidas para cada </w:t>
      </w:r>
      <w:r>
        <w:rPr>
          <w:rFonts w:ascii="Verdana" w:hAnsi="Verdana" w:cs="Arial"/>
          <w:color w:val="000000" w:themeColor="text1"/>
          <w:lang w:val="es-MX"/>
        </w:rPr>
        <w:t xml:space="preserve">etapa del contrato o </w:t>
      </w:r>
      <w:r w:rsidRPr="00C31767">
        <w:rPr>
          <w:rFonts w:ascii="Verdana" w:hAnsi="Verdana" w:cs="Arial"/>
          <w:color w:val="000000" w:themeColor="text1"/>
          <w:lang w:val="es-MX"/>
        </w:rPr>
        <w:t>periodo contractual</w:t>
      </w:r>
      <w:r>
        <w:rPr>
          <w:rFonts w:ascii="Verdana" w:hAnsi="Verdana" w:cs="Arial"/>
          <w:color w:val="000000" w:themeColor="text1"/>
          <w:lang w:val="es-MX"/>
        </w:rPr>
        <w:t xml:space="preserve"> o cada unidad funcional </w:t>
      </w:r>
      <w:r w:rsidRPr="00FE1CF0">
        <w:rPr>
          <w:rFonts w:ascii="Verdana" w:hAnsi="Verdana" w:cs="Arial"/>
          <w:color w:val="000000" w:themeColor="text1"/>
        </w:rPr>
        <w:t>en el caso de las Asociaciones Público Privadas</w:t>
      </w:r>
      <w:r w:rsidRPr="00C31767">
        <w:rPr>
          <w:rFonts w:ascii="Verdana" w:hAnsi="Verdana" w:cs="Arial"/>
          <w:color w:val="000000" w:themeColor="text1"/>
          <w:lang w:val="es-MX"/>
        </w:rPr>
        <w:t xml:space="preserve">. Seguidamente el artículo 2.2.1.3.1.7 prescribe que la garantía de cumplimiento debe cubrir: i) el buen manejo y correcta inversión del anticipo; ii) la devolución del pago anticipado; iii) cumplimiento del contrato; iv) pago de salarios, prestaciones sociales legales e indemnizaciones laborales; v) estabilidad y calidad de la obra; vi) </w:t>
      </w:r>
      <w:r w:rsidRPr="00C31767">
        <w:rPr>
          <w:rFonts w:ascii="Verdana" w:hAnsi="Verdana" w:cs="Arial"/>
          <w:color w:val="000000" w:themeColor="text1"/>
          <w:lang w:eastAsia="es-CO"/>
        </w:rPr>
        <w:t>calidad del servicio; vii) calidad y correcto funcionamiento de los bienes; y viii) los demás incumplimientos de las obligaciones que la entidad estatal considere deben ser amparados. Por su parte, el artículo 2.2.1.2.3.1.12 regula la suficiencia del amparo de cumplimiento, al determinar que esta debe tener una vigencia mínima hasta la liquidación del contrato y un valor de por lo menos el diez por ciento (10%) del total del contrato, siempre que este sea inferior a un millón (1.000.000) de S.M.M.L.V., estableciendo otros mínimos para el valor de las pólizas en contratos con montos superiores</w:t>
      </w:r>
      <w:r w:rsidRPr="00C31767">
        <w:rPr>
          <w:rFonts w:ascii="Verdana" w:hAnsi="Verdana" w:cs="Arial"/>
          <w:color w:val="000000" w:themeColor="text1"/>
          <w:vertAlign w:val="superscript"/>
          <w:lang w:eastAsia="es-CO"/>
        </w:rPr>
        <w:footnoteReference w:id="26"/>
      </w:r>
      <w:r w:rsidRPr="00C31767">
        <w:rPr>
          <w:rFonts w:ascii="Verdana" w:hAnsi="Verdana" w:cs="Arial"/>
          <w:color w:val="000000" w:themeColor="text1"/>
          <w:lang w:eastAsia="es-CO"/>
        </w:rPr>
        <w:t xml:space="preserve">.   </w:t>
      </w:r>
    </w:p>
    <w:p w14:paraId="7745286A" w14:textId="77777777" w:rsidR="00FC28F5" w:rsidRPr="00C31767" w:rsidRDefault="00FC28F5" w:rsidP="00FC28F5">
      <w:pPr>
        <w:spacing w:before="120" w:line="276" w:lineRule="auto"/>
        <w:ind w:firstLine="708"/>
        <w:jc w:val="both"/>
        <w:rPr>
          <w:rFonts w:ascii="Verdana" w:hAnsi="Verdana" w:cs="Arial"/>
          <w:color w:val="000000" w:themeColor="text1"/>
        </w:rPr>
      </w:pPr>
      <w:r w:rsidRPr="00C31767">
        <w:rPr>
          <w:rFonts w:ascii="Verdana" w:hAnsi="Verdana" w:cs="Arial"/>
          <w:color w:val="000000" w:themeColor="text1"/>
          <w:lang w:val="es-MX"/>
        </w:rPr>
        <w:lastRenderedPageBreak/>
        <w:t>Los anteriores y otros aspectos desarrollados por el Decreto 1082 de 2015 deben ser verificados por las entidades estatales, para determinar si los amparos constituidos por sus contratistas en cumplimiento de la obligación derivada del artículo 7 de la Ley 1150 de 2007 se ajustan o no a lo exigido por el reglamento respecto del objeto y valor del contrato.</w:t>
      </w:r>
      <w:r w:rsidRPr="00C31767">
        <w:rPr>
          <w:rFonts w:ascii="Verdana" w:hAnsi="Verdana" w:cs="Arial"/>
          <w:color w:val="000000" w:themeColor="text1"/>
        </w:rPr>
        <w:t xml:space="preserve"> Lo expuesto resulta de especial relevancia, teniendo en cuenta que el cumplimiento de la obligación de los contratistas de constituir las correspondientes garantías, y el deber de las entidades estatales de aprobarlas, una vez verificados los requisitos mínimos exigidos, son presupuestos para la ejecución del contrato, de conformidad con el artículo 41 de la Ley 80 de 1993</w:t>
      </w:r>
      <w:r w:rsidRPr="00C31767">
        <w:rPr>
          <w:rFonts w:ascii="Verdana" w:eastAsia="Calibri" w:hAnsi="Verdana" w:cs="Arial"/>
        </w:rPr>
        <w:t xml:space="preserve">. </w:t>
      </w:r>
    </w:p>
    <w:p w14:paraId="332C50B6" w14:textId="77777777" w:rsidR="00FC28F5" w:rsidRPr="00C31767" w:rsidRDefault="00FC28F5" w:rsidP="00FC28F5">
      <w:pPr>
        <w:spacing w:before="120" w:line="276" w:lineRule="auto"/>
        <w:ind w:firstLine="709"/>
        <w:jc w:val="both"/>
        <w:rPr>
          <w:rFonts w:ascii="Verdana" w:hAnsi="Verdana" w:cs="Arial"/>
          <w:color w:val="000000" w:themeColor="text1"/>
          <w:lang w:val="es-ES"/>
        </w:rPr>
      </w:pPr>
      <w:r w:rsidRPr="00C31767">
        <w:rPr>
          <w:rFonts w:ascii="Verdana" w:eastAsia="Calibri" w:hAnsi="Verdana" w:cs="Arial"/>
          <w:color w:val="000000"/>
          <w:lang w:eastAsia="en-GB"/>
        </w:rPr>
        <w:t xml:space="preserve">En este contexto, </w:t>
      </w:r>
      <w:bookmarkStart w:id="3" w:name="_Hlk173079147"/>
      <w:r w:rsidRPr="00C31767">
        <w:rPr>
          <w:rFonts w:ascii="Verdana" w:eastAsia="Calibri" w:hAnsi="Verdana" w:cs="Arial"/>
          <w:color w:val="000000"/>
          <w:lang w:eastAsia="en-GB"/>
        </w:rPr>
        <w:t xml:space="preserve">la obligación de constituir las garantías contractuales y su aprobación tiene como propósito cumplir con el requisito de ejecución del contrato, pues estas se erigen como un </w:t>
      </w:r>
      <w:r w:rsidRPr="00C31767">
        <w:rPr>
          <w:rFonts w:ascii="Verdana" w:hAnsi="Verdana" w:cs="Arial"/>
          <w:color w:val="000000" w:themeColor="text1"/>
          <w:lang w:val="es-MX"/>
        </w:rPr>
        <w:t>“</w:t>
      </w:r>
      <w:r w:rsidRPr="00C31767">
        <w:rPr>
          <w:rFonts w:ascii="Verdana" w:eastAsia="Calibri" w:hAnsi="Verdana" w:cs="Arial"/>
          <w:color w:val="000000"/>
          <w:lang w:eastAsia="en-GB"/>
        </w:rPr>
        <w:t>instrumento para salvaguardar intereses de carácter general, garantizar el adecuado cumplimiento del objeto contractual y proteger el patrimonio público de los detrimentos que se puedan causar con ocasión de eventuales incumplimientos en que incurra el contratista”</w:t>
      </w:r>
      <w:r w:rsidRPr="00C31767">
        <w:rPr>
          <w:rStyle w:val="Refdenotaalpie"/>
          <w:rFonts w:ascii="Verdana" w:eastAsia="Calibri" w:hAnsi="Verdana" w:cs="Arial"/>
          <w:color w:val="000000"/>
          <w:lang w:eastAsia="en-GB"/>
        </w:rPr>
        <w:footnoteReference w:id="27"/>
      </w:r>
      <w:r w:rsidRPr="00C31767">
        <w:rPr>
          <w:rFonts w:ascii="Verdana" w:hAnsi="Verdana" w:cs="Arial"/>
          <w:color w:val="000000" w:themeColor="text1"/>
          <w:lang w:eastAsia="es-CO"/>
        </w:rPr>
        <w:t>.</w:t>
      </w:r>
      <w:r w:rsidRPr="00C31767">
        <w:rPr>
          <w:rFonts w:ascii="Verdana" w:hAnsi="Verdana" w:cs="Arial"/>
          <w:color w:val="000000" w:themeColor="text1"/>
          <w:lang w:val="es-MX"/>
        </w:rPr>
        <w:t xml:space="preserve"> En este sentido, previo a l</w:t>
      </w:r>
      <w:r w:rsidRPr="00C31767">
        <w:rPr>
          <w:rFonts w:ascii="Verdana" w:hAnsi="Verdana" w:cs="Arial"/>
          <w:color w:val="000000" w:themeColor="text1"/>
          <w:lang w:val="es-ES_tradnl"/>
        </w:rPr>
        <w:t>a aprobación de las garantías pactadas en el contrato, la entidad debe realizar la respectiva verificación de los amparos y suficiencia de las garantías exigidas, con la finalidad de</w:t>
      </w:r>
      <w:r w:rsidRPr="00C31767">
        <w:rPr>
          <w:rFonts w:ascii="Verdana" w:hAnsi="Verdana" w:cs="Arial"/>
          <w:color w:val="000000" w:themeColor="text1"/>
        </w:rPr>
        <w:t xml:space="preserve"> asegurar que estas </w:t>
      </w:r>
      <w:r w:rsidRPr="00C31767">
        <w:rPr>
          <w:rFonts w:ascii="Verdana" w:hAnsi="Verdana" w:cs="Arial"/>
          <w:color w:val="000000" w:themeColor="text1"/>
          <w:lang w:val="es-ES"/>
        </w:rPr>
        <w:t xml:space="preserve">protejan el patrimonio del Estado de los perjuicios que eventualmente se derivarían de la materialización de los riesgos amparados. </w:t>
      </w:r>
    </w:p>
    <w:p w14:paraId="462126AA" w14:textId="77777777" w:rsidR="00FC28F5" w:rsidRDefault="00FC28F5" w:rsidP="00FC28F5">
      <w:pPr>
        <w:spacing w:before="120" w:after="120" w:line="276" w:lineRule="auto"/>
        <w:ind w:firstLine="709"/>
        <w:jc w:val="both"/>
        <w:rPr>
          <w:rFonts w:ascii="Verdana" w:hAnsi="Verdana" w:cs="Arial"/>
          <w:color w:val="000000" w:themeColor="text1"/>
          <w:lang w:val="es-ES"/>
        </w:rPr>
      </w:pPr>
      <w:r w:rsidRPr="65AD1BB5">
        <w:rPr>
          <w:rFonts w:ascii="Verdana" w:hAnsi="Verdana" w:cs="Arial"/>
          <w:color w:val="000000" w:themeColor="text1"/>
          <w:lang w:val="es-ES"/>
        </w:rPr>
        <w:t xml:space="preserve">Esta labor de verificación por parte de la entidad implica validar el origen de las garantías y revisar </w:t>
      </w:r>
      <w:r w:rsidRPr="00C31767">
        <w:rPr>
          <w:rFonts w:ascii="Verdana" w:hAnsi="Verdana" w:cs="Arial"/>
          <w:color w:val="000000" w:themeColor="text1"/>
          <w:lang w:val="es-MX"/>
        </w:rPr>
        <w:t>“</w:t>
      </w:r>
      <w:r w:rsidRPr="00C31767">
        <w:rPr>
          <w:rFonts w:ascii="Verdana" w:eastAsia="Calibri" w:hAnsi="Verdana" w:cs="Arial"/>
        </w:rPr>
        <w:t xml:space="preserve">que los valores asegurados coincidan con los que se exigieron en el contrato, así como su vigencia; verificar que estén identificados plenamente el tomador y el beneficiario, y que vengan adjuntas las condiciones generales de la póliza. Sólo con la certeza que brinda este análisis, se puede tener la seguridad que no se causarán perjuicios al ente estatal. De tal manera, una vez revisada la póliza, sus anexos (condiciones generales) y su contenido y </w:t>
      </w:r>
      <w:r w:rsidRPr="00C31767">
        <w:rPr>
          <w:rFonts w:ascii="Verdana" w:eastAsia="Calibri" w:hAnsi="Verdana" w:cs="Arial"/>
        </w:rPr>
        <w:lastRenderedPageBreak/>
        <w:t>si está de acuerdo con lo exigido, se impartirá la aprobación correspondiente”</w:t>
      </w:r>
      <w:r w:rsidRPr="00C31767">
        <w:rPr>
          <w:rStyle w:val="Refdenotaalpie"/>
          <w:rFonts w:ascii="Verdana" w:eastAsia="Calibri" w:hAnsi="Verdana" w:cs="Arial"/>
        </w:rPr>
        <w:footnoteReference w:id="28"/>
      </w:r>
      <w:r w:rsidRPr="00C31767">
        <w:rPr>
          <w:rFonts w:ascii="Verdana" w:hAnsi="Verdana" w:cs="Arial"/>
          <w:color w:val="000000" w:themeColor="text1"/>
          <w:lang w:val="es-MX"/>
        </w:rPr>
        <w:t>.</w:t>
      </w:r>
      <w:r w:rsidRPr="00C31767">
        <w:rPr>
          <w:rFonts w:ascii="Verdana" w:hAnsi="Verdana" w:cs="Arial"/>
          <w:color w:val="000000" w:themeColor="text1"/>
          <w:lang w:val="es-ES"/>
        </w:rPr>
        <w:t xml:space="preserve"> </w:t>
      </w:r>
      <w:r w:rsidRPr="00C31767">
        <w:rPr>
          <w:rFonts w:ascii="Verdana" w:hAnsi="Verdana" w:cs="Arial"/>
          <w:color w:val="000000" w:themeColor="text1"/>
          <w:lang w:val="es-MX"/>
        </w:rPr>
        <w:t xml:space="preserve">De este modo, </w:t>
      </w:r>
      <w:r w:rsidRPr="65AD1BB5">
        <w:rPr>
          <w:rFonts w:ascii="Verdana" w:hAnsi="Verdana" w:cs="Arial"/>
          <w:color w:val="000000" w:themeColor="text1"/>
          <w:lang w:val="es-ES"/>
        </w:rPr>
        <w:t xml:space="preserve">con la aprobación de las garantías la entidad estatal </w:t>
      </w:r>
      <w:r w:rsidRPr="00C31767">
        <w:rPr>
          <w:rFonts w:ascii="Verdana" w:hAnsi="Verdana" w:cs="Arial"/>
          <w:color w:val="000000" w:themeColor="text1"/>
          <w:lang w:eastAsia="es-CO"/>
        </w:rPr>
        <w:t xml:space="preserve">estará acreditando el cumplimiento de la obligación del artículo 7 de la Ley 1150 de 2007, </w:t>
      </w:r>
      <w:r w:rsidRPr="65AD1BB5">
        <w:rPr>
          <w:rFonts w:ascii="Verdana" w:hAnsi="Verdana" w:cs="Arial"/>
          <w:color w:val="000000" w:themeColor="text1"/>
          <w:lang w:val="es-ES"/>
        </w:rPr>
        <w:t xml:space="preserve">y entonces el contrato podrá ejecutarse, siempre que se cumplan los demás requisitos establece el artículo 41 de la Ley 80 de 1993, para efectos de </w:t>
      </w:r>
      <w:r w:rsidRPr="00620CDA">
        <w:rPr>
          <w:rFonts w:ascii="Verdana" w:hAnsi="Verdana" w:cs="Arial"/>
          <w:color w:val="000000" w:themeColor="text1"/>
          <w:lang w:val="es-ES"/>
        </w:rPr>
        <w:t xml:space="preserve">su posterior liquidación. </w:t>
      </w:r>
    </w:p>
    <w:p w14:paraId="00D52BB7" w14:textId="77777777" w:rsidR="00FC28F5" w:rsidRPr="001C5A52" w:rsidRDefault="00FC28F5" w:rsidP="00FC28F5">
      <w:pPr>
        <w:spacing w:before="120" w:after="120" w:line="276" w:lineRule="auto"/>
        <w:ind w:firstLine="709"/>
        <w:jc w:val="both"/>
        <w:rPr>
          <w:rFonts w:ascii="Verdana" w:eastAsia="Calibri" w:hAnsi="Verdana" w:cs="Arial"/>
          <w:color w:val="000000" w:themeColor="text1"/>
          <w:lang w:val="es-ES" w:eastAsia="en-GB"/>
        </w:rPr>
      </w:pPr>
      <w:r w:rsidRPr="001C5A52">
        <w:rPr>
          <w:rFonts w:ascii="Verdana" w:eastAsia="Calibri" w:hAnsi="Verdana" w:cs="Arial"/>
          <w:color w:val="000000" w:themeColor="text1"/>
          <w:lang w:val="es-ES" w:eastAsia="en-GB"/>
        </w:rPr>
        <w:t xml:space="preserve">En este marco normativo, resulta fundamental distinguir entre las exigencias que configuran el perfeccionamiento del contrato y aquellas que habilitan su ejecución efectiva. </w:t>
      </w:r>
      <w:r>
        <w:rPr>
          <w:rFonts w:ascii="Verdana" w:eastAsia="Calibri" w:hAnsi="Verdana" w:cs="Arial"/>
          <w:color w:val="000000" w:themeColor="text1"/>
          <w:lang w:val="es-ES" w:eastAsia="en-GB"/>
        </w:rPr>
        <w:t>E</w:t>
      </w:r>
      <w:r w:rsidRPr="001722EB">
        <w:rPr>
          <w:rFonts w:ascii="Verdana" w:eastAsia="Calibri" w:hAnsi="Verdana" w:cs="Arial"/>
          <w:color w:val="000000"/>
          <w:lang w:val="es-ES" w:eastAsia="en-GB"/>
        </w:rPr>
        <w:t>l primer inciso del artículo 41 de la Ley 80 de 1993 establece que “Los contratos del Estado se perfeccionan cuando se logre acuerdo sobre el objeto y la contraprestación y éste se eleve a escrito”. Como se advierte, el legislador dispuso que para que el contrato estatal exista, no solo debe haber un acuerdo sobre la obligación principal del negocio –es decir, sobre el “objeto”– y sobre la contraprestación, sino que se debe plasmar por escrito.</w:t>
      </w:r>
      <w:r w:rsidRPr="001C5A52">
        <w:rPr>
          <w:rFonts w:ascii="Verdana" w:eastAsia="Calibri" w:hAnsi="Verdana" w:cs="Arial"/>
          <w:color w:val="000000" w:themeColor="text1"/>
          <w:lang w:val="es-ES" w:eastAsia="en-GB"/>
        </w:rPr>
        <w:t xml:space="preserve"> Sin embargo, este acto jurídico no habilita por sí solo el inicio de las obligaciones contractuales. Para ello, se requiere el cumplimiento de requisitos adicionales, entre los cuales la constitución y aprobación de las garantías ocupa un lugar central, como lo establece el artículo 41 de la misma ley.</w:t>
      </w:r>
    </w:p>
    <w:p w14:paraId="0CFACACC" w14:textId="77777777" w:rsidR="00FC28F5" w:rsidRPr="00620CDA" w:rsidRDefault="00FC28F5" w:rsidP="00FC28F5">
      <w:pPr>
        <w:spacing w:before="120" w:after="120" w:line="276" w:lineRule="auto"/>
        <w:ind w:firstLine="709"/>
        <w:jc w:val="both"/>
        <w:rPr>
          <w:rFonts w:ascii="Verdana" w:hAnsi="Verdana" w:cs="Arial"/>
          <w:color w:val="000000" w:themeColor="text1"/>
          <w:lang w:val="es-ES"/>
        </w:rPr>
      </w:pPr>
      <w:r w:rsidRPr="001C5A52">
        <w:rPr>
          <w:rFonts w:ascii="Verdana" w:eastAsia="Calibri" w:hAnsi="Verdana" w:cs="Arial"/>
          <w:color w:val="000000" w:themeColor="text1"/>
          <w:lang w:val="es-ES" w:eastAsia="en-GB"/>
        </w:rPr>
        <w:t>La aprobación de las garantías no es un trámite accesorio, sino una condición sine qua non para que el contrato pueda ejecutarse. En efecto, la garantía aprobada por la entidad estatal constituye el respaldo jurídico y financiero que permite proteger el interés público frente a los riesgos inherentes al cumplimiento contractual. Esta aprobación implica una revisión técnica y jurídica rigurosa, que debe verificar la suficiencia del amparo, la vigencia, la identificación clara del tomador y beneficiario, y la inclusión de las condiciones generales exigidas por el reglamento</w:t>
      </w:r>
      <w:r>
        <w:rPr>
          <w:rFonts w:ascii="Verdana" w:eastAsia="Calibri" w:hAnsi="Verdana" w:cs="Arial"/>
          <w:color w:val="000000" w:themeColor="text1"/>
          <w:lang w:val="es-ES" w:eastAsia="en-GB"/>
        </w:rPr>
        <w:t xml:space="preserve"> tal y como se explicó en párrafos precedentes</w:t>
      </w:r>
      <w:r w:rsidRPr="001C5A52">
        <w:rPr>
          <w:rFonts w:ascii="Verdana" w:eastAsia="Calibri" w:hAnsi="Verdana" w:cs="Arial"/>
          <w:color w:val="000000" w:themeColor="text1"/>
          <w:lang w:val="es-ES" w:eastAsia="en-GB"/>
        </w:rPr>
        <w:t>.</w:t>
      </w:r>
      <w:r>
        <w:rPr>
          <w:rFonts w:ascii="Verdana" w:eastAsia="Calibri" w:hAnsi="Verdana" w:cs="Arial"/>
          <w:color w:val="000000" w:themeColor="text1"/>
          <w:lang w:val="es-ES" w:eastAsia="en-GB"/>
        </w:rPr>
        <w:t xml:space="preserve"> </w:t>
      </w:r>
      <w:r w:rsidRPr="009D2BC8">
        <w:rPr>
          <w:rFonts w:ascii="Verdana" w:eastAsia="Calibri" w:hAnsi="Verdana" w:cs="Arial"/>
          <w:color w:val="000000" w:themeColor="text1"/>
          <w:lang w:val="es-ES" w:eastAsia="en-GB"/>
        </w:rPr>
        <w:t xml:space="preserve"> Por lo tanto, </w:t>
      </w:r>
      <w:r w:rsidRPr="009D2BC8">
        <w:rPr>
          <w:rFonts w:ascii="Verdana" w:hAnsi="Verdana" w:cs="Arial"/>
          <w:color w:val="000000" w:themeColor="text1"/>
          <w:lang w:val="es-ES"/>
        </w:rPr>
        <w:t>solo será válida aquella garantía que se encuentre debidamente aprobada por la entidad estatal.</w:t>
      </w:r>
      <w:r>
        <w:rPr>
          <w:rFonts w:ascii="Verdana" w:hAnsi="Verdana" w:cs="Arial"/>
          <w:color w:val="000000" w:themeColor="text1"/>
          <w:lang w:val="es-ES"/>
        </w:rPr>
        <w:t xml:space="preserve"> </w:t>
      </w:r>
    </w:p>
    <w:bookmarkEnd w:id="3"/>
    <w:p w14:paraId="0C42BA3F" w14:textId="77777777" w:rsidR="00FC28F5" w:rsidRPr="00F50B9E" w:rsidRDefault="00FC28F5" w:rsidP="00FC28F5">
      <w:pPr>
        <w:spacing w:after="120" w:line="276" w:lineRule="auto"/>
        <w:ind w:firstLine="709"/>
        <w:jc w:val="both"/>
        <w:rPr>
          <w:rFonts w:ascii="Verdana" w:eastAsia="Times New Roman" w:hAnsi="Verdana" w:cs="Arial"/>
          <w:lang w:eastAsia="es-ES_tradnl"/>
        </w:rPr>
      </w:pPr>
      <w:r>
        <w:rPr>
          <w:rFonts w:ascii="Verdana" w:eastAsia="Calibri" w:hAnsi="Verdana" w:cs="Arial"/>
          <w:color w:val="000000" w:themeColor="text1"/>
        </w:rPr>
        <w:t xml:space="preserve">Dicho lo anterior, es preciso traer a colación lo referente a la indivisibilidad de la garantía </w:t>
      </w:r>
      <w:r w:rsidRPr="00F50B9E">
        <w:rPr>
          <w:rFonts w:ascii="Verdana" w:eastAsia="Times New Roman" w:hAnsi="Verdana" w:cs="Arial"/>
          <w:lang w:eastAsia="es-ES_tradnl"/>
        </w:rPr>
        <w:t>previst</w:t>
      </w:r>
      <w:r>
        <w:rPr>
          <w:rFonts w:ascii="Verdana" w:eastAsia="Times New Roman" w:hAnsi="Verdana" w:cs="Arial"/>
          <w:lang w:eastAsia="es-ES_tradnl"/>
        </w:rPr>
        <w:t>a</w:t>
      </w:r>
      <w:r w:rsidRPr="00F50B9E">
        <w:rPr>
          <w:rFonts w:ascii="Verdana" w:eastAsia="Times New Roman" w:hAnsi="Verdana" w:cs="Arial"/>
          <w:lang w:eastAsia="es-ES_tradnl"/>
        </w:rPr>
        <w:t xml:space="preserve"> en el artículo 2.2.1.2.3.1.3 del Decreto 1082 de 2015</w:t>
      </w:r>
      <w:r>
        <w:rPr>
          <w:rFonts w:ascii="Verdana" w:eastAsia="Times New Roman" w:hAnsi="Verdana" w:cs="Arial"/>
          <w:lang w:eastAsia="es-ES_tradnl"/>
        </w:rPr>
        <w:t xml:space="preserve">. </w:t>
      </w:r>
      <w:r w:rsidRPr="00F50B9E">
        <w:rPr>
          <w:rFonts w:ascii="Verdana" w:eastAsia="Times New Roman" w:hAnsi="Verdana" w:cs="Arial"/>
          <w:lang w:eastAsia="es-ES_tradnl"/>
        </w:rPr>
        <w:t xml:space="preserve">En relación con esta exigencia es importante mencionar que, por regla general, un contrato estatal debe estar amparado mediante una sola garantía, sin perjuicio de algunas excepciones, como la que se deriva de la norma analizada. En efecto, </w:t>
      </w:r>
      <w:r w:rsidRPr="00F50B9E">
        <w:rPr>
          <w:rFonts w:ascii="Verdana" w:eastAsia="Times New Roman" w:hAnsi="Verdana" w:cs="Arial"/>
          <w:lang w:eastAsia="es-ES_tradnl"/>
        </w:rPr>
        <w:lastRenderedPageBreak/>
        <w:t xml:space="preserve">en los contratos cuyo plazo de ejecución sea mayor a cinco (5) años se podrá dividir la garantía, tal como lo prevé el Decreto 1082 de 2015: “La garantía de cobertura del Riesgo es indivisible. Sin embargo, en los contratos con un plazo mayor a cinco (5) años las garantías pueden cubrir los Riesgos de la Etapa del Contrato o del Periodo Contractual, de acuerdo con lo previsto en el contrato”. </w:t>
      </w:r>
    </w:p>
    <w:p w14:paraId="76EFC276" w14:textId="77777777" w:rsidR="00FC28F5" w:rsidRPr="005069C9" w:rsidRDefault="00FC28F5" w:rsidP="00FC28F5">
      <w:pPr>
        <w:spacing w:after="120" w:line="276" w:lineRule="auto"/>
        <w:ind w:firstLine="709"/>
        <w:jc w:val="both"/>
        <w:rPr>
          <w:rFonts w:ascii="Verdana" w:eastAsia="Times New Roman" w:hAnsi="Verdana" w:cs="Arial"/>
          <w:lang w:eastAsia="es-ES_tradnl"/>
        </w:rPr>
      </w:pPr>
      <w:r w:rsidRPr="005069C9">
        <w:rPr>
          <w:rFonts w:ascii="Verdana" w:eastAsia="Times New Roman" w:hAnsi="Verdana" w:cs="Arial"/>
          <w:lang w:eastAsia="es-ES_tradnl"/>
        </w:rPr>
        <w:t xml:space="preserve">Ahora bien, </w:t>
      </w:r>
      <w:r>
        <w:rPr>
          <w:rFonts w:ascii="Verdana" w:eastAsia="Times New Roman" w:hAnsi="Verdana" w:cs="Arial"/>
          <w:lang w:eastAsia="es-ES_tradnl"/>
        </w:rPr>
        <w:t xml:space="preserve">para aquellos contratos con un plazo mayor a cinco (5) años, </w:t>
      </w:r>
      <w:r w:rsidRPr="005069C9">
        <w:rPr>
          <w:rFonts w:ascii="Verdana" w:eastAsia="Times New Roman" w:hAnsi="Verdana" w:cs="Arial"/>
          <w:lang w:eastAsia="es-ES_tradnl"/>
        </w:rPr>
        <w:t>el artículo 2.2.1.2.3.1.3 del Decreto 1082 de 2015 establece que la Entidad Estatal en el pliego de condiciones debe indicar las garantías que exige en cada etapa del contrato o periodo contractual, de acuerdo con las siguientes reglas</w:t>
      </w:r>
      <w:r w:rsidRPr="005069C9">
        <w:rPr>
          <w:rFonts w:ascii="Verdana" w:eastAsia="Times New Roman" w:hAnsi="Verdana" w:cs="Arial"/>
          <w:vertAlign w:val="superscript"/>
          <w:lang w:eastAsia="es-ES_tradnl"/>
        </w:rPr>
        <w:footnoteReference w:id="29"/>
      </w:r>
      <w:r w:rsidRPr="005069C9">
        <w:rPr>
          <w:rFonts w:ascii="Verdana" w:eastAsia="Times New Roman" w:hAnsi="Verdana" w:cs="Arial"/>
          <w:lang w:eastAsia="es-ES_tradnl"/>
        </w:rPr>
        <w:t xml:space="preserve">: </w:t>
      </w:r>
    </w:p>
    <w:p w14:paraId="67041A92" w14:textId="77777777" w:rsidR="00FC28F5" w:rsidRPr="005069C9" w:rsidRDefault="00FC28F5" w:rsidP="00FC28F5">
      <w:pPr>
        <w:spacing w:after="120" w:line="276" w:lineRule="auto"/>
        <w:ind w:firstLine="709"/>
        <w:jc w:val="both"/>
        <w:rPr>
          <w:rFonts w:ascii="Verdana" w:eastAsia="Times New Roman" w:hAnsi="Verdana" w:cs="Arial"/>
          <w:lang w:eastAsia="es-ES_tradnl"/>
        </w:rPr>
      </w:pPr>
      <w:r w:rsidRPr="005069C9">
        <w:rPr>
          <w:rFonts w:ascii="Verdana" w:eastAsia="Times New Roman" w:hAnsi="Verdana" w:cs="Arial"/>
          <w:lang w:eastAsia="es-ES_tradnl"/>
        </w:rPr>
        <w:t xml:space="preserve">i) La Entidad Estatal solicitará una garantía independiente para cada etapa del contrato o cada periodo contractual o cada unidad funcional en el caso de las Asociaciones Público-Privadas, cuya vigencia debe ser por lo menos la misma establecida para la etapa del contrato o periodo contractual respectivo. </w:t>
      </w:r>
    </w:p>
    <w:p w14:paraId="237C3246" w14:textId="77777777" w:rsidR="00FC28F5" w:rsidRPr="005069C9" w:rsidRDefault="00FC28F5" w:rsidP="00FC28F5">
      <w:pPr>
        <w:spacing w:after="120" w:line="276" w:lineRule="auto"/>
        <w:ind w:firstLine="709"/>
        <w:jc w:val="both"/>
        <w:rPr>
          <w:rFonts w:ascii="Verdana" w:eastAsia="Times New Roman" w:hAnsi="Verdana" w:cs="Arial"/>
          <w:lang w:eastAsia="es-ES_tradnl"/>
        </w:rPr>
      </w:pPr>
      <w:r w:rsidRPr="005069C9">
        <w:rPr>
          <w:rFonts w:ascii="Verdana" w:eastAsia="Times New Roman" w:hAnsi="Verdana" w:cs="Arial"/>
          <w:lang w:eastAsia="es-ES_tradnl"/>
        </w:rPr>
        <w:t xml:space="preserve">ii)  La entidad calculará el valor asegurado para cada etapa del contrato, periodo contractual o unidad funcional, tomando el valor de las obligaciones del contratista para cada etapa del contrato, periodo contractual o unidad funcional y de acuerdo con las reglas de suficiencia que establece el Decreto 1082 de 2015 frente a los diferentes amparos de las garantías. </w:t>
      </w:r>
    </w:p>
    <w:p w14:paraId="6EA17C19" w14:textId="77777777" w:rsidR="00FC28F5" w:rsidRPr="00F166DB" w:rsidRDefault="00FC28F5" w:rsidP="00FC28F5">
      <w:pPr>
        <w:spacing w:after="120" w:line="276" w:lineRule="auto"/>
        <w:ind w:firstLine="709"/>
        <w:jc w:val="both"/>
        <w:rPr>
          <w:rFonts w:ascii="Verdana" w:eastAsia="Times New Roman" w:hAnsi="Verdana" w:cs="Arial"/>
          <w:lang w:eastAsia="es-ES_tradnl"/>
        </w:rPr>
      </w:pPr>
      <w:r w:rsidRPr="005069C9">
        <w:rPr>
          <w:rFonts w:ascii="Verdana" w:eastAsia="Times New Roman" w:hAnsi="Verdana" w:cs="Arial"/>
          <w:lang w:eastAsia="es-ES_tradnl"/>
        </w:rPr>
        <w:t xml:space="preserve">Conforme a lo anterior, si la Entidad Estatal celebra un contrato cuyo plazo de ejecución es mayor a cinco (5) años, puede pactar en el contrato que las garantías cubran los riegos de cada </w:t>
      </w:r>
      <w:r w:rsidRPr="005069C9">
        <w:rPr>
          <w:rFonts w:ascii="Verdana" w:eastAsia="Times New Roman" w:hAnsi="Verdana" w:cs="Arial"/>
          <w:i/>
          <w:iCs/>
          <w:lang w:eastAsia="es-ES_tradnl"/>
        </w:rPr>
        <w:t>etapa del contrato</w:t>
      </w:r>
      <w:r w:rsidRPr="005069C9">
        <w:rPr>
          <w:rFonts w:ascii="Verdana" w:eastAsia="Times New Roman" w:hAnsi="Verdana" w:cs="Arial"/>
          <w:lang w:eastAsia="es-ES_tradnl"/>
        </w:rPr>
        <w:t xml:space="preserve">, </w:t>
      </w:r>
      <w:r w:rsidRPr="005069C9">
        <w:rPr>
          <w:rFonts w:ascii="Verdana" w:eastAsia="Times New Roman" w:hAnsi="Verdana" w:cs="Arial"/>
          <w:i/>
          <w:iCs/>
          <w:lang w:eastAsia="es-ES_tradnl"/>
        </w:rPr>
        <w:t xml:space="preserve">periodo contractual o unidad </w:t>
      </w:r>
      <w:r w:rsidRPr="005069C9">
        <w:rPr>
          <w:rFonts w:ascii="Verdana" w:eastAsia="Times New Roman" w:hAnsi="Verdana" w:cs="Arial"/>
          <w:lang w:eastAsia="es-ES_tradnl"/>
        </w:rPr>
        <w:t xml:space="preserve">funcional, caso en el cual el pliego de condiciones regulará las garantías teniendo en cuenta lo siguiente: i) se identificará la garantía que ampara los </w:t>
      </w:r>
      <w:r w:rsidRPr="005069C9">
        <w:rPr>
          <w:rFonts w:ascii="Verdana" w:eastAsia="Times New Roman" w:hAnsi="Verdana" w:cs="Arial"/>
          <w:lang w:eastAsia="es-ES_tradnl"/>
        </w:rPr>
        <w:lastRenderedPageBreak/>
        <w:t xml:space="preserve">riesgos para cada etapa del contrato o periodo contractual, pero, además, la vigencia que rige para cada uno –que en todo caso no puede ser menor al plazo de ejecución definido para cada etapa del contrato o periodo contractual–, y ii) el monto </w:t>
      </w:r>
      <w:r w:rsidRPr="00F166DB">
        <w:rPr>
          <w:rFonts w:ascii="Verdana" w:eastAsia="Times New Roman" w:hAnsi="Verdana" w:cs="Arial"/>
          <w:lang w:eastAsia="es-ES_tradnl"/>
        </w:rPr>
        <w:t xml:space="preserve">de los amparos se calculará tomando el valor de las obligaciones del contratista para cada etapa del contrato o periodo contractual, y además, regirán las reglas de suficiencia definidas en los artículos 2.2.1.2.3.1.9. al 2.2.1.2.3.1.17. del Decreto 1082 de 2015. </w:t>
      </w:r>
    </w:p>
    <w:p w14:paraId="4422AEA9" w14:textId="77777777" w:rsidR="00FC28F5" w:rsidRPr="00F50B9E" w:rsidRDefault="00FC28F5" w:rsidP="00FC28F5">
      <w:pPr>
        <w:spacing w:after="120" w:line="276" w:lineRule="auto"/>
        <w:ind w:firstLine="705"/>
        <w:jc w:val="both"/>
        <w:rPr>
          <w:rFonts w:ascii="Verdana" w:eastAsia="Times New Roman" w:hAnsi="Verdana" w:cs="Arial"/>
          <w:lang w:eastAsia="es-ES_tradnl"/>
        </w:rPr>
      </w:pPr>
      <w:r w:rsidRPr="00F50B9E">
        <w:rPr>
          <w:rFonts w:ascii="Verdana" w:eastAsia="Times New Roman" w:hAnsi="Verdana" w:cs="Arial"/>
          <w:lang w:eastAsia="es-ES_tradnl"/>
        </w:rPr>
        <w:t xml:space="preserve">Al respecto, es importante destacar que el artículo 2.2.1.2.3.1.3 del Decreto 1082 de 2015 regula lo que ocurre cuando el garante de una etapa del contrato o periodo contractual decide no continuar garantizando la etapa del contrato o periodo contractual subsiguiente. En efecto, establece que el garante de la etapa del contrato o periodo contractual asume la obligación de informar su decisión por escrito a la Entidad Estatal garantizada seis (6) meses antes del vencimiento del plazo de la garantía. En todo caso, es importante aclarar que este aviso no afecta la garantía de la etapa del contrato o periodo contractual en ejecución. Ahora bien, si en estos casos el garante no da el aviso con la anticipación mencionada y el contratista no obtiene una nueva garantía, queda obligado a garantizar la etapa del contrato o periodo contractual subsiguiente. </w:t>
      </w:r>
    </w:p>
    <w:p w14:paraId="019372AC" w14:textId="77777777" w:rsidR="00FC28F5" w:rsidRPr="00F50B9E" w:rsidRDefault="00FC28F5" w:rsidP="00FC28F5">
      <w:pPr>
        <w:spacing w:after="120" w:line="276" w:lineRule="auto"/>
        <w:ind w:firstLine="705"/>
        <w:jc w:val="both"/>
        <w:rPr>
          <w:rFonts w:ascii="Verdana" w:eastAsia="Times New Roman" w:hAnsi="Verdana" w:cs="Arial"/>
          <w:shd w:val="clear" w:color="auto" w:fill="FFFFFF"/>
          <w:lang w:val="es-ES_tradnl" w:eastAsia="es-ES_tradnl"/>
        </w:rPr>
      </w:pPr>
      <w:r w:rsidRPr="00F50B9E">
        <w:rPr>
          <w:rFonts w:ascii="Verdana" w:eastAsia="Times New Roman" w:hAnsi="Verdana" w:cs="Arial"/>
          <w:lang w:eastAsia="es-ES_tradnl"/>
        </w:rPr>
        <w:t xml:space="preserve">Ahora, en relación con la obligación que tiene a cargo el garante, </w:t>
      </w:r>
      <w:bookmarkStart w:id="4" w:name="_Hlk94774859"/>
      <w:r>
        <w:rPr>
          <w:rFonts w:ascii="Verdana" w:eastAsia="Times New Roman" w:hAnsi="Verdana" w:cs="Arial"/>
          <w:lang w:eastAsia="es-ES_tradnl"/>
        </w:rPr>
        <w:t>e</w:t>
      </w:r>
      <w:r w:rsidRPr="00F50B9E">
        <w:rPr>
          <w:rFonts w:ascii="Verdana" w:eastAsia="Times New Roman" w:hAnsi="Verdana" w:cs="Arial"/>
          <w:shd w:val="clear" w:color="auto" w:fill="FFFFFF"/>
          <w:lang w:val="es-ES_tradnl" w:eastAsia="es-ES_tradnl"/>
        </w:rPr>
        <w:t xml:space="preserve">n los términos del artículo 2.2.1.2.3.1.3. del Decreto 1082 de 2015, si el garante decide no continuar garantizando la etapa del contrato o periodo contractual subsiguiente, asume la obligación de informar su decisión por escrito a la Entidad Estatal garantizada seis (6) meses antes del vencimiento del plazo de la garantía. Esto quiere decir que son dos (2) requisitos los que establece la norma: i) avisar con un tiempo de antelación de seis (6) meses antes de la fecha de vencimiento del plazo de la garantía e ii) informar por </w:t>
      </w:r>
      <w:r w:rsidRPr="00F50B9E">
        <w:rPr>
          <w:rFonts w:ascii="Verdana" w:eastAsia="Times New Roman" w:hAnsi="Verdana" w:cs="Arial"/>
          <w:i/>
          <w:iCs/>
          <w:shd w:val="clear" w:color="auto" w:fill="FFFFFF"/>
          <w:lang w:val="es-ES_tradnl" w:eastAsia="es-ES_tradnl"/>
        </w:rPr>
        <w:t>escrito</w:t>
      </w:r>
      <w:r w:rsidRPr="00F50B9E">
        <w:rPr>
          <w:rFonts w:ascii="Verdana" w:eastAsia="Times New Roman" w:hAnsi="Verdana" w:cs="Arial"/>
          <w:shd w:val="clear" w:color="auto" w:fill="FFFFFF"/>
          <w:lang w:val="es-ES_tradnl" w:eastAsia="es-ES_tradnl"/>
        </w:rPr>
        <w:t xml:space="preserve"> a la entidad; es decir, que no se tendrán en cuenta las manifestaciones verbales. Frente a la inquietud particular si el garante tiene el deber de justificar su decisión de no continuar garantizando la etapa del contrato o periodo contractual subsiguiente, esta Agencia resaltó en el concepto C-036 de 2022 que el artículo 2.2.1.2.3.1.3. del Decreto 1082 de 2015 no establece este requisito. En efecto, la exigencia de </w:t>
      </w:r>
      <w:r w:rsidRPr="00F50B9E">
        <w:rPr>
          <w:rFonts w:ascii="Verdana" w:eastAsia="Times New Roman" w:hAnsi="Verdana" w:cs="Arial"/>
          <w:i/>
          <w:iCs/>
          <w:shd w:val="clear" w:color="auto" w:fill="FFFFFF"/>
          <w:lang w:val="es-ES_tradnl" w:eastAsia="es-ES_tradnl"/>
        </w:rPr>
        <w:t>justificar</w:t>
      </w:r>
      <w:r w:rsidRPr="00F50B9E">
        <w:rPr>
          <w:rFonts w:ascii="Verdana" w:eastAsia="Times New Roman" w:hAnsi="Verdana" w:cs="Arial"/>
          <w:shd w:val="clear" w:color="auto" w:fill="FFFFFF"/>
          <w:lang w:val="es-ES_tradnl" w:eastAsia="es-ES_tradnl"/>
        </w:rPr>
        <w:t xml:space="preserve"> la decisión de no continuar garantizando el contrato no es un requisito que se derive del Decreto 1082 de 2015; por el contrario, la norma citada establece que cuando el garante decide no continuar garantizando la etapa o periodo contractual siguiente “debe informar su decisión por escrito”, esto es, que basta con comunicar dicha decisión, sin que se establezcan requisitos </w:t>
      </w:r>
      <w:r w:rsidRPr="00F50B9E">
        <w:rPr>
          <w:rFonts w:ascii="Verdana" w:eastAsia="Times New Roman" w:hAnsi="Verdana" w:cs="Arial"/>
          <w:shd w:val="clear" w:color="auto" w:fill="FFFFFF"/>
          <w:lang w:val="es-ES_tradnl" w:eastAsia="es-ES_tradnl"/>
        </w:rPr>
        <w:lastRenderedPageBreak/>
        <w:t xml:space="preserve">adicionales o que tal decisión se someta a una justificación o razón particular. En tal sentido, la exigencia de una justificación específica, al no originarse en el ordenamiento jurídico afectaría la libertad contractual del garante de decidir si desea celebrar un nuevo negocio jurídico para amparar los riesgos de la etapa del contrato subsiguiente. Lo anterior, sin perjuicio de la obligación que tiene el </w:t>
      </w:r>
      <w:r w:rsidRPr="00F50B9E">
        <w:rPr>
          <w:rFonts w:ascii="Verdana" w:eastAsia="Times New Roman" w:hAnsi="Verdana" w:cs="Arial"/>
          <w:i/>
          <w:iCs/>
          <w:shd w:val="clear" w:color="auto" w:fill="FFFFFF"/>
          <w:lang w:val="es-ES_tradnl" w:eastAsia="es-ES_tradnl"/>
        </w:rPr>
        <w:t>contratista</w:t>
      </w:r>
      <w:r w:rsidRPr="00F50B9E">
        <w:rPr>
          <w:rFonts w:ascii="Verdana" w:eastAsia="Times New Roman" w:hAnsi="Verdana" w:cs="Arial"/>
          <w:shd w:val="clear" w:color="auto" w:fill="FFFFFF"/>
          <w:lang w:val="es-ES_tradnl" w:eastAsia="es-ES_tradnl"/>
        </w:rPr>
        <w:t xml:space="preserve"> de contar con la nueva garantía que ampare la siguiente etapa o periodo contractual.</w:t>
      </w:r>
    </w:p>
    <w:p w14:paraId="10A2EBD5" w14:textId="77777777" w:rsidR="00FC28F5" w:rsidRPr="00F50B9E" w:rsidRDefault="00FC28F5" w:rsidP="00FC28F5">
      <w:pPr>
        <w:spacing w:after="120" w:line="276" w:lineRule="auto"/>
        <w:ind w:firstLine="705"/>
        <w:jc w:val="both"/>
        <w:rPr>
          <w:rFonts w:ascii="Verdana" w:eastAsia="Times New Roman" w:hAnsi="Verdana" w:cs="Arial"/>
          <w:shd w:val="clear" w:color="auto" w:fill="FFFFFF"/>
          <w:lang w:val="es-ES" w:eastAsia="es-ES"/>
        </w:rPr>
      </w:pPr>
      <w:r w:rsidRPr="00F50B9E">
        <w:rPr>
          <w:rFonts w:ascii="Verdana" w:eastAsia="Times New Roman" w:hAnsi="Verdana" w:cs="Arial"/>
          <w:shd w:val="clear" w:color="auto" w:fill="FFFFFF"/>
          <w:lang w:val="es-ES" w:eastAsia="es-ES"/>
        </w:rPr>
        <w:t xml:space="preserve">Como se explicó antes, es importante tener en cuenta que el supuesto de dividir la garantía en diferentes etapas contractuales involucra que se cuente con una garantía independiente para cada etapa del contrato o periodo contractual. Esto implica que para cada etapa o periodo se contará con una garantía independiente que ampara riegos distintos, y que, además, el valor asegurado también tendrá modificaciones. Es decir, que el garante tiene la autonomía de decidir si asume o no la celebración de un nuevo negocio jurídico, sin necesidad de justificar por qué decide no continuar garantizando la etapa o periodo contractual subsiguiente. </w:t>
      </w:r>
    </w:p>
    <w:p w14:paraId="553DF876" w14:textId="77777777" w:rsidR="00FC28F5" w:rsidRPr="00F50B9E" w:rsidRDefault="00FC28F5" w:rsidP="00FC28F5">
      <w:pPr>
        <w:spacing w:after="120" w:line="276" w:lineRule="auto"/>
        <w:ind w:firstLine="705"/>
        <w:jc w:val="both"/>
        <w:rPr>
          <w:rFonts w:ascii="Verdana" w:eastAsia="Times New Roman" w:hAnsi="Verdana" w:cs="Arial"/>
          <w:shd w:val="clear" w:color="auto" w:fill="FFFFFF"/>
          <w:lang w:val="es-ES_tradnl" w:eastAsia="es-ES_tradnl"/>
        </w:rPr>
      </w:pPr>
      <w:r w:rsidRPr="00F50B9E">
        <w:rPr>
          <w:rFonts w:ascii="Verdana" w:eastAsia="Times New Roman" w:hAnsi="Verdana" w:cs="Arial"/>
          <w:shd w:val="clear" w:color="auto" w:fill="FFFFFF"/>
          <w:lang w:val="es-ES_tradnl" w:eastAsia="es-ES_tradnl"/>
        </w:rPr>
        <w:t xml:space="preserve">Conforme a lo anterior, el garante tiene la autonomía para decidir si quiere celebrar un nuevo negocio jurídico para amparar los riesgos de una siguiente etapa del contrato o periodo contractual, siempre que: i) el aviso de no continuar garantizando la etapa o periodo contractual siguiente la realice </w:t>
      </w:r>
      <w:r w:rsidRPr="00F50B9E">
        <w:rPr>
          <w:rFonts w:ascii="Verdana" w:eastAsia="Times New Roman" w:hAnsi="Verdana" w:cs="Arial"/>
          <w:shd w:val="clear" w:color="auto" w:fill="FFFFFF"/>
          <w:lang w:eastAsia="es-ES_tradnl"/>
        </w:rPr>
        <w:t xml:space="preserve">seis (6) meses antes del vencimiento del plazo de la garantía y ii) debe informar su decisión </w:t>
      </w:r>
      <w:r w:rsidRPr="00F50B9E">
        <w:rPr>
          <w:rFonts w:ascii="Verdana" w:eastAsia="Times New Roman" w:hAnsi="Verdana" w:cs="Arial"/>
          <w:i/>
          <w:iCs/>
          <w:shd w:val="clear" w:color="auto" w:fill="FFFFFF"/>
          <w:lang w:eastAsia="es-ES_tradnl"/>
        </w:rPr>
        <w:t>por</w:t>
      </w:r>
      <w:r w:rsidRPr="00F50B9E">
        <w:rPr>
          <w:rFonts w:ascii="Verdana" w:eastAsia="Times New Roman" w:hAnsi="Verdana" w:cs="Arial"/>
          <w:shd w:val="clear" w:color="auto" w:fill="FFFFFF"/>
          <w:lang w:eastAsia="es-ES_tradnl"/>
        </w:rPr>
        <w:t xml:space="preserve"> </w:t>
      </w:r>
      <w:r w:rsidRPr="00F50B9E">
        <w:rPr>
          <w:rFonts w:ascii="Verdana" w:eastAsia="Times New Roman" w:hAnsi="Verdana" w:cs="Arial"/>
          <w:i/>
          <w:iCs/>
          <w:shd w:val="clear" w:color="auto" w:fill="FFFFFF"/>
          <w:lang w:eastAsia="es-ES_tradnl"/>
        </w:rPr>
        <w:t>escrito</w:t>
      </w:r>
      <w:r w:rsidRPr="00F50B9E">
        <w:rPr>
          <w:rFonts w:ascii="Verdana" w:eastAsia="Times New Roman" w:hAnsi="Verdana" w:cs="Arial"/>
          <w:shd w:val="clear" w:color="auto" w:fill="FFFFFF"/>
          <w:lang w:eastAsia="es-ES_tradnl"/>
        </w:rPr>
        <w:t xml:space="preserve"> a la Entidad Estatal garantizada</w:t>
      </w:r>
      <w:r w:rsidRPr="00F50B9E">
        <w:rPr>
          <w:rFonts w:ascii="Verdana" w:eastAsia="Times New Roman" w:hAnsi="Verdana" w:cs="Arial"/>
          <w:shd w:val="clear" w:color="auto" w:fill="FFFFFF"/>
          <w:lang w:val="es-ES_tradnl" w:eastAsia="es-ES_tradnl"/>
        </w:rPr>
        <w:t xml:space="preserve">. En consecuencia, el garante no tendría la obligación de justificar las razones por las cuales no quiere asumir los riesgos de la etapa o periodo contractual subsiguiente. </w:t>
      </w:r>
    </w:p>
    <w:bookmarkEnd w:id="4"/>
    <w:p w14:paraId="4571A10B" w14:textId="77777777" w:rsidR="00FC28F5" w:rsidRDefault="00FC28F5" w:rsidP="00FC28F5">
      <w:pPr>
        <w:spacing w:before="120" w:after="120" w:line="276" w:lineRule="auto"/>
        <w:ind w:firstLine="709"/>
        <w:jc w:val="both"/>
        <w:rPr>
          <w:rFonts w:ascii="Verdana" w:eastAsia="Times New Roman" w:hAnsi="Verdana" w:cs="Arial"/>
          <w:shd w:val="clear" w:color="auto" w:fill="FFFFFF"/>
          <w:lang w:val="es-ES_tradnl" w:eastAsia="es-ES_tradnl"/>
        </w:rPr>
      </w:pPr>
      <w:r>
        <w:rPr>
          <w:rFonts w:ascii="Verdana" w:eastAsia="Times New Roman" w:hAnsi="Verdana" w:cs="Arial"/>
          <w:shd w:val="clear" w:color="auto" w:fill="FFFFFF"/>
          <w:lang w:val="es-ES_tradnl" w:eastAsia="es-ES_tradnl"/>
        </w:rPr>
        <w:t>Es</w:t>
      </w:r>
      <w:r w:rsidRPr="00F50B9E">
        <w:rPr>
          <w:rFonts w:ascii="Verdana" w:eastAsia="Times New Roman" w:hAnsi="Verdana" w:cs="Arial"/>
          <w:shd w:val="clear" w:color="auto" w:fill="FFFFFF"/>
          <w:lang w:val="es-ES_tradnl" w:eastAsia="es-ES_tradnl"/>
        </w:rPr>
        <w:t xml:space="preserve"> importante resaltar que si el garante no da el aviso con la anticipación mencionada y el contratista no obtiene una nueva garantía queda obligado a garantizar la etapa del contrato o periodo contractual subsiguiente. Lo anterior, como una medida que establece el Decreto 1082 de 2015 –artículo 2.2.1.2.3.1.3.– para garantizar que la etapa contractual subsiguiente no quede desamparada. </w:t>
      </w:r>
    </w:p>
    <w:p w14:paraId="333C00CF" w14:textId="77777777" w:rsidR="00FC28F5" w:rsidRDefault="00FC28F5" w:rsidP="00FC28F5">
      <w:pPr>
        <w:spacing w:after="120" w:line="276" w:lineRule="auto"/>
        <w:ind w:firstLine="709"/>
        <w:contextualSpacing/>
        <w:jc w:val="both"/>
        <w:rPr>
          <w:rFonts w:ascii="Verdana" w:hAnsi="Verdana" w:cs="Arial"/>
          <w:color w:val="000000" w:themeColor="text1"/>
          <w:lang w:val="es-ES"/>
        </w:rPr>
      </w:pPr>
      <w:r w:rsidRPr="2B7F4B36">
        <w:rPr>
          <w:rFonts w:ascii="Verdana" w:eastAsia="Calibri" w:hAnsi="Verdana" w:cs="Times New Roman"/>
        </w:rPr>
        <w:t xml:space="preserve">En ese sentido, cuando el contrato contempla etapas, períodos o unidades funcionales claramente diferenciadas (por ejemplo: pre-construcción, construcción, operación y/o mantenimiento), si puede contemplarse una garantía de responsabilidad extracontractual por cada etapa, período o unidad funcional, pero no subdividirla dentro de cada una de éstas. Cada póliza debe </w:t>
      </w:r>
      <w:r w:rsidRPr="2B7F4B36">
        <w:rPr>
          <w:rFonts w:ascii="Verdana" w:eastAsia="Calibri" w:hAnsi="Verdana" w:cs="Times New Roman"/>
        </w:rPr>
        <w:lastRenderedPageBreak/>
        <w:t xml:space="preserve">cubrir la totalidad del riesgo en su respectiva etapa, sin fragmentación, ya que podría generar vacíos de cobertura que dejarían a la entidad y al contratista expuestos ante reclamaciones.  Por lo anterior, </w:t>
      </w:r>
      <w:r w:rsidRPr="2B7F4B36">
        <w:rPr>
          <w:rFonts w:ascii="Verdana" w:eastAsia="Calibri" w:hAnsi="Verdana" w:cs="Times New Roman"/>
          <w:lang w:val="es-ES"/>
        </w:rPr>
        <w:t>solo</w:t>
      </w:r>
      <w:r w:rsidRPr="2B7F4B36">
        <w:rPr>
          <w:rFonts w:ascii="Verdana" w:hAnsi="Verdana" w:cs="Arial"/>
          <w:color w:val="000000" w:themeColor="text1"/>
          <w:lang w:val="es-ES"/>
        </w:rPr>
        <w:t xml:space="preserve"> será válida aquella garantía que se encuentre debidamente aprobada por la entidad estatal.</w:t>
      </w:r>
    </w:p>
    <w:p w14:paraId="1FF7C890" w14:textId="77777777" w:rsidR="00FC28F5" w:rsidRPr="00911AA1" w:rsidRDefault="00FC28F5" w:rsidP="00FC28F5">
      <w:pPr>
        <w:spacing w:before="120" w:after="0" w:line="276" w:lineRule="auto"/>
        <w:ind w:firstLine="705"/>
        <w:jc w:val="both"/>
        <w:rPr>
          <w:rFonts w:ascii="Verdana" w:eastAsia="Times New Roman" w:hAnsi="Verdana" w:cs="Arial"/>
          <w:lang w:val="es-ES" w:eastAsia="es-ES_tradnl"/>
        </w:rPr>
      </w:pPr>
    </w:p>
    <w:p w14:paraId="7FD5FB19" w14:textId="77777777" w:rsidR="00FC28F5" w:rsidRDefault="00FC28F5" w:rsidP="00FC28F5">
      <w:pPr>
        <w:spacing w:line="276" w:lineRule="auto"/>
        <w:ind w:firstLine="360"/>
        <w:contextualSpacing/>
        <w:jc w:val="both"/>
        <w:rPr>
          <w:rFonts w:ascii="Verdana" w:eastAsia="Calibri" w:hAnsi="Verdana" w:cs="Times New Roman"/>
        </w:rPr>
      </w:pPr>
      <w:r w:rsidRPr="00D465AD">
        <w:rPr>
          <w:rFonts w:ascii="Verdana" w:eastAsia="Calibri" w:hAnsi="Verdana" w:cs="Times New Roman"/>
        </w:rPr>
        <w:t>En conclusión, se considera que el artículo 2.2.1.2.3.1.3 del Decreto 1082 de 2015, determina las condiciones de la constitución de garantías por etapa del contrato o periodo contractual o unidad funcional sin hacer mención a una subdivisión en cada una de éstas, para lo cual vale reiterar lo dispuesto en el artículo 2.2.1.2.3.1.3 del Decreto 1082 de 2015, el cual establece en principio que la “garantía de cobertura del riesgo es indivisible”</w:t>
      </w:r>
    </w:p>
    <w:p w14:paraId="4F0EF687" w14:textId="77777777" w:rsidR="00FC28F5" w:rsidRDefault="00FC28F5" w:rsidP="00FC28F5">
      <w:pPr>
        <w:spacing w:line="276" w:lineRule="auto"/>
        <w:ind w:firstLine="360"/>
        <w:contextualSpacing/>
        <w:jc w:val="both"/>
        <w:rPr>
          <w:rFonts w:ascii="Verdana" w:eastAsia="Calibri" w:hAnsi="Verdana" w:cs="Times New Roman"/>
        </w:rPr>
      </w:pPr>
    </w:p>
    <w:p w14:paraId="0C146A0B" w14:textId="77777777" w:rsidR="00FC28F5" w:rsidRDefault="00FC28F5" w:rsidP="00FC28F5">
      <w:pPr>
        <w:spacing w:line="276" w:lineRule="auto"/>
        <w:ind w:firstLine="360"/>
        <w:contextualSpacing/>
        <w:jc w:val="both"/>
        <w:rPr>
          <w:rFonts w:ascii="Verdana" w:eastAsia="Calibri" w:hAnsi="Verdana" w:cs="Times New Roman"/>
          <w:lang w:val="es-ES"/>
        </w:rPr>
      </w:pPr>
      <w:r>
        <w:rPr>
          <w:rFonts w:ascii="Verdana" w:eastAsia="Calibri" w:hAnsi="Verdana" w:cs="Times New Roman"/>
          <w:lang w:val="es-ES"/>
        </w:rPr>
        <w:t xml:space="preserve">     </w:t>
      </w:r>
      <w:r w:rsidRPr="00D65578">
        <w:rPr>
          <w:rFonts w:ascii="Verdana" w:eastAsia="Calibri" w:hAnsi="Verdana" w:cs="Times New Roman"/>
        </w:rPr>
        <w:t>Por último, debe advertirse que corresponde a cada entidad pública, en ejercicio de su competencia y previa valoración de los elementos fácticos y jurídicos así como de las disposiciones legales anteriormente mencionadas, determinar si es pertinente la aprobación de una garantía adicional a la aprobada cuando dio inicio al contrato para cada etapa del contrato, periodo contractual o unidad funcional, ya que, al tratarse de un análisis que se debe realizar en cada caso concreto, la Agencia, por vía consultiva, no puede definir un criterio universal y absoluto, sino que brinda elementos hermenéuticos de carácter general para que los partícipes del sistema de compras y contratación pública adopten la decisión que corresponda, lo cual es acorde con el principio de juridicidad. Por lo anterior, previo concepto de sus órganos asesores, la solución de casos particulares corresponde a la entidad que debe adoptar la decisión correspondiente y, en caso de conflicto, a las autoridades judiciales, fiscales y disciplinarias.</w:t>
      </w:r>
    </w:p>
    <w:p w14:paraId="0634E90A" w14:textId="77777777" w:rsidR="00FC28F5" w:rsidRPr="002675E7" w:rsidRDefault="00FC28F5" w:rsidP="00FC28F5">
      <w:pPr>
        <w:spacing w:after="0" w:line="276" w:lineRule="auto"/>
        <w:jc w:val="both"/>
        <w:rPr>
          <w:rFonts w:ascii="Verdana" w:eastAsia="Calibri" w:hAnsi="Verdana" w:cs="Arial"/>
          <w:bCs/>
          <w:color w:val="000000" w:themeColor="text1"/>
          <w:lang w:val="es-ES_tradnl"/>
        </w:rPr>
      </w:pPr>
    </w:p>
    <w:p w14:paraId="36DCCB39" w14:textId="77777777" w:rsidR="00FC28F5" w:rsidRPr="002675E7" w:rsidRDefault="00FC28F5" w:rsidP="00FC28F5">
      <w:pPr>
        <w:numPr>
          <w:ilvl w:val="0"/>
          <w:numId w:val="5"/>
        </w:numPr>
        <w:tabs>
          <w:tab w:val="left" w:pos="142"/>
          <w:tab w:val="left" w:pos="284"/>
        </w:tabs>
        <w:spacing w:after="0" w:line="276" w:lineRule="auto"/>
        <w:contextualSpacing/>
        <w:jc w:val="both"/>
        <w:rPr>
          <w:rFonts w:ascii="Verdana" w:eastAsia="Century Gothic" w:hAnsi="Verdana" w:cs="Century Gothic"/>
          <w:b/>
          <w:bCs/>
          <w:lang w:val="es-ES"/>
        </w:rPr>
      </w:pPr>
      <w:r w:rsidRPr="002675E7">
        <w:rPr>
          <w:rFonts w:ascii="Verdana" w:eastAsia="Century Gothic" w:hAnsi="Verdana" w:cs="Century Gothic"/>
          <w:b/>
          <w:bCs/>
          <w:lang w:val="es-ES"/>
        </w:rPr>
        <w:t>Referencias normativas:</w:t>
      </w:r>
    </w:p>
    <w:p w14:paraId="4F6D1216" w14:textId="77777777" w:rsidR="00FC28F5" w:rsidRPr="002675E7" w:rsidRDefault="00FC28F5" w:rsidP="00FC28F5">
      <w:pPr>
        <w:widowControl w:val="0"/>
        <w:autoSpaceDE w:val="0"/>
        <w:autoSpaceDN w:val="0"/>
        <w:spacing w:after="0" w:line="276" w:lineRule="auto"/>
        <w:jc w:val="both"/>
        <w:rPr>
          <w:rFonts w:ascii="Verdana" w:hAnsi="Verdana" w:cs="Arial"/>
        </w:rPr>
      </w:pPr>
      <w:r w:rsidRPr="002675E7">
        <w:rPr>
          <w:rFonts w:ascii="Verdana" w:hAnsi="Verdana" w:cs="Arial"/>
        </w:rPr>
        <w:t xml:space="preserve"> </w:t>
      </w:r>
    </w:p>
    <w:tbl>
      <w:tblPr>
        <w:tblStyle w:val="Tablaconcuadrcula1"/>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FC28F5" w:rsidRPr="002675E7" w14:paraId="31109558" w14:textId="77777777" w:rsidTr="00572D33">
        <w:trPr>
          <w:trHeight w:val="870"/>
          <w:jc w:val="center"/>
        </w:trPr>
        <w:tc>
          <w:tcPr>
            <w:tcW w:w="8647" w:type="dxa"/>
          </w:tcPr>
          <w:p w14:paraId="265BC1AB" w14:textId="77777777" w:rsidR="00FC28F5" w:rsidRPr="002675E7" w:rsidRDefault="00FC28F5" w:rsidP="00FC28F5">
            <w:pPr>
              <w:widowControl w:val="0"/>
              <w:numPr>
                <w:ilvl w:val="0"/>
                <w:numId w:val="3"/>
              </w:numPr>
              <w:autoSpaceDE w:val="0"/>
              <w:autoSpaceDN w:val="0"/>
              <w:spacing w:before="120" w:after="120" w:line="276" w:lineRule="auto"/>
              <w:ind w:left="714" w:hanging="357"/>
              <w:jc w:val="both"/>
              <w:rPr>
                <w:rFonts w:ascii="Verdana" w:hAnsi="Verdana" w:cs="Arial"/>
                <w:lang w:val="es-ES"/>
              </w:rPr>
            </w:pPr>
            <w:r w:rsidRPr="002675E7">
              <w:rPr>
                <w:rFonts w:ascii="Verdana" w:hAnsi="Verdana" w:cs="Arial"/>
                <w:lang w:val="es-ES"/>
              </w:rPr>
              <w:t>Constitución Política de 1991, artículos 150, 209, 267, 333 y 365.</w:t>
            </w:r>
          </w:p>
          <w:p w14:paraId="29217146" w14:textId="77777777" w:rsidR="00FC28F5" w:rsidRPr="002675E7" w:rsidRDefault="00FC28F5" w:rsidP="00FC28F5">
            <w:pPr>
              <w:widowControl w:val="0"/>
              <w:numPr>
                <w:ilvl w:val="0"/>
                <w:numId w:val="3"/>
              </w:numPr>
              <w:autoSpaceDE w:val="0"/>
              <w:autoSpaceDN w:val="0"/>
              <w:spacing w:before="120" w:after="120" w:line="276" w:lineRule="auto"/>
              <w:ind w:left="714" w:hanging="357"/>
              <w:jc w:val="both"/>
              <w:rPr>
                <w:rFonts w:ascii="Verdana" w:hAnsi="Verdana" w:cs="Arial"/>
                <w:lang w:val="es-ES"/>
              </w:rPr>
            </w:pPr>
            <w:r w:rsidRPr="002675E7">
              <w:rPr>
                <w:rFonts w:ascii="Verdana" w:hAnsi="Verdana" w:cs="Arial"/>
                <w:lang w:val="es-ES"/>
              </w:rPr>
              <w:t xml:space="preserve">Ley 80 de 1993, artículos </w:t>
            </w:r>
            <w:r>
              <w:rPr>
                <w:rFonts w:ascii="Verdana" w:hAnsi="Verdana" w:cs="Arial"/>
                <w:lang w:val="es-ES"/>
              </w:rPr>
              <w:t>25, 32, y 41</w:t>
            </w:r>
            <w:r w:rsidRPr="002675E7">
              <w:rPr>
                <w:rFonts w:ascii="Verdana" w:hAnsi="Verdana" w:cs="Arial"/>
                <w:lang w:val="es-ES"/>
              </w:rPr>
              <w:t>.</w:t>
            </w:r>
          </w:p>
          <w:p w14:paraId="03034E18" w14:textId="77777777" w:rsidR="00FC28F5" w:rsidRPr="002675E7" w:rsidRDefault="00FC28F5" w:rsidP="00FC28F5">
            <w:pPr>
              <w:widowControl w:val="0"/>
              <w:numPr>
                <w:ilvl w:val="0"/>
                <w:numId w:val="3"/>
              </w:numPr>
              <w:autoSpaceDE w:val="0"/>
              <w:autoSpaceDN w:val="0"/>
              <w:spacing w:before="120" w:after="120" w:line="276" w:lineRule="auto"/>
              <w:ind w:left="714" w:hanging="357"/>
              <w:jc w:val="both"/>
              <w:rPr>
                <w:rFonts w:ascii="Verdana" w:hAnsi="Verdana" w:cs="Arial"/>
                <w:lang w:val="es-ES"/>
              </w:rPr>
            </w:pPr>
            <w:r w:rsidRPr="002675E7">
              <w:rPr>
                <w:rFonts w:ascii="Verdana" w:hAnsi="Verdana" w:cs="Arial"/>
                <w:lang w:val="es-ES"/>
              </w:rPr>
              <w:t xml:space="preserve">Decreto 111 de 1996. </w:t>
            </w:r>
          </w:p>
          <w:p w14:paraId="30D7A305" w14:textId="77777777" w:rsidR="00FC28F5" w:rsidRPr="002675E7" w:rsidRDefault="00FC28F5" w:rsidP="00FC28F5">
            <w:pPr>
              <w:widowControl w:val="0"/>
              <w:numPr>
                <w:ilvl w:val="0"/>
                <w:numId w:val="3"/>
              </w:numPr>
              <w:autoSpaceDE w:val="0"/>
              <w:autoSpaceDN w:val="0"/>
              <w:spacing w:before="120" w:after="120" w:line="276" w:lineRule="auto"/>
              <w:ind w:left="714" w:hanging="357"/>
              <w:jc w:val="both"/>
              <w:rPr>
                <w:rFonts w:ascii="Verdana" w:hAnsi="Verdana" w:cs="Arial"/>
                <w:lang w:val="es-ES"/>
              </w:rPr>
            </w:pPr>
            <w:r w:rsidRPr="002675E7">
              <w:rPr>
                <w:rFonts w:ascii="Verdana" w:hAnsi="Verdana" w:cs="Arial"/>
                <w:lang w:val="es-ES"/>
              </w:rPr>
              <w:t>Ley 813 de 2003: artículos 10</w:t>
            </w:r>
            <w:r>
              <w:rPr>
                <w:rFonts w:ascii="Verdana" w:hAnsi="Verdana" w:cs="Arial"/>
                <w:lang w:val="es-ES"/>
              </w:rPr>
              <w:t xml:space="preserve"> y</w:t>
            </w:r>
            <w:r w:rsidRPr="002675E7">
              <w:rPr>
                <w:rFonts w:ascii="Verdana" w:hAnsi="Verdana" w:cs="Arial"/>
                <w:lang w:val="es-ES"/>
              </w:rPr>
              <w:t xml:space="preserve"> 11.</w:t>
            </w:r>
          </w:p>
          <w:p w14:paraId="5B95C86A" w14:textId="77777777" w:rsidR="00FC28F5" w:rsidRDefault="00FC28F5" w:rsidP="00FC28F5">
            <w:pPr>
              <w:widowControl w:val="0"/>
              <w:numPr>
                <w:ilvl w:val="0"/>
                <w:numId w:val="3"/>
              </w:numPr>
              <w:autoSpaceDE w:val="0"/>
              <w:autoSpaceDN w:val="0"/>
              <w:spacing w:before="120" w:after="120" w:line="276" w:lineRule="auto"/>
              <w:ind w:left="714" w:hanging="357"/>
              <w:jc w:val="both"/>
              <w:rPr>
                <w:rFonts w:ascii="Verdana" w:hAnsi="Verdana" w:cs="Arial"/>
                <w:lang w:val="es-ES"/>
              </w:rPr>
            </w:pPr>
            <w:r w:rsidRPr="002675E7">
              <w:rPr>
                <w:rFonts w:ascii="Verdana" w:hAnsi="Verdana" w:cs="Arial"/>
                <w:lang w:val="es-ES"/>
              </w:rPr>
              <w:t>Ley 1150 de 2007</w:t>
            </w:r>
            <w:r>
              <w:rPr>
                <w:rFonts w:ascii="Verdana" w:hAnsi="Verdana" w:cs="Arial"/>
                <w:lang w:val="es-ES"/>
              </w:rPr>
              <w:t>:</w:t>
            </w:r>
            <w:r w:rsidRPr="002675E7">
              <w:rPr>
                <w:rFonts w:ascii="Verdana" w:hAnsi="Verdana" w:cs="Arial"/>
                <w:lang w:val="es-ES"/>
              </w:rPr>
              <w:t xml:space="preserve"> artículos </w:t>
            </w:r>
            <w:r>
              <w:rPr>
                <w:rFonts w:ascii="Verdana" w:hAnsi="Verdana" w:cs="Arial"/>
                <w:lang w:val="es-ES"/>
              </w:rPr>
              <w:t xml:space="preserve">2, 7, </w:t>
            </w:r>
            <w:r w:rsidRPr="002675E7">
              <w:rPr>
                <w:rFonts w:ascii="Verdana" w:hAnsi="Verdana" w:cs="Arial"/>
                <w:lang w:val="es-ES"/>
              </w:rPr>
              <w:t>13</w:t>
            </w:r>
            <w:r>
              <w:rPr>
                <w:rFonts w:ascii="Verdana" w:hAnsi="Verdana" w:cs="Arial"/>
                <w:lang w:val="es-ES"/>
              </w:rPr>
              <w:t>,</w:t>
            </w:r>
            <w:r w:rsidRPr="002675E7">
              <w:rPr>
                <w:rFonts w:ascii="Verdana" w:hAnsi="Verdana" w:cs="Arial"/>
                <w:lang w:val="es-ES"/>
              </w:rPr>
              <w:t xml:space="preserve"> 14</w:t>
            </w:r>
            <w:r>
              <w:rPr>
                <w:rFonts w:ascii="Verdana" w:hAnsi="Verdana" w:cs="Arial"/>
                <w:lang w:val="es-ES"/>
              </w:rPr>
              <w:t xml:space="preserve"> y 29</w:t>
            </w:r>
            <w:r w:rsidRPr="002675E7">
              <w:rPr>
                <w:rFonts w:ascii="Verdana" w:hAnsi="Verdana" w:cs="Arial"/>
                <w:lang w:val="es-ES"/>
              </w:rPr>
              <w:t xml:space="preserve">. </w:t>
            </w:r>
          </w:p>
          <w:p w14:paraId="1C3673EF" w14:textId="77777777" w:rsidR="00FC28F5" w:rsidRPr="002675E7" w:rsidRDefault="00FC28F5" w:rsidP="00FC28F5">
            <w:pPr>
              <w:widowControl w:val="0"/>
              <w:numPr>
                <w:ilvl w:val="0"/>
                <w:numId w:val="3"/>
              </w:numPr>
              <w:tabs>
                <w:tab w:val="left" w:pos="1181"/>
                <w:tab w:val="left" w:pos="2253"/>
                <w:tab w:val="left" w:pos="2437"/>
                <w:tab w:val="left" w:pos="3171"/>
                <w:tab w:val="left" w:pos="3400"/>
                <w:tab w:val="left" w:pos="3880"/>
                <w:tab w:val="left" w:pos="4036"/>
                <w:tab w:val="left" w:pos="4444"/>
                <w:tab w:val="left" w:pos="5490"/>
                <w:tab w:val="left" w:pos="5741"/>
                <w:tab w:val="left" w:pos="6365"/>
                <w:tab w:val="left" w:pos="6493"/>
                <w:tab w:val="left" w:pos="6589"/>
                <w:tab w:val="left" w:pos="6803"/>
                <w:tab w:val="left" w:pos="7503"/>
                <w:tab w:val="left" w:pos="8035"/>
                <w:tab w:val="left" w:pos="8273"/>
                <w:tab w:val="left" w:pos="8616"/>
              </w:tabs>
              <w:autoSpaceDE w:val="0"/>
              <w:autoSpaceDN w:val="0"/>
              <w:spacing w:before="120" w:after="120" w:line="276" w:lineRule="auto"/>
              <w:jc w:val="both"/>
              <w:rPr>
                <w:rFonts w:ascii="Verdana" w:hAnsi="Verdana"/>
                <w:lang w:val="es-ES"/>
              </w:rPr>
            </w:pPr>
            <w:r w:rsidRPr="002675E7">
              <w:rPr>
                <w:rFonts w:ascii="Verdana" w:hAnsi="Verdana"/>
                <w:lang w:val="es-ES"/>
              </w:rPr>
              <w:lastRenderedPageBreak/>
              <w:t>Ley 1483 de 2011.</w:t>
            </w:r>
          </w:p>
          <w:p w14:paraId="700A611A" w14:textId="77777777" w:rsidR="00FC28F5" w:rsidRDefault="00FC28F5" w:rsidP="00FC28F5">
            <w:pPr>
              <w:widowControl w:val="0"/>
              <w:numPr>
                <w:ilvl w:val="0"/>
                <w:numId w:val="3"/>
              </w:numPr>
              <w:tabs>
                <w:tab w:val="left" w:pos="1181"/>
                <w:tab w:val="left" w:pos="2253"/>
                <w:tab w:val="left" w:pos="2437"/>
                <w:tab w:val="left" w:pos="3171"/>
                <w:tab w:val="left" w:pos="3400"/>
                <w:tab w:val="left" w:pos="3880"/>
                <w:tab w:val="left" w:pos="4036"/>
                <w:tab w:val="left" w:pos="4444"/>
                <w:tab w:val="left" w:pos="5490"/>
                <w:tab w:val="left" w:pos="5741"/>
                <w:tab w:val="left" w:pos="6365"/>
                <w:tab w:val="left" w:pos="6493"/>
                <w:tab w:val="left" w:pos="6589"/>
                <w:tab w:val="left" w:pos="6803"/>
                <w:tab w:val="left" w:pos="7503"/>
                <w:tab w:val="left" w:pos="8035"/>
                <w:tab w:val="left" w:pos="8273"/>
                <w:tab w:val="left" w:pos="8616"/>
              </w:tabs>
              <w:autoSpaceDE w:val="0"/>
              <w:autoSpaceDN w:val="0"/>
              <w:spacing w:before="120" w:after="120" w:line="276" w:lineRule="auto"/>
              <w:jc w:val="both"/>
              <w:rPr>
                <w:rFonts w:ascii="Verdana" w:hAnsi="Verdana"/>
                <w:lang w:val="es-ES"/>
              </w:rPr>
            </w:pPr>
            <w:r w:rsidRPr="002675E7">
              <w:rPr>
                <w:rFonts w:ascii="Verdana" w:hAnsi="Verdana"/>
                <w:lang w:val="es-ES"/>
              </w:rPr>
              <w:t>Ley 1508 de 2012.</w:t>
            </w:r>
          </w:p>
          <w:p w14:paraId="593C1502" w14:textId="77777777" w:rsidR="00FC28F5" w:rsidRPr="002675E7" w:rsidRDefault="00FC28F5" w:rsidP="00FC28F5">
            <w:pPr>
              <w:widowControl w:val="0"/>
              <w:numPr>
                <w:ilvl w:val="0"/>
                <w:numId w:val="3"/>
              </w:numPr>
              <w:autoSpaceDE w:val="0"/>
              <w:autoSpaceDN w:val="0"/>
              <w:spacing w:before="120" w:after="120" w:line="276" w:lineRule="auto"/>
              <w:ind w:left="714" w:hanging="357"/>
              <w:jc w:val="both"/>
              <w:rPr>
                <w:rFonts w:ascii="Verdana" w:hAnsi="Verdana" w:cs="Arial"/>
                <w:lang w:val="es-ES"/>
              </w:rPr>
            </w:pPr>
            <w:r>
              <w:rPr>
                <w:rFonts w:ascii="Verdana" w:hAnsi="Verdana" w:cs="Arial"/>
                <w:lang w:val="es-ES"/>
              </w:rPr>
              <w:t xml:space="preserve">Ley 1508 de 2012. </w:t>
            </w:r>
          </w:p>
          <w:p w14:paraId="70FEE396" w14:textId="77777777" w:rsidR="00FC28F5" w:rsidRPr="002675E7" w:rsidRDefault="00FC28F5" w:rsidP="00FC28F5">
            <w:pPr>
              <w:widowControl w:val="0"/>
              <w:numPr>
                <w:ilvl w:val="0"/>
                <w:numId w:val="3"/>
              </w:numPr>
              <w:tabs>
                <w:tab w:val="left" w:pos="1181"/>
                <w:tab w:val="left" w:pos="2253"/>
                <w:tab w:val="left" w:pos="2437"/>
                <w:tab w:val="left" w:pos="3171"/>
                <w:tab w:val="left" w:pos="3400"/>
                <w:tab w:val="left" w:pos="3880"/>
                <w:tab w:val="left" w:pos="4036"/>
                <w:tab w:val="left" w:pos="4444"/>
                <w:tab w:val="left" w:pos="5490"/>
                <w:tab w:val="left" w:pos="5741"/>
                <w:tab w:val="left" w:pos="6365"/>
                <w:tab w:val="left" w:pos="6493"/>
                <w:tab w:val="left" w:pos="6589"/>
                <w:tab w:val="left" w:pos="6803"/>
                <w:tab w:val="left" w:pos="7503"/>
                <w:tab w:val="left" w:pos="8035"/>
                <w:tab w:val="left" w:pos="8273"/>
                <w:tab w:val="left" w:pos="8616"/>
              </w:tabs>
              <w:autoSpaceDE w:val="0"/>
              <w:autoSpaceDN w:val="0"/>
              <w:spacing w:before="120" w:after="120" w:line="276" w:lineRule="auto"/>
              <w:jc w:val="both"/>
              <w:rPr>
                <w:rFonts w:ascii="Verdana" w:hAnsi="Verdana"/>
                <w:lang w:val="es-ES"/>
              </w:rPr>
            </w:pPr>
            <w:r>
              <w:rPr>
                <w:rFonts w:ascii="Verdana" w:hAnsi="Verdana"/>
                <w:lang w:val="es-ES"/>
              </w:rPr>
              <w:t>Ley 1819 de 2016: artículo 350</w:t>
            </w:r>
          </w:p>
          <w:p w14:paraId="7D6DE6FA" w14:textId="77777777" w:rsidR="00FC28F5" w:rsidRDefault="00FC28F5" w:rsidP="00FC28F5">
            <w:pPr>
              <w:widowControl w:val="0"/>
              <w:numPr>
                <w:ilvl w:val="0"/>
                <w:numId w:val="3"/>
              </w:numPr>
              <w:tabs>
                <w:tab w:val="left" w:pos="1181"/>
                <w:tab w:val="left" w:pos="2253"/>
                <w:tab w:val="left" w:pos="2437"/>
                <w:tab w:val="left" w:pos="3171"/>
                <w:tab w:val="left" w:pos="3400"/>
                <w:tab w:val="left" w:pos="3880"/>
                <w:tab w:val="left" w:pos="4036"/>
                <w:tab w:val="left" w:pos="4444"/>
                <w:tab w:val="left" w:pos="5490"/>
                <w:tab w:val="left" w:pos="5741"/>
                <w:tab w:val="left" w:pos="6365"/>
                <w:tab w:val="left" w:pos="6493"/>
                <w:tab w:val="left" w:pos="6589"/>
                <w:tab w:val="left" w:pos="6803"/>
                <w:tab w:val="left" w:pos="7503"/>
                <w:tab w:val="left" w:pos="8035"/>
                <w:tab w:val="left" w:pos="8273"/>
                <w:tab w:val="left" w:pos="8616"/>
              </w:tabs>
              <w:autoSpaceDE w:val="0"/>
              <w:autoSpaceDN w:val="0"/>
              <w:spacing w:before="120" w:after="120" w:line="276" w:lineRule="auto"/>
              <w:jc w:val="both"/>
              <w:rPr>
                <w:rFonts w:ascii="Verdana" w:hAnsi="Verdana"/>
                <w:lang w:val="es-ES"/>
              </w:rPr>
            </w:pPr>
            <w:r w:rsidRPr="002675E7">
              <w:rPr>
                <w:rFonts w:ascii="Verdana" w:hAnsi="Verdana"/>
                <w:lang w:val="es-ES"/>
              </w:rPr>
              <w:t xml:space="preserve">Decreto 1068 de 2015: artículo 2.8.3.4. </w:t>
            </w:r>
          </w:p>
          <w:p w14:paraId="7C42FDD3" w14:textId="77777777" w:rsidR="00FC28F5" w:rsidRPr="002675E7" w:rsidRDefault="00FC28F5" w:rsidP="00FC28F5">
            <w:pPr>
              <w:widowControl w:val="0"/>
              <w:numPr>
                <w:ilvl w:val="0"/>
                <w:numId w:val="3"/>
              </w:numPr>
              <w:tabs>
                <w:tab w:val="left" w:pos="1181"/>
                <w:tab w:val="left" w:pos="2253"/>
                <w:tab w:val="left" w:pos="2437"/>
                <w:tab w:val="left" w:pos="3171"/>
                <w:tab w:val="left" w:pos="3400"/>
                <w:tab w:val="left" w:pos="3880"/>
                <w:tab w:val="left" w:pos="4036"/>
                <w:tab w:val="left" w:pos="4444"/>
                <w:tab w:val="left" w:pos="5490"/>
                <w:tab w:val="left" w:pos="5741"/>
                <w:tab w:val="left" w:pos="6365"/>
                <w:tab w:val="left" w:pos="6493"/>
                <w:tab w:val="left" w:pos="6589"/>
                <w:tab w:val="left" w:pos="6803"/>
                <w:tab w:val="left" w:pos="7503"/>
                <w:tab w:val="left" w:pos="8035"/>
                <w:tab w:val="left" w:pos="8273"/>
                <w:tab w:val="left" w:pos="8616"/>
              </w:tabs>
              <w:autoSpaceDE w:val="0"/>
              <w:autoSpaceDN w:val="0"/>
              <w:spacing w:before="120" w:after="120" w:line="276" w:lineRule="auto"/>
              <w:jc w:val="both"/>
              <w:rPr>
                <w:rFonts w:ascii="Verdana" w:hAnsi="Verdana"/>
                <w:lang w:val="es-ES"/>
              </w:rPr>
            </w:pPr>
            <w:r>
              <w:rPr>
                <w:rFonts w:ascii="Verdana" w:hAnsi="Verdana"/>
                <w:lang w:val="es-ES"/>
              </w:rPr>
              <w:t xml:space="preserve">Decreto 1082 de 2015: artículos </w:t>
            </w:r>
            <w:r w:rsidRPr="00C31767">
              <w:rPr>
                <w:rFonts w:ascii="Verdana" w:hAnsi="Verdana" w:cs="Arial"/>
                <w:color w:val="000000" w:themeColor="text1"/>
                <w:lang w:val="es-MX"/>
              </w:rPr>
              <w:t>2.2.1.2.3.1.3</w:t>
            </w:r>
            <w:r>
              <w:rPr>
                <w:rFonts w:ascii="Verdana" w:hAnsi="Verdana" w:cs="Arial"/>
                <w:color w:val="000000" w:themeColor="text1"/>
                <w:lang w:val="es-MX"/>
              </w:rPr>
              <w:t xml:space="preserve">, </w:t>
            </w:r>
            <w:r w:rsidRPr="00C31767">
              <w:rPr>
                <w:rFonts w:ascii="Verdana" w:hAnsi="Verdana" w:cs="Arial"/>
                <w:color w:val="000000" w:themeColor="text1"/>
                <w:lang w:val="es-MX"/>
              </w:rPr>
              <w:t>2.2.1.2.3.1.1</w:t>
            </w:r>
            <w:r>
              <w:rPr>
                <w:rFonts w:ascii="Verdana" w:hAnsi="Verdana" w:cs="Arial"/>
                <w:color w:val="000000" w:themeColor="text1"/>
                <w:lang w:val="es-MX"/>
              </w:rPr>
              <w:t xml:space="preserve">, y </w:t>
            </w:r>
            <w:r w:rsidRPr="00C31767">
              <w:rPr>
                <w:rFonts w:ascii="Verdana" w:hAnsi="Verdana" w:cs="Arial"/>
                <w:color w:val="000000" w:themeColor="text1"/>
                <w:lang w:val="es-MX"/>
              </w:rPr>
              <w:t>2.2.1.2.3.1.19</w:t>
            </w:r>
          </w:p>
        </w:tc>
      </w:tr>
    </w:tbl>
    <w:p w14:paraId="643E1706" w14:textId="77777777" w:rsidR="00FC28F5" w:rsidRDefault="00FC28F5" w:rsidP="00FC28F5">
      <w:pPr>
        <w:spacing w:after="0" w:line="276" w:lineRule="auto"/>
        <w:ind w:right="709"/>
        <w:jc w:val="both"/>
        <w:rPr>
          <w:rFonts w:ascii="Verdana" w:hAnsi="Verdana" w:cs="Arial"/>
          <w:color w:val="000000" w:themeColor="text1"/>
        </w:rPr>
      </w:pPr>
    </w:p>
    <w:p w14:paraId="3D063B03" w14:textId="77777777" w:rsidR="00FC28F5" w:rsidRPr="002675E7" w:rsidRDefault="00FC28F5" w:rsidP="00FC28F5">
      <w:pPr>
        <w:numPr>
          <w:ilvl w:val="0"/>
          <w:numId w:val="5"/>
        </w:numPr>
        <w:spacing w:after="0" w:line="256" w:lineRule="auto"/>
        <w:rPr>
          <w:rFonts w:ascii="Verdana" w:eastAsia="Calibri" w:hAnsi="Verdana" w:cs="Times New Roman"/>
          <w:b/>
          <w:bCs/>
          <w:lang w:val="es-ES"/>
        </w:rPr>
      </w:pPr>
      <w:r w:rsidRPr="002675E7">
        <w:rPr>
          <w:rFonts w:ascii="Verdana" w:eastAsia="Calibri" w:hAnsi="Verdana" w:cs="Times New Roman"/>
          <w:b/>
          <w:bCs/>
          <w:lang w:val="es-ES"/>
        </w:rPr>
        <w:t>Doctrina de la Agencia Nacional de Contratación Pública:</w:t>
      </w:r>
    </w:p>
    <w:p w14:paraId="3312C944" w14:textId="77777777" w:rsidR="00FC28F5" w:rsidRPr="002675E7" w:rsidRDefault="00FC28F5" w:rsidP="00FC28F5">
      <w:pPr>
        <w:widowControl w:val="0"/>
        <w:autoSpaceDE w:val="0"/>
        <w:autoSpaceDN w:val="0"/>
        <w:spacing w:after="0" w:line="276" w:lineRule="auto"/>
        <w:jc w:val="both"/>
        <w:rPr>
          <w:rFonts w:ascii="Verdana" w:hAnsi="Verdana" w:cs="Arial"/>
          <w:bCs/>
          <w:shd w:val="clear" w:color="auto" w:fill="FFFFFF"/>
        </w:rPr>
      </w:pPr>
    </w:p>
    <w:p w14:paraId="72C0141C" w14:textId="77777777" w:rsidR="00FC28F5" w:rsidRPr="007A1EED" w:rsidRDefault="00FC28F5" w:rsidP="00FC28F5">
      <w:pPr>
        <w:widowControl w:val="0"/>
        <w:autoSpaceDE w:val="0"/>
        <w:autoSpaceDN w:val="0"/>
        <w:spacing w:after="0" w:line="276" w:lineRule="auto"/>
        <w:jc w:val="both"/>
        <w:rPr>
          <w:rFonts w:ascii="Verdana" w:hAnsi="Verdana" w:cs="Arial"/>
          <w:bCs/>
          <w:shd w:val="clear" w:color="auto" w:fill="FFFFFF"/>
        </w:rPr>
      </w:pPr>
      <w:r w:rsidRPr="002675E7">
        <w:rPr>
          <w:rFonts w:ascii="Verdana" w:hAnsi="Verdana" w:cs="Arial"/>
          <w:bCs/>
          <w:shd w:val="clear" w:color="auto" w:fill="FFFFFF"/>
        </w:rPr>
        <w:t>La Agencia Nacional de Contratación Pública – Colombia Compra Eficiente, ha expedido los siguientes conceptos sobre l</w:t>
      </w:r>
      <w:r>
        <w:rPr>
          <w:rFonts w:ascii="Verdana" w:hAnsi="Verdana" w:cs="Arial"/>
          <w:bCs/>
          <w:shd w:val="clear" w:color="auto" w:fill="FFFFFF"/>
        </w:rPr>
        <w:t>os contratos de concesión de alumbrado público y asociaciones público-privadas</w:t>
      </w:r>
      <w:r w:rsidRPr="002675E7">
        <w:rPr>
          <w:rFonts w:ascii="Verdana" w:hAnsi="Verdana" w:cs="Arial"/>
          <w:bCs/>
          <w:shd w:val="clear" w:color="auto" w:fill="FFFFFF"/>
        </w:rPr>
        <w:t>:</w:t>
      </w:r>
      <w:r>
        <w:rPr>
          <w:rFonts w:ascii="Verdana" w:hAnsi="Verdana" w:cs="Arial"/>
          <w:bCs/>
          <w:shd w:val="clear" w:color="auto" w:fill="FFFFFF"/>
        </w:rPr>
        <w:t xml:space="preserve"> C-1324 del 27 de octubre de 2025, C-1854 del 23 de enero de 2026 y </w:t>
      </w:r>
      <w:r w:rsidRPr="002675E7">
        <w:rPr>
          <w:rFonts w:ascii="Verdana" w:hAnsi="Verdana" w:cs="Arial"/>
          <w:bCs/>
          <w:shd w:val="clear" w:color="auto" w:fill="FFFFFF"/>
        </w:rPr>
        <w:t>C-</w:t>
      </w:r>
      <w:r>
        <w:rPr>
          <w:rFonts w:ascii="Verdana" w:hAnsi="Verdana" w:cs="Arial"/>
          <w:bCs/>
          <w:shd w:val="clear" w:color="auto" w:fill="FFFFFF"/>
        </w:rPr>
        <w:t xml:space="preserve">310 del 9 de abril de 2026; sobre el principio de anualidad, se ha pronunciado en los siguientes conceptos: C-1537 del 25 de noviembre de 2025, C-193 del 19 de marzo de 2026, y C-252 del 31 de marzo de 2026. Finalmente, sobre la indivisibilidad de la garantía y sus excepciones, esta Agencia se pronunció mediante los siguientes conceptos: C-289 del 16 de agosto de 2024, C-1104 del 16 de septiembre de 2025, y C-117 del 9 de marzo de 2026. </w:t>
      </w:r>
      <w:r w:rsidRPr="002675E7">
        <w:rPr>
          <w:rFonts w:ascii="Verdana" w:eastAsia="Calibri" w:hAnsi="Verdana" w:cs="Times New Roman"/>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4DD07147" w14:textId="77777777" w:rsidR="00FC28F5" w:rsidRPr="002675E7" w:rsidRDefault="00FC28F5" w:rsidP="00FC28F5">
      <w:pPr>
        <w:spacing w:after="0" w:line="256" w:lineRule="auto"/>
        <w:jc w:val="both"/>
        <w:rPr>
          <w:rFonts w:ascii="Verdana" w:eastAsia="Calibri" w:hAnsi="Verdana" w:cs="Times New Roman"/>
        </w:rPr>
      </w:pPr>
      <w:hyperlink r:id="rId12" w:history="1">
        <w:r w:rsidRPr="002675E7">
          <w:rPr>
            <w:rFonts w:ascii="Verdana" w:eastAsia="Calibri" w:hAnsi="Verdana" w:cs="Times New Roman"/>
            <w:color w:val="0000FF"/>
            <w:u w:val="single"/>
            <w:lang w:val="es-ES"/>
          </w:rPr>
          <w:t>https://relatoria.colombiacompra.gov.co/busqueda/conceptos</w:t>
        </w:r>
      </w:hyperlink>
      <w:r w:rsidRPr="002675E7">
        <w:rPr>
          <w:rFonts w:ascii="Verdana" w:eastAsia="Calibri" w:hAnsi="Verdana" w:cs="Times New Roman"/>
        </w:rPr>
        <w:t xml:space="preserve">. </w:t>
      </w:r>
    </w:p>
    <w:p w14:paraId="50969B6A" w14:textId="77777777" w:rsidR="00FC28F5" w:rsidRPr="002675E7" w:rsidRDefault="00FC28F5" w:rsidP="00FC28F5">
      <w:pPr>
        <w:spacing w:after="0" w:line="256" w:lineRule="auto"/>
        <w:jc w:val="both"/>
        <w:rPr>
          <w:rFonts w:ascii="Verdana" w:eastAsia="Calibri" w:hAnsi="Verdana" w:cs="Times New Roman"/>
        </w:rPr>
      </w:pPr>
    </w:p>
    <w:p w14:paraId="3CD51D8E" w14:textId="77777777" w:rsidR="00FC28F5" w:rsidRDefault="00FC28F5" w:rsidP="00FC28F5">
      <w:pPr>
        <w:spacing w:after="0"/>
        <w:jc w:val="both"/>
        <w:rPr>
          <w:rFonts w:ascii="Verdana" w:eastAsia="Calibri" w:hAnsi="Verdana" w:cs="Times New Roman"/>
        </w:rPr>
      </w:pPr>
      <w:r w:rsidRPr="003415D3">
        <w:rPr>
          <w:rFonts w:ascii="Verdana" w:eastAsia="Calibri" w:hAnsi="Verdana" w:cs="Times New Roman"/>
        </w:rPr>
        <w:t xml:space="preserve">La sostenibilidad no es una opción, es una obligación. Por ello, la Agencia Nacional de Contratación Pública –Colombia Compra Eficiente– te invita a realizar el Curso de Contratación Pública Sostenible y Socialmente Responsable,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 </w:t>
      </w:r>
      <w:hyperlink r:id="rId13" w:history="1">
        <w:r w:rsidRPr="003415D3">
          <w:rPr>
            <w:rStyle w:val="Hipervnculo"/>
            <w:rFonts w:ascii="Verdana" w:eastAsia="Calibri" w:hAnsi="Verdana" w:cs="Times New Roman"/>
          </w:rPr>
          <w:t>https://formacionvirtual.colombiacompra.gov.co/mod/page/view.php?id=3718</w:t>
        </w:r>
      </w:hyperlink>
    </w:p>
    <w:p w14:paraId="56DBA794" w14:textId="77777777" w:rsidR="00FC28F5" w:rsidRPr="003415D3" w:rsidRDefault="00FC28F5" w:rsidP="00FC28F5">
      <w:pPr>
        <w:spacing w:after="0"/>
        <w:jc w:val="both"/>
        <w:rPr>
          <w:rFonts w:ascii="Verdana" w:eastAsia="Calibri" w:hAnsi="Verdana" w:cs="Times New Roman"/>
        </w:rPr>
      </w:pPr>
    </w:p>
    <w:p w14:paraId="43B8AE2F" w14:textId="77777777" w:rsidR="00FC28F5" w:rsidRDefault="00FC28F5" w:rsidP="00FC28F5">
      <w:pPr>
        <w:spacing w:after="0"/>
        <w:jc w:val="both"/>
        <w:rPr>
          <w:rFonts w:ascii="Verdana" w:eastAsia="Calibri" w:hAnsi="Verdana" w:cs="Times New Roman"/>
        </w:rPr>
      </w:pPr>
      <w:r w:rsidRPr="003415D3">
        <w:rPr>
          <w:rFonts w:ascii="Verdana" w:eastAsia="Calibri" w:hAnsi="Verdana" w:cs="Times New Roman"/>
        </w:rPr>
        <w:lastRenderedPageBreak/>
        <w:t xml:space="preserve">De otro lado, te contamos que esta Agencia ha da un paso decisivo en la estandarización y modernización del sector social con la expedición de las Resoluciones 539, 540, 541, 952 y 953 de 2025, mediante las cuales adoptó Documentos Tipo para las modalidades de selección de licitación pública (versión 2), selección abreviada de menor cuantía, mínima cuantía, consultoría e interventoría, promoviendo procesos más transparentes, eficientes competitivos y sostenibles en sectores estratégicos como educación, salud, cultura, recreación, deporte, institucional y vivienda. Consulta y descarga los documentos aquí: </w:t>
      </w:r>
      <w:hyperlink r:id="rId14" w:history="1">
        <w:r w:rsidRPr="003415D3">
          <w:rPr>
            <w:rStyle w:val="Hipervnculo"/>
            <w:rFonts w:ascii="Verdana" w:eastAsia="Calibri" w:hAnsi="Verdana" w:cs="Times New Roman"/>
          </w:rPr>
          <w:t>https://www.colombiacompra.gov.co/normativa-y-relatoria/documentos-tipo</w:t>
        </w:r>
      </w:hyperlink>
    </w:p>
    <w:p w14:paraId="1EFF1D9D" w14:textId="77777777" w:rsidR="00FC28F5" w:rsidRPr="003415D3" w:rsidRDefault="00FC28F5" w:rsidP="00FC28F5">
      <w:pPr>
        <w:spacing w:after="0"/>
        <w:jc w:val="both"/>
        <w:rPr>
          <w:rFonts w:ascii="Verdana" w:eastAsia="Calibri" w:hAnsi="Verdana" w:cs="Times New Roman"/>
        </w:rPr>
      </w:pPr>
    </w:p>
    <w:p w14:paraId="3C1FD006" w14:textId="77777777" w:rsidR="00FC28F5" w:rsidRDefault="00FC28F5" w:rsidP="00FC28F5">
      <w:pPr>
        <w:spacing w:after="0"/>
        <w:jc w:val="both"/>
        <w:rPr>
          <w:rFonts w:ascii="Verdana" w:eastAsia="Calibri" w:hAnsi="Verdana" w:cs="Times New Roman"/>
        </w:rPr>
      </w:pPr>
      <w:r w:rsidRPr="003415D3">
        <w:rPr>
          <w:rFonts w:ascii="Verdana" w:eastAsia="Calibri" w:hAnsi="Verdana" w:cs="Times New Roman"/>
        </w:rPr>
        <w:t xml:space="preserve">Si quieres conocer más sobre la aplicación de Documentos Tipo puedes consultar la última versión de la Guía para la comprensión e implementación de los Documentos Tipo de obra pública de infraestructura de transporte.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 </w:t>
      </w:r>
      <w:hyperlink r:id="rId15" w:history="1">
        <w:r w:rsidRPr="003415D3">
          <w:rPr>
            <w:rStyle w:val="Hipervnculo"/>
            <w:rFonts w:ascii="Verdana" w:eastAsia="Calibri" w:hAnsi="Verdana" w:cs="Times New Roman"/>
          </w:rPr>
          <w:t>https://www.colombiacompra.gov.co/archivos/manual/guia-para-la-comprension-e-implementacion-de-los-documentos-tipo-de-obra-publica-de-infraestructura-de-transporte-bajo-las-diferentes-modalidades-de-contratacion-vigentes</w:t>
        </w:r>
      </w:hyperlink>
    </w:p>
    <w:p w14:paraId="2B7C54AA" w14:textId="77777777" w:rsidR="00FC28F5" w:rsidRPr="003415D3" w:rsidRDefault="00FC28F5" w:rsidP="00FC28F5">
      <w:pPr>
        <w:spacing w:after="0"/>
        <w:jc w:val="both"/>
        <w:rPr>
          <w:rFonts w:ascii="Verdana" w:eastAsia="Calibri" w:hAnsi="Verdana" w:cs="Times New Roman"/>
        </w:rPr>
      </w:pPr>
    </w:p>
    <w:p w14:paraId="5BC8D978" w14:textId="77777777" w:rsidR="00FC28F5" w:rsidRPr="002675E7" w:rsidRDefault="00FC28F5" w:rsidP="00FC28F5">
      <w:pPr>
        <w:spacing w:after="0"/>
        <w:jc w:val="both"/>
        <w:rPr>
          <w:rFonts w:ascii="Verdana" w:hAnsi="Verdana"/>
        </w:rPr>
      </w:pPr>
      <w:r w:rsidRPr="002675E7">
        <w:rPr>
          <w:rFonts w:ascii="Verdana" w:hAnsi="Verdana"/>
        </w:rPr>
        <w:t xml:space="preserve">Por último, 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434BB705" w14:textId="77777777" w:rsidR="00FC28F5" w:rsidRPr="002675E7" w:rsidRDefault="00FC28F5" w:rsidP="00FC28F5">
      <w:pPr>
        <w:spacing w:after="0" w:line="240" w:lineRule="auto"/>
        <w:jc w:val="both"/>
        <w:rPr>
          <w:rFonts w:ascii="Verdana" w:hAnsi="Verdana"/>
        </w:rPr>
      </w:pPr>
    </w:p>
    <w:p w14:paraId="4AB92045" w14:textId="77777777" w:rsidR="00FC28F5" w:rsidRPr="002675E7" w:rsidRDefault="00FC28F5" w:rsidP="00FC28F5">
      <w:pPr>
        <w:numPr>
          <w:ilvl w:val="0"/>
          <w:numId w:val="1"/>
        </w:numPr>
        <w:spacing w:after="0" w:line="240" w:lineRule="auto"/>
        <w:contextualSpacing/>
        <w:jc w:val="both"/>
        <w:rPr>
          <w:rFonts w:ascii="Verdana" w:hAnsi="Verdana"/>
          <w:lang w:val="es-ES"/>
        </w:rPr>
      </w:pPr>
      <w:r w:rsidRPr="002675E7">
        <w:rPr>
          <w:rFonts w:ascii="Verdana" w:hAnsi="Verdana"/>
          <w:lang w:val="es-ES"/>
        </w:rPr>
        <w:t>Línea nacional gratuita o servicio a la ciudadanía: 01800 0520808</w:t>
      </w:r>
    </w:p>
    <w:p w14:paraId="3B17CEA9" w14:textId="77777777" w:rsidR="00FC28F5" w:rsidRPr="002675E7" w:rsidRDefault="00FC28F5" w:rsidP="00FC28F5">
      <w:pPr>
        <w:numPr>
          <w:ilvl w:val="0"/>
          <w:numId w:val="1"/>
        </w:numPr>
        <w:spacing w:after="0" w:line="240" w:lineRule="auto"/>
        <w:contextualSpacing/>
        <w:jc w:val="both"/>
        <w:rPr>
          <w:rFonts w:ascii="Verdana" w:hAnsi="Verdana"/>
          <w:lang w:val="es-ES"/>
        </w:rPr>
      </w:pPr>
      <w:r w:rsidRPr="002675E7">
        <w:rPr>
          <w:rFonts w:ascii="Verdana" w:hAnsi="Verdana"/>
          <w:lang w:val="es-ES"/>
        </w:rPr>
        <w:t>Línea en Bogotá (Mesa de servicio): +57 601 7456788</w:t>
      </w:r>
    </w:p>
    <w:p w14:paraId="1B5FE9D6" w14:textId="77777777" w:rsidR="00FC28F5" w:rsidRPr="002675E7" w:rsidRDefault="00FC28F5" w:rsidP="00FC28F5">
      <w:pPr>
        <w:numPr>
          <w:ilvl w:val="0"/>
          <w:numId w:val="1"/>
        </w:numPr>
        <w:spacing w:after="0" w:line="240" w:lineRule="auto"/>
        <w:contextualSpacing/>
        <w:jc w:val="both"/>
        <w:rPr>
          <w:rFonts w:ascii="Verdana" w:hAnsi="Verdana"/>
          <w:lang w:val="es-ES"/>
        </w:rPr>
      </w:pPr>
      <w:r w:rsidRPr="002675E7">
        <w:rPr>
          <w:rFonts w:ascii="Verdana" w:hAnsi="Verdana"/>
          <w:lang w:val="es-ES"/>
        </w:rPr>
        <w:t>Línea de servicio y atención al ciudadano: +57 601 7956600</w:t>
      </w:r>
    </w:p>
    <w:p w14:paraId="499A724F" w14:textId="77777777" w:rsidR="00FC28F5" w:rsidRPr="002675E7" w:rsidRDefault="00FC28F5" w:rsidP="00FC28F5">
      <w:pPr>
        <w:numPr>
          <w:ilvl w:val="0"/>
          <w:numId w:val="1"/>
        </w:numPr>
        <w:spacing w:after="0" w:line="240" w:lineRule="auto"/>
        <w:contextualSpacing/>
        <w:jc w:val="both"/>
        <w:rPr>
          <w:rFonts w:ascii="Verdana" w:hAnsi="Verdana"/>
          <w:lang w:val="es-ES"/>
        </w:rPr>
      </w:pPr>
      <w:r w:rsidRPr="002675E7">
        <w:rPr>
          <w:rFonts w:ascii="Verdana" w:hAnsi="Verdana"/>
          <w:lang w:val="es-ES"/>
        </w:rPr>
        <w:t xml:space="preserve">Página web: </w:t>
      </w:r>
      <w:hyperlink r:id="rId16" w:history="1">
        <w:r w:rsidRPr="002675E7">
          <w:rPr>
            <w:rFonts w:ascii="Verdana" w:hAnsi="Verdana"/>
            <w:color w:val="0000FF"/>
            <w:u w:val="single"/>
            <w:lang w:val="es-ES"/>
          </w:rPr>
          <w:t>www.colombiacompra.gov.co</w:t>
        </w:r>
      </w:hyperlink>
    </w:p>
    <w:p w14:paraId="45202A0C" w14:textId="77777777" w:rsidR="00FC28F5" w:rsidRPr="002675E7" w:rsidRDefault="00FC28F5" w:rsidP="00FC28F5">
      <w:pPr>
        <w:spacing w:after="0" w:line="240" w:lineRule="auto"/>
        <w:ind w:left="785"/>
        <w:contextualSpacing/>
        <w:jc w:val="both"/>
        <w:rPr>
          <w:rFonts w:ascii="Verdana" w:hAnsi="Verdana"/>
          <w:lang w:val="es-ES"/>
        </w:rPr>
      </w:pPr>
    </w:p>
    <w:p w14:paraId="7DF9F708" w14:textId="77777777" w:rsidR="00FC28F5" w:rsidRPr="002675E7" w:rsidRDefault="00FC28F5" w:rsidP="00FC28F5">
      <w:pPr>
        <w:spacing w:after="0" w:line="240" w:lineRule="auto"/>
        <w:jc w:val="both"/>
        <w:rPr>
          <w:rFonts w:ascii="Verdana" w:hAnsi="Verdana"/>
        </w:rPr>
      </w:pPr>
      <w:r w:rsidRPr="002675E7">
        <w:rPr>
          <w:rFonts w:ascii="Verdana" w:hAnsi="Verdana"/>
        </w:rPr>
        <w:t xml:space="preserve">Por último, lo invitamos a seguirnos en las redes sociales en las cuales se difunde información institucional: </w:t>
      </w:r>
    </w:p>
    <w:p w14:paraId="7986E497" w14:textId="77777777" w:rsidR="00FC28F5" w:rsidRPr="002675E7" w:rsidRDefault="00FC28F5" w:rsidP="00FC28F5">
      <w:pPr>
        <w:spacing w:after="0" w:line="240" w:lineRule="auto"/>
        <w:jc w:val="both"/>
        <w:rPr>
          <w:rFonts w:ascii="Verdana" w:hAnsi="Verdana"/>
        </w:rPr>
      </w:pPr>
    </w:p>
    <w:p w14:paraId="46FC6A45" w14:textId="77777777" w:rsidR="00FC28F5" w:rsidRPr="002675E7" w:rsidRDefault="00FC28F5" w:rsidP="00FC28F5">
      <w:pPr>
        <w:spacing w:after="0" w:line="240" w:lineRule="auto"/>
        <w:jc w:val="both"/>
        <w:rPr>
          <w:rFonts w:ascii="Verdana" w:hAnsi="Verdana"/>
        </w:rPr>
      </w:pPr>
      <w:r w:rsidRPr="002675E7">
        <w:rPr>
          <w:rFonts w:ascii="Verdana" w:hAnsi="Verdana"/>
        </w:rPr>
        <w:lastRenderedPageBreak/>
        <w:t xml:space="preserve">Twitter: </w:t>
      </w:r>
      <w:r w:rsidRPr="002675E7">
        <w:rPr>
          <w:rFonts w:ascii="Verdana" w:hAnsi="Verdana"/>
          <w:color w:val="0000FF"/>
          <w:u w:val="single"/>
        </w:rPr>
        <w:t>@colombiacompra</w:t>
      </w:r>
      <w:r w:rsidRPr="002675E7">
        <w:rPr>
          <w:rFonts w:ascii="Verdana" w:hAnsi="Verdana"/>
        </w:rPr>
        <w:t xml:space="preserve"> </w:t>
      </w:r>
    </w:p>
    <w:p w14:paraId="5C85A4D1" w14:textId="77777777" w:rsidR="00FC28F5" w:rsidRPr="002675E7" w:rsidRDefault="00FC28F5" w:rsidP="00FC28F5">
      <w:pPr>
        <w:spacing w:after="0" w:line="240" w:lineRule="auto"/>
        <w:jc w:val="both"/>
        <w:rPr>
          <w:rFonts w:ascii="Verdana" w:hAnsi="Verdana"/>
        </w:rPr>
      </w:pPr>
      <w:r w:rsidRPr="002675E7">
        <w:rPr>
          <w:rFonts w:ascii="Verdana" w:hAnsi="Verdana"/>
        </w:rPr>
        <w:t xml:space="preserve">Facebook: </w:t>
      </w:r>
      <w:r w:rsidRPr="002675E7">
        <w:rPr>
          <w:rFonts w:ascii="Verdana" w:hAnsi="Verdana"/>
          <w:color w:val="0000FF"/>
          <w:u w:val="single"/>
        </w:rPr>
        <w:t>ColombiaCompraEficiente</w:t>
      </w:r>
    </w:p>
    <w:p w14:paraId="0E10D845" w14:textId="77777777" w:rsidR="00FC28F5" w:rsidRPr="002675E7" w:rsidRDefault="00FC28F5" w:rsidP="00FC28F5">
      <w:pPr>
        <w:spacing w:after="0" w:line="240" w:lineRule="auto"/>
        <w:jc w:val="both"/>
        <w:rPr>
          <w:rFonts w:ascii="Verdana" w:hAnsi="Verdana"/>
        </w:rPr>
      </w:pPr>
      <w:r w:rsidRPr="002675E7">
        <w:rPr>
          <w:rFonts w:ascii="Verdana" w:hAnsi="Verdana"/>
        </w:rPr>
        <w:t xml:space="preserve">LinkedIn: </w:t>
      </w:r>
      <w:r w:rsidRPr="002675E7">
        <w:rPr>
          <w:rFonts w:ascii="Verdana" w:hAnsi="Verdana"/>
          <w:color w:val="0000FF"/>
          <w:u w:val="single"/>
        </w:rPr>
        <w:t>Agencia Nacional de Contratación Pública - Colombia Compra Eficiente</w:t>
      </w:r>
      <w:r w:rsidRPr="002675E7">
        <w:rPr>
          <w:rFonts w:ascii="Verdana" w:hAnsi="Verdana"/>
        </w:rPr>
        <w:t xml:space="preserve"> Instagram: </w:t>
      </w:r>
      <w:r w:rsidRPr="002675E7">
        <w:rPr>
          <w:rFonts w:ascii="Verdana" w:hAnsi="Verdana"/>
          <w:color w:val="0000FF"/>
          <w:u w:val="single"/>
        </w:rPr>
        <w:t>@colombiacompraeficiente_cce</w:t>
      </w:r>
    </w:p>
    <w:p w14:paraId="37458996" w14:textId="77777777" w:rsidR="00FC28F5" w:rsidRPr="002675E7" w:rsidRDefault="00FC28F5" w:rsidP="00FC28F5">
      <w:pPr>
        <w:spacing w:after="0" w:line="240" w:lineRule="auto"/>
        <w:jc w:val="both"/>
        <w:rPr>
          <w:rFonts w:ascii="Verdana" w:hAnsi="Verdana"/>
        </w:rPr>
      </w:pPr>
    </w:p>
    <w:p w14:paraId="01BC1404" w14:textId="77777777" w:rsidR="00FC28F5" w:rsidRPr="002675E7" w:rsidRDefault="00FC28F5" w:rsidP="00FC28F5">
      <w:pPr>
        <w:spacing w:after="0" w:line="256" w:lineRule="auto"/>
        <w:jc w:val="both"/>
        <w:rPr>
          <w:rFonts w:ascii="Verdana" w:eastAsia="Calibri" w:hAnsi="Verdana" w:cs="Times New Roman"/>
          <w:bCs/>
          <w:lang w:val="es-ES_tradnl"/>
        </w:rPr>
      </w:pPr>
      <w:r w:rsidRPr="002675E7">
        <w:rPr>
          <w:rFonts w:ascii="Verdana" w:eastAsia="Calibri" w:hAnsi="Verdana" w:cs="Times New Roman"/>
          <w:lang w:val="es-ES_tradnl"/>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27588CBC" w14:textId="77777777" w:rsidR="00FC28F5" w:rsidRPr="002675E7" w:rsidRDefault="00FC28F5" w:rsidP="00FC28F5">
      <w:pPr>
        <w:spacing w:after="0" w:line="256" w:lineRule="auto"/>
        <w:jc w:val="both"/>
        <w:rPr>
          <w:rFonts w:ascii="Verdana" w:eastAsia="Calibri" w:hAnsi="Verdana" w:cs="Times New Roman"/>
        </w:rPr>
      </w:pPr>
    </w:p>
    <w:p w14:paraId="0B1BD362" w14:textId="77777777" w:rsidR="00FC28F5" w:rsidRPr="002675E7" w:rsidRDefault="00FC28F5" w:rsidP="00FC28F5">
      <w:pPr>
        <w:spacing w:after="0" w:line="256" w:lineRule="auto"/>
        <w:jc w:val="both"/>
        <w:rPr>
          <w:rFonts w:ascii="Verdana" w:eastAsia="Calibri" w:hAnsi="Verdana" w:cs="Times New Roman"/>
        </w:rPr>
      </w:pPr>
      <w:r w:rsidRPr="002675E7">
        <w:rPr>
          <w:rFonts w:ascii="Verdana" w:eastAsia="Calibri" w:hAnsi="Verdana" w:cs="Times New Roman"/>
        </w:rPr>
        <w:t>Atentamente,</w:t>
      </w:r>
    </w:p>
    <w:p w14:paraId="11F442C7" w14:textId="273EE3F3" w:rsidR="00FC28F5" w:rsidRPr="00700AB0" w:rsidRDefault="00392AB7" w:rsidP="00FC28F5">
      <w:pPr>
        <w:spacing w:after="0" w:line="256" w:lineRule="auto"/>
        <w:jc w:val="center"/>
        <w:rPr>
          <w:rFonts w:ascii="Verdana" w:hAnsi="Verdana"/>
          <w:noProof/>
        </w:rPr>
      </w:pPr>
      <w:r w:rsidRPr="001C554B">
        <w:rPr>
          <w:rFonts w:ascii="Verdana" w:hAnsi="Verdana" w:cs="Arial"/>
          <w:noProof/>
          <w:color w:val="000000"/>
          <w:lang w:val="es-ES_tradnl" w:eastAsia="es-CO"/>
        </w:rPr>
        <w:drawing>
          <wp:inline distT="0" distB="0" distL="0" distR="0" wp14:anchorId="32BBBA98" wp14:editId="66F22079">
            <wp:extent cx="2991267" cy="1381318"/>
            <wp:effectExtent l="0" t="0" r="0" b="9525"/>
            <wp:docPr id="64001559"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001559" name="Imagen 1" descr="Texto&#10;&#10;El contenido generado por IA puede ser incorrecto."/>
                    <pic:cNvPicPr/>
                  </pic:nvPicPr>
                  <pic:blipFill>
                    <a:blip r:embed="rId17"/>
                    <a:stretch>
                      <a:fillRect/>
                    </a:stretch>
                  </pic:blipFill>
                  <pic:spPr>
                    <a:xfrm>
                      <a:off x="0" y="0"/>
                      <a:ext cx="2991267" cy="1381318"/>
                    </a:xfrm>
                    <a:prstGeom prst="rect">
                      <a:avLst/>
                    </a:prstGeom>
                  </pic:spPr>
                </pic:pic>
              </a:graphicData>
            </a:graphic>
          </wp:inline>
        </w:drawing>
      </w:r>
    </w:p>
    <w:p w14:paraId="62B274D4" w14:textId="77777777" w:rsidR="00FC28F5" w:rsidRPr="002675E7" w:rsidRDefault="00FC28F5" w:rsidP="00FC28F5">
      <w:pPr>
        <w:spacing w:after="0" w:line="256" w:lineRule="auto"/>
        <w:jc w:val="center"/>
        <w:rPr>
          <w:rFonts w:ascii="Verdana" w:hAnsi="Verdana"/>
          <w:noProof/>
          <w:lang w:val="en-US"/>
        </w:rPr>
      </w:pPr>
    </w:p>
    <w:tbl>
      <w:tblPr>
        <w:tblW w:w="575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17"/>
        <w:gridCol w:w="4937"/>
      </w:tblGrid>
      <w:tr w:rsidR="00FC28F5" w:rsidRPr="002675E7" w14:paraId="10DEED88" w14:textId="77777777" w:rsidTr="00572D33">
        <w:trPr>
          <w:trHeight w:val="409"/>
        </w:trPr>
        <w:tc>
          <w:tcPr>
            <w:tcW w:w="817" w:type="dxa"/>
            <w:tcBorders>
              <w:top w:val="nil"/>
              <w:left w:val="nil"/>
              <w:bottom w:val="nil"/>
              <w:right w:val="nil"/>
            </w:tcBorders>
            <w:vAlign w:val="center"/>
            <w:hideMark/>
          </w:tcPr>
          <w:p w14:paraId="7338CD1E" w14:textId="77777777" w:rsidR="00FC28F5" w:rsidRPr="002675E7" w:rsidRDefault="00FC28F5" w:rsidP="00572D33">
            <w:pPr>
              <w:spacing w:after="0" w:line="256" w:lineRule="auto"/>
              <w:rPr>
                <w:rFonts w:ascii="Verdana" w:eastAsia="Calibri" w:hAnsi="Verdana" w:cs="Times New Roman"/>
                <w:sz w:val="16"/>
                <w:szCs w:val="16"/>
              </w:rPr>
            </w:pPr>
            <w:r w:rsidRPr="002675E7">
              <w:rPr>
                <w:rFonts w:ascii="Verdana" w:eastAsia="Calibri" w:hAnsi="Verdana" w:cs="Times New Roman"/>
                <w:sz w:val="16"/>
                <w:szCs w:val="16"/>
              </w:rPr>
              <w:t>Elaboró: </w:t>
            </w:r>
          </w:p>
        </w:tc>
        <w:tc>
          <w:tcPr>
            <w:tcW w:w="4937" w:type="dxa"/>
            <w:tcBorders>
              <w:top w:val="nil"/>
              <w:left w:val="nil"/>
              <w:bottom w:val="dotted" w:sz="6" w:space="0" w:color="7F7F7F" w:themeColor="text1" w:themeTint="80"/>
              <w:right w:val="nil"/>
            </w:tcBorders>
            <w:vAlign w:val="center"/>
            <w:hideMark/>
          </w:tcPr>
          <w:p w14:paraId="6521EB83" w14:textId="77777777" w:rsidR="00FC28F5" w:rsidRPr="002675E7" w:rsidRDefault="00FC28F5" w:rsidP="00572D33">
            <w:pPr>
              <w:spacing w:after="0" w:line="256" w:lineRule="auto"/>
              <w:rPr>
                <w:rFonts w:ascii="Verdana" w:eastAsia="Calibri" w:hAnsi="Verdana" w:cs="Times New Roman"/>
                <w:sz w:val="16"/>
                <w:szCs w:val="16"/>
              </w:rPr>
            </w:pPr>
            <w:r>
              <w:rPr>
                <w:rFonts w:ascii="Verdana" w:eastAsia="Calibri" w:hAnsi="Verdana" w:cs="Times New Roman"/>
                <w:sz w:val="16"/>
                <w:szCs w:val="16"/>
              </w:rPr>
              <w:t>Natalia Montoya Jiménez</w:t>
            </w:r>
          </w:p>
          <w:p w14:paraId="6154E4EB" w14:textId="6B246D75" w:rsidR="00FC28F5" w:rsidRPr="002675E7" w:rsidRDefault="00FC28F5" w:rsidP="00572D33">
            <w:pPr>
              <w:spacing w:after="0" w:line="256" w:lineRule="auto"/>
              <w:rPr>
                <w:rFonts w:ascii="Verdana" w:eastAsia="Calibri" w:hAnsi="Verdana" w:cs="Times New Roman"/>
                <w:sz w:val="16"/>
                <w:szCs w:val="16"/>
              </w:rPr>
            </w:pPr>
            <w:r w:rsidRPr="002675E7">
              <w:rPr>
                <w:rFonts w:ascii="Verdana" w:eastAsia="Calibri" w:hAnsi="Verdana" w:cs="Times New Roman"/>
                <w:sz w:val="16"/>
                <w:szCs w:val="16"/>
              </w:rPr>
              <w:t>Gestor T1-</w:t>
            </w:r>
            <w:r w:rsidR="00727F05" w:rsidRPr="002675E7">
              <w:rPr>
                <w:rFonts w:ascii="Verdana" w:eastAsia="Calibri" w:hAnsi="Verdana" w:cs="Times New Roman"/>
                <w:sz w:val="16"/>
                <w:szCs w:val="16"/>
              </w:rPr>
              <w:t>15</w:t>
            </w:r>
            <w:r w:rsidR="00727F05">
              <w:rPr>
                <w:rFonts w:ascii="Verdana" w:eastAsia="Calibri" w:hAnsi="Verdana" w:cs="Times New Roman"/>
                <w:sz w:val="16"/>
                <w:szCs w:val="16"/>
              </w:rPr>
              <w:t xml:space="preserve"> de</w:t>
            </w:r>
            <w:r w:rsidR="00CF0C63">
              <w:rPr>
                <w:rFonts w:ascii="Verdana" w:eastAsia="Calibri" w:hAnsi="Verdana" w:cs="Times New Roman"/>
                <w:sz w:val="16"/>
                <w:szCs w:val="16"/>
              </w:rPr>
              <w:t xml:space="preserve"> </w:t>
            </w:r>
            <w:r w:rsidRPr="002675E7">
              <w:rPr>
                <w:rFonts w:ascii="Verdana" w:eastAsia="Calibri" w:hAnsi="Verdana" w:cs="Times New Roman"/>
                <w:sz w:val="16"/>
                <w:szCs w:val="16"/>
              </w:rPr>
              <w:t>la Subdirección de Gestión Contractual</w:t>
            </w:r>
          </w:p>
        </w:tc>
      </w:tr>
      <w:tr w:rsidR="00FC28F5" w:rsidRPr="002675E7" w14:paraId="46038BBE" w14:textId="77777777" w:rsidTr="00572D33">
        <w:trPr>
          <w:trHeight w:val="409"/>
        </w:trPr>
        <w:tc>
          <w:tcPr>
            <w:tcW w:w="817" w:type="dxa"/>
            <w:tcBorders>
              <w:top w:val="nil"/>
              <w:left w:val="nil"/>
              <w:bottom w:val="nil"/>
              <w:right w:val="nil"/>
            </w:tcBorders>
            <w:vAlign w:val="center"/>
            <w:hideMark/>
          </w:tcPr>
          <w:p w14:paraId="534B2BEF" w14:textId="77777777" w:rsidR="00FC28F5" w:rsidRPr="002675E7" w:rsidRDefault="00FC28F5" w:rsidP="00572D33">
            <w:pPr>
              <w:spacing w:after="0" w:line="256" w:lineRule="auto"/>
              <w:rPr>
                <w:rFonts w:ascii="Verdana" w:eastAsia="Calibri" w:hAnsi="Verdana" w:cs="Times New Roman"/>
                <w:sz w:val="16"/>
                <w:szCs w:val="16"/>
              </w:rPr>
            </w:pPr>
            <w:r w:rsidRPr="002675E7">
              <w:rPr>
                <w:rFonts w:ascii="Verdana" w:eastAsia="Calibri" w:hAnsi="Verdana" w:cs="Times New Roman"/>
                <w:sz w:val="16"/>
                <w:szCs w:val="16"/>
              </w:rPr>
              <w:t>Revisó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05E14C24" w14:textId="77777777" w:rsidR="00FC28F5" w:rsidRPr="002675E7" w:rsidRDefault="00FC28F5" w:rsidP="00572D33">
            <w:pPr>
              <w:spacing w:after="0" w:line="256" w:lineRule="auto"/>
              <w:rPr>
                <w:rFonts w:ascii="Verdana" w:eastAsia="Calibri" w:hAnsi="Verdana" w:cs="Times New Roman"/>
                <w:sz w:val="16"/>
                <w:szCs w:val="16"/>
              </w:rPr>
            </w:pPr>
            <w:r>
              <w:rPr>
                <w:rFonts w:ascii="Verdana" w:eastAsia="Calibri" w:hAnsi="Verdana" w:cs="Times New Roman"/>
                <w:sz w:val="16"/>
                <w:szCs w:val="16"/>
              </w:rPr>
              <w:t>Diana Lucia Saavedra</w:t>
            </w:r>
          </w:p>
          <w:p w14:paraId="2F32AC2A" w14:textId="77777777" w:rsidR="00FC28F5" w:rsidRPr="002675E7" w:rsidRDefault="00FC28F5" w:rsidP="00572D33">
            <w:pPr>
              <w:spacing w:after="0" w:line="256" w:lineRule="auto"/>
              <w:rPr>
                <w:rFonts w:ascii="Verdana" w:eastAsia="Calibri" w:hAnsi="Verdana" w:cs="Times New Roman"/>
                <w:sz w:val="16"/>
                <w:szCs w:val="16"/>
              </w:rPr>
            </w:pPr>
            <w:r w:rsidRPr="002675E7">
              <w:rPr>
                <w:rFonts w:ascii="Verdana" w:eastAsia="Calibri" w:hAnsi="Verdana" w:cs="Times New Roman"/>
                <w:sz w:val="16"/>
                <w:szCs w:val="16"/>
              </w:rPr>
              <w:t>Contratista de la Subdirección de Gestión Contractual </w:t>
            </w:r>
          </w:p>
        </w:tc>
      </w:tr>
      <w:tr w:rsidR="00FC28F5" w:rsidRPr="002675E7" w14:paraId="65AC1EF1" w14:textId="77777777" w:rsidTr="00572D33">
        <w:trPr>
          <w:trHeight w:val="389"/>
        </w:trPr>
        <w:tc>
          <w:tcPr>
            <w:tcW w:w="817" w:type="dxa"/>
            <w:tcBorders>
              <w:top w:val="nil"/>
              <w:left w:val="nil"/>
              <w:bottom w:val="nil"/>
              <w:right w:val="nil"/>
            </w:tcBorders>
            <w:vAlign w:val="center"/>
            <w:hideMark/>
          </w:tcPr>
          <w:p w14:paraId="1114D29D" w14:textId="77777777" w:rsidR="00FC28F5" w:rsidRPr="002675E7" w:rsidRDefault="00FC28F5" w:rsidP="00572D33">
            <w:pPr>
              <w:spacing w:after="0" w:line="256" w:lineRule="auto"/>
              <w:rPr>
                <w:rFonts w:ascii="Verdana" w:eastAsia="Calibri" w:hAnsi="Verdana" w:cs="Times New Roman"/>
                <w:sz w:val="16"/>
                <w:szCs w:val="16"/>
              </w:rPr>
            </w:pPr>
            <w:r w:rsidRPr="002675E7">
              <w:rPr>
                <w:rFonts w:ascii="Verdana" w:eastAsia="Calibri" w:hAnsi="Verdana" w:cs="Times New Roman"/>
                <w:sz w:val="16"/>
                <w:szCs w:val="16"/>
              </w:rPr>
              <w:t>Aprobó: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66E09BA9" w14:textId="77777777" w:rsidR="00FC28F5" w:rsidRPr="002675E7" w:rsidRDefault="00FC28F5" w:rsidP="00572D33">
            <w:pPr>
              <w:spacing w:after="0" w:line="256" w:lineRule="auto"/>
              <w:rPr>
                <w:rFonts w:ascii="Verdana" w:eastAsia="Calibri" w:hAnsi="Verdana" w:cs="Times New Roman"/>
                <w:sz w:val="16"/>
                <w:szCs w:val="16"/>
              </w:rPr>
            </w:pPr>
            <w:r w:rsidRPr="002675E7">
              <w:rPr>
                <w:rFonts w:ascii="Verdana" w:eastAsia="Calibri" w:hAnsi="Verdana" w:cs="Times New Roman"/>
                <w:sz w:val="16"/>
                <w:szCs w:val="16"/>
              </w:rPr>
              <w:t>Carolina Quintero Gacharná</w:t>
            </w:r>
          </w:p>
          <w:p w14:paraId="51C09F4D" w14:textId="77777777" w:rsidR="00FC28F5" w:rsidRPr="002675E7" w:rsidRDefault="00FC28F5" w:rsidP="00572D33">
            <w:pPr>
              <w:spacing w:after="0" w:line="256" w:lineRule="auto"/>
              <w:rPr>
                <w:rFonts w:ascii="Verdana" w:eastAsia="Calibri" w:hAnsi="Verdana" w:cs="Times New Roman"/>
                <w:sz w:val="16"/>
                <w:szCs w:val="16"/>
              </w:rPr>
            </w:pPr>
            <w:r w:rsidRPr="002675E7">
              <w:rPr>
                <w:rFonts w:ascii="Verdana" w:eastAsia="Calibri" w:hAnsi="Verdana" w:cs="Times New Roman"/>
                <w:sz w:val="16"/>
                <w:szCs w:val="16"/>
              </w:rPr>
              <w:t>Subdirectora de Gestión Contractual ANCP – CCE</w:t>
            </w:r>
          </w:p>
        </w:tc>
      </w:tr>
    </w:tbl>
    <w:p w14:paraId="172BF8D1" w14:textId="77777777" w:rsidR="00FC28F5" w:rsidRPr="00046945" w:rsidRDefault="00FC28F5" w:rsidP="00FC28F5">
      <w:pPr>
        <w:spacing w:after="0" w:line="240" w:lineRule="auto"/>
        <w:jc w:val="both"/>
        <w:textAlignment w:val="baseline"/>
        <w:rPr>
          <w:rFonts w:ascii="Verdana" w:eastAsia="Times New Roman" w:hAnsi="Verdana" w:cs="Segoe UI"/>
          <w:sz w:val="18"/>
          <w:szCs w:val="18"/>
          <w:lang w:eastAsia="es-CO"/>
        </w:rPr>
      </w:pPr>
    </w:p>
    <w:p w14:paraId="0CF527AC" w14:textId="77777777" w:rsidR="00FC28F5" w:rsidRDefault="00FC28F5" w:rsidP="00FC28F5"/>
    <w:p w14:paraId="33FF9860" w14:textId="77777777" w:rsidR="00FC28F5" w:rsidRPr="00AF4E77" w:rsidRDefault="00FC28F5" w:rsidP="00FC28F5"/>
    <w:p w14:paraId="0229F934" w14:textId="4AFAE592" w:rsidR="00FC28F5" w:rsidRDefault="00FC28F5"/>
    <w:sectPr w:rsidR="00FC28F5" w:rsidSect="00FC28F5">
      <w:headerReference w:type="default" r:id="rId18"/>
      <w:footerReference w:type="default" r:id="rId19"/>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44EE2C0" w14:textId="77777777" w:rsidR="001B60CC" w:rsidRDefault="001B60CC" w:rsidP="00FC28F5">
      <w:pPr>
        <w:spacing w:after="0" w:line="240" w:lineRule="auto"/>
      </w:pPr>
      <w:r>
        <w:separator/>
      </w:r>
    </w:p>
  </w:endnote>
  <w:endnote w:type="continuationSeparator" w:id="0">
    <w:p w14:paraId="334F6B68" w14:textId="77777777" w:rsidR="001B60CC" w:rsidRDefault="001B60CC" w:rsidP="00FC28F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imes-Roman">
    <w:altName w:val="Times New Roman"/>
    <w:panose1 w:val="00000000000000000000"/>
    <w:charset w:val="00"/>
    <w:family w:val="roman"/>
    <w:notTrueType/>
    <w:pitch w:val="default"/>
    <w:sig w:usb0="00000003" w:usb1="00000000" w:usb2="00000000" w:usb3="00000000" w:csb0="00000001" w:csb1="00000000"/>
  </w:font>
  <w:font w:name="Times-Italic">
    <w:panose1 w:val="00000000000000000000"/>
    <w:charset w:val="00"/>
    <w:family w:val="roman"/>
    <w:notTrueType/>
    <w:pitch w:val="default"/>
    <w:sig w:usb0="00000003" w:usb1="00000000" w:usb2="00000000" w:usb3="00000000" w:csb0="00000001"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072F5C" w14:textId="77777777" w:rsidR="00FC28F5" w:rsidRDefault="00FC28F5">
    <w:pPr>
      <w:pStyle w:val="Piedepgina"/>
    </w:pPr>
  </w:p>
  <w:p w14:paraId="30B0DBBA" w14:textId="77777777" w:rsidR="00FC28F5" w:rsidRPr="00174B77" w:rsidRDefault="00FC28F5"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Pr="07C73DD1">
      <w:rPr>
        <w:rFonts w:ascii="Verdana" w:eastAsia="Verdana" w:hAnsi="Verdana" w:cs="Verdana"/>
        <w:b/>
        <w:bCs/>
        <w:sz w:val="18"/>
        <w:szCs w:val="18"/>
      </w:rPr>
      <w:fldChar w:fldCharType="begin"/>
    </w:r>
    <w:r w:rsidRPr="07C73DD1">
      <w:rPr>
        <w:rFonts w:ascii="Verdana" w:hAnsi="Verdana"/>
        <w:b/>
        <w:bCs/>
        <w:sz w:val="16"/>
        <w:szCs w:val="16"/>
      </w:rPr>
      <w:instrText>PAGE    \* MERGEFORMAT</w:instrText>
    </w:r>
    <w:r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BEA395A" w14:textId="77777777" w:rsidR="00FC28F5" w:rsidRDefault="00FC28F5"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33A6EFD0" w14:textId="77777777" w:rsidR="00FC28F5" w:rsidRPr="00E41027" w:rsidRDefault="00FC28F5"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264AC84B" w14:textId="77777777" w:rsidR="00FC28F5" w:rsidRDefault="00FC28F5"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6C3F491" w14:textId="77777777" w:rsidR="001B60CC" w:rsidRDefault="001B60CC" w:rsidP="00FC28F5">
      <w:pPr>
        <w:spacing w:after="0" w:line="240" w:lineRule="auto"/>
      </w:pPr>
      <w:r>
        <w:separator/>
      </w:r>
    </w:p>
  </w:footnote>
  <w:footnote w:type="continuationSeparator" w:id="0">
    <w:p w14:paraId="5059299B" w14:textId="77777777" w:rsidR="001B60CC" w:rsidRDefault="001B60CC" w:rsidP="00FC28F5">
      <w:pPr>
        <w:spacing w:after="0" w:line="240" w:lineRule="auto"/>
      </w:pPr>
      <w:r>
        <w:continuationSeparator/>
      </w:r>
    </w:p>
  </w:footnote>
  <w:footnote w:id="1">
    <w:p w14:paraId="67B9026A" w14:textId="77777777" w:rsidR="00FC28F5" w:rsidRPr="008D5C3E" w:rsidRDefault="00FC28F5" w:rsidP="00FC28F5">
      <w:pPr>
        <w:pStyle w:val="Sinespaciado"/>
        <w:ind w:left="26" w:right="0" w:firstLine="682"/>
        <w:contextualSpacing/>
        <w:rPr>
          <w:rFonts w:ascii="Verdana" w:hAnsi="Verdana" w:cs="Arial"/>
          <w:sz w:val="16"/>
          <w:szCs w:val="16"/>
        </w:rPr>
      </w:pPr>
      <w:r w:rsidRPr="008D5C3E">
        <w:rPr>
          <w:rStyle w:val="Refdenotaalpie"/>
          <w:rFonts w:ascii="Verdana" w:eastAsiaTheme="majorEastAsia" w:hAnsi="Verdana" w:cs="Arial"/>
          <w:color w:val="000000"/>
          <w:sz w:val="16"/>
          <w:szCs w:val="16"/>
        </w:rPr>
        <w:footnoteRef/>
      </w:r>
      <w:r w:rsidRPr="008D5C3E">
        <w:rPr>
          <w:rFonts w:ascii="Verdana" w:hAnsi="Verdana" w:cs="Arial"/>
          <w:color w:val="000000"/>
          <w:sz w:val="16"/>
          <w:szCs w:val="16"/>
        </w:rPr>
        <w:t xml:space="preserve"> </w:t>
      </w:r>
      <w:r w:rsidRPr="008D5C3E">
        <w:rPr>
          <w:rFonts w:ascii="Verdana" w:hAnsi="Verdana" w:cs="Arial"/>
          <w:sz w:val="16"/>
          <w:szCs w:val="16"/>
        </w:rPr>
        <w:t>El artículo 4º del Decreto 943 de 2018 dispone: “Los municipios o distritos son los responsables de la prestación del servicio de alumbrado público, el cual podrán prestar de manera directa, o a través de empresas de servicios públicos domiciliarios u otros prestadores del servicio de alumbrado público que demuestren idoneidad en la prestación del mismo, con el fin de lograr un gasto financiero y energético responsable.</w:t>
      </w:r>
    </w:p>
    <w:p w14:paraId="3F9E7F6A" w14:textId="77777777" w:rsidR="00FC28F5" w:rsidRPr="008D5C3E" w:rsidRDefault="00FC28F5" w:rsidP="00FC28F5">
      <w:pPr>
        <w:pStyle w:val="Sinespaciado"/>
        <w:ind w:left="26" w:right="0" w:firstLine="682"/>
        <w:contextualSpacing/>
        <w:rPr>
          <w:rFonts w:ascii="Verdana" w:hAnsi="Verdana" w:cs="Arial"/>
          <w:sz w:val="16"/>
          <w:szCs w:val="16"/>
        </w:rPr>
      </w:pPr>
      <w:r w:rsidRPr="008D5C3E">
        <w:rPr>
          <w:rFonts w:ascii="Verdana" w:hAnsi="Verdana" w:cs="Arial"/>
          <w:sz w:val="16"/>
          <w:szCs w:val="16"/>
        </w:rPr>
        <w:t>“De conformidad con lo anterior, los municipios o distritos deberán garantizar la continuidad y calidad en la prestación del servicio de alumbrado público, así como los niveles adecuados de cobertura.</w:t>
      </w:r>
    </w:p>
    <w:p w14:paraId="3E8AD65B" w14:textId="77777777" w:rsidR="00FC28F5" w:rsidRPr="008D5C3E" w:rsidRDefault="00FC28F5" w:rsidP="00FC28F5">
      <w:pPr>
        <w:pStyle w:val="Sinespaciado"/>
        <w:ind w:left="26" w:right="0" w:firstLine="682"/>
        <w:contextualSpacing/>
        <w:rPr>
          <w:rFonts w:ascii="Verdana" w:hAnsi="Verdana" w:cs="Arial"/>
          <w:sz w:val="16"/>
          <w:szCs w:val="16"/>
        </w:rPr>
      </w:pPr>
      <w:r w:rsidRPr="008D5C3E">
        <w:rPr>
          <w:rFonts w:ascii="Verdana" w:hAnsi="Verdana" w:cs="Arial"/>
          <w:sz w:val="16"/>
          <w:szCs w:val="16"/>
        </w:rPr>
        <w:t>“Parágrafo 1. La modernización, expansión y reposición del sistema de alumbrado público debe buscar la optimización de los costos anuales de inversión, suministro de energía y los gastos de administración, operación, mantenimiento e interventoría, así como la incorporación de desarrollos tecnológicos. Las mayores eficiencias logradas en la prestación del servicio que se generen por la reposición, mejora, o modernización del sistema, deberán reflejarse en el estudio técnico de referencia.</w:t>
      </w:r>
    </w:p>
    <w:p w14:paraId="6F4E3A85" w14:textId="77777777" w:rsidR="00FC28F5" w:rsidRPr="008D5C3E" w:rsidRDefault="00FC28F5" w:rsidP="00FC28F5">
      <w:pPr>
        <w:pStyle w:val="Sinespaciado"/>
        <w:ind w:left="26" w:right="0" w:firstLine="682"/>
        <w:contextualSpacing/>
        <w:rPr>
          <w:rFonts w:ascii="Verdana" w:hAnsi="Verdana" w:cs="Arial"/>
          <w:sz w:val="16"/>
          <w:szCs w:val="16"/>
        </w:rPr>
      </w:pPr>
      <w:r w:rsidRPr="008D5C3E">
        <w:rPr>
          <w:rFonts w:ascii="Verdana" w:hAnsi="Verdana" w:cs="Arial"/>
          <w:sz w:val="16"/>
          <w:szCs w:val="16"/>
        </w:rPr>
        <w:t xml:space="preserve">“Parágrafo 2. Los municipios o distritos tendrán la obligación de incluir en rubros presupuestales y cuentas contables, independientes, los costos de la prestación del servicio de alumbrado público y los ingresos obtenidos por el impuesto de alumbrado público, por la sobretasa al impuesto predial en caso de que se establezca como mecanismo de financiación de la prestación del servicio de alumbrado público, y/o por otras fuentes de financiación. Cuando el servicio sea prestado por agentes diferentes a municipios o distritos, estos agentes tendrán la obligación de reponer al ente territorial la información para dar cumplimiento a este parágrafo”.  </w:t>
      </w:r>
    </w:p>
  </w:footnote>
  <w:footnote w:id="2">
    <w:p w14:paraId="2727FBE0" w14:textId="77777777" w:rsidR="00FC28F5" w:rsidRDefault="00FC28F5" w:rsidP="00FC28F5">
      <w:pPr>
        <w:tabs>
          <w:tab w:val="left" w:pos="0"/>
        </w:tabs>
        <w:spacing w:after="0" w:line="240" w:lineRule="auto"/>
        <w:ind w:firstLine="709"/>
        <w:jc w:val="both"/>
        <w:rPr>
          <w:rFonts w:ascii="Verdana" w:eastAsia="Times New Roman" w:hAnsi="Verdana" w:cs="Arial"/>
          <w:sz w:val="16"/>
          <w:szCs w:val="16"/>
          <w:lang w:eastAsia="es-ES"/>
        </w:rPr>
      </w:pPr>
      <w:r w:rsidRPr="008D5C3E">
        <w:rPr>
          <w:rFonts w:ascii="Verdana" w:eastAsia="Times New Roman" w:hAnsi="Verdana"/>
          <w:sz w:val="16"/>
          <w:szCs w:val="16"/>
          <w:lang w:eastAsia="es-ES"/>
        </w:rPr>
        <w:footnoteRef/>
      </w:r>
      <w:r w:rsidRPr="008D5C3E">
        <w:rPr>
          <w:rFonts w:ascii="Verdana" w:eastAsia="Times New Roman" w:hAnsi="Verdana" w:cs="Arial"/>
          <w:sz w:val="16"/>
          <w:szCs w:val="16"/>
          <w:lang w:eastAsia="es-ES"/>
        </w:rPr>
        <w:t xml:space="preserve"> El artículo 32, numeral 4º, de la Ley 80 de 1993, los define así: “Son contratos de concesión los que celebran las entidades estatales con el objeto de otorgar a una persona llamada concesionario la prestación, operación, explotación, organización o gestión, total o parcial, de un servicio público, o la construcción, explotación o conservación total o parcial, de una obra o bien destinados al servicio o uso público, así como todas aquellas actividades necesarias para la adecuada prestación o funcionamiento de la obra o servicio por cuenta y riesgo del concesionario y bajo la vigilancia y control de la entidad concedente, a cambio de una remuneración que puede consistir en derechos, tarifas, tasas,</w:t>
      </w:r>
      <w:r w:rsidRPr="008D5C3E">
        <w:rPr>
          <w:rFonts w:ascii="Verdana" w:eastAsia="Calibri" w:hAnsi="Verdana" w:cs="Arial"/>
          <w:bCs/>
          <w:color w:val="000000"/>
          <w:sz w:val="16"/>
          <w:szCs w:val="16"/>
          <w:lang w:val="es-ES_tradnl"/>
        </w:rPr>
        <w:t xml:space="preserve"> </w:t>
      </w:r>
      <w:r w:rsidRPr="008D5C3E">
        <w:rPr>
          <w:rFonts w:ascii="Verdana" w:eastAsia="Times New Roman" w:hAnsi="Verdana" w:cs="Arial"/>
          <w:sz w:val="16"/>
          <w:szCs w:val="16"/>
          <w:lang w:eastAsia="es-ES"/>
        </w:rPr>
        <w:t>valorización, o en la participación que se le otorgue en la explotación del bien, o en una suma periódica, única o porcentual y, en general, en cualquier otra modalidad de contraprestación que las partes acuerden”.</w:t>
      </w:r>
    </w:p>
    <w:p w14:paraId="43F68815" w14:textId="77777777" w:rsidR="00FC28F5" w:rsidRPr="008D5C3E" w:rsidRDefault="00FC28F5" w:rsidP="00FC28F5">
      <w:pPr>
        <w:tabs>
          <w:tab w:val="left" w:pos="0"/>
        </w:tabs>
        <w:spacing w:after="0" w:line="240" w:lineRule="auto"/>
        <w:ind w:firstLine="709"/>
        <w:jc w:val="both"/>
        <w:rPr>
          <w:rFonts w:ascii="Verdana" w:eastAsia="Times New Roman" w:hAnsi="Verdana" w:cs="Arial"/>
          <w:sz w:val="16"/>
          <w:szCs w:val="16"/>
          <w:lang w:eastAsia="es-ES"/>
        </w:rPr>
      </w:pPr>
    </w:p>
  </w:footnote>
  <w:footnote w:id="3">
    <w:p w14:paraId="63CF60F3" w14:textId="77777777" w:rsidR="00FC28F5" w:rsidRPr="00812E1D" w:rsidRDefault="00FC28F5" w:rsidP="00FC28F5">
      <w:pPr>
        <w:pStyle w:val="Textonotapie"/>
        <w:ind w:firstLine="709"/>
        <w:jc w:val="both"/>
        <w:rPr>
          <w:rFonts w:ascii="Verdana" w:hAnsi="Verdana" w:cs="Arial"/>
          <w:sz w:val="14"/>
          <w:szCs w:val="14"/>
          <w:lang w:val="es-CO"/>
        </w:rPr>
      </w:pPr>
      <w:r w:rsidRPr="00812E1D">
        <w:rPr>
          <w:rStyle w:val="Refdenotaalpie"/>
          <w:rFonts w:ascii="Verdana" w:hAnsi="Verdana" w:cs="Arial"/>
          <w:sz w:val="14"/>
          <w:szCs w:val="14"/>
        </w:rPr>
        <w:footnoteRef/>
      </w:r>
      <w:r w:rsidRPr="00812E1D">
        <w:rPr>
          <w:rFonts w:ascii="Verdana" w:hAnsi="Verdana" w:cs="Arial"/>
          <w:sz w:val="14"/>
          <w:szCs w:val="14"/>
        </w:rPr>
        <w:t xml:space="preserve"> </w:t>
      </w:r>
      <w:r w:rsidRPr="00812E1D">
        <w:rPr>
          <w:rFonts w:ascii="Verdana" w:eastAsia="Calibri" w:hAnsi="Verdana" w:cs="Arial"/>
          <w:sz w:val="14"/>
          <w:szCs w:val="14"/>
          <w:lang w:val="es-ES_tradnl"/>
        </w:rPr>
        <w:t>“</w:t>
      </w:r>
      <w:r w:rsidRPr="00812E1D">
        <w:rPr>
          <w:rFonts w:ascii="Verdana" w:hAnsi="Verdana" w:cs="Arial"/>
          <w:sz w:val="14"/>
          <w:szCs w:val="14"/>
          <w:lang w:val="es-CO"/>
        </w:rPr>
        <w:t>Artículo 23. El Confis podrá autorizar la asunción de obligaciones que afecten presupuestos de vigencias futuras cuando su ejecución se inicie con presupuesto de la vigencia en curso y el objeto del compromiso se lleve a cabo en cada una de ellas siempre y cuando se cumpla que:</w:t>
      </w:r>
    </w:p>
    <w:p w14:paraId="25C72385" w14:textId="77777777" w:rsidR="00FC28F5" w:rsidRPr="00812E1D" w:rsidRDefault="00FC28F5" w:rsidP="00FC28F5">
      <w:pPr>
        <w:pStyle w:val="Textonotapie"/>
        <w:ind w:firstLine="567"/>
        <w:jc w:val="both"/>
        <w:rPr>
          <w:rFonts w:ascii="Verdana" w:hAnsi="Verdana" w:cs="Arial"/>
          <w:sz w:val="14"/>
          <w:szCs w:val="14"/>
          <w:lang w:val="es-CO"/>
        </w:rPr>
      </w:pPr>
      <w:r w:rsidRPr="00812E1D">
        <w:rPr>
          <w:rFonts w:ascii="Verdana" w:hAnsi="Verdana" w:cs="Arial"/>
          <w:sz w:val="14"/>
          <w:szCs w:val="14"/>
          <w:lang w:val="es-CO"/>
        </w:rPr>
        <w:t>a) El monto máximo de vigencias futuras, el plazo y las condiciones de las mismas consulte las metas plurianuales del Marco Fiscal de Mediano Plazo de que trata el artículo </w:t>
      </w:r>
      <w:hyperlink r:id="rId1" w:anchor="1" w:history="1">
        <w:r w:rsidRPr="00812E1D">
          <w:rPr>
            <w:rStyle w:val="Hipervnculo"/>
            <w:rFonts w:ascii="Verdana" w:hAnsi="Verdana" w:cs="Arial"/>
            <w:sz w:val="14"/>
            <w:szCs w:val="14"/>
            <w:lang w:val="es-CO"/>
          </w:rPr>
          <w:t>1</w:t>
        </w:r>
      </w:hyperlink>
      <w:r w:rsidRPr="00812E1D">
        <w:rPr>
          <w:rFonts w:ascii="Verdana" w:hAnsi="Verdana" w:cs="Arial"/>
          <w:sz w:val="14"/>
          <w:szCs w:val="14"/>
          <w:lang w:val="es-CO"/>
        </w:rPr>
        <w:t>o de esta ley;</w:t>
      </w:r>
    </w:p>
    <w:p w14:paraId="63AA659A" w14:textId="77777777" w:rsidR="00FC28F5" w:rsidRPr="00812E1D" w:rsidRDefault="00FC28F5" w:rsidP="00FC28F5">
      <w:pPr>
        <w:pStyle w:val="Textonotapie"/>
        <w:ind w:firstLine="567"/>
        <w:jc w:val="both"/>
        <w:rPr>
          <w:rFonts w:ascii="Verdana" w:hAnsi="Verdana" w:cs="Arial"/>
          <w:sz w:val="14"/>
          <w:szCs w:val="14"/>
          <w:lang w:val="es-CO"/>
        </w:rPr>
      </w:pPr>
      <w:r w:rsidRPr="00812E1D">
        <w:rPr>
          <w:rFonts w:ascii="Verdana" w:hAnsi="Verdana" w:cs="Arial"/>
          <w:sz w:val="14"/>
          <w:szCs w:val="14"/>
          <w:lang w:val="es-CO"/>
        </w:rPr>
        <w:t>b) Como mínimo, de las vigencias futuras que se soliciten se deberá contar con apropiación del quince por ciento (15%) en la vigencia fiscal en la que estas sean autorizadas;</w:t>
      </w:r>
    </w:p>
    <w:p w14:paraId="1B08BF4E" w14:textId="77777777" w:rsidR="00FC28F5" w:rsidRPr="00812E1D" w:rsidRDefault="00FC28F5" w:rsidP="00FC28F5">
      <w:pPr>
        <w:pStyle w:val="Textonotapie"/>
        <w:ind w:firstLine="567"/>
        <w:jc w:val="both"/>
        <w:rPr>
          <w:rFonts w:ascii="Verdana" w:hAnsi="Verdana" w:cs="Arial"/>
          <w:sz w:val="14"/>
          <w:szCs w:val="14"/>
          <w:lang w:val="es-CO"/>
        </w:rPr>
      </w:pPr>
      <w:r w:rsidRPr="00812E1D">
        <w:rPr>
          <w:rFonts w:ascii="Verdana" w:hAnsi="Verdana" w:cs="Arial"/>
          <w:sz w:val="14"/>
          <w:szCs w:val="14"/>
          <w:lang w:val="es-CO"/>
        </w:rPr>
        <w:t>c) Cuando se trate de proyectos de inversión nacional deberá obtenerse el concepto previo y favorable del Departamento Nacional de Planeación y del Ministerio del ramo.</w:t>
      </w:r>
    </w:p>
    <w:p w14:paraId="399FDE91" w14:textId="77777777" w:rsidR="00FC28F5" w:rsidRPr="00812E1D" w:rsidRDefault="00FC28F5" w:rsidP="00FC28F5">
      <w:pPr>
        <w:pStyle w:val="Textonotapie"/>
        <w:jc w:val="both"/>
        <w:rPr>
          <w:rFonts w:ascii="Verdana" w:hAnsi="Verdana" w:cs="Arial"/>
          <w:sz w:val="14"/>
          <w:szCs w:val="14"/>
          <w:lang w:val="es-CO"/>
        </w:rPr>
      </w:pPr>
      <w:r w:rsidRPr="00812E1D">
        <w:rPr>
          <w:rFonts w:ascii="Verdana" w:hAnsi="Verdana" w:cs="Arial"/>
          <w:sz w:val="14"/>
          <w:szCs w:val="14"/>
          <w:lang w:val="es-CO"/>
        </w:rPr>
        <w:t>La autorización por parte del Confis para comprometer presupuesto con cargo a vigencias futuras no podrá superar el respectivo período de gobierno. Se exceptúan los proyectos de gastos de inversión en aquellos casos en que el Conpes previamente los declare de importancia estratégica.</w:t>
      </w:r>
    </w:p>
    <w:p w14:paraId="452A223D" w14:textId="77777777" w:rsidR="00FC28F5" w:rsidRPr="00812E1D" w:rsidRDefault="00FC28F5" w:rsidP="00FC28F5">
      <w:pPr>
        <w:pStyle w:val="Textonotapie"/>
        <w:jc w:val="both"/>
        <w:rPr>
          <w:rFonts w:ascii="Verdana" w:hAnsi="Verdana" w:cs="Arial"/>
          <w:sz w:val="14"/>
          <w:szCs w:val="14"/>
          <w:lang w:val="es-CO"/>
        </w:rPr>
      </w:pPr>
      <w:r w:rsidRPr="00812E1D">
        <w:rPr>
          <w:rFonts w:ascii="Verdana" w:hAnsi="Verdana" w:cs="Arial"/>
          <w:sz w:val="14"/>
          <w:szCs w:val="14"/>
          <w:lang w:val="es-CO"/>
        </w:rPr>
        <w:t>Esta disposición también se aplicará a las entidades de que trata el artículo 9o de la presente ley. El Gobierno reglamentará la materia.</w:t>
      </w:r>
    </w:p>
    <w:p w14:paraId="7C705586" w14:textId="77777777" w:rsidR="00FC28F5" w:rsidRPr="00812E1D" w:rsidRDefault="00FC28F5" w:rsidP="00FC28F5">
      <w:pPr>
        <w:pStyle w:val="Textonotapie"/>
        <w:ind w:firstLine="709"/>
        <w:jc w:val="both"/>
        <w:rPr>
          <w:rFonts w:ascii="Verdana" w:hAnsi="Verdana" w:cs="Arial"/>
          <w:sz w:val="14"/>
          <w:szCs w:val="14"/>
          <w:lang w:val="es-CO"/>
        </w:rPr>
      </w:pPr>
      <w:r w:rsidRPr="00812E1D">
        <w:rPr>
          <w:rFonts w:ascii="Verdana" w:hAnsi="Verdana" w:cs="Arial"/>
          <w:sz w:val="14"/>
          <w:szCs w:val="14"/>
          <w:lang w:val="es-CO"/>
        </w:rPr>
        <w:t>El Ministerio de Hacienda y Crédito Público, Dirección General del Presupuesto Público Nacional, incluirá en los proyectos de presupuesto las asignaciones necesarias para darle cumplimiento a lo dispuesto en este artículo. […]</w:t>
      </w:r>
      <w:r w:rsidRPr="00812E1D">
        <w:rPr>
          <w:rFonts w:ascii="Verdana" w:eastAsia="Calibri" w:hAnsi="Verdana" w:cs="Arial"/>
          <w:sz w:val="14"/>
          <w:szCs w:val="14"/>
          <w:lang w:val="es-ES_tradnl"/>
        </w:rPr>
        <w:t>”</w:t>
      </w:r>
    </w:p>
  </w:footnote>
  <w:footnote w:id="4">
    <w:p w14:paraId="7C8DEDF0" w14:textId="77777777" w:rsidR="00FC28F5" w:rsidRPr="00812E1D" w:rsidRDefault="00FC28F5" w:rsidP="00FC28F5">
      <w:pPr>
        <w:pStyle w:val="Textonotapie"/>
        <w:ind w:firstLine="567"/>
        <w:jc w:val="both"/>
        <w:rPr>
          <w:rFonts w:ascii="Verdana" w:hAnsi="Verdana" w:cs="Arial"/>
          <w:sz w:val="14"/>
          <w:szCs w:val="14"/>
        </w:rPr>
      </w:pPr>
      <w:r w:rsidRPr="00812E1D">
        <w:rPr>
          <w:rStyle w:val="Refdenotaalpie"/>
          <w:rFonts w:ascii="Verdana" w:hAnsi="Verdana" w:cs="Arial"/>
          <w:sz w:val="14"/>
          <w:szCs w:val="14"/>
        </w:rPr>
        <w:footnoteRef/>
      </w:r>
      <w:r w:rsidRPr="00812E1D">
        <w:rPr>
          <w:rFonts w:ascii="Verdana" w:hAnsi="Verdana" w:cs="Arial"/>
          <w:sz w:val="14"/>
          <w:szCs w:val="14"/>
        </w:rPr>
        <w:t xml:space="preserve"> Consejo de Estado. Sección Tercera. Sentencia del 1 de febrero de 2018. Radicado Nro. 08001-2331-000-2010-00987-01. C.P. Oswaldo Giraldo López</w:t>
      </w:r>
    </w:p>
    <w:p w14:paraId="6BEDFE8E" w14:textId="77777777" w:rsidR="00FC28F5" w:rsidRPr="00812E1D" w:rsidRDefault="00FC28F5" w:rsidP="00FC28F5">
      <w:pPr>
        <w:pStyle w:val="Textonotapie"/>
        <w:ind w:firstLine="567"/>
        <w:jc w:val="both"/>
        <w:rPr>
          <w:rFonts w:ascii="Verdana" w:hAnsi="Verdana" w:cs="Arial"/>
          <w:sz w:val="14"/>
          <w:szCs w:val="14"/>
          <w:lang w:val="es-CO"/>
        </w:rPr>
      </w:pPr>
    </w:p>
  </w:footnote>
  <w:footnote w:id="5">
    <w:p w14:paraId="244B7CDB" w14:textId="77777777" w:rsidR="00FC28F5" w:rsidRPr="008D5C3E" w:rsidRDefault="00FC28F5" w:rsidP="00FC28F5">
      <w:pPr>
        <w:pStyle w:val="Sinespaciado"/>
        <w:ind w:left="26" w:right="0" w:firstLine="682"/>
        <w:contextualSpacing/>
        <w:rPr>
          <w:rFonts w:ascii="Verdana" w:hAnsi="Verdana" w:cs="Arial"/>
          <w:sz w:val="16"/>
          <w:szCs w:val="16"/>
        </w:rPr>
      </w:pPr>
      <w:r w:rsidRPr="008D5C3E">
        <w:rPr>
          <w:rStyle w:val="Refdenotaalpie"/>
          <w:rFonts w:ascii="Verdana" w:eastAsiaTheme="majorEastAsia" w:hAnsi="Verdana" w:cs="Arial"/>
          <w:color w:val="000000"/>
          <w:sz w:val="16"/>
          <w:szCs w:val="16"/>
        </w:rPr>
        <w:footnoteRef/>
      </w:r>
      <w:r w:rsidRPr="008D5C3E">
        <w:rPr>
          <w:rFonts w:ascii="Verdana" w:hAnsi="Verdana" w:cs="Arial"/>
          <w:color w:val="000000"/>
          <w:sz w:val="16"/>
          <w:szCs w:val="16"/>
        </w:rPr>
        <w:t xml:space="preserve"> </w:t>
      </w:r>
      <w:r w:rsidRPr="008D5C3E">
        <w:rPr>
          <w:rFonts w:ascii="Verdana" w:hAnsi="Verdana" w:cs="Arial"/>
          <w:sz w:val="16"/>
          <w:szCs w:val="16"/>
        </w:rPr>
        <w:t>El artículo 4º del Decreto 943 de 2018 dispone: “Los municipios o distritos son los responsables de la prestación del servicio de alumbrado público, el cual podrán prestar de manera directa, o a través de empresas de servicios públicos domiciliarios u otros prestadores del servicio de alumbrado público que demuestren idoneidad en la prestación del mismo, con el fin de lograr un gasto financiero y energético responsable.</w:t>
      </w:r>
    </w:p>
    <w:p w14:paraId="7F01AD5B" w14:textId="77777777" w:rsidR="00FC28F5" w:rsidRPr="008D5C3E" w:rsidRDefault="00FC28F5" w:rsidP="00FC28F5">
      <w:pPr>
        <w:pStyle w:val="Sinespaciado"/>
        <w:ind w:left="26" w:right="0" w:firstLine="682"/>
        <w:contextualSpacing/>
        <w:rPr>
          <w:rFonts w:ascii="Verdana" w:hAnsi="Verdana" w:cs="Arial"/>
          <w:sz w:val="16"/>
          <w:szCs w:val="16"/>
        </w:rPr>
      </w:pPr>
      <w:r w:rsidRPr="008D5C3E">
        <w:rPr>
          <w:rFonts w:ascii="Verdana" w:hAnsi="Verdana" w:cs="Arial"/>
          <w:sz w:val="16"/>
          <w:szCs w:val="16"/>
        </w:rPr>
        <w:t>“De conformidad con lo anterior, los municipios o distritos deberán garantizar la continuidad y calidad en la prestación del servicio de alumbrado público, así como los niveles adecuados de cobertura.</w:t>
      </w:r>
    </w:p>
    <w:p w14:paraId="7E64670D" w14:textId="77777777" w:rsidR="00FC28F5" w:rsidRPr="008D5C3E" w:rsidRDefault="00FC28F5" w:rsidP="00FC28F5">
      <w:pPr>
        <w:pStyle w:val="Sinespaciado"/>
        <w:ind w:left="26" w:right="0" w:firstLine="682"/>
        <w:contextualSpacing/>
        <w:rPr>
          <w:rFonts w:ascii="Verdana" w:hAnsi="Verdana" w:cs="Arial"/>
          <w:sz w:val="16"/>
          <w:szCs w:val="16"/>
        </w:rPr>
      </w:pPr>
      <w:r w:rsidRPr="008D5C3E">
        <w:rPr>
          <w:rFonts w:ascii="Verdana" w:hAnsi="Verdana" w:cs="Arial"/>
          <w:sz w:val="16"/>
          <w:szCs w:val="16"/>
        </w:rPr>
        <w:t>“Parágrafo 1. La modernización, expansión y reposición del sistema de alumbrado público debe buscar la optimización de los costos anuales de inversión, suministro de energía y los gastos de administración, operación, mantenimiento e interventoría, así como la incorporación de desarrollos tecnológicos. Las mayores eficiencias logradas en la prestación del servicio que se generen por la reposición, mejora, o modernización del sistema, deberán reflejarse en el estudio técnico de referencia.</w:t>
      </w:r>
    </w:p>
    <w:p w14:paraId="6CD26C9C" w14:textId="77777777" w:rsidR="00FC28F5" w:rsidRPr="008D5C3E" w:rsidRDefault="00FC28F5" w:rsidP="00FC28F5">
      <w:pPr>
        <w:pStyle w:val="Sinespaciado"/>
        <w:ind w:left="26" w:right="0" w:firstLine="682"/>
        <w:contextualSpacing/>
        <w:rPr>
          <w:rFonts w:ascii="Verdana" w:hAnsi="Verdana" w:cs="Arial"/>
          <w:sz w:val="16"/>
          <w:szCs w:val="16"/>
        </w:rPr>
      </w:pPr>
      <w:r w:rsidRPr="008D5C3E">
        <w:rPr>
          <w:rFonts w:ascii="Verdana" w:hAnsi="Verdana" w:cs="Arial"/>
          <w:sz w:val="16"/>
          <w:szCs w:val="16"/>
        </w:rPr>
        <w:t xml:space="preserve">“Parágrafo 2. Los municipios o distritos tendrán la obligación de incluir en rubros presupuestales y cuentas contables, independientes, los costos de la prestación del servicio de alumbrado público y los ingresos obtenidos por el impuesto de alumbrado público, por la sobretasa al impuesto predial en caso de que se establezca como mecanismo de financiación de la prestación del servicio de alumbrado público, y/o por otras fuentes de financiación. Cuando el servicio sea prestado por agentes diferentes a municipios o distritos, estos agentes tendrán la obligación de reponer al ente territorial la información para dar cumplimiento a este parágrafo”.  </w:t>
      </w:r>
    </w:p>
  </w:footnote>
  <w:footnote w:id="6">
    <w:p w14:paraId="5F9D857F" w14:textId="77777777" w:rsidR="00FC28F5" w:rsidRDefault="00FC28F5" w:rsidP="00FC28F5">
      <w:pPr>
        <w:tabs>
          <w:tab w:val="left" w:pos="0"/>
        </w:tabs>
        <w:spacing w:after="0" w:line="240" w:lineRule="auto"/>
        <w:ind w:firstLine="709"/>
        <w:jc w:val="both"/>
        <w:rPr>
          <w:rFonts w:ascii="Verdana" w:eastAsia="Times New Roman" w:hAnsi="Verdana" w:cs="Arial"/>
          <w:sz w:val="16"/>
          <w:szCs w:val="16"/>
          <w:lang w:eastAsia="es-ES"/>
        </w:rPr>
      </w:pPr>
      <w:r w:rsidRPr="008D5C3E">
        <w:rPr>
          <w:rFonts w:ascii="Verdana" w:eastAsia="Times New Roman" w:hAnsi="Verdana"/>
          <w:sz w:val="16"/>
          <w:szCs w:val="16"/>
          <w:lang w:eastAsia="es-ES"/>
        </w:rPr>
        <w:footnoteRef/>
      </w:r>
      <w:r w:rsidRPr="008D5C3E">
        <w:rPr>
          <w:rFonts w:ascii="Verdana" w:eastAsia="Times New Roman" w:hAnsi="Verdana" w:cs="Arial"/>
          <w:sz w:val="16"/>
          <w:szCs w:val="16"/>
          <w:lang w:eastAsia="es-ES"/>
        </w:rPr>
        <w:t xml:space="preserve"> El artículo 32, numeral 4º, de la Ley 80 de 1993, los define así: “Son contratos de concesión los que celebran las entidades estatales con el objeto de otorgar a una persona llamada concesionario la prestación, operación, explotación, organización o gestión, total o parcial, de un servicio público, o la construcción, explotación o conservación total o parcial, de una obra o bien destinados al servicio o uso público, así como todas aquellas actividades necesarias para la adecuada prestación o funcionamiento de la obra o servicio por cuenta y riesgo del concesionario y bajo la vigilancia y control de la entidad concedente, a cambio de una remuneración que puede consistir en derechos, tarifas, tasas,</w:t>
      </w:r>
      <w:r w:rsidRPr="008D5C3E">
        <w:rPr>
          <w:rFonts w:ascii="Verdana" w:eastAsia="Calibri" w:hAnsi="Verdana" w:cs="Arial"/>
          <w:bCs/>
          <w:color w:val="000000"/>
          <w:sz w:val="16"/>
          <w:szCs w:val="16"/>
          <w:lang w:val="es-ES_tradnl"/>
        </w:rPr>
        <w:t xml:space="preserve"> </w:t>
      </w:r>
      <w:r w:rsidRPr="008D5C3E">
        <w:rPr>
          <w:rFonts w:ascii="Verdana" w:eastAsia="Times New Roman" w:hAnsi="Verdana" w:cs="Arial"/>
          <w:sz w:val="16"/>
          <w:szCs w:val="16"/>
          <w:lang w:eastAsia="es-ES"/>
        </w:rPr>
        <w:t>valorización, o en la participación que se le otorgue en la explotación del bien, o en una suma periódica, única o porcentual y, en general, en cualquier otra modalidad de contraprestación que las partes acuerden”.</w:t>
      </w:r>
    </w:p>
    <w:p w14:paraId="39173779" w14:textId="77777777" w:rsidR="00FC28F5" w:rsidRPr="008D5C3E" w:rsidRDefault="00FC28F5" w:rsidP="00FC28F5">
      <w:pPr>
        <w:tabs>
          <w:tab w:val="left" w:pos="0"/>
        </w:tabs>
        <w:spacing w:after="0" w:line="240" w:lineRule="auto"/>
        <w:ind w:firstLine="709"/>
        <w:jc w:val="both"/>
        <w:rPr>
          <w:rFonts w:ascii="Verdana" w:eastAsia="Times New Roman" w:hAnsi="Verdana" w:cs="Arial"/>
          <w:sz w:val="16"/>
          <w:szCs w:val="16"/>
          <w:lang w:eastAsia="es-ES"/>
        </w:rPr>
      </w:pPr>
    </w:p>
  </w:footnote>
  <w:footnote w:id="7">
    <w:p w14:paraId="4AB7EABB" w14:textId="77777777" w:rsidR="00FC28F5" w:rsidRPr="008D5C3E" w:rsidRDefault="00FC28F5" w:rsidP="00FC28F5">
      <w:pPr>
        <w:tabs>
          <w:tab w:val="left" w:pos="0"/>
        </w:tabs>
        <w:spacing w:after="0" w:line="240" w:lineRule="auto"/>
        <w:ind w:firstLine="709"/>
        <w:jc w:val="both"/>
        <w:rPr>
          <w:rFonts w:ascii="Verdana" w:eastAsia="Times New Roman" w:hAnsi="Verdana" w:cs="Arial"/>
          <w:sz w:val="16"/>
          <w:szCs w:val="16"/>
          <w:lang w:eastAsia="es-ES"/>
        </w:rPr>
      </w:pPr>
      <w:r w:rsidRPr="008D5C3E">
        <w:rPr>
          <w:rFonts w:ascii="Verdana" w:eastAsia="Times New Roman" w:hAnsi="Verdana"/>
          <w:sz w:val="16"/>
          <w:szCs w:val="16"/>
          <w:lang w:eastAsia="es-ES"/>
        </w:rPr>
        <w:footnoteRef/>
      </w:r>
      <w:r w:rsidRPr="008D5C3E">
        <w:rPr>
          <w:rFonts w:ascii="Verdana" w:eastAsia="Times New Roman" w:hAnsi="Verdana" w:cs="Arial"/>
          <w:sz w:val="16"/>
          <w:szCs w:val="16"/>
          <w:lang w:eastAsia="es-ES"/>
        </w:rPr>
        <w:t xml:space="preserve"> El Consejo de Estado ha destacado sus características: “[…] la jurisprudencia de la Sección Tercera de esta Corporación ha señalado como características propias del contrato de concesión que: i) dentro de su celebración interviene una entidad estatal que actúa como concedente y una persona natural o jurídica denominada concesionario; ii) El concesionario es quien asume la gestión y riesgo de un servicio que corresponde al Estado sustituyendo a éste en el cumplimiento de dicha carga; iii) La entidad estatal mantiene durante la ejecución del contrato la inspección, vigilancia y control de la labor a ejecutar por parte del concesionario; iv) el concesionario recibe una remuneración o contraprestación, la cual se pacta, de diversas maneras (tasas, tarifas, derechos, participación en la explotación del bien, entre otros); y que v) los bienes construidos o adecuados durante la concesión deben revertirse al Estado, aunque ello no se pacte expresamente en el contrato” (Consejo de Estado. Sección Tercera. Sentencia del 23 de octubre de 2017. Consejero Ponente: Jaime Orlando Santofimio Gamboa. Exp. 53.477).</w:t>
      </w:r>
    </w:p>
    <w:p w14:paraId="0CB4F69B" w14:textId="77777777" w:rsidR="00FC28F5" w:rsidRPr="008D5C3E" w:rsidRDefault="00FC28F5" w:rsidP="00FC28F5">
      <w:pPr>
        <w:tabs>
          <w:tab w:val="left" w:pos="0"/>
        </w:tabs>
        <w:spacing w:after="0" w:line="240" w:lineRule="auto"/>
        <w:ind w:firstLine="709"/>
        <w:jc w:val="both"/>
        <w:rPr>
          <w:rFonts w:ascii="Verdana" w:eastAsia="Times New Roman" w:hAnsi="Verdana" w:cs="Arial"/>
          <w:sz w:val="16"/>
          <w:szCs w:val="16"/>
          <w:lang w:eastAsia="es-ES"/>
        </w:rPr>
      </w:pPr>
    </w:p>
  </w:footnote>
  <w:footnote w:id="8">
    <w:p w14:paraId="156556A7" w14:textId="77777777" w:rsidR="00FC28F5" w:rsidRPr="008D5C3E" w:rsidRDefault="00FC28F5" w:rsidP="00FC28F5">
      <w:pPr>
        <w:tabs>
          <w:tab w:val="left" w:pos="0"/>
        </w:tabs>
        <w:spacing w:after="0" w:line="240" w:lineRule="auto"/>
        <w:ind w:firstLine="709"/>
        <w:jc w:val="both"/>
        <w:rPr>
          <w:rFonts w:ascii="Verdana" w:eastAsia="Times New Roman" w:hAnsi="Verdana" w:cs="Arial"/>
          <w:sz w:val="16"/>
          <w:szCs w:val="16"/>
          <w:lang w:eastAsia="es-ES"/>
        </w:rPr>
      </w:pPr>
      <w:r w:rsidRPr="008D5C3E">
        <w:rPr>
          <w:rFonts w:ascii="Verdana" w:eastAsia="Times New Roman" w:hAnsi="Verdana"/>
          <w:sz w:val="16"/>
          <w:szCs w:val="16"/>
          <w:lang w:eastAsia="es-ES"/>
        </w:rPr>
        <w:footnoteRef/>
      </w:r>
      <w:r w:rsidRPr="008D5C3E">
        <w:rPr>
          <w:rFonts w:ascii="Verdana" w:eastAsia="Times New Roman" w:hAnsi="Verdana" w:cs="Arial"/>
          <w:sz w:val="16"/>
          <w:szCs w:val="16"/>
          <w:lang w:eastAsia="es-ES"/>
        </w:rPr>
        <w:t xml:space="preserve"> “Los contratos de concesión son entonces instrumentos a través de los cuales el Estado promueve el concurso de la inversión privada para el cumplimiento de sus fines. Estos contratos adquieren especial importancia en contextos en los que existen restricciones presupuestales, pues permiten la realización de importantes obras de infraestructura (vial, energética, de transporte, de telecomunicaciones, etc.) con el apoyo de los recursos y conocimientos privados; de este modo facilitan que los recursos públicos se enfoquen en otras necesidades de la actuación estatal” (Sentencia C-300 de 2012. Magistrado Ponente: Jorge Ignacio Pretelt Chaljub).</w:t>
      </w:r>
    </w:p>
    <w:p w14:paraId="6BB9FCF0" w14:textId="77777777" w:rsidR="00FC28F5" w:rsidRPr="008D5C3E" w:rsidRDefault="00FC28F5" w:rsidP="00FC28F5">
      <w:pPr>
        <w:tabs>
          <w:tab w:val="left" w:pos="0"/>
        </w:tabs>
        <w:spacing w:after="0" w:line="240" w:lineRule="auto"/>
        <w:ind w:firstLine="709"/>
        <w:jc w:val="both"/>
        <w:rPr>
          <w:rFonts w:ascii="Verdana" w:eastAsia="Times New Roman" w:hAnsi="Verdana" w:cs="Arial"/>
          <w:sz w:val="16"/>
          <w:szCs w:val="16"/>
          <w:lang w:eastAsia="es-ES"/>
        </w:rPr>
      </w:pPr>
    </w:p>
  </w:footnote>
  <w:footnote w:id="9">
    <w:p w14:paraId="59296CD6" w14:textId="77777777" w:rsidR="00FC28F5" w:rsidRPr="008D5C3E" w:rsidRDefault="00FC28F5" w:rsidP="00FC28F5">
      <w:pPr>
        <w:tabs>
          <w:tab w:val="left" w:pos="0"/>
        </w:tabs>
        <w:spacing w:after="0" w:line="240" w:lineRule="auto"/>
        <w:ind w:firstLine="709"/>
        <w:jc w:val="both"/>
        <w:rPr>
          <w:rFonts w:ascii="Verdana" w:eastAsia="Times New Roman" w:hAnsi="Verdana" w:cs="Arial"/>
          <w:sz w:val="16"/>
          <w:szCs w:val="16"/>
          <w:lang w:eastAsia="es-ES"/>
        </w:rPr>
      </w:pPr>
      <w:r w:rsidRPr="008D5C3E">
        <w:rPr>
          <w:rFonts w:ascii="Verdana" w:eastAsia="Times New Roman" w:hAnsi="Verdana"/>
          <w:sz w:val="16"/>
          <w:szCs w:val="16"/>
          <w:lang w:eastAsia="es-ES"/>
        </w:rPr>
        <w:footnoteRef/>
      </w:r>
      <w:r w:rsidRPr="008D5C3E">
        <w:rPr>
          <w:rFonts w:ascii="Verdana" w:eastAsia="Times New Roman" w:hAnsi="Verdana" w:cs="Arial"/>
          <w:sz w:val="16"/>
          <w:szCs w:val="16"/>
          <w:lang w:eastAsia="es-ES"/>
        </w:rPr>
        <w:t xml:space="preserve"> Agencia Nacional de Contratación Pública – Colombia Compra Eficiente. Concepto C-077 del 16 de marzo de 2021. </w:t>
      </w:r>
    </w:p>
    <w:p w14:paraId="25412C14" w14:textId="77777777" w:rsidR="00FC28F5" w:rsidRPr="008D5C3E" w:rsidRDefault="00FC28F5" w:rsidP="00FC28F5">
      <w:pPr>
        <w:tabs>
          <w:tab w:val="left" w:pos="0"/>
        </w:tabs>
        <w:spacing w:after="0" w:line="240" w:lineRule="auto"/>
        <w:ind w:firstLine="709"/>
        <w:jc w:val="both"/>
        <w:rPr>
          <w:rFonts w:ascii="Verdana" w:eastAsia="Times New Roman" w:hAnsi="Verdana" w:cs="Arial"/>
          <w:sz w:val="16"/>
          <w:szCs w:val="16"/>
          <w:lang w:eastAsia="es-ES"/>
        </w:rPr>
      </w:pPr>
    </w:p>
  </w:footnote>
  <w:footnote w:id="10">
    <w:p w14:paraId="5044C90A" w14:textId="77777777" w:rsidR="00FC28F5" w:rsidRPr="008D5C3E" w:rsidRDefault="00FC28F5" w:rsidP="00FC28F5">
      <w:pPr>
        <w:tabs>
          <w:tab w:val="left" w:pos="0"/>
        </w:tabs>
        <w:spacing w:after="0" w:line="240" w:lineRule="auto"/>
        <w:ind w:firstLine="709"/>
        <w:jc w:val="both"/>
        <w:rPr>
          <w:rFonts w:ascii="Verdana" w:eastAsia="Times New Roman" w:hAnsi="Verdana" w:cs="Arial"/>
          <w:sz w:val="16"/>
          <w:szCs w:val="16"/>
          <w:lang w:eastAsia="es-ES"/>
        </w:rPr>
      </w:pPr>
      <w:r w:rsidRPr="008D5C3E">
        <w:rPr>
          <w:rFonts w:ascii="Verdana" w:eastAsia="Times New Roman" w:hAnsi="Verdana"/>
          <w:sz w:val="16"/>
          <w:szCs w:val="16"/>
          <w:lang w:eastAsia="es-ES"/>
        </w:rPr>
        <w:footnoteRef/>
      </w:r>
      <w:r w:rsidRPr="008D5C3E">
        <w:rPr>
          <w:rFonts w:ascii="Verdana" w:eastAsia="Times New Roman" w:hAnsi="Verdana" w:cs="Arial"/>
          <w:sz w:val="16"/>
          <w:szCs w:val="16"/>
          <w:lang w:eastAsia="es-ES"/>
        </w:rPr>
        <w:t xml:space="preserve"> Consejo de Estado. Sección Tercera. Sentencia del 12 de febrero de 2015. Consejero Ponente: Hernán Andrade Rincón (E). Expediente: 33395.</w:t>
      </w:r>
    </w:p>
    <w:p w14:paraId="79E1734C" w14:textId="77777777" w:rsidR="00FC28F5" w:rsidRPr="008D5C3E" w:rsidRDefault="00FC28F5" w:rsidP="00FC28F5">
      <w:pPr>
        <w:tabs>
          <w:tab w:val="left" w:pos="0"/>
        </w:tabs>
        <w:spacing w:after="0" w:line="240" w:lineRule="auto"/>
        <w:ind w:firstLine="709"/>
        <w:jc w:val="both"/>
        <w:rPr>
          <w:rFonts w:ascii="Verdana" w:eastAsia="Times New Roman" w:hAnsi="Verdana" w:cs="Arial"/>
          <w:sz w:val="16"/>
          <w:szCs w:val="16"/>
          <w:lang w:eastAsia="es-ES"/>
        </w:rPr>
      </w:pPr>
    </w:p>
  </w:footnote>
  <w:footnote w:id="11">
    <w:p w14:paraId="591135AD" w14:textId="77777777" w:rsidR="00FC28F5" w:rsidRPr="00812E1D" w:rsidRDefault="00FC28F5" w:rsidP="00FC28F5">
      <w:pPr>
        <w:pStyle w:val="Textonotapie"/>
        <w:ind w:firstLine="708"/>
        <w:jc w:val="both"/>
        <w:rPr>
          <w:rFonts w:ascii="Verdana" w:hAnsi="Verdana" w:cs="Arial"/>
          <w:sz w:val="14"/>
          <w:szCs w:val="14"/>
        </w:rPr>
      </w:pPr>
      <w:r w:rsidRPr="00812E1D">
        <w:rPr>
          <w:rStyle w:val="Refdenotaalpie"/>
          <w:rFonts w:ascii="Verdana" w:hAnsi="Verdana" w:cs="Arial"/>
          <w:sz w:val="14"/>
          <w:szCs w:val="14"/>
        </w:rPr>
        <w:footnoteRef/>
      </w:r>
      <w:r w:rsidRPr="00812E1D">
        <w:rPr>
          <w:rFonts w:ascii="Verdana" w:hAnsi="Verdana" w:cs="Arial"/>
          <w:sz w:val="14"/>
          <w:szCs w:val="14"/>
        </w:rPr>
        <w:t xml:space="preserve"> “El instrumento principal de la actividad financiera del gobierno es el presupuesto público, el cual es también la carta de orientación para la ejecución de las finanzas estatales, instrumento de planificación y cumplimiento de planes y programas que refleja la actividad gubernamental y el cumplimiento de la Constitución Política en los ámbitos políticos, económicos, jurídicos y sociales. […] El presupuesto enmarca toda la práctica de política fiscal del Estado. Por medio de éste se llevan a cabo la búsqueda y el cumplimiento de principios y finalidades de la actuación administrativa, y que (sic) en últimas, orienta la satisfacción de necesidades de los individuos que lo conforman y se garantizan los recursos necesarios para el normal funcionamiento del aparato estatal”. PEÑA GONZÁLEZ, Edilberto. Principios e instituciones presupuestales en Colombia, en: Estudios Socio-Jurídicos, Bogotá (Colombia), 9 (1), enero-junio de 2007, p. 248 y 250.</w:t>
      </w:r>
    </w:p>
    <w:p w14:paraId="04450C7C" w14:textId="77777777" w:rsidR="00FC28F5" w:rsidRPr="00812E1D" w:rsidRDefault="00FC28F5" w:rsidP="00FC28F5">
      <w:pPr>
        <w:pStyle w:val="Textonotapie"/>
        <w:ind w:firstLine="708"/>
        <w:jc w:val="both"/>
        <w:rPr>
          <w:rFonts w:ascii="Verdana" w:hAnsi="Verdana" w:cs="Arial"/>
          <w:sz w:val="14"/>
          <w:szCs w:val="14"/>
        </w:rPr>
      </w:pPr>
    </w:p>
  </w:footnote>
  <w:footnote w:id="12">
    <w:p w14:paraId="67FCB455" w14:textId="77777777" w:rsidR="00FC28F5" w:rsidRPr="00812E1D" w:rsidRDefault="00FC28F5" w:rsidP="00FC28F5">
      <w:pPr>
        <w:pStyle w:val="Textonotapie"/>
        <w:ind w:firstLine="708"/>
        <w:jc w:val="both"/>
        <w:rPr>
          <w:rFonts w:ascii="Verdana" w:hAnsi="Verdana" w:cs="Arial"/>
          <w:sz w:val="14"/>
          <w:szCs w:val="14"/>
        </w:rPr>
      </w:pPr>
      <w:r w:rsidRPr="00812E1D">
        <w:rPr>
          <w:rStyle w:val="Refdenotaalpie"/>
          <w:rFonts w:ascii="Verdana" w:hAnsi="Verdana" w:cs="Arial"/>
          <w:sz w:val="14"/>
          <w:szCs w:val="14"/>
        </w:rPr>
        <w:footnoteRef/>
      </w:r>
      <w:r w:rsidRPr="00812E1D">
        <w:rPr>
          <w:rFonts w:ascii="Verdana" w:hAnsi="Verdana" w:cs="Arial"/>
          <w:sz w:val="14"/>
          <w:szCs w:val="14"/>
        </w:rPr>
        <w:t xml:space="preserve"> De conformidad con lo dispuesto en el artículo 10 del Decreto 111 de 1996 “La Ley Anual sobre el Presupuesto General de la Nación es el instrumento para el cumplimiento de los planes y programas de desarrollo económico y social” </w:t>
      </w:r>
    </w:p>
    <w:p w14:paraId="649EFF10" w14:textId="77777777" w:rsidR="00FC28F5" w:rsidRPr="00812E1D" w:rsidRDefault="00FC28F5" w:rsidP="00FC28F5">
      <w:pPr>
        <w:pStyle w:val="Textonotapie"/>
        <w:ind w:firstLine="708"/>
        <w:jc w:val="both"/>
        <w:rPr>
          <w:rFonts w:ascii="Verdana" w:hAnsi="Verdana" w:cs="Arial"/>
          <w:sz w:val="14"/>
          <w:szCs w:val="14"/>
        </w:rPr>
      </w:pPr>
      <w:r w:rsidRPr="00812E1D">
        <w:rPr>
          <w:rFonts w:ascii="Verdana" w:hAnsi="Verdana" w:cs="Arial"/>
          <w:sz w:val="14"/>
          <w:szCs w:val="14"/>
        </w:rPr>
        <w:t>A su turno, el artículo 11 del mismo Decreto indica que “El Presupuesto General de la Nación se compone de las siguientes partes:</w:t>
      </w:r>
    </w:p>
    <w:p w14:paraId="42ABEF04" w14:textId="77777777" w:rsidR="00FC28F5" w:rsidRPr="00812E1D" w:rsidRDefault="00FC28F5" w:rsidP="00FC28F5">
      <w:pPr>
        <w:pStyle w:val="Textonotapie"/>
        <w:ind w:firstLine="708"/>
        <w:jc w:val="both"/>
        <w:rPr>
          <w:rFonts w:ascii="Verdana" w:hAnsi="Verdana" w:cs="Arial"/>
          <w:sz w:val="14"/>
          <w:szCs w:val="14"/>
        </w:rPr>
      </w:pPr>
      <w:r w:rsidRPr="00812E1D">
        <w:rPr>
          <w:rFonts w:ascii="Verdana" w:hAnsi="Verdana" w:cs="Arial"/>
          <w:sz w:val="14"/>
          <w:szCs w:val="14"/>
        </w:rPr>
        <w:t>a) El Presupuesto de Rentas contendrá la estimación de los ingresos corrientes de la Nación; de las contribuciones para fiscales cuando sean administradas por un órgano que haga parte del Presupuesto, de los fondos especiales, de los recursos de capital y de los ingresos de los establecimientos públicos del orden nacional;</w:t>
      </w:r>
    </w:p>
    <w:p w14:paraId="58FD3D00" w14:textId="77777777" w:rsidR="00FC28F5" w:rsidRPr="00812E1D" w:rsidRDefault="00FC28F5" w:rsidP="00FC28F5">
      <w:pPr>
        <w:pStyle w:val="Textonotapie"/>
        <w:ind w:firstLine="708"/>
        <w:jc w:val="both"/>
        <w:rPr>
          <w:rFonts w:ascii="Verdana" w:hAnsi="Verdana" w:cs="Arial"/>
          <w:sz w:val="14"/>
          <w:szCs w:val="14"/>
        </w:rPr>
      </w:pPr>
      <w:r w:rsidRPr="00812E1D">
        <w:rPr>
          <w:rFonts w:ascii="Verdana" w:hAnsi="Verdana" w:cs="Arial"/>
          <w:sz w:val="14"/>
          <w:szCs w:val="14"/>
        </w:rPr>
        <w:t>b) El Presupuesto de Gastos o Ley de Apropiaciones. Incluirá las apropiaciones para la Rama Judicial, la Rama Legislativa, la Fiscalía General de la Nación, la Procuraduría General de la Nación, la Defensoría del Pueblo, la Contraloría General de la República, la Registraduría Nacional del Estado Civil que incluye el Consejo Nacional Electoral, los Ministerios, los Departamentos Administrativos, los Establecimientos Públicos y la Policía Nacional, distinguiendo entre gastos de funcionamiento, servicio de la deuda pública y gastos de inversión, clasificados y detallados en la forma que indiquen los reglamentos;</w:t>
      </w:r>
    </w:p>
    <w:p w14:paraId="061A0CF5" w14:textId="77777777" w:rsidR="00FC28F5" w:rsidRPr="00812E1D" w:rsidRDefault="00FC28F5" w:rsidP="00FC28F5">
      <w:pPr>
        <w:pStyle w:val="Textonotapie"/>
        <w:ind w:firstLine="708"/>
        <w:jc w:val="both"/>
        <w:rPr>
          <w:rFonts w:ascii="Verdana" w:hAnsi="Verdana" w:cs="Arial"/>
          <w:sz w:val="14"/>
          <w:szCs w:val="14"/>
        </w:rPr>
      </w:pPr>
      <w:r w:rsidRPr="00812E1D">
        <w:rPr>
          <w:rFonts w:ascii="Verdana" w:hAnsi="Verdana" w:cs="Arial"/>
          <w:sz w:val="14"/>
          <w:szCs w:val="14"/>
        </w:rPr>
        <w:t xml:space="preserve"> c) Disposiciones generales. Corresponde a las normas tendientes a asegurar la correcta ejecución del Presupuesto General de la Nación, las cuales regirán únicamente para el año fiscal para el cual se expidan”.</w:t>
      </w:r>
    </w:p>
    <w:p w14:paraId="306FD252" w14:textId="77777777" w:rsidR="00FC28F5" w:rsidRPr="00812E1D" w:rsidRDefault="00FC28F5" w:rsidP="00FC28F5">
      <w:pPr>
        <w:pStyle w:val="Textonotapie"/>
        <w:ind w:firstLine="708"/>
        <w:jc w:val="both"/>
        <w:rPr>
          <w:rFonts w:ascii="Verdana" w:hAnsi="Verdana" w:cs="Arial"/>
          <w:sz w:val="14"/>
          <w:szCs w:val="14"/>
          <w:lang w:val="es-CO"/>
        </w:rPr>
      </w:pPr>
    </w:p>
  </w:footnote>
  <w:footnote w:id="13">
    <w:p w14:paraId="4CE459EC" w14:textId="77777777" w:rsidR="00FC28F5" w:rsidRPr="00812E1D" w:rsidRDefault="00FC28F5" w:rsidP="00FC28F5">
      <w:pPr>
        <w:pStyle w:val="Textonotapie"/>
        <w:ind w:firstLine="709"/>
        <w:jc w:val="both"/>
        <w:rPr>
          <w:rFonts w:ascii="Verdana" w:hAnsi="Verdana"/>
          <w:sz w:val="14"/>
          <w:szCs w:val="14"/>
          <w:lang w:val="es-CO"/>
        </w:rPr>
      </w:pPr>
      <w:r w:rsidRPr="00812E1D">
        <w:rPr>
          <w:rStyle w:val="Refdenotaalpie"/>
          <w:rFonts w:ascii="Verdana" w:hAnsi="Verdana" w:cs="Arial"/>
          <w:sz w:val="14"/>
          <w:szCs w:val="14"/>
        </w:rPr>
        <w:footnoteRef/>
      </w:r>
      <w:r w:rsidRPr="00812E1D">
        <w:rPr>
          <w:rFonts w:ascii="Verdana" w:hAnsi="Verdana" w:cs="Arial"/>
          <w:sz w:val="14"/>
          <w:szCs w:val="14"/>
        </w:rPr>
        <w:t xml:space="preserve"> Decreto 1068 de 2015 “</w:t>
      </w:r>
      <w:r w:rsidRPr="00812E1D">
        <w:rPr>
          <w:rFonts w:ascii="Verdana" w:hAnsi="Verdana" w:cs="Arial"/>
          <w:sz w:val="14"/>
          <w:szCs w:val="14"/>
          <w:lang w:val="es-CO"/>
        </w:rPr>
        <w:t>Artículo </w:t>
      </w:r>
      <w:bookmarkStart w:id="2" w:name="2.8.3.4"/>
      <w:bookmarkEnd w:id="2"/>
      <w:r w:rsidRPr="00812E1D">
        <w:rPr>
          <w:rFonts w:ascii="Verdana" w:hAnsi="Verdana" w:cs="Arial"/>
          <w:sz w:val="14"/>
          <w:szCs w:val="14"/>
          <w:lang w:val="es-CO"/>
        </w:rPr>
        <w:t>2.8.3.4. </w:t>
      </w:r>
      <w:r w:rsidRPr="00812E1D">
        <w:rPr>
          <w:rFonts w:ascii="Verdana" w:hAnsi="Verdana" w:cs="Arial"/>
          <w:i/>
          <w:iCs/>
          <w:sz w:val="14"/>
          <w:szCs w:val="14"/>
          <w:lang w:val="es-CO"/>
        </w:rPr>
        <w:t>Anualidad.</w:t>
      </w:r>
      <w:r w:rsidRPr="00812E1D">
        <w:rPr>
          <w:rFonts w:ascii="Verdana" w:hAnsi="Verdana" w:cs="Arial"/>
          <w:sz w:val="14"/>
          <w:szCs w:val="14"/>
          <w:lang w:val="es-CO"/>
        </w:rPr>
        <w:t> El año fiscal comienza el 1 de enero y termina el 31 de diciembre de cada año. Después del 31 de diciembre no podrán asumirse compromisos con cargo a las apropiaciones del año fiscal que se cierra en esa fecha y los saldos de apropiación no afectados por compromisos caducarán sin excepción”.</w:t>
      </w:r>
    </w:p>
  </w:footnote>
  <w:footnote w:id="14">
    <w:p w14:paraId="6F5A8D2C" w14:textId="77777777" w:rsidR="00FC28F5" w:rsidRPr="00812E1D" w:rsidRDefault="00FC28F5" w:rsidP="00FC28F5">
      <w:pPr>
        <w:pStyle w:val="Textonotapie"/>
        <w:ind w:right="49" w:firstLine="708"/>
        <w:jc w:val="both"/>
        <w:rPr>
          <w:rFonts w:ascii="Verdana" w:hAnsi="Verdana" w:cs="Arial"/>
          <w:color w:val="000000"/>
          <w:sz w:val="14"/>
          <w:szCs w:val="14"/>
        </w:rPr>
      </w:pPr>
      <w:r w:rsidRPr="00812E1D">
        <w:rPr>
          <w:rStyle w:val="Refdenotaalpie"/>
          <w:rFonts w:ascii="Verdana" w:hAnsi="Verdana"/>
          <w:sz w:val="14"/>
          <w:szCs w:val="14"/>
        </w:rPr>
        <w:footnoteRef/>
      </w:r>
      <w:r w:rsidRPr="00812E1D">
        <w:rPr>
          <w:rFonts w:ascii="Verdana" w:hAnsi="Verdana"/>
          <w:sz w:val="14"/>
          <w:szCs w:val="14"/>
        </w:rPr>
        <w:t xml:space="preserve"> </w:t>
      </w:r>
      <w:r w:rsidRPr="00812E1D">
        <w:rPr>
          <w:rFonts w:ascii="Verdana" w:hAnsi="Verdana" w:cs="Arial"/>
          <w:color w:val="000000"/>
          <w:sz w:val="14"/>
          <w:szCs w:val="14"/>
        </w:rPr>
        <w:t>Consejo de Estado. Sección Tercera. Sentencia del 1 de febrero de 2018. Radicado Nro.</w:t>
      </w:r>
      <w:r w:rsidRPr="00812E1D">
        <w:rPr>
          <w:rFonts w:ascii="Verdana" w:hAnsi="Verdana" w:cs="Arial"/>
          <w:color w:val="000000"/>
          <w:sz w:val="14"/>
          <w:szCs w:val="14"/>
          <w:lang w:val="es-CO"/>
        </w:rPr>
        <w:t xml:space="preserve"> 08001-2331-000-2010-00987-01</w:t>
      </w:r>
      <w:r w:rsidRPr="00812E1D">
        <w:rPr>
          <w:rFonts w:ascii="Verdana" w:hAnsi="Verdana" w:cs="Arial"/>
          <w:color w:val="000000"/>
          <w:sz w:val="14"/>
          <w:szCs w:val="14"/>
        </w:rPr>
        <w:t xml:space="preserve">. C.P. </w:t>
      </w:r>
      <w:r w:rsidRPr="00812E1D">
        <w:rPr>
          <w:rFonts w:ascii="Verdana" w:hAnsi="Verdana" w:cs="Arial"/>
          <w:color w:val="000000"/>
          <w:sz w:val="14"/>
          <w:szCs w:val="14"/>
          <w:lang w:val="es-CO"/>
        </w:rPr>
        <w:t>Oswaldo Giraldo López</w:t>
      </w:r>
    </w:p>
    <w:p w14:paraId="7FE6B409" w14:textId="77777777" w:rsidR="00FC28F5" w:rsidRPr="00812E1D" w:rsidRDefault="00FC28F5" w:rsidP="00FC28F5">
      <w:pPr>
        <w:pStyle w:val="Textonotapie"/>
        <w:jc w:val="both"/>
        <w:rPr>
          <w:rFonts w:ascii="Verdana" w:hAnsi="Verdana"/>
          <w:sz w:val="14"/>
          <w:szCs w:val="14"/>
          <w:lang w:val="es-CO"/>
        </w:rPr>
      </w:pPr>
    </w:p>
  </w:footnote>
  <w:footnote w:id="15">
    <w:p w14:paraId="5095C291" w14:textId="77777777" w:rsidR="00FC28F5" w:rsidRPr="00812E1D" w:rsidRDefault="00FC28F5" w:rsidP="00FC28F5">
      <w:pPr>
        <w:pStyle w:val="Textonotapie"/>
        <w:ind w:firstLine="708"/>
        <w:jc w:val="both"/>
        <w:rPr>
          <w:rFonts w:ascii="Verdana" w:hAnsi="Verdana"/>
          <w:sz w:val="14"/>
          <w:szCs w:val="14"/>
        </w:rPr>
      </w:pPr>
      <w:r w:rsidRPr="00812E1D">
        <w:rPr>
          <w:rStyle w:val="Refdenotaalpie"/>
          <w:rFonts w:ascii="Verdana" w:hAnsi="Verdana"/>
          <w:sz w:val="14"/>
          <w:szCs w:val="14"/>
        </w:rPr>
        <w:footnoteRef/>
      </w:r>
      <w:r w:rsidRPr="00812E1D">
        <w:rPr>
          <w:rStyle w:val="Refdenotaalpie"/>
          <w:rFonts w:ascii="Verdana" w:hAnsi="Verdana"/>
          <w:sz w:val="14"/>
          <w:szCs w:val="14"/>
        </w:rPr>
        <w:footnoteRef/>
      </w:r>
      <w:r w:rsidRPr="00812E1D">
        <w:rPr>
          <w:rFonts w:ascii="Verdana" w:hAnsi="Verdana"/>
          <w:sz w:val="14"/>
          <w:szCs w:val="14"/>
        </w:rPr>
        <w:t xml:space="preserve"> NARANJO FLORES, Carlos Eduardo; CELY CUBIDES, Diego Mauricio. Las excepciones al principio de anualidad en la contratación estatal. Bogotá: Revista de Derecho Fiscal Universidad Externado de Colombia, 2008, no 4. pp. 250-251. </w:t>
      </w:r>
    </w:p>
    <w:p w14:paraId="1C5613EA" w14:textId="77777777" w:rsidR="00FC28F5" w:rsidRPr="00812E1D" w:rsidRDefault="00FC28F5" w:rsidP="00FC28F5">
      <w:pPr>
        <w:pStyle w:val="Textonotapie"/>
        <w:ind w:firstLine="708"/>
        <w:jc w:val="both"/>
        <w:rPr>
          <w:rFonts w:ascii="Verdana" w:hAnsi="Verdana"/>
          <w:sz w:val="14"/>
          <w:szCs w:val="14"/>
          <w:lang w:val="es-ES"/>
        </w:rPr>
      </w:pPr>
    </w:p>
  </w:footnote>
  <w:footnote w:id="16">
    <w:p w14:paraId="2D46A651" w14:textId="77777777" w:rsidR="00FC28F5" w:rsidRPr="00812E1D" w:rsidRDefault="00FC28F5" w:rsidP="00FC28F5">
      <w:pPr>
        <w:pStyle w:val="Textonotapie"/>
        <w:ind w:firstLine="709"/>
        <w:jc w:val="both"/>
        <w:rPr>
          <w:rFonts w:ascii="Verdana" w:hAnsi="Verdana" w:cs="Arial"/>
          <w:sz w:val="14"/>
          <w:szCs w:val="14"/>
          <w:lang w:val="es-CO"/>
        </w:rPr>
      </w:pPr>
      <w:r w:rsidRPr="00812E1D">
        <w:rPr>
          <w:rStyle w:val="Refdenotaalpie"/>
          <w:rFonts w:ascii="Verdana" w:hAnsi="Verdana" w:cs="Arial"/>
          <w:sz w:val="14"/>
          <w:szCs w:val="14"/>
        </w:rPr>
        <w:footnoteRef/>
      </w:r>
      <w:r w:rsidRPr="00812E1D">
        <w:rPr>
          <w:rFonts w:ascii="Verdana" w:hAnsi="Verdana" w:cs="Arial"/>
          <w:sz w:val="14"/>
          <w:szCs w:val="14"/>
        </w:rPr>
        <w:t xml:space="preserve"> </w:t>
      </w:r>
      <w:r w:rsidRPr="00812E1D">
        <w:rPr>
          <w:rFonts w:ascii="Verdana" w:eastAsia="Calibri" w:hAnsi="Verdana" w:cs="Arial"/>
          <w:sz w:val="14"/>
          <w:szCs w:val="14"/>
          <w:lang w:val="es-ES_tradnl"/>
        </w:rPr>
        <w:t>“</w:t>
      </w:r>
      <w:r w:rsidRPr="00812E1D">
        <w:rPr>
          <w:rFonts w:ascii="Verdana" w:hAnsi="Verdana" w:cs="Arial"/>
          <w:sz w:val="14"/>
          <w:szCs w:val="14"/>
          <w:lang w:val="es-CO"/>
        </w:rPr>
        <w:t>Artículo 23. El Confis podrá autorizar la asunción de obligaciones que afecten presupuestos de vigencias futuras cuando su ejecución se inicie con presupuesto de la vigencia en curso y el objeto del compromiso se lleve a cabo en cada una de ellas siempre y cuando se cumpla que:</w:t>
      </w:r>
    </w:p>
    <w:p w14:paraId="0A672EA5" w14:textId="77777777" w:rsidR="00FC28F5" w:rsidRPr="00812E1D" w:rsidRDefault="00FC28F5" w:rsidP="00FC28F5">
      <w:pPr>
        <w:pStyle w:val="Textonotapie"/>
        <w:ind w:firstLine="567"/>
        <w:jc w:val="both"/>
        <w:rPr>
          <w:rFonts w:ascii="Verdana" w:hAnsi="Verdana" w:cs="Arial"/>
          <w:sz w:val="14"/>
          <w:szCs w:val="14"/>
          <w:lang w:val="es-CO"/>
        </w:rPr>
      </w:pPr>
      <w:r w:rsidRPr="00812E1D">
        <w:rPr>
          <w:rFonts w:ascii="Verdana" w:hAnsi="Verdana" w:cs="Arial"/>
          <w:sz w:val="14"/>
          <w:szCs w:val="14"/>
          <w:lang w:val="es-CO"/>
        </w:rPr>
        <w:t>a) El monto máximo de vigencias futuras, el plazo y las condiciones de las mismas consulte las metas plurianuales del Marco Fiscal de Mediano Plazo de que trata el artículo </w:t>
      </w:r>
      <w:hyperlink r:id="rId2" w:anchor="1" w:history="1">
        <w:r w:rsidRPr="00812E1D">
          <w:rPr>
            <w:rStyle w:val="Hipervnculo"/>
            <w:rFonts w:ascii="Verdana" w:hAnsi="Verdana" w:cs="Arial"/>
            <w:sz w:val="14"/>
            <w:szCs w:val="14"/>
            <w:lang w:val="es-CO"/>
          </w:rPr>
          <w:t>1</w:t>
        </w:r>
      </w:hyperlink>
      <w:r w:rsidRPr="00812E1D">
        <w:rPr>
          <w:rFonts w:ascii="Verdana" w:hAnsi="Verdana" w:cs="Arial"/>
          <w:sz w:val="14"/>
          <w:szCs w:val="14"/>
          <w:lang w:val="es-CO"/>
        </w:rPr>
        <w:t>o de esta ley;</w:t>
      </w:r>
    </w:p>
    <w:p w14:paraId="337532C7" w14:textId="77777777" w:rsidR="00FC28F5" w:rsidRPr="00812E1D" w:rsidRDefault="00FC28F5" w:rsidP="00FC28F5">
      <w:pPr>
        <w:pStyle w:val="Textonotapie"/>
        <w:ind w:firstLine="567"/>
        <w:jc w:val="both"/>
        <w:rPr>
          <w:rFonts w:ascii="Verdana" w:hAnsi="Verdana" w:cs="Arial"/>
          <w:sz w:val="14"/>
          <w:szCs w:val="14"/>
          <w:lang w:val="es-CO"/>
        </w:rPr>
      </w:pPr>
      <w:r w:rsidRPr="00812E1D">
        <w:rPr>
          <w:rFonts w:ascii="Verdana" w:hAnsi="Verdana" w:cs="Arial"/>
          <w:sz w:val="14"/>
          <w:szCs w:val="14"/>
          <w:lang w:val="es-CO"/>
        </w:rPr>
        <w:t>b) Como mínimo, de las vigencias futuras que se soliciten se deberá contar con apropiación del quince por ciento (15%) en la vigencia fiscal en la que estas sean autorizadas;</w:t>
      </w:r>
    </w:p>
    <w:p w14:paraId="3229D708" w14:textId="77777777" w:rsidR="00FC28F5" w:rsidRPr="00812E1D" w:rsidRDefault="00FC28F5" w:rsidP="00FC28F5">
      <w:pPr>
        <w:pStyle w:val="Textonotapie"/>
        <w:ind w:firstLine="567"/>
        <w:jc w:val="both"/>
        <w:rPr>
          <w:rFonts w:ascii="Verdana" w:hAnsi="Verdana" w:cs="Arial"/>
          <w:sz w:val="14"/>
          <w:szCs w:val="14"/>
          <w:lang w:val="es-CO"/>
        </w:rPr>
      </w:pPr>
      <w:r w:rsidRPr="00812E1D">
        <w:rPr>
          <w:rFonts w:ascii="Verdana" w:hAnsi="Verdana" w:cs="Arial"/>
          <w:sz w:val="14"/>
          <w:szCs w:val="14"/>
          <w:lang w:val="es-CO"/>
        </w:rPr>
        <w:t>c) Cuando se trate de proyectos de inversión nacional deberá obtenerse el concepto previo y favorable del Departamento Nacional de Planeación y del Ministerio del ramo.</w:t>
      </w:r>
    </w:p>
    <w:p w14:paraId="0A2B267A" w14:textId="77777777" w:rsidR="00FC28F5" w:rsidRPr="00812E1D" w:rsidRDefault="00FC28F5" w:rsidP="00FC28F5">
      <w:pPr>
        <w:pStyle w:val="Textonotapie"/>
        <w:jc w:val="both"/>
        <w:rPr>
          <w:rFonts w:ascii="Verdana" w:hAnsi="Verdana" w:cs="Arial"/>
          <w:sz w:val="14"/>
          <w:szCs w:val="14"/>
          <w:lang w:val="es-CO"/>
        </w:rPr>
      </w:pPr>
      <w:r w:rsidRPr="00812E1D">
        <w:rPr>
          <w:rFonts w:ascii="Verdana" w:hAnsi="Verdana" w:cs="Arial"/>
          <w:sz w:val="14"/>
          <w:szCs w:val="14"/>
          <w:lang w:val="es-CO"/>
        </w:rPr>
        <w:t>La autorización por parte del Confis para comprometer presupuesto con cargo a vigencias futuras no podrá superar el respectivo período de gobierno. Se exceptúan los proyectos de gastos de inversión en aquellos casos en que el Conpes previamente los declare de importancia estratégica.</w:t>
      </w:r>
    </w:p>
    <w:p w14:paraId="346FBE42" w14:textId="77777777" w:rsidR="00FC28F5" w:rsidRPr="00812E1D" w:rsidRDefault="00FC28F5" w:rsidP="00FC28F5">
      <w:pPr>
        <w:pStyle w:val="Textonotapie"/>
        <w:jc w:val="both"/>
        <w:rPr>
          <w:rFonts w:ascii="Verdana" w:hAnsi="Verdana" w:cs="Arial"/>
          <w:sz w:val="14"/>
          <w:szCs w:val="14"/>
          <w:lang w:val="es-CO"/>
        </w:rPr>
      </w:pPr>
      <w:r w:rsidRPr="00812E1D">
        <w:rPr>
          <w:rFonts w:ascii="Verdana" w:hAnsi="Verdana" w:cs="Arial"/>
          <w:sz w:val="14"/>
          <w:szCs w:val="14"/>
          <w:lang w:val="es-CO"/>
        </w:rPr>
        <w:t>Esta disposición también se aplicará a las entidades de que trata el artículo 9o de la presente ley. El Gobierno reglamentará la materia.</w:t>
      </w:r>
    </w:p>
    <w:p w14:paraId="3DE2BCB3" w14:textId="77777777" w:rsidR="00FC28F5" w:rsidRPr="00812E1D" w:rsidRDefault="00FC28F5" w:rsidP="00FC28F5">
      <w:pPr>
        <w:pStyle w:val="Textonotapie"/>
        <w:ind w:firstLine="709"/>
        <w:jc w:val="both"/>
        <w:rPr>
          <w:rFonts w:ascii="Verdana" w:hAnsi="Verdana" w:cs="Arial"/>
          <w:sz w:val="14"/>
          <w:szCs w:val="14"/>
          <w:lang w:val="es-CO"/>
        </w:rPr>
      </w:pPr>
      <w:r w:rsidRPr="00812E1D">
        <w:rPr>
          <w:rFonts w:ascii="Verdana" w:hAnsi="Verdana" w:cs="Arial"/>
          <w:sz w:val="14"/>
          <w:szCs w:val="14"/>
          <w:lang w:val="es-CO"/>
        </w:rPr>
        <w:t>El Ministerio de Hacienda y Crédito Público, Dirección General del Presupuesto Público Nacional, incluirá en los proyectos de presupuesto las asignaciones necesarias para darle cumplimiento a lo dispuesto en este artículo. […]</w:t>
      </w:r>
      <w:r w:rsidRPr="00812E1D">
        <w:rPr>
          <w:rFonts w:ascii="Verdana" w:eastAsia="Calibri" w:hAnsi="Verdana" w:cs="Arial"/>
          <w:sz w:val="14"/>
          <w:szCs w:val="14"/>
          <w:lang w:val="es-ES_tradnl"/>
        </w:rPr>
        <w:t>”</w:t>
      </w:r>
    </w:p>
  </w:footnote>
  <w:footnote w:id="17">
    <w:p w14:paraId="3E6DE6E2" w14:textId="77777777" w:rsidR="00FC28F5" w:rsidRPr="00812E1D" w:rsidRDefault="00FC28F5" w:rsidP="00FC28F5">
      <w:pPr>
        <w:pStyle w:val="Textonotapie"/>
        <w:ind w:firstLine="567"/>
        <w:jc w:val="both"/>
        <w:rPr>
          <w:rFonts w:ascii="Verdana" w:hAnsi="Verdana" w:cs="Arial"/>
          <w:sz w:val="14"/>
          <w:szCs w:val="14"/>
        </w:rPr>
      </w:pPr>
      <w:r w:rsidRPr="00812E1D">
        <w:rPr>
          <w:rStyle w:val="Refdenotaalpie"/>
          <w:rFonts w:ascii="Verdana" w:hAnsi="Verdana" w:cs="Arial"/>
          <w:sz w:val="14"/>
          <w:szCs w:val="14"/>
        </w:rPr>
        <w:footnoteRef/>
      </w:r>
      <w:r w:rsidRPr="00812E1D">
        <w:rPr>
          <w:rFonts w:ascii="Verdana" w:hAnsi="Verdana" w:cs="Arial"/>
          <w:sz w:val="14"/>
          <w:szCs w:val="14"/>
        </w:rPr>
        <w:t xml:space="preserve"> Consejo de Estado. Sección Tercera. Sentencia del 1 de febrero de 2018. Radicado Nro. 08001-2331-000-2010-00987-01. C.P. Oswaldo Giraldo López</w:t>
      </w:r>
    </w:p>
    <w:p w14:paraId="193F4D5C" w14:textId="77777777" w:rsidR="00FC28F5" w:rsidRPr="00812E1D" w:rsidRDefault="00FC28F5" w:rsidP="00FC28F5">
      <w:pPr>
        <w:pStyle w:val="Textonotapie"/>
        <w:ind w:firstLine="567"/>
        <w:jc w:val="both"/>
        <w:rPr>
          <w:rFonts w:ascii="Verdana" w:hAnsi="Verdana" w:cs="Arial"/>
          <w:sz w:val="14"/>
          <w:szCs w:val="14"/>
          <w:lang w:val="es-CO"/>
        </w:rPr>
      </w:pPr>
    </w:p>
  </w:footnote>
  <w:footnote w:id="18">
    <w:p w14:paraId="2C87936C" w14:textId="77777777" w:rsidR="00FC28F5" w:rsidRPr="00812E1D" w:rsidRDefault="00FC28F5" w:rsidP="00FC28F5">
      <w:pPr>
        <w:pStyle w:val="Textonotapie"/>
        <w:ind w:firstLine="709"/>
        <w:jc w:val="both"/>
        <w:rPr>
          <w:rFonts w:ascii="Verdana" w:hAnsi="Verdana" w:cs="Arial"/>
          <w:sz w:val="14"/>
          <w:szCs w:val="14"/>
        </w:rPr>
      </w:pPr>
      <w:r w:rsidRPr="00812E1D">
        <w:rPr>
          <w:rStyle w:val="Refdenotaalpie"/>
          <w:rFonts w:ascii="Verdana" w:hAnsi="Verdana"/>
          <w:sz w:val="14"/>
          <w:szCs w:val="14"/>
        </w:rPr>
        <w:footnoteRef/>
      </w:r>
      <w:r w:rsidRPr="00812E1D">
        <w:rPr>
          <w:rFonts w:ascii="Verdana" w:hAnsi="Verdana"/>
          <w:sz w:val="14"/>
          <w:szCs w:val="14"/>
        </w:rPr>
        <w:t xml:space="preserve"> </w:t>
      </w:r>
      <w:r w:rsidRPr="00812E1D">
        <w:rPr>
          <w:rFonts w:ascii="Verdana" w:hAnsi="Verdana" w:cs="Arial"/>
          <w:sz w:val="14"/>
          <w:szCs w:val="14"/>
        </w:rPr>
        <w:t xml:space="preserve">Consejo de Estado. Sección Tercera. Sentencia del 12 de agosto de 2014. Radicado Nro. </w:t>
      </w:r>
      <w:r w:rsidRPr="00812E1D">
        <w:rPr>
          <w:rFonts w:ascii="Verdana" w:hAnsi="Verdana" w:cs="Arial"/>
          <w:bCs/>
          <w:sz w:val="14"/>
          <w:szCs w:val="14"/>
          <w:lang w:val="es-ES"/>
        </w:rPr>
        <w:t xml:space="preserve">05001-23-31-000-1998-01350-01(28565) </w:t>
      </w:r>
      <w:r w:rsidRPr="00812E1D">
        <w:rPr>
          <w:rFonts w:ascii="Verdana" w:hAnsi="Verdana" w:cs="Arial"/>
          <w:sz w:val="14"/>
          <w:szCs w:val="14"/>
        </w:rPr>
        <w:t>C.P. Enrique Gil Botero</w:t>
      </w:r>
    </w:p>
    <w:p w14:paraId="682F5745" w14:textId="77777777" w:rsidR="00FC28F5" w:rsidRPr="00812E1D" w:rsidRDefault="00FC28F5" w:rsidP="00FC28F5">
      <w:pPr>
        <w:pStyle w:val="Textonotapie"/>
        <w:ind w:firstLine="709"/>
        <w:jc w:val="both"/>
        <w:rPr>
          <w:rFonts w:ascii="Verdana" w:hAnsi="Verdana" w:cs="Arial"/>
          <w:b/>
          <w:sz w:val="14"/>
          <w:szCs w:val="14"/>
          <w:lang w:val="es-ES"/>
        </w:rPr>
      </w:pPr>
    </w:p>
  </w:footnote>
  <w:footnote w:id="19">
    <w:p w14:paraId="7B33E561" w14:textId="77777777" w:rsidR="00FC28F5" w:rsidRPr="00812E1D" w:rsidRDefault="00FC28F5" w:rsidP="00FC28F5">
      <w:pPr>
        <w:pStyle w:val="Textonotapie"/>
        <w:ind w:firstLine="709"/>
        <w:jc w:val="both"/>
        <w:rPr>
          <w:rFonts w:ascii="Verdana" w:eastAsia="Calibri" w:hAnsi="Verdana" w:cs="Arial"/>
          <w:sz w:val="14"/>
          <w:szCs w:val="14"/>
          <w:lang w:val="es-ES_tradnl"/>
        </w:rPr>
      </w:pPr>
      <w:r w:rsidRPr="00812E1D">
        <w:rPr>
          <w:rStyle w:val="Refdenotaalpie"/>
          <w:rFonts w:ascii="Verdana" w:hAnsi="Verdana"/>
          <w:sz w:val="14"/>
          <w:szCs w:val="14"/>
        </w:rPr>
        <w:footnoteRef/>
      </w:r>
      <w:r w:rsidRPr="00812E1D">
        <w:rPr>
          <w:rFonts w:ascii="Verdana" w:hAnsi="Verdana"/>
          <w:sz w:val="14"/>
          <w:szCs w:val="14"/>
        </w:rPr>
        <w:t xml:space="preserve"> </w:t>
      </w:r>
      <w:r w:rsidRPr="00812E1D">
        <w:rPr>
          <w:rFonts w:ascii="Verdana" w:hAnsi="Verdana" w:cs="Arial"/>
          <w:sz w:val="14"/>
          <w:szCs w:val="14"/>
        </w:rPr>
        <w:t xml:space="preserve">Conforme al Artículo 89 del </w:t>
      </w:r>
      <w:r w:rsidRPr="00812E1D">
        <w:rPr>
          <w:rFonts w:ascii="Verdana" w:eastAsia="Calibri" w:hAnsi="Verdana" w:cs="Arial"/>
          <w:color w:val="000000" w:themeColor="text1"/>
          <w:sz w:val="14"/>
          <w:szCs w:val="14"/>
          <w:lang w:val="es-ES"/>
        </w:rPr>
        <w:t>Estatuto Orgánico del Presupuesto</w:t>
      </w:r>
      <w:r w:rsidRPr="00812E1D">
        <w:rPr>
          <w:rFonts w:ascii="Verdana" w:eastAsia="Times New Roman" w:hAnsi="Verdana" w:cs="Arial"/>
          <w:color w:val="4B4949"/>
          <w:sz w:val="14"/>
          <w:szCs w:val="14"/>
          <w:lang w:val="es-CO" w:eastAsia="es-ES_tradnl"/>
        </w:rPr>
        <w:t xml:space="preserve"> </w:t>
      </w:r>
      <w:r w:rsidRPr="00812E1D">
        <w:rPr>
          <w:rFonts w:ascii="Verdana" w:eastAsia="Calibri" w:hAnsi="Verdana" w:cs="Arial"/>
          <w:sz w:val="14"/>
          <w:szCs w:val="14"/>
          <w:lang w:val="es-CO"/>
        </w:rPr>
        <w:t>“</w:t>
      </w:r>
      <w:r w:rsidRPr="00812E1D">
        <w:rPr>
          <w:rFonts w:ascii="Verdana" w:eastAsia="Calibri" w:hAnsi="Verdana" w:cs="Arial"/>
          <w:sz w:val="14"/>
          <w:szCs w:val="14"/>
          <w:lang w:val="es-ES_tradnl"/>
        </w:rPr>
        <w:t xml:space="preserve">[…] </w:t>
      </w:r>
      <w:r w:rsidRPr="00812E1D">
        <w:rPr>
          <w:rFonts w:ascii="Verdana" w:eastAsia="Times New Roman" w:hAnsi="Verdana" w:cs="Arial"/>
          <w:color w:val="4B4949"/>
          <w:sz w:val="14"/>
          <w:szCs w:val="14"/>
          <w:lang w:val="es-CO" w:eastAsia="es-ES_tradnl"/>
        </w:rPr>
        <w:t>c</w:t>
      </w:r>
      <w:r w:rsidRPr="00812E1D">
        <w:rPr>
          <w:rFonts w:ascii="Verdana" w:eastAsia="Calibri" w:hAnsi="Verdana" w:cs="Arial"/>
          <w:color w:val="000000" w:themeColor="text1"/>
          <w:sz w:val="14"/>
          <w:szCs w:val="14"/>
          <w:lang w:val="es-CO"/>
        </w:rPr>
        <w:t>ada órgano constituirá al 31 de diciembre del año cuentas por pagar con las obligaciones correspondientes a los anticipos pactados en los contratos y a la entrega de bienes y servicios</w:t>
      </w:r>
      <w:r w:rsidRPr="00812E1D">
        <w:rPr>
          <w:rFonts w:ascii="Verdana" w:eastAsia="Calibri" w:hAnsi="Verdana" w:cs="Arial"/>
          <w:sz w:val="14"/>
          <w:szCs w:val="14"/>
          <w:lang w:val="es-ES_tradnl"/>
        </w:rPr>
        <w:t>”.</w:t>
      </w:r>
    </w:p>
  </w:footnote>
  <w:footnote w:id="20">
    <w:p w14:paraId="10F3A8FC" w14:textId="77777777" w:rsidR="00FC28F5" w:rsidRPr="00812E1D" w:rsidRDefault="00FC28F5" w:rsidP="00FC28F5">
      <w:pPr>
        <w:pStyle w:val="Textonotapie"/>
        <w:ind w:firstLine="709"/>
        <w:jc w:val="both"/>
        <w:rPr>
          <w:rFonts w:ascii="Verdana" w:eastAsia="Calibri" w:hAnsi="Verdana" w:cs="Arial"/>
          <w:color w:val="000000" w:themeColor="text1"/>
          <w:sz w:val="14"/>
          <w:szCs w:val="14"/>
          <w:lang w:val="es-ES"/>
        </w:rPr>
      </w:pPr>
      <w:r w:rsidRPr="00812E1D">
        <w:rPr>
          <w:rStyle w:val="Refdenotaalpie"/>
          <w:rFonts w:ascii="Verdana" w:hAnsi="Verdana"/>
          <w:sz w:val="14"/>
          <w:szCs w:val="14"/>
        </w:rPr>
        <w:footnoteRef/>
      </w:r>
      <w:r w:rsidRPr="00812E1D">
        <w:rPr>
          <w:rFonts w:ascii="Verdana" w:hAnsi="Verdana"/>
          <w:sz w:val="14"/>
          <w:szCs w:val="14"/>
        </w:rPr>
        <w:t xml:space="preserve"> </w:t>
      </w:r>
      <w:r w:rsidRPr="00812E1D">
        <w:rPr>
          <w:rFonts w:ascii="Verdana" w:eastAsia="Calibri" w:hAnsi="Verdana" w:cs="Arial"/>
          <w:color w:val="000000" w:themeColor="text1"/>
          <w:sz w:val="14"/>
          <w:szCs w:val="14"/>
          <w:lang w:val="es-ES"/>
        </w:rPr>
        <w:t>Artículo 89 del Estatuto Orgánico del Presupuesto</w:t>
      </w:r>
    </w:p>
    <w:p w14:paraId="6EA69101" w14:textId="77777777" w:rsidR="00FC28F5" w:rsidRPr="00812E1D" w:rsidRDefault="00FC28F5" w:rsidP="00FC28F5">
      <w:pPr>
        <w:pStyle w:val="Textonotapie"/>
        <w:ind w:firstLine="709"/>
        <w:jc w:val="both"/>
        <w:rPr>
          <w:rFonts w:ascii="Verdana" w:hAnsi="Verdana" w:cs="Arial"/>
          <w:sz w:val="14"/>
          <w:szCs w:val="14"/>
          <w:lang w:val="es-CO"/>
        </w:rPr>
      </w:pPr>
    </w:p>
  </w:footnote>
  <w:footnote w:id="21">
    <w:p w14:paraId="0715BBD1" w14:textId="77777777" w:rsidR="00FC28F5" w:rsidRPr="00812E1D" w:rsidRDefault="00FC28F5" w:rsidP="00FC28F5">
      <w:pPr>
        <w:pStyle w:val="Textonotapie"/>
        <w:ind w:firstLine="709"/>
        <w:jc w:val="both"/>
        <w:rPr>
          <w:rFonts w:ascii="Verdana" w:hAnsi="Verdana" w:cs="Arial"/>
          <w:sz w:val="14"/>
          <w:szCs w:val="14"/>
          <w:lang w:val="es-CO"/>
        </w:rPr>
      </w:pPr>
      <w:r w:rsidRPr="00812E1D">
        <w:rPr>
          <w:rStyle w:val="Refdenotaalpie"/>
          <w:rFonts w:ascii="Verdana" w:hAnsi="Verdana"/>
          <w:sz w:val="14"/>
          <w:szCs w:val="14"/>
        </w:rPr>
        <w:footnoteRef/>
      </w:r>
      <w:r w:rsidRPr="00812E1D">
        <w:rPr>
          <w:rFonts w:ascii="Verdana" w:hAnsi="Verdana"/>
          <w:sz w:val="14"/>
          <w:szCs w:val="14"/>
        </w:rPr>
        <w:t xml:space="preserve"> </w:t>
      </w:r>
      <w:r w:rsidRPr="00812E1D">
        <w:rPr>
          <w:rFonts w:ascii="Verdana" w:eastAsia="Calibri" w:hAnsi="Verdana" w:cs="Arial"/>
          <w:sz w:val="14"/>
          <w:szCs w:val="14"/>
          <w:lang w:val="es-ES_tradnl"/>
        </w:rPr>
        <w:t>“</w:t>
      </w:r>
      <w:r w:rsidRPr="00812E1D">
        <w:rPr>
          <w:rFonts w:ascii="Verdana" w:hAnsi="Verdana" w:cs="Arial"/>
          <w:sz w:val="14"/>
          <w:szCs w:val="14"/>
          <w:lang w:val="es-CO"/>
        </w:rPr>
        <w:t>Artículo 2.8.1.7.3.2. </w:t>
      </w:r>
      <w:r w:rsidRPr="00812E1D">
        <w:rPr>
          <w:rFonts w:ascii="Verdana" w:hAnsi="Verdana" w:cs="Arial"/>
          <w:i/>
          <w:iCs/>
          <w:sz w:val="14"/>
          <w:szCs w:val="14"/>
          <w:lang w:val="es-CO"/>
        </w:rPr>
        <w:t>Constitución de reservas presupuestales y cuentas por pagar. </w:t>
      </w:r>
      <w:r w:rsidRPr="00812E1D">
        <w:rPr>
          <w:rFonts w:ascii="Verdana" w:hAnsi="Verdana" w:cs="Arial"/>
          <w:sz w:val="14"/>
          <w:szCs w:val="14"/>
          <w:lang w:val="es-CO"/>
        </w:rPr>
        <w:t>A más tardar el 20 de enero de cada año, los órganos que conforman el Presupuesto General de la Nación constituirán las reservas presupuestales y cuentas por pagar de la respectiva sección presupuestal correspondientes a la vigencia fiscal anterior, de conformidad con los saldos registrados a 31 de diciembre a través del Sistema Integrado de Información Financiera SIIF Nación. En dicho plazo, solo se podrán efectuar los ajustes a que haya lugar para la constitución de las reserves presupuestales y de las cuentas por pagar, sin que en ningún caso se puedan registrar nuevos compromisos ni obligaciones</w:t>
      </w:r>
      <w:r w:rsidRPr="00812E1D">
        <w:rPr>
          <w:rFonts w:ascii="Verdana" w:eastAsia="Calibri" w:hAnsi="Verdana" w:cs="Arial"/>
          <w:sz w:val="14"/>
          <w:szCs w:val="14"/>
          <w:lang w:val="es-CO"/>
        </w:rPr>
        <w:t>”</w:t>
      </w:r>
      <w:r w:rsidRPr="00812E1D">
        <w:rPr>
          <w:rFonts w:ascii="Verdana" w:hAnsi="Verdana" w:cs="Arial"/>
          <w:sz w:val="14"/>
          <w:szCs w:val="14"/>
          <w:lang w:val="es-CO"/>
        </w:rPr>
        <w:t>.</w:t>
      </w:r>
    </w:p>
    <w:p w14:paraId="67D2FC7E" w14:textId="77777777" w:rsidR="00FC28F5" w:rsidRPr="00812E1D" w:rsidRDefault="00FC28F5" w:rsidP="00FC28F5">
      <w:pPr>
        <w:pStyle w:val="Textonotapie"/>
        <w:ind w:firstLine="709"/>
        <w:jc w:val="both"/>
        <w:rPr>
          <w:rFonts w:ascii="Verdana" w:hAnsi="Verdana"/>
          <w:sz w:val="14"/>
          <w:szCs w:val="14"/>
          <w:lang w:val="es-CO"/>
        </w:rPr>
      </w:pPr>
    </w:p>
  </w:footnote>
  <w:footnote w:id="22">
    <w:p w14:paraId="242D5720" w14:textId="77777777" w:rsidR="00FC28F5" w:rsidRPr="00812E1D" w:rsidRDefault="00FC28F5" w:rsidP="00FC28F5">
      <w:pPr>
        <w:pStyle w:val="Textonotapie"/>
        <w:ind w:firstLine="709"/>
        <w:jc w:val="both"/>
        <w:rPr>
          <w:rFonts w:ascii="Verdana" w:hAnsi="Verdana" w:cs="Arial"/>
          <w:sz w:val="14"/>
          <w:szCs w:val="14"/>
          <w:lang w:val="es-CO"/>
        </w:rPr>
      </w:pPr>
      <w:r w:rsidRPr="00812E1D">
        <w:rPr>
          <w:rStyle w:val="Refdenotaalpie"/>
          <w:rFonts w:ascii="Verdana" w:hAnsi="Verdana" w:cs="Arial"/>
          <w:sz w:val="14"/>
          <w:szCs w:val="14"/>
        </w:rPr>
        <w:footnoteRef/>
      </w:r>
      <w:r w:rsidRPr="00812E1D">
        <w:rPr>
          <w:rFonts w:ascii="Verdana" w:hAnsi="Verdana" w:cs="Arial"/>
          <w:sz w:val="14"/>
          <w:szCs w:val="14"/>
        </w:rPr>
        <w:t xml:space="preserve"> </w:t>
      </w:r>
      <w:r w:rsidRPr="00812E1D">
        <w:rPr>
          <w:rFonts w:ascii="Verdana" w:hAnsi="Verdana" w:cs="Arial"/>
          <w:sz w:val="14"/>
          <w:szCs w:val="14"/>
          <w:lang w:val="es-CO"/>
        </w:rPr>
        <w:t xml:space="preserve">Contraloría General de la República. Circular Externa 43 de 2008 </w:t>
      </w:r>
    </w:p>
  </w:footnote>
  <w:footnote w:id="23">
    <w:p w14:paraId="7A7428EF" w14:textId="77777777" w:rsidR="00FC28F5" w:rsidRPr="00812E1D" w:rsidRDefault="00FC28F5" w:rsidP="00FC28F5">
      <w:pPr>
        <w:pStyle w:val="Textonotapie"/>
        <w:ind w:right="49" w:firstLine="708"/>
        <w:jc w:val="both"/>
        <w:rPr>
          <w:rFonts w:ascii="Verdana" w:hAnsi="Verdana" w:cs="Arial"/>
          <w:color w:val="000000"/>
          <w:sz w:val="14"/>
          <w:szCs w:val="14"/>
        </w:rPr>
      </w:pPr>
      <w:r w:rsidRPr="00812E1D">
        <w:rPr>
          <w:rStyle w:val="Refdenotaalpie"/>
          <w:rFonts w:ascii="Verdana" w:hAnsi="Verdana"/>
          <w:sz w:val="14"/>
          <w:szCs w:val="14"/>
        </w:rPr>
        <w:footnoteRef/>
      </w:r>
      <w:r w:rsidRPr="00812E1D">
        <w:rPr>
          <w:rFonts w:ascii="Verdana" w:hAnsi="Verdana"/>
          <w:sz w:val="14"/>
          <w:szCs w:val="14"/>
        </w:rPr>
        <w:t xml:space="preserve"> </w:t>
      </w:r>
      <w:r w:rsidRPr="00812E1D">
        <w:rPr>
          <w:rFonts w:ascii="Verdana" w:hAnsi="Verdana" w:cs="Arial"/>
          <w:color w:val="000000"/>
          <w:sz w:val="14"/>
          <w:szCs w:val="14"/>
        </w:rPr>
        <w:t>Consejo de Estado. Sección Tercera. Sentencia del 1 de febrero de 2018. Radicado Nro.</w:t>
      </w:r>
      <w:r w:rsidRPr="00812E1D">
        <w:rPr>
          <w:rFonts w:ascii="Verdana" w:hAnsi="Verdana" w:cs="Arial"/>
          <w:color w:val="000000"/>
          <w:sz w:val="14"/>
          <w:szCs w:val="14"/>
          <w:lang w:val="es-CO"/>
        </w:rPr>
        <w:t xml:space="preserve"> 08001-2331-000-2010-00987-01</w:t>
      </w:r>
      <w:r w:rsidRPr="00812E1D">
        <w:rPr>
          <w:rFonts w:ascii="Verdana" w:hAnsi="Verdana" w:cs="Arial"/>
          <w:color w:val="000000"/>
          <w:sz w:val="14"/>
          <w:szCs w:val="14"/>
        </w:rPr>
        <w:t xml:space="preserve">. C.P. </w:t>
      </w:r>
      <w:r w:rsidRPr="00812E1D">
        <w:rPr>
          <w:rFonts w:ascii="Verdana" w:hAnsi="Verdana" w:cs="Arial"/>
          <w:color w:val="000000"/>
          <w:sz w:val="14"/>
          <w:szCs w:val="14"/>
          <w:lang w:val="es-CO"/>
        </w:rPr>
        <w:t>Oswaldo Giraldo López</w:t>
      </w:r>
      <w:r w:rsidRPr="00812E1D">
        <w:rPr>
          <w:rFonts w:ascii="Verdana" w:hAnsi="Verdana" w:cs="Arial"/>
          <w:color w:val="000000"/>
          <w:sz w:val="14"/>
          <w:szCs w:val="14"/>
        </w:rPr>
        <w:t>.</w:t>
      </w:r>
    </w:p>
  </w:footnote>
  <w:footnote w:id="24">
    <w:p w14:paraId="55534F82" w14:textId="77777777" w:rsidR="00FC28F5" w:rsidRPr="0043231C" w:rsidRDefault="00FC28F5" w:rsidP="00FC28F5">
      <w:pPr>
        <w:pStyle w:val="Textonotapie"/>
        <w:spacing w:before="120" w:after="120"/>
        <w:ind w:firstLine="707"/>
        <w:contextualSpacing/>
        <w:rPr>
          <w:rFonts w:ascii="Verdana" w:hAnsi="Verdana"/>
          <w:sz w:val="16"/>
          <w:szCs w:val="16"/>
        </w:rPr>
      </w:pPr>
      <w:r w:rsidRPr="0043231C">
        <w:rPr>
          <w:rStyle w:val="Refdenotaalpie"/>
          <w:rFonts w:ascii="Verdana" w:hAnsi="Verdana"/>
          <w:sz w:val="16"/>
          <w:szCs w:val="16"/>
        </w:rPr>
        <w:footnoteRef/>
      </w:r>
      <w:r w:rsidRPr="0043231C">
        <w:rPr>
          <w:rFonts w:ascii="Verdana" w:hAnsi="Verdana"/>
          <w:sz w:val="16"/>
          <w:szCs w:val="16"/>
        </w:rPr>
        <w:t xml:space="preserve"> </w:t>
      </w:r>
      <w:r w:rsidRPr="0043231C">
        <w:rPr>
          <w:rFonts w:ascii="Verdana" w:hAnsi="Verdana"/>
          <w:sz w:val="16"/>
          <w:szCs w:val="16"/>
          <w:lang w:val="es-CO"/>
        </w:rPr>
        <w:t>CONSEJO DE ESTADO. Sección Tercera. Sentencia del 12 de Agosto de 2014. Exp. 28565. C.P. ENRIQUE GIL BOTERO</w:t>
      </w:r>
    </w:p>
    <w:p w14:paraId="781E23A3" w14:textId="77777777" w:rsidR="00FC28F5" w:rsidRPr="0043231C" w:rsidRDefault="00FC28F5" w:rsidP="00FC28F5">
      <w:pPr>
        <w:pStyle w:val="Textonotapie"/>
        <w:spacing w:before="120" w:after="120"/>
        <w:contextualSpacing/>
        <w:rPr>
          <w:rFonts w:ascii="Verdana" w:hAnsi="Verdana"/>
          <w:sz w:val="16"/>
          <w:szCs w:val="16"/>
          <w:lang w:val="es-ES"/>
        </w:rPr>
      </w:pPr>
    </w:p>
  </w:footnote>
  <w:footnote w:id="25">
    <w:p w14:paraId="374A1642" w14:textId="77777777" w:rsidR="00FC28F5" w:rsidRPr="0043231C" w:rsidRDefault="00FC28F5" w:rsidP="00FC28F5">
      <w:pPr>
        <w:pStyle w:val="Textonotapie"/>
        <w:spacing w:before="120" w:after="120"/>
        <w:ind w:firstLine="707"/>
        <w:contextualSpacing/>
        <w:rPr>
          <w:rFonts w:ascii="Verdana" w:hAnsi="Verdana"/>
          <w:sz w:val="16"/>
          <w:szCs w:val="16"/>
          <w:lang w:val="es-ES"/>
        </w:rPr>
      </w:pPr>
      <w:r w:rsidRPr="0043231C">
        <w:rPr>
          <w:rFonts w:ascii="Verdana" w:hAnsi="Verdana"/>
          <w:sz w:val="16"/>
          <w:szCs w:val="16"/>
          <w:vertAlign w:val="superscript"/>
        </w:rPr>
        <w:footnoteRef/>
      </w:r>
      <w:r w:rsidRPr="0043231C">
        <w:rPr>
          <w:rFonts w:ascii="Verdana" w:hAnsi="Verdana"/>
          <w:sz w:val="16"/>
          <w:szCs w:val="16"/>
        </w:rPr>
        <w:t xml:space="preserve"> Ley 80 de 1993, artículo 25.</w:t>
      </w:r>
    </w:p>
  </w:footnote>
  <w:footnote w:id="26">
    <w:p w14:paraId="3044A723" w14:textId="77777777" w:rsidR="00FC28F5" w:rsidRPr="00AC4B25" w:rsidRDefault="00FC28F5" w:rsidP="00FC28F5">
      <w:pPr>
        <w:pStyle w:val="Textonotapie"/>
        <w:ind w:firstLine="708"/>
        <w:jc w:val="both"/>
        <w:rPr>
          <w:rFonts w:ascii="Verdana" w:hAnsi="Verdana" w:cs="Arial"/>
          <w:sz w:val="16"/>
          <w:szCs w:val="16"/>
        </w:rPr>
      </w:pPr>
      <w:r w:rsidRPr="00AC4B25">
        <w:rPr>
          <w:rStyle w:val="Refdenotaalpie"/>
          <w:rFonts w:ascii="Verdana" w:hAnsi="Verdana" w:cs="Arial"/>
          <w:sz w:val="16"/>
          <w:szCs w:val="16"/>
        </w:rPr>
        <w:footnoteRef/>
      </w:r>
      <w:r w:rsidRPr="00AC4B25">
        <w:rPr>
          <w:rFonts w:ascii="Verdana" w:hAnsi="Verdana" w:cs="Arial"/>
          <w:sz w:val="16"/>
          <w:szCs w:val="16"/>
        </w:rPr>
        <w:t xml:space="preserve"> “Artículo 2.2.1.2.3.1.12. Suficiencia de la garantía de cumplimiento. La garantía de cumplimiento del contrato debe tener una vigencia mínima hasta la liquidación del contrato. El valor de esta garantía debe ser de por lo menos el diez por ciento (10%) del valor del contrato a menos que el valor del contrato sea superior a un millón (1.000.000) de smmlv, caso en el cual la Entidad Estatal aplicará las siguientes reglas: </w:t>
      </w:r>
    </w:p>
    <w:p w14:paraId="54CCB64A" w14:textId="77777777" w:rsidR="00FC28F5" w:rsidRPr="00AC4B25" w:rsidRDefault="00FC28F5" w:rsidP="00FC28F5">
      <w:pPr>
        <w:pStyle w:val="Textonotapie"/>
        <w:ind w:firstLine="708"/>
        <w:jc w:val="both"/>
        <w:rPr>
          <w:rFonts w:ascii="Verdana" w:hAnsi="Verdana" w:cs="Arial"/>
          <w:sz w:val="16"/>
          <w:szCs w:val="16"/>
        </w:rPr>
      </w:pPr>
      <w:r w:rsidRPr="00AC4B25">
        <w:rPr>
          <w:rFonts w:ascii="Verdana" w:hAnsi="Verdana" w:cs="Arial"/>
          <w:sz w:val="16"/>
          <w:szCs w:val="16"/>
        </w:rPr>
        <w:t xml:space="preserve">1. Si el valor del contrato es superior a un millón (1.000.000) de smmlv y hasta cinco millones (5.000.000) de smmlv, la Entidad Estatal puede aceptar garantías que cubran al menos el dos punto cinco por ciento (2,5%) del valor del contrato. </w:t>
      </w:r>
    </w:p>
    <w:p w14:paraId="4C7A2726" w14:textId="77777777" w:rsidR="00FC28F5" w:rsidRPr="00AC4B25" w:rsidRDefault="00FC28F5" w:rsidP="00FC28F5">
      <w:pPr>
        <w:pStyle w:val="Textonotapie"/>
        <w:ind w:firstLine="708"/>
        <w:jc w:val="both"/>
        <w:rPr>
          <w:rFonts w:ascii="Verdana" w:hAnsi="Verdana" w:cs="Arial"/>
          <w:sz w:val="16"/>
          <w:szCs w:val="16"/>
        </w:rPr>
      </w:pPr>
      <w:r w:rsidRPr="00AC4B25">
        <w:rPr>
          <w:rFonts w:ascii="Verdana" w:hAnsi="Verdana" w:cs="Arial"/>
          <w:sz w:val="16"/>
          <w:szCs w:val="16"/>
        </w:rPr>
        <w:t xml:space="preserve">2. Si el valor del contrato es superior a cinco millones (5.000.000) de smmlv y hasta diez millones (10.000.000) de smmlv, la Entidad Estatal puede aceptar garantías que cubran al menos el uno por ciento (1%) del valor del contrato. </w:t>
      </w:r>
    </w:p>
    <w:p w14:paraId="053CB6B9" w14:textId="77777777" w:rsidR="00FC28F5" w:rsidRPr="00AC4B25" w:rsidRDefault="00FC28F5" w:rsidP="00FC28F5">
      <w:pPr>
        <w:pStyle w:val="Textonotapie"/>
        <w:ind w:firstLine="708"/>
        <w:jc w:val="both"/>
        <w:rPr>
          <w:rFonts w:ascii="Verdana" w:hAnsi="Verdana" w:cs="Arial"/>
          <w:sz w:val="16"/>
          <w:szCs w:val="16"/>
        </w:rPr>
      </w:pPr>
      <w:r w:rsidRPr="00AC4B25">
        <w:rPr>
          <w:rFonts w:ascii="Verdana" w:hAnsi="Verdana" w:cs="Arial"/>
          <w:sz w:val="16"/>
          <w:szCs w:val="16"/>
        </w:rPr>
        <w:t>3. Si el valor del contrato es superior a diez millones (10.000.000) de smmlv, la Entidad Estatal puede aceptar garantías que cubran al menos el cero punto cinco por ciento (0,5%) del valor del contrato.</w:t>
      </w:r>
    </w:p>
    <w:p w14:paraId="053A897D" w14:textId="77777777" w:rsidR="00FC28F5" w:rsidRPr="00AC4B25" w:rsidRDefault="00FC28F5" w:rsidP="00FC28F5">
      <w:pPr>
        <w:pStyle w:val="Textonotapie"/>
        <w:ind w:firstLine="708"/>
        <w:jc w:val="both"/>
        <w:rPr>
          <w:rFonts w:ascii="Verdana" w:hAnsi="Verdana" w:cs="Arial"/>
          <w:sz w:val="16"/>
          <w:szCs w:val="16"/>
          <w:lang w:val="es-CO"/>
        </w:rPr>
      </w:pPr>
      <w:r w:rsidRPr="00AC4B25">
        <w:rPr>
          <w:rFonts w:ascii="Verdana" w:hAnsi="Verdana" w:cs="Arial"/>
          <w:sz w:val="16"/>
          <w:szCs w:val="16"/>
        </w:rPr>
        <w:t>4. Colombia Compra Eficiente debe determinar el valor de la garantía única de cumplimiento del Acuerdo Marco de Precios de acuerdo con el objeto, el valor, la naturaleza y las obligaciones contenidas en este”.</w:t>
      </w:r>
    </w:p>
  </w:footnote>
  <w:footnote w:id="27">
    <w:p w14:paraId="31B92F51" w14:textId="77777777" w:rsidR="00FC28F5" w:rsidRPr="00AC4B25" w:rsidRDefault="00FC28F5" w:rsidP="00FC28F5">
      <w:pPr>
        <w:pStyle w:val="Textonotapie"/>
        <w:ind w:firstLine="709"/>
        <w:jc w:val="both"/>
        <w:rPr>
          <w:rFonts w:ascii="Verdana" w:hAnsi="Verdana" w:cs="Arial"/>
          <w:sz w:val="16"/>
          <w:szCs w:val="16"/>
        </w:rPr>
      </w:pPr>
      <w:r w:rsidRPr="00AC4B25">
        <w:rPr>
          <w:rStyle w:val="Refdenotaalpie"/>
          <w:rFonts w:ascii="Verdana" w:hAnsi="Verdana" w:cs="Arial"/>
          <w:sz w:val="16"/>
          <w:szCs w:val="16"/>
        </w:rPr>
        <w:footnoteRef/>
      </w:r>
      <w:r w:rsidRPr="00AC4B25">
        <w:rPr>
          <w:rFonts w:ascii="Verdana" w:hAnsi="Verdana" w:cs="Arial"/>
          <w:sz w:val="16"/>
          <w:szCs w:val="16"/>
        </w:rPr>
        <w:t xml:space="preserve"> Consejo de Estado, Sección Tercera, Subsección A. Sentencia del 14 de junio del 2019. Radicación número: 11001 03 26 000 2009 00047 00 (36860)</w:t>
      </w:r>
      <w:r w:rsidRPr="00AC4B25">
        <w:rPr>
          <w:rFonts w:ascii="Verdana" w:hAnsi="Verdana" w:cs="Arial"/>
          <w:bCs/>
          <w:sz w:val="16"/>
          <w:szCs w:val="16"/>
          <w:lang w:val="es-CO"/>
        </w:rPr>
        <w:t xml:space="preserve">. </w:t>
      </w:r>
      <w:r w:rsidRPr="00AC4B25">
        <w:rPr>
          <w:rFonts w:ascii="Verdana" w:hAnsi="Verdana" w:cs="Arial"/>
          <w:sz w:val="16"/>
          <w:szCs w:val="16"/>
        </w:rPr>
        <w:t>C.P: Carlos Alberto Zambrano Barrera.</w:t>
      </w:r>
    </w:p>
  </w:footnote>
  <w:footnote w:id="28">
    <w:p w14:paraId="28590507" w14:textId="77777777" w:rsidR="00FC28F5" w:rsidRPr="00AC4B25" w:rsidRDefault="00FC28F5" w:rsidP="00FC28F5">
      <w:pPr>
        <w:pStyle w:val="Textonotapie"/>
        <w:ind w:firstLine="709"/>
        <w:jc w:val="both"/>
        <w:rPr>
          <w:rFonts w:ascii="Verdana" w:hAnsi="Verdana" w:cs="Arial"/>
          <w:sz w:val="16"/>
          <w:szCs w:val="16"/>
          <w:lang w:val="es-CO"/>
        </w:rPr>
      </w:pPr>
      <w:r w:rsidRPr="00AC4B25">
        <w:rPr>
          <w:rStyle w:val="Refdenotaalpie"/>
          <w:rFonts w:ascii="Verdana" w:hAnsi="Verdana" w:cs="Arial"/>
          <w:sz w:val="16"/>
          <w:szCs w:val="16"/>
        </w:rPr>
        <w:footnoteRef/>
      </w:r>
      <w:r w:rsidRPr="00AC4B25">
        <w:rPr>
          <w:rFonts w:ascii="Verdana" w:hAnsi="Verdana" w:cs="Arial"/>
          <w:sz w:val="16"/>
          <w:szCs w:val="16"/>
        </w:rPr>
        <w:t xml:space="preserve"> Consejo de Estado, Sección Segunda, Subsección A. Sentencia del 25 de enero del 2018. Radicación número: </w:t>
      </w:r>
      <w:r w:rsidRPr="00AC4B25">
        <w:rPr>
          <w:rFonts w:ascii="Verdana" w:hAnsi="Verdana" w:cs="Arial"/>
          <w:bCs/>
          <w:sz w:val="16"/>
          <w:szCs w:val="16"/>
          <w:lang w:val="es-CO"/>
        </w:rPr>
        <w:t>11001-03-25-000-2011-00489-00(1924-11).</w:t>
      </w:r>
      <w:r w:rsidRPr="00AC4B25">
        <w:rPr>
          <w:rFonts w:ascii="Verdana" w:hAnsi="Verdana" w:cs="Arial"/>
          <w:b/>
          <w:sz w:val="16"/>
          <w:szCs w:val="16"/>
          <w:lang w:val="es-CO"/>
        </w:rPr>
        <w:t xml:space="preserve"> </w:t>
      </w:r>
      <w:r w:rsidRPr="00AC4B25">
        <w:rPr>
          <w:rFonts w:ascii="Verdana" w:hAnsi="Verdana" w:cs="Arial"/>
          <w:sz w:val="16"/>
          <w:szCs w:val="16"/>
        </w:rPr>
        <w:t>C.P: Gabriel Valbuena Hernández.</w:t>
      </w:r>
    </w:p>
  </w:footnote>
  <w:footnote w:id="29">
    <w:p w14:paraId="7A22A5C5" w14:textId="77777777" w:rsidR="00FC28F5" w:rsidRPr="00DC18A7" w:rsidRDefault="00FC28F5" w:rsidP="00FC28F5">
      <w:pPr>
        <w:pStyle w:val="Textonotapie"/>
        <w:ind w:firstLine="708"/>
        <w:contextualSpacing/>
        <w:rPr>
          <w:rFonts w:ascii="Century Gothic" w:hAnsi="Century Gothic" w:cs="Arial"/>
          <w:sz w:val="18"/>
          <w:szCs w:val="18"/>
        </w:rPr>
      </w:pPr>
      <w:r w:rsidRPr="00DC18A7">
        <w:rPr>
          <w:rStyle w:val="Refdenotaalpie"/>
          <w:rFonts w:ascii="Century Gothic" w:hAnsi="Century Gothic"/>
          <w:sz w:val="18"/>
          <w:szCs w:val="18"/>
        </w:rPr>
        <w:footnoteRef/>
      </w:r>
      <w:r w:rsidRPr="00DC18A7">
        <w:rPr>
          <w:rFonts w:ascii="Century Gothic" w:hAnsi="Century Gothic"/>
          <w:sz w:val="18"/>
          <w:szCs w:val="18"/>
        </w:rPr>
        <w:t xml:space="preserve"> </w:t>
      </w:r>
      <w:r w:rsidRPr="00DC18A7">
        <w:rPr>
          <w:rFonts w:ascii="Century Gothic" w:hAnsi="Century Gothic" w:cs="Arial"/>
          <w:sz w:val="18"/>
          <w:szCs w:val="18"/>
        </w:rPr>
        <w:t>“Artículo 2.2.1.2.3.1.3. Indivisibilidad de la garantía.</w:t>
      </w:r>
    </w:p>
    <w:p w14:paraId="1E3E7AAB" w14:textId="77777777" w:rsidR="00FC28F5" w:rsidRPr="00DC18A7" w:rsidRDefault="00FC28F5" w:rsidP="00FC28F5">
      <w:pPr>
        <w:pStyle w:val="Textonotapie"/>
        <w:ind w:firstLine="708"/>
        <w:contextualSpacing/>
        <w:rPr>
          <w:rFonts w:ascii="Century Gothic" w:hAnsi="Century Gothic" w:cs="Arial"/>
          <w:sz w:val="18"/>
          <w:szCs w:val="18"/>
        </w:rPr>
      </w:pPr>
      <w:r w:rsidRPr="00DC18A7">
        <w:rPr>
          <w:rFonts w:ascii="Century Gothic" w:hAnsi="Century Gothic" w:cs="Arial"/>
          <w:sz w:val="18"/>
          <w:szCs w:val="18"/>
        </w:rPr>
        <w:t xml:space="preserve"> […]</w:t>
      </w:r>
    </w:p>
    <w:p w14:paraId="5DF4AE96" w14:textId="77777777" w:rsidR="00FC28F5" w:rsidRPr="00DC18A7" w:rsidRDefault="00FC28F5" w:rsidP="00FC28F5">
      <w:pPr>
        <w:pStyle w:val="NormalWeb"/>
        <w:shd w:val="clear" w:color="auto" w:fill="FFFFFF"/>
        <w:spacing w:after="0"/>
        <w:contextualSpacing/>
        <w:jc w:val="both"/>
        <w:rPr>
          <w:rFonts w:ascii="Century Gothic" w:hAnsi="Century Gothic" w:cs="Arial"/>
          <w:sz w:val="18"/>
          <w:szCs w:val="18"/>
        </w:rPr>
      </w:pPr>
      <w:r w:rsidRPr="00DC18A7">
        <w:rPr>
          <w:rFonts w:ascii="Century Gothic" w:hAnsi="Century Gothic" w:cs="Arial"/>
          <w:sz w:val="18"/>
          <w:szCs w:val="18"/>
        </w:rPr>
        <w:tab/>
        <w:t>En consecuencia, la Entidad Estatal en los pliegos de condiciones para la Contratación debe indicar las garantías que exige en cada Etapa del Contrato o cada Periodo Contractual así:</w:t>
      </w:r>
    </w:p>
    <w:p w14:paraId="0EDAA0BD" w14:textId="77777777" w:rsidR="00FC28F5" w:rsidRPr="00DC18A7" w:rsidRDefault="00FC28F5" w:rsidP="00FC28F5">
      <w:pPr>
        <w:shd w:val="clear" w:color="auto" w:fill="FFFFFF"/>
        <w:spacing w:after="0" w:line="240" w:lineRule="auto"/>
        <w:ind w:firstLine="708"/>
        <w:contextualSpacing/>
        <w:jc w:val="both"/>
        <w:rPr>
          <w:rFonts w:ascii="Century Gothic" w:eastAsia="Times New Roman" w:hAnsi="Century Gothic" w:cs="Arial"/>
          <w:sz w:val="18"/>
          <w:szCs w:val="18"/>
          <w:lang w:eastAsia="es-CO"/>
        </w:rPr>
      </w:pPr>
      <w:r w:rsidRPr="00DC18A7">
        <w:rPr>
          <w:rFonts w:ascii="Century Gothic" w:eastAsia="Times New Roman" w:hAnsi="Century Gothic" w:cs="Arial"/>
          <w:sz w:val="18"/>
          <w:szCs w:val="18"/>
          <w:lang w:eastAsia="es-CO"/>
        </w:rPr>
        <w:t>1.    La Entidad Estatal debe exigir una garantía independiente para cada Etapa del Contrato o cada Periodo Contractual o cada unidad funcional en el caso de las Asociaciones Público Privadas, cuya vigencia debe ser por lo menos la misma establecida para la Etapa del Contrato o Periodo Contractual respectivo.</w:t>
      </w:r>
    </w:p>
    <w:p w14:paraId="745529E1" w14:textId="77777777" w:rsidR="00FC28F5" w:rsidRPr="00DC18A7" w:rsidRDefault="00FC28F5" w:rsidP="00FC28F5">
      <w:pPr>
        <w:shd w:val="clear" w:color="auto" w:fill="FFFFFF"/>
        <w:spacing w:after="0" w:line="240" w:lineRule="auto"/>
        <w:ind w:firstLine="708"/>
        <w:contextualSpacing/>
        <w:jc w:val="both"/>
        <w:rPr>
          <w:rFonts w:ascii="Century Gothic" w:eastAsia="Times New Roman" w:hAnsi="Century Gothic" w:cs="Arial"/>
          <w:sz w:val="18"/>
          <w:szCs w:val="18"/>
          <w:lang w:eastAsia="es-CO"/>
        </w:rPr>
      </w:pPr>
      <w:r w:rsidRPr="00DC18A7">
        <w:rPr>
          <w:rFonts w:ascii="Century Gothic" w:eastAsia="Times New Roman" w:hAnsi="Century Gothic" w:cs="Arial"/>
          <w:sz w:val="18"/>
          <w:szCs w:val="18"/>
          <w:lang w:eastAsia="es-CO"/>
        </w:rPr>
        <w:t>2.    La Entidad Estatal debe calcular el valor asegurado para cada Etapa del Contrato, Periodo Contractual o unidad funcional, tomando el valor de las obligaciones del contratista para cada Etapa del Contrato, Periodo Contractual o unidad funcional y de acuerdo con las reglas de suficiencia de las garantías establecidas en el presente título. […]</w:t>
      </w:r>
      <w:r w:rsidRPr="00DC18A7">
        <w:rPr>
          <w:rFonts w:ascii="Century Gothic" w:hAnsi="Century Gothic" w:cs="Arial"/>
          <w:sz w:val="18"/>
          <w:szCs w:val="18"/>
          <w:lang w:eastAsia="es-CO"/>
        </w:rPr>
        <w:t>”.</w:t>
      </w:r>
    </w:p>
    <w:p w14:paraId="023497ED" w14:textId="77777777" w:rsidR="00FC28F5" w:rsidRPr="00DC18A7" w:rsidRDefault="00FC28F5" w:rsidP="00FC28F5">
      <w:pPr>
        <w:pStyle w:val="Textonotapie"/>
        <w:contextualSpacing/>
        <w:rPr>
          <w:rFonts w:ascii="Century Gothic" w:hAnsi="Century Gothic"/>
          <w:sz w:val="18"/>
          <w:szCs w:val="18"/>
          <w:lang w:val="es-CO"/>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B503E3" w14:textId="77777777" w:rsidR="00FC28F5" w:rsidRDefault="00FC28F5"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0288" behindDoc="1" locked="0" layoutInCell="1" allowOverlap="1" wp14:anchorId="66A7E7D0" wp14:editId="5274F9EB">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59264" behindDoc="0" locked="0" layoutInCell="1" allowOverlap="1" wp14:anchorId="6CA480AA" wp14:editId="7DE8E0DB">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5962FC6C" w14:textId="77777777" w:rsidR="00FC28F5" w:rsidRDefault="00FC28F5">
    <w:pPr>
      <w:pStyle w:val="Encabezado"/>
    </w:pPr>
  </w:p>
  <w:p w14:paraId="457AADBA" w14:textId="77777777" w:rsidR="00FC28F5" w:rsidRPr="004A305D" w:rsidRDefault="00FC28F5" w:rsidP="00B01B1A">
    <w:pPr>
      <w:spacing w:after="0" w:line="120" w:lineRule="auto"/>
      <w:rPr>
        <w:rFonts w:ascii="Century Gothic" w:eastAsia="Geo" w:hAnsi="Century Gothic" w:cs="Geo"/>
        <w:sz w:val="16"/>
        <w:szCs w:val="16"/>
        <w:lang w:eastAsia="es-CO"/>
      </w:rPr>
    </w:pPr>
  </w:p>
  <w:p w14:paraId="0E678108" w14:textId="77777777" w:rsidR="00FC28F5" w:rsidRDefault="00FC28F5" w:rsidP="00844AE9">
    <w:pPr>
      <w:spacing w:after="0" w:line="240" w:lineRule="auto"/>
      <w:rPr>
        <w:rFonts w:ascii="Verdana" w:hAnsi="Verdana"/>
        <w:sz w:val="24"/>
        <w:szCs w:val="24"/>
      </w:rPr>
    </w:pPr>
  </w:p>
  <w:p w14:paraId="33CDB5D2" w14:textId="77777777" w:rsidR="00FC28F5" w:rsidRPr="00C925AC" w:rsidRDefault="00FC28F5" w:rsidP="00844AE9">
    <w:pPr>
      <w:spacing w:after="0" w:line="240" w:lineRule="auto"/>
      <w:rPr>
        <w:rFonts w:ascii="Verdana" w:hAnsi="Verdana"/>
        <w:sz w:val="24"/>
        <w:szCs w:val="24"/>
      </w:rPr>
    </w:pPr>
  </w:p>
  <w:p w14:paraId="75C50FAE" w14:textId="77777777" w:rsidR="00FC28F5" w:rsidRPr="00C925AC" w:rsidRDefault="00FC28F5" w:rsidP="000D5DA7">
    <w:pPr>
      <w:spacing w:after="0" w:line="480" w:lineRule="auto"/>
      <w:rPr>
        <w:rFonts w:ascii="Verdana" w:hAnsi="Verdana"/>
        <w:b/>
        <w:bCs/>
        <w:sz w:val="24"/>
        <w:szCs w:val="24"/>
      </w:rPr>
    </w:pPr>
    <w:r w:rsidRPr="00C925AC">
      <w:rPr>
        <w:rFonts w:ascii="Verdana" w:hAnsi="Verdana"/>
        <w:b/>
        <w:bCs/>
        <w:sz w:val="24"/>
        <w:szCs w:val="24"/>
      </w:rPr>
      <w:t>FORMATO</w:t>
    </w:r>
    <w:r>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893324"/>
    <w:multiLevelType w:val="hybridMultilevel"/>
    <w:tmpl w:val="2EE69AA6"/>
    <w:lvl w:ilvl="0" w:tplc="CCF09DA4">
      <w:start w:val="1"/>
      <w:numFmt w:val="lowerRoman"/>
      <w:lvlText w:val="%1."/>
      <w:lvlJc w:val="left"/>
      <w:pPr>
        <w:ind w:left="1080" w:hanging="720"/>
      </w:pPr>
      <w:rPr>
        <w:rFonts w:eastAsiaTheme="minorHAnsi" w:cstheme="minorBidi"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 w15:restartNumberingAfterBreak="0">
    <w:nsid w:val="2D5425A2"/>
    <w:multiLevelType w:val="hybridMultilevel"/>
    <w:tmpl w:val="58DEB14A"/>
    <w:lvl w:ilvl="0" w:tplc="E4762024">
      <w:start w:val="1"/>
      <w:numFmt w:val="upperRoman"/>
      <w:lvlText w:val="%1."/>
      <w:lvlJc w:val="left"/>
      <w:pPr>
        <w:ind w:left="1080" w:hanging="720"/>
      </w:pPr>
      <w:rPr>
        <w:rFonts w:hint="default"/>
        <w:lang w:val="es-CO"/>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 w15:restartNumberingAfterBreak="0">
    <w:nsid w:val="30F736BA"/>
    <w:multiLevelType w:val="hybridMultilevel"/>
    <w:tmpl w:val="8B64E5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4" w15:restartNumberingAfterBreak="0">
    <w:nsid w:val="7970091D"/>
    <w:multiLevelType w:val="hybridMultilevel"/>
    <w:tmpl w:val="8F808DA8"/>
    <w:lvl w:ilvl="0" w:tplc="7DD495A0">
      <w:start w:val="1"/>
      <w:numFmt w:val="decimal"/>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num w:numId="1" w16cid:durableId="390349800">
    <w:abstractNumId w:val="3"/>
  </w:num>
  <w:num w:numId="2" w16cid:durableId="1379430770">
    <w:abstractNumId w:val="1"/>
  </w:num>
  <w:num w:numId="3" w16cid:durableId="2052073576">
    <w:abstractNumId w:val="2"/>
  </w:num>
  <w:num w:numId="4" w16cid:durableId="1745755235">
    <w:abstractNumId w:val="4"/>
  </w:num>
  <w:num w:numId="5" w16cid:durableId="146010443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8"/>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28F5"/>
    <w:rsid w:val="00060DA8"/>
    <w:rsid w:val="00147102"/>
    <w:rsid w:val="001B60CC"/>
    <w:rsid w:val="003266DC"/>
    <w:rsid w:val="00392AB7"/>
    <w:rsid w:val="004C1FF2"/>
    <w:rsid w:val="004C7D89"/>
    <w:rsid w:val="005427A1"/>
    <w:rsid w:val="0055766B"/>
    <w:rsid w:val="005C2846"/>
    <w:rsid w:val="00620FA6"/>
    <w:rsid w:val="006244B5"/>
    <w:rsid w:val="0062646F"/>
    <w:rsid w:val="00727F05"/>
    <w:rsid w:val="00772919"/>
    <w:rsid w:val="007D3CE6"/>
    <w:rsid w:val="008904F6"/>
    <w:rsid w:val="009102F4"/>
    <w:rsid w:val="00926E06"/>
    <w:rsid w:val="00947516"/>
    <w:rsid w:val="00956F81"/>
    <w:rsid w:val="009B1D23"/>
    <w:rsid w:val="00A73CA5"/>
    <w:rsid w:val="00BA0417"/>
    <w:rsid w:val="00CB12CD"/>
    <w:rsid w:val="00CF0C63"/>
    <w:rsid w:val="00DE420F"/>
    <w:rsid w:val="00E4420B"/>
    <w:rsid w:val="00FC28F5"/>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48D3D5"/>
  <w15:chartTrackingRefBased/>
  <w15:docId w15:val="{6873ED7A-F566-405C-B321-AB41BB12CD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CO"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28F5"/>
    <w:pPr>
      <w:spacing w:line="259" w:lineRule="auto"/>
    </w:pPr>
    <w:rPr>
      <w:kern w:val="0"/>
      <w:sz w:val="22"/>
      <w:szCs w:val="22"/>
      <w14:ligatures w14:val="none"/>
    </w:rPr>
  </w:style>
  <w:style w:type="paragraph" w:styleId="Ttulo1">
    <w:name w:val="heading 1"/>
    <w:basedOn w:val="Normal"/>
    <w:next w:val="Normal"/>
    <w:link w:val="Ttulo1Car"/>
    <w:uiPriority w:val="9"/>
    <w:qFormat/>
    <w:rsid w:val="00FC28F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FC28F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FC28F5"/>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FC28F5"/>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FC28F5"/>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FC28F5"/>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FC28F5"/>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FC28F5"/>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FC28F5"/>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FC28F5"/>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FC28F5"/>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FC28F5"/>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FC28F5"/>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FC28F5"/>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FC28F5"/>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FC28F5"/>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FC28F5"/>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FC28F5"/>
    <w:rPr>
      <w:rFonts w:eastAsiaTheme="majorEastAsia" w:cstheme="majorBidi"/>
      <w:color w:val="272727" w:themeColor="text1" w:themeTint="D8"/>
    </w:rPr>
  </w:style>
  <w:style w:type="paragraph" w:styleId="Ttulo">
    <w:name w:val="Title"/>
    <w:basedOn w:val="Normal"/>
    <w:next w:val="Normal"/>
    <w:link w:val="TtuloCar"/>
    <w:uiPriority w:val="10"/>
    <w:qFormat/>
    <w:rsid w:val="00FC28F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FC28F5"/>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FC28F5"/>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FC28F5"/>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FC28F5"/>
    <w:pPr>
      <w:spacing w:before="160"/>
      <w:jc w:val="center"/>
    </w:pPr>
    <w:rPr>
      <w:i/>
      <w:iCs/>
      <w:color w:val="404040" w:themeColor="text1" w:themeTint="BF"/>
    </w:rPr>
  </w:style>
  <w:style w:type="character" w:customStyle="1" w:styleId="CitaCar">
    <w:name w:val="Cita Car"/>
    <w:basedOn w:val="Fuentedeprrafopredeter"/>
    <w:link w:val="Cita"/>
    <w:uiPriority w:val="29"/>
    <w:rsid w:val="00FC28F5"/>
    <w:rPr>
      <w:i/>
      <w:iCs/>
      <w:color w:val="404040" w:themeColor="text1" w:themeTint="BF"/>
    </w:rPr>
  </w:style>
  <w:style w:type="paragraph" w:styleId="Prrafodelista">
    <w:name w:val="List Paragraph"/>
    <w:basedOn w:val="Normal"/>
    <w:uiPriority w:val="34"/>
    <w:qFormat/>
    <w:rsid w:val="00FC28F5"/>
    <w:pPr>
      <w:ind w:left="720"/>
      <w:contextualSpacing/>
    </w:pPr>
  </w:style>
  <w:style w:type="character" w:styleId="nfasisintenso">
    <w:name w:val="Intense Emphasis"/>
    <w:basedOn w:val="Fuentedeprrafopredeter"/>
    <w:uiPriority w:val="21"/>
    <w:qFormat/>
    <w:rsid w:val="00FC28F5"/>
    <w:rPr>
      <w:i/>
      <w:iCs/>
      <w:color w:val="0F4761" w:themeColor="accent1" w:themeShade="BF"/>
    </w:rPr>
  </w:style>
  <w:style w:type="paragraph" w:styleId="Citadestacada">
    <w:name w:val="Intense Quote"/>
    <w:basedOn w:val="Normal"/>
    <w:next w:val="Normal"/>
    <w:link w:val="CitadestacadaCar"/>
    <w:uiPriority w:val="30"/>
    <w:qFormat/>
    <w:rsid w:val="00FC28F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FC28F5"/>
    <w:rPr>
      <w:i/>
      <w:iCs/>
      <w:color w:val="0F4761" w:themeColor="accent1" w:themeShade="BF"/>
    </w:rPr>
  </w:style>
  <w:style w:type="character" w:styleId="Referenciaintensa">
    <w:name w:val="Intense Reference"/>
    <w:basedOn w:val="Fuentedeprrafopredeter"/>
    <w:uiPriority w:val="32"/>
    <w:qFormat/>
    <w:rsid w:val="00FC28F5"/>
    <w:rPr>
      <w:b/>
      <w:bCs/>
      <w:smallCaps/>
      <w:color w:val="0F4761" w:themeColor="accent1" w:themeShade="BF"/>
      <w:spacing w:val="5"/>
    </w:rPr>
  </w:style>
  <w:style w:type="paragraph" w:styleId="Encabezado">
    <w:name w:val="header"/>
    <w:basedOn w:val="Normal"/>
    <w:link w:val="EncabezadoCar"/>
    <w:uiPriority w:val="99"/>
    <w:unhideWhenUsed/>
    <w:rsid w:val="00FC28F5"/>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FC28F5"/>
    <w:rPr>
      <w:kern w:val="0"/>
      <w:sz w:val="22"/>
      <w:szCs w:val="22"/>
      <w14:ligatures w14:val="none"/>
    </w:rPr>
  </w:style>
  <w:style w:type="paragraph" w:styleId="Piedepgina">
    <w:name w:val="footer"/>
    <w:basedOn w:val="Normal"/>
    <w:link w:val="PiedepginaCar"/>
    <w:uiPriority w:val="99"/>
    <w:unhideWhenUsed/>
    <w:rsid w:val="00FC28F5"/>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FC28F5"/>
    <w:rPr>
      <w:kern w:val="0"/>
      <w:sz w:val="22"/>
      <w:szCs w:val="22"/>
      <w14:ligatures w14:val="none"/>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FC28F5"/>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FC28F5"/>
    <w:pPr>
      <w:spacing w:after="0" w:line="240" w:lineRule="auto"/>
    </w:pPr>
    <w:rPr>
      <w:kern w:val="2"/>
      <w:sz w:val="20"/>
      <w:szCs w:val="20"/>
      <w:lang w:val="es-MX"/>
      <w14:ligatures w14:val="standardContextual"/>
    </w:rPr>
  </w:style>
  <w:style w:type="character" w:customStyle="1" w:styleId="TextonotapieCar1">
    <w:name w:val="Texto nota pie Car1"/>
    <w:basedOn w:val="Fuentedeprrafopredeter"/>
    <w:uiPriority w:val="99"/>
    <w:semiHidden/>
    <w:rsid w:val="00FC28F5"/>
    <w:rPr>
      <w:kern w:val="0"/>
      <w:sz w:val="20"/>
      <w:szCs w:val="20"/>
      <w14:ligatures w14:val="none"/>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FC28F5"/>
    <w:rPr>
      <w:vertAlign w:val="superscript"/>
    </w:rPr>
  </w:style>
  <w:style w:type="character" w:styleId="Hipervnculo">
    <w:name w:val="Hyperlink"/>
    <w:basedOn w:val="Fuentedeprrafopredeter"/>
    <w:uiPriority w:val="99"/>
    <w:unhideWhenUsed/>
    <w:rsid w:val="00FC28F5"/>
    <w:rPr>
      <w:color w:val="0000FF"/>
      <w:u w:val="single"/>
    </w:rPr>
  </w:style>
  <w:style w:type="paragraph" w:styleId="NormalWeb">
    <w:name w:val="Normal (Web)"/>
    <w:basedOn w:val="Normal"/>
    <w:uiPriority w:val="99"/>
    <w:semiHidden/>
    <w:unhideWhenUsed/>
    <w:rsid w:val="00FC28F5"/>
    <w:pPr>
      <w:spacing w:before="100" w:beforeAutospacing="1" w:after="100" w:afterAutospacing="1" w:line="240" w:lineRule="auto"/>
    </w:pPr>
    <w:rPr>
      <w:rFonts w:ascii="Times New Roman" w:eastAsia="Times New Roman" w:hAnsi="Times New Roman" w:cs="Times New Roman"/>
      <w:sz w:val="24"/>
      <w:szCs w:val="24"/>
      <w:lang w:eastAsia="es-CO"/>
    </w:rPr>
  </w:style>
  <w:style w:type="table" w:customStyle="1" w:styleId="Tablaconcuadrcula1">
    <w:name w:val="Tabla con cuadrícula1"/>
    <w:basedOn w:val="Tablanormal"/>
    <w:next w:val="Tablaconcuadrcula"/>
    <w:uiPriority w:val="39"/>
    <w:qFormat/>
    <w:rsid w:val="00FC28F5"/>
    <w:pPr>
      <w:spacing w:after="0" w:line="240" w:lineRule="auto"/>
    </w:pPr>
    <w:rPr>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FC28F5"/>
    <w:pPr>
      <w:spacing w:line="240" w:lineRule="exact"/>
    </w:pPr>
    <w:rPr>
      <w:kern w:val="2"/>
      <w:sz w:val="24"/>
      <w:szCs w:val="24"/>
      <w:vertAlign w:val="superscript"/>
      <w14:ligatures w14:val="standardContextual"/>
    </w:rPr>
  </w:style>
  <w:style w:type="paragraph" w:styleId="Sinespaciado">
    <w:name w:val="No Spacing"/>
    <w:uiPriority w:val="1"/>
    <w:qFormat/>
    <w:rsid w:val="00FC28F5"/>
    <w:pPr>
      <w:spacing w:after="0" w:line="240" w:lineRule="auto"/>
      <w:ind w:right="-68"/>
      <w:jc w:val="both"/>
    </w:pPr>
    <w:rPr>
      <w:rFonts w:ascii="Times New Roman" w:eastAsia="Times New Roman" w:hAnsi="Times New Roman" w:cs="Times New Roman"/>
      <w:kern w:val="0"/>
      <w:sz w:val="28"/>
      <w:szCs w:val="28"/>
      <w:lang w:eastAsia="es-ES"/>
      <w14:ligatures w14:val="none"/>
    </w:rPr>
  </w:style>
  <w:style w:type="table" w:styleId="Tablaconcuadrcula">
    <w:name w:val="Table Grid"/>
    <w:basedOn w:val="Tablanormal"/>
    <w:uiPriority w:val="39"/>
    <w:rsid w:val="00FC28F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formacionvirtual.colombiacompra.gov.co/mod/page/view.php?id=3718"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image" Target="media/image2.png"/><Relationship Id="rId2" Type="http://schemas.openxmlformats.org/officeDocument/2006/relationships/customXml" Target="../customXml/item2.xml"/><Relationship Id="rId16" Type="http://schemas.openxmlformats.org/officeDocument/2006/relationships/hyperlink" Target="http://www.colombiacompra.gov.co"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silvy_02_05@hotmail.com" TargetMode="External"/><Relationship Id="rId5" Type="http://schemas.openxmlformats.org/officeDocument/2006/relationships/styles" Target="styles.xml"/><Relationship Id="rId15"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10" Type="http://schemas.openxmlformats.org/officeDocument/2006/relationships/image" Target="media/image1.emf"/><Relationship Id="rId19"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normativa-y-relatoria/documentos-tipo" TargetMode="External"/></Relationships>
</file>

<file path=word/_rels/footnotes.xml.rels><?xml version="1.0" encoding="UTF-8" standalone="yes"?>
<Relationships xmlns="http://schemas.openxmlformats.org/package/2006/relationships"><Relationship Id="rId2" Type="http://schemas.openxmlformats.org/officeDocument/2006/relationships/hyperlink" Target="http://www.secretariasenado.gov.co/senado/basedoc/ley_0179_1994.html" TargetMode="External"/><Relationship Id="rId1" Type="http://schemas.openxmlformats.org/officeDocument/2006/relationships/hyperlink" Target="http://www.secretariasenado.gov.co/senado/basedoc/ley_0179_1994.html"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D46D9809-AE45-403A-9C14-01A2D0626031}">
  <ds:schemaRefs>
    <ds:schemaRef ds:uri="http://schemas.microsoft.com/sharepoint/v3/contenttype/forms"/>
  </ds:schemaRefs>
</ds:datastoreItem>
</file>

<file path=customXml/itemProps2.xml><?xml version="1.0" encoding="utf-8"?>
<ds:datastoreItem xmlns:ds="http://schemas.openxmlformats.org/officeDocument/2006/customXml" ds:itemID="{FC7C0660-66C5-456E-85FA-E7C85DF77CA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B8CDAC9-A23A-4488-83CF-ACEFA0DEFA9A}">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93</TotalTime>
  <Pages>33</Pages>
  <Words>10352</Words>
  <Characters>56942</Characters>
  <Application>Microsoft Office Word</Application>
  <DocSecurity>0</DocSecurity>
  <Lines>474</Lines>
  <Paragraphs>134</Paragraphs>
  <ScaleCrop>false</ScaleCrop>
  <Company/>
  <LinksUpToDate>false</LinksUpToDate>
  <CharactersWithSpaces>67160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Natalia Montoya Jiménez</dc:creator>
  <cp:keywords/>
  <dc:description/>
  <cp:lastModifiedBy>Andreina Cerpa Muñoz</cp:lastModifiedBy>
  <cp:revision>23</cp:revision>
  <dcterms:created xsi:type="dcterms:W3CDTF">2026-04-27T20:18:00Z</dcterms:created>
  <dcterms:modified xsi:type="dcterms:W3CDTF">2026-04-30T18:55:00Z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