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4E6B4C" w14:textId="77777777" w:rsidR="00DA01E5" w:rsidRPr="00DD2C46" w:rsidRDefault="00DA01E5" w:rsidP="00DA01E5">
      <w:pPr>
        <w:spacing w:after="0"/>
        <w:jc w:val="both"/>
        <w:rPr>
          <w:rFonts w:ascii="Verdana" w:eastAsia="Verdana" w:hAnsi="Verdana" w:cs="Verdana"/>
          <w:b/>
          <w:bCs/>
        </w:rPr>
      </w:pPr>
      <w:bookmarkStart w:id="0" w:name="_Hlk143780582"/>
      <w:r w:rsidRPr="00DD2C46">
        <w:rPr>
          <w:rFonts w:ascii="Verdana" w:eastAsia="Verdana" w:hAnsi="Verdana" w:cs="Verdana"/>
          <w:b/>
          <w:bCs/>
        </w:rPr>
        <w:t xml:space="preserve">ADICIÓN – Concepto – Distintos supuestos – Prohibición – Adición en más del 50% </w:t>
      </w:r>
    </w:p>
    <w:p w14:paraId="29770A3E" w14:textId="77777777" w:rsidR="00DA01E5" w:rsidRPr="00DD2C46" w:rsidRDefault="00DA01E5" w:rsidP="00DA01E5">
      <w:pPr>
        <w:spacing w:after="0"/>
        <w:jc w:val="both"/>
        <w:rPr>
          <w:rFonts w:ascii="Verdana" w:eastAsia="Verdana" w:hAnsi="Verdana" w:cs="Verdana"/>
          <w:b/>
          <w:bCs/>
        </w:rPr>
      </w:pPr>
    </w:p>
    <w:p w14:paraId="56D0B8E0" w14:textId="77777777" w:rsidR="00DA01E5" w:rsidRPr="00B16E51" w:rsidRDefault="00DA01E5" w:rsidP="00DA01E5">
      <w:pPr>
        <w:spacing w:after="0" w:line="240" w:lineRule="auto"/>
        <w:jc w:val="both"/>
        <w:rPr>
          <w:rFonts w:ascii="Verdana" w:eastAsia="Verdana" w:hAnsi="Verdana" w:cs="Verdana"/>
          <w:bCs/>
          <w:sz w:val="20"/>
        </w:rPr>
      </w:pPr>
      <w:r w:rsidRPr="00B16E51">
        <w:rPr>
          <w:rFonts w:ascii="Verdana" w:eastAsia="Verdana" w:hAnsi="Verdana" w:cs="Verdana"/>
          <w:bCs/>
          <w:sz w:val="20"/>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ii)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205146BD" w14:textId="77777777" w:rsidR="00DA01E5" w:rsidRPr="00DD2C46" w:rsidRDefault="00DA01E5" w:rsidP="00DA01E5">
      <w:pPr>
        <w:spacing w:after="0"/>
        <w:jc w:val="both"/>
        <w:rPr>
          <w:rFonts w:ascii="Verdana" w:eastAsia="Verdana" w:hAnsi="Verdana" w:cs="Verdana"/>
          <w:b/>
          <w:bCs/>
        </w:rPr>
      </w:pPr>
    </w:p>
    <w:p w14:paraId="69138092" w14:textId="77777777" w:rsidR="00DA01E5" w:rsidRPr="00DD2C46" w:rsidRDefault="00DA01E5" w:rsidP="00DA01E5">
      <w:pPr>
        <w:spacing w:after="0"/>
        <w:jc w:val="both"/>
        <w:rPr>
          <w:rFonts w:ascii="Verdana" w:eastAsia="Verdana" w:hAnsi="Verdana" w:cs="Verdana"/>
          <w:b/>
          <w:bCs/>
        </w:rPr>
      </w:pPr>
      <w:r w:rsidRPr="00DD2C46">
        <w:rPr>
          <w:rFonts w:ascii="Verdana" w:eastAsia="Verdana" w:hAnsi="Verdana" w:cs="Verdana"/>
          <w:b/>
          <w:bCs/>
        </w:rPr>
        <w:t xml:space="preserve">ADICIÓN – Prohibición – Monto – Cálculo – Parágrafo artículo 40 – Ley 80 de 1993 </w:t>
      </w:r>
    </w:p>
    <w:p w14:paraId="2C385EEC" w14:textId="77777777" w:rsidR="00DA01E5" w:rsidRPr="00B16E51" w:rsidRDefault="00DA01E5" w:rsidP="00DA01E5">
      <w:pPr>
        <w:spacing w:after="0" w:line="240" w:lineRule="auto"/>
        <w:jc w:val="both"/>
        <w:rPr>
          <w:rFonts w:ascii="Verdana" w:eastAsia="Verdana" w:hAnsi="Verdana" w:cs="Verdana"/>
          <w:bCs/>
        </w:rPr>
      </w:pPr>
    </w:p>
    <w:p w14:paraId="099E3D35" w14:textId="77777777" w:rsidR="00DA01E5" w:rsidRPr="00B16E51" w:rsidRDefault="00DA01E5" w:rsidP="00DA01E5">
      <w:pPr>
        <w:spacing w:after="0" w:line="240" w:lineRule="auto"/>
        <w:jc w:val="both"/>
        <w:rPr>
          <w:rFonts w:ascii="Verdana" w:eastAsia="Verdana" w:hAnsi="Verdana" w:cs="Verdana"/>
          <w:bCs/>
          <w:sz w:val="20"/>
        </w:rPr>
      </w:pPr>
      <w:r w:rsidRPr="00B16E51">
        <w:rPr>
          <w:rFonts w:ascii="Verdana" w:eastAsia="Verdana" w:hAnsi="Verdana" w:cs="Verdana"/>
          <w:bCs/>
          <w:sz w:val="20"/>
        </w:rPr>
        <w:t>Lo importante es que, frente a cualquier incremento del valor inicial del contrato</w:t>
      </w:r>
      <w:r w:rsidRPr="00B16E51">
        <w:rPr>
          <w:rFonts w:ascii="Verdana" w:eastAsia="Verdana" w:hAnsi="Verdana" w:cs="Verdana"/>
          <w:bCs/>
          <w:i/>
          <w:iCs/>
          <w:sz w:val="20"/>
        </w:rPr>
        <w:t xml:space="preserve"> </w:t>
      </w:r>
      <w:r w:rsidRPr="00B16E51">
        <w:rPr>
          <w:rFonts w:ascii="Verdana" w:eastAsia="Verdana" w:hAnsi="Verdana" w:cs="Verdana"/>
          <w:bCs/>
          <w:sz w:val="20"/>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p>
    <w:p w14:paraId="169ED9F2" w14:textId="77777777" w:rsidR="00DA01E5" w:rsidRPr="00B16E51" w:rsidRDefault="00DA01E5" w:rsidP="00DA01E5">
      <w:pPr>
        <w:spacing w:after="0" w:line="240" w:lineRule="auto"/>
        <w:jc w:val="both"/>
        <w:rPr>
          <w:rFonts w:ascii="Verdana" w:eastAsia="Verdana" w:hAnsi="Verdana" w:cs="Verdana"/>
          <w:bCs/>
          <w:sz w:val="20"/>
        </w:rPr>
      </w:pPr>
    </w:p>
    <w:p w14:paraId="671BDB86" w14:textId="77777777" w:rsidR="00DA01E5" w:rsidRPr="00B16E51" w:rsidRDefault="00DA01E5" w:rsidP="00DA01E5">
      <w:pPr>
        <w:spacing w:after="0" w:line="240" w:lineRule="auto"/>
        <w:jc w:val="both"/>
        <w:rPr>
          <w:rFonts w:ascii="Verdana" w:eastAsia="Verdana" w:hAnsi="Verdana" w:cs="Verdana"/>
          <w:bCs/>
          <w:sz w:val="20"/>
        </w:rPr>
      </w:pPr>
      <w:r w:rsidRPr="00B16E51">
        <w:rPr>
          <w:rFonts w:ascii="Verdana" w:eastAsia="Verdana" w:hAnsi="Verdana" w:cs="Verdana"/>
          <w:bCs/>
          <w:sz w:val="20"/>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w:t>
      </w:r>
    </w:p>
    <w:p w14:paraId="32C18FE1" w14:textId="77777777" w:rsidR="00DA01E5" w:rsidRPr="00DD2C46" w:rsidRDefault="00DA01E5" w:rsidP="00DA01E5">
      <w:pPr>
        <w:spacing w:after="0"/>
        <w:jc w:val="both"/>
        <w:rPr>
          <w:rFonts w:ascii="Verdana" w:eastAsia="Verdana" w:hAnsi="Verdana" w:cs="Verdana"/>
          <w:b/>
          <w:bCs/>
        </w:rPr>
      </w:pPr>
    </w:p>
    <w:p w14:paraId="46B9694E" w14:textId="77777777" w:rsidR="00DA01E5" w:rsidRPr="00DD2C46" w:rsidRDefault="00DA01E5" w:rsidP="00DA01E5">
      <w:pPr>
        <w:spacing w:after="0"/>
        <w:jc w:val="both"/>
        <w:rPr>
          <w:rFonts w:ascii="Verdana" w:eastAsia="Verdana" w:hAnsi="Verdana" w:cs="Verdana"/>
          <w:b/>
          <w:bCs/>
        </w:rPr>
      </w:pPr>
      <w:r w:rsidRPr="00DD2C46">
        <w:rPr>
          <w:rFonts w:ascii="Verdana" w:eastAsia="Verdana" w:hAnsi="Verdana" w:cs="Verdana"/>
          <w:b/>
          <w:bCs/>
          <w:lang w:bidi="es-ES"/>
        </w:rPr>
        <w:t>SALARIO MÍNIMO – Vigencia 2026 – Suspensión provisional – Efectos</w:t>
      </w:r>
      <w:r w:rsidRPr="00DD2C46">
        <w:rPr>
          <w:rFonts w:ascii="Verdana" w:eastAsia="Verdana" w:hAnsi="Verdana" w:cs="Verdana"/>
          <w:b/>
          <w:bCs/>
        </w:rPr>
        <w:t xml:space="preserve"> </w:t>
      </w:r>
    </w:p>
    <w:p w14:paraId="5209A283" w14:textId="77777777" w:rsidR="00DA01E5" w:rsidRPr="00DD2C46" w:rsidRDefault="00DA01E5" w:rsidP="00DA01E5">
      <w:pPr>
        <w:spacing w:after="0"/>
        <w:jc w:val="both"/>
        <w:rPr>
          <w:rFonts w:ascii="Verdana" w:eastAsia="Verdana" w:hAnsi="Verdana" w:cs="Verdana"/>
          <w:b/>
          <w:bCs/>
        </w:rPr>
      </w:pPr>
    </w:p>
    <w:p w14:paraId="56AC58E0" w14:textId="77777777" w:rsidR="00DA01E5" w:rsidRDefault="00DA01E5" w:rsidP="00DA01E5">
      <w:pPr>
        <w:spacing w:after="0" w:line="240" w:lineRule="auto"/>
        <w:jc w:val="both"/>
        <w:rPr>
          <w:rFonts w:ascii="Verdana" w:eastAsia="Verdana" w:hAnsi="Verdana" w:cs="Verdana"/>
          <w:bCs/>
          <w:sz w:val="20"/>
        </w:rPr>
      </w:pPr>
      <w:r w:rsidRPr="00B16E51">
        <w:rPr>
          <w:rFonts w:ascii="Verdana" w:eastAsia="Verdana" w:hAnsi="Verdana" w:cs="Verdana"/>
          <w:bCs/>
          <w:sz w:val="20"/>
        </w:rPr>
        <w:t xml:space="preserve">Como se expresó previamente, para determinar el tope de la adición en la Ley 80 de 1993, es necesario el dato del salario mínimo legal mensual vigente. El artículo 1 del Decreto 1469 de 2025 fijó dicho valor por la suma de $1.750.905 para el 2026. Sin </w:t>
      </w:r>
      <w:r w:rsidRPr="00B16E51">
        <w:rPr>
          <w:rFonts w:ascii="Verdana" w:eastAsia="Verdana" w:hAnsi="Verdana" w:cs="Verdana"/>
          <w:bCs/>
          <w:sz w:val="20"/>
        </w:rPr>
        <w:lastRenderedPageBreak/>
        <w:t>embargo, la Subsección A de la Sección Segunda del Consejo de Estado –mediante Auto del 12 de febrero de 2026 con ponencia del Consejero Juan Camilo Morales Trujillo– suspendió provisionalmente el mencionado acto administrativo. Por ello, ordenó a las entidades demandadas que “[…] 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p>
    <w:p w14:paraId="2CDA68AF" w14:textId="77777777" w:rsidR="00DA01E5" w:rsidRPr="00B16E51" w:rsidRDefault="00DA01E5" w:rsidP="00DA01E5">
      <w:pPr>
        <w:spacing w:after="0" w:line="240" w:lineRule="auto"/>
        <w:jc w:val="both"/>
        <w:rPr>
          <w:rFonts w:ascii="Verdana" w:eastAsia="Verdana" w:hAnsi="Verdana" w:cs="Verdana"/>
          <w:bCs/>
          <w:sz w:val="20"/>
        </w:rPr>
      </w:pPr>
    </w:p>
    <w:p w14:paraId="51EEDD36" w14:textId="77777777" w:rsidR="00DA01E5" w:rsidRDefault="00DA01E5" w:rsidP="00DA01E5">
      <w:pPr>
        <w:spacing w:after="0" w:line="240" w:lineRule="auto"/>
        <w:jc w:val="both"/>
        <w:rPr>
          <w:rFonts w:ascii="Verdana" w:eastAsia="Verdana" w:hAnsi="Verdana" w:cs="Verdana"/>
          <w:bCs/>
          <w:sz w:val="20"/>
        </w:rPr>
      </w:pPr>
      <w:r w:rsidRPr="00B16E51">
        <w:rPr>
          <w:rFonts w:ascii="Verdana" w:eastAsia="Verdana" w:hAnsi="Verdana" w:cs="Verdana"/>
          <w:bCs/>
          <w:sz w:val="20"/>
        </w:rPr>
        <w:t xml:space="preserve">Ahora bien, el numeral cuarto de la providencia judicial precisó lo siguiente: “DIFERIR los efectos de la suspensión provisional, que se hará efectiva únicamente a partir de la fecha en que se publique el decreto de que trata el numeral anterior mediante el cual se determine la cifra transitoria. </w:t>
      </w:r>
      <w:r w:rsidRPr="00B16E51">
        <w:rPr>
          <w:rFonts w:ascii="Verdana" w:eastAsia="Verdana" w:hAnsi="Verdana" w:cs="Verdana"/>
          <w:bCs/>
          <w:i/>
          <w:iCs/>
          <w:sz w:val="20"/>
        </w:rPr>
        <w:t>Durante el lapso comprendido entre la notificación de esta providencia y la fecha de publicación del referido acto administrativo, el valor del salario mínimo para la vigencia 2026 seguirá correspondiendo al establecido en el Decreto 1469 de 2025</w:t>
      </w:r>
      <w:r w:rsidRPr="00B16E51">
        <w:rPr>
          <w:rFonts w:ascii="Verdana" w:eastAsia="Verdana" w:hAnsi="Verdana" w:cs="Verdana"/>
          <w:bCs/>
          <w:sz w:val="20"/>
        </w:rPr>
        <w:t>” (Cursivas fuera de texto). Esto significa que, durante el mencionado periodo, la suma de $1.750.905 fue el salario mínimo mensual vigente para todos los efectos legales, lo que incluye también la influencia de este valor en el cálculo de la menor y mínima cuantía para efectos de la contratación de las entidades sometidas a la Ley 80 de 1993.</w:t>
      </w:r>
    </w:p>
    <w:p w14:paraId="53A94013" w14:textId="77777777" w:rsidR="00DA01E5" w:rsidRPr="00B16E51" w:rsidRDefault="00DA01E5" w:rsidP="00DA01E5">
      <w:pPr>
        <w:spacing w:after="0" w:line="240" w:lineRule="auto"/>
        <w:jc w:val="both"/>
        <w:rPr>
          <w:rFonts w:ascii="Verdana" w:eastAsia="Verdana" w:hAnsi="Verdana" w:cs="Verdana"/>
          <w:bCs/>
          <w:sz w:val="20"/>
        </w:rPr>
      </w:pPr>
    </w:p>
    <w:p w14:paraId="1F0C027B" w14:textId="77777777" w:rsidR="00DA01E5" w:rsidRPr="00DD2C46" w:rsidRDefault="00DA01E5" w:rsidP="00DA01E5">
      <w:pPr>
        <w:spacing w:after="0"/>
        <w:jc w:val="both"/>
        <w:rPr>
          <w:rFonts w:ascii="Verdana" w:eastAsia="Verdana" w:hAnsi="Verdana" w:cs="Verdana"/>
          <w:b/>
          <w:bCs/>
        </w:rPr>
      </w:pPr>
      <w:r w:rsidRPr="00DD2C46">
        <w:rPr>
          <w:rFonts w:ascii="Verdana" w:eastAsia="Verdana" w:hAnsi="Verdana" w:cs="Verdana"/>
          <w:b/>
          <w:bCs/>
        </w:rPr>
        <w:t>PRESUNCIÓN DE LEGALIDAD – Excepción de ilegalidad – Deber de Aplicación – Administración</w:t>
      </w:r>
    </w:p>
    <w:p w14:paraId="2AC7D98A" w14:textId="77777777" w:rsidR="00DA01E5" w:rsidRPr="00B16E51" w:rsidRDefault="00DA01E5" w:rsidP="00DA01E5">
      <w:pPr>
        <w:spacing w:after="0" w:line="240" w:lineRule="auto"/>
        <w:jc w:val="both"/>
        <w:rPr>
          <w:rFonts w:ascii="Verdana" w:eastAsia="Verdana" w:hAnsi="Verdana" w:cs="Verdana"/>
          <w:bCs/>
        </w:rPr>
      </w:pPr>
    </w:p>
    <w:p w14:paraId="4FF14718" w14:textId="77777777" w:rsidR="00DA01E5" w:rsidRPr="00B16E51" w:rsidRDefault="00DA01E5" w:rsidP="00DA01E5">
      <w:pPr>
        <w:spacing w:after="0" w:line="240" w:lineRule="auto"/>
        <w:jc w:val="both"/>
        <w:rPr>
          <w:rFonts w:ascii="Verdana" w:eastAsia="Verdana" w:hAnsi="Verdana" w:cs="Verdana"/>
          <w:bCs/>
          <w:sz w:val="20"/>
          <w:szCs w:val="20"/>
        </w:rPr>
      </w:pPr>
      <w:r w:rsidRPr="00B16E51">
        <w:rPr>
          <w:rFonts w:ascii="Verdana" w:eastAsia="Verdana" w:hAnsi="Verdana" w:cs="Verdana"/>
          <w:bCs/>
          <w:sz w:val="20"/>
          <w:szCs w:val="20"/>
        </w:rPr>
        <w:t xml:space="preserve">Por lo demás, el artículo 1 del Decreto 159 de 2026 –acto administrativo expedido por el Gobierno Nacional conforme a lo ordenado por el máximo órgano de la jurisdicción contenciosa administrativa– mantuvo la suma de $1.750.905 con valor del salario mínimo legal mensual para el 2026. Luego, dicha cifra continúa siendo la base para estimar el monto de calcular la adición, </w:t>
      </w:r>
      <w:r w:rsidRPr="00B16E51">
        <w:rPr>
          <w:rFonts w:ascii="Verdana" w:eastAsia="Verdana" w:hAnsi="Verdana" w:cs="Verdana"/>
          <w:bCs/>
          <w:i/>
          <w:iCs/>
          <w:sz w:val="20"/>
          <w:szCs w:val="20"/>
        </w:rPr>
        <w:t>que se calcularán con base en el vigente al momento de la adición</w:t>
      </w:r>
      <w:r w:rsidRPr="00B16E51">
        <w:rPr>
          <w:rFonts w:ascii="Verdana" w:eastAsia="Verdana" w:hAnsi="Verdana" w:cs="Verdana"/>
          <w:bCs/>
          <w:sz w:val="20"/>
          <w:szCs w:val="20"/>
        </w:rPr>
        <w:t xml:space="preserve">, de manera que se descuenten estos de los salarios mínimos que restan por adicionar, ya que las adiciones podrían hacerse en diferentes vigencias fiscales, porque si el contrato se ejecuta sin existir variación en el valor del SMMLV la operación sería la misma si se toma el monto en pesos. </w:t>
      </w:r>
    </w:p>
    <w:p w14:paraId="764133E4" w14:textId="77777777" w:rsidR="00DA01E5" w:rsidRPr="00B16E51" w:rsidRDefault="00DA01E5" w:rsidP="00DA01E5">
      <w:pPr>
        <w:spacing w:after="0" w:line="240" w:lineRule="auto"/>
        <w:jc w:val="both"/>
        <w:rPr>
          <w:rFonts w:ascii="Verdana" w:eastAsia="Verdana" w:hAnsi="Verdana" w:cs="Verdana"/>
          <w:bCs/>
          <w:sz w:val="20"/>
          <w:szCs w:val="20"/>
        </w:rPr>
      </w:pPr>
    </w:p>
    <w:p w14:paraId="3E70994E" w14:textId="77777777" w:rsidR="00DA01E5" w:rsidRPr="00B16E51" w:rsidRDefault="00DA01E5" w:rsidP="00DA01E5">
      <w:pPr>
        <w:spacing w:after="0" w:line="240" w:lineRule="auto"/>
        <w:jc w:val="both"/>
        <w:rPr>
          <w:rFonts w:ascii="Verdana" w:eastAsia="Verdana" w:hAnsi="Verdana" w:cs="Verdana"/>
          <w:bCs/>
          <w:sz w:val="20"/>
          <w:szCs w:val="20"/>
        </w:rPr>
      </w:pPr>
      <w:r w:rsidRPr="00B16E51">
        <w:rPr>
          <w:rFonts w:ascii="Verdana" w:eastAsia="Verdana" w:hAnsi="Verdana" w:cs="Verdana"/>
          <w:bCs/>
          <w:sz w:val="20"/>
          <w:szCs w:val="20"/>
        </w:rPr>
        <w:t xml:space="preserve">Así mismo, debe tenerse en cuenta que el decreto, en su condición de acto administrativo, goza de presunción de legalidad, lo cual implica que es obligatorio y debe aplicarse mientras no haya sido anulado o suspendido por la autoridad judicial competente. En tal sentido, las entidades están llamadas a cumplirlo en tanto se encuentre vigente, y en el evento de que posteriormente sea invalidado, la aplicación bajo dicha presunción no genera responsabilidad, siempre que se haya actuado de buena fe y conforme al ordenamiento jurídico. </w:t>
      </w:r>
    </w:p>
    <w:p w14:paraId="00B61956" w14:textId="77777777" w:rsidR="00DA01E5" w:rsidRPr="00B16E51" w:rsidRDefault="00DA01E5" w:rsidP="00DA01E5">
      <w:pPr>
        <w:spacing w:after="0" w:line="240" w:lineRule="auto"/>
        <w:jc w:val="both"/>
        <w:rPr>
          <w:rFonts w:ascii="Verdana" w:eastAsia="Verdana" w:hAnsi="Verdana" w:cs="Verdana"/>
          <w:bCs/>
          <w:sz w:val="20"/>
          <w:szCs w:val="20"/>
        </w:rPr>
      </w:pPr>
    </w:p>
    <w:p w14:paraId="64F69D1B" w14:textId="77777777" w:rsidR="00DA01E5" w:rsidRPr="00B16E51" w:rsidRDefault="00DA01E5" w:rsidP="00DA01E5">
      <w:pPr>
        <w:spacing w:after="0" w:line="240" w:lineRule="auto"/>
        <w:jc w:val="both"/>
        <w:rPr>
          <w:rFonts w:ascii="Verdana" w:eastAsia="Verdana" w:hAnsi="Verdana" w:cs="Verdana"/>
          <w:bCs/>
          <w:sz w:val="20"/>
          <w:szCs w:val="20"/>
        </w:rPr>
      </w:pPr>
      <w:r w:rsidRPr="00B16E51">
        <w:rPr>
          <w:rFonts w:ascii="Verdana" w:eastAsia="Verdana" w:hAnsi="Verdana" w:cs="Verdana"/>
          <w:bCs/>
          <w:sz w:val="20"/>
          <w:szCs w:val="20"/>
        </w:rPr>
        <w:t xml:space="preserve">En consecuencia, la Administración debe sujetarse a lo dispuesto en el Decreto 159 de 2026, sin que resulte procedente aplicar la excepción de ilegalidad, puesto que esta institución se circunscribe exclusivamente a la facultad que tiene el juez administrativo </w:t>
      </w:r>
      <w:r w:rsidRPr="00B16E51">
        <w:rPr>
          <w:rFonts w:ascii="Verdana" w:eastAsia="Verdana" w:hAnsi="Verdana" w:cs="Verdana"/>
          <w:bCs/>
          <w:sz w:val="20"/>
          <w:szCs w:val="20"/>
        </w:rPr>
        <w:lastRenderedPageBreak/>
        <w:t>de inaplicar un acto dentro del trámite de una acción sometida a su conocimiento. De este modo, la Administración carece de competencia para decidir por sí misma la inaplicación del acto administrativo, de conformidad con las consideraciones desarrolladas por la Sentencia C</w:t>
      </w:r>
      <w:r w:rsidRPr="00B16E51">
        <w:rPr>
          <w:rFonts w:ascii="Verdana" w:eastAsia="Verdana" w:hAnsi="Verdana" w:cs="Verdana"/>
          <w:bCs/>
          <w:sz w:val="20"/>
          <w:szCs w:val="20"/>
        </w:rPr>
        <w:noBreakHyphen/>
        <w:t>037 de 2000, en la que la Corte Constitucional precisó los alcances y límites de la excepción de ilegalidad.</w:t>
      </w:r>
    </w:p>
    <w:p w14:paraId="63F5FCBC" w14:textId="77777777" w:rsidR="00DA01E5" w:rsidRPr="00B16E51" w:rsidRDefault="00DA01E5" w:rsidP="00DA01E5">
      <w:pPr>
        <w:spacing w:after="0" w:line="240" w:lineRule="auto"/>
        <w:jc w:val="both"/>
        <w:rPr>
          <w:rFonts w:ascii="Verdana" w:eastAsia="Verdana" w:hAnsi="Verdana" w:cs="Verdana"/>
          <w:bCs/>
        </w:rPr>
      </w:pPr>
    </w:p>
    <w:p w14:paraId="6EED9B20" w14:textId="77777777" w:rsidR="00DA01E5" w:rsidRPr="00DD2C46" w:rsidRDefault="00DA01E5" w:rsidP="00DA01E5">
      <w:pPr>
        <w:spacing w:after="0"/>
        <w:jc w:val="both"/>
        <w:rPr>
          <w:rFonts w:ascii="Verdana" w:eastAsia="Verdana" w:hAnsi="Verdana" w:cs="Verdana"/>
          <w:b/>
          <w:bCs/>
        </w:rPr>
      </w:pPr>
      <w:r w:rsidRPr="00DD2C46">
        <w:rPr>
          <w:rFonts w:ascii="Verdana" w:eastAsia="Verdana" w:hAnsi="Verdana" w:cs="Verdana"/>
          <w:b/>
          <w:bCs/>
        </w:rPr>
        <w:t>MODIFICACION DE LOS CONTRATOS ESTATALES – Procedencia – condiciones – Límites</w:t>
      </w:r>
    </w:p>
    <w:p w14:paraId="2C650ADE" w14:textId="77777777" w:rsidR="00DA01E5" w:rsidRDefault="00DA01E5" w:rsidP="00DA01E5">
      <w:pPr>
        <w:spacing w:after="0" w:line="240" w:lineRule="auto"/>
        <w:jc w:val="both"/>
        <w:rPr>
          <w:rFonts w:ascii="Verdana" w:eastAsia="Verdana" w:hAnsi="Verdana" w:cs="Verdana"/>
        </w:rPr>
      </w:pPr>
    </w:p>
    <w:p w14:paraId="3B5EC462" w14:textId="77777777" w:rsidR="00DA01E5" w:rsidRPr="00B16E51" w:rsidRDefault="00DA01E5" w:rsidP="00DA01E5">
      <w:pPr>
        <w:spacing w:after="0" w:line="240" w:lineRule="auto"/>
        <w:jc w:val="both"/>
        <w:rPr>
          <w:rFonts w:ascii="Verdana" w:eastAsia="Verdana" w:hAnsi="Verdana" w:cs="Verdana"/>
          <w:sz w:val="20"/>
        </w:rPr>
      </w:pPr>
      <w:r w:rsidRPr="00B16E51">
        <w:rPr>
          <w:rFonts w:ascii="Verdana" w:eastAsia="Verdana" w:hAnsi="Verdana" w:cs="Verdana"/>
          <w:sz w:val="20"/>
        </w:rPr>
        <w:t xml:space="preserve">También es importante mencionar que 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 </w:t>
      </w:r>
    </w:p>
    <w:p w14:paraId="3DA0C65C" w14:textId="77777777" w:rsidR="00DA01E5" w:rsidRPr="00B16E51" w:rsidRDefault="00DA01E5" w:rsidP="00DA01E5">
      <w:pPr>
        <w:spacing w:after="0" w:line="240" w:lineRule="auto"/>
        <w:jc w:val="both"/>
        <w:rPr>
          <w:rFonts w:ascii="Verdana" w:eastAsia="Verdana" w:hAnsi="Verdana" w:cs="Verdana"/>
          <w:sz w:val="20"/>
        </w:rPr>
      </w:pPr>
    </w:p>
    <w:p w14:paraId="5BE67A55" w14:textId="77777777" w:rsidR="00DA01E5" w:rsidRPr="00B16E51" w:rsidRDefault="00DA01E5" w:rsidP="00DA01E5">
      <w:pPr>
        <w:spacing w:after="0" w:line="240" w:lineRule="auto"/>
        <w:jc w:val="both"/>
        <w:rPr>
          <w:rFonts w:ascii="Verdana" w:eastAsia="Verdana" w:hAnsi="Verdana" w:cs="Verdana"/>
          <w:sz w:val="20"/>
        </w:rPr>
      </w:pPr>
      <w:r w:rsidRPr="00B16E51">
        <w:rPr>
          <w:rFonts w:ascii="Verdana" w:eastAsia="Verdana" w:hAnsi="Verdana" w:cs="Verdana"/>
          <w:sz w:val="20"/>
        </w:rPr>
        <w:t xml:space="preserve">Dentro de los límites de </w:t>
      </w:r>
      <w:r w:rsidRPr="00B16E51">
        <w:rPr>
          <w:rFonts w:ascii="Verdana" w:eastAsia="Verdana" w:hAnsi="Verdana" w:cs="Verdana"/>
          <w:i/>
          <w:sz w:val="20"/>
        </w:rPr>
        <w:t xml:space="preserve">orden temporal </w:t>
      </w:r>
      <w:r w:rsidRPr="00B16E51">
        <w:rPr>
          <w:rFonts w:ascii="Verdana" w:eastAsia="Verdana" w:hAnsi="Verdana" w:cs="Verdana"/>
          <w:sz w:val="20"/>
        </w:rPr>
        <w:t xml:space="preserve">están comprendidos: </w:t>
      </w:r>
      <w:r w:rsidRPr="00B16E51">
        <w:rPr>
          <w:rFonts w:ascii="Verdana" w:eastAsia="Verdana" w:hAnsi="Verdana" w:cs="Verdana"/>
          <w:sz w:val="20"/>
          <w:lang w:val="es-MX"/>
        </w:rPr>
        <w:t>i) la vigencia del contrato, pues no podría modificarse un contrato cuyo plazo ha culminado y; ii) la prohibición de consagrar prórrogas automáticas, sucesivas o indefinidas, en tanto resultan contrarias al derecho esencial de la libertad de competencia.</w:t>
      </w:r>
      <w:r w:rsidRPr="00B16E51">
        <w:rPr>
          <w:rFonts w:ascii="Verdana" w:eastAsia="Verdana" w:hAnsi="Verdana" w:cs="Verdana"/>
          <w:sz w:val="20"/>
        </w:rPr>
        <w:t xml:space="preserve"> En torno a los límites de </w:t>
      </w:r>
      <w:r w:rsidRPr="00B16E51">
        <w:rPr>
          <w:rFonts w:ascii="Verdana" w:eastAsia="Verdana" w:hAnsi="Verdana" w:cs="Verdana"/>
          <w:i/>
          <w:sz w:val="20"/>
        </w:rPr>
        <w:t>orden formal</w:t>
      </w:r>
      <w:r w:rsidRPr="00B16E51">
        <w:rPr>
          <w:rFonts w:ascii="Verdana" w:eastAsia="Verdana" w:hAnsi="Verdana" w:cs="Verdana"/>
          <w:sz w:val="20"/>
        </w:rPr>
        <w:t xml:space="preserve">, debe señalarse que, por un lado, es necesario que, la </w:t>
      </w:r>
      <w:r w:rsidRPr="00B16E51">
        <w:rPr>
          <w:rFonts w:ascii="Verdana" w:eastAsia="Verdana" w:hAnsi="Verdana" w:cs="Verdana"/>
          <w:sz w:val="20"/>
          <w:lang w:val="es-MX"/>
        </w:rPr>
        <w:t xml:space="preserve">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 Por otro lado, </w:t>
      </w:r>
      <w:r w:rsidRPr="00B16E51">
        <w:rPr>
          <w:rFonts w:ascii="Verdana" w:eastAsia="Verdana" w:hAnsi="Verdana" w:cs="Verdana"/>
          <w:sz w:val="20"/>
        </w:rPr>
        <w:t>la entidad debe motivar y justificar la modificación.</w:t>
      </w:r>
      <w:bookmarkStart w:id="1" w:name="_GoBack"/>
      <w:bookmarkEnd w:id="1"/>
    </w:p>
    <w:p w14:paraId="33EFF096" w14:textId="77777777" w:rsidR="00DA01E5" w:rsidRPr="00B16E51" w:rsidRDefault="00DA01E5" w:rsidP="00DA01E5">
      <w:pPr>
        <w:spacing w:after="0" w:line="240" w:lineRule="auto"/>
        <w:jc w:val="both"/>
        <w:rPr>
          <w:rFonts w:ascii="Verdana" w:eastAsia="Verdana" w:hAnsi="Verdana" w:cs="Verdana"/>
          <w:sz w:val="20"/>
        </w:rPr>
      </w:pPr>
    </w:p>
    <w:p w14:paraId="16ED7EF0" w14:textId="77777777" w:rsidR="00DA01E5" w:rsidRPr="00B16E51" w:rsidRDefault="00DA01E5" w:rsidP="00DA01E5">
      <w:pPr>
        <w:spacing w:after="0" w:line="240" w:lineRule="auto"/>
        <w:jc w:val="both"/>
        <w:rPr>
          <w:rFonts w:ascii="Verdana" w:eastAsia="Verdana" w:hAnsi="Verdana" w:cs="Verdana"/>
          <w:i/>
          <w:sz w:val="20"/>
          <w:lang w:val="es-MX"/>
        </w:rPr>
      </w:pPr>
      <w:r w:rsidRPr="00B16E51">
        <w:rPr>
          <w:rFonts w:ascii="Verdana" w:eastAsia="Verdana" w:hAnsi="Verdana" w:cs="Verdana"/>
          <w:sz w:val="20"/>
        </w:rPr>
        <w:t xml:space="preserve">Los </w:t>
      </w:r>
      <w:r w:rsidRPr="00B16E51">
        <w:rPr>
          <w:rFonts w:ascii="Verdana" w:eastAsia="Verdana" w:hAnsi="Verdana" w:cs="Verdana"/>
          <w:i/>
          <w:sz w:val="20"/>
        </w:rPr>
        <w:t>límites materiales</w:t>
      </w:r>
      <w:r w:rsidRPr="00B16E51">
        <w:rPr>
          <w:rFonts w:ascii="Verdana" w:eastAsia="Verdana" w:hAnsi="Verdana" w:cs="Verdana"/>
          <w:sz w:val="20"/>
        </w:rPr>
        <w:t xml:space="preserve"> </w:t>
      </w:r>
      <w:r w:rsidRPr="00B16E51">
        <w:rPr>
          <w:rFonts w:ascii="Verdana" w:eastAsia="Verdana" w:hAnsi="Verdana" w:cs="Verdana"/>
          <w:sz w:val="20"/>
          <w:lang w:val="es-MX"/>
        </w:rPr>
        <w:t xml:space="preserve">corresponden a la prohibición de modificar las condiciones sustanciales del contrato, que se presentará en los casos en que se incluyan elementos que, </w:t>
      </w:r>
      <w:r w:rsidRPr="00B16E51">
        <w:rPr>
          <w:rFonts w:ascii="Verdana" w:eastAsia="Verdana" w:hAnsi="Verdana" w:cs="Verdana"/>
          <w:i/>
          <w:sz w:val="20"/>
          <w:lang w:val="es-MX"/>
        </w:rPr>
        <w:t xml:space="preserve">“habiendo figurado en el procedimiento inicial, hubiera permitido la participación de otros interesados aparte de los inicialmente admitidos, o seleccionar una oferta distinta de la inicialmente seleccionada”. </w:t>
      </w:r>
      <w:r w:rsidRPr="00B16E51">
        <w:rPr>
          <w:rFonts w:ascii="Verdana" w:eastAsia="Verdana" w:hAnsi="Verdana" w:cs="Verdana"/>
          <w:sz w:val="20"/>
          <w:lang w:val="es-MX"/>
        </w:rPr>
        <w:t xml:space="preserve">Finalmente, se encuentran los </w:t>
      </w:r>
      <w:r w:rsidRPr="00B16E51">
        <w:rPr>
          <w:rFonts w:ascii="Verdana" w:eastAsia="Verdana" w:hAnsi="Verdana" w:cs="Verdana"/>
          <w:i/>
          <w:sz w:val="20"/>
          <w:lang w:val="es-MX"/>
        </w:rPr>
        <w:t>límites axiológicos</w:t>
      </w:r>
      <w:r w:rsidRPr="00B16E51">
        <w:rPr>
          <w:rFonts w:ascii="Verdana" w:eastAsia="Verdana" w:hAnsi="Verdana" w:cs="Verdana"/>
          <w:sz w:val="20"/>
          <w:lang w:val="es-MX"/>
        </w:rPr>
        <w:t xml:space="preserve">, los cuales se fundan en la necesidad de preservar los principios de igualdad, transparencia, libertad de concurrencia, selección objetiva y planeación. </w:t>
      </w:r>
      <w:r w:rsidRPr="00B16E51">
        <w:rPr>
          <w:rFonts w:ascii="Verdana" w:eastAsia="Verdana" w:hAnsi="Verdana" w:cs="Verdana"/>
          <w:sz w:val="20"/>
        </w:rPr>
        <w:t xml:space="preserve">Lo anterior, con la finalidad de realizar la escogencia diligente de la mejor oferta, para beneficiar los intereses y fines públicos inmersos en la contratación de las Entidades Estatales. A modo de ejemplo, la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302B8BDD" w14:textId="77777777" w:rsidR="00DA01E5" w:rsidRPr="00B16E51" w:rsidRDefault="00DA01E5" w:rsidP="00DA01E5">
      <w:pPr>
        <w:spacing w:after="0"/>
        <w:rPr>
          <w:rFonts w:ascii="Verdana" w:eastAsia="Verdana" w:hAnsi="Verdana" w:cs="Verdana"/>
        </w:rPr>
      </w:pPr>
    </w:p>
    <w:p w14:paraId="42DFD94C" w14:textId="77777777" w:rsidR="00DA01E5" w:rsidRPr="003E4CC9" w:rsidRDefault="00DA01E5" w:rsidP="00DA01E5">
      <w:pPr>
        <w:spacing w:after="0"/>
        <w:rPr>
          <w:rFonts w:ascii="Verdana" w:hAnsi="Verdana" w:cs="Arial"/>
          <w:bCs/>
          <w:lang w:eastAsia="es-ES" w:bidi="es-ES"/>
        </w:rPr>
      </w:pPr>
      <w:r w:rsidRPr="00DD2C46">
        <w:rPr>
          <w:rFonts w:ascii="Verdana" w:hAnsi="Verdana" w:cs="Arial"/>
          <w:bCs/>
          <w:noProof/>
          <w:lang w:val="en-US"/>
        </w:rPr>
        <w:lastRenderedPageBreak/>
        <w:drawing>
          <wp:anchor distT="0" distB="0" distL="114300" distR="114300" simplePos="0" relativeHeight="251659264" behindDoc="0" locked="0" layoutInCell="1" allowOverlap="1" wp14:anchorId="47B3AE74" wp14:editId="53386FF5">
            <wp:simplePos x="0" y="0"/>
            <wp:positionH relativeFrom="margin">
              <wp:align>right</wp:align>
            </wp:positionH>
            <wp:positionV relativeFrom="paragraph">
              <wp:posOffset>266818</wp:posOffset>
            </wp:positionV>
            <wp:extent cx="2667635" cy="740410"/>
            <wp:effectExtent l="0" t="0" r="0" b="254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7635" cy="7404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24 de abril de 2026</w:t>
      </w:r>
      <w:r>
        <w:tab/>
      </w:r>
      <w:r>
        <w:br/>
      </w:r>
    </w:p>
    <w:p w14:paraId="20A00ACF" w14:textId="77777777" w:rsidR="00DA01E5" w:rsidRPr="003E4CC9" w:rsidRDefault="00DA01E5" w:rsidP="00DA01E5">
      <w:pPr>
        <w:spacing w:after="0" w:line="240" w:lineRule="auto"/>
        <w:rPr>
          <w:rFonts w:ascii="Verdana" w:hAnsi="Verdana" w:cs="Arial"/>
          <w:bCs/>
          <w:lang w:eastAsia="es-ES" w:bidi="es-ES"/>
        </w:rPr>
      </w:pPr>
    </w:p>
    <w:p w14:paraId="36CB64A4" w14:textId="77777777" w:rsidR="00DA01E5" w:rsidRPr="003E4CC9" w:rsidRDefault="00DA01E5" w:rsidP="00DA01E5">
      <w:pPr>
        <w:spacing w:after="0" w:line="240" w:lineRule="auto"/>
        <w:jc w:val="both"/>
        <w:rPr>
          <w:rFonts w:ascii="Verdana" w:hAnsi="Verdana" w:cs="Arial"/>
          <w:bCs/>
          <w:lang w:eastAsia="es-ES" w:bidi="es-ES"/>
        </w:rPr>
      </w:pPr>
      <w:r w:rsidRPr="003E4CC9">
        <w:rPr>
          <w:rFonts w:ascii="Verdana" w:hAnsi="Verdana" w:cs="Arial"/>
          <w:bCs/>
          <w:lang w:eastAsia="es-ES" w:bidi="es-ES"/>
        </w:rPr>
        <w:t>Señor</w:t>
      </w:r>
    </w:p>
    <w:p w14:paraId="33E0BF52" w14:textId="77777777" w:rsidR="00DA01E5" w:rsidRPr="003E4CC9" w:rsidRDefault="00DA01E5" w:rsidP="00DA01E5">
      <w:pPr>
        <w:spacing w:after="0" w:line="240" w:lineRule="auto"/>
        <w:jc w:val="both"/>
        <w:rPr>
          <w:rFonts w:ascii="Verdana" w:hAnsi="Verdana" w:cs="Arial"/>
          <w:b/>
          <w:bCs/>
          <w:lang w:eastAsia="es-ES" w:bidi="es-ES"/>
        </w:rPr>
      </w:pPr>
      <w:r w:rsidRPr="003E4CC9">
        <w:rPr>
          <w:rFonts w:ascii="Verdana" w:hAnsi="Verdana" w:cs="Arial"/>
          <w:b/>
          <w:bCs/>
          <w:lang w:eastAsia="es-ES" w:bidi="es-ES"/>
        </w:rPr>
        <w:t>Ciudadano</w:t>
      </w:r>
    </w:p>
    <w:p w14:paraId="50187B2A" w14:textId="77777777" w:rsidR="00DA01E5" w:rsidRPr="003E4CC9" w:rsidRDefault="00DA01E5" w:rsidP="00DA01E5">
      <w:pPr>
        <w:spacing w:after="0" w:line="240" w:lineRule="auto"/>
        <w:jc w:val="both"/>
        <w:rPr>
          <w:rFonts w:ascii="Verdana" w:hAnsi="Verdana" w:cs="Arial"/>
          <w:bCs/>
          <w:lang w:val="es-MX" w:eastAsia="es-ES" w:bidi="es-ES"/>
        </w:rPr>
      </w:pPr>
      <w:r w:rsidRPr="003E4CC9">
        <w:rPr>
          <w:rFonts w:ascii="Verdana" w:hAnsi="Verdana" w:cs="Arial"/>
          <w:bCs/>
          <w:lang w:val="es-MX" w:eastAsia="es-ES" w:bidi="es-ES"/>
        </w:rPr>
        <w:t xml:space="preserve">Bogotá D.C. </w:t>
      </w:r>
    </w:p>
    <w:p w14:paraId="5639D3F2" w14:textId="77777777" w:rsidR="00DA01E5" w:rsidRPr="003E4CC9" w:rsidRDefault="00DA01E5" w:rsidP="00DA01E5">
      <w:pPr>
        <w:spacing w:after="0" w:line="240" w:lineRule="auto"/>
        <w:jc w:val="both"/>
        <w:rPr>
          <w:rFonts w:ascii="Verdana" w:hAnsi="Verdana" w:cs="Arial"/>
          <w:b/>
          <w:bCs/>
          <w:lang w:val="es-ES_tradnl" w:eastAsia="es-ES" w:bidi="es-ES"/>
        </w:rPr>
      </w:pPr>
    </w:p>
    <w:p w14:paraId="0384D504" w14:textId="77777777" w:rsidR="00DA01E5" w:rsidRPr="003E4CC9" w:rsidRDefault="00DA01E5" w:rsidP="00DA01E5">
      <w:pPr>
        <w:tabs>
          <w:tab w:val="left" w:pos="7184"/>
        </w:tabs>
        <w:spacing w:after="0" w:line="240" w:lineRule="auto"/>
        <w:jc w:val="both"/>
        <w:rPr>
          <w:rFonts w:ascii="Verdana" w:hAnsi="Verdana" w:cs="Arial"/>
          <w:b/>
          <w:bCs/>
          <w:lang w:val="es-ES_tradnl" w:eastAsia="es-ES" w:bidi="es-ES"/>
        </w:rPr>
      </w:pPr>
      <w:r w:rsidRPr="003E4CC9">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DA01E5" w:rsidRPr="003E4CC9" w14:paraId="19D92657" w14:textId="77777777" w:rsidTr="00E458D9">
        <w:trPr>
          <w:trHeight w:val="312"/>
        </w:trPr>
        <w:tc>
          <w:tcPr>
            <w:tcW w:w="2689" w:type="dxa"/>
          </w:tcPr>
          <w:p w14:paraId="19ECB5B9" w14:textId="77777777" w:rsidR="00DA01E5" w:rsidRPr="003E4CC9" w:rsidRDefault="00DA01E5" w:rsidP="00E458D9">
            <w:pPr>
              <w:jc w:val="both"/>
              <w:rPr>
                <w:rFonts w:ascii="Verdana" w:hAnsi="Verdana" w:cs="Arial"/>
                <w:b/>
                <w:bCs/>
                <w:lang w:val="es-ES_tradnl" w:eastAsia="es-ES" w:bidi="es-ES"/>
              </w:rPr>
            </w:pPr>
          </w:p>
        </w:tc>
        <w:tc>
          <w:tcPr>
            <w:tcW w:w="6242" w:type="dxa"/>
          </w:tcPr>
          <w:p w14:paraId="290447AF" w14:textId="77777777" w:rsidR="00DA01E5" w:rsidRPr="003E4CC9" w:rsidRDefault="00DA01E5" w:rsidP="00E458D9">
            <w:pPr>
              <w:tabs>
                <w:tab w:val="right" w:pos="6242"/>
              </w:tabs>
              <w:jc w:val="both"/>
              <w:rPr>
                <w:rFonts w:ascii="Verdana" w:hAnsi="Verdana" w:cs="Arial"/>
                <w:b/>
                <w:bCs/>
                <w:lang w:val="es-MX" w:eastAsia="es-ES" w:bidi="es-ES"/>
              </w:rPr>
            </w:pPr>
            <w:r w:rsidRPr="003E4CC9">
              <w:rPr>
                <w:rFonts w:ascii="Verdana" w:hAnsi="Verdana" w:cs="Arial"/>
                <w:b/>
                <w:bCs/>
                <w:lang w:val="es-MX" w:eastAsia="es-ES" w:bidi="es-ES"/>
              </w:rPr>
              <w:t>Concepto C-405 de 2026</w:t>
            </w:r>
            <w:r w:rsidRPr="003E4CC9">
              <w:rPr>
                <w:rFonts w:ascii="Verdana" w:hAnsi="Verdana" w:cs="Arial"/>
                <w:b/>
                <w:bCs/>
                <w:lang w:val="es-MX" w:eastAsia="es-ES" w:bidi="es-ES"/>
              </w:rPr>
              <w:tab/>
            </w:r>
          </w:p>
          <w:p w14:paraId="243ED75F" w14:textId="77777777" w:rsidR="00DA01E5" w:rsidRPr="003E4CC9" w:rsidRDefault="00DA01E5" w:rsidP="00E458D9">
            <w:pPr>
              <w:jc w:val="both"/>
              <w:rPr>
                <w:rFonts w:ascii="Verdana" w:hAnsi="Verdana" w:cs="Arial"/>
                <w:b/>
                <w:bCs/>
                <w:lang w:val="es-MX" w:eastAsia="es-ES" w:bidi="es-ES"/>
              </w:rPr>
            </w:pPr>
          </w:p>
        </w:tc>
      </w:tr>
      <w:tr w:rsidR="00DA01E5" w:rsidRPr="003E4CC9" w14:paraId="1E205215" w14:textId="77777777" w:rsidTr="00E458D9">
        <w:trPr>
          <w:trHeight w:val="884"/>
        </w:trPr>
        <w:tc>
          <w:tcPr>
            <w:tcW w:w="2689" w:type="dxa"/>
          </w:tcPr>
          <w:p w14:paraId="3AA08E61" w14:textId="77777777" w:rsidR="00DA01E5" w:rsidRPr="003E4CC9" w:rsidRDefault="00DA01E5" w:rsidP="00E458D9">
            <w:pPr>
              <w:jc w:val="both"/>
              <w:rPr>
                <w:rFonts w:ascii="Verdana" w:hAnsi="Verdana" w:cs="Arial"/>
                <w:bCs/>
                <w:lang w:val="es-MX" w:eastAsia="es-ES" w:bidi="es-ES"/>
              </w:rPr>
            </w:pPr>
            <w:r w:rsidRPr="003E4CC9">
              <w:rPr>
                <w:rFonts w:ascii="Verdana" w:hAnsi="Verdana" w:cs="Arial"/>
                <w:bCs/>
                <w:lang w:val="es-MX" w:eastAsia="es-ES" w:bidi="es-ES"/>
              </w:rPr>
              <w:t xml:space="preserve">Temas:                   </w:t>
            </w:r>
          </w:p>
        </w:tc>
        <w:tc>
          <w:tcPr>
            <w:tcW w:w="6242" w:type="dxa"/>
          </w:tcPr>
          <w:p w14:paraId="3C82F09C" w14:textId="77777777" w:rsidR="00DA01E5" w:rsidRPr="003E4CC9" w:rsidRDefault="00DA01E5" w:rsidP="00E458D9">
            <w:pPr>
              <w:spacing w:line="276" w:lineRule="auto"/>
              <w:jc w:val="both"/>
              <w:rPr>
                <w:rFonts w:ascii="Verdana" w:hAnsi="Verdana" w:cs="Arial"/>
                <w:bCs/>
                <w:lang w:eastAsia="es-ES" w:bidi="es-ES"/>
              </w:rPr>
            </w:pPr>
            <w:r w:rsidRPr="003E4CC9">
              <w:rPr>
                <w:rFonts w:ascii="Verdana" w:hAnsi="Verdana" w:cs="Arial"/>
                <w:bCs/>
                <w:lang w:eastAsia="es-ES" w:bidi="es-ES"/>
              </w:rPr>
              <w:t xml:space="preserve">ADICIÓN – Concepto – Distintos supuestos – Prohibición – Adición en más del 50% / ADICIÓN – Prohibición – Monto – Cálculo – Parágrafo artículo 40 – Ley 80 de 1993 / </w:t>
            </w:r>
            <w:r w:rsidRPr="003E4CC9">
              <w:rPr>
                <w:rFonts w:ascii="Verdana" w:hAnsi="Verdana" w:cs="Arial"/>
                <w:bCs/>
                <w:lang w:val="es-ES" w:eastAsia="es-ES" w:bidi="es-ES"/>
              </w:rPr>
              <w:t>SALARIO MÍNIMO – Vigencia 2026 – Suspensión provisional – Efectos</w:t>
            </w:r>
            <w:r w:rsidRPr="003E4CC9">
              <w:rPr>
                <w:rFonts w:ascii="Verdana" w:hAnsi="Verdana" w:cs="Arial"/>
                <w:bCs/>
                <w:lang w:eastAsia="es-ES" w:bidi="es-ES"/>
              </w:rPr>
              <w:t xml:space="preserve"> / PRESUNCIÓN DE LEGALIDAD – Excepción de ilegalidad – Deber de Aplicación – Administración / MODIFICACION DE LOS CONTRATOS ESTATALES – Procedencia – condiciones – Límites</w:t>
            </w:r>
          </w:p>
          <w:p w14:paraId="0655748E" w14:textId="77777777" w:rsidR="00DA01E5" w:rsidRPr="003E4CC9" w:rsidRDefault="00DA01E5" w:rsidP="00E458D9">
            <w:pPr>
              <w:spacing w:line="276" w:lineRule="auto"/>
              <w:jc w:val="both"/>
              <w:rPr>
                <w:rFonts w:ascii="Verdana" w:hAnsi="Verdana" w:cs="Arial"/>
                <w:bCs/>
                <w:lang w:eastAsia="es-ES" w:bidi="es-ES"/>
              </w:rPr>
            </w:pPr>
          </w:p>
          <w:p w14:paraId="176523EF" w14:textId="77777777" w:rsidR="00DA01E5" w:rsidRPr="003E4CC9" w:rsidRDefault="00DA01E5" w:rsidP="00E458D9">
            <w:pPr>
              <w:jc w:val="both"/>
              <w:rPr>
                <w:rFonts w:ascii="Verdana" w:hAnsi="Verdana" w:cs="Arial"/>
                <w:bCs/>
                <w:highlight w:val="yellow"/>
                <w:lang w:val="es-MX" w:eastAsia="es-ES" w:bidi="es-ES"/>
              </w:rPr>
            </w:pPr>
          </w:p>
        </w:tc>
      </w:tr>
      <w:tr w:rsidR="00DA01E5" w:rsidRPr="003E4CC9" w14:paraId="0238C9C0" w14:textId="77777777" w:rsidTr="00E458D9">
        <w:tc>
          <w:tcPr>
            <w:tcW w:w="2689" w:type="dxa"/>
          </w:tcPr>
          <w:p w14:paraId="58F9A354" w14:textId="77777777" w:rsidR="00DA01E5" w:rsidRPr="003E4CC9" w:rsidRDefault="00DA01E5" w:rsidP="00E458D9">
            <w:pPr>
              <w:jc w:val="both"/>
              <w:rPr>
                <w:rFonts w:ascii="Verdana" w:hAnsi="Verdana" w:cs="Arial"/>
                <w:bCs/>
                <w:lang w:val="es-MX" w:eastAsia="es-ES" w:bidi="es-ES"/>
              </w:rPr>
            </w:pPr>
            <w:r w:rsidRPr="003E4CC9">
              <w:rPr>
                <w:rFonts w:ascii="Verdana" w:hAnsi="Verdana" w:cs="Arial"/>
                <w:bCs/>
                <w:lang w:val="es-MX" w:eastAsia="es-ES" w:bidi="es-ES"/>
              </w:rPr>
              <w:t xml:space="preserve">Radicación:               </w:t>
            </w:r>
          </w:p>
        </w:tc>
        <w:tc>
          <w:tcPr>
            <w:tcW w:w="6242" w:type="dxa"/>
          </w:tcPr>
          <w:p w14:paraId="7BFBB417" w14:textId="77777777" w:rsidR="00DA01E5" w:rsidRPr="003E4CC9" w:rsidRDefault="00DA01E5" w:rsidP="00E458D9">
            <w:pPr>
              <w:jc w:val="both"/>
              <w:rPr>
                <w:rFonts w:ascii="Verdana" w:hAnsi="Verdana" w:cs="Arial"/>
                <w:bCs/>
                <w:lang w:val="es-MX" w:eastAsia="es-ES" w:bidi="es-ES"/>
              </w:rPr>
            </w:pPr>
            <w:r w:rsidRPr="003E4CC9">
              <w:rPr>
                <w:rFonts w:ascii="Verdana" w:hAnsi="Verdana" w:cs="Arial"/>
                <w:bCs/>
                <w:lang w:val="es-MX" w:eastAsia="es-ES" w:bidi="es-ES"/>
              </w:rPr>
              <w:t xml:space="preserve">Respuesta a consulta con radicado No. </w:t>
            </w:r>
            <w:r w:rsidRPr="003E4CC9">
              <w:rPr>
                <w:rFonts w:ascii="Verdana" w:hAnsi="Verdana" w:cs="Arial"/>
                <w:bCs/>
                <w:lang w:eastAsia="es-ES" w:bidi="es-ES"/>
              </w:rPr>
              <w:t>1_2026_03_12_003460</w:t>
            </w:r>
          </w:p>
        </w:tc>
      </w:tr>
    </w:tbl>
    <w:p w14:paraId="57A073BC" w14:textId="77777777" w:rsidR="00DA01E5" w:rsidRPr="003E4CC9" w:rsidRDefault="00DA01E5" w:rsidP="00DA01E5">
      <w:pPr>
        <w:spacing w:after="0" w:line="240" w:lineRule="auto"/>
        <w:jc w:val="both"/>
        <w:rPr>
          <w:rFonts w:ascii="Verdana" w:hAnsi="Verdana" w:cs="Arial"/>
          <w:bCs/>
          <w:lang w:val="es-ES_tradnl" w:eastAsia="es-ES" w:bidi="es-ES"/>
        </w:rPr>
      </w:pPr>
    </w:p>
    <w:p w14:paraId="4184DADA" w14:textId="77777777" w:rsidR="00DA01E5" w:rsidRPr="003E4CC9" w:rsidRDefault="00DA01E5" w:rsidP="00DA01E5">
      <w:pPr>
        <w:spacing w:after="0" w:line="240" w:lineRule="auto"/>
        <w:jc w:val="both"/>
        <w:rPr>
          <w:rFonts w:ascii="Verdana" w:hAnsi="Verdana" w:cs="Arial"/>
          <w:bCs/>
          <w:lang w:val="es-ES_tradnl" w:eastAsia="es-ES" w:bidi="es-ES"/>
        </w:rPr>
      </w:pPr>
    </w:p>
    <w:p w14:paraId="20CCA8BA" w14:textId="77777777" w:rsidR="00DA01E5" w:rsidRPr="003E4CC9" w:rsidRDefault="00DA01E5" w:rsidP="00DA01E5">
      <w:pPr>
        <w:spacing w:after="0" w:line="276" w:lineRule="auto"/>
        <w:jc w:val="both"/>
        <w:rPr>
          <w:rFonts w:ascii="Verdana" w:hAnsi="Verdana" w:cs="Arial"/>
          <w:bCs/>
          <w:lang w:val="es-MX" w:eastAsia="es-ES" w:bidi="es-ES"/>
        </w:rPr>
      </w:pPr>
      <w:r w:rsidRPr="003E4CC9">
        <w:rPr>
          <w:rFonts w:ascii="Verdana" w:hAnsi="Verdana" w:cs="Arial"/>
          <w:bCs/>
          <w:lang w:val="es-MX" w:eastAsia="es-ES" w:bidi="es-ES"/>
        </w:rPr>
        <w:t>Estimado Ciudadano:</w:t>
      </w:r>
    </w:p>
    <w:p w14:paraId="66719EA4" w14:textId="77777777" w:rsidR="00DA01E5" w:rsidRPr="003E4CC9" w:rsidRDefault="00DA01E5" w:rsidP="00DA01E5">
      <w:pPr>
        <w:spacing w:after="0" w:line="276" w:lineRule="auto"/>
        <w:jc w:val="both"/>
        <w:rPr>
          <w:rFonts w:ascii="Verdana" w:hAnsi="Verdana" w:cs="Arial"/>
          <w:bCs/>
          <w:lang w:val="es-ES" w:eastAsia="es-ES" w:bidi="es-ES"/>
        </w:rPr>
      </w:pPr>
      <w:r w:rsidRPr="003E4CC9">
        <w:rPr>
          <w:rFonts w:ascii="Verdana" w:hAnsi="Verdana" w:cs="Arial"/>
          <w:bCs/>
          <w:lang w:val="es-ES" w:eastAsia="es-ES" w:bidi="es-ES"/>
        </w:rPr>
        <w:tab/>
      </w:r>
    </w:p>
    <w:p w14:paraId="2FDFE6D3" w14:textId="77777777" w:rsidR="00DA01E5" w:rsidRPr="003E4CC9" w:rsidRDefault="00DA01E5" w:rsidP="00DA01E5">
      <w:pPr>
        <w:spacing w:after="0" w:line="276" w:lineRule="auto"/>
        <w:jc w:val="both"/>
        <w:rPr>
          <w:rFonts w:ascii="Verdana" w:hAnsi="Verdana" w:cs="Arial"/>
          <w:bCs/>
          <w:lang w:val="es-ES" w:eastAsia="es-ES" w:bidi="es-ES"/>
        </w:rPr>
      </w:pPr>
      <w:r w:rsidRPr="003E4CC9">
        <w:rPr>
          <w:rFonts w:ascii="Verdana" w:hAnsi="Verdana" w:cs="Arial"/>
          <w:bCs/>
          <w:lang w:val="es-ES" w:eastAsia="es-ES" w:bidi="es-ES"/>
        </w:rPr>
        <w:t xml:space="preserve">En ejercicio de la competencia otorgada por los artículos 3, numeral 5º, y 11, numeral 8º, del Decreto Ley 4170 de 2011, </w:t>
      </w:r>
      <w:r w:rsidRPr="003E4CC9">
        <w:rPr>
          <w:rFonts w:ascii="Verdana" w:hAnsi="Verdana" w:cs="Arial"/>
          <w:lang w:val="es-ES_tradnl"/>
        </w:rPr>
        <w:t>así como lo establecido en</w:t>
      </w:r>
      <w:r w:rsidRPr="003E4CC9">
        <w:rPr>
          <w:rFonts w:ascii="Verdana" w:hAnsi="Verdana" w:cs="Arial"/>
        </w:rPr>
        <w:t xml:space="preserve"> la Resolución 469 de 2025 expedida por esta Entidad</w:t>
      </w:r>
      <w:r w:rsidRPr="003E4CC9">
        <w:rPr>
          <w:rFonts w:ascii="Verdana" w:hAnsi="Verdana" w:cs="Arial"/>
          <w:bCs/>
          <w:lang w:eastAsia="es-ES" w:bidi="es-ES"/>
        </w:rPr>
        <w:t xml:space="preserve">, </w:t>
      </w:r>
      <w:r w:rsidRPr="003E4CC9">
        <w:rPr>
          <w:rFonts w:ascii="Verdana" w:hAnsi="Verdana" w:cs="Arial"/>
          <w:bCs/>
          <w:lang w:val="es-ES" w:eastAsia="es-ES" w:bidi="es-ES"/>
        </w:rPr>
        <w:t xml:space="preserve">la Agencia Nacional de Contratación Pública – Colombia Compra Eficiente– responde su solicitud de consulta de 12 de marzo de 2026, en la cual manifiesta: </w:t>
      </w:r>
    </w:p>
    <w:p w14:paraId="3BA7000C" w14:textId="77777777" w:rsidR="00DA01E5" w:rsidRPr="003E4CC9" w:rsidRDefault="00DA01E5" w:rsidP="00DA01E5">
      <w:pPr>
        <w:spacing w:after="0" w:line="276" w:lineRule="auto"/>
        <w:jc w:val="both"/>
        <w:rPr>
          <w:rFonts w:ascii="Verdana" w:hAnsi="Verdana" w:cs="Arial"/>
          <w:bCs/>
          <w:lang w:val="es-ES" w:eastAsia="es-ES" w:bidi="es-ES"/>
        </w:rPr>
      </w:pPr>
    </w:p>
    <w:p w14:paraId="10B9AC92" w14:textId="77777777" w:rsidR="00DA01E5" w:rsidRPr="003E4CC9" w:rsidRDefault="00DA01E5" w:rsidP="00DA01E5">
      <w:pPr>
        <w:spacing w:after="0" w:line="240" w:lineRule="auto"/>
        <w:ind w:left="709" w:right="709"/>
        <w:jc w:val="both"/>
        <w:rPr>
          <w:rFonts w:ascii="Verdana" w:hAnsi="Verdana" w:cs="Arial"/>
          <w:bCs/>
          <w:sz w:val="20"/>
          <w:szCs w:val="20"/>
          <w:lang w:eastAsia="es-ES" w:bidi="es-ES"/>
        </w:rPr>
      </w:pPr>
      <w:r w:rsidRPr="003E4CC9">
        <w:rPr>
          <w:rFonts w:ascii="Verdana" w:hAnsi="Verdana" w:cs="Arial"/>
          <w:bCs/>
          <w:sz w:val="20"/>
          <w:szCs w:val="20"/>
          <w:lang w:eastAsia="es-ES" w:bidi="es-ES"/>
        </w:rPr>
        <w:t>Problema Jurídico: Frente a un contrato suscrito en el año 2024 que requiere ser adicionado durante la vigencia 2026, existe una incertidumbre sobre la base de cálculo. Si se utiliza el SMLMV del Decreto 1469 de 2025 y este es posteriormente anulado o modificado por sentencia judicial, la entidad podría incurrir involuntariamente en una transgresión al límite legal del 50% establecido en la Ley 80 de 1993.</w:t>
      </w:r>
    </w:p>
    <w:p w14:paraId="3E1E1935" w14:textId="77777777" w:rsidR="00DA01E5" w:rsidRPr="003E4CC9" w:rsidRDefault="00DA01E5" w:rsidP="00DA01E5">
      <w:pPr>
        <w:spacing w:after="0" w:line="240" w:lineRule="auto"/>
        <w:ind w:left="709" w:right="709"/>
        <w:jc w:val="both"/>
        <w:rPr>
          <w:rFonts w:ascii="Verdana" w:hAnsi="Verdana" w:cs="Arial"/>
          <w:bCs/>
          <w:sz w:val="20"/>
          <w:szCs w:val="20"/>
          <w:lang w:eastAsia="es-ES" w:bidi="es-ES"/>
        </w:rPr>
      </w:pPr>
      <w:r w:rsidRPr="003E4CC9">
        <w:rPr>
          <w:rFonts w:ascii="Verdana" w:hAnsi="Verdana" w:cs="Arial"/>
          <w:bCs/>
          <w:sz w:val="20"/>
          <w:szCs w:val="20"/>
          <w:lang w:eastAsia="es-ES" w:bidi="es-ES"/>
        </w:rPr>
        <w:lastRenderedPageBreak/>
        <w:t>Pregunta: ¿Cuál es el criterio que deben adoptar las entidades estatales para tasar con certeza el tope de adición de un contrato durante el año 2026, mientras no exista una sentencia en firme sobre la legalidad del SMLMV vigente, garantizando que no se supere el límite del artículo 40 de la Ley 80 de 1993 ante una eventual variación retroactiva del salario mínimo?"</w:t>
      </w:r>
    </w:p>
    <w:p w14:paraId="23B9DAA0" w14:textId="77777777" w:rsidR="00DA01E5" w:rsidRPr="003E4CC9" w:rsidRDefault="00DA01E5" w:rsidP="00DA01E5">
      <w:pPr>
        <w:spacing w:after="0" w:line="276" w:lineRule="auto"/>
        <w:ind w:firstLine="709"/>
        <w:jc w:val="both"/>
        <w:rPr>
          <w:rFonts w:ascii="Verdana" w:hAnsi="Verdana" w:cs="Arial"/>
          <w:bCs/>
          <w:lang w:eastAsia="es-ES" w:bidi="es-ES"/>
        </w:rPr>
      </w:pPr>
    </w:p>
    <w:p w14:paraId="2C04F3D5" w14:textId="77777777" w:rsidR="00DA01E5" w:rsidRPr="003E4CC9" w:rsidRDefault="00DA01E5" w:rsidP="00DA01E5">
      <w:pPr>
        <w:spacing w:after="120" w:line="276" w:lineRule="auto"/>
        <w:ind w:firstLine="709"/>
        <w:jc w:val="both"/>
        <w:rPr>
          <w:rFonts w:ascii="Verdana" w:eastAsia="Calibri" w:hAnsi="Verdana" w:cs="Times New Roman"/>
          <w:lang w:val="es-ES"/>
        </w:rPr>
      </w:pPr>
      <w:r w:rsidRPr="003E4CC9">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50B05B3" w14:textId="77777777" w:rsidR="00DA01E5" w:rsidRPr="003E4CC9" w:rsidRDefault="00DA01E5" w:rsidP="00DA01E5">
      <w:pPr>
        <w:spacing w:after="0" w:line="276" w:lineRule="auto"/>
        <w:ind w:firstLine="708"/>
        <w:jc w:val="both"/>
        <w:rPr>
          <w:rFonts w:ascii="Verdana" w:eastAsia="Calibri" w:hAnsi="Verdana" w:cs="Times New Roman"/>
          <w:lang w:val="es-ES"/>
        </w:rPr>
      </w:pPr>
      <w:r w:rsidRPr="003E4CC9">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22E67D45" w14:textId="77777777" w:rsidR="00DA01E5" w:rsidRPr="003E4CC9" w:rsidRDefault="00DA01E5" w:rsidP="00DA01E5">
      <w:pPr>
        <w:spacing w:after="0" w:line="256" w:lineRule="auto"/>
        <w:rPr>
          <w:rFonts w:ascii="Verdana" w:eastAsia="Calibri" w:hAnsi="Verdana" w:cs="Times New Roman"/>
          <w:lang w:val="es-ES"/>
        </w:rPr>
      </w:pPr>
    </w:p>
    <w:p w14:paraId="7F60805A" w14:textId="77777777" w:rsidR="00DA01E5" w:rsidRPr="003E4CC9" w:rsidRDefault="00DA01E5" w:rsidP="00DA01E5">
      <w:pPr>
        <w:numPr>
          <w:ilvl w:val="0"/>
          <w:numId w:val="16"/>
        </w:numPr>
        <w:spacing w:after="0" w:line="256" w:lineRule="auto"/>
        <w:contextualSpacing/>
        <w:rPr>
          <w:rFonts w:ascii="Verdana" w:eastAsia="Calibri" w:hAnsi="Verdana" w:cs="Times New Roman"/>
          <w:b/>
          <w:bCs/>
          <w:lang w:val="es-ES"/>
        </w:rPr>
      </w:pPr>
      <w:r w:rsidRPr="003E4CC9">
        <w:rPr>
          <w:rFonts w:ascii="Verdana" w:eastAsia="Calibri" w:hAnsi="Verdana" w:cs="Times New Roman"/>
          <w:b/>
          <w:bCs/>
          <w:lang w:val="es-ES"/>
        </w:rPr>
        <w:t>Problema planteado:</w:t>
      </w:r>
    </w:p>
    <w:p w14:paraId="3428F70E" w14:textId="77777777" w:rsidR="00DA01E5" w:rsidRPr="003E4CC9" w:rsidRDefault="00DA01E5" w:rsidP="00DA01E5">
      <w:pPr>
        <w:spacing w:after="0" w:line="256" w:lineRule="auto"/>
        <w:rPr>
          <w:rFonts w:ascii="Verdana" w:eastAsia="Calibri" w:hAnsi="Verdana" w:cs="Times New Roman"/>
        </w:rPr>
      </w:pPr>
    </w:p>
    <w:p w14:paraId="229A9F64" w14:textId="77777777" w:rsidR="00DA01E5" w:rsidRPr="003E4CC9" w:rsidRDefault="00DA01E5" w:rsidP="00DA01E5">
      <w:pPr>
        <w:spacing w:after="0" w:line="276" w:lineRule="auto"/>
        <w:jc w:val="both"/>
        <w:rPr>
          <w:rFonts w:ascii="Verdana" w:eastAsia="Calibri" w:hAnsi="Verdana" w:cs="Times New Roman"/>
        </w:rPr>
      </w:pPr>
      <w:r w:rsidRPr="003E4CC9">
        <w:rPr>
          <w:rFonts w:ascii="Verdana" w:eastAsia="Calibri" w:hAnsi="Verdana" w:cs="Times New Roman"/>
        </w:rPr>
        <w:t>De acuerdo con el contenido de su solicitud, se presenta el siguiente problema jurídico: ¿Qué criterio deben adoptar las entidades estatales para determinar con certeza el tope de adición de un contrato durante el año 2026, mientras no exista una sentencia en firme sobre la legalidad del SMLMV vigente, de manera que se garantice el cumplimiento del límite establecido en el artículo 40 de la Ley 80 de 1993?</w:t>
      </w:r>
    </w:p>
    <w:p w14:paraId="20E187DC" w14:textId="77777777" w:rsidR="00DA01E5" w:rsidRPr="003E4CC9" w:rsidRDefault="00DA01E5" w:rsidP="00DA01E5">
      <w:pPr>
        <w:spacing w:after="0" w:line="276" w:lineRule="auto"/>
        <w:jc w:val="both"/>
        <w:rPr>
          <w:rFonts w:ascii="Verdana" w:eastAsia="Calibri" w:hAnsi="Verdana" w:cs="Times New Roman"/>
        </w:rPr>
      </w:pPr>
    </w:p>
    <w:p w14:paraId="0725D62C" w14:textId="77777777" w:rsidR="00DA01E5" w:rsidRPr="003E4CC9" w:rsidRDefault="00DA01E5" w:rsidP="00DA01E5">
      <w:pPr>
        <w:numPr>
          <w:ilvl w:val="0"/>
          <w:numId w:val="16"/>
        </w:numPr>
        <w:spacing w:after="0" w:line="256" w:lineRule="auto"/>
        <w:contextualSpacing/>
        <w:rPr>
          <w:rFonts w:ascii="Verdana" w:eastAsia="Calibri" w:hAnsi="Verdana" w:cs="Times New Roman"/>
          <w:b/>
          <w:bCs/>
          <w:lang w:val="es-ES"/>
        </w:rPr>
      </w:pPr>
      <w:r w:rsidRPr="003E4CC9">
        <w:rPr>
          <w:rFonts w:ascii="Verdana" w:eastAsia="Calibri" w:hAnsi="Verdana" w:cs="Times New Roman"/>
          <w:b/>
          <w:bCs/>
          <w:lang w:val="es-ES"/>
        </w:rPr>
        <w:t>Respuesta:</w:t>
      </w:r>
    </w:p>
    <w:p w14:paraId="519601E4" w14:textId="77777777" w:rsidR="00DA01E5" w:rsidRPr="003E4CC9" w:rsidRDefault="00DA01E5" w:rsidP="00DA01E5">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01E5" w:rsidRPr="003E4CC9" w14:paraId="1EF09077" w14:textId="77777777" w:rsidTr="00E458D9">
        <w:trPr>
          <w:trHeight w:val="870"/>
          <w:jc w:val="center"/>
        </w:trPr>
        <w:tc>
          <w:tcPr>
            <w:tcW w:w="8647" w:type="dxa"/>
          </w:tcPr>
          <w:p w14:paraId="02D3729B" w14:textId="77777777" w:rsidR="00DA01E5" w:rsidRPr="003E4CC9" w:rsidRDefault="00DA01E5" w:rsidP="00E458D9">
            <w:pPr>
              <w:spacing w:after="120" w:line="276" w:lineRule="auto"/>
              <w:jc w:val="both"/>
              <w:rPr>
                <w:rFonts w:ascii="Verdana" w:eastAsiaTheme="minorEastAsia" w:hAnsi="Verdana"/>
                <w:lang w:eastAsia="es-CO"/>
              </w:rPr>
            </w:pPr>
            <w:r w:rsidRPr="003E4CC9">
              <w:rPr>
                <w:rFonts w:ascii="Verdana" w:eastAsiaTheme="minorEastAsia" w:hAnsi="Verdana"/>
                <w:lang w:eastAsia="es-CO"/>
              </w:rPr>
              <w:t>Como se expresó en las razones de la respuesta, para determinar el tope de la adición en la Ley 80 de 1993, es necesario el dato del salario mínimo legal mensual vigente. El artículo 1 del Decreto 1469 de 2025 fijó dicho valor por la suma de $1.750.905 para el 2026. Sin embargo, la Subsección A de la Sección Segunda del Consejo de Estado –mediante Auto del 12 de febrero de 2026 con ponencia del Consejero Juan Camilo Morales Trujillo– suspendió provisionalmente el mencionado acto administrativo. Por ello, ordenó a las entidades demandadas que “[…] 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p>
          <w:p w14:paraId="04E05192" w14:textId="77777777" w:rsidR="00DA01E5" w:rsidRPr="003E4CC9" w:rsidRDefault="00DA01E5" w:rsidP="00E458D9">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Ahora bien, el numeral cuarto de la providencia judicial precisó lo siguiente: “</w:t>
            </w:r>
            <w:r w:rsidRPr="003E4CC9">
              <w:rPr>
                <w:rFonts w:ascii="Verdana" w:eastAsiaTheme="minorEastAsia" w:hAnsi="Verdana"/>
                <w:b/>
                <w:bCs/>
                <w:lang w:eastAsia="es-CO"/>
              </w:rPr>
              <w:t>DIFERIR</w:t>
            </w:r>
            <w:r w:rsidRPr="003E4CC9">
              <w:rPr>
                <w:rFonts w:ascii="Verdana" w:eastAsiaTheme="minorEastAsia" w:hAnsi="Verdana"/>
                <w:lang w:eastAsia="es-CO"/>
              </w:rPr>
              <w:t xml:space="preserve"> los efectos de la suspensión provisional, que se hará efectiva únicamente a partir de la fecha en que se publique el decreto de que trata el numeral anterior mediante el cual se determine la cifra transitoria. </w:t>
            </w:r>
            <w:r w:rsidRPr="003E4CC9">
              <w:rPr>
                <w:rFonts w:ascii="Verdana" w:eastAsiaTheme="minorEastAsia" w:hAnsi="Verdana"/>
                <w:i/>
                <w:iCs/>
                <w:lang w:eastAsia="es-CO"/>
              </w:rPr>
              <w:t>Durante el lapso comprendido entre la notificación de esta providencia y la fecha de publicación del referido acto administrativo, el valor del salario mínimo para la vigencia 2026 seguirá correspondiendo al establecido en el Decreto 1469 de 2025</w:t>
            </w:r>
            <w:r w:rsidRPr="003E4CC9">
              <w:rPr>
                <w:rFonts w:ascii="Verdana" w:eastAsiaTheme="minorEastAsia" w:hAnsi="Verdana"/>
                <w:lang w:eastAsia="es-CO"/>
              </w:rPr>
              <w:t>” (Cursivas fuera de texto). Esto significa que, durante el mencionado periodo, la suma de $1.750.905 fue el salario mínimo mensual vigente para todos los efectos legales, lo que incluye también la influencia de este valor en el cálculo de la menor y mínima cuantía para efectos de la contratación de las entidades sometidas a la Ley 80 de 1993.</w:t>
            </w:r>
          </w:p>
          <w:p w14:paraId="2CA5F66E" w14:textId="77777777" w:rsidR="00DA01E5" w:rsidRPr="003E4CC9" w:rsidRDefault="00DA01E5" w:rsidP="00E458D9">
            <w:pPr>
              <w:spacing w:after="120" w:line="276" w:lineRule="auto"/>
              <w:ind w:firstLine="709"/>
              <w:jc w:val="both"/>
              <w:rPr>
                <w:rFonts w:ascii="Verdana" w:hAnsi="Verdana" w:cs="Arial"/>
                <w:color w:val="000000"/>
                <w:szCs w:val="24"/>
                <w:lang w:eastAsia="es-ES_tradnl"/>
              </w:rPr>
            </w:pPr>
            <w:r w:rsidRPr="003E4CC9">
              <w:rPr>
                <w:rFonts w:ascii="Verdana" w:eastAsiaTheme="minorEastAsia" w:hAnsi="Verdana"/>
                <w:lang w:eastAsia="es-CO"/>
              </w:rPr>
              <w:t>Por lo demás, el artículo 1 del Decreto 159 de 2026 –acto administrativo expedido por el Gobierno Nacional conforme a lo ordenado por el máximo órgano de la jurisdicción contenciosa administrativa– mantuvo la suma de $1.750.905 con valor del salario mínimo legal mensual para el 2026. Luego, dicha cifra continúa siendo la base para estimar el monto de calcular la adición</w:t>
            </w:r>
            <w:r w:rsidRPr="003E4CC9">
              <w:rPr>
                <w:rFonts w:ascii="Verdana" w:hAnsi="Verdana" w:cs="Arial"/>
                <w:color w:val="000000"/>
                <w:szCs w:val="24"/>
                <w:lang w:eastAsia="es-ES_tradnl"/>
              </w:rPr>
              <w:t xml:space="preserve">, </w:t>
            </w:r>
            <w:r w:rsidRPr="003E4CC9">
              <w:rPr>
                <w:rFonts w:ascii="Verdana" w:hAnsi="Verdana" w:cs="Arial"/>
                <w:i/>
                <w:iCs/>
                <w:color w:val="000000"/>
                <w:szCs w:val="24"/>
                <w:lang w:eastAsia="es-ES_tradnl"/>
              </w:rPr>
              <w:t>que se calcularán con base en el vigente al momento de la adición</w:t>
            </w:r>
            <w:r w:rsidRPr="003E4CC9">
              <w:rPr>
                <w:rFonts w:ascii="Verdana" w:hAnsi="Verdana" w:cs="Arial"/>
                <w:color w:val="000000"/>
                <w:szCs w:val="24"/>
                <w:lang w:eastAsia="es-ES_tradnl"/>
              </w:rPr>
              <w:t xml:space="preserve">, de manera que se descuenten estos de los salarios mínimos que restan por adicionar, ya que las adiciones podrían hacerse en diferentes </w:t>
            </w:r>
            <w:r w:rsidRPr="003E4CC9">
              <w:rPr>
                <w:rFonts w:ascii="Verdana" w:hAnsi="Verdana" w:cs="Arial"/>
                <w:color w:val="000000"/>
                <w:szCs w:val="24"/>
                <w:lang w:eastAsia="es-ES_tradnl"/>
              </w:rPr>
              <w:lastRenderedPageBreak/>
              <w:t xml:space="preserve">vigencias fiscales, porque si el contrato se ejecuta sin existir variación en el valor del SMMLV la operación sería la misma si se toma el monto en pesos. </w:t>
            </w:r>
          </w:p>
          <w:p w14:paraId="75EBA0C1" w14:textId="77777777" w:rsidR="00DA01E5" w:rsidRPr="003E4CC9" w:rsidRDefault="00DA01E5" w:rsidP="00E458D9">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 xml:space="preserve">Así mismo, debe tenerse en cuenta que el decreto, en su condición de acto administrativo, goza de </w:t>
            </w:r>
            <w:r w:rsidRPr="003E4CC9">
              <w:rPr>
                <w:rFonts w:ascii="Verdana" w:eastAsiaTheme="minorEastAsia" w:hAnsi="Verdana"/>
                <w:bCs/>
                <w:lang w:eastAsia="es-CO"/>
              </w:rPr>
              <w:t>presunción de legalidad</w:t>
            </w:r>
            <w:r w:rsidRPr="003E4CC9">
              <w:rPr>
                <w:rFonts w:ascii="Verdana" w:eastAsiaTheme="minorEastAsia" w:hAnsi="Verdana"/>
                <w:lang w:eastAsia="es-CO"/>
              </w:rPr>
              <w:t xml:space="preserve">, lo cual implica que es obligatorio y debe aplicarse mientras no haya sido anulado o suspendido por la autoridad judicial competente. En tal sentido, las entidades están llamadas a cumplirlo en tanto se encuentre vigente, y en el evento de que posteriormente sea invalidado, la aplicación bajo dicha presunción no genera responsabilidad, siempre que se haya actuado de buena fe y conforme al ordenamiento jurídico. </w:t>
            </w:r>
          </w:p>
          <w:p w14:paraId="6B831604" w14:textId="77777777" w:rsidR="00DA01E5" w:rsidRPr="003E4CC9" w:rsidRDefault="00DA01E5" w:rsidP="00E458D9">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 xml:space="preserve">En consecuencia, la Administración debe sujetarse a lo dispuesto en el </w:t>
            </w:r>
            <w:r w:rsidRPr="003E4CC9">
              <w:rPr>
                <w:rFonts w:ascii="Verdana" w:eastAsiaTheme="minorEastAsia" w:hAnsi="Verdana"/>
                <w:bCs/>
                <w:lang w:eastAsia="es-CO"/>
              </w:rPr>
              <w:t>Decreto 159 de 2026</w:t>
            </w:r>
            <w:r w:rsidRPr="003E4CC9">
              <w:rPr>
                <w:rFonts w:ascii="Verdana" w:eastAsiaTheme="minorEastAsia" w:hAnsi="Verdana"/>
                <w:lang w:eastAsia="es-CO"/>
              </w:rPr>
              <w:t xml:space="preserve">, sin que resulte procedente aplicar la excepción de ilegalidad, puesto que esta institución se circunscribe exclusivamente a la facultad que tiene el </w:t>
            </w:r>
            <w:r w:rsidRPr="003E4CC9">
              <w:rPr>
                <w:rFonts w:ascii="Verdana" w:eastAsiaTheme="minorEastAsia" w:hAnsi="Verdana"/>
                <w:bCs/>
                <w:lang w:eastAsia="es-CO"/>
              </w:rPr>
              <w:t>juez administrativo</w:t>
            </w:r>
            <w:r w:rsidRPr="003E4CC9">
              <w:rPr>
                <w:rFonts w:ascii="Verdana" w:eastAsiaTheme="minorEastAsia" w:hAnsi="Verdana"/>
                <w:lang w:eastAsia="es-CO"/>
              </w:rPr>
              <w:t xml:space="preserve"> de inaplicar un acto dentro del trámite de una acción sometida a su conocimiento. De este modo, la Administración carece de competencia para decidir por sí misma la inaplicación del acto administrativo, de conformidad con las consideraciones desarrolladas por la </w:t>
            </w:r>
            <w:r w:rsidRPr="003E4CC9">
              <w:rPr>
                <w:rFonts w:ascii="Verdana" w:eastAsiaTheme="minorEastAsia" w:hAnsi="Verdana"/>
                <w:bCs/>
                <w:lang w:eastAsia="es-CO"/>
              </w:rPr>
              <w:t>Sentencia C</w:t>
            </w:r>
            <w:r w:rsidRPr="003E4CC9">
              <w:rPr>
                <w:rFonts w:ascii="Verdana" w:eastAsiaTheme="minorEastAsia" w:hAnsi="Verdana"/>
                <w:bCs/>
                <w:lang w:eastAsia="es-CO"/>
              </w:rPr>
              <w:noBreakHyphen/>
              <w:t>037 de 2000</w:t>
            </w:r>
            <w:r w:rsidRPr="003E4CC9">
              <w:rPr>
                <w:rFonts w:ascii="Verdana" w:eastAsiaTheme="minorEastAsia" w:hAnsi="Verdana"/>
                <w:lang w:eastAsia="es-CO"/>
              </w:rPr>
              <w:t>, en la que la Corte Constitucional precisó los alcances y límites de la excepción de ilegalidad.</w:t>
            </w:r>
          </w:p>
        </w:tc>
      </w:tr>
    </w:tbl>
    <w:p w14:paraId="0DE2E632" w14:textId="77777777" w:rsidR="00DA01E5" w:rsidRPr="003E4CC9" w:rsidRDefault="00DA01E5" w:rsidP="00DA01E5">
      <w:pPr>
        <w:spacing w:after="0" w:line="276" w:lineRule="auto"/>
        <w:jc w:val="both"/>
        <w:rPr>
          <w:rFonts w:ascii="Verdana" w:eastAsia="Calibri" w:hAnsi="Verdana" w:cs="Arial"/>
          <w:bCs/>
          <w:color w:val="000000" w:themeColor="text1"/>
        </w:rPr>
      </w:pPr>
    </w:p>
    <w:p w14:paraId="54A5D225" w14:textId="77777777" w:rsidR="00DA01E5" w:rsidRPr="003E4CC9" w:rsidRDefault="00DA01E5" w:rsidP="00DA01E5">
      <w:pPr>
        <w:numPr>
          <w:ilvl w:val="0"/>
          <w:numId w:val="16"/>
        </w:numPr>
        <w:spacing w:after="0" w:line="276" w:lineRule="auto"/>
        <w:rPr>
          <w:rFonts w:ascii="Verdana" w:eastAsia="Calibri" w:hAnsi="Verdana" w:cs="Times New Roman"/>
          <w:b/>
          <w:bCs/>
          <w:lang w:val="es-ES"/>
        </w:rPr>
      </w:pPr>
      <w:r w:rsidRPr="003E4CC9">
        <w:rPr>
          <w:rFonts w:ascii="Verdana" w:eastAsia="Calibri" w:hAnsi="Verdana" w:cs="Times New Roman"/>
          <w:b/>
          <w:bCs/>
          <w:lang w:val="es-ES"/>
        </w:rPr>
        <w:t>Razones de la respuesta:</w:t>
      </w:r>
    </w:p>
    <w:p w14:paraId="787BC84E" w14:textId="77777777" w:rsidR="00DA01E5" w:rsidRPr="003E4CC9" w:rsidRDefault="00DA01E5" w:rsidP="00DA01E5">
      <w:pPr>
        <w:spacing w:after="0" w:line="276" w:lineRule="auto"/>
        <w:rPr>
          <w:rFonts w:ascii="Verdana" w:eastAsia="Calibri" w:hAnsi="Verdana" w:cs="Times New Roman"/>
          <w:b/>
          <w:bCs/>
          <w:lang w:val="es-ES"/>
        </w:rPr>
      </w:pPr>
    </w:p>
    <w:p w14:paraId="3FC043A2" w14:textId="77777777" w:rsidR="00DA01E5" w:rsidRPr="003E4CC9" w:rsidRDefault="00DA01E5" w:rsidP="00DA01E5">
      <w:pPr>
        <w:spacing w:after="0" w:line="276" w:lineRule="auto"/>
        <w:jc w:val="both"/>
        <w:rPr>
          <w:rFonts w:ascii="Verdana" w:eastAsia="Calibri" w:hAnsi="Verdana" w:cs="Arial"/>
          <w:lang w:val="es-ES"/>
        </w:rPr>
      </w:pPr>
      <w:r w:rsidRPr="003E4CC9">
        <w:rPr>
          <w:rFonts w:ascii="Verdana" w:eastAsia="Calibri" w:hAnsi="Verdana" w:cs="Arial"/>
          <w:lang w:val="es-ES"/>
        </w:rPr>
        <w:t xml:space="preserve">Lo anterior se sustenta en las siguientes consideraciones: </w:t>
      </w:r>
    </w:p>
    <w:p w14:paraId="4DEF7BE3" w14:textId="77777777" w:rsidR="00DA01E5" w:rsidRPr="003E4CC9" w:rsidRDefault="00DA01E5" w:rsidP="00DA01E5">
      <w:pPr>
        <w:spacing w:after="0" w:line="276" w:lineRule="auto"/>
        <w:jc w:val="both"/>
        <w:rPr>
          <w:rFonts w:ascii="Verdana" w:hAnsi="Verdana" w:cs="Arial"/>
          <w:bCs/>
          <w:lang w:val="es-ES" w:eastAsia="es-ES" w:bidi="es-ES"/>
        </w:rPr>
      </w:pPr>
    </w:p>
    <w:p w14:paraId="77708BBA" w14:textId="77777777" w:rsidR="00DA01E5" w:rsidRPr="003E4CC9" w:rsidRDefault="00DA01E5" w:rsidP="00DA01E5">
      <w:pPr>
        <w:tabs>
          <w:tab w:val="left" w:pos="284"/>
        </w:tabs>
        <w:spacing w:after="120" w:line="276" w:lineRule="auto"/>
        <w:jc w:val="both"/>
        <w:rPr>
          <w:rFonts w:ascii="Verdana" w:eastAsia="Arial" w:hAnsi="Verdana" w:cs="Arial"/>
          <w:color w:val="000000"/>
          <w:lang w:eastAsia="es-ES" w:bidi="es-ES"/>
        </w:rPr>
      </w:pPr>
      <w:r w:rsidRPr="003E4CC9">
        <w:rPr>
          <w:rFonts w:ascii="Verdana" w:hAnsi="Verdana" w:cs="Arial"/>
          <w:bCs/>
          <w:lang w:val="es-ES" w:eastAsia="es-ES" w:bidi="es-ES"/>
        </w:rPr>
        <w:t xml:space="preserve">i. </w:t>
      </w:r>
      <w:r w:rsidRPr="003E4CC9">
        <w:rPr>
          <w:rFonts w:ascii="Verdana" w:eastAsia="Arial" w:hAnsi="Verdana" w:cs="Arial"/>
          <w:color w:val="000000"/>
          <w:lang w:eastAsia="es-ES" w:bidi="es-ES"/>
        </w:rPr>
        <w:t xml:space="preserve">Una de las manifestaciones de modificación de los contratos es mediante la adición. Al respecto, es oportuno explicar que la palabra </w:t>
      </w:r>
      <w:r w:rsidRPr="003E4CC9">
        <w:rPr>
          <w:rFonts w:ascii="Verdana" w:eastAsia="Arial" w:hAnsi="Verdana" w:cs="Arial"/>
          <w:i/>
          <w:iCs/>
          <w:color w:val="000000"/>
          <w:lang w:eastAsia="es-ES" w:bidi="es-ES"/>
        </w:rPr>
        <w:t xml:space="preserve">adición </w:t>
      </w:r>
      <w:r w:rsidRPr="003E4CC9">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33AD5DBA" w14:textId="77777777" w:rsidR="00DA01E5" w:rsidRPr="003E4CC9" w:rsidRDefault="00DA01E5" w:rsidP="00DA01E5">
      <w:pPr>
        <w:spacing w:after="120" w:line="276" w:lineRule="auto"/>
        <w:ind w:firstLine="708"/>
        <w:jc w:val="both"/>
        <w:rPr>
          <w:rFonts w:ascii="Verdana" w:eastAsia="Calibri" w:hAnsi="Verdana" w:cs="Arial"/>
          <w:color w:val="000000"/>
          <w:szCs w:val="24"/>
          <w:lang w:eastAsia="es-ES_tradnl"/>
        </w:rPr>
      </w:pPr>
      <w:r w:rsidRPr="003E4CC9">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w:t>
      </w:r>
      <w:r w:rsidRPr="003E4CC9">
        <w:rPr>
          <w:rFonts w:ascii="Verdana" w:eastAsia="Calibri" w:hAnsi="Verdana" w:cs="Arial"/>
          <w:color w:val="000000"/>
          <w:szCs w:val="24"/>
          <w:lang w:eastAsia="es-ES_tradnl"/>
        </w:rPr>
        <w:lastRenderedPageBreak/>
        <w:t xml:space="preserve">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ii)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1CF1657D" w14:textId="77777777" w:rsidR="00DA01E5" w:rsidRPr="003E4CC9" w:rsidRDefault="00DA01E5" w:rsidP="00DA01E5">
      <w:pPr>
        <w:spacing w:after="120" w:line="276" w:lineRule="auto"/>
        <w:ind w:firstLine="709"/>
        <w:jc w:val="both"/>
        <w:rPr>
          <w:rFonts w:ascii="Verdana" w:eastAsia="Calibri" w:hAnsi="Verdana" w:cs="Arial"/>
          <w:color w:val="000000"/>
          <w:szCs w:val="24"/>
          <w:lang w:eastAsia="es-ES_tradnl"/>
        </w:rPr>
      </w:pPr>
      <w:r w:rsidRPr="003E4CC9">
        <w:rPr>
          <w:rFonts w:ascii="Verdana" w:eastAsia="Calibri" w:hAnsi="Verdana" w:cs="Arial"/>
          <w:color w:val="000000"/>
          <w:szCs w:val="24"/>
          <w:lang w:eastAsia="es-ES_tradnl"/>
        </w:rPr>
        <w:t>Lo importante es que, frente a cualquier incremento del valor inicial del contrato</w:t>
      </w:r>
      <w:r w:rsidRPr="003E4CC9">
        <w:rPr>
          <w:rFonts w:ascii="Verdana" w:eastAsia="Calibri" w:hAnsi="Verdana" w:cs="Arial"/>
          <w:i/>
          <w:iCs/>
          <w:color w:val="000000"/>
          <w:szCs w:val="24"/>
          <w:lang w:eastAsia="es-ES_tradnl"/>
        </w:rPr>
        <w:t xml:space="preserve"> </w:t>
      </w:r>
      <w:r w:rsidRPr="003E4CC9">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p>
    <w:p w14:paraId="73CF39BC" w14:textId="77777777" w:rsidR="00DA01E5" w:rsidRPr="003E4CC9" w:rsidRDefault="00DA01E5" w:rsidP="00DA01E5">
      <w:pPr>
        <w:spacing w:after="120" w:line="276" w:lineRule="auto"/>
        <w:ind w:firstLine="709"/>
        <w:jc w:val="both"/>
        <w:rPr>
          <w:rFonts w:ascii="Verdana" w:hAnsi="Verdana" w:cs="Arial"/>
          <w:color w:val="000000"/>
          <w:szCs w:val="24"/>
          <w:lang w:eastAsia="es-ES_tradnl"/>
        </w:rPr>
      </w:pPr>
      <w:r w:rsidRPr="003E4CC9">
        <w:rPr>
          <w:rFonts w:ascii="Verdana" w:eastAsia="Calibri" w:hAnsi="Verdana" w:cs="Arial"/>
          <w:color w:val="000000"/>
          <w:szCs w:val="24"/>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w:t>
      </w:r>
      <w:r w:rsidRPr="003E4CC9">
        <w:rPr>
          <w:rFonts w:ascii="Verdana" w:hAnsi="Verdana" w:cs="Arial"/>
          <w:color w:val="000000"/>
          <w:szCs w:val="24"/>
          <w:lang w:eastAsia="es-ES_tradnl"/>
        </w:rPr>
        <w:t xml:space="preserve">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w:t>
      </w:r>
    </w:p>
    <w:p w14:paraId="6FE6CC84" w14:textId="77777777" w:rsidR="00DA01E5" w:rsidRPr="003E4CC9" w:rsidRDefault="00DA01E5" w:rsidP="00DA01E5">
      <w:pPr>
        <w:spacing w:after="120" w:line="276" w:lineRule="auto"/>
        <w:ind w:firstLine="709"/>
        <w:jc w:val="both"/>
        <w:rPr>
          <w:rFonts w:ascii="Verdana" w:hAnsi="Verdana" w:cs="Arial"/>
          <w:color w:val="000000"/>
          <w:szCs w:val="24"/>
          <w:lang w:eastAsia="es-ES_tradnl"/>
        </w:rPr>
      </w:pPr>
      <w:r w:rsidRPr="003E4CC9">
        <w:rPr>
          <w:rFonts w:ascii="Verdana" w:hAnsi="Verdana" w:cs="Arial"/>
          <w:color w:val="000000"/>
          <w:szCs w:val="24"/>
          <w:lang w:eastAsia="es-ES_tradnl"/>
        </w:rPr>
        <w:t xml:space="preserve">En este sentido, para evitar equivocaciones, lo ideal es que cada vez que se efectúe una adición, se estime su valor en SMLMV, </w:t>
      </w:r>
      <w:r w:rsidRPr="003E4CC9">
        <w:rPr>
          <w:rFonts w:ascii="Verdana" w:hAnsi="Verdana" w:cs="Arial"/>
          <w:i/>
          <w:iCs/>
          <w:color w:val="000000"/>
          <w:szCs w:val="24"/>
          <w:lang w:eastAsia="es-ES_tradnl"/>
        </w:rPr>
        <w:t>que se calcularán con base en el vigente al momento de la adición</w:t>
      </w:r>
      <w:r w:rsidRPr="003E4CC9">
        <w:rPr>
          <w:rFonts w:ascii="Verdana" w:hAnsi="Verdana" w:cs="Arial"/>
          <w:color w:val="000000"/>
          <w:szCs w:val="24"/>
          <w:lang w:eastAsia="es-ES_tradnl"/>
        </w:rPr>
        <w:t xml:space="preserve">, de manera que se descuenten estos de </w:t>
      </w:r>
      <w:r w:rsidRPr="003E4CC9">
        <w:rPr>
          <w:rFonts w:ascii="Verdana" w:hAnsi="Verdana" w:cs="Arial"/>
          <w:color w:val="000000"/>
          <w:szCs w:val="24"/>
          <w:lang w:eastAsia="es-ES_tradnl"/>
        </w:rPr>
        <w:lastRenderedPageBreak/>
        <w:t xml:space="preserve">los salarios mínimos que restan por adicionar, ya que las adiciones podrían hacerse en diferentes vigencias fiscales, porque si el contrato se ejecuta sin existir variación en el valor del SMMLV la operación sería la misma si se toma el monto en pesos. </w:t>
      </w:r>
    </w:p>
    <w:p w14:paraId="0440E176" w14:textId="77777777" w:rsidR="00DA01E5" w:rsidRPr="003E4CC9" w:rsidRDefault="00DA01E5" w:rsidP="00DA01E5">
      <w:pPr>
        <w:widowControl w:val="0"/>
        <w:autoSpaceDE w:val="0"/>
        <w:autoSpaceDN w:val="0"/>
        <w:spacing w:after="120" w:line="276" w:lineRule="auto"/>
        <w:ind w:firstLine="709"/>
        <w:jc w:val="both"/>
        <w:rPr>
          <w:rFonts w:ascii="Verdana" w:eastAsia="Arial MT" w:hAnsi="Verdana" w:cs="Arial"/>
          <w:lang w:eastAsia="es-ES" w:bidi="es-ES"/>
        </w:rPr>
      </w:pPr>
      <w:r w:rsidRPr="003E4CC9">
        <w:rPr>
          <w:rFonts w:ascii="Verdana" w:eastAsia="Arial MT" w:hAnsi="Verdana" w:cs="Arial"/>
          <w:lang w:eastAsia="es-ES" w:bidi="es-ES"/>
        </w:rPr>
        <w:t>A modo ilustrativo, y con fines netamente pedagógicos, exponemos a continuación el siguiente ejemplo: la entidad estatal celebra un contrato de prestación de servicios por un valor de $10.000.000 en vigencia 2022. Para esa vigencia el valor del SMLMV era de $1.000.000. Para efectos del cálculo del 50%</w:t>
      </w:r>
      <w:r w:rsidRPr="003E4CC9">
        <w:t xml:space="preserve"> </w:t>
      </w:r>
      <w:r w:rsidRPr="003E4CC9">
        <w:rPr>
          <w:rFonts w:ascii="Verdana" w:eastAsia="Arial MT" w:hAnsi="Verdana" w:cs="Arial"/>
          <w:lang w:eastAsia="es-ES" w:bidi="es-ES"/>
        </w:rPr>
        <w:t>límite para llevar a cabo la adición del contrato, necesariamente debemos dividir el valor del contrato (10.000.000) por el salario mínimo vigente al momento de la suscripción del contrato (1.000.000). El resultado de la operación anterior (10) pasa a dividirse por 2, por cuanto es claro que la adición debe ser por, máximo, el 50 % del valor del contrato. En ese orden, el resultado de la segunda operación (5) constituye el número de salarios mínimos por los cuales podrá adicionarse el contrato. Supongamos que, en nuestro ejemplo, la adición se llevará a cabo en la vigencia 2026 y el valor será de $6.500.000. En el año 2026, el SMLMV es de $</w:t>
      </w:r>
      <w:r w:rsidRPr="003E4CC9">
        <w:t xml:space="preserve"> </w:t>
      </w:r>
      <w:r w:rsidRPr="003E4CC9">
        <w:rPr>
          <w:rFonts w:ascii="Verdana" w:eastAsia="Arial MT" w:hAnsi="Verdana" w:cs="Arial"/>
          <w:lang w:eastAsia="es-ES" w:bidi="es-ES"/>
        </w:rPr>
        <w:t>1.750.905</w:t>
      </w:r>
      <w:r w:rsidRPr="003E4CC9">
        <w:rPr>
          <w:rFonts w:ascii="Verdana" w:eastAsia="Arial MT" w:hAnsi="Verdana" w:cs="Arial"/>
          <w:vertAlign w:val="superscript"/>
          <w:lang w:eastAsia="es-ES" w:bidi="es-ES"/>
        </w:rPr>
        <w:footnoteReference w:id="1"/>
      </w:r>
      <w:r w:rsidRPr="003E4CC9">
        <w:rPr>
          <w:rFonts w:ascii="Verdana" w:eastAsia="Arial MT" w:hAnsi="Verdana" w:cs="Arial"/>
          <w:lang w:eastAsia="es-ES" w:bidi="es-ES"/>
        </w:rPr>
        <w:t>, lo que supone que la adición corresponde a 3,71 SMLMV al momento de la adición, en la medida en que la división del valor de la adición 6.500.000 y el valor del SMLMV al momento de la adición arroja 3,71 SMLMV. Por lo tanto, la adición que se pretende en el contrato ejemplo es válida y se ajusta a la prohibición contenida en el parágrafo del artículo 40, toda vez que será de 3,71 SMLMV, sin superar el 50% del valor inicialmente pactado que fue de 5 SMLMV en el año 2022.</w:t>
      </w:r>
    </w:p>
    <w:p w14:paraId="481628EF" w14:textId="77777777" w:rsidR="00DA01E5" w:rsidRPr="003E4CC9" w:rsidRDefault="00DA01E5" w:rsidP="00DA01E5">
      <w:pPr>
        <w:spacing w:after="120" w:line="276" w:lineRule="auto"/>
        <w:ind w:firstLine="708"/>
        <w:jc w:val="both"/>
        <w:rPr>
          <w:rFonts w:ascii="Verdana" w:eastAsia="Calibri" w:hAnsi="Verdana" w:cs="Arial"/>
          <w:color w:val="000000"/>
          <w:szCs w:val="24"/>
          <w:lang w:eastAsia="es-ES_tradnl"/>
        </w:rPr>
      </w:pPr>
      <w:r w:rsidRPr="003E4CC9">
        <w:rPr>
          <w:rFonts w:ascii="Verdana" w:eastAsia="Calibri" w:hAnsi="Verdana" w:cs="Arial"/>
          <w:color w:val="000000"/>
          <w:szCs w:val="24"/>
          <w:lang w:eastAsia="es-ES_tradnl"/>
        </w:rPr>
        <w:t xml:space="preserve">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 expresada en SMLMV, y valga la redundancia, el valor inicial es el contemplado en el contrato originario y </w:t>
      </w:r>
      <w:r w:rsidRPr="003E4CC9">
        <w:rPr>
          <w:rFonts w:ascii="Verdana" w:eastAsia="Calibri" w:hAnsi="Verdana" w:cs="Arial"/>
          <w:color w:val="000000"/>
          <w:szCs w:val="24"/>
          <w:lang w:eastAsia="es-ES_tradnl"/>
        </w:rPr>
        <w:lastRenderedPageBreak/>
        <w:t xml:space="preserve">cualquier alteración a ese valor constituirá, técnicamente, una adición, independientemente de cuál sea su causa. </w:t>
      </w:r>
    </w:p>
    <w:p w14:paraId="152D3417" w14:textId="77777777" w:rsidR="00DA01E5" w:rsidRPr="003E4CC9" w:rsidRDefault="00DA01E5" w:rsidP="00DA01E5">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Como se expresó previamente, para determinar el tope de la adición en la Ley 80 de 1993, es necesario el dato del salario mínimo legal mensual vigente. El artículo 1 del Decreto 1469 de 2025 fijó dicho valor por la suma de $1.750.905 para el 2026. Sin embargo, la Subsección A de la Sección Segunda del Consejo de Estado –mediante Auto del 12 de febrero de 2026 con ponencia del Consejero Juan Camilo Morales Trujillo– suspendió provisionalmente el mencionado acto administrativo. Por ello, ordenó a las entidades demandadas que “[…] 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p>
    <w:p w14:paraId="023412FA" w14:textId="77777777" w:rsidR="00DA01E5" w:rsidRPr="003E4CC9" w:rsidRDefault="00DA01E5" w:rsidP="00DA01E5">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Ahora bien, el numeral cuarto de la providencia judicial precisó lo siguiente: “</w:t>
      </w:r>
      <w:r w:rsidRPr="003E4CC9">
        <w:rPr>
          <w:rFonts w:ascii="Verdana" w:eastAsiaTheme="minorEastAsia" w:hAnsi="Verdana"/>
          <w:b/>
          <w:bCs/>
          <w:lang w:eastAsia="es-CO"/>
        </w:rPr>
        <w:t>DIFERIR</w:t>
      </w:r>
      <w:r w:rsidRPr="003E4CC9">
        <w:rPr>
          <w:rFonts w:ascii="Verdana" w:eastAsiaTheme="minorEastAsia" w:hAnsi="Verdana"/>
          <w:lang w:eastAsia="es-CO"/>
        </w:rPr>
        <w:t xml:space="preserve"> los efectos de la suspensión provisional, que se hará efectiva únicamente a partir de la fecha en que se publique el decreto de que trata el numeral anterior mediante el cual se determine la cifra transitoria. </w:t>
      </w:r>
      <w:r w:rsidRPr="003E4CC9">
        <w:rPr>
          <w:rFonts w:ascii="Verdana" w:eastAsiaTheme="minorEastAsia" w:hAnsi="Verdana"/>
          <w:i/>
          <w:iCs/>
          <w:lang w:eastAsia="es-CO"/>
        </w:rPr>
        <w:t>Durante el lapso comprendido entre la notificación de esta providencia y la fecha de publicación del referido acto administrativo, el valor del salario mínimo para la vigencia 2026 seguirá correspondiendo al establecido en el Decreto 1469 de 2025</w:t>
      </w:r>
      <w:r w:rsidRPr="003E4CC9">
        <w:rPr>
          <w:rFonts w:ascii="Verdana" w:eastAsiaTheme="minorEastAsia" w:hAnsi="Verdana"/>
          <w:lang w:eastAsia="es-CO"/>
        </w:rPr>
        <w:t>” (Cursivas fuera de texto). Esto significa que, durante el mencionado periodo, la suma de $1.750.905 fue el salario mínimo mensual vigente para todos los efectos legales, lo que incluye también la influencia de este valor en el cálculo de la menor y mínima cuantía para efectos de la contratación de las entidades sometidas a la Ley 80 de 1993.</w:t>
      </w:r>
    </w:p>
    <w:p w14:paraId="22C8B246" w14:textId="77777777" w:rsidR="00DA01E5" w:rsidRPr="003E4CC9" w:rsidRDefault="00DA01E5" w:rsidP="00DA01E5">
      <w:pPr>
        <w:spacing w:after="120" w:line="276" w:lineRule="auto"/>
        <w:ind w:firstLine="709"/>
        <w:jc w:val="both"/>
        <w:rPr>
          <w:rFonts w:ascii="Verdana" w:hAnsi="Verdana" w:cs="Arial"/>
          <w:color w:val="000000"/>
          <w:szCs w:val="24"/>
          <w:lang w:eastAsia="es-ES_tradnl"/>
        </w:rPr>
      </w:pPr>
      <w:r w:rsidRPr="003E4CC9">
        <w:rPr>
          <w:rFonts w:ascii="Verdana" w:eastAsiaTheme="minorEastAsia" w:hAnsi="Verdana"/>
          <w:lang w:eastAsia="es-CO"/>
        </w:rPr>
        <w:t>Por lo demás, el artículo 1 del Decreto 159 de 2026 –acto administrativo expedido por el Gobierno Nacional conforme a lo ordenado por el máximo órgano de la jurisdicción contenciosa administrativa– mantuvo la suma de $1.750.905 con valor del salario mínimo legal mensual para el 2026. Luego, dicha cifra continúa siendo la base para estimar el monto de calcular la adición</w:t>
      </w:r>
      <w:r w:rsidRPr="003E4CC9">
        <w:rPr>
          <w:rFonts w:ascii="Verdana" w:hAnsi="Verdana" w:cs="Arial"/>
          <w:color w:val="000000"/>
          <w:szCs w:val="24"/>
          <w:lang w:eastAsia="es-ES_tradnl"/>
        </w:rPr>
        <w:t xml:space="preserve">, </w:t>
      </w:r>
      <w:r w:rsidRPr="003E4CC9">
        <w:rPr>
          <w:rFonts w:ascii="Verdana" w:hAnsi="Verdana" w:cs="Arial"/>
          <w:i/>
          <w:iCs/>
          <w:color w:val="000000"/>
          <w:szCs w:val="24"/>
          <w:lang w:eastAsia="es-ES_tradnl"/>
        </w:rPr>
        <w:t>que se calcularán con base en el vigente al momento de la adición</w:t>
      </w:r>
      <w:r w:rsidRPr="003E4CC9">
        <w:rPr>
          <w:rFonts w:ascii="Verdana" w:hAnsi="Verdana" w:cs="Arial"/>
          <w:color w:val="000000"/>
          <w:szCs w:val="24"/>
          <w:lang w:eastAsia="es-ES_tradnl"/>
        </w:rPr>
        <w:t xml:space="preserve">, de manera que se descuenten estos de los salarios mínimos que restan por adicionar, ya que las adiciones podrían hacerse en diferentes vigencias fiscales, porque si el contrato </w:t>
      </w:r>
      <w:r w:rsidRPr="003E4CC9">
        <w:rPr>
          <w:rFonts w:ascii="Verdana" w:hAnsi="Verdana" w:cs="Arial"/>
          <w:color w:val="000000"/>
          <w:szCs w:val="24"/>
          <w:lang w:eastAsia="es-ES_tradnl"/>
        </w:rPr>
        <w:lastRenderedPageBreak/>
        <w:t xml:space="preserve">se ejecuta sin existir variación en el valor del SMMLV la operación sería la misma si se toma el monto en pesos. </w:t>
      </w:r>
    </w:p>
    <w:p w14:paraId="086BFCC7" w14:textId="77777777" w:rsidR="00DA01E5" w:rsidRPr="003E4CC9" w:rsidRDefault="00DA01E5" w:rsidP="00DA01E5">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 xml:space="preserve">Así mismo, debe tenerse en cuenta que el decreto, en su condición de acto administrativo, goza de </w:t>
      </w:r>
      <w:r w:rsidRPr="003E4CC9">
        <w:rPr>
          <w:rFonts w:ascii="Verdana" w:eastAsiaTheme="minorEastAsia" w:hAnsi="Verdana"/>
          <w:bCs/>
          <w:lang w:eastAsia="es-CO"/>
        </w:rPr>
        <w:t>presunción de legalidad</w:t>
      </w:r>
      <w:r w:rsidRPr="003E4CC9">
        <w:rPr>
          <w:rFonts w:ascii="Verdana" w:eastAsiaTheme="minorEastAsia" w:hAnsi="Verdana"/>
          <w:lang w:eastAsia="es-CO"/>
        </w:rPr>
        <w:t xml:space="preserve">, lo cual implica que es obligatorio y debe aplicarse mientras no haya sido anulado o suspendido por la autoridad judicial competente. En tal sentido, las entidades están llamadas a cumplirlo en tanto se encuentre vigente, y en el evento de que posteriormente sea invalidado, la aplicación bajo dicha presunción no genera responsabilidad, siempre que se haya actuado de buena fe y conforme al ordenamiento jurídico. </w:t>
      </w:r>
    </w:p>
    <w:p w14:paraId="31CD2481" w14:textId="77777777" w:rsidR="00DA01E5" w:rsidRPr="003E4CC9" w:rsidRDefault="00DA01E5" w:rsidP="00DA01E5">
      <w:pPr>
        <w:spacing w:after="120" w:line="276" w:lineRule="auto"/>
        <w:ind w:firstLine="709"/>
        <w:jc w:val="both"/>
        <w:rPr>
          <w:rFonts w:ascii="Verdana" w:eastAsiaTheme="minorEastAsia" w:hAnsi="Verdana"/>
          <w:lang w:eastAsia="es-CO"/>
        </w:rPr>
      </w:pPr>
      <w:r w:rsidRPr="003E4CC9">
        <w:rPr>
          <w:rFonts w:ascii="Verdana" w:eastAsiaTheme="minorEastAsia" w:hAnsi="Verdana"/>
          <w:lang w:eastAsia="es-CO"/>
        </w:rPr>
        <w:t xml:space="preserve">En consecuencia, la Administración debe sujetarse a lo dispuesto en el </w:t>
      </w:r>
      <w:r w:rsidRPr="003E4CC9">
        <w:rPr>
          <w:rFonts w:ascii="Verdana" w:eastAsiaTheme="minorEastAsia" w:hAnsi="Verdana"/>
          <w:bCs/>
          <w:lang w:eastAsia="es-CO"/>
        </w:rPr>
        <w:t>Decreto 159 de 2026</w:t>
      </w:r>
      <w:r w:rsidRPr="003E4CC9">
        <w:rPr>
          <w:rFonts w:ascii="Verdana" w:eastAsiaTheme="minorEastAsia" w:hAnsi="Verdana"/>
          <w:lang w:eastAsia="es-CO"/>
        </w:rPr>
        <w:t xml:space="preserve">, sin que resulte procedente aplicar la excepción de ilegalidad, puesto que esta institución se circunscribe exclusivamente a la facultad que tiene el </w:t>
      </w:r>
      <w:r w:rsidRPr="003E4CC9">
        <w:rPr>
          <w:rFonts w:ascii="Verdana" w:eastAsiaTheme="minorEastAsia" w:hAnsi="Verdana"/>
          <w:bCs/>
          <w:lang w:eastAsia="es-CO"/>
        </w:rPr>
        <w:t>juez administrativo</w:t>
      </w:r>
      <w:r w:rsidRPr="003E4CC9">
        <w:rPr>
          <w:rFonts w:ascii="Verdana" w:eastAsiaTheme="minorEastAsia" w:hAnsi="Verdana"/>
          <w:lang w:eastAsia="es-CO"/>
        </w:rPr>
        <w:t xml:space="preserve"> de inaplicar un acto dentro del trámite de una acción sometida a su conocimiento. De este modo, la Administración carece de competencia para decidir por sí misma la inaplicación del acto administrativo, de conformidad con las consideraciones desarrolladas por la </w:t>
      </w:r>
      <w:r w:rsidRPr="003E4CC9">
        <w:rPr>
          <w:rFonts w:ascii="Verdana" w:eastAsiaTheme="minorEastAsia" w:hAnsi="Verdana"/>
          <w:bCs/>
          <w:lang w:eastAsia="es-CO"/>
        </w:rPr>
        <w:t>Sentencia C</w:t>
      </w:r>
      <w:r w:rsidRPr="003E4CC9">
        <w:rPr>
          <w:rFonts w:ascii="Verdana" w:eastAsiaTheme="minorEastAsia" w:hAnsi="Verdana"/>
          <w:bCs/>
          <w:lang w:eastAsia="es-CO"/>
        </w:rPr>
        <w:noBreakHyphen/>
        <w:t>037 de 2000</w:t>
      </w:r>
      <w:r w:rsidRPr="003E4CC9">
        <w:rPr>
          <w:rFonts w:ascii="Verdana" w:eastAsiaTheme="minorEastAsia" w:hAnsi="Verdana"/>
          <w:lang w:eastAsia="es-CO"/>
        </w:rPr>
        <w:t>, en la que la Corte Constitucional precisó los alcances y límites de la excepción de ilegalidad</w:t>
      </w:r>
      <w:r w:rsidRPr="003E4CC9">
        <w:rPr>
          <w:rFonts w:ascii="Verdana" w:eastAsiaTheme="minorEastAsia" w:hAnsi="Verdana"/>
          <w:vertAlign w:val="superscript"/>
          <w:lang w:eastAsia="es-CO"/>
        </w:rPr>
        <w:footnoteReference w:id="2"/>
      </w:r>
      <w:r w:rsidRPr="003E4CC9">
        <w:rPr>
          <w:rFonts w:ascii="Verdana" w:eastAsiaTheme="minorEastAsia" w:hAnsi="Verdana"/>
          <w:lang w:eastAsia="es-CO"/>
        </w:rPr>
        <w:t>.</w:t>
      </w:r>
    </w:p>
    <w:p w14:paraId="25FE23E9" w14:textId="77777777" w:rsidR="00DA01E5" w:rsidRPr="003E4CC9" w:rsidRDefault="00DA01E5" w:rsidP="00DA01E5">
      <w:pPr>
        <w:spacing w:after="120" w:line="276" w:lineRule="auto"/>
        <w:ind w:firstLine="708"/>
        <w:jc w:val="both"/>
        <w:rPr>
          <w:rFonts w:ascii="Verdana" w:eastAsia="Calibri" w:hAnsi="Verdana" w:cs="Arial"/>
          <w:color w:val="000000"/>
          <w:szCs w:val="24"/>
          <w:lang w:eastAsia="es-ES_tradnl"/>
        </w:rPr>
      </w:pPr>
      <w:r w:rsidRPr="003E4CC9">
        <w:rPr>
          <w:rFonts w:ascii="Verdana" w:eastAsia="Calibri" w:hAnsi="Verdana" w:cs="Arial"/>
          <w:color w:val="000000"/>
          <w:szCs w:val="24"/>
          <w:lang w:eastAsia="es-ES_tradnl"/>
        </w:rPr>
        <w:t xml:space="preserve">Sin perjuicio de lo anterior, actualmente existe una posibilidad para adicionar contratos en más del cincuenta por ciento (50%) del valor inicial del contrato expresado en SMLMV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21B45A38" w14:textId="77777777" w:rsidR="00DA01E5" w:rsidRPr="003E4CC9" w:rsidRDefault="00DA01E5" w:rsidP="00DA01E5">
      <w:pPr>
        <w:spacing w:after="0" w:line="276" w:lineRule="auto"/>
        <w:ind w:firstLine="709"/>
        <w:jc w:val="both"/>
        <w:rPr>
          <w:rFonts w:ascii="Verdana" w:eastAsia="Calibri" w:hAnsi="Verdana" w:cs="Arial"/>
          <w:color w:val="000000"/>
          <w:szCs w:val="24"/>
          <w:lang w:eastAsia="es-ES_tradnl"/>
        </w:rPr>
      </w:pPr>
      <w:r w:rsidRPr="003E4CC9">
        <w:rPr>
          <w:rFonts w:ascii="Verdana" w:eastAsia="Calibri" w:hAnsi="Verdana" w:cs="Arial"/>
          <w:color w:val="000000"/>
          <w:szCs w:val="24"/>
          <w:lang w:eastAsia="es-ES_tradnl"/>
        </w:rPr>
        <w:t xml:space="preserve">Así las cosas, </w:t>
      </w:r>
      <w:r w:rsidRPr="003E4CC9">
        <w:rPr>
          <w:rFonts w:ascii="Verdana" w:hAnsi="Verdana"/>
        </w:rPr>
        <w:t xml:space="preserve">la regla establecida en el parágrafo de dicha norma aplica a todos los contratos estatales regidos por el Estatuto General de Contratación de la Administración Pública – EGCAP –, independientemente de la modalidad de selección, de la tipología contractual del negocio jurídico que se considere necesario adicionar o del sistema de precios pactados. Lo anterior, salvo lo </w:t>
      </w:r>
      <w:r w:rsidRPr="003E4CC9">
        <w:rPr>
          <w:rFonts w:ascii="Verdana" w:hAnsi="Verdana"/>
        </w:rPr>
        <w:lastRenderedPageBreak/>
        <w:t>prescrito por la Ley 1474 de 2011 en su artículo 85 sobre los contratos de interventoría.</w:t>
      </w:r>
    </w:p>
    <w:p w14:paraId="1EF5CF24" w14:textId="77777777" w:rsidR="00DA01E5" w:rsidRPr="003E4CC9" w:rsidRDefault="00DA01E5" w:rsidP="00DA01E5">
      <w:pPr>
        <w:widowControl w:val="0"/>
        <w:autoSpaceDE w:val="0"/>
        <w:autoSpaceDN w:val="0"/>
        <w:spacing w:after="120" w:line="276" w:lineRule="auto"/>
        <w:jc w:val="both"/>
        <w:rPr>
          <w:rFonts w:ascii="Verdana" w:eastAsia="Calibri" w:hAnsi="Verdana" w:cs="Arial"/>
        </w:rPr>
      </w:pPr>
    </w:p>
    <w:p w14:paraId="571865C7" w14:textId="77777777" w:rsidR="00DA01E5" w:rsidRPr="003E4CC9" w:rsidRDefault="00DA01E5" w:rsidP="00DA01E5">
      <w:pPr>
        <w:widowControl w:val="0"/>
        <w:autoSpaceDE w:val="0"/>
        <w:autoSpaceDN w:val="0"/>
        <w:spacing w:after="120" w:line="276" w:lineRule="auto"/>
        <w:jc w:val="both"/>
        <w:rPr>
          <w:rFonts w:ascii="Verdana" w:hAnsi="Verdana"/>
        </w:rPr>
      </w:pPr>
      <w:r w:rsidRPr="003E4CC9">
        <w:rPr>
          <w:rFonts w:ascii="Verdana" w:eastAsia="Calibri" w:hAnsi="Verdana" w:cs="Arial"/>
        </w:rPr>
        <w:t xml:space="preserve">ii. Ahora bien, también es importante mencionar que </w:t>
      </w:r>
      <w:r w:rsidRPr="003E4CC9">
        <w:rPr>
          <w:rFonts w:ascii="Verdana" w:hAnsi="Verdana"/>
        </w:rPr>
        <w:t>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3E4CC9">
        <w:rPr>
          <w:rFonts w:ascii="Verdana" w:hAnsi="Verdana"/>
          <w:vertAlign w:val="superscript"/>
        </w:rPr>
        <w:footnoteReference w:id="3"/>
      </w:r>
      <w:r w:rsidRPr="003E4CC9">
        <w:rPr>
          <w:rFonts w:ascii="Verdana" w:hAnsi="Verdana"/>
        </w:rPr>
        <w:t xml:space="preserve">. </w:t>
      </w:r>
    </w:p>
    <w:p w14:paraId="5E056AFE" w14:textId="77777777" w:rsidR="00DA01E5" w:rsidRPr="003E4CC9" w:rsidRDefault="00DA01E5" w:rsidP="00DA01E5">
      <w:pPr>
        <w:widowControl w:val="0"/>
        <w:autoSpaceDE w:val="0"/>
        <w:autoSpaceDN w:val="0"/>
        <w:spacing w:after="0" w:line="276" w:lineRule="auto"/>
        <w:ind w:firstLine="708"/>
        <w:jc w:val="both"/>
        <w:rPr>
          <w:rFonts w:ascii="Verdana" w:hAnsi="Verdana"/>
          <w:b/>
          <w:i/>
        </w:rPr>
      </w:pPr>
      <w:r w:rsidRPr="003E4CC9">
        <w:rPr>
          <w:rFonts w:ascii="Verdana" w:hAnsi="Verdana"/>
        </w:rPr>
        <w:t xml:space="preserve">Dentro de los límites de </w:t>
      </w:r>
      <w:r w:rsidRPr="003E4CC9">
        <w:rPr>
          <w:rFonts w:ascii="Verdana" w:hAnsi="Verdana"/>
          <w:i/>
        </w:rPr>
        <w:t xml:space="preserve">orden temporal </w:t>
      </w:r>
      <w:r w:rsidRPr="003E4CC9">
        <w:rPr>
          <w:rFonts w:ascii="Verdana" w:hAnsi="Verdana"/>
        </w:rPr>
        <w:t xml:space="preserve">están comprendidos: </w:t>
      </w:r>
      <w:r w:rsidRPr="003E4CC9">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003E4CC9">
        <w:rPr>
          <w:rFonts w:ascii="Verdana" w:eastAsia="Calibri" w:hAnsi="Verdana" w:cs="Arial"/>
        </w:rPr>
        <w:t xml:space="preserve"> En torno a los límites de </w:t>
      </w:r>
      <w:r w:rsidRPr="003E4CC9">
        <w:rPr>
          <w:rFonts w:ascii="Verdana" w:eastAsia="Calibri" w:hAnsi="Verdana" w:cs="Arial"/>
          <w:i/>
        </w:rPr>
        <w:t>orden formal</w:t>
      </w:r>
      <w:r w:rsidRPr="003E4CC9">
        <w:rPr>
          <w:rFonts w:ascii="Verdana" w:eastAsia="Calibri" w:hAnsi="Verdana" w:cs="Arial"/>
        </w:rPr>
        <w:t xml:space="preserve">, debe señalarse que, por un lado, es necesario que, la </w:t>
      </w:r>
      <w:r w:rsidRPr="003E4CC9">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3E4CC9">
        <w:rPr>
          <w:rFonts w:ascii="Verdana" w:eastAsia="Arial" w:hAnsi="Verdana" w:cs="Arial"/>
          <w:vertAlign w:val="superscript"/>
          <w:lang w:val="es-MX" w:eastAsia="es-ES" w:bidi="es-ES"/>
        </w:rPr>
        <w:footnoteReference w:id="4"/>
      </w:r>
      <w:r w:rsidRPr="003E4CC9">
        <w:rPr>
          <w:rFonts w:ascii="Verdana" w:eastAsia="Arial" w:hAnsi="Verdana" w:cs="Arial"/>
          <w:lang w:val="es-MX" w:eastAsia="es-ES" w:bidi="es-ES"/>
        </w:rPr>
        <w:t xml:space="preserve"> y 12 de </w:t>
      </w:r>
      <w:r w:rsidRPr="003E4CC9">
        <w:rPr>
          <w:rFonts w:ascii="Verdana" w:eastAsia="Arial" w:hAnsi="Verdana" w:cs="Arial"/>
          <w:lang w:val="es-MX" w:eastAsia="es-ES" w:bidi="es-ES"/>
        </w:rPr>
        <w:lastRenderedPageBreak/>
        <w:t>la Ley 80 de 1993</w:t>
      </w:r>
      <w:r w:rsidRPr="003E4CC9">
        <w:rPr>
          <w:rFonts w:ascii="Verdana" w:eastAsia="Arial" w:hAnsi="Verdana" w:cs="Arial"/>
          <w:vertAlign w:val="superscript"/>
          <w:lang w:val="es-MX" w:eastAsia="es-ES" w:bidi="es-ES"/>
        </w:rPr>
        <w:footnoteReference w:id="5"/>
      </w:r>
      <w:r w:rsidRPr="003E4CC9">
        <w:rPr>
          <w:rFonts w:ascii="Verdana" w:eastAsia="Arial" w:hAnsi="Verdana" w:cs="Arial"/>
          <w:lang w:val="es-MX" w:eastAsia="es-ES" w:bidi="es-ES"/>
        </w:rPr>
        <w:t xml:space="preserve">, así como el deber de la existencia de las disponibilidades presupuestales para el cumplimiento de las obligaciones. Por otro lado, </w:t>
      </w:r>
      <w:r w:rsidRPr="003E4CC9">
        <w:rPr>
          <w:rFonts w:ascii="Verdana" w:eastAsia="Calibri" w:hAnsi="Verdana" w:cs="Arial"/>
        </w:rPr>
        <w:t>la entidad debe motivar y justificar la modificación. Al respecto el Consejo de Estado ha señalado:</w:t>
      </w:r>
    </w:p>
    <w:p w14:paraId="10E67B1A" w14:textId="77777777" w:rsidR="00DA01E5" w:rsidRPr="003E4CC9" w:rsidRDefault="00DA01E5" w:rsidP="00DA01E5">
      <w:pPr>
        <w:spacing w:after="0" w:line="276" w:lineRule="auto"/>
        <w:jc w:val="both"/>
        <w:rPr>
          <w:rFonts w:ascii="Verdana" w:hAnsi="Verdana"/>
          <w:i/>
        </w:rPr>
      </w:pPr>
    </w:p>
    <w:p w14:paraId="750D4C57" w14:textId="77777777" w:rsidR="00DA01E5" w:rsidRPr="003E4CC9" w:rsidRDefault="00DA01E5" w:rsidP="00DA01E5">
      <w:pPr>
        <w:spacing w:after="0" w:line="240" w:lineRule="auto"/>
        <w:ind w:left="709" w:right="709"/>
        <w:jc w:val="both"/>
        <w:rPr>
          <w:rFonts w:ascii="Verdana" w:hAnsi="Verdana"/>
          <w:sz w:val="20"/>
          <w:szCs w:val="20"/>
        </w:rPr>
      </w:pPr>
      <w:r w:rsidRPr="003E4CC9">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1A3692C7" w14:textId="77777777" w:rsidR="00DA01E5" w:rsidRPr="003E4CC9" w:rsidRDefault="00DA01E5" w:rsidP="00DA01E5">
      <w:pPr>
        <w:spacing w:after="0" w:line="240" w:lineRule="auto"/>
        <w:ind w:left="709" w:right="709"/>
        <w:jc w:val="both"/>
        <w:rPr>
          <w:rFonts w:ascii="Verdana" w:hAnsi="Verdana"/>
          <w:sz w:val="20"/>
          <w:szCs w:val="20"/>
        </w:rPr>
      </w:pPr>
    </w:p>
    <w:p w14:paraId="3AA9A8CC" w14:textId="77777777" w:rsidR="00DA01E5" w:rsidRPr="003E4CC9" w:rsidRDefault="00DA01E5" w:rsidP="00DA01E5">
      <w:pPr>
        <w:spacing w:after="0" w:line="240" w:lineRule="auto"/>
        <w:ind w:left="709" w:right="709"/>
        <w:jc w:val="both"/>
        <w:rPr>
          <w:rFonts w:ascii="Verdana" w:hAnsi="Verdana"/>
          <w:sz w:val="20"/>
          <w:szCs w:val="20"/>
        </w:rPr>
      </w:pPr>
      <w:r w:rsidRPr="003E4CC9">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19BD5F0C" w14:textId="77777777" w:rsidR="00DA01E5" w:rsidRPr="003E4CC9" w:rsidRDefault="00DA01E5" w:rsidP="00DA01E5">
      <w:pPr>
        <w:spacing w:after="0" w:line="240" w:lineRule="auto"/>
        <w:ind w:left="709" w:right="709"/>
        <w:jc w:val="both"/>
        <w:rPr>
          <w:rFonts w:ascii="Verdana" w:hAnsi="Verdana"/>
          <w:sz w:val="20"/>
          <w:szCs w:val="20"/>
        </w:rPr>
      </w:pPr>
    </w:p>
    <w:p w14:paraId="10F40709" w14:textId="77777777" w:rsidR="00DA01E5" w:rsidRPr="003E4CC9" w:rsidRDefault="00DA01E5" w:rsidP="00DA01E5">
      <w:pPr>
        <w:spacing w:after="0" w:line="240" w:lineRule="auto"/>
        <w:ind w:left="709" w:right="709"/>
        <w:jc w:val="both"/>
        <w:rPr>
          <w:rFonts w:ascii="Verdana" w:hAnsi="Verdana"/>
          <w:sz w:val="20"/>
          <w:szCs w:val="20"/>
        </w:rPr>
      </w:pPr>
      <w:r w:rsidRPr="003E4CC9">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3E4CC9">
        <w:rPr>
          <w:rFonts w:ascii="Verdana" w:hAnsi="Verdana"/>
          <w:sz w:val="20"/>
          <w:szCs w:val="20"/>
          <w:vertAlign w:val="superscript"/>
        </w:rPr>
        <w:footnoteReference w:id="6"/>
      </w:r>
      <w:r w:rsidRPr="003E4CC9">
        <w:rPr>
          <w:rFonts w:ascii="Verdana" w:hAnsi="Verdana"/>
          <w:sz w:val="20"/>
          <w:szCs w:val="20"/>
        </w:rPr>
        <w:t>.</w:t>
      </w:r>
    </w:p>
    <w:p w14:paraId="7CBE962B" w14:textId="77777777" w:rsidR="00DA01E5" w:rsidRPr="003E4CC9" w:rsidRDefault="00DA01E5" w:rsidP="00DA01E5">
      <w:pPr>
        <w:widowControl w:val="0"/>
        <w:autoSpaceDE w:val="0"/>
        <w:autoSpaceDN w:val="0"/>
        <w:spacing w:after="0" w:line="276" w:lineRule="auto"/>
        <w:jc w:val="both"/>
        <w:rPr>
          <w:rFonts w:ascii="Verdana" w:eastAsia="Calibri" w:hAnsi="Verdana" w:cs="Arial"/>
        </w:rPr>
      </w:pPr>
      <w:r w:rsidRPr="003E4CC9">
        <w:rPr>
          <w:rFonts w:ascii="Verdana" w:eastAsia="Calibri" w:hAnsi="Verdana" w:cs="Arial"/>
        </w:rPr>
        <w:t xml:space="preserve"> </w:t>
      </w:r>
    </w:p>
    <w:p w14:paraId="3693EEC6" w14:textId="77777777" w:rsidR="00DA01E5" w:rsidRPr="003E4CC9" w:rsidRDefault="00DA01E5" w:rsidP="00DA01E5">
      <w:pPr>
        <w:widowControl w:val="0"/>
        <w:autoSpaceDE w:val="0"/>
        <w:autoSpaceDN w:val="0"/>
        <w:spacing w:after="120" w:line="276" w:lineRule="auto"/>
        <w:ind w:firstLine="708"/>
        <w:jc w:val="both"/>
        <w:rPr>
          <w:rFonts w:ascii="Verdana" w:eastAsia="Arial" w:hAnsi="Verdana" w:cs="Arial"/>
          <w:i/>
          <w:lang w:val="es-MX" w:eastAsia="es-ES" w:bidi="es-ES"/>
        </w:rPr>
      </w:pPr>
      <w:r w:rsidRPr="003E4CC9">
        <w:rPr>
          <w:rFonts w:ascii="Verdana" w:eastAsia="Calibri" w:hAnsi="Verdana" w:cs="Arial"/>
        </w:rPr>
        <w:t xml:space="preserve">Los </w:t>
      </w:r>
      <w:r w:rsidRPr="003E4CC9">
        <w:rPr>
          <w:rFonts w:ascii="Verdana" w:eastAsia="Calibri" w:hAnsi="Verdana" w:cs="Arial"/>
          <w:i/>
        </w:rPr>
        <w:t>límites materiales</w:t>
      </w:r>
      <w:r w:rsidRPr="003E4CC9">
        <w:rPr>
          <w:rFonts w:ascii="Verdana" w:eastAsia="Calibri" w:hAnsi="Verdana" w:cs="Arial"/>
        </w:rPr>
        <w:t xml:space="preserve"> </w:t>
      </w:r>
      <w:r w:rsidRPr="003E4CC9">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3E4CC9">
        <w:rPr>
          <w:rFonts w:ascii="Verdana" w:eastAsia="Arial" w:hAnsi="Verdana" w:cs="Arial"/>
          <w:i/>
          <w:lang w:val="es-MX" w:eastAsia="es-ES" w:bidi="es-ES"/>
        </w:rPr>
        <w:t xml:space="preserve">“habiendo figurado en el procedimiento inicial, hubiera permitido la participación de otros interesados aparte de los inicialmente </w:t>
      </w:r>
      <w:r w:rsidRPr="003E4CC9">
        <w:rPr>
          <w:rFonts w:ascii="Verdana" w:eastAsia="Arial" w:hAnsi="Verdana" w:cs="Arial"/>
          <w:i/>
          <w:lang w:val="es-MX" w:eastAsia="es-ES" w:bidi="es-ES"/>
        </w:rPr>
        <w:lastRenderedPageBreak/>
        <w:t>admitidos, o seleccionar una oferta distinta de la inicialmente seleccionada”</w:t>
      </w:r>
      <w:r w:rsidRPr="003E4CC9">
        <w:rPr>
          <w:rFonts w:ascii="Verdana" w:eastAsia="Arial" w:hAnsi="Verdana" w:cs="Arial"/>
          <w:i/>
          <w:vertAlign w:val="superscript"/>
          <w:lang w:val="es-MX" w:eastAsia="es-ES" w:bidi="es-ES"/>
        </w:rPr>
        <w:footnoteReference w:id="7"/>
      </w:r>
      <w:r w:rsidRPr="003E4CC9">
        <w:rPr>
          <w:rFonts w:ascii="Verdana" w:eastAsia="Arial" w:hAnsi="Verdana" w:cs="Arial"/>
          <w:i/>
          <w:lang w:val="es-MX" w:eastAsia="es-ES" w:bidi="es-ES"/>
        </w:rPr>
        <w:t xml:space="preserve">. </w:t>
      </w:r>
      <w:r w:rsidRPr="003E4CC9">
        <w:rPr>
          <w:rFonts w:ascii="Verdana" w:eastAsia="Arial" w:hAnsi="Verdana" w:cs="Arial"/>
          <w:lang w:val="es-MX" w:eastAsia="es-ES" w:bidi="es-ES"/>
        </w:rPr>
        <w:t xml:space="preserve">Finalmente, se encuentran los </w:t>
      </w:r>
      <w:r w:rsidRPr="003E4CC9">
        <w:rPr>
          <w:rFonts w:ascii="Verdana" w:eastAsia="Arial" w:hAnsi="Verdana" w:cs="Arial"/>
          <w:i/>
          <w:lang w:val="es-MX" w:eastAsia="es-ES" w:bidi="es-ES"/>
        </w:rPr>
        <w:t>límites axiológicos</w:t>
      </w:r>
      <w:r w:rsidRPr="003E4CC9">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3E4CC9">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3E4CC9">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643C0535" w14:textId="77777777" w:rsidR="00DA01E5" w:rsidRPr="003E4CC9" w:rsidRDefault="00DA01E5" w:rsidP="00DA01E5">
      <w:pPr>
        <w:widowControl w:val="0"/>
        <w:autoSpaceDE w:val="0"/>
        <w:autoSpaceDN w:val="0"/>
        <w:spacing w:after="120" w:line="276" w:lineRule="auto"/>
        <w:ind w:firstLine="708"/>
        <w:jc w:val="both"/>
        <w:rPr>
          <w:rFonts w:ascii="Verdana" w:eastAsia="Calibri" w:hAnsi="Verdana" w:cs="Arial"/>
          <w:lang w:val="es-MX" w:eastAsia="es-ES_tradnl"/>
        </w:rPr>
      </w:pPr>
      <w:r w:rsidRPr="003E4CC9">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3E4CC9">
        <w:rPr>
          <w:rFonts w:ascii="Verdana" w:eastAsia="Arial" w:hAnsi="Verdana" w:cs="Arial"/>
          <w:lang w:val="es-ES_tradnl" w:eastAsia="es-ES" w:bidi="es-ES"/>
        </w:rPr>
        <w:t>”</w:t>
      </w:r>
      <w:r w:rsidRPr="003E4CC9">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3E4CC9">
        <w:rPr>
          <w:rFonts w:ascii="Verdana" w:eastAsia="Calibri" w:hAnsi="Verdana" w:cs="Arial"/>
          <w:lang w:val="es-MX" w:eastAsia="es-ES_tradnl"/>
        </w:rPr>
        <w:t xml:space="preserve"> </w:t>
      </w:r>
    </w:p>
    <w:p w14:paraId="6DA0B5F1" w14:textId="77777777" w:rsidR="00DA01E5" w:rsidRPr="003E4CC9" w:rsidRDefault="00DA01E5" w:rsidP="00DA01E5">
      <w:pPr>
        <w:widowControl w:val="0"/>
        <w:autoSpaceDE w:val="0"/>
        <w:autoSpaceDN w:val="0"/>
        <w:spacing w:after="120" w:line="276" w:lineRule="auto"/>
        <w:ind w:firstLine="708"/>
        <w:jc w:val="both"/>
        <w:rPr>
          <w:rFonts w:ascii="Verdana" w:eastAsia="Calibri" w:hAnsi="Verdana" w:cs="Arial"/>
          <w:bCs/>
          <w:lang w:eastAsia="es-ES_tradnl"/>
        </w:rPr>
      </w:pPr>
      <w:r w:rsidRPr="003E4CC9">
        <w:rPr>
          <w:rFonts w:ascii="Verdana" w:eastAsia="Calibri" w:hAnsi="Verdana" w:cs="Arial"/>
          <w:lang w:val="es-MX" w:eastAsia="es-ES_tradnl"/>
        </w:rPr>
        <w:t>E</w:t>
      </w:r>
      <w:r w:rsidRPr="003E4CC9">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3E4CC9">
        <w:rPr>
          <w:rFonts w:ascii="Verdana" w:eastAsia="Arial" w:hAnsi="Verdana" w:cs="Arial"/>
          <w:lang w:val="es-ES_tradnl" w:eastAsia="es-ES" w:bidi="es-ES"/>
        </w:rPr>
        <w:t>.</w:t>
      </w:r>
      <w:r w:rsidRPr="003E4CC9">
        <w:rPr>
          <w:rFonts w:ascii="Verdana" w:eastAsia="Calibri" w:hAnsi="Verdana" w:cs="Arial"/>
          <w:bCs/>
          <w:lang w:eastAsia="es-ES_tradnl"/>
        </w:rPr>
        <w:t xml:space="preserve"> </w:t>
      </w:r>
    </w:p>
    <w:p w14:paraId="4970C9C6" w14:textId="77777777" w:rsidR="00DA01E5" w:rsidRPr="003E4CC9" w:rsidRDefault="00DA01E5" w:rsidP="00DA01E5">
      <w:pPr>
        <w:widowControl w:val="0"/>
        <w:autoSpaceDE w:val="0"/>
        <w:autoSpaceDN w:val="0"/>
        <w:spacing w:after="120" w:line="276" w:lineRule="auto"/>
        <w:ind w:firstLine="708"/>
        <w:jc w:val="both"/>
        <w:rPr>
          <w:rFonts w:ascii="Verdana" w:hAnsi="Verdana" w:cs="Arial"/>
          <w:color w:val="000000" w:themeColor="text1"/>
        </w:rPr>
      </w:pPr>
      <w:r w:rsidRPr="003E4CC9">
        <w:rPr>
          <w:rFonts w:ascii="Verdana" w:hAnsi="Verdana"/>
        </w:rPr>
        <w:t xml:space="preserve"> </w:t>
      </w:r>
      <w:r w:rsidRPr="003E4CC9">
        <w:rPr>
          <w:rFonts w:ascii="Verdana" w:eastAsia="Calibri" w:hAnsi="Verdana"/>
          <w:lang w:val="es-ES"/>
        </w:rPr>
        <w:t>Finalmente debe advertirse, que el análisis para resolver problemas específicos en torno a las adiciones de un contrato determinado debe ser realizado por quienes tengan interés en ello</w:t>
      </w:r>
      <w:r w:rsidRPr="003E4CC9">
        <w:rPr>
          <w:rFonts w:ascii="Verdana" w:hAnsi="Verdana" w:cs="Arial"/>
          <w:color w:val="000000" w:themeColor="text1"/>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w:t>
      </w:r>
      <w:r w:rsidRPr="003E4CC9">
        <w:rPr>
          <w:rFonts w:ascii="Verdana" w:hAnsi="Verdana" w:cs="Arial"/>
          <w:color w:val="000000" w:themeColor="text1"/>
        </w:rPr>
        <w:lastRenderedPageBreak/>
        <w:t>de conflicto, a las autoridades judiciales, fiscales y disciplinarias.</w:t>
      </w:r>
    </w:p>
    <w:p w14:paraId="06F98813" w14:textId="77777777" w:rsidR="00DA01E5" w:rsidRPr="003E4CC9" w:rsidRDefault="00DA01E5" w:rsidP="00DA01E5">
      <w:pPr>
        <w:widowControl w:val="0"/>
        <w:autoSpaceDE w:val="0"/>
        <w:autoSpaceDN w:val="0"/>
        <w:spacing w:after="0" w:line="276" w:lineRule="auto"/>
        <w:ind w:firstLine="709"/>
        <w:jc w:val="both"/>
        <w:rPr>
          <w:rFonts w:ascii="Verdana" w:eastAsia="Calibri" w:hAnsi="Verdana" w:cs="Arial"/>
          <w:bCs/>
          <w:lang w:val="es-MX" w:eastAsia="es-ES_tradnl"/>
        </w:rPr>
      </w:pPr>
      <w:r w:rsidRPr="003E4CC9">
        <w:rPr>
          <w:rFonts w:ascii="Verdana"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p>
    <w:p w14:paraId="2DE5FDE5" w14:textId="77777777" w:rsidR="00DA01E5" w:rsidRPr="003E4CC9" w:rsidRDefault="00DA01E5" w:rsidP="00DA01E5">
      <w:pPr>
        <w:spacing w:after="0" w:line="276" w:lineRule="auto"/>
        <w:jc w:val="both"/>
        <w:rPr>
          <w:rFonts w:ascii="Verdana" w:eastAsia="Calibri" w:hAnsi="Verdana" w:cs="Arial"/>
          <w:lang w:val="es-ES_tradnl" w:eastAsia="es-ES_tradnl"/>
        </w:rPr>
      </w:pPr>
    </w:p>
    <w:p w14:paraId="6B4A0E7C" w14:textId="77777777" w:rsidR="00DA01E5" w:rsidRPr="003E4CC9" w:rsidRDefault="00DA01E5" w:rsidP="00DA01E5">
      <w:pPr>
        <w:numPr>
          <w:ilvl w:val="0"/>
          <w:numId w:val="16"/>
        </w:numPr>
        <w:spacing w:after="0" w:line="276" w:lineRule="auto"/>
        <w:rPr>
          <w:rFonts w:ascii="Verdana" w:eastAsia="Calibri" w:hAnsi="Verdana" w:cs="Times New Roman"/>
          <w:b/>
          <w:bCs/>
          <w:lang w:val="es-ES"/>
        </w:rPr>
      </w:pPr>
      <w:r w:rsidRPr="003E4CC9">
        <w:rPr>
          <w:rFonts w:ascii="Verdana" w:eastAsia="Calibri" w:hAnsi="Verdana" w:cs="Times New Roman"/>
          <w:b/>
          <w:bCs/>
          <w:lang w:val="es-ES"/>
        </w:rPr>
        <w:t>Referencias normativas:</w:t>
      </w:r>
    </w:p>
    <w:p w14:paraId="131A9227" w14:textId="77777777" w:rsidR="00DA01E5" w:rsidRPr="003E4CC9" w:rsidRDefault="00DA01E5" w:rsidP="00DA01E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01E5" w:rsidRPr="003E4CC9" w14:paraId="4F8CC913" w14:textId="77777777" w:rsidTr="00E458D9">
        <w:trPr>
          <w:trHeight w:val="501"/>
          <w:jc w:val="center"/>
        </w:trPr>
        <w:tc>
          <w:tcPr>
            <w:tcW w:w="8647" w:type="dxa"/>
          </w:tcPr>
          <w:p w14:paraId="7D65933E" w14:textId="77777777" w:rsidR="00DA01E5" w:rsidRPr="003E4CC9" w:rsidRDefault="00DA01E5" w:rsidP="00DA01E5">
            <w:pPr>
              <w:widowControl w:val="0"/>
              <w:numPr>
                <w:ilvl w:val="0"/>
                <w:numId w:val="17"/>
              </w:numPr>
              <w:autoSpaceDE w:val="0"/>
              <w:autoSpaceDN w:val="0"/>
              <w:spacing w:before="120" w:after="120" w:line="276" w:lineRule="auto"/>
              <w:ind w:left="714" w:hanging="357"/>
              <w:jc w:val="both"/>
              <w:rPr>
                <w:rFonts w:ascii="Verdana" w:hAnsi="Verdana" w:cs="Arial"/>
                <w:color w:val="000000" w:themeColor="text1"/>
                <w:lang w:val="es-ES"/>
              </w:rPr>
            </w:pPr>
            <w:r w:rsidRPr="003E4CC9">
              <w:rPr>
                <w:rFonts w:ascii="Verdana" w:hAnsi="Verdana" w:cs="Arial"/>
                <w:color w:val="000000" w:themeColor="text1"/>
                <w:lang w:val="es-ES"/>
              </w:rPr>
              <w:t>Ley 80 de 1993, artículo 11, 12 y 40.</w:t>
            </w:r>
          </w:p>
          <w:p w14:paraId="3CCEB0C1" w14:textId="77777777" w:rsidR="00DA01E5" w:rsidRPr="003E4CC9" w:rsidRDefault="00DA01E5" w:rsidP="00DA01E5">
            <w:pPr>
              <w:widowControl w:val="0"/>
              <w:numPr>
                <w:ilvl w:val="0"/>
                <w:numId w:val="17"/>
              </w:numPr>
              <w:autoSpaceDE w:val="0"/>
              <w:autoSpaceDN w:val="0"/>
              <w:spacing w:before="120" w:after="120" w:line="276" w:lineRule="auto"/>
              <w:ind w:left="714" w:hanging="357"/>
              <w:jc w:val="both"/>
              <w:rPr>
                <w:rFonts w:ascii="Verdana" w:hAnsi="Verdana" w:cs="Arial"/>
                <w:color w:val="000000" w:themeColor="text1"/>
                <w:lang w:val="es-ES"/>
              </w:rPr>
            </w:pPr>
            <w:r w:rsidRPr="003E4CC9">
              <w:rPr>
                <w:rFonts w:ascii="Verdana" w:hAnsi="Verdana" w:cs="Arial"/>
                <w:color w:val="000000" w:themeColor="text1"/>
                <w:lang w:val="es-ES"/>
              </w:rPr>
              <w:t>Ley 1474, artículo 85</w:t>
            </w:r>
          </w:p>
          <w:p w14:paraId="605FA012" w14:textId="77777777" w:rsidR="00DA01E5" w:rsidRPr="003E4CC9" w:rsidRDefault="00DA01E5" w:rsidP="00DA01E5">
            <w:pPr>
              <w:widowControl w:val="0"/>
              <w:numPr>
                <w:ilvl w:val="0"/>
                <w:numId w:val="17"/>
              </w:numPr>
              <w:autoSpaceDE w:val="0"/>
              <w:autoSpaceDN w:val="0"/>
              <w:spacing w:before="120" w:after="120" w:line="276" w:lineRule="auto"/>
              <w:ind w:left="714" w:hanging="357"/>
              <w:jc w:val="both"/>
              <w:rPr>
                <w:rFonts w:ascii="Verdana" w:hAnsi="Verdana" w:cs="Arial"/>
                <w:color w:val="000000" w:themeColor="text1"/>
                <w:lang w:val="es-ES"/>
              </w:rPr>
            </w:pPr>
            <w:r w:rsidRPr="003E4CC9">
              <w:rPr>
                <w:rFonts w:ascii="Verdana" w:hAnsi="Verdana" w:cs="Arial"/>
                <w:color w:val="000000" w:themeColor="text1"/>
                <w:lang w:val="es-ES"/>
              </w:rPr>
              <w:t xml:space="preserve">Decreto 159 de 2026. </w:t>
            </w:r>
          </w:p>
        </w:tc>
      </w:tr>
    </w:tbl>
    <w:p w14:paraId="670AC560" w14:textId="77777777" w:rsidR="00DA01E5" w:rsidRPr="003E4CC9" w:rsidRDefault="00DA01E5" w:rsidP="00DA01E5">
      <w:pPr>
        <w:spacing w:after="0" w:line="276" w:lineRule="auto"/>
        <w:ind w:right="709"/>
        <w:jc w:val="both"/>
        <w:rPr>
          <w:rFonts w:ascii="Verdana" w:hAnsi="Verdana" w:cs="Arial"/>
          <w:color w:val="000000" w:themeColor="text1"/>
          <w:lang w:val="es-ES_tradnl"/>
        </w:rPr>
      </w:pPr>
    </w:p>
    <w:p w14:paraId="2342EE29" w14:textId="77777777" w:rsidR="00DA01E5" w:rsidRPr="003E4CC9" w:rsidRDefault="00DA01E5" w:rsidP="00DA01E5">
      <w:pPr>
        <w:numPr>
          <w:ilvl w:val="0"/>
          <w:numId w:val="16"/>
        </w:numPr>
        <w:spacing w:after="0" w:line="276" w:lineRule="auto"/>
        <w:rPr>
          <w:rFonts w:ascii="Verdana" w:eastAsia="Calibri" w:hAnsi="Verdana" w:cs="Times New Roman"/>
          <w:b/>
          <w:bCs/>
          <w:lang w:val="es-ES"/>
        </w:rPr>
      </w:pPr>
      <w:r w:rsidRPr="003E4CC9">
        <w:rPr>
          <w:rFonts w:ascii="Verdana" w:eastAsia="Calibri" w:hAnsi="Verdana" w:cs="Times New Roman"/>
          <w:b/>
          <w:bCs/>
          <w:lang w:val="es-ES"/>
        </w:rPr>
        <w:t>Doctrina de la Agencia Nacional de Contratación Pública:</w:t>
      </w:r>
    </w:p>
    <w:p w14:paraId="59B75F27" w14:textId="77777777" w:rsidR="00DA01E5" w:rsidRPr="003E4CC9" w:rsidRDefault="00DA01E5" w:rsidP="00DA01E5">
      <w:pPr>
        <w:widowControl w:val="0"/>
        <w:autoSpaceDE w:val="0"/>
        <w:autoSpaceDN w:val="0"/>
        <w:spacing w:after="0" w:line="276" w:lineRule="auto"/>
        <w:jc w:val="both"/>
        <w:rPr>
          <w:rFonts w:ascii="Verdana" w:hAnsi="Verdana" w:cs="Arial"/>
          <w:bCs/>
          <w:shd w:val="clear" w:color="auto" w:fill="FFFFFF"/>
        </w:rPr>
      </w:pPr>
    </w:p>
    <w:p w14:paraId="6ACA4736" w14:textId="77777777" w:rsidR="00DA01E5" w:rsidRPr="003E4CC9" w:rsidRDefault="00DA01E5" w:rsidP="00DA01E5">
      <w:pPr>
        <w:widowControl w:val="0"/>
        <w:autoSpaceDE w:val="0"/>
        <w:autoSpaceDN w:val="0"/>
        <w:spacing w:after="0" w:line="276" w:lineRule="auto"/>
        <w:jc w:val="both"/>
        <w:rPr>
          <w:rFonts w:ascii="Verdana" w:hAnsi="Verdana" w:cs="Arial"/>
          <w:bCs/>
          <w:shd w:val="clear" w:color="auto" w:fill="FFFFFF"/>
        </w:rPr>
      </w:pPr>
      <w:r w:rsidRPr="003E4CC9">
        <w:rPr>
          <w:rFonts w:ascii="Verdana" w:hAnsi="Verdana" w:cs="Arial"/>
          <w:bCs/>
          <w:shd w:val="clear" w:color="auto" w:fill="FFFFFF"/>
        </w:rPr>
        <w:t xml:space="preserve">La Agencia Nacional de Contratación Pública – Colombia Compra Eficiente, se ha pronunciado en diferentes conceptos sobre las </w:t>
      </w:r>
      <w:r w:rsidRPr="003E4CC9">
        <w:rPr>
          <w:rFonts w:ascii="Verdana" w:hAnsi="Verdana" w:cs="Arial"/>
          <w:bCs/>
          <w:shd w:val="clear" w:color="auto" w:fill="FFFFFF"/>
          <w:lang w:val="es-ES_tradnl"/>
        </w:rPr>
        <w:t>modificaciones y adiciones 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3E4CC9">
        <w:rPr>
          <w:rFonts w:ascii="Verdana" w:hAnsi="Verdana" w:cs="Arial"/>
          <w:bCs/>
          <w:shd w:val="clear" w:color="auto" w:fill="FFFFFF"/>
          <w:lang w:val="es-ES"/>
        </w:rPr>
        <w:t>, C-308 del 28 de abril de 2025, C-451 del 19 de mayo de 2025, C-491 del 3 de junio de 2025,</w:t>
      </w:r>
      <w:r w:rsidRPr="003E4CC9">
        <w:rPr>
          <w:rFonts w:ascii="Verdana" w:hAnsi="Verdana" w:cs="Arial"/>
          <w:bCs/>
          <w:shd w:val="clear" w:color="auto" w:fill="FFFFFF"/>
        </w:rPr>
        <w:t xml:space="preserve"> C-165 del 26 de febrero de 2026, entre otros. </w:t>
      </w:r>
      <w:r w:rsidRPr="003E4CC9">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w:t>
      </w:r>
      <w:r w:rsidRPr="003E4CC9">
        <w:rPr>
          <w:rFonts w:ascii="Verdana" w:eastAsia="Calibri" w:hAnsi="Verdana" w:cs="Times New Roman"/>
        </w:rPr>
        <w:lastRenderedPageBreak/>
        <w:t>Contractual, accede a través del siguiente enlace:</w:t>
      </w:r>
      <w:r w:rsidRPr="003E4CC9">
        <w:rPr>
          <w:rFonts w:ascii="Verdana" w:hAnsi="Verdana" w:cs="Arial"/>
          <w:bCs/>
          <w:shd w:val="clear" w:color="auto" w:fill="FFFFFF"/>
        </w:rPr>
        <w:t xml:space="preserve"> </w:t>
      </w:r>
      <w:hyperlink r:id="rId12" w:history="1">
        <w:r w:rsidRPr="003E4CC9">
          <w:rPr>
            <w:rFonts w:ascii="Verdana" w:eastAsia="Calibri" w:hAnsi="Verdana" w:cs="Times New Roman"/>
            <w:color w:val="0000FF"/>
            <w:u w:val="single"/>
            <w:lang w:val="es-ES"/>
          </w:rPr>
          <w:t>https://relatoria.colombiacompra.gov.co/busqueda/conceptos</w:t>
        </w:r>
      </w:hyperlink>
      <w:r w:rsidRPr="003E4CC9">
        <w:rPr>
          <w:rFonts w:ascii="Verdana" w:eastAsia="Calibri" w:hAnsi="Verdana" w:cs="Times New Roman"/>
        </w:rPr>
        <w:t xml:space="preserve">. </w:t>
      </w:r>
    </w:p>
    <w:p w14:paraId="6D1ADFF8" w14:textId="77777777" w:rsidR="00DA01E5" w:rsidRPr="003E4CC9" w:rsidRDefault="00DA01E5" w:rsidP="00DA01E5">
      <w:pPr>
        <w:spacing w:after="0" w:line="276" w:lineRule="auto"/>
        <w:jc w:val="both"/>
        <w:rPr>
          <w:rFonts w:ascii="Verdana" w:eastAsia="Calibri" w:hAnsi="Verdana" w:cs="Times New Roman"/>
        </w:rPr>
      </w:pPr>
    </w:p>
    <w:p w14:paraId="3B0F28F3" w14:textId="77777777" w:rsidR="00DA01E5" w:rsidRPr="003E4CC9" w:rsidRDefault="00DA01E5" w:rsidP="00DA01E5">
      <w:pPr>
        <w:spacing w:after="0"/>
        <w:jc w:val="both"/>
        <w:rPr>
          <w:rFonts w:ascii="Verdana" w:hAnsi="Verdana"/>
          <w:color w:val="0000FF"/>
          <w:u w:val="single"/>
        </w:rPr>
      </w:pPr>
      <w:r w:rsidRPr="003E4CC9">
        <w:rPr>
          <w:rFonts w:ascii="Verdana" w:hAnsi="Verdana"/>
        </w:rPr>
        <w:t xml:space="preserve">La sostenibilidad no es una opción, es una obligación. Por ello, la Agencia Nacional de Contratación Pública –Colombia Compra Eficiente– te invita a realizar el </w:t>
      </w:r>
      <w:r w:rsidRPr="003E4CC9">
        <w:rPr>
          <w:rFonts w:ascii="Verdana" w:hAnsi="Verdana"/>
          <w:b/>
          <w:bCs/>
        </w:rPr>
        <w:t>Curso de Contratación Pública Sostenible y Socialmente Responsable</w:t>
      </w:r>
      <w:r w:rsidRPr="003E4CC9">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E4CC9">
        <w:rPr>
          <w:rFonts w:ascii="Verdana" w:hAnsi="Verdana"/>
        </w:rPr>
        <w:br/>
      </w:r>
      <w:hyperlink r:id="rId13" w:tgtFrame="_new" w:history="1">
        <w:r w:rsidRPr="003E4CC9">
          <w:rPr>
            <w:rFonts w:ascii="Verdana" w:hAnsi="Verdana"/>
            <w:color w:val="0000FF"/>
            <w:u w:val="single"/>
          </w:rPr>
          <w:t>https://formacionvirtual.colombiacompra.gov.co/mod/page/view.php?id=3718</w:t>
        </w:r>
      </w:hyperlink>
    </w:p>
    <w:p w14:paraId="4FA2D5DB" w14:textId="77777777" w:rsidR="00DA01E5" w:rsidRPr="003E4CC9" w:rsidRDefault="00DA01E5" w:rsidP="00DA01E5">
      <w:pPr>
        <w:spacing w:after="0"/>
        <w:jc w:val="both"/>
        <w:rPr>
          <w:rFonts w:ascii="Verdana" w:hAnsi="Verdana"/>
        </w:rPr>
      </w:pPr>
    </w:p>
    <w:p w14:paraId="34F31BC2" w14:textId="77777777" w:rsidR="00DA01E5" w:rsidRPr="003E4CC9" w:rsidRDefault="00DA01E5" w:rsidP="00DA01E5">
      <w:pPr>
        <w:spacing w:after="0"/>
        <w:jc w:val="both"/>
        <w:rPr>
          <w:rFonts w:ascii="Verdana" w:hAnsi="Verdana"/>
          <w:color w:val="0000FF"/>
          <w:u w:val="single"/>
        </w:rPr>
      </w:pPr>
      <w:r w:rsidRPr="003E4CC9">
        <w:rPr>
          <w:rFonts w:ascii="Verdana" w:hAnsi="Verdana"/>
        </w:rPr>
        <w:t xml:space="preserve">De otro lado, te contamos que esta Agencia ha da un paso decisivo en la estandarización y modernización del </w:t>
      </w:r>
      <w:r w:rsidRPr="003E4CC9">
        <w:rPr>
          <w:rFonts w:ascii="Verdana" w:hAnsi="Verdana"/>
          <w:b/>
          <w:bCs/>
        </w:rPr>
        <w:t>sector  social</w:t>
      </w:r>
      <w:r w:rsidRPr="003E4CC9">
        <w:rPr>
          <w:rFonts w:ascii="Verdana" w:hAnsi="Verdana"/>
        </w:rPr>
        <w:t xml:space="preserve"> con la expedición de las </w:t>
      </w:r>
      <w:r w:rsidRPr="003E4CC9">
        <w:rPr>
          <w:rFonts w:ascii="Verdana" w:hAnsi="Verdana"/>
          <w:b/>
          <w:bCs/>
        </w:rPr>
        <w:t>Resoluciones 539, 540, 541, 952 y 953 de 2025</w:t>
      </w:r>
      <w:r w:rsidRPr="003E4CC9">
        <w:rPr>
          <w:rFonts w:ascii="Verdana" w:hAnsi="Verdana"/>
        </w:rPr>
        <w:t xml:space="preserve">, </w:t>
      </w:r>
      <w:r w:rsidRPr="003E4CC9">
        <w:rPr>
          <w:rFonts w:ascii="Verdana" w:hAnsi="Verdana"/>
          <w:b/>
          <w:bCs/>
        </w:rPr>
        <w:t>mediante las cuales adoptó Documentos Tipo</w:t>
      </w:r>
      <w:r w:rsidRPr="003E4CC9">
        <w:rPr>
          <w:rFonts w:ascii="Verdana" w:hAnsi="Verdana"/>
        </w:rPr>
        <w:t xml:space="preserve"> para las modalidades de selección de</w:t>
      </w:r>
      <w:r w:rsidRPr="003E4CC9">
        <w:rPr>
          <w:rFonts w:ascii="Verdana" w:hAnsi="Verdana"/>
          <w:b/>
          <w:bCs/>
        </w:rPr>
        <w:t xml:space="preserve"> licitación pública (versión 2), selección abreviada de menor cuantía, mínima cuantía, consultoría e interventoría</w:t>
      </w:r>
      <w:r w:rsidRPr="003E4CC9">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E4CC9">
          <w:rPr>
            <w:rFonts w:ascii="Verdana" w:hAnsi="Verdana"/>
            <w:color w:val="0000FF"/>
            <w:u w:val="single"/>
          </w:rPr>
          <w:t>https://www.colombiacompra.gov.co/normativa-y-relatoria/documentos-tipo</w:t>
        </w:r>
      </w:hyperlink>
    </w:p>
    <w:p w14:paraId="6D7CBC36" w14:textId="77777777" w:rsidR="00DA01E5" w:rsidRPr="003E4CC9" w:rsidRDefault="00DA01E5" w:rsidP="00DA01E5">
      <w:pPr>
        <w:spacing w:after="0"/>
        <w:jc w:val="both"/>
        <w:rPr>
          <w:rFonts w:ascii="Verdana" w:hAnsi="Verdana"/>
        </w:rPr>
      </w:pPr>
    </w:p>
    <w:p w14:paraId="654D628B" w14:textId="77777777" w:rsidR="00DA01E5" w:rsidRPr="003E4CC9" w:rsidRDefault="00DA01E5" w:rsidP="00DA01E5">
      <w:pPr>
        <w:spacing w:after="0"/>
        <w:jc w:val="both"/>
        <w:rPr>
          <w:rFonts w:ascii="Verdana" w:hAnsi="Verdana"/>
          <w:color w:val="0000FF"/>
          <w:u w:val="single"/>
        </w:rPr>
      </w:pPr>
      <w:r w:rsidRPr="003E4CC9">
        <w:rPr>
          <w:rFonts w:ascii="Verdana" w:hAnsi="Verdana"/>
        </w:rPr>
        <w:t xml:space="preserve">Si quieres conocer más sobre la aplicación de Documentos Tipo puedes consultar la última versión de la </w:t>
      </w:r>
      <w:r w:rsidRPr="003E4CC9">
        <w:rPr>
          <w:rFonts w:ascii="Verdana" w:hAnsi="Verdana"/>
          <w:b/>
          <w:bCs/>
        </w:rPr>
        <w:t>Guía para la comprensión e implementación de los Documentos Tipo de obra pública de infraestructura de transporte</w:t>
      </w:r>
      <w:r w:rsidRPr="003E4CC9">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E4CC9">
        <w:rPr>
          <w:rFonts w:ascii="Verdana" w:hAnsi="Verdana"/>
        </w:rPr>
        <w:br/>
      </w:r>
      <w:hyperlink r:id="rId15" w:tgtFrame="_new" w:history="1">
        <w:r w:rsidRPr="003E4CC9">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4CA634F" w14:textId="77777777" w:rsidR="00DA01E5" w:rsidRPr="003E4CC9" w:rsidRDefault="00DA01E5" w:rsidP="00DA01E5">
      <w:pPr>
        <w:spacing w:after="0"/>
        <w:jc w:val="both"/>
        <w:rPr>
          <w:rFonts w:ascii="Verdana" w:hAnsi="Verdana"/>
          <w:color w:val="000000"/>
          <w:lang w:val="es-ES_tradnl"/>
        </w:rPr>
      </w:pPr>
    </w:p>
    <w:p w14:paraId="4350AE5B" w14:textId="77777777" w:rsidR="00DA01E5" w:rsidRPr="003E4CC9" w:rsidRDefault="00DA01E5" w:rsidP="00DA01E5">
      <w:pPr>
        <w:spacing w:after="0" w:line="276" w:lineRule="auto"/>
        <w:jc w:val="both"/>
        <w:rPr>
          <w:rFonts w:ascii="Verdana" w:hAnsi="Verdana"/>
        </w:rPr>
      </w:pPr>
      <w:r w:rsidRPr="003E4CC9">
        <w:rPr>
          <w:rFonts w:ascii="Verdana" w:hAnsi="Verdana"/>
        </w:rPr>
        <w:lastRenderedPageBreak/>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93DBF0A" w14:textId="77777777" w:rsidR="00DA01E5" w:rsidRPr="003E4CC9" w:rsidRDefault="00DA01E5" w:rsidP="00DA01E5">
      <w:pPr>
        <w:spacing w:after="0" w:line="276" w:lineRule="auto"/>
        <w:jc w:val="both"/>
        <w:rPr>
          <w:rFonts w:ascii="Verdana" w:hAnsi="Verdana"/>
        </w:rPr>
      </w:pPr>
    </w:p>
    <w:p w14:paraId="20D69E47" w14:textId="77777777" w:rsidR="00DA01E5" w:rsidRPr="003E4CC9" w:rsidRDefault="00DA01E5" w:rsidP="00DA01E5">
      <w:pPr>
        <w:numPr>
          <w:ilvl w:val="0"/>
          <w:numId w:val="15"/>
        </w:numPr>
        <w:spacing w:after="0" w:line="276" w:lineRule="auto"/>
        <w:jc w:val="both"/>
        <w:rPr>
          <w:rFonts w:ascii="Verdana" w:hAnsi="Verdana"/>
          <w:lang w:val="es-ES"/>
        </w:rPr>
      </w:pPr>
      <w:r w:rsidRPr="003E4CC9">
        <w:rPr>
          <w:rFonts w:ascii="Verdana" w:hAnsi="Verdana"/>
          <w:lang w:val="es-ES"/>
        </w:rPr>
        <w:t>Línea nacional gratuita o servicio a la ciudadanía: 01800 0520808</w:t>
      </w:r>
    </w:p>
    <w:p w14:paraId="6482D3BF" w14:textId="77777777" w:rsidR="00DA01E5" w:rsidRPr="003E4CC9" w:rsidRDefault="00DA01E5" w:rsidP="00DA01E5">
      <w:pPr>
        <w:numPr>
          <w:ilvl w:val="0"/>
          <w:numId w:val="15"/>
        </w:numPr>
        <w:spacing w:after="0" w:line="276" w:lineRule="auto"/>
        <w:jc w:val="both"/>
        <w:rPr>
          <w:rFonts w:ascii="Verdana" w:hAnsi="Verdana"/>
          <w:lang w:val="es-ES"/>
        </w:rPr>
      </w:pPr>
      <w:r w:rsidRPr="003E4CC9">
        <w:rPr>
          <w:rFonts w:ascii="Verdana" w:hAnsi="Verdana"/>
          <w:lang w:val="es-ES"/>
        </w:rPr>
        <w:t>Línea en Bogotá (Mesa de servicio): +57 601 7456788</w:t>
      </w:r>
    </w:p>
    <w:p w14:paraId="0A022AF2" w14:textId="77777777" w:rsidR="00DA01E5" w:rsidRPr="003E4CC9" w:rsidRDefault="00DA01E5" w:rsidP="00DA01E5">
      <w:pPr>
        <w:numPr>
          <w:ilvl w:val="0"/>
          <w:numId w:val="15"/>
        </w:numPr>
        <w:spacing w:after="0" w:line="276" w:lineRule="auto"/>
        <w:jc w:val="both"/>
        <w:rPr>
          <w:rFonts w:ascii="Verdana" w:hAnsi="Verdana"/>
          <w:lang w:val="es-ES"/>
        </w:rPr>
      </w:pPr>
      <w:r w:rsidRPr="003E4CC9">
        <w:rPr>
          <w:rFonts w:ascii="Verdana" w:hAnsi="Verdana"/>
          <w:lang w:val="es-ES"/>
        </w:rPr>
        <w:t>Línea de servicio y atención al ciudadano: +57 601 7956600</w:t>
      </w:r>
    </w:p>
    <w:p w14:paraId="10363040" w14:textId="77777777" w:rsidR="00DA01E5" w:rsidRPr="003E4CC9" w:rsidRDefault="00DA01E5" w:rsidP="00DA01E5">
      <w:pPr>
        <w:numPr>
          <w:ilvl w:val="0"/>
          <w:numId w:val="15"/>
        </w:numPr>
        <w:spacing w:after="0" w:line="276" w:lineRule="auto"/>
        <w:jc w:val="both"/>
        <w:rPr>
          <w:rFonts w:ascii="Verdana" w:hAnsi="Verdana"/>
          <w:lang w:val="es-ES"/>
        </w:rPr>
      </w:pPr>
      <w:r w:rsidRPr="003E4CC9">
        <w:rPr>
          <w:rFonts w:ascii="Verdana" w:hAnsi="Verdana"/>
          <w:lang w:val="es-ES"/>
        </w:rPr>
        <w:t xml:space="preserve">Página web: </w:t>
      </w:r>
      <w:hyperlink r:id="rId16" w:history="1">
        <w:r w:rsidRPr="003E4CC9">
          <w:rPr>
            <w:rFonts w:ascii="Verdana" w:hAnsi="Verdana"/>
            <w:color w:val="0000FF"/>
            <w:u w:val="single"/>
            <w:lang w:val="es-ES"/>
          </w:rPr>
          <w:t>www.colombiacompra.gov.co</w:t>
        </w:r>
      </w:hyperlink>
    </w:p>
    <w:p w14:paraId="09E5D2C8" w14:textId="77777777" w:rsidR="00DA01E5" w:rsidRPr="003E4CC9" w:rsidRDefault="00DA01E5" w:rsidP="00DA01E5">
      <w:pPr>
        <w:spacing w:after="0" w:line="276" w:lineRule="auto"/>
        <w:ind w:left="785"/>
        <w:jc w:val="both"/>
        <w:rPr>
          <w:rFonts w:ascii="Verdana" w:hAnsi="Verdana"/>
          <w:lang w:val="es-ES"/>
        </w:rPr>
      </w:pPr>
    </w:p>
    <w:p w14:paraId="50D3F9BA" w14:textId="77777777" w:rsidR="00DA01E5" w:rsidRPr="003E4CC9" w:rsidRDefault="00DA01E5" w:rsidP="00DA01E5">
      <w:pPr>
        <w:spacing w:after="0" w:line="276" w:lineRule="auto"/>
        <w:jc w:val="both"/>
        <w:rPr>
          <w:rFonts w:ascii="Verdana" w:hAnsi="Verdana"/>
        </w:rPr>
      </w:pPr>
      <w:r w:rsidRPr="003E4CC9">
        <w:rPr>
          <w:rFonts w:ascii="Verdana" w:hAnsi="Verdana"/>
        </w:rPr>
        <w:t xml:space="preserve">Por último, lo invitamos a seguirnos en las redes sociales en las cuales se difunde información institucional: </w:t>
      </w:r>
    </w:p>
    <w:p w14:paraId="6F2041D0" w14:textId="77777777" w:rsidR="00DA01E5" w:rsidRPr="003E4CC9" w:rsidRDefault="00DA01E5" w:rsidP="00DA01E5">
      <w:pPr>
        <w:spacing w:after="0" w:line="276" w:lineRule="auto"/>
        <w:jc w:val="both"/>
        <w:rPr>
          <w:rFonts w:ascii="Verdana" w:hAnsi="Verdana"/>
        </w:rPr>
      </w:pPr>
    </w:p>
    <w:p w14:paraId="4389C252" w14:textId="77777777" w:rsidR="00DA01E5" w:rsidRPr="003E4CC9" w:rsidRDefault="00DA01E5" w:rsidP="00DA01E5">
      <w:pPr>
        <w:spacing w:after="0" w:line="276" w:lineRule="auto"/>
        <w:jc w:val="both"/>
        <w:rPr>
          <w:rFonts w:ascii="Verdana" w:hAnsi="Verdana"/>
        </w:rPr>
      </w:pPr>
      <w:r w:rsidRPr="003E4CC9">
        <w:rPr>
          <w:rFonts w:ascii="Verdana" w:hAnsi="Verdana"/>
        </w:rPr>
        <w:t xml:space="preserve">Twitter: </w:t>
      </w:r>
      <w:r w:rsidRPr="003E4CC9">
        <w:rPr>
          <w:rFonts w:ascii="Verdana" w:hAnsi="Verdana"/>
          <w:color w:val="0000FF"/>
          <w:u w:val="single"/>
        </w:rPr>
        <w:t>@colombiacompra</w:t>
      </w:r>
      <w:r w:rsidRPr="003E4CC9">
        <w:rPr>
          <w:rFonts w:ascii="Verdana" w:hAnsi="Verdana"/>
        </w:rPr>
        <w:t xml:space="preserve"> </w:t>
      </w:r>
    </w:p>
    <w:p w14:paraId="16F0A413" w14:textId="77777777" w:rsidR="00DA01E5" w:rsidRPr="003E4CC9" w:rsidRDefault="00DA01E5" w:rsidP="00DA01E5">
      <w:pPr>
        <w:spacing w:after="0" w:line="276" w:lineRule="auto"/>
        <w:jc w:val="both"/>
        <w:rPr>
          <w:rFonts w:ascii="Verdana" w:hAnsi="Verdana"/>
        </w:rPr>
      </w:pPr>
      <w:r w:rsidRPr="003E4CC9">
        <w:rPr>
          <w:rFonts w:ascii="Verdana" w:hAnsi="Verdana"/>
        </w:rPr>
        <w:t xml:space="preserve">Facebook: </w:t>
      </w:r>
      <w:r w:rsidRPr="003E4CC9">
        <w:rPr>
          <w:rFonts w:ascii="Verdana" w:hAnsi="Verdana"/>
          <w:color w:val="0000FF"/>
          <w:u w:val="single"/>
        </w:rPr>
        <w:t>ColombiaCompraEficiente</w:t>
      </w:r>
    </w:p>
    <w:p w14:paraId="28D3300A" w14:textId="77777777" w:rsidR="00DA01E5" w:rsidRPr="003E4CC9" w:rsidRDefault="00DA01E5" w:rsidP="00DA01E5">
      <w:pPr>
        <w:spacing w:after="0" w:line="276" w:lineRule="auto"/>
        <w:jc w:val="both"/>
        <w:rPr>
          <w:rFonts w:ascii="Verdana" w:hAnsi="Verdana"/>
        </w:rPr>
      </w:pPr>
      <w:r w:rsidRPr="003E4CC9">
        <w:rPr>
          <w:rFonts w:ascii="Verdana" w:hAnsi="Verdana"/>
        </w:rPr>
        <w:t xml:space="preserve">LinkedIn: </w:t>
      </w:r>
      <w:r w:rsidRPr="003E4CC9">
        <w:rPr>
          <w:rFonts w:ascii="Verdana" w:hAnsi="Verdana"/>
          <w:color w:val="0000FF"/>
          <w:u w:val="single"/>
        </w:rPr>
        <w:t>Agencia Nacional de Contratación Pública - Colombia Compra Eficiente</w:t>
      </w:r>
      <w:r w:rsidRPr="003E4CC9">
        <w:rPr>
          <w:rFonts w:ascii="Verdana" w:hAnsi="Verdana"/>
        </w:rPr>
        <w:t xml:space="preserve"> Instagram: </w:t>
      </w:r>
      <w:r w:rsidRPr="003E4CC9">
        <w:rPr>
          <w:rFonts w:ascii="Verdana" w:hAnsi="Verdana"/>
          <w:color w:val="0000FF"/>
          <w:u w:val="single"/>
        </w:rPr>
        <w:t>@colombiacompraeficiente_cce</w:t>
      </w:r>
    </w:p>
    <w:p w14:paraId="48E6BFE1" w14:textId="77777777" w:rsidR="00DA01E5" w:rsidRPr="003E4CC9" w:rsidRDefault="00DA01E5" w:rsidP="00DA01E5">
      <w:pPr>
        <w:spacing w:after="0" w:line="276" w:lineRule="auto"/>
        <w:jc w:val="both"/>
        <w:rPr>
          <w:rFonts w:ascii="Verdana" w:hAnsi="Verdana"/>
        </w:rPr>
      </w:pPr>
    </w:p>
    <w:p w14:paraId="575C092E" w14:textId="77777777" w:rsidR="00DA01E5" w:rsidRPr="003E4CC9" w:rsidRDefault="00DA01E5" w:rsidP="00DA01E5">
      <w:pPr>
        <w:spacing w:after="0" w:line="276" w:lineRule="auto"/>
        <w:jc w:val="both"/>
        <w:rPr>
          <w:rFonts w:ascii="Verdana" w:eastAsia="Calibri" w:hAnsi="Verdana" w:cs="Times New Roman"/>
          <w:bCs/>
          <w:lang w:val="es-ES_tradnl"/>
        </w:rPr>
      </w:pPr>
      <w:r w:rsidRPr="003E4CC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0D91FE1" w14:textId="77777777" w:rsidR="00DA01E5" w:rsidRPr="003E4CC9" w:rsidRDefault="00DA01E5" w:rsidP="00DA01E5">
      <w:pPr>
        <w:spacing w:after="0" w:line="276" w:lineRule="auto"/>
        <w:jc w:val="both"/>
        <w:rPr>
          <w:rFonts w:ascii="Verdana" w:eastAsia="Calibri" w:hAnsi="Verdana" w:cs="Times New Roman"/>
        </w:rPr>
      </w:pPr>
    </w:p>
    <w:p w14:paraId="24A89903" w14:textId="77777777" w:rsidR="00DA01E5" w:rsidRDefault="00DA01E5" w:rsidP="00DA01E5">
      <w:pPr>
        <w:spacing w:after="0" w:line="276" w:lineRule="auto"/>
        <w:jc w:val="both"/>
        <w:rPr>
          <w:rFonts w:ascii="Verdana" w:eastAsia="Calibri" w:hAnsi="Verdana" w:cs="Times New Roman"/>
        </w:rPr>
      </w:pPr>
      <w:r w:rsidRPr="003E4CC9">
        <w:rPr>
          <w:rFonts w:ascii="Verdana" w:eastAsia="Calibri" w:hAnsi="Verdana" w:cs="Times New Roman"/>
        </w:rPr>
        <w:t>Atentamente,</w:t>
      </w:r>
    </w:p>
    <w:p w14:paraId="4D15ED80" w14:textId="4CFBEF6C" w:rsidR="00DA01E5" w:rsidRPr="00DA01E5" w:rsidRDefault="00DA01E5" w:rsidP="00DA01E5">
      <w:pPr>
        <w:spacing w:after="0" w:line="276" w:lineRule="auto"/>
        <w:jc w:val="center"/>
        <w:rPr>
          <w:rFonts w:ascii="Verdana" w:eastAsia="Calibri" w:hAnsi="Verdana" w:cs="Times New Roman"/>
        </w:rPr>
      </w:pPr>
      <w:r w:rsidRPr="002C3AD6">
        <w:rPr>
          <w:rFonts w:ascii="Century Gothic" w:hAnsi="Century Gothic"/>
          <w:noProof/>
          <w:lang w:val="en-US"/>
        </w:rPr>
        <w:drawing>
          <wp:inline distT="0" distB="0" distL="0" distR="0" wp14:anchorId="372BDF59" wp14:editId="29242EE7">
            <wp:extent cx="3279697" cy="1217463"/>
            <wp:effectExtent l="0" t="0" r="0" b="1905"/>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312722" cy="1229722"/>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A01E5" w:rsidRPr="003E4CC9" w14:paraId="4F929B26" w14:textId="77777777" w:rsidTr="00E458D9">
        <w:trPr>
          <w:trHeight w:val="409"/>
        </w:trPr>
        <w:tc>
          <w:tcPr>
            <w:tcW w:w="817" w:type="dxa"/>
            <w:tcBorders>
              <w:top w:val="nil"/>
              <w:left w:val="nil"/>
              <w:bottom w:val="nil"/>
              <w:right w:val="nil"/>
            </w:tcBorders>
            <w:vAlign w:val="center"/>
            <w:hideMark/>
          </w:tcPr>
          <w:p w14:paraId="5D452D7A"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1EE8354"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José Luis Sánchez Cardona</w:t>
            </w:r>
          </w:p>
          <w:p w14:paraId="7630F778"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Contratista de la Subdirección de Gestión Contractual</w:t>
            </w:r>
          </w:p>
        </w:tc>
      </w:tr>
      <w:tr w:rsidR="00DA01E5" w:rsidRPr="003E4CC9" w14:paraId="76E9D07D" w14:textId="77777777" w:rsidTr="00E458D9">
        <w:trPr>
          <w:trHeight w:val="409"/>
        </w:trPr>
        <w:tc>
          <w:tcPr>
            <w:tcW w:w="817" w:type="dxa"/>
            <w:tcBorders>
              <w:top w:val="nil"/>
              <w:left w:val="nil"/>
              <w:bottom w:val="nil"/>
              <w:right w:val="nil"/>
            </w:tcBorders>
            <w:vAlign w:val="center"/>
            <w:hideMark/>
          </w:tcPr>
          <w:p w14:paraId="4656D1A7"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BB5CD23"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Adriana Katerine López Rodríguez</w:t>
            </w:r>
          </w:p>
          <w:p w14:paraId="588B668B"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Contratista de la Subdirección de Gestión Contractual </w:t>
            </w:r>
          </w:p>
        </w:tc>
      </w:tr>
      <w:tr w:rsidR="00DA01E5" w:rsidRPr="003E4CC9" w14:paraId="6AF67A0F" w14:textId="77777777" w:rsidTr="00E458D9">
        <w:trPr>
          <w:trHeight w:val="389"/>
        </w:trPr>
        <w:tc>
          <w:tcPr>
            <w:tcW w:w="817" w:type="dxa"/>
            <w:tcBorders>
              <w:top w:val="nil"/>
              <w:left w:val="nil"/>
              <w:bottom w:val="nil"/>
              <w:right w:val="nil"/>
            </w:tcBorders>
            <w:vAlign w:val="center"/>
            <w:hideMark/>
          </w:tcPr>
          <w:p w14:paraId="02F03E21"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58C2F0F"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Carolina Quintero Gacharná</w:t>
            </w:r>
          </w:p>
          <w:p w14:paraId="7DF63FB2" w14:textId="77777777" w:rsidR="00DA01E5" w:rsidRPr="003E4CC9" w:rsidRDefault="00DA01E5" w:rsidP="00E458D9">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Subdirectora de Gestión Contractual ANCP – CCE</w:t>
            </w:r>
          </w:p>
        </w:tc>
      </w:tr>
      <w:bookmarkEnd w:id="0"/>
    </w:tbl>
    <w:p w14:paraId="0F293BF4" w14:textId="6819ED91" w:rsidR="00127233" w:rsidRPr="00DA01E5" w:rsidRDefault="00127233" w:rsidP="00DA01E5">
      <w:pPr>
        <w:spacing w:after="0" w:line="240" w:lineRule="auto"/>
        <w:textAlignment w:val="baseline"/>
        <w:rPr>
          <w:rFonts w:ascii="Verdana" w:eastAsia="Verdana" w:hAnsi="Verdana" w:cs="Verdana"/>
          <w:lang w:eastAsia="es-CO"/>
        </w:rPr>
      </w:pPr>
    </w:p>
    <w:sectPr w:rsidR="00127233" w:rsidRPr="00DA01E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A3E485" w14:textId="77777777" w:rsidR="002153D5" w:rsidRDefault="002153D5" w:rsidP="004A1847">
      <w:pPr>
        <w:spacing w:after="0" w:line="240" w:lineRule="auto"/>
      </w:pPr>
      <w:r>
        <w:separator/>
      </w:r>
    </w:p>
  </w:endnote>
  <w:endnote w:type="continuationSeparator" w:id="0">
    <w:p w14:paraId="7AAAF359" w14:textId="77777777" w:rsidR="002153D5" w:rsidRDefault="002153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BE429B" w:rsidRDefault="00BE429B">
    <w:pPr>
      <w:pStyle w:val="Piedepgina"/>
    </w:pPr>
  </w:p>
  <w:p w14:paraId="594D6D9F" w14:textId="4827F3E8"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8371D" w:rsidRPr="00D8371D">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C2925" w14:textId="77777777" w:rsidR="002153D5" w:rsidRDefault="002153D5" w:rsidP="004A1847">
      <w:pPr>
        <w:spacing w:after="0" w:line="240" w:lineRule="auto"/>
      </w:pPr>
      <w:r>
        <w:separator/>
      </w:r>
    </w:p>
  </w:footnote>
  <w:footnote w:type="continuationSeparator" w:id="0">
    <w:p w14:paraId="3E3945E7" w14:textId="77777777" w:rsidR="002153D5" w:rsidRDefault="002153D5" w:rsidP="004A1847">
      <w:pPr>
        <w:spacing w:after="0" w:line="240" w:lineRule="auto"/>
      </w:pPr>
      <w:r>
        <w:continuationSeparator/>
      </w:r>
    </w:p>
  </w:footnote>
  <w:footnote w:id="1">
    <w:p w14:paraId="592EA2A7" w14:textId="77777777" w:rsidR="00DA01E5" w:rsidRPr="001947A2" w:rsidRDefault="00DA01E5" w:rsidP="00DA01E5">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Debe tenerse en cuenta que </w:t>
      </w:r>
      <w:r w:rsidRPr="001947A2">
        <w:rPr>
          <w:rFonts w:ascii="Verdana" w:hAnsi="Verdana"/>
          <w:sz w:val="16"/>
          <w:szCs w:val="16"/>
          <w:lang w:val="es-CO"/>
        </w:rPr>
        <w:t xml:space="preserve">de conformidad con el Decreto 0159 del 19 de febrero de 2026 se fijó transitoriamente el SMLMV en $ 1.750.905, el cual se encontrará vigente hasta que </w:t>
      </w:r>
      <w:r w:rsidRPr="001947A2">
        <w:rPr>
          <w:rFonts w:ascii="Verdana" w:hAnsi="Verdana"/>
          <w:sz w:val="16"/>
          <w:szCs w:val="16"/>
        </w:rPr>
        <w:t>se dicte sentencia en el proceso de nulidad radicado 11001-03-25-000-2026-00004-00 (0004-2026) que cursa en la Sección Segunda, Subsección A, de la Sala de lo Contencioso Administrativo del Consejo de Estado.</w:t>
      </w:r>
    </w:p>
  </w:footnote>
  <w:footnote w:id="2">
    <w:p w14:paraId="6D22BFE6" w14:textId="77777777" w:rsidR="00DA01E5" w:rsidRPr="0008513E" w:rsidRDefault="00DA01E5" w:rsidP="00DA01E5">
      <w:pPr>
        <w:pStyle w:val="Textonotapie"/>
        <w:ind w:firstLine="708"/>
        <w:rPr>
          <w:rFonts w:ascii="Verdana" w:hAnsi="Verdana"/>
          <w:sz w:val="16"/>
          <w:szCs w:val="16"/>
          <w:lang w:val="es-ES"/>
        </w:rPr>
      </w:pPr>
      <w:r w:rsidRPr="0008513E">
        <w:rPr>
          <w:rStyle w:val="Refdenotaalpie"/>
          <w:rFonts w:ascii="Verdana" w:hAnsi="Verdana"/>
          <w:sz w:val="16"/>
          <w:szCs w:val="16"/>
        </w:rPr>
        <w:footnoteRef/>
      </w:r>
      <w:r w:rsidRPr="0008513E">
        <w:rPr>
          <w:rFonts w:ascii="Verdana" w:hAnsi="Verdana"/>
          <w:sz w:val="16"/>
          <w:szCs w:val="16"/>
        </w:rPr>
        <w:t xml:space="preserve"> Corte Constitucional. Sentencia C-037 de 2000. M.P. Vladimiro Naranjo Mesa. </w:t>
      </w:r>
    </w:p>
  </w:footnote>
  <w:footnote w:id="3">
    <w:p w14:paraId="6928D596" w14:textId="77777777" w:rsidR="00DA01E5" w:rsidRPr="003E4CC9" w:rsidRDefault="00DA01E5" w:rsidP="00DA01E5">
      <w:pPr>
        <w:spacing w:after="0" w:line="240" w:lineRule="auto"/>
        <w:ind w:firstLine="709"/>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w:t>
      </w:r>
      <w:r>
        <w:rPr>
          <w:rFonts w:ascii="Verdana" w:hAnsi="Verdana"/>
          <w:sz w:val="16"/>
          <w:szCs w:val="16"/>
        </w:rPr>
        <w:t>Consejo d</w:t>
      </w:r>
      <w:r w:rsidRPr="001947A2">
        <w:rPr>
          <w:rFonts w:ascii="Verdana" w:hAnsi="Verdana"/>
          <w:sz w:val="16"/>
          <w:szCs w:val="16"/>
        </w:rPr>
        <w:t>e Estado. Sala de Consulta y Servicio Civil.</w:t>
      </w:r>
      <w:r w:rsidRPr="001947A2">
        <w:rPr>
          <w:rFonts w:ascii="Verdana" w:hAnsi="Verdana"/>
          <w:i/>
          <w:iCs/>
          <w:sz w:val="16"/>
          <w:szCs w:val="16"/>
        </w:rPr>
        <w:t xml:space="preserve"> </w:t>
      </w:r>
      <w:r w:rsidRPr="001947A2">
        <w:rPr>
          <w:rFonts w:ascii="Verdana" w:hAnsi="Verdana"/>
          <w:sz w:val="16"/>
          <w:szCs w:val="16"/>
        </w:rPr>
        <w:t>C.P.: Óscar Daría Amaya Navas. Concepto</w:t>
      </w:r>
      <w:r>
        <w:rPr>
          <w:rFonts w:ascii="Verdana" w:hAnsi="Verdana"/>
          <w:sz w:val="16"/>
          <w:szCs w:val="16"/>
        </w:rPr>
        <w:t xml:space="preserve"> del 06 de junio 2018. Rad.</w:t>
      </w:r>
      <w:r w:rsidRPr="001947A2">
        <w:rPr>
          <w:rFonts w:ascii="Verdana" w:hAnsi="Verdana"/>
          <w:sz w:val="16"/>
          <w:szCs w:val="16"/>
        </w:rPr>
        <w:t xml:space="preserve"> 2369.</w:t>
      </w:r>
    </w:p>
  </w:footnote>
  <w:footnote w:id="4">
    <w:p w14:paraId="5E96BF38" w14:textId="77777777" w:rsidR="00DA01E5" w:rsidRPr="001947A2" w:rsidRDefault="00DA01E5" w:rsidP="00DA01E5">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11. DE LA COMPETENCIA PARA DIRIGIR LICITACIONES O CONCURSOS Y PARA CELEBRAR CONTRATOS ESTATALES. </w:t>
      </w:r>
      <w:r w:rsidRPr="001947A2">
        <w:rPr>
          <w:rFonts w:ascii="Verdana" w:hAnsi="Verdana"/>
          <w:sz w:val="16"/>
          <w:szCs w:val="16"/>
          <w:lang w:val="es-CO"/>
        </w:rPr>
        <w:t>En las entidades estatales a que se refiere el artículo 2o.: </w:t>
      </w:r>
    </w:p>
    <w:p w14:paraId="5832BE7B"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2DC2472E"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2o. Tiene competencia para celebrar contratos a nombre de la Nación, el Presidente de la República. </w:t>
      </w:r>
    </w:p>
    <w:p w14:paraId="11318907"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3o. Tienen competencia para celebrar contratos a nombre de la entidad respectiva: </w:t>
      </w:r>
    </w:p>
    <w:p w14:paraId="346298CD"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458CC059"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3BBE1EF"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c) Los representantes legales de las entidades descentralizadas en todos los órdenes y niveles. </w:t>
      </w:r>
    </w:p>
  </w:footnote>
  <w:footnote w:id="5">
    <w:p w14:paraId="19D7723B" w14:textId="77777777" w:rsidR="00DA01E5" w:rsidRPr="001947A2" w:rsidRDefault="00DA01E5" w:rsidP="00DA01E5">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12. DE LA DELEGACION PARA CONTRATAR.</w:t>
      </w:r>
      <w:r w:rsidRPr="001947A2">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79460431" w14:textId="77777777" w:rsidR="00DA01E5" w:rsidRPr="001947A2" w:rsidRDefault="00DA01E5" w:rsidP="00DA01E5">
      <w:pPr>
        <w:pStyle w:val="Textonotapie"/>
        <w:ind w:firstLine="709"/>
        <w:jc w:val="both"/>
        <w:rPr>
          <w:rFonts w:ascii="Verdana" w:hAnsi="Verdana"/>
          <w:sz w:val="16"/>
          <w:szCs w:val="16"/>
          <w:lang w:val="es-CO"/>
        </w:rPr>
      </w:pPr>
      <w:r w:rsidRPr="001947A2">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0E1BC5F0" w14:textId="77777777" w:rsidR="00DA01E5" w:rsidRPr="001947A2" w:rsidRDefault="00DA01E5" w:rsidP="00DA01E5">
      <w:pPr>
        <w:pStyle w:val="Textonotapie"/>
        <w:ind w:firstLine="708"/>
        <w:jc w:val="both"/>
        <w:rPr>
          <w:rFonts w:ascii="Verdana" w:hAnsi="Verdana"/>
          <w:sz w:val="16"/>
          <w:szCs w:val="16"/>
          <w:lang w:val="es-ES"/>
        </w:rPr>
      </w:pPr>
      <w:r w:rsidRPr="001947A2">
        <w:rPr>
          <w:rFonts w:ascii="Verdana" w:hAnsi="Verdana"/>
          <w:bCs/>
          <w:sz w:val="16"/>
          <w:szCs w:val="16"/>
          <w:lang w:val="es-CO"/>
        </w:rPr>
        <w:t>Parágrafo. </w:t>
      </w:r>
      <w:r w:rsidRPr="001947A2">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6">
    <w:p w14:paraId="5A853EA9" w14:textId="77777777" w:rsidR="00DA01E5" w:rsidRPr="001947A2" w:rsidRDefault="00DA01E5" w:rsidP="00DA01E5">
      <w:pPr>
        <w:spacing w:after="0" w:line="240" w:lineRule="auto"/>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w:t>
      </w:r>
      <w:r>
        <w:rPr>
          <w:rFonts w:ascii="Verdana" w:hAnsi="Verdana"/>
          <w:sz w:val="16"/>
          <w:szCs w:val="16"/>
        </w:rPr>
        <w:t>Consejo d</w:t>
      </w:r>
      <w:r w:rsidRPr="001947A2">
        <w:rPr>
          <w:rFonts w:ascii="Verdana" w:hAnsi="Verdana"/>
          <w:sz w:val="16"/>
          <w:szCs w:val="16"/>
        </w:rPr>
        <w:t>e Estado. Sala de Consulta y Servicio Civil. C.P.: Óscar Daría Amaya Navas. Concepto del 6 de j</w:t>
      </w:r>
      <w:r>
        <w:rPr>
          <w:rFonts w:ascii="Verdana" w:hAnsi="Verdana"/>
          <w:sz w:val="16"/>
          <w:szCs w:val="16"/>
        </w:rPr>
        <w:t>unio de 2018. Rad.</w:t>
      </w:r>
      <w:r w:rsidRPr="001947A2">
        <w:rPr>
          <w:rFonts w:ascii="Verdana" w:hAnsi="Verdana"/>
          <w:sz w:val="16"/>
          <w:szCs w:val="16"/>
        </w:rPr>
        <w:t xml:space="preserve"> 2369.</w:t>
      </w:r>
    </w:p>
    <w:p w14:paraId="44C1B542" w14:textId="77777777" w:rsidR="00DA01E5" w:rsidRPr="001947A2" w:rsidRDefault="00DA01E5" w:rsidP="00DA01E5">
      <w:pPr>
        <w:pStyle w:val="Textonotapie"/>
        <w:jc w:val="both"/>
        <w:rPr>
          <w:rFonts w:ascii="Verdana" w:hAnsi="Verdana"/>
          <w:sz w:val="16"/>
          <w:szCs w:val="16"/>
        </w:rPr>
      </w:pPr>
    </w:p>
  </w:footnote>
  <w:footnote w:id="7">
    <w:p w14:paraId="565372FA" w14:textId="77777777" w:rsidR="00DA01E5" w:rsidRPr="001947A2" w:rsidRDefault="00DA01E5" w:rsidP="00DA01E5">
      <w:pPr>
        <w:pStyle w:val="Textonotapie"/>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0CF"/>
    <w:rsid w:val="00016F78"/>
    <w:rsid w:val="00046945"/>
    <w:rsid w:val="00055945"/>
    <w:rsid w:val="00061B2A"/>
    <w:rsid w:val="00082362"/>
    <w:rsid w:val="000A683E"/>
    <w:rsid w:val="000B19B9"/>
    <w:rsid w:val="000C7D33"/>
    <w:rsid w:val="000D0334"/>
    <w:rsid w:val="000D5DA7"/>
    <w:rsid w:val="000F6486"/>
    <w:rsid w:val="00116940"/>
    <w:rsid w:val="00125105"/>
    <w:rsid w:val="00127233"/>
    <w:rsid w:val="0015699B"/>
    <w:rsid w:val="001743CA"/>
    <w:rsid w:val="001A33BF"/>
    <w:rsid w:val="001E4177"/>
    <w:rsid w:val="001F0B24"/>
    <w:rsid w:val="001F7DC6"/>
    <w:rsid w:val="00211230"/>
    <w:rsid w:val="002153D5"/>
    <w:rsid w:val="0022400B"/>
    <w:rsid w:val="002421BB"/>
    <w:rsid w:val="00246CBB"/>
    <w:rsid w:val="00252059"/>
    <w:rsid w:val="0025796E"/>
    <w:rsid w:val="002707A2"/>
    <w:rsid w:val="002951A0"/>
    <w:rsid w:val="002962BC"/>
    <w:rsid w:val="002A093D"/>
    <w:rsid w:val="002A0DD0"/>
    <w:rsid w:val="002A49AC"/>
    <w:rsid w:val="002A58CD"/>
    <w:rsid w:val="002A64FD"/>
    <w:rsid w:val="002B730F"/>
    <w:rsid w:val="002C7A84"/>
    <w:rsid w:val="002E2BF8"/>
    <w:rsid w:val="002E4FD9"/>
    <w:rsid w:val="003004D2"/>
    <w:rsid w:val="0030657A"/>
    <w:rsid w:val="00322A85"/>
    <w:rsid w:val="00324168"/>
    <w:rsid w:val="00325055"/>
    <w:rsid w:val="00330834"/>
    <w:rsid w:val="003448F4"/>
    <w:rsid w:val="0036053B"/>
    <w:rsid w:val="0037015E"/>
    <w:rsid w:val="00374F5E"/>
    <w:rsid w:val="00377E3E"/>
    <w:rsid w:val="003A779E"/>
    <w:rsid w:val="003C5FD9"/>
    <w:rsid w:val="003D0F4D"/>
    <w:rsid w:val="003D5B0D"/>
    <w:rsid w:val="003E0499"/>
    <w:rsid w:val="003E4F80"/>
    <w:rsid w:val="003E6439"/>
    <w:rsid w:val="003F3941"/>
    <w:rsid w:val="00406575"/>
    <w:rsid w:val="00414C74"/>
    <w:rsid w:val="0042722E"/>
    <w:rsid w:val="00442203"/>
    <w:rsid w:val="0044528D"/>
    <w:rsid w:val="00466E39"/>
    <w:rsid w:val="00470178"/>
    <w:rsid w:val="00474655"/>
    <w:rsid w:val="004A1847"/>
    <w:rsid w:val="004A305D"/>
    <w:rsid w:val="004D5C33"/>
    <w:rsid w:val="004F21C4"/>
    <w:rsid w:val="004F685F"/>
    <w:rsid w:val="005566E8"/>
    <w:rsid w:val="00560ECB"/>
    <w:rsid w:val="00574867"/>
    <w:rsid w:val="00591460"/>
    <w:rsid w:val="005A65E0"/>
    <w:rsid w:val="005C3777"/>
    <w:rsid w:val="005C47DD"/>
    <w:rsid w:val="005C5CDC"/>
    <w:rsid w:val="005D476C"/>
    <w:rsid w:val="005E7C99"/>
    <w:rsid w:val="005F1A8F"/>
    <w:rsid w:val="00603964"/>
    <w:rsid w:val="006200BF"/>
    <w:rsid w:val="006219F8"/>
    <w:rsid w:val="006302F7"/>
    <w:rsid w:val="00646B9F"/>
    <w:rsid w:val="006506D8"/>
    <w:rsid w:val="006571B8"/>
    <w:rsid w:val="00665D70"/>
    <w:rsid w:val="006900D9"/>
    <w:rsid w:val="00706C16"/>
    <w:rsid w:val="0071632A"/>
    <w:rsid w:val="007340C3"/>
    <w:rsid w:val="00747A86"/>
    <w:rsid w:val="0075235A"/>
    <w:rsid w:val="00756841"/>
    <w:rsid w:val="007649AB"/>
    <w:rsid w:val="00771D0C"/>
    <w:rsid w:val="007833AC"/>
    <w:rsid w:val="007A1830"/>
    <w:rsid w:val="007B268C"/>
    <w:rsid w:val="007B7171"/>
    <w:rsid w:val="007C0C0F"/>
    <w:rsid w:val="007C3DC2"/>
    <w:rsid w:val="007D1AA3"/>
    <w:rsid w:val="007E5497"/>
    <w:rsid w:val="00806F5F"/>
    <w:rsid w:val="00820278"/>
    <w:rsid w:val="008258C9"/>
    <w:rsid w:val="008316FF"/>
    <w:rsid w:val="00844AE9"/>
    <w:rsid w:val="00867F95"/>
    <w:rsid w:val="008843B6"/>
    <w:rsid w:val="008853C8"/>
    <w:rsid w:val="00891928"/>
    <w:rsid w:val="008A3E33"/>
    <w:rsid w:val="008A446D"/>
    <w:rsid w:val="008B25F1"/>
    <w:rsid w:val="008D180B"/>
    <w:rsid w:val="008F0EA7"/>
    <w:rsid w:val="00923EEF"/>
    <w:rsid w:val="009419F9"/>
    <w:rsid w:val="00945E3D"/>
    <w:rsid w:val="0095685E"/>
    <w:rsid w:val="00961B09"/>
    <w:rsid w:val="00965334"/>
    <w:rsid w:val="0097093E"/>
    <w:rsid w:val="00982C6E"/>
    <w:rsid w:val="009A0DFA"/>
    <w:rsid w:val="009B27CB"/>
    <w:rsid w:val="009B2D26"/>
    <w:rsid w:val="009C71FA"/>
    <w:rsid w:val="009C72E7"/>
    <w:rsid w:val="009C7F7E"/>
    <w:rsid w:val="009D3058"/>
    <w:rsid w:val="009D53A2"/>
    <w:rsid w:val="009F3A13"/>
    <w:rsid w:val="00A02AB0"/>
    <w:rsid w:val="00A122D3"/>
    <w:rsid w:val="00A14468"/>
    <w:rsid w:val="00A17F13"/>
    <w:rsid w:val="00A20739"/>
    <w:rsid w:val="00A23AF9"/>
    <w:rsid w:val="00A33C78"/>
    <w:rsid w:val="00A7153D"/>
    <w:rsid w:val="00A96668"/>
    <w:rsid w:val="00AB0ADB"/>
    <w:rsid w:val="00B00412"/>
    <w:rsid w:val="00B00C0E"/>
    <w:rsid w:val="00B01B1A"/>
    <w:rsid w:val="00B44A47"/>
    <w:rsid w:val="00B72CD3"/>
    <w:rsid w:val="00B72FFF"/>
    <w:rsid w:val="00B77287"/>
    <w:rsid w:val="00BC3D36"/>
    <w:rsid w:val="00BD54A6"/>
    <w:rsid w:val="00BD7F72"/>
    <w:rsid w:val="00BE429B"/>
    <w:rsid w:val="00BF7425"/>
    <w:rsid w:val="00C04FB3"/>
    <w:rsid w:val="00C11D8B"/>
    <w:rsid w:val="00C16B06"/>
    <w:rsid w:val="00C330EB"/>
    <w:rsid w:val="00C50D69"/>
    <w:rsid w:val="00C5365C"/>
    <w:rsid w:val="00C754BE"/>
    <w:rsid w:val="00C76B1C"/>
    <w:rsid w:val="00C925AC"/>
    <w:rsid w:val="00CB6357"/>
    <w:rsid w:val="00CC1B26"/>
    <w:rsid w:val="00D01973"/>
    <w:rsid w:val="00D24E1B"/>
    <w:rsid w:val="00D361FD"/>
    <w:rsid w:val="00D423A2"/>
    <w:rsid w:val="00D44E26"/>
    <w:rsid w:val="00D520D8"/>
    <w:rsid w:val="00D532F2"/>
    <w:rsid w:val="00D63AC2"/>
    <w:rsid w:val="00D7383B"/>
    <w:rsid w:val="00D7788A"/>
    <w:rsid w:val="00D8371D"/>
    <w:rsid w:val="00DA01E5"/>
    <w:rsid w:val="00DA231B"/>
    <w:rsid w:val="00DC39FC"/>
    <w:rsid w:val="00DF3306"/>
    <w:rsid w:val="00DF5254"/>
    <w:rsid w:val="00E02524"/>
    <w:rsid w:val="00E16408"/>
    <w:rsid w:val="00E20894"/>
    <w:rsid w:val="00E245AB"/>
    <w:rsid w:val="00E2764C"/>
    <w:rsid w:val="00E27F2E"/>
    <w:rsid w:val="00E50AFE"/>
    <w:rsid w:val="00E75C92"/>
    <w:rsid w:val="00E771DC"/>
    <w:rsid w:val="00E8772A"/>
    <w:rsid w:val="00E90F6B"/>
    <w:rsid w:val="00E92C27"/>
    <w:rsid w:val="00E94B76"/>
    <w:rsid w:val="00EA0E3D"/>
    <w:rsid w:val="00EC38A7"/>
    <w:rsid w:val="00ED0AD9"/>
    <w:rsid w:val="00EE1AA8"/>
    <w:rsid w:val="00F23FEA"/>
    <w:rsid w:val="00F27B7B"/>
    <w:rsid w:val="00F31EDC"/>
    <w:rsid w:val="00F462B3"/>
    <w:rsid w:val="00F5664F"/>
    <w:rsid w:val="00F666C4"/>
    <w:rsid w:val="00F7501A"/>
    <w:rsid w:val="00F76AFC"/>
    <w:rsid w:val="00FA47C0"/>
    <w:rsid w:val="00FB5DD1"/>
    <w:rsid w:val="00FC2B5D"/>
    <w:rsid w:val="00FD2581"/>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01E5"/>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character" w:styleId="Refdecomentario">
    <w:name w:val="annotation reference"/>
    <w:basedOn w:val="Fuentedeprrafopredeter"/>
    <w:uiPriority w:val="99"/>
    <w:semiHidden/>
    <w:unhideWhenUsed/>
    <w:rsid w:val="009B27CB"/>
    <w:rPr>
      <w:sz w:val="16"/>
      <w:szCs w:val="16"/>
    </w:rPr>
  </w:style>
  <w:style w:type="paragraph" w:styleId="Textocomentario">
    <w:name w:val="annotation text"/>
    <w:basedOn w:val="Normal"/>
    <w:link w:val="TextocomentarioCar"/>
    <w:uiPriority w:val="99"/>
    <w:unhideWhenUsed/>
    <w:rsid w:val="009B27CB"/>
    <w:pPr>
      <w:spacing w:line="240" w:lineRule="auto"/>
    </w:pPr>
    <w:rPr>
      <w:sz w:val="20"/>
      <w:szCs w:val="20"/>
    </w:rPr>
  </w:style>
  <w:style w:type="character" w:customStyle="1" w:styleId="TextocomentarioCar">
    <w:name w:val="Texto comentario Car"/>
    <w:basedOn w:val="Fuentedeprrafopredeter"/>
    <w:link w:val="Textocomentario"/>
    <w:uiPriority w:val="99"/>
    <w:rsid w:val="009B27CB"/>
    <w:rPr>
      <w:sz w:val="20"/>
      <w:szCs w:val="20"/>
    </w:rPr>
  </w:style>
  <w:style w:type="table" w:customStyle="1" w:styleId="Tablaconcuadrcula11">
    <w:name w:val="Tabla con cuadrícula11"/>
    <w:basedOn w:val="Tablanormal"/>
    <w:next w:val="Tablaconcuadrcula"/>
    <w:uiPriority w:val="39"/>
    <w:qFormat/>
    <w:rsid w:val="009B27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8371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83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F985E886-1BD3-479C-836A-B4C93E153301}"/>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DC843E3-D620-4881-8440-74CA2CD00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17</Pages>
  <Words>5914</Words>
  <Characters>33714</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-CCE</cp:lastModifiedBy>
  <cp:revision>3</cp:revision>
  <cp:lastPrinted>2023-01-10T21:18:00Z</cp:lastPrinted>
  <dcterms:created xsi:type="dcterms:W3CDTF">2026-04-25T14:58:00Z</dcterms:created>
  <dcterms:modified xsi:type="dcterms:W3CDTF">2026-04-25T15:12:00Z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