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D2E93" w14:textId="77777777" w:rsidR="0066318B" w:rsidRPr="00C55BDE" w:rsidRDefault="0066318B" w:rsidP="0066318B">
      <w:pPr>
        <w:snapToGrid w:val="0"/>
        <w:contextualSpacing/>
        <w:jc w:val="both"/>
        <w:rPr>
          <w:rFonts w:ascii="Verdana" w:hAnsi="Verdana" w:cs="Arial"/>
          <w:b/>
          <w:bCs/>
          <w:lang w:val="es-ES" w:eastAsia="es-ES"/>
        </w:rPr>
      </w:pPr>
      <w:r w:rsidRPr="00C55BDE">
        <w:rPr>
          <w:rFonts w:ascii="Verdana" w:hAnsi="Verdana" w:cs="Arial"/>
          <w:b/>
          <w:bCs/>
          <w:lang w:val="es-ES" w:eastAsia="es-ES"/>
        </w:rPr>
        <w:t>LEY DE GARANTÍAS ELECTORALES – Finalidad</w:t>
      </w:r>
    </w:p>
    <w:p w14:paraId="0A50AE66" w14:textId="77777777" w:rsidR="0066318B" w:rsidRPr="00C55BDE" w:rsidRDefault="0066318B" w:rsidP="0066318B">
      <w:pPr>
        <w:snapToGrid w:val="0"/>
        <w:contextualSpacing/>
        <w:jc w:val="both"/>
        <w:rPr>
          <w:rFonts w:ascii="Verdana" w:hAnsi="Verdana" w:cs="Arial"/>
          <w:b/>
          <w:bCs/>
          <w:lang w:val="es-ES" w:eastAsia="es-ES"/>
        </w:rPr>
      </w:pPr>
    </w:p>
    <w:p w14:paraId="543F2F3C" w14:textId="77777777" w:rsidR="0066318B" w:rsidRPr="00C55BDE" w:rsidRDefault="0066318B" w:rsidP="0066318B">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1703E2C5" w14:textId="77777777" w:rsidR="0066318B" w:rsidRPr="00C55BDE" w:rsidRDefault="0066318B" w:rsidP="0066318B">
      <w:pPr>
        <w:snapToGrid w:val="0"/>
        <w:contextualSpacing/>
        <w:jc w:val="both"/>
        <w:rPr>
          <w:rFonts w:ascii="Verdana" w:hAnsi="Verdana" w:cs="Arial"/>
          <w:b/>
          <w:bCs/>
          <w:lang w:val="es-ES" w:eastAsia="es-ES"/>
        </w:rPr>
      </w:pPr>
    </w:p>
    <w:p w14:paraId="0B1F6E78" w14:textId="77777777" w:rsidR="0066318B" w:rsidRPr="00C55BDE" w:rsidRDefault="0066318B" w:rsidP="0066318B">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r>
        <w:rPr>
          <w:rFonts w:ascii="Verdana" w:hAnsi="Verdana" w:cs="Arial"/>
          <w:b/>
          <w:bCs/>
          <w:lang w:val="es-ES" w:eastAsia="es-ES"/>
        </w:rPr>
        <w:t xml:space="preserve"> </w:t>
      </w:r>
      <w:r w:rsidRPr="00C55BDE">
        <w:rPr>
          <w:rFonts w:ascii="Verdana" w:hAnsi="Verdana" w:cs="Arial"/>
          <w:b/>
          <w:bCs/>
          <w:lang w:val="es-ES" w:eastAsia="es-ES"/>
        </w:rPr>
        <w:t>‒</w:t>
      </w:r>
      <w:r>
        <w:rPr>
          <w:rFonts w:ascii="Verdana" w:hAnsi="Verdana" w:cs="Arial"/>
          <w:b/>
          <w:bCs/>
          <w:lang w:val="es-ES" w:eastAsia="es-ES"/>
        </w:rPr>
        <w:t xml:space="preserve"> Celebración </w:t>
      </w:r>
    </w:p>
    <w:p w14:paraId="4FDDAF56" w14:textId="77777777" w:rsidR="0066318B" w:rsidRPr="00C55BDE" w:rsidRDefault="0066318B" w:rsidP="0066318B">
      <w:pPr>
        <w:snapToGrid w:val="0"/>
        <w:spacing w:after="0" w:line="240" w:lineRule="auto"/>
        <w:contextualSpacing/>
        <w:jc w:val="both"/>
        <w:rPr>
          <w:rFonts w:ascii="Verdana" w:hAnsi="Verdana" w:cs="Arial"/>
          <w:sz w:val="20"/>
          <w:szCs w:val="20"/>
          <w:lang w:val="es-ES" w:eastAsia="es-ES"/>
        </w:rPr>
      </w:pPr>
    </w:p>
    <w:p w14:paraId="069C437F" w14:textId="77777777" w:rsidR="0066318B" w:rsidRPr="00C55BDE" w:rsidRDefault="0066318B" w:rsidP="0066318B">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3D61D07" w14:textId="77777777" w:rsidR="0066318B" w:rsidRPr="00C55BDE" w:rsidRDefault="0066318B" w:rsidP="0066318B">
      <w:pPr>
        <w:snapToGrid w:val="0"/>
        <w:spacing w:after="0" w:line="240" w:lineRule="auto"/>
        <w:contextualSpacing/>
        <w:jc w:val="both"/>
        <w:rPr>
          <w:rFonts w:ascii="Verdana" w:hAnsi="Verdana" w:cs="Arial"/>
          <w:sz w:val="20"/>
          <w:szCs w:val="20"/>
          <w:lang w:val="es-ES"/>
        </w:rPr>
      </w:pPr>
    </w:p>
    <w:p w14:paraId="382470BB" w14:textId="77777777" w:rsidR="0066318B" w:rsidRDefault="0066318B" w:rsidP="0066318B">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690591F1" w14:textId="77777777" w:rsidR="0066318B" w:rsidRDefault="0066318B" w:rsidP="0066318B">
      <w:pPr>
        <w:spacing w:after="0"/>
        <w:jc w:val="both"/>
        <w:rPr>
          <w:rFonts w:ascii="Verdana" w:hAnsi="Verdana" w:cs="Arial"/>
          <w:b/>
          <w:lang w:val="es-MX" w:eastAsia="es-ES_tradnl"/>
        </w:rPr>
      </w:pPr>
    </w:p>
    <w:p w14:paraId="15BCCCDB" w14:textId="77777777" w:rsidR="0066318B" w:rsidRPr="009B5A20" w:rsidRDefault="0066318B" w:rsidP="0066318B">
      <w:pPr>
        <w:spacing w:after="0"/>
        <w:jc w:val="both"/>
        <w:rPr>
          <w:rFonts w:ascii="Verdana" w:hAnsi="Verdana" w:cs="Arial"/>
          <w:b/>
          <w:lang w:val="es-MX" w:eastAsia="es-ES_tradnl"/>
        </w:rPr>
      </w:pPr>
      <w:r w:rsidRPr="00C55BDE">
        <w:rPr>
          <w:rFonts w:ascii="Verdana" w:hAnsi="Verdana" w:cs="Arial"/>
          <w:sz w:val="20"/>
          <w:szCs w:val="20"/>
          <w:lang w:val="es-ES"/>
        </w:rPr>
        <w:t>[…]</w:t>
      </w:r>
    </w:p>
    <w:p w14:paraId="070B9C2B" w14:textId="77777777" w:rsidR="0066318B" w:rsidRPr="002D1555" w:rsidRDefault="0066318B" w:rsidP="0066318B">
      <w:pPr>
        <w:spacing w:after="0" w:line="240" w:lineRule="auto"/>
        <w:jc w:val="both"/>
        <w:rPr>
          <w:rFonts w:ascii="Verdana" w:hAnsi="Verdana" w:cs="Arial"/>
          <w:sz w:val="20"/>
          <w:szCs w:val="20"/>
          <w:lang w:val="es-ES"/>
        </w:rPr>
      </w:pPr>
      <w:r w:rsidRPr="002D1555">
        <w:rPr>
          <w:rFonts w:ascii="Verdana" w:hAnsi="Verdana" w:cs="Arial"/>
          <w:sz w:val="20"/>
          <w:szCs w:val="20"/>
          <w:lang w:val="es-ES"/>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w:t>
      </w:r>
      <w:r w:rsidRPr="002D1555">
        <w:rPr>
          <w:rFonts w:ascii="Verdana" w:hAnsi="Verdana" w:cs="Arial"/>
          <w:sz w:val="20"/>
          <w:szCs w:val="20"/>
          <w:lang w:val="es-ES"/>
        </w:rPr>
        <w:lastRenderedPageBreak/>
        <w:t xml:space="preserve">formalidad”. Por otra parte, “Los contratos del Estado se perfeccionan cuando se logre acuerdo sobre el objeto y la contraprestación y éste se eleve a escrito”. </w:t>
      </w:r>
    </w:p>
    <w:p w14:paraId="6372D059" w14:textId="77777777" w:rsidR="0066318B" w:rsidRPr="009B5A20" w:rsidRDefault="0066318B" w:rsidP="0066318B">
      <w:pPr>
        <w:spacing w:after="0"/>
        <w:jc w:val="both"/>
        <w:rPr>
          <w:rFonts w:ascii="Verdana" w:hAnsi="Verdana" w:cs="Arial"/>
          <w:b/>
          <w:bCs/>
          <w:lang w:val="es-MX" w:eastAsia="es-ES_tradnl"/>
        </w:rPr>
      </w:pPr>
    </w:p>
    <w:p w14:paraId="46AFBF0C" w14:textId="77777777" w:rsidR="0066318B" w:rsidRDefault="0066318B" w:rsidP="0066318B">
      <w:pPr>
        <w:spacing w:line="276" w:lineRule="auto"/>
        <w:jc w:val="both"/>
        <w:rPr>
          <w:rFonts w:ascii="Verdana" w:hAnsi="Verdana" w:cs="Arial"/>
          <w:b/>
          <w:bCs/>
          <w:lang w:val="es-MX" w:eastAsia="es-ES_tradnl"/>
        </w:rPr>
      </w:pPr>
      <w:r w:rsidRPr="009B5A20">
        <w:rPr>
          <w:rFonts w:ascii="Verdana" w:eastAsia="Calibri" w:hAnsi="Verdana" w:cs="Arial"/>
          <w:b/>
          <w:bCs/>
          <w:lang w:val="es-ES" w:eastAsia="es-ES"/>
        </w:rPr>
        <w:t xml:space="preserve">LEY DE GARANTÍAS ELECTORALES ‒ Artículo 33 ‒ Ámbito material ‒ Destinatarios </w:t>
      </w:r>
    </w:p>
    <w:p w14:paraId="5F410B98" w14:textId="77777777" w:rsidR="0066318B" w:rsidRPr="009B5A20" w:rsidRDefault="0066318B" w:rsidP="0066318B">
      <w:pPr>
        <w:spacing w:after="0" w:line="240" w:lineRule="auto"/>
        <w:jc w:val="both"/>
        <w:rPr>
          <w:rFonts w:ascii="Verdana" w:eastAsia="Calibri" w:hAnsi="Verdana" w:cs="Arial"/>
          <w:sz w:val="20"/>
          <w:szCs w:val="20"/>
          <w:lang w:eastAsia="x-none"/>
        </w:rPr>
      </w:pPr>
      <w:r w:rsidRPr="009B5A20">
        <w:rPr>
          <w:rFonts w:ascii="Verdana" w:eastAsia="Times New Roman" w:hAnsi="Verdana" w:cs="Arial"/>
          <w:sz w:val="20"/>
          <w:szCs w:val="20"/>
          <w:lang w:eastAsia="x-none"/>
        </w:rPr>
        <w:t>La prohibición del artículo 33 de la Ley de Garantías Electorales se refiere a “cualquier sistema que no implique convocatoria pública y posibilidad de pluralidad de oferentes</w:t>
      </w:r>
      <w:r w:rsidRPr="009B5A20">
        <w:rPr>
          <w:rFonts w:ascii="Verdana" w:eastAsia="Times New Roman" w:hAnsi="Verdana" w:cs="Arial"/>
          <w:sz w:val="20"/>
          <w:szCs w:val="20"/>
          <w:lang w:eastAsia="en-GB"/>
        </w:rPr>
        <w:t>”</w:t>
      </w:r>
      <w:r w:rsidRPr="009B5A20">
        <w:rPr>
          <w:rFonts w:ascii="Verdana" w:eastAsia="Times New Roman" w:hAnsi="Verdana" w:cs="Arial"/>
          <w:sz w:val="20"/>
          <w:szCs w:val="20"/>
          <w:lang w:eastAsia="x-none"/>
        </w:rPr>
        <w:t xml:space="preserve">, por lo que excluye las demás modalidades de contratación previstas en la Ley 1150 de 2007, esto es, la licitación pública, la selección abreviada, el concurso de méritos </w:t>
      </w:r>
      <w:r w:rsidRPr="009B5A20">
        <w:rPr>
          <w:rFonts w:ascii="Verdana" w:eastAsia="Times New Roman" w:hAnsi="Verdana" w:cs="Arial"/>
          <w:sz w:val="20"/>
          <w:szCs w:val="20"/>
          <w:lang w:val="es-ES_tradnl" w:eastAsia="x-none"/>
        </w:rPr>
        <w:t xml:space="preserve">y la mínima cuantía </w:t>
      </w:r>
      <w:r w:rsidRPr="009B5A20">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9B5A20">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5D66B70F" w14:textId="77777777" w:rsidR="0066318B" w:rsidRDefault="0066318B" w:rsidP="0066318B">
      <w:pPr>
        <w:spacing w:after="0" w:line="240" w:lineRule="auto"/>
        <w:jc w:val="both"/>
        <w:rPr>
          <w:rFonts w:ascii="Verdana" w:eastAsia="Times New Roman" w:hAnsi="Verdana" w:cs="Arial"/>
          <w:bCs/>
          <w:sz w:val="20"/>
          <w:szCs w:val="20"/>
          <w:lang w:eastAsia="x-none"/>
        </w:rPr>
      </w:pPr>
      <w:r w:rsidRPr="009B5A20">
        <w:rPr>
          <w:rFonts w:ascii="Verdana" w:eastAsia="Arial" w:hAnsi="Verdana" w:cs="Arial"/>
          <w:sz w:val="20"/>
          <w:szCs w:val="20"/>
          <w:lang w:val="es-MX" w:eastAsia="es-ES" w:bidi="es-ES"/>
        </w:rPr>
        <w:t>[…]</w:t>
      </w:r>
    </w:p>
    <w:p w14:paraId="4889A96B" w14:textId="77777777" w:rsidR="0066318B" w:rsidRPr="009B5A20" w:rsidRDefault="0066318B" w:rsidP="0066318B">
      <w:pPr>
        <w:spacing w:after="0" w:line="240" w:lineRule="auto"/>
        <w:jc w:val="both"/>
        <w:rPr>
          <w:rFonts w:ascii="Verdana" w:eastAsia="Times New Roman" w:hAnsi="Verdana" w:cs="Arial"/>
          <w:bCs/>
          <w:sz w:val="20"/>
          <w:szCs w:val="20"/>
          <w:lang w:eastAsia="x-none"/>
        </w:rPr>
      </w:pPr>
    </w:p>
    <w:p w14:paraId="64354815" w14:textId="77777777" w:rsidR="0066318B" w:rsidRDefault="0066318B" w:rsidP="0066318B">
      <w:pPr>
        <w:jc w:val="both"/>
        <w:rPr>
          <w:rFonts w:ascii="Verdana" w:eastAsia="Times New Roman" w:hAnsi="Verdana" w:cs="Arial"/>
          <w:bCs/>
          <w:sz w:val="20"/>
          <w:szCs w:val="20"/>
          <w:lang w:val="es-MX" w:eastAsia="x-none"/>
        </w:rPr>
      </w:pPr>
      <w:r w:rsidRPr="009B5A20">
        <w:rPr>
          <w:rFonts w:ascii="Verdana" w:eastAsia="Times New Roman" w:hAnsi="Verdana" w:cs="Arial"/>
          <w:bCs/>
          <w:sz w:val="20"/>
          <w:szCs w:val="20"/>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Times New Roman" w:hAnsi="Verdana" w:cs="Arial"/>
          <w:bCs/>
          <w:sz w:val="20"/>
          <w:szCs w:val="20"/>
          <w:lang w:val="es-MX" w:eastAsia="x-none"/>
        </w:rPr>
        <w:t>.</w:t>
      </w:r>
    </w:p>
    <w:p w14:paraId="6B1B4224" w14:textId="77777777" w:rsidR="0066318B" w:rsidRPr="009B5A20" w:rsidRDefault="0066318B" w:rsidP="0066318B">
      <w:pPr>
        <w:spacing w:after="0" w:line="240" w:lineRule="auto"/>
        <w:jc w:val="both"/>
        <w:rPr>
          <w:rFonts w:ascii="Verdana" w:hAnsi="Verdana" w:cs="Arial"/>
          <w:b/>
          <w:bCs/>
          <w:sz w:val="20"/>
          <w:szCs w:val="20"/>
          <w:lang w:val="es-MX" w:eastAsia="es-ES_tradnl"/>
        </w:rPr>
      </w:pPr>
    </w:p>
    <w:p w14:paraId="0FC54A3B" w14:textId="77777777" w:rsidR="0066318B" w:rsidRDefault="0066318B" w:rsidP="0066318B">
      <w:pPr>
        <w:spacing w:line="276" w:lineRule="auto"/>
        <w:jc w:val="both"/>
        <w:rPr>
          <w:rFonts w:ascii="Verdana" w:hAnsi="Verdana" w:cs="Arial"/>
          <w:b/>
          <w:bCs/>
          <w:color w:val="000000" w:themeColor="text1"/>
          <w:shd w:val="clear" w:color="auto" w:fill="FFFFFF"/>
          <w:lang w:val="es-ES"/>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Plataforma Transaccional </w:t>
      </w:r>
    </w:p>
    <w:p w14:paraId="1EBD6352" w14:textId="77777777" w:rsidR="0066318B" w:rsidRDefault="0066318B" w:rsidP="0066318B">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primer lugar, es importante destacar que el SECOP II es una plataforma transaccional, que permite gestionar en línea todos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Por su parte, los proveedores pueden hacer comentarios a los documentos del procedimiento, presentar ofertas y seguir el procedimiento de selección en línea.</w:t>
      </w:r>
    </w:p>
    <w:p w14:paraId="629808DE" w14:textId="77777777" w:rsidR="0066318B" w:rsidRPr="009B5A20" w:rsidRDefault="0066318B" w:rsidP="0066318B">
      <w:pPr>
        <w:spacing w:after="0" w:line="240" w:lineRule="auto"/>
        <w:jc w:val="both"/>
        <w:rPr>
          <w:rFonts w:ascii="Verdana" w:eastAsia="Times New Roman" w:hAnsi="Verdana" w:cs="Arial"/>
          <w:sz w:val="20"/>
          <w:szCs w:val="20"/>
          <w:lang w:eastAsia="x-none"/>
        </w:rPr>
      </w:pPr>
    </w:p>
    <w:p w14:paraId="7D9922CF" w14:textId="77777777" w:rsidR="0066318B" w:rsidRDefault="0066318B" w:rsidP="0066318B">
      <w:pPr>
        <w:spacing w:after="0" w:line="240" w:lineRule="auto"/>
        <w:jc w:val="both"/>
        <w:rPr>
          <w:rFonts w:ascii="Verdana" w:eastAsia="Times New Roman" w:hAnsi="Verdana" w:cs="Arial"/>
          <w:sz w:val="20"/>
          <w:szCs w:val="20"/>
          <w:lang w:eastAsia="x-none"/>
        </w:rPr>
      </w:pPr>
      <w:r w:rsidRPr="009B5A20">
        <w:rPr>
          <w:rFonts w:ascii="Verdana" w:eastAsia="Times New Roman" w:hAnsi="Verdana" w:cs="Arial"/>
          <w:sz w:val="20"/>
          <w:szCs w:val="20"/>
          <w:lang w:eastAsia="x-none"/>
        </w:rPr>
        <w:t>En este sentido, en el SECOP II el procedimiento contractual se desarrolla en línea y dentro de la plataforma, conformándose un expediente electrónico, lo cual denota una diferencia con el SECOP I, donde el procedimiento se desarrolla de manera física,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76D94A32" w14:textId="77777777" w:rsidR="0066318B" w:rsidRPr="009B5A20" w:rsidRDefault="0066318B" w:rsidP="0066318B">
      <w:pPr>
        <w:spacing w:after="0" w:line="240" w:lineRule="auto"/>
        <w:jc w:val="both"/>
        <w:rPr>
          <w:rFonts w:ascii="Verdana" w:eastAsia="Times New Roman" w:hAnsi="Verdana" w:cs="Arial"/>
          <w:sz w:val="20"/>
          <w:szCs w:val="20"/>
          <w:lang w:eastAsia="x-none"/>
        </w:rPr>
      </w:pPr>
    </w:p>
    <w:p w14:paraId="090048B1" w14:textId="77777777" w:rsidR="0066318B" w:rsidRDefault="0066318B" w:rsidP="0066318B">
      <w:pPr>
        <w:spacing w:line="276" w:lineRule="auto"/>
        <w:jc w:val="both"/>
        <w:rPr>
          <w:rFonts w:ascii="Verdana" w:hAnsi="Verdana" w:cs="Arial"/>
          <w:b/>
          <w:bCs/>
          <w:color w:val="000000" w:themeColor="text1"/>
          <w:shd w:val="clear" w:color="auto" w:fill="FFFFFF"/>
          <w:lang w:val="es-MX"/>
        </w:rPr>
      </w:pP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w:t>
      </w:r>
      <w:r w:rsidRPr="009B5A20">
        <w:rPr>
          <w:rFonts w:ascii="Verdana" w:hAnsi="Verdana" w:cs="Arial"/>
          <w:b/>
          <w:bCs/>
          <w:color w:val="000000" w:themeColor="text1"/>
          <w:shd w:val="clear" w:color="auto" w:fill="FFFFFF"/>
          <w:lang w:val="es-ES"/>
        </w:rPr>
        <w:t xml:space="preserve"> Contrato electrónico </w:t>
      </w:r>
      <w:r w:rsidRPr="009B5A20">
        <w:rPr>
          <w:rFonts w:ascii="Verdana" w:eastAsia="Calibri" w:hAnsi="Verdana" w:cs="Arial"/>
          <w:b/>
          <w:bCs/>
          <w:lang w:val="es-ES" w:eastAsia="es-ES"/>
        </w:rPr>
        <w:t xml:space="preserve">– Aprobación </w:t>
      </w:r>
      <w:r w:rsidRPr="009B5A20">
        <w:rPr>
          <w:rFonts w:ascii="Verdana" w:hAnsi="Verdana" w:cs="Arial"/>
          <w:b/>
          <w:bCs/>
          <w:color w:val="000000" w:themeColor="text1"/>
          <w:shd w:val="clear" w:color="auto" w:fill="FFFFFF"/>
          <w:lang w:val="es-MX"/>
        </w:rPr>
        <w:t>– Perfeccionamiento</w:t>
      </w:r>
    </w:p>
    <w:p w14:paraId="6AF170C3" w14:textId="77777777" w:rsidR="0066318B" w:rsidRDefault="0066318B" w:rsidP="0066318B">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lastRenderedPageBreak/>
        <w:t>Conforme lo señala “Guía SECOP II – Gestión Contractual Para Entidades Estatales” es importante que previamente el usuario administrador de la Entidad Estatal haya configurado flujos de aprobación en este hito del proceso con el fin de que el contrato electrónico sea enviado al ordenador del gasto representante legal de la entidad para su aprobación final. Una vez el ordenador del gasto de la entidad realice la aprobación el estado del contrato cambia a “Firmado” y quedará público para consulta de cualquier interesado.</w:t>
      </w:r>
    </w:p>
    <w:p w14:paraId="4B7FC719" w14:textId="77777777" w:rsidR="0066318B" w:rsidRPr="00B652CB" w:rsidRDefault="0066318B" w:rsidP="0066318B">
      <w:pPr>
        <w:spacing w:after="0" w:line="240" w:lineRule="auto"/>
        <w:jc w:val="both"/>
        <w:rPr>
          <w:rFonts w:ascii="Verdana" w:eastAsia="Times New Roman" w:hAnsi="Verdana" w:cs="Arial"/>
          <w:sz w:val="20"/>
          <w:szCs w:val="20"/>
          <w:lang w:eastAsia="x-none"/>
        </w:rPr>
      </w:pPr>
    </w:p>
    <w:p w14:paraId="0005F768" w14:textId="77777777" w:rsidR="0066318B" w:rsidRDefault="0066318B" w:rsidP="0066318B">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w:t>
      </w:r>
    </w:p>
    <w:p w14:paraId="7FF104C7" w14:textId="77777777" w:rsidR="0066318B" w:rsidRPr="00B652CB" w:rsidRDefault="0066318B" w:rsidP="0066318B">
      <w:pPr>
        <w:spacing w:after="0" w:line="240" w:lineRule="auto"/>
        <w:jc w:val="both"/>
        <w:rPr>
          <w:rFonts w:ascii="Verdana" w:eastAsia="Times New Roman" w:hAnsi="Verdana" w:cs="Arial"/>
          <w:sz w:val="20"/>
          <w:szCs w:val="20"/>
          <w:lang w:eastAsia="x-none"/>
        </w:rPr>
      </w:pPr>
    </w:p>
    <w:p w14:paraId="5C5148BE" w14:textId="77777777" w:rsidR="0066318B" w:rsidRPr="009B5A20" w:rsidRDefault="0066318B" w:rsidP="0066318B">
      <w:pPr>
        <w:spacing w:line="276" w:lineRule="auto"/>
        <w:jc w:val="both"/>
        <w:rPr>
          <w:rFonts w:ascii="Verdana" w:hAnsi="Verdana" w:cs="Arial"/>
          <w:b/>
          <w:bCs/>
          <w:lang w:val="es-ES" w:eastAsia="es-ES"/>
        </w:rPr>
      </w:pPr>
      <w:r w:rsidRPr="009B5A20">
        <w:rPr>
          <w:rFonts w:ascii="Verdana" w:hAnsi="Verdana" w:cs="Arial"/>
          <w:b/>
          <w:bCs/>
          <w:color w:val="000000" w:themeColor="text1"/>
          <w:shd w:val="clear" w:color="auto" w:fill="FFFFFF"/>
          <w:lang w:val="es-MX"/>
        </w:rPr>
        <w:t xml:space="preserve"> </w:t>
      </w:r>
      <w:r w:rsidRPr="009B5A20">
        <w:rPr>
          <w:rFonts w:ascii="Verdana" w:hAnsi="Verdana" w:cs="Arial"/>
          <w:b/>
          <w:bCs/>
          <w:color w:val="000000" w:themeColor="text1"/>
          <w:shd w:val="clear" w:color="auto" w:fill="FFFFFF"/>
          <w:lang w:val="es-ES"/>
        </w:rPr>
        <w:t>SECOP II </w:t>
      </w:r>
      <w:r w:rsidRPr="009B5A20">
        <w:rPr>
          <w:rFonts w:ascii="Verdana" w:hAnsi="Verdana" w:cs="Arial"/>
          <w:b/>
          <w:bCs/>
          <w:color w:val="000000" w:themeColor="text1"/>
          <w:shd w:val="clear" w:color="auto" w:fill="FFFFFF"/>
          <w:lang w:val="es-MX"/>
        </w:rPr>
        <w:t xml:space="preserve">– Aplicación ley de garantías – Nulidad </w:t>
      </w:r>
    </w:p>
    <w:p w14:paraId="356091CB" w14:textId="77777777" w:rsidR="0066318B" w:rsidRDefault="0066318B" w:rsidP="0066318B">
      <w:pPr>
        <w:spacing w:after="0" w:line="240" w:lineRule="auto"/>
        <w:rPr>
          <w:rFonts w:ascii="Verdana" w:hAnsi="Verdana"/>
        </w:rPr>
      </w:pPr>
    </w:p>
    <w:p w14:paraId="54C5DA62" w14:textId="77777777" w:rsidR="0066318B" w:rsidRPr="00B652CB" w:rsidRDefault="0066318B" w:rsidP="0066318B">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 xml:space="preserve">Así las cosas, tratándose de procesos gestionados en SECOP II, las actuaciones necesarias para que el contrato adquiera el estado de “firmado” deben realizarse antes de la </w:t>
      </w:r>
      <w:proofErr w:type="gramStart"/>
      <w:r w:rsidRPr="00B652CB">
        <w:rPr>
          <w:rFonts w:ascii="Verdana" w:eastAsia="Times New Roman" w:hAnsi="Verdana" w:cs="Arial"/>
          <w:sz w:val="20"/>
          <w:szCs w:val="20"/>
          <w:lang w:eastAsia="x-none"/>
        </w:rPr>
        <w:t>entrada en vigencia</w:t>
      </w:r>
      <w:proofErr w:type="gramEnd"/>
      <w:r w:rsidRPr="00B652CB">
        <w:rPr>
          <w:rFonts w:ascii="Verdana" w:eastAsia="Times New Roman" w:hAnsi="Verdana" w:cs="Arial"/>
          <w:sz w:val="20"/>
          <w:szCs w:val="20"/>
          <w:lang w:eastAsia="x-none"/>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ibidem, se entiende que el contrato fue celebrado en vigencia de dicha restricción, con las consecuencias jurídicas a que haya lugar, sin que resulte suficiente que etapas previas del proceso se hubieren adelantado con anterioridad.</w:t>
      </w:r>
    </w:p>
    <w:p w14:paraId="4557BFF0" w14:textId="77777777" w:rsidR="0066318B" w:rsidRDefault="0066318B" w:rsidP="0066318B">
      <w:pPr>
        <w:spacing w:after="0" w:line="240" w:lineRule="auto"/>
        <w:rPr>
          <w:rFonts w:ascii="Verdana" w:hAnsi="Verdana"/>
        </w:rPr>
      </w:pPr>
    </w:p>
    <w:p w14:paraId="526B27F6" w14:textId="77777777" w:rsidR="0066318B" w:rsidRDefault="0066318B" w:rsidP="0066318B">
      <w:pPr>
        <w:spacing w:after="0" w:line="240" w:lineRule="auto"/>
        <w:jc w:val="both"/>
        <w:rPr>
          <w:rFonts w:ascii="Verdana" w:eastAsia="Times New Roman" w:hAnsi="Verdana" w:cs="Arial"/>
          <w:bCs/>
          <w:sz w:val="20"/>
          <w:szCs w:val="20"/>
          <w:lang w:eastAsia="x-none"/>
        </w:rPr>
      </w:pPr>
      <w:r w:rsidRPr="009B5A20">
        <w:rPr>
          <w:rFonts w:ascii="Verdana" w:eastAsia="Arial" w:hAnsi="Verdana" w:cs="Arial"/>
          <w:sz w:val="20"/>
          <w:szCs w:val="20"/>
          <w:lang w:val="es-MX" w:eastAsia="es-ES" w:bidi="es-ES"/>
        </w:rPr>
        <w:t>[…]</w:t>
      </w:r>
    </w:p>
    <w:p w14:paraId="73E8F709" w14:textId="77777777" w:rsidR="0066318B" w:rsidRDefault="0066318B" w:rsidP="0066318B">
      <w:pPr>
        <w:spacing w:after="0" w:line="240" w:lineRule="auto"/>
        <w:rPr>
          <w:rFonts w:ascii="Verdana" w:hAnsi="Verdana"/>
        </w:rPr>
      </w:pPr>
    </w:p>
    <w:p w14:paraId="4B59F8F9" w14:textId="77777777" w:rsidR="0066318B" w:rsidRPr="00B652CB" w:rsidRDefault="0066318B" w:rsidP="0066318B">
      <w:pPr>
        <w:spacing w:after="0" w:line="240" w:lineRule="auto"/>
        <w:jc w:val="both"/>
        <w:rPr>
          <w:rFonts w:ascii="Verdana" w:eastAsia="Times New Roman" w:hAnsi="Verdana" w:cs="Arial"/>
          <w:sz w:val="20"/>
          <w:szCs w:val="20"/>
          <w:lang w:eastAsia="x-none"/>
        </w:rPr>
      </w:pPr>
      <w:r w:rsidRPr="00B652CB">
        <w:rPr>
          <w:rFonts w:ascii="Verdana" w:eastAsia="Times New Roman" w:hAnsi="Verdana" w:cs="Arial"/>
          <w:sz w:val="20"/>
          <w:szCs w:val="20"/>
          <w:lang w:eastAsia="x-none"/>
        </w:rPr>
        <w:t>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Ley 80 de 1993. Sobre el régimen de nulidad, la norma en cita señala como causales de nulidad del contrato estatal, las siguientes: 1. Que el contrato se celebre con personas incursas en causales de inhabilidad o incompatibilidad previstas en la Constitución y la ley. 2. Que se celebre contra expresa prohibición constitucional o legal. 3. Que se celebre con abuso o desviación de poder. 4. Que se declaren nulos los actos administrativos en que se fundamenten. 5. Que se hubieren celebrado con desconocimiento de los criterios previstos para el tratamiento de ofertas nacionales y extranjeras o con violación de la reciprocidad.</w:t>
      </w:r>
    </w:p>
    <w:p w14:paraId="7C14F75B" w14:textId="77777777" w:rsidR="00C30BA5" w:rsidRDefault="00C30BA5" w:rsidP="00506079">
      <w:pPr>
        <w:spacing w:after="0" w:line="240" w:lineRule="auto"/>
        <w:jc w:val="both"/>
        <w:rPr>
          <w:rFonts w:ascii="Verdana" w:hAnsi="Verdana"/>
        </w:rPr>
      </w:pPr>
    </w:p>
    <w:p w14:paraId="161D953B" w14:textId="77777777" w:rsidR="00C30BA5" w:rsidRDefault="00C30BA5" w:rsidP="00506079">
      <w:pPr>
        <w:spacing w:after="0" w:line="240" w:lineRule="auto"/>
        <w:jc w:val="both"/>
        <w:rPr>
          <w:rFonts w:ascii="Verdana" w:hAnsi="Verdana"/>
        </w:rPr>
      </w:pPr>
    </w:p>
    <w:p w14:paraId="041E76CB" w14:textId="77777777" w:rsidR="00C30BA5" w:rsidRDefault="00C30BA5" w:rsidP="00506079">
      <w:pPr>
        <w:spacing w:after="0" w:line="240" w:lineRule="auto"/>
        <w:jc w:val="both"/>
        <w:rPr>
          <w:rFonts w:ascii="Verdana" w:hAnsi="Verdana"/>
        </w:rPr>
      </w:pPr>
    </w:p>
    <w:p w14:paraId="458EF584" w14:textId="77777777" w:rsidR="0066318B" w:rsidRDefault="0066318B" w:rsidP="00506079">
      <w:pPr>
        <w:spacing w:after="0" w:line="240" w:lineRule="auto"/>
        <w:jc w:val="both"/>
        <w:rPr>
          <w:rFonts w:ascii="Verdana" w:hAnsi="Verdana"/>
        </w:rPr>
      </w:pPr>
    </w:p>
    <w:p w14:paraId="1032198F" w14:textId="757C8889" w:rsidR="00506079" w:rsidRPr="008E4F36" w:rsidRDefault="00A1266B" w:rsidP="00506079">
      <w:pPr>
        <w:spacing w:after="0" w:line="240" w:lineRule="auto"/>
        <w:jc w:val="both"/>
        <w:rPr>
          <w:rFonts w:ascii="Verdana" w:hAnsi="Verdana"/>
        </w:rPr>
      </w:pPr>
      <w:r w:rsidRPr="00A1266B">
        <w:rPr>
          <w:rFonts w:ascii="Verdana" w:hAnsi="Verdana"/>
        </w:rPr>
        <w:lastRenderedPageBreak/>
        <w:t xml:space="preserve">Bogotá D.C., 22 </w:t>
      </w:r>
      <w:r>
        <w:rPr>
          <w:rFonts w:ascii="Verdana" w:hAnsi="Verdana"/>
        </w:rPr>
        <w:t>a</w:t>
      </w:r>
      <w:r w:rsidRPr="00A1266B">
        <w:rPr>
          <w:rFonts w:ascii="Verdana" w:hAnsi="Verdana"/>
        </w:rPr>
        <w:t>bril 2026</w:t>
      </w:r>
      <w:r>
        <w:rPr>
          <w:rFonts w:ascii="Verdana" w:hAnsi="Verdana"/>
        </w:rPr>
        <w:t xml:space="preserve"> </w:t>
      </w:r>
    </w:p>
    <w:p w14:paraId="6D0B4C00" w14:textId="6006C843" w:rsidR="00506079" w:rsidRDefault="009911FA" w:rsidP="00506079">
      <w:pPr>
        <w:spacing w:after="0" w:line="240" w:lineRule="auto"/>
        <w:jc w:val="both"/>
        <w:rPr>
          <w:rFonts w:ascii="Verdana" w:eastAsia="Calibri" w:hAnsi="Verdana" w:cs="Arial"/>
          <w:lang w:eastAsia="es-ES"/>
        </w:rPr>
      </w:pPr>
      <w:bookmarkStart w:id="0" w:name="_Hlk197462763"/>
      <w:bookmarkStart w:id="1" w:name="_Hlk197529996"/>
      <w:r w:rsidRPr="00F76747">
        <w:rPr>
          <w:rFonts w:ascii="Verdana" w:eastAsia="Calibri" w:hAnsi="Verdana" w:cs="Arial"/>
          <w:noProof/>
          <w:lang w:eastAsia="es-ES"/>
        </w:rPr>
        <w:drawing>
          <wp:anchor distT="0" distB="0" distL="114300" distR="114300" simplePos="0" relativeHeight="251658240" behindDoc="1" locked="0" layoutInCell="1" allowOverlap="1" wp14:anchorId="34D5051F" wp14:editId="37E90C38">
            <wp:simplePos x="0" y="0"/>
            <wp:positionH relativeFrom="column">
              <wp:posOffset>3608705</wp:posOffset>
            </wp:positionH>
            <wp:positionV relativeFrom="paragraph">
              <wp:posOffset>7620</wp:posOffset>
            </wp:positionV>
            <wp:extent cx="2571750" cy="790575"/>
            <wp:effectExtent l="0" t="0" r="0" b="9525"/>
            <wp:wrapTight wrapText="bothSides">
              <wp:wrapPolygon edited="0">
                <wp:start x="0" y="0"/>
                <wp:lineTo x="0" y="21340"/>
                <wp:lineTo x="21440" y="21340"/>
                <wp:lineTo x="21440" y="0"/>
                <wp:lineTo x="0" y="0"/>
              </wp:wrapPolygon>
            </wp:wrapTight>
            <wp:docPr id="15692511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251131" name=""/>
                    <pic:cNvPicPr/>
                  </pic:nvPicPr>
                  <pic:blipFill>
                    <a:blip r:embed="rId10">
                      <a:extLst>
                        <a:ext uri="{28A0092B-C50C-407E-A947-70E740481C1C}">
                          <a14:useLocalDpi xmlns:a14="http://schemas.microsoft.com/office/drawing/2010/main" val="0"/>
                        </a:ext>
                      </a:extLst>
                    </a:blip>
                    <a:stretch>
                      <a:fillRect/>
                    </a:stretch>
                  </pic:blipFill>
                  <pic:spPr>
                    <a:xfrm>
                      <a:off x="0" y="0"/>
                      <a:ext cx="2571750" cy="790575"/>
                    </a:xfrm>
                    <a:prstGeom prst="rect">
                      <a:avLst/>
                    </a:prstGeom>
                  </pic:spPr>
                </pic:pic>
              </a:graphicData>
            </a:graphic>
          </wp:anchor>
        </w:drawing>
      </w:r>
    </w:p>
    <w:p w14:paraId="6D7A4C1C" w14:textId="3351B12D" w:rsidR="00F76747" w:rsidRPr="008E4F36" w:rsidRDefault="00F76747" w:rsidP="00506079">
      <w:pPr>
        <w:spacing w:after="0" w:line="240" w:lineRule="auto"/>
        <w:jc w:val="both"/>
        <w:rPr>
          <w:rFonts w:ascii="Verdana" w:eastAsia="Calibri" w:hAnsi="Verdana" w:cs="Arial"/>
          <w:lang w:eastAsia="es-ES"/>
        </w:rPr>
      </w:pPr>
    </w:p>
    <w:p w14:paraId="656FA006" w14:textId="77777777" w:rsidR="00506079" w:rsidRDefault="00506079" w:rsidP="00506079">
      <w:pPr>
        <w:spacing w:after="0" w:line="240" w:lineRule="auto"/>
        <w:jc w:val="both"/>
        <w:rPr>
          <w:rFonts w:ascii="Verdana" w:eastAsia="Calibri" w:hAnsi="Verdana" w:cs="Arial"/>
          <w:lang w:eastAsia="es-ES"/>
        </w:rPr>
      </w:pPr>
    </w:p>
    <w:p w14:paraId="065AE21F" w14:textId="70F26AED" w:rsidR="00506079" w:rsidRPr="008E4F36" w:rsidRDefault="009911FA" w:rsidP="00506079">
      <w:pPr>
        <w:spacing w:after="0" w:line="240" w:lineRule="auto"/>
        <w:jc w:val="both"/>
        <w:rPr>
          <w:rFonts w:ascii="Verdana" w:eastAsia="Calibri" w:hAnsi="Verdana" w:cs="Arial"/>
          <w:lang w:eastAsia="es-ES"/>
        </w:rPr>
      </w:pPr>
      <w:r w:rsidRPr="009911FA">
        <w:rPr>
          <w:rFonts w:ascii="Verdana" w:eastAsia="Calibri" w:hAnsi="Verdana" w:cs="Arial"/>
          <w:lang w:eastAsia="es-ES"/>
        </w:rPr>
        <w:drawing>
          <wp:anchor distT="0" distB="0" distL="114300" distR="114300" simplePos="0" relativeHeight="251659264" behindDoc="1" locked="0" layoutInCell="1" allowOverlap="1" wp14:anchorId="2A95AB04" wp14:editId="4E768B64">
            <wp:simplePos x="0" y="0"/>
            <wp:positionH relativeFrom="column">
              <wp:posOffset>3615690</wp:posOffset>
            </wp:positionH>
            <wp:positionV relativeFrom="paragraph">
              <wp:posOffset>157480</wp:posOffset>
            </wp:positionV>
            <wp:extent cx="2562583" cy="657317"/>
            <wp:effectExtent l="0" t="0" r="0" b="9525"/>
            <wp:wrapTight wrapText="bothSides">
              <wp:wrapPolygon edited="0">
                <wp:start x="0" y="0"/>
                <wp:lineTo x="0" y="21287"/>
                <wp:lineTo x="21359" y="21287"/>
                <wp:lineTo x="21359" y="0"/>
                <wp:lineTo x="0" y="0"/>
              </wp:wrapPolygon>
            </wp:wrapTight>
            <wp:docPr id="10878689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868907" name=""/>
                    <pic:cNvPicPr/>
                  </pic:nvPicPr>
                  <pic:blipFill>
                    <a:blip r:embed="rId11">
                      <a:extLst>
                        <a:ext uri="{28A0092B-C50C-407E-A947-70E740481C1C}">
                          <a14:useLocalDpi xmlns:a14="http://schemas.microsoft.com/office/drawing/2010/main" val="0"/>
                        </a:ext>
                      </a:extLst>
                    </a:blip>
                    <a:stretch>
                      <a:fillRect/>
                    </a:stretch>
                  </pic:blipFill>
                  <pic:spPr>
                    <a:xfrm>
                      <a:off x="0" y="0"/>
                      <a:ext cx="2562583" cy="657317"/>
                    </a:xfrm>
                    <a:prstGeom prst="rect">
                      <a:avLst/>
                    </a:prstGeom>
                  </pic:spPr>
                </pic:pic>
              </a:graphicData>
            </a:graphic>
          </wp:anchor>
        </w:drawing>
      </w:r>
      <w:r w:rsidR="00506079" w:rsidRPr="008E4F36">
        <w:rPr>
          <w:rFonts w:ascii="Verdana" w:eastAsia="Calibri" w:hAnsi="Verdana" w:cs="Arial"/>
          <w:lang w:eastAsia="es-ES"/>
        </w:rPr>
        <w:t>Señor</w:t>
      </w:r>
    </w:p>
    <w:p w14:paraId="67A16DDD" w14:textId="1D99090D" w:rsidR="00506079" w:rsidRDefault="00B2487D" w:rsidP="00506079">
      <w:pPr>
        <w:spacing w:after="0" w:line="240" w:lineRule="auto"/>
        <w:jc w:val="both"/>
        <w:rPr>
          <w:rFonts w:ascii="Verdana" w:eastAsia="Calibri" w:hAnsi="Verdana" w:cs="Arial"/>
          <w:b/>
          <w:lang w:eastAsia="es-ES_tradnl"/>
        </w:rPr>
      </w:pPr>
      <w:r w:rsidRPr="00506079">
        <w:rPr>
          <w:rFonts w:ascii="Verdana" w:eastAsia="Calibri" w:hAnsi="Verdana" w:cs="Arial"/>
          <w:b/>
          <w:lang w:eastAsia="es-ES_tradnl"/>
        </w:rPr>
        <w:t>Luis Felipe Aponte Cruz</w:t>
      </w:r>
      <w:r>
        <w:rPr>
          <w:rFonts w:ascii="Verdana" w:eastAsia="Calibri" w:hAnsi="Verdana" w:cs="Arial"/>
          <w:b/>
          <w:lang w:eastAsia="es-ES_tradnl"/>
        </w:rPr>
        <w:t xml:space="preserve">  </w:t>
      </w:r>
    </w:p>
    <w:p w14:paraId="3C094A70" w14:textId="3DAA1644" w:rsidR="003A3BC3" w:rsidRPr="000F2158" w:rsidRDefault="003A3BC3" w:rsidP="00506079">
      <w:pPr>
        <w:spacing w:after="0" w:line="240" w:lineRule="auto"/>
        <w:jc w:val="both"/>
        <w:rPr>
          <w:rFonts w:ascii="Verdana" w:eastAsia="Calibri" w:hAnsi="Verdana" w:cs="Arial"/>
          <w:b/>
          <w:highlight w:val="yellow"/>
          <w:lang w:eastAsia="es-ES_tradnl"/>
        </w:rPr>
      </w:pPr>
      <w:r w:rsidRPr="003A3BC3">
        <w:rPr>
          <w:rFonts w:ascii="Verdana" w:eastAsia="Calibri" w:hAnsi="Verdana" w:cs="Arial"/>
          <w:b/>
          <w:lang w:eastAsia="es-ES_tradnl"/>
        </w:rPr>
        <w:t>Aeronáutica Civil</w:t>
      </w:r>
    </w:p>
    <w:p w14:paraId="3700B6BD" w14:textId="328D2315" w:rsidR="00506079" w:rsidRPr="000F2158" w:rsidRDefault="00506079" w:rsidP="00506079">
      <w:pPr>
        <w:spacing w:after="0" w:line="240" w:lineRule="auto"/>
        <w:jc w:val="both"/>
        <w:rPr>
          <w:rFonts w:ascii="Verdana" w:eastAsia="Calibri" w:hAnsi="Verdana" w:cs="Arial"/>
          <w:b/>
          <w:highlight w:val="yellow"/>
          <w:lang w:eastAsia="es-ES_tradnl"/>
        </w:rPr>
      </w:pPr>
      <w:hyperlink r:id="rId12" w:history="1">
        <w:r w:rsidRPr="000F6ED8">
          <w:rPr>
            <w:rStyle w:val="Hipervnculo"/>
            <w:rFonts w:ascii="Verdana" w:eastAsia="Calibri" w:hAnsi="Verdana" w:cs="Arial"/>
            <w:b/>
            <w:lang w:eastAsia="es-ES_tradnl"/>
          </w:rPr>
          <w:t>luis.aponte@aerocivil.gov.co</w:t>
        </w:r>
      </w:hyperlink>
      <w:r>
        <w:rPr>
          <w:rFonts w:ascii="Verdana" w:eastAsia="Calibri" w:hAnsi="Verdana" w:cs="Arial"/>
          <w:b/>
          <w:lang w:eastAsia="es-ES_tradnl"/>
        </w:rPr>
        <w:t xml:space="preserve"> </w:t>
      </w:r>
    </w:p>
    <w:p w14:paraId="316F4960" w14:textId="77777777" w:rsidR="00506079" w:rsidRPr="004E1BE4" w:rsidRDefault="00506079" w:rsidP="00506079">
      <w:pPr>
        <w:spacing w:after="0" w:line="240" w:lineRule="auto"/>
        <w:jc w:val="both"/>
        <w:rPr>
          <w:rFonts w:ascii="Verdana" w:eastAsia="Calibri" w:hAnsi="Verdana" w:cs="Arial"/>
          <w:bCs/>
          <w:lang w:eastAsia="es-ES_tradnl"/>
        </w:rPr>
      </w:pPr>
      <w:r>
        <w:rPr>
          <w:rFonts w:ascii="Verdana" w:eastAsia="Calibri" w:hAnsi="Verdana" w:cs="Arial"/>
          <w:bCs/>
          <w:lang w:eastAsia="es-ES_tradnl"/>
        </w:rPr>
        <w:t>Cuidad</w:t>
      </w:r>
    </w:p>
    <w:p w14:paraId="155EC41D" w14:textId="77777777" w:rsidR="00506079" w:rsidRPr="005B4C57" w:rsidRDefault="00506079" w:rsidP="00506079">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06079" w:rsidRPr="002842E0" w14:paraId="411EE1DB" w14:textId="77777777" w:rsidTr="005B2B3F">
        <w:trPr>
          <w:trHeight w:val="162"/>
        </w:trPr>
        <w:tc>
          <w:tcPr>
            <w:tcW w:w="3119" w:type="dxa"/>
          </w:tcPr>
          <w:p w14:paraId="6F965703" w14:textId="77777777" w:rsidR="00506079" w:rsidRPr="005B4C57" w:rsidRDefault="00506079" w:rsidP="005B2B3F">
            <w:pPr>
              <w:jc w:val="both"/>
              <w:rPr>
                <w:rFonts w:ascii="Verdana" w:eastAsia="Calibri" w:hAnsi="Verdana" w:cs="Arial"/>
                <w:b/>
                <w:bCs/>
                <w:color w:val="7030A0"/>
                <w:lang w:val="it-CH" w:eastAsia="es-ES_tradnl"/>
              </w:rPr>
            </w:pPr>
          </w:p>
        </w:tc>
        <w:tc>
          <w:tcPr>
            <w:tcW w:w="5670" w:type="dxa"/>
          </w:tcPr>
          <w:p w14:paraId="7594FD0E" w14:textId="224FA8D9" w:rsidR="00506079" w:rsidRPr="00801462" w:rsidRDefault="00506079" w:rsidP="005B2B3F">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sidR="00B2487D">
              <w:rPr>
                <w:rFonts w:ascii="Verdana" w:eastAsia="Calibri" w:hAnsi="Verdana" w:cs="Arial"/>
                <w:b/>
                <w:bCs/>
                <w:lang w:eastAsia="es-ES"/>
              </w:rPr>
              <w:t>406</w:t>
            </w:r>
            <w:r>
              <w:rPr>
                <w:rFonts w:ascii="Verdana" w:eastAsia="Calibri" w:hAnsi="Verdana" w:cs="Arial"/>
                <w:b/>
                <w:bCs/>
                <w:lang w:eastAsia="es-ES"/>
              </w:rPr>
              <w:t xml:space="preserve"> de 2026</w:t>
            </w:r>
          </w:p>
          <w:p w14:paraId="6FBD02BC" w14:textId="77777777" w:rsidR="00506079" w:rsidRPr="00801462" w:rsidRDefault="00506079" w:rsidP="005B2B3F">
            <w:pPr>
              <w:jc w:val="both"/>
              <w:rPr>
                <w:rFonts w:ascii="Verdana" w:eastAsia="Calibri" w:hAnsi="Verdana" w:cs="Arial"/>
                <w:b/>
                <w:bCs/>
                <w:color w:val="7030A0"/>
                <w:lang w:eastAsia="es-ES"/>
              </w:rPr>
            </w:pPr>
          </w:p>
        </w:tc>
      </w:tr>
      <w:tr w:rsidR="00506079" w:rsidRPr="002842E0" w14:paraId="31A42486" w14:textId="77777777" w:rsidTr="005B2B3F">
        <w:trPr>
          <w:trHeight w:val="884"/>
        </w:trPr>
        <w:tc>
          <w:tcPr>
            <w:tcW w:w="3119" w:type="dxa"/>
          </w:tcPr>
          <w:p w14:paraId="58CB5644" w14:textId="77777777" w:rsidR="00506079" w:rsidRPr="00801462" w:rsidRDefault="00506079" w:rsidP="005B2B3F">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612FC1CF" w14:textId="77777777" w:rsidR="00B2487D" w:rsidRPr="00A23DBA" w:rsidRDefault="00B2487D" w:rsidP="00B2487D">
            <w:pPr>
              <w:spacing w:line="276" w:lineRule="auto"/>
              <w:jc w:val="both"/>
              <w:rPr>
                <w:rFonts w:ascii="Verdana" w:hAnsi="Verdana" w:cs="Arial"/>
                <w:lang w:val="es-ES" w:eastAsia="es-ES"/>
              </w:rPr>
            </w:pPr>
            <w:r w:rsidRPr="00C55BDE">
              <w:rPr>
                <w:rFonts w:ascii="Verdana" w:hAnsi="Verdana" w:cs="Arial"/>
                <w:lang w:val="es-ES" w:eastAsia="es-ES"/>
              </w:rPr>
              <w:t>LEY DE GARANTÍAS ELECTORALES – Finalidad / LEY DE GARANTÍAS ELECTORALES ‒ Restricciones ‒ Contratación ‒ Tipos de elección ‒</w:t>
            </w:r>
            <w:r>
              <w:rPr>
                <w:rFonts w:ascii="Verdana" w:hAnsi="Verdana" w:cs="Arial"/>
                <w:lang w:val="es-ES" w:eastAsia="es-ES"/>
              </w:rPr>
              <w:t xml:space="preserve"> Celebración </w:t>
            </w:r>
            <w:r w:rsidRPr="00C55BDE">
              <w:rPr>
                <w:rFonts w:ascii="Verdana" w:hAnsi="Verdana" w:cs="Arial"/>
                <w:lang w:val="es-MX" w:eastAsia="es-ES_tradnl"/>
              </w:rPr>
              <w:t>/</w:t>
            </w:r>
            <w:r w:rsidRPr="00C55BDE">
              <w:rPr>
                <w:rFonts w:ascii="Verdana" w:hAnsi="Verdana"/>
              </w:rPr>
              <w:t xml:space="preserve"> </w:t>
            </w:r>
            <w:r w:rsidRPr="00686D64">
              <w:rPr>
                <w:rFonts w:ascii="Verdana" w:eastAsia="Calibri" w:hAnsi="Verdana" w:cs="Arial"/>
                <w:lang w:val="es-ES" w:eastAsia="es-ES"/>
              </w:rPr>
              <w:t>LEY DE GARANTÍAS ELECTORALES ‒ Artículo 33 ‒ Ámbito material</w:t>
            </w:r>
            <w:r>
              <w:rPr>
                <w:rFonts w:ascii="Verdana" w:eastAsia="Calibri" w:hAnsi="Verdana" w:cs="Arial"/>
                <w:lang w:val="es-ES" w:eastAsia="es-ES"/>
              </w:rPr>
              <w:t xml:space="preserve"> </w:t>
            </w:r>
            <w:r w:rsidRPr="00686D64">
              <w:rPr>
                <w:rFonts w:ascii="Verdana" w:eastAsia="Calibri" w:hAnsi="Verdana" w:cs="Arial"/>
                <w:lang w:val="es-ES" w:eastAsia="es-ES"/>
              </w:rPr>
              <w:t>‒</w:t>
            </w:r>
            <w:r>
              <w:rPr>
                <w:rFonts w:ascii="Verdana" w:eastAsia="Calibri" w:hAnsi="Verdana" w:cs="Arial"/>
                <w:lang w:val="es-ES" w:eastAsia="es-ES"/>
              </w:rPr>
              <w:t xml:space="preserve"> Destinatarios </w:t>
            </w:r>
            <w:r w:rsidRPr="00C55BDE">
              <w:rPr>
                <w:rFonts w:ascii="Verdana" w:hAnsi="Verdana" w:cs="Arial"/>
                <w:lang w:val="es-MX" w:eastAsia="es-ES_tradnl"/>
              </w:rPr>
              <w:t>/</w:t>
            </w:r>
            <w:r>
              <w:rPr>
                <w:rFonts w:ascii="Verdana" w:hAnsi="Verdana" w:cs="Arial"/>
                <w:lang w:val="es-MX" w:eastAsia="es-ES_tradnl"/>
              </w:rPr>
              <w:t xml:space="preserve"> </w:t>
            </w:r>
            <w:r>
              <w:rPr>
                <w:rFonts w:ascii="Verdana" w:hAnsi="Verdana" w:cs="Arial"/>
                <w:color w:val="000000" w:themeColor="text1"/>
                <w:shd w:val="clear" w:color="auto" w:fill="FFFFFF"/>
                <w:lang w:val="es-ES"/>
              </w:rPr>
              <w:t>SECOP II </w:t>
            </w:r>
            <w:r>
              <w:rPr>
                <w:rFonts w:ascii="Verdana" w:hAnsi="Verdana" w:cs="Arial"/>
                <w:color w:val="000000" w:themeColor="text1"/>
                <w:shd w:val="clear" w:color="auto" w:fill="FFFFFF"/>
                <w:lang w:val="es-MX"/>
              </w:rPr>
              <w:t>–</w:t>
            </w:r>
            <w:r>
              <w:rPr>
                <w:rFonts w:ascii="Verdana" w:hAnsi="Verdana" w:cs="Arial"/>
                <w:color w:val="000000" w:themeColor="text1"/>
                <w:shd w:val="clear" w:color="auto" w:fill="FFFFFF"/>
                <w:lang w:val="es-ES"/>
              </w:rPr>
              <w:t xml:space="preserve"> Plataforma Transaccional </w:t>
            </w:r>
            <w:r>
              <w:rPr>
                <w:rFonts w:ascii="Verdana" w:eastAsia="Calibri" w:hAnsi="Verdana" w:cs="Arial"/>
                <w:lang w:val="es-ES" w:eastAsia="es-ES"/>
              </w:rPr>
              <w:t xml:space="preserve">/ </w:t>
            </w:r>
            <w:r>
              <w:rPr>
                <w:rFonts w:ascii="Verdana" w:hAnsi="Verdana" w:cs="Arial"/>
                <w:color w:val="000000" w:themeColor="text1"/>
                <w:shd w:val="clear" w:color="auto" w:fill="FFFFFF"/>
                <w:lang w:val="es-ES"/>
              </w:rPr>
              <w:t>SECOP II </w:t>
            </w:r>
            <w:r>
              <w:rPr>
                <w:rFonts w:ascii="Verdana" w:hAnsi="Verdana" w:cs="Arial"/>
                <w:color w:val="000000" w:themeColor="text1"/>
                <w:shd w:val="clear" w:color="auto" w:fill="FFFFFF"/>
                <w:lang w:val="es-MX"/>
              </w:rPr>
              <w:t>–</w:t>
            </w:r>
            <w:r>
              <w:rPr>
                <w:rFonts w:ascii="Verdana" w:hAnsi="Verdana" w:cs="Arial"/>
                <w:color w:val="000000" w:themeColor="text1"/>
                <w:shd w:val="clear" w:color="auto" w:fill="FFFFFF"/>
                <w:lang w:val="es-ES"/>
              </w:rPr>
              <w:t xml:space="preserve"> Contrato electrónico </w:t>
            </w:r>
            <w:r>
              <w:rPr>
                <w:rFonts w:ascii="Verdana" w:eastAsia="Calibri" w:hAnsi="Verdana" w:cs="Arial"/>
                <w:lang w:val="es-ES" w:eastAsia="es-ES"/>
              </w:rPr>
              <w:t xml:space="preserve">– Aprobación </w:t>
            </w:r>
            <w:r>
              <w:rPr>
                <w:rFonts w:ascii="Verdana" w:hAnsi="Verdana" w:cs="Arial"/>
                <w:color w:val="000000" w:themeColor="text1"/>
                <w:shd w:val="clear" w:color="auto" w:fill="FFFFFF"/>
                <w:lang w:val="es-MX"/>
              </w:rPr>
              <w:t xml:space="preserve">– Perfeccionamiento / </w:t>
            </w:r>
            <w:r>
              <w:rPr>
                <w:rFonts w:ascii="Verdana" w:hAnsi="Verdana" w:cs="Arial"/>
                <w:color w:val="000000" w:themeColor="text1"/>
                <w:shd w:val="clear" w:color="auto" w:fill="FFFFFF"/>
                <w:lang w:val="es-ES"/>
              </w:rPr>
              <w:t>SECOP II </w:t>
            </w:r>
            <w:r>
              <w:rPr>
                <w:rFonts w:ascii="Verdana" w:hAnsi="Verdana" w:cs="Arial"/>
                <w:color w:val="000000" w:themeColor="text1"/>
                <w:shd w:val="clear" w:color="auto" w:fill="FFFFFF"/>
                <w:lang w:val="es-MX"/>
              </w:rPr>
              <w:t>– Aplicación ley de gara</w:t>
            </w:r>
            <w:r w:rsidRPr="00562602">
              <w:rPr>
                <w:rFonts w:ascii="Verdana" w:hAnsi="Verdana" w:cs="Arial"/>
                <w:color w:val="000000" w:themeColor="text1"/>
                <w:shd w:val="clear" w:color="auto" w:fill="FFFFFF"/>
                <w:lang w:val="es-MX"/>
              </w:rPr>
              <w:t>ntías</w:t>
            </w:r>
            <w:r>
              <w:rPr>
                <w:rFonts w:ascii="Verdana" w:hAnsi="Verdana" w:cs="Arial"/>
                <w:color w:val="000000" w:themeColor="text1"/>
                <w:shd w:val="clear" w:color="auto" w:fill="FFFFFF"/>
                <w:lang w:val="es-MX"/>
              </w:rPr>
              <w:t xml:space="preserve"> – Nulidad </w:t>
            </w:r>
          </w:p>
          <w:p w14:paraId="5D26B96B" w14:textId="77777777" w:rsidR="00506079" w:rsidRPr="00B2487D" w:rsidRDefault="00506079" w:rsidP="00B2487D">
            <w:pPr>
              <w:jc w:val="both"/>
              <w:rPr>
                <w:rFonts w:ascii="Verdana" w:eastAsia="Calibri" w:hAnsi="Verdana" w:cs="Arial"/>
                <w:lang w:val="es-ES" w:eastAsia="es-ES"/>
              </w:rPr>
            </w:pPr>
          </w:p>
        </w:tc>
      </w:tr>
      <w:tr w:rsidR="00506079" w:rsidRPr="002842E0" w14:paraId="47E374D4" w14:textId="77777777" w:rsidTr="005B2B3F">
        <w:tc>
          <w:tcPr>
            <w:tcW w:w="3119" w:type="dxa"/>
          </w:tcPr>
          <w:p w14:paraId="0119FCAE" w14:textId="77777777" w:rsidR="00506079" w:rsidRPr="00801462" w:rsidRDefault="00506079" w:rsidP="005B2B3F">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268468F1" w14:textId="38A6140A" w:rsidR="00C82754" w:rsidRPr="00F00518" w:rsidRDefault="00506079" w:rsidP="00C82754">
            <w:pPr>
              <w:jc w:val="both"/>
              <w:rPr>
                <w:rFonts w:ascii="Verdana" w:eastAsia="Calibri" w:hAnsi="Verdana" w:cs="Arial"/>
                <w:lang w:eastAsia="es-ES_tradnl"/>
              </w:rPr>
            </w:pPr>
            <w:r w:rsidRPr="00F00518">
              <w:rPr>
                <w:rFonts w:ascii="Verdana" w:eastAsia="Calibri" w:hAnsi="Verdana" w:cs="Arial"/>
                <w:lang w:eastAsia="es-ES_tradnl"/>
              </w:rPr>
              <w:t>Respuesta a consulta con radicado 1_2026_03_12_003462</w:t>
            </w:r>
            <w:r w:rsidR="006B5574" w:rsidRPr="00F00518">
              <w:rPr>
                <w:rFonts w:ascii="Verdana" w:eastAsia="Calibri" w:hAnsi="Verdana" w:cs="Arial"/>
                <w:lang w:eastAsia="es-ES_tradnl"/>
              </w:rPr>
              <w:t xml:space="preserve"> &amp; </w:t>
            </w:r>
            <w:r w:rsidR="00C82754" w:rsidRPr="00F00518">
              <w:rPr>
                <w:rFonts w:ascii="Verdana" w:hAnsi="Verdana"/>
                <w:color w:val="2B2B2B"/>
              </w:rPr>
              <w:t>1_2026_03_13_003506</w:t>
            </w:r>
            <w:r w:rsidR="00F00518" w:rsidRPr="00F00518">
              <w:rPr>
                <w:rFonts w:ascii="Verdana" w:hAnsi="Verdana"/>
                <w:color w:val="2B2B2B"/>
              </w:rPr>
              <w:t xml:space="preserve"> </w:t>
            </w:r>
          </w:p>
          <w:p w14:paraId="5CFF4413" w14:textId="311C8731" w:rsidR="00506079" w:rsidRPr="00801462" w:rsidRDefault="00F00518" w:rsidP="005B2B3F">
            <w:pPr>
              <w:jc w:val="both"/>
              <w:rPr>
                <w:rFonts w:ascii="Verdana" w:eastAsia="Calibri" w:hAnsi="Verdana" w:cs="Arial"/>
                <w:lang w:eastAsia="es-ES_tradnl"/>
              </w:rPr>
            </w:pPr>
            <w:r>
              <w:rPr>
                <w:rFonts w:ascii="Verdana" w:eastAsia="Calibri" w:hAnsi="Verdana" w:cs="Arial"/>
                <w:lang w:eastAsia="es-ES_tradnl"/>
              </w:rPr>
              <w:t>(Acumuladas)</w:t>
            </w:r>
          </w:p>
        </w:tc>
      </w:tr>
    </w:tbl>
    <w:p w14:paraId="7C05CBD8" w14:textId="77777777" w:rsidR="00506079" w:rsidRDefault="00506079" w:rsidP="00506079">
      <w:pPr>
        <w:spacing w:after="0" w:line="276" w:lineRule="auto"/>
        <w:jc w:val="both"/>
        <w:rPr>
          <w:rFonts w:ascii="Verdana" w:eastAsia="Calibri" w:hAnsi="Verdana" w:cs="Arial"/>
          <w:lang w:eastAsia="es-ES_tradnl"/>
        </w:rPr>
      </w:pPr>
    </w:p>
    <w:p w14:paraId="056A0DB7" w14:textId="77777777" w:rsidR="00506079" w:rsidRDefault="00506079" w:rsidP="00506079">
      <w:pPr>
        <w:spacing w:after="0" w:line="276" w:lineRule="auto"/>
        <w:jc w:val="both"/>
        <w:rPr>
          <w:rFonts w:ascii="Verdana" w:eastAsia="Calibri" w:hAnsi="Verdana" w:cs="Arial"/>
          <w:lang w:eastAsia="es-ES_tradnl"/>
        </w:rPr>
      </w:pPr>
    </w:p>
    <w:p w14:paraId="509CDCDA" w14:textId="21A11E77" w:rsidR="00506079" w:rsidRPr="008E4F36" w:rsidRDefault="00506079" w:rsidP="00506079">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w:t>
      </w:r>
      <w:r w:rsidR="00B2487D">
        <w:rPr>
          <w:rFonts w:ascii="Verdana" w:eastAsia="Calibri" w:hAnsi="Verdana" w:cs="Arial"/>
          <w:bCs/>
          <w:lang w:eastAsia="es-ES_tradnl"/>
        </w:rPr>
        <w:t>Aponte</w:t>
      </w:r>
      <w:r w:rsidRPr="00083AB6">
        <w:rPr>
          <w:rFonts w:ascii="Verdana" w:eastAsia="Calibri" w:hAnsi="Verdana" w:cs="Arial"/>
          <w:lang w:eastAsia="es-ES"/>
        </w:rPr>
        <w:t>:</w:t>
      </w:r>
      <w:r w:rsidRPr="008E4F36">
        <w:rPr>
          <w:rFonts w:ascii="Verdana" w:eastAsia="Calibri" w:hAnsi="Verdana" w:cs="Arial"/>
          <w:lang w:eastAsia="es-ES"/>
        </w:rPr>
        <w:t xml:space="preserve"> </w:t>
      </w:r>
    </w:p>
    <w:p w14:paraId="2CD179F4" w14:textId="77777777" w:rsidR="00506079" w:rsidRDefault="00506079" w:rsidP="00506079">
      <w:pPr>
        <w:tabs>
          <w:tab w:val="left" w:pos="3768"/>
        </w:tabs>
        <w:spacing w:after="0" w:line="240" w:lineRule="auto"/>
        <w:jc w:val="both"/>
        <w:rPr>
          <w:rFonts w:ascii="Verdana" w:eastAsia="Calibri" w:hAnsi="Verdana" w:cs="Arial"/>
          <w:lang w:eastAsia="es-ES"/>
        </w:rPr>
      </w:pPr>
    </w:p>
    <w:p w14:paraId="7B40488C" w14:textId="78926779" w:rsidR="00506079" w:rsidRPr="008E4F36" w:rsidRDefault="00506079" w:rsidP="00506079">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12</w:t>
      </w:r>
      <w:r w:rsidRPr="00AF6D58">
        <w:rPr>
          <w:rFonts w:ascii="Verdana" w:eastAsia="Calibri" w:hAnsi="Verdana" w:cs="Arial"/>
          <w:lang w:eastAsia="es-ES"/>
        </w:rPr>
        <w:t xml:space="preserve"> de </w:t>
      </w:r>
      <w:r>
        <w:rPr>
          <w:rFonts w:ascii="Verdana" w:eastAsia="Calibri" w:hAnsi="Verdana" w:cs="Arial"/>
          <w:lang w:eastAsia="es-ES"/>
        </w:rPr>
        <w:t>marzo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6C2C2AED" w14:textId="77777777" w:rsidR="00506079" w:rsidRPr="008E4F36" w:rsidRDefault="00506079" w:rsidP="00506079">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3135E5B1" w14:textId="77777777" w:rsidR="00506079" w:rsidRPr="00FE48E7" w:rsidRDefault="00506079" w:rsidP="00FE48E7">
      <w:pPr>
        <w:spacing w:after="0" w:line="240" w:lineRule="auto"/>
        <w:ind w:left="720"/>
        <w:jc w:val="both"/>
        <w:rPr>
          <w:rFonts w:ascii="Verdana" w:eastAsia="Century Gothic" w:hAnsi="Verdana" w:cs="Century Gothic"/>
          <w:i/>
          <w:iCs/>
          <w:sz w:val="20"/>
          <w:szCs w:val="20"/>
        </w:rPr>
      </w:pPr>
      <w:bookmarkStart w:id="2" w:name="_Hlk192699624"/>
      <w:bookmarkStart w:id="3" w:name="_Hlk199394899"/>
      <w:r w:rsidRPr="00FE48E7">
        <w:rPr>
          <w:rFonts w:ascii="Verdana" w:eastAsia="Century Gothic" w:hAnsi="Verdana" w:cs="Century Gothic"/>
          <w:i/>
          <w:iCs/>
          <w:sz w:val="20"/>
          <w:szCs w:val="20"/>
        </w:rPr>
        <w:t>“</w:t>
      </w:r>
      <w:bookmarkEnd w:id="2"/>
      <w:bookmarkEnd w:id="3"/>
      <w:r w:rsidRPr="00FE48E7">
        <w:rPr>
          <w:rFonts w:ascii="Verdana" w:eastAsia="Century Gothic" w:hAnsi="Verdana" w:cs="Century Gothic"/>
          <w:b/>
          <w:bCs/>
          <w:i/>
          <w:iCs/>
          <w:sz w:val="20"/>
          <w:szCs w:val="20"/>
        </w:rPr>
        <w:t xml:space="preserve">Planteamiento: </w:t>
      </w:r>
      <w:r w:rsidRPr="00FE48E7">
        <w:rPr>
          <w:rFonts w:ascii="Verdana" w:eastAsia="Century Gothic" w:hAnsi="Verdana" w:cs="Century Gothic"/>
          <w:i/>
          <w:iCs/>
          <w:sz w:val="20"/>
          <w:szCs w:val="20"/>
        </w:rPr>
        <w:t>Un contrato interadministrativo es aprobado en SECOP II por</w:t>
      </w:r>
    </w:p>
    <w:p w14:paraId="15F9C6AC" w14:textId="6BE44B4F" w:rsidR="00506079" w:rsidRPr="00506079" w:rsidRDefault="00506079" w:rsidP="00FE48E7">
      <w:pPr>
        <w:spacing w:after="0" w:line="240" w:lineRule="auto"/>
        <w:ind w:left="720"/>
        <w:jc w:val="both"/>
        <w:rPr>
          <w:rFonts w:ascii="Verdana" w:eastAsia="Century Gothic" w:hAnsi="Verdana" w:cs="Century Gothic"/>
          <w:i/>
          <w:iCs/>
          <w:sz w:val="20"/>
          <w:szCs w:val="20"/>
        </w:rPr>
      </w:pPr>
      <w:r w:rsidRPr="00506079">
        <w:rPr>
          <w:rFonts w:ascii="Verdana" w:eastAsia="Century Gothic" w:hAnsi="Verdana" w:cs="Century Gothic"/>
          <w:i/>
          <w:iCs/>
          <w:sz w:val="20"/>
          <w:szCs w:val="20"/>
        </w:rPr>
        <w:t>la entidad contratista el 30 de enero de 2026 a las 23:58 horas y luego es</w:t>
      </w:r>
      <w:r w:rsidR="00FE48E7">
        <w:rPr>
          <w:rFonts w:ascii="Verdana" w:eastAsia="Century Gothic" w:hAnsi="Verdana" w:cs="Century Gothic"/>
          <w:i/>
          <w:iCs/>
          <w:sz w:val="20"/>
          <w:szCs w:val="20"/>
        </w:rPr>
        <w:t xml:space="preserve"> </w:t>
      </w:r>
      <w:r w:rsidRPr="00506079">
        <w:rPr>
          <w:rFonts w:ascii="Verdana" w:eastAsia="Century Gothic" w:hAnsi="Verdana" w:cs="Century Gothic"/>
          <w:i/>
          <w:iCs/>
          <w:sz w:val="20"/>
          <w:szCs w:val="20"/>
        </w:rPr>
        <w:t>aprobado por la entidad contratante el 31 de enero de 2026 a las 00:07 horas.</w:t>
      </w:r>
    </w:p>
    <w:p w14:paraId="2A4767A9" w14:textId="77777777" w:rsidR="00506079" w:rsidRPr="00506079" w:rsidRDefault="00506079" w:rsidP="00FE48E7">
      <w:pPr>
        <w:spacing w:after="0" w:line="240" w:lineRule="auto"/>
        <w:ind w:left="720"/>
        <w:jc w:val="both"/>
        <w:rPr>
          <w:rFonts w:ascii="Verdana" w:eastAsia="Century Gothic" w:hAnsi="Verdana" w:cs="Century Gothic"/>
          <w:i/>
          <w:iCs/>
          <w:sz w:val="20"/>
          <w:szCs w:val="20"/>
        </w:rPr>
      </w:pPr>
      <w:r w:rsidRPr="00506079">
        <w:rPr>
          <w:rFonts w:ascii="Verdana" w:eastAsia="Century Gothic" w:hAnsi="Verdana" w:cs="Century Gothic"/>
          <w:i/>
          <w:iCs/>
          <w:sz w:val="20"/>
          <w:szCs w:val="20"/>
        </w:rPr>
        <w:t>Dicho contrato no está exceptuado de las restricciones del artículo 33 de la Ley</w:t>
      </w:r>
    </w:p>
    <w:p w14:paraId="7577C0E7" w14:textId="10609A8F" w:rsidR="00506079" w:rsidRPr="00FE48E7" w:rsidRDefault="00506079" w:rsidP="00FE48E7">
      <w:pPr>
        <w:spacing w:after="0" w:line="240" w:lineRule="auto"/>
        <w:ind w:left="720"/>
        <w:jc w:val="both"/>
        <w:rPr>
          <w:rFonts w:ascii="Verdana" w:eastAsia="Century Gothic" w:hAnsi="Verdana" w:cs="Century Gothic"/>
          <w:i/>
          <w:iCs/>
          <w:sz w:val="20"/>
          <w:szCs w:val="20"/>
        </w:rPr>
      </w:pPr>
      <w:r w:rsidRPr="00FE48E7">
        <w:rPr>
          <w:rFonts w:ascii="Verdana" w:eastAsia="Century Gothic" w:hAnsi="Verdana" w:cs="Century Gothic"/>
          <w:i/>
          <w:iCs/>
          <w:sz w:val="20"/>
          <w:szCs w:val="20"/>
        </w:rPr>
        <w:lastRenderedPageBreak/>
        <w:t>996 de 2005.</w:t>
      </w:r>
    </w:p>
    <w:p w14:paraId="182D5747" w14:textId="77777777" w:rsidR="00FE48E7" w:rsidRPr="00FE48E7" w:rsidRDefault="00FE48E7" w:rsidP="00FE48E7">
      <w:pPr>
        <w:spacing w:after="0" w:line="240" w:lineRule="auto"/>
        <w:ind w:left="720"/>
        <w:jc w:val="both"/>
        <w:rPr>
          <w:rFonts w:ascii="Verdana" w:eastAsia="Century Gothic" w:hAnsi="Verdana" w:cs="Century Gothic"/>
          <w:i/>
          <w:iCs/>
          <w:sz w:val="20"/>
          <w:szCs w:val="20"/>
        </w:rPr>
      </w:pPr>
    </w:p>
    <w:p w14:paraId="2016ECD2" w14:textId="151DAA0A" w:rsidR="00FE48E7" w:rsidRPr="00FE48E7" w:rsidRDefault="00FE48E7" w:rsidP="00FE48E7">
      <w:pPr>
        <w:spacing w:after="0" w:line="240" w:lineRule="auto"/>
        <w:ind w:left="720"/>
        <w:jc w:val="both"/>
        <w:rPr>
          <w:rFonts w:ascii="Verdana" w:hAnsi="Verdana"/>
          <w:i/>
          <w:iCs/>
          <w:sz w:val="20"/>
          <w:szCs w:val="20"/>
        </w:rPr>
      </w:pPr>
      <w:r w:rsidRPr="00FE48E7">
        <w:rPr>
          <w:rFonts w:ascii="Verdana" w:hAnsi="Verdana"/>
          <w:i/>
          <w:iCs/>
          <w:sz w:val="20"/>
          <w:szCs w:val="20"/>
        </w:rPr>
        <w:t>¿Es procedente terminar unilateralmente dicho contrato por la causal</w:t>
      </w:r>
      <w:r>
        <w:rPr>
          <w:rFonts w:ascii="Verdana" w:hAnsi="Verdana"/>
          <w:i/>
          <w:iCs/>
          <w:sz w:val="20"/>
          <w:szCs w:val="20"/>
        </w:rPr>
        <w:t xml:space="preserve"> </w:t>
      </w:r>
      <w:r w:rsidRPr="00FE48E7">
        <w:rPr>
          <w:rFonts w:ascii="Verdana" w:hAnsi="Verdana"/>
          <w:i/>
          <w:iCs/>
          <w:sz w:val="20"/>
          <w:szCs w:val="20"/>
        </w:rPr>
        <w:t>de nulidad absoluta establecida en el artículo 44 numeral 2 de la Ley 80 de 1993?</w:t>
      </w:r>
      <w:r>
        <w:rPr>
          <w:rFonts w:ascii="Verdana" w:hAnsi="Verdana"/>
          <w:i/>
          <w:iCs/>
          <w:sz w:val="20"/>
          <w:szCs w:val="20"/>
        </w:rPr>
        <w:t xml:space="preserve"> </w:t>
      </w:r>
      <w:r w:rsidRPr="00FE48E7">
        <w:rPr>
          <w:rFonts w:ascii="Verdana" w:hAnsi="Verdana"/>
          <w:i/>
          <w:iCs/>
          <w:sz w:val="20"/>
          <w:szCs w:val="20"/>
        </w:rPr>
        <w:t xml:space="preserve">O </w:t>
      </w:r>
      <w:proofErr w:type="gramStart"/>
      <w:r w:rsidRPr="00FE48E7">
        <w:rPr>
          <w:rFonts w:ascii="Verdana" w:hAnsi="Verdana"/>
          <w:i/>
          <w:iCs/>
          <w:sz w:val="20"/>
          <w:szCs w:val="20"/>
        </w:rPr>
        <w:t>si</w:t>
      </w:r>
      <w:proofErr w:type="gramEnd"/>
      <w:r w:rsidRPr="00FE48E7">
        <w:rPr>
          <w:rFonts w:ascii="Verdana" w:hAnsi="Verdana"/>
          <w:i/>
          <w:iCs/>
          <w:sz w:val="20"/>
          <w:szCs w:val="20"/>
        </w:rPr>
        <w:t xml:space="preserve"> por el contrario, ¿Es procedente dar continuidad con los requisitos de</w:t>
      </w:r>
      <w:r>
        <w:rPr>
          <w:rFonts w:ascii="Verdana" w:hAnsi="Verdana"/>
          <w:i/>
          <w:iCs/>
          <w:sz w:val="20"/>
          <w:szCs w:val="20"/>
        </w:rPr>
        <w:t xml:space="preserve"> </w:t>
      </w:r>
      <w:r w:rsidRPr="00FE48E7">
        <w:rPr>
          <w:rFonts w:ascii="Verdana" w:hAnsi="Verdana"/>
          <w:i/>
          <w:iCs/>
          <w:sz w:val="20"/>
          <w:szCs w:val="20"/>
        </w:rPr>
        <w:t xml:space="preserve">ejecución y expedir el Registro Presupuestal </w:t>
      </w:r>
      <w:proofErr w:type="gramStart"/>
      <w:r w:rsidRPr="00FE48E7">
        <w:rPr>
          <w:rFonts w:ascii="Verdana" w:hAnsi="Verdana"/>
          <w:i/>
          <w:iCs/>
          <w:sz w:val="20"/>
          <w:szCs w:val="20"/>
        </w:rPr>
        <w:t>y</w:t>
      </w:r>
      <w:proofErr w:type="gramEnd"/>
      <w:r w:rsidRPr="00FE48E7">
        <w:rPr>
          <w:rFonts w:ascii="Verdana" w:hAnsi="Verdana"/>
          <w:i/>
          <w:iCs/>
          <w:sz w:val="20"/>
          <w:szCs w:val="20"/>
        </w:rPr>
        <w:t xml:space="preserve"> por consiguiente, el acta de inicio</w:t>
      </w:r>
      <w:r>
        <w:rPr>
          <w:rFonts w:ascii="Verdana" w:hAnsi="Verdana"/>
          <w:i/>
          <w:iCs/>
          <w:sz w:val="20"/>
          <w:szCs w:val="20"/>
        </w:rPr>
        <w:t xml:space="preserve"> </w:t>
      </w:r>
      <w:proofErr w:type="gramStart"/>
      <w:r w:rsidRPr="00FE48E7">
        <w:rPr>
          <w:rFonts w:ascii="Verdana" w:hAnsi="Verdana"/>
          <w:i/>
          <w:iCs/>
          <w:sz w:val="20"/>
          <w:szCs w:val="20"/>
        </w:rPr>
        <w:t>del mismo</w:t>
      </w:r>
      <w:proofErr w:type="gramEnd"/>
      <w:r w:rsidRPr="00FE48E7">
        <w:rPr>
          <w:rFonts w:ascii="Verdana" w:hAnsi="Verdana"/>
          <w:i/>
          <w:iCs/>
          <w:sz w:val="20"/>
          <w:szCs w:val="20"/>
        </w:rPr>
        <w:t xml:space="preserve"> en virtud de los principios de la contratación estatal y las presunciones de legalidad?, así mismo, ¿Es procedente conciliar la expedición del Registro</w:t>
      </w:r>
    </w:p>
    <w:p w14:paraId="2A87EA8A" w14:textId="77777777" w:rsidR="00FE48E7" w:rsidRPr="00FE48E7" w:rsidRDefault="00FE48E7" w:rsidP="00FE48E7">
      <w:pPr>
        <w:spacing w:after="0" w:line="240" w:lineRule="auto"/>
        <w:ind w:left="720"/>
        <w:jc w:val="both"/>
        <w:rPr>
          <w:rFonts w:ascii="Verdana" w:hAnsi="Verdana"/>
          <w:i/>
          <w:iCs/>
          <w:sz w:val="20"/>
          <w:szCs w:val="20"/>
        </w:rPr>
      </w:pPr>
      <w:r w:rsidRPr="00FE48E7">
        <w:rPr>
          <w:rFonts w:ascii="Verdana" w:hAnsi="Verdana"/>
          <w:i/>
          <w:iCs/>
          <w:sz w:val="20"/>
          <w:szCs w:val="20"/>
        </w:rPr>
        <w:t xml:space="preserve">Presupuestal y dar ejecución en sede judicial o </w:t>
      </w:r>
      <w:proofErr w:type="gramStart"/>
      <w:r w:rsidRPr="00FE48E7">
        <w:rPr>
          <w:rFonts w:ascii="Verdana" w:hAnsi="Verdana"/>
          <w:i/>
          <w:iCs/>
          <w:sz w:val="20"/>
          <w:szCs w:val="20"/>
        </w:rPr>
        <w:t>extra judicial</w:t>
      </w:r>
      <w:proofErr w:type="gramEnd"/>
      <w:r w:rsidRPr="00FE48E7">
        <w:rPr>
          <w:rFonts w:ascii="Verdana" w:hAnsi="Verdana"/>
          <w:i/>
          <w:iCs/>
          <w:sz w:val="20"/>
          <w:szCs w:val="20"/>
        </w:rPr>
        <w:t xml:space="preserve"> en el supuesto en</w:t>
      </w:r>
    </w:p>
    <w:p w14:paraId="42B9FE44" w14:textId="1BF2EECF" w:rsidR="00506079" w:rsidRPr="00FE48E7" w:rsidRDefault="00FE48E7" w:rsidP="00FE48E7">
      <w:pPr>
        <w:spacing w:after="0" w:line="240" w:lineRule="auto"/>
        <w:ind w:left="720"/>
        <w:jc w:val="both"/>
        <w:rPr>
          <w:rFonts w:ascii="Verdana" w:hAnsi="Verdana"/>
          <w:i/>
          <w:iCs/>
          <w:sz w:val="20"/>
          <w:szCs w:val="20"/>
        </w:rPr>
      </w:pPr>
      <w:proofErr w:type="gramStart"/>
      <w:r w:rsidRPr="00FE48E7">
        <w:rPr>
          <w:rFonts w:ascii="Verdana" w:hAnsi="Verdana"/>
          <w:i/>
          <w:iCs/>
          <w:sz w:val="20"/>
          <w:szCs w:val="20"/>
        </w:rPr>
        <w:t>concreto?</w:t>
      </w:r>
      <w:r w:rsidR="00506079" w:rsidRPr="00FE48E7">
        <w:rPr>
          <w:rFonts w:ascii="Verdana" w:hAnsi="Verdana"/>
          <w:i/>
          <w:iCs/>
          <w:sz w:val="20"/>
          <w:szCs w:val="20"/>
        </w:rPr>
        <w:t>.</w:t>
      </w:r>
      <w:proofErr w:type="gramEnd"/>
      <w:r w:rsidR="00506079" w:rsidRPr="00FE48E7">
        <w:rPr>
          <w:rFonts w:ascii="Verdana" w:hAnsi="Verdana"/>
          <w:i/>
          <w:iCs/>
          <w:sz w:val="20"/>
          <w:szCs w:val="20"/>
        </w:rPr>
        <w:t>”</w:t>
      </w:r>
    </w:p>
    <w:p w14:paraId="745C563C" w14:textId="77777777" w:rsidR="00506079" w:rsidRPr="008E4F36" w:rsidRDefault="00506079" w:rsidP="00506079">
      <w:pPr>
        <w:spacing w:after="0" w:line="240" w:lineRule="auto"/>
        <w:ind w:left="709" w:right="709"/>
        <w:jc w:val="both"/>
        <w:rPr>
          <w:rFonts w:ascii="Verdana" w:hAnsi="Verdana"/>
          <w:sz w:val="20"/>
          <w:szCs w:val="20"/>
        </w:rPr>
      </w:pPr>
    </w:p>
    <w:p w14:paraId="15652C58" w14:textId="77777777" w:rsidR="00506079" w:rsidRDefault="00506079" w:rsidP="00506079">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562D8D9" w14:textId="77777777" w:rsidR="00506079" w:rsidRPr="00054383" w:rsidRDefault="00506079" w:rsidP="00506079">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1C25F578" w14:textId="77777777" w:rsidR="00506079" w:rsidRPr="008E4F36" w:rsidRDefault="00506079" w:rsidP="00506079">
      <w:pPr>
        <w:spacing w:after="0"/>
        <w:ind w:firstLine="709"/>
        <w:jc w:val="both"/>
        <w:rPr>
          <w:rFonts w:ascii="Verdana" w:eastAsia="Calibri" w:hAnsi="Verdana" w:cs="Arial"/>
          <w:color w:val="000000"/>
          <w:lang w:eastAsia="es-ES"/>
        </w:rPr>
      </w:pPr>
    </w:p>
    <w:p w14:paraId="7746C100" w14:textId="77777777" w:rsidR="00506079" w:rsidRDefault="00506079" w:rsidP="00506079">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706716FB" w14:textId="77777777" w:rsidR="00506079" w:rsidRDefault="00506079" w:rsidP="00506079">
      <w:pPr>
        <w:spacing w:after="0" w:line="276" w:lineRule="auto"/>
        <w:jc w:val="both"/>
        <w:rPr>
          <w:rFonts w:ascii="Verdana" w:eastAsia="Calibri" w:hAnsi="Verdana" w:cs="Arial"/>
          <w:color w:val="000000"/>
          <w:highlight w:val="yellow"/>
          <w:lang w:eastAsia="es-ES"/>
        </w:rPr>
      </w:pPr>
    </w:p>
    <w:p w14:paraId="06D825E9" w14:textId="442F9907" w:rsidR="00B2487D" w:rsidRPr="00C55BDE" w:rsidRDefault="00506079" w:rsidP="00B2487D">
      <w:pPr>
        <w:spacing w:after="0" w:line="276" w:lineRule="auto"/>
        <w:jc w:val="both"/>
        <w:rPr>
          <w:rFonts w:ascii="Verdana" w:eastAsia="Century Gothic" w:hAnsi="Verdana" w:cs="Century Gothic"/>
          <w:color w:val="000000" w:themeColor="text1"/>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00B2487D">
        <w:rPr>
          <w:rFonts w:ascii="Verdana" w:eastAsia="Century Gothic" w:hAnsi="Verdana" w:cs="Century Gothic"/>
          <w:color w:val="000000" w:themeColor="text1"/>
        </w:rPr>
        <w:t xml:space="preserve">i) </w:t>
      </w:r>
      <w:r w:rsidR="00B2487D" w:rsidRPr="00A53FD7">
        <w:rPr>
          <w:rFonts w:ascii="Verdana" w:eastAsia="Century Gothic" w:hAnsi="Verdana" w:cs="Century Gothic"/>
          <w:color w:val="000000" w:themeColor="text1"/>
        </w:rPr>
        <w:t>¿</w:t>
      </w:r>
      <w:r w:rsidR="00B2487D">
        <w:rPr>
          <w:rFonts w:ascii="Verdana" w:eastAsia="Century Gothic" w:hAnsi="Verdana" w:cs="Century Gothic"/>
          <w:color w:val="000000" w:themeColor="text1"/>
        </w:rPr>
        <w:t>c</w:t>
      </w:r>
      <w:r w:rsidR="00B2487D" w:rsidRPr="00A53FD7">
        <w:rPr>
          <w:rFonts w:ascii="Verdana" w:eastAsia="Century Gothic" w:hAnsi="Verdana" w:cs="Century Gothic"/>
          <w:color w:val="000000" w:themeColor="text1"/>
        </w:rPr>
        <w:t xml:space="preserve">uál es el momento de celebración del contrato estatal en </w:t>
      </w:r>
      <w:r w:rsidR="00B2487D">
        <w:rPr>
          <w:rFonts w:ascii="Verdana" w:eastAsia="Century Gothic" w:hAnsi="Verdana" w:cs="Century Gothic"/>
          <w:color w:val="000000" w:themeColor="text1"/>
        </w:rPr>
        <w:t xml:space="preserve">la plataforma de </w:t>
      </w:r>
      <w:r w:rsidR="00B2487D" w:rsidRPr="00A53FD7">
        <w:rPr>
          <w:rFonts w:ascii="Verdana" w:eastAsia="Century Gothic" w:hAnsi="Verdana" w:cs="Century Gothic"/>
          <w:color w:val="000000" w:themeColor="text1"/>
        </w:rPr>
        <w:t>SECOP II</w:t>
      </w:r>
      <w:r w:rsidR="00B2487D">
        <w:rPr>
          <w:rFonts w:ascii="Verdana" w:eastAsia="Century Gothic" w:hAnsi="Verdana" w:cs="Century Gothic"/>
          <w:color w:val="000000" w:themeColor="text1"/>
        </w:rPr>
        <w:t>,</w:t>
      </w:r>
      <w:r w:rsidR="00B2487D" w:rsidRPr="00A53FD7">
        <w:rPr>
          <w:rFonts w:ascii="Verdana" w:eastAsia="Century Gothic" w:hAnsi="Verdana" w:cs="Century Gothic"/>
          <w:color w:val="000000" w:themeColor="text1"/>
        </w:rPr>
        <w:t xml:space="preserve"> para efectos de la aplicación de las restricciones de la Ley de Garantías</w:t>
      </w:r>
      <w:r w:rsidR="00B2487D">
        <w:rPr>
          <w:rFonts w:ascii="Verdana" w:eastAsia="Century Gothic" w:hAnsi="Verdana" w:cs="Century Gothic"/>
          <w:color w:val="000000" w:themeColor="text1"/>
        </w:rPr>
        <w:t xml:space="preserve"> Electorales?;</w:t>
      </w:r>
      <w:r w:rsidR="00B2487D" w:rsidRPr="00A53FD7">
        <w:rPr>
          <w:rFonts w:ascii="Verdana" w:eastAsia="Century Gothic" w:hAnsi="Verdana" w:cs="Century Gothic"/>
          <w:color w:val="000000" w:themeColor="text1"/>
        </w:rPr>
        <w:t xml:space="preserve"> </w:t>
      </w:r>
      <w:r w:rsidR="00B2487D">
        <w:rPr>
          <w:rFonts w:ascii="Verdana" w:eastAsia="Century Gothic" w:hAnsi="Verdana" w:cs="Century Gothic"/>
          <w:color w:val="000000" w:themeColor="text1"/>
        </w:rPr>
        <w:t xml:space="preserve">y </w:t>
      </w:r>
      <w:proofErr w:type="spellStart"/>
      <w:r w:rsidR="00B2487D">
        <w:rPr>
          <w:rFonts w:ascii="Verdana" w:eastAsia="Century Gothic" w:hAnsi="Verdana" w:cs="Century Gothic"/>
          <w:color w:val="000000" w:themeColor="text1"/>
        </w:rPr>
        <w:t>ii</w:t>
      </w:r>
      <w:proofErr w:type="spellEnd"/>
      <w:r w:rsidR="00B2487D">
        <w:rPr>
          <w:rFonts w:ascii="Verdana" w:eastAsia="Century Gothic" w:hAnsi="Verdana" w:cs="Century Gothic"/>
          <w:color w:val="000000" w:themeColor="text1"/>
        </w:rPr>
        <w:t>)</w:t>
      </w:r>
      <w:r w:rsidR="00B2487D" w:rsidRPr="00A53FD7">
        <w:rPr>
          <w:rFonts w:ascii="Verdana" w:eastAsia="Century Gothic" w:hAnsi="Verdana" w:cs="Century Gothic"/>
          <w:color w:val="000000" w:themeColor="text1"/>
        </w:rPr>
        <w:t xml:space="preserve"> </w:t>
      </w:r>
      <w:r w:rsidR="00B2487D">
        <w:rPr>
          <w:rFonts w:ascii="Verdana" w:eastAsia="Century Gothic" w:hAnsi="Verdana" w:cs="Century Gothic"/>
          <w:color w:val="000000" w:themeColor="text1"/>
        </w:rPr>
        <w:t>¿</w:t>
      </w:r>
      <w:r w:rsidR="00B2487D" w:rsidRPr="00A53FD7">
        <w:rPr>
          <w:rFonts w:ascii="Verdana" w:eastAsia="Century Gothic" w:hAnsi="Verdana" w:cs="Century Gothic"/>
          <w:color w:val="000000" w:themeColor="text1"/>
        </w:rPr>
        <w:t>cuáles son las consecuencias</w:t>
      </w:r>
      <w:r w:rsidR="00B2487D">
        <w:rPr>
          <w:rFonts w:ascii="Verdana" w:eastAsia="Century Gothic" w:hAnsi="Verdana" w:cs="Century Gothic"/>
          <w:color w:val="000000" w:themeColor="text1"/>
        </w:rPr>
        <w:t xml:space="preserve"> jurídicas</w:t>
      </w:r>
      <w:r w:rsidR="00B2487D" w:rsidRPr="00A53FD7">
        <w:rPr>
          <w:rFonts w:ascii="Verdana" w:eastAsia="Century Gothic" w:hAnsi="Verdana" w:cs="Century Gothic"/>
          <w:color w:val="000000" w:themeColor="text1"/>
        </w:rPr>
        <w:t xml:space="preserve"> cuando su perfeccionamiento</w:t>
      </w:r>
      <w:r w:rsidR="00B2487D">
        <w:rPr>
          <w:rFonts w:ascii="Verdana" w:eastAsia="Century Gothic" w:hAnsi="Verdana" w:cs="Century Gothic"/>
          <w:color w:val="000000" w:themeColor="text1"/>
        </w:rPr>
        <w:t xml:space="preserve"> en la plataforma del SECOP II</w:t>
      </w:r>
      <w:r w:rsidR="00B2487D" w:rsidRPr="00A53FD7">
        <w:rPr>
          <w:rFonts w:ascii="Verdana" w:eastAsia="Century Gothic" w:hAnsi="Verdana" w:cs="Century Gothic"/>
          <w:color w:val="000000" w:themeColor="text1"/>
        </w:rPr>
        <w:t xml:space="preserve"> ocurre dentro del período de prohibición</w:t>
      </w:r>
      <w:r w:rsidR="00B2487D" w:rsidRPr="00753842">
        <w:rPr>
          <w:rFonts w:ascii="Verdana" w:eastAsia="Century Gothic" w:hAnsi="Verdana" w:cs="Century Gothic"/>
          <w:color w:val="000000" w:themeColor="text1"/>
        </w:rPr>
        <w:t xml:space="preserve">, aun cuando las etapas previas de estructuración, </w:t>
      </w:r>
      <w:r w:rsidR="00B2487D" w:rsidRPr="00753842">
        <w:rPr>
          <w:rFonts w:ascii="Verdana" w:eastAsia="Century Gothic" w:hAnsi="Verdana" w:cs="Century Gothic"/>
          <w:color w:val="000000" w:themeColor="text1"/>
        </w:rPr>
        <w:lastRenderedPageBreak/>
        <w:t>publicación, adjudicación y aceptación por parte del contratista se llevaron a cabo con anterioridad a dicho periodo</w:t>
      </w:r>
      <w:r w:rsidR="00B2487D" w:rsidRPr="00A53FD7">
        <w:rPr>
          <w:rFonts w:ascii="Verdana" w:eastAsia="Century Gothic" w:hAnsi="Verdana" w:cs="Century Gothic"/>
          <w:color w:val="000000" w:themeColor="text1"/>
        </w:rPr>
        <w:t>?</w:t>
      </w:r>
      <w:r w:rsidR="00B2487D">
        <w:rPr>
          <w:rFonts w:ascii="Verdana" w:eastAsia="Century Gothic" w:hAnsi="Verdana" w:cs="Century Gothic"/>
          <w:color w:val="000000" w:themeColor="text1"/>
        </w:rPr>
        <w:t xml:space="preserve"> </w:t>
      </w:r>
    </w:p>
    <w:p w14:paraId="445189DA" w14:textId="2A1669A1" w:rsidR="00506079" w:rsidRPr="004151AE" w:rsidRDefault="00506079" w:rsidP="00506079">
      <w:pPr>
        <w:spacing w:after="0" w:line="276" w:lineRule="auto"/>
        <w:jc w:val="both"/>
        <w:rPr>
          <w:rFonts w:ascii="Verdana" w:eastAsia="Century Gothic" w:hAnsi="Verdana" w:cs="Century Gothic"/>
          <w:color w:val="000000" w:themeColor="text1"/>
        </w:rPr>
      </w:pPr>
    </w:p>
    <w:p w14:paraId="07224CA9" w14:textId="77777777" w:rsidR="00506079" w:rsidRPr="008E4F36" w:rsidRDefault="00506079" w:rsidP="00506079">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49E3A86A" w14:textId="77777777" w:rsidR="00506079" w:rsidRPr="008E4F36" w:rsidRDefault="00506079" w:rsidP="00506079">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506079" w:rsidRPr="008E4F36" w14:paraId="44B9D0F6" w14:textId="77777777" w:rsidTr="005B2B3F">
        <w:tc>
          <w:tcPr>
            <w:tcW w:w="8828" w:type="dxa"/>
          </w:tcPr>
          <w:p w14:paraId="44812EC6" w14:textId="77777777" w:rsidR="004151AE" w:rsidRDefault="004151AE" w:rsidP="004151AE">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i. Las restricciones consagradas en la Ley de Garantías Electorales se dirigen a dos (2) tipos de campañas electorales claramente diferenciadas: las presidenciales y las demás que se adelanten para la elección de los demás cargos de elección popular, tanto a nivel nacional como territorial.</w:t>
            </w:r>
          </w:p>
          <w:p w14:paraId="2AEC4C68" w14:textId="77777777" w:rsidR="004151AE" w:rsidRDefault="004151AE" w:rsidP="004151AE">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63BE987" w14:textId="77777777" w:rsidR="004151AE" w:rsidRDefault="004151AE" w:rsidP="004151AE">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F31AC8">
              <w:rPr>
                <w:rFonts w:ascii="Verdana" w:eastAsia="Calibri" w:hAnsi="Verdana" w:cs="Arial"/>
                <w:i/>
                <w:iCs/>
              </w:rPr>
              <w:t xml:space="preserve">“[…] </w:t>
            </w:r>
            <w:r w:rsidRPr="00F31AC8">
              <w:rPr>
                <w:rFonts w:ascii="Verdana" w:eastAsia="Calibri" w:hAnsi="Verdana" w:cs="Arial"/>
                <w:i/>
                <w:iCs/>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31AC8">
              <w:rPr>
                <w:rFonts w:ascii="Verdana" w:eastAsia="Calibri" w:hAnsi="Verdana" w:cs="Arial"/>
                <w:i/>
                <w:iCs/>
              </w:rPr>
              <w:t>”</w:t>
            </w:r>
            <w:r w:rsidRPr="00F31AC8">
              <w:rPr>
                <w:rFonts w:ascii="Verdana" w:eastAsia="Calibri" w:hAnsi="Verdana" w:cs="Arial"/>
                <w:i/>
                <w:iCs/>
                <w:lang w:val="es-MX"/>
              </w:rPr>
              <w:t>.</w:t>
            </w:r>
            <w:r>
              <w:rPr>
                <w:rFonts w:ascii="Verdana" w:eastAsia="Arial" w:hAnsi="Verdana" w:cs="Arial"/>
                <w:lang w:val="es-ES" w:eastAsia="es-ES" w:bidi="es-ES"/>
              </w:rPr>
              <w:t xml:space="preserve"> </w:t>
            </w:r>
          </w:p>
          <w:p w14:paraId="037ABF48" w14:textId="77777777" w:rsidR="004151AE" w:rsidRDefault="004151AE" w:rsidP="004151AE">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Pr>
                <w:rFonts w:ascii="Verdana" w:eastAsia="Times New Roman" w:hAnsi="Verdana" w:cs="Arial"/>
                <w:bCs/>
                <w:lang w:eastAsia="es-CO"/>
              </w:rPr>
              <w:t>1. </w:t>
            </w:r>
            <w:r>
              <w:rPr>
                <w:rFonts w:ascii="Verdana" w:eastAsia="Times New Roman" w:hAnsi="Verdana" w:cs="Arial"/>
                <w:bCs/>
                <w:i/>
                <w:iCs/>
                <w:lang w:eastAsia="es-CO"/>
              </w:rPr>
              <w:t>Gral.</w:t>
            </w:r>
            <w:r>
              <w:rPr>
                <w:rFonts w:ascii="Verdana" w:eastAsia="Times New Roman" w:hAnsi="Verdana" w:cs="Arial"/>
                <w:bCs/>
                <w:lang w:eastAsia="es-CO"/>
              </w:rPr>
              <w:t xml:space="preserve"> Otorgar o firmar un contrato. 2. </w:t>
            </w:r>
            <w:proofErr w:type="spellStart"/>
            <w:r>
              <w:rPr>
                <w:rFonts w:ascii="Verdana" w:eastAsia="Times New Roman" w:hAnsi="Verdana" w:cs="Arial"/>
                <w:bCs/>
                <w:i/>
                <w:iCs/>
                <w:lang w:eastAsia="es-CO"/>
              </w:rPr>
              <w:t>Proc</w:t>
            </w:r>
            <w:proofErr w:type="spellEnd"/>
            <w:r>
              <w:rPr>
                <w:rFonts w:ascii="Verdana" w:eastAsia="Times New Roman" w:hAnsi="Verdana" w:cs="Arial"/>
                <w:bCs/>
                <w:i/>
                <w:iCs/>
                <w:lang w:eastAsia="es-CO"/>
              </w:rPr>
              <w:t>.</w:t>
            </w:r>
            <w:r>
              <w:rPr>
                <w:rFonts w:ascii="Verdana" w:eastAsia="Times New Roman" w:hAnsi="Verdana" w:cs="Arial"/>
                <w:bCs/>
                <w:lang w:eastAsia="es-CO"/>
              </w:rPr>
              <w:t xml:space="preserve"> Realizar los actos procesales propios de un juicio o vista”. Dentro de las dos definiciones, la que se acerca a la expresión “celebrar” en el contexto </w:t>
            </w:r>
            <w:r>
              <w:rPr>
                <w:rFonts w:ascii="Verdana" w:eastAsia="Times New Roman" w:hAnsi="Verdana" w:cs="Arial"/>
                <w:bCs/>
                <w:lang w:eastAsia="es-CO"/>
              </w:rPr>
              <w:lastRenderedPageBreak/>
              <w:t xml:space="preserve">de la Ley de Garantías Electorales es la primera, esto es, al perfeccionamiento del contrato. </w:t>
            </w:r>
          </w:p>
          <w:p w14:paraId="1708DB77" w14:textId="77777777" w:rsidR="004151AE" w:rsidRDefault="004151AE" w:rsidP="004151A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w:t>
            </w:r>
            <w:r w:rsidRPr="009D36B8">
              <w:rPr>
                <w:rFonts w:ascii="Verdana" w:eastAsia="Times New Roman" w:hAnsi="Verdana" w:cs="Arial"/>
                <w:bCs/>
                <w:i/>
                <w:iCs/>
                <w:lang w:val="es-ES" w:eastAsia="es-CO"/>
              </w:rPr>
              <w:t>perfeccionamiento</w:t>
            </w:r>
            <w:r>
              <w:rPr>
                <w:rFonts w:ascii="Verdana" w:eastAsia="Times New Roman" w:hAnsi="Verdana" w:cs="Arial"/>
                <w:bCs/>
                <w:lang w:val="es-ES" w:eastAsia="es-CO"/>
              </w:rPr>
              <w:t xml:space="preserve">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9D82172" w14:textId="77777777" w:rsidR="004151AE" w:rsidRDefault="004151AE" w:rsidP="004151AE">
            <w:pPr>
              <w:spacing w:after="120" w:line="276" w:lineRule="auto"/>
              <w:ind w:firstLine="708"/>
              <w:jc w:val="both"/>
              <w:rPr>
                <w:rFonts w:ascii="Verdana" w:eastAsia="Calibri" w:hAnsi="Verdana" w:cs="Arial"/>
                <w:lang w:val="es-ES"/>
              </w:rPr>
            </w:pPr>
            <w:r>
              <w:rPr>
                <w:rFonts w:ascii="Verdana" w:eastAsia="Calibri" w:hAnsi="Verdana" w:cs="Arial"/>
                <w:lang w:val="es-ES"/>
              </w:rPr>
              <w:t>Ahora bien, con la implementación del SECOP II como plataforma transaccional para la actividad contractual del Estado, se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0387FB9E" w14:textId="77777777" w:rsidR="004151AE" w:rsidRDefault="004151AE" w:rsidP="004151AE">
            <w:pPr>
              <w:spacing w:after="120" w:line="276" w:lineRule="auto"/>
              <w:ind w:firstLine="567"/>
              <w:jc w:val="both"/>
              <w:rPr>
                <w:rFonts w:ascii="Verdana" w:eastAsia="Calibri" w:hAnsi="Verdana" w:cs="Arial"/>
              </w:rPr>
            </w:pPr>
            <w:r>
              <w:rPr>
                <w:rFonts w:ascii="Verdana" w:eastAsia="Calibri" w:hAnsi="Verdana" w:cs="Arial"/>
                <w:lang w:val="es-ES"/>
              </w:rPr>
              <w:t>Conforme lo señala “</w:t>
            </w:r>
            <w:r w:rsidRPr="00DA39A2">
              <w:rPr>
                <w:rFonts w:ascii="Verdana" w:eastAsia="Calibri" w:hAnsi="Verdana" w:cs="Arial"/>
                <w:lang w:val="es-ES"/>
              </w:rPr>
              <w:t>Guía SECOP II – Gestión Contractual Para Entidades Estatales</w:t>
            </w:r>
            <w:r>
              <w:rPr>
                <w:rStyle w:val="Refdenotaalpie"/>
                <w:rFonts w:ascii="Verdana" w:eastAsia="Calibri" w:hAnsi="Verdana" w:cs="Arial"/>
                <w:lang w:val="es-ES"/>
              </w:rPr>
              <w:footnoteReference w:id="1"/>
            </w:r>
            <w:r>
              <w:rPr>
                <w:rFonts w:ascii="Verdana" w:eastAsia="Calibri" w:hAnsi="Verdana" w:cs="Arial"/>
                <w:lang w:val="es-ES"/>
              </w:rPr>
              <w:t xml:space="preserve">” </w:t>
            </w:r>
            <w:r>
              <w:rPr>
                <w:rFonts w:ascii="Verdana" w:eastAsia="Calibri" w:hAnsi="Verdana" w:cs="Arial"/>
              </w:rPr>
              <w:t>e</w:t>
            </w:r>
            <w:r w:rsidRPr="006F3792">
              <w:rPr>
                <w:rFonts w:ascii="Verdana" w:eastAsia="Calibri" w:hAnsi="Verdana" w:cs="Arial"/>
              </w:rPr>
              <w:t xml:space="preserve">s importante que previamente el </w:t>
            </w:r>
            <w:r>
              <w:rPr>
                <w:rFonts w:ascii="Verdana" w:eastAsia="Calibri" w:hAnsi="Verdana" w:cs="Arial"/>
              </w:rPr>
              <w:t>u</w:t>
            </w:r>
            <w:r w:rsidRPr="006F3792">
              <w:rPr>
                <w:rFonts w:ascii="Verdana" w:eastAsia="Calibri" w:hAnsi="Verdana" w:cs="Arial"/>
              </w:rPr>
              <w:t xml:space="preserve">suario </w:t>
            </w:r>
            <w:r>
              <w:rPr>
                <w:rFonts w:ascii="Verdana" w:eastAsia="Calibri" w:hAnsi="Verdana" w:cs="Arial"/>
              </w:rPr>
              <w:t>a</w:t>
            </w:r>
            <w:r w:rsidRPr="006F3792">
              <w:rPr>
                <w:rFonts w:ascii="Verdana" w:eastAsia="Calibri" w:hAnsi="Verdana" w:cs="Arial"/>
              </w:rPr>
              <w:t xml:space="preserve">dministrador </w:t>
            </w:r>
            <w:r>
              <w:rPr>
                <w:rFonts w:ascii="Verdana" w:eastAsia="Calibri" w:hAnsi="Verdana" w:cs="Arial"/>
              </w:rPr>
              <w:t xml:space="preserve">de la Entidad Estatal </w:t>
            </w:r>
            <w:r w:rsidRPr="006F3792">
              <w:rPr>
                <w:rFonts w:ascii="Verdana" w:eastAsia="Calibri" w:hAnsi="Verdana" w:cs="Arial"/>
              </w:rPr>
              <w:t xml:space="preserve">haya configurado </w:t>
            </w:r>
            <w:r>
              <w:rPr>
                <w:rFonts w:ascii="Verdana" w:eastAsia="Calibri" w:hAnsi="Verdana" w:cs="Arial"/>
              </w:rPr>
              <w:t>fl</w:t>
            </w:r>
            <w:r w:rsidRPr="006F3792">
              <w:rPr>
                <w:rFonts w:ascii="Verdana" w:eastAsia="Calibri" w:hAnsi="Verdana" w:cs="Arial"/>
              </w:rPr>
              <w:t xml:space="preserve">ujos de </w:t>
            </w:r>
            <w:r>
              <w:rPr>
                <w:rFonts w:ascii="Verdana" w:eastAsia="Calibri" w:hAnsi="Verdana" w:cs="Arial"/>
              </w:rPr>
              <w:t>a</w:t>
            </w:r>
            <w:r w:rsidRPr="006F3792">
              <w:rPr>
                <w:rFonts w:ascii="Verdana" w:eastAsia="Calibri" w:hAnsi="Verdana" w:cs="Arial"/>
              </w:rPr>
              <w:t xml:space="preserve">probación en este hito del proceso con el fin de que el contrato electrónico sea enviado al </w:t>
            </w:r>
            <w:r>
              <w:rPr>
                <w:rFonts w:ascii="Verdana" w:eastAsia="Calibri" w:hAnsi="Verdana" w:cs="Arial"/>
              </w:rPr>
              <w:t>o</w:t>
            </w:r>
            <w:r w:rsidRPr="006F3792">
              <w:rPr>
                <w:rFonts w:ascii="Verdana" w:eastAsia="Calibri" w:hAnsi="Verdana" w:cs="Arial"/>
              </w:rPr>
              <w:t xml:space="preserve">rdenador del </w:t>
            </w:r>
            <w:r>
              <w:rPr>
                <w:rFonts w:ascii="Verdana" w:eastAsia="Calibri" w:hAnsi="Verdana" w:cs="Arial"/>
              </w:rPr>
              <w:t>g</w:t>
            </w:r>
            <w:r w:rsidRPr="006F3792">
              <w:rPr>
                <w:rFonts w:ascii="Verdana" w:eastAsia="Calibri" w:hAnsi="Verdana" w:cs="Arial"/>
              </w:rPr>
              <w:t xml:space="preserve">asto </w:t>
            </w:r>
            <w:r>
              <w:rPr>
                <w:rFonts w:ascii="Verdana" w:eastAsia="Calibri" w:hAnsi="Verdana" w:cs="Arial"/>
              </w:rPr>
              <w:t>r</w:t>
            </w:r>
            <w:r w:rsidRPr="006F3792">
              <w:rPr>
                <w:rFonts w:ascii="Verdana" w:eastAsia="Calibri" w:hAnsi="Verdana" w:cs="Arial"/>
              </w:rPr>
              <w:t xml:space="preserve">epresentante </w:t>
            </w:r>
            <w:r>
              <w:rPr>
                <w:rFonts w:ascii="Verdana" w:eastAsia="Calibri" w:hAnsi="Verdana" w:cs="Arial"/>
              </w:rPr>
              <w:t>l</w:t>
            </w:r>
            <w:r w:rsidRPr="006F3792">
              <w:rPr>
                <w:rFonts w:ascii="Verdana" w:eastAsia="Calibri" w:hAnsi="Verdana" w:cs="Arial"/>
              </w:rPr>
              <w:t>egal de la entidad para su aprobación final.</w:t>
            </w:r>
            <w:r>
              <w:rPr>
                <w:rFonts w:ascii="Verdana" w:eastAsia="Calibri" w:hAnsi="Verdana" w:cs="Arial"/>
                <w:lang w:val="es-ES"/>
              </w:rPr>
              <w:t xml:space="preserve"> </w:t>
            </w:r>
            <w:r w:rsidRPr="00421E16">
              <w:rPr>
                <w:rFonts w:ascii="Verdana" w:eastAsia="Calibri" w:hAnsi="Verdana" w:cs="Arial"/>
              </w:rPr>
              <w:t xml:space="preserve">Una vez el </w:t>
            </w:r>
            <w:r>
              <w:rPr>
                <w:rFonts w:ascii="Verdana" w:eastAsia="Calibri" w:hAnsi="Verdana" w:cs="Arial"/>
              </w:rPr>
              <w:t>o</w:t>
            </w:r>
            <w:r w:rsidRPr="00421E16">
              <w:rPr>
                <w:rFonts w:ascii="Verdana" w:eastAsia="Calibri" w:hAnsi="Verdana" w:cs="Arial"/>
              </w:rPr>
              <w:t xml:space="preserve">rdenador del </w:t>
            </w:r>
            <w:r>
              <w:rPr>
                <w:rFonts w:ascii="Verdana" w:eastAsia="Calibri" w:hAnsi="Verdana" w:cs="Arial"/>
              </w:rPr>
              <w:t>g</w:t>
            </w:r>
            <w:r w:rsidRPr="00421E16">
              <w:rPr>
                <w:rFonts w:ascii="Verdana" w:eastAsia="Calibri" w:hAnsi="Verdana" w:cs="Arial"/>
              </w:rPr>
              <w:t>asto de la entidad realice la aprobación el estado del contrato cambia a “Firmado” y quedará público para consulta de cualquier interesado.</w:t>
            </w:r>
          </w:p>
          <w:p w14:paraId="12CC90C7" w14:textId="77777777" w:rsidR="004151AE" w:rsidRPr="0009030A" w:rsidRDefault="004151AE" w:rsidP="004151AE">
            <w:pPr>
              <w:spacing w:after="120" w:line="276" w:lineRule="auto"/>
              <w:ind w:firstLine="709"/>
              <w:jc w:val="both"/>
              <w:rPr>
                <w:rFonts w:ascii="Verdana" w:eastAsia="Calibri" w:hAnsi="Verdana" w:cs="Arial"/>
                <w:lang w:val="es-ES"/>
              </w:rPr>
            </w:pPr>
            <w:r>
              <w:rPr>
                <w:rFonts w:ascii="Verdana" w:eastAsia="Calibri" w:hAnsi="Verdana" w:cs="Arial"/>
                <w:lang w:val="es-ES"/>
              </w:rPr>
              <w:t>Así las cosas, cuando el proceso de contratación se adelanta por el SECOP II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w:t>
            </w:r>
          </w:p>
          <w:p w14:paraId="4CDAD47F" w14:textId="77777777" w:rsidR="004151AE" w:rsidRDefault="004151AE" w:rsidP="004151AE">
            <w:pPr>
              <w:spacing w:after="120" w:line="276" w:lineRule="auto"/>
              <w:ind w:firstLine="567"/>
              <w:jc w:val="both"/>
              <w:rPr>
                <w:rFonts w:ascii="Verdana" w:eastAsia="Calibri" w:hAnsi="Verdana" w:cs="Arial"/>
                <w:lang w:val="es-ES"/>
              </w:rPr>
            </w:pPr>
            <w:r w:rsidRPr="00D16B34">
              <w:rPr>
                <w:rFonts w:ascii="Verdana" w:eastAsia="Calibri" w:hAnsi="Verdana" w:cs="Arial"/>
                <w:lang w:val="es-ES"/>
              </w:rPr>
              <w:lastRenderedPageBreak/>
              <w:t xml:space="preserve">Bajo este contexto, </w:t>
            </w:r>
            <w:r>
              <w:rPr>
                <w:rFonts w:ascii="Verdana" w:eastAsia="Calibri" w:hAnsi="Verdana" w:cs="Arial"/>
                <w:lang w:val="es-ES"/>
              </w:rPr>
              <w:t xml:space="preserve">en atención a la consulta planteada, es pertinente señalar que debido a </w:t>
            </w:r>
            <w:r w:rsidRPr="00D16B34">
              <w:rPr>
                <w:rFonts w:ascii="Verdana" w:eastAsia="Calibri" w:hAnsi="Verdana" w:cs="Arial"/>
                <w:lang w:val="es-ES"/>
              </w:rPr>
              <w:t xml:space="preserve">que el concepto “celebrar” para efectos de las restricciones a la contratación previstas </w:t>
            </w:r>
            <w:r>
              <w:rPr>
                <w:rFonts w:ascii="Verdana" w:eastAsia="Calibri" w:hAnsi="Verdana" w:cs="Arial"/>
                <w:lang w:val="es-ES"/>
              </w:rPr>
              <w:t xml:space="preserve">en </w:t>
            </w:r>
            <w:r w:rsidRPr="00D16B34">
              <w:rPr>
                <w:rFonts w:ascii="Verdana" w:eastAsia="Calibri" w:hAnsi="Verdana" w:cs="Arial"/>
                <w:lang w:val="es-ES"/>
              </w:rPr>
              <w:t xml:space="preserve">la Ley de Garantías Electorales se asocia al momento del perfeccionamiento del contrato estatal, </w:t>
            </w:r>
            <w:r>
              <w:rPr>
                <w:rFonts w:ascii="Verdana" w:eastAsia="Calibri" w:hAnsi="Verdana" w:cs="Arial"/>
                <w:lang w:val="es-ES"/>
              </w:rPr>
              <w:t xml:space="preserve">es necesario tener en cuenta dicho </w:t>
            </w:r>
            <w:r w:rsidRPr="00D16B34">
              <w:rPr>
                <w:rFonts w:ascii="Verdana" w:eastAsia="Calibri" w:hAnsi="Verdana" w:cs="Arial"/>
                <w:lang w:val="es-ES"/>
              </w:rPr>
              <w:t xml:space="preserve">hito en los procesos adelantados a través de la plataforma SECOP II. </w:t>
            </w:r>
            <w:r>
              <w:rPr>
                <w:rFonts w:ascii="Verdana" w:eastAsia="Calibri" w:hAnsi="Verdana" w:cs="Arial"/>
                <w:lang w:val="es-ES"/>
              </w:rPr>
              <w:t>De esta forma, como se indicó, al tratarse de un</w:t>
            </w:r>
            <w:r w:rsidRPr="00D16B34">
              <w:rPr>
                <w:rFonts w:ascii="Verdana" w:eastAsia="Calibri" w:hAnsi="Verdana" w:cs="Arial"/>
                <w:lang w:val="es-ES"/>
              </w:rPr>
              <w:t xml:space="preserve"> sistema transaccional, el contrato se entiende celebrado una vez se ha surtido la </w:t>
            </w:r>
            <w:r>
              <w:rPr>
                <w:rFonts w:ascii="Verdana" w:eastAsia="Calibri" w:hAnsi="Verdana" w:cs="Arial"/>
                <w:lang w:val="es-ES"/>
              </w:rPr>
              <w:t xml:space="preserve">aprobación </w:t>
            </w:r>
            <w:r w:rsidRPr="00D16B34">
              <w:rPr>
                <w:rFonts w:ascii="Verdana" w:eastAsia="Calibri" w:hAnsi="Verdana" w:cs="Arial"/>
                <w:lang w:val="es-ES"/>
              </w:rPr>
              <w:t>y publicación por parte de la entidad estatal, momento en el cual la plataforma registra el estado de “firmado”, dejando constancia de la concurrencia de voluntades y del cumplimiento de</w:t>
            </w:r>
            <w:r>
              <w:rPr>
                <w:rFonts w:ascii="Verdana" w:eastAsia="Calibri" w:hAnsi="Verdana" w:cs="Arial"/>
                <w:lang w:val="es-ES"/>
              </w:rPr>
              <w:t>l</w:t>
            </w:r>
            <w:r w:rsidRPr="00D16B34">
              <w:rPr>
                <w:rFonts w:ascii="Verdana" w:eastAsia="Calibri" w:hAnsi="Verdana" w:cs="Arial"/>
                <w:lang w:val="es-ES"/>
              </w:rPr>
              <w:t xml:space="preserve"> requisito </w:t>
            </w:r>
            <w:r>
              <w:rPr>
                <w:rFonts w:ascii="Verdana" w:eastAsia="Calibri" w:hAnsi="Verdana" w:cs="Arial"/>
                <w:lang w:val="es-ES"/>
              </w:rPr>
              <w:t>de perfeccionamiento</w:t>
            </w:r>
            <w:r w:rsidRPr="00D16B34">
              <w:rPr>
                <w:rFonts w:ascii="Verdana" w:eastAsia="Calibri" w:hAnsi="Verdana" w:cs="Arial"/>
                <w:lang w:val="es-ES"/>
              </w:rPr>
              <w:t>.</w:t>
            </w:r>
          </w:p>
          <w:p w14:paraId="0216DA71" w14:textId="77777777" w:rsidR="004151AE" w:rsidRDefault="004151AE" w:rsidP="004151AE">
            <w:pPr>
              <w:spacing w:after="120" w:line="276" w:lineRule="auto"/>
              <w:ind w:firstLine="567"/>
              <w:jc w:val="both"/>
              <w:rPr>
                <w:rFonts w:ascii="Verdana" w:eastAsia="Calibri" w:hAnsi="Verdana" w:cs="Arial"/>
              </w:rPr>
            </w:pPr>
            <w:r w:rsidRPr="00467A2E">
              <w:rPr>
                <w:rFonts w:ascii="Verdana" w:eastAsia="Calibri" w:hAnsi="Verdana" w:cs="Arial"/>
              </w:rPr>
              <w:t xml:space="preserve">En este orden de ideas, dentro del flujo de aprobación </w:t>
            </w:r>
            <w:r>
              <w:rPr>
                <w:rFonts w:ascii="Verdana" w:eastAsia="Calibri" w:hAnsi="Verdana" w:cs="Arial"/>
              </w:rPr>
              <w:t>que la entidad haya configurado en el</w:t>
            </w:r>
            <w:r w:rsidRPr="00467A2E">
              <w:rPr>
                <w:rFonts w:ascii="Verdana" w:eastAsia="Calibri" w:hAnsi="Verdana" w:cs="Arial"/>
              </w:rPr>
              <w:t xml:space="preserve"> SECOP II, el momento en que el ordenador del gasto emite su aprobación final constituye el hito en el cual se consolida efectivamente la concurrencia de voluntades y el acuerdo contractual. Ello obedece a que, de manera previa, el proveedor ya ha otorgado su aprobación </w:t>
            </w:r>
            <w:r>
              <w:rPr>
                <w:rFonts w:ascii="Verdana" w:eastAsia="Calibri" w:hAnsi="Verdana" w:cs="Arial"/>
              </w:rPr>
              <w:t xml:space="preserve">al </w:t>
            </w:r>
            <w:r w:rsidRPr="00467A2E">
              <w:rPr>
                <w:rFonts w:ascii="Verdana" w:eastAsia="Calibri" w:hAnsi="Verdana" w:cs="Arial"/>
              </w:rPr>
              <w:t>contrato, manifestando su aceptación integral de las condiciones pactadas. Así, con la aprobación posterior del ordenador del gasto se perfecciona el consentimiento recíproco sobre el objeto y la contraprestación</w:t>
            </w:r>
            <w:r>
              <w:rPr>
                <w:rFonts w:ascii="Verdana" w:eastAsia="Calibri" w:hAnsi="Verdana" w:cs="Arial"/>
              </w:rPr>
              <w:t xml:space="preserve"> y</w:t>
            </w:r>
            <w:r w:rsidRPr="00467A2E">
              <w:rPr>
                <w:rFonts w:ascii="Verdana" w:eastAsia="Calibri" w:hAnsi="Verdana" w:cs="Arial"/>
              </w:rPr>
              <w:t xml:space="preserve"> queda formalmente estructurado el acuerdo.</w:t>
            </w:r>
          </w:p>
          <w:p w14:paraId="41C6CD69" w14:textId="77777777" w:rsidR="004151AE" w:rsidRPr="00F06BC6" w:rsidRDefault="004151AE" w:rsidP="004151AE">
            <w:pPr>
              <w:spacing w:after="120" w:line="276" w:lineRule="auto"/>
              <w:ind w:firstLine="567"/>
              <w:jc w:val="both"/>
              <w:rPr>
                <w:rFonts w:ascii="Verdana" w:eastAsia="Calibri" w:hAnsi="Verdana" w:cs="Arial"/>
              </w:rPr>
            </w:pPr>
            <w:r>
              <w:rPr>
                <w:rFonts w:ascii="Verdana" w:eastAsia="Calibri" w:hAnsi="Verdana" w:cs="Arial"/>
                <w:lang w:val="es-ES"/>
              </w:rPr>
              <w:t>Así las cosas, t</w:t>
            </w:r>
            <w:r w:rsidRPr="00D16B34">
              <w:rPr>
                <w:rFonts w:ascii="Verdana" w:eastAsia="Calibri" w:hAnsi="Verdana" w:cs="Arial"/>
                <w:lang w:val="es-ES"/>
              </w:rPr>
              <w:t xml:space="preserve">ratándose de procesos gestionados en SECOP II, las actuaciones necesarias para que el contrato adquiera el estado de “firmado” deben realizarse antes de la </w:t>
            </w:r>
            <w:proofErr w:type="gramStart"/>
            <w:r w:rsidRPr="00D16B34">
              <w:rPr>
                <w:rFonts w:ascii="Verdana" w:eastAsia="Calibri" w:hAnsi="Verdana" w:cs="Arial"/>
                <w:lang w:val="es-ES"/>
              </w:rPr>
              <w:t>entrada en vigencia</w:t>
            </w:r>
            <w:proofErr w:type="gramEnd"/>
            <w:r w:rsidRPr="00D16B34">
              <w:rPr>
                <w:rFonts w:ascii="Verdana" w:eastAsia="Calibri" w:hAnsi="Verdana" w:cs="Arial"/>
                <w:lang w:val="es-ES"/>
              </w:rPr>
              <w:t xml:space="preserve"> de las restricciones previstas en la Ley de Garantías</w:t>
            </w:r>
            <w:r>
              <w:rPr>
                <w:rFonts w:ascii="Verdana" w:eastAsia="Calibri" w:hAnsi="Verdana" w:cs="Arial"/>
                <w:lang w:val="es-ES"/>
              </w:rPr>
              <w:t xml:space="preserve"> Electorales</w:t>
            </w:r>
            <w:r w:rsidRPr="00D16B34">
              <w:rPr>
                <w:rFonts w:ascii="Verdana" w:eastAsia="Calibri" w:hAnsi="Verdana" w:cs="Arial"/>
                <w:lang w:val="es-ES"/>
              </w:rPr>
              <w:t>. De lo contrario, si el perfeccionamiento</w:t>
            </w:r>
            <w:r>
              <w:rPr>
                <w:rFonts w:ascii="Verdana" w:eastAsia="Calibri" w:hAnsi="Verdana" w:cs="Arial"/>
                <w:lang w:val="es-ES"/>
              </w:rPr>
              <w:t>, es decir, si la aprobación final por parte del ordenador del gasto y su registro como estado “firmado” en la plataforma</w:t>
            </w:r>
            <w:r w:rsidRPr="00D16B34">
              <w:rPr>
                <w:rFonts w:ascii="Verdana" w:eastAsia="Calibri" w:hAnsi="Verdana" w:cs="Arial"/>
                <w:lang w:val="es-ES"/>
              </w:rPr>
              <w:t xml:space="preserve"> se produce cuando ya se encuentra vigente la prohibición establecida en el artículo 33</w:t>
            </w:r>
            <w:r>
              <w:rPr>
                <w:rFonts w:ascii="Verdana" w:eastAsia="Calibri" w:hAnsi="Verdana" w:cs="Arial"/>
                <w:lang w:val="es-ES"/>
              </w:rPr>
              <w:t xml:space="preserve"> ibidem</w:t>
            </w:r>
            <w:r w:rsidRPr="00D16B34">
              <w:rPr>
                <w:rFonts w:ascii="Verdana" w:eastAsia="Calibri" w:hAnsi="Verdana" w:cs="Arial"/>
                <w:lang w:val="es-ES"/>
              </w:rPr>
              <w:t xml:space="preserve">, </w:t>
            </w:r>
            <w:r>
              <w:rPr>
                <w:rFonts w:ascii="Verdana" w:eastAsia="Calibri" w:hAnsi="Verdana" w:cs="Arial"/>
                <w:lang w:val="es-ES"/>
              </w:rPr>
              <w:t xml:space="preserve">se entiende </w:t>
            </w:r>
            <w:r w:rsidRPr="00D16B34">
              <w:rPr>
                <w:rFonts w:ascii="Verdana" w:eastAsia="Calibri" w:hAnsi="Verdana" w:cs="Arial"/>
                <w:lang w:val="es-ES"/>
              </w:rPr>
              <w:t>que el contrato fue celebrado en vigencia de dicha restricción, con las consecuencias jurídicas a que haya lugar, sin que resulte suficiente que etapas previas del proceso se hubieren adelantado con anterioridad.</w:t>
            </w:r>
          </w:p>
          <w:p w14:paraId="02C2FD02" w14:textId="77777777" w:rsidR="004151AE" w:rsidRDefault="004151AE" w:rsidP="004151AE">
            <w:pPr>
              <w:spacing w:after="120" w:line="276" w:lineRule="auto"/>
              <w:jc w:val="both"/>
              <w:rPr>
                <w:rFonts w:ascii="Verdana" w:eastAsia="Calibri" w:hAnsi="Verdana" w:cs="Arial"/>
              </w:rPr>
            </w:pPr>
            <w:proofErr w:type="spellStart"/>
            <w:r>
              <w:rPr>
                <w:rFonts w:ascii="Verdana" w:eastAsia="Times New Roman" w:hAnsi="Verdana" w:cs="Arial"/>
                <w:bCs/>
                <w:lang w:val="es-ES" w:eastAsia="es-CO"/>
              </w:rPr>
              <w:t>ii</w:t>
            </w:r>
            <w:proofErr w:type="spellEnd"/>
            <w:r>
              <w:rPr>
                <w:rFonts w:ascii="Verdana" w:eastAsia="Times New Roman" w:hAnsi="Verdana" w:cs="Arial"/>
                <w:bCs/>
                <w:lang w:val="es-ES" w:eastAsia="es-CO"/>
              </w:rPr>
              <w:t xml:space="preserve">. Cuando el perfeccionamiento del contrato en la plataforma del SECOP II ocurre en vigencia de las restricciones establecidas en la Ley de Garantías Electorales, la entidad deberá revisar la validez del contrato y analizar una posible configuración de nulidad a la luz de lo dispuesto en el artículo 44 de la </w:t>
            </w:r>
            <w:r>
              <w:rPr>
                <w:rFonts w:ascii="Verdana" w:eastAsia="Times New Roman" w:hAnsi="Verdana" w:cs="Arial"/>
                <w:bCs/>
                <w:lang w:val="es-ES" w:eastAsia="es-CO"/>
              </w:rPr>
              <w:lastRenderedPageBreak/>
              <w:t xml:space="preserve">Ley 80 de 1993. Sobre el régimen de nulidad, la norma en cita </w:t>
            </w:r>
            <w:r w:rsidRPr="008D2665">
              <w:rPr>
                <w:rFonts w:ascii="Verdana" w:eastAsia="Calibri" w:hAnsi="Verdana" w:cs="Arial"/>
              </w:rPr>
              <w:t xml:space="preserve">señala como causales de nulidad del contrato estatal, las siguientes: </w:t>
            </w:r>
            <w:r>
              <w:rPr>
                <w:rFonts w:ascii="Verdana" w:eastAsia="Calibri" w:hAnsi="Verdana" w:cs="Arial"/>
              </w:rPr>
              <w:t>1.</w:t>
            </w:r>
            <w:r w:rsidRPr="008D2665">
              <w:rPr>
                <w:rFonts w:ascii="Verdana" w:eastAsia="Calibri" w:hAnsi="Verdana" w:cs="Arial"/>
              </w:rPr>
              <w:t xml:space="preserve"> </w:t>
            </w:r>
            <w:r>
              <w:rPr>
                <w:rFonts w:ascii="Verdana" w:eastAsia="Calibri" w:hAnsi="Verdana" w:cs="Arial"/>
              </w:rPr>
              <w:t>Q</w:t>
            </w:r>
            <w:r w:rsidRPr="008D2665">
              <w:rPr>
                <w:rFonts w:ascii="Verdana" w:eastAsia="Calibri" w:hAnsi="Verdana" w:cs="Arial"/>
              </w:rPr>
              <w:t>ue el contrato se celebre con personas incursas en causales de inhabilidad o incompatibilidad previstas en la Constitución y la ley</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2. Que</w:t>
            </w:r>
            <w:r w:rsidRPr="008D2665">
              <w:rPr>
                <w:rFonts w:ascii="Verdana" w:eastAsia="Calibri" w:hAnsi="Verdana" w:cs="Arial"/>
              </w:rPr>
              <w:t xml:space="preserve"> se celebre contra expresa prohibición constitucional o legal</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3.</w:t>
            </w:r>
            <w:r w:rsidRPr="008D2665">
              <w:rPr>
                <w:rFonts w:ascii="Verdana" w:eastAsia="Calibri" w:hAnsi="Verdana" w:cs="Arial"/>
              </w:rPr>
              <w:t xml:space="preserve"> </w:t>
            </w:r>
            <w:r>
              <w:rPr>
                <w:rFonts w:ascii="Verdana" w:eastAsia="Calibri" w:hAnsi="Verdana" w:cs="Arial"/>
              </w:rPr>
              <w:t xml:space="preserve">Que </w:t>
            </w:r>
            <w:r w:rsidRPr="008D2665">
              <w:rPr>
                <w:rFonts w:ascii="Verdana" w:eastAsia="Calibri" w:hAnsi="Verdana" w:cs="Arial"/>
              </w:rPr>
              <w:t>se celebre con abuso o desviación de poder</w:t>
            </w:r>
            <w:r>
              <w:rPr>
                <w:rFonts w:ascii="Verdana" w:eastAsia="Calibri" w:hAnsi="Verdana" w:cs="Arial"/>
              </w:rPr>
              <w:t>. 4.</w:t>
            </w:r>
            <w:r w:rsidRPr="008D2665">
              <w:rPr>
                <w:rFonts w:ascii="Verdana" w:eastAsia="Calibri" w:hAnsi="Verdana" w:cs="Arial"/>
              </w:rPr>
              <w:t xml:space="preserve"> </w:t>
            </w:r>
            <w:r>
              <w:rPr>
                <w:rFonts w:ascii="Verdana" w:eastAsia="Calibri" w:hAnsi="Verdana" w:cs="Arial"/>
              </w:rPr>
              <w:t xml:space="preserve">Que </w:t>
            </w:r>
            <w:r w:rsidRPr="008D2665">
              <w:rPr>
                <w:rFonts w:ascii="Verdana" w:eastAsia="Calibri" w:hAnsi="Verdana" w:cs="Arial"/>
              </w:rPr>
              <w:t>se declaren nulos los actos administrativos en que se fundamenten</w:t>
            </w:r>
            <w:r>
              <w:rPr>
                <w:rFonts w:ascii="Verdana" w:eastAsia="Calibri" w:hAnsi="Verdana" w:cs="Arial"/>
              </w:rPr>
              <w:t>.</w:t>
            </w:r>
            <w:r w:rsidRPr="008D2665">
              <w:rPr>
                <w:rFonts w:ascii="Verdana" w:eastAsia="Calibri" w:hAnsi="Verdana" w:cs="Arial"/>
              </w:rPr>
              <w:t xml:space="preserve"> </w:t>
            </w:r>
            <w:r>
              <w:rPr>
                <w:rFonts w:ascii="Verdana" w:eastAsia="Calibri" w:hAnsi="Verdana" w:cs="Arial"/>
              </w:rPr>
              <w:t>5. Que</w:t>
            </w:r>
            <w:r w:rsidRPr="008D2665">
              <w:rPr>
                <w:rFonts w:ascii="Verdana" w:eastAsia="Calibri" w:hAnsi="Verdana" w:cs="Arial"/>
              </w:rPr>
              <w:t xml:space="preserve"> se hubieren celebrado con desconocimiento de los criterios previstos para el tratamiento de ofertas nacionales y extranjeras o con violación de la reciprocidad</w:t>
            </w:r>
            <w:r>
              <w:rPr>
                <w:rFonts w:ascii="Verdana" w:eastAsia="Calibri" w:hAnsi="Verdana" w:cs="Arial"/>
              </w:rPr>
              <w:t>.</w:t>
            </w:r>
          </w:p>
          <w:p w14:paraId="0D70E143" w14:textId="77777777" w:rsidR="004151AE" w:rsidRDefault="004151AE" w:rsidP="004151AE">
            <w:pPr>
              <w:spacing w:after="120" w:line="276" w:lineRule="auto"/>
              <w:ind w:firstLine="743"/>
              <w:jc w:val="both"/>
              <w:rPr>
                <w:rFonts w:ascii="Verdana" w:eastAsia="Calibri" w:hAnsi="Verdana" w:cs="Arial"/>
              </w:rPr>
            </w:pPr>
            <w:r>
              <w:rPr>
                <w:rFonts w:ascii="Verdana" w:eastAsia="Calibri" w:hAnsi="Verdana" w:cs="Arial"/>
                <w:bCs/>
              </w:rPr>
              <w:t xml:space="preserve">En concordancia con lo anterior, el artículo 45 de la Ley 80 de 1993 </w:t>
            </w:r>
            <w:r w:rsidRPr="00D53326">
              <w:rPr>
                <w:rFonts w:ascii="Verdana" w:eastAsia="Calibri" w:hAnsi="Verdana" w:cs="Arial"/>
                <w:bCs/>
              </w:rPr>
              <w:t>establece que la nulidad absoluta del contrato podrá alegarse por las partes, por el agente del ministerio público, por cualquier persona o declarada de oficio, y no siendo susceptible de saneamiento por ratificación. Además, de acuerdo con el inciso segundo, cuando se presente alguna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D53326">
              <w:rPr>
                <w:rFonts w:ascii="Verdana" w:eastAsia="Calibri" w:hAnsi="Verdana" w:cs="Arial"/>
              </w:rPr>
              <w:t xml:space="preserve"> el contrato se celebre con personas incursas en causales de inhabilidad o incompatibilidad previstas en la Constitución y la ley, que se celebre contra expresa prohibición constitucional o legal, o que se declaren nulos los actos administrativos en que se fundamenten. </w:t>
            </w:r>
          </w:p>
          <w:p w14:paraId="3E7E8F46" w14:textId="77777777" w:rsidR="004151AE" w:rsidRDefault="004151AE" w:rsidP="004151AE">
            <w:pPr>
              <w:spacing w:after="120" w:line="276" w:lineRule="auto"/>
              <w:ind w:firstLine="743"/>
              <w:jc w:val="both"/>
              <w:rPr>
                <w:rFonts w:ascii="Verdana" w:eastAsia="Calibri" w:hAnsi="Verdana" w:cs="Arial"/>
              </w:rPr>
            </w:pPr>
            <w:r w:rsidRPr="00D53326">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w:t>
            </w:r>
            <w:r>
              <w:rPr>
                <w:rFonts w:ascii="Verdana" w:eastAsia="Calibri" w:hAnsi="Verdana" w:cs="Arial"/>
              </w:rPr>
              <w:t xml:space="preserve">absoluta </w:t>
            </w:r>
            <w:r w:rsidRPr="00D53326">
              <w:rPr>
                <w:rFonts w:ascii="Verdana" w:eastAsia="Calibri" w:hAnsi="Verdana" w:cs="Arial"/>
              </w:rPr>
              <w:t>del contrato por</w:t>
            </w:r>
            <w:r>
              <w:rPr>
                <w:rFonts w:ascii="Verdana" w:eastAsia="Calibri" w:hAnsi="Verdana" w:cs="Arial"/>
              </w:rPr>
              <w:t xml:space="preserve"> la causal de</w:t>
            </w:r>
            <w:r w:rsidRPr="00D53326">
              <w:rPr>
                <w:rFonts w:ascii="Verdana" w:eastAsia="Calibri" w:hAnsi="Verdana" w:cs="Arial"/>
              </w:rPr>
              <w:t xml:space="preserve"> celebración contra expresa prohibición constitucional o legal, por v</w:t>
            </w:r>
            <w:r>
              <w:rPr>
                <w:rFonts w:ascii="Verdana" w:eastAsia="Calibri" w:hAnsi="Verdana" w:cs="Arial"/>
              </w:rPr>
              <w:t xml:space="preserve">ulnerar </w:t>
            </w:r>
            <w:r w:rsidRPr="00D53326">
              <w:rPr>
                <w:rFonts w:ascii="Verdana" w:eastAsia="Calibri" w:hAnsi="Verdana" w:cs="Arial"/>
              </w:rPr>
              <w:t xml:space="preserve">las restricciones establecidas en los artículos 33 y 38 de la Ley de Garantías Electorales. </w:t>
            </w:r>
          </w:p>
          <w:p w14:paraId="184B494C" w14:textId="77777777" w:rsidR="004151AE" w:rsidRPr="007B2BC2" w:rsidRDefault="004151AE" w:rsidP="004151AE">
            <w:pPr>
              <w:spacing w:after="120" w:line="276" w:lineRule="auto"/>
              <w:ind w:firstLine="567"/>
              <w:jc w:val="both"/>
              <w:rPr>
                <w:rFonts w:ascii="Verdana" w:eastAsia="Times New Roman" w:hAnsi="Verdana" w:cs="Arial"/>
                <w:bCs/>
                <w:lang w:val="es-ES" w:eastAsia="es-CO"/>
              </w:rPr>
            </w:pPr>
            <w:r>
              <w:rPr>
                <w:rFonts w:ascii="Verdana" w:eastAsia="Times New Roman" w:hAnsi="Verdana" w:cs="Arial"/>
                <w:bCs/>
                <w:lang w:val="es-ES" w:eastAsia="es-CO"/>
              </w:rPr>
              <w:t>Así las cosas, se concluye qu</w:t>
            </w:r>
            <w:r w:rsidRPr="007B2BC2">
              <w:rPr>
                <w:rFonts w:ascii="Verdana" w:eastAsia="Times New Roman" w:hAnsi="Verdana" w:cs="Arial"/>
                <w:bCs/>
                <w:lang w:val="es-ES" w:eastAsia="es-CO"/>
              </w:rPr>
              <w:t>e aquellos contratos cuyo perfeccionamiento en la plataforma SECOP II</w:t>
            </w:r>
            <w:r>
              <w:rPr>
                <w:rFonts w:ascii="Verdana" w:eastAsia="Times New Roman" w:hAnsi="Verdana" w:cs="Arial"/>
                <w:bCs/>
                <w:lang w:val="es-ES" w:eastAsia="es-CO"/>
              </w:rPr>
              <w:t xml:space="preserve"> -</w:t>
            </w:r>
            <w:r w:rsidRPr="007B2BC2">
              <w:rPr>
                <w:rFonts w:ascii="Verdana" w:eastAsia="Times New Roman" w:hAnsi="Verdana" w:cs="Arial"/>
                <w:bCs/>
                <w:lang w:val="es-ES" w:eastAsia="es-CO"/>
              </w:rPr>
              <w:t>entendido como el momento en que se surte la aprobación final por parte del ordenador del gasto y se publica el contrato en estado “Firmado”</w:t>
            </w:r>
            <w:r>
              <w:rPr>
                <w:rFonts w:ascii="Verdana" w:eastAsia="Times New Roman" w:hAnsi="Verdana" w:cs="Arial"/>
                <w:bCs/>
                <w:lang w:val="es-ES" w:eastAsia="es-CO"/>
              </w:rPr>
              <w:t>-,</w:t>
            </w:r>
            <w:r w:rsidRPr="007B2BC2">
              <w:rPr>
                <w:rFonts w:ascii="Verdana" w:eastAsia="Times New Roman" w:hAnsi="Verdana" w:cs="Arial"/>
                <w:bCs/>
                <w:lang w:val="es-ES" w:eastAsia="es-CO"/>
              </w:rPr>
              <w:t xml:space="preserve"> </w:t>
            </w:r>
            <w:r>
              <w:rPr>
                <w:rFonts w:ascii="Verdana" w:eastAsia="Times New Roman" w:hAnsi="Verdana" w:cs="Arial"/>
                <w:bCs/>
                <w:lang w:val="es-ES" w:eastAsia="es-CO"/>
              </w:rPr>
              <w:t xml:space="preserve">haya ocurrido </w:t>
            </w:r>
            <w:r w:rsidRPr="007B2BC2">
              <w:rPr>
                <w:rFonts w:ascii="Verdana" w:eastAsia="Times New Roman" w:hAnsi="Verdana" w:cs="Arial"/>
                <w:bCs/>
                <w:lang w:val="es-ES" w:eastAsia="es-CO"/>
              </w:rPr>
              <w:t xml:space="preserve">con posterioridad a la entrada en vigencia de la Ley de Garantías Electorales, esta Agencia considera que los mismos </w:t>
            </w:r>
            <w:r>
              <w:rPr>
                <w:rFonts w:ascii="Verdana" w:eastAsia="Times New Roman" w:hAnsi="Verdana" w:cs="Arial"/>
                <w:bCs/>
                <w:lang w:val="es-ES" w:eastAsia="es-CO"/>
              </w:rPr>
              <w:t xml:space="preserve">se </w:t>
            </w:r>
            <w:r>
              <w:rPr>
                <w:rFonts w:ascii="Verdana" w:eastAsia="Times New Roman" w:hAnsi="Verdana" w:cs="Arial"/>
                <w:bCs/>
                <w:lang w:val="es-ES" w:eastAsia="es-CO"/>
              </w:rPr>
              <w:lastRenderedPageBreak/>
              <w:t xml:space="preserve">entienden </w:t>
            </w:r>
            <w:r w:rsidRPr="007B2BC2">
              <w:rPr>
                <w:rFonts w:ascii="Verdana" w:eastAsia="Times New Roman" w:hAnsi="Verdana" w:cs="Arial"/>
                <w:bCs/>
                <w:lang w:val="es-ES" w:eastAsia="es-CO"/>
              </w:rPr>
              <w:t xml:space="preserve">celebrados en </w:t>
            </w:r>
            <w:r>
              <w:rPr>
                <w:rFonts w:ascii="Verdana" w:eastAsia="Times New Roman" w:hAnsi="Verdana" w:cs="Arial"/>
                <w:bCs/>
                <w:lang w:val="es-ES" w:eastAsia="es-CO"/>
              </w:rPr>
              <w:t>infracción</w:t>
            </w:r>
            <w:r w:rsidRPr="007B2BC2">
              <w:rPr>
                <w:rFonts w:ascii="Verdana" w:eastAsia="Times New Roman" w:hAnsi="Verdana" w:cs="Arial"/>
                <w:bCs/>
                <w:lang w:val="es-ES" w:eastAsia="es-CO"/>
              </w:rPr>
              <w:t xml:space="preserve"> de l</w:t>
            </w:r>
            <w:r>
              <w:rPr>
                <w:rFonts w:ascii="Verdana" w:eastAsia="Times New Roman" w:hAnsi="Verdana" w:cs="Arial"/>
                <w:bCs/>
                <w:lang w:val="es-ES" w:eastAsia="es-CO"/>
              </w:rPr>
              <w:t xml:space="preserve">o </w:t>
            </w:r>
            <w:r w:rsidRPr="007B2BC2">
              <w:rPr>
                <w:rFonts w:ascii="Verdana" w:eastAsia="Times New Roman" w:hAnsi="Verdana" w:cs="Arial"/>
                <w:bCs/>
                <w:lang w:val="es-ES" w:eastAsia="es-CO"/>
              </w:rPr>
              <w:t>previst</w:t>
            </w:r>
            <w:r>
              <w:rPr>
                <w:rFonts w:ascii="Verdana" w:eastAsia="Times New Roman" w:hAnsi="Verdana" w:cs="Arial"/>
                <w:bCs/>
                <w:lang w:val="es-ES" w:eastAsia="es-CO"/>
              </w:rPr>
              <w:t>o</w:t>
            </w:r>
            <w:r w:rsidRPr="007B2BC2">
              <w:rPr>
                <w:rFonts w:ascii="Verdana" w:eastAsia="Times New Roman" w:hAnsi="Verdana" w:cs="Arial"/>
                <w:bCs/>
                <w:lang w:val="es-ES" w:eastAsia="es-CO"/>
              </w:rPr>
              <w:t xml:space="preserve"> en los artículos 33 y 38 </w:t>
            </w:r>
            <w:r w:rsidRPr="00AB7579">
              <w:rPr>
                <w:rFonts w:ascii="Verdana" w:eastAsia="Times New Roman" w:hAnsi="Verdana" w:cs="Arial"/>
                <w:bCs/>
                <w:i/>
                <w:iCs/>
                <w:lang w:val="es-ES" w:eastAsia="es-CO"/>
              </w:rPr>
              <w:t>ibidem,</w:t>
            </w:r>
            <w:r w:rsidRPr="007B2BC2">
              <w:rPr>
                <w:rFonts w:ascii="Verdana" w:eastAsia="Times New Roman" w:hAnsi="Verdana" w:cs="Arial"/>
                <w:bCs/>
                <w:lang w:val="es-ES" w:eastAsia="es-CO"/>
              </w:rPr>
              <w:t xml:space="preserve"> en la medida en que el hito jurídico de perfeccionamiento ocurrió dentro del período de restricción.</w:t>
            </w:r>
          </w:p>
          <w:p w14:paraId="2889ACE0" w14:textId="3976613A" w:rsidR="00506079" w:rsidRPr="00B70775" w:rsidRDefault="004151AE" w:rsidP="004151AE">
            <w:pPr>
              <w:spacing w:after="120" w:line="276" w:lineRule="auto"/>
              <w:jc w:val="both"/>
              <w:rPr>
                <w:rFonts w:ascii="Verdana" w:hAnsi="Verdana" w:cs="Arial"/>
                <w:color w:val="000000" w:themeColor="text1"/>
              </w:rPr>
            </w:pPr>
            <w:r w:rsidRPr="007B2BC2">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w:t>
            </w:r>
            <w:r>
              <w:rPr>
                <w:rFonts w:ascii="Verdana" w:eastAsia="Times New Roman" w:hAnsi="Verdana" w:cs="Arial"/>
                <w:bCs/>
                <w:lang w:val="es-ES" w:eastAsia="es-CO"/>
              </w:rPr>
              <w:t xml:space="preserve">los </w:t>
            </w:r>
            <w:r w:rsidRPr="007B2BC2">
              <w:rPr>
                <w:rFonts w:ascii="Verdana" w:eastAsia="Times New Roman" w:hAnsi="Verdana" w:cs="Arial"/>
                <w:bCs/>
                <w:lang w:val="es-ES" w:eastAsia="es-CO"/>
              </w:rPr>
              <w:t>artículo</w:t>
            </w:r>
            <w:r>
              <w:rPr>
                <w:rFonts w:ascii="Verdana" w:eastAsia="Times New Roman" w:hAnsi="Verdana" w:cs="Arial"/>
                <w:bCs/>
                <w:lang w:val="es-ES" w:eastAsia="es-CO"/>
              </w:rPr>
              <w:t>s 44 y</w:t>
            </w:r>
            <w:r w:rsidRPr="007B2BC2">
              <w:rPr>
                <w:rFonts w:ascii="Verdana" w:eastAsia="Times New Roman" w:hAnsi="Verdana" w:cs="Arial"/>
                <w:bCs/>
                <w:lang w:val="es-ES" w:eastAsia="es-CO"/>
              </w:rPr>
              <w:t xml:space="preserve"> 45 de la Ley 80 de 1993</w:t>
            </w:r>
            <w:r>
              <w:rPr>
                <w:rFonts w:ascii="Verdana" w:eastAsia="Times New Roman" w:hAnsi="Verdana" w:cs="Arial"/>
                <w:bCs/>
                <w:lang w:val="es-ES" w:eastAsia="es-CO"/>
              </w:rPr>
              <w:t>. Lo anterior, sin perjuicio de las responsabilidades de tipo disciplinario, fiscal y penal que puedan generarse.</w:t>
            </w:r>
          </w:p>
        </w:tc>
      </w:tr>
    </w:tbl>
    <w:p w14:paraId="27924110" w14:textId="77777777" w:rsidR="00506079" w:rsidRDefault="00506079" w:rsidP="00506079">
      <w:pPr>
        <w:tabs>
          <w:tab w:val="left" w:pos="142"/>
          <w:tab w:val="left" w:pos="284"/>
        </w:tabs>
        <w:spacing w:after="0" w:line="276" w:lineRule="auto"/>
        <w:jc w:val="both"/>
        <w:rPr>
          <w:rFonts w:ascii="Verdana" w:eastAsia="Century Gothic" w:hAnsi="Verdana" w:cs="Century Gothic"/>
          <w:b/>
          <w:bCs/>
        </w:rPr>
      </w:pPr>
    </w:p>
    <w:p w14:paraId="30D6D888" w14:textId="77777777" w:rsidR="00506079" w:rsidRPr="008E4F36" w:rsidRDefault="00506079" w:rsidP="00506079">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D3DAB74" w14:textId="77777777" w:rsidR="00506079" w:rsidRDefault="00506079" w:rsidP="00506079">
      <w:pPr>
        <w:pStyle w:val="Prrafodelista"/>
        <w:tabs>
          <w:tab w:val="left" w:pos="142"/>
          <w:tab w:val="left" w:pos="284"/>
        </w:tabs>
        <w:spacing w:after="0" w:line="276" w:lineRule="auto"/>
        <w:ind w:left="0"/>
        <w:contextualSpacing w:val="0"/>
        <w:jc w:val="both"/>
        <w:rPr>
          <w:rFonts w:ascii="Verdana" w:eastAsia="Calibri" w:hAnsi="Verdana" w:cs="Arial"/>
        </w:rPr>
      </w:pPr>
    </w:p>
    <w:p w14:paraId="01E75703" w14:textId="77777777" w:rsidR="00506079" w:rsidRDefault="00506079" w:rsidP="00506079">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2301C7B6" w14:textId="77777777" w:rsidR="00506079" w:rsidRDefault="00506079" w:rsidP="00506079">
      <w:pPr>
        <w:spacing w:after="120" w:line="276" w:lineRule="auto"/>
        <w:jc w:val="both"/>
        <w:rPr>
          <w:rFonts w:ascii="Verdana" w:eastAsia="Calibri" w:hAnsi="Verdana" w:cs="Arial"/>
          <w:color w:val="000000"/>
          <w:shd w:val="clear" w:color="auto" w:fill="FFFFFF"/>
          <w:lang w:val="es-ES"/>
        </w:rPr>
      </w:pPr>
    </w:p>
    <w:p w14:paraId="3DC83B4E" w14:textId="77777777" w:rsidR="00FE48E7" w:rsidRDefault="00506079" w:rsidP="00FE48E7">
      <w:pPr>
        <w:tabs>
          <w:tab w:val="left" w:pos="426"/>
        </w:tabs>
        <w:spacing w:after="120" w:line="276" w:lineRule="auto"/>
        <w:jc w:val="both"/>
        <w:rPr>
          <w:rFonts w:ascii="Verdana" w:eastAsia="Times New Roman" w:hAnsi="Verdana" w:cs="Arial"/>
          <w:lang w:eastAsia="es-CO"/>
        </w:rPr>
      </w:pPr>
      <w:r w:rsidRPr="2864E210">
        <w:rPr>
          <w:rFonts w:ascii="Verdana" w:eastAsia="Times New Roman" w:hAnsi="Verdana" w:cs="Arial"/>
          <w:color w:val="000000" w:themeColor="text1"/>
          <w:lang w:val="es-ES" w:eastAsia="es-ES"/>
        </w:rPr>
        <w:t xml:space="preserve"> </w:t>
      </w:r>
      <w:bookmarkStart w:id="4" w:name="_Hlk204856061"/>
      <w:bookmarkStart w:id="5" w:name="_Hlk78820161"/>
      <w:bookmarkStart w:id="6" w:name="_Hlk204854194"/>
      <w:r w:rsidR="00FE48E7">
        <w:rPr>
          <w:rFonts w:ascii="Verdana" w:eastAsia="Calibri" w:hAnsi="Verdana" w:cs="Arial"/>
        </w:rPr>
        <w:t>i. El ordenamiento jurídico colombiano contempla previsiones claras para evitar la obtención de beneficios personales en asuntos propios de la administración pública</w:t>
      </w:r>
      <w:r w:rsidR="00FE48E7">
        <w:rPr>
          <w:rFonts w:ascii="Verdana" w:eastAsia="Calibri" w:hAnsi="Verdana" w:cs="Arial"/>
          <w:i/>
        </w:rPr>
        <w:t xml:space="preserve">. </w:t>
      </w:r>
      <w:r w:rsidR="00FE48E7">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00FE48E7">
        <w:rPr>
          <w:rFonts w:ascii="Verdana" w:hAnsi="Verdana"/>
          <w:vertAlign w:val="superscript"/>
        </w:rPr>
        <w:footnoteReference w:id="2"/>
      </w:r>
      <w:r w:rsidR="00FE48E7">
        <w:rPr>
          <w:rFonts w:ascii="Verdana" w:eastAsia="Calibri" w:hAnsi="Verdana" w:cs="Arial"/>
        </w:rPr>
        <w:t xml:space="preserve">. </w:t>
      </w:r>
    </w:p>
    <w:p w14:paraId="4597E1CC" w14:textId="77777777" w:rsidR="00FE48E7" w:rsidRDefault="00FE48E7" w:rsidP="00FE48E7">
      <w:pPr>
        <w:tabs>
          <w:tab w:val="left" w:pos="426"/>
        </w:tabs>
        <w:spacing w:after="120" w:line="276" w:lineRule="auto"/>
        <w:ind w:firstLine="709"/>
        <w:jc w:val="both"/>
        <w:rPr>
          <w:rFonts w:ascii="Verdana" w:eastAsia="Calibri" w:hAnsi="Verdana" w:cs="Arial"/>
          <w:lang w:val="es-ES_tradnl"/>
        </w:rPr>
      </w:pPr>
      <w:r>
        <w:rPr>
          <w:rFonts w:ascii="Verdana" w:eastAsia="Times New Roman" w:hAnsi="Verdana" w:cs="Arial"/>
          <w:lang w:eastAsia="es-CO"/>
        </w:rPr>
        <w:t>En el mismo sentido</w:t>
      </w:r>
      <w:r>
        <w:rPr>
          <w:rFonts w:ascii="Verdana" w:eastAsia="Times New Roman" w:hAnsi="Verdana" w:cs="Arial"/>
          <w:lang w:val="es-MX" w:eastAsia="es-CO"/>
        </w:rPr>
        <w:t xml:space="preserve">, </w:t>
      </w:r>
      <w:bookmarkStart w:id="7" w:name="_Hlk99576829"/>
      <w:r>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Pr>
          <w:rFonts w:ascii="Verdana" w:eastAsia="Times New Roman" w:hAnsi="Verdana" w:cs="Arial"/>
          <w:vertAlign w:val="superscript"/>
          <w:lang w:val="es-MX" w:eastAsia="es-CO"/>
        </w:rPr>
        <w:footnoteReference w:id="3"/>
      </w:r>
      <w:r>
        <w:rPr>
          <w:rFonts w:ascii="Verdana" w:eastAsia="Times New Roman" w:hAnsi="Verdana" w:cs="Arial"/>
          <w:lang w:val="es-MX" w:eastAsia="es-CO"/>
        </w:rPr>
        <w:t xml:space="preserve">. En esta medida, introduce limitaciones para realizar nombramientos, postulaciones, </w:t>
      </w:r>
      <w:r>
        <w:rPr>
          <w:rFonts w:ascii="Verdana" w:eastAsia="Times New Roman" w:hAnsi="Verdana" w:cs="Arial"/>
          <w:lang w:val="es-MX" w:eastAsia="es-CO"/>
        </w:rPr>
        <w:lastRenderedPageBreak/>
        <w:t>contrataciones o cualquier otro tipo de actividad que implique destinación de recursos públicos bajo el devenir propio de las Entidades Estatales.</w:t>
      </w:r>
      <w:r>
        <w:rPr>
          <w:rFonts w:ascii="Verdana" w:eastAsia="Calibri" w:hAnsi="Verdana" w:cs="Arial"/>
          <w:lang w:val="es-ES_tradnl"/>
        </w:rPr>
        <w:t xml:space="preserve"> </w:t>
      </w:r>
      <w:bookmarkEnd w:id="7"/>
    </w:p>
    <w:p w14:paraId="6EBE2D5E" w14:textId="77777777" w:rsidR="00FE48E7" w:rsidRDefault="00FE48E7" w:rsidP="00FE48E7">
      <w:pPr>
        <w:tabs>
          <w:tab w:val="left" w:pos="426"/>
        </w:tabs>
        <w:spacing w:after="0" w:line="276" w:lineRule="auto"/>
        <w:ind w:firstLine="709"/>
        <w:jc w:val="both"/>
        <w:rPr>
          <w:rFonts w:ascii="Verdana" w:eastAsia="Calibri" w:hAnsi="Verdana" w:cs="Arial"/>
          <w:lang w:val="es-ES_tradnl"/>
        </w:rPr>
      </w:pPr>
      <w:r>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0DF5C52" w14:textId="77777777" w:rsidR="00FE48E7" w:rsidRDefault="00FE48E7" w:rsidP="00FE48E7">
      <w:pPr>
        <w:spacing w:after="0" w:line="276" w:lineRule="auto"/>
        <w:ind w:right="709"/>
        <w:contextualSpacing/>
        <w:jc w:val="both"/>
        <w:rPr>
          <w:rFonts w:ascii="Verdana" w:eastAsia="Times New Roman" w:hAnsi="Verdana" w:cs="Arial"/>
          <w:lang w:val="es-ES" w:eastAsia="es-CO"/>
        </w:rPr>
      </w:pPr>
    </w:p>
    <w:p w14:paraId="63E5824A" w14:textId="77777777" w:rsidR="00FE48E7" w:rsidRDefault="00FE48E7" w:rsidP="00FE48E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ES" w:eastAsia="es-CO"/>
        </w:rPr>
        <w:t xml:space="preserve">“[…] </w:t>
      </w:r>
      <w:r>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6C43C2D" w14:textId="77777777" w:rsidR="00FE48E7" w:rsidRDefault="00FE48E7" w:rsidP="00FE48E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1458EBF" w14:textId="77777777" w:rsidR="00FE48E7" w:rsidRDefault="00FE48E7" w:rsidP="00FE48E7">
      <w:pPr>
        <w:spacing w:after="0" w:line="240" w:lineRule="auto"/>
        <w:ind w:left="709" w:right="709"/>
        <w:contextualSpacing/>
        <w:jc w:val="both"/>
        <w:rPr>
          <w:rFonts w:ascii="Verdana" w:eastAsia="Times New Roman" w:hAnsi="Verdana" w:cs="Arial"/>
          <w:sz w:val="12"/>
          <w:szCs w:val="12"/>
          <w:lang w:val="es-MX" w:eastAsia="es-CO"/>
        </w:rPr>
      </w:pPr>
    </w:p>
    <w:p w14:paraId="44820DBA" w14:textId="77777777" w:rsidR="00FE48E7" w:rsidRDefault="00FE48E7" w:rsidP="00FE48E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Calibri" w:hAnsi="Verdana" w:cs="Arial"/>
          <w:sz w:val="20"/>
          <w:szCs w:val="20"/>
          <w:vertAlign w:val="superscript"/>
          <w:lang w:val="es-MX"/>
        </w:rPr>
        <w:footnoteReference w:id="4"/>
      </w:r>
    </w:p>
    <w:p w14:paraId="4C557854" w14:textId="77777777" w:rsidR="00FE48E7" w:rsidRDefault="00FE48E7" w:rsidP="00FE48E7">
      <w:pPr>
        <w:spacing w:after="0" w:line="276" w:lineRule="auto"/>
        <w:ind w:firstLine="709"/>
        <w:jc w:val="both"/>
        <w:rPr>
          <w:rFonts w:ascii="Verdana" w:eastAsia="Times New Roman" w:hAnsi="Verdana" w:cs="Arial"/>
          <w:lang w:val="es-MX" w:eastAsia="es-CO"/>
        </w:rPr>
      </w:pPr>
      <w:bookmarkStart w:id="8" w:name="_Hlk78818186"/>
    </w:p>
    <w:p w14:paraId="05F60D9A" w14:textId="77777777" w:rsidR="00FE48E7" w:rsidRDefault="00FE48E7" w:rsidP="00FE48E7">
      <w:pPr>
        <w:spacing w:after="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8"/>
      <w:r>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4B7493AD" w14:textId="77777777" w:rsidR="00FE48E7" w:rsidRDefault="00FE48E7" w:rsidP="00FE48E7">
      <w:pPr>
        <w:spacing w:after="0" w:line="276" w:lineRule="auto"/>
        <w:ind w:firstLine="709"/>
        <w:jc w:val="both"/>
        <w:rPr>
          <w:rFonts w:ascii="Verdana" w:eastAsia="Times New Roman" w:hAnsi="Verdana" w:cs="Arial"/>
          <w:lang w:val="es-MX" w:eastAsia="es-CO"/>
        </w:rPr>
      </w:pPr>
    </w:p>
    <w:p w14:paraId="52523FAB" w14:textId="77777777" w:rsidR="00FE48E7" w:rsidRDefault="00FE48E7" w:rsidP="00FE48E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Pr>
          <w:rFonts w:ascii="Verdana" w:eastAsia="Times New Roman" w:hAnsi="Verdana" w:cs="Arial"/>
          <w:sz w:val="20"/>
          <w:szCs w:val="20"/>
          <w:lang w:val="es-MX" w:eastAsia="es-CO"/>
        </w:rPr>
        <w:t>legis</w:t>
      </w:r>
      <w:proofErr w:type="spellEnd"/>
      <w:r>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w:t>
      </w:r>
      <w:r>
        <w:rPr>
          <w:rFonts w:ascii="Verdana" w:eastAsia="Times New Roman" w:hAnsi="Verdana" w:cs="Arial"/>
          <w:sz w:val="20"/>
          <w:szCs w:val="20"/>
          <w:lang w:val="es-MX" w:eastAsia="es-CO"/>
        </w:rPr>
        <w:lastRenderedPageBreak/>
        <w:t>disponibles ni pueden ser derogadas, modificadas, ampliadas o adicionadas por acuerdo o convenio o acto unilateral.</w:t>
      </w:r>
    </w:p>
    <w:p w14:paraId="38616B92" w14:textId="77777777" w:rsidR="00FE48E7" w:rsidRDefault="00FE48E7" w:rsidP="00FE48E7">
      <w:pPr>
        <w:spacing w:after="0" w:line="240" w:lineRule="auto"/>
        <w:ind w:right="709"/>
        <w:contextualSpacing/>
        <w:jc w:val="both"/>
        <w:rPr>
          <w:rFonts w:ascii="Verdana" w:eastAsia="Times New Roman" w:hAnsi="Verdana" w:cs="Arial"/>
          <w:sz w:val="12"/>
          <w:szCs w:val="12"/>
          <w:lang w:val="es-MX" w:eastAsia="es-CO"/>
        </w:rPr>
      </w:pPr>
    </w:p>
    <w:p w14:paraId="0C68A1D3" w14:textId="77777777" w:rsidR="00FE48E7" w:rsidRDefault="00FE48E7" w:rsidP="00FE48E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La jurisprudencia de la Corte Constitucional</w:t>
      </w:r>
      <w:r>
        <w:rPr>
          <w:rFonts w:ascii="Verdana" w:eastAsia="Times New Roman" w:hAnsi="Verdana" w:cs="Arial"/>
          <w:sz w:val="20"/>
          <w:szCs w:val="20"/>
          <w:vertAlign w:val="superscript"/>
          <w:lang w:val="es-MX" w:eastAsia="es-CO"/>
        </w:rPr>
        <w:footnoteReference w:id="5"/>
      </w:r>
      <w:r>
        <w:rPr>
          <w:rFonts w:ascii="Verdana" w:eastAsia="Times New Roman" w:hAnsi="Verdana" w:cs="Arial"/>
          <w:sz w:val="20"/>
          <w:szCs w:val="20"/>
          <w:lang w:val="es-MX" w:eastAsia="es-CO"/>
        </w:rPr>
        <w:t> y del Consejo de Estado</w:t>
      </w:r>
      <w:r>
        <w:rPr>
          <w:rFonts w:ascii="Verdana" w:eastAsia="Times New Roman" w:hAnsi="Verdana" w:cs="Arial"/>
          <w:sz w:val="20"/>
          <w:szCs w:val="20"/>
          <w:vertAlign w:val="superscript"/>
          <w:lang w:val="es-MX" w:eastAsia="es-CO"/>
        </w:rPr>
        <w:footnoteReference w:id="6"/>
      </w:r>
      <w:r>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sz w:val="20"/>
          <w:szCs w:val="20"/>
          <w:vertAlign w:val="superscript"/>
          <w:lang w:val="es-MX" w:eastAsia="es-CO"/>
        </w:rPr>
        <w:footnoteReference w:id="7"/>
      </w:r>
      <w:r>
        <w:rPr>
          <w:rFonts w:ascii="Verdana" w:eastAsia="Times New Roman" w:hAnsi="Verdana" w:cs="Arial"/>
          <w:sz w:val="20"/>
          <w:szCs w:val="20"/>
          <w:lang w:val="es-MX" w:eastAsia="es-CO"/>
        </w:rPr>
        <w:t>.</w:t>
      </w:r>
    </w:p>
    <w:p w14:paraId="2514D0B4" w14:textId="77777777" w:rsidR="00FE48E7" w:rsidRDefault="00FE48E7" w:rsidP="00FE48E7">
      <w:pPr>
        <w:spacing w:after="0" w:line="276" w:lineRule="auto"/>
        <w:jc w:val="both"/>
        <w:rPr>
          <w:rFonts w:ascii="Verdana" w:eastAsia="Calibri" w:hAnsi="Verdana" w:cs="Arial"/>
          <w:bCs/>
          <w:lang w:val="es-ES_tradnl"/>
        </w:rPr>
      </w:pPr>
    </w:p>
    <w:p w14:paraId="2A9753F2" w14:textId="77777777" w:rsidR="00FE48E7" w:rsidRDefault="00FE48E7" w:rsidP="00FE48E7">
      <w:pPr>
        <w:spacing w:after="0" w:line="276" w:lineRule="auto"/>
        <w:ind w:firstLine="709"/>
        <w:jc w:val="both"/>
        <w:rPr>
          <w:rFonts w:ascii="Verdana" w:eastAsia="Arial" w:hAnsi="Verdana" w:cs="Arial"/>
          <w:lang w:val="es-ES" w:eastAsia="es-ES" w:bidi="es-ES"/>
        </w:rPr>
      </w:pPr>
      <w:r>
        <w:rPr>
          <w:rFonts w:ascii="Verdana" w:eastAsia="Times New Roman" w:hAnsi="Verdana" w:cs="Arial"/>
          <w:lang w:val="es-MX" w:eastAsia="es-CO"/>
        </w:rPr>
        <w:t>De</w:t>
      </w:r>
      <w:r>
        <w:rPr>
          <w:rFonts w:ascii="Verdana" w:eastAsia="Arial" w:hAnsi="Verdana" w:cs="Arial"/>
          <w:lang w:val="es-ES" w:eastAsia="es-ES" w:bidi="es-ES"/>
        </w:rPr>
        <w:t xml:space="preserve"> conformidad con lo anterior, </w:t>
      </w:r>
      <w:bookmarkStart w:id="9" w:name="_Hlk77236098"/>
      <w:bookmarkStart w:id="10" w:name="_Hlk100679383"/>
      <w:r>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A7C3A7E" w14:textId="77777777" w:rsidR="00FE48E7" w:rsidRDefault="00FE48E7" w:rsidP="00FE48E7">
      <w:pPr>
        <w:spacing w:after="0" w:line="276" w:lineRule="auto"/>
        <w:ind w:firstLine="709"/>
        <w:jc w:val="both"/>
        <w:rPr>
          <w:rFonts w:ascii="Verdana" w:eastAsia="Arial" w:hAnsi="Verdana" w:cs="Arial"/>
          <w:lang w:val="es-ES" w:eastAsia="es-ES" w:bidi="es-ES"/>
        </w:rPr>
      </w:pPr>
    </w:p>
    <w:p w14:paraId="5ADCA380" w14:textId="77777777" w:rsidR="00FE48E7" w:rsidRDefault="00FE48E7" w:rsidP="00FE48E7">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Precisado el propósito de la Ley, es pertinente señalar que, en materia de contratación estatal,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9"/>
    </w:p>
    <w:p w14:paraId="5D795A63" w14:textId="77777777" w:rsidR="00FE48E7" w:rsidRDefault="00FE48E7" w:rsidP="00FE48E7">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w:t>
      </w:r>
      <w:r>
        <w:rPr>
          <w:rFonts w:ascii="Verdana" w:eastAsia="Calibri" w:hAnsi="Verdana" w:cs="Arial"/>
        </w:rPr>
        <w:lastRenderedPageBreak/>
        <w:t>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vertAlign w:val="superscript"/>
        </w:rPr>
        <w:footnoteReference w:id="8"/>
      </w:r>
      <w:r>
        <w:rPr>
          <w:rFonts w:ascii="Verdana" w:eastAsia="Calibri" w:hAnsi="Verdana" w:cs="Arial"/>
        </w:rPr>
        <w:t>.</w:t>
      </w:r>
    </w:p>
    <w:p w14:paraId="138D6F98" w14:textId="77777777" w:rsidR="00FE48E7" w:rsidRDefault="00FE48E7" w:rsidP="00FE48E7">
      <w:pPr>
        <w:widowControl w:val="0"/>
        <w:autoSpaceDE w:val="0"/>
        <w:autoSpaceDN w:val="0"/>
        <w:spacing w:after="120" w:line="276" w:lineRule="auto"/>
        <w:ind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rPr>
        <w:t>”</w:t>
      </w:r>
      <w:bookmarkEnd w:id="10"/>
      <w:r>
        <w:rPr>
          <w:rFonts w:ascii="Verdana" w:eastAsia="Calibri" w:hAnsi="Verdana" w:cs="Arial"/>
          <w:vertAlign w:val="superscript"/>
        </w:rPr>
        <w:footnoteReference w:id="9"/>
      </w:r>
      <w:r>
        <w:rPr>
          <w:rFonts w:ascii="Verdana" w:eastAsia="Calibri" w:hAnsi="Verdana" w:cs="Arial"/>
          <w:lang w:val="es-MX"/>
        </w:rPr>
        <w:t>.</w:t>
      </w:r>
      <w:r>
        <w:rPr>
          <w:rFonts w:ascii="Verdana" w:eastAsia="Arial" w:hAnsi="Verdana" w:cs="Arial"/>
          <w:lang w:val="es-ES" w:eastAsia="es-ES" w:bidi="es-ES"/>
        </w:rPr>
        <w:t xml:space="preserve"> </w:t>
      </w:r>
    </w:p>
    <w:p w14:paraId="33FED5B6" w14:textId="77777777" w:rsidR="00FE48E7" w:rsidRDefault="00FE48E7" w:rsidP="00FE48E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5259897F" w14:textId="77777777" w:rsidR="00FE48E7" w:rsidRDefault="00FE48E7" w:rsidP="00FE48E7">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4FFCB9EF" w14:textId="77777777" w:rsidR="00FE48E7" w:rsidRDefault="00FE48E7" w:rsidP="00FE48E7">
      <w:pPr>
        <w:widowControl w:val="0"/>
        <w:autoSpaceDE w:val="0"/>
        <w:autoSpaceDN w:val="0"/>
        <w:spacing w:after="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w:t>
      </w:r>
      <w:r>
        <w:rPr>
          <w:rFonts w:ascii="Verdana" w:eastAsia="Arial" w:hAnsi="Verdana" w:cs="Arial"/>
          <w:sz w:val="20"/>
          <w:szCs w:val="20"/>
          <w:lang w:eastAsia="es-ES" w:bidi="es-ES"/>
        </w:rPr>
        <w:lastRenderedPageBreak/>
        <w:t xml:space="preserve">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Pr>
          <w:rFonts w:ascii="Verdana" w:eastAsia="Arial" w:hAnsi="Verdana" w:cs="Arial"/>
          <w:sz w:val="20"/>
          <w:szCs w:val="20"/>
          <w:lang w:eastAsia="es-ES" w:bidi="es-ES"/>
        </w:rPr>
        <w:t>Presidente</w:t>
      </w:r>
      <w:proofErr w:type="gramEnd"/>
      <w:r>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vertAlign w:val="superscript"/>
          <w:lang w:eastAsia="es-ES" w:bidi="es-ES"/>
        </w:rPr>
        <w:footnoteReference w:id="10"/>
      </w:r>
    </w:p>
    <w:p w14:paraId="2D75D5C6" w14:textId="77777777" w:rsidR="00FE48E7" w:rsidRDefault="00FE48E7" w:rsidP="00FE48E7">
      <w:pPr>
        <w:widowControl w:val="0"/>
        <w:autoSpaceDE w:val="0"/>
        <w:autoSpaceDN w:val="0"/>
        <w:spacing w:line="276" w:lineRule="auto"/>
        <w:contextualSpacing/>
        <w:rPr>
          <w:rFonts w:ascii="Verdana" w:eastAsia="Arial" w:hAnsi="Verdana" w:cs="Arial"/>
          <w:lang w:val="es-ES" w:eastAsia="es-ES" w:bidi="es-ES"/>
        </w:rPr>
      </w:pPr>
    </w:p>
    <w:p w14:paraId="1C96DF81" w14:textId="77777777" w:rsidR="00FE48E7" w:rsidRDefault="00FE48E7" w:rsidP="00FE48E7">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Pr>
          <w:rFonts w:ascii="Verdana" w:eastAsia="Arial" w:hAnsi="Verdana" w:cs="Arial"/>
          <w:i/>
          <w:lang w:val="es-ES" w:eastAsia="es-ES" w:bidi="es-ES"/>
        </w:rPr>
        <w:t>En primer lugar</w:t>
      </w:r>
      <w:r>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Pr>
          <w:rFonts w:ascii="Verdana" w:eastAsia="Arial" w:hAnsi="Verdana" w:cs="Arial"/>
          <w:i/>
          <w:lang w:val="es-ES" w:eastAsia="es-ES" w:bidi="es-ES"/>
        </w:rPr>
        <w:t>En segundo lugar</w:t>
      </w:r>
      <w:r>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30911C8" w14:textId="77777777" w:rsidR="00FE48E7" w:rsidRDefault="00FE48E7" w:rsidP="00FE48E7">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Ambas restricciones no son excluyentes, lo que permite concluir que, en el período preelectoral para elección de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DFC0F27" w14:textId="77777777" w:rsidR="00FE48E7" w:rsidRDefault="00FE48E7" w:rsidP="00FE48E7">
      <w:pPr>
        <w:spacing w:after="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o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desde que éstos –</w:t>
      </w:r>
      <w:r>
        <w:rPr>
          <w:rFonts w:ascii="Verdana" w:eastAsia="Arial" w:hAnsi="Verdana" w:cs="Arial"/>
          <w:lang w:val="es-ES" w:eastAsia="es-ES" w:bidi="es-ES"/>
        </w:rPr>
        <w:lastRenderedPageBreak/>
        <w:t xml:space="preserve">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y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9DE41C7" w14:textId="77777777" w:rsidR="00FE48E7" w:rsidRDefault="00FE48E7" w:rsidP="00FE48E7">
      <w:pPr>
        <w:widowControl w:val="0"/>
        <w:autoSpaceDE w:val="0"/>
        <w:autoSpaceDN w:val="0"/>
        <w:spacing w:after="0" w:line="276" w:lineRule="auto"/>
        <w:jc w:val="both"/>
        <w:rPr>
          <w:rFonts w:ascii="Verdana" w:eastAsia="Arial" w:hAnsi="Verdana" w:cs="Arial"/>
          <w:lang w:val="es-ES" w:eastAsia="es-ES" w:bidi="es-ES"/>
        </w:rPr>
      </w:pPr>
    </w:p>
    <w:p w14:paraId="5E8E5DD0" w14:textId="77777777" w:rsidR="00FE48E7" w:rsidRDefault="00FE48E7" w:rsidP="00FE48E7">
      <w:pPr>
        <w:spacing w:after="120" w:line="276" w:lineRule="auto"/>
        <w:jc w:val="both"/>
        <w:rPr>
          <w:rFonts w:ascii="Verdana" w:eastAsia="Times New Roman" w:hAnsi="Verdana" w:cs="Arial"/>
          <w:bCs/>
          <w:lang w:eastAsia="es-CO"/>
        </w:rPr>
      </w:pPr>
      <w:proofErr w:type="spellStart"/>
      <w:r>
        <w:rPr>
          <w:rFonts w:ascii="Verdana" w:eastAsia="Times New Roman" w:hAnsi="Verdana" w:cs="Arial"/>
          <w:bCs/>
          <w:lang w:val="es-MX" w:eastAsia="es-CO"/>
        </w:rPr>
        <w:t>iii</w:t>
      </w:r>
      <w:proofErr w:type="spellEnd"/>
      <w:r>
        <w:rPr>
          <w:rFonts w:ascii="Verdana" w:eastAsia="Times New Roman" w:hAnsi="Verdana" w:cs="Arial"/>
          <w:bCs/>
          <w:lang w:val="es-MX" w:eastAsia="es-CO"/>
        </w:rPr>
        <w:t>. Para entender el momento de aplicación de estas restricciones, es preciso señalar que el vocablo “celebrar” es definido por el Diccionario Panhispánico del Español Jurídico como: “</w:t>
      </w:r>
      <w:r>
        <w:rPr>
          <w:rFonts w:ascii="Verdana" w:eastAsia="Times New Roman" w:hAnsi="Verdana" w:cs="Arial"/>
          <w:bCs/>
          <w:lang w:eastAsia="es-CO"/>
        </w:rPr>
        <w:t>1. </w:t>
      </w:r>
      <w:r>
        <w:rPr>
          <w:rFonts w:ascii="Verdana" w:eastAsia="Times New Roman" w:hAnsi="Verdana" w:cs="Arial"/>
          <w:bCs/>
          <w:i/>
          <w:iCs/>
          <w:lang w:eastAsia="es-CO"/>
        </w:rPr>
        <w:t>Gral.</w:t>
      </w:r>
      <w:r>
        <w:rPr>
          <w:rFonts w:ascii="Verdana" w:eastAsia="Times New Roman" w:hAnsi="Verdana" w:cs="Arial"/>
          <w:bCs/>
          <w:lang w:eastAsia="es-CO"/>
        </w:rPr>
        <w:t xml:space="preserve"> Otorgar o firmar un contrato. 2. </w:t>
      </w:r>
      <w:proofErr w:type="spellStart"/>
      <w:r>
        <w:rPr>
          <w:rFonts w:ascii="Verdana" w:eastAsia="Times New Roman" w:hAnsi="Verdana" w:cs="Arial"/>
          <w:bCs/>
          <w:i/>
          <w:iCs/>
          <w:lang w:eastAsia="es-CO"/>
        </w:rPr>
        <w:t>Proc</w:t>
      </w:r>
      <w:proofErr w:type="spellEnd"/>
      <w:r>
        <w:rPr>
          <w:rFonts w:ascii="Verdana" w:eastAsia="Times New Roman" w:hAnsi="Verdana" w:cs="Arial"/>
          <w:bCs/>
          <w:i/>
          <w:iCs/>
          <w:lang w:eastAsia="es-CO"/>
        </w:rPr>
        <w:t>.</w:t>
      </w:r>
      <w:r>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16B1CB68" w14:textId="77777777" w:rsidR="00FE48E7" w:rsidRDefault="00FE48E7" w:rsidP="00FE48E7">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Pr>
          <w:rFonts w:ascii="Verdana" w:eastAsia="Times New Roman" w:hAnsi="Verdana" w:cs="Arial"/>
          <w:bCs/>
          <w:lang w:val="es-ES" w:eastAsia="es-CO"/>
        </w:rPr>
        <w:t xml:space="preserve">la existencia de los contratos estatales, es decir, la producción de efectos jurídicos en los términos del artículo 1501 </w:t>
      </w:r>
      <w:r>
        <w:rPr>
          <w:rFonts w:ascii="Verdana" w:eastAsia="Times New Roman" w:hAnsi="Verdana" w:cs="Arial"/>
          <w:bCs/>
          <w:i/>
          <w:lang w:val="es-ES" w:eastAsia="es-CO"/>
        </w:rPr>
        <w:t>ibidem</w:t>
      </w:r>
      <w:r>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DD51C43" w14:textId="77777777" w:rsidR="00FE48E7" w:rsidRDefault="00FE48E7" w:rsidP="00FE48E7">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w:t>
      </w:r>
      <w:r>
        <w:rPr>
          <w:rFonts w:ascii="Verdana" w:eastAsia="Times New Roman" w:hAnsi="Verdana" w:cs="Arial"/>
          <w:bCs/>
          <w:lang w:val="es-ES" w:eastAsia="es-CO"/>
        </w:rPr>
        <w:lastRenderedPageBreak/>
        <w:t xml:space="preserve">Por tanto, no se refiere a los requisitos de ejecución, es decir, aquellas condiciones para iniciar un contrato, como es la aprobación de las garantías o el registro presupuestal, o en algunos casos, la firma del acta de inicio, si así se determinó. </w:t>
      </w:r>
    </w:p>
    <w:p w14:paraId="33AA1B1F" w14:textId="77777777" w:rsidR="00FE48E7" w:rsidRDefault="00FE48E7" w:rsidP="00FE48E7">
      <w:pPr>
        <w:spacing w:after="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Ahora bien, </w:t>
      </w:r>
      <w:r>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Pr>
          <w:rFonts w:ascii="Verdana" w:eastAsia="Times New Roman" w:hAnsi="Verdana" w:cs="Arial"/>
          <w:bCs/>
          <w:lang w:val="es-MX" w:eastAsia="es-CO"/>
        </w:rPr>
        <w:t>entrada en vigencia</w:t>
      </w:r>
      <w:proofErr w:type="gramEnd"/>
      <w:r>
        <w:rPr>
          <w:rFonts w:ascii="Verdana" w:eastAsia="Times New Roman" w:hAnsi="Verdana" w:cs="Arial"/>
          <w:bCs/>
          <w:lang w:val="es-MX" w:eastAsia="es-CO"/>
        </w:rPr>
        <w:t xml:space="preserve"> de las prohibiciones anotadas, así como la cesión de </w:t>
      </w:r>
      <w:proofErr w:type="gramStart"/>
      <w:r>
        <w:rPr>
          <w:rFonts w:ascii="Verdana" w:eastAsia="Times New Roman" w:hAnsi="Verdana" w:cs="Arial"/>
          <w:bCs/>
          <w:lang w:val="es-MX" w:eastAsia="es-CO"/>
        </w:rPr>
        <w:t>los mismos</w:t>
      </w:r>
      <w:proofErr w:type="gramEnd"/>
      <w:r>
        <w:rPr>
          <w:rFonts w:ascii="Verdana" w:eastAsia="Times New Roman" w:hAnsi="Verdana" w:cs="Arial"/>
          <w:bCs/>
          <w:lang w:val="es-MX" w:eastAsia="es-CO"/>
        </w:rPr>
        <w:t>, pueden tener lugar en el período de aplicación de la Ley de Garantías Electorales, sin que ello haga nugatoria la restricción de la contratación directa y siempre que cumplan los principios de planeación, transparencia y responsabilidad</w:t>
      </w:r>
      <w:r>
        <w:rPr>
          <w:rFonts w:ascii="Verdana" w:eastAsia="Times New Roman" w:hAnsi="Verdana" w:cs="Arial"/>
          <w:bCs/>
          <w:vertAlign w:val="superscript"/>
          <w:lang w:val="es-MX" w:eastAsia="es-CO"/>
        </w:rPr>
        <w:footnoteReference w:id="11"/>
      </w:r>
      <w:r>
        <w:rPr>
          <w:rFonts w:ascii="Verdana" w:eastAsia="Times New Roman" w:hAnsi="Verdana" w:cs="Arial"/>
          <w:bCs/>
          <w:lang w:val="es-MX" w:eastAsia="es-CO"/>
        </w:rPr>
        <w:t xml:space="preserve">. </w:t>
      </w:r>
    </w:p>
    <w:p w14:paraId="1FDF3381" w14:textId="77777777" w:rsidR="00FE48E7" w:rsidRPr="00B54909" w:rsidRDefault="00FE48E7" w:rsidP="00FE48E7">
      <w:pPr>
        <w:spacing w:after="0" w:line="276" w:lineRule="auto"/>
        <w:ind w:firstLine="709"/>
        <w:jc w:val="both"/>
        <w:rPr>
          <w:rFonts w:ascii="Verdana" w:eastAsia="Arial" w:hAnsi="Verdana" w:cs="Arial"/>
          <w:lang w:val="es-ES" w:eastAsia="es-ES" w:bidi="es-ES"/>
        </w:rPr>
      </w:pPr>
    </w:p>
    <w:p w14:paraId="50C79B07" w14:textId="77777777" w:rsidR="00FE48E7" w:rsidRPr="00B54909" w:rsidRDefault="00FE48E7" w:rsidP="00FE48E7">
      <w:pPr>
        <w:spacing w:after="0" w:line="276" w:lineRule="auto"/>
        <w:jc w:val="both"/>
        <w:rPr>
          <w:rFonts w:ascii="Verdana" w:eastAsia="Arial" w:hAnsi="Verdana" w:cs="Arial"/>
          <w:lang w:val="es-ES" w:eastAsia="es-ES" w:bidi="es-ES"/>
        </w:rPr>
      </w:pPr>
      <w:proofErr w:type="spellStart"/>
      <w:r w:rsidRPr="00B54909">
        <w:rPr>
          <w:rFonts w:ascii="Verdana" w:eastAsia="Arial" w:hAnsi="Verdana" w:cs="Arial"/>
          <w:lang w:val="es-ES" w:eastAsia="es-ES" w:bidi="es-ES"/>
        </w:rPr>
        <w:t>iv</w:t>
      </w:r>
      <w:proofErr w:type="spellEnd"/>
      <w:r w:rsidRPr="00B54909">
        <w:rPr>
          <w:rFonts w:ascii="Verdana" w:eastAsia="Arial" w:hAnsi="Verdana" w:cs="Arial"/>
          <w:lang w:val="es-ES" w:eastAsia="es-ES" w:bidi="es-ES"/>
        </w:rPr>
        <w:t>. Teniendo en cuenta el objeto de la consulta, resulta importante analizar</w:t>
      </w:r>
      <w:r>
        <w:rPr>
          <w:rFonts w:ascii="Verdana" w:eastAsia="Arial" w:hAnsi="Verdana" w:cs="Arial"/>
          <w:lang w:val="es-ES" w:eastAsia="es-ES" w:bidi="es-ES"/>
        </w:rPr>
        <w:t xml:space="preserve"> cada prohibición.</w:t>
      </w:r>
      <w:r w:rsidRPr="00B54909">
        <w:rPr>
          <w:rFonts w:ascii="Verdana" w:eastAsia="Arial" w:hAnsi="Verdana" w:cs="Arial"/>
          <w:lang w:val="es-ES" w:eastAsia="es-ES" w:bidi="es-ES"/>
        </w:rPr>
        <w:t xml:space="preserve"> </w:t>
      </w:r>
      <w:r>
        <w:rPr>
          <w:rFonts w:ascii="Verdana" w:eastAsia="Times New Roman" w:hAnsi="Verdana" w:cs="Arial"/>
          <w:bCs/>
          <w:lang w:val="es-MX" w:eastAsia="x-none"/>
        </w:rPr>
        <w:t>E</w:t>
      </w:r>
      <w:r w:rsidRPr="00B54909">
        <w:rPr>
          <w:rFonts w:ascii="Verdana" w:eastAsia="Times New Roman" w:hAnsi="Verdana" w:cs="Arial"/>
          <w:bCs/>
          <w:lang w:val="es-MX" w:eastAsia="x-none"/>
        </w:rPr>
        <w:t xml:space="preserve">l ámbito material de la prohibición contenida en el artículo 33 de la Ley 996 de 2005 está delimitado por la expresión </w:t>
      </w:r>
      <w:r w:rsidRPr="00F31AC8">
        <w:rPr>
          <w:rFonts w:ascii="Verdana" w:eastAsia="Calibri" w:hAnsi="Verdana" w:cs="Arial"/>
          <w:bCs/>
          <w:lang w:val="es-MX"/>
        </w:rPr>
        <w:t>“</w:t>
      </w:r>
      <w:r w:rsidRPr="00B54909">
        <w:rPr>
          <w:rFonts w:ascii="Verdana" w:eastAsia="Times New Roman" w:hAnsi="Verdana" w:cs="Arial"/>
          <w:bCs/>
          <w:lang w:val="es-MX" w:eastAsia="x-none"/>
        </w:rPr>
        <w:t>queda prohibida la contratación directa</w:t>
      </w:r>
      <w:r w:rsidRPr="00F31AC8">
        <w:rPr>
          <w:rFonts w:ascii="Verdana" w:eastAsia="Calibri" w:hAnsi="Verdana" w:cs="Arial"/>
          <w:lang w:val="es-MX"/>
        </w:rPr>
        <w:t>”</w:t>
      </w:r>
      <w:r w:rsidRPr="00B54909">
        <w:rPr>
          <w:rFonts w:ascii="Verdana" w:eastAsia="Times New Roman" w:hAnsi="Verdana" w:cs="Arial"/>
          <w:bCs/>
          <w:lang w:val="es-MX" w:eastAsia="x-none"/>
        </w:rPr>
        <w:t xml:space="preserve">. </w:t>
      </w:r>
      <w:r w:rsidRPr="00B54909">
        <w:rPr>
          <w:rFonts w:ascii="Verdana" w:eastAsia="Times New Roman" w:hAnsi="Verdana" w:cs="Arial"/>
          <w:lang w:val="es-MX" w:eastAsia="es-CO"/>
        </w:rPr>
        <w:t xml:space="preserve"> A propósito de </w:t>
      </w:r>
      <w:r w:rsidRPr="00B54909">
        <w:rPr>
          <w:rFonts w:ascii="Verdana" w:eastAsia="Times New Roman" w:hAnsi="Verdana" w:cs="Arial"/>
          <w:lang w:eastAsia="es-CO"/>
        </w:rPr>
        <w:t>esta restricción de la Ley de Garantías Electorales, la Sala de Consulta y Servicio Civil del Consejo de Estado ha considerado que:</w:t>
      </w:r>
    </w:p>
    <w:p w14:paraId="14933A1B" w14:textId="77777777" w:rsidR="00FE48E7" w:rsidRPr="00B54909" w:rsidRDefault="00FE48E7" w:rsidP="00FE48E7">
      <w:pPr>
        <w:spacing w:after="0" w:line="276" w:lineRule="auto"/>
        <w:ind w:left="708" w:right="709"/>
        <w:jc w:val="both"/>
        <w:rPr>
          <w:rFonts w:ascii="Verdana" w:eastAsia="Calibri" w:hAnsi="Verdana" w:cs="Arial"/>
          <w:lang w:val="es-MX"/>
        </w:rPr>
      </w:pPr>
    </w:p>
    <w:p w14:paraId="6F28DA20" w14:textId="77777777" w:rsidR="00FE48E7" w:rsidRDefault="00FE48E7" w:rsidP="00FE48E7">
      <w:pPr>
        <w:spacing w:after="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12"/>
      </w:r>
      <w:r>
        <w:rPr>
          <w:rFonts w:ascii="Verdana" w:eastAsia="Calibri" w:hAnsi="Verdana" w:cs="Arial"/>
          <w:sz w:val="20"/>
          <w:szCs w:val="20"/>
          <w:lang w:val="es-MX"/>
        </w:rPr>
        <w:t>.</w:t>
      </w:r>
    </w:p>
    <w:p w14:paraId="0D44DFEF" w14:textId="77777777" w:rsidR="00FE48E7" w:rsidRDefault="00FE48E7" w:rsidP="00FE48E7">
      <w:pPr>
        <w:spacing w:after="0" w:line="240" w:lineRule="auto"/>
        <w:ind w:left="709" w:right="709"/>
        <w:jc w:val="both"/>
        <w:rPr>
          <w:rFonts w:ascii="Verdana" w:eastAsia="Calibri" w:hAnsi="Verdana" w:cs="Arial"/>
          <w:sz w:val="20"/>
          <w:szCs w:val="20"/>
          <w:lang w:val="es-MX"/>
        </w:rPr>
      </w:pPr>
    </w:p>
    <w:p w14:paraId="264F934A" w14:textId="77777777" w:rsidR="00FE48E7" w:rsidRDefault="00FE48E7" w:rsidP="00FE48E7">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 xml:space="preserve">Esta Sala ha entendido </w:t>
      </w:r>
      <w:proofErr w:type="gramStart"/>
      <w:r>
        <w:rPr>
          <w:rFonts w:ascii="Verdana" w:eastAsia="Calibri" w:hAnsi="Verdana" w:cs="Arial"/>
          <w:sz w:val="20"/>
          <w:szCs w:val="20"/>
          <w:lang w:val="es-MX"/>
        </w:rPr>
        <w:t>que</w:t>
      </w:r>
      <w:proofErr w:type="gramEnd"/>
      <w:r>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13"/>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w:t>
      </w:r>
      <w:r>
        <w:rPr>
          <w:rFonts w:ascii="Verdana" w:eastAsia="Calibri" w:hAnsi="Verdana" w:cs="Arial"/>
          <w:sz w:val="20"/>
          <w:szCs w:val="20"/>
          <w:lang w:val="es-MX"/>
        </w:rPr>
        <w:lastRenderedPageBreak/>
        <w:t>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14"/>
      </w:r>
      <w:r>
        <w:rPr>
          <w:rFonts w:ascii="Verdana" w:eastAsia="Calibri" w:hAnsi="Verdana" w:cs="Arial"/>
          <w:sz w:val="20"/>
          <w:szCs w:val="20"/>
          <w:lang w:val="es-MX"/>
        </w:rPr>
        <w:t>.</w:t>
      </w:r>
    </w:p>
    <w:p w14:paraId="55D251F4" w14:textId="77777777" w:rsidR="00FE48E7" w:rsidRDefault="00FE48E7" w:rsidP="00FE48E7">
      <w:pPr>
        <w:shd w:val="clear" w:color="auto" w:fill="FFFFFF"/>
        <w:spacing w:after="0" w:line="276" w:lineRule="auto"/>
        <w:ind w:firstLine="709"/>
        <w:jc w:val="both"/>
        <w:rPr>
          <w:rFonts w:ascii="Verdana" w:eastAsia="Times New Roman" w:hAnsi="Verdana" w:cs="Arial"/>
          <w:lang w:eastAsia="x-none"/>
        </w:rPr>
      </w:pPr>
    </w:p>
    <w:p w14:paraId="009ECFD7" w14:textId="77777777" w:rsidR="00FE48E7" w:rsidRPr="002D6975" w:rsidRDefault="00FE48E7" w:rsidP="00FE48E7">
      <w:pPr>
        <w:spacing w:after="120" w:line="276" w:lineRule="auto"/>
        <w:ind w:firstLine="709"/>
        <w:jc w:val="both"/>
        <w:rPr>
          <w:rFonts w:ascii="Verdana" w:eastAsia="Times New Roman" w:hAnsi="Verdana" w:cs="Arial"/>
          <w:bCs/>
          <w:lang w:eastAsia="x-none"/>
        </w:rPr>
      </w:pPr>
      <w:r w:rsidRPr="002D6975">
        <w:rPr>
          <w:rFonts w:ascii="Verdana" w:eastAsia="Times New Roman" w:hAnsi="Verdana" w:cs="Arial"/>
          <w:lang w:eastAsia="x-none"/>
        </w:rPr>
        <w:t xml:space="preserve">De acuerdo con el citado concepto, la prohibición del artículo 33 de la Ley de Garantías Electorales se refiere a </w:t>
      </w:r>
      <w:r w:rsidRPr="00F31AC8">
        <w:rPr>
          <w:rFonts w:ascii="Verdana" w:eastAsia="Times New Roman" w:hAnsi="Verdana" w:cs="Arial"/>
          <w:lang w:eastAsia="en-GB"/>
        </w:rPr>
        <w:t>“</w:t>
      </w:r>
      <w:r w:rsidRPr="002D6975">
        <w:rPr>
          <w:rFonts w:ascii="Verdana" w:eastAsia="Times New Roman" w:hAnsi="Verdana" w:cs="Arial"/>
          <w:lang w:eastAsia="x-none"/>
        </w:rPr>
        <w:t>cualquier sistema que no implique convocatoria pública y posibilidad de pluralidad de oferentes</w:t>
      </w:r>
      <w:r w:rsidRPr="002D6975">
        <w:rPr>
          <w:rFonts w:ascii="Verdana" w:eastAsia="Times New Roman" w:hAnsi="Verdana" w:cs="Arial"/>
          <w:lang w:eastAsia="en-GB"/>
        </w:rPr>
        <w:t>”</w:t>
      </w:r>
      <w:r w:rsidRPr="002D6975">
        <w:rPr>
          <w:rFonts w:ascii="Verdana" w:eastAsia="Times New Roman" w:hAnsi="Verdana" w:cs="Arial"/>
          <w:lang w:eastAsia="x-none"/>
        </w:rPr>
        <w:t>, por lo que excluye las demás modalidades de contratación previstas en la Ley 1150 de 2007, es</w:t>
      </w:r>
      <w:r>
        <w:rPr>
          <w:rFonts w:ascii="Verdana" w:eastAsia="Times New Roman" w:hAnsi="Verdana" w:cs="Arial"/>
          <w:lang w:eastAsia="x-none"/>
        </w:rPr>
        <w:t>to es</w:t>
      </w:r>
      <w:r w:rsidRPr="002D6975">
        <w:rPr>
          <w:rFonts w:ascii="Verdana" w:eastAsia="Times New Roman" w:hAnsi="Verdana" w:cs="Arial"/>
          <w:lang w:eastAsia="x-none"/>
        </w:rPr>
        <w:t xml:space="preserve">, la licitación pública, la selección abreviada, el concurso de méritos </w:t>
      </w:r>
      <w:r w:rsidRPr="002D6975">
        <w:rPr>
          <w:rFonts w:ascii="Verdana" w:eastAsia="Times New Roman" w:hAnsi="Verdana" w:cs="Arial"/>
          <w:lang w:val="es-ES_tradnl" w:eastAsia="x-none"/>
        </w:rPr>
        <w:t xml:space="preserve">y la mínima cuantía </w:t>
      </w:r>
      <w:r w:rsidRPr="002D6975">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2D6975">
        <w:rPr>
          <w:rFonts w:ascii="Verdana" w:eastAsia="Times New Roman" w:hAnsi="Verdana" w:cs="Arial"/>
          <w:vertAlign w:val="superscript"/>
          <w:lang w:val="en-GB" w:eastAsia="x-none"/>
        </w:rPr>
        <w:footnoteReference w:id="15"/>
      </w:r>
      <w:r w:rsidRPr="002D6975">
        <w:rPr>
          <w:rFonts w:ascii="Verdana" w:eastAsia="Times New Roman" w:hAnsi="Verdana" w:cs="Arial"/>
          <w:lang w:eastAsia="x-none"/>
        </w:rPr>
        <w:t xml:space="preserve"> y sistematizó las causales de contratación directa</w:t>
      </w:r>
      <w:r w:rsidRPr="002D6975">
        <w:rPr>
          <w:rFonts w:ascii="Verdana" w:eastAsia="Times New Roman" w:hAnsi="Verdana" w:cs="Arial"/>
          <w:vertAlign w:val="superscript"/>
          <w:lang w:val="en-GB" w:eastAsia="x-none"/>
        </w:rPr>
        <w:footnoteReference w:id="16"/>
      </w:r>
      <w:r w:rsidRPr="002D6975">
        <w:rPr>
          <w:rFonts w:ascii="Verdana" w:eastAsia="Times New Roman" w:hAnsi="Verdana" w:cs="Arial"/>
          <w:lang w:eastAsia="x-none"/>
        </w:rPr>
        <w:t xml:space="preserve">, </w:t>
      </w:r>
      <w:r w:rsidRPr="002D6975">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6798288B" w14:textId="77777777" w:rsidR="00FE48E7" w:rsidRPr="002D6975" w:rsidRDefault="00FE48E7" w:rsidP="00FE48E7">
      <w:pPr>
        <w:spacing w:after="120" w:line="276" w:lineRule="auto"/>
        <w:ind w:firstLine="709"/>
        <w:jc w:val="both"/>
        <w:rPr>
          <w:rFonts w:ascii="Verdana" w:eastAsia="Times New Roman" w:hAnsi="Verdana" w:cs="Arial"/>
          <w:lang w:val="es-MX" w:eastAsia="x-none"/>
        </w:rPr>
      </w:pPr>
      <w:r w:rsidRPr="002D6975">
        <w:rPr>
          <w:rFonts w:ascii="Verdana" w:eastAsia="Times New Roman" w:hAnsi="Verdana" w:cs="Arial"/>
          <w:lang w:eastAsia="x-none"/>
        </w:rPr>
        <w:t xml:space="preserve">De esta forma, con fundamento en la evolución de la normativa sobre la contratación pública, se ha depurado la noción de </w:t>
      </w:r>
      <w:r w:rsidRPr="00F31AC8">
        <w:rPr>
          <w:rFonts w:ascii="Verdana" w:eastAsia="Times New Roman" w:hAnsi="Verdana" w:cs="Arial"/>
          <w:lang w:eastAsia="en-GB"/>
        </w:rPr>
        <w:t>“</w:t>
      </w:r>
      <w:r w:rsidRPr="002D6975">
        <w:rPr>
          <w:rFonts w:ascii="Verdana" w:eastAsia="Times New Roman" w:hAnsi="Verdana" w:cs="Arial"/>
          <w:lang w:eastAsia="x-none"/>
        </w:rPr>
        <w:t>contratación directa</w:t>
      </w:r>
      <w:r w:rsidRPr="002D6975">
        <w:rPr>
          <w:rFonts w:ascii="Verdana" w:eastAsia="Times New Roman" w:hAnsi="Verdana" w:cs="Arial"/>
          <w:lang w:eastAsia="en-GB"/>
        </w:rPr>
        <w:t>”</w:t>
      </w:r>
      <w:r w:rsidRPr="002D6975">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2D6975">
        <w:rPr>
          <w:rFonts w:ascii="Verdana" w:eastAsia="Times New Roman" w:hAnsi="Verdana" w:cs="Arial"/>
          <w:vertAlign w:val="superscript"/>
          <w:lang w:val="en-GB" w:eastAsia="x-none"/>
        </w:rPr>
        <w:footnoteReference w:id="17"/>
      </w:r>
      <w:r w:rsidRPr="002D6975">
        <w:rPr>
          <w:rFonts w:ascii="Verdana" w:eastAsia="Times New Roman" w:hAnsi="Verdana" w:cs="Arial"/>
          <w:lang w:eastAsia="x-none"/>
        </w:rPr>
        <w:t>, han establecido sistemas de contratación que implican convocatoria pública y participación de varios oferentes</w:t>
      </w:r>
      <w:r w:rsidRPr="002D6975">
        <w:rPr>
          <w:rFonts w:ascii="Verdana" w:eastAsia="Times New Roman" w:hAnsi="Verdana" w:cs="Arial"/>
          <w:lang w:eastAsia="en-GB"/>
        </w:rPr>
        <w:t>”</w:t>
      </w:r>
      <w:r w:rsidRPr="002D6975">
        <w:rPr>
          <w:rFonts w:ascii="Verdana" w:eastAsia="Times New Roman" w:hAnsi="Verdana" w:cs="Arial"/>
          <w:lang w:eastAsia="x-none"/>
        </w:rPr>
        <w:t xml:space="preserve">. </w:t>
      </w:r>
    </w:p>
    <w:p w14:paraId="53585A9A" w14:textId="77777777" w:rsidR="00FE48E7" w:rsidRPr="002D6975" w:rsidRDefault="00FE48E7" w:rsidP="00FE48E7">
      <w:pPr>
        <w:spacing w:after="120" w:line="276" w:lineRule="auto"/>
        <w:ind w:firstLine="709"/>
        <w:jc w:val="both"/>
        <w:rPr>
          <w:rFonts w:ascii="Verdana" w:eastAsia="Times New Roman" w:hAnsi="Verdana" w:cs="Arial"/>
          <w:bCs/>
          <w:lang w:val="es-MX" w:eastAsia="es-CO"/>
        </w:rPr>
      </w:pPr>
      <w:r w:rsidRPr="002D6975">
        <w:rPr>
          <w:rFonts w:ascii="Verdana" w:eastAsia="Times New Roman" w:hAnsi="Verdana" w:cs="Arial"/>
          <w:bCs/>
          <w:lang w:val="es-MX" w:eastAsia="x-none"/>
        </w:rPr>
        <w:t>E</w:t>
      </w:r>
      <w:r w:rsidRPr="002D6975">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w:t>
      </w:r>
      <w:r w:rsidRPr="002D6975">
        <w:rPr>
          <w:rFonts w:ascii="Verdana" w:eastAsia="Times New Roman" w:hAnsi="Verdana" w:cs="Arial"/>
          <w:lang w:eastAsia="x-none"/>
        </w:rPr>
        <w:lastRenderedPageBreak/>
        <w:t>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2D6975">
        <w:rPr>
          <w:rFonts w:ascii="Verdana" w:eastAsia="Times New Roman" w:hAnsi="Verdana" w:cs="Arial"/>
          <w:vertAlign w:val="superscript"/>
          <w:lang w:eastAsia="x-none"/>
        </w:rPr>
        <w:footnoteReference w:id="18"/>
      </w:r>
      <w:r w:rsidRPr="002D6975">
        <w:rPr>
          <w:rFonts w:ascii="Verdana" w:eastAsia="Times New Roman" w:hAnsi="Verdana" w:cs="Arial"/>
          <w:lang w:eastAsia="x-none"/>
        </w:rPr>
        <w:t xml:space="preserve">. </w:t>
      </w:r>
    </w:p>
    <w:p w14:paraId="7F989FC8" w14:textId="77777777" w:rsidR="00FE48E7" w:rsidRPr="002D6975" w:rsidRDefault="00FE48E7" w:rsidP="00FE48E7">
      <w:pPr>
        <w:spacing w:after="120" w:line="276" w:lineRule="auto"/>
        <w:ind w:firstLine="709"/>
        <w:jc w:val="both"/>
        <w:rPr>
          <w:rFonts w:ascii="Verdana" w:eastAsia="Times New Roman" w:hAnsi="Verdana" w:cs="Arial"/>
          <w:bCs/>
          <w:lang w:val="es-MX" w:eastAsia="es-CO"/>
        </w:rPr>
      </w:pPr>
      <w:r w:rsidRPr="002D6975">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w:t>
      </w:r>
      <w:r>
        <w:rPr>
          <w:rFonts w:ascii="Verdana" w:eastAsia="Times New Roman" w:hAnsi="Verdana" w:cs="Arial"/>
          <w:bCs/>
          <w:lang w:val="es-MX" w:eastAsia="es-CO"/>
        </w:rPr>
        <w:t xml:space="preserve"> Electorales</w:t>
      </w:r>
      <w:r w:rsidRPr="002D6975">
        <w:rPr>
          <w:rFonts w:ascii="Verdana" w:eastAsia="Times New Roman" w:hAnsi="Verdana" w:cs="Arial"/>
          <w:bCs/>
          <w:lang w:val="es-MX" w:eastAsia="es-CO"/>
        </w:rPr>
        <w:t>,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D36B3B2" w14:textId="77777777" w:rsidR="00FE48E7" w:rsidRPr="002D6975" w:rsidRDefault="00FE48E7" w:rsidP="00FE48E7">
      <w:pPr>
        <w:spacing w:after="120" w:line="276" w:lineRule="auto"/>
        <w:ind w:firstLine="709"/>
        <w:jc w:val="both"/>
        <w:rPr>
          <w:rFonts w:ascii="Verdana" w:eastAsia="Times New Roman" w:hAnsi="Verdana" w:cs="Arial"/>
          <w:bCs/>
          <w:lang w:val="es-MX" w:eastAsia="x-none"/>
        </w:rPr>
      </w:pPr>
      <w:r w:rsidRPr="002D6975">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D6975">
        <w:rPr>
          <w:rFonts w:ascii="Verdana" w:eastAsia="Times New Roman" w:hAnsi="Verdana" w:cs="Arial"/>
          <w:vertAlign w:val="superscript"/>
          <w:lang w:eastAsia="x-none"/>
        </w:rPr>
        <w:footnoteReference w:id="19"/>
      </w:r>
      <w:r w:rsidRPr="002D6975">
        <w:rPr>
          <w:rFonts w:ascii="Verdana" w:eastAsia="Times New Roman" w:hAnsi="Verdana" w:cs="Arial"/>
          <w:bCs/>
          <w:lang w:val="es-MX" w:eastAsia="x-none"/>
        </w:rPr>
        <w:t>.</w:t>
      </w:r>
      <w:r w:rsidRPr="002D6975">
        <w:rPr>
          <w:rFonts w:ascii="Verdana" w:eastAsia="Times New Roman" w:hAnsi="Verdana" w:cs="Arial"/>
          <w:vertAlign w:val="superscript"/>
          <w:lang w:val="es-MX" w:eastAsia="x-none"/>
        </w:rPr>
        <w:t xml:space="preserve"> </w:t>
      </w:r>
    </w:p>
    <w:p w14:paraId="569866D7" w14:textId="77777777" w:rsidR="00FE48E7" w:rsidRPr="002D6975" w:rsidRDefault="00FE48E7" w:rsidP="00FE48E7">
      <w:pPr>
        <w:spacing w:after="120" w:line="276" w:lineRule="auto"/>
        <w:ind w:firstLine="709"/>
        <w:jc w:val="both"/>
        <w:rPr>
          <w:rFonts w:ascii="Verdana" w:eastAsia="Times New Roman" w:hAnsi="Verdana" w:cs="Arial"/>
          <w:lang w:eastAsia="x-none"/>
        </w:rPr>
      </w:pPr>
      <w:r w:rsidRPr="002D6975">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D6975">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FAE2245" w14:textId="77777777" w:rsidR="00FE48E7" w:rsidRDefault="00FE48E7" w:rsidP="00FE48E7">
      <w:pPr>
        <w:spacing w:after="120" w:line="276" w:lineRule="auto"/>
        <w:ind w:firstLine="709"/>
        <w:jc w:val="both"/>
        <w:rPr>
          <w:rFonts w:ascii="Verdana" w:eastAsia="Times New Roman" w:hAnsi="Verdana" w:cs="Arial"/>
          <w:bCs/>
          <w:lang w:val="es-MX" w:eastAsia="es-CO"/>
        </w:rPr>
      </w:pPr>
      <w:r w:rsidRPr="002D6975">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w:t>
      </w:r>
      <w:r w:rsidRPr="002D6975">
        <w:rPr>
          <w:rFonts w:ascii="Verdana" w:eastAsia="Times New Roman" w:hAnsi="Verdana" w:cs="Arial"/>
          <w:bCs/>
          <w:lang w:val="es-MX" w:eastAsia="x-none"/>
        </w:rPr>
        <w:lastRenderedPageBreak/>
        <w:t xml:space="preserve">por la Presidencia, se encuentran consagradas expresamente en el inciso final del citado artículo 33 de la Ley 996 de 2005 en lo referente a i) la defensa y seguridad del Estado; </w:t>
      </w:r>
      <w:proofErr w:type="spellStart"/>
      <w:r w:rsidRPr="002D6975">
        <w:rPr>
          <w:rFonts w:ascii="Verdana" w:eastAsia="Times New Roman" w:hAnsi="Verdana" w:cs="Arial"/>
          <w:bCs/>
          <w:lang w:val="es-MX" w:eastAsia="x-none"/>
        </w:rPr>
        <w:t>ii</w:t>
      </w:r>
      <w:proofErr w:type="spellEnd"/>
      <w:r w:rsidRPr="002D6975">
        <w:rPr>
          <w:rFonts w:ascii="Verdana" w:eastAsia="Times New Roman" w:hAnsi="Verdana" w:cs="Arial"/>
          <w:bCs/>
          <w:lang w:val="es-MX" w:eastAsia="x-none"/>
        </w:rPr>
        <w:t xml:space="preserve">) los contratos de crédito público; </w:t>
      </w:r>
      <w:proofErr w:type="spellStart"/>
      <w:r w:rsidRPr="002D6975">
        <w:rPr>
          <w:rFonts w:ascii="Verdana" w:eastAsia="Times New Roman" w:hAnsi="Verdana" w:cs="Arial"/>
          <w:bCs/>
          <w:lang w:val="es-MX" w:eastAsia="x-none"/>
        </w:rPr>
        <w:t>iii</w:t>
      </w:r>
      <w:proofErr w:type="spellEnd"/>
      <w:r w:rsidRPr="002D6975">
        <w:rPr>
          <w:rFonts w:ascii="Verdana" w:eastAsia="Times New Roman" w:hAnsi="Verdana" w:cs="Arial"/>
          <w:bCs/>
          <w:lang w:val="es-MX" w:eastAsia="x-none"/>
        </w:rPr>
        <w:t xml:space="preserve">) los requeridos para cubrir las emergencias educativas, sanitarias y desastres; </w:t>
      </w:r>
      <w:proofErr w:type="spellStart"/>
      <w:r w:rsidRPr="002D6975">
        <w:rPr>
          <w:rFonts w:ascii="Verdana" w:eastAsia="Times New Roman" w:hAnsi="Verdana" w:cs="Arial"/>
          <w:bCs/>
          <w:lang w:val="es-MX" w:eastAsia="x-none"/>
        </w:rPr>
        <w:t>iv</w:t>
      </w:r>
      <w:proofErr w:type="spellEnd"/>
      <w:r w:rsidRPr="002D6975">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D6975">
        <w:rPr>
          <w:rFonts w:ascii="Verdana" w:eastAsia="Times New Roman" w:hAnsi="Verdana" w:cs="Arial"/>
          <w:bCs/>
          <w:lang w:val="es-MX" w:eastAsia="es-CO"/>
        </w:rPr>
        <w:t xml:space="preserve"> </w:t>
      </w:r>
    </w:p>
    <w:p w14:paraId="46657494" w14:textId="77777777" w:rsidR="00FE48E7" w:rsidRDefault="00FE48E7" w:rsidP="00FE48E7">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es-CO"/>
        </w:rPr>
        <w:t>Conforme a dichas causales, e</w:t>
      </w:r>
      <w:r w:rsidRPr="002D6975">
        <w:rPr>
          <w:rFonts w:ascii="Verdana" w:eastAsia="Times New Roman" w:hAnsi="Verdana" w:cs="Arial"/>
          <w:bCs/>
          <w:lang w:val="es-MX" w:eastAsia="es-CO"/>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Pr>
          <w:rFonts w:ascii="Verdana" w:eastAsia="Times New Roman" w:hAnsi="Verdana" w:cs="Arial"/>
          <w:bCs/>
          <w:lang w:val="es-MX" w:eastAsia="x-none"/>
        </w:rPr>
        <w:t xml:space="preserve"> 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20"/>
      </w:r>
      <w:r>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D361E7E" w14:textId="77777777" w:rsidR="00FE48E7" w:rsidRDefault="00FE48E7" w:rsidP="00FE48E7">
      <w:pPr>
        <w:spacing w:after="0" w:line="276" w:lineRule="auto"/>
        <w:jc w:val="both"/>
        <w:rPr>
          <w:rFonts w:ascii="Verdana" w:eastAsia="Times New Roman" w:hAnsi="Verdana" w:cs="Arial"/>
          <w:bCs/>
          <w:lang w:val="es-MX" w:eastAsia="x-none"/>
        </w:rPr>
      </w:pPr>
    </w:p>
    <w:p w14:paraId="603CA19C" w14:textId="77777777" w:rsidR="00FE48E7" w:rsidRDefault="00FE48E7" w:rsidP="00FE48E7">
      <w:pPr>
        <w:spacing w:after="0" w:line="276" w:lineRule="auto"/>
        <w:jc w:val="both"/>
        <w:rPr>
          <w:rFonts w:ascii="Verdana" w:eastAsia="Times New Roman" w:hAnsi="Verdana" w:cs="Arial"/>
          <w:bCs/>
          <w:lang w:val="es-MX" w:eastAsia="x-none"/>
        </w:rPr>
      </w:pPr>
      <w:r>
        <w:rPr>
          <w:rFonts w:ascii="Verdana" w:eastAsia="Times New Roman" w:hAnsi="Verdana" w:cs="Arial"/>
          <w:bCs/>
          <w:lang w:val="es-MX" w:eastAsia="x-none"/>
        </w:rPr>
        <w:t>v. 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w:t>
      </w:r>
      <w:r>
        <w:rPr>
          <w:rFonts w:ascii="Verdana" w:eastAsia="Times New Roman" w:hAnsi="Verdana" w:cs="Arial"/>
          <w:bCs/>
          <w:lang w:val="es-MX" w:eastAsia="x-none"/>
        </w:rPr>
        <w:lastRenderedPageBreak/>
        <w:t xml:space="preserve">régimen especial de contratación y están exceptuadas del ámbito de aplicación del Estatuto General de Contratación de la Administración Pública. Al respecto, </w:t>
      </w:r>
      <w:r>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1110D5B6" w14:textId="77777777" w:rsidR="00FE48E7" w:rsidRDefault="00FE48E7" w:rsidP="00FE48E7">
      <w:pPr>
        <w:spacing w:after="0" w:line="276" w:lineRule="auto"/>
        <w:jc w:val="both"/>
        <w:rPr>
          <w:rFonts w:ascii="Verdana" w:eastAsia="Times New Roman" w:hAnsi="Verdana" w:cs="Arial"/>
          <w:bCs/>
          <w:lang w:val="es-MX" w:eastAsia="x-none"/>
        </w:rPr>
      </w:pPr>
    </w:p>
    <w:p w14:paraId="4DE35A25" w14:textId="77777777" w:rsidR="00FE48E7" w:rsidRDefault="00FE48E7" w:rsidP="00FE48E7">
      <w:pPr>
        <w:spacing w:after="0" w:line="240" w:lineRule="auto"/>
        <w:ind w:left="709" w:right="709"/>
        <w:jc w:val="both"/>
        <w:rPr>
          <w:rFonts w:ascii="Verdana" w:eastAsia="Times New Roman" w:hAnsi="Verdana" w:cs="Arial"/>
          <w:bCs/>
          <w:sz w:val="20"/>
          <w:szCs w:val="20"/>
          <w:lang w:val="es-MX" w:eastAsia="es-CO"/>
        </w:rPr>
      </w:pPr>
      <w:r>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Verdana" w:eastAsia="Times New Roman" w:hAnsi="Verdana" w:cs="Arial"/>
          <w:bCs/>
          <w:sz w:val="20"/>
          <w:szCs w:val="20"/>
          <w:vertAlign w:val="superscript"/>
          <w:lang w:val="es-MX" w:eastAsia="x-none"/>
        </w:rPr>
        <w:footnoteReference w:id="21"/>
      </w:r>
      <w:r>
        <w:rPr>
          <w:rFonts w:ascii="Verdana" w:eastAsia="Times New Roman" w:hAnsi="Verdana" w:cs="Arial"/>
          <w:bCs/>
          <w:sz w:val="20"/>
          <w:szCs w:val="20"/>
          <w:lang w:val="es-MX" w:eastAsia="x-none"/>
        </w:rPr>
        <w:t>.</w:t>
      </w:r>
      <w:r>
        <w:rPr>
          <w:rFonts w:ascii="Verdana" w:eastAsia="Times New Roman" w:hAnsi="Verdana" w:cs="Arial"/>
          <w:bCs/>
          <w:sz w:val="20"/>
          <w:szCs w:val="20"/>
          <w:lang w:val="es-MX" w:eastAsia="es-CO"/>
        </w:rPr>
        <w:t xml:space="preserve"> </w:t>
      </w:r>
    </w:p>
    <w:p w14:paraId="26060BAB" w14:textId="77777777" w:rsidR="00FE48E7" w:rsidRPr="00CF5D82" w:rsidRDefault="00FE48E7" w:rsidP="00FE48E7">
      <w:pPr>
        <w:spacing w:after="0" w:line="276" w:lineRule="auto"/>
        <w:ind w:firstLine="708"/>
        <w:jc w:val="both"/>
        <w:rPr>
          <w:rFonts w:ascii="Verdana" w:eastAsia="Times New Roman" w:hAnsi="Verdana" w:cs="Arial"/>
          <w:bCs/>
          <w:lang w:val="es-MX" w:eastAsia="es-CO"/>
        </w:rPr>
      </w:pPr>
    </w:p>
    <w:p w14:paraId="50FA6ADF" w14:textId="77777777" w:rsidR="00FE48E7" w:rsidRPr="00CF5D82" w:rsidRDefault="00FE48E7" w:rsidP="00FE48E7">
      <w:pPr>
        <w:spacing w:after="0" w:line="276" w:lineRule="auto"/>
        <w:ind w:firstLine="708"/>
        <w:jc w:val="both"/>
        <w:rPr>
          <w:rFonts w:ascii="Verdana" w:eastAsia="Calibri" w:hAnsi="Verdana" w:cs="Arial"/>
          <w:lang w:val="es-MX"/>
        </w:rPr>
      </w:pPr>
      <w:r w:rsidRPr="00CF5D82">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F31AC8">
        <w:rPr>
          <w:rFonts w:ascii="Verdana" w:eastAsia="Calibri" w:hAnsi="Verdana" w:cs="Arial"/>
          <w:vertAlign w:val="superscript"/>
          <w:lang w:val="es-MX"/>
        </w:rPr>
        <w:footnoteReference w:id="22"/>
      </w:r>
      <w:r w:rsidRPr="00CF5D82">
        <w:rPr>
          <w:rFonts w:ascii="Verdana" w:eastAsia="Times New Roman" w:hAnsi="Verdana" w:cs="Arial"/>
          <w:bCs/>
          <w:lang w:val="es-MX" w:eastAsia="x-none"/>
        </w:rPr>
        <w:t>.</w:t>
      </w:r>
      <w:r w:rsidRPr="00CF5D82">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31E2DF5A" w14:textId="77777777" w:rsidR="00FE48E7" w:rsidRPr="00CF5D82" w:rsidRDefault="00FE48E7" w:rsidP="00FE48E7">
      <w:pPr>
        <w:spacing w:after="0" w:line="276" w:lineRule="auto"/>
        <w:jc w:val="both"/>
        <w:rPr>
          <w:rFonts w:ascii="Verdana" w:eastAsia="Calibri" w:hAnsi="Verdana" w:cs="Arial"/>
          <w:lang w:val="es-MX"/>
        </w:rPr>
      </w:pPr>
    </w:p>
    <w:p w14:paraId="679F6093" w14:textId="77777777" w:rsidR="00FE48E7" w:rsidRPr="00CF5D82" w:rsidRDefault="00FE48E7" w:rsidP="00FE48E7">
      <w:pPr>
        <w:spacing w:after="0" w:line="240" w:lineRule="auto"/>
        <w:ind w:left="708" w:right="709"/>
        <w:jc w:val="both"/>
        <w:rPr>
          <w:rFonts w:ascii="Verdana" w:eastAsia="Calibri" w:hAnsi="Verdana" w:cs="Arial"/>
          <w:sz w:val="20"/>
          <w:szCs w:val="20"/>
          <w:lang w:val="es-MX"/>
        </w:rPr>
      </w:pPr>
      <w:r w:rsidRPr="00CF5D82">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w:t>
      </w:r>
      <w:r w:rsidRPr="00CF5D82">
        <w:rPr>
          <w:rFonts w:ascii="Verdana" w:eastAsia="Calibri" w:hAnsi="Verdana" w:cs="Arial"/>
          <w:sz w:val="20"/>
          <w:szCs w:val="20"/>
          <w:lang w:val="es-MX"/>
        </w:rPr>
        <w:lastRenderedPageBreak/>
        <w:t>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848E248" w14:textId="77777777" w:rsidR="00FE48E7" w:rsidRPr="00F31AC8" w:rsidRDefault="00FE48E7" w:rsidP="00FE48E7">
      <w:pPr>
        <w:spacing w:after="0" w:line="240" w:lineRule="auto"/>
        <w:ind w:right="709"/>
        <w:jc w:val="both"/>
        <w:rPr>
          <w:rFonts w:ascii="Verdana" w:eastAsia="Calibri" w:hAnsi="Verdana" w:cs="Arial"/>
          <w:sz w:val="20"/>
          <w:szCs w:val="20"/>
          <w:lang w:val="es-MX"/>
        </w:rPr>
      </w:pPr>
      <w:r w:rsidRPr="00CF5D82">
        <w:rPr>
          <w:rFonts w:ascii="Verdana" w:eastAsia="Calibri" w:hAnsi="Verdana" w:cs="Arial"/>
          <w:sz w:val="20"/>
          <w:szCs w:val="20"/>
          <w:lang w:val="es-MX"/>
        </w:rPr>
        <w:tab/>
      </w:r>
    </w:p>
    <w:p w14:paraId="4F1DE029" w14:textId="77777777" w:rsidR="00FE48E7" w:rsidRPr="00CF5D82" w:rsidRDefault="00FE48E7" w:rsidP="00FE48E7">
      <w:pPr>
        <w:spacing w:after="0" w:line="240" w:lineRule="auto"/>
        <w:ind w:left="708" w:right="709"/>
        <w:jc w:val="both"/>
        <w:rPr>
          <w:rFonts w:ascii="Verdana" w:eastAsia="Calibri" w:hAnsi="Verdana" w:cs="Arial"/>
          <w:sz w:val="20"/>
          <w:szCs w:val="20"/>
          <w:lang w:val="es-MX"/>
        </w:rPr>
      </w:pPr>
      <w:r w:rsidRPr="00CF5D82">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CF5D82">
        <w:rPr>
          <w:rFonts w:ascii="Verdana" w:eastAsia="Calibri" w:hAnsi="Verdana" w:cs="Arial"/>
          <w:sz w:val="20"/>
          <w:szCs w:val="20"/>
          <w:vertAlign w:val="superscript"/>
          <w:lang w:val="es-MX"/>
        </w:rPr>
        <w:footnoteReference w:id="23"/>
      </w:r>
      <w:r w:rsidRPr="00CF5D82">
        <w:rPr>
          <w:rFonts w:ascii="Verdana" w:eastAsia="Times New Roman" w:hAnsi="Verdana" w:cs="Arial"/>
          <w:bCs/>
          <w:sz w:val="20"/>
          <w:szCs w:val="20"/>
          <w:lang w:val="es-MX" w:eastAsia="x-none"/>
        </w:rPr>
        <w:t>.</w:t>
      </w:r>
    </w:p>
    <w:p w14:paraId="482D7656" w14:textId="77777777" w:rsidR="00FE48E7" w:rsidRDefault="00FE48E7" w:rsidP="00FE48E7">
      <w:pPr>
        <w:spacing w:after="0" w:line="276" w:lineRule="auto"/>
        <w:jc w:val="both"/>
        <w:rPr>
          <w:rFonts w:ascii="Verdana" w:eastAsia="Calibri" w:hAnsi="Verdana" w:cs="Arial"/>
          <w:lang w:val="es-MX"/>
        </w:rPr>
      </w:pPr>
    </w:p>
    <w:p w14:paraId="13219B3C" w14:textId="77777777" w:rsidR="00FE48E7" w:rsidRDefault="00FE48E7" w:rsidP="00FE48E7">
      <w:pPr>
        <w:spacing w:after="120" w:line="276" w:lineRule="auto"/>
        <w:ind w:firstLine="709"/>
        <w:jc w:val="both"/>
        <w:rPr>
          <w:rFonts w:ascii="Verdana" w:eastAsia="Times New Roman" w:hAnsi="Verdana" w:cs="Arial"/>
          <w:lang w:eastAsia="es-CO"/>
        </w:rPr>
      </w:pPr>
      <w:r>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vertAlign w:val="superscript"/>
          <w:lang w:val="es-MX"/>
        </w:rPr>
        <w:footnoteReference w:id="24"/>
      </w:r>
      <w:r>
        <w:rPr>
          <w:rFonts w:ascii="Verdana" w:eastAsia="Calibri" w:hAnsi="Verdana" w:cs="Arial"/>
          <w:lang w:val="es-MX"/>
        </w:rPr>
        <w:t>.</w:t>
      </w:r>
      <w:r>
        <w:rPr>
          <w:rFonts w:ascii="Verdana" w:eastAsia="Times New Roman" w:hAnsi="Verdana" w:cs="Arial"/>
          <w:lang w:val="es-MX" w:eastAsia="es-CO"/>
        </w:rPr>
        <w:t xml:space="preserve"> </w:t>
      </w:r>
    </w:p>
    <w:p w14:paraId="0B4D060C" w14:textId="77777777" w:rsidR="00FE48E7" w:rsidRDefault="00FE48E7" w:rsidP="00FE48E7">
      <w:pPr>
        <w:spacing w:after="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lastRenderedPageBreak/>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24EDA525" w14:textId="77777777" w:rsidR="00FE48E7" w:rsidRDefault="00FE48E7" w:rsidP="00FE48E7">
      <w:pPr>
        <w:spacing w:after="0" w:line="276" w:lineRule="auto"/>
        <w:ind w:firstLine="709"/>
        <w:jc w:val="both"/>
        <w:rPr>
          <w:rFonts w:ascii="Verdana" w:eastAsia="Times New Roman" w:hAnsi="Verdana" w:cs="Arial"/>
          <w:bCs/>
          <w:lang w:val="es-MX" w:eastAsia="x-none"/>
        </w:rPr>
      </w:pPr>
    </w:p>
    <w:p w14:paraId="4BE54B6A" w14:textId="77777777" w:rsidR="00FE48E7" w:rsidRPr="00E16931" w:rsidRDefault="00FE48E7" w:rsidP="00FE48E7">
      <w:pPr>
        <w:spacing w:after="120" w:line="276" w:lineRule="auto"/>
        <w:jc w:val="both"/>
        <w:rPr>
          <w:rFonts w:ascii="Verdana" w:eastAsia="Times New Roman" w:hAnsi="Verdana" w:cs="Arial"/>
          <w:bCs/>
          <w:lang w:val="es-MX" w:eastAsia="x-none"/>
        </w:rPr>
      </w:pPr>
      <w:r w:rsidRPr="00E16931">
        <w:rPr>
          <w:rFonts w:ascii="Verdana" w:eastAsia="Times New Roman" w:hAnsi="Verdana" w:cs="Arial"/>
          <w:bCs/>
          <w:lang w:val="es-MX" w:eastAsia="x-none"/>
        </w:rPr>
        <w:t xml:space="preserve">vi. Ahora bien, para efectos de dar respuesta concreta al problema jurídico planteado, es pertinente precisar el momento en el cual se realiza el perfeccionamiento del contrato en el SECOP II. </w:t>
      </w:r>
      <w:r>
        <w:rPr>
          <w:rFonts w:ascii="Verdana" w:eastAsia="Times New Roman" w:hAnsi="Verdana" w:cs="Arial"/>
          <w:bCs/>
          <w:lang w:val="es-MX" w:eastAsia="x-none"/>
        </w:rPr>
        <w:t>En primer lugar</w:t>
      </w:r>
      <w:r w:rsidRPr="00E16931">
        <w:rPr>
          <w:rFonts w:ascii="Verdana" w:eastAsia="Times New Roman" w:hAnsi="Verdana" w:cs="Arial"/>
          <w:bCs/>
          <w:lang w:val="es-MX" w:eastAsia="x-none"/>
        </w:rPr>
        <w:t xml:space="preserve">, es importante destacar que </w:t>
      </w:r>
      <w:r w:rsidRPr="00E16931">
        <w:rPr>
          <w:rFonts w:ascii="Verdana" w:eastAsia="Calibri" w:hAnsi="Verdana" w:cs="Arial"/>
          <w:color w:val="000000" w:themeColor="text1"/>
        </w:rPr>
        <w:t xml:space="preserve">el SECOP II es una plataforma transaccional, que permite gestionar en línea todos los procedimientos de contratación, </w:t>
      </w:r>
      <w:r w:rsidRPr="00E16931">
        <w:rPr>
          <w:rFonts w:ascii="Verdana" w:eastAsia="Calibri" w:hAnsi="Verdana" w:cs="Arial"/>
          <w:lang w:val="es-ES"/>
        </w:rPr>
        <w:t xml:space="preserve">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w:t>
      </w:r>
      <w:r>
        <w:rPr>
          <w:rFonts w:ascii="Verdana" w:eastAsia="Calibri" w:hAnsi="Verdana" w:cs="Arial"/>
          <w:lang w:val="es-ES"/>
        </w:rPr>
        <w:t>Por su parte, l</w:t>
      </w:r>
      <w:r w:rsidRPr="00E16931">
        <w:rPr>
          <w:rFonts w:ascii="Verdana" w:eastAsia="Calibri" w:hAnsi="Verdana" w:cs="Arial"/>
          <w:lang w:val="es-ES"/>
        </w:rPr>
        <w:t>os proveedores pueden hacer comentarios a los documentos del procedimiento, presentar ofertas y seguir el procedimiento de selección en línea.</w:t>
      </w:r>
    </w:p>
    <w:p w14:paraId="368B0C95" w14:textId="77777777" w:rsidR="00FE48E7" w:rsidRPr="00E16931" w:rsidRDefault="00FE48E7" w:rsidP="00FE48E7">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s</w:t>
      </w:r>
      <w:r>
        <w:rPr>
          <w:rFonts w:ascii="Verdana" w:eastAsia="Calibri" w:hAnsi="Verdana" w:cs="Arial"/>
          <w:lang w:val="es-ES"/>
        </w:rPr>
        <w:t>e desarrolla de manera</w:t>
      </w:r>
      <w:r w:rsidRPr="00E16931">
        <w:rPr>
          <w:rFonts w:ascii="Verdana" w:eastAsia="Calibri" w:hAnsi="Verdana" w:cs="Arial"/>
          <w:lang w:val="es-ES"/>
        </w:rPr>
        <w:t xml:space="preserve"> físic</w:t>
      </w:r>
      <w:r>
        <w:rPr>
          <w:rFonts w:ascii="Verdana" w:eastAsia="Calibri" w:hAnsi="Verdana" w:cs="Arial"/>
          <w:lang w:val="es-ES"/>
        </w:rPr>
        <w:t>a</w:t>
      </w:r>
      <w:r w:rsidRPr="00E16931">
        <w:rPr>
          <w:rFonts w:ascii="Verdana" w:eastAsia="Calibri" w:hAnsi="Verdana" w:cs="Arial"/>
          <w:lang w:val="es-ES"/>
        </w:rPr>
        <w:t>,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0F6E7943" w14:textId="77777777" w:rsidR="00FE48E7" w:rsidRPr="00E16931" w:rsidRDefault="00FE48E7" w:rsidP="00FE48E7">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w:t>
      </w:r>
      <w:r w:rsidRPr="00E16931">
        <w:rPr>
          <w:rFonts w:ascii="Verdana" w:eastAsia="Calibri" w:hAnsi="Verdana" w:cs="Arial"/>
          <w:lang w:val="es-ES"/>
        </w:rPr>
        <w:lastRenderedPageBreak/>
        <w:t xml:space="preserve">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ibidem dispone que los contratos electrónicos compuestos por mensajes de datos tienen los efectos jurídicos según las normas aplicables al negocio jurídico contenido en dichos mensajes, esto es, las normas que regulan el sistema de contratación pública. </w:t>
      </w:r>
    </w:p>
    <w:p w14:paraId="1C2EBD9C" w14:textId="77777777" w:rsidR="00FE48E7" w:rsidRPr="00E16931" w:rsidRDefault="00FE48E7" w:rsidP="00FE48E7">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En este sentido, la implementación del SECOP II como plataforma transaccional para la actividad contractual del Estado, permite que los contratos que se publiquen sean firmados electrónicamente. De este modo, el proceso mediante el cual se efectúa la firma del contrato y su consecuente aprobación o rechazo es realizado a través del SECOP II. Así, después de que se adjudica el proceso de contratación en la plataforma se inicia el procedimiento por parte de la Entidad Estatal para que se cambie el estado del proceso a “adjudicado”, con lo cual se genera el contrato electrónico en estado “en edición”.</w:t>
      </w:r>
    </w:p>
    <w:p w14:paraId="482CBAF9" w14:textId="77777777" w:rsidR="00FE48E7" w:rsidRPr="00E16931" w:rsidRDefault="00FE48E7" w:rsidP="00FE48E7">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El documento “Procesos de Contratación: Gestión Contractual en el SECOP II” expedido por esta entidad, detallas los pasos para aprobación del contrato en el SECOP II</w:t>
      </w:r>
      <w:r w:rsidRPr="00F31AC8">
        <w:rPr>
          <w:rFonts w:ascii="Verdana" w:hAnsi="Verdana"/>
          <w:vertAlign w:val="superscript"/>
          <w:lang w:val="es-ES"/>
        </w:rPr>
        <w:footnoteReference w:id="25"/>
      </w:r>
      <w:r w:rsidRPr="00E16931">
        <w:rPr>
          <w:rFonts w:ascii="Verdana" w:eastAsia="Calibri" w:hAnsi="Verdana" w:cs="Arial"/>
          <w:lang w:val="es-ES"/>
        </w:rPr>
        <w:t xml:space="preserve">. Específicamente, el literal III establece el procedimiento a seguir para aprobar o rechazar el contrato, según el cual el proveedor, </w:t>
      </w:r>
      <w:r w:rsidRPr="00E16931">
        <w:rPr>
          <w:rFonts w:ascii="Verdana" w:eastAsia="Calibri" w:hAnsi="Verdana" w:cs="Arial"/>
        </w:rPr>
        <w:t>una vez revise el contrato electrónico puede “Aprobar” o “Rechazar” el contrato. En caso de estar de acuerdo con las condiciones establecidas por la Entidad Estatal, se debe dar clic en “Aprobar contrato” y automáticamente el SECOP II guarda los cambios y el estado del contrato cambia a “Firmado y enviado a la Entidad Estatal”.</w:t>
      </w:r>
      <w:r w:rsidRPr="00E16931">
        <w:rPr>
          <w:rFonts w:ascii="Verdana" w:eastAsia="Calibri" w:hAnsi="Verdana" w:cs="Arial"/>
          <w:lang w:val="es-ES"/>
        </w:rPr>
        <w:t xml:space="preserve"> Una vez la Entidad Estatal reciba el contrato electrónico aprobado por el proveedor debe publicarlo y a “partir de este momento el contrato queda para conocimiento del público en general, su estado cambia a “Firmado” para que se cumplan con los requisitos para iniciar la ejecución del contrato”. </w:t>
      </w:r>
    </w:p>
    <w:p w14:paraId="770DD039" w14:textId="77777777" w:rsidR="00FE48E7" w:rsidRPr="00E16931" w:rsidRDefault="00FE48E7" w:rsidP="00FE48E7">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 xml:space="preserve"> </w:t>
      </w:r>
      <w:r>
        <w:rPr>
          <w:rFonts w:ascii="Verdana" w:eastAsia="Calibri" w:hAnsi="Verdana" w:cs="Arial"/>
          <w:lang w:val="es-ES"/>
        </w:rPr>
        <w:t>Ahora bien, c</w:t>
      </w:r>
      <w:r w:rsidRPr="00E16931">
        <w:rPr>
          <w:rFonts w:ascii="Verdana" w:eastAsia="Calibri" w:hAnsi="Verdana" w:cs="Arial"/>
          <w:lang w:val="es-ES"/>
        </w:rPr>
        <w:t>onforme lo señala “Guía SECOP II – Gestión Contractual Para Entidades Estatales</w:t>
      </w:r>
      <w:r w:rsidRPr="00E16931">
        <w:rPr>
          <w:rStyle w:val="Refdenotaalpie"/>
          <w:rFonts w:ascii="Verdana" w:eastAsia="Calibri" w:hAnsi="Verdana" w:cs="Arial"/>
          <w:lang w:val="es-ES"/>
        </w:rPr>
        <w:footnoteReference w:id="26"/>
      </w:r>
      <w:r w:rsidRPr="00E16931">
        <w:rPr>
          <w:rFonts w:ascii="Verdana" w:eastAsia="Calibri" w:hAnsi="Verdana" w:cs="Arial"/>
          <w:lang w:val="es-ES"/>
        </w:rPr>
        <w:t xml:space="preserve">” </w:t>
      </w:r>
      <w:r w:rsidRPr="00E16931">
        <w:rPr>
          <w:rFonts w:ascii="Verdana" w:eastAsia="Calibri" w:hAnsi="Verdana" w:cs="Arial"/>
        </w:rPr>
        <w:t xml:space="preserve">es </w:t>
      </w:r>
      <w:r>
        <w:rPr>
          <w:rFonts w:ascii="Verdana" w:eastAsia="Calibri" w:hAnsi="Verdana" w:cs="Arial"/>
        </w:rPr>
        <w:t>imprescindible</w:t>
      </w:r>
      <w:r w:rsidRPr="00E16931">
        <w:rPr>
          <w:rFonts w:ascii="Verdana" w:eastAsia="Calibri" w:hAnsi="Verdana" w:cs="Arial"/>
        </w:rPr>
        <w:t xml:space="preserve"> que previamente el usuario </w:t>
      </w:r>
      <w:r w:rsidRPr="00E16931">
        <w:rPr>
          <w:rFonts w:ascii="Verdana" w:eastAsia="Calibri" w:hAnsi="Verdana" w:cs="Arial"/>
        </w:rPr>
        <w:lastRenderedPageBreak/>
        <w:t>administrador de la Entidad Estatal haya configurado flujos de aprobación</w:t>
      </w:r>
      <w:r w:rsidRPr="00E16931">
        <w:rPr>
          <w:rStyle w:val="Refdenotaalpie"/>
          <w:rFonts w:ascii="Verdana" w:eastAsia="Calibri" w:hAnsi="Verdana" w:cs="Arial"/>
        </w:rPr>
        <w:footnoteReference w:id="27"/>
      </w:r>
      <w:r w:rsidRPr="00E16931">
        <w:rPr>
          <w:rFonts w:ascii="Verdana" w:eastAsia="Calibri" w:hAnsi="Verdana" w:cs="Arial"/>
        </w:rPr>
        <w:t xml:space="preserve"> en este hito del proceso</w:t>
      </w:r>
      <w:r>
        <w:rPr>
          <w:rFonts w:ascii="Verdana" w:eastAsia="Calibri" w:hAnsi="Verdana" w:cs="Arial"/>
        </w:rPr>
        <w:t>,</w:t>
      </w:r>
      <w:r w:rsidRPr="00E16931">
        <w:rPr>
          <w:rFonts w:ascii="Verdana" w:eastAsia="Calibri" w:hAnsi="Verdana" w:cs="Arial"/>
        </w:rPr>
        <w:t xml:space="preserve"> con el fin de que el contrato electrónico sea enviado al ordenador del gasto representante legal de la entidad para su aprobación final.</w:t>
      </w:r>
      <w:r w:rsidRPr="00E16931">
        <w:rPr>
          <w:rFonts w:ascii="Verdana" w:eastAsia="Calibri" w:hAnsi="Verdana" w:cs="Arial"/>
          <w:lang w:val="es-ES"/>
        </w:rPr>
        <w:t xml:space="preserve"> </w:t>
      </w:r>
      <w:r w:rsidRPr="00E16931">
        <w:rPr>
          <w:rFonts w:ascii="Verdana" w:eastAsia="Calibri" w:hAnsi="Verdana" w:cs="Arial"/>
        </w:rPr>
        <w:t>Una vez el ordenador del gasto de la entidad realice la aprobación el estado del contrato cambia a “Firmado” y quedará público para consulta de cualquier interesado.</w:t>
      </w:r>
    </w:p>
    <w:p w14:paraId="67FA1EE1" w14:textId="77777777" w:rsidR="00FE48E7" w:rsidRPr="00E16931" w:rsidRDefault="00FE48E7" w:rsidP="00FE48E7">
      <w:pPr>
        <w:spacing w:after="120" w:line="276" w:lineRule="auto"/>
        <w:ind w:firstLine="567"/>
        <w:jc w:val="both"/>
        <w:rPr>
          <w:rFonts w:ascii="Verdana" w:eastAsia="Calibri" w:hAnsi="Verdana" w:cs="Arial"/>
          <w:lang w:val="es-ES"/>
        </w:rPr>
      </w:pPr>
      <w:r w:rsidRPr="00E16931">
        <w:rPr>
          <w:rFonts w:ascii="Verdana" w:hAnsi="Verdana"/>
        </w:rPr>
        <w:t>De conformidad con este procedimiento, una vez el proveedor aprueba el contrato en la plataforma, este se remite a la Entidad Estatal para que adelante los flujos internos de aprobación correspondientes. La aprobación del ordenador del gasto constituye el último paso de dicho flujo y es el hito que permite a SECOP II cambiar el estado del contrato a “Firmado”, así como habilitar las secciones de “Modificaciones del contrato” e “Incumplimientos”, lo que evidencia que el negocio jurídico ha quedado formalmente firmado en el sistema.</w:t>
      </w:r>
    </w:p>
    <w:p w14:paraId="017F8777" w14:textId="77777777" w:rsidR="00FE48E7" w:rsidRPr="00E16931" w:rsidRDefault="00FE48E7" w:rsidP="00FE48E7">
      <w:pPr>
        <w:spacing w:after="120" w:line="276" w:lineRule="auto"/>
        <w:ind w:firstLine="709"/>
        <w:jc w:val="both"/>
        <w:rPr>
          <w:rFonts w:ascii="Verdana" w:eastAsia="Calibri" w:hAnsi="Verdana" w:cs="Arial"/>
          <w:lang w:val="es-ES"/>
        </w:rPr>
      </w:pPr>
      <w:r w:rsidRPr="00E16931">
        <w:rPr>
          <w:rFonts w:ascii="Verdana" w:eastAsia="Calibri" w:hAnsi="Verdana" w:cs="Arial"/>
          <w:lang w:val="es-ES"/>
        </w:rPr>
        <w:t>Así las cosas, cuando el proceso de contratación se adelanta por el SECOP II</w:t>
      </w:r>
      <w:r>
        <w:rPr>
          <w:rFonts w:ascii="Verdana" w:eastAsia="Calibri" w:hAnsi="Verdana" w:cs="Arial"/>
          <w:lang w:val="es-ES"/>
        </w:rPr>
        <w:t>,</w:t>
      </w:r>
      <w:r w:rsidRPr="00E16931">
        <w:rPr>
          <w:rFonts w:ascii="Verdana" w:eastAsia="Calibri" w:hAnsi="Verdana" w:cs="Arial"/>
          <w:lang w:val="es-ES"/>
        </w:rPr>
        <w:t xml:space="preserve"> la aprobación del contrato para su perfeccionamiento y posterior ejecución deberá efectuarse en dicha plataforma de conformidad con el procedimiento descrito. En todo caso, hasta que no se efectué la aprobación en el SECOP II por parte del ordenador del gasto de la Entidad no se entiende perfeccionado el contrato. </w:t>
      </w:r>
    </w:p>
    <w:p w14:paraId="147C9F06" w14:textId="77777777" w:rsidR="00FE48E7" w:rsidRPr="00E16931" w:rsidRDefault="00FE48E7" w:rsidP="00FE48E7">
      <w:pPr>
        <w:spacing w:after="120" w:line="276" w:lineRule="auto"/>
        <w:ind w:firstLine="567"/>
        <w:jc w:val="both"/>
        <w:rPr>
          <w:rFonts w:ascii="Verdana" w:eastAsia="Calibri" w:hAnsi="Verdana" w:cs="Arial"/>
          <w:lang w:val="es-ES"/>
        </w:rPr>
      </w:pPr>
      <w:r w:rsidRPr="00E16931">
        <w:rPr>
          <w:rFonts w:ascii="Verdana" w:eastAsia="Calibri" w:hAnsi="Verdana" w:cs="Arial"/>
          <w:lang w:val="es-ES"/>
        </w:rPr>
        <w:t>Bajo este contexto, en atención a la consulta planteada, es pertinente señalar que debido a que el concepto de “celebrar” para efectos de las restricciones a la contratación previstas en la Ley de Garantías Electorales se asocia al momento del perfeccionamiento del contrato estatal, es necesario tener en cuenta dicho hito en los procesos adelantados a través de la plataforma SECOP II. De esta forma, como se indicó, al tratarse de un sistema transaccional, el contrato se entiende celebrado una vez se ha surtido la aprobación y publicación por parte de la entidad estatal, momento en el cual la plataforma registra el estado de “firmado”, dejando constancia de la concurrencia de voluntades y del cumplimiento del requisito de perfeccionamiento.</w:t>
      </w:r>
    </w:p>
    <w:p w14:paraId="0BED64E7" w14:textId="77777777" w:rsidR="00FE48E7" w:rsidRPr="00E16931" w:rsidRDefault="00FE48E7" w:rsidP="00FE48E7">
      <w:pPr>
        <w:spacing w:after="120" w:line="276" w:lineRule="auto"/>
        <w:ind w:firstLine="567"/>
        <w:jc w:val="both"/>
        <w:rPr>
          <w:rFonts w:ascii="Verdana" w:eastAsia="Calibri" w:hAnsi="Verdana" w:cs="Arial"/>
        </w:rPr>
      </w:pPr>
      <w:r w:rsidRPr="00E16931">
        <w:rPr>
          <w:rFonts w:ascii="Verdana" w:eastAsia="Calibri" w:hAnsi="Verdana" w:cs="Arial"/>
        </w:rPr>
        <w:lastRenderedPageBreak/>
        <w:t>En este orden de ideas, dentro del flujo de aprobación que la entidad haya configurado en el SECOP II, el momento en que el ordenador del gasto emite su aprobación final constituye el hito en el cual se consolida efectivamente la concurrencia de voluntades y el acuerdo contractual. Ello obedece a que, de manera previa, el proveedor ya ha otorgado su aprobación al contrato, manifestando su aceptación integral de las condiciones pactadas. Así, con la aprobación posterior del ordenador del gasto se perfecciona el consentimiento recíproco sobre el objeto y la contraprestación y queda formalmente estructurado el acuerdo.</w:t>
      </w:r>
    </w:p>
    <w:p w14:paraId="2D44A7FB" w14:textId="77777777" w:rsidR="00FE48E7" w:rsidRPr="00E16931" w:rsidRDefault="00FE48E7" w:rsidP="00FE48E7">
      <w:pPr>
        <w:spacing w:after="120" w:line="276" w:lineRule="auto"/>
        <w:ind w:firstLine="567"/>
        <w:jc w:val="both"/>
        <w:rPr>
          <w:rFonts w:ascii="Verdana" w:eastAsia="Calibri" w:hAnsi="Verdana" w:cs="Arial"/>
        </w:rPr>
      </w:pPr>
      <w:r w:rsidRPr="00E16931">
        <w:rPr>
          <w:rFonts w:ascii="Verdana" w:eastAsia="Calibri" w:hAnsi="Verdana" w:cs="Arial"/>
        </w:rPr>
        <w:t>Este hito es jurídicamente relevante, en la medida en que con él se satisface el requisito previsto en el artículo 41 de la Ley 80 de 1993, esto es, que el perfeccionamiento del contrato ocurre cuando existe acuerdo sobre el objeto y la contraprestación y este se eleva a escrito. En el sistema transaccional del SECOP II, esto se materializa a través del documento electrónico del contrato y de las aprobaciones efectuadas en la plataforma, las cuales dejan trazabilidad y constancia del consentimiento de las partes. Por consiguiente, es en la aprobación final del ordenador del gasto, como último paso del flujo de aprobación, donde se entiende cumplido el requisito de perfeccionamiento al quedar configurado el acuerdo exigido por la norma señalada.</w:t>
      </w:r>
    </w:p>
    <w:p w14:paraId="3DED10E7" w14:textId="77777777" w:rsidR="00FE48E7" w:rsidRDefault="00FE48E7" w:rsidP="00FE48E7">
      <w:pPr>
        <w:spacing w:after="0" w:line="276" w:lineRule="auto"/>
        <w:ind w:firstLine="567"/>
        <w:jc w:val="both"/>
        <w:rPr>
          <w:rFonts w:ascii="Verdana" w:eastAsia="Times New Roman" w:hAnsi="Verdana" w:cs="Arial"/>
          <w:bCs/>
          <w:lang w:val="es-ES" w:eastAsia="es-CO"/>
        </w:rPr>
      </w:pPr>
      <w:r w:rsidRPr="00E16931">
        <w:rPr>
          <w:rFonts w:ascii="Verdana" w:eastAsia="Calibri" w:hAnsi="Verdana" w:cs="Arial"/>
          <w:lang w:val="es-ES"/>
        </w:rPr>
        <w:t xml:space="preserve">En consecuencia, tratándose de procesos gestionados en SECOP II, las actuaciones necesarias para que el contrato adquiera el estado de “firmado” deben realizarse antes de la </w:t>
      </w:r>
      <w:proofErr w:type="gramStart"/>
      <w:r w:rsidRPr="00E16931">
        <w:rPr>
          <w:rFonts w:ascii="Verdana" w:eastAsia="Calibri" w:hAnsi="Verdana" w:cs="Arial"/>
          <w:lang w:val="es-ES"/>
        </w:rPr>
        <w:t>entrada en vigencia</w:t>
      </w:r>
      <w:proofErr w:type="gramEnd"/>
      <w:r w:rsidRPr="00E16931">
        <w:rPr>
          <w:rFonts w:ascii="Verdana" w:eastAsia="Calibri" w:hAnsi="Verdana" w:cs="Arial"/>
          <w:lang w:val="es-ES"/>
        </w:rPr>
        <w:t xml:space="preserve"> de las restricciones previstas en la Ley de Garantías Electorales. De lo contrario, si el perfeccionamiento, es decir, si la aprobación final por parte del ordenador del gasto y su registro como estado “firmado” en la plataforma se produce cuando ya se encuentra vigente la prohibición establecida en el artículo 33 </w:t>
      </w:r>
      <w:r w:rsidRPr="00F31AC8">
        <w:rPr>
          <w:rFonts w:ascii="Verdana" w:eastAsia="Calibri" w:hAnsi="Verdana" w:cs="Arial"/>
          <w:i/>
          <w:iCs/>
          <w:lang w:val="es-ES"/>
        </w:rPr>
        <w:t>ibidem</w:t>
      </w:r>
      <w:r w:rsidRPr="00E16931">
        <w:rPr>
          <w:rFonts w:ascii="Verdana" w:eastAsia="Calibri" w:hAnsi="Verdana" w:cs="Arial"/>
          <w:lang w:val="es-ES"/>
        </w:rPr>
        <w:t>, se entiende que el contrato fue celebrado en vigencia de dicha restricción, con las consecuencias jurídicas a que haya lugar, sin que resulte suficiente que etapas previas del proceso se hubieren adelantado con anterioridad</w:t>
      </w:r>
      <w:r>
        <w:rPr>
          <w:rFonts w:ascii="Verdana" w:eastAsia="Calibri" w:hAnsi="Verdana" w:cs="Arial"/>
          <w:lang w:val="es-ES"/>
        </w:rPr>
        <w:t xml:space="preserve"> o que se hayan aprobado los demás flujos de aprobación configurados por la Entidad Estatal, previos al del ordenador del gasto</w:t>
      </w:r>
      <w:r w:rsidRPr="00E16931">
        <w:rPr>
          <w:rFonts w:ascii="Verdana" w:eastAsia="Calibri" w:hAnsi="Verdana" w:cs="Arial"/>
          <w:lang w:val="es-ES"/>
        </w:rPr>
        <w:t>.</w:t>
      </w:r>
      <w:r>
        <w:rPr>
          <w:rFonts w:ascii="Verdana" w:eastAsia="Times New Roman" w:hAnsi="Verdana" w:cs="Arial"/>
          <w:bCs/>
          <w:lang w:val="es-ES" w:eastAsia="es-CO"/>
        </w:rPr>
        <w:t xml:space="preserve"> </w:t>
      </w:r>
      <w:r w:rsidRPr="00E16931">
        <w:rPr>
          <w:rFonts w:ascii="Verdana" w:eastAsia="Times New Roman" w:hAnsi="Verdana" w:cs="Arial"/>
          <w:bCs/>
          <w:lang w:val="es-ES" w:eastAsia="es-CO"/>
        </w:rPr>
        <w:t xml:space="preserve">En este último evento, la entidad deberá revisar la validez del contrato y analizar una posible configuración de nulidad a la luz de lo dispuesto en el artículo 44 de la Ley 80 de 1993. </w:t>
      </w:r>
    </w:p>
    <w:p w14:paraId="4AAE3F67" w14:textId="77777777" w:rsidR="00FE48E7" w:rsidRDefault="00FE48E7" w:rsidP="00FE48E7">
      <w:pPr>
        <w:spacing w:after="0" w:line="276" w:lineRule="auto"/>
        <w:jc w:val="both"/>
        <w:rPr>
          <w:rFonts w:ascii="Verdana" w:eastAsia="Times New Roman" w:hAnsi="Verdana" w:cs="Arial"/>
          <w:bCs/>
          <w:lang w:val="es-ES" w:eastAsia="es-CO"/>
        </w:rPr>
      </w:pPr>
    </w:p>
    <w:p w14:paraId="19C32D89" w14:textId="77777777" w:rsidR="00FE48E7" w:rsidRPr="00E16931" w:rsidRDefault="00FE48E7" w:rsidP="00FE48E7">
      <w:pPr>
        <w:spacing w:after="120" w:line="276" w:lineRule="auto"/>
        <w:jc w:val="both"/>
        <w:rPr>
          <w:rFonts w:ascii="Verdana" w:eastAsia="Calibri" w:hAnsi="Verdana" w:cs="Arial"/>
        </w:rPr>
      </w:pPr>
      <w:proofErr w:type="spellStart"/>
      <w:r>
        <w:rPr>
          <w:rFonts w:ascii="Verdana" w:eastAsia="Times New Roman" w:hAnsi="Verdana" w:cs="Arial"/>
          <w:bCs/>
          <w:lang w:val="es-ES" w:eastAsia="es-CO"/>
        </w:rPr>
        <w:lastRenderedPageBreak/>
        <w:t>vii</w:t>
      </w:r>
      <w:proofErr w:type="spellEnd"/>
      <w:r>
        <w:rPr>
          <w:rFonts w:ascii="Verdana" w:eastAsia="Times New Roman" w:hAnsi="Verdana" w:cs="Arial"/>
          <w:bCs/>
          <w:lang w:val="es-ES" w:eastAsia="es-CO"/>
        </w:rPr>
        <w:t xml:space="preserve">. </w:t>
      </w:r>
      <w:r w:rsidRPr="00E16931">
        <w:rPr>
          <w:rFonts w:ascii="Verdana" w:eastAsia="Times New Roman" w:hAnsi="Verdana" w:cs="Arial"/>
          <w:bCs/>
          <w:lang w:val="es-ES" w:eastAsia="es-CO"/>
        </w:rPr>
        <w:t xml:space="preserve">Sobre el régimen de nulidad, la norma en cita </w:t>
      </w:r>
      <w:r w:rsidRPr="00E16931">
        <w:rPr>
          <w:rFonts w:ascii="Verdana" w:eastAsia="Calibri" w:hAnsi="Verdana" w:cs="Arial"/>
        </w:rPr>
        <w:t>señala como causales de nulidad del contrato estatal, las siguientes: 1. Que el contrato se celebre con personas incursas en causales de inhabilidad o incompatibilidad previstas en la Constitución y la ley. 2. se celebre contra expresa prohibición constitucional o legal. 3. se celebre con abuso o desviación de poder. 4. se declaren nulos los actos administrativos en que se fundamenten. 5. se hubieren celebrado con desconocimiento de los criterios previstos para el tratamiento de ofertas nacionales y extranjeras o con violación de la reciprocidad</w:t>
      </w:r>
      <w:r w:rsidRPr="00E16931">
        <w:rPr>
          <w:rFonts w:ascii="Verdana" w:eastAsia="Arial" w:hAnsi="Verdana" w:cs="Arial"/>
          <w:vertAlign w:val="superscript"/>
          <w:lang w:val="es-ES"/>
        </w:rPr>
        <w:footnoteReference w:id="28"/>
      </w:r>
      <w:r w:rsidRPr="00E16931">
        <w:rPr>
          <w:rFonts w:ascii="Verdana" w:eastAsia="Calibri" w:hAnsi="Verdana" w:cs="Arial"/>
        </w:rPr>
        <w:t>.</w:t>
      </w:r>
    </w:p>
    <w:p w14:paraId="6FB68F73" w14:textId="77777777" w:rsidR="00FE48E7" w:rsidRDefault="00FE48E7" w:rsidP="00FE48E7">
      <w:pPr>
        <w:spacing w:after="0" w:line="276" w:lineRule="auto"/>
        <w:ind w:firstLine="709"/>
        <w:jc w:val="both"/>
        <w:rPr>
          <w:rFonts w:ascii="Verdana" w:eastAsia="Calibri" w:hAnsi="Verdana" w:cs="Times New Roman"/>
          <w:bCs/>
        </w:rPr>
      </w:pPr>
      <w:r>
        <w:rPr>
          <w:rFonts w:ascii="Verdana" w:eastAsia="Calibri" w:hAnsi="Verdana" w:cs="Times New Roman"/>
          <w:bCs/>
        </w:rPr>
        <w:t>En concordancia con lo anterior, el artículo 45 de la Ley 80 de 1993 prescribe:</w:t>
      </w:r>
    </w:p>
    <w:p w14:paraId="49AA0ED6" w14:textId="77777777" w:rsidR="00FE48E7" w:rsidRPr="00A72235" w:rsidRDefault="00FE48E7" w:rsidP="00FE48E7">
      <w:pPr>
        <w:spacing w:after="0" w:line="276" w:lineRule="auto"/>
        <w:ind w:firstLine="709"/>
        <w:jc w:val="both"/>
        <w:rPr>
          <w:rFonts w:ascii="Verdana" w:eastAsia="Calibri" w:hAnsi="Verdana" w:cs="Times New Roman"/>
          <w:bCs/>
        </w:rPr>
      </w:pPr>
    </w:p>
    <w:p w14:paraId="1C07FC7D" w14:textId="77777777" w:rsidR="00FE48E7" w:rsidRDefault="00FE48E7" w:rsidP="00FE48E7">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796E0B97" w14:textId="77777777" w:rsidR="00FE48E7" w:rsidRPr="002E1F8D" w:rsidRDefault="00FE48E7" w:rsidP="00FE48E7">
      <w:pPr>
        <w:spacing w:after="0" w:line="240" w:lineRule="auto"/>
        <w:ind w:left="709" w:right="709"/>
        <w:jc w:val="both"/>
        <w:rPr>
          <w:rFonts w:ascii="Verdana" w:eastAsia="Calibri" w:hAnsi="Verdana" w:cs="Times New Roman"/>
          <w:sz w:val="20"/>
          <w:szCs w:val="20"/>
        </w:rPr>
      </w:pPr>
    </w:p>
    <w:p w14:paraId="0DBFAB4D" w14:textId="77777777" w:rsidR="00FE48E7" w:rsidRPr="002E1F8D" w:rsidRDefault="00FE48E7" w:rsidP="00FE48E7">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w:t>
      </w:r>
      <w:r>
        <w:rPr>
          <w:rFonts w:ascii="Verdana" w:eastAsia="Calibri" w:hAnsi="Verdana" w:cs="Times New Roman"/>
          <w:sz w:val="20"/>
          <w:szCs w:val="20"/>
        </w:rPr>
        <w:t xml:space="preserve"> </w:t>
      </w:r>
      <w:r w:rsidRPr="6746F96C">
        <w:rPr>
          <w:rFonts w:ascii="Verdana" w:eastAsia="Calibri" w:hAnsi="Verdana" w:cs="Times New Roman"/>
          <w:sz w:val="20"/>
          <w:szCs w:val="20"/>
        </w:rPr>
        <w:t>debidamente motivado y ordenará su liquidación en el estado en que se encuentre”. </w:t>
      </w:r>
    </w:p>
    <w:p w14:paraId="0D1B5DCD" w14:textId="77777777" w:rsidR="00FE48E7" w:rsidRDefault="00FE48E7" w:rsidP="00FE48E7">
      <w:pPr>
        <w:spacing w:after="0" w:line="276" w:lineRule="auto"/>
        <w:jc w:val="both"/>
        <w:rPr>
          <w:rFonts w:ascii="Verdana" w:eastAsia="Calibri" w:hAnsi="Verdana" w:cs="Times New Roman"/>
          <w:bCs/>
        </w:rPr>
      </w:pPr>
    </w:p>
    <w:p w14:paraId="6DEA371E" w14:textId="77777777" w:rsidR="00FE48E7" w:rsidRDefault="00FE48E7" w:rsidP="00FE48E7">
      <w:pPr>
        <w:spacing w:after="120" w:line="276" w:lineRule="auto"/>
        <w:jc w:val="both"/>
        <w:rPr>
          <w:rFonts w:ascii="Verdana" w:eastAsia="Calibri" w:hAnsi="Verdana" w:cs="Arial"/>
        </w:rPr>
      </w:pPr>
      <w:r>
        <w:rPr>
          <w:rFonts w:ascii="Verdana" w:eastAsia="Calibri" w:hAnsi="Verdana" w:cs="Times New Roman"/>
          <w:bCs/>
        </w:rPr>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Además, de acuerdo con el inciso segundo, cuando se presente alguna de las hipótesis señaladas en los numerales 1, 2 y 4 del artículo 44 de la Ley 80 de 1993, la entidad debe terminar el contrato mediante acto administrativo y ordenar su liquidación en el estado en que se encuentre. Estas situaciones se refieren a los casos en que</w:t>
      </w:r>
      <w:r w:rsidRPr="008D2665">
        <w:rPr>
          <w:rFonts w:ascii="Verdana" w:eastAsia="Calibri" w:hAnsi="Verdana" w:cs="Arial"/>
        </w:rPr>
        <w:t xml:space="preserve"> el contrato se celebre con personas incursas en causales de inhabilidad o incompatibilidad previstas en la </w:t>
      </w:r>
      <w:r w:rsidRPr="008D2665">
        <w:rPr>
          <w:rFonts w:ascii="Verdana" w:eastAsia="Calibri" w:hAnsi="Verdana" w:cs="Arial"/>
        </w:rPr>
        <w:lastRenderedPageBreak/>
        <w:t>Constitución y la ley</w:t>
      </w:r>
      <w:r>
        <w:rPr>
          <w:rFonts w:ascii="Verdana" w:eastAsia="Calibri" w:hAnsi="Verdana" w:cs="Arial"/>
        </w:rPr>
        <w:t xml:space="preserve">, </w:t>
      </w:r>
      <w:r w:rsidRPr="00F31AC8">
        <w:rPr>
          <w:rFonts w:ascii="Verdana" w:eastAsia="Calibri" w:hAnsi="Verdana" w:cs="Arial"/>
          <w:i/>
          <w:iCs/>
        </w:rPr>
        <w:t>que se celebre contra expresa prohibición constitucional o legal</w:t>
      </w:r>
      <w:r>
        <w:rPr>
          <w:rFonts w:ascii="Verdana" w:eastAsia="Calibri" w:hAnsi="Verdana" w:cs="Arial"/>
        </w:rPr>
        <w:t>, o que</w:t>
      </w:r>
      <w:r w:rsidRPr="008D2665">
        <w:rPr>
          <w:rFonts w:ascii="Verdana" w:eastAsia="Calibri" w:hAnsi="Verdana" w:cs="Arial"/>
        </w:rPr>
        <w:t xml:space="preserve"> se declaren nulos los actos administrativos en que se fundamenten</w:t>
      </w:r>
      <w:r>
        <w:rPr>
          <w:rFonts w:ascii="Verdana" w:eastAsia="Calibri" w:hAnsi="Verdana" w:cs="Arial"/>
        </w:rPr>
        <w:t xml:space="preserve">. </w:t>
      </w:r>
    </w:p>
    <w:p w14:paraId="4D517C33" w14:textId="77777777" w:rsidR="00FE48E7" w:rsidRDefault="00FE48E7" w:rsidP="00FE48E7">
      <w:pPr>
        <w:spacing w:after="120" w:line="276" w:lineRule="auto"/>
        <w:ind w:firstLine="743"/>
        <w:jc w:val="both"/>
        <w:rPr>
          <w:rFonts w:ascii="Verdana" w:eastAsia="Calibri" w:hAnsi="Verdana" w:cs="Arial"/>
        </w:rPr>
      </w:pPr>
      <w:r w:rsidRPr="00D53326">
        <w:rPr>
          <w:rFonts w:ascii="Verdana" w:eastAsia="Calibri" w:hAnsi="Verdana" w:cs="Arial"/>
        </w:rPr>
        <w:t xml:space="preserve">En este sentido, para que proceda la terminación del contrato y su correspondiente liquidación en los términos de la norma citada, resulta indispensable que la entidad verifique que la situación que genera la nulidad se enmarque en alguna de las causales allí señaladas. Particularmente, frente a la circunstancia analizadas es posible que se pueda generar la nulidad </w:t>
      </w:r>
      <w:r>
        <w:rPr>
          <w:rFonts w:ascii="Verdana" w:eastAsia="Calibri" w:hAnsi="Verdana" w:cs="Arial"/>
        </w:rPr>
        <w:t xml:space="preserve">absoluta </w:t>
      </w:r>
      <w:r w:rsidRPr="00D53326">
        <w:rPr>
          <w:rFonts w:ascii="Verdana" w:eastAsia="Calibri" w:hAnsi="Verdana" w:cs="Arial"/>
        </w:rPr>
        <w:t>del contrato por</w:t>
      </w:r>
      <w:r>
        <w:rPr>
          <w:rFonts w:ascii="Verdana" w:eastAsia="Calibri" w:hAnsi="Verdana" w:cs="Arial"/>
        </w:rPr>
        <w:t xml:space="preserve"> la causal de</w:t>
      </w:r>
      <w:r w:rsidRPr="00D53326">
        <w:rPr>
          <w:rFonts w:ascii="Verdana" w:eastAsia="Calibri" w:hAnsi="Verdana" w:cs="Arial"/>
        </w:rPr>
        <w:t xml:space="preserve"> celebración contra expresa prohibición constitucional o legal, por v</w:t>
      </w:r>
      <w:r>
        <w:rPr>
          <w:rFonts w:ascii="Verdana" w:eastAsia="Calibri" w:hAnsi="Verdana" w:cs="Arial"/>
        </w:rPr>
        <w:t xml:space="preserve">ulnerar </w:t>
      </w:r>
      <w:r w:rsidRPr="00D53326">
        <w:rPr>
          <w:rFonts w:ascii="Verdana" w:eastAsia="Calibri" w:hAnsi="Verdana" w:cs="Arial"/>
        </w:rPr>
        <w:t xml:space="preserve">las restricciones establecidas en los artículos 33 y 38 de la Ley de Garantías Electorales. </w:t>
      </w:r>
    </w:p>
    <w:p w14:paraId="4A168592" w14:textId="77777777" w:rsidR="00FE48E7" w:rsidRPr="0075226F" w:rsidRDefault="00FE48E7" w:rsidP="00FE48E7">
      <w:pPr>
        <w:spacing w:after="120" w:line="276" w:lineRule="auto"/>
        <w:ind w:firstLine="567"/>
        <w:jc w:val="both"/>
        <w:rPr>
          <w:rFonts w:ascii="Verdana" w:eastAsia="Calibri" w:hAnsi="Verdana" w:cs="Arial"/>
          <w:lang w:val="es-ES"/>
        </w:rPr>
      </w:pPr>
      <w:r>
        <w:rPr>
          <w:rFonts w:ascii="Verdana" w:eastAsia="Calibri" w:hAnsi="Verdana" w:cs="Arial"/>
        </w:rPr>
        <w:t xml:space="preserve">Sobre </w:t>
      </w:r>
      <w:r w:rsidRPr="0091487B">
        <w:rPr>
          <w:rFonts w:ascii="Verdana" w:eastAsia="Calibri" w:hAnsi="Verdana" w:cs="Arial"/>
        </w:rPr>
        <w:t>el alcance de la causal de nulidad contenida en el numeral 2 del artículo 44 de la Ley 80 de 1993,</w:t>
      </w:r>
      <w:r>
        <w:rPr>
          <w:rFonts w:ascii="Verdana" w:eastAsia="Calibri" w:hAnsi="Verdana" w:cs="Arial"/>
        </w:rPr>
        <w:t xml:space="preserve"> el Consejo de Estado ha señalado que “</w:t>
      </w:r>
      <w:r w:rsidRPr="0075226F">
        <w:rPr>
          <w:rFonts w:ascii="Verdana" w:eastAsia="Calibri" w:hAnsi="Verdana" w:cs="Arial"/>
          <w:bCs/>
          <w:iCs/>
        </w:rPr>
        <w:t>la norma ofrece, al menos, dos conclusiones: la primera de ellas consiste en que la prohibición debe estar consagrada en una norma, ya sea de rango constitucional o legal, sin que resulte posible hacer extensiva esta causal a una disposición de inferior rango normativo. La segunda se refiere al hecho de que la prohibición debe constar de manera expresa</w:t>
      </w:r>
      <w:r>
        <w:rPr>
          <w:rStyle w:val="Refdenotaalpie"/>
          <w:rFonts w:ascii="Verdana" w:eastAsia="Calibri" w:hAnsi="Verdana" w:cs="Arial"/>
          <w:bCs/>
          <w:iCs/>
        </w:rPr>
        <w:footnoteReference w:id="29"/>
      </w:r>
      <w:r>
        <w:rPr>
          <w:rFonts w:ascii="Verdana" w:eastAsia="Calibri" w:hAnsi="Verdana" w:cs="Arial"/>
          <w:bCs/>
          <w:iCs/>
        </w:rPr>
        <w:t>”</w:t>
      </w:r>
      <w:r w:rsidRPr="0075226F">
        <w:rPr>
          <w:rFonts w:ascii="Verdana" w:eastAsia="Calibri" w:hAnsi="Verdana" w:cs="Arial"/>
          <w:bCs/>
          <w:iCs/>
        </w:rPr>
        <w:t xml:space="preserve">. </w:t>
      </w:r>
      <w:r>
        <w:rPr>
          <w:rFonts w:ascii="Verdana" w:eastAsia="Calibri" w:hAnsi="Verdana" w:cs="Arial"/>
          <w:bCs/>
          <w:iCs/>
        </w:rPr>
        <w:t xml:space="preserve">Tal es el caso de los </w:t>
      </w:r>
      <w:r>
        <w:rPr>
          <w:rFonts w:ascii="Verdana" w:eastAsia="Calibri" w:hAnsi="Verdana" w:cs="Arial"/>
        </w:rPr>
        <w:t xml:space="preserve">artículos 33 y 38 de la Ley de Garantías Electorales, normas de carácter legal que determinan de manera expresa una prohibición específica en materia de contratación pública. </w:t>
      </w:r>
    </w:p>
    <w:p w14:paraId="5D0F1218" w14:textId="77777777" w:rsidR="00FE48E7" w:rsidRPr="007B2BC2" w:rsidRDefault="00FE48E7" w:rsidP="00FE48E7">
      <w:pPr>
        <w:spacing w:after="120" w:line="276" w:lineRule="auto"/>
        <w:ind w:firstLine="567"/>
        <w:jc w:val="both"/>
        <w:rPr>
          <w:rFonts w:ascii="Verdana" w:eastAsia="Times New Roman" w:hAnsi="Verdana" w:cs="Arial"/>
          <w:bCs/>
          <w:lang w:val="es-ES" w:eastAsia="es-CO"/>
        </w:rPr>
      </w:pPr>
      <w:r>
        <w:rPr>
          <w:rFonts w:ascii="Verdana" w:eastAsia="Times New Roman" w:hAnsi="Verdana" w:cs="Arial"/>
          <w:bCs/>
          <w:lang w:val="es-ES" w:eastAsia="es-CO"/>
        </w:rPr>
        <w:t>Así las cosas, se concluye qu</w:t>
      </w:r>
      <w:r w:rsidRPr="007B2BC2">
        <w:rPr>
          <w:rFonts w:ascii="Verdana" w:eastAsia="Times New Roman" w:hAnsi="Verdana" w:cs="Arial"/>
          <w:bCs/>
          <w:lang w:val="es-ES" w:eastAsia="es-CO"/>
        </w:rPr>
        <w:t>e aquellos contratos cuyo perfeccionamiento en la plataforma SECOP II</w:t>
      </w:r>
      <w:r>
        <w:rPr>
          <w:rFonts w:ascii="Verdana" w:eastAsia="Times New Roman" w:hAnsi="Verdana" w:cs="Arial"/>
          <w:bCs/>
          <w:lang w:val="es-ES" w:eastAsia="es-CO"/>
        </w:rPr>
        <w:t xml:space="preserve"> -</w:t>
      </w:r>
      <w:r w:rsidRPr="007B2BC2">
        <w:rPr>
          <w:rFonts w:ascii="Verdana" w:eastAsia="Times New Roman" w:hAnsi="Verdana" w:cs="Arial"/>
          <w:bCs/>
          <w:lang w:val="es-ES" w:eastAsia="es-CO"/>
        </w:rPr>
        <w:t>entendido como el momento en que se surte la aprobación final por parte del ordenador del gasto y se publica el contrato en estado “Firmado”</w:t>
      </w:r>
      <w:r>
        <w:rPr>
          <w:rFonts w:ascii="Verdana" w:eastAsia="Times New Roman" w:hAnsi="Verdana" w:cs="Arial"/>
          <w:bCs/>
          <w:lang w:val="es-ES" w:eastAsia="es-CO"/>
        </w:rPr>
        <w:t>-,</w:t>
      </w:r>
      <w:r w:rsidRPr="007B2BC2">
        <w:rPr>
          <w:rFonts w:ascii="Verdana" w:eastAsia="Times New Roman" w:hAnsi="Verdana" w:cs="Arial"/>
          <w:bCs/>
          <w:lang w:val="es-ES" w:eastAsia="es-CO"/>
        </w:rPr>
        <w:t xml:space="preserve"> </w:t>
      </w:r>
      <w:r>
        <w:rPr>
          <w:rFonts w:ascii="Verdana" w:eastAsia="Times New Roman" w:hAnsi="Verdana" w:cs="Arial"/>
          <w:bCs/>
          <w:lang w:val="es-ES" w:eastAsia="es-CO"/>
        </w:rPr>
        <w:t xml:space="preserve">haya ocurrido </w:t>
      </w:r>
      <w:r w:rsidRPr="007B2BC2">
        <w:rPr>
          <w:rFonts w:ascii="Verdana" w:eastAsia="Times New Roman" w:hAnsi="Verdana" w:cs="Arial"/>
          <w:bCs/>
          <w:lang w:val="es-ES" w:eastAsia="es-CO"/>
        </w:rPr>
        <w:t xml:space="preserve">con posterioridad a la entrada en vigencia de la Ley de Garantías Electorales, esta Agencia considera que los mismos </w:t>
      </w:r>
      <w:r>
        <w:rPr>
          <w:rFonts w:ascii="Verdana" w:eastAsia="Times New Roman" w:hAnsi="Verdana" w:cs="Arial"/>
          <w:bCs/>
          <w:lang w:val="es-ES" w:eastAsia="es-CO"/>
        </w:rPr>
        <w:t xml:space="preserve">se entienden </w:t>
      </w:r>
      <w:r w:rsidRPr="007B2BC2">
        <w:rPr>
          <w:rFonts w:ascii="Verdana" w:eastAsia="Times New Roman" w:hAnsi="Verdana" w:cs="Arial"/>
          <w:bCs/>
          <w:lang w:val="es-ES" w:eastAsia="es-CO"/>
        </w:rPr>
        <w:t xml:space="preserve">celebrados en </w:t>
      </w:r>
      <w:r>
        <w:rPr>
          <w:rFonts w:ascii="Verdana" w:eastAsia="Times New Roman" w:hAnsi="Verdana" w:cs="Arial"/>
          <w:bCs/>
          <w:lang w:val="es-ES" w:eastAsia="es-CO"/>
        </w:rPr>
        <w:t>infracción</w:t>
      </w:r>
      <w:r w:rsidRPr="007B2BC2">
        <w:rPr>
          <w:rFonts w:ascii="Verdana" w:eastAsia="Times New Roman" w:hAnsi="Verdana" w:cs="Arial"/>
          <w:bCs/>
          <w:lang w:val="es-ES" w:eastAsia="es-CO"/>
        </w:rPr>
        <w:t xml:space="preserve"> de l</w:t>
      </w:r>
      <w:r>
        <w:rPr>
          <w:rFonts w:ascii="Verdana" w:eastAsia="Times New Roman" w:hAnsi="Verdana" w:cs="Arial"/>
          <w:bCs/>
          <w:lang w:val="es-ES" w:eastAsia="es-CO"/>
        </w:rPr>
        <w:t xml:space="preserve">o </w:t>
      </w:r>
      <w:r w:rsidRPr="007B2BC2">
        <w:rPr>
          <w:rFonts w:ascii="Verdana" w:eastAsia="Times New Roman" w:hAnsi="Verdana" w:cs="Arial"/>
          <w:bCs/>
          <w:lang w:val="es-ES" w:eastAsia="es-CO"/>
        </w:rPr>
        <w:t>previst</w:t>
      </w:r>
      <w:r>
        <w:rPr>
          <w:rFonts w:ascii="Verdana" w:eastAsia="Times New Roman" w:hAnsi="Verdana" w:cs="Arial"/>
          <w:bCs/>
          <w:lang w:val="es-ES" w:eastAsia="es-CO"/>
        </w:rPr>
        <w:t>o</w:t>
      </w:r>
      <w:r w:rsidRPr="007B2BC2">
        <w:rPr>
          <w:rFonts w:ascii="Verdana" w:eastAsia="Times New Roman" w:hAnsi="Verdana" w:cs="Arial"/>
          <w:bCs/>
          <w:lang w:val="es-ES" w:eastAsia="es-CO"/>
        </w:rPr>
        <w:t xml:space="preserve"> en los artículos 33 y 38 </w:t>
      </w:r>
      <w:r w:rsidRPr="00AB7579">
        <w:rPr>
          <w:rFonts w:ascii="Verdana" w:eastAsia="Times New Roman" w:hAnsi="Verdana" w:cs="Arial"/>
          <w:bCs/>
          <w:i/>
          <w:iCs/>
          <w:lang w:val="es-ES" w:eastAsia="es-CO"/>
        </w:rPr>
        <w:t>ibidem,</w:t>
      </w:r>
      <w:r w:rsidRPr="007B2BC2">
        <w:rPr>
          <w:rFonts w:ascii="Verdana" w:eastAsia="Times New Roman" w:hAnsi="Verdana" w:cs="Arial"/>
          <w:bCs/>
          <w:lang w:val="es-ES" w:eastAsia="es-CO"/>
        </w:rPr>
        <w:t xml:space="preserve"> en la medida en que el hito jurídico de perfeccionamiento ocurrió dentro del período de restricción.</w:t>
      </w:r>
    </w:p>
    <w:p w14:paraId="26361DAE" w14:textId="77777777" w:rsidR="00FE48E7" w:rsidRDefault="00FE48E7" w:rsidP="00FE48E7">
      <w:pPr>
        <w:spacing w:after="120" w:line="276" w:lineRule="auto"/>
        <w:ind w:firstLine="567"/>
        <w:jc w:val="both"/>
        <w:rPr>
          <w:rFonts w:ascii="Verdana" w:eastAsia="Times New Roman" w:hAnsi="Verdana" w:cs="Arial"/>
          <w:bCs/>
          <w:lang w:val="es-ES" w:eastAsia="es-CO"/>
        </w:rPr>
      </w:pPr>
      <w:r w:rsidRPr="007B2BC2">
        <w:rPr>
          <w:rFonts w:ascii="Verdana" w:eastAsia="Times New Roman" w:hAnsi="Verdana" w:cs="Arial"/>
          <w:bCs/>
          <w:lang w:val="es-ES" w:eastAsia="es-CO"/>
        </w:rPr>
        <w:t xml:space="preserve">En consecuencia, corresponderá a la Entidad Estatal efectuar el análisis jurídico integral del caso concreto y determinar la procedencia de las medidas a que haya lugar, a la luz de lo dispuesto en </w:t>
      </w:r>
      <w:r>
        <w:rPr>
          <w:rFonts w:ascii="Verdana" w:eastAsia="Times New Roman" w:hAnsi="Verdana" w:cs="Arial"/>
          <w:bCs/>
          <w:lang w:val="es-ES" w:eastAsia="es-CO"/>
        </w:rPr>
        <w:t xml:space="preserve">los </w:t>
      </w:r>
      <w:r w:rsidRPr="007B2BC2">
        <w:rPr>
          <w:rFonts w:ascii="Verdana" w:eastAsia="Times New Roman" w:hAnsi="Verdana" w:cs="Arial"/>
          <w:bCs/>
          <w:lang w:val="es-ES" w:eastAsia="es-CO"/>
        </w:rPr>
        <w:t>artículo</w:t>
      </w:r>
      <w:r>
        <w:rPr>
          <w:rFonts w:ascii="Verdana" w:eastAsia="Times New Roman" w:hAnsi="Verdana" w:cs="Arial"/>
          <w:bCs/>
          <w:lang w:val="es-ES" w:eastAsia="es-CO"/>
        </w:rPr>
        <w:t>s 44 y</w:t>
      </w:r>
      <w:r w:rsidRPr="007B2BC2">
        <w:rPr>
          <w:rFonts w:ascii="Verdana" w:eastAsia="Times New Roman" w:hAnsi="Verdana" w:cs="Arial"/>
          <w:bCs/>
          <w:lang w:val="es-ES" w:eastAsia="es-CO"/>
        </w:rPr>
        <w:t xml:space="preserve"> 45 de la Ley 80 de </w:t>
      </w:r>
      <w:r w:rsidRPr="007B2BC2">
        <w:rPr>
          <w:rFonts w:ascii="Verdana" w:eastAsia="Times New Roman" w:hAnsi="Verdana" w:cs="Arial"/>
          <w:bCs/>
          <w:lang w:val="es-ES" w:eastAsia="es-CO"/>
        </w:rPr>
        <w:lastRenderedPageBreak/>
        <w:t>1993</w:t>
      </w:r>
      <w:r>
        <w:rPr>
          <w:rFonts w:ascii="Verdana" w:eastAsia="Times New Roman" w:hAnsi="Verdana" w:cs="Arial"/>
          <w:bCs/>
          <w:lang w:val="es-ES" w:eastAsia="es-CO"/>
        </w:rPr>
        <w:t xml:space="preserve">. Lo anterior, sin perjuicio de las responsabilidades de tipo disciplinario, fiscal y penal que puedan generarse. </w:t>
      </w:r>
    </w:p>
    <w:p w14:paraId="051D5277" w14:textId="77777777" w:rsidR="00FE48E7" w:rsidRDefault="00FE48E7" w:rsidP="00FE48E7">
      <w:pPr>
        <w:spacing w:after="0" w:line="276" w:lineRule="auto"/>
        <w:ind w:firstLine="567"/>
        <w:jc w:val="both"/>
        <w:rPr>
          <w:rFonts w:ascii="Verdana" w:eastAsia="Times New Roman" w:hAnsi="Verdana" w:cs="Arial"/>
          <w:bCs/>
          <w:lang w:eastAsia="x-none"/>
        </w:rPr>
      </w:pPr>
      <w:r>
        <w:rPr>
          <w:rFonts w:ascii="Verdana" w:eastAsia="Times New Roman" w:hAnsi="Verdana" w:cs="Arial"/>
          <w:bCs/>
          <w:lang w:val="es-MX" w:eastAsia="x-none"/>
        </w:rPr>
        <w:t xml:space="preserve">Finalmente, </w:t>
      </w:r>
      <w:r w:rsidRPr="00F85BDC">
        <w:rPr>
          <w:rFonts w:ascii="Verdana" w:eastAsia="Times New Roman" w:hAnsi="Verdana" w:cs="Arial"/>
          <w:bCs/>
          <w:lang w:eastAsia="x-none"/>
        </w:rPr>
        <w:t xml:space="preserve">resulta pertinente </w:t>
      </w:r>
      <w:r>
        <w:rPr>
          <w:rFonts w:ascii="Verdana" w:eastAsia="Times New Roman" w:hAnsi="Verdana" w:cs="Arial"/>
          <w:bCs/>
          <w:lang w:eastAsia="x-none"/>
        </w:rPr>
        <w:t>enfatizar</w:t>
      </w:r>
      <w:r w:rsidRPr="00F85BDC">
        <w:rPr>
          <w:rFonts w:ascii="Verdana" w:eastAsia="Times New Roman" w:hAnsi="Verdana" w:cs="Arial"/>
          <w:bCs/>
          <w:lang w:eastAsia="x-none"/>
        </w:rPr>
        <w:t xml:space="preserve"> en el deber de planeación que asiste a las Entidades Estatales, el cual impone la obligación de estructurar y adelantar oportunamente las actuaciones precontractuales y contractuales necesarias para el cumplimiento de sus fines. Una adecuada </w:t>
      </w:r>
      <w:r>
        <w:rPr>
          <w:rFonts w:ascii="Verdana" w:eastAsia="Times New Roman" w:hAnsi="Verdana" w:cs="Arial"/>
          <w:bCs/>
          <w:lang w:eastAsia="x-none"/>
        </w:rPr>
        <w:t xml:space="preserve">planeación en la gestión de los procesos, </w:t>
      </w:r>
      <w:r w:rsidRPr="00F85BDC">
        <w:rPr>
          <w:rFonts w:ascii="Verdana" w:eastAsia="Times New Roman" w:hAnsi="Verdana" w:cs="Arial"/>
          <w:bCs/>
          <w:lang w:eastAsia="x-none"/>
        </w:rPr>
        <w:t>especialmente en contextos sujetos a restricciones temporales como las derivadas de la Ley de Garantías</w:t>
      </w:r>
      <w:r>
        <w:rPr>
          <w:rFonts w:ascii="Verdana" w:eastAsia="Times New Roman" w:hAnsi="Verdana" w:cs="Arial"/>
          <w:bCs/>
          <w:lang w:eastAsia="x-none"/>
        </w:rPr>
        <w:t xml:space="preserve"> Electorales,</w:t>
      </w:r>
      <w:r w:rsidRPr="00F85BDC">
        <w:rPr>
          <w:rFonts w:ascii="Verdana" w:eastAsia="Times New Roman" w:hAnsi="Verdana" w:cs="Arial"/>
          <w:bCs/>
          <w:lang w:eastAsia="x-none"/>
        </w:rPr>
        <w:t xml:space="preserve"> permite mitigar riesgos jurídicos y evitar que, por deficiencias</w:t>
      </w:r>
      <w:r>
        <w:rPr>
          <w:rFonts w:ascii="Verdana" w:eastAsia="Times New Roman" w:hAnsi="Verdana" w:cs="Arial"/>
          <w:bCs/>
          <w:lang w:eastAsia="x-none"/>
        </w:rPr>
        <w:t xml:space="preserve"> o retrasos</w:t>
      </w:r>
      <w:r w:rsidRPr="00F85BDC">
        <w:rPr>
          <w:rFonts w:ascii="Verdana" w:eastAsia="Times New Roman" w:hAnsi="Verdana" w:cs="Arial"/>
          <w:bCs/>
          <w:lang w:eastAsia="x-none"/>
        </w:rPr>
        <w:t xml:space="preserve"> en la gestión, se configuren situaciones que puedan dar lugar a eventuales causales de nulidad</w:t>
      </w:r>
      <w:r>
        <w:rPr>
          <w:rFonts w:ascii="Verdana" w:eastAsia="Times New Roman" w:hAnsi="Verdana" w:cs="Arial"/>
          <w:bCs/>
          <w:lang w:eastAsia="x-none"/>
        </w:rPr>
        <w:t xml:space="preserve">. </w:t>
      </w:r>
    </w:p>
    <w:p w14:paraId="50F13FD3" w14:textId="77777777" w:rsidR="00FE48E7" w:rsidRDefault="00FE48E7" w:rsidP="00FE48E7">
      <w:pPr>
        <w:spacing w:after="0" w:line="276" w:lineRule="auto"/>
        <w:ind w:firstLine="567"/>
        <w:jc w:val="both"/>
        <w:rPr>
          <w:rFonts w:ascii="Verdana" w:eastAsia="Times New Roman" w:hAnsi="Verdana" w:cs="Arial"/>
          <w:bCs/>
          <w:lang w:eastAsia="x-none"/>
        </w:rPr>
      </w:pPr>
    </w:p>
    <w:p w14:paraId="522A5C04" w14:textId="77777777" w:rsidR="00FE48E7" w:rsidRPr="00C55BDE" w:rsidRDefault="00FE48E7" w:rsidP="00FE48E7">
      <w:pPr>
        <w:spacing w:after="120" w:line="276" w:lineRule="auto"/>
        <w:jc w:val="both"/>
        <w:rPr>
          <w:rFonts w:ascii="Verdana" w:eastAsia="Times New Roman" w:hAnsi="Verdana" w:cs="Arial"/>
          <w:lang w:eastAsia="es-CO"/>
        </w:rPr>
      </w:pPr>
      <w:proofErr w:type="spellStart"/>
      <w:r>
        <w:rPr>
          <w:rFonts w:ascii="Verdana" w:hAnsi="Verdana" w:cs="Arial"/>
          <w:bCs/>
          <w:color w:val="000000" w:themeColor="text1"/>
        </w:rPr>
        <w:t>vii</w:t>
      </w:r>
      <w:proofErr w:type="spellEnd"/>
      <w:r>
        <w:rPr>
          <w:rFonts w:ascii="Verdana" w:hAnsi="Verdana" w:cs="Arial"/>
          <w:bCs/>
          <w:color w:val="000000" w:themeColor="text1"/>
        </w:rPr>
        <w:t xml:space="preserve">. </w:t>
      </w:r>
      <w:r w:rsidRPr="00C55BDE">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E18E18A" w14:textId="77777777" w:rsidR="00FE48E7" w:rsidRPr="00C55BDE" w:rsidRDefault="00FE48E7" w:rsidP="00FE48E7">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FB6D995" w14:textId="5B914E09" w:rsidR="00506079" w:rsidRPr="00C54887" w:rsidRDefault="00506079" w:rsidP="00FE48E7">
      <w:pPr>
        <w:spacing w:after="0" w:line="276" w:lineRule="auto"/>
        <w:jc w:val="both"/>
        <w:rPr>
          <w:rFonts w:ascii="Verdana" w:hAnsi="Verdana" w:cs="Arial"/>
          <w:lang w:eastAsia="es-ES"/>
        </w:rPr>
      </w:pPr>
    </w:p>
    <w:bookmarkEnd w:id="4"/>
    <w:bookmarkEnd w:id="5"/>
    <w:p w14:paraId="04C60C1D" w14:textId="77777777" w:rsidR="00506079" w:rsidRPr="001F283D" w:rsidRDefault="00506079" w:rsidP="00506079">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3CCB65FD" w14:textId="77777777" w:rsidR="00506079" w:rsidRPr="00593A5F" w:rsidRDefault="00506079" w:rsidP="0050607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06079" w:rsidRPr="002407CE" w14:paraId="52915C5E" w14:textId="77777777" w:rsidTr="005B2B3F">
        <w:trPr>
          <w:trHeight w:val="870"/>
          <w:jc w:val="center"/>
        </w:trPr>
        <w:tc>
          <w:tcPr>
            <w:tcW w:w="8647" w:type="dxa"/>
          </w:tcPr>
          <w:p w14:paraId="62147040" w14:textId="77777777" w:rsidR="00506079" w:rsidRPr="00724A38" w:rsidRDefault="00506079" w:rsidP="005B2B3F">
            <w:pPr>
              <w:pStyle w:val="Prrafodelista"/>
              <w:widowControl w:val="0"/>
              <w:numPr>
                <w:ilvl w:val="0"/>
                <w:numId w:val="2"/>
              </w:numPr>
              <w:autoSpaceDE w:val="0"/>
              <w:autoSpaceDN w:val="0"/>
              <w:spacing w:after="120" w:line="276" w:lineRule="auto"/>
              <w:ind w:left="714" w:hanging="357"/>
              <w:contextualSpacing w:val="0"/>
              <w:jc w:val="both"/>
              <w:rPr>
                <w:rFonts w:ascii="Verdana" w:hAnsi="Verdana" w:cs="Arial"/>
              </w:rPr>
            </w:pPr>
            <w:r w:rsidRPr="00724A38">
              <w:rPr>
                <w:rFonts w:ascii="Verdana" w:hAnsi="Verdana" w:cs="Arial"/>
              </w:rPr>
              <w:lastRenderedPageBreak/>
              <w:t>Decreto Ley 354 de 1994, artículos 2, 5 y 6.</w:t>
            </w:r>
          </w:p>
          <w:p w14:paraId="4523432E" w14:textId="77777777" w:rsidR="00506079" w:rsidRPr="00724A38" w:rsidRDefault="00506079" w:rsidP="005B2B3F">
            <w:pPr>
              <w:pStyle w:val="Prrafodelista"/>
              <w:widowControl w:val="0"/>
              <w:numPr>
                <w:ilvl w:val="0"/>
                <w:numId w:val="2"/>
              </w:numPr>
              <w:autoSpaceDE w:val="0"/>
              <w:autoSpaceDN w:val="0"/>
              <w:spacing w:after="120" w:line="276" w:lineRule="auto"/>
              <w:ind w:left="714" w:hanging="357"/>
              <w:contextualSpacing w:val="0"/>
              <w:jc w:val="both"/>
              <w:rPr>
                <w:rFonts w:ascii="Verdana" w:hAnsi="Verdana" w:cs="Arial"/>
              </w:rPr>
            </w:pPr>
            <w:r w:rsidRPr="00724A38">
              <w:rPr>
                <w:rFonts w:ascii="Verdana" w:hAnsi="Verdana" w:cs="Arial"/>
              </w:rPr>
              <w:t xml:space="preserve">Ley 1150 de 2007, artículos 2 y 5. </w:t>
            </w:r>
          </w:p>
          <w:p w14:paraId="74D5262E" w14:textId="77777777" w:rsidR="00506079" w:rsidRPr="00724A38" w:rsidRDefault="00506079" w:rsidP="005B2B3F">
            <w:pPr>
              <w:pStyle w:val="Prrafodelista"/>
              <w:widowControl w:val="0"/>
              <w:numPr>
                <w:ilvl w:val="0"/>
                <w:numId w:val="2"/>
              </w:numPr>
              <w:autoSpaceDE w:val="0"/>
              <w:autoSpaceDN w:val="0"/>
              <w:spacing w:after="120" w:line="276" w:lineRule="auto"/>
              <w:ind w:left="714" w:hanging="357"/>
              <w:contextualSpacing w:val="0"/>
              <w:jc w:val="both"/>
              <w:rPr>
                <w:rFonts w:ascii="Verdana" w:hAnsi="Verdana" w:cs="Arial"/>
              </w:rPr>
            </w:pPr>
            <w:r w:rsidRPr="00724A38">
              <w:rPr>
                <w:rFonts w:ascii="Verdana" w:hAnsi="Verdana" w:cs="Arial"/>
              </w:rPr>
              <w:t>Ley 1920 de 2018, artículo 6.</w:t>
            </w:r>
          </w:p>
          <w:p w14:paraId="3026B72F" w14:textId="77777777" w:rsidR="00506079" w:rsidRPr="00724A38" w:rsidRDefault="00506079" w:rsidP="005B2B3F">
            <w:pPr>
              <w:pStyle w:val="Prrafodelista"/>
              <w:widowControl w:val="0"/>
              <w:numPr>
                <w:ilvl w:val="0"/>
                <w:numId w:val="2"/>
              </w:numPr>
              <w:autoSpaceDE w:val="0"/>
              <w:autoSpaceDN w:val="0"/>
              <w:spacing w:after="120" w:line="276" w:lineRule="auto"/>
              <w:ind w:left="714" w:hanging="357"/>
              <w:contextualSpacing w:val="0"/>
              <w:jc w:val="both"/>
              <w:rPr>
                <w:rFonts w:ascii="Verdana" w:hAnsi="Verdana" w:cs="Arial"/>
              </w:rPr>
            </w:pPr>
            <w:r w:rsidRPr="00724A38">
              <w:rPr>
                <w:rFonts w:ascii="Verdana" w:hAnsi="Verdana" w:cs="Arial"/>
              </w:rPr>
              <w:t xml:space="preserve">Decreto 1082 de 2015, artículos 2.2.2.1.1.1.3.1, </w:t>
            </w:r>
            <w:r w:rsidRPr="00724A38">
              <w:rPr>
                <w:rFonts w:ascii="Verdana" w:eastAsia="Calibri" w:hAnsi="Verdana" w:cs="Arial"/>
                <w:bCs/>
                <w:color w:val="000000" w:themeColor="text1"/>
              </w:rPr>
              <w:t>2.2.1.1.2.2.2</w:t>
            </w:r>
            <w:r w:rsidRPr="00724A38">
              <w:rPr>
                <w:rFonts w:ascii="Verdana" w:hAnsi="Verdana" w:cs="Arial"/>
              </w:rPr>
              <w:t xml:space="preserve"> </w:t>
            </w:r>
            <w:r w:rsidRPr="00724A38">
              <w:rPr>
                <w:rFonts w:ascii="Verdana" w:eastAsia="Calibri" w:hAnsi="Verdana" w:cs="Arial"/>
                <w:bCs/>
                <w:color w:val="000000" w:themeColor="text1"/>
              </w:rPr>
              <w:t>2.2.1.2.4.2.10, 2.2.1.2.4.2.11, 2.2.1.2.4.2.12 y 2.2.1.2.4.2.13.</w:t>
            </w:r>
          </w:p>
          <w:p w14:paraId="584E654F" w14:textId="77777777" w:rsidR="00506079" w:rsidRPr="00A57FA0" w:rsidRDefault="00506079" w:rsidP="005B2B3F">
            <w:pPr>
              <w:pStyle w:val="NormalWeb"/>
              <w:numPr>
                <w:ilvl w:val="0"/>
                <w:numId w:val="2"/>
              </w:numPr>
              <w:spacing w:before="120" w:beforeAutospacing="0" w:after="0" w:afterAutospacing="0" w:line="276" w:lineRule="auto"/>
              <w:jc w:val="both"/>
              <w:rPr>
                <w:rFonts w:ascii="Verdana" w:hAnsi="Verdana" w:cs="Arial"/>
                <w:color w:val="000000" w:themeColor="text1"/>
                <w:sz w:val="22"/>
                <w:szCs w:val="22"/>
              </w:rPr>
            </w:pPr>
            <w:r w:rsidRPr="00724A38">
              <w:rPr>
                <w:rFonts w:ascii="Verdana" w:hAnsi="Verdana" w:cs="Arial"/>
              </w:rPr>
              <w:t>Código Civil, artículos 28 y 29.</w:t>
            </w:r>
          </w:p>
        </w:tc>
      </w:tr>
    </w:tbl>
    <w:p w14:paraId="2D9165BB" w14:textId="77777777" w:rsidR="00506079" w:rsidRPr="00277E26" w:rsidRDefault="00506079" w:rsidP="00506079">
      <w:pPr>
        <w:widowControl w:val="0"/>
        <w:autoSpaceDE w:val="0"/>
        <w:autoSpaceDN w:val="0"/>
        <w:spacing w:after="0" w:line="276" w:lineRule="auto"/>
        <w:jc w:val="both"/>
        <w:rPr>
          <w:rFonts w:ascii="Verdana" w:hAnsi="Verdana" w:cs="Arial"/>
        </w:rPr>
      </w:pPr>
    </w:p>
    <w:p w14:paraId="3DF879C5" w14:textId="77777777" w:rsidR="00506079" w:rsidRPr="001F283D" w:rsidRDefault="00506079" w:rsidP="00506079">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0064554F" w14:textId="77777777" w:rsidR="00506079" w:rsidRDefault="00506079" w:rsidP="00506079">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4F7F8DFF" w14:textId="77777777" w:rsidR="000D4039" w:rsidRDefault="000D4039" w:rsidP="000D4039">
      <w:pPr>
        <w:widowControl w:val="0"/>
        <w:autoSpaceDE w:val="0"/>
        <w:autoSpaceDN w:val="0"/>
        <w:spacing w:after="0" w:line="276" w:lineRule="auto"/>
        <w:jc w:val="both"/>
        <w:rPr>
          <w:rFonts w:ascii="Verdana" w:hAnsi="Verdana" w:cs="Arial"/>
          <w:shd w:val="clear" w:color="auto" w:fill="FFFFFF"/>
        </w:rPr>
      </w:pPr>
      <w:r w:rsidRPr="00747561">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 C-1492 del 21 de noviembre del 2025 y C-1608 del 4 de diciembre de 2025.</w:t>
      </w:r>
      <w:r w:rsidRPr="00F31AC8">
        <w:rPr>
          <w:rFonts w:ascii="Verdana" w:hAnsi="Verdana" w:cs="Arial"/>
          <w:shd w:val="clear" w:color="auto" w:fill="FFFFFF"/>
        </w:rPr>
        <w:t xml:space="preserve"> </w:t>
      </w:r>
      <w:r w:rsidRPr="00877011">
        <w:rPr>
          <w:rFonts w:ascii="Verdana" w:hAnsi="Verdana" w:cs="Arial"/>
          <w:shd w:val="clear" w:color="auto" w:fill="FFFFFF"/>
        </w:rPr>
        <w:t>Es</w:t>
      </w:r>
      <w:r w:rsidRPr="00877011">
        <w:rPr>
          <w:rFonts w:ascii="Verdana" w:hAnsi="Verdana"/>
        </w:rPr>
        <w:t>tos y otros conceptos se encuentran disponibles para consulta en el Sistema de relatoría de la Agencia, al cual se puede acceder a través del siguiente enlace:</w:t>
      </w:r>
      <w:r w:rsidRPr="00877011">
        <w:rPr>
          <w:rFonts w:ascii="Verdana" w:hAnsi="Verdana" w:cs="Arial"/>
          <w:shd w:val="clear" w:color="auto" w:fill="FFFFFF"/>
        </w:rPr>
        <w:t xml:space="preserve"> </w:t>
      </w:r>
      <w:hyperlink r:id="rId13" w:history="1">
        <w:r w:rsidRPr="00877011">
          <w:rPr>
            <w:rFonts w:ascii="Verdana" w:hAnsi="Verdana" w:cs="Arial"/>
            <w:color w:val="467886" w:themeColor="hyperlink"/>
            <w:u w:val="single"/>
            <w:shd w:val="clear" w:color="auto" w:fill="FFFFFF"/>
          </w:rPr>
          <w:t>https://relatoria.colombiacompra.gov.co/busqueda/conceptos</w:t>
        </w:r>
      </w:hyperlink>
    </w:p>
    <w:p w14:paraId="63D09138" w14:textId="77777777" w:rsidR="00506079" w:rsidRPr="00900D7D" w:rsidRDefault="00506079" w:rsidP="00506079">
      <w:pPr>
        <w:widowControl w:val="0"/>
        <w:autoSpaceDE w:val="0"/>
        <w:autoSpaceDN w:val="0"/>
        <w:spacing w:after="120" w:line="276" w:lineRule="auto"/>
        <w:jc w:val="both"/>
        <w:rPr>
          <w:rFonts w:ascii="Verdana" w:eastAsia="Calibri" w:hAnsi="Verdana" w:cs="Arial"/>
          <w:color w:val="000000" w:themeColor="text1"/>
          <w:lang w:eastAsia="es-ES_tradnl"/>
        </w:rPr>
      </w:pPr>
    </w:p>
    <w:p w14:paraId="535FF273" w14:textId="77777777" w:rsidR="00506079" w:rsidRPr="00237766" w:rsidRDefault="00506079" w:rsidP="00506079">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2E50F34" w14:textId="77777777" w:rsidR="00506079" w:rsidRPr="008E4F36" w:rsidRDefault="00506079" w:rsidP="00506079">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4885072C" w14:textId="77777777" w:rsidR="00506079" w:rsidRPr="008E4F36" w:rsidRDefault="00506079" w:rsidP="00506079">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3270EF30" w14:textId="77777777" w:rsidR="00506079" w:rsidRPr="008E4F36" w:rsidRDefault="00506079" w:rsidP="00506079">
      <w:pPr>
        <w:pStyle w:val="Prrafodelista"/>
        <w:numPr>
          <w:ilvl w:val="0"/>
          <w:numId w:val="3"/>
        </w:numPr>
        <w:spacing w:after="0" w:line="276" w:lineRule="auto"/>
        <w:contextualSpacing w:val="0"/>
        <w:jc w:val="both"/>
        <w:rPr>
          <w:rFonts w:ascii="Verdana" w:hAnsi="Verdana"/>
        </w:rPr>
      </w:pPr>
      <w:r w:rsidRPr="008E4F36">
        <w:rPr>
          <w:rFonts w:ascii="Verdana" w:hAnsi="Verdana"/>
        </w:rPr>
        <w:lastRenderedPageBreak/>
        <w:t>Línea de servicio y atención al ciudadano: +57 601 7956600</w:t>
      </w:r>
    </w:p>
    <w:p w14:paraId="3194D3DD" w14:textId="77777777" w:rsidR="00506079" w:rsidRPr="008E4F36" w:rsidRDefault="00506079" w:rsidP="00506079">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4" w:history="1">
        <w:r w:rsidRPr="008E4F36">
          <w:rPr>
            <w:rStyle w:val="Hipervnculo"/>
            <w:rFonts w:ascii="Verdana" w:hAnsi="Verdana"/>
          </w:rPr>
          <w:t>www.colombiacompra.gov.co</w:t>
        </w:r>
      </w:hyperlink>
    </w:p>
    <w:p w14:paraId="35908D71" w14:textId="77777777" w:rsidR="00506079" w:rsidRPr="008E4F36" w:rsidRDefault="00506079" w:rsidP="00506079">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058EFED2" w14:textId="77777777" w:rsidR="00506079" w:rsidRPr="008E4F36" w:rsidRDefault="00506079" w:rsidP="00506079">
      <w:pPr>
        <w:spacing w:after="0" w:line="276" w:lineRule="auto"/>
        <w:jc w:val="both"/>
        <w:rPr>
          <w:rFonts w:ascii="Verdana" w:hAnsi="Verdana"/>
        </w:rPr>
      </w:pPr>
    </w:p>
    <w:p w14:paraId="59D27ECD" w14:textId="77777777" w:rsidR="00506079" w:rsidRPr="008E4F36" w:rsidRDefault="00506079" w:rsidP="00506079">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7B57675E" w14:textId="77777777" w:rsidR="00506079" w:rsidRPr="008E4F36" w:rsidRDefault="00506079" w:rsidP="00506079">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63258CBD" w14:textId="77777777" w:rsidR="00506079" w:rsidRPr="008E4F36" w:rsidRDefault="00506079" w:rsidP="00506079">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329517C9" w14:textId="77777777" w:rsidR="00506079" w:rsidRDefault="00506079" w:rsidP="00506079">
      <w:pPr>
        <w:spacing w:before="120" w:after="0" w:line="276" w:lineRule="auto"/>
        <w:jc w:val="both"/>
        <w:rPr>
          <w:rFonts w:ascii="Verdana" w:hAnsi="Verdana"/>
        </w:rPr>
      </w:pPr>
    </w:p>
    <w:p w14:paraId="1CBE4DCB" w14:textId="77777777" w:rsidR="00506079" w:rsidRPr="00FB6C33" w:rsidRDefault="00506079" w:rsidP="00506079">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BBB1B12" w14:textId="77777777" w:rsidR="00506079" w:rsidRPr="008E4F36" w:rsidRDefault="00506079" w:rsidP="00506079">
      <w:pPr>
        <w:spacing w:after="0" w:line="276" w:lineRule="auto"/>
        <w:jc w:val="both"/>
        <w:rPr>
          <w:rFonts w:ascii="Verdana" w:eastAsia="Calibri" w:hAnsi="Verdana" w:cs="Times New Roman"/>
        </w:rPr>
      </w:pPr>
    </w:p>
    <w:p w14:paraId="640A4F76" w14:textId="77777777" w:rsidR="00506079" w:rsidRDefault="00506079" w:rsidP="00506079">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7A975E78" w14:textId="77777777" w:rsidR="00506079" w:rsidRDefault="00506079" w:rsidP="00506079">
      <w:pPr>
        <w:spacing w:after="0" w:line="256" w:lineRule="auto"/>
        <w:jc w:val="both"/>
        <w:rPr>
          <w:rFonts w:ascii="Verdana" w:eastAsia="Calibri" w:hAnsi="Verdana" w:cs="Times New Roman"/>
        </w:rPr>
      </w:pPr>
    </w:p>
    <w:p w14:paraId="6CFF0BC1" w14:textId="60A3C144" w:rsidR="00506079" w:rsidRPr="006315A3" w:rsidRDefault="00562C17" w:rsidP="006315A3">
      <w:pPr>
        <w:spacing w:after="0" w:line="256" w:lineRule="auto"/>
        <w:jc w:val="center"/>
        <w:rPr>
          <w:noProof/>
        </w:rPr>
      </w:pPr>
      <w:r>
        <w:rPr>
          <w:rFonts w:ascii="Century Gothic" w:hAnsi="Century Gothic"/>
          <w:noProof/>
        </w:rPr>
        <w:drawing>
          <wp:inline distT="0" distB="0" distL="0" distR="0" wp14:anchorId="3A06F7CC" wp14:editId="385D0D19">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bookmarkEnd w:id="0"/>
      <w:bookmarkEnd w:id="1"/>
    </w:p>
    <w:p w14:paraId="0F72EA7F" w14:textId="77777777" w:rsidR="00506079" w:rsidRDefault="00506079" w:rsidP="00506079">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06079" w:rsidRPr="002423D6" w14:paraId="5B8AC1C4" w14:textId="77777777" w:rsidTr="005B2B3F">
        <w:trPr>
          <w:trHeight w:val="315"/>
        </w:trPr>
        <w:tc>
          <w:tcPr>
            <w:tcW w:w="893" w:type="dxa"/>
            <w:vAlign w:val="center"/>
            <w:hideMark/>
          </w:tcPr>
          <w:p w14:paraId="469AB585" w14:textId="77777777" w:rsidR="00506079" w:rsidRPr="002423D6" w:rsidRDefault="00506079" w:rsidP="005B2B3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8328FAD" w14:textId="7AF84768" w:rsidR="00506079" w:rsidRPr="002423D6" w:rsidRDefault="00506079" w:rsidP="005B2B3F">
            <w:pPr>
              <w:contextualSpacing/>
              <w:rPr>
                <w:rFonts w:ascii="Verdana" w:eastAsia="Arial" w:hAnsi="Verdana" w:cs="Arial"/>
                <w:color w:val="000000" w:themeColor="text1"/>
                <w:sz w:val="16"/>
                <w:szCs w:val="16"/>
              </w:rPr>
            </w:pPr>
            <w:r w:rsidRPr="002423D6">
              <w:rPr>
                <w:rFonts w:ascii="Verdana" w:eastAsia="Arial" w:hAnsi="Verdana" w:cs="Arial"/>
                <w:color w:val="000000" w:themeColor="text1"/>
                <w:sz w:val="16"/>
                <w:szCs w:val="16"/>
              </w:rPr>
              <w:t>A</w:t>
            </w:r>
            <w:r w:rsidR="003A3BC3">
              <w:rPr>
                <w:rFonts w:ascii="Verdana" w:eastAsia="Arial" w:hAnsi="Verdana" w:cs="Arial"/>
                <w:color w:val="000000" w:themeColor="text1"/>
                <w:sz w:val="16"/>
                <w:szCs w:val="16"/>
              </w:rPr>
              <w:t xml:space="preserve">ndreina Cerpa Muñoz </w:t>
            </w:r>
            <w:r w:rsidRPr="002423D6">
              <w:rPr>
                <w:rFonts w:ascii="Verdana" w:eastAsia="Arial" w:hAnsi="Verdana" w:cs="Arial"/>
                <w:color w:val="000000" w:themeColor="text1"/>
                <w:sz w:val="16"/>
                <w:szCs w:val="16"/>
              </w:rPr>
              <w:t xml:space="preserve"> </w:t>
            </w:r>
          </w:p>
          <w:p w14:paraId="06BEA9F5" w14:textId="77777777" w:rsidR="00506079" w:rsidRPr="002423D6" w:rsidRDefault="00506079" w:rsidP="005B2B3F">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506079" w:rsidRPr="002423D6" w14:paraId="2E0DFA55" w14:textId="77777777" w:rsidTr="005B2B3F">
        <w:trPr>
          <w:trHeight w:val="330"/>
        </w:trPr>
        <w:tc>
          <w:tcPr>
            <w:tcW w:w="893" w:type="dxa"/>
            <w:vAlign w:val="center"/>
            <w:hideMark/>
          </w:tcPr>
          <w:p w14:paraId="75386B05" w14:textId="77777777" w:rsidR="00506079" w:rsidRPr="002423D6" w:rsidRDefault="00506079" w:rsidP="005B2B3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6E9176" w14:textId="6DF75CDE" w:rsidR="00506079" w:rsidRPr="002423D6" w:rsidRDefault="003A3BC3" w:rsidP="005B2B3F">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Cardenas Cabeza</w:t>
            </w:r>
          </w:p>
          <w:p w14:paraId="7CCF0C0B" w14:textId="77777777" w:rsidR="00506079" w:rsidRPr="002423D6" w:rsidRDefault="00506079" w:rsidP="005B2B3F">
            <w:pPr>
              <w:pStyle w:val="paragraph"/>
              <w:spacing w:before="0" w:beforeAutospacing="0" w:after="0" w:afterAutospacing="0"/>
              <w:contextualSpacing/>
              <w:textAlignment w:val="baseline"/>
              <w:rPr>
                <w:rFonts w:ascii="Verdana" w:hAnsi="Verdana" w:cs="Segoe UI"/>
                <w:color w:val="000000" w:themeColor="text1"/>
                <w:sz w:val="16"/>
                <w:szCs w:val="16"/>
              </w:rPr>
            </w:pPr>
            <w:r w:rsidRPr="002423D6">
              <w:rPr>
                <w:rStyle w:val="normaltextrun"/>
                <w:rFonts w:ascii="Verdana" w:hAnsi="Verdana" w:cs="Arial"/>
                <w:color w:val="000000" w:themeColor="text1"/>
                <w:sz w:val="16"/>
                <w:szCs w:val="16"/>
                <w:lang w:val="es-ES"/>
              </w:rPr>
              <w:t>Contratista de la Subdirección de Gestión Contractual</w:t>
            </w:r>
            <w:r w:rsidRPr="002423D6">
              <w:rPr>
                <w:rStyle w:val="eop"/>
                <w:rFonts w:ascii="Verdana" w:hAnsi="Verdana" w:cs="Arial"/>
                <w:color w:val="000000" w:themeColor="text1"/>
                <w:sz w:val="16"/>
                <w:szCs w:val="16"/>
              </w:rPr>
              <w:t> </w:t>
            </w:r>
          </w:p>
        </w:tc>
      </w:tr>
      <w:tr w:rsidR="00506079" w:rsidRPr="002423D6" w14:paraId="5326E9FF" w14:textId="77777777" w:rsidTr="005B2B3F">
        <w:trPr>
          <w:trHeight w:val="300"/>
        </w:trPr>
        <w:tc>
          <w:tcPr>
            <w:tcW w:w="893" w:type="dxa"/>
            <w:vAlign w:val="center"/>
          </w:tcPr>
          <w:p w14:paraId="69495DED" w14:textId="77777777" w:rsidR="00506079" w:rsidRPr="002423D6" w:rsidRDefault="00506079" w:rsidP="005B2B3F">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EA53F24" w14:textId="77777777" w:rsidR="00506079" w:rsidRPr="002423D6" w:rsidRDefault="00506079" w:rsidP="005B2B3F">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64740D16" w14:textId="77777777" w:rsidR="00506079" w:rsidRPr="002423D6" w:rsidRDefault="00506079" w:rsidP="005B2B3F">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16EBAFC9" w14:textId="77777777" w:rsidR="00506079" w:rsidRDefault="00506079" w:rsidP="00506079"/>
    <w:p w14:paraId="6AC364D2" w14:textId="77777777" w:rsidR="00506079" w:rsidRPr="00823C60" w:rsidRDefault="00506079" w:rsidP="00506079"/>
    <w:p w14:paraId="661D7D43" w14:textId="77777777" w:rsidR="000F5A42" w:rsidRDefault="000F5A42"/>
    <w:sectPr w:rsidR="000F5A42" w:rsidSect="00506079">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879D4" w14:textId="77777777" w:rsidR="002646DF" w:rsidRDefault="002646DF" w:rsidP="00506079">
      <w:pPr>
        <w:spacing w:after="0" w:line="240" w:lineRule="auto"/>
      </w:pPr>
      <w:r>
        <w:separator/>
      </w:r>
    </w:p>
  </w:endnote>
  <w:endnote w:type="continuationSeparator" w:id="0">
    <w:p w14:paraId="3F687F41" w14:textId="77777777" w:rsidR="002646DF" w:rsidRDefault="002646DF" w:rsidP="005060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2AF4B" w14:textId="77777777" w:rsidR="00506079" w:rsidRDefault="00506079" w:rsidP="005B2B3F">
    <w:pPr>
      <w:spacing w:after="0"/>
      <w:rPr>
        <w:rFonts w:ascii="Verdana" w:hAnsi="Verdana"/>
        <w:b/>
        <w:bCs/>
        <w:sz w:val="20"/>
        <w:szCs w:val="20"/>
      </w:rPr>
    </w:pPr>
  </w:p>
  <w:p w14:paraId="128BB2B4" w14:textId="77777777" w:rsidR="00506079" w:rsidRPr="00174B77" w:rsidRDefault="00506079" w:rsidP="005B2B3F">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45370CB" w14:textId="77777777" w:rsidR="00506079" w:rsidRDefault="00506079" w:rsidP="005B2B3F">
    <w:pPr>
      <w:spacing w:after="0"/>
      <w:jc w:val="both"/>
      <w:rPr>
        <w:rFonts w:ascii="Verdana" w:hAnsi="Verdana"/>
        <w:sz w:val="18"/>
        <w:szCs w:val="18"/>
      </w:rPr>
    </w:pPr>
    <w:r w:rsidRPr="00E41027">
      <w:rPr>
        <w:rFonts w:ascii="Verdana" w:hAnsi="Verdana"/>
        <w:sz w:val="18"/>
        <w:szCs w:val="18"/>
      </w:rPr>
      <w:t>Dirección: Carrera 7 # 26 – 20 - Bogotá, Colombia</w:t>
    </w:r>
  </w:p>
  <w:p w14:paraId="601AE792" w14:textId="77777777" w:rsidR="00506079" w:rsidRPr="00E41027" w:rsidRDefault="00506079" w:rsidP="005B2B3F">
    <w:pPr>
      <w:spacing w:after="0"/>
      <w:jc w:val="both"/>
      <w:rPr>
        <w:rFonts w:ascii="Verdana" w:hAnsi="Verdana"/>
        <w:sz w:val="18"/>
        <w:szCs w:val="18"/>
      </w:rPr>
    </w:pPr>
    <w:r w:rsidRPr="00E41027">
      <w:rPr>
        <w:rFonts w:ascii="Verdana" w:hAnsi="Verdana"/>
        <w:sz w:val="18"/>
        <w:szCs w:val="18"/>
      </w:rPr>
      <w:t>Mesa de servicio: (+57) 601 7456788</w:t>
    </w:r>
  </w:p>
  <w:p w14:paraId="0332C55A" w14:textId="77777777" w:rsidR="00506079" w:rsidRDefault="00506079" w:rsidP="005B2B3F">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4DC9C418" w14:textId="77777777" w:rsidR="00506079" w:rsidRPr="007D04B2" w:rsidRDefault="00506079" w:rsidP="005B2B3F">
    <w:pPr>
      <w:pStyle w:val="Piedepgina"/>
    </w:pPr>
  </w:p>
  <w:p w14:paraId="5074A19D" w14:textId="77777777" w:rsidR="00506079" w:rsidRPr="000849D5" w:rsidRDefault="00506079" w:rsidP="005B2B3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F2FAD" w14:textId="77777777" w:rsidR="002646DF" w:rsidRDefault="002646DF" w:rsidP="00506079">
      <w:pPr>
        <w:spacing w:after="0" w:line="240" w:lineRule="auto"/>
      </w:pPr>
      <w:r>
        <w:separator/>
      </w:r>
    </w:p>
  </w:footnote>
  <w:footnote w:type="continuationSeparator" w:id="0">
    <w:p w14:paraId="26CA068E" w14:textId="77777777" w:rsidR="002646DF" w:rsidRDefault="002646DF" w:rsidP="00506079">
      <w:pPr>
        <w:spacing w:after="0" w:line="240" w:lineRule="auto"/>
      </w:pPr>
      <w:r>
        <w:continuationSeparator/>
      </w:r>
    </w:p>
  </w:footnote>
  <w:footnote w:id="1">
    <w:p w14:paraId="27AE6D79" w14:textId="77777777" w:rsidR="004151AE" w:rsidRPr="00C2547E" w:rsidRDefault="004151AE" w:rsidP="004151AE">
      <w:pPr>
        <w:pStyle w:val="Textonotapie"/>
        <w:ind w:firstLine="709"/>
        <w:jc w:val="both"/>
        <w:rPr>
          <w:rFonts w:ascii="Verdana" w:hAnsi="Verdana"/>
          <w:sz w:val="16"/>
          <w:szCs w:val="16"/>
          <w:lang w:val="es-CO"/>
        </w:rPr>
      </w:pPr>
      <w:r w:rsidRPr="00C2547E">
        <w:rPr>
          <w:rStyle w:val="Refdenotaalpie"/>
          <w:rFonts w:ascii="Verdana" w:hAnsi="Verdana"/>
          <w:sz w:val="16"/>
          <w:szCs w:val="16"/>
        </w:rPr>
        <w:footnoteRef/>
      </w:r>
      <w:r w:rsidRPr="00C2547E">
        <w:rPr>
          <w:rFonts w:ascii="Verdana" w:hAnsi="Verdana"/>
          <w:sz w:val="16"/>
          <w:szCs w:val="16"/>
        </w:rPr>
        <w:t xml:space="preserve"> Disponible en: </w:t>
      </w:r>
      <w:hyperlink r:id="rId1" w:history="1">
        <w:r w:rsidRPr="00C2547E">
          <w:rPr>
            <w:rStyle w:val="Hipervnculo"/>
            <w:rFonts w:ascii="Verdana" w:hAnsi="Verdana"/>
            <w:sz w:val="16"/>
            <w:szCs w:val="16"/>
          </w:rPr>
          <w:t>https://www.colombiacompra.gov.co/base-conocimiento/gestion-contractual-envio-del-contrato-secop-ii</w:t>
        </w:r>
      </w:hyperlink>
      <w:r w:rsidRPr="00C2547E">
        <w:rPr>
          <w:rFonts w:ascii="Verdana" w:hAnsi="Verdana"/>
          <w:sz w:val="16"/>
          <w:szCs w:val="16"/>
        </w:rPr>
        <w:t xml:space="preserve"> </w:t>
      </w:r>
    </w:p>
  </w:footnote>
  <w:footnote w:id="2">
    <w:p w14:paraId="706BA67A" w14:textId="77777777" w:rsidR="00FE48E7" w:rsidRDefault="00FE48E7" w:rsidP="00FE48E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CDE9625" w14:textId="77777777" w:rsidR="00FE48E7" w:rsidRDefault="00FE48E7" w:rsidP="00FE48E7">
      <w:pPr>
        <w:pStyle w:val="Textonotapie"/>
        <w:ind w:firstLine="709"/>
        <w:jc w:val="both"/>
        <w:rPr>
          <w:rFonts w:ascii="Verdana" w:hAnsi="Verdana" w:cs="Arial"/>
          <w:sz w:val="16"/>
          <w:szCs w:val="16"/>
        </w:rPr>
      </w:pPr>
      <w:r>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2330526" w14:textId="77777777" w:rsidR="00FE48E7" w:rsidRDefault="00FE48E7" w:rsidP="00FE48E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Gaceta del Congreso de la República No. 71 del 2005.</w:t>
      </w:r>
    </w:p>
  </w:footnote>
  <w:footnote w:id="4">
    <w:p w14:paraId="6A595872" w14:textId="77777777" w:rsidR="00FE48E7" w:rsidRDefault="00FE48E7" w:rsidP="00FE48E7">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 C- 1153 de 2005, M.P. Marco Gerardo Monroy Cabra.</w:t>
      </w:r>
    </w:p>
  </w:footnote>
  <w:footnote w:id="5">
    <w:p w14:paraId="00A2FEDC" w14:textId="77777777" w:rsidR="00FE48E7" w:rsidRDefault="00FE48E7" w:rsidP="00FE48E7">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817F18D" w14:textId="77777777" w:rsidR="00FE48E7" w:rsidRDefault="00FE48E7" w:rsidP="00FE48E7">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199A6779" w14:textId="77777777" w:rsidR="00FE48E7" w:rsidRDefault="00FE48E7" w:rsidP="00FE48E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de fecha 24 de julio de 2013, radicado 2166, C. P. Álvaro Namén Vargas.  </w:t>
      </w:r>
    </w:p>
  </w:footnote>
  <w:footnote w:id="8">
    <w:p w14:paraId="5380433E" w14:textId="77777777" w:rsidR="00FE48E7" w:rsidRDefault="00FE48E7" w:rsidP="00FE48E7">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11" w:name="33"/>
      <w:r>
        <w:rPr>
          <w:rFonts w:ascii="Verdana" w:eastAsia="Times New Roman" w:hAnsi="Verdana" w:cs="Arial"/>
          <w:sz w:val="16"/>
          <w:szCs w:val="16"/>
        </w:rPr>
        <w:t>Artículo 33. Restricciones a la contratación pública.</w:t>
      </w:r>
      <w:bookmarkEnd w:id="11"/>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AA07F25" w14:textId="77777777" w:rsidR="00FE48E7" w:rsidRDefault="00FE48E7" w:rsidP="00FE48E7">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9">
    <w:p w14:paraId="7A3A99E3" w14:textId="77777777" w:rsidR="00FE48E7" w:rsidRDefault="00FE48E7" w:rsidP="00FE48E7">
      <w:pPr>
        <w:pStyle w:val="NormalWeb"/>
        <w:spacing w:before="0" w:beforeAutospacing="0" w:after="0" w:afterAutospacing="0"/>
        <w:ind w:firstLine="709"/>
        <w:jc w:val="both"/>
        <w:rPr>
          <w:rFonts w:ascii="Verdana" w:hAnsi="Verdana" w:cs="Arial"/>
          <w:sz w:val="16"/>
          <w:szCs w:val="16"/>
          <w:lang w:val="es-MX"/>
        </w:rPr>
      </w:pPr>
      <w:r>
        <w:rPr>
          <w:rStyle w:val="Refdenotaalpie"/>
          <w:rFonts w:ascii="Verdana" w:eastAsiaTheme="majorEastAsi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12" w:name="38"/>
      <w:r>
        <w:rPr>
          <w:rFonts w:ascii="Verdana" w:hAnsi="Verdana" w:cs="Arial"/>
          <w:sz w:val="16"/>
          <w:szCs w:val="16"/>
          <w:lang w:val="es-MX"/>
        </w:rPr>
        <w:t>Artículo 38. Prohibiciones para los servidores públicos. A los empleados del Estado les está prohibido:</w:t>
      </w:r>
      <w:bookmarkEnd w:id="12"/>
      <w:r>
        <w:rPr>
          <w:rFonts w:ascii="Verdana" w:hAnsi="Verdana" w:cs="Arial"/>
          <w:sz w:val="16"/>
          <w:szCs w:val="16"/>
          <w:lang w:val="es-MX"/>
        </w:rPr>
        <w:t xml:space="preserve"> […]</w:t>
      </w:r>
    </w:p>
    <w:p w14:paraId="352E8596" w14:textId="77777777" w:rsidR="00FE48E7" w:rsidRDefault="00FE48E7" w:rsidP="00FE48E7">
      <w:pPr>
        <w:pStyle w:val="NormalWeb"/>
        <w:spacing w:before="0" w:beforeAutospacing="0" w:after="0" w:afterAutospacing="0"/>
        <w:ind w:firstLine="709"/>
        <w:jc w:val="both"/>
        <w:rPr>
          <w:rFonts w:ascii="Verdana" w:hAnsi="Verdana" w:cs="Arial"/>
          <w:sz w:val="16"/>
          <w:szCs w:val="16"/>
          <w:lang w:val="es-MX"/>
        </w:rPr>
      </w:pPr>
      <w:r>
        <w:rPr>
          <w:rStyle w:val="baj"/>
          <w:rFonts w:ascii="Verdana" w:hAnsi="Verdana" w:cs="Arial"/>
          <w:sz w:val="16"/>
          <w:szCs w:val="16"/>
          <w:lang w:val="es-MX"/>
        </w:rPr>
        <w:t>Parágrafo.</w:t>
      </w:r>
      <w:r>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color w:val="000000"/>
          <w:sz w:val="16"/>
          <w:szCs w:val="16"/>
        </w:rPr>
        <w:t>”</w:t>
      </w:r>
      <w:r>
        <w:rPr>
          <w:rFonts w:ascii="Verdana" w:hAnsi="Verdana" w:cs="Arial"/>
          <w:sz w:val="16"/>
          <w:szCs w:val="16"/>
          <w:lang w:val="es-MX"/>
        </w:rPr>
        <w:t>.</w:t>
      </w:r>
    </w:p>
  </w:footnote>
  <w:footnote w:id="10">
    <w:p w14:paraId="54C7A987" w14:textId="77777777" w:rsidR="00FE48E7" w:rsidRDefault="00FE48E7" w:rsidP="00FE48E7">
      <w:pPr>
        <w:spacing w:after="0" w:line="240" w:lineRule="auto"/>
        <w:ind w:left="100" w:right="244" w:firstLine="608"/>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0ABF7850" w14:textId="77777777" w:rsidR="00FE48E7" w:rsidRDefault="00FE48E7" w:rsidP="00FE48E7">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16.5. </w:t>
      </w:r>
    </w:p>
  </w:footnote>
  <w:footnote w:id="12">
    <w:p w14:paraId="6E77477D" w14:textId="77777777" w:rsidR="00FE48E7" w:rsidRDefault="00FE48E7" w:rsidP="00FE48E7">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13">
    <w:p w14:paraId="70FE699D" w14:textId="77777777" w:rsidR="00FE48E7" w:rsidRDefault="00FE48E7" w:rsidP="00FE48E7">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4">
    <w:p w14:paraId="6B2698C1" w14:textId="77777777" w:rsidR="00FE48E7" w:rsidRDefault="00FE48E7" w:rsidP="00FE48E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42BF1388" w14:textId="77777777" w:rsidR="00FE48E7" w:rsidRDefault="00FE48E7" w:rsidP="00FE48E7">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6">
    <w:p w14:paraId="375D2624" w14:textId="77777777" w:rsidR="00FE48E7" w:rsidRDefault="00FE48E7" w:rsidP="00FE48E7">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17">
    <w:p w14:paraId="0B8D15D6" w14:textId="77777777" w:rsidR="00FE48E7" w:rsidRDefault="00FE48E7" w:rsidP="00FE48E7">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3E8B75A7" w14:textId="77777777" w:rsidR="00FE48E7" w:rsidRDefault="00FE48E7" w:rsidP="00FE48E7">
      <w:pPr>
        <w:shd w:val="clear" w:color="auto" w:fill="FFFFFF"/>
        <w:spacing w:after="0" w:line="240" w:lineRule="auto"/>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072D6961" w14:textId="77777777" w:rsidR="00FE48E7" w:rsidRDefault="00FE48E7" w:rsidP="00FE48E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20">
    <w:p w14:paraId="74305C51" w14:textId="77777777" w:rsidR="00FE48E7" w:rsidRDefault="00FE48E7" w:rsidP="00FE48E7">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7E528476" w14:textId="77777777" w:rsidR="00FE48E7" w:rsidRDefault="00FE48E7" w:rsidP="00FE48E7">
      <w:pPr>
        <w:spacing w:after="0" w:line="240" w:lineRule="auto"/>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3EB09894" w14:textId="77777777" w:rsidR="00FE48E7" w:rsidRDefault="00FE48E7" w:rsidP="00FE48E7">
      <w:pPr>
        <w:pStyle w:val="Textonotapie"/>
        <w:ind w:right="51" w:firstLine="709"/>
        <w:jc w:val="both"/>
        <w:rPr>
          <w:rFonts w:ascii="Verdana" w:eastAsia="Times New Roman" w:hAnsi="Verdana" w:cs="Arial"/>
          <w:bCs/>
          <w:sz w:val="16"/>
          <w:szCs w:val="16"/>
          <w:lang w:eastAsia="x-none"/>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 (1738). C.P. Enrique José Arboleda Perdomo:</w:t>
      </w:r>
      <w:r>
        <w:rPr>
          <w:rFonts w:ascii="Verdana" w:eastAsia="Times New Roman" w:hAnsi="Verdana" w:cs="Arial"/>
          <w:bCs/>
          <w:sz w:val="16"/>
          <w:szCs w:val="16"/>
          <w:lang w:eastAsia="x-none"/>
        </w:rPr>
        <w:t xml:space="preserve"> “</w:t>
      </w:r>
      <w:r>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sz w:val="16"/>
          <w:szCs w:val="16"/>
          <w:lang w:eastAsia="x-none"/>
        </w:rPr>
        <w:t>”.</w:t>
      </w:r>
    </w:p>
  </w:footnote>
  <w:footnote w:id="23">
    <w:p w14:paraId="17DA4D65" w14:textId="77777777" w:rsidR="00FE48E7" w:rsidRDefault="00FE48E7" w:rsidP="00FE48E7">
      <w:pPr>
        <w:spacing w:after="0" w:line="240" w:lineRule="auto"/>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2CD7D730" w14:textId="77777777" w:rsidR="00FE48E7" w:rsidRDefault="00FE48E7" w:rsidP="00FE48E7">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ídem.</w:t>
      </w:r>
    </w:p>
  </w:footnote>
  <w:footnote w:id="25">
    <w:p w14:paraId="6F670874" w14:textId="77777777" w:rsidR="00FE48E7" w:rsidRDefault="00FE48E7" w:rsidP="00FE48E7">
      <w:pPr>
        <w:pStyle w:val="Textonotapie"/>
        <w:ind w:firstLine="709"/>
        <w:rPr>
          <w:sz w:val="14"/>
          <w:szCs w:val="14"/>
          <w:lang w:val="es-CO"/>
        </w:rPr>
      </w:pPr>
      <w:r>
        <w:rPr>
          <w:rStyle w:val="Refdenotaalpie"/>
          <w:sz w:val="14"/>
          <w:szCs w:val="14"/>
        </w:rPr>
        <w:footnoteRef/>
      </w:r>
      <w:r>
        <w:rPr>
          <w:sz w:val="14"/>
          <w:szCs w:val="14"/>
        </w:rPr>
        <w:t xml:space="preserve"> </w:t>
      </w:r>
      <w:r>
        <w:rPr>
          <w:rFonts w:ascii="Verdana" w:hAnsi="Verdana"/>
          <w:sz w:val="14"/>
          <w:szCs w:val="14"/>
          <w:lang w:val="es-CO"/>
        </w:rPr>
        <w:t xml:space="preserve">Disponible en: </w:t>
      </w:r>
      <w:hyperlink r:id="rId2" w:history="1">
        <w:r>
          <w:rPr>
            <w:rStyle w:val="Hipervnculo"/>
            <w:rFonts w:ascii="Verdana" w:hAnsi="Verdana"/>
            <w:sz w:val="14"/>
            <w:szCs w:val="14"/>
            <w:lang w:val="es-CO"/>
          </w:rPr>
          <w:t>https://www.colombiacompra.gov.co/node/23710</w:t>
        </w:r>
      </w:hyperlink>
      <w:r>
        <w:rPr>
          <w:sz w:val="14"/>
          <w:szCs w:val="14"/>
          <w:lang w:val="es-CO"/>
        </w:rPr>
        <w:t xml:space="preserve"> </w:t>
      </w:r>
    </w:p>
  </w:footnote>
  <w:footnote w:id="26">
    <w:p w14:paraId="5EBC36EF" w14:textId="77777777" w:rsidR="00FE48E7" w:rsidRPr="00C2547E" w:rsidRDefault="00FE48E7" w:rsidP="00FE48E7">
      <w:pPr>
        <w:pStyle w:val="Textonotapie"/>
        <w:ind w:firstLine="709"/>
        <w:jc w:val="both"/>
        <w:rPr>
          <w:rFonts w:ascii="Verdana" w:hAnsi="Verdana"/>
          <w:sz w:val="16"/>
          <w:szCs w:val="16"/>
          <w:lang w:val="es-CO"/>
        </w:rPr>
      </w:pPr>
      <w:r w:rsidRPr="00C2547E">
        <w:rPr>
          <w:rStyle w:val="Refdenotaalpie"/>
          <w:rFonts w:ascii="Verdana" w:hAnsi="Verdana"/>
          <w:sz w:val="16"/>
          <w:szCs w:val="16"/>
        </w:rPr>
        <w:footnoteRef/>
      </w:r>
      <w:r w:rsidRPr="00C2547E">
        <w:rPr>
          <w:rFonts w:ascii="Verdana" w:hAnsi="Verdana"/>
          <w:sz w:val="16"/>
          <w:szCs w:val="16"/>
        </w:rPr>
        <w:t xml:space="preserve"> Disponible en: </w:t>
      </w:r>
      <w:hyperlink r:id="rId3" w:history="1">
        <w:r w:rsidRPr="00C2547E">
          <w:rPr>
            <w:rStyle w:val="Hipervnculo"/>
            <w:rFonts w:ascii="Verdana" w:hAnsi="Verdana"/>
            <w:sz w:val="16"/>
            <w:szCs w:val="16"/>
          </w:rPr>
          <w:t>https://www.colombiacompra.gov.co/base-conocimiento/gestion-contractual-envio-del-contrato-secop-ii</w:t>
        </w:r>
      </w:hyperlink>
      <w:r w:rsidRPr="00C2547E">
        <w:rPr>
          <w:rFonts w:ascii="Verdana" w:hAnsi="Verdana"/>
          <w:sz w:val="16"/>
          <w:szCs w:val="16"/>
        </w:rPr>
        <w:t xml:space="preserve"> </w:t>
      </w:r>
    </w:p>
  </w:footnote>
  <w:footnote w:id="27">
    <w:p w14:paraId="75946522" w14:textId="77777777" w:rsidR="00FE48E7" w:rsidRPr="00C2547E" w:rsidRDefault="00FE48E7" w:rsidP="00FE48E7">
      <w:pPr>
        <w:pStyle w:val="Textonotapie"/>
        <w:ind w:firstLine="709"/>
        <w:jc w:val="both"/>
        <w:rPr>
          <w:lang w:val="es-CO"/>
        </w:rPr>
      </w:pPr>
      <w:r w:rsidRPr="00C2547E">
        <w:rPr>
          <w:rStyle w:val="Refdenotaalpie"/>
          <w:rFonts w:ascii="Verdana" w:hAnsi="Verdana"/>
          <w:sz w:val="16"/>
          <w:szCs w:val="16"/>
        </w:rPr>
        <w:footnoteRef/>
      </w:r>
      <w:r w:rsidRPr="00C2547E">
        <w:rPr>
          <w:rFonts w:ascii="Verdana" w:hAnsi="Verdana"/>
          <w:sz w:val="16"/>
          <w:szCs w:val="16"/>
        </w:rPr>
        <w:t xml:space="preserve"> </w:t>
      </w:r>
      <w:r w:rsidRPr="00C2547E">
        <w:rPr>
          <w:rFonts w:ascii="Verdana" w:hAnsi="Verdana"/>
          <w:sz w:val="16"/>
          <w:szCs w:val="16"/>
          <w:lang w:val="es-CO"/>
        </w:rPr>
        <w:t>Son secuencias para la aprobación de algunas tareas asignadas a los miembros del Equipo del Proceso de contratación, que por su relevancia requieren ser autorizadas por uno o varios usuarios de la Entidad Estatal (ej. publicación de pliegos definitivos, publicación del informe de evaluación, adendas, aprobación del contrato, etc.). El usuario administrador puede configurar plantillas tipo con secuencias de aprobación que use de manera frecuente (ej. primero aprueba el secretario general y luego el director general).</w:t>
      </w:r>
      <w:r w:rsidRPr="00D97CCD">
        <w:t xml:space="preserve"> </w:t>
      </w:r>
      <w:hyperlink r:id="rId4" w:history="1">
        <w:r w:rsidRPr="009965FB">
          <w:rPr>
            <w:rStyle w:val="Hipervnculo"/>
            <w:rFonts w:ascii="Verdana" w:hAnsi="Verdana"/>
            <w:sz w:val="16"/>
            <w:szCs w:val="16"/>
            <w:lang w:val="es-CO"/>
          </w:rPr>
          <w:t>https://www.colombiacompra.gov.co/base-conocimiento/configuracion-de-cuentas-secop-ii</w:t>
        </w:r>
      </w:hyperlink>
      <w:r>
        <w:rPr>
          <w:rFonts w:ascii="Verdana" w:hAnsi="Verdana"/>
          <w:sz w:val="16"/>
          <w:szCs w:val="16"/>
          <w:lang w:val="es-CO"/>
        </w:rPr>
        <w:t xml:space="preserve"> </w:t>
      </w:r>
    </w:p>
  </w:footnote>
  <w:footnote w:id="28">
    <w:p w14:paraId="58F8C249" w14:textId="77777777" w:rsidR="00FE48E7" w:rsidRPr="00422868" w:rsidRDefault="00FE48E7" w:rsidP="00FE48E7">
      <w:pPr>
        <w:spacing w:after="0" w:line="240" w:lineRule="auto"/>
        <w:ind w:firstLine="707"/>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“Artículo 44. Los contratos del Estado son absolutamente nulos en los casos previstos en el derecho común y además cuando:</w:t>
      </w:r>
    </w:p>
    <w:p w14:paraId="5A424AF3" w14:textId="77777777" w:rsidR="00FE48E7" w:rsidRPr="00422868" w:rsidRDefault="00FE48E7" w:rsidP="00FE48E7">
      <w:pPr>
        <w:spacing w:after="0" w:line="240" w:lineRule="auto"/>
        <w:ind w:firstLine="708"/>
        <w:jc w:val="both"/>
        <w:rPr>
          <w:rFonts w:ascii="Verdana" w:hAnsi="Verdana" w:cs="Arial"/>
          <w:sz w:val="16"/>
          <w:szCs w:val="16"/>
        </w:rPr>
      </w:pPr>
      <w:r w:rsidRPr="00422868">
        <w:rPr>
          <w:rFonts w:ascii="Verdana" w:hAnsi="Verdana" w:cs="Arial"/>
          <w:sz w:val="16"/>
          <w:szCs w:val="16"/>
        </w:rPr>
        <w:t>1o. Se celebren con personas incursas en causales de inhabilidad o incompatibilidad previstas en la Constitución y la ley;</w:t>
      </w:r>
    </w:p>
    <w:p w14:paraId="3C4243B7" w14:textId="77777777" w:rsidR="00FE48E7" w:rsidRPr="00422868" w:rsidRDefault="00FE48E7" w:rsidP="00FE48E7">
      <w:pPr>
        <w:spacing w:after="0" w:line="240" w:lineRule="auto"/>
        <w:ind w:firstLine="708"/>
        <w:jc w:val="both"/>
        <w:rPr>
          <w:rFonts w:ascii="Verdana" w:hAnsi="Verdana" w:cs="Arial"/>
          <w:sz w:val="16"/>
          <w:szCs w:val="16"/>
        </w:rPr>
      </w:pPr>
      <w:r w:rsidRPr="00422868">
        <w:rPr>
          <w:rFonts w:ascii="Verdana" w:hAnsi="Verdana" w:cs="Arial"/>
          <w:sz w:val="16"/>
          <w:szCs w:val="16"/>
        </w:rPr>
        <w:t xml:space="preserve">2o. Se celebren contra expresa prohibición constitucional o legal; </w:t>
      </w:r>
    </w:p>
    <w:p w14:paraId="552C8B7C" w14:textId="77777777" w:rsidR="00FE48E7" w:rsidRPr="00422868" w:rsidRDefault="00FE48E7" w:rsidP="00FE48E7">
      <w:pPr>
        <w:spacing w:after="0" w:line="240" w:lineRule="auto"/>
        <w:ind w:firstLine="708"/>
        <w:jc w:val="both"/>
        <w:rPr>
          <w:rFonts w:ascii="Verdana" w:hAnsi="Verdana" w:cs="Arial"/>
          <w:sz w:val="16"/>
          <w:szCs w:val="16"/>
        </w:rPr>
      </w:pPr>
      <w:r w:rsidRPr="00422868">
        <w:rPr>
          <w:rFonts w:ascii="Verdana" w:hAnsi="Verdana" w:cs="Arial"/>
          <w:sz w:val="16"/>
          <w:szCs w:val="16"/>
        </w:rPr>
        <w:t>3o. Se celebren con abuso o desviación de poder;</w:t>
      </w:r>
    </w:p>
    <w:p w14:paraId="28F0033E" w14:textId="77777777" w:rsidR="00FE48E7" w:rsidRPr="00422868" w:rsidRDefault="00FE48E7" w:rsidP="00FE48E7">
      <w:pPr>
        <w:spacing w:after="0" w:line="240" w:lineRule="auto"/>
        <w:ind w:firstLine="708"/>
        <w:jc w:val="both"/>
        <w:rPr>
          <w:rFonts w:ascii="Verdana" w:hAnsi="Verdana" w:cs="Arial"/>
          <w:sz w:val="16"/>
          <w:szCs w:val="16"/>
        </w:rPr>
      </w:pPr>
      <w:r w:rsidRPr="00422868">
        <w:rPr>
          <w:rFonts w:ascii="Verdana" w:hAnsi="Verdana" w:cs="Arial"/>
          <w:sz w:val="16"/>
          <w:szCs w:val="16"/>
        </w:rPr>
        <w:t>4o. Se declaren nulos los actos administrativos en que se fundamenten; y</w:t>
      </w:r>
    </w:p>
    <w:p w14:paraId="1AB92A48" w14:textId="77777777" w:rsidR="00FE48E7" w:rsidRPr="00422868" w:rsidRDefault="00FE48E7" w:rsidP="00FE48E7">
      <w:pPr>
        <w:spacing w:after="0" w:line="240" w:lineRule="auto"/>
        <w:ind w:firstLine="708"/>
        <w:jc w:val="both"/>
        <w:rPr>
          <w:rFonts w:ascii="Verdana" w:hAnsi="Verdana" w:cs="Arial"/>
          <w:sz w:val="16"/>
          <w:szCs w:val="16"/>
        </w:rPr>
      </w:pPr>
      <w:r w:rsidRPr="00422868">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29">
    <w:p w14:paraId="4C97CDF1" w14:textId="77777777" w:rsidR="00FE48E7" w:rsidRPr="00BC3C46" w:rsidRDefault="00FE48E7" w:rsidP="00FE48E7">
      <w:pPr>
        <w:pStyle w:val="Textonotapie"/>
        <w:ind w:firstLine="709"/>
        <w:rPr>
          <w:lang w:val="es-CO"/>
        </w:rPr>
      </w:pPr>
      <w:r>
        <w:rPr>
          <w:rStyle w:val="Refdenotaalpie"/>
        </w:rPr>
        <w:footnoteRef/>
      </w:r>
      <w:r>
        <w:t xml:space="preserve"> </w:t>
      </w:r>
      <w:r>
        <w:rPr>
          <w:rFonts w:ascii="Verdana" w:hAnsi="Verdana" w:cs="Arial"/>
          <w:sz w:val="16"/>
          <w:szCs w:val="16"/>
          <w:lang w:val="es-CO"/>
        </w:rPr>
        <w:t xml:space="preserve">Consejo de Estado, Sala de lo Contencioso Administrativo, Sección Tercera, Subsección A.  Primera. Sentencia de 11 de junio de 2014, expediente número </w:t>
      </w:r>
      <w:r w:rsidRPr="001C1076">
        <w:rPr>
          <w:rFonts w:ascii="Verdana" w:hAnsi="Verdana" w:cs="Arial"/>
          <w:sz w:val="16"/>
          <w:szCs w:val="16"/>
          <w:lang w:val="es-CO"/>
        </w:rPr>
        <w:t>34649</w:t>
      </w:r>
      <w:r>
        <w:rPr>
          <w:rFonts w:ascii="Verdana" w:hAnsi="Verdana" w:cs="Arial"/>
          <w:sz w:val="16"/>
          <w:szCs w:val="16"/>
          <w:lang w:val="es-CO"/>
        </w:rPr>
        <w:t xml:space="preserve">. C.P: Hernán Andrade Rincon.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73514" w14:textId="77777777" w:rsidR="00506079" w:rsidRDefault="00506079" w:rsidP="005B2B3F">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21E265C9" wp14:editId="0567873F">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6FBC2A57" wp14:editId="20B13D2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A6C2A11" w14:textId="77777777" w:rsidR="00506079" w:rsidRDefault="00506079" w:rsidP="005B2B3F">
    <w:pPr>
      <w:pStyle w:val="Encabezado"/>
    </w:pPr>
  </w:p>
  <w:p w14:paraId="129693F0" w14:textId="77777777" w:rsidR="00506079" w:rsidRDefault="00506079" w:rsidP="005B2B3F">
    <w:pPr>
      <w:pStyle w:val="Encabezado"/>
    </w:pPr>
  </w:p>
  <w:p w14:paraId="1DC9AD57" w14:textId="77777777" w:rsidR="00506079" w:rsidRPr="00515FB5" w:rsidRDefault="00506079" w:rsidP="005B2B3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079"/>
    <w:rsid w:val="00001CED"/>
    <w:rsid w:val="0002403E"/>
    <w:rsid w:val="000D4039"/>
    <w:rsid w:val="000F5A42"/>
    <w:rsid w:val="00163759"/>
    <w:rsid w:val="001F61D2"/>
    <w:rsid w:val="002646DF"/>
    <w:rsid w:val="00366A78"/>
    <w:rsid w:val="003A3BC3"/>
    <w:rsid w:val="004151AE"/>
    <w:rsid w:val="00506079"/>
    <w:rsid w:val="00562C17"/>
    <w:rsid w:val="005B2B3F"/>
    <w:rsid w:val="006315A3"/>
    <w:rsid w:val="0066318B"/>
    <w:rsid w:val="006B5574"/>
    <w:rsid w:val="0075327B"/>
    <w:rsid w:val="007947B3"/>
    <w:rsid w:val="007F73FB"/>
    <w:rsid w:val="008239A1"/>
    <w:rsid w:val="00852F3D"/>
    <w:rsid w:val="009911FA"/>
    <w:rsid w:val="00A12218"/>
    <w:rsid w:val="00A1266B"/>
    <w:rsid w:val="00A90678"/>
    <w:rsid w:val="00B15EEB"/>
    <w:rsid w:val="00B2487D"/>
    <w:rsid w:val="00B76E05"/>
    <w:rsid w:val="00C30BA5"/>
    <w:rsid w:val="00C82754"/>
    <w:rsid w:val="00CB170E"/>
    <w:rsid w:val="00DA0FB2"/>
    <w:rsid w:val="00F00518"/>
    <w:rsid w:val="00F76747"/>
    <w:rsid w:val="00FE48E7"/>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D30DB"/>
  <w15:chartTrackingRefBased/>
  <w15:docId w15:val="{F04EA14D-854D-44B3-B9AC-CBE3007D8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487D"/>
    <w:rPr>
      <w:kern w:val="0"/>
      <w14:ligatures w14:val="none"/>
    </w:rPr>
  </w:style>
  <w:style w:type="paragraph" w:styleId="Ttulo1">
    <w:name w:val="heading 1"/>
    <w:basedOn w:val="Normal"/>
    <w:next w:val="Normal"/>
    <w:link w:val="Ttulo1Car"/>
    <w:uiPriority w:val="9"/>
    <w:qFormat/>
    <w:rsid w:val="005060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060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0607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0607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0607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0607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0607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0607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0607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0607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0607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0607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0607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0607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0607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0607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0607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06079"/>
    <w:rPr>
      <w:rFonts w:eastAsiaTheme="majorEastAsia" w:cstheme="majorBidi"/>
      <w:color w:val="272727" w:themeColor="text1" w:themeTint="D8"/>
    </w:rPr>
  </w:style>
  <w:style w:type="paragraph" w:styleId="Ttulo">
    <w:name w:val="Title"/>
    <w:basedOn w:val="Normal"/>
    <w:next w:val="Normal"/>
    <w:link w:val="TtuloCar"/>
    <w:uiPriority w:val="10"/>
    <w:qFormat/>
    <w:rsid w:val="005060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0607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0607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0607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06079"/>
    <w:pPr>
      <w:spacing w:before="160"/>
      <w:jc w:val="center"/>
    </w:pPr>
    <w:rPr>
      <w:i/>
      <w:iCs/>
      <w:color w:val="404040" w:themeColor="text1" w:themeTint="BF"/>
    </w:rPr>
  </w:style>
  <w:style w:type="character" w:customStyle="1" w:styleId="CitaCar">
    <w:name w:val="Cita Car"/>
    <w:basedOn w:val="Fuentedeprrafopredeter"/>
    <w:link w:val="Cita"/>
    <w:uiPriority w:val="29"/>
    <w:rsid w:val="0050607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06079"/>
    <w:pPr>
      <w:ind w:left="720"/>
      <w:contextualSpacing/>
    </w:pPr>
  </w:style>
  <w:style w:type="character" w:styleId="nfasisintenso">
    <w:name w:val="Intense Emphasis"/>
    <w:basedOn w:val="Fuentedeprrafopredeter"/>
    <w:uiPriority w:val="21"/>
    <w:qFormat/>
    <w:rsid w:val="00506079"/>
    <w:rPr>
      <w:i/>
      <w:iCs/>
      <w:color w:val="0F4761" w:themeColor="accent1" w:themeShade="BF"/>
    </w:rPr>
  </w:style>
  <w:style w:type="paragraph" w:styleId="Citadestacada">
    <w:name w:val="Intense Quote"/>
    <w:basedOn w:val="Normal"/>
    <w:next w:val="Normal"/>
    <w:link w:val="CitadestacadaCar"/>
    <w:uiPriority w:val="30"/>
    <w:qFormat/>
    <w:rsid w:val="005060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06079"/>
    <w:rPr>
      <w:i/>
      <w:iCs/>
      <w:color w:val="0F4761" w:themeColor="accent1" w:themeShade="BF"/>
    </w:rPr>
  </w:style>
  <w:style w:type="character" w:styleId="Referenciaintensa">
    <w:name w:val="Intense Reference"/>
    <w:basedOn w:val="Fuentedeprrafopredeter"/>
    <w:uiPriority w:val="32"/>
    <w:qFormat/>
    <w:rsid w:val="00506079"/>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50607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50607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50607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506079"/>
    <w:rPr>
      <w:vertAlign w:val="superscript"/>
    </w:rPr>
  </w:style>
  <w:style w:type="paragraph" w:customStyle="1" w:styleId="Appelnotedebasde">
    <w:name w:val="Appel note de bas de..."/>
    <w:basedOn w:val="Normal"/>
    <w:link w:val="Refdenotaalpie"/>
    <w:uiPriority w:val="99"/>
    <w:rsid w:val="00506079"/>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50607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06079"/>
    <w:rPr>
      <w:kern w:val="0"/>
      <w14:ligatures w14:val="none"/>
    </w:rPr>
  </w:style>
  <w:style w:type="paragraph" w:styleId="Piedepgina">
    <w:name w:val="footer"/>
    <w:basedOn w:val="Normal"/>
    <w:link w:val="PiedepginaCar"/>
    <w:uiPriority w:val="99"/>
    <w:unhideWhenUsed/>
    <w:rsid w:val="0050607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06079"/>
    <w:rPr>
      <w:kern w:val="0"/>
      <w14:ligatures w14:val="none"/>
    </w:rPr>
  </w:style>
  <w:style w:type="table" w:styleId="Tablaconcuadrcula">
    <w:name w:val="Table Grid"/>
    <w:basedOn w:val="Tablanormal"/>
    <w:uiPriority w:val="39"/>
    <w:qFormat/>
    <w:rsid w:val="0050607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06079"/>
    <w:rPr>
      <w:color w:val="467886" w:themeColor="hyperlink"/>
      <w:u w:val="single"/>
    </w:rPr>
  </w:style>
  <w:style w:type="character" w:customStyle="1" w:styleId="normaltextrun">
    <w:name w:val="normaltextrun"/>
    <w:basedOn w:val="Fuentedeprrafopredeter"/>
    <w:rsid w:val="00506079"/>
  </w:style>
  <w:style w:type="character" w:customStyle="1" w:styleId="eop">
    <w:name w:val="eop"/>
    <w:basedOn w:val="Fuentedeprrafopredeter"/>
    <w:rsid w:val="00506079"/>
  </w:style>
  <w:style w:type="paragraph" w:customStyle="1" w:styleId="paragraph">
    <w:name w:val="paragraph"/>
    <w:basedOn w:val="Normal"/>
    <w:rsid w:val="00506079"/>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6079"/>
  </w:style>
  <w:style w:type="paragraph" w:styleId="NormalWeb">
    <w:name w:val="Normal (Web)"/>
    <w:basedOn w:val="Normal"/>
    <w:link w:val="NormalWebCar"/>
    <w:uiPriority w:val="99"/>
    <w:unhideWhenUsed/>
    <w:rsid w:val="0050607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506079"/>
    <w:rPr>
      <w:rFonts w:ascii="Times New Roman" w:eastAsia="Times New Roman" w:hAnsi="Times New Roman" w:cs="Times New Roman"/>
      <w:kern w:val="0"/>
      <w:sz w:val="24"/>
      <w:szCs w:val="24"/>
      <w:lang w:eastAsia="es-CO"/>
      <w14:ligatures w14:val="none"/>
    </w:rPr>
  </w:style>
  <w:style w:type="paragraph" w:styleId="Sinespaciado">
    <w:name w:val="No Spacing"/>
    <w:aliases w:val="No Indent"/>
    <w:uiPriority w:val="3"/>
    <w:qFormat/>
    <w:rsid w:val="00506079"/>
    <w:pPr>
      <w:spacing w:after="0" w:line="240" w:lineRule="auto"/>
    </w:pPr>
    <w:rPr>
      <w:kern w:val="0"/>
      <w:sz w:val="24"/>
      <w:lang w:val="es-MX"/>
      <w14:ligatures w14:val="none"/>
    </w:rPr>
  </w:style>
  <w:style w:type="character" w:styleId="Mencinsinresolver">
    <w:name w:val="Unresolved Mention"/>
    <w:basedOn w:val="Fuentedeprrafopredeter"/>
    <w:uiPriority w:val="99"/>
    <w:semiHidden/>
    <w:unhideWhenUsed/>
    <w:rsid w:val="00506079"/>
    <w:rPr>
      <w:color w:val="605E5C"/>
      <w:shd w:val="clear" w:color="auto" w:fill="E1DFDD"/>
    </w:rPr>
  </w:style>
  <w:style w:type="character" w:customStyle="1" w:styleId="baj">
    <w:name w:val="b_aj"/>
    <w:basedOn w:val="Fuentedeprrafopredeter"/>
    <w:rsid w:val="00FE48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luis.aponte@aerocivil.gov.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colombiacompra.gov.c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gestion-contractual-envio-del-contrato-secop-ii" TargetMode="External"/><Relationship Id="rId2" Type="http://schemas.openxmlformats.org/officeDocument/2006/relationships/hyperlink" Target="https://www.colombiacompra.gov.co/node/23710" TargetMode="External"/><Relationship Id="rId1" Type="http://schemas.openxmlformats.org/officeDocument/2006/relationships/hyperlink" Target="https://www.colombiacompra.gov.co/base-conocimiento/gestion-contractual-envio-del-contrato-secop-ii" TargetMode="External"/><Relationship Id="rId4" Type="http://schemas.openxmlformats.org/officeDocument/2006/relationships/hyperlink" Target="https://www.colombiacompra.gov.co/base-conocimiento/configuracion-de-cuentas-secop-i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8A8DFA1-C33B-45C4-8239-17D9AE543953}">
  <ds:schemaRefs>
    <ds:schemaRef ds:uri="http://schemas.microsoft.com/sharepoint/v3/contenttype/forms"/>
  </ds:schemaRefs>
</ds:datastoreItem>
</file>

<file path=customXml/itemProps2.xml><?xml version="1.0" encoding="utf-8"?>
<ds:datastoreItem xmlns:ds="http://schemas.openxmlformats.org/officeDocument/2006/customXml" ds:itemID="{8BA7619D-24DE-40F5-8D60-1DE7C67803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6FCCA75-027D-4275-8038-C934D4D3B2B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66</TotalTime>
  <Pages>30</Pages>
  <Words>10157</Words>
  <Characters>55866</Characters>
  <Application>Microsoft Office Word</Application>
  <DocSecurity>0</DocSecurity>
  <Lines>465</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14</cp:revision>
  <dcterms:created xsi:type="dcterms:W3CDTF">2026-03-19T17:15:00Z</dcterms:created>
  <dcterms:modified xsi:type="dcterms:W3CDTF">2026-04-27T14:19:00Z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