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7EC77" w14:textId="77777777" w:rsidR="00FE2B94" w:rsidRPr="00DA67B3" w:rsidRDefault="00FE2B94" w:rsidP="00FE2B94">
      <w:pPr>
        <w:spacing w:after="0" w:line="240" w:lineRule="auto"/>
        <w:contextualSpacing/>
        <w:jc w:val="both"/>
        <w:rPr>
          <w:rFonts w:ascii="Verdana" w:eastAsia="Calibri" w:hAnsi="Verdana" w:cs="Arial"/>
          <w:b/>
          <w:noProof/>
          <w:lang w:val="es-ES_tradnl" w:eastAsia="es-ES_tradnl"/>
        </w:rPr>
      </w:pPr>
      <w:r w:rsidRPr="00DA67B3">
        <w:rPr>
          <w:rFonts w:ascii="Verdana" w:eastAsia="Calibri" w:hAnsi="Verdana" w:cs="Arial"/>
          <w:b/>
          <w:noProof/>
          <w:lang w:val="es-ES_tradnl" w:eastAsia="es-ES_tradnl"/>
        </w:rPr>
        <w:t xml:space="preserve">EXPERIENCIA – </w:t>
      </w:r>
      <w:r>
        <w:rPr>
          <w:rFonts w:ascii="Verdana" w:eastAsia="Calibri" w:hAnsi="Verdana" w:cs="Arial"/>
          <w:b/>
          <w:noProof/>
          <w:lang w:val="es-ES_tradnl" w:eastAsia="es-ES_tradnl"/>
        </w:rPr>
        <w:t xml:space="preserve">Requisito habilitante </w:t>
      </w:r>
      <w:r w:rsidRPr="00DA67B3">
        <w:rPr>
          <w:rFonts w:ascii="Verdana" w:eastAsia="Times New Roman" w:hAnsi="Verdana" w:cs="Arial"/>
          <w:b/>
          <w:bCs/>
          <w:lang w:eastAsia="es-ES_tradnl"/>
        </w:rPr>
        <w:t>–</w:t>
      </w:r>
      <w:r>
        <w:rPr>
          <w:rFonts w:ascii="Verdana" w:eastAsia="Times New Roman" w:hAnsi="Verdana" w:cs="Arial"/>
          <w:b/>
          <w:bCs/>
          <w:lang w:eastAsia="es-ES_tradnl"/>
        </w:rPr>
        <w:t xml:space="preserve"> RUP </w:t>
      </w:r>
      <w:r w:rsidRPr="00DA67B3">
        <w:rPr>
          <w:rFonts w:ascii="Verdana" w:eastAsia="Times New Roman" w:hAnsi="Verdana" w:cs="Arial"/>
          <w:b/>
          <w:bCs/>
          <w:lang w:eastAsia="es-ES_tradnl"/>
        </w:rPr>
        <w:t>–</w:t>
      </w:r>
      <w:r>
        <w:rPr>
          <w:rFonts w:ascii="Verdana" w:eastAsia="Times New Roman" w:hAnsi="Verdana" w:cs="Arial"/>
          <w:b/>
          <w:bCs/>
          <w:lang w:eastAsia="es-ES_tradnl"/>
        </w:rPr>
        <w:t xml:space="preserve"> Plena prueba</w:t>
      </w:r>
    </w:p>
    <w:p w14:paraId="1E67574A" w14:textId="77777777" w:rsidR="00FE2B94" w:rsidRPr="00DA67B3" w:rsidRDefault="00FE2B94" w:rsidP="00FE2B94">
      <w:pPr>
        <w:spacing w:after="0" w:line="240" w:lineRule="auto"/>
        <w:contextualSpacing/>
        <w:jc w:val="both"/>
        <w:rPr>
          <w:rFonts w:ascii="Verdana" w:eastAsia="Calibri" w:hAnsi="Verdana" w:cs="Arial"/>
          <w:b/>
          <w:noProof/>
          <w:sz w:val="20"/>
          <w:szCs w:val="20"/>
          <w:lang w:val="es-ES_tradnl" w:eastAsia="es-ES_tradnl"/>
        </w:rPr>
      </w:pPr>
    </w:p>
    <w:p w14:paraId="7D8C8559" w14:textId="77777777" w:rsidR="00FE2B94" w:rsidRDefault="00FE2B94" w:rsidP="00FE2B94">
      <w:pPr>
        <w:spacing w:after="0" w:line="240" w:lineRule="auto"/>
        <w:contextualSpacing/>
        <w:jc w:val="both"/>
        <w:rPr>
          <w:rFonts w:ascii="Verdana" w:eastAsia="Calibri" w:hAnsi="Verdana" w:cs="Arial"/>
          <w:bCs/>
          <w:sz w:val="20"/>
          <w:szCs w:val="20"/>
          <w:lang w:val="es-ES_tradnl" w:eastAsia="es-MX"/>
        </w:rPr>
      </w:pPr>
      <w:r>
        <w:rPr>
          <w:rFonts w:ascii="Verdana" w:eastAsia="Calibri" w:hAnsi="Verdana" w:cs="Arial"/>
          <w:sz w:val="20"/>
          <w:szCs w:val="20"/>
          <w:lang w:val="es-ES" w:eastAsia="es-MX"/>
        </w:rPr>
        <w:t xml:space="preserve">[…] </w:t>
      </w:r>
      <w:r w:rsidRPr="00176945">
        <w:rPr>
          <w:rFonts w:ascii="Verdana" w:eastAsia="Calibri" w:hAnsi="Verdana" w:cs="Arial"/>
          <w:sz w:val="20"/>
          <w:szCs w:val="20"/>
          <w:lang w:val="es-ES" w:eastAsia="es-MX"/>
        </w:rPr>
        <w:t>la experiencia, constituye uno de los requisitos habilitantes y se deriva de los contratos que el proponente ha celebrado y ejecutado con distintos contratantes, sin que la naturaleza pública o privada de estos sea determinante. Su verificación se realiza a través del Registro Único de Proponentes – RUP, cuando este sea exigible conforme a la ley. El artículo 6 de la Ley 1150 de 2007 dispone que los requisitos habilitantes antes mencionados, entre ellos la experiencia, se acreditan mediante el RUP</w:t>
      </w:r>
      <w:r w:rsidRPr="00DA67B3">
        <w:rPr>
          <w:rFonts w:ascii="Verdana" w:eastAsia="Calibri" w:hAnsi="Verdana" w:cs="Arial"/>
          <w:bCs/>
          <w:sz w:val="20"/>
          <w:szCs w:val="20"/>
          <w:lang w:val="es-ES_tradnl" w:eastAsia="es-MX"/>
        </w:rPr>
        <w:t>.</w:t>
      </w:r>
    </w:p>
    <w:p w14:paraId="12E4B4E0" w14:textId="77777777" w:rsidR="00FE2B94" w:rsidRDefault="00FE2B94" w:rsidP="00FE2B94">
      <w:pPr>
        <w:spacing w:after="0" w:line="240" w:lineRule="auto"/>
        <w:contextualSpacing/>
        <w:jc w:val="both"/>
        <w:rPr>
          <w:rFonts w:ascii="Verdana" w:eastAsia="Calibri" w:hAnsi="Verdana" w:cs="Arial"/>
          <w:bCs/>
          <w:sz w:val="20"/>
          <w:szCs w:val="20"/>
          <w:lang w:val="es-ES_tradnl" w:eastAsia="es-MX"/>
        </w:rPr>
      </w:pPr>
    </w:p>
    <w:p w14:paraId="6AFBAD7E" w14:textId="77777777" w:rsidR="00FE2B94" w:rsidRDefault="00FE2B94" w:rsidP="00FE2B94">
      <w:pPr>
        <w:spacing w:after="0" w:line="240" w:lineRule="auto"/>
        <w:contextualSpacing/>
        <w:jc w:val="both"/>
        <w:rPr>
          <w:rFonts w:ascii="Verdana" w:eastAsia="Calibri" w:hAnsi="Verdana" w:cs="Arial"/>
          <w:bCs/>
          <w:sz w:val="20"/>
          <w:szCs w:val="20"/>
          <w:lang w:val="es-ES_tradnl" w:eastAsia="es-MX"/>
        </w:rPr>
      </w:pPr>
      <w:r>
        <w:rPr>
          <w:rFonts w:ascii="Verdana" w:eastAsia="Calibri" w:hAnsi="Verdana" w:cs="Arial"/>
          <w:bCs/>
          <w:sz w:val="20"/>
          <w:szCs w:val="20"/>
          <w:lang w:val="es-ES_tradnl" w:eastAsia="es-MX"/>
        </w:rPr>
        <w:t>[…]</w:t>
      </w:r>
    </w:p>
    <w:p w14:paraId="543BBCD9" w14:textId="77777777" w:rsidR="00FE2B94" w:rsidRDefault="00FE2B94" w:rsidP="00FE2B94">
      <w:pPr>
        <w:spacing w:after="0" w:line="240" w:lineRule="auto"/>
        <w:contextualSpacing/>
        <w:jc w:val="both"/>
        <w:rPr>
          <w:rFonts w:ascii="Verdana" w:eastAsia="Calibri" w:hAnsi="Verdana" w:cs="Arial"/>
          <w:bCs/>
          <w:sz w:val="20"/>
          <w:szCs w:val="20"/>
          <w:lang w:val="es-ES_tradnl" w:eastAsia="es-MX"/>
        </w:rPr>
      </w:pPr>
    </w:p>
    <w:p w14:paraId="12C8B743" w14:textId="77777777" w:rsidR="00FE2B94" w:rsidRDefault="00FE2B94" w:rsidP="00FE2B94">
      <w:pPr>
        <w:spacing w:after="0" w:line="240" w:lineRule="auto"/>
        <w:contextualSpacing/>
        <w:jc w:val="both"/>
        <w:rPr>
          <w:rFonts w:ascii="Verdana" w:eastAsia="Calibri" w:hAnsi="Verdana" w:cs="Arial"/>
          <w:bCs/>
          <w:sz w:val="20"/>
          <w:szCs w:val="20"/>
          <w:lang w:val="es-ES" w:eastAsia="es-ES_tradnl"/>
        </w:rPr>
      </w:pPr>
      <w:r>
        <w:rPr>
          <w:rFonts w:ascii="Verdana" w:eastAsia="Calibri" w:hAnsi="Verdana" w:cs="Arial"/>
          <w:bCs/>
          <w:sz w:val="20"/>
          <w:szCs w:val="20"/>
          <w:lang w:val="es-ES" w:eastAsia="es-ES_tradnl"/>
        </w:rPr>
        <w:t xml:space="preserve">[…] </w:t>
      </w:r>
      <w:r w:rsidRPr="00F3551B">
        <w:rPr>
          <w:rFonts w:ascii="Verdana" w:eastAsia="Calibri" w:hAnsi="Verdana" w:cs="Arial"/>
          <w:bCs/>
          <w:sz w:val="20"/>
          <w:szCs w:val="20"/>
          <w:lang w:val="es-ES" w:eastAsia="es-ES_tradnl"/>
        </w:rPr>
        <w:t>el Registro Único de Proponentes constituye plena prueba de las condiciones que en él consten y que hayan sido verificadas por las Cámaras de Comercio. En consecuencia, la acreditación de los requisitos habilitantes previstos en el numeral 1 del artículo 5 de la ley —entre ellos, la experiencia, la capacidad jurídica, financiera y de organización— debe efectuarse exclusivamente mediante el certificado del RUP, en el cual deben figurar dichas condiciones.</w:t>
      </w:r>
    </w:p>
    <w:p w14:paraId="392B446E" w14:textId="77777777" w:rsidR="00FE2B94" w:rsidRPr="00F3551B" w:rsidRDefault="00FE2B94" w:rsidP="00FE2B94">
      <w:pPr>
        <w:spacing w:after="0" w:line="240" w:lineRule="auto"/>
        <w:contextualSpacing/>
        <w:jc w:val="both"/>
        <w:rPr>
          <w:rFonts w:ascii="Verdana" w:eastAsia="Calibri" w:hAnsi="Verdana" w:cs="Arial"/>
          <w:bCs/>
          <w:sz w:val="20"/>
          <w:szCs w:val="20"/>
          <w:lang w:val="es-ES" w:eastAsia="es-ES_tradnl"/>
        </w:rPr>
      </w:pPr>
    </w:p>
    <w:p w14:paraId="4BED078D" w14:textId="77777777" w:rsidR="00FE2B94" w:rsidRPr="00F3551B" w:rsidRDefault="00FE2B94" w:rsidP="00FE2B94">
      <w:pPr>
        <w:spacing w:after="0" w:line="240" w:lineRule="auto"/>
        <w:contextualSpacing/>
        <w:jc w:val="both"/>
        <w:rPr>
          <w:rFonts w:ascii="Verdana" w:eastAsia="Calibri" w:hAnsi="Verdana" w:cs="Arial"/>
          <w:bCs/>
          <w:sz w:val="20"/>
          <w:szCs w:val="20"/>
          <w:lang w:val="es-ES" w:eastAsia="es-ES_tradnl"/>
        </w:rPr>
      </w:pPr>
      <w:r w:rsidRPr="00F3551B">
        <w:rPr>
          <w:rFonts w:ascii="Verdana" w:eastAsia="Calibri" w:hAnsi="Verdana" w:cs="Arial"/>
          <w:bCs/>
          <w:sz w:val="20"/>
          <w:szCs w:val="20"/>
          <w:lang w:val="es-ES" w:eastAsia="es-ES_tradnl"/>
        </w:rPr>
        <w:t>Por lo mismo, las entidades estatales no pueden exigir ni los proponentes aportar documentos adicionales destinados a soportar la información que ya fue verificada e inscrita en el Registro. No obstante, la norma admite una excepción: cuando las particularidades del objeto contractual hagan necesaria la comprobación de requisitos adicionales a los contenidos en el RUP, la entidad contratante podrá realizar dicha verificación directamente, con el fin de garantizar la selección objetiva y la adecuada ejecución del contrato.</w:t>
      </w:r>
    </w:p>
    <w:p w14:paraId="5F479306" w14:textId="77777777" w:rsidR="00FE2B94" w:rsidRPr="00DA67B3" w:rsidRDefault="00FE2B94" w:rsidP="00FE2B94">
      <w:pPr>
        <w:spacing w:after="0" w:line="240" w:lineRule="auto"/>
        <w:contextualSpacing/>
        <w:jc w:val="both"/>
        <w:rPr>
          <w:rFonts w:ascii="Verdana" w:eastAsia="Calibri" w:hAnsi="Verdana" w:cs="Arial"/>
          <w:b/>
          <w:noProof/>
          <w:sz w:val="20"/>
          <w:szCs w:val="20"/>
          <w:lang w:val="es-ES_tradnl" w:eastAsia="es-ES_tradnl"/>
        </w:rPr>
      </w:pPr>
    </w:p>
    <w:p w14:paraId="57E02F1C" w14:textId="77777777" w:rsidR="00FE2B94" w:rsidRPr="00DA67B3" w:rsidRDefault="00FE2B94" w:rsidP="00FE2B94">
      <w:pPr>
        <w:spacing w:after="0" w:line="240" w:lineRule="auto"/>
        <w:contextualSpacing/>
        <w:jc w:val="both"/>
        <w:rPr>
          <w:rFonts w:ascii="Verdana" w:eastAsia="Times New Roman" w:hAnsi="Verdana" w:cs="Arial"/>
          <w:b/>
          <w:bCs/>
          <w:lang w:eastAsia="es-ES_tradnl"/>
        </w:rPr>
      </w:pPr>
      <w:r>
        <w:rPr>
          <w:rFonts w:ascii="Verdana" w:eastAsia="Times New Roman" w:hAnsi="Verdana" w:cs="Arial"/>
          <w:b/>
          <w:bCs/>
          <w:lang w:eastAsia="es-ES_tradnl"/>
        </w:rPr>
        <w:t xml:space="preserve">CÁMARAS DE COMERCIO </w:t>
      </w:r>
      <w:r w:rsidRPr="00DA67B3">
        <w:rPr>
          <w:rFonts w:ascii="Verdana" w:eastAsia="Calibri" w:hAnsi="Verdana" w:cs="Arial"/>
          <w:b/>
          <w:noProof/>
          <w:lang w:val="es-ES_tradnl" w:eastAsia="es-ES_tradnl"/>
        </w:rPr>
        <w:t>–</w:t>
      </w:r>
      <w:r>
        <w:rPr>
          <w:rFonts w:ascii="Verdana" w:eastAsia="Calibri" w:hAnsi="Verdana" w:cs="Arial"/>
          <w:b/>
          <w:noProof/>
          <w:lang w:val="es-ES_tradnl" w:eastAsia="es-ES_tradnl"/>
        </w:rPr>
        <w:t xml:space="preserve"> Verificación RUP</w:t>
      </w:r>
    </w:p>
    <w:p w14:paraId="4E7C2E85" w14:textId="77777777" w:rsidR="00FE2B94" w:rsidRPr="00DA67B3" w:rsidRDefault="00FE2B94" w:rsidP="00FE2B94">
      <w:pPr>
        <w:spacing w:after="0" w:line="240" w:lineRule="auto"/>
        <w:contextualSpacing/>
        <w:jc w:val="both"/>
        <w:rPr>
          <w:rFonts w:ascii="Verdana" w:eastAsia="Times New Roman" w:hAnsi="Verdana" w:cs="Arial"/>
          <w:sz w:val="20"/>
          <w:szCs w:val="20"/>
          <w:lang w:eastAsia="es-ES_tradnl"/>
        </w:rPr>
      </w:pPr>
    </w:p>
    <w:p w14:paraId="0D118CFF" w14:textId="77777777" w:rsidR="00FE2B94" w:rsidRPr="000B3333" w:rsidRDefault="00FE2B94" w:rsidP="00FE2B94">
      <w:pPr>
        <w:spacing w:after="0" w:line="240" w:lineRule="auto"/>
        <w:contextualSpacing/>
        <w:jc w:val="both"/>
        <w:rPr>
          <w:rFonts w:ascii="Verdana" w:eastAsia="Calibri" w:hAnsi="Verdana" w:cs="Arial"/>
          <w:sz w:val="20"/>
          <w:szCs w:val="20"/>
          <w:lang w:val="es-ES" w:eastAsia="es-ES_tradnl"/>
        </w:rPr>
      </w:pPr>
      <w:r w:rsidRPr="000B3333">
        <w:rPr>
          <w:rFonts w:ascii="Verdana" w:eastAsia="Calibri" w:hAnsi="Verdana" w:cs="Arial"/>
          <w:sz w:val="20"/>
          <w:szCs w:val="20"/>
          <w:lang w:eastAsia="es-ES_tradnl"/>
        </w:rPr>
        <w:t>Al marco normativo expuesto se le suma lo contemplado en el artículo 5.1 de la Ley 1150 de 2007, al fijar los criterios que deben tener en cuenta las entidades estatales para garantizar la selección objetiva. La disposición dispone que las Cámaras de Comercio verificarán la información suministrada por las personas naturales o jurídicas para la inscripción en el Registro. Esta información debe tenerse en cuenta por las entidades en los procedimientos de contratación en los que es exigible el RUP. De esta forma, la 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p>
    <w:p w14:paraId="3C78CACC" w14:textId="77777777" w:rsidR="00CE0EB1" w:rsidRDefault="00CE0EB1" w:rsidP="00E73B55">
      <w:pPr>
        <w:spacing w:after="0" w:line="240" w:lineRule="auto"/>
        <w:jc w:val="both"/>
        <w:rPr>
          <w:rFonts w:ascii="Verdana" w:hAnsi="Verdana"/>
        </w:rPr>
      </w:pPr>
    </w:p>
    <w:p w14:paraId="4ACBC9B3" w14:textId="77777777" w:rsidR="00CE0EB1" w:rsidRDefault="00CE0EB1" w:rsidP="00E73B55">
      <w:pPr>
        <w:spacing w:after="0" w:line="240" w:lineRule="auto"/>
        <w:jc w:val="both"/>
        <w:rPr>
          <w:rFonts w:ascii="Verdana" w:hAnsi="Verdana"/>
        </w:rPr>
      </w:pPr>
    </w:p>
    <w:p w14:paraId="7E776673" w14:textId="77777777" w:rsidR="00CE0EB1" w:rsidRDefault="00CE0EB1" w:rsidP="00E73B55">
      <w:pPr>
        <w:spacing w:after="0" w:line="240" w:lineRule="auto"/>
        <w:jc w:val="both"/>
        <w:rPr>
          <w:rFonts w:ascii="Verdana" w:hAnsi="Verdana"/>
        </w:rPr>
      </w:pPr>
    </w:p>
    <w:p w14:paraId="7AC1192C" w14:textId="77777777" w:rsidR="00CE0EB1" w:rsidRDefault="00CE0EB1" w:rsidP="00E73B55">
      <w:pPr>
        <w:spacing w:after="0" w:line="240" w:lineRule="auto"/>
        <w:jc w:val="both"/>
        <w:rPr>
          <w:rFonts w:ascii="Verdana" w:hAnsi="Verdana"/>
        </w:rPr>
      </w:pPr>
    </w:p>
    <w:p w14:paraId="7271F525" w14:textId="77777777" w:rsidR="00CE0EB1" w:rsidRDefault="00CE0EB1" w:rsidP="00E73B55">
      <w:pPr>
        <w:spacing w:after="0" w:line="240" w:lineRule="auto"/>
        <w:jc w:val="both"/>
        <w:rPr>
          <w:rFonts w:ascii="Verdana" w:hAnsi="Verdana"/>
        </w:rPr>
      </w:pPr>
    </w:p>
    <w:p w14:paraId="76AB2C9E" w14:textId="77777777" w:rsidR="00CE0EB1" w:rsidRDefault="00CE0EB1" w:rsidP="00E73B55">
      <w:pPr>
        <w:spacing w:after="0" w:line="240" w:lineRule="auto"/>
        <w:jc w:val="both"/>
        <w:rPr>
          <w:rFonts w:ascii="Verdana" w:hAnsi="Verdana"/>
        </w:rPr>
      </w:pPr>
    </w:p>
    <w:p w14:paraId="28E61DE0" w14:textId="0287039F" w:rsidR="00E73B55" w:rsidRPr="00275986" w:rsidRDefault="00CE0EB1" w:rsidP="00E73B55">
      <w:pPr>
        <w:spacing w:after="0" w:line="240" w:lineRule="auto"/>
        <w:jc w:val="both"/>
        <w:rPr>
          <w:rFonts w:ascii="Verdana" w:hAnsi="Verdana"/>
        </w:rPr>
      </w:pPr>
      <w:r w:rsidRPr="00CE0EB1">
        <w:rPr>
          <w:rFonts w:ascii="Verdana" w:hAnsi="Verdana"/>
        </w:rPr>
        <w:lastRenderedPageBreak/>
        <w:t xml:space="preserve">Bogotá D.C., 26 </w:t>
      </w:r>
      <w:r>
        <w:rPr>
          <w:rFonts w:ascii="Verdana" w:hAnsi="Verdana"/>
        </w:rPr>
        <w:t>a</w:t>
      </w:r>
      <w:r w:rsidRPr="00CE0EB1">
        <w:rPr>
          <w:rFonts w:ascii="Verdana" w:hAnsi="Verdana"/>
        </w:rPr>
        <w:t>bril 2026</w:t>
      </w:r>
      <w:r>
        <w:rPr>
          <w:rFonts w:ascii="Verdana" w:hAnsi="Verdana"/>
        </w:rPr>
        <w:t xml:space="preserve"> </w:t>
      </w:r>
    </w:p>
    <w:p w14:paraId="1F14D798" w14:textId="79EFEC68" w:rsidR="00E73B55" w:rsidRDefault="00E73B55" w:rsidP="00E73B55">
      <w:pPr>
        <w:spacing w:after="0" w:line="240" w:lineRule="auto"/>
        <w:jc w:val="both"/>
        <w:rPr>
          <w:rFonts w:ascii="Verdana" w:eastAsia="Calibri" w:hAnsi="Verdana" w:cs="Arial"/>
          <w:lang w:eastAsia="es-ES"/>
        </w:rPr>
      </w:pPr>
      <w:bookmarkStart w:id="0" w:name="_Hlk197462763"/>
      <w:bookmarkStart w:id="1" w:name="_Hlk197529996"/>
    </w:p>
    <w:p w14:paraId="0623CED5" w14:textId="044D4B8B" w:rsidR="00CE0EB1" w:rsidRPr="00275986" w:rsidRDefault="00CE0EB1" w:rsidP="00E73B55">
      <w:pPr>
        <w:spacing w:after="0" w:line="240" w:lineRule="auto"/>
        <w:jc w:val="both"/>
        <w:rPr>
          <w:rFonts w:ascii="Verdana" w:eastAsia="Calibri" w:hAnsi="Verdana" w:cs="Arial"/>
          <w:lang w:eastAsia="es-ES"/>
        </w:rPr>
      </w:pPr>
      <w:r w:rsidRPr="00CE0EB1">
        <w:rPr>
          <w:rFonts w:ascii="Verdana" w:eastAsia="Calibri" w:hAnsi="Verdana" w:cs="Arial"/>
          <w:lang w:eastAsia="es-ES"/>
        </w:rPr>
        <w:drawing>
          <wp:anchor distT="0" distB="0" distL="114300" distR="114300" simplePos="0" relativeHeight="251660288" behindDoc="1" locked="0" layoutInCell="1" allowOverlap="1" wp14:anchorId="7D1C6B9B" wp14:editId="004E6E39">
            <wp:simplePos x="0" y="0"/>
            <wp:positionH relativeFrom="column">
              <wp:posOffset>3634740</wp:posOffset>
            </wp:positionH>
            <wp:positionV relativeFrom="paragraph">
              <wp:posOffset>37465</wp:posOffset>
            </wp:positionV>
            <wp:extent cx="2448267" cy="704948"/>
            <wp:effectExtent l="0" t="0" r="9525" b="0"/>
            <wp:wrapTight wrapText="bothSides">
              <wp:wrapPolygon edited="0">
                <wp:start x="0" y="0"/>
                <wp:lineTo x="0" y="21016"/>
                <wp:lineTo x="21516" y="21016"/>
                <wp:lineTo x="21516" y="0"/>
                <wp:lineTo x="0" y="0"/>
              </wp:wrapPolygon>
            </wp:wrapTight>
            <wp:docPr id="20229933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993303" name=""/>
                    <pic:cNvPicPr/>
                  </pic:nvPicPr>
                  <pic:blipFill>
                    <a:blip r:embed="rId7">
                      <a:extLst>
                        <a:ext uri="{28A0092B-C50C-407E-A947-70E740481C1C}">
                          <a14:useLocalDpi xmlns:a14="http://schemas.microsoft.com/office/drawing/2010/main" val="0"/>
                        </a:ext>
                      </a:extLst>
                    </a:blip>
                    <a:stretch>
                      <a:fillRect/>
                    </a:stretch>
                  </pic:blipFill>
                  <pic:spPr>
                    <a:xfrm>
                      <a:off x="0" y="0"/>
                      <a:ext cx="2448267" cy="704948"/>
                    </a:xfrm>
                    <a:prstGeom prst="rect">
                      <a:avLst/>
                    </a:prstGeom>
                  </pic:spPr>
                </pic:pic>
              </a:graphicData>
            </a:graphic>
          </wp:anchor>
        </w:drawing>
      </w:r>
    </w:p>
    <w:p w14:paraId="7D9FA50D" w14:textId="77777777" w:rsidR="00E73B55" w:rsidRPr="00275986" w:rsidRDefault="00E73B55" w:rsidP="00E73B55">
      <w:pPr>
        <w:spacing w:after="0" w:line="240" w:lineRule="auto"/>
        <w:jc w:val="both"/>
        <w:rPr>
          <w:rFonts w:ascii="Verdana" w:eastAsia="Calibri" w:hAnsi="Verdana" w:cs="Arial"/>
          <w:lang w:eastAsia="es-ES"/>
        </w:rPr>
      </w:pPr>
    </w:p>
    <w:p w14:paraId="708BE4D2" w14:textId="77777777" w:rsidR="00E73B55" w:rsidRPr="00275986" w:rsidRDefault="00E73B55" w:rsidP="00E73B55">
      <w:pPr>
        <w:spacing w:after="0" w:line="240" w:lineRule="auto"/>
        <w:jc w:val="both"/>
        <w:rPr>
          <w:rFonts w:ascii="Verdana" w:eastAsia="Calibri" w:hAnsi="Verdana" w:cs="Arial"/>
          <w:lang w:eastAsia="es-ES"/>
        </w:rPr>
      </w:pPr>
      <w:r w:rsidRPr="00275986">
        <w:rPr>
          <w:rFonts w:ascii="Verdana" w:eastAsia="Calibri" w:hAnsi="Verdana" w:cs="Arial"/>
          <w:lang w:eastAsia="es-ES"/>
        </w:rPr>
        <w:t>Señor</w:t>
      </w:r>
    </w:p>
    <w:p w14:paraId="41D64B4B" w14:textId="77777777" w:rsidR="00E73B55" w:rsidRPr="00275986" w:rsidRDefault="00E73B55" w:rsidP="00E73B55">
      <w:pPr>
        <w:spacing w:after="0" w:line="240" w:lineRule="auto"/>
        <w:jc w:val="both"/>
        <w:rPr>
          <w:rFonts w:ascii="Verdana" w:eastAsia="Calibri" w:hAnsi="Verdana" w:cs="Arial"/>
          <w:b/>
          <w:lang w:eastAsia="es-ES_tradnl"/>
        </w:rPr>
      </w:pPr>
      <w:r w:rsidRPr="00275986">
        <w:rPr>
          <w:rFonts w:ascii="Verdana" w:eastAsia="Calibri" w:hAnsi="Verdana" w:cs="Arial"/>
          <w:b/>
          <w:lang w:eastAsia="es-ES_tradnl"/>
        </w:rPr>
        <w:t>Mauricio Vallecilla De La Espriella</w:t>
      </w:r>
    </w:p>
    <w:p w14:paraId="55135197" w14:textId="77777777" w:rsidR="00E73B55" w:rsidRPr="00275986" w:rsidRDefault="00E73B55" w:rsidP="00E73B55">
      <w:pPr>
        <w:spacing w:after="0" w:line="240" w:lineRule="auto"/>
        <w:jc w:val="both"/>
        <w:rPr>
          <w:rFonts w:ascii="Verdana" w:eastAsia="Calibri" w:hAnsi="Verdana" w:cs="Arial"/>
          <w:b/>
          <w:highlight w:val="yellow"/>
          <w:lang w:eastAsia="es-ES_tradnl"/>
        </w:rPr>
      </w:pPr>
      <w:r w:rsidRPr="00275986">
        <w:rPr>
          <w:rFonts w:ascii="Verdana" w:eastAsia="Calibri" w:hAnsi="Verdana" w:cs="Arial"/>
          <w:b/>
          <w:lang w:eastAsia="es-ES_tradnl"/>
        </w:rPr>
        <w:t xml:space="preserve">Concesiones CCFC SAS </w:t>
      </w:r>
    </w:p>
    <w:p w14:paraId="612DE36C" w14:textId="77777777" w:rsidR="00E73B55" w:rsidRPr="00275986" w:rsidRDefault="00E73B55" w:rsidP="00E73B55">
      <w:pPr>
        <w:spacing w:after="0" w:line="240" w:lineRule="auto"/>
        <w:jc w:val="both"/>
        <w:rPr>
          <w:rFonts w:ascii="Verdana" w:eastAsia="Calibri" w:hAnsi="Verdana" w:cs="Arial"/>
          <w:b/>
          <w:highlight w:val="yellow"/>
          <w:lang w:eastAsia="es-ES_tradnl"/>
        </w:rPr>
      </w:pPr>
      <w:hyperlink r:id="rId8" w:history="1">
        <w:r w:rsidRPr="00275986">
          <w:rPr>
            <w:rStyle w:val="Hipervnculo"/>
            <w:rFonts w:ascii="Verdana" w:eastAsia="Calibri" w:hAnsi="Verdana" w:cs="Arial"/>
            <w:b/>
            <w:lang w:eastAsia="es-ES_tradnl"/>
          </w:rPr>
          <w:t>mvallecilla@pisa.com.co</w:t>
        </w:r>
      </w:hyperlink>
      <w:r w:rsidRPr="00275986">
        <w:rPr>
          <w:rFonts w:ascii="Verdana" w:eastAsia="Calibri" w:hAnsi="Verdana" w:cs="Arial"/>
          <w:b/>
          <w:lang w:eastAsia="es-ES_tradnl"/>
        </w:rPr>
        <w:t xml:space="preserve"> </w:t>
      </w:r>
    </w:p>
    <w:p w14:paraId="387A90B5" w14:textId="77777777" w:rsidR="00E73B55" w:rsidRPr="00275986" w:rsidRDefault="00E73B55" w:rsidP="00E73B55">
      <w:pPr>
        <w:spacing w:after="0" w:line="240" w:lineRule="auto"/>
        <w:jc w:val="both"/>
        <w:rPr>
          <w:rFonts w:ascii="Verdana" w:eastAsia="Calibri" w:hAnsi="Verdana" w:cs="Arial"/>
          <w:bCs/>
          <w:lang w:eastAsia="es-ES_tradnl"/>
        </w:rPr>
      </w:pPr>
      <w:r w:rsidRPr="00275986">
        <w:rPr>
          <w:rFonts w:ascii="Verdana" w:eastAsia="Calibri" w:hAnsi="Verdana" w:cs="Arial"/>
          <w:bCs/>
          <w:lang w:eastAsia="es-ES_tradnl"/>
        </w:rPr>
        <w:t>Cali, Valle del cauca</w:t>
      </w:r>
    </w:p>
    <w:p w14:paraId="510E4DDD" w14:textId="77777777" w:rsidR="00E73B55" w:rsidRPr="005B31B3" w:rsidRDefault="00E73B55" w:rsidP="00E73B55">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E73B55" w:rsidRPr="00275986" w14:paraId="456A7FE6" w14:textId="77777777" w:rsidTr="004E38C5">
        <w:trPr>
          <w:trHeight w:val="162"/>
        </w:trPr>
        <w:tc>
          <w:tcPr>
            <w:tcW w:w="3119" w:type="dxa"/>
          </w:tcPr>
          <w:p w14:paraId="2CCDF685" w14:textId="77777777" w:rsidR="00E73B55" w:rsidRPr="00275986" w:rsidRDefault="00E73B55" w:rsidP="004E38C5">
            <w:pPr>
              <w:jc w:val="both"/>
              <w:rPr>
                <w:rFonts w:ascii="Verdana" w:eastAsia="Calibri" w:hAnsi="Verdana" w:cs="Arial"/>
                <w:b/>
                <w:bCs/>
                <w:color w:val="7030A0"/>
                <w:lang w:val="it-CH" w:eastAsia="es-ES_tradnl"/>
              </w:rPr>
            </w:pPr>
          </w:p>
        </w:tc>
        <w:tc>
          <w:tcPr>
            <w:tcW w:w="5670" w:type="dxa"/>
          </w:tcPr>
          <w:p w14:paraId="747720FC" w14:textId="77777777" w:rsidR="00E73B55" w:rsidRPr="00275986" w:rsidRDefault="00E73B55" w:rsidP="004E38C5">
            <w:pPr>
              <w:jc w:val="both"/>
              <w:rPr>
                <w:rFonts w:ascii="Verdana" w:eastAsia="Calibri" w:hAnsi="Verdana" w:cs="Arial"/>
                <w:b/>
                <w:bCs/>
                <w:lang w:eastAsia="es-ES"/>
              </w:rPr>
            </w:pPr>
            <w:r w:rsidRPr="00275986">
              <w:rPr>
                <w:rFonts w:ascii="Verdana" w:eastAsia="Calibri" w:hAnsi="Verdana" w:cs="Arial"/>
                <w:b/>
                <w:bCs/>
                <w:lang w:eastAsia="es-ES"/>
              </w:rPr>
              <w:t>Concepto C- 409 de 2026</w:t>
            </w:r>
          </w:p>
          <w:p w14:paraId="19394721" w14:textId="77777777" w:rsidR="00E73B55" w:rsidRPr="00275986" w:rsidRDefault="00E73B55" w:rsidP="004E38C5">
            <w:pPr>
              <w:jc w:val="both"/>
              <w:rPr>
                <w:rFonts w:ascii="Verdana" w:eastAsia="Calibri" w:hAnsi="Verdana" w:cs="Arial"/>
                <w:b/>
                <w:bCs/>
                <w:color w:val="7030A0"/>
                <w:lang w:eastAsia="es-ES"/>
              </w:rPr>
            </w:pPr>
          </w:p>
        </w:tc>
      </w:tr>
      <w:tr w:rsidR="00E73B55" w:rsidRPr="00275986" w14:paraId="67474EDC" w14:textId="77777777" w:rsidTr="004E38C5">
        <w:trPr>
          <w:trHeight w:val="884"/>
        </w:trPr>
        <w:tc>
          <w:tcPr>
            <w:tcW w:w="3119" w:type="dxa"/>
          </w:tcPr>
          <w:p w14:paraId="21B97C43" w14:textId="77777777" w:rsidR="00E73B55" w:rsidRPr="00275986" w:rsidRDefault="00E73B55" w:rsidP="004E38C5">
            <w:pPr>
              <w:jc w:val="both"/>
              <w:rPr>
                <w:rFonts w:ascii="Verdana" w:eastAsia="Calibri" w:hAnsi="Verdana" w:cs="Arial"/>
                <w:color w:val="000000"/>
                <w:lang w:eastAsia="es-ES_tradnl"/>
              </w:rPr>
            </w:pPr>
            <w:r w:rsidRPr="00275986">
              <w:rPr>
                <w:rFonts w:ascii="Verdana" w:eastAsia="Calibri" w:hAnsi="Verdana" w:cs="Arial"/>
                <w:b/>
                <w:color w:val="000000"/>
                <w:lang w:eastAsia="es-ES_tradnl"/>
              </w:rPr>
              <w:t>Temas:</w:t>
            </w:r>
            <w:r w:rsidRPr="00275986">
              <w:rPr>
                <w:rFonts w:ascii="Verdana" w:eastAsia="Calibri" w:hAnsi="Verdana" w:cs="Arial"/>
                <w:color w:val="000000"/>
                <w:lang w:eastAsia="es-ES_tradnl"/>
              </w:rPr>
              <w:t xml:space="preserve">                   </w:t>
            </w:r>
          </w:p>
        </w:tc>
        <w:tc>
          <w:tcPr>
            <w:tcW w:w="5670" w:type="dxa"/>
          </w:tcPr>
          <w:p w14:paraId="63E0EAC8" w14:textId="77777777" w:rsidR="00E73B55" w:rsidRPr="00275986" w:rsidRDefault="00E73B55" w:rsidP="004E38C5">
            <w:pPr>
              <w:spacing w:line="240" w:lineRule="auto"/>
              <w:jc w:val="both"/>
              <w:rPr>
                <w:rFonts w:ascii="Verdana" w:eastAsia="Calibri" w:hAnsi="Verdana" w:cs="Arial"/>
                <w:lang w:val="es-ES" w:eastAsia="es-ES"/>
              </w:rPr>
            </w:pPr>
            <w:r w:rsidRPr="00275986">
              <w:rPr>
                <w:rFonts w:ascii="Verdana" w:eastAsia="Calibri" w:hAnsi="Verdana" w:cs="Arial"/>
                <w:lang w:val="es-ES" w:eastAsia="es-ES"/>
              </w:rPr>
              <w:t xml:space="preserve">EXPERIENCIA – Requisito habilitante – RUP – Plena prueba </w:t>
            </w:r>
            <w:r w:rsidRPr="005B31B3">
              <w:rPr>
                <w:rFonts w:ascii="Verdana" w:eastAsia="Calibri" w:hAnsi="Verdana" w:cs="Arial"/>
                <w:lang w:val="es-ES" w:eastAsia="es-ES"/>
              </w:rPr>
              <w:t xml:space="preserve">/ </w:t>
            </w:r>
            <w:r w:rsidRPr="0021170A">
              <w:rPr>
                <w:rFonts w:ascii="Verdana" w:eastAsia="Calibri" w:hAnsi="Verdana" w:cs="Arial"/>
                <w:lang w:val="es-ES" w:eastAsia="es-ES"/>
              </w:rPr>
              <w:t>CÁMARAS DE COMERCIO – Verificación RUP</w:t>
            </w:r>
          </w:p>
          <w:p w14:paraId="469BEFB2" w14:textId="77777777" w:rsidR="00E73B55" w:rsidRPr="00275986" w:rsidRDefault="00E73B55" w:rsidP="004E38C5">
            <w:pPr>
              <w:spacing w:line="240" w:lineRule="auto"/>
              <w:jc w:val="both"/>
              <w:rPr>
                <w:rFonts w:ascii="Verdana" w:eastAsia="Calibri" w:hAnsi="Verdana" w:cs="Arial"/>
                <w:lang w:val="es-ES" w:eastAsia="es-ES"/>
              </w:rPr>
            </w:pPr>
          </w:p>
        </w:tc>
      </w:tr>
      <w:tr w:rsidR="00E73B55" w:rsidRPr="00275986" w14:paraId="157D4654" w14:textId="77777777" w:rsidTr="004E38C5">
        <w:tc>
          <w:tcPr>
            <w:tcW w:w="3119" w:type="dxa"/>
          </w:tcPr>
          <w:p w14:paraId="35A94DE6" w14:textId="77777777" w:rsidR="00E73B55" w:rsidRPr="00275986" w:rsidRDefault="00E73B55" w:rsidP="004E38C5">
            <w:pPr>
              <w:jc w:val="both"/>
              <w:rPr>
                <w:rFonts w:ascii="Verdana" w:eastAsia="Calibri" w:hAnsi="Verdana" w:cs="Arial"/>
                <w:b/>
                <w:lang w:eastAsia="es-ES_tradnl"/>
              </w:rPr>
            </w:pPr>
            <w:r w:rsidRPr="00275986">
              <w:rPr>
                <w:rFonts w:ascii="Verdana" w:eastAsia="Calibri" w:hAnsi="Verdana" w:cs="Arial"/>
                <w:b/>
                <w:lang w:eastAsia="es-ES_tradnl"/>
              </w:rPr>
              <w:t>Radicación:</w:t>
            </w:r>
            <w:r w:rsidRPr="00275986">
              <w:rPr>
                <w:rFonts w:ascii="Verdana" w:eastAsia="Calibri" w:hAnsi="Verdana" w:cs="Arial"/>
                <w:lang w:eastAsia="es-ES_tradnl"/>
              </w:rPr>
              <w:t xml:space="preserve">               </w:t>
            </w:r>
          </w:p>
        </w:tc>
        <w:tc>
          <w:tcPr>
            <w:tcW w:w="5670" w:type="dxa"/>
          </w:tcPr>
          <w:p w14:paraId="3B1E53AF" w14:textId="77777777" w:rsidR="00E73B55" w:rsidRPr="00275986" w:rsidRDefault="00E73B55" w:rsidP="004E38C5">
            <w:pPr>
              <w:jc w:val="both"/>
              <w:rPr>
                <w:rFonts w:ascii="Verdana" w:eastAsia="Calibri" w:hAnsi="Verdana" w:cs="Arial"/>
                <w:lang w:eastAsia="es-ES_tradnl"/>
              </w:rPr>
            </w:pPr>
            <w:r w:rsidRPr="005B31B3">
              <w:rPr>
                <w:rFonts w:ascii="Verdana" w:eastAsia="Calibri" w:hAnsi="Verdana" w:cs="Arial"/>
                <w:lang w:eastAsia="es-ES_tradnl"/>
              </w:rPr>
              <w:t xml:space="preserve">Respuesta a consulta con radicado </w:t>
            </w:r>
            <w:r w:rsidRPr="00275986">
              <w:rPr>
                <w:rFonts w:ascii="Verdana" w:hAnsi="Verdana"/>
                <w:color w:val="000000" w:themeColor="text1"/>
              </w:rPr>
              <w:t>1_2026_03_12_003481</w:t>
            </w:r>
            <w:r w:rsidRPr="00275986">
              <w:rPr>
                <w:rFonts w:ascii="Verdana" w:eastAsia="Calibri" w:hAnsi="Verdana" w:cs="Arial"/>
                <w:color w:val="000000" w:themeColor="text1"/>
                <w:lang w:eastAsia="es-ES_tradnl"/>
              </w:rPr>
              <w:t xml:space="preserve">  </w:t>
            </w:r>
          </w:p>
        </w:tc>
      </w:tr>
    </w:tbl>
    <w:p w14:paraId="01FFD19F" w14:textId="77777777" w:rsidR="00E73B55" w:rsidRDefault="00E73B55" w:rsidP="00E73B55">
      <w:pPr>
        <w:spacing w:after="0" w:line="240" w:lineRule="auto"/>
        <w:jc w:val="both"/>
        <w:rPr>
          <w:rFonts w:ascii="Verdana" w:eastAsia="Calibri" w:hAnsi="Verdana" w:cs="Arial"/>
          <w:lang w:eastAsia="es-ES_tradnl"/>
        </w:rPr>
      </w:pPr>
    </w:p>
    <w:p w14:paraId="4E1970B7" w14:textId="77777777" w:rsidR="00E73B55" w:rsidRPr="00275986" w:rsidRDefault="00E73B55" w:rsidP="00E73B55">
      <w:pPr>
        <w:spacing w:after="0" w:line="240" w:lineRule="auto"/>
        <w:jc w:val="both"/>
        <w:rPr>
          <w:rFonts w:ascii="Verdana" w:eastAsia="Calibri" w:hAnsi="Verdana" w:cs="Arial"/>
          <w:lang w:eastAsia="es-ES_tradnl"/>
        </w:rPr>
      </w:pPr>
    </w:p>
    <w:p w14:paraId="4105FFEA" w14:textId="77777777" w:rsidR="00E73B55" w:rsidRPr="008E4F36" w:rsidRDefault="00E73B55" w:rsidP="00E73B55">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Pr>
          <w:rFonts w:ascii="Verdana" w:eastAsia="Calibri" w:hAnsi="Verdana" w:cs="Arial"/>
          <w:lang w:eastAsia="es-ES"/>
        </w:rPr>
        <w:t xml:space="preserve">a </w:t>
      </w:r>
      <w:r w:rsidRPr="00083AB6">
        <w:rPr>
          <w:rFonts w:ascii="Verdana" w:eastAsia="Calibri" w:hAnsi="Verdana" w:cs="Arial"/>
          <w:lang w:eastAsia="es-ES"/>
        </w:rPr>
        <w:t>señor</w:t>
      </w:r>
      <w:r>
        <w:rPr>
          <w:rFonts w:ascii="Verdana" w:eastAsia="Calibri" w:hAnsi="Verdana" w:cs="Arial"/>
          <w:lang w:eastAsia="es-ES"/>
        </w:rPr>
        <w:t xml:space="preserve">a </w:t>
      </w:r>
      <w:r>
        <w:rPr>
          <w:rFonts w:ascii="Verdana" w:eastAsia="Calibri" w:hAnsi="Verdana" w:cs="Arial"/>
          <w:bCs/>
          <w:lang w:eastAsia="es-ES_tradnl"/>
        </w:rPr>
        <w:t>Vallecilla</w:t>
      </w:r>
      <w:r w:rsidRPr="00083AB6">
        <w:rPr>
          <w:rFonts w:ascii="Verdana" w:eastAsia="Calibri" w:hAnsi="Verdana" w:cs="Arial"/>
          <w:lang w:eastAsia="es-ES"/>
        </w:rPr>
        <w:t>:</w:t>
      </w:r>
      <w:r w:rsidRPr="008E4F36">
        <w:rPr>
          <w:rFonts w:ascii="Verdana" w:eastAsia="Calibri" w:hAnsi="Verdana" w:cs="Arial"/>
          <w:lang w:eastAsia="es-ES"/>
        </w:rPr>
        <w:t xml:space="preserve"> </w:t>
      </w:r>
    </w:p>
    <w:p w14:paraId="1E377FEA" w14:textId="77777777" w:rsidR="00E73B55" w:rsidRDefault="00E73B55" w:rsidP="00E73B55">
      <w:pPr>
        <w:tabs>
          <w:tab w:val="left" w:pos="3768"/>
        </w:tabs>
        <w:spacing w:after="0" w:line="276" w:lineRule="auto"/>
        <w:jc w:val="both"/>
        <w:rPr>
          <w:rFonts w:ascii="Verdana" w:eastAsia="Calibri" w:hAnsi="Verdana" w:cs="Arial"/>
          <w:lang w:eastAsia="es-ES"/>
        </w:rPr>
      </w:pPr>
    </w:p>
    <w:p w14:paraId="5232E78F" w14:textId="77777777" w:rsidR="00E73B55" w:rsidRPr="008E4F36" w:rsidRDefault="00E73B55" w:rsidP="00E73B55">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12</w:t>
      </w:r>
      <w:r w:rsidRPr="00AF6D58">
        <w:rPr>
          <w:rFonts w:ascii="Verdana" w:eastAsia="Calibri" w:hAnsi="Verdana" w:cs="Arial"/>
          <w:lang w:eastAsia="es-ES"/>
        </w:rPr>
        <w:t xml:space="preserve"> de </w:t>
      </w:r>
      <w:r>
        <w:rPr>
          <w:rFonts w:ascii="Verdana" w:eastAsia="Calibri" w:hAnsi="Verdana" w:cs="Arial"/>
          <w:lang w:eastAsia="es-ES"/>
        </w:rPr>
        <w:t>marzo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05EA3198" w14:textId="77777777" w:rsidR="00E73B55" w:rsidRPr="008C54F3" w:rsidRDefault="00E73B55" w:rsidP="00E73B55">
      <w:pPr>
        <w:spacing w:after="0" w:line="276" w:lineRule="auto"/>
        <w:ind w:left="709" w:right="709"/>
        <w:jc w:val="both"/>
        <w:rPr>
          <w:rFonts w:ascii="Verdana" w:eastAsia="Calibri" w:hAnsi="Verdana" w:cs="Arial"/>
          <w:color w:val="000000" w:themeColor="text1"/>
          <w:sz w:val="20"/>
          <w:szCs w:val="20"/>
        </w:rPr>
      </w:pPr>
    </w:p>
    <w:p w14:paraId="047D4321" w14:textId="77777777" w:rsidR="00E73B55" w:rsidRDefault="00E73B55" w:rsidP="00E73B55">
      <w:pPr>
        <w:spacing w:after="0"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8C54F3">
        <w:rPr>
          <w:rFonts w:ascii="Verdana" w:eastAsia="Calibri" w:hAnsi="Verdana" w:cs="Arial"/>
          <w:i/>
          <w:iCs/>
          <w:color w:val="000000" w:themeColor="text1"/>
          <w:sz w:val="20"/>
          <w:szCs w:val="20"/>
        </w:rPr>
        <w:t>“</w:t>
      </w:r>
      <w:bookmarkEnd w:id="2"/>
      <w:bookmarkEnd w:id="3"/>
      <w:r w:rsidRPr="008C54F3">
        <w:rPr>
          <w:rFonts w:ascii="Verdana" w:eastAsia="Calibri" w:hAnsi="Verdana" w:cs="Arial"/>
          <w:i/>
          <w:iCs/>
          <w:color w:val="000000" w:themeColor="text1"/>
          <w:sz w:val="20"/>
          <w:szCs w:val="20"/>
        </w:rPr>
        <w:t>Respetados señores,</w:t>
      </w:r>
    </w:p>
    <w:p w14:paraId="5484F139" w14:textId="77777777" w:rsidR="00E73B55" w:rsidRPr="008C54F3" w:rsidRDefault="00E73B55" w:rsidP="00E73B55">
      <w:pPr>
        <w:spacing w:after="0" w:line="240" w:lineRule="auto"/>
        <w:ind w:left="709" w:right="709"/>
        <w:jc w:val="both"/>
        <w:rPr>
          <w:rFonts w:ascii="Verdana" w:eastAsia="Calibri" w:hAnsi="Verdana" w:cs="Arial"/>
          <w:i/>
          <w:iCs/>
          <w:color w:val="000000" w:themeColor="text1"/>
          <w:sz w:val="20"/>
          <w:szCs w:val="20"/>
        </w:rPr>
      </w:pPr>
    </w:p>
    <w:p w14:paraId="0B27064E" w14:textId="77777777" w:rsidR="00E73B55" w:rsidRDefault="00E73B55" w:rsidP="00E73B55">
      <w:pPr>
        <w:spacing w:after="0" w:line="240" w:lineRule="auto"/>
        <w:ind w:left="709" w:right="709"/>
        <w:jc w:val="both"/>
        <w:rPr>
          <w:rFonts w:ascii="Verdana" w:eastAsia="Calibri" w:hAnsi="Verdana" w:cs="Arial"/>
          <w:i/>
          <w:iCs/>
          <w:color w:val="000000" w:themeColor="text1"/>
          <w:sz w:val="20"/>
          <w:szCs w:val="20"/>
        </w:rPr>
      </w:pPr>
      <w:r w:rsidRPr="008C54F3">
        <w:rPr>
          <w:rFonts w:ascii="Verdana" w:eastAsia="Calibri" w:hAnsi="Verdana" w:cs="Arial"/>
          <w:i/>
          <w:iCs/>
          <w:color w:val="000000" w:themeColor="text1"/>
          <w:sz w:val="20"/>
          <w:szCs w:val="20"/>
        </w:rPr>
        <w:t>Me permito presentar una solicitud de orientación frente a la inscripción en el Registro de Proponentes. Actualmente cuento con un contrato otorgado por la Agencia Nacional de Infraestructura (ANI) en septiembre de 1994, en la certificación que me expiden para certificar el contrato no está indexado a precios actuales sino que se encuentra expresado en valores de la fecha de origen del contrato (sep-1994).</w:t>
      </w:r>
    </w:p>
    <w:p w14:paraId="732995B5" w14:textId="77777777" w:rsidR="00E73B55" w:rsidRPr="008C54F3" w:rsidRDefault="00E73B55" w:rsidP="00E73B55">
      <w:pPr>
        <w:spacing w:after="0" w:line="240" w:lineRule="auto"/>
        <w:ind w:left="709" w:right="709"/>
        <w:jc w:val="both"/>
        <w:rPr>
          <w:rFonts w:ascii="Verdana" w:eastAsia="Calibri" w:hAnsi="Verdana" w:cs="Arial"/>
          <w:i/>
          <w:iCs/>
          <w:color w:val="000000" w:themeColor="text1"/>
          <w:sz w:val="20"/>
          <w:szCs w:val="20"/>
        </w:rPr>
      </w:pPr>
    </w:p>
    <w:p w14:paraId="1D612383" w14:textId="77777777" w:rsidR="00E73B55" w:rsidRDefault="00E73B55" w:rsidP="00E73B55">
      <w:pPr>
        <w:spacing w:after="0" w:line="240" w:lineRule="auto"/>
        <w:ind w:left="709" w:right="709"/>
        <w:jc w:val="both"/>
        <w:rPr>
          <w:rFonts w:ascii="Verdana" w:eastAsia="Calibri" w:hAnsi="Verdana" w:cs="Arial"/>
          <w:i/>
          <w:iCs/>
          <w:color w:val="000000" w:themeColor="text1"/>
          <w:sz w:val="20"/>
          <w:szCs w:val="20"/>
        </w:rPr>
      </w:pPr>
      <w:r w:rsidRPr="008C54F3">
        <w:rPr>
          <w:rFonts w:ascii="Verdana" w:eastAsia="Calibri" w:hAnsi="Verdana" w:cs="Arial"/>
          <w:i/>
          <w:iCs/>
          <w:color w:val="000000" w:themeColor="text1"/>
          <w:sz w:val="20"/>
          <w:szCs w:val="20"/>
        </w:rPr>
        <w:t xml:space="preserve">La Cámara de Comercio de Bogotá ha negado la inscripción de dicho contrato en el Registro de Proponentes con nuestras indexaciones a fecha de finalización del contrato mar-2024, argumentando que no se puede aceptar si el acta no contiene un valor explícito actualizado. Sin embargo, la ANI únicamente expide la certificación con los valores de origen del </w:t>
      </w:r>
      <w:r w:rsidRPr="008C54F3">
        <w:rPr>
          <w:rFonts w:ascii="Verdana" w:eastAsia="Calibri" w:hAnsi="Verdana" w:cs="Arial"/>
          <w:i/>
          <w:iCs/>
          <w:color w:val="000000" w:themeColor="text1"/>
          <w:sz w:val="20"/>
          <w:szCs w:val="20"/>
        </w:rPr>
        <w:lastRenderedPageBreak/>
        <w:t>contrato. En este sentido, solicito muy respetuosamente que la Agencia Nacional de Contratación Pública – Colombia Compra Eficiente me brinde alternativas o lineamientos que permitan realizar la inscripción en el Re.”</w:t>
      </w:r>
    </w:p>
    <w:p w14:paraId="329C1B81" w14:textId="77777777" w:rsidR="00E73B55" w:rsidRPr="00767CA0" w:rsidRDefault="00E73B55" w:rsidP="00E73B55">
      <w:pPr>
        <w:spacing w:after="0" w:line="276" w:lineRule="auto"/>
        <w:ind w:left="709" w:right="709"/>
        <w:jc w:val="both"/>
        <w:rPr>
          <w:rFonts w:ascii="Verdana" w:eastAsia="Calibri" w:hAnsi="Verdana" w:cs="Arial"/>
          <w:i/>
          <w:iCs/>
          <w:color w:val="000000" w:themeColor="text1"/>
        </w:rPr>
      </w:pPr>
    </w:p>
    <w:p w14:paraId="29D7DF35" w14:textId="77777777" w:rsidR="00E73B55" w:rsidRDefault="00E73B55" w:rsidP="00E73B55">
      <w:pPr>
        <w:spacing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8E4F36">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99AC8B2" w14:textId="77777777" w:rsidR="00E73B55" w:rsidRPr="00054383" w:rsidRDefault="00E73B55" w:rsidP="00E73B55">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221249B4" w14:textId="77777777" w:rsidR="00E73B55" w:rsidRPr="008E4F36" w:rsidRDefault="00E73B55" w:rsidP="00E73B55">
      <w:pPr>
        <w:spacing w:after="0" w:line="276" w:lineRule="auto"/>
        <w:ind w:firstLine="709"/>
        <w:jc w:val="both"/>
        <w:rPr>
          <w:rFonts w:ascii="Verdana" w:eastAsia="Calibri" w:hAnsi="Verdana" w:cs="Arial"/>
          <w:color w:val="000000"/>
          <w:lang w:eastAsia="es-ES"/>
        </w:rPr>
      </w:pPr>
    </w:p>
    <w:p w14:paraId="32A24D97" w14:textId="77777777" w:rsidR="00E73B55" w:rsidRDefault="00E73B55" w:rsidP="00E73B55">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17877379" w14:textId="77777777" w:rsidR="00E73B55" w:rsidRDefault="00E73B55" w:rsidP="00E73B55">
      <w:pPr>
        <w:spacing w:after="0" w:line="276" w:lineRule="auto"/>
        <w:jc w:val="both"/>
        <w:rPr>
          <w:rFonts w:ascii="Verdana" w:eastAsia="Calibri" w:hAnsi="Verdana" w:cs="Arial"/>
          <w:color w:val="000000"/>
          <w:highlight w:val="yellow"/>
          <w:lang w:eastAsia="es-ES"/>
        </w:rPr>
      </w:pPr>
    </w:p>
    <w:p w14:paraId="4265A5B9" w14:textId="77777777" w:rsidR="00E73B55" w:rsidRPr="0020685A" w:rsidRDefault="00E73B55" w:rsidP="00E73B55">
      <w:pPr>
        <w:spacing w:after="0" w:line="276" w:lineRule="auto"/>
        <w:jc w:val="both"/>
        <w:rPr>
          <w:rFonts w:ascii="Verdana" w:hAnsi="Verdana"/>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Pr="0020685A">
        <w:rPr>
          <w:rFonts w:ascii="Verdana" w:hAnsi="Verdana"/>
        </w:rPr>
        <w:t>¿Cuáles son los requisitos que permiten a un proponente realizar la inscripción de su experiencia en el Registro Único de Proponentes (RUP) ante las cámaras de comercio?</w:t>
      </w:r>
      <w:r>
        <w:rPr>
          <w:rFonts w:ascii="Verdana" w:hAnsi="Verdana"/>
        </w:rPr>
        <w:t xml:space="preserve"> </w:t>
      </w:r>
    </w:p>
    <w:p w14:paraId="50938FF5" w14:textId="77777777" w:rsidR="00E73B55" w:rsidRPr="00DE54CD" w:rsidRDefault="00E73B55" w:rsidP="00E73B55">
      <w:pPr>
        <w:spacing w:after="0" w:line="276" w:lineRule="auto"/>
        <w:jc w:val="both"/>
        <w:rPr>
          <w:rFonts w:ascii="Verdana" w:eastAsia="Calibri" w:hAnsi="Verdana" w:cs="Times New Roman"/>
          <w:lang w:val="es-ES"/>
        </w:rPr>
      </w:pPr>
    </w:p>
    <w:p w14:paraId="48069D78" w14:textId="77777777" w:rsidR="00E73B55" w:rsidRPr="008E4F36" w:rsidRDefault="00E73B55" w:rsidP="00E73B55">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40D3DAE9" w14:textId="77777777" w:rsidR="00E73B55" w:rsidRPr="008E4F36" w:rsidRDefault="00E73B55" w:rsidP="00E73B55">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E73B55" w:rsidRPr="008E4F36" w14:paraId="45395BE2" w14:textId="77777777" w:rsidTr="004E38C5">
        <w:tc>
          <w:tcPr>
            <w:tcW w:w="8828" w:type="dxa"/>
          </w:tcPr>
          <w:p w14:paraId="1A820014" w14:textId="77777777" w:rsidR="00E73B55" w:rsidRDefault="00E73B55" w:rsidP="004E38C5">
            <w:pPr>
              <w:spacing w:after="120" w:line="276" w:lineRule="auto"/>
              <w:jc w:val="both"/>
              <w:rPr>
                <w:rFonts w:ascii="Verdana" w:eastAsia="Calibri" w:hAnsi="Verdana" w:cs="Arial"/>
              </w:rPr>
            </w:pPr>
            <w:r>
              <w:rPr>
                <w:rFonts w:ascii="Verdana" w:eastAsia="Calibri" w:hAnsi="Verdana" w:cs="Arial"/>
              </w:rPr>
              <w:t>Respecto al problema jurídico planteado, e</w:t>
            </w:r>
            <w:r w:rsidRPr="00712B24">
              <w:rPr>
                <w:rFonts w:ascii="Verdana" w:eastAsia="Calibri" w:hAnsi="Verdana" w:cs="Arial"/>
              </w:rPr>
              <w:t xml:space="preserve">s importante hacer énfasis en que, de conformidad con lo dispuesto en el artículo 6 de la Ley 1150 de 2007, todas las personas naturales o jurídicas, nacionales o extranjeras, domiciliadas en Colombia o con sucursal en el país, que pretendan celebrar contratos con las </w:t>
            </w:r>
            <w:r w:rsidRPr="00712B24">
              <w:rPr>
                <w:rFonts w:ascii="Verdana" w:eastAsia="Calibri" w:hAnsi="Verdana" w:cs="Arial"/>
              </w:rPr>
              <w:lastRenderedPageBreak/>
              <w:t>entidades estatales, deben encontrarse inscritas en el Registro Único de Proponentes</w:t>
            </w:r>
            <w:r>
              <w:rPr>
                <w:rFonts w:ascii="Verdana" w:eastAsia="Calibri" w:hAnsi="Verdana" w:cs="Arial"/>
              </w:rPr>
              <w:t xml:space="preserve"> (RUP)</w:t>
            </w:r>
            <w:r w:rsidRPr="00712B24">
              <w:rPr>
                <w:rFonts w:ascii="Verdana" w:eastAsia="Calibri" w:hAnsi="Verdana" w:cs="Arial"/>
              </w:rPr>
              <w:t>. En dicha inscripción reposa la información referente a la experiencia, así como a la capacidad jurídica, financiera y organizacional del proponente, además de su clasificación. Esta inscripción constituye la base para la verificación de los requisitos habilitantes.</w:t>
            </w:r>
          </w:p>
          <w:p w14:paraId="0849B42B" w14:textId="77777777" w:rsidR="00E73B55" w:rsidRPr="004F345C" w:rsidRDefault="00E73B55" w:rsidP="004E38C5">
            <w:pPr>
              <w:spacing w:after="120" w:line="276" w:lineRule="auto"/>
              <w:jc w:val="both"/>
              <w:rPr>
                <w:rFonts w:ascii="Verdana" w:eastAsia="Calibri" w:hAnsi="Verdana" w:cs="Arial"/>
              </w:rPr>
            </w:pPr>
            <w:r>
              <w:rPr>
                <w:rFonts w:ascii="Verdana" w:eastAsia="Calibri" w:hAnsi="Verdana" w:cs="Arial"/>
              </w:rPr>
              <w:t xml:space="preserve">          </w:t>
            </w:r>
            <w:r w:rsidRPr="004F345C">
              <w:rPr>
                <w:rFonts w:ascii="Verdana" w:eastAsia="Calibri" w:hAnsi="Verdana" w:cs="Arial"/>
              </w:rPr>
              <w:t>En ese sentido, cuando el RUP es exigible, las entidades estatales deben acudir exclusivamente a la información allí contenida para verificar el cumplimiento de los requisitos habilitantes, incluida la experiencia, sin que resulte procedente exigir documentos adicionales destinados a soportar, complementar o reemplazar la información que ya fue objeto de verificación por parte de la Cámara de Comercio. Esta regla busca garantizar uniformidad en la acreditación de condiciones de participación, así como materializar los principios de transparencia, economía, eficiencia y selección objetiva que rigen la contratación estatal.</w:t>
            </w:r>
          </w:p>
          <w:p w14:paraId="0E91923E" w14:textId="77777777" w:rsidR="00E73B55" w:rsidRPr="005D1E5D" w:rsidRDefault="00E73B55" w:rsidP="004E38C5">
            <w:pPr>
              <w:spacing w:after="120" w:line="276" w:lineRule="auto"/>
              <w:ind w:firstLine="709"/>
              <w:jc w:val="both"/>
              <w:rPr>
                <w:rFonts w:ascii="Verdana" w:hAnsi="Verdana" w:cs="Arial"/>
                <w:color w:val="000000" w:themeColor="text1"/>
              </w:rPr>
            </w:pPr>
            <w:r w:rsidRPr="005D1E5D">
              <w:rPr>
                <w:rFonts w:ascii="Verdana" w:hAnsi="Verdana" w:cs="Arial"/>
                <w:color w:val="000000" w:themeColor="text1"/>
              </w:rPr>
              <w:t>Para efectos de su inscripción, la experiencia debe estar debidamente soportada mediante certificaciones expedidas por el contratante o, en su defecto, con copias de los contratos, de modo que sea posible verificar elementos esenciales como el objeto, el alcance, el valor, el plazo y la participación del proponente. Igualmente, debe existir correspondencia entre la experiencia acreditada y su clasificación en el Clasificador de Bienes y Servicios, lo cual permite estandarizar su registro y facilitar su uso en los procesos de selección. En este contexto, corresponde a las Cámaras de Comercio verificar, evaluar y certificar la información aportada, constatando su autenticidad, consistencia, suficiencia y adecuada clasificación.</w:t>
            </w:r>
          </w:p>
          <w:p w14:paraId="01A405FB" w14:textId="77777777" w:rsidR="00E73B55" w:rsidRDefault="00E73B55" w:rsidP="004E38C5">
            <w:pPr>
              <w:spacing w:after="120" w:line="276" w:lineRule="auto"/>
              <w:ind w:firstLine="709"/>
              <w:jc w:val="both"/>
              <w:rPr>
                <w:rFonts w:ascii="Verdana" w:hAnsi="Verdana" w:cs="Arial"/>
                <w:color w:val="000000" w:themeColor="text1"/>
              </w:rPr>
            </w:pPr>
            <w:r w:rsidRPr="005D1E5D">
              <w:rPr>
                <w:rFonts w:ascii="Verdana" w:hAnsi="Verdana" w:cs="Arial"/>
                <w:color w:val="000000" w:themeColor="text1"/>
              </w:rPr>
              <w:t>Como resultado de este proceso de verificación, la experiencia inscrita en el RUP adquiere el carácter de plena prueba frente a las entidades estatales, quienes, cuando el registro es exigible, deben limitarse a consultar la información allí contenida para verificar el cumplimiento de los requisitos habilitantes, sin exigir documentos adicionales. En todo caso, el proponente es responsable por la veracidad y calidad de la información suministrada, mientras que las Cámaras de Comercio garantizan la confiabilidad del registro, en el marco de lo previsto en la Ley 80 de 1993, la Ley 1150 de 2007 y el Decreto 1082 de 2015.</w:t>
            </w:r>
          </w:p>
          <w:p w14:paraId="0C861D2B" w14:textId="77777777" w:rsidR="00E73B55" w:rsidRDefault="00E73B55" w:rsidP="004E38C5">
            <w:pPr>
              <w:spacing w:after="120" w:line="276" w:lineRule="auto"/>
              <w:ind w:firstLine="709"/>
              <w:jc w:val="both"/>
              <w:rPr>
                <w:rFonts w:ascii="Verdana" w:hAnsi="Verdana" w:cs="Arial"/>
                <w:color w:val="000000" w:themeColor="text1"/>
              </w:rPr>
            </w:pPr>
            <w:r>
              <w:rPr>
                <w:rFonts w:ascii="Verdana" w:hAnsi="Verdana" w:cs="Arial"/>
                <w:color w:val="000000" w:themeColor="text1"/>
              </w:rPr>
              <w:t>En consecuencia</w:t>
            </w:r>
            <w:r w:rsidRPr="00504649">
              <w:rPr>
                <w:rFonts w:ascii="Verdana" w:hAnsi="Verdana" w:cs="Arial"/>
                <w:color w:val="000000" w:themeColor="text1"/>
              </w:rPr>
              <w:t xml:space="preserve">, </w:t>
            </w:r>
            <w:r w:rsidRPr="00731FBA">
              <w:rPr>
                <w:rFonts w:ascii="Verdana" w:hAnsi="Verdana" w:cs="Arial"/>
                <w:color w:val="000000" w:themeColor="text1"/>
              </w:rPr>
              <w:t xml:space="preserve">corresponde a las cámaras de comercio verificar la información que presenten los interesados para la inscripción de su experiencia </w:t>
            </w:r>
            <w:r w:rsidRPr="00731FBA">
              <w:rPr>
                <w:rFonts w:ascii="Verdana" w:hAnsi="Verdana" w:cs="Arial"/>
                <w:color w:val="000000" w:themeColor="text1"/>
              </w:rPr>
              <w:lastRenderedPageBreak/>
              <w:t>en el RUP, en cumplimiento de la función que les atribuyen la Ley 1150 de 2007 y el Decreto 1082 de 2015, la cual consiste en adelantar una verificación formal, objetiva y previa de los documentos aportados —como certificados de contratos ejecutados o sus copias— con el fin de constatar la consistencia y suficiencia de la información relativa a los requisitos habilitantes; verificación que, una vez surtida, se refleja en el certificado del RUP, otorgándole el carácter de plena prueba frente a las entidades estatales.</w:t>
            </w:r>
          </w:p>
          <w:p w14:paraId="1019A9D5" w14:textId="77777777" w:rsidR="00E73B55" w:rsidRPr="00504649" w:rsidRDefault="00E73B55" w:rsidP="004E38C5">
            <w:pPr>
              <w:spacing w:after="120" w:line="276" w:lineRule="auto"/>
              <w:ind w:firstLine="709"/>
              <w:jc w:val="both"/>
              <w:rPr>
                <w:rFonts w:ascii="Verdana" w:hAnsi="Verdana" w:cs="Arial"/>
                <w:color w:val="000000" w:themeColor="text1"/>
              </w:rPr>
            </w:pPr>
            <w:r w:rsidRPr="009F2252">
              <w:rPr>
                <w:rFonts w:ascii="Verdana" w:hAnsi="Verdana" w:cs="Arial"/>
                <w:color w:val="000000" w:themeColor="text1"/>
              </w:rPr>
              <w:t>Finalmente, es pertinente precisar que la Agencia Nacional de Contratación Pública – Colombia Compra Eficiente no cuenta con competencia para pronunciarse de manera vinculante sobre situaciones particulares ni para validar o desestimar la información verificada por las cámaras de comercio en el RUP, toda vez que sus funciones son de carácter rector, orientador y de formulación de políticas del Sistema de Compra Pública, mas no de inspección, vigilancia, control o jurisdiccionales, por lo que sus conceptos constituyen únicamente criterios generales de interpretación normativa que deben ser aplicados por las entidades y demás partícipes en cada caso concreto.</w:t>
            </w:r>
          </w:p>
          <w:p w14:paraId="4394F9A1" w14:textId="77777777" w:rsidR="00E73B55" w:rsidRPr="00B70775" w:rsidRDefault="00E73B55" w:rsidP="004E38C5">
            <w:pPr>
              <w:spacing w:after="120" w:line="276" w:lineRule="auto"/>
              <w:ind w:firstLine="709"/>
              <w:jc w:val="both"/>
              <w:rPr>
                <w:rFonts w:ascii="Verdana" w:hAnsi="Verdana" w:cs="Arial"/>
                <w:color w:val="000000" w:themeColor="text1"/>
              </w:rPr>
            </w:pPr>
            <w:r>
              <w:rPr>
                <w:rFonts w:ascii="Verdana" w:eastAsia="Calibri" w:hAnsi="Verdana" w:cs="Times New Roman"/>
                <w:lang w:val="es-ES"/>
              </w:rPr>
              <w:t xml:space="preserve"> Así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eastAsia="Calibri" w:hAnsi="Verdana" w:cs="Times New Roman"/>
                <w:lang w:val="es-ES"/>
              </w:rPr>
              <w:t>s</w:t>
            </w:r>
            <w:r w:rsidRPr="00DB4737">
              <w:rPr>
                <w:rFonts w:ascii="Verdana" w:eastAsia="Calibri" w:hAnsi="Verdana" w:cs="Times New Roman"/>
                <w:lang w:val="es-ES"/>
              </w:rPr>
              <w:t>.</w:t>
            </w:r>
          </w:p>
        </w:tc>
      </w:tr>
    </w:tbl>
    <w:p w14:paraId="4486CCC9" w14:textId="77777777" w:rsidR="00E73B55" w:rsidRDefault="00E73B55" w:rsidP="00E73B55">
      <w:pPr>
        <w:tabs>
          <w:tab w:val="left" w:pos="142"/>
          <w:tab w:val="left" w:pos="284"/>
        </w:tabs>
        <w:spacing w:after="0" w:line="276" w:lineRule="auto"/>
        <w:jc w:val="both"/>
        <w:rPr>
          <w:rFonts w:ascii="Verdana" w:eastAsia="Century Gothic" w:hAnsi="Verdana" w:cs="Century Gothic"/>
          <w:b/>
          <w:bCs/>
        </w:rPr>
      </w:pPr>
    </w:p>
    <w:p w14:paraId="026B1324" w14:textId="77777777" w:rsidR="00E73B55" w:rsidRPr="008E4F36" w:rsidRDefault="00E73B55" w:rsidP="00E73B55">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60C9F091" w14:textId="77777777" w:rsidR="00E73B55" w:rsidRDefault="00E73B55" w:rsidP="00E73B55">
      <w:pPr>
        <w:pStyle w:val="Prrafodelista"/>
        <w:tabs>
          <w:tab w:val="left" w:pos="142"/>
          <w:tab w:val="left" w:pos="284"/>
        </w:tabs>
        <w:spacing w:after="0" w:line="276" w:lineRule="auto"/>
        <w:ind w:left="0"/>
        <w:contextualSpacing w:val="0"/>
        <w:jc w:val="both"/>
        <w:rPr>
          <w:rFonts w:ascii="Verdana" w:eastAsia="Calibri" w:hAnsi="Verdana" w:cs="Arial"/>
        </w:rPr>
      </w:pPr>
    </w:p>
    <w:p w14:paraId="3E1ED620" w14:textId="77777777" w:rsidR="00E73B55" w:rsidRDefault="00E73B55" w:rsidP="00E73B55">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4009663D" w14:textId="77777777" w:rsidR="00E73B55" w:rsidRDefault="00E73B55" w:rsidP="00E73B55">
      <w:pPr>
        <w:spacing w:after="0" w:line="276" w:lineRule="auto"/>
        <w:jc w:val="both"/>
        <w:rPr>
          <w:rFonts w:ascii="Verdana" w:eastAsia="Calibri" w:hAnsi="Verdana" w:cs="Arial"/>
          <w:lang w:val="es-ES"/>
        </w:rPr>
      </w:pPr>
      <w:bookmarkStart w:id="4" w:name="_Hlk204856061"/>
      <w:bookmarkStart w:id="5" w:name="_Hlk78820161"/>
      <w:bookmarkStart w:id="6" w:name="_Hlk204854194"/>
    </w:p>
    <w:p w14:paraId="43A3F91E" w14:textId="77777777" w:rsidR="00E73B55" w:rsidRPr="0093544A" w:rsidRDefault="00E73B55" w:rsidP="00E73B55">
      <w:pPr>
        <w:spacing w:after="120" w:line="276" w:lineRule="auto"/>
        <w:jc w:val="both"/>
        <w:rPr>
          <w:rFonts w:ascii="Verdana" w:eastAsia="Calibri" w:hAnsi="Verdana" w:cs="Arial"/>
        </w:rPr>
      </w:pPr>
      <w:bookmarkStart w:id="7" w:name="_Hlk91599456"/>
      <w:bookmarkStart w:id="8" w:name="_Hlk102983874"/>
      <w:bookmarkStart w:id="9" w:name="_Hlk102388095"/>
      <w:r w:rsidRPr="0093544A">
        <w:rPr>
          <w:rFonts w:ascii="Verdana" w:eastAsia="Calibri" w:hAnsi="Verdana" w:cs="Arial"/>
        </w:rPr>
        <w:t xml:space="preserve">La Ley 1150 de 2007, en el artículo 5, </w:t>
      </w:r>
      <w:r w:rsidRPr="0093544A">
        <w:rPr>
          <w:rFonts w:ascii="Verdana" w:hAnsi="Verdana" w:cs="Arial"/>
        </w:rPr>
        <w:t xml:space="preserve">dispone que </w:t>
      </w:r>
      <w:r w:rsidRPr="0093544A">
        <w:rPr>
          <w:rFonts w:ascii="Verdana" w:eastAsia="Calibri" w:hAnsi="Verdana" w:cs="Arial"/>
        </w:rPr>
        <w:t xml:space="preserve">la capacidad jurídica y las condiciones de experiencia, así como la capacidad financiera y de organización de los proponentes, serán objeto de verificación por parte de las entidades como requisitos habilitantes para participar en los procesos de selección y no otorgarán puntaje. </w:t>
      </w:r>
    </w:p>
    <w:p w14:paraId="0498CE44" w14:textId="77777777" w:rsidR="00E73B55" w:rsidRPr="0093544A" w:rsidRDefault="00E73B55" w:rsidP="00E73B55">
      <w:pPr>
        <w:spacing w:after="120" w:line="276" w:lineRule="auto"/>
        <w:ind w:firstLine="709"/>
        <w:jc w:val="both"/>
        <w:rPr>
          <w:rFonts w:ascii="Verdana" w:eastAsia="Calibri" w:hAnsi="Verdana" w:cs="Arial"/>
        </w:rPr>
      </w:pPr>
      <w:r w:rsidRPr="0093544A">
        <w:rPr>
          <w:rFonts w:ascii="Verdana" w:eastAsia="Calibri" w:hAnsi="Verdana" w:cs="Arial"/>
        </w:rPr>
        <w:lastRenderedPageBreak/>
        <w:t xml:space="preserve">Para ello, </w:t>
      </w:r>
      <w:r w:rsidRPr="0093544A">
        <w:rPr>
          <w:rFonts w:ascii="Verdana" w:hAnsi="Verdana" w:cs="Arial"/>
        </w:rPr>
        <w:t>el artículo 6 de la Ley 1150 de 2007 señala que todas las personas naturales o jurídicas, nacionales o extranjeras, domiciliadas o con sucursal en Colombia, que aspiren celebrar contratos con las entidades estatales deberán estar inscritas en el Registro Único de Proponentes</w:t>
      </w:r>
      <w:r>
        <w:rPr>
          <w:rFonts w:ascii="Verdana" w:hAnsi="Verdana" w:cs="Arial"/>
        </w:rPr>
        <w:t xml:space="preserve"> (RUP)</w:t>
      </w:r>
      <w:r w:rsidRPr="0093544A">
        <w:rPr>
          <w:rFonts w:ascii="Verdana" w:hAnsi="Verdana" w:cs="Arial"/>
        </w:rPr>
        <w:t>. En dicho registro constará la información relacionada con la experiencia, la capacidad jurídica, financiera y de organización del proponente y su clasificación.</w:t>
      </w:r>
      <w:r w:rsidRPr="0093544A">
        <w:rPr>
          <w:rFonts w:ascii="Verdana" w:eastAsia="Calibri" w:hAnsi="Verdana" w:cs="Arial"/>
        </w:rPr>
        <w:t xml:space="preserve"> </w:t>
      </w:r>
      <w:bookmarkEnd w:id="7"/>
      <w:r w:rsidRPr="0093544A">
        <w:rPr>
          <w:rFonts w:ascii="Verdana" w:eastAsia="Calibri" w:hAnsi="Verdana" w:cs="Arial"/>
        </w:rPr>
        <w:t>En este registro constan los requisitos habilitantes que se evalúan exclusivamente con este documento, que es plena prueba, sin que la entidad o el proponente puedan, en principio, solicitar o aportar otra documentación</w:t>
      </w:r>
      <w:r w:rsidRPr="0093544A">
        <w:rPr>
          <w:rStyle w:val="Refdenotaalpie"/>
          <w:rFonts w:ascii="Verdana" w:eastAsia="Calibri" w:hAnsi="Verdana" w:cs="Arial"/>
        </w:rPr>
        <w:footnoteReference w:id="1"/>
      </w:r>
      <w:r w:rsidRPr="0093544A">
        <w:rPr>
          <w:rFonts w:ascii="Verdana" w:eastAsia="Calibri" w:hAnsi="Verdana" w:cs="Arial"/>
        </w:rPr>
        <w:t>.</w:t>
      </w:r>
    </w:p>
    <w:p w14:paraId="752DBC6C" w14:textId="77777777" w:rsidR="00E73B55" w:rsidRPr="0093544A" w:rsidRDefault="00E73B55" w:rsidP="00E73B55">
      <w:pPr>
        <w:spacing w:after="120" w:line="276" w:lineRule="auto"/>
        <w:ind w:firstLine="709"/>
        <w:jc w:val="both"/>
        <w:rPr>
          <w:rFonts w:ascii="Verdana" w:eastAsia="Calibri" w:hAnsi="Verdana" w:cs="Arial"/>
        </w:rPr>
      </w:pPr>
      <w:r w:rsidRPr="0093544A">
        <w:rPr>
          <w:rFonts w:ascii="Verdana" w:eastAsia="Calibri" w:hAnsi="Verdana" w:cs="Arial"/>
        </w:rPr>
        <w:t>La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w:t>
      </w:r>
      <w:r w:rsidRPr="0093544A">
        <w:rPr>
          <w:rStyle w:val="Refdenotaalpie"/>
          <w:rFonts w:ascii="Verdana" w:eastAsia="Calibri" w:hAnsi="Verdana" w:cs="Arial"/>
        </w:rPr>
        <w:footnoteReference w:id="2"/>
      </w:r>
      <w:r w:rsidRPr="0093544A">
        <w:rPr>
          <w:rFonts w:ascii="Verdana" w:eastAsia="Calibri" w:hAnsi="Verdana" w:cs="Arial"/>
        </w:rPr>
        <w:t xml:space="preserv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w:t>
      </w:r>
    </w:p>
    <w:p w14:paraId="76A28480" w14:textId="77777777" w:rsidR="00E73B55" w:rsidRDefault="00E73B55" w:rsidP="00E73B55">
      <w:pPr>
        <w:spacing w:after="120" w:line="276" w:lineRule="auto"/>
        <w:ind w:firstLine="709"/>
        <w:jc w:val="both"/>
        <w:rPr>
          <w:rFonts w:ascii="Verdana" w:eastAsia="Calibri" w:hAnsi="Verdana" w:cs="Arial"/>
        </w:rPr>
      </w:pPr>
      <w:r w:rsidRPr="0093544A">
        <w:rPr>
          <w:rFonts w:ascii="Verdana" w:eastAsia="Calibri" w:hAnsi="Verdana" w:cs="Arial"/>
        </w:rPr>
        <w:t xml:space="preserve">Así mismo, de manera correlativa a este deber de los proponentes, la norma impuso a las cámaras de comercio la obligación de verificar los requisitos </w:t>
      </w:r>
      <w:r w:rsidRPr="0093544A">
        <w:rPr>
          <w:rFonts w:ascii="Verdana" w:eastAsia="Calibri" w:hAnsi="Verdana" w:cs="Arial"/>
        </w:rPr>
        <w:lastRenderedPageBreak/>
        <w:t xml:space="preserve">habilitantes de quienes se registren. El inciso 2 del numeral 6.1. le otorga carácter de plena prueba a la información contenida en el registro que haya sido verificada por las cámaras de comercio y, además, dispuso que la verificación de las condiciones de que trata el numeral 1 del artículo 5 de la Ley 1150 de 2007 se demostrará </w:t>
      </w:r>
      <w:r>
        <w:rPr>
          <w:rFonts w:ascii="Verdana" w:eastAsia="Calibri" w:hAnsi="Verdana" w:cs="Arial"/>
        </w:rPr>
        <w:t>“</w:t>
      </w:r>
      <w:r w:rsidRPr="0093544A">
        <w:rPr>
          <w:rFonts w:ascii="Verdana" w:eastAsia="Calibri" w:hAnsi="Verdana" w:cs="Arial"/>
        </w:rPr>
        <w:t>exclusivamente con el respectivo certificado del RUP en donde deberán constar dichas condiciones</w:t>
      </w:r>
      <w:r>
        <w:rPr>
          <w:rFonts w:ascii="Verdana" w:eastAsia="Calibri" w:hAnsi="Verdana" w:cs="Arial"/>
        </w:rPr>
        <w:t>”</w:t>
      </w:r>
      <w:r w:rsidRPr="0093544A">
        <w:rPr>
          <w:rFonts w:ascii="Verdana" w:eastAsia="Calibri" w:hAnsi="Verdana" w:cs="Arial"/>
        </w:rPr>
        <w:t xml:space="preserve">. </w:t>
      </w:r>
    </w:p>
    <w:p w14:paraId="53C219B6" w14:textId="77777777" w:rsidR="00E73B55" w:rsidRPr="00EA41DB" w:rsidRDefault="00E73B55" w:rsidP="00E73B55">
      <w:pPr>
        <w:spacing w:after="0" w:line="276" w:lineRule="auto"/>
        <w:ind w:firstLine="709"/>
        <w:jc w:val="both"/>
        <w:rPr>
          <w:rFonts w:ascii="Verdana" w:eastAsia="Calibri" w:hAnsi="Verdana" w:cs="Arial"/>
          <w:bCs/>
          <w:lang w:val="es-ES" w:eastAsia="es-ES_tradnl"/>
        </w:rPr>
      </w:pPr>
      <w:r w:rsidRPr="00EA41DB">
        <w:rPr>
          <w:rFonts w:ascii="Verdana" w:eastAsia="Calibri" w:hAnsi="Verdana" w:cs="Arial"/>
          <w:bCs/>
          <w:lang w:val="es-ES" w:eastAsia="es-ES_tradnl"/>
        </w:rPr>
        <w:t xml:space="preserve">Justamente, la experiencia </w:t>
      </w:r>
      <w:r w:rsidRPr="00EA41DB">
        <w:rPr>
          <w:rFonts w:ascii="Verdana" w:eastAsia="Calibri" w:hAnsi="Verdana" w:cs="Arial"/>
          <w:bCs/>
          <w:lang w:eastAsia="es-ES_tradnl"/>
        </w:rPr>
        <w:t xml:space="preserve">constituye uno de los requisitos habilitantes y se deriva de los contratos que el proponente ha celebrado y ejecutado con distintos contratantes, sin que la naturaleza pública o privada de estos sea determinante. Su verificación se realiza a través del </w:t>
      </w:r>
      <w:r w:rsidRPr="00EA41DB">
        <w:rPr>
          <w:rFonts w:ascii="Verdana" w:eastAsia="Calibri" w:hAnsi="Verdana" w:cs="Arial"/>
          <w:lang w:eastAsia="es-ES_tradnl"/>
        </w:rPr>
        <w:t>RUP</w:t>
      </w:r>
      <w:r w:rsidRPr="00EA41DB">
        <w:rPr>
          <w:rFonts w:ascii="Verdana" w:eastAsia="Calibri" w:hAnsi="Verdana" w:cs="Arial"/>
          <w:bCs/>
          <w:lang w:eastAsia="es-ES_tradnl"/>
        </w:rPr>
        <w:t>, cuando este sea exigible conforme a la ley.</w:t>
      </w:r>
      <w:r w:rsidRPr="00EA41DB">
        <w:rPr>
          <w:rFonts w:ascii="Verdana" w:eastAsia="Calibri" w:hAnsi="Verdana" w:cs="Arial"/>
          <w:bCs/>
          <w:lang w:val="es-ES" w:eastAsia="es-ES_tradnl"/>
        </w:rPr>
        <w:t xml:space="preserve"> El artículo 6 de la Ley 1150 de 2007 dispone que los requisitos habilitantes antes mencionados, entre ellos la experiencia, se acreditan mediante el RUP, el cual:</w:t>
      </w:r>
    </w:p>
    <w:p w14:paraId="586134A8" w14:textId="77777777" w:rsidR="00E73B55" w:rsidRPr="00EA41DB" w:rsidRDefault="00E73B55" w:rsidP="00E73B55">
      <w:pPr>
        <w:spacing w:after="0" w:line="276" w:lineRule="auto"/>
        <w:ind w:firstLine="708"/>
        <w:jc w:val="both"/>
        <w:rPr>
          <w:rFonts w:ascii="Verdana" w:eastAsia="Calibri" w:hAnsi="Verdana" w:cs="Arial"/>
          <w:bCs/>
          <w:lang w:val="es-ES" w:eastAsia="es-ES_tradnl"/>
        </w:rPr>
      </w:pPr>
    </w:p>
    <w:p w14:paraId="242DED32" w14:textId="77777777" w:rsidR="00E73B55" w:rsidRPr="00ED3643" w:rsidRDefault="00E73B55" w:rsidP="00E73B55">
      <w:pPr>
        <w:spacing w:after="0" w:line="240" w:lineRule="auto"/>
        <w:ind w:left="720" w:right="709"/>
        <w:contextualSpacing/>
        <w:jc w:val="both"/>
        <w:rPr>
          <w:rFonts w:ascii="Verdana" w:eastAsia="Arial" w:hAnsi="Verdana" w:cs="Arial"/>
          <w:sz w:val="20"/>
          <w:szCs w:val="20"/>
          <w:lang w:val="es-ES"/>
        </w:rPr>
      </w:pPr>
      <w:r w:rsidRPr="00ED3643">
        <w:rPr>
          <w:rFonts w:ascii="Verdana" w:eastAsia="Arial" w:hAnsi="Verdana" w:cs="Arial"/>
          <w:sz w:val="20"/>
          <w:szCs w:val="20"/>
          <w:lang w:val="es-ES"/>
        </w:rPr>
        <w:t xml:space="preserve">“[...]será plena prueba de las circunstancias que en ella se hagan constar y que hayan sido </w:t>
      </w:r>
      <w:r w:rsidRPr="00ED3643">
        <w:rPr>
          <w:rFonts w:ascii="Verdana" w:eastAsia="Arial" w:hAnsi="Verdana" w:cs="Arial"/>
          <w:i/>
          <w:iCs/>
          <w:sz w:val="20"/>
          <w:szCs w:val="20"/>
          <w:lang w:val="es-ES"/>
        </w:rPr>
        <w:t>verificadas por las Cámaras de Comercio</w:t>
      </w:r>
      <w:r w:rsidRPr="00ED3643">
        <w:rPr>
          <w:rFonts w:ascii="Verdana" w:eastAsia="Arial" w:hAnsi="Verdana" w:cs="Arial"/>
          <w:sz w:val="20"/>
          <w:szCs w:val="20"/>
          <w:lang w:val="es-ES"/>
        </w:rPr>
        <w:t>. En tal sentido, la verificación de las condiciones establecidas en el numeral 1 del artículo 5 de la presente ley, se demostrará exclusivamente con el respectivo certificado del RUP en donde deberán constar dichas condiciones.</w:t>
      </w:r>
      <w:r w:rsidRPr="00ED3643">
        <w:rPr>
          <w:rFonts w:ascii="Verdana" w:hAnsi="Verdana"/>
          <w:sz w:val="20"/>
          <w:szCs w:val="20"/>
          <w:lang w:val="es-ES"/>
        </w:rPr>
        <w:t xml:space="preserve"> </w:t>
      </w:r>
      <w:r w:rsidRPr="00ED3643">
        <w:rPr>
          <w:rFonts w:ascii="Verdana" w:eastAsia="Arial" w:hAnsi="Verdana" w:cs="Arial"/>
          <w:sz w:val="20"/>
          <w:szCs w:val="20"/>
          <w:lang w:val="es-ES"/>
        </w:rPr>
        <w:t xml:space="preserve">En consecuencia, las entidades estatales en los procesos de contratación no podrán exigir, ni los proponentes aportar documentación que deba utilizarse para efectuar la inscripción en el registro. </w:t>
      </w:r>
      <w:r w:rsidRPr="00ED3643">
        <w:rPr>
          <w:rFonts w:ascii="Verdana" w:eastAsia="Arial" w:hAnsi="Verdana" w:cs="Arial"/>
          <w:i/>
          <w:iCs/>
          <w:sz w:val="20"/>
          <w:szCs w:val="20"/>
          <w:lang w:val="es-ES"/>
        </w:rPr>
        <w:t>No obstante, lo anterior, sólo en aquellos casos en que por las características del objeto a contratar se requiera la verificación de requisitos del proponente adicionales a los contenidos en el Registro, la entidad podrá hacer tal verificación en forma directa</w:t>
      </w:r>
      <w:r w:rsidRPr="00ED3643">
        <w:rPr>
          <w:rFonts w:ascii="Verdana" w:eastAsia="Arial" w:hAnsi="Verdana" w:cs="Arial"/>
          <w:sz w:val="20"/>
          <w:szCs w:val="20"/>
          <w:lang w:val="es-ES"/>
        </w:rPr>
        <w:t>”. [Énfasis fuera de texto]</w:t>
      </w:r>
    </w:p>
    <w:p w14:paraId="10F15AAD" w14:textId="77777777" w:rsidR="00E73B55" w:rsidRPr="00ED3643" w:rsidRDefault="00E73B55" w:rsidP="00E73B55">
      <w:pPr>
        <w:spacing w:after="0" w:line="276" w:lineRule="auto"/>
        <w:ind w:left="720" w:right="709"/>
        <w:jc w:val="both"/>
        <w:rPr>
          <w:rFonts w:ascii="Verdana" w:eastAsia="Arial" w:hAnsi="Verdana" w:cs="Arial"/>
          <w:lang w:val="es-ES"/>
        </w:rPr>
      </w:pPr>
    </w:p>
    <w:p w14:paraId="16306B94" w14:textId="77777777" w:rsidR="00E73B55" w:rsidRPr="00EA41DB" w:rsidRDefault="00E73B55" w:rsidP="00E73B55">
      <w:pPr>
        <w:spacing w:after="120" w:line="276" w:lineRule="auto"/>
        <w:ind w:firstLine="709"/>
        <w:jc w:val="both"/>
        <w:rPr>
          <w:rFonts w:ascii="Verdana" w:eastAsia="Calibri" w:hAnsi="Verdana" w:cs="Arial"/>
          <w:bCs/>
          <w:lang w:val="es-ES" w:eastAsia="es-ES_tradnl"/>
        </w:rPr>
      </w:pPr>
      <w:r w:rsidRPr="00EA41DB">
        <w:rPr>
          <w:rFonts w:ascii="Verdana" w:eastAsia="Calibri" w:hAnsi="Verdana" w:cs="Arial"/>
          <w:bCs/>
          <w:lang w:val="es-ES" w:eastAsia="es-ES_tradnl"/>
        </w:rPr>
        <w:t xml:space="preserve">De acuerdo con la norma en cita, el </w:t>
      </w:r>
      <w:r>
        <w:rPr>
          <w:rFonts w:ascii="Verdana" w:eastAsia="Calibri" w:hAnsi="Verdana" w:cs="Arial"/>
          <w:bCs/>
          <w:lang w:val="es-ES" w:eastAsia="es-ES_tradnl"/>
        </w:rPr>
        <w:t>RUP</w:t>
      </w:r>
      <w:r w:rsidRPr="00EA41DB">
        <w:rPr>
          <w:rFonts w:ascii="Verdana" w:eastAsia="Calibri" w:hAnsi="Verdana" w:cs="Arial"/>
          <w:bCs/>
          <w:lang w:val="es-ES" w:eastAsia="es-ES_tradnl"/>
        </w:rPr>
        <w:t xml:space="preserve"> constituye plena prueba de las condiciones que en él consten y que hayan sido verificadas por las </w:t>
      </w:r>
      <w:r>
        <w:rPr>
          <w:rFonts w:ascii="Verdana" w:eastAsia="Calibri" w:hAnsi="Verdana" w:cs="Arial"/>
          <w:bCs/>
          <w:lang w:val="es-ES" w:eastAsia="es-ES_tradnl"/>
        </w:rPr>
        <w:t>c</w:t>
      </w:r>
      <w:r w:rsidRPr="00EA41DB">
        <w:rPr>
          <w:rFonts w:ascii="Verdana" w:eastAsia="Calibri" w:hAnsi="Verdana" w:cs="Arial"/>
          <w:bCs/>
          <w:lang w:val="es-ES" w:eastAsia="es-ES_tradnl"/>
        </w:rPr>
        <w:t xml:space="preserve">ámaras de </w:t>
      </w:r>
      <w:r>
        <w:rPr>
          <w:rFonts w:ascii="Verdana" w:eastAsia="Calibri" w:hAnsi="Verdana" w:cs="Arial"/>
          <w:bCs/>
          <w:lang w:val="es-ES" w:eastAsia="es-ES_tradnl"/>
        </w:rPr>
        <w:t>c</w:t>
      </w:r>
      <w:r w:rsidRPr="00EA41DB">
        <w:rPr>
          <w:rFonts w:ascii="Verdana" w:eastAsia="Calibri" w:hAnsi="Verdana" w:cs="Arial"/>
          <w:bCs/>
          <w:lang w:val="es-ES" w:eastAsia="es-ES_tradnl"/>
        </w:rPr>
        <w:t xml:space="preserve">omercio. En consecuencia, la acreditación de los requisitos habilitantes previstos en el numeral 1 del artículo 5 de la ley —entre ellos, </w:t>
      </w:r>
      <w:r w:rsidRPr="00EA41DB">
        <w:rPr>
          <w:rFonts w:ascii="Verdana" w:eastAsia="Calibri" w:hAnsi="Verdana" w:cs="Arial"/>
          <w:bCs/>
          <w:i/>
          <w:iCs/>
          <w:lang w:val="es-ES" w:eastAsia="es-ES_tradnl"/>
        </w:rPr>
        <w:t>la experiencia</w:t>
      </w:r>
      <w:r w:rsidRPr="00EA41DB">
        <w:rPr>
          <w:rFonts w:ascii="Verdana" w:eastAsia="Calibri" w:hAnsi="Verdana" w:cs="Arial"/>
          <w:bCs/>
          <w:lang w:val="es-ES" w:eastAsia="es-ES_tradnl"/>
        </w:rPr>
        <w:t>, la capacidad jurídica, financiera y de organización— debe efectuarse exclusivamente mediante el certificado del RUP, en el cual deben figurar dichas condiciones.</w:t>
      </w:r>
    </w:p>
    <w:p w14:paraId="5A9BC03D" w14:textId="77777777" w:rsidR="00E73B55" w:rsidRPr="0093544A" w:rsidRDefault="00E73B55" w:rsidP="00E73B55">
      <w:pPr>
        <w:spacing w:after="120" w:line="276" w:lineRule="auto"/>
        <w:ind w:firstLine="709"/>
        <w:jc w:val="both"/>
        <w:rPr>
          <w:rFonts w:ascii="Verdana" w:eastAsia="Calibri" w:hAnsi="Verdana" w:cs="Arial"/>
        </w:rPr>
      </w:pPr>
      <w:r w:rsidRPr="0093544A">
        <w:rPr>
          <w:rFonts w:ascii="Verdana" w:eastAsia="Calibri" w:hAnsi="Verdana" w:cs="Arial"/>
        </w:rPr>
        <w:t xml:space="preserve">En consecuencia, la norma establece que a las entidades les está prohibido exigir otros documentos para efectuar la inscripción en el registro, salvo lo dispuesto en el inciso 3 del numeral 6.1. del artículo 6 de la Ley 1150 de 2007, en el que se prevé que la entidad podrá verificar requisitos adicionales a los </w:t>
      </w:r>
      <w:r w:rsidRPr="0093544A">
        <w:rPr>
          <w:rFonts w:ascii="Verdana" w:eastAsia="Calibri" w:hAnsi="Verdana" w:cs="Arial"/>
        </w:rPr>
        <w:lastRenderedPageBreak/>
        <w:t xml:space="preserve">contenidos en el registro cuando se requiera en virtud de la naturaleza del objeto a contratar. La norma señala que solo en este último evento la entidad podrá hacer la verificación en forma directa, es decir, cuando por el objeto del contrato se requieran verificar requisitos adicionales a los contenidos en el registro.  </w:t>
      </w:r>
    </w:p>
    <w:p w14:paraId="242ADC33" w14:textId="77777777" w:rsidR="00E73B55" w:rsidRDefault="00E73B55" w:rsidP="00E73B55">
      <w:pPr>
        <w:spacing w:after="120" w:line="276" w:lineRule="auto"/>
        <w:ind w:firstLine="709"/>
        <w:jc w:val="both"/>
        <w:rPr>
          <w:rFonts w:ascii="Verdana" w:eastAsia="Calibri" w:hAnsi="Verdana" w:cs="Arial"/>
        </w:rPr>
      </w:pPr>
      <w:r w:rsidRPr="0093544A">
        <w:rPr>
          <w:rFonts w:ascii="Verdana" w:eastAsia="Calibri" w:hAnsi="Verdana" w:cs="Arial"/>
        </w:rPr>
        <w:t>De lo anterior se concluye que la regla general es que la experiencia se acredite a través del RUP y, en consecuencia, la evaluación de la experiencia, como requisito habilitante, no puede ser realizada nuevamente por la entidad pública a partir de otros criterios distintos a los contenidos en el Registro Único de Proponentes.</w:t>
      </w:r>
      <w:r>
        <w:rPr>
          <w:rFonts w:ascii="Verdana" w:eastAsia="Calibri" w:hAnsi="Verdana" w:cs="Arial"/>
        </w:rPr>
        <w:t xml:space="preserve"> No obstante, existen procesos señalados en la norma donde no es exigible el RUP, principalmente en los procesos de mínima cuantía y contratación directa, entre otros. Allí la entidad realizará la verificación directa del cumplimiento de los requisitos habilitantes por los proponentes.</w:t>
      </w:r>
    </w:p>
    <w:p w14:paraId="1B4E438E" w14:textId="77777777" w:rsidR="00E73B55" w:rsidRPr="007F4296" w:rsidRDefault="00E73B55" w:rsidP="00E73B55">
      <w:pPr>
        <w:spacing w:after="120" w:line="276" w:lineRule="auto"/>
        <w:ind w:firstLine="709"/>
        <w:jc w:val="both"/>
        <w:rPr>
          <w:rFonts w:ascii="Verdana" w:eastAsia="Calibri" w:hAnsi="Verdana" w:cs="Arial"/>
          <w:lang w:eastAsia="es-ES_tradnl"/>
        </w:rPr>
      </w:pPr>
      <w:r w:rsidRPr="007F4296">
        <w:rPr>
          <w:rFonts w:ascii="Verdana" w:eastAsia="Calibri" w:hAnsi="Verdana" w:cs="Arial"/>
          <w:bCs/>
          <w:lang w:val="es-ES" w:eastAsia="es-ES_tradnl"/>
        </w:rPr>
        <w:t xml:space="preserve">En ese sentido, </w:t>
      </w:r>
      <w:r w:rsidRPr="007F4296">
        <w:rPr>
          <w:rFonts w:ascii="Verdana" w:eastAsia="Calibri" w:hAnsi="Verdana" w:cs="Arial"/>
          <w:bCs/>
          <w:lang w:eastAsia="es-ES_tradnl"/>
        </w:rPr>
        <w:t xml:space="preserve">el </w:t>
      </w:r>
      <w:r w:rsidRPr="007F4296">
        <w:rPr>
          <w:rFonts w:ascii="Verdana" w:eastAsia="Calibri" w:hAnsi="Verdana" w:cs="Arial"/>
          <w:lang w:eastAsia="es-ES_tradnl"/>
        </w:rPr>
        <w:t xml:space="preserve">RUP es el instrumento en el cual reposa la información relativa a las personas naturales y jurídicas interesadas en participar en los procedimientos de contratación que adelantan las entidades estatales. Su finalidad es consolidar en un único documento los aspectos relacionados con la </w:t>
      </w:r>
      <w:r w:rsidRPr="007F4296">
        <w:rPr>
          <w:rFonts w:ascii="Verdana" w:eastAsia="Calibri" w:hAnsi="Verdana" w:cs="Arial"/>
          <w:i/>
          <w:iCs/>
          <w:lang w:eastAsia="es-ES_tradnl"/>
        </w:rPr>
        <w:t>experiencia</w:t>
      </w:r>
      <w:r w:rsidRPr="007F4296">
        <w:rPr>
          <w:rFonts w:ascii="Verdana" w:eastAsia="Calibri" w:hAnsi="Verdana" w:cs="Arial"/>
          <w:lang w:eastAsia="es-ES_tradnl"/>
        </w:rPr>
        <w:t>, capacidad jurídica, técnica, financiera y organizacional de los posibles oferentes, con el propósito de facilitar la verificación de sus condiciones de idoneidad.</w:t>
      </w:r>
    </w:p>
    <w:p w14:paraId="24826CD0" w14:textId="77777777" w:rsidR="00E73B55" w:rsidRPr="007F4296" w:rsidRDefault="00E73B55" w:rsidP="00E73B55">
      <w:pPr>
        <w:spacing w:after="0" w:line="276" w:lineRule="auto"/>
        <w:ind w:firstLine="708"/>
        <w:jc w:val="both"/>
        <w:rPr>
          <w:rFonts w:ascii="Verdana" w:eastAsia="Calibri" w:hAnsi="Verdana" w:cs="Arial"/>
          <w:lang w:eastAsia="es-ES_tradnl"/>
        </w:rPr>
      </w:pPr>
      <w:r w:rsidRPr="007F4296">
        <w:rPr>
          <w:rFonts w:ascii="Verdana" w:eastAsia="Calibri" w:hAnsi="Verdana" w:cs="Arial"/>
          <w:lang w:eastAsia="es-ES_tradnl"/>
        </w:rPr>
        <w:t>En línea con lo anterior, el Consejo de Estado ha precisado la naturaleza y finalidad del RUP en los siguientes términos:</w:t>
      </w:r>
    </w:p>
    <w:p w14:paraId="3A953351" w14:textId="77777777" w:rsidR="00E73B55" w:rsidRPr="007F4296" w:rsidRDefault="00E73B55" w:rsidP="00E73B55">
      <w:pPr>
        <w:spacing w:after="0" w:line="276" w:lineRule="auto"/>
        <w:ind w:firstLine="708"/>
        <w:jc w:val="both"/>
        <w:rPr>
          <w:rFonts w:ascii="Verdana" w:eastAsia="Calibri" w:hAnsi="Verdana" w:cs="Arial"/>
          <w:lang w:eastAsia="es-ES_tradnl"/>
        </w:rPr>
      </w:pPr>
    </w:p>
    <w:p w14:paraId="08DE7668" w14:textId="77777777" w:rsidR="00E73B55" w:rsidRPr="00ED3643" w:rsidRDefault="00E73B55" w:rsidP="00E73B55">
      <w:pPr>
        <w:tabs>
          <w:tab w:val="left" w:pos="8505"/>
        </w:tabs>
        <w:spacing w:after="0" w:line="240" w:lineRule="auto"/>
        <w:ind w:left="709" w:right="709"/>
        <w:contextualSpacing/>
        <w:jc w:val="both"/>
        <w:rPr>
          <w:rFonts w:ascii="Verdana" w:hAnsi="Verdana" w:cs="Arial"/>
          <w:color w:val="000000" w:themeColor="text1"/>
          <w:sz w:val="20"/>
          <w:szCs w:val="20"/>
        </w:rPr>
      </w:pPr>
      <w:r w:rsidRPr="00ED3643">
        <w:rPr>
          <w:rFonts w:ascii="Verdana" w:eastAsia="Calibri" w:hAnsi="Verdana" w:cs="Arial"/>
          <w:sz w:val="20"/>
          <w:szCs w:val="20"/>
        </w:rPr>
        <w:t>“</w:t>
      </w:r>
      <w:r w:rsidRPr="00ED3643">
        <w:rPr>
          <w:rFonts w:ascii="Verdana" w:hAnsi="Verdana" w:cs="Arial"/>
          <w:color w:val="000000" w:themeColor="text1"/>
          <w:sz w:val="20"/>
          <w:szCs w:val="20"/>
        </w:rPr>
        <w:t xml:space="preserve">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w:t>
      </w:r>
      <w:r w:rsidRPr="00ED3643">
        <w:rPr>
          <w:rFonts w:ascii="Verdana" w:hAnsi="Verdana" w:cs="Arial"/>
          <w:i/>
          <w:iCs/>
          <w:color w:val="000000" w:themeColor="text1"/>
          <w:sz w:val="20"/>
          <w:szCs w:val="20"/>
        </w:rPr>
        <w:t>experiencia</w:t>
      </w:r>
      <w:r w:rsidRPr="00ED3643">
        <w:rPr>
          <w:rFonts w:ascii="Verdana" w:hAnsi="Verdana" w:cs="Arial"/>
          <w:color w:val="000000" w:themeColor="text1"/>
          <w:sz w:val="20"/>
          <w:szCs w:val="20"/>
        </w:rPr>
        <w:t xml:space="preserve">, capacidad jurídica, capacidad técnica, capacidad de organización y capacidad financiera. En los términos del artículo 22 de la Ley 80 de 1993, todas las </w:t>
      </w:r>
      <w:r w:rsidRPr="00ED3643">
        <w:rPr>
          <w:rFonts w:ascii="Verdana" w:hAnsi="Verdana" w:cs="Arial"/>
          <w:i/>
          <w:iCs/>
          <w:color w:val="000000" w:themeColor="text1"/>
          <w:sz w:val="20"/>
          <w:szCs w:val="20"/>
        </w:rPr>
        <w:t>personas naturales</w:t>
      </w:r>
      <w:r w:rsidRPr="00ED3643">
        <w:rPr>
          <w:rFonts w:ascii="Verdana" w:hAnsi="Verdana" w:cs="Arial"/>
          <w:color w:val="000000" w:themeColor="text1"/>
          <w:sz w:val="20"/>
          <w:szCs w:val="20"/>
        </w:rPr>
        <w:t xml:space="preserve"> o jurídicas </w:t>
      </w:r>
      <w:r w:rsidRPr="00ED3643">
        <w:rPr>
          <w:rFonts w:ascii="Verdana" w:hAnsi="Verdana" w:cs="Arial"/>
          <w:i/>
          <w:iCs/>
          <w:color w:val="000000" w:themeColor="text1"/>
          <w:sz w:val="20"/>
          <w:szCs w:val="20"/>
        </w:rPr>
        <w:t>que aspiren a celebrar dichos contratos con las entidades estatales deberán inscribirse en el Registro de Proponentes de la Cámara de Comercio de su jurisdicción y deberán estar clasificadas y calificadas según lo dispuesto en esta norma</w:t>
      </w:r>
      <w:r w:rsidRPr="00ED3643">
        <w:rPr>
          <w:rFonts w:ascii="Verdana" w:hAnsi="Verdana" w:cs="Arial"/>
          <w:color w:val="000000" w:themeColor="text1"/>
          <w:sz w:val="20"/>
          <w:szCs w:val="20"/>
        </w:rPr>
        <w:t>”</w:t>
      </w:r>
      <w:r w:rsidRPr="00ED3643">
        <w:rPr>
          <w:rFonts w:ascii="Verdana" w:hAnsi="Verdana" w:cs="Arial"/>
          <w:color w:val="000000" w:themeColor="text1"/>
          <w:sz w:val="20"/>
          <w:szCs w:val="20"/>
          <w:vertAlign w:val="superscript"/>
        </w:rPr>
        <w:footnoteReference w:id="3"/>
      </w:r>
      <w:r w:rsidRPr="00ED3643">
        <w:rPr>
          <w:rFonts w:ascii="Verdana" w:hAnsi="Verdana" w:cs="Arial"/>
          <w:color w:val="000000" w:themeColor="text1"/>
          <w:sz w:val="20"/>
          <w:szCs w:val="20"/>
        </w:rPr>
        <w:t>.</w:t>
      </w:r>
      <w:r w:rsidRPr="00ED3643">
        <w:rPr>
          <w:rFonts w:ascii="Verdana" w:eastAsia="Arial" w:hAnsi="Verdana" w:cs="Arial"/>
          <w:sz w:val="20"/>
          <w:szCs w:val="20"/>
          <w:lang w:val="es-ES"/>
        </w:rPr>
        <w:t xml:space="preserve"> [Énfasis fuera de texto]</w:t>
      </w:r>
    </w:p>
    <w:p w14:paraId="59712E4D" w14:textId="77777777" w:rsidR="00E73B55" w:rsidRPr="007F4296" w:rsidRDefault="00E73B55" w:rsidP="00E73B55">
      <w:pPr>
        <w:tabs>
          <w:tab w:val="left" w:pos="8505"/>
        </w:tabs>
        <w:ind w:left="709" w:right="709"/>
        <w:contextualSpacing/>
        <w:jc w:val="both"/>
        <w:rPr>
          <w:rFonts w:ascii="Verdana" w:hAnsi="Verdana" w:cs="Arial"/>
          <w:color w:val="000000" w:themeColor="text1"/>
          <w:sz w:val="21"/>
          <w:szCs w:val="21"/>
        </w:rPr>
      </w:pPr>
    </w:p>
    <w:p w14:paraId="660A147D" w14:textId="77777777" w:rsidR="00E73B55" w:rsidRPr="00297729" w:rsidRDefault="00E73B55" w:rsidP="00E73B55">
      <w:pPr>
        <w:spacing w:after="120" w:line="276" w:lineRule="auto"/>
        <w:ind w:firstLine="708"/>
        <w:jc w:val="both"/>
        <w:rPr>
          <w:rFonts w:ascii="Verdana" w:eastAsia="Calibri" w:hAnsi="Verdana" w:cs="Arial"/>
        </w:rPr>
      </w:pPr>
      <w:r w:rsidRPr="00297729">
        <w:rPr>
          <w:rFonts w:ascii="Verdana" w:eastAsia="Calibri" w:hAnsi="Verdana" w:cs="Arial"/>
        </w:rPr>
        <w:lastRenderedPageBreak/>
        <w:t xml:space="preserve">Ahora bien, </w:t>
      </w:r>
      <w:r>
        <w:rPr>
          <w:rFonts w:ascii="Verdana" w:hAnsi="Verdana" w:cs="Arial"/>
        </w:rPr>
        <w:t>e</w:t>
      </w:r>
      <w:r w:rsidRPr="00297729">
        <w:rPr>
          <w:rFonts w:ascii="Verdana" w:hAnsi="Verdana" w:cs="Arial"/>
        </w:rPr>
        <w:t>n relación con el requisito habilitante de experiencia, l</w:t>
      </w:r>
      <w:r w:rsidRPr="00297729">
        <w:rPr>
          <w:rFonts w:ascii="Verdana" w:eastAsia="Calibri" w:hAnsi="Verdana" w:cs="Arial"/>
        </w:rPr>
        <w:t xml:space="preserve">a Agencia Nacional de Contratación Pública – Colombia Compra Eficiente puso a disposición de los interesados del Sistema de Compra Pública el </w:t>
      </w:r>
      <w:r>
        <w:rPr>
          <w:rFonts w:ascii="Verdana" w:eastAsia="Calibri" w:hAnsi="Verdana" w:cs="Arial"/>
        </w:rPr>
        <w:t>“</w:t>
      </w:r>
      <w:r w:rsidRPr="00297729">
        <w:rPr>
          <w:rFonts w:ascii="Verdana" w:eastAsia="Calibri" w:hAnsi="Verdana" w:cs="Arial"/>
        </w:rPr>
        <w:t>Manual para determinar y verificar requisitos habilitantes en los Procesos de Contratación</w:t>
      </w:r>
      <w:r w:rsidRPr="00582263">
        <w:rPr>
          <w:rFonts w:ascii="Verdana" w:hAnsi="Verdana"/>
          <w:bCs/>
          <w:vertAlign w:val="superscript"/>
          <w:lang w:val="es-ES" w:eastAsia="es-ES_tradnl"/>
        </w:rPr>
        <w:footnoteReference w:id="4"/>
      </w:r>
      <w:r>
        <w:rPr>
          <w:rFonts w:ascii="Verdana" w:eastAsia="Calibri" w:hAnsi="Verdana" w:cs="Arial"/>
        </w:rPr>
        <w:t>”</w:t>
      </w:r>
      <w:r w:rsidRPr="00297729">
        <w:rPr>
          <w:rFonts w:ascii="Verdana" w:eastAsia="Calibri" w:hAnsi="Verdana" w:cs="Arial"/>
        </w:rPr>
        <w:t>. Allí se indica que la experiencia tiene un carácter personal, lo cual significa que esta se obtiene por la participación, con anterioridad, en actividades que le permitieron a alguien conocer cómo ejecutar determinado objeto contractual que la entidad ahora pretende desarrollar</w:t>
      </w:r>
      <w:r w:rsidRPr="00297729">
        <w:rPr>
          <w:rStyle w:val="Refdenotaalpie"/>
          <w:rFonts w:ascii="Verdana" w:eastAsia="Calibri" w:hAnsi="Verdana" w:cs="Arial"/>
        </w:rPr>
        <w:footnoteReference w:id="5"/>
      </w:r>
      <w:r w:rsidRPr="00297729">
        <w:rPr>
          <w:rFonts w:ascii="Verdana" w:eastAsia="Calibri" w:hAnsi="Verdana" w:cs="Arial"/>
        </w:rPr>
        <w:t>.</w:t>
      </w:r>
    </w:p>
    <w:p w14:paraId="2BC0FB6B" w14:textId="77777777" w:rsidR="00E73B55" w:rsidRDefault="00E73B55" w:rsidP="00E73B55">
      <w:pPr>
        <w:spacing w:after="120" w:line="276" w:lineRule="auto"/>
        <w:ind w:firstLine="708"/>
        <w:jc w:val="both"/>
        <w:rPr>
          <w:rFonts w:ascii="Verdana" w:eastAsia="Calibri" w:hAnsi="Verdana" w:cs="Arial"/>
        </w:rPr>
      </w:pPr>
      <w:r w:rsidRPr="0062140E">
        <w:rPr>
          <w:rFonts w:ascii="Verdana" w:eastAsia="Calibri" w:hAnsi="Verdana" w:cs="Arial"/>
        </w:rPr>
        <w:t>Lo anterior es determinante, porque no es posible adquirir la experiencia si en la práctica no se han ejecutado actividades previas. Precisamente, de la experiencia se deriva el conocimiento del proponente, lo cual es importante para la contratación pública, pues ello garantiza que no habrá improvisación ni mayores costos por errores o dificultades originadas en realizar una actividad por primera vez. Adicionalmente, el Manual explica que</w:t>
      </w:r>
      <w:r>
        <w:rPr>
          <w:rFonts w:ascii="Verdana" w:eastAsia="Calibri" w:hAnsi="Verdana" w:cs="Arial"/>
        </w:rPr>
        <w:t xml:space="preserve"> la experiencia</w:t>
      </w:r>
      <w:r w:rsidRPr="0062140E">
        <w:rPr>
          <w:rFonts w:ascii="Verdana" w:eastAsia="Calibri" w:hAnsi="Verdana" w:cs="Arial"/>
        </w:rPr>
        <w:t xml:space="preserve"> </w:t>
      </w:r>
      <w:r w:rsidRPr="00092F95">
        <w:rPr>
          <w:rFonts w:ascii="Verdana" w:eastAsia="Calibri" w:hAnsi="Verdana" w:cs="Arial"/>
        </w:rPr>
        <w:t>puede obtenerse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w:t>
      </w:r>
      <w:r>
        <w:rPr>
          <w:rFonts w:ascii="Verdana" w:eastAsia="Calibri" w:hAnsi="Verdana" w:cs="Arial"/>
        </w:rPr>
        <w:t xml:space="preserve"> </w:t>
      </w:r>
      <w:r w:rsidRPr="0062140E">
        <w:rPr>
          <w:rFonts w:ascii="Verdana" w:eastAsia="Calibri" w:hAnsi="Verdana" w:cs="Arial"/>
        </w:rPr>
        <w:t xml:space="preserve">Por tratarse de esquemas asociativos, en estos casos la experiencia es compartida. </w:t>
      </w:r>
    </w:p>
    <w:p w14:paraId="257A02F4" w14:textId="77777777" w:rsidR="00E73B55" w:rsidRDefault="00E73B55" w:rsidP="00E73B55">
      <w:pPr>
        <w:spacing w:after="0" w:line="276" w:lineRule="auto"/>
        <w:ind w:firstLine="709"/>
        <w:jc w:val="both"/>
        <w:rPr>
          <w:rFonts w:ascii="Verdana" w:eastAsia="Calibri" w:hAnsi="Verdana" w:cs="Arial"/>
        </w:rPr>
      </w:pPr>
      <w:r>
        <w:rPr>
          <w:rFonts w:ascii="Verdana" w:eastAsia="Calibri" w:hAnsi="Verdana" w:cs="Arial"/>
        </w:rPr>
        <w:lastRenderedPageBreak/>
        <w:t>Ahora bien</w:t>
      </w:r>
      <w:r w:rsidRPr="00593D01">
        <w:rPr>
          <w:rFonts w:ascii="Verdana" w:eastAsia="Calibri" w:hAnsi="Verdana" w:cs="Arial"/>
        </w:rPr>
        <w:t>,</w:t>
      </w:r>
      <w:r>
        <w:rPr>
          <w:rFonts w:ascii="Verdana" w:eastAsia="Calibri" w:hAnsi="Verdana" w:cs="Arial"/>
        </w:rPr>
        <w:t xml:space="preserve"> en atención a su consulta, debe señalarse que,</w:t>
      </w:r>
      <w:r w:rsidRPr="00593D01">
        <w:rPr>
          <w:rFonts w:ascii="Verdana" w:eastAsia="Calibri" w:hAnsi="Verdana" w:cs="Arial"/>
        </w:rPr>
        <w:t xml:space="preserve"> el artículo 2.2.1.1.1.5.3 del </w:t>
      </w:r>
      <w:r>
        <w:rPr>
          <w:rFonts w:ascii="Verdana" w:eastAsia="Calibri" w:hAnsi="Verdana" w:cs="Arial"/>
        </w:rPr>
        <w:t>d</w:t>
      </w:r>
      <w:r w:rsidRPr="00593D01">
        <w:rPr>
          <w:rFonts w:ascii="Verdana" w:eastAsia="Calibri" w:hAnsi="Verdana" w:cs="Arial"/>
        </w:rPr>
        <w:t xml:space="preserve">ecreto </w:t>
      </w:r>
      <w:r>
        <w:rPr>
          <w:rFonts w:ascii="Verdana" w:eastAsia="Calibri" w:hAnsi="Verdana" w:cs="Arial"/>
        </w:rPr>
        <w:t xml:space="preserve">1082 de 2015 </w:t>
      </w:r>
      <w:r w:rsidRPr="00593D01">
        <w:rPr>
          <w:rFonts w:ascii="Verdana" w:eastAsia="Calibri" w:hAnsi="Verdana" w:cs="Arial"/>
        </w:rPr>
        <w:t>dispone que las cámaras de comercio deben verificar y certificar, entre otros, el requisito habilitante de experiencia, en los siguientes términos:</w:t>
      </w:r>
      <w:bookmarkStart w:id="10" w:name="2.2.1.1.1.5.3.1"/>
      <w:bookmarkEnd w:id="10"/>
      <w:r>
        <w:rPr>
          <w:rFonts w:ascii="Verdana" w:eastAsia="Calibri" w:hAnsi="Verdana" w:cs="Arial"/>
        </w:rPr>
        <w:t xml:space="preserve"> </w:t>
      </w:r>
    </w:p>
    <w:p w14:paraId="54CFFE44" w14:textId="77777777" w:rsidR="00E73B55" w:rsidRDefault="00E73B55" w:rsidP="00E73B55">
      <w:pPr>
        <w:spacing w:after="0" w:line="276" w:lineRule="auto"/>
        <w:ind w:firstLine="709"/>
        <w:jc w:val="both"/>
        <w:rPr>
          <w:rFonts w:ascii="Verdana" w:eastAsia="Calibri" w:hAnsi="Verdana" w:cs="Arial"/>
        </w:rPr>
      </w:pPr>
    </w:p>
    <w:p w14:paraId="4A5A5650" w14:textId="77777777" w:rsidR="00E73B55" w:rsidRDefault="00E73B55" w:rsidP="00E73B55">
      <w:pPr>
        <w:spacing w:after="0" w:line="240" w:lineRule="auto"/>
        <w:ind w:left="709" w:right="709"/>
        <w:jc w:val="both"/>
        <w:rPr>
          <w:rFonts w:ascii="Verdana" w:eastAsia="Calibri" w:hAnsi="Verdana" w:cs="Arial"/>
          <w:sz w:val="20"/>
          <w:szCs w:val="20"/>
        </w:rPr>
      </w:pPr>
      <w:r>
        <w:rPr>
          <w:rFonts w:ascii="Verdana" w:eastAsia="Calibri" w:hAnsi="Verdana" w:cs="Arial"/>
          <w:sz w:val="20"/>
          <w:szCs w:val="20"/>
        </w:rPr>
        <w:t>“</w:t>
      </w:r>
      <w:r w:rsidRPr="00205483">
        <w:rPr>
          <w:rFonts w:ascii="Verdana" w:eastAsia="Calibri" w:hAnsi="Verdana" w:cs="Arial"/>
          <w:sz w:val="20"/>
          <w:szCs w:val="20"/>
        </w:rPr>
        <w:t>ARTÍCULO 2.2.1.1.1.5.3. Requisitos habilitantes contenidos en el RUP. Las cámaras de comercio, con base en la información a la que hace referencia el artículo anterior, deben verificar y certificar los siguientes requisitos habilitantes:</w:t>
      </w:r>
    </w:p>
    <w:p w14:paraId="06AE0C37" w14:textId="77777777" w:rsidR="00E73B55" w:rsidRDefault="00E73B55" w:rsidP="00E73B55">
      <w:pPr>
        <w:spacing w:after="0" w:line="240" w:lineRule="auto"/>
        <w:ind w:left="709" w:right="709"/>
        <w:jc w:val="both"/>
        <w:rPr>
          <w:rFonts w:ascii="Verdana" w:eastAsia="Calibri" w:hAnsi="Verdana" w:cs="Arial"/>
          <w:sz w:val="20"/>
          <w:szCs w:val="20"/>
        </w:rPr>
      </w:pPr>
    </w:p>
    <w:p w14:paraId="5E174297" w14:textId="77777777" w:rsidR="00E73B55" w:rsidRPr="00EA41DB" w:rsidRDefault="00E73B55" w:rsidP="00E73B55">
      <w:pPr>
        <w:spacing w:after="0" w:line="240" w:lineRule="auto"/>
        <w:ind w:left="709" w:right="709"/>
        <w:jc w:val="both"/>
        <w:rPr>
          <w:rFonts w:ascii="Verdana" w:eastAsia="Calibri" w:hAnsi="Verdana" w:cs="Arial"/>
          <w:sz w:val="20"/>
          <w:szCs w:val="20"/>
        </w:rPr>
      </w:pPr>
      <w:r w:rsidRPr="00EA41DB">
        <w:rPr>
          <w:rFonts w:ascii="Verdana" w:eastAsia="Calibri" w:hAnsi="Verdana" w:cs="Arial"/>
          <w:sz w:val="20"/>
          <w:szCs w:val="20"/>
        </w:rPr>
        <w:t>1. Experiencia - Los contratos celebrados por el interesado para cada uno de los bienes, obras y servicios que ofrecerá a las Entidades Estatales, identificados con el Clasificador de Bienes y Servicios en el tercer nivel y su valor expresado en SMMLV.</w:t>
      </w:r>
    </w:p>
    <w:p w14:paraId="3D6285EE" w14:textId="77777777" w:rsidR="00E73B55" w:rsidRDefault="00E73B55" w:rsidP="00E73B55">
      <w:pPr>
        <w:spacing w:after="0" w:line="240" w:lineRule="auto"/>
        <w:ind w:left="709" w:right="709"/>
        <w:jc w:val="both"/>
        <w:rPr>
          <w:rFonts w:ascii="Verdana" w:eastAsia="Calibri" w:hAnsi="Verdana" w:cs="Arial"/>
          <w:sz w:val="20"/>
          <w:szCs w:val="20"/>
        </w:rPr>
      </w:pPr>
    </w:p>
    <w:p w14:paraId="07B8C498" w14:textId="77777777" w:rsidR="00E73B55" w:rsidRPr="00EA41DB" w:rsidRDefault="00E73B55" w:rsidP="00E73B55">
      <w:pPr>
        <w:spacing w:after="0" w:line="240" w:lineRule="auto"/>
        <w:ind w:left="709" w:right="709"/>
        <w:jc w:val="both"/>
        <w:rPr>
          <w:rFonts w:ascii="Verdana" w:eastAsia="Calibri" w:hAnsi="Verdana" w:cs="Arial"/>
          <w:sz w:val="20"/>
          <w:szCs w:val="20"/>
        </w:rPr>
      </w:pPr>
      <w:r w:rsidRPr="00EA41DB">
        <w:rPr>
          <w:rFonts w:ascii="Verdana" w:eastAsia="Calibri" w:hAnsi="Verdana" w:cs="Arial"/>
          <w:sz w:val="20"/>
          <w:szCs w:val="20"/>
        </w:rPr>
        <w:t>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w:t>
      </w:r>
    </w:p>
    <w:p w14:paraId="565AB97C" w14:textId="77777777" w:rsidR="00E73B55" w:rsidRDefault="00E73B55" w:rsidP="00E73B55">
      <w:pPr>
        <w:spacing w:after="0" w:line="240" w:lineRule="auto"/>
        <w:ind w:left="709" w:right="709"/>
        <w:jc w:val="both"/>
        <w:rPr>
          <w:rFonts w:ascii="Verdana" w:eastAsia="Calibri" w:hAnsi="Verdana" w:cs="Arial"/>
          <w:sz w:val="20"/>
          <w:szCs w:val="20"/>
        </w:rPr>
      </w:pPr>
      <w:r w:rsidRPr="00EA41DB">
        <w:rPr>
          <w:rFonts w:ascii="Verdana" w:eastAsia="Calibri" w:hAnsi="Verdana" w:cs="Arial"/>
          <w:sz w:val="20"/>
          <w:szCs w:val="20"/>
        </w:rPr>
        <w:t>(…)</w:t>
      </w:r>
      <w:r>
        <w:rPr>
          <w:rFonts w:ascii="Verdana" w:eastAsia="Calibri" w:hAnsi="Verdana" w:cs="Arial"/>
          <w:sz w:val="20"/>
          <w:szCs w:val="20"/>
        </w:rPr>
        <w:t>”.</w:t>
      </w:r>
    </w:p>
    <w:p w14:paraId="718AA1B6" w14:textId="77777777" w:rsidR="00E73B55" w:rsidRPr="00767CA0" w:rsidRDefault="00E73B55" w:rsidP="00E73B55">
      <w:pPr>
        <w:spacing w:after="0" w:line="276" w:lineRule="auto"/>
        <w:ind w:left="709" w:right="709"/>
        <w:jc w:val="both"/>
        <w:rPr>
          <w:rFonts w:ascii="Verdana" w:eastAsia="Calibri" w:hAnsi="Verdana" w:cs="Arial"/>
        </w:rPr>
      </w:pPr>
    </w:p>
    <w:p w14:paraId="6E6AB0E2" w14:textId="77777777" w:rsidR="00E73B55" w:rsidRDefault="00E73B55" w:rsidP="00E73B55">
      <w:pPr>
        <w:spacing w:after="120" w:line="276" w:lineRule="auto"/>
        <w:ind w:firstLine="708"/>
        <w:jc w:val="both"/>
        <w:rPr>
          <w:rFonts w:ascii="Verdana" w:eastAsia="Calibri" w:hAnsi="Verdana" w:cs="Arial"/>
        </w:rPr>
      </w:pPr>
      <w:r w:rsidRPr="00290AEC">
        <w:rPr>
          <w:rFonts w:ascii="Verdana" w:eastAsia="Calibri" w:hAnsi="Verdana" w:cs="Arial"/>
        </w:rPr>
        <w:t>En consecuencia, el artículo 2.2.1.1.1.5.3 del Decreto 1082 de 2015 establece que las cámaras de comercio verifican y certifican los requisitos habilitantes en el RUP. En cuanto a la experiencia, esta se acredita con los contratos ejecutados por el proponente —incluidos los realizados en consorcios, uniones temporales o sociedades—, clasificados por bienes, obras o servicios y expresados en SMMLV</w:t>
      </w:r>
      <w:r>
        <w:rPr>
          <w:rFonts w:ascii="Verdana" w:eastAsia="Calibri" w:hAnsi="Verdana" w:cs="Arial"/>
        </w:rPr>
        <w:t>.</w:t>
      </w:r>
    </w:p>
    <w:p w14:paraId="0E10D25A" w14:textId="77777777" w:rsidR="00E73B55" w:rsidRDefault="00E73B55" w:rsidP="00E73B55">
      <w:pPr>
        <w:spacing w:after="120" w:line="276" w:lineRule="auto"/>
        <w:ind w:firstLine="708"/>
        <w:jc w:val="both"/>
        <w:rPr>
          <w:rFonts w:ascii="Verdana" w:eastAsia="Calibri" w:hAnsi="Verdana" w:cs="Arial"/>
        </w:rPr>
      </w:pPr>
      <w:r w:rsidRPr="00B64A80">
        <w:rPr>
          <w:rFonts w:ascii="Verdana" w:eastAsia="Calibri" w:hAnsi="Verdana" w:cs="Arial"/>
        </w:rPr>
        <w:t xml:space="preserve">En este sentido, dichas entidades verifican la información relacionada con la capacidad jurídica, la experiencia, la capacidad financiera y la capacidad de organización del proponente. Para ello, el interesado debe aportar, entre otros, los documentos que acrediten su existencia y representación legal; los certificados de experiencia en la ejecución de contratos, expedidos por terceros o, en su defecto, copias de los mismos; los estados financieros y demás información contable necesaria para determinar su capacidad financiera; y los datos requeridos para establecer su capacidad organizacional. </w:t>
      </w:r>
    </w:p>
    <w:p w14:paraId="3662911A" w14:textId="77777777" w:rsidR="00E73B55" w:rsidRPr="009D05D3" w:rsidRDefault="00E73B55" w:rsidP="00E73B55">
      <w:pPr>
        <w:spacing w:after="120" w:line="276" w:lineRule="auto"/>
        <w:ind w:firstLine="708"/>
        <w:jc w:val="both"/>
        <w:rPr>
          <w:rFonts w:ascii="Verdana" w:eastAsia="Calibri" w:hAnsi="Verdana" w:cs="Arial"/>
        </w:rPr>
      </w:pPr>
      <w:r w:rsidRPr="00B64A80">
        <w:rPr>
          <w:rFonts w:ascii="Verdana" w:eastAsia="Calibri" w:hAnsi="Verdana" w:cs="Arial"/>
        </w:rPr>
        <w:t xml:space="preserve">Esta verificación otorga al certificado del RUP el carácter de plena prueba respecto de las condiciones allí consignadas, las cuales serán las únicas que, por </w:t>
      </w:r>
      <w:r w:rsidRPr="00B64A80">
        <w:rPr>
          <w:rFonts w:ascii="Verdana" w:eastAsia="Calibri" w:hAnsi="Verdana" w:cs="Arial"/>
        </w:rPr>
        <w:lastRenderedPageBreak/>
        <w:t>regla general, pueden ser exigidas por las entidades estatales en los procesos de contratación.</w:t>
      </w:r>
    </w:p>
    <w:p w14:paraId="7E655414" w14:textId="77777777" w:rsidR="00E73B55" w:rsidRDefault="00E73B55" w:rsidP="00E73B55">
      <w:pPr>
        <w:spacing w:after="120" w:line="276" w:lineRule="auto"/>
        <w:ind w:firstLine="709"/>
        <w:jc w:val="both"/>
        <w:rPr>
          <w:rFonts w:ascii="Verdana" w:eastAsia="Calibri" w:hAnsi="Verdana" w:cs="Arial"/>
        </w:rPr>
      </w:pPr>
      <w:r>
        <w:rPr>
          <w:rFonts w:ascii="Verdana" w:eastAsia="Calibri" w:hAnsi="Verdana" w:cs="Arial"/>
          <w:bCs/>
          <w:lang w:eastAsia="es-ES_tradnl"/>
        </w:rPr>
        <w:t xml:space="preserve">En consecuencia, para determinar la validez de la experiencia aportada debe atenderse lo dispuesto en </w:t>
      </w:r>
      <w:r>
        <w:rPr>
          <w:rFonts w:ascii="Verdana" w:eastAsia="Calibri" w:hAnsi="Verdana" w:cs="Arial"/>
        </w:rPr>
        <w:t>el</w:t>
      </w:r>
      <w:r w:rsidRPr="00FA70BB">
        <w:rPr>
          <w:rFonts w:ascii="Verdana" w:eastAsia="Calibri" w:hAnsi="Verdana" w:cs="Arial"/>
        </w:rPr>
        <w:t xml:space="preserve"> artículo 2.2.1.1.1.5.2, numeral 2.5</w:t>
      </w:r>
      <w:r w:rsidRPr="00FA70BB">
        <w:rPr>
          <w:rStyle w:val="Refdenotaalpie"/>
          <w:rFonts w:ascii="Verdana" w:eastAsia="Calibri" w:hAnsi="Verdana" w:cs="Arial"/>
        </w:rPr>
        <w:footnoteReference w:id="6"/>
      </w:r>
      <w:r w:rsidRPr="00FA70BB">
        <w:rPr>
          <w:rFonts w:ascii="Verdana" w:eastAsia="Calibri" w:hAnsi="Verdana" w:cs="Arial"/>
        </w:rPr>
        <w:t xml:space="preserve"> </w:t>
      </w:r>
      <w:r>
        <w:rPr>
          <w:rFonts w:ascii="Verdana" w:eastAsia="Calibri" w:hAnsi="Verdana" w:cs="Arial"/>
        </w:rPr>
        <w:t xml:space="preserve">del </w:t>
      </w:r>
      <w:r w:rsidRPr="00FA70BB">
        <w:rPr>
          <w:rFonts w:ascii="Verdana" w:eastAsia="Calibri" w:hAnsi="Verdana" w:cs="Arial"/>
        </w:rPr>
        <w:t xml:space="preserve">Decreto 1082 de 2015, </w:t>
      </w:r>
      <w:r>
        <w:rPr>
          <w:rFonts w:ascii="Verdana" w:eastAsia="Calibri" w:hAnsi="Verdana" w:cs="Arial"/>
        </w:rPr>
        <w:t xml:space="preserve">que </w:t>
      </w:r>
      <w:r w:rsidRPr="00FA70BB">
        <w:rPr>
          <w:rFonts w:ascii="Verdana" w:eastAsia="Calibri" w:hAnsi="Verdana" w:cs="Arial"/>
        </w:rPr>
        <w:t>señala</w:t>
      </w:r>
      <w:r>
        <w:rPr>
          <w:rFonts w:ascii="Verdana" w:eastAsia="Calibri" w:hAnsi="Verdana" w:cs="Arial"/>
        </w:rPr>
        <w:t>:</w:t>
      </w:r>
      <w:r w:rsidRPr="00FA70BB">
        <w:rPr>
          <w:rFonts w:ascii="Verdana" w:eastAsia="Calibri" w:hAnsi="Verdana" w:cs="Arial"/>
        </w:rPr>
        <w:t xml:space="preserve"> la persona jurídica se registrará aportando los certificados de la experiencia en la provisión de los bienes, obras y servicios que ofrecerá a las entidades estatales, </w:t>
      </w:r>
      <w:r w:rsidRPr="00026E4C">
        <w:rPr>
          <w:rFonts w:ascii="Verdana" w:eastAsia="Calibri" w:hAnsi="Verdana" w:cs="Arial"/>
          <w:i/>
          <w:iCs/>
        </w:rPr>
        <w:t>los cuales deben ser expedidos por terceros que hayan recibido tales bienes, obras o servicios</w:t>
      </w:r>
      <w:r w:rsidRPr="00FA70BB">
        <w:rPr>
          <w:rFonts w:ascii="Verdana" w:eastAsia="Calibri" w:hAnsi="Verdana" w:cs="Arial"/>
        </w:rPr>
        <w:t xml:space="preserve">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p>
    <w:p w14:paraId="105787F8" w14:textId="77777777" w:rsidR="00E73B55" w:rsidRDefault="00E73B55" w:rsidP="00E73B55">
      <w:pPr>
        <w:spacing w:before="120" w:after="120" w:line="276" w:lineRule="auto"/>
        <w:ind w:firstLine="709"/>
        <w:jc w:val="both"/>
        <w:rPr>
          <w:rFonts w:ascii="Verdana" w:eastAsia="Calibri" w:hAnsi="Verdana" w:cs="Arial"/>
        </w:rPr>
      </w:pPr>
      <w:r w:rsidRPr="00ED7CE7">
        <w:rPr>
          <w:rFonts w:ascii="Verdana" w:eastAsia="Calibri" w:hAnsi="Verdana" w:cs="Arial"/>
        </w:rPr>
        <w:t xml:space="preserve">En este contexto, </w:t>
      </w:r>
      <w:r w:rsidRPr="00921447">
        <w:rPr>
          <w:rFonts w:ascii="Verdana" w:eastAsia="Calibri" w:hAnsi="Verdana" w:cs="Arial"/>
        </w:rPr>
        <w:t>es importante precisar que la función de las cámaras de comercio se limita a una verificación formal y objetiva de la información aportada, sin que les corresponda realizar valoraciones subjetivas sobre la calidad o idoneidad de la experiencia. Así mismo, la experiencia inscrita en el RUP constituye el referente válido para acreditar este requisito habilitante ante las entidades estatales, quienes, por regla general, deben ceñirse a la información allí certificada, sin perjuicio de las facultades de verificación y control que les asisten durante los procesos de contratación.</w:t>
      </w:r>
    </w:p>
    <w:p w14:paraId="0907DC96" w14:textId="77777777" w:rsidR="00E73B55" w:rsidRPr="00767CA0" w:rsidRDefault="00E73B55" w:rsidP="00E73B55">
      <w:pPr>
        <w:spacing w:after="120" w:line="276" w:lineRule="auto"/>
        <w:ind w:firstLine="708"/>
        <w:jc w:val="both"/>
        <w:rPr>
          <w:rFonts w:ascii="Verdana" w:eastAsia="Times New Roman" w:hAnsi="Verdana" w:cs="Times New Roman"/>
          <w:lang w:eastAsia="es-ES_tradnl"/>
        </w:rPr>
      </w:pPr>
      <w:r w:rsidRPr="0021170A">
        <w:rPr>
          <w:rFonts w:ascii="Verdana" w:eastAsia="Calibri" w:hAnsi="Verdana" w:cs="Arial"/>
        </w:rPr>
        <w:t xml:space="preserve">En todo caso se debe recordar que, </w:t>
      </w:r>
      <w:r>
        <w:rPr>
          <w:rFonts w:ascii="Verdana" w:eastAsia="Times New Roman" w:hAnsi="Verdana" w:cs="Times New Roman"/>
          <w:lang w:eastAsia="es-ES_tradnl"/>
        </w:rPr>
        <w:t>e</w:t>
      </w:r>
      <w:r w:rsidRPr="00767CA0">
        <w:rPr>
          <w:rFonts w:ascii="Verdana" w:eastAsia="Times New Roman" w:hAnsi="Verdana" w:cs="Times New Roman"/>
          <w:lang w:eastAsia="es-ES_tradnl"/>
        </w:rPr>
        <w:t xml:space="preserve">l artículo 6.3 de la Ley 1150 de 2007 regula la impugnación del acto de inscripción de información en el RUP, para que cualquier persona presente recurso de reposición durante los diez (10) días hábiles siguientes a su publicación, tiempo después del cual el acto administrativo adquiere firmeza y será oponible a terceros, adquiriendo su presunción de legalidad, siempre que durante el término indicado no se presenten recursos. Si ocurre lo último, para que el acto de inscripción o </w:t>
      </w:r>
      <w:r w:rsidRPr="00767CA0">
        <w:rPr>
          <w:rFonts w:ascii="Verdana" w:eastAsia="Times New Roman" w:hAnsi="Verdana" w:cs="Times New Roman"/>
          <w:lang w:eastAsia="es-ES_tradnl"/>
        </w:rPr>
        <w:lastRenderedPageBreak/>
        <w:t>renovación quede en firme, o que la actualización de la nueva información adquiera firmeza, será necesario que se resuelvan dichos recursos. En efecto, las normas que regulan las anteriores actuaciones deben complementarse en lo no regulado en el artículo 6 de la Ley 1150 de 2007, con las disposiciones del Código de procedimiento Administrativo y de lo Contencioso Administrativo –CPACA–, entre las que se encuentran los artículos 87 a 89, en virtud de lo establecido en el artículo 2 del mismo Código</w:t>
      </w:r>
      <w:r>
        <w:rPr>
          <w:rFonts w:ascii="Verdana" w:eastAsia="Times New Roman" w:hAnsi="Verdana" w:cs="Times New Roman"/>
          <w:lang w:eastAsia="es-ES_tradnl"/>
        </w:rPr>
        <w:t>.</w:t>
      </w:r>
    </w:p>
    <w:p w14:paraId="0DA60F68" w14:textId="77777777" w:rsidR="00E73B55" w:rsidRPr="009111FE" w:rsidRDefault="00E73B55" w:rsidP="00E73B55">
      <w:pPr>
        <w:spacing w:before="120" w:after="120" w:line="276" w:lineRule="auto"/>
        <w:ind w:firstLine="709"/>
        <w:jc w:val="both"/>
        <w:rPr>
          <w:rFonts w:ascii="Verdana" w:eastAsia="Calibri" w:hAnsi="Verdana" w:cs="Arial"/>
        </w:rPr>
      </w:pPr>
      <w:r w:rsidRPr="009111FE">
        <w:rPr>
          <w:rFonts w:ascii="Verdana" w:eastAsia="Calibri" w:hAnsi="Verdana" w:cs="Arial"/>
        </w:rPr>
        <w:t>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w:t>
      </w:r>
    </w:p>
    <w:p w14:paraId="36A9C300" w14:textId="77777777" w:rsidR="00E73B55" w:rsidRPr="006E57E6" w:rsidRDefault="00E73B55" w:rsidP="00E73B55">
      <w:pPr>
        <w:spacing w:before="120" w:after="0" w:line="276" w:lineRule="auto"/>
        <w:ind w:firstLine="709"/>
        <w:jc w:val="both"/>
        <w:rPr>
          <w:rFonts w:ascii="Verdana" w:eastAsia="Calibri" w:hAnsi="Verdana" w:cs="Arial"/>
        </w:rPr>
      </w:pPr>
      <w:r w:rsidRPr="006E57E6">
        <w:rPr>
          <w:rStyle w:val="s15"/>
          <w:rFonts w:ascii="Verdana" w:hAnsi="Verdana"/>
          <w:color w:val="000000"/>
        </w:rPr>
        <w:t>Al margen de la explicación precedente debe advertirse que el análisis requerido para resolver problemas específicos en torno a la gestión contractual debe ser realizado por quienes tengan interés en ello.</w:t>
      </w:r>
      <w:r w:rsidRPr="006E57E6">
        <w:rPr>
          <w:rStyle w:val="apple-converted-space"/>
          <w:rFonts w:ascii="Verdana" w:hAnsi="Verdana"/>
          <w:color w:val="000000"/>
        </w:rPr>
        <w:t> </w:t>
      </w:r>
      <w:r w:rsidRPr="006E57E6">
        <w:rPr>
          <w:rStyle w:val="s15"/>
          <w:rFonts w:ascii="Verdana" w:hAnsi="Verdana"/>
          <w:color w:val="000000"/>
        </w:rPr>
        <w:t>Por lo anterior, previo</w:t>
      </w:r>
      <w:r w:rsidRPr="006E57E6">
        <w:rPr>
          <w:rStyle w:val="apple-converted-space"/>
          <w:rFonts w:ascii="Verdana" w:hAnsi="Verdana"/>
          <w:color w:val="000000"/>
        </w:rPr>
        <w:t> </w:t>
      </w:r>
      <w:r w:rsidRPr="006E57E6">
        <w:rPr>
          <w:rStyle w:val="s15"/>
          <w:rFonts w:ascii="Verdana" w:hAnsi="Verdana"/>
          <w:color w:val="000000"/>
        </w:rPr>
        <w:t xml:space="preserve">concepto de sus asesores, la solución de situaciones particulares corresponde a los interesados adoptar la decisión correspondiente y, en caso de conflicto, a las autoridades judiciales, fiscales y disciplinarias. Así, cada partícipe del Sistema de Compra Pública definirá la forma de adelantar su gestión contractual, sin que sea atribución de Colombia Compra Eficiente validar sus </w:t>
      </w:r>
      <w:r w:rsidRPr="006E57E6">
        <w:rPr>
          <w:rFonts w:ascii="Verdana" w:eastAsia="Calibri" w:hAnsi="Verdana" w:cs="Arial"/>
        </w:rPr>
        <w:t>actuaciones.</w:t>
      </w:r>
    </w:p>
    <w:bookmarkEnd w:id="8"/>
    <w:bookmarkEnd w:id="9"/>
    <w:p w14:paraId="29AAB603" w14:textId="77777777" w:rsidR="00E73B55" w:rsidRPr="005B31B3" w:rsidRDefault="00E73B55" w:rsidP="00E73B55">
      <w:pPr>
        <w:widowControl w:val="0"/>
        <w:autoSpaceDE w:val="0"/>
        <w:autoSpaceDN w:val="0"/>
        <w:spacing w:after="0" w:line="276" w:lineRule="auto"/>
        <w:jc w:val="both"/>
        <w:rPr>
          <w:rFonts w:ascii="Verdana" w:hAnsi="Verdana" w:cs="Arial"/>
          <w:lang w:eastAsia="es-ES"/>
        </w:rPr>
      </w:pPr>
    </w:p>
    <w:bookmarkEnd w:id="4"/>
    <w:bookmarkEnd w:id="5"/>
    <w:p w14:paraId="151550DB" w14:textId="77777777" w:rsidR="00E73B55" w:rsidRPr="005B31B3" w:rsidRDefault="00E73B55" w:rsidP="00E73B55">
      <w:pPr>
        <w:tabs>
          <w:tab w:val="left" w:pos="142"/>
          <w:tab w:val="left" w:pos="284"/>
        </w:tabs>
        <w:spacing w:after="0" w:line="276" w:lineRule="auto"/>
        <w:rPr>
          <w:rFonts w:ascii="Verdana" w:eastAsia="Century Gothic" w:hAnsi="Verdana" w:cs="Century Gothic"/>
          <w:b/>
          <w:bCs/>
        </w:rPr>
      </w:pPr>
      <w:r w:rsidRPr="005B31B3">
        <w:rPr>
          <w:rFonts w:ascii="Verdana" w:eastAsia="Century Gothic" w:hAnsi="Verdana" w:cs="Century Gothic"/>
          <w:b/>
          <w:bCs/>
        </w:rPr>
        <w:t>4. Referencias normativas:</w:t>
      </w:r>
    </w:p>
    <w:bookmarkEnd w:id="6"/>
    <w:p w14:paraId="6DCBAB23" w14:textId="77777777" w:rsidR="00E73B55" w:rsidRPr="005B31B3" w:rsidRDefault="00E73B55" w:rsidP="00E73B5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73B55" w:rsidRPr="005B31B3" w14:paraId="6B97B55D" w14:textId="77777777" w:rsidTr="004E38C5">
        <w:trPr>
          <w:trHeight w:val="870"/>
          <w:jc w:val="center"/>
        </w:trPr>
        <w:tc>
          <w:tcPr>
            <w:tcW w:w="8647" w:type="dxa"/>
          </w:tcPr>
          <w:p w14:paraId="397145CA" w14:textId="77777777" w:rsidR="00E73B55" w:rsidRPr="005B31B3" w:rsidRDefault="00E73B55" w:rsidP="00E73B55">
            <w:pPr>
              <w:widowControl w:val="0"/>
              <w:numPr>
                <w:ilvl w:val="0"/>
                <w:numId w:val="3"/>
              </w:numPr>
              <w:autoSpaceDE w:val="0"/>
              <w:autoSpaceDN w:val="0"/>
              <w:spacing w:line="276" w:lineRule="auto"/>
              <w:jc w:val="both"/>
              <w:rPr>
                <w:rFonts w:ascii="Verdana" w:hAnsi="Verdana" w:cs="Arial"/>
                <w:lang w:val="es-ES"/>
              </w:rPr>
            </w:pPr>
            <w:r w:rsidRPr="005B31B3">
              <w:rPr>
                <w:rFonts w:ascii="Verdana" w:hAnsi="Verdana" w:cs="Arial"/>
                <w:lang w:val="es-ES"/>
              </w:rPr>
              <w:t>Ley 1150 de 2007, artículos 5 y 6.</w:t>
            </w:r>
          </w:p>
          <w:p w14:paraId="498F3BC3" w14:textId="77777777" w:rsidR="00E73B55" w:rsidRPr="005B31B3" w:rsidRDefault="00E73B55" w:rsidP="00E73B55">
            <w:pPr>
              <w:widowControl w:val="0"/>
              <w:numPr>
                <w:ilvl w:val="0"/>
                <w:numId w:val="3"/>
              </w:numPr>
              <w:autoSpaceDE w:val="0"/>
              <w:autoSpaceDN w:val="0"/>
              <w:spacing w:line="276" w:lineRule="auto"/>
              <w:jc w:val="both"/>
              <w:rPr>
                <w:rFonts w:ascii="Verdana" w:hAnsi="Verdana" w:cs="Arial"/>
                <w:lang w:val="es-ES"/>
              </w:rPr>
            </w:pPr>
            <w:r w:rsidRPr="005B31B3">
              <w:rPr>
                <w:rFonts w:ascii="Verdana" w:hAnsi="Verdana" w:cs="Arial"/>
                <w:lang w:val="es-ES"/>
              </w:rPr>
              <w:t>Decreto 1082 de 2015, artículos 2.2.1.1.1.5.1. y 2.2.1.1.1.5.2.</w:t>
            </w:r>
          </w:p>
          <w:p w14:paraId="16F47877" w14:textId="77777777" w:rsidR="00E73B55" w:rsidRPr="005B31B3" w:rsidRDefault="00E73B55" w:rsidP="00E73B55">
            <w:pPr>
              <w:widowControl w:val="0"/>
              <w:numPr>
                <w:ilvl w:val="0"/>
                <w:numId w:val="3"/>
              </w:numPr>
              <w:autoSpaceDE w:val="0"/>
              <w:autoSpaceDN w:val="0"/>
              <w:spacing w:line="276" w:lineRule="auto"/>
              <w:jc w:val="both"/>
              <w:rPr>
                <w:rFonts w:ascii="Verdana" w:hAnsi="Verdana" w:cs="Arial"/>
                <w:lang w:val="es-ES"/>
              </w:rPr>
            </w:pPr>
            <w:r w:rsidRPr="005B31B3">
              <w:rPr>
                <w:rFonts w:ascii="Verdana" w:hAnsi="Verdana" w:cs="Arial"/>
              </w:rPr>
              <w:t xml:space="preserve">Consejo de Estado. Sección Tercera. Subsección B. Sentencia del 6 de junio de 2013. </w:t>
            </w:r>
            <w:proofErr w:type="spellStart"/>
            <w:r w:rsidRPr="005B31B3">
              <w:rPr>
                <w:rFonts w:ascii="Verdana" w:hAnsi="Verdana" w:cs="Arial"/>
              </w:rPr>
              <w:t>Exp</w:t>
            </w:r>
            <w:proofErr w:type="spellEnd"/>
            <w:r w:rsidRPr="005B31B3">
              <w:rPr>
                <w:rFonts w:ascii="Verdana" w:hAnsi="Verdana" w:cs="Arial"/>
              </w:rPr>
              <w:t>. 25151. C.P. Stella Conto Díaz del Castillo.</w:t>
            </w:r>
          </w:p>
          <w:p w14:paraId="3BBE31CA" w14:textId="77777777" w:rsidR="00E73B55" w:rsidRPr="005B31B3" w:rsidRDefault="00E73B55" w:rsidP="00E73B55">
            <w:pPr>
              <w:widowControl w:val="0"/>
              <w:numPr>
                <w:ilvl w:val="0"/>
                <w:numId w:val="3"/>
              </w:numPr>
              <w:autoSpaceDE w:val="0"/>
              <w:autoSpaceDN w:val="0"/>
              <w:spacing w:line="276" w:lineRule="auto"/>
              <w:jc w:val="both"/>
              <w:rPr>
                <w:rFonts w:ascii="Verdana" w:hAnsi="Verdana" w:cs="Arial"/>
                <w:lang w:val="es-ES"/>
              </w:rPr>
            </w:pPr>
            <w:r w:rsidRPr="005B31B3">
              <w:rPr>
                <w:rFonts w:ascii="Verdana" w:hAnsi="Verdana" w:cs="Arial"/>
                <w:lang w:val="es-ES"/>
              </w:rPr>
              <w:t xml:space="preserve">Consejo de Estado. Sección Tercera. Subsección A. Sentencia del 12 de febrero de 2014. </w:t>
            </w:r>
            <w:proofErr w:type="spellStart"/>
            <w:r w:rsidRPr="005B31B3">
              <w:rPr>
                <w:rFonts w:ascii="Verdana" w:hAnsi="Verdana" w:cs="Arial"/>
                <w:lang w:val="es-ES"/>
              </w:rPr>
              <w:t>Exp</w:t>
            </w:r>
            <w:proofErr w:type="spellEnd"/>
            <w:r w:rsidRPr="005B31B3">
              <w:rPr>
                <w:rFonts w:ascii="Verdana" w:hAnsi="Verdana" w:cs="Arial"/>
                <w:lang w:val="es-ES"/>
              </w:rPr>
              <w:t>. 31.753. C.P. Mauricio Fajardo Gómez.</w:t>
            </w:r>
          </w:p>
          <w:p w14:paraId="0A88F3F1" w14:textId="77777777" w:rsidR="00E73B55" w:rsidRPr="005B31B3" w:rsidRDefault="00E73B55" w:rsidP="00E73B55">
            <w:pPr>
              <w:widowControl w:val="0"/>
              <w:numPr>
                <w:ilvl w:val="0"/>
                <w:numId w:val="3"/>
              </w:numPr>
              <w:autoSpaceDE w:val="0"/>
              <w:autoSpaceDN w:val="0"/>
              <w:spacing w:line="276" w:lineRule="auto"/>
              <w:jc w:val="both"/>
              <w:rPr>
                <w:rFonts w:ascii="Verdana" w:hAnsi="Verdana" w:cs="Arial"/>
                <w:lang w:val="es-ES"/>
              </w:rPr>
            </w:pPr>
            <w:r w:rsidRPr="005B31B3">
              <w:rPr>
                <w:rFonts w:ascii="Verdana" w:hAnsi="Verdana" w:cs="Arial"/>
                <w:lang w:val="es-ES"/>
              </w:rPr>
              <w:t>Consejo de Estado. Sala de Consulta y Servicio Civil. Consulta del 20 de mayo de 2010. Exp.1992. C. P. Enrique José Arboleda Perdomo</w:t>
            </w:r>
          </w:p>
          <w:p w14:paraId="43032B0F" w14:textId="77777777" w:rsidR="00E73B55" w:rsidRPr="005B31B3" w:rsidRDefault="00E73B55" w:rsidP="00E73B55">
            <w:pPr>
              <w:pStyle w:val="Prrafodelista"/>
              <w:numPr>
                <w:ilvl w:val="0"/>
                <w:numId w:val="3"/>
              </w:numPr>
              <w:spacing w:line="276" w:lineRule="auto"/>
              <w:contextualSpacing w:val="0"/>
              <w:jc w:val="both"/>
              <w:rPr>
                <w:rFonts w:ascii="Verdana" w:hAnsi="Verdana" w:cs="Arial"/>
                <w:color w:val="000000" w:themeColor="text1"/>
              </w:rPr>
            </w:pPr>
            <w:r w:rsidRPr="005B31B3">
              <w:rPr>
                <w:rFonts w:ascii="Verdana" w:hAnsi="Verdana" w:cs="Arial"/>
              </w:rPr>
              <w:lastRenderedPageBreak/>
              <w:t>DÁVILA VINUEZA, Luis Guillermo. Régimen jurídico de la contratación estatal. Tercera edición, Bogotá: Legis, 2016.</w:t>
            </w:r>
          </w:p>
        </w:tc>
      </w:tr>
    </w:tbl>
    <w:p w14:paraId="3615A599" w14:textId="77777777" w:rsidR="00E73B55" w:rsidRPr="005B31B3" w:rsidRDefault="00E73B55" w:rsidP="00E73B55">
      <w:pPr>
        <w:widowControl w:val="0"/>
        <w:autoSpaceDE w:val="0"/>
        <w:autoSpaceDN w:val="0"/>
        <w:spacing w:after="0" w:line="276" w:lineRule="auto"/>
        <w:jc w:val="both"/>
        <w:rPr>
          <w:rFonts w:ascii="Verdana" w:hAnsi="Verdana" w:cs="Arial"/>
        </w:rPr>
      </w:pPr>
    </w:p>
    <w:p w14:paraId="777EBF50" w14:textId="77777777" w:rsidR="00E73B55" w:rsidRPr="005B31B3" w:rsidRDefault="00E73B55" w:rsidP="00E73B55">
      <w:pPr>
        <w:tabs>
          <w:tab w:val="left" w:pos="142"/>
          <w:tab w:val="left" w:pos="284"/>
        </w:tabs>
        <w:spacing w:after="0" w:line="276" w:lineRule="auto"/>
        <w:jc w:val="both"/>
        <w:rPr>
          <w:rFonts w:ascii="Verdana" w:eastAsia="Century Gothic" w:hAnsi="Verdana" w:cs="Century Gothic"/>
          <w:b/>
          <w:bCs/>
        </w:rPr>
      </w:pPr>
      <w:r w:rsidRPr="005B31B3">
        <w:rPr>
          <w:rFonts w:ascii="Verdana" w:eastAsia="Century Gothic" w:hAnsi="Verdana" w:cs="Century Gothic"/>
          <w:b/>
          <w:bCs/>
        </w:rPr>
        <w:t>5. Doctrina de la Agencia Nacional de Contratación Pública:</w:t>
      </w:r>
    </w:p>
    <w:p w14:paraId="547E4D02" w14:textId="77777777" w:rsidR="00E73B55" w:rsidRPr="002234CA" w:rsidRDefault="00E73B55" w:rsidP="00E73B55">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0C5D239D" w14:textId="77777777" w:rsidR="00E73B55" w:rsidRPr="005B31B3" w:rsidRDefault="00E73B55" w:rsidP="00E73B55">
      <w:pPr>
        <w:widowControl w:val="0"/>
        <w:autoSpaceDE w:val="0"/>
        <w:autoSpaceDN w:val="0"/>
        <w:spacing w:after="0" w:line="276" w:lineRule="auto"/>
        <w:jc w:val="both"/>
        <w:rPr>
          <w:rStyle w:val="normaltextrun"/>
          <w:rFonts w:ascii="Verdana" w:hAnsi="Verdana" w:cs="Arial"/>
          <w:shd w:val="clear" w:color="auto" w:fill="FFFFFF"/>
          <w:lang w:val="es-ES"/>
        </w:rPr>
      </w:pPr>
      <w:r w:rsidRPr="0021170A">
        <w:rPr>
          <w:rFonts w:ascii="Verdana" w:eastAsia="Calibri" w:hAnsi="Verdana" w:cs="Arial"/>
          <w:lang w:val="es-ES_tradnl" w:eastAsia="es-ES_tradnl"/>
        </w:rPr>
        <w:t xml:space="preserve">Sobre la experiencia </w:t>
      </w:r>
      <w:r w:rsidRPr="005B31B3">
        <w:rPr>
          <w:rFonts w:ascii="Verdana" w:eastAsia="Calibri" w:hAnsi="Verdana" w:cs="Arial"/>
          <w:lang w:val="es-ES_tradnl" w:eastAsia="es-ES_tradnl"/>
        </w:rPr>
        <w:t xml:space="preserve">y requisitos habilitantes, esta Subdirección se ha pronunciado en los conceptos </w:t>
      </w:r>
      <w:r w:rsidRPr="005B31B3">
        <w:rPr>
          <w:rFonts w:ascii="Verdana" w:hAnsi="Verdana" w:cs="Arial"/>
          <w:bCs/>
          <w:shd w:val="clear" w:color="auto" w:fill="FFFFFF"/>
          <w:lang w:val="es-ES"/>
        </w:rPr>
        <w:t>C-868 del 19 de diciembre de 2022, C-877 del 26 de diciembre de 2022, C-417 del 27 de septiembre de 2023, C-432 del 23 de octubre de 2023, C-174 del 23 de julio de 2024, C- 530 del 4 de octubre de 2024, C-595 del 24 de octubre 2024, C-648 del 6 de noviembre 2024, C-116 del 11 de marzo de 2025, C-275 del 10 de abril de 2025, C- 397 del 7 de mayo de 2025, C-659 del 7 de julio de 2025, C-1355 del 29 de octubre de 2025, C-121 del 4 de marzo de 2026, entre otros</w:t>
      </w:r>
      <w:r w:rsidRPr="005B31B3">
        <w:rPr>
          <w:rFonts w:ascii="Verdana" w:eastAsia="Calibri" w:hAnsi="Verdana" w:cs="Arial"/>
          <w:shd w:val="clear" w:color="auto" w:fill="FFFFFF"/>
          <w:lang w:val="es-ES"/>
        </w:rPr>
        <w:t xml:space="preserve">. </w:t>
      </w:r>
      <w:r w:rsidRPr="005B31B3">
        <w:rPr>
          <w:rFonts w:ascii="Verdana" w:eastAsia="Aptos" w:hAnsi="Verdana" w:cs="Arial"/>
          <w:color w:val="000000"/>
          <w:shd w:val="clear" w:color="auto" w:fill="FFFFFF"/>
          <w:lang w:val="es-ES_tradnl"/>
        </w:rPr>
        <w:t xml:space="preserve">Sobre las problemáticas asociadas al RUP, relacionadas con la firmeza de la inscripción, renovación y actualización, se pronunció esta Subdirección en los conceptos C–005  del 14 de febrero de 2020, C–148 del 22 de abril de 2020, C–330 del 27 de mayo de 2020, C–303 del 3 de junio de 2020, C–328 de 30 de junio de 2020, C–454 del 6 de julio de 2020, C–374 del 23 de julio de 2020, C–466 del 24 de julio de 2020, C–420 del 28 de julio de 2020, C–534 del 12 de agosto de 2020, C-703 del 12 de enero de 2022, C-360 del 25 de mayo de 2022, C-426 del 5 de julio de 2022, C-353 del 30 de agosto de 2024 y C-1479 del 27 de octubre de 2025, C-116 del 13 de febrero de 2026, entre otros. </w:t>
      </w:r>
      <w:r w:rsidRPr="005B31B3">
        <w:rPr>
          <w:rStyle w:val="normaltextrun"/>
          <w:rFonts w:ascii="Verdana" w:hAnsi="Verdana" w:cs="Arial"/>
          <w:shd w:val="clear" w:color="auto" w:fill="FFFFFF"/>
          <w:lang w:val="es-ES"/>
        </w:rPr>
        <w:t>Es</w:t>
      </w:r>
      <w:r w:rsidRPr="005B31B3">
        <w:rPr>
          <w:rFonts w:ascii="Verdana" w:hAnsi="Verdana"/>
        </w:rPr>
        <w:t>tos y otros conceptos se encuentran disponibles para consulta en el Sistema de relatoría de la Agencia, al cual se puede acceder a través del siguiente enlace:</w:t>
      </w:r>
      <w:r w:rsidRPr="005B31B3">
        <w:rPr>
          <w:rStyle w:val="normaltextrun"/>
          <w:rFonts w:ascii="Verdana" w:hAnsi="Verdana" w:cs="Arial"/>
          <w:shd w:val="clear" w:color="auto" w:fill="FFFFFF"/>
          <w:lang w:val="es-ES"/>
        </w:rPr>
        <w:t xml:space="preserve"> </w:t>
      </w:r>
      <w:hyperlink r:id="rId9" w:history="1">
        <w:r w:rsidRPr="005B31B3">
          <w:rPr>
            <w:rStyle w:val="Hipervnculo"/>
            <w:rFonts w:ascii="Verdana" w:hAnsi="Verdana" w:cs="Arial"/>
            <w:shd w:val="clear" w:color="auto" w:fill="FFFFFF"/>
            <w:lang w:val="es-ES"/>
          </w:rPr>
          <w:t>https://relatoria.colombiacompra.gov.co/busqueda/conceptos</w:t>
        </w:r>
      </w:hyperlink>
      <w:r w:rsidRPr="005B31B3">
        <w:rPr>
          <w:rStyle w:val="normaltextrun"/>
          <w:rFonts w:ascii="Verdana" w:hAnsi="Verdana" w:cs="Arial"/>
          <w:shd w:val="clear" w:color="auto" w:fill="FFFFFF"/>
          <w:lang w:val="es-ES"/>
        </w:rPr>
        <w:t xml:space="preserve">. </w:t>
      </w:r>
    </w:p>
    <w:p w14:paraId="6C2C085D" w14:textId="77777777" w:rsidR="00E73B55" w:rsidRPr="005B31B3" w:rsidRDefault="00E73B55" w:rsidP="00E73B55">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5B31B3">
        <w:rPr>
          <w:rStyle w:val="normaltextrun"/>
          <w:rFonts w:ascii="Verdana" w:hAnsi="Verdana" w:cs="Arial"/>
          <w:color w:val="000000" w:themeColor="text1"/>
          <w:shd w:val="clear" w:color="auto" w:fill="FFFFFF"/>
          <w:lang w:val="es-ES"/>
        </w:rPr>
        <w:t xml:space="preserve">  </w:t>
      </w:r>
    </w:p>
    <w:p w14:paraId="7049B8D1" w14:textId="77777777" w:rsidR="00E73B55" w:rsidRDefault="00E73B55" w:rsidP="00E73B55">
      <w:pPr>
        <w:spacing w:after="0" w:line="276" w:lineRule="auto"/>
        <w:jc w:val="both"/>
        <w:rPr>
          <w:rFonts w:ascii="Verdana" w:hAnsi="Verdana"/>
        </w:rPr>
      </w:pPr>
      <w:r w:rsidRPr="005B31B3">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7440C75" w14:textId="77777777" w:rsidR="00E73B55" w:rsidRPr="002234CA" w:rsidRDefault="00E73B55" w:rsidP="00E73B55">
      <w:pPr>
        <w:spacing w:after="0" w:line="276" w:lineRule="auto"/>
        <w:jc w:val="both"/>
        <w:rPr>
          <w:rFonts w:ascii="Verdana" w:eastAsia="Calibri" w:hAnsi="Verdana" w:cs="Times New Roman"/>
        </w:rPr>
      </w:pPr>
    </w:p>
    <w:p w14:paraId="689EB8F2" w14:textId="77777777" w:rsidR="00E73B55" w:rsidRPr="005B31B3" w:rsidRDefault="00E73B55" w:rsidP="00E73B55">
      <w:pPr>
        <w:pStyle w:val="Prrafodelista"/>
        <w:numPr>
          <w:ilvl w:val="0"/>
          <w:numId w:val="1"/>
        </w:numPr>
        <w:spacing w:after="0" w:line="276" w:lineRule="auto"/>
        <w:contextualSpacing w:val="0"/>
        <w:jc w:val="both"/>
        <w:rPr>
          <w:rFonts w:ascii="Verdana" w:hAnsi="Verdana"/>
        </w:rPr>
      </w:pPr>
      <w:r w:rsidRPr="005B31B3">
        <w:rPr>
          <w:rFonts w:ascii="Verdana" w:hAnsi="Verdana"/>
        </w:rPr>
        <w:t>Línea nacional gratuita o servicio a la ciudadanía: 01800 0520808</w:t>
      </w:r>
    </w:p>
    <w:p w14:paraId="2C2A10F4" w14:textId="77777777" w:rsidR="00E73B55" w:rsidRPr="005B31B3" w:rsidRDefault="00E73B55" w:rsidP="00E73B55">
      <w:pPr>
        <w:pStyle w:val="Prrafodelista"/>
        <w:numPr>
          <w:ilvl w:val="0"/>
          <w:numId w:val="1"/>
        </w:numPr>
        <w:spacing w:after="0" w:line="276" w:lineRule="auto"/>
        <w:contextualSpacing w:val="0"/>
        <w:jc w:val="both"/>
        <w:rPr>
          <w:rFonts w:ascii="Verdana" w:hAnsi="Verdana"/>
        </w:rPr>
      </w:pPr>
      <w:r w:rsidRPr="005B31B3">
        <w:rPr>
          <w:rFonts w:ascii="Verdana" w:hAnsi="Verdana"/>
        </w:rPr>
        <w:t>Línea en Bogotá (Mesa de servicio): +57 601 7456788</w:t>
      </w:r>
    </w:p>
    <w:p w14:paraId="64D92FD7" w14:textId="77777777" w:rsidR="00E73B55" w:rsidRPr="005B31B3" w:rsidRDefault="00E73B55" w:rsidP="00E73B55">
      <w:pPr>
        <w:pStyle w:val="Prrafodelista"/>
        <w:numPr>
          <w:ilvl w:val="0"/>
          <w:numId w:val="1"/>
        </w:numPr>
        <w:spacing w:after="0" w:line="276" w:lineRule="auto"/>
        <w:contextualSpacing w:val="0"/>
        <w:jc w:val="both"/>
        <w:rPr>
          <w:rFonts w:ascii="Verdana" w:hAnsi="Verdana"/>
        </w:rPr>
      </w:pPr>
      <w:r w:rsidRPr="005B31B3">
        <w:rPr>
          <w:rFonts w:ascii="Verdana" w:hAnsi="Verdana"/>
        </w:rPr>
        <w:t>Línea de servicio y atención al ciudadano: +57 601 7956600</w:t>
      </w:r>
    </w:p>
    <w:p w14:paraId="7B0D24B7" w14:textId="77777777" w:rsidR="00E73B55" w:rsidRPr="005B31B3" w:rsidRDefault="00E73B55" w:rsidP="00E73B55">
      <w:pPr>
        <w:pStyle w:val="Prrafodelista"/>
        <w:numPr>
          <w:ilvl w:val="0"/>
          <w:numId w:val="1"/>
        </w:numPr>
        <w:spacing w:after="0" w:line="276" w:lineRule="auto"/>
        <w:contextualSpacing w:val="0"/>
        <w:jc w:val="both"/>
        <w:rPr>
          <w:rFonts w:ascii="Verdana" w:hAnsi="Verdana"/>
        </w:rPr>
      </w:pPr>
      <w:r w:rsidRPr="005B31B3">
        <w:rPr>
          <w:rFonts w:ascii="Verdana" w:hAnsi="Verdana"/>
        </w:rPr>
        <w:lastRenderedPageBreak/>
        <w:t xml:space="preserve">Página web: </w:t>
      </w:r>
      <w:hyperlink r:id="rId10" w:history="1">
        <w:r w:rsidRPr="005B31B3">
          <w:rPr>
            <w:rStyle w:val="Hipervnculo"/>
            <w:rFonts w:ascii="Verdana" w:hAnsi="Verdana"/>
          </w:rPr>
          <w:t>www.colombiacompra.gov.co</w:t>
        </w:r>
      </w:hyperlink>
    </w:p>
    <w:p w14:paraId="424689F9" w14:textId="77777777" w:rsidR="00E73B55" w:rsidRDefault="00E73B55" w:rsidP="00E73B55">
      <w:pPr>
        <w:spacing w:after="0" w:line="276" w:lineRule="auto"/>
        <w:jc w:val="both"/>
        <w:rPr>
          <w:rFonts w:ascii="Verdana" w:hAnsi="Verdana"/>
        </w:rPr>
      </w:pPr>
    </w:p>
    <w:p w14:paraId="2727FB49" w14:textId="77777777" w:rsidR="00E73B55" w:rsidRPr="002234CA" w:rsidRDefault="00E73B55" w:rsidP="00E73B55">
      <w:pPr>
        <w:spacing w:after="0" w:line="276" w:lineRule="auto"/>
        <w:jc w:val="both"/>
        <w:rPr>
          <w:rFonts w:ascii="Verdana" w:hAnsi="Verdana"/>
        </w:rPr>
      </w:pPr>
      <w:r w:rsidRPr="005B31B3">
        <w:rPr>
          <w:rFonts w:ascii="Verdana" w:hAnsi="Verdana"/>
        </w:rPr>
        <w:t xml:space="preserve">Por último, lo invitamos a seguirnos en las redes sociales en las cuales se difunde información institucional: </w:t>
      </w:r>
    </w:p>
    <w:p w14:paraId="43DFF397" w14:textId="77777777" w:rsidR="00E73B55" w:rsidRPr="005B31B3" w:rsidRDefault="00E73B55" w:rsidP="00E73B55">
      <w:pPr>
        <w:spacing w:after="0" w:line="276" w:lineRule="auto"/>
        <w:jc w:val="both"/>
        <w:rPr>
          <w:rFonts w:ascii="Verdana" w:hAnsi="Verdana"/>
        </w:rPr>
      </w:pPr>
    </w:p>
    <w:p w14:paraId="0190BA0E" w14:textId="77777777" w:rsidR="00E73B55" w:rsidRPr="005B31B3" w:rsidRDefault="00E73B55" w:rsidP="00E73B55">
      <w:pPr>
        <w:spacing w:after="0" w:line="276" w:lineRule="auto"/>
        <w:jc w:val="both"/>
        <w:rPr>
          <w:rFonts w:ascii="Verdana" w:hAnsi="Verdana"/>
        </w:rPr>
      </w:pPr>
      <w:r w:rsidRPr="005B31B3">
        <w:rPr>
          <w:rFonts w:ascii="Verdana" w:hAnsi="Verdana"/>
        </w:rPr>
        <w:t xml:space="preserve">Twitter: </w:t>
      </w:r>
      <w:r w:rsidRPr="005B31B3">
        <w:rPr>
          <w:rStyle w:val="Hipervnculo"/>
          <w:rFonts w:ascii="Verdana" w:hAnsi="Verdana"/>
        </w:rPr>
        <w:t>@colombiacompra</w:t>
      </w:r>
      <w:r w:rsidRPr="005B31B3">
        <w:rPr>
          <w:rFonts w:ascii="Verdana" w:hAnsi="Verdana"/>
        </w:rPr>
        <w:t xml:space="preserve"> </w:t>
      </w:r>
    </w:p>
    <w:p w14:paraId="283E6887" w14:textId="77777777" w:rsidR="00E73B55" w:rsidRPr="005B31B3" w:rsidRDefault="00E73B55" w:rsidP="00E73B55">
      <w:pPr>
        <w:spacing w:after="0" w:line="276" w:lineRule="auto"/>
        <w:jc w:val="both"/>
        <w:rPr>
          <w:rFonts w:ascii="Verdana" w:hAnsi="Verdana"/>
        </w:rPr>
      </w:pPr>
      <w:r w:rsidRPr="005B31B3">
        <w:rPr>
          <w:rFonts w:ascii="Verdana" w:hAnsi="Verdana"/>
        </w:rPr>
        <w:t xml:space="preserve">Facebook: </w:t>
      </w:r>
      <w:proofErr w:type="spellStart"/>
      <w:r w:rsidRPr="005B31B3">
        <w:rPr>
          <w:rStyle w:val="Hipervnculo"/>
          <w:rFonts w:ascii="Verdana" w:hAnsi="Verdana"/>
        </w:rPr>
        <w:t>ColombiaCompraEficiente</w:t>
      </w:r>
      <w:proofErr w:type="spellEnd"/>
    </w:p>
    <w:p w14:paraId="7D3CDAC8" w14:textId="77777777" w:rsidR="00E73B55" w:rsidRPr="005B31B3" w:rsidRDefault="00E73B55" w:rsidP="00E73B55">
      <w:pPr>
        <w:spacing w:after="0" w:line="276" w:lineRule="auto"/>
        <w:jc w:val="both"/>
        <w:rPr>
          <w:rFonts w:ascii="Verdana" w:hAnsi="Verdana"/>
        </w:rPr>
      </w:pPr>
      <w:r w:rsidRPr="005B31B3">
        <w:rPr>
          <w:rFonts w:ascii="Verdana" w:hAnsi="Verdana"/>
        </w:rPr>
        <w:t xml:space="preserve">LinkedIn: </w:t>
      </w:r>
      <w:r w:rsidRPr="005B31B3">
        <w:rPr>
          <w:rStyle w:val="Hipervnculo"/>
          <w:rFonts w:ascii="Verdana" w:hAnsi="Verdana"/>
        </w:rPr>
        <w:t>Agencia Nacional de Contratación Pública - Colombia Compra Eficiente</w:t>
      </w:r>
      <w:r w:rsidRPr="005B31B3">
        <w:rPr>
          <w:rFonts w:ascii="Verdana" w:hAnsi="Verdana"/>
        </w:rPr>
        <w:t xml:space="preserve"> Instagram: </w:t>
      </w:r>
      <w:r w:rsidRPr="005B31B3">
        <w:rPr>
          <w:rStyle w:val="Hipervnculo"/>
          <w:rFonts w:ascii="Verdana" w:hAnsi="Verdana"/>
        </w:rPr>
        <w:t>@colombiacompraeficiente_cce</w:t>
      </w:r>
    </w:p>
    <w:p w14:paraId="22A22AE6" w14:textId="77777777" w:rsidR="00E73B55" w:rsidRPr="005B31B3" w:rsidRDefault="00E73B55" w:rsidP="00E73B55">
      <w:pPr>
        <w:spacing w:after="0" w:line="276" w:lineRule="auto"/>
        <w:jc w:val="both"/>
        <w:rPr>
          <w:rFonts w:ascii="Verdana" w:hAnsi="Verdana"/>
        </w:rPr>
      </w:pPr>
    </w:p>
    <w:p w14:paraId="42547B91" w14:textId="77777777" w:rsidR="00E73B55" w:rsidRPr="005B31B3" w:rsidRDefault="00E73B55" w:rsidP="00E73B55">
      <w:pPr>
        <w:spacing w:after="0" w:line="276" w:lineRule="auto"/>
        <w:jc w:val="both"/>
        <w:rPr>
          <w:rFonts w:ascii="Verdana" w:hAnsi="Verdana"/>
        </w:rPr>
      </w:pPr>
      <w:r w:rsidRPr="00767CA0">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r w:rsidRPr="005B31B3">
        <w:rPr>
          <w:rFonts w:ascii="Verdana" w:hAnsi="Verdana"/>
        </w:rPr>
        <w:t>.</w:t>
      </w:r>
    </w:p>
    <w:p w14:paraId="3E15447D" w14:textId="77777777" w:rsidR="00E73B55" w:rsidRPr="005B31B3" w:rsidRDefault="00E73B55" w:rsidP="00E73B55">
      <w:pPr>
        <w:spacing w:after="0" w:line="276" w:lineRule="auto"/>
        <w:jc w:val="both"/>
        <w:rPr>
          <w:rFonts w:ascii="Verdana" w:eastAsia="Calibri" w:hAnsi="Verdana" w:cs="Times New Roman"/>
        </w:rPr>
      </w:pPr>
    </w:p>
    <w:p w14:paraId="546E6418" w14:textId="1F02B1B0" w:rsidR="00E73B55" w:rsidRPr="002234CA" w:rsidRDefault="00E73B55" w:rsidP="00E73B55">
      <w:pPr>
        <w:spacing w:after="0" w:line="276" w:lineRule="auto"/>
        <w:jc w:val="both"/>
        <w:rPr>
          <w:rFonts w:ascii="Verdana" w:eastAsia="Calibri" w:hAnsi="Verdana" w:cs="Times New Roman"/>
        </w:rPr>
      </w:pPr>
      <w:r w:rsidRPr="005B31B3">
        <w:rPr>
          <w:rFonts w:ascii="Verdana" w:eastAsia="Calibri" w:hAnsi="Verdana" w:cs="Times New Roman"/>
        </w:rPr>
        <w:t>Atentamente,</w:t>
      </w:r>
    </w:p>
    <w:p w14:paraId="5E6C0E4F" w14:textId="777C198E" w:rsidR="00E73B55" w:rsidRPr="00FE2B94" w:rsidRDefault="00FE2B94" w:rsidP="00FE2B94">
      <w:pPr>
        <w:spacing w:after="0" w:line="256" w:lineRule="auto"/>
        <w:jc w:val="center"/>
        <w:rPr>
          <w:noProof/>
        </w:rPr>
      </w:pPr>
      <w:r w:rsidRPr="002C3AD6">
        <w:rPr>
          <w:rFonts w:ascii="Century Gothic" w:hAnsi="Century Gothic"/>
          <w:noProof/>
        </w:rPr>
        <w:drawing>
          <wp:inline distT="0" distB="0" distL="0" distR="0" wp14:anchorId="4A06008E" wp14:editId="63501D87">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1"/>
                    <a:stretch>
                      <a:fillRect/>
                    </a:stretch>
                  </pic:blipFill>
                  <pic:spPr>
                    <a:xfrm>
                      <a:off x="0" y="0"/>
                      <a:ext cx="3772426" cy="1318444"/>
                    </a:xfrm>
                    <a:prstGeom prst="rect">
                      <a:avLst/>
                    </a:prstGeom>
                  </pic:spPr>
                </pic:pic>
              </a:graphicData>
            </a:graphic>
          </wp:inline>
        </w:drawing>
      </w:r>
      <w:bookmarkEnd w:id="0"/>
      <w:bookmarkEnd w:id="1"/>
    </w:p>
    <w:p w14:paraId="726DCD0E" w14:textId="77777777" w:rsidR="00E73B55" w:rsidRDefault="00E73B55" w:rsidP="00E73B55">
      <w:pPr>
        <w:spacing w:after="0"/>
        <w:rPr>
          <w:rFonts w:ascii="Verdana" w:hAnsi="Verdana"/>
        </w:rPr>
      </w:pPr>
    </w:p>
    <w:p w14:paraId="7960828D" w14:textId="77777777" w:rsidR="00E73B55" w:rsidRDefault="00E73B55" w:rsidP="00E73B55">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73B55" w:rsidRPr="002423D6" w14:paraId="72E991B7" w14:textId="77777777" w:rsidTr="004E38C5">
        <w:trPr>
          <w:trHeight w:val="315"/>
        </w:trPr>
        <w:tc>
          <w:tcPr>
            <w:tcW w:w="893" w:type="dxa"/>
            <w:vAlign w:val="center"/>
            <w:hideMark/>
          </w:tcPr>
          <w:p w14:paraId="067D4DCB" w14:textId="77777777" w:rsidR="00E73B55" w:rsidRPr="002423D6" w:rsidRDefault="00E73B55" w:rsidP="004E38C5">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01E0DE3" w14:textId="77777777" w:rsidR="00E73B55" w:rsidRPr="002423D6" w:rsidRDefault="00E73B55" w:rsidP="004E38C5">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6C076639" w14:textId="77777777" w:rsidR="00E73B55" w:rsidRPr="002423D6" w:rsidRDefault="00E73B55" w:rsidP="004E38C5">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E73B55" w:rsidRPr="002423D6" w14:paraId="4C71DA97" w14:textId="77777777" w:rsidTr="004E38C5">
        <w:trPr>
          <w:trHeight w:val="330"/>
        </w:trPr>
        <w:tc>
          <w:tcPr>
            <w:tcW w:w="893" w:type="dxa"/>
            <w:vAlign w:val="center"/>
            <w:hideMark/>
          </w:tcPr>
          <w:p w14:paraId="058800CF" w14:textId="77777777" w:rsidR="00E73B55" w:rsidRPr="002423D6" w:rsidRDefault="00E73B55" w:rsidP="004E38C5">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D93CB42" w14:textId="77777777" w:rsidR="00E73B55" w:rsidRPr="002423D6" w:rsidRDefault="00E73B55" w:rsidP="004E38C5">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39E97673" w14:textId="77777777" w:rsidR="00E73B55" w:rsidRPr="002423D6" w:rsidRDefault="00E73B55" w:rsidP="004E38C5">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E73B55" w:rsidRPr="002423D6" w14:paraId="4F47C772" w14:textId="77777777" w:rsidTr="004E38C5">
        <w:trPr>
          <w:trHeight w:val="300"/>
        </w:trPr>
        <w:tc>
          <w:tcPr>
            <w:tcW w:w="893" w:type="dxa"/>
            <w:vAlign w:val="center"/>
          </w:tcPr>
          <w:p w14:paraId="46DBB144" w14:textId="77777777" w:rsidR="00E73B55" w:rsidRPr="002423D6" w:rsidRDefault="00E73B55" w:rsidP="004E38C5">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52C5272" w14:textId="77777777" w:rsidR="00E73B55" w:rsidRPr="002423D6" w:rsidRDefault="00E73B55" w:rsidP="004E38C5">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4063C9F6" w14:textId="77777777" w:rsidR="00E73B55" w:rsidRPr="002423D6" w:rsidRDefault="00E73B55" w:rsidP="004E38C5">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0FBB3B88" w14:textId="77777777" w:rsidR="00E73B55" w:rsidRDefault="00E73B55" w:rsidP="00E73B55"/>
    <w:p w14:paraId="1CE77F17" w14:textId="6EED41D0" w:rsidR="00E73B55" w:rsidRPr="0020513F" w:rsidRDefault="00E73B55" w:rsidP="00E73B55"/>
    <w:p w14:paraId="553412C8" w14:textId="77777777" w:rsidR="00E73B55" w:rsidRDefault="00E73B55"/>
    <w:sectPr w:rsidR="00E73B55" w:rsidSect="00E73B55">
      <w:headerReference w:type="default" r:id="rId12"/>
      <w:footerReference w:type="default" r:id="rId1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75AA85" w14:textId="77777777" w:rsidR="00114F39" w:rsidRDefault="00114F39" w:rsidP="00E73B55">
      <w:pPr>
        <w:spacing w:after="0" w:line="240" w:lineRule="auto"/>
      </w:pPr>
      <w:r>
        <w:separator/>
      </w:r>
    </w:p>
  </w:endnote>
  <w:endnote w:type="continuationSeparator" w:id="0">
    <w:p w14:paraId="6DA1B3F4" w14:textId="77777777" w:rsidR="00114F39" w:rsidRDefault="00114F39" w:rsidP="00E73B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13313" w14:textId="77777777" w:rsidR="00E73B55" w:rsidRDefault="00E73B55">
    <w:pPr>
      <w:pStyle w:val="Piedepgina"/>
    </w:pPr>
  </w:p>
  <w:p w14:paraId="3ED150F8" w14:textId="77777777" w:rsidR="00E73B55" w:rsidRPr="00174B77" w:rsidRDefault="00E73B55"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7F1C17AD" w14:textId="77777777" w:rsidR="00E73B55" w:rsidRDefault="00E73B55"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73C54307" w14:textId="77777777" w:rsidR="00E73B55" w:rsidRPr="00E41027" w:rsidRDefault="00E73B55"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1A9550E" w14:textId="77777777" w:rsidR="00E73B55" w:rsidRDefault="00E73B55"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F8725" w14:textId="77777777" w:rsidR="00114F39" w:rsidRDefault="00114F39" w:rsidP="00E73B55">
      <w:pPr>
        <w:spacing w:after="0" w:line="240" w:lineRule="auto"/>
      </w:pPr>
      <w:r>
        <w:separator/>
      </w:r>
    </w:p>
  </w:footnote>
  <w:footnote w:type="continuationSeparator" w:id="0">
    <w:p w14:paraId="26048C08" w14:textId="77777777" w:rsidR="00114F39" w:rsidRDefault="00114F39" w:rsidP="00E73B55">
      <w:pPr>
        <w:spacing w:after="0" w:line="240" w:lineRule="auto"/>
      </w:pPr>
      <w:r>
        <w:continuationSeparator/>
      </w:r>
    </w:p>
  </w:footnote>
  <w:footnote w:id="1">
    <w:p w14:paraId="7EDCB51B" w14:textId="77777777" w:rsidR="00E73B55" w:rsidRPr="00AD6C0E" w:rsidRDefault="00E73B55" w:rsidP="00E73B55">
      <w:pPr>
        <w:pStyle w:val="Textonotapie"/>
        <w:ind w:firstLine="709"/>
        <w:jc w:val="both"/>
        <w:rPr>
          <w:rFonts w:ascii="Verdana" w:hAnsi="Verdana" w:cs="Arial"/>
          <w:sz w:val="14"/>
          <w:szCs w:val="14"/>
        </w:rPr>
      </w:pPr>
      <w:r w:rsidRPr="00767CA0">
        <w:rPr>
          <w:rStyle w:val="Refdenotaalpie"/>
          <w:rFonts w:ascii="Verdana" w:hAnsi="Verdana" w:cs="Arial"/>
          <w:sz w:val="14"/>
          <w:szCs w:val="14"/>
        </w:rPr>
        <w:footnoteRef/>
      </w:r>
      <w:r w:rsidRPr="00AD6C0E">
        <w:rPr>
          <w:rFonts w:ascii="Verdana" w:hAnsi="Verdana" w:cs="Arial"/>
          <w:sz w:val="14"/>
          <w:szCs w:val="14"/>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41CCFA1" w14:textId="77777777" w:rsidR="00E73B55" w:rsidRPr="00AD6C0E" w:rsidRDefault="00E73B55" w:rsidP="00E73B55">
      <w:pPr>
        <w:pStyle w:val="Textonotapie"/>
        <w:ind w:firstLine="709"/>
        <w:jc w:val="both"/>
        <w:rPr>
          <w:rFonts w:ascii="Verdana" w:hAnsi="Verdana" w:cs="Arial"/>
          <w:sz w:val="14"/>
          <w:szCs w:val="14"/>
        </w:rPr>
      </w:pPr>
      <w:r w:rsidRPr="00AD6C0E">
        <w:rPr>
          <w:rFonts w:ascii="Verdana" w:hAnsi="Verdana" w:cs="Arial"/>
          <w:sz w:val="14"/>
          <w:szCs w:val="14"/>
        </w:rPr>
        <w:t>[...]</w:t>
      </w:r>
    </w:p>
    <w:p w14:paraId="1056593D" w14:textId="77777777" w:rsidR="00E73B55" w:rsidRPr="00AD6C0E" w:rsidRDefault="00E73B55" w:rsidP="00E73B55">
      <w:pPr>
        <w:pStyle w:val="Textonotapie"/>
        <w:ind w:firstLine="709"/>
        <w:jc w:val="both"/>
        <w:rPr>
          <w:rFonts w:ascii="Verdana" w:hAnsi="Verdana" w:cs="Arial"/>
          <w:sz w:val="14"/>
          <w:szCs w:val="14"/>
        </w:rPr>
      </w:pPr>
      <w:r w:rsidRPr="00AD6C0E">
        <w:rPr>
          <w:rFonts w:ascii="Verdana" w:hAnsi="Verdana" w:cs="Arial"/>
          <w:sz w:val="14"/>
          <w:szCs w:val="14"/>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5BAA357A" w14:textId="77777777" w:rsidR="00E73B55" w:rsidRPr="00AD6C0E" w:rsidRDefault="00E73B55" w:rsidP="00E73B55">
      <w:pPr>
        <w:pStyle w:val="Textonotapie"/>
        <w:ind w:firstLine="709"/>
        <w:jc w:val="both"/>
        <w:rPr>
          <w:rFonts w:ascii="Verdana" w:hAnsi="Verdana" w:cs="Arial"/>
          <w:sz w:val="14"/>
          <w:szCs w:val="14"/>
        </w:rPr>
      </w:pPr>
      <w:r w:rsidRPr="00AD6C0E">
        <w:rPr>
          <w:rFonts w:ascii="Verdana" w:hAnsi="Verdana" w:cs="Arial"/>
          <w:sz w:val="14"/>
          <w:szCs w:val="14"/>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2BD26BA1" w14:textId="77777777" w:rsidR="00E73B55" w:rsidRPr="00AD6C0E" w:rsidRDefault="00E73B55" w:rsidP="00E73B55">
      <w:pPr>
        <w:pStyle w:val="Textonotapie"/>
        <w:ind w:firstLine="709"/>
        <w:jc w:val="both"/>
        <w:rPr>
          <w:rFonts w:ascii="Verdana" w:hAnsi="Verdana" w:cs="Arial"/>
          <w:sz w:val="14"/>
          <w:szCs w:val="14"/>
        </w:rPr>
      </w:pPr>
    </w:p>
  </w:footnote>
  <w:footnote w:id="2">
    <w:p w14:paraId="4277BEF4" w14:textId="77777777" w:rsidR="00E73B55" w:rsidRPr="00AD6C0E" w:rsidRDefault="00E73B55" w:rsidP="00E73B55">
      <w:pPr>
        <w:pStyle w:val="Textonotapie"/>
        <w:ind w:firstLine="709"/>
        <w:jc w:val="both"/>
        <w:rPr>
          <w:rFonts w:ascii="Verdana" w:hAnsi="Verdana" w:cs="Arial"/>
          <w:sz w:val="14"/>
          <w:szCs w:val="14"/>
        </w:rPr>
      </w:pPr>
      <w:r w:rsidRPr="00AD6C0E">
        <w:rPr>
          <w:rStyle w:val="Refdenotaalpie"/>
          <w:rFonts w:ascii="Verdana" w:hAnsi="Verdana" w:cs="Arial"/>
          <w:sz w:val="14"/>
          <w:szCs w:val="14"/>
        </w:rPr>
        <w:footnoteRef/>
      </w:r>
      <w:r w:rsidRPr="00AD6C0E">
        <w:rPr>
          <w:rFonts w:ascii="Verdana" w:hAnsi="Verdana" w:cs="Arial"/>
          <w:sz w:val="14"/>
          <w:szCs w:val="14"/>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06E56AB7" w14:textId="77777777" w:rsidR="00E73B55" w:rsidRPr="00AD6C0E" w:rsidRDefault="00E73B55" w:rsidP="00E73B55">
      <w:pPr>
        <w:pStyle w:val="Textonotapie"/>
        <w:ind w:firstLine="709"/>
        <w:jc w:val="both"/>
        <w:rPr>
          <w:rFonts w:ascii="Verdana" w:hAnsi="Verdana" w:cs="Arial"/>
          <w:sz w:val="14"/>
          <w:szCs w:val="14"/>
        </w:rPr>
      </w:pPr>
      <w:r w:rsidRPr="00AD6C0E">
        <w:rPr>
          <w:rFonts w:ascii="Verdana" w:hAnsi="Verdana" w:cs="Arial"/>
          <w:sz w:val="14"/>
          <w:szCs w:val="14"/>
        </w:rPr>
        <w:t>1.    Si es una persona natural:</w:t>
      </w:r>
    </w:p>
    <w:p w14:paraId="2A3B9A51" w14:textId="77777777" w:rsidR="00E73B55" w:rsidRPr="00AD6C0E" w:rsidRDefault="00E73B55" w:rsidP="00E73B55">
      <w:pPr>
        <w:pStyle w:val="Textonotapie"/>
        <w:ind w:firstLine="709"/>
        <w:jc w:val="both"/>
        <w:rPr>
          <w:rFonts w:ascii="Verdana" w:hAnsi="Verdana" w:cs="Arial"/>
          <w:sz w:val="14"/>
          <w:szCs w:val="14"/>
        </w:rPr>
      </w:pPr>
      <w:r w:rsidRPr="00AD6C0E">
        <w:rPr>
          <w:rFonts w:ascii="Verdana" w:hAnsi="Verdana" w:cs="Arial"/>
          <w:sz w:val="14"/>
          <w:szCs w:val="14"/>
        </w:rPr>
        <w:t>1.1. Bienes, obras y servicios que ofrecerá a las Entidades Estatales, identificados con el Clasificador de Bienes y Servicios en el tercer nivel.</w:t>
      </w:r>
    </w:p>
    <w:p w14:paraId="4B9BD2DE" w14:textId="77777777" w:rsidR="00E73B55" w:rsidRPr="00AD6C0E" w:rsidRDefault="00E73B55" w:rsidP="00E73B55">
      <w:pPr>
        <w:pStyle w:val="Textonotapie"/>
        <w:ind w:firstLine="709"/>
        <w:jc w:val="both"/>
        <w:rPr>
          <w:rFonts w:ascii="Verdana" w:hAnsi="Verdana" w:cs="Arial"/>
          <w:sz w:val="14"/>
          <w:szCs w:val="14"/>
        </w:rPr>
      </w:pPr>
      <w:r w:rsidRPr="00AD6C0E">
        <w:rPr>
          <w:rFonts w:ascii="Verdana" w:hAnsi="Verdana" w:cs="Arial"/>
          <w:sz w:val="14"/>
          <w:szCs w:val="14"/>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33F56664" w14:textId="77777777" w:rsidR="00E73B55" w:rsidRPr="00AD6C0E" w:rsidRDefault="00E73B55" w:rsidP="00E73B55">
      <w:pPr>
        <w:pStyle w:val="Textonotapie"/>
        <w:ind w:firstLine="709"/>
        <w:jc w:val="both"/>
        <w:rPr>
          <w:rFonts w:ascii="Verdana" w:hAnsi="Verdana" w:cs="Arial"/>
          <w:sz w:val="14"/>
          <w:szCs w:val="14"/>
          <w:lang w:val="es-ES"/>
        </w:rPr>
      </w:pPr>
    </w:p>
  </w:footnote>
  <w:footnote w:id="3">
    <w:p w14:paraId="6865D8B3" w14:textId="77777777" w:rsidR="00E73B55" w:rsidRPr="00AD6C0E" w:rsidRDefault="00E73B55" w:rsidP="00E73B55">
      <w:pPr>
        <w:pStyle w:val="Textonotapie"/>
        <w:ind w:firstLine="709"/>
        <w:jc w:val="both"/>
        <w:rPr>
          <w:rFonts w:ascii="Verdana" w:hAnsi="Verdana" w:cs="Arial"/>
          <w:sz w:val="14"/>
          <w:szCs w:val="14"/>
          <w:lang w:val="it-IT"/>
        </w:rPr>
      </w:pPr>
      <w:r w:rsidRPr="00AD6C0E">
        <w:rPr>
          <w:rStyle w:val="Refdenotaalpie"/>
          <w:rFonts w:ascii="Verdana" w:hAnsi="Verdana" w:cs="Arial"/>
          <w:sz w:val="14"/>
          <w:szCs w:val="14"/>
        </w:rPr>
        <w:footnoteRef/>
      </w:r>
      <w:r w:rsidRPr="00AD6C0E">
        <w:rPr>
          <w:rStyle w:val="Refdenotaalpie"/>
          <w:rFonts w:ascii="Verdana" w:hAnsi="Verdana" w:cs="Arial"/>
          <w:sz w:val="14"/>
          <w:szCs w:val="14"/>
        </w:rPr>
        <w:t xml:space="preserve"> </w:t>
      </w:r>
      <w:r w:rsidRPr="00AD6C0E">
        <w:rPr>
          <w:rFonts w:ascii="Verdana" w:hAnsi="Verdana" w:cs="Arial"/>
          <w:sz w:val="14"/>
          <w:szCs w:val="14"/>
        </w:rPr>
        <w:t xml:space="preserve">Consejo de Estado. Sección Tercera. Subsección B. Sentencia del 6 de junio de 2013. </w:t>
      </w:r>
      <w:r w:rsidRPr="00AD6C0E">
        <w:rPr>
          <w:rFonts w:ascii="Verdana" w:hAnsi="Verdana" w:cs="Arial"/>
          <w:sz w:val="14"/>
          <w:szCs w:val="14"/>
          <w:lang w:val="it-IT"/>
        </w:rPr>
        <w:t>Exp. 25151. C.P. Stella Conto Díaz del Castillo.</w:t>
      </w:r>
    </w:p>
    <w:p w14:paraId="26374B15" w14:textId="77777777" w:rsidR="00E73B55" w:rsidRPr="00AD6C0E" w:rsidRDefault="00E73B55" w:rsidP="00E73B55">
      <w:pPr>
        <w:pStyle w:val="Textonotapie"/>
        <w:ind w:firstLine="709"/>
        <w:jc w:val="both"/>
        <w:rPr>
          <w:rFonts w:ascii="Verdana" w:hAnsi="Verdana" w:cs="Arial"/>
          <w:sz w:val="14"/>
          <w:szCs w:val="14"/>
          <w:lang w:val="it-IT"/>
        </w:rPr>
      </w:pPr>
    </w:p>
  </w:footnote>
  <w:footnote w:id="4">
    <w:p w14:paraId="3248285E" w14:textId="77777777" w:rsidR="00E73B55" w:rsidRDefault="00E73B55" w:rsidP="00E73B55">
      <w:pPr>
        <w:pStyle w:val="Textonotapie"/>
        <w:ind w:firstLine="708"/>
        <w:rPr>
          <w:rFonts w:ascii="Verdana" w:hAnsi="Verdana"/>
          <w:sz w:val="14"/>
          <w:szCs w:val="14"/>
        </w:rPr>
      </w:pPr>
      <w:r w:rsidRPr="00AD6C0E">
        <w:rPr>
          <w:rStyle w:val="Refdenotaalpie"/>
          <w:rFonts w:ascii="Verdana" w:hAnsi="Verdana"/>
          <w:sz w:val="14"/>
          <w:szCs w:val="14"/>
        </w:rPr>
        <w:footnoteRef/>
      </w:r>
      <w:r>
        <w:rPr>
          <w:rFonts w:ascii="Verdana" w:hAnsi="Verdana"/>
          <w:sz w:val="14"/>
          <w:szCs w:val="14"/>
          <w:lang w:val="it-IT"/>
        </w:rPr>
        <w:t xml:space="preserve"> </w:t>
      </w:r>
      <w:r>
        <w:rPr>
          <w:rFonts w:ascii="Verdana" w:hAnsi="Verdana" w:cs="Arial"/>
          <w:sz w:val="14"/>
          <w:szCs w:val="14"/>
        </w:rPr>
        <w:t xml:space="preserve">Agencia Nacional de Contratación Pública - </w:t>
      </w:r>
      <w:r w:rsidRPr="00F712A2">
        <w:rPr>
          <w:rFonts w:ascii="Verdana" w:hAnsi="Verdana" w:cs="Arial"/>
          <w:sz w:val="14"/>
          <w:szCs w:val="14"/>
        </w:rPr>
        <w:t xml:space="preserve">Colombia Compra Eficiente, </w:t>
      </w:r>
      <w:r w:rsidRPr="00AD6C0E">
        <w:rPr>
          <w:rFonts w:ascii="Verdana" w:hAnsi="Verdana" w:cs="Arial"/>
          <w:iCs/>
          <w:sz w:val="14"/>
          <w:szCs w:val="14"/>
        </w:rPr>
        <w:t>Manual para determinar y verificar requisitos habilitantes en los Procesos de Contratación</w:t>
      </w:r>
      <w:r>
        <w:rPr>
          <w:rFonts w:ascii="Verdana" w:hAnsi="Verdana"/>
          <w:sz w:val="14"/>
          <w:szCs w:val="14"/>
          <w:lang w:val="it-IT"/>
        </w:rPr>
        <w:t xml:space="preserve">. Disponible en: </w:t>
      </w:r>
      <w:hyperlink r:id="rId1" w:history="1">
        <w:r w:rsidRPr="00AD6C0E">
          <w:rPr>
            <w:rStyle w:val="Hipervnculo"/>
            <w:rFonts w:ascii="Verdana" w:hAnsi="Verdana"/>
            <w:sz w:val="14"/>
            <w:szCs w:val="14"/>
            <w:lang w:val="it-IT"/>
          </w:rPr>
          <w:t>https://www.colombiacompra.gov.co/archivos/manual/manual-para-determinar-y-verificar-los-requisitos-habilitantes-en-los-procesos-de-contratacion</w:t>
        </w:r>
      </w:hyperlink>
    </w:p>
    <w:p w14:paraId="1541596B" w14:textId="77777777" w:rsidR="00E73B55" w:rsidRPr="00AD6C0E" w:rsidRDefault="00E73B55" w:rsidP="00E73B55">
      <w:pPr>
        <w:pStyle w:val="Textonotapie"/>
        <w:ind w:firstLine="708"/>
        <w:rPr>
          <w:rFonts w:ascii="Verdana" w:hAnsi="Verdana"/>
          <w:sz w:val="14"/>
          <w:szCs w:val="14"/>
          <w:lang w:val="it-IT"/>
        </w:rPr>
      </w:pPr>
    </w:p>
  </w:footnote>
  <w:footnote w:id="5">
    <w:p w14:paraId="07102B5A" w14:textId="77777777" w:rsidR="00E73B55" w:rsidRPr="00AD6C0E" w:rsidRDefault="00E73B55" w:rsidP="00E73B55">
      <w:pPr>
        <w:pStyle w:val="Textonotapie"/>
        <w:ind w:firstLine="709"/>
        <w:jc w:val="both"/>
        <w:rPr>
          <w:rFonts w:ascii="Verdana" w:hAnsi="Verdana" w:cs="Arial"/>
          <w:sz w:val="14"/>
          <w:szCs w:val="14"/>
        </w:rPr>
      </w:pPr>
      <w:r w:rsidRPr="00AD6C0E">
        <w:rPr>
          <w:rStyle w:val="Refdenotaalpie"/>
          <w:rFonts w:ascii="Verdana" w:hAnsi="Verdana" w:cs="Arial"/>
          <w:sz w:val="14"/>
          <w:szCs w:val="14"/>
        </w:rPr>
        <w:footnoteRef/>
      </w:r>
      <w:r w:rsidRPr="00AD6C0E">
        <w:rPr>
          <w:rFonts w:ascii="Verdana" w:hAnsi="Verdana" w:cs="Arial"/>
          <w:sz w:val="14"/>
          <w:szCs w:val="14"/>
        </w:rPr>
        <w:t xml:space="preserve"> </w:t>
      </w:r>
      <w:r>
        <w:rPr>
          <w:rFonts w:ascii="Verdana" w:hAnsi="Verdana" w:cs="Arial"/>
          <w:sz w:val="14"/>
          <w:szCs w:val="14"/>
        </w:rPr>
        <w:t xml:space="preserve">Agencia Nacional de Contratación Pública - </w:t>
      </w:r>
      <w:r w:rsidRPr="00AD6C0E">
        <w:rPr>
          <w:rFonts w:ascii="Verdana" w:hAnsi="Verdana" w:cs="Arial"/>
          <w:sz w:val="14"/>
          <w:szCs w:val="14"/>
        </w:rPr>
        <w:t xml:space="preserve">Colombia Compra Eficiente, </w:t>
      </w:r>
      <w:r w:rsidRPr="00AD6C0E">
        <w:rPr>
          <w:rFonts w:ascii="Verdana" w:hAnsi="Verdana" w:cs="Arial"/>
          <w:i/>
          <w:sz w:val="14"/>
          <w:szCs w:val="14"/>
        </w:rPr>
        <w:t>Manual para determinar y verificar requisitos habilitantes en los Procesos de Contratación</w:t>
      </w:r>
      <w:r w:rsidRPr="00AD6C0E">
        <w:rPr>
          <w:rFonts w:ascii="Verdana" w:hAnsi="Verdana" w:cs="Arial"/>
          <w:sz w:val="14"/>
          <w:szCs w:val="14"/>
        </w:rPr>
        <w:t>: “[…] la experiencia l</w:t>
      </w:r>
      <w:r w:rsidRPr="00AD6C0E">
        <w:rPr>
          <w:rFonts w:ascii="Verdana" w:hAnsi="Verdana" w:cs="Arial"/>
          <w:sz w:val="14"/>
          <w:szCs w:val="14"/>
          <w:lang w:val="es-CO"/>
        </w:rPr>
        <w:t>a cual debe ser entendida como el conocimiento del proponente derivado de su participación previa en actividades iguales o similares a las previstas en el objeto del contrato con contratantes públicos, privados, nacionales o extranjeros.</w:t>
      </w:r>
    </w:p>
    <w:p w14:paraId="125BC822" w14:textId="77777777" w:rsidR="00E73B55" w:rsidRPr="00AD6C0E" w:rsidRDefault="00E73B55" w:rsidP="00E73B55">
      <w:pPr>
        <w:pStyle w:val="Textonotapie"/>
        <w:ind w:firstLine="709"/>
        <w:jc w:val="both"/>
        <w:rPr>
          <w:rFonts w:ascii="Verdana" w:hAnsi="Verdana" w:cs="Arial"/>
          <w:sz w:val="14"/>
          <w:szCs w:val="14"/>
        </w:rPr>
      </w:pPr>
      <w:r w:rsidRPr="00AD6C0E">
        <w:rPr>
          <w:rFonts w:ascii="Verdana" w:hAnsi="Verdana" w:cs="Arial"/>
          <w:sz w:val="14"/>
          <w:szCs w:val="14"/>
        </w:rPr>
        <w:t>Los proponentes deben registrar en el RUP los contratos que hayan celebrado para prestar los bienes y servicios que pretenden ofrecer a las Entidades Estatales, identificando los bienes, obras y servicios con el Clasificador de Bienes y Servicios en el tercer nivel y expresar el valor del contrato respectivo en SMMLV. El registro debe contener la experiencia adquirida de forma directa o a través de la participación en proponentes plurales. Esta experiencia se obtiene con contratantes públicos, privados, nacionales o extranjeros. No hay límite frente al número de contratos o a la fecha en la cual estos fueron celebrados.</w:t>
      </w:r>
    </w:p>
    <w:p w14:paraId="661968D0" w14:textId="77777777" w:rsidR="00E73B55" w:rsidRPr="00AD6C0E" w:rsidRDefault="00E73B55" w:rsidP="00E73B55">
      <w:pPr>
        <w:pStyle w:val="Textonotapie"/>
        <w:ind w:firstLine="709"/>
        <w:jc w:val="both"/>
        <w:rPr>
          <w:rFonts w:ascii="Verdana" w:hAnsi="Verdana" w:cs="Arial"/>
          <w:sz w:val="14"/>
          <w:szCs w:val="14"/>
        </w:rPr>
      </w:pPr>
      <w:r w:rsidRPr="00AD6C0E">
        <w:rPr>
          <w:rFonts w:ascii="Verdana" w:hAnsi="Verdana" w:cs="Arial"/>
          <w:sz w:val="14"/>
          <w:szCs w:val="14"/>
        </w:rPr>
        <w:t>[...]</w:t>
      </w:r>
    </w:p>
    <w:p w14:paraId="77D6D0B2" w14:textId="77777777" w:rsidR="00E73B55" w:rsidRPr="00AD6C0E" w:rsidRDefault="00E73B55" w:rsidP="00E73B55">
      <w:pPr>
        <w:pStyle w:val="Textonotapie"/>
        <w:ind w:firstLine="709"/>
        <w:jc w:val="both"/>
        <w:rPr>
          <w:rFonts w:ascii="Verdana" w:hAnsi="Verdana" w:cs="Arial"/>
          <w:sz w:val="14"/>
          <w:szCs w:val="14"/>
        </w:rPr>
      </w:pPr>
      <w:r w:rsidRPr="00AD6C0E">
        <w:rPr>
          <w:rFonts w:ascii="Verdana" w:hAnsi="Verdana" w:cs="Arial"/>
          <w:sz w:val="14"/>
          <w:szCs w:val="14"/>
        </w:rPr>
        <w:t xml:space="preserve">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 general, el proponente debe tener experiencia en el servicio de aseo, sin que sea relevante el lugar en el cual ha prestado el servicio o quién ha sido el contratante. </w:t>
      </w:r>
    </w:p>
    <w:p w14:paraId="07113467" w14:textId="77777777" w:rsidR="00E73B55" w:rsidRPr="00AD6C0E" w:rsidRDefault="00E73B55" w:rsidP="00E73B55">
      <w:pPr>
        <w:pStyle w:val="Textonotapie"/>
        <w:ind w:firstLine="709"/>
        <w:jc w:val="both"/>
        <w:rPr>
          <w:rFonts w:ascii="Verdana" w:hAnsi="Verdana" w:cs="Arial"/>
          <w:sz w:val="14"/>
          <w:szCs w:val="14"/>
        </w:rPr>
      </w:pPr>
      <w:r w:rsidRPr="00AD6C0E">
        <w:rPr>
          <w:rFonts w:ascii="Verdana" w:hAnsi="Verdana" w:cs="Arial"/>
          <w:sz w:val="14"/>
          <w:szCs w:val="14"/>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3A1410EF" w14:textId="77777777" w:rsidR="00E73B55" w:rsidRPr="00AD6C0E" w:rsidRDefault="00E73B55" w:rsidP="00E73B55">
      <w:pPr>
        <w:pStyle w:val="Textonotapie"/>
        <w:ind w:firstLine="709"/>
        <w:jc w:val="both"/>
        <w:rPr>
          <w:rFonts w:ascii="Verdana" w:hAnsi="Verdana" w:cs="Arial"/>
          <w:sz w:val="14"/>
          <w:szCs w:val="14"/>
        </w:rPr>
      </w:pPr>
      <w:r w:rsidRPr="00AD6C0E">
        <w:rPr>
          <w:rFonts w:ascii="Verdana" w:hAnsi="Verdana" w:cs="Arial"/>
          <w:sz w:val="14"/>
          <w:szCs w:val="14"/>
        </w:rPr>
        <w:t>[...]”.</w:t>
      </w:r>
    </w:p>
    <w:p w14:paraId="2EDA7F89" w14:textId="77777777" w:rsidR="00E73B55" w:rsidRPr="00AD6C0E" w:rsidRDefault="00E73B55" w:rsidP="00E73B55">
      <w:pPr>
        <w:pStyle w:val="Textonotapie"/>
        <w:ind w:firstLine="709"/>
        <w:jc w:val="both"/>
        <w:rPr>
          <w:rFonts w:ascii="Verdana" w:hAnsi="Verdana" w:cs="Arial"/>
          <w:sz w:val="14"/>
          <w:szCs w:val="14"/>
        </w:rPr>
      </w:pPr>
    </w:p>
  </w:footnote>
  <w:footnote w:id="6">
    <w:p w14:paraId="0F5B7507" w14:textId="77777777" w:rsidR="00E73B55" w:rsidRPr="00AD6C0E" w:rsidRDefault="00E73B55" w:rsidP="00E73B55">
      <w:pPr>
        <w:pStyle w:val="Textonotapie"/>
        <w:ind w:firstLine="709"/>
        <w:jc w:val="both"/>
        <w:rPr>
          <w:rFonts w:ascii="Verdana" w:hAnsi="Verdana" w:cs="Arial"/>
          <w:sz w:val="14"/>
          <w:szCs w:val="14"/>
        </w:rPr>
      </w:pPr>
      <w:r w:rsidRPr="00AD6C0E">
        <w:rPr>
          <w:rStyle w:val="Refdenotaalpie"/>
          <w:rFonts w:ascii="Verdana" w:hAnsi="Verdana" w:cs="Arial"/>
          <w:sz w:val="14"/>
          <w:szCs w:val="14"/>
        </w:rPr>
        <w:footnoteRef/>
      </w:r>
      <w:r w:rsidRPr="00AD6C0E">
        <w:rPr>
          <w:rFonts w:ascii="Verdana" w:hAnsi="Verdana" w:cs="Arial"/>
          <w:sz w:val="14"/>
          <w:szCs w:val="14"/>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42A5413E" w14:textId="77777777" w:rsidR="00E73B55" w:rsidRPr="00AD6C0E" w:rsidRDefault="00E73B55" w:rsidP="00E73B55">
      <w:pPr>
        <w:pStyle w:val="Textonotapie"/>
        <w:ind w:firstLine="709"/>
        <w:jc w:val="both"/>
        <w:rPr>
          <w:rFonts w:ascii="Verdana" w:hAnsi="Verdana" w:cs="Arial"/>
          <w:sz w:val="14"/>
          <w:szCs w:val="14"/>
        </w:rPr>
      </w:pPr>
      <w:r w:rsidRPr="00AD6C0E">
        <w:rPr>
          <w:rFonts w:ascii="Verdana" w:hAnsi="Verdana" w:cs="Arial"/>
          <w:sz w:val="14"/>
          <w:szCs w:val="14"/>
        </w:rPr>
        <w:t>[…]</w:t>
      </w:r>
    </w:p>
    <w:p w14:paraId="58C4CE19" w14:textId="77777777" w:rsidR="00E73B55" w:rsidRDefault="00E73B55" w:rsidP="00E73B55">
      <w:pPr>
        <w:pStyle w:val="Textonotapie"/>
        <w:ind w:firstLine="709"/>
        <w:jc w:val="both"/>
        <w:rPr>
          <w:rFonts w:ascii="Verdana" w:hAnsi="Verdana" w:cs="Arial"/>
          <w:sz w:val="14"/>
          <w:szCs w:val="14"/>
        </w:rPr>
      </w:pPr>
      <w:r w:rsidRPr="00AD6C0E">
        <w:rPr>
          <w:rFonts w:ascii="Verdana" w:hAnsi="Verdana" w:cs="Arial"/>
          <w:i/>
          <w:iCs/>
          <w:sz w:val="14"/>
          <w:szCs w:val="14"/>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AD6C0E">
        <w:rPr>
          <w:rFonts w:ascii="Verdana" w:hAnsi="Verdana" w:cs="Arial"/>
          <w:i/>
          <w:iCs/>
          <w:sz w:val="14"/>
          <w:szCs w:val="14"/>
          <w:shd w:val="clear" w:color="auto" w:fill="FFFFFF"/>
        </w:rPr>
        <w:softHyphen/>
        <w:t>ficador de Bienes y Servicios en el tercer nivel. Si la constitución del interesado es menor a 3 años, puede acreditar la experiencia de sus accionistas, socios o constituyentes</w:t>
      </w:r>
      <w:r w:rsidRPr="00AD6C0E">
        <w:rPr>
          <w:rFonts w:ascii="Verdana" w:hAnsi="Verdana" w:cs="Arial"/>
          <w:sz w:val="14"/>
          <w:szCs w:val="14"/>
        </w:rPr>
        <w:t>”.</w:t>
      </w:r>
    </w:p>
    <w:p w14:paraId="1123887A" w14:textId="77777777" w:rsidR="00E73B55" w:rsidRPr="00767CA0" w:rsidRDefault="00E73B55" w:rsidP="00E73B55">
      <w:pPr>
        <w:pStyle w:val="Textonotapie"/>
        <w:ind w:firstLine="709"/>
        <w:jc w:val="both"/>
        <w:rPr>
          <w:rFonts w:ascii="Verdana" w:hAnsi="Verdana" w:cs="Arial"/>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7594F" w14:textId="77777777" w:rsidR="00E73B55" w:rsidRDefault="00E73B55"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2B4CB5F" wp14:editId="5CEAC850">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61385DF" wp14:editId="2603899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569ECE3" w14:textId="77777777" w:rsidR="00E73B55" w:rsidRDefault="00E73B55">
    <w:pPr>
      <w:pStyle w:val="Encabezado"/>
    </w:pPr>
  </w:p>
  <w:p w14:paraId="3BB19B5A" w14:textId="77777777" w:rsidR="00E73B55" w:rsidRPr="004A305D" w:rsidRDefault="00E73B55" w:rsidP="00B01B1A">
    <w:pPr>
      <w:spacing w:after="0" w:line="120" w:lineRule="auto"/>
      <w:rPr>
        <w:rFonts w:ascii="Century Gothic" w:eastAsia="Geo" w:hAnsi="Century Gothic" w:cs="Geo"/>
        <w:sz w:val="16"/>
        <w:szCs w:val="16"/>
        <w:lang w:eastAsia="es-CO"/>
      </w:rPr>
    </w:pPr>
  </w:p>
  <w:p w14:paraId="27A1B233" w14:textId="77777777" w:rsidR="00E73B55" w:rsidRDefault="00E73B55" w:rsidP="00844AE9">
    <w:pPr>
      <w:spacing w:after="0" w:line="240" w:lineRule="auto"/>
      <w:rPr>
        <w:rFonts w:ascii="Verdana" w:hAnsi="Verdana"/>
        <w:sz w:val="24"/>
        <w:szCs w:val="24"/>
      </w:rPr>
    </w:pPr>
  </w:p>
  <w:p w14:paraId="013E1497" w14:textId="77777777" w:rsidR="00E73B55" w:rsidRPr="00C925AC" w:rsidRDefault="00E73B55" w:rsidP="00844AE9">
    <w:pPr>
      <w:spacing w:after="0" w:line="240" w:lineRule="auto"/>
      <w:rPr>
        <w:rFonts w:ascii="Verdana" w:hAnsi="Verdana"/>
        <w:sz w:val="24"/>
        <w:szCs w:val="24"/>
      </w:rPr>
    </w:pPr>
  </w:p>
  <w:p w14:paraId="45A891F6" w14:textId="77777777" w:rsidR="00E73B55" w:rsidRPr="00C925AC" w:rsidRDefault="00E73B55"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1056666649">
    <w:abstractNumId w:val="2"/>
  </w:num>
  <w:num w:numId="2" w16cid:durableId="1339818123">
    <w:abstractNumId w:val="0"/>
  </w:num>
  <w:num w:numId="3" w16cid:durableId="15306820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B55"/>
    <w:rsid w:val="000A2681"/>
    <w:rsid w:val="00114F39"/>
    <w:rsid w:val="0056045B"/>
    <w:rsid w:val="00CE0EB1"/>
    <w:rsid w:val="00DE7E5E"/>
    <w:rsid w:val="00E73B55"/>
    <w:rsid w:val="00F10818"/>
    <w:rsid w:val="00FE2B9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5F2B6"/>
  <w15:chartTrackingRefBased/>
  <w15:docId w15:val="{36746D5B-551D-C44E-B08C-2E4CEBCC0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3B55"/>
    <w:pPr>
      <w:spacing w:line="259" w:lineRule="auto"/>
    </w:pPr>
    <w:rPr>
      <w:kern w:val="0"/>
      <w:sz w:val="22"/>
      <w:szCs w:val="22"/>
      <w14:ligatures w14:val="none"/>
    </w:rPr>
  </w:style>
  <w:style w:type="paragraph" w:styleId="Ttulo1">
    <w:name w:val="heading 1"/>
    <w:basedOn w:val="Normal"/>
    <w:next w:val="Normal"/>
    <w:link w:val="Ttulo1Car"/>
    <w:uiPriority w:val="9"/>
    <w:qFormat/>
    <w:rsid w:val="00E73B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73B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73B5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73B5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73B5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73B5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73B5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73B5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73B5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73B5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73B5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73B5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73B5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73B5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73B5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73B5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73B5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73B55"/>
    <w:rPr>
      <w:rFonts w:eastAsiaTheme="majorEastAsia" w:cstheme="majorBidi"/>
      <w:color w:val="272727" w:themeColor="text1" w:themeTint="D8"/>
    </w:rPr>
  </w:style>
  <w:style w:type="paragraph" w:styleId="Ttulo">
    <w:name w:val="Title"/>
    <w:basedOn w:val="Normal"/>
    <w:next w:val="Normal"/>
    <w:link w:val="TtuloCar"/>
    <w:uiPriority w:val="10"/>
    <w:qFormat/>
    <w:rsid w:val="00E73B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73B5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73B5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73B5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73B55"/>
    <w:pPr>
      <w:spacing w:before="160"/>
      <w:jc w:val="center"/>
    </w:pPr>
    <w:rPr>
      <w:i/>
      <w:iCs/>
      <w:color w:val="404040" w:themeColor="text1" w:themeTint="BF"/>
    </w:rPr>
  </w:style>
  <w:style w:type="character" w:customStyle="1" w:styleId="CitaCar">
    <w:name w:val="Cita Car"/>
    <w:basedOn w:val="Fuentedeprrafopredeter"/>
    <w:link w:val="Cita"/>
    <w:uiPriority w:val="29"/>
    <w:rsid w:val="00E73B5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E73B55"/>
    <w:pPr>
      <w:ind w:left="720"/>
      <w:contextualSpacing/>
    </w:pPr>
  </w:style>
  <w:style w:type="character" w:styleId="nfasisintenso">
    <w:name w:val="Intense Emphasis"/>
    <w:basedOn w:val="Fuentedeprrafopredeter"/>
    <w:uiPriority w:val="21"/>
    <w:qFormat/>
    <w:rsid w:val="00E73B55"/>
    <w:rPr>
      <w:i/>
      <w:iCs/>
      <w:color w:val="0F4761" w:themeColor="accent1" w:themeShade="BF"/>
    </w:rPr>
  </w:style>
  <w:style w:type="paragraph" w:styleId="Citadestacada">
    <w:name w:val="Intense Quote"/>
    <w:basedOn w:val="Normal"/>
    <w:next w:val="Normal"/>
    <w:link w:val="CitadestacadaCar"/>
    <w:uiPriority w:val="30"/>
    <w:qFormat/>
    <w:rsid w:val="00E73B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73B55"/>
    <w:rPr>
      <w:i/>
      <w:iCs/>
      <w:color w:val="0F4761" w:themeColor="accent1" w:themeShade="BF"/>
    </w:rPr>
  </w:style>
  <w:style w:type="character" w:styleId="Referenciaintensa">
    <w:name w:val="Intense Reference"/>
    <w:basedOn w:val="Fuentedeprrafopredeter"/>
    <w:uiPriority w:val="32"/>
    <w:qFormat/>
    <w:rsid w:val="00E73B55"/>
    <w:rPr>
      <w:b/>
      <w:bCs/>
      <w:smallCaps/>
      <w:color w:val="0F4761" w:themeColor="accent1" w:themeShade="BF"/>
      <w:spacing w:val="5"/>
    </w:rPr>
  </w:style>
  <w:style w:type="paragraph" w:styleId="Encabezado">
    <w:name w:val="header"/>
    <w:basedOn w:val="Normal"/>
    <w:link w:val="EncabezadoCar"/>
    <w:uiPriority w:val="99"/>
    <w:unhideWhenUsed/>
    <w:rsid w:val="00E73B5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73B55"/>
    <w:rPr>
      <w:kern w:val="0"/>
      <w:sz w:val="22"/>
      <w:szCs w:val="22"/>
      <w14:ligatures w14:val="none"/>
    </w:rPr>
  </w:style>
  <w:style w:type="paragraph" w:styleId="Piedepgina">
    <w:name w:val="footer"/>
    <w:basedOn w:val="Normal"/>
    <w:link w:val="PiedepginaCar"/>
    <w:uiPriority w:val="99"/>
    <w:unhideWhenUsed/>
    <w:rsid w:val="00E73B5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73B55"/>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73B5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E73B5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E73B5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E73B55"/>
    <w:rPr>
      <w:vertAlign w:val="superscript"/>
    </w:rPr>
  </w:style>
  <w:style w:type="character" w:customStyle="1" w:styleId="normaltextrun">
    <w:name w:val="normaltextrun"/>
    <w:basedOn w:val="Fuentedeprrafopredeter"/>
    <w:rsid w:val="00E73B55"/>
  </w:style>
  <w:style w:type="table" w:styleId="Tablaconcuadrcula">
    <w:name w:val="Table Grid"/>
    <w:basedOn w:val="Tablanormal"/>
    <w:uiPriority w:val="39"/>
    <w:qFormat/>
    <w:rsid w:val="00E73B55"/>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73B55"/>
    <w:rPr>
      <w:color w:val="0000FF"/>
      <w:u w:val="single"/>
    </w:rPr>
  </w:style>
  <w:style w:type="paragraph" w:customStyle="1" w:styleId="paragraph">
    <w:name w:val="paragraph"/>
    <w:basedOn w:val="Normal"/>
    <w:rsid w:val="00E73B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E73B55"/>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73B55"/>
  </w:style>
  <w:style w:type="paragraph" w:customStyle="1" w:styleId="Appelnotedebasde">
    <w:name w:val="Appel note de bas de..."/>
    <w:basedOn w:val="Normal"/>
    <w:link w:val="Refdenotaalpie"/>
    <w:uiPriority w:val="99"/>
    <w:rsid w:val="00E73B55"/>
    <w:pPr>
      <w:spacing w:line="240" w:lineRule="exact"/>
    </w:pPr>
    <w:rPr>
      <w:kern w:val="2"/>
      <w:sz w:val="24"/>
      <w:szCs w:val="24"/>
      <w:vertAlign w:val="superscript"/>
      <w14:ligatures w14:val="standardContextual"/>
    </w:rPr>
  </w:style>
  <w:style w:type="character" w:customStyle="1" w:styleId="s15">
    <w:name w:val="s15"/>
    <w:basedOn w:val="Fuentedeprrafopredeter"/>
    <w:rsid w:val="00E73B55"/>
  </w:style>
  <w:style w:type="character" w:customStyle="1" w:styleId="apple-converted-space">
    <w:name w:val="apple-converted-space"/>
    <w:basedOn w:val="Fuentedeprrafopredeter"/>
    <w:rsid w:val="00E73B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VALLECILLA@PISA.COM.CO"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olombiacompra.gov.co" TargetMode="Externa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manual-para-determinar-y-verificar-los-requisitos-habilitantes-en-los-procesos-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7BF8E99-0CEB-4B91-8362-BB1DABF4E20E}"/>
</file>

<file path=customXml/itemProps2.xml><?xml version="1.0" encoding="utf-8"?>
<ds:datastoreItem xmlns:ds="http://schemas.openxmlformats.org/officeDocument/2006/customXml" ds:itemID="{0D8D5824-D4E7-4E12-A1CB-27AD5200484E}"/>
</file>

<file path=customXml/itemProps3.xml><?xml version="1.0" encoding="utf-8"?>
<ds:datastoreItem xmlns:ds="http://schemas.openxmlformats.org/officeDocument/2006/customXml" ds:itemID="{D026BAB0-6A41-499C-8201-FF83C710E87D}"/>
</file>

<file path=docProps/app.xml><?xml version="1.0" encoding="utf-8"?>
<Properties xmlns="http://schemas.openxmlformats.org/officeDocument/2006/extended-properties" xmlns:vt="http://schemas.openxmlformats.org/officeDocument/2006/docPropsVTypes">
  <Template>Normal</Template>
  <TotalTime>22</TotalTime>
  <Pages>14</Pages>
  <Words>4390</Words>
  <Characters>24147</Characters>
  <Application>Microsoft Office Word</Application>
  <DocSecurity>0</DocSecurity>
  <Lines>201</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2</cp:revision>
  <dcterms:created xsi:type="dcterms:W3CDTF">2026-04-27T02:59:00Z</dcterms:created>
  <dcterms:modified xsi:type="dcterms:W3CDTF">2026-04-27T17:16:00Z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