
<file path=[Content_Types].xml><?xml version="1.0" encoding="utf-8"?>
<Types xmlns="http://schemas.openxmlformats.org/package/2006/content-types">
  <Default Extension="emf" ContentType="image/x-emf"/>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DB3E7E" w14:textId="77777777" w:rsidR="00C84596" w:rsidRPr="00BC3C31" w:rsidRDefault="00C84596" w:rsidP="004D3F95">
      <w:pPr>
        <w:spacing w:after="0" w:line="240" w:lineRule="auto"/>
        <w:jc w:val="both"/>
        <w:rPr>
          <w:rFonts w:ascii="Verdana" w:eastAsia="Verdana" w:hAnsi="Verdana" w:cs="Verdana"/>
          <w:b/>
        </w:rPr>
      </w:pPr>
      <w:bookmarkStart w:id="0" w:name="_Hlk143780582"/>
      <w:r w:rsidRPr="00BC3C31">
        <w:rPr>
          <w:rFonts w:ascii="Verdana" w:eastAsia="Verdana" w:hAnsi="Verdana" w:cs="Verdana"/>
          <w:b/>
        </w:rPr>
        <w:t xml:space="preserve">LEY DE GARANTÍAS ELECTORALES </w:t>
      </w:r>
      <w:r w:rsidRPr="00BC3C31">
        <w:rPr>
          <w:rFonts w:ascii="Verdana" w:eastAsia="Verdana" w:hAnsi="Verdana" w:cs="Verdana"/>
          <w:b/>
          <w:bCs/>
        </w:rPr>
        <w:t>‒</w:t>
      </w:r>
      <w:r w:rsidRPr="00BC3C31">
        <w:rPr>
          <w:rFonts w:ascii="Verdana" w:eastAsia="Verdana" w:hAnsi="Verdana" w:cs="Verdana"/>
          <w:b/>
        </w:rPr>
        <w:t xml:space="preserve"> Finalidad </w:t>
      </w:r>
    </w:p>
    <w:p w14:paraId="31F9461C" w14:textId="77777777" w:rsidR="00C84596" w:rsidRPr="00BC3C31" w:rsidRDefault="00C84596" w:rsidP="004D3F95">
      <w:pPr>
        <w:spacing w:after="0" w:line="240" w:lineRule="auto"/>
        <w:jc w:val="both"/>
        <w:rPr>
          <w:rFonts w:ascii="Verdana" w:eastAsia="Verdana" w:hAnsi="Verdana" w:cs="Verdana"/>
        </w:rPr>
      </w:pPr>
    </w:p>
    <w:p w14:paraId="43036E06" w14:textId="77777777" w:rsidR="00C84596" w:rsidRPr="004F3465" w:rsidRDefault="00C84596" w:rsidP="004D3F95">
      <w:pPr>
        <w:spacing w:after="0" w:line="240" w:lineRule="auto"/>
        <w:jc w:val="both"/>
        <w:rPr>
          <w:rFonts w:ascii="Verdana" w:eastAsia="Verdana" w:hAnsi="Verdana" w:cs="Verdana"/>
          <w:sz w:val="20"/>
        </w:rPr>
      </w:pPr>
      <w:r w:rsidRPr="004F3465">
        <w:rPr>
          <w:rFonts w:ascii="Verdana" w:eastAsia="Verdana" w:hAnsi="Verdana" w:cs="Verdana"/>
          <w:sz w:val="20"/>
        </w:rPr>
        <w:t>En el mismo sentido</w:t>
      </w:r>
      <w:r w:rsidRPr="004F3465">
        <w:rPr>
          <w:rFonts w:ascii="Verdana" w:eastAsia="Verdana" w:hAnsi="Verdana" w:cs="Verdana"/>
          <w:sz w:val="20"/>
          <w:lang w:val="es-MX"/>
        </w:rPr>
        <w:t>, la Ley 996 de 2005, conocida como “Ley de Garantías Electorales”,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 En esta medida, introduce limitaciones para realizar nombramientos, postulaciones, contrataciones o cualquier otro tipo de actividad que implique destinación de recursos públicos bajo el devenir propio de las Entidades Estatales.</w:t>
      </w:r>
    </w:p>
    <w:p w14:paraId="75A0AB73" w14:textId="77777777" w:rsidR="00C84596" w:rsidRDefault="00C84596" w:rsidP="004D3F95">
      <w:pPr>
        <w:spacing w:after="0" w:line="240" w:lineRule="auto"/>
        <w:jc w:val="both"/>
        <w:rPr>
          <w:rFonts w:ascii="Verdana" w:eastAsia="Verdana" w:hAnsi="Verdana" w:cs="Verdana"/>
          <w:b/>
        </w:rPr>
      </w:pPr>
    </w:p>
    <w:p w14:paraId="2FDE61B9" w14:textId="461B2E5B" w:rsidR="00C84596" w:rsidRPr="00BC3C31" w:rsidRDefault="00C84596" w:rsidP="004D3F95">
      <w:pPr>
        <w:spacing w:after="0" w:line="240" w:lineRule="auto"/>
        <w:jc w:val="both"/>
        <w:rPr>
          <w:rFonts w:ascii="Verdana" w:eastAsia="Verdana" w:hAnsi="Verdana" w:cs="Verdana"/>
          <w:b/>
        </w:rPr>
      </w:pPr>
      <w:r w:rsidRPr="00BC3C31">
        <w:rPr>
          <w:rFonts w:ascii="Verdana" w:eastAsia="Verdana" w:hAnsi="Verdana" w:cs="Verdana"/>
          <w:b/>
        </w:rPr>
        <w:t xml:space="preserve">LEY DE GARANTÍAS ELECTORALES </w:t>
      </w:r>
      <w:r w:rsidRPr="00BC3C31">
        <w:rPr>
          <w:rFonts w:ascii="Verdana" w:eastAsia="Verdana" w:hAnsi="Verdana" w:cs="Verdana"/>
          <w:b/>
          <w:bCs/>
        </w:rPr>
        <w:t>‒</w:t>
      </w:r>
      <w:r w:rsidRPr="00BC3C31">
        <w:rPr>
          <w:rFonts w:ascii="Verdana" w:eastAsia="Verdana" w:hAnsi="Verdana" w:cs="Verdana"/>
          <w:b/>
        </w:rPr>
        <w:t xml:space="preserve"> Tipos de restricciones </w:t>
      </w:r>
      <w:r w:rsidRPr="00BC3C31">
        <w:rPr>
          <w:rFonts w:ascii="Verdana" w:eastAsia="Verdana" w:hAnsi="Verdana" w:cs="Verdana"/>
          <w:b/>
          <w:bCs/>
        </w:rPr>
        <w:t>‒</w:t>
      </w:r>
      <w:r w:rsidRPr="00BC3C31">
        <w:rPr>
          <w:rFonts w:ascii="Verdana" w:eastAsia="Verdana" w:hAnsi="Verdana" w:cs="Verdana"/>
          <w:b/>
        </w:rPr>
        <w:t xml:space="preserve"> Ámbito temporal – </w:t>
      </w:r>
      <w:r w:rsidR="0057428E">
        <w:rPr>
          <w:rFonts w:ascii="Verdana" w:eastAsia="Verdana" w:hAnsi="Verdana" w:cs="Verdana"/>
          <w:b/>
        </w:rPr>
        <w:t>C</w:t>
      </w:r>
      <w:r w:rsidRPr="00BC3C31">
        <w:rPr>
          <w:rFonts w:ascii="Verdana" w:eastAsia="Verdana" w:hAnsi="Verdana" w:cs="Verdana"/>
          <w:b/>
        </w:rPr>
        <w:t>elebración</w:t>
      </w:r>
      <w:r w:rsidR="0057428E">
        <w:rPr>
          <w:rFonts w:ascii="Verdana" w:eastAsia="Verdana" w:hAnsi="Verdana" w:cs="Verdana"/>
          <w:b/>
        </w:rPr>
        <w:t xml:space="preserve"> </w:t>
      </w:r>
      <w:r w:rsidR="0057428E" w:rsidRPr="0057428E">
        <w:rPr>
          <w:rFonts w:ascii="Verdana" w:eastAsia="Verdana" w:hAnsi="Verdana" w:cs="Verdana"/>
          <w:b/>
          <w:bCs/>
          <w:lang w:val="es-ES"/>
        </w:rPr>
        <w:t>–</w:t>
      </w:r>
      <w:r w:rsidRPr="00BC3C31">
        <w:rPr>
          <w:rFonts w:ascii="Verdana" w:eastAsia="Verdana" w:hAnsi="Verdana" w:cs="Verdana"/>
          <w:b/>
        </w:rPr>
        <w:t xml:space="preserve"> </w:t>
      </w:r>
      <w:r w:rsidR="0057428E">
        <w:rPr>
          <w:rFonts w:ascii="Verdana" w:eastAsia="Verdana" w:hAnsi="Verdana" w:cs="Verdana"/>
          <w:b/>
        </w:rPr>
        <w:t>L</w:t>
      </w:r>
      <w:r w:rsidRPr="00BC3C31">
        <w:rPr>
          <w:rFonts w:ascii="Verdana" w:eastAsia="Verdana" w:hAnsi="Verdana" w:cs="Verdana"/>
          <w:b/>
        </w:rPr>
        <w:t xml:space="preserve">ímite </w:t>
      </w:r>
    </w:p>
    <w:p w14:paraId="0157D54C" w14:textId="77777777" w:rsidR="00C84596" w:rsidRDefault="00C84596" w:rsidP="004D3F95">
      <w:pPr>
        <w:spacing w:after="0" w:line="240" w:lineRule="auto"/>
        <w:jc w:val="both"/>
        <w:rPr>
          <w:rFonts w:ascii="Verdana" w:eastAsia="Verdana" w:hAnsi="Verdana" w:cs="Verdana"/>
          <w:b/>
        </w:rPr>
      </w:pPr>
    </w:p>
    <w:p w14:paraId="219E64FB" w14:textId="77777777" w:rsidR="00C84596" w:rsidRDefault="00C84596" w:rsidP="004D3F95">
      <w:pPr>
        <w:spacing w:after="0" w:line="240" w:lineRule="auto"/>
        <w:jc w:val="both"/>
        <w:rPr>
          <w:rFonts w:ascii="Verdana" w:eastAsia="Verdana" w:hAnsi="Verdana" w:cs="Verdana"/>
          <w:sz w:val="20"/>
        </w:rPr>
      </w:pPr>
      <w:r w:rsidRPr="004D7FB4">
        <w:rPr>
          <w:rFonts w:ascii="Verdana" w:eastAsia="Verdana" w:hAnsi="Verdana" w:cs="Verdana"/>
          <w:sz w:val="20"/>
        </w:rPr>
        <w:t xml:space="preserve">Por un lado, el </w:t>
      </w:r>
      <w:r w:rsidRPr="004D7FB4">
        <w:rPr>
          <w:rFonts w:ascii="Verdana" w:eastAsia="Verdana" w:hAnsi="Verdana" w:cs="Verdana"/>
          <w:i/>
          <w:iCs/>
          <w:sz w:val="20"/>
        </w:rPr>
        <w:t>artículo 33 de la Ley 996 de 2005</w:t>
      </w:r>
      <w:r w:rsidRPr="004D7FB4">
        <w:rPr>
          <w:rFonts w:ascii="Verdana" w:eastAsia="Verdana" w:hAnsi="Verdana" w:cs="Verdana"/>
          <w:sz w:val="20"/>
        </w:rPr>
        <w:t xml:space="preserve">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p>
    <w:p w14:paraId="5494B6A4" w14:textId="77777777" w:rsidR="00C84596" w:rsidRPr="004D7FB4" w:rsidRDefault="00C84596" w:rsidP="004D3F95">
      <w:pPr>
        <w:spacing w:after="0" w:line="240" w:lineRule="auto"/>
        <w:jc w:val="both"/>
        <w:rPr>
          <w:rFonts w:ascii="Verdana" w:eastAsia="Verdana" w:hAnsi="Verdana" w:cs="Verdana"/>
          <w:sz w:val="20"/>
        </w:rPr>
      </w:pPr>
    </w:p>
    <w:p w14:paraId="682FA587" w14:textId="77777777" w:rsidR="00C84596" w:rsidRDefault="00C84596" w:rsidP="004D3F95">
      <w:pPr>
        <w:spacing w:after="0" w:line="240" w:lineRule="auto"/>
        <w:jc w:val="both"/>
        <w:rPr>
          <w:rFonts w:ascii="Verdana" w:eastAsia="Verdana" w:hAnsi="Verdana" w:cs="Verdana"/>
          <w:sz w:val="20"/>
          <w:lang w:val="es-MX"/>
        </w:rPr>
      </w:pPr>
      <w:r w:rsidRPr="004D7FB4">
        <w:rPr>
          <w:rFonts w:ascii="Verdana" w:eastAsia="Verdana" w:hAnsi="Verdana" w:cs="Verdana"/>
          <w:sz w:val="20"/>
        </w:rPr>
        <w:t xml:space="preserve">Por otro lado, </w:t>
      </w:r>
      <w:r w:rsidRPr="004D7FB4">
        <w:rPr>
          <w:rFonts w:ascii="Verdana" w:eastAsia="Verdana" w:hAnsi="Verdana" w:cs="Verdana"/>
          <w:i/>
          <w:iCs/>
          <w:sz w:val="20"/>
        </w:rPr>
        <w:t>el parágrafo del artículo 38 de la Ley 996 de 2005</w:t>
      </w:r>
      <w:r w:rsidRPr="004D7FB4">
        <w:rPr>
          <w:rFonts w:ascii="Verdana" w:eastAsia="Verdana" w:hAnsi="Verdana" w:cs="Verdana"/>
          <w:sz w:val="20"/>
        </w:rPr>
        <w:t xml:space="preserve"> prevé una restricción, aplicable respecto de cualquier tipo de contienda electoral, que prohíbe a los gobernadores, alcaldes municipales o distritales, secretarios, gerentes y directores de entidades descentralizadas del orden municipal, departamental o distrital “[…] </w:t>
      </w:r>
      <w:r w:rsidRPr="004D7FB4">
        <w:rPr>
          <w:rFonts w:ascii="Verdana" w:eastAsia="Verdana" w:hAnsi="Verdana" w:cs="Verdana"/>
          <w:sz w:val="20"/>
          <w:lang w:val="es-MX"/>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4D7FB4">
        <w:rPr>
          <w:rFonts w:ascii="Verdana" w:eastAsia="Verdana" w:hAnsi="Verdana" w:cs="Verdana"/>
          <w:sz w:val="20"/>
        </w:rPr>
        <w:t>”</w:t>
      </w:r>
      <w:r w:rsidRPr="004D7FB4">
        <w:rPr>
          <w:rFonts w:ascii="Verdana" w:eastAsia="Verdana" w:hAnsi="Verdana" w:cs="Verdana"/>
          <w:sz w:val="20"/>
          <w:lang w:val="es-MX"/>
        </w:rPr>
        <w:t>.</w:t>
      </w:r>
    </w:p>
    <w:p w14:paraId="06EE1C70" w14:textId="77777777" w:rsidR="00C84596" w:rsidRPr="004D7FB4" w:rsidRDefault="00C84596" w:rsidP="004D3F95">
      <w:pPr>
        <w:spacing w:after="0" w:line="240" w:lineRule="auto"/>
        <w:jc w:val="both"/>
        <w:rPr>
          <w:rFonts w:ascii="Verdana" w:eastAsia="Verdana" w:hAnsi="Verdana" w:cs="Verdana"/>
          <w:sz w:val="20"/>
          <w:lang w:bidi="es-ES"/>
        </w:rPr>
      </w:pPr>
      <w:r w:rsidRPr="004D7FB4">
        <w:rPr>
          <w:rFonts w:ascii="Verdana" w:eastAsia="Verdana" w:hAnsi="Verdana" w:cs="Verdana"/>
          <w:sz w:val="20"/>
          <w:lang w:bidi="es-ES"/>
        </w:rPr>
        <w:t xml:space="preserve"> </w:t>
      </w:r>
    </w:p>
    <w:p w14:paraId="77C5B9D8" w14:textId="77777777" w:rsidR="00C84596" w:rsidRPr="004D7FB4" w:rsidRDefault="00C84596" w:rsidP="004D3F95">
      <w:pPr>
        <w:spacing w:after="0" w:line="240" w:lineRule="auto"/>
        <w:jc w:val="both"/>
        <w:rPr>
          <w:rFonts w:ascii="Verdana" w:eastAsia="Verdana" w:hAnsi="Verdana" w:cs="Verdana"/>
          <w:bCs/>
          <w:sz w:val="20"/>
        </w:rPr>
      </w:pPr>
      <w:r w:rsidRPr="004D7FB4">
        <w:rPr>
          <w:rFonts w:ascii="Verdana" w:eastAsia="Verdana" w:hAnsi="Verdana" w:cs="Verdana"/>
          <w:bCs/>
          <w:sz w:val="20"/>
          <w:lang w:val="es-MX"/>
        </w:rPr>
        <w:t>Para entender el momento de aplicación de estas restricciones, es preciso señalar que el vocablo “celebrar” es definido por el Diccionario Panhispánico del Español Jurídico como: “</w:t>
      </w:r>
      <w:r w:rsidRPr="004D7FB4">
        <w:rPr>
          <w:rFonts w:ascii="Verdana" w:eastAsia="Verdana" w:hAnsi="Verdana" w:cs="Verdana"/>
          <w:bCs/>
          <w:sz w:val="20"/>
        </w:rPr>
        <w:t>1. </w:t>
      </w:r>
      <w:r w:rsidRPr="004D7FB4">
        <w:rPr>
          <w:rFonts w:ascii="Verdana" w:eastAsia="Verdana" w:hAnsi="Verdana" w:cs="Verdana"/>
          <w:bCs/>
          <w:i/>
          <w:iCs/>
          <w:sz w:val="20"/>
        </w:rPr>
        <w:t>Gral.</w:t>
      </w:r>
      <w:r w:rsidRPr="004D7FB4">
        <w:rPr>
          <w:rFonts w:ascii="Verdana" w:eastAsia="Verdana" w:hAnsi="Verdana" w:cs="Verdana"/>
          <w:bCs/>
          <w:sz w:val="20"/>
        </w:rPr>
        <w:t xml:space="preserve"> Otorgar o firmar un contrato. 2. </w:t>
      </w:r>
      <w:proofErr w:type="spellStart"/>
      <w:r w:rsidRPr="004D7FB4">
        <w:rPr>
          <w:rFonts w:ascii="Verdana" w:eastAsia="Verdana" w:hAnsi="Verdana" w:cs="Verdana"/>
          <w:bCs/>
          <w:i/>
          <w:iCs/>
          <w:sz w:val="20"/>
        </w:rPr>
        <w:t>Proc</w:t>
      </w:r>
      <w:proofErr w:type="spellEnd"/>
      <w:r w:rsidRPr="004D7FB4">
        <w:rPr>
          <w:rFonts w:ascii="Verdana" w:eastAsia="Verdana" w:hAnsi="Verdana" w:cs="Verdana"/>
          <w:bCs/>
          <w:i/>
          <w:iCs/>
          <w:sz w:val="20"/>
        </w:rPr>
        <w:t>.</w:t>
      </w:r>
      <w:r w:rsidRPr="004D7FB4">
        <w:rPr>
          <w:rFonts w:ascii="Verdana" w:eastAsia="Verdana" w:hAnsi="Verdana" w:cs="Verdana"/>
          <w:bCs/>
          <w:sz w:val="20"/>
        </w:rPr>
        <w:t xml:space="preserve"> Realizar los actos procesales propios de un juicio o vista”. Dentro de las dos definiciones, la que se acerca a la expresión “celebrar” en el contexto de la Ley de Garantías Electorales es la primera, esto es, al perfeccionamiento del contrato. </w:t>
      </w:r>
    </w:p>
    <w:p w14:paraId="77778668" w14:textId="77777777" w:rsidR="00C84596" w:rsidRPr="00BC3C31" w:rsidRDefault="00C84596" w:rsidP="004D3F95">
      <w:pPr>
        <w:spacing w:after="0" w:line="240" w:lineRule="auto"/>
        <w:jc w:val="both"/>
        <w:rPr>
          <w:rFonts w:ascii="Verdana" w:eastAsia="Verdana" w:hAnsi="Verdana" w:cs="Verdana"/>
          <w:b/>
        </w:rPr>
      </w:pPr>
    </w:p>
    <w:p w14:paraId="3F6C3632" w14:textId="77777777" w:rsidR="00C84596" w:rsidRPr="00BC3C31" w:rsidRDefault="00C84596" w:rsidP="004D3F95">
      <w:pPr>
        <w:spacing w:after="0" w:line="240" w:lineRule="auto"/>
        <w:jc w:val="both"/>
        <w:rPr>
          <w:rFonts w:ascii="Verdana" w:eastAsia="Verdana" w:hAnsi="Verdana" w:cs="Verdana"/>
          <w:b/>
        </w:rPr>
      </w:pPr>
      <w:r w:rsidRPr="00BC3C31">
        <w:rPr>
          <w:rFonts w:ascii="Verdana" w:eastAsia="Verdana" w:hAnsi="Verdana" w:cs="Verdana"/>
          <w:b/>
        </w:rPr>
        <w:t>LEY DE GARANTÍAS ELECTORALES – Prohibición artículo 33 – Contratación directa – Alcance</w:t>
      </w:r>
    </w:p>
    <w:p w14:paraId="35680417" w14:textId="77777777" w:rsidR="00C84596" w:rsidRPr="00BC3C31" w:rsidRDefault="00C84596" w:rsidP="004D3F95">
      <w:pPr>
        <w:spacing w:after="0" w:line="240" w:lineRule="auto"/>
        <w:jc w:val="both"/>
        <w:rPr>
          <w:rFonts w:ascii="Verdana" w:eastAsia="Verdana" w:hAnsi="Verdana" w:cs="Verdana"/>
          <w:b/>
        </w:rPr>
      </w:pPr>
    </w:p>
    <w:p w14:paraId="7271BDB8" w14:textId="77777777" w:rsidR="00C84596" w:rsidRPr="004D7FB4" w:rsidRDefault="00C84596" w:rsidP="004D3F95">
      <w:pPr>
        <w:spacing w:after="0" w:line="240" w:lineRule="auto"/>
        <w:jc w:val="both"/>
        <w:rPr>
          <w:rFonts w:ascii="Verdana" w:eastAsia="Verdana" w:hAnsi="Verdana" w:cs="Verdana"/>
          <w:bCs/>
          <w:sz w:val="20"/>
        </w:rPr>
      </w:pPr>
      <w:r w:rsidRPr="004D7FB4">
        <w:rPr>
          <w:rFonts w:ascii="Verdana" w:eastAsia="Verdana" w:hAnsi="Verdana" w:cs="Verdana"/>
          <w:sz w:val="20"/>
        </w:rPr>
        <w:t xml:space="preserve">De acuerdo con el citado concepto, la prohibición del artículo 33 de la Ley de Garantías Electorales se refiere a “cualquier sistema que no implique convocatoria pública y </w:t>
      </w:r>
      <w:r w:rsidRPr="004D7FB4">
        <w:rPr>
          <w:rFonts w:ascii="Verdana" w:eastAsia="Verdana" w:hAnsi="Verdana" w:cs="Verdana"/>
          <w:sz w:val="20"/>
        </w:rPr>
        <w:lastRenderedPageBreak/>
        <w:t>posibilidad de pluralidad de oferentes”, por lo que excluye las demás modalidades de contratación previstas en la Ley 1150 de 2007, es decir, la licitación pública, la selección abreviada, el concurso de méritos y la mínima cuantía</w:t>
      </w:r>
      <w:r w:rsidRPr="004D7FB4" w:rsidDel="00A85D9F">
        <w:rPr>
          <w:rFonts w:ascii="Verdana" w:eastAsia="Verdana" w:hAnsi="Verdana" w:cs="Verdana"/>
          <w:sz w:val="20"/>
        </w:rPr>
        <w:t xml:space="preserve"> </w:t>
      </w:r>
      <w:r w:rsidRPr="004D7FB4">
        <w:rPr>
          <w:rFonts w:ascii="Verdana" w:eastAsia="Verdana" w:hAnsi="Verdana" w:cs="Verdana"/>
          <w:sz w:val="20"/>
        </w:rPr>
        <w:t>u otros previstos en normas especiales. Esta posición es congruente con la expedición de la Ley 1150 de 2007 que, entre otras reformas, introdujo la selección abreviada, rediseñó el concurso de méritos y sistematizó las causales de contratación directa, además lo es con la posterior creación de la modalidad de mínima cuantía establecida actualmente en el numeral 5 del artículo 2 de la Ley 1150 de 2007, de acuerdo con las modificaciones realizadas por leyes posteriores.</w:t>
      </w:r>
    </w:p>
    <w:p w14:paraId="1088341B" w14:textId="77777777" w:rsidR="00C84596" w:rsidRPr="00BC3C31" w:rsidRDefault="00C84596" w:rsidP="004D3F95">
      <w:pPr>
        <w:spacing w:after="0" w:line="240" w:lineRule="auto"/>
        <w:jc w:val="both"/>
        <w:rPr>
          <w:rFonts w:ascii="Verdana" w:eastAsia="Verdana" w:hAnsi="Verdana" w:cs="Verdana"/>
          <w:b/>
        </w:rPr>
      </w:pPr>
    </w:p>
    <w:p w14:paraId="5443B7D0" w14:textId="77777777" w:rsidR="00C84596" w:rsidRPr="00BC3C31" w:rsidRDefault="00C84596" w:rsidP="004D3F95">
      <w:pPr>
        <w:spacing w:after="0" w:line="240" w:lineRule="auto"/>
        <w:jc w:val="both"/>
        <w:rPr>
          <w:rFonts w:ascii="Verdana" w:eastAsia="Verdana" w:hAnsi="Verdana" w:cs="Verdana"/>
          <w:b/>
        </w:rPr>
      </w:pPr>
      <w:r w:rsidRPr="00BC3C31">
        <w:rPr>
          <w:rFonts w:ascii="Verdana" w:eastAsia="Verdana" w:hAnsi="Verdana" w:cs="Verdana"/>
          <w:b/>
        </w:rPr>
        <w:t xml:space="preserve">LEY DE GARANTÍAS ELECTORALES – Prohibición del artículo 33 – Destinatarios </w:t>
      </w:r>
    </w:p>
    <w:p w14:paraId="44EF95C2" w14:textId="77777777" w:rsidR="00C84596" w:rsidRPr="00BC3C31" w:rsidRDefault="00C84596" w:rsidP="004D3F95">
      <w:pPr>
        <w:spacing w:after="0" w:line="240" w:lineRule="auto"/>
        <w:jc w:val="both"/>
        <w:rPr>
          <w:rFonts w:ascii="Verdana" w:eastAsia="Verdana" w:hAnsi="Verdana" w:cs="Verdana"/>
          <w:b/>
        </w:rPr>
      </w:pPr>
    </w:p>
    <w:p w14:paraId="3650FC3C" w14:textId="77777777" w:rsidR="00C84596" w:rsidRPr="00865A1B" w:rsidRDefault="00C84596" w:rsidP="004D3F95">
      <w:pPr>
        <w:spacing w:after="0" w:line="240" w:lineRule="auto"/>
        <w:jc w:val="both"/>
        <w:rPr>
          <w:rFonts w:ascii="Verdana" w:eastAsia="Verdana" w:hAnsi="Verdana" w:cs="Verdana"/>
          <w:bCs/>
          <w:sz w:val="20"/>
        </w:rPr>
      </w:pPr>
      <w:r w:rsidRPr="00865A1B">
        <w:rPr>
          <w:rFonts w:ascii="Verdana" w:eastAsia="Verdana" w:hAnsi="Verdana" w:cs="Verdana"/>
          <w:bCs/>
          <w:sz w:val="20"/>
        </w:rPr>
        <w:t>En relación con los destinatarios de la restricción analizada, el artículo 33 de la Ley 996 de 2005 los señala expresamente, en el sentido de que son “todos los entes del Estado”, expresión que contempla a los diferentes organismos o entidades autorizadas por la ley para suscribir contratos.</w:t>
      </w:r>
      <w:r w:rsidRPr="00865A1B">
        <w:rPr>
          <w:rFonts w:ascii="Verdana" w:eastAsia="Verdana" w:hAnsi="Verdana" w:cs="Verdana"/>
          <w:sz w:val="20"/>
        </w:rPr>
        <w:t xml:space="preserve"> </w:t>
      </w:r>
      <w:r w:rsidRPr="00865A1B">
        <w:rPr>
          <w:rFonts w:ascii="Verdana" w:eastAsia="Verdana" w:hAnsi="Verdana" w:cs="Verdana"/>
          <w:bCs/>
          <w:sz w:val="20"/>
        </w:rPr>
        <w:t>En efecto, tal como lo ha sostenido el Consejo de Estado, el vocablo “todos” utilizado por el legislador comprende</w:t>
      </w:r>
      <w:r w:rsidRPr="00865A1B">
        <w:rPr>
          <w:rFonts w:ascii="Verdana" w:eastAsia="Verdana" w:hAnsi="Verdana" w:cs="Verdana"/>
          <w:sz w:val="20"/>
        </w:rPr>
        <w:t xml:space="preserve"> </w:t>
      </w:r>
      <w:r w:rsidRPr="00865A1B">
        <w:rPr>
          <w:rFonts w:ascii="Verdana" w:eastAsia="Verdana" w:hAnsi="Verdana" w:cs="Verdana"/>
          <w:bCs/>
          <w:sz w:val="20"/>
        </w:rPr>
        <w:t>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w:t>
      </w:r>
    </w:p>
    <w:p w14:paraId="5BE94B95" w14:textId="77777777" w:rsidR="00C84596" w:rsidRPr="004D7FB4" w:rsidRDefault="00C84596" w:rsidP="004D3F95">
      <w:pPr>
        <w:spacing w:after="0" w:line="240" w:lineRule="auto"/>
        <w:jc w:val="both"/>
        <w:rPr>
          <w:rFonts w:ascii="Verdana" w:eastAsia="Verdana" w:hAnsi="Verdana" w:cs="Verdana"/>
          <w:b/>
        </w:rPr>
      </w:pPr>
    </w:p>
    <w:p w14:paraId="20057F67" w14:textId="77777777" w:rsidR="00C84596" w:rsidRPr="00BC3C31" w:rsidRDefault="00C84596" w:rsidP="004D3F95">
      <w:pPr>
        <w:spacing w:after="0" w:line="240" w:lineRule="auto"/>
        <w:jc w:val="both"/>
        <w:rPr>
          <w:rFonts w:ascii="Verdana" w:eastAsia="Verdana" w:hAnsi="Verdana" w:cs="Verdana"/>
          <w:b/>
        </w:rPr>
      </w:pPr>
      <w:r w:rsidRPr="00BC3C31">
        <w:rPr>
          <w:rFonts w:ascii="Verdana" w:eastAsia="Verdana" w:hAnsi="Verdana" w:cs="Verdana"/>
          <w:b/>
        </w:rPr>
        <w:t xml:space="preserve">LEY DE GARANTÍAS ELECTORALES – Excepciones </w:t>
      </w:r>
    </w:p>
    <w:p w14:paraId="0DF557F4" w14:textId="77777777" w:rsidR="00C84596" w:rsidRPr="00865A1B" w:rsidRDefault="00C84596" w:rsidP="004D3F95">
      <w:pPr>
        <w:spacing w:after="0" w:line="240" w:lineRule="auto"/>
        <w:jc w:val="both"/>
        <w:rPr>
          <w:rFonts w:ascii="Verdana" w:eastAsia="Verdana" w:hAnsi="Verdana" w:cs="Verdana"/>
          <w:sz w:val="20"/>
        </w:rPr>
      </w:pPr>
    </w:p>
    <w:p w14:paraId="183BF4B3" w14:textId="77777777" w:rsidR="00C84596" w:rsidRPr="00865A1B" w:rsidRDefault="00C84596" w:rsidP="004D3F95">
      <w:pPr>
        <w:spacing w:after="0" w:line="240" w:lineRule="auto"/>
        <w:jc w:val="both"/>
        <w:rPr>
          <w:rFonts w:ascii="Verdana" w:eastAsia="Verdana" w:hAnsi="Verdana" w:cs="Verdana"/>
          <w:bCs/>
          <w:sz w:val="20"/>
        </w:rPr>
      </w:pPr>
      <w:r w:rsidRPr="00865A1B">
        <w:rPr>
          <w:rFonts w:ascii="Verdana" w:eastAsia="Verdana" w:hAnsi="Verdana" w:cs="Verdana"/>
          <w:bCs/>
          <w:sz w:val="20"/>
        </w:rPr>
        <w:t xml:space="preserve">De otro lado, las excepciones a la restricción prevista en la Ley de Garantías, con fundamento en las cuales podrán las entidades públicas adelantar procedimientos de selección directa en períodos previos a la contienda electoral por la Presidencia, se encuentran consagradas expresamente en el inciso final del citado artículo 33 de la Ley 996 de 2005 en lo referente a i) la defensa y seguridad del Estado; </w:t>
      </w:r>
      <w:proofErr w:type="spellStart"/>
      <w:r w:rsidRPr="00865A1B">
        <w:rPr>
          <w:rFonts w:ascii="Verdana" w:eastAsia="Verdana" w:hAnsi="Verdana" w:cs="Verdana"/>
          <w:bCs/>
          <w:sz w:val="20"/>
        </w:rPr>
        <w:t>ii</w:t>
      </w:r>
      <w:proofErr w:type="spellEnd"/>
      <w:r w:rsidRPr="00865A1B">
        <w:rPr>
          <w:rFonts w:ascii="Verdana" w:eastAsia="Verdana" w:hAnsi="Verdana" w:cs="Verdana"/>
          <w:bCs/>
          <w:sz w:val="20"/>
        </w:rPr>
        <w:t xml:space="preserve">) los contratos de crédito público; </w:t>
      </w:r>
      <w:proofErr w:type="spellStart"/>
      <w:r w:rsidRPr="00865A1B">
        <w:rPr>
          <w:rFonts w:ascii="Verdana" w:eastAsia="Verdana" w:hAnsi="Verdana" w:cs="Verdana"/>
          <w:bCs/>
          <w:sz w:val="20"/>
        </w:rPr>
        <w:t>iii</w:t>
      </w:r>
      <w:proofErr w:type="spellEnd"/>
      <w:r w:rsidRPr="00865A1B">
        <w:rPr>
          <w:rFonts w:ascii="Verdana" w:eastAsia="Verdana" w:hAnsi="Verdana" w:cs="Verdana"/>
          <w:bCs/>
          <w:sz w:val="20"/>
        </w:rPr>
        <w:t xml:space="preserve">) los requeridos para cubrir las emergencias educativas, sanitarias y desastres; </w:t>
      </w:r>
      <w:proofErr w:type="spellStart"/>
      <w:r w:rsidRPr="00865A1B">
        <w:rPr>
          <w:rFonts w:ascii="Verdana" w:eastAsia="Verdana" w:hAnsi="Verdana" w:cs="Verdana"/>
          <w:bCs/>
          <w:sz w:val="20"/>
        </w:rPr>
        <w:t>iv</w:t>
      </w:r>
      <w:proofErr w:type="spellEnd"/>
      <w:r w:rsidRPr="00865A1B">
        <w:rPr>
          <w:rFonts w:ascii="Verdana" w:eastAsia="Verdana" w:hAnsi="Verdana" w:cs="Verdana"/>
          <w:bCs/>
          <w:sz w:val="20"/>
        </w:rPr>
        <w:t xml:space="preserve">)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 Es responsabilidad del respectivo ente del Estado, examinar en cada caso la naturaleza de las actividades que adelanta y determinar si las mismas se enmarcan en alguna de las mencionadas excepciones, de manera que se le permita realizar la contratación que necesite de forma directa. </w:t>
      </w:r>
      <w:r w:rsidRPr="00865A1B">
        <w:rPr>
          <w:rFonts w:ascii="Verdana" w:eastAsia="Verdana" w:hAnsi="Verdana" w:cs="Verdana"/>
          <w:bCs/>
          <w:sz w:val="20"/>
          <w:lang w:val="es-MX"/>
        </w:rPr>
        <w:t xml:space="preserve">Así mismo, la Corte Constitucional en la Sentencia C-1153 de 2005 señaló que la expresión </w:t>
      </w:r>
      <w:r w:rsidRPr="00865A1B">
        <w:rPr>
          <w:rFonts w:ascii="Verdana" w:eastAsia="Verdana" w:hAnsi="Verdana" w:cs="Verdana"/>
          <w:i/>
          <w:iCs/>
          <w:sz w:val="20"/>
          <w:lang w:val="es-ES"/>
        </w:rPr>
        <w:t xml:space="preserve">“adicionalmente se exceptúan aquellos gastos inaplazables e imprescindibles que afecten el normal funcionamiento de la administración” </w:t>
      </w:r>
      <w:r w:rsidRPr="00865A1B">
        <w:rPr>
          <w:rFonts w:ascii="Verdana" w:eastAsia="Verdana" w:hAnsi="Verdana" w:cs="Verdana"/>
          <w:iCs/>
          <w:sz w:val="20"/>
          <w:lang w:val="es-ES"/>
        </w:rPr>
        <w:t>regulada como excepción en el artículo 33</w:t>
      </w:r>
      <w:r w:rsidRPr="00865A1B">
        <w:rPr>
          <w:rFonts w:ascii="Verdana" w:eastAsia="Verdana" w:hAnsi="Verdana" w:cs="Verdana"/>
          <w:i/>
          <w:iCs/>
          <w:sz w:val="20"/>
          <w:lang w:val="es-ES"/>
        </w:rPr>
        <w:t xml:space="preserve"> </w:t>
      </w:r>
      <w:r w:rsidRPr="00865A1B">
        <w:rPr>
          <w:rFonts w:ascii="Verdana" w:eastAsia="Verdana" w:hAnsi="Verdana" w:cs="Verdana"/>
          <w:iCs/>
          <w:sz w:val="20"/>
          <w:lang w:val="es-ES"/>
        </w:rPr>
        <w:t xml:space="preserve">es demasiado amplia y ambigua, pues términos como inaplazable, imprescindible y normal funcionamiento son evaluativos y sujetos a interpretaciones diversas, lo que permitiría introducir múltiples excepciones que desfigurarían la prohibición original y comprometerían los fines y propósitos de la Ley de </w:t>
      </w:r>
      <w:r w:rsidRPr="00865A1B">
        <w:rPr>
          <w:rFonts w:ascii="Verdana" w:eastAsia="Verdana" w:hAnsi="Verdana" w:cs="Verdana"/>
          <w:iCs/>
          <w:sz w:val="20"/>
          <w:lang w:val="es-ES"/>
        </w:rPr>
        <w:lastRenderedPageBreak/>
        <w:t>Garantías Electorales.</w:t>
      </w:r>
      <w:r w:rsidRPr="00865A1B">
        <w:rPr>
          <w:rFonts w:ascii="Verdana" w:eastAsia="Verdana" w:hAnsi="Verdana" w:cs="Verdana"/>
          <w:i/>
          <w:iCs/>
          <w:sz w:val="20"/>
          <w:lang w:val="es-ES"/>
        </w:rPr>
        <w:t xml:space="preserve"> </w:t>
      </w:r>
      <w:r w:rsidRPr="00865A1B">
        <w:rPr>
          <w:rFonts w:ascii="Verdana" w:eastAsia="Verdana" w:hAnsi="Verdana" w:cs="Verdana"/>
          <w:iCs/>
          <w:sz w:val="20"/>
          <w:lang w:val="es-ES"/>
        </w:rPr>
        <w:t>Por tanto, dicha expresión fue declarada inexequible, razón por la cual no es posible que las entidades argumenten razones como esta para exceptuar la restricción del artículo 33.</w:t>
      </w:r>
    </w:p>
    <w:p w14:paraId="4F272E53" w14:textId="77777777" w:rsidR="00C84596" w:rsidRPr="00BC3C31" w:rsidRDefault="00C84596" w:rsidP="004D3F95">
      <w:pPr>
        <w:spacing w:after="0" w:line="240" w:lineRule="auto"/>
        <w:jc w:val="both"/>
        <w:rPr>
          <w:rFonts w:ascii="Verdana" w:eastAsia="Verdana" w:hAnsi="Verdana" w:cs="Verdana"/>
          <w:b/>
        </w:rPr>
      </w:pPr>
    </w:p>
    <w:p w14:paraId="2D2901F1" w14:textId="77777777" w:rsidR="00C84596" w:rsidRPr="00BC3C31" w:rsidRDefault="00C84596" w:rsidP="004D3F95">
      <w:pPr>
        <w:spacing w:after="0" w:line="240" w:lineRule="auto"/>
        <w:jc w:val="both"/>
        <w:rPr>
          <w:rFonts w:ascii="Verdana" w:eastAsia="Verdana" w:hAnsi="Verdana" w:cs="Verdana"/>
          <w:b/>
        </w:rPr>
      </w:pPr>
      <w:r w:rsidRPr="00BC3C31">
        <w:rPr>
          <w:rFonts w:ascii="Verdana" w:eastAsia="Verdana" w:hAnsi="Verdana" w:cs="Verdana"/>
          <w:b/>
        </w:rPr>
        <w:t>LEY DE GARANTÍAS ELECTORALES – Excepciones – Posturas de la Sala de Consulta y Servicio del Consejo de Estado</w:t>
      </w:r>
    </w:p>
    <w:p w14:paraId="193C4196" w14:textId="77777777" w:rsidR="00C84596" w:rsidRPr="00865A1B" w:rsidRDefault="00C84596" w:rsidP="004D3F95">
      <w:pPr>
        <w:spacing w:after="0" w:line="240" w:lineRule="auto"/>
        <w:jc w:val="both"/>
        <w:rPr>
          <w:rFonts w:ascii="Verdana" w:eastAsia="Verdana" w:hAnsi="Verdana" w:cs="Verdana"/>
          <w:sz w:val="20"/>
        </w:rPr>
      </w:pPr>
    </w:p>
    <w:p w14:paraId="37ACD276" w14:textId="77777777" w:rsidR="00C84596" w:rsidRDefault="00C84596" w:rsidP="004D3F95">
      <w:pPr>
        <w:spacing w:after="0" w:line="240" w:lineRule="auto"/>
        <w:jc w:val="both"/>
        <w:rPr>
          <w:rFonts w:ascii="Verdana" w:eastAsia="Verdana" w:hAnsi="Verdana" w:cs="Verdana"/>
          <w:sz w:val="20"/>
        </w:rPr>
      </w:pPr>
      <w:r w:rsidRPr="00865A1B">
        <w:rPr>
          <w:rFonts w:ascii="Verdana" w:eastAsia="Verdana" w:hAnsi="Verdana" w:cs="Verdana"/>
          <w:sz w:val="20"/>
          <w:lang w:bidi="es-ES"/>
        </w:rPr>
        <w:t xml:space="preserve">De lo expuesto, el Consejo de Estado resalta que el contrato que se celebra con fundamento en el artículo 5 de la Ley 109 de 1994 entre el Congreso de la República y la Imprenta Nacional no se efectúa en ejercicio de la autonomía de la voluntad ni con el fin de cumplir la misión industrial, comercial o de gestión propia de la Imprenta Nacional de Colombia, sino en cumplimiento de lo ordenado por la Ley a ambas entidades Estatales. De ahí que se concluya que en ese caso </w:t>
      </w:r>
      <w:r w:rsidRPr="00865A1B">
        <w:rPr>
          <w:rFonts w:ascii="Verdana" w:eastAsia="Verdana" w:hAnsi="Verdana" w:cs="Verdana"/>
          <w:sz w:val="20"/>
        </w:rPr>
        <w:t>el contrato no puede ser violatorio de la restricción a la contratación directa contenida en el artículo 33 de la Ley 996 de 2005.</w:t>
      </w:r>
    </w:p>
    <w:p w14:paraId="7C12D0D4" w14:textId="77777777" w:rsidR="00C84596" w:rsidRPr="00865A1B" w:rsidRDefault="00C84596" w:rsidP="004D3F95">
      <w:pPr>
        <w:spacing w:after="0" w:line="240" w:lineRule="auto"/>
        <w:jc w:val="both"/>
        <w:rPr>
          <w:rFonts w:ascii="Verdana" w:eastAsia="Verdana" w:hAnsi="Verdana" w:cs="Verdana"/>
          <w:sz w:val="20"/>
        </w:rPr>
      </w:pPr>
      <w:r w:rsidRPr="00865A1B">
        <w:rPr>
          <w:rFonts w:ascii="Verdana" w:eastAsia="Verdana" w:hAnsi="Verdana" w:cs="Verdana"/>
          <w:sz w:val="20"/>
        </w:rPr>
        <w:t xml:space="preserve"> </w:t>
      </w:r>
    </w:p>
    <w:p w14:paraId="78E25EA8" w14:textId="77777777" w:rsidR="00C84596" w:rsidRDefault="00C84596" w:rsidP="004D3F95">
      <w:pPr>
        <w:spacing w:after="0" w:line="240" w:lineRule="auto"/>
        <w:jc w:val="both"/>
        <w:rPr>
          <w:rFonts w:ascii="Verdana" w:eastAsia="Verdana" w:hAnsi="Verdana" w:cs="Verdana"/>
          <w:sz w:val="20"/>
          <w:lang w:bidi="es-ES"/>
        </w:rPr>
      </w:pPr>
      <w:r w:rsidRPr="00865A1B">
        <w:rPr>
          <w:rFonts w:ascii="Verdana" w:eastAsia="Verdana" w:hAnsi="Verdana" w:cs="Verdana"/>
          <w:sz w:val="20"/>
          <w:lang w:val="es-ES_tradnl"/>
        </w:rPr>
        <w:t>También la Sala de Consulta y Servicio Civil del Consejo de Estado ha presentado supuestos de excepción a la restricción de los artículos 33 y 38 cuando la contratación se enmarca en una providencia judicial</w:t>
      </w:r>
      <w:r w:rsidRPr="00865A1B">
        <w:rPr>
          <w:rFonts w:ascii="Verdana" w:eastAsia="Verdana" w:hAnsi="Verdana" w:cs="Verdana"/>
          <w:sz w:val="20"/>
          <w:lang w:bidi="es-ES"/>
        </w:rPr>
        <w:t>, pues en dicho caso debe tenerse en cuenta que las decisiones judiciales tienen fuerza vinculante y cumplirse en virtud del principio de supremacía constitucional y del derecho fundamental de acceso a la administración de justicia. La celebración de un contrato de forma directa o de un convenio interadministrativo para la ejecución de recursos públicos no obedece a una decisión discrecional de la administración, sino al cumplimiento de un mandato judicial, lo cual la diferencia de la contratación ordinaria y lo pone en un plano de obligatoriedad que no puede desconocerse por las restricciones de la Ley de Garantías.</w:t>
      </w:r>
    </w:p>
    <w:p w14:paraId="1F5646CC" w14:textId="77777777" w:rsidR="00C84596" w:rsidRPr="00865A1B" w:rsidRDefault="00C84596" w:rsidP="004D3F95">
      <w:pPr>
        <w:spacing w:after="0" w:line="240" w:lineRule="auto"/>
        <w:jc w:val="both"/>
        <w:rPr>
          <w:rFonts w:ascii="Verdana" w:eastAsia="Verdana" w:hAnsi="Verdana" w:cs="Verdana"/>
          <w:sz w:val="20"/>
          <w:lang w:bidi="es-ES"/>
        </w:rPr>
      </w:pPr>
    </w:p>
    <w:p w14:paraId="4BE6CC03" w14:textId="77777777" w:rsidR="00C84596" w:rsidRDefault="00C84596" w:rsidP="004D3F95">
      <w:pPr>
        <w:spacing w:after="0" w:line="240" w:lineRule="auto"/>
        <w:jc w:val="both"/>
        <w:rPr>
          <w:rFonts w:ascii="Verdana" w:eastAsia="Verdana" w:hAnsi="Verdana" w:cs="Verdana"/>
          <w:sz w:val="20"/>
          <w:lang w:bidi="es-ES"/>
        </w:rPr>
      </w:pPr>
      <w:r w:rsidRPr="00865A1B">
        <w:rPr>
          <w:rFonts w:ascii="Verdana" w:eastAsia="Verdana" w:hAnsi="Verdana" w:cs="Verdana"/>
          <w:sz w:val="20"/>
          <w:lang w:bidi="es-ES"/>
        </w:rPr>
        <w:t>En este asunto, es importante resaltar que la Sala de Consulta y Servicio Civil del Consejo de Estado mediante Concepto con Radicado 1863 del 15 de noviembre de 2007 se ha pronunciado en el sentido de que no se les aplica las restricciones contempladas en Ley de Garantías Electorales que deben celebrarse en virtud de un fallo judicial. Esto, en la medida que la obligatoriedad y la fuerza vinculante de las sentencias ejecutoriadas proferidas por los funcionarios investidos del poder judicial emanan de la autonomía conferida a estos por la Constitución y del derecho que tienen los ciudadanos al acceso y oportuna administración de justicia.</w:t>
      </w:r>
    </w:p>
    <w:p w14:paraId="702D6900" w14:textId="77777777" w:rsidR="00C84596" w:rsidRPr="00865A1B" w:rsidRDefault="00C84596" w:rsidP="004D3F95">
      <w:pPr>
        <w:spacing w:after="0" w:line="240" w:lineRule="auto"/>
        <w:jc w:val="both"/>
        <w:rPr>
          <w:rFonts w:ascii="Verdana" w:eastAsia="Verdana" w:hAnsi="Verdana" w:cs="Verdana"/>
          <w:sz w:val="20"/>
        </w:rPr>
      </w:pPr>
    </w:p>
    <w:p w14:paraId="2C06173B" w14:textId="77777777" w:rsidR="00C84596" w:rsidRPr="00C84596" w:rsidRDefault="00C84596" w:rsidP="004D3F95">
      <w:pPr>
        <w:spacing w:after="0" w:line="240" w:lineRule="auto"/>
        <w:jc w:val="both"/>
        <w:rPr>
          <w:rFonts w:ascii="Verdana" w:eastAsia="Verdana" w:hAnsi="Verdana" w:cs="Verdana"/>
          <w:b/>
        </w:rPr>
      </w:pPr>
      <w:r w:rsidRPr="00C84596">
        <w:rPr>
          <w:rFonts w:ascii="Verdana" w:eastAsia="Verdana" w:hAnsi="Verdana" w:cs="Verdana"/>
          <w:b/>
        </w:rPr>
        <w:t>ENAJENACIÓN VOLUNTARIA – Objeto – Aplicación – Ley de Garantías Electorales – Restricción- Contratación Directa</w:t>
      </w:r>
    </w:p>
    <w:p w14:paraId="7E089D98" w14:textId="5746CC92" w:rsidR="00C84596" w:rsidRDefault="00C84596" w:rsidP="004D3F95">
      <w:pPr>
        <w:spacing w:after="0" w:line="240" w:lineRule="auto"/>
        <w:jc w:val="both"/>
        <w:rPr>
          <w:rFonts w:ascii="Verdana" w:eastAsia="Verdana" w:hAnsi="Verdana" w:cs="Verdana"/>
          <w:b/>
        </w:rPr>
      </w:pPr>
    </w:p>
    <w:p w14:paraId="047AE623" w14:textId="659DB022" w:rsidR="002C5509" w:rsidRPr="002C5509" w:rsidRDefault="002C5509" w:rsidP="004D3F95">
      <w:pPr>
        <w:spacing w:after="0" w:line="240" w:lineRule="auto"/>
        <w:jc w:val="both"/>
        <w:rPr>
          <w:rFonts w:ascii="Verdana" w:eastAsia="Verdana" w:hAnsi="Verdana" w:cs="Verdana"/>
          <w:sz w:val="20"/>
        </w:rPr>
      </w:pPr>
      <w:r w:rsidRPr="002C5509">
        <w:rPr>
          <w:rFonts w:ascii="Verdana" w:eastAsia="Verdana" w:hAnsi="Verdana" w:cs="Verdana"/>
          <w:sz w:val="20"/>
        </w:rPr>
        <w:t xml:space="preserve">De acuerdo con lo expuesto, y lo definido en diferentes conceptos de la Agencia Nacional de Contratación Pública – Colombia Compra Eficiente, la adquisición de los predios que se realice por enajenación voluntaria está sometida a un régimen especial de contratación. Sin embargo, como se explicó antes, esta culmina con la suscripción de un contrato de promesa de compraventa o de compraventa entre la entidad y la persona, con lo cual se trata de un procedimiento de contratación estatal no competitivo que está restringido por la prohibición establecida en el artículo 33 de la Ley 996 de 2005. </w:t>
      </w:r>
      <w:r w:rsidRPr="002C5509">
        <w:rPr>
          <w:rFonts w:ascii="Verdana" w:eastAsia="Verdana" w:hAnsi="Verdana" w:cs="Verdana"/>
          <w:bCs/>
          <w:sz w:val="20"/>
        </w:rPr>
        <w:t xml:space="preserve">En tal </w:t>
      </w:r>
      <w:r w:rsidRPr="002C5509">
        <w:rPr>
          <w:rFonts w:ascii="Verdana" w:eastAsia="Verdana" w:hAnsi="Verdana" w:cs="Verdana"/>
          <w:bCs/>
          <w:sz w:val="20"/>
        </w:rPr>
        <w:lastRenderedPageBreak/>
        <w:t xml:space="preserve">sentido, se reitera que la restricción del artículo 33 de la Ley 996 de 2005 aplica frente a la contratación directa, entendida como cualquier sistema de selección o procedimiento de contratación utilizada por las entidades estatales que no incluya la convocatoria pública en alguna de sus etapas, ni permita la participación de una pluralidad de oferentes, ya sea en aplicación de normas del Estatuto General de Contratación de la Administración Pública, así como de regímenes especiales. Esto, sin perjuicio de las excepciones a la prohibición establecidas en el inciso segundo del mismo artículo 33, como son: i) la defensa y seguridad del Estado; </w:t>
      </w:r>
      <w:proofErr w:type="spellStart"/>
      <w:r w:rsidRPr="002C5509">
        <w:rPr>
          <w:rFonts w:ascii="Verdana" w:eastAsia="Verdana" w:hAnsi="Verdana" w:cs="Verdana"/>
          <w:bCs/>
          <w:sz w:val="20"/>
        </w:rPr>
        <w:t>ii</w:t>
      </w:r>
      <w:proofErr w:type="spellEnd"/>
      <w:r w:rsidRPr="002C5509">
        <w:rPr>
          <w:rFonts w:ascii="Verdana" w:eastAsia="Verdana" w:hAnsi="Verdana" w:cs="Verdana"/>
          <w:bCs/>
          <w:sz w:val="20"/>
        </w:rPr>
        <w:t xml:space="preserve">) los contratos de crédito público; </w:t>
      </w:r>
      <w:proofErr w:type="spellStart"/>
      <w:r w:rsidRPr="002C5509">
        <w:rPr>
          <w:rFonts w:ascii="Verdana" w:eastAsia="Verdana" w:hAnsi="Verdana" w:cs="Verdana"/>
          <w:bCs/>
          <w:sz w:val="20"/>
        </w:rPr>
        <w:t>iii</w:t>
      </w:r>
      <w:proofErr w:type="spellEnd"/>
      <w:r w:rsidRPr="002C5509">
        <w:rPr>
          <w:rFonts w:ascii="Verdana" w:eastAsia="Verdana" w:hAnsi="Verdana" w:cs="Verdana"/>
          <w:bCs/>
          <w:sz w:val="20"/>
        </w:rPr>
        <w:t xml:space="preserve">) los requeridos para cubrir las emergencias educativas, sanitarias y desastres; </w:t>
      </w:r>
      <w:proofErr w:type="spellStart"/>
      <w:r w:rsidRPr="002C5509">
        <w:rPr>
          <w:rFonts w:ascii="Verdana" w:eastAsia="Verdana" w:hAnsi="Verdana" w:cs="Verdana"/>
          <w:bCs/>
          <w:sz w:val="20"/>
        </w:rPr>
        <w:t>iv</w:t>
      </w:r>
      <w:proofErr w:type="spellEnd"/>
      <w:r w:rsidRPr="002C5509">
        <w:rPr>
          <w:rFonts w:ascii="Verdana" w:eastAsia="Verdana" w:hAnsi="Verdana" w:cs="Verdana"/>
          <w:bCs/>
          <w:sz w:val="20"/>
        </w:rPr>
        <w:t>)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 Es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r w:rsidRPr="002C5509">
        <w:rPr>
          <w:rFonts w:ascii="Verdana" w:eastAsia="Verdana" w:hAnsi="Verdana" w:cs="Verdana"/>
          <w:sz w:val="20"/>
        </w:rPr>
        <w:t xml:space="preserve"> </w:t>
      </w:r>
    </w:p>
    <w:p w14:paraId="5222DDEC" w14:textId="77777777" w:rsidR="00C84596" w:rsidRPr="00C84596" w:rsidRDefault="00C84596" w:rsidP="004D3F95">
      <w:pPr>
        <w:spacing w:after="0" w:line="240" w:lineRule="auto"/>
        <w:jc w:val="both"/>
        <w:rPr>
          <w:rFonts w:ascii="Verdana" w:eastAsia="Verdana" w:hAnsi="Verdana" w:cs="Verdana"/>
          <w:b/>
        </w:rPr>
      </w:pPr>
    </w:p>
    <w:p w14:paraId="2D5329B2" w14:textId="5FF18F16" w:rsidR="00C84596" w:rsidRPr="00C84596" w:rsidRDefault="00C84596" w:rsidP="004D3F95">
      <w:pPr>
        <w:spacing w:after="0" w:line="240" w:lineRule="auto"/>
        <w:jc w:val="both"/>
        <w:rPr>
          <w:rFonts w:ascii="Verdana" w:eastAsia="Verdana" w:hAnsi="Verdana" w:cs="Verdana"/>
          <w:b/>
        </w:rPr>
      </w:pPr>
      <w:r w:rsidRPr="00C84596">
        <w:rPr>
          <w:rFonts w:ascii="Verdana" w:eastAsia="Verdana" w:hAnsi="Verdana" w:cs="Verdana"/>
          <w:b/>
        </w:rPr>
        <w:t>EXPROPIACIÓN ADMINISTRATIVA – No sujeción – Ley de Garantías Electo</w:t>
      </w:r>
      <w:r>
        <w:rPr>
          <w:rFonts w:ascii="Verdana" w:eastAsia="Verdana" w:hAnsi="Verdana" w:cs="Verdana"/>
          <w:b/>
        </w:rPr>
        <w:t xml:space="preserve">rales </w:t>
      </w:r>
      <w:r w:rsidRPr="00C84596">
        <w:rPr>
          <w:rFonts w:ascii="Verdana" w:eastAsia="Verdana" w:hAnsi="Verdana" w:cs="Verdana"/>
          <w:b/>
        </w:rPr>
        <w:t xml:space="preserve">- Contratación Directa </w:t>
      </w:r>
    </w:p>
    <w:p w14:paraId="6F2C4B0D" w14:textId="63081A4E" w:rsidR="00C84596" w:rsidRPr="006D4D7F" w:rsidRDefault="00C84596" w:rsidP="004D3F95">
      <w:pPr>
        <w:spacing w:after="0" w:line="240" w:lineRule="auto"/>
        <w:jc w:val="both"/>
        <w:rPr>
          <w:rFonts w:ascii="Verdana" w:eastAsia="Verdana" w:hAnsi="Verdana" w:cs="Verdana"/>
          <w:sz w:val="20"/>
        </w:rPr>
      </w:pPr>
    </w:p>
    <w:p w14:paraId="651D24E6" w14:textId="77777777" w:rsidR="006D4D7F" w:rsidRPr="006D4D7F" w:rsidRDefault="006D4D7F" w:rsidP="004D3F95">
      <w:pPr>
        <w:spacing w:after="0" w:line="240" w:lineRule="auto"/>
        <w:jc w:val="both"/>
        <w:rPr>
          <w:rFonts w:ascii="Verdana" w:eastAsia="Verdana" w:hAnsi="Verdana" w:cs="Verdana"/>
          <w:sz w:val="20"/>
        </w:rPr>
      </w:pPr>
      <w:r w:rsidRPr="006D4D7F">
        <w:rPr>
          <w:rFonts w:ascii="Verdana" w:eastAsia="Verdana" w:hAnsi="Verdana" w:cs="Verdana"/>
          <w:sz w:val="20"/>
        </w:rPr>
        <w:t>En contraste, cuando la adquisición de un bien se realiza mediante el procedimiento de expropiación administrativa, no se configura la celebración de un contrato, pues se trata de un acto administrativo sustentado en motivos de utilidad pública o interés social y en condiciones de urgencia previamente definidas por la ley. En este escenario, la transferencia de la propiedad se produce por decisión administrativa y no por acuerdo de voluntades, lo que implica que no se materializan la prohibición de contratación prevista en el artículo 33 de la Ley de Garantías Electorales. En consecuencia, la expropiación administrativa se mantiene como un mecanismo válido y procedente incluso durante el período de restricciones electorales, dado que su naturaleza jurídica la excluye de las limitaciones aplicables a los contratos estatales.</w:t>
      </w:r>
    </w:p>
    <w:p w14:paraId="48E6047E" w14:textId="77777777" w:rsidR="006D4D7F" w:rsidRPr="00C84596" w:rsidRDefault="006D4D7F" w:rsidP="004D3F95">
      <w:pPr>
        <w:spacing w:after="0" w:line="240" w:lineRule="auto"/>
        <w:jc w:val="both"/>
        <w:rPr>
          <w:rFonts w:ascii="Verdana" w:eastAsia="Verdana" w:hAnsi="Verdana" w:cs="Verdana"/>
          <w:b/>
        </w:rPr>
      </w:pPr>
    </w:p>
    <w:p w14:paraId="4B0E4128" w14:textId="77777777" w:rsidR="00C84596" w:rsidRPr="00C84596" w:rsidRDefault="00C84596" w:rsidP="004D3F95">
      <w:pPr>
        <w:spacing w:after="0" w:line="240" w:lineRule="auto"/>
        <w:jc w:val="both"/>
        <w:rPr>
          <w:rFonts w:ascii="Verdana" w:eastAsia="Verdana" w:hAnsi="Verdana" w:cs="Verdana"/>
          <w:b/>
        </w:rPr>
      </w:pPr>
      <w:r w:rsidRPr="00C84596">
        <w:rPr>
          <w:rFonts w:ascii="Verdana" w:eastAsia="Verdana" w:hAnsi="Verdana" w:cs="Verdana"/>
          <w:b/>
        </w:rPr>
        <w:t xml:space="preserve">NEGOCIACIÓN DIRECTA – Voluntaria – Servidumbre – Procedimiento –Servicios Públicos </w:t>
      </w:r>
    </w:p>
    <w:p w14:paraId="1452C8B9" w14:textId="3E50EE97" w:rsidR="00C84596" w:rsidRPr="006D4D7F" w:rsidRDefault="00C84596" w:rsidP="004D3F95">
      <w:pPr>
        <w:spacing w:after="0" w:line="240" w:lineRule="auto"/>
        <w:jc w:val="both"/>
        <w:rPr>
          <w:rFonts w:ascii="Verdana" w:eastAsia="Verdana" w:hAnsi="Verdana" w:cs="Verdana"/>
          <w:sz w:val="20"/>
        </w:rPr>
      </w:pPr>
    </w:p>
    <w:p w14:paraId="11C57971" w14:textId="77777777" w:rsidR="006D4D7F" w:rsidRDefault="006D4D7F" w:rsidP="004D3F95">
      <w:pPr>
        <w:spacing w:after="0" w:line="240" w:lineRule="auto"/>
        <w:jc w:val="both"/>
        <w:rPr>
          <w:rFonts w:ascii="Verdana" w:eastAsia="Verdana" w:hAnsi="Verdana" w:cs="Verdana"/>
          <w:sz w:val="20"/>
        </w:rPr>
      </w:pPr>
      <w:r w:rsidRPr="006D4D7F">
        <w:rPr>
          <w:rFonts w:ascii="Verdana" w:eastAsia="Verdana" w:hAnsi="Verdana" w:cs="Verdana"/>
          <w:sz w:val="20"/>
        </w:rPr>
        <w:t xml:space="preserve">El artículo desarrolla de manera detallada la </w:t>
      </w:r>
      <w:r w:rsidRPr="006D4D7F">
        <w:rPr>
          <w:rFonts w:ascii="Verdana" w:eastAsia="Verdana" w:hAnsi="Verdana" w:cs="Verdana"/>
          <w:bCs/>
          <w:sz w:val="20"/>
        </w:rPr>
        <w:t>etapa de negociación directa</w:t>
      </w:r>
      <w:r w:rsidRPr="006D4D7F">
        <w:rPr>
          <w:rFonts w:ascii="Verdana" w:eastAsia="Verdana" w:hAnsi="Verdana" w:cs="Verdana"/>
          <w:sz w:val="20"/>
        </w:rPr>
        <w:t xml:space="preserve"> prevista, definiendo el momento exacto en el que inicia el plazo máximo de treinta días y las reglas que deben seguirse. Dicho término empieza a contarse desde el día siguiente a aquel en que el propietario, poseedor inscrito u otro titular del derecho real reciba la comunicación oficial mediante la cual la autoridad presenta la oferta de servidumbre. Esta comunicación debe ajustarse a las normas del procedimiento administrativo establecidas en la Ley 1437 de 2011. La oferta debe expresar la necesidad de constituir la servidumbre por mutuo acuerdo e incluir información precisa del inmueble afectado, como su identificación, linderos, área, alcance de la afectación (total o parcial), duración de la servidumbre y el precio ofrecido. Además, debe anexarse el avalúo comercial </w:t>
      </w:r>
      <w:r w:rsidRPr="006D4D7F">
        <w:rPr>
          <w:rFonts w:ascii="Verdana" w:eastAsia="Verdana" w:hAnsi="Verdana" w:cs="Verdana"/>
          <w:sz w:val="20"/>
        </w:rPr>
        <w:lastRenderedPageBreak/>
        <w:t>correspondiente y, cuando sea necesario, el valor de las indemnizaciones por los perjuicios ocasionados al patrimonio del particular.</w:t>
      </w:r>
    </w:p>
    <w:p w14:paraId="0C324FE0" w14:textId="77777777" w:rsidR="006D4D7F" w:rsidRDefault="006D4D7F" w:rsidP="004D3F95">
      <w:pPr>
        <w:spacing w:after="0" w:line="240" w:lineRule="auto"/>
        <w:jc w:val="both"/>
        <w:rPr>
          <w:rFonts w:ascii="Verdana" w:eastAsia="Verdana" w:hAnsi="Verdana" w:cs="Verdana"/>
          <w:sz w:val="20"/>
        </w:rPr>
      </w:pPr>
    </w:p>
    <w:p w14:paraId="3BE9065B" w14:textId="219C81F5" w:rsidR="006D4D7F" w:rsidRPr="006D4D7F" w:rsidRDefault="006D4D7F" w:rsidP="004D3F95">
      <w:pPr>
        <w:spacing w:after="0" w:line="240" w:lineRule="auto"/>
        <w:jc w:val="both"/>
        <w:rPr>
          <w:rFonts w:ascii="Verdana" w:eastAsia="Verdana" w:hAnsi="Verdana" w:cs="Verdana"/>
          <w:sz w:val="20"/>
        </w:rPr>
      </w:pPr>
      <w:r w:rsidRPr="006D4D7F">
        <w:rPr>
          <w:rFonts w:ascii="Verdana" w:eastAsia="Verdana" w:hAnsi="Verdana" w:cs="Verdana"/>
          <w:sz w:val="20"/>
        </w:rPr>
        <w:t>Durante el plazo de los treinta días, el titular del inmueble puede aceptar la oferta, rechazarla o formular una contraoferta, lo cual se considera una manifestación válida de interés en negociar. Si se llega a un acuerdo, las partes deben formalizar la servidumbre mediante escritura pública, que debe inscribirse en la Oficina de Registro de Instrumentos Públicos correspondiente, protocolizando todos los documentos relacionados con la negociación. En cambio, si no hay acuerdo, si la oferta es rechazada, si existe silencio del afectado, o si este no concurre a firmar la escritura en el plazo pactado, se entiende fracasada la negociación directa y la autoridad queda habilitada para imponer la servidumbre por vía administrativa. Finalmente, el artículo señala que el avalúo debe realizarse por el IGAC, la autoridad catastral competente o por peritos privados autorizados, siguiendo la metodología oficial, y que dicho avalúo tiene una vigencia máxima de un año, garantizando así criterios técnicos y actualizados en la determinación del precio y las indemnizaciones.</w:t>
      </w:r>
    </w:p>
    <w:p w14:paraId="070604D4" w14:textId="77777777" w:rsidR="006D4D7F" w:rsidRDefault="006D4D7F" w:rsidP="004D3F95">
      <w:pPr>
        <w:spacing w:after="0" w:line="240" w:lineRule="auto"/>
        <w:jc w:val="both"/>
        <w:rPr>
          <w:rFonts w:ascii="Verdana" w:eastAsia="Verdana" w:hAnsi="Verdana" w:cs="Verdana"/>
          <w:sz w:val="20"/>
        </w:rPr>
      </w:pPr>
    </w:p>
    <w:p w14:paraId="75A5A5A6" w14:textId="66CDFA3E" w:rsidR="006D4D7F" w:rsidRPr="006D4D7F" w:rsidRDefault="006D4D7F" w:rsidP="004D3F95">
      <w:pPr>
        <w:spacing w:after="0" w:line="240" w:lineRule="auto"/>
        <w:jc w:val="both"/>
        <w:rPr>
          <w:rFonts w:ascii="Verdana" w:eastAsia="Verdana" w:hAnsi="Verdana" w:cs="Verdana"/>
          <w:sz w:val="20"/>
        </w:rPr>
      </w:pPr>
      <w:r w:rsidRPr="006D4D7F">
        <w:rPr>
          <w:rFonts w:ascii="Verdana" w:eastAsia="Verdana" w:hAnsi="Verdana" w:cs="Verdana"/>
          <w:sz w:val="20"/>
        </w:rPr>
        <w:t xml:space="preserve">En relación con la constitución de una servidumbre en proyectos de infraestructura de </w:t>
      </w:r>
      <w:r w:rsidRPr="006D4D7F">
        <w:rPr>
          <w:rFonts w:ascii="Verdana" w:eastAsia="Verdana" w:hAnsi="Verdana" w:cs="Verdana"/>
          <w:bCs/>
          <w:sz w:val="20"/>
        </w:rPr>
        <w:t>servicios públicos domiciliarios</w:t>
      </w:r>
      <w:r w:rsidRPr="006D4D7F">
        <w:rPr>
          <w:rFonts w:ascii="Verdana" w:eastAsia="Verdana" w:hAnsi="Verdana" w:cs="Verdana"/>
          <w:sz w:val="20"/>
        </w:rPr>
        <w:t xml:space="preserve">, resulta pertinente tener en cuenta que el </w:t>
      </w:r>
      <w:r w:rsidRPr="006D4D7F">
        <w:rPr>
          <w:rFonts w:ascii="Verdana" w:eastAsia="Verdana" w:hAnsi="Verdana" w:cs="Verdana"/>
          <w:bCs/>
          <w:sz w:val="20"/>
        </w:rPr>
        <w:t>contrato de servidumbre</w:t>
      </w:r>
      <w:r w:rsidRPr="006D4D7F">
        <w:rPr>
          <w:rFonts w:ascii="Verdana" w:eastAsia="Verdana" w:hAnsi="Verdana" w:cs="Verdana"/>
          <w:sz w:val="20"/>
        </w:rPr>
        <w:t xml:space="preserve"> está definido en el artículo 879 del Código Civil: […] Servidumbre predial o simple servidumbre, es un gravamen impuesto sobre un predio, en utilidad de otro predio de distinto dueño. Asimismo, de conformidad con lo dispuesto en el </w:t>
      </w:r>
      <w:r w:rsidRPr="006D4D7F">
        <w:rPr>
          <w:rFonts w:ascii="Verdana" w:eastAsia="Verdana" w:hAnsi="Verdana" w:cs="Verdana"/>
          <w:bCs/>
          <w:sz w:val="20"/>
        </w:rPr>
        <w:t>artículo 923 del Código Civil</w:t>
      </w:r>
      <w:r w:rsidRPr="006D4D7F">
        <w:rPr>
          <w:rFonts w:ascii="Verdana" w:eastAsia="Verdana" w:hAnsi="Verdana" w:cs="Verdana"/>
          <w:sz w:val="20"/>
        </w:rPr>
        <w:t xml:space="preserve">, relativo a la </w:t>
      </w:r>
      <w:r w:rsidRPr="006D4D7F">
        <w:rPr>
          <w:rFonts w:ascii="Verdana" w:eastAsia="Verdana" w:hAnsi="Verdana" w:cs="Verdana"/>
          <w:bCs/>
          <w:sz w:val="20"/>
        </w:rPr>
        <w:t>servidumbre de acueducto</w:t>
      </w:r>
      <w:r w:rsidRPr="006D4D7F">
        <w:rPr>
          <w:rFonts w:ascii="Verdana" w:eastAsia="Verdana" w:hAnsi="Verdana" w:cs="Verdana"/>
          <w:sz w:val="20"/>
        </w:rPr>
        <w:t>, se establece que el propietario del predio sirviente tiene derecho: “[…] se le pague el precio de todo el terreno que fuere ocupado por el acueducto; el de un espacio a cada uno de los costados, que no bajará de un metro de anchura en toda la extensión de su curso, y podrá ser mayor por convenio de las partes, o por disposición del juez, cuando las circunstancias lo exigieren; y un diez por ciento más sobre la suma total. Tendrá, además, derecho para que se le indemnice de todo perjuicio ocasionado por la construcción del acueducto y por sus filtraciones y derrames que puedan imputarse a defectos de construcción”.</w:t>
      </w:r>
    </w:p>
    <w:p w14:paraId="41DDECA6" w14:textId="77777777" w:rsidR="006D4D7F" w:rsidRPr="00C84596" w:rsidRDefault="006D4D7F" w:rsidP="004D3F95">
      <w:pPr>
        <w:spacing w:after="0" w:line="240" w:lineRule="auto"/>
        <w:jc w:val="both"/>
        <w:rPr>
          <w:rFonts w:ascii="Verdana" w:eastAsia="Verdana" w:hAnsi="Verdana" w:cs="Verdana"/>
          <w:b/>
        </w:rPr>
      </w:pPr>
    </w:p>
    <w:p w14:paraId="472E6C26" w14:textId="5A1A8955" w:rsidR="00C84596" w:rsidRPr="00C84596" w:rsidRDefault="00C84596" w:rsidP="004D3F95">
      <w:pPr>
        <w:spacing w:after="0" w:line="240" w:lineRule="auto"/>
        <w:jc w:val="both"/>
        <w:rPr>
          <w:rFonts w:ascii="Verdana" w:eastAsia="Verdana" w:hAnsi="Verdana" w:cs="Verdana"/>
          <w:b/>
        </w:rPr>
      </w:pPr>
      <w:r w:rsidRPr="00C84596">
        <w:rPr>
          <w:rFonts w:ascii="Verdana" w:eastAsia="Verdana" w:hAnsi="Verdana" w:cs="Verdana"/>
          <w:b/>
        </w:rPr>
        <w:t>NEGOCIACIÓN DIRECTA – Servidumbre – Artículo 33 – Contratación Directa – Ley de Garantías</w:t>
      </w:r>
    </w:p>
    <w:p w14:paraId="2B725F38" w14:textId="1E412129" w:rsidR="00C84596" w:rsidRPr="004D3F95" w:rsidRDefault="00C84596" w:rsidP="004D3F95">
      <w:pPr>
        <w:spacing w:after="0" w:line="240" w:lineRule="auto"/>
        <w:jc w:val="both"/>
        <w:rPr>
          <w:rFonts w:ascii="Verdana" w:eastAsia="Verdana" w:hAnsi="Verdana" w:cs="Verdana"/>
          <w:sz w:val="20"/>
        </w:rPr>
      </w:pPr>
    </w:p>
    <w:p w14:paraId="0AEC9F64" w14:textId="77777777" w:rsidR="004D3F95" w:rsidRDefault="004D3F95" w:rsidP="004D3F95">
      <w:pPr>
        <w:spacing w:after="0" w:line="240" w:lineRule="auto"/>
        <w:jc w:val="both"/>
        <w:rPr>
          <w:rFonts w:ascii="Verdana" w:eastAsia="Verdana" w:hAnsi="Verdana" w:cs="Verdana"/>
          <w:sz w:val="20"/>
        </w:rPr>
      </w:pPr>
      <w:r w:rsidRPr="004D3F95">
        <w:rPr>
          <w:rFonts w:ascii="Verdana" w:eastAsia="Verdana" w:hAnsi="Verdana" w:cs="Verdana"/>
          <w:sz w:val="20"/>
        </w:rPr>
        <w:t xml:space="preserve">A partir de la definición legal del </w:t>
      </w:r>
      <w:r w:rsidRPr="004D3F95">
        <w:rPr>
          <w:rFonts w:ascii="Verdana" w:eastAsia="Verdana" w:hAnsi="Verdana" w:cs="Verdana"/>
          <w:bCs/>
          <w:sz w:val="20"/>
        </w:rPr>
        <w:t>contrato de servidumbre</w:t>
      </w:r>
      <w:r w:rsidRPr="004D3F95">
        <w:rPr>
          <w:rFonts w:ascii="Verdana" w:eastAsia="Verdana" w:hAnsi="Verdana" w:cs="Verdana"/>
          <w:sz w:val="20"/>
        </w:rPr>
        <w:t xml:space="preserve"> y del procedimiento de </w:t>
      </w:r>
      <w:r w:rsidRPr="004D3F95">
        <w:rPr>
          <w:rFonts w:ascii="Verdana" w:eastAsia="Verdana" w:hAnsi="Verdana" w:cs="Verdana"/>
          <w:bCs/>
          <w:sz w:val="20"/>
        </w:rPr>
        <w:t>enajenación voluntaria o negociación directa</w:t>
      </w:r>
      <w:r w:rsidRPr="004D3F95">
        <w:rPr>
          <w:rFonts w:ascii="Verdana" w:eastAsia="Verdana" w:hAnsi="Verdana" w:cs="Verdana"/>
          <w:sz w:val="20"/>
        </w:rPr>
        <w:t xml:space="preserve"> previsto en el artículo 38 de la Ley 1682 de 2013, desarrollado por el artículo 2 del Decreto 738 de 2012, se enmarca en un régimen especial orientado a facilitar la ejecución de proyectos de infraestructura. En este contexto, se concluye que existe una </w:t>
      </w:r>
      <w:r w:rsidRPr="004D3F95">
        <w:rPr>
          <w:rFonts w:ascii="Verdana" w:eastAsia="Verdana" w:hAnsi="Verdana" w:cs="Verdana"/>
          <w:bCs/>
          <w:sz w:val="20"/>
        </w:rPr>
        <w:t xml:space="preserve">limitación a la aplicación del artículo 33 de la Ley 996 de 2005 </w:t>
      </w:r>
      <w:r w:rsidRPr="004D3F95">
        <w:rPr>
          <w:rFonts w:ascii="Verdana" w:eastAsia="Verdana" w:hAnsi="Verdana" w:cs="Verdana"/>
          <w:sz w:val="20"/>
        </w:rPr>
        <w:t>respecto de la suscripción del contrato de servidumbre, en la medida en que este sí constituye un contrato bajo un procedimiento directo, esto es, sin pluralidad de oferentes, entre la entidad pública y el particular.</w:t>
      </w:r>
    </w:p>
    <w:p w14:paraId="0B92750C" w14:textId="77777777" w:rsidR="004D3F95" w:rsidRDefault="004D3F95" w:rsidP="004D3F95">
      <w:pPr>
        <w:spacing w:after="0" w:line="240" w:lineRule="auto"/>
        <w:jc w:val="both"/>
        <w:rPr>
          <w:rFonts w:ascii="Verdana" w:eastAsia="Verdana" w:hAnsi="Verdana" w:cs="Verdana"/>
          <w:sz w:val="20"/>
        </w:rPr>
      </w:pPr>
    </w:p>
    <w:p w14:paraId="12A626E3" w14:textId="20F9006F" w:rsidR="004D3F95" w:rsidRPr="004D3F95" w:rsidRDefault="004D3F95" w:rsidP="004D3F95">
      <w:pPr>
        <w:spacing w:after="0" w:line="240" w:lineRule="auto"/>
        <w:jc w:val="both"/>
        <w:rPr>
          <w:rFonts w:ascii="Verdana" w:eastAsia="Verdana" w:hAnsi="Verdana" w:cs="Verdana"/>
          <w:sz w:val="20"/>
        </w:rPr>
      </w:pPr>
      <w:r w:rsidRPr="004D3F95">
        <w:rPr>
          <w:rFonts w:ascii="Verdana" w:eastAsia="Verdana" w:hAnsi="Verdana" w:cs="Verdana"/>
          <w:sz w:val="20"/>
        </w:rPr>
        <w:t xml:space="preserve">No obstante, las actuaciones previas e instrumentales al acuerdo definitivo —tales como la elaboración y obtención de avalúos, la formulación de la oferta, el desarrollo de las </w:t>
      </w:r>
      <w:r w:rsidRPr="004D3F95">
        <w:rPr>
          <w:rFonts w:ascii="Verdana" w:eastAsia="Verdana" w:hAnsi="Verdana" w:cs="Verdana"/>
          <w:sz w:val="20"/>
        </w:rPr>
        <w:lastRenderedPageBreak/>
        <w:t xml:space="preserve">negociaciones preliminares y, en general, todas aquellas actuaciones administrativas que no comporten por sí mismas la celebración de un contrato— pueden adelantarse válidamente incluso durante el período de restricción electoral. Ello, en tanto estas actuaciones no configuran un supuesto de </w:t>
      </w:r>
      <w:r w:rsidRPr="004D3F95">
        <w:rPr>
          <w:rFonts w:ascii="Verdana" w:eastAsia="Verdana" w:hAnsi="Verdana" w:cs="Verdana"/>
          <w:bCs/>
          <w:sz w:val="20"/>
        </w:rPr>
        <w:t>contratación directa en sentido estricto</w:t>
      </w:r>
      <w:r w:rsidRPr="004D3F95">
        <w:rPr>
          <w:rFonts w:ascii="Verdana" w:eastAsia="Verdana" w:hAnsi="Verdana" w:cs="Verdana"/>
          <w:sz w:val="20"/>
        </w:rPr>
        <w:t>, sino que corresponden al ejercicio de competencias, necesarias para la eventual constitución de la servidumbre.</w:t>
      </w:r>
    </w:p>
    <w:p w14:paraId="6741F8E6" w14:textId="77777777" w:rsidR="004D3F95" w:rsidRDefault="004D3F95" w:rsidP="004D3F95">
      <w:pPr>
        <w:spacing w:after="0" w:line="240" w:lineRule="auto"/>
        <w:jc w:val="both"/>
        <w:rPr>
          <w:rFonts w:ascii="Verdana" w:eastAsia="Verdana" w:hAnsi="Verdana" w:cs="Verdana"/>
          <w:sz w:val="20"/>
        </w:rPr>
      </w:pPr>
    </w:p>
    <w:p w14:paraId="0B2E984D" w14:textId="66FF3285" w:rsidR="004D3F95" w:rsidRPr="004D3F95" w:rsidRDefault="004D3F95" w:rsidP="004D3F95">
      <w:pPr>
        <w:spacing w:after="0" w:line="240" w:lineRule="auto"/>
        <w:jc w:val="both"/>
        <w:rPr>
          <w:rFonts w:ascii="Verdana" w:eastAsia="Verdana" w:hAnsi="Verdana" w:cs="Verdana"/>
          <w:sz w:val="20"/>
        </w:rPr>
      </w:pPr>
      <w:r w:rsidRPr="004D3F95">
        <w:rPr>
          <w:rFonts w:ascii="Verdana" w:eastAsia="Verdana" w:hAnsi="Verdana" w:cs="Verdana"/>
          <w:sz w:val="20"/>
        </w:rPr>
        <w:t>Ahora bien, en el evento de que, con posterioridad a la aceptación de la oferta y antes de la escrituración, se celebren</w:t>
      </w:r>
      <w:r w:rsidRPr="004D3F95">
        <w:rPr>
          <w:rFonts w:ascii="Verdana" w:eastAsia="Verdana" w:hAnsi="Verdana" w:cs="Verdana"/>
          <w:bCs/>
          <w:sz w:val="20"/>
        </w:rPr>
        <w:t xml:space="preserve"> cualquier tipo contractual</w:t>
      </w:r>
      <w:r w:rsidRPr="004D3F95">
        <w:rPr>
          <w:rFonts w:ascii="Verdana" w:eastAsia="Verdana" w:hAnsi="Verdana" w:cs="Verdana"/>
          <w:sz w:val="20"/>
        </w:rPr>
        <w:t xml:space="preserve">, como podría ser un </w:t>
      </w:r>
      <w:r w:rsidRPr="004D3F95">
        <w:rPr>
          <w:rFonts w:ascii="Verdana" w:eastAsia="Verdana" w:hAnsi="Verdana" w:cs="Verdana"/>
          <w:bCs/>
          <w:sz w:val="20"/>
        </w:rPr>
        <w:t>contrato de transacción</w:t>
      </w:r>
      <w:r w:rsidRPr="004D3F95">
        <w:rPr>
          <w:rFonts w:ascii="Verdana" w:eastAsia="Verdana" w:hAnsi="Verdana" w:cs="Verdana"/>
          <w:sz w:val="20"/>
        </w:rPr>
        <w:t>, debe analizarse cuidadosamente el procedimiento para su aplicación. En estos casos, sí podría configurarse la restricción prevista en el artículo 33 de la Ley 996 de 2005, siempre que se trate de un contrato suscrito de forma directa. En todo caso, dicha restricción no es aplicable, en cambio, frente a actuaciones administrativas que, aun siendo relevantes dentro del procedimiento, no generan una relación contractual entre la entidad y el particular.</w:t>
      </w:r>
    </w:p>
    <w:p w14:paraId="43A1DC30" w14:textId="15D8AA9A" w:rsidR="004D3F95" w:rsidRDefault="004D3F95" w:rsidP="00A6584F">
      <w:pPr>
        <w:spacing w:after="0"/>
        <w:rPr>
          <w:rFonts w:ascii="Verdana" w:eastAsia="Verdana" w:hAnsi="Verdana" w:cs="Verdana"/>
        </w:rPr>
      </w:pPr>
    </w:p>
    <w:p w14:paraId="34159170" w14:textId="35B0FF71" w:rsidR="004D3F95" w:rsidRDefault="004D3F95" w:rsidP="00A6584F">
      <w:pPr>
        <w:spacing w:after="0"/>
        <w:rPr>
          <w:rFonts w:ascii="Verdana" w:eastAsia="Verdana" w:hAnsi="Verdana" w:cs="Verdana"/>
        </w:rPr>
      </w:pPr>
    </w:p>
    <w:p w14:paraId="62445436" w14:textId="590A279F" w:rsidR="004D3F95" w:rsidRDefault="004D3F95" w:rsidP="00A6584F">
      <w:pPr>
        <w:spacing w:after="0"/>
        <w:rPr>
          <w:rFonts w:ascii="Verdana" w:eastAsia="Verdana" w:hAnsi="Verdana" w:cs="Verdana"/>
        </w:rPr>
      </w:pPr>
    </w:p>
    <w:p w14:paraId="759EF020" w14:textId="2E8568FD" w:rsidR="004D3F95" w:rsidRDefault="004D3F95" w:rsidP="00A6584F">
      <w:pPr>
        <w:spacing w:after="0"/>
        <w:rPr>
          <w:rFonts w:ascii="Verdana" w:eastAsia="Verdana" w:hAnsi="Verdana" w:cs="Verdana"/>
        </w:rPr>
      </w:pPr>
    </w:p>
    <w:p w14:paraId="4F197053" w14:textId="33B2D40E" w:rsidR="004D3F95" w:rsidRDefault="004D3F95" w:rsidP="00A6584F">
      <w:pPr>
        <w:spacing w:after="0"/>
        <w:rPr>
          <w:rFonts w:ascii="Verdana" w:eastAsia="Verdana" w:hAnsi="Verdana" w:cs="Verdana"/>
        </w:rPr>
      </w:pPr>
    </w:p>
    <w:p w14:paraId="6E7DDA99" w14:textId="3541DE57" w:rsidR="004D3F95" w:rsidRDefault="004D3F95" w:rsidP="00A6584F">
      <w:pPr>
        <w:spacing w:after="0"/>
        <w:rPr>
          <w:rFonts w:ascii="Verdana" w:eastAsia="Verdana" w:hAnsi="Verdana" w:cs="Verdana"/>
        </w:rPr>
      </w:pPr>
    </w:p>
    <w:p w14:paraId="3AFB879C" w14:textId="23C486B4" w:rsidR="004D3F95" w:rsidRDefault="004D3F95" w:rsidP="00A6584F">
      <w:pPr>
        <w:spacing w:after="0"/>
        <w:rPr>
          <w:rFonts w:ascii="Verdana" w:eastAsia="Verdana" w:hAnsi="Verdana" w:cs="Verdana"/>
        </w:rPr>
      </w:pPr>
    </w:p>
    <w:p w14:paraId="45707EAF" w14:textId="212BE5E5" w:rsidR="004D3F95" w:rsidRDefault="004D3F95" w:rsidP="00A6584F">
      <w:pPr>
        <w:spacing w:after="0"/>
        <w:rPr>
          <w:rFonts w:ascii="Verdana" w:eastAsia="Verdana" w:hAnsi="Verdana" w:cs="Verdana"/>
        </w:rPr>
      </w:pPr>
    </w:p>
    <w:p w14:paraId="2C1F41F5" w14:textId="0FE3D4B4" w:rsidR="004D3F95" w:rsidRDefault="004D3F95" w:rsidP="00A6584F">
      <w:pPr>
        <w:spacing w:after="0"/>
        <w:rPr>
          <w:rFonts w:ascii="Verdana" w:eastAsia="Verdana" w:hAnsi="Verdana" w:cs="Verdana"/>
        </w:rPr>
      </w:pPr>
    </w:p>
    <w:p w14:paraId="3263A421" w14:textId="37358C70" w:rsidR="004D3F95" w:rsidRDefault="004D3F95" w:rsidP="00A6584F">
      <w:pPr>
        <w:spacing w:after="0"/>
        <w:rPr>
          <w:rFonts w:ascii="Verdana" w:eastAsia="Verdana" w:hAnsi="Verdana" w:cs="Verdana"/>
        </w:rPr>
      </w:pPr>
    </w:p>
    <w:p w14:paraId="1C597610" w14:textId="77FCE9EB" w:rsidR="004D3F95" w:rsidRDefault="004D3F95" w:rsidP="00A6584F">
      <w:pPr>
        <w:spacing w:after="0"/>
        <w:rPr>
          <w:rFonts w:ascii="Verdana" w:eastAsia="Verdana" w:hAnsi="Verdana" w:cs="Verdana"/>
        </w:rPr>
      </w:pPr>
    </w:p>
    <w:p w14:paraId="3CA6C45F" w14:textId="1EDB854F" w:rsidR="004D3F95" w:rsidRDefault="004D3F95" w:rsidP="00A6584F">
      <w:pPr>
        <w:spacing w:after="0"/>
        <w:rPr>
          <w:rFonts w:ascii="Verdana" w:eastAsia="Verdana" w:hAnsi="Verdana" w:cs="Verdana"/>
        </w:rPr>
      </w:pPr>
    </w:p>
    <w:p w14:paraId="6695DA33" w14:textId="6773C27C" w:rsidR="004D3F95" w:rsidRDefault="004D3F95" w:rsidP="00A6584F">
      <w:pPr>
        <w:spacing w:after="0"/>
        <w:rPr>
          <w:rFonts w:ascii="Verdana" w:eastAsia="Verdana" w:hAnsi="Verdana" w:cs="Verdana"/>
        </w:rPr>
      </w:pPr>
    </w:p>
    <w:p w14:paraId="5EF901B0" w14:textId="2C8817EA" w:rsidR="004D3F95" w:rsidRDefault="004D3F95" w:rsidP="00A6584F">
      <w:pPr>
        <w:spacing w:after="0"/>
        <w:rPr>
          <w:rFonts w:ascii="Verdana" w:eastAsia="Verdana" w:hAnsi="Verdana" w:cs="Verdana"/>
        </w:rPr>
      </w:pPr>
    </w:p>
    <w:p w14:paraId="7C0A3DE7" w14:textId="0027B05F" w:rsidR="004D3F95" w:rsidRDefault="004D3F95" w:rsidP="00A6584F">
      <w:pPr>
        <w:spacing w:after="0"/>
        <w:rPr>
          <w:rFonts w:ascii="Verdana" w:eastAsia="Verdana" w:hAnsi="Verdana" w:cs="Verdana"/>
        </w:rPr>
      </w:pPr>
    </w:p>
    <w:p w14:paraId="0DA5CA43" w14:textId="2F93BC1B" w:rsidR="004D3F95" w:rsidRDefault="004D3F95" w:rsidP="00A6584F">
      <w:pPr>
        <w:spacing w:after="0"/>
        <w:rPr>
          <w:rFonts w:ascii="Verdana" w:eastAsia="Verdana" w:hAnsi="Verdana" w:cs="Verdana"/>
        </w:rPr>
      </w:pPr>
    </w:p>
    <w:p w14:paraId="51A43492" w14:textId="3BA2BD04" w:rsidR="004D3F95" w:rsidRDefault="004D3F95" w:rsidP="00A6584F">
      <w:pPr>
        <w:spacing w:after="0"/>
        <w:rPr>
          <w:rFonts w:ascii="Verdana" w:eastAsia="Verdana" w:hAnsi="Verdana" w:cs="Verdana"/>
        </w:rPr>
      </w:pPr>
    </w:p>
    <w:p w14:paraId="6D3A0CC8" w14:textId="62B75AF5" w:rsidR="004D3F95" w:rsidRDefault="004D3F95" w:rsidP="00A6584F">
      <w:pPr>
        <w:spacing w:after="0"/>
        <w:rPr>
          <w:rFonts w:ascii="Verdana" w:eastAsia="Verdana" w:hAnsi="Verdana" w:cs="Verdana"/>
        </w:rPr>
      </w:pPr>
    </w:p>
    <w:p w14:paraId="2F295F18" w14:textId="4FD63EC5" w:rsidR="004D3F95" w:rsidRDefault="004D3F95" w:rsidP="00A6584F">
      <w:pPr>
        <w:spacing w:after="0"/>
        <w:rPr>
          <w:rFonts w:ascii="Verdana" w:eastAsia="Verdana" w:hAnsi="Verdana" w:cs="Verdana"/>
        </w:rPr>
      </w:pPr>
    </w:p>
    <w:p w14:paraId="6932E135" w14:textId="7155F1B4" w:rsidR="004D3F95" w:rsidRDefault="004D3F95" w:rsidP="00A6584F">
      <w:pPr>
        <w:spacing w:after="0"/>
        <w:rPr>
          <w:rFonts w:ascii="Verdana" w:eastAsia="Verdana" w:hAnsi="Verdana" w:cs="Verdana"/>
        </w:rPr>
      </w:pPr>
    </w:p>
    <w:p w14:paraId="0926761D" w14:textId="178A8856" w:rsidR="004D3F95" w:rsidRDefault="004D3F95" w:rsidP="00A6584F">
      <w:pPr>
        <w:spacing w:after="0"/>
        <w:rPr>
          <w:rFonts w:ascii="Verdana" w:eastAsia="Verdana" w:hAnsi="Verdana" w:cs="Verdana"/>
        </w:rPr>
      </w:pPr>
    </w:p>
    <w:p w14:paraId="389D01DE" w14:textId="4E530B73" w:rsidR="004D3F95" w:rsidRDefault="004D3F95" w:rsidP="00A6584F">
      <w:pPr>
        <w:spacing w:after="0"/>
        <w:rPr>
          <w:rFonts w:ascii="Verdana" w:eastAsia="Verdana" w:hAnsi="Verdana" w:cs="Verdana"/>
        </w:rPr>
      </w:pPr>
    </w:p>
    <w:p w14:paraId="62EB0F98" w14:textId="75970B6B" w:rsidR="004D3F95" w:rsidRDefault="004D3F95" w:rsidP="00A6584F">
      <w:pPr>
        <w:spacing w:after="0"/>
        <w:rPr>
          <w:rFonts w:ascii="Verdana" w:eastAsia="Verdana" w:hAnsi="Verdana" w:cs="Verdana"/>
        </w:rPr>
      </w:pPr>
    </w:p>
    <w:p w14:paraId="3E9DF3EB" w14:textId="2D8B8097" w:rsidR="004D3F95" w:rsidRDefault="004D3F95" w:rsidP="00A6584F">
      <w:pPr>
        <w:spacing w:after="0"/>
        <w:rPr>
          <w:rFonts w:ascii="Verdana" w:eastAsia="Verdana" w:hAnsi="Verdana" w:cs="Verdana"/>
        </w:rPr>
      </w:pPr>
    </w:p>
    <w:p w14:paraId="5BD0F5D3" w14:textId="77777777" w:rsidR="004D3F95" w:rsidRDefault="004D3F95" w:rsidP="00A6584F">
      <w:pPr>
        <w:spacing w:after="0"/>
        <w:rPr>
          <w:rFonts w:ascii="Verdana" w:eastAsia="Verdana" w:hAnsi="Verdana" w:cs="Verdana"/>
        </w:rPr>
      </w:pPr>
    </w:p>
    <w:p w14:paraId="49641502" w14:textId="3C693711" w:rsidR="00A6584F" w:rsidRPr="00580D2E" w:rsidRDefault="00C84596" w:rsidP="00A6584F">
      <w:pPr>
        <w:spacing w:after="0"/>
        <w:rPr>
          <w:rFonts w:ascii="Verdana" w:eastAsia="Calibri" w:hAnsi="Verdana" w:cs="Arial"/>
          <w:color w:val="000000"/>
          <w:lang w:val="es-MX"/>
        </w:rPr>
      </w:pPr>
      <w:r w:rsidRPr="00C84596">
        <w:rPr>
          <w:noProof/>
          <w:lang w:val="en-US"/>
        </w:rPr>
        <w:lastRenderedPageBreak/>
        <w:drawing>
          <wp:anchor distT="0" distB="0" distL="114300" distR="114300" simplePos="0" relativeHeight="251658240" behindDoc="0" locked="0" layoutInCell="1" allowOverlap="1" wp14:anchorId="1B83CEF3" wp14:editId="61382246">
            <wp:simplePos x="0" y="0"/>
            <wp:positionH relativeFrom="margin">
              <wp:align>right</wp:align>
            </wp:positionH>
            <wp:positionV relativeFrom="paragraph">
              <wp:posOffset>96875</wp:posOffset>
            </wp:positionV>
            <wp:extent cx="2559685" cy="710565"/>
            <wp:effectExtent l="0" t="0" r="0" b="0"/>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559685" cy="710565"/>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Verdana" w:eastAsia="Verdana" w:hAnsi="Verdana" w:cs="Verdana"/>
        </w:rPr>
        <w:t>Bogotá D.C., 24 de abril de 2026</w:t>
      </w:r>
      <w:r w:rsidR="00A6584F">
        <w:tab/>
      </w:r>
      <w:r w:rsidR="00A6584F">
        <w:br/>
      </w:r>
    </w:p>
    <w:p w14:paraId="1F86DA60" w14:textId="3CCB1AE1" w:rsidR="00A6584F" w:rsidRPr="00580D2E" w:rsidRDefault="00A6584F" w:rsidP="00A6584F">
      <w:pPr>
        <w:spacing w:after="0" w:line="240" w:lineRule="auto"/>
        <w:jc w:val="both"/>
        <w:rPr>
          <w:rFonts w:ascii="Verdana" w:eastAsia="Calibri" w:hAnsi="Verdana" w:cs="Arial"/>
          <w:color w:val="000000"/>
          <w:lang w:val="es-ES"/>
        </w:rPr>
      </w:pPr>
    </w:p>
    <w:p w14:paraId="137456E4" w14:textId="77777777" w:rsidR="00A6584F" w:rsidRPr="00580D2E" w:rsidRDefault="00A6584F" w:rsidP="00A6584F">
      <w:pPr>
        <w:spacing w:after="0" w:line="240" w:lineRule="auto"/>
        <w:jc w:val="both"/>
        <w:rPr>
          <w:rFonts w:ascii="Verdana" w:eastAsia="Calibri" w:hAnsi="Verdana" w:cs="Arial"/>
          <w:lang w:val="es-ES" w:eastAsia="es-ES"/>
        </w:rPr>
      </w:pPr>
      <w:r w:rsidRPr="00580D2E">
        <w:rPr>
          <w:rFonts w:ascii="Verdana" w:eastAsia="Calibri" w:hAnsi="Verdana" w:cs="Arial"/>
          <w:lang w:val="es-ES" w:eastAsia="es-ES"/>
        </w:rPr>
        <w:t>Señor</w:t>
      </w:r>
    </w:p>
    <w:p w14:paraId="71361D46" w14:textId="77777777" w:rsidR="00A6584F" w:rsidRPr="00580D2E" w:rsidRDefault="00A6584F" w:rsidP="00A6584F">
      <w:pPr>
        <w:spacing w:after="0" w:line="240" w:lineRule="auto"/>
        <w:rPr>
          <w:rFonts w:ascii="Verdana" w:eastAsia="Calibri" w:hAnsi="Verdana" w:cs="Arial"/>
          <w:b/>
          <w:lang w:val="es-ES" w:eastAsia="es-ES"/>
        </w:rPr>
      </w:pPr>
      <w:r w:rsidRPr="00580D2E">
        <w:rPr>
          <w:rFonts w:ascii="Verdana" w:eastAsia="Calibri" w:hAnsi="Verdana" w:cs="Arial"/>
          <w:b/>
          <w:lang w:val="es-ES" w:eastAsia="es-ES"/>
        </w:rPr>
        <w:t>José Ramiro Arias Tamayo</w:t>
      </w:r>
    </w:p>
    <w:p w14:paraId="440E0C54" w14:textId="77777777" w:rsidR="00A6584F" w:rsidRPr="00580D2E" w:rsidRDefault="00A6584F" w:rsidP="00A6584F">
      <w:pPr>
        <w:spacing w:after="0" w:line="240" w:lineRule="auto"/>
        <w:rPr>
          <w:rFonts w:ascii="Verdana" w:hAnsi="Verdana"/>
        </w:rPr>
      </w:pPr>
      <w:hyperlink r:id="rId12" w:history="1">
        <w:r w:rsidRPr="00580D2E">
          <w:rPr>
            <w:rStyle w:val="Hipervnculo"/>
            <w:rFonts w:ascii="Verdana" w:hAnsi="Verdana"/>
          </w:rPr>
          <w:t>apoyo.gestionpredial@empocaldas.com.co</w:t>
        </w:r>
      </w:hyperlink>
      <w:r w:rsidRPr="00580D2E">
        <w:rPr>
          <w:rFonts w:ascii="Verdana" w:hAnsi="Verdana"/>
        </w:rPr>
        <w:t xml:space="preserve"> </w:t>
      </w:r>
    </w:p>
    <w:p w14:paraId="69FBBCC4" w14:textId="77777777" w:rsidR="00A6584F" w:rsidRPr="00580D2E" w:rsidRDefault="00A6584F" w:rsidP="00A6584F">
      <w:pPr>
        <w:spacing w:after="0" w:line="240" w:lineRule="auto"/>
        <w:rPr>
          <w:rFonts w:ascii="Verdana" w:eastAsia="Calibri" w:hAnsi="Verdana" w:cs="Arial"/>
          <w:lang w:val="es-ES" w:eastAsia="es-ES"/>
        </w:rPr>
      </w:pPr>
      <w:r w:rsidRPr="00580D2E">
        <w:rPr>
          <w:rFonts w:ascii="Verdana" w:eastAsia="Calibri" w:hAnsi="Verdana" w:cs="Arial"/>
          <w:lang w:val="es-ES" w:eastAsia="es-ES"/>
        </w:rPr>
        <w:t>Manizales, Caldas</w:t>
      </w:r>
    </w:p>
    <w:p w14:paraId="7985ABA1" w14:textId="77777777" w:rsidR="00A6584F" w:rsidRDefault="00A6584F" w:rsidP="00A6584F">
      <w:pPr>
        <w:spacing w:after="0" w:line="240" w:lineRule="auto"/>
        <w:rPr>
          <w:rFonts w:ascii="Verdana" w:eastAsia="Calibri" w:hAnsi="Verdana" w:cs="Arial"/>
          <w:b/>
          <w:bCs/>
          <w:color w:val="000000"/>
          <w:lang w:val="es-ES_tradnl" w:eastAsia="es-ES_tradnl"/>
        </w:rPr>
      </w:pPr>
    </w:p>
    <w:p w14:paraId="18162611" w14:textId="77777777" w:rsidR="00A6584F" w:rsidRPr="00A12CB6" w:rsidRDefault="00A6584F" w:rsidP="00A6584F">
      <w:pPr>
        <w:spacing w:after="0" w:line="240" w:lineRule="auto"/>
        <w:rPr>
          <w:rFonts w:ascii="Verdana" w:eastAsia="Calibri" w:hAnsi="Verdana" w:cs="Times New Roman"/>
        </w:rPr>
      </w:pPr>
    </w:p>
    <w:p w14:paraId="24BF2747" w14:textId="77777777" w:rsidR="00A6584F" w:rsidRPr="00A12CB6" w:rsidRDefault="00A6584F" w:rsidP="00A6584F">
      <w:pPr>
        <w:spacing w:after="0" w:line="256" w:lineRule="auto"/>
        <w:rPr>
          <w:rFonts w:ascii="Verdana" w:eastAsia="Calibri" w:hAnsi="Verdana" w:cs="Times New Roman"/>
          <w:b/>
          <w:bCs/>
          <w:lang w:val="es-ES"/>
        </w:rPr>
      </w:pPr>
      <w:r w:rsidRPr="00A12CB6">
        <w:rPr>
          <w:rFonts w:ascii="Verdana" w:eastAsia="Calibri" w:hAnsi="Verdana" w:cs="Times New Roman"/>
          <w:b/>
          <w:bCs/>
          <w:lang w:val="es-ES"/>
        </w:rPr>
        <w:t xml:space="preserve">                  </w:t>
      </w:r>
      <w:r>
        <w:rPr>
          <w:rFonts w:ascii="Verdana" w:eastAsia="Calibri" w:hAnsi="Verdana" w:cs="Times New Roman"/>
          <w:b/>
          <w:bCs/>
          <w:lang w:val="es-ES"/>
        </w:rPr>
        <w:t xml:space="preserve">                  Concepto C- 410 de 2026</w:t>
      </w:r>
    </w:p>
    <w:p w14:paraId="5452A51C" w14:textId="77777777" w:rsidR="00A6584F" w:rsidRPr="00A12CB6" w:rsidRDefault="00A6584F" w:rsidP="00A6584F">
      <w:pPr>
        <w:spacing w:after="0" w:line="256" w:lineRule="auto"/>
        <w:rPr>
          <w:rFonts w:ascii="Verdana" w:eastAsia="Calibri" w:hAnsi="Verdana" w:cs="Times New Roman"/>
          <w:lang w:val="es-ES_tradnl"/>
        </w:rPr>
      </w:pPr>
    </w:p>
    <w:tbl>
      <w:tblPr>
        <w:tblStyle w:val="Tablaconcuadrcula1"/>
        <w:tblW w:w="15163"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5"/>
        <w:gridCol w:w="6241"/>
        <w:gridCol w:w="6237"/>
      </w:tblGrid>
      <w:tr w:rsidR="00A6584F" w:rsidRPr="00A12CB6" w14:paraId="1761AA14" w14:textId="77777777" w:rsidTr="00572E42">
        <w:trPr>
          <w:trHeight w:val="645"/>
        </w:trPr>
        <w:tc>
          <w:tcPr>
            <w:tcW w:w="2685" w:type="dxa"/>
            <w:hideMark/>
          </w:tcPr>
          <w:p w14:paraId="0195069B" w14:textId="77777777" w:rsidR="00A6584F" w:rsidRPr="00A12CB6" w:rsidRDefault="00A6584F" w:rsidP="00572E42">
            <w:pPr>
              <w:spacing w:line="256" w:lineRule="auto"/>
              <w:rPr>
                <w:rFonts w:ascii="Verdana" w:hAnsi="Verdana"/>
                <w:b/>
                <w:bCs/>
                <w:lang w:val="es-ES_tradnl"/>
              </w:rPr>
            </w:pPr>
            <w:r w:rsidRPr="00A12CB6">
              <w:rPr>
                <w:rFonts w:ascii="Verdana" w:hAnsi="Verdana"/>
                <w:b/>
                <w:bCs/>
                <w:lang w:val="es-ES_tradnl"/>
              </w:rPr>
              <w:t xml:space="preserve">Temas:                   </w:t>
            </w:r>
          </w:p>
        </w:tc>
        <w:tc>
          <w:tcPr>
            <w:tcW w:w="6241" w:type="dxa"/>
            <w:hideMark/>
          </w:tcPr>
          <w:p w14:paraId="4D2B1D35" w14:textId="77777777" w:rsidR="00A6584F" w:rsidRPr="00817856" w:rsidRDefault="00A6584F" w:rsidP="00572E42">
            <w:pPr>
              <w:spacing w:line="276" w:lineRule="auto"/>
              <w:jc w:val="both"/>
              <w:rPr>
                <w:rFonts w:ascii="Verdana" w:hAnsi="Verdana" w:cs="Arial"/>
                <w:lang w:val="es-ES" w:eastAsia="es-ES_tradnl"/>
              </w:rPr>
            </w:pPr>
            <w:r w:rsidRPr="00891006">
              <w:rPr>
                <w:rFonts w:ascii="Verdana" w:hAnsi="Verdana" w:cs="Arial"/>
                <w:lang w:eastAsia="es-ES_tradnl"/>
              </w:rPr>
              <w:t xml:space="preserve">LEY DE GARANTÍAS ELECTORALES </w:t>
            </w:r>
            <w:r w:rsidRPr="00891006">
              <w:rPr>
                <w:rFonts w:ascii="Verdana" w:hAnsi="Verdana" w:cs="Arial"/>
                <w:bCs/>
                <w:lang w:eastAsia="es-ES_tradnl"/>
              </w:rPr>
              <w:t>‒</w:t>
            </w:r>
            <w:r w:rsidRPr="00891006">
              <w:rPr>
                <w:rFonts w:ascii="Verdana" w:hAnsi="Verdana" w:cs="Arial"/>
                <w:lang w:eastAsia="es-ES_tradnl"/>
              </w:rPr>
              <w:t xml:space="preserve"> Finalidad / LEY DE GARANTÍAS ELECTORALES </w:t>
            </w:r>
            <w:r w:rsidRPr="00891006">
              <w:rPr>
                <w:rFonts w:ascii="Verdana" w:hAnsi="Verdana" w:cs="Arial"/>
                <w:bCs/>
                <w:lang w:eastAsia="es-ES_tradnl"/>
              </w:rPr>
              <w:t>‒</w:t>
            </w:r>
            <w:r w:rsidRPr="00891006">
              <w:rPr>
                <w:rFonts w:ascii="Verdana" w:hAnsi="Verdana" w:cs="Arial"/>
                <w:lang w:eastAsia="es-ES_tradnl"/>
              </w:rPr>
              <w:t xml:space="preserve"> Tipos de restricciones </w:t>
            </w:r>
            <w:r w:rsidRPr="00891006">
              <w:rPr>
                <w:rFonts w:ascii="Verdana" w:hAnsi="Verdana" w:cs="Arial"/>
                <w:bCs/>
                <w:lang w:eastAsia="es-ES_tradnl"/>
              </w:rPr>
              <w:t>‒</w:t>
            </w:r>
            <w:r w:rsidRPr="00891006">
              <w:rPr>
                <w:rFonts w:ascii="Verdana" w:hAnsi="Verdana" w:cs="Arial"/>
                <w:lang w:eastAsia="es-ES_tradnl"/>
              </w:rPr>
              <w:t xml:space="preserve"> Ámbito temporal – celebración- límite / LEY DE GARANTÍAS ELECTORALES – Prohibición artículo 33 – Contratación directa – Alcance / LEY DE GARANTÍAS ELECTORALES – Prohibición del artículo 33 – Destinatarios</w:t>
            </w:r>
            <w:r>
              <w:rPr>
                <w:rFonts w:ascii="Verdana" w:hAnsi="Verdana" w:cs="Arial"/>
                <w:lang w:eastAsia="es-ES_tradnl"/>
              </w:rPr>
              <w:t xml:space="preserve"> /</w:t>
            </w:r>
            <w:r w:rsidRPr="00891006">
              <w:rPr>
                <w:rFonts w:ascii="Verdana" w:hAnsi="Verdana" w:cs="Arial"/>
                <w:lang w:eastAsia="es-ES_tradnl"/>
              </w:rPr>
              <w:t xml:space="preserve"> LEY DE GARANTÍAS ELECTORALES – Excepciones / </w:t>
            </w:r>
            <w:r>
              <w:rPr>
                <w:rFonts w:ascii="Verdana" w:hAnsi="Verdana" w:cs="Arial"/>
                <w:lang w:eastAsia="es-ES_tradnl"/>
              </w:rPr>
              <w:t>LEY DE GARANTÍAS ELECTORALES – Excepciones – Posturas de la Sala de Consulta y Servicio del Consejo de Estado /</w:t>
            </w:r>
            <w:r>
              <w:rPr>
                <w:rFonts w:ascii="Verdana" w:hAnsi="Verdana" w:cs="Arial"/>
                <w:lang w:val="es-MX" w:eastAsia="es-ES_tradnl"/>
              </w:rPr>
              <w:t xml:space="preserve"> </w:t>
            </w:r>
            <w:r w:rsidRPr="00F33CF0">
              <w:rPr>
                <w:rFonts w:ascii="Verdana" w:hAnsi="Verdana" w:cs="Arial"/>
                <w:lang w:eastAsia="es-ES_tradnl"/>
              </w:rPr>
              <w:t>ENAJENACIÓN VOLUNTARIA – Objeto – Aplicación – Ley de Garantías Electorales – Restricción- Contratación Directa /</w:t>
            </w:r>
            <w:r>
              <w:rPr>
                <w:rFonts w:ascii="Verdana" w:hAnsi="Verdana" w:cs="Arial"/>
                <w:lang w:eastAsia="es-ES_tradnl"/>
              </w:rPr>
              <w:t xml:space="preserve"> EXPROPIACIÓN ADMINISTRATIVA – No sujeción – Ley de Garantías Electorales  - Contratación Directa / NEGOCIACIÓN DIRECTA – Voluntaria – Servidumbre – Procedimiento –Servicios Públicos / NEGOCIACIÓN DIRECTA – Servidumbre – Artículo 33 – Contratación Directa – Ley de Garantías.  </w:t>
            </w:r>
          </w:p>
        </w:tc>
        <w:tc>
          <w:tcPr>
            <w:tcW w:w="6237" w:type="dxa"/>
          </w:tcPr>
          <w:p w14:paraId="0A0C5D3D" w14:textId="77777777" w:rsidR="00A6584F" w:rsidRPr="00A12CB6" w:rsidRDefault="00A6584F" w:rsidP="00572E42">
            <w:pPr>
              <w:spacing w:line="256" w:lineRule="auto"/>
              <w:rPr>
                <w:rFonts w:ascii="Verdana" w:hAnsi="Verdana"/>
              </w:rPr>
            </w:pPr>
          </w:p>
        </w:tc>
      </w:tr>
    </w:tbl>
    <w:p w14:paraId="18C68E98" w14:textId="77777777" w:rsidR="00A6584F" w:rsidRPr="00593A5F" w:rsidRDefault="00A6584F" w:rsidP="00A6584F">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A6584F" w:rsidRPr="008E6AD9" w14:paraId="6FB40943" w14:textId="77777777" w:rsidTr="00572E42">
        <w:tc>
          <w:tcPr>
            <w:tcW w:w="2689" w:type="dxa"/>
          </w:tcPr>
          <w:p w14:paraId="14592215" w14:textId="77777777" w:rsidR="00A6584F" w:rsidRPr="008E6AD9" w:rsidRDefault="00A6584F" w:rsidP="00572E42">
            <w:pPr>
              <w:jc w:val="both"/>
              <w:rPr>
                <w:rFonts w:ascii="Verdana" w:eastAsia="Calibri" w:hAnsi="Verdana" w:cs="Arial"/>
                <w:b/>
                <w:lang w:val="es-ES_tradnl" w:eastAsia="es-ES_tradnl"/>
              </w:rPr>
            </w:pPr>
            <w:r w:rsidRPr="008E6AD9">
              <w:rPr>
                <w:rFonts w:ascii="Verdana" w:eastAsia="Calibri" w:hAnsi="Verdana" w:cs="Arial"/>
                <w:b/>
                <w:lang w:val="es-ES_tradnl" w:eastAsia="es-ES_tradnl"/>
              </w:rPr>
              <w:t>Radicación:</w:t>
            </w:r>
            <w:r w:rsidRPr="008E6AD9">
              <w:rPr>
                <w:rFonts w:ascii="Verdana" w:eastAsia="Calibri" w:hAnsi="Verdana" w:cs="Arial"/>
                <w:lang w:val="es-ES_tradnl" w:eastAsia="es-ES_tradnl"/>
              </w:rPr>
              <w:t xml:space="preserve">               </w:t>
            </w:r>
          </w:p>
        </w:tc>
        <w:tc>
          <w:tcPr>
            <w:tcW w:w="6100" w:type="dxa"/>
          </w:tcPr>
          <w:p w14:paraId="3A7D3055" w14:textId="77777777" w:rsidR="00A6584F" w:rsidRPr="00AD67E7" w:rsidRDefault="00A6584F" w:rsidP="00572E42">
            <w:pPr>
              <w:spacing w:line="276" w:lineRule="auto"/>
              <w:jc w:val="both"/>
              <w:rPr>
                <w:rFonts w:ascii="Verdana" w:eastAsia="Calibri" w:hAnsi="Verdana" w:cs="Arial"/>
                <w:lang w:val="es-ES_tradnl" w:eastAsia="es-ES_tradnl"/>
              </w:rPr>
            </w:pPr>
            <w:r w:rsidRPr="008E6AD9">
              <w:rPr>
                <w:rFonts w:ascii="Verdana" w:eastAsia="Calibri" w:hAnsi="Verdana" w:cs="Arial"/>
                <w:lang w:val="es-ES_tradnl" w:eastAsia="es-ES_tradnl"/>
              </w:rPr>
              <w:t xml:space="preserve">Respuesta a </w:t>
            </w:r>
            <w:r>
              <w:rPr>
                <w:rFonts w:ascii="Verdana" w:eastAsia="Calibri" w:hAnsi="Verdana" w:cs="Arial"/>
                <w:lang w:val="es-ES_tradnl" w:eastAsia="es-ES_tradnl"/>
              </w:rPr>
              <w:t xml:space="preserve">la </w:t>
            </w:r>
            <w:r w:rsidRPr="008E6AD9">
              <w:rPr>
                <w:rFonts w:ascii="Verdana" w:eastAsia="Calibri" w:hAnsi="Verdana" w:cs="Arial"/>
                <w:lang w:val="es-ES_tradnl" w:eastAsia="es-ES_tradnl"/>
              </w:rPr>
              <w:t>consulta con radicado</w:t>
            </w:r>
            <w:r>
              <w:rPr>
                <w:rFonts w:ascii="Verdana" w:eastAsia="Calibri" w:hAnsi="Verdana" w:cs="Arial"/>
                <w:lang w:val="es-ES_tradnl" w:eastAsia="es-ES_tradnl"/>
              </w:rPr>
              <w:t xml:space="preserve">s </w:t>
            </w:r>
            <w:r w:rsidRPr="008E6AD9">
              <w:rPr>
                <w:rFonts w:ascii="Verdana" w:eastAsia="Calibri" w:hAnsi="Verdana" w:cs="Arial"/>
                <w:lang w:val="es-ES_tradnl" w:eastAsia="es-ES_tradnl"/>
              </w:rPr>
              <w:t>No.</w:t>
            </w:r>
            <w:r>
              <w:rPr>
                <w:rFonts w:ascii="Verdana" w:eastAsia="Calibri" w:hAnsi="Verdana" w:cs="Arial"/>
                <w:lang w:val="es-ES_tradnl" w:eastAsia="es-ES_tradnl"/>
              </w:rPr>
              <w:t xml:space="preserve"> </w:t>
            </w:r>
            <w:r w:rsidRPr="00580D2E">
              <w:rPr>
                <w:rFonts w:ascii="Verdana" w:eastAsia="Calibri" w:hAnsi="Verdana" w:cs="Arial"/>
                <w:lang w:eastAsia="es-ES_tradnl"/>
              </w:rPr>
              <w:t>1_2026_03_13_003500</w:t>
            </w:r>
          </w:p>
        </w:tc>
      </w:tr>
    </w:tbl>
    <w:p w14:paraId="68D44E1E" w14:textId="77777777" w:rsidR="00A6584F" w:rsidRDefault="00A6584F" w:rsidP="00A6584F">
      <w:pPr>
        <w:spacing w:after="0" w:line="240" w:lineRule="auto"/>
        <w:jc w:val="both"/>
        <w:rPr>
          <w:rFonts w:ascii="Verdana" w:eastAsia="Calibri" w:hAnsi="Verdana" w:cs="Arial"/>
          <w:color w:val="000000"/>
          <w:lang w:val="es-ES_tradnl" w:eastAsia="es-ES_tradnl"/>
        </w:rPr>
      </w:pPr>
    </w:p>
    <w:p w14:paraId="33C5BBA0" w14:textId="77777777" w:rsidR="00A6584F" w:rsidRPr="00593A5F" w:rsidRDefault="00A6584F" w:rsidP="00A6584F">
      <w:pPr>
        <w:spacing w:after="0" w:line="240" w:lineRule="auto"/>
        <w:jc w:val="both"/>
        <w:rPr>
          <w:rFonts w:ascii="Verdana" w:eastAsia="Calibri" w:hAnsi="Verdana" w:cs="Arial"/>
          <w:color w:val="000000"/>
          <w:lang w:val="es-ES_tradnl" w:eastAsia="es-ES_tradnl"/>
        </w:rPr>
      </w:pPr>
    </w:p>
    <w:p w14:paraId="43BBC417" w14:textId="77777777" w:rsidR="00A6584F" w:rsidRPr="008E6AD9" w:rsidRDefault="00A6584F" w:rsidP="00A6584F">
      <w:pPr>
        <w:spacing w:after="0" w:line="240" w:lineRule="auto"/>
        <w:jc w:val="both"/>
        <w:rPr>
          <w:rFonts w:ascii="Verdana" w:eastAsia="Calibri" w:hAnsi="Verdana" w:cs="Arial"/>
          <w:lang w:val="es-ES" w:eastAsia="es-ES"/>
        </w:rPr>
      </w:pPr>
      <w:r w:rsidRPr="008E6AD9">
        <w:rPr>
          <w:rFonts w:ascii="Verdana" w:eastAsia="Calibri" w:hAnsi="Verdana" w:cs="Arial"/>
          <w:lang w:val="es-ES" w:eastAsia="es-ES"/>
        </w:rPr>
        <w:t>Estimad</w:t>
      </w:r>
      <w:r>
        <w:rPr>
          <w:rFonts w:ascii="Verdana" w:eastAsia="Calibri" w:hAnsi="Verdana" w:cs="Arial"/>
          <w:lang w:val="es-ES" w:eastAsia="es-ES"/>
        </w:rPr>
        <w:t>o Señor Arias</w:t>
      </w:r>
      <w:r w:rsidRPr="008E6AD9">
        <w:rPr>
          <w:rFonts w:ascii="Verdana" w:eastAsia="Calibri" w:hAnsi="Verdana" w:cs="Arial"/>
          <w:lang w:val="es-ES" w:eastAsia="es-ES"/>
        </w:rPr>
        <w:t xml:space="preserve">: </w:t>
      </w:r>
    </w:p>
    <w:p w14:paraId="155E6D77" w14:textId="77777777" w:rsidR="00A6584F" w:rsidRDefault="00A6584F" w:rsidP="00A6584F">
      <w:pPr>
        <w:tabs>
          <w:tab w:val="left" w:pos="3768"/>
        </w:tabs>
        <w:spacing w:after="0" w:line="240"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629A302A" w14:textId="77777777" w:rsidR="00A6584F" w:rsidRDefault="00A6584F" w:rsidP="00A6584F">
      <w:pPr>
        <w:spacing w:after="0" w:line="276" w:lineRule="auto"/>
        <w:jc w:val="both"/>
        <w:rPr>
          <w:rFonts w:ascii="Verdana" w:eastAsia="Calibri" w:hAnsi="Verdana" w:cs="Arial"/>
          <w:bCs/>
          <w:color w:val="000000" w:themeColor="text1"/>
          <w:lang w:val="es-ES" w:eastAsia="es-ES" w:bidi="es-ES"/>
        </w:rPr>
      </w:pPr>
      <w:r w:rsidRPr="00D677B5">
        <w:rPr>
          <w:rFonts w:ascii="Verdana" w:eastAsia="Calibri" w:hAnsi="Verdana" w:cs="Arial"/>
          <w:bCs/>
          <w:color w:val="000000" w:themeColor="text1"/>
          <w:lang w:val="es-ES" w:eastAsia="es-ES" w:bidi="es-ES"/>
        </w:rPr>
        <w:t xml:space="preserve">En ejercicio de la competencia otorgada por los artículos 3, numeral 5º, y 11, numeral 8º, del Decreto Ley 4170 de 2011, </w:t>
      </w:r>
      <w:r w:rsidRPr="00D677B5">
        <w:rPr>
          <w:rFonts w:ascii="Verdana" w:eastAsia="Calibri" w:hAnsi="Verdana" w:cs="Arial"/>
          <w:bCs/>
          <w:color w:val="000000" w:themeColor="text1"/>
          <w:lang w:eastAsia="es-ES"/>
        </w:rPr>
        <w:t xml:space="preserve">así como lo establecido por la </w:t>
      </w:r>
      <w:r w:rsidRPr="00D677B5">
        <w:rPr>
          <w:rFonts w:ascii="Verdana" w:eastAsia="Calibri" w:hAnsi="Verdana" w:cs="Arial"/>
          <w:bCs/>
          <w:color w:val="000000" w:themeColor="text1"/>
          <w:lang w:eastAsia="es-ES"/>
        </w:rPr>
        <w:lastRenderedPageBreak/>
        <w:t xml:space="preserve">Resolución 469 de 2025 expedida por esta Entidad, </w:t>
      </w:r>
      <w:r w:rsidRPr="00D677B5">
        <w:rPr>
          <w:rFonts w:ascii="Verdana" w:eastAsia="Calibri" w:hAnsi="Verdana" w:cs="Arial"/>
          <w:bCs/>
          <w:color w:val="000000" w:themeColor="text1"/>
          <w:lang w:val="es-ES" w:eastAsia="es-ES" w:bidi="es-ES"/>
        </w:rPr>
        <w:t>la Agencia Nacional de Contratación Pública – Colombia Compra Eficiente– respond</w:t>
      </w:r>
      <w:r>
        <w:rPr>
          <w:rFonts w:ascii="Verdana" w:eastAsia="Calibri" w:hAnsi="Verdana" w:cs="Arial"/>
          <w:bCs/>
          <w:color w:val="000000" w:themeColor="text1"/>
          <w:lang w:val="es-ES" w:eastAsia="es-ES" w:bidi="es-ES"/>
        </w:rPr>
        <w:t>e la solicitud de consulta del 13</w:t>
      </w:r>
      <w:r w:rsidRPr="00D677B5">
        <w:rPr>
          <w:rFonts w:ascii="Verdana" w:eastAsia="Calibri" w:hAnsi="Verdana" w:cs="Arial"/>
          <w:bCs/>
          <w:color w:val="000000" w:themeColor="text1"/>
          <w:lang w:val="es-ES" w:eastAsia="es-ES" w:bidi="es-ES"/>
        </w:rPr>
        <w:t xml:space="preserve"> de marzo de 2026</w:t>
      </w:r>
      <w:r>
        <w:rPr>
          <w:rFonts w:ascii="Verdana" w:eastAsia="Calibri" w:hAnsi="Verdana" w:cs="Arial"/>
          <w:bCs/>
          <w:color w:val="000000" w:themeColor="text1"/>
          <w:lang w:val="es-ES" w:eastAsia="es-ES" w:bidi="es-ES"/>
        </w:rPr>
        <w:t xml:space="preserve"> que gira en torno al procedimiento de enajenación voluntaria para la constitución de servidumbres en materia de servicios públicos domiciliarios</w:t>
      </w:r>
      <w:r w:rsidRPr="00D677B5">
        <w:rPr>
          <w:rFonts w:ascii="Verdana" w:eastAsia="Calibri" w:hAnsi="Verdana" w:cs="Arial"/>
          <w:bCs/>
          <w:color w:val="000000" w:themeColor="text1"/>
          <w:lang w:val="es-ES" w:eastAsia="es-ES" w:bidi="es-ES"/>
        </w:rPr>
        <w:t xml:space="preserve">, en la cual manifiesta: </w:t>
      </w:r>
    </w:p>
    <w:p w14:paraId="5036B577" w14:textId="77777777" w:rsidR="00A6584F" w:rsidRDefault="00A6584F" w:rsidP="00A6584F">
      <w:pPr>
        <w:spacing w:after="0" w:line="240" w:lineRule="auto"/>
        <w:jc w:val="both"/>
        <w:rPr>
          <w:rFonts w:ascii="Verdana" w:eastAsia="Century Gothic" w:hAnsi="Verdana" w:cs="Century Gothic"/>
          <w:lang w:val="es-ES"/>
        </w:rPr>
      </w:pPr>
    </w:p>
    <w:p w14:paraId="5DDC79E2" w14:textId="77777777" w:rsidR="00A6584F" w:rsidRPr="00031BC1" w:rsidRDefault="00A6584F" w:rsidP="00A6584F">
      <w:pPr>
        <w:spacing w:after="0" w:line="240" w:lineRule="auto"/>
        <w:ind w:left="709" w:right="709"/>
        <w:jc w:val="both"/>
        <w:rPr>
          <w:rFonts w:ascii="Verdana" w:eastAsia="Century Gothic" w:hAnsi="Verdana" w:cs="Century Gothic"/>
          <w:sz w:val="20"/>
          <w:szCs w:val="20"/>
        </w:rPr>
      </w:pPr>
      <w:r w:rsidRPr="00031BC1">
        <w:rPr>
          <w:rFonts w:ascii="Verdana" w:eastAsia="Century Gothic" w:hAnsi="Verdana" w:cs="Century Gothic"/>
          <w:b/>
          <w:bCs/>
          <w:sz w:val="20"/>
          <w:szCs w:val="20"/>
        </w:rPr>
        <w:t xml:space="preserve">PRIMERO: </w:t>
      </w:r>
      <w:r w:rsidRPr="00031BC1">
        <w:rPr>
          <w:rFonts w:ascii="Verdana" w:eastAsia="Century Gothic" w:hAnsi="Verdana" w:cs="Century Gothic"/>
          <w:sz w:val="20"/>
          <w:szCs w:val="20"/>
        </w:rPr>
        <w:t xml:space="preserve">Partiendo de la premisa de que la suscripción de contratos de transacción es un mecanismo válido adoptado como política interna para precaver litigios y reconocer daños sustentados técnicamente en avalúos (Decreto 1420 de 1998), ¿este tipo de acuerdo extrajudicial, derivado de un procedimiento de enajenación voluntaria por motivos de utilidad pública, </w:t>
      </w:r>
      <w:proofErr w:type="gramStart"/>
      <w:r w:rsidRPr="00031BC1">
        <w:rPr>
          <w:rFonts w:ascii="Verdana" w:eastAsia="Century Gothic" w:hAnsi="Verdana" w:cs="Century Gothic"/>
          <w:sz w:val="20"/>
          <w:szCs w:val="20"/>
        </w:rPr>
        <w:t>se enmarca dentro del</w:t>
      </w:r>
      <w:proofErr w:type="gramEnd"/>
      <w:r w:rsidRPr="00031BC1">
        <w:rPr>
          <w:rFonts w:ascii="Verdana" w:eastAsia="Century Gothic" w:hAnsi="Verdana" w:cs="Century Gothic"/>
          <w:sz w:val="20"/>
          <w:szCs w:val="20"/>
        </w:rPr>
        <w:t xml:space="preserve"> concepto de "contratación directa" que prohíbe celebrar la Ley 996 de 2005 (Ley de Garantías Electorales)? </w:t>
      </w:r>
    </w:p>
    <w:p w14:paraId="6E3CC344" w14:textId="77777777" w:rsidR="00A6584F" w:rsidRPr="00031BC1" w:rsidRDefault="00A6584F" w:rsidP="00A6584F">
      <w:pPr>
        <w:spacing w:after="0" w:line="240" w:lineRule="auto"/>
        <w:ind w:left="709" w:right="709"/>
        <w:jc w:val="both"/>
        <w:rPr>
          <w:rFonts w:ascii="Verdana" w:eastAsia="Century Gothic" w:hAnsi="Verdana" w:cs="Century Gothic"/>
          <w:sz w:val="20"/>
          <w:szCs w:val="20"/>
          <w:lang w:val="es-ES"/>
        </w:rPr>
      </w:pPr>
      <w:r w:rsidRPr="00031BC1">
        <w:rPr>
          <w:rFonts w:ascii="Verdana" w:eastAsia="Century Gothic" w:hAnsi="Verdana" w:cs="Century Gothic"/>
          <w:b/>
          <w:bCs/>
          <w:sz w:val="20"/>
          <w:szCs w:val="20"/>
        </w:rPr>
        <w:t xml:space="preserve">SEGUNDO: </w:t>
      </w:r>
      <w:r w:rsidRPr="00031BC1">
        <w:rPr>
          <w:rFonts w:ascii="Verdana" w:eastAsia="Century Gothic" w:hAnsi="Verdana" w:cs="Century Gothic"/>
          <w:sz w:val="20"/>
          <w:szCs w:val="20"/>
        </w:rPr>
        <w:t>A la luz del ordenamiento jurídico en materia de compras y contratación estatal, ¿es viable jurídicamente que una Empresa de Servicios Públicos de Carácter Oficial suscriba estos contratos de transacción para consolidar la negociación predial directa y asegurar el ingreso a los predios, estando en plena vigencia el periodo de restricción electoral (Ley de Garantías)?</w:t>
      </w:r>
    </w:p>
    <w:p w14:paraId="2C1C04AF" w14:textId="77777777" w:rsidR="00A6584F" w:rsidRPr="00D677B5" w:rsidRDefault="00A6584F" w:rsidP="00A6584F">
      <w:pPr>
        <w:spacing w:after="0" w:line="276" w:lineRule="auto"/>
        <w:jc w:val="both"/>
        <w:rPr>
          <w:rFonts w:ascii="Verdana" w:eastAsia="Calibri" w:hAnsi="Verdana" w:cs="Arial"/>
          <w:bCs/>
          <w:color w:val="000000" w:themeColor="text1"/>
          <w:lang w:val="es-ES" w:eastAsia="es-ES" w:bidi="es-ES"/>
        </w:rPr>
      </w:pPr>
    </w:p>
    <w:p w14:paraId="49EC8684" w14:textId="77777777" w:rsidR="00A6584F" w:rsidRPr="00A652FF" w:rsidRDefault="00A6584F" w:rsidP="00A6584F">
      <w:pPr>
        <w:spacing w:after="120" w:line="276" w:lineRule="auto"/>
        <w:ind w:firstLine="709"/>
        <w:jc w:val="both"/>
        <w:rPr>
          <w:rFonts w:ascii="Verdana" w:eastAsia="Calibri" w:hAnsi="Verdana" w:cs="Arial"/>
          <w:color w:val="000000"/>
          <w:lang w:val="es-ES" w:eastAsia="es-ES"/>
        </w:rPr>
      </w:pPr>
      <w:r>
        <w:rPr>
          <w:rFonts w:ascii="Verdana" w:eastAsia="Calibri" w:hAnsi="Verdana" w:cs="Arial"/>
          <w:color w:val="000000"/>
          <w:lang w:val="es-ES" w:eastAsia="es-ES"/>
        </w:rPr>
        <w:t>De manera preliminar</w:t>
      </w:r>
      <w:r w:rsidRPr="00593A5F">
        <w:rPr>
          <w:rFonts w:ascii="Verdana" w:eastAsia="Calibri" w:hAnsi="Verdana" w:cs="Arial"/>
          <w:color w:val="000000"/>
          <w:lang w:val="es-ES" w:eastAsia="es-ES"/>
        </w:rPr>
        <w:t>, resulta necesario acotar que esta entidad s</w:t>
      </w:r>
      <w:r>
        <w:rPr>
          <w:rFonts w:ascii="Verdana" w:eastAsia="Calibri" w:hAnsi="Verdana" w:cs="Arial"/>
          <w:color w:val="000000"/>
          <w:lang w:val="es-ES" w:eastAsia="es-ES"/>
        </w:rPr>
        <w:t>ó</w:t>
      </w:r>
      <w:r w:rsidRPr="00593A5F">
        <w:rPr>
          <w:rFonts w:ascii="Verdana" w:eastAsia="Calibri" w:hAnsi="Verdana" w:cs="Arial"/>
          <w:color w:val="000000"/>
          <w:lang w:val="es-ES" w:eastAsia="es-ES"/>
        </w:rPr>
        <w:t>lo tiene competencia para responder consultas sobre la aplicación de normas de carácter general en materia de compras y contratación pública. En ese sentido, resolver casos particulares desborda las atribuciones asignadas por el legislador extraordinario, que no concibió a</w:t>
      </w:r>
      <w:r>
        <w:rPr>
          <w:rFonts w:ascii="Verdana" w:eastAsia="Calibri" w:hAnsi="Verdana" w:cs="Arial"/>
          <w:color w:val="000000"/>
          <w:lang w:val="es-ES" w:eastAsia="es-ES"/>
        </w:rPr>
        <w:t xml:space="preserve"> la Agencia Nacional de Contratación Pública -</w:t>
      </w:r>
      <w:r w:rsidRPr="00593A5F">
        <w:rPr>
          <w:rFonts w:ascii="Verdana" w:eastAsia="Calibri" w:hAnsi="Verdana" w:cs="Arial"/>
          <w:color w:val="000000"/>
          <w:lang w:val="es-ES" w:eastAsia="es-ES"/>
        </w:rPr>
        <w:t xml:space="preserve"> Colombia Compra Eficiente como una autoridad para solucionar problemas jurídicos </w:t>
      </w:r>
      <w:r>
        <w:rPr>
          <w:rFonts w:ascii="Verdana" w:eastAsia="Calibri" w:hAnsi="Verdana" w:cs="Arial"/>
          <w:color w:val="000000"/>
          <w:lang w:val="es-ES" w:eastAsia="es-ES"/>
        </w:rPr>
        <w:t>concretos</w:t>
      </w:r>
      <w:r w:rsidRPr="00593A5F">
        <w:rPr>
          <w:rFonts w:ascii="Verdana" w:eastAsia="Calibri" w:hAnsi="Verdana" w:cs="Arial"/>
          <w:color w:val="000000"/>
          <w:lang w:val="es-ES" w:eastAsia="es-ES"/>
        </w:rPr>
        <w:t xml:space="preserve">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93A5F">
        <w:rPr>
          <w:rFonts w:ascii="Verdana" w:eastAsia="Calibri" w:hAnsi="Verdana" w:cs="Arial"/>
          <w:color w:val="000000"/>
          <w:szCs w:val="24"/>
          <w:lang w:val="es-ES_tradnl" w:eastAsia="es-ES_tradnl"/>
        </w:rPr>
        <w:tab/>
      </w:r>
    </w:p>
    <w:p w14:paraId="11F140BC" w14:textId="77777777" w:rsidR="00A6584F" w:rsidRPr="00423BE7" w:rsidRDefault="00A6584F" w:rsidP="00A6584F">
      <w:pPr>
        <w:spacing w:after="0" w:line="276" w:lineRule="auto"/>
        <w:ind w:firstLine="708"/>
        <w:jc w:val="both"/>
        <w:rPr>
          <w:rFonts w:ascii="Verdana" w:eastAsia="Calibri" w:hAnsi="Verdana" w:cs="Arial"/>
          <w:lang w:val="es-ES" w:eastAsia="es-ES"/>
        </w:rPr>
      </w:pPr>
      <w:r w:rsidRPr="00593A5F">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w:t>
      </w:r>
      <w:r>
        <w:rPr>
          <w:rFonts w:ascii="Verdana" w:eastAsia="Calibri" w:hAnsi="Verdana" w:cs="Arial"/>
          <w:color w:val="000000"/>
          <w:lang w:val="es-ES" w:eastAsia="es-ES"/>
        </w:rPr>
        <w:t>s circunstancias</w:t>
      </w:r>
      <w:r w:rsidRPr="00593A5F">
        <w:rPr>
          <w:rFonts w:ascii="Verdana" w:eastAsia="Calibri" w:hAnsi="Verdana" w:cs="Arial"/>
          <w:color w:val="000000"/>
          <w:lang w:val="es-ES" w:eastAsia="es-ES"/>
        </w:rPr>
        <w:t xml:space="preserve"> </w:t>
      </w:r>
      <w:r>
        <w:rPr>
          <w:rFonts w:ascii="Verdana" w:eastAsia="Calibri" w:hAnsi="Verdana" w:cs="Arial"/>
          <w:color w:val="000000"/>
          <w:lang w:val="es-ES" w:eastAsia="es-ES"/>
        </w:rPr>
        <w:t>específicas que la hayan motivado</w:t>
      </w:r>
      <w:r w:rsidRPr="00593A5F">
        <w:rPr>
          <w:rFonts w:ascii="Verdana" w:eastAsia="Calibri" w:hAnsi="Verdana" w:cs="Arial"/>
          <w:color w:val="000000"/>
          <w:lang w:val="es-ES" w:eastAsia="es-ES"/>
        </w:rPr>
        <w:t xml:space="preserve">, pero haciendo unas consideraciones sobre las normas generales relacionadas con </w:t>
      </w:r>
      <w:r>
        <w:rPr>
          <w:rFonts w:ascii="Verdana" w:eastAsia="Calibri" w:hAnsi="Verdana" w:cs="Arial"/>
          <w:color w:val="000000"/>
          <w:lang w:val="es-ES" w:eastAsia="es-ES"/>
        </w:rPr>
        <w:t xml:space="preserve">los problemas jurídicos de su consulta. </w:t>
      </w:r>
    </w:p>
    <w:p w14:paraId="6F4D2A69" w14:textId="77777777" w:rsidR="00A6584F" w:rsidRPr="00593A5F" w:rsidRDefault="00A6584F" w:rsidP="00A6584F">
      <w:pPr>
        <w:spacing w:after="0" w:line="240" w:lineRule="auto"/>
        <w:ind w:firstLine="709"/>
        <w:jc w:val="both"/>
        <w:rPr>
          <w:rFonts w:ascii="Verdana" w:eastAsia="Calibri" w:hAnsi="Verdana" w:cs="Arial"/>
          <w:color w:val="000000"/>
          <w:lang w:val="es-ES" w:eastAsia="es-ES"/>
        </w:rPr>
      </w:pPr>
    </w:p>
    <w:p w14:paraId="7E60EE3C" w14:textId="77777777" w:rsidR="00A6584F" w:rsidRPr="00593A5F" w:rsidRDefault="00A6584F" w:rsidP="00A6584F">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lastRenderedPageBreak/>
        <w:t>Problema planteado:</w:t>
      </w:r>
    </w:p>
    <w:p w14:paraId="67A069CF" w14:textId="77777777" w:rsidR="00A6584F" w:rsidRPr="00593A5F" w:rsidRDefault="00A6584F" w:rsidP="00A6584F">
      <w:pPr>
        <w:tabs>
          <w:tab w:val="left" w:pos="426"/>
        </w:tabs>
        <w:spacing w:after="0" w:line="240" w:lineRule="auto"/>
        <w:jc w:val="both"/>
        <w:rPr>
          <w:rFonts w:ascii="Verdana" w:eastAsia="Century Gothic" w:hAnsi="Verdana" w:cs="Century Gothic"/>
          <w:lang w:val="es-ES"/>
        </w:rPr>
      </w:pPr>
    </w:p>
    <w:p w14:paraId="10080757" w14:textId="77777777" w:rsidR="00A6584F" w:rsidRPr="00BC3F56" w:rsidRDefault="00A6584F" w:rsidP="00A6584F">
      <w:pPr>
        <w:spacing w:after="0" w:line="276" w:lineRule="auto"/>
        <w:jc w:val="both"/>
        <w:rPr>
          <w:rFonts w:ascii="Verdana" w:eastAsia="Century Gothic" w:hAnsi="Verdana" w:cs="Century Gothic"/>
        </w:rPr>
      </w:pPr>
      <w:r w:rsidRPr="00906BE9">
        <w:rPr>
          <w:rFonts w:ascii="Verdana" w:eastAsia="Century Gothic" w:hAnsi="Verdana" w:cs="Century Gothic"/>
        </w:rPr>
        <w:t xml:space="preserve">De acuerdo con el contenido de su solicitud, esta Agencia resolverá </w:t>
      </w:r>
      <w:r>
        <w:rPr>
          <w:rFonts w:ascii="Verdana" w:eastAsia="Century Gothic" w:hAnsi="Verdana" w:cs="Century Gothic"/>
        </w:rPr>
        <w:t xml:space="preserve">el siguiente problema jurídico: </w:t>
      </w:r>
      <w:r w:rsidRPr="00BC3F56">
        <w:rPr>
          <w:rFonts w:ascii="Verdana" w:eastAsia="Century Gothic" w:hAnsi="Verdana" w:cs="Century Gothic"/>
        </w:rPr>
        <w:t xml:space="preserve">¿La suscripción de contratos previos a la servidumbre dentro de los </w:t>
      </w:r>
      <w:r w:rsidRPr="00BC3F56">
        <w:rPr>
          <w:rFonts w:ascii="Verdana" w:eastAsia="Century Gothic" w:hAnsi="Verdana" w:cs="Century Gothic"/>
          <w:bCs/>
        </w:rPr>
        <w:t>procesos de enajenación voluntaria por motivos de utilidad pública</w:t>
      </w:r>
      <w:r w:rsidRPr="00BC3F56">
        <w:rPr>
          <w:rFonts w:ascii="Verdana" w:eastAsia="Century Gothic" w:hAnsi="Verdana" w:cs="Century Gothic"/>
        </w:rPr>
        <w:t xml:space="preserve">, mediante los cuales se perfecciona la </w:t>
      </w:r>
      <w:r w:rsidRPr="00BC3F56">
        <w:rPr>
          <w:rFonts w:ascii="Verdana" w:eastAsia="Century Gothic" w:hAnsi="Verdana" w:cs="Century Gothic"/>
          <w:bCs/>
        </w:rPr>
        <w:t xml:space="preserve">negociación predial para la ejecución de proyectos </w:t>
      </w:r>
      <w:r>
        <w:rPr>
          <w:rFonts w:ascii="Verdana" w:eastAsia="Century Gothic" w:hAnsi="Verdana" w:cs="Century Gothic"/>
          <w:bCs/>
        </w:rPr>
        <w:t xml:space="preserve">públicos de infraestructura </w:t>
      </w:r>
      <w:r w:rsidRPr="00BC3F56">
        <w:rPr>
          <w:rFonts w:ascii="Verdana" w:eastAsia="Century Gothic" w:hAnsi="Verdana" w:cs="Century Gothic"/>
          <w:bCs/>
        </w:rPr>
        <w:t>de servicios públicos</w:t>
      </w:r>
      <w:r w:rsidRPr="00BC3F56">
        <w:rPr>
          <w:rFonts w:ascii="Verdana" w:eastAsia="Century Gothic" w:hAnsi="Verdana" w:cs="Century Gothic"/>
        </w:rPr>
        <w:t xml:space="preserve">, se encuentra restringida por lo dispuesto en el </w:t>
      </w:r>
      <w:r w:rsidRPr="00BC3F56">
        <w:rPr>
          <w:rFonts w:ascii="Verdana" w:eastAsia="Century Gothic" w:hAnsi="Verdana" w:cs="Century Gothic"/>
          <w:bCs/>
        </w:rPr>
        <w:t>artículo 33 de la Ley 996 de 2005</w:t>
      </w:r>
      <w:r w:rsidRPr="00BC3F56">
        <w:rPr>
          <w:rFonts w:ascii="Verdana" w:eastAsia="Century Gothic" w:hAnsi="Verdana" w:cs="Century Gothic"/>
        </w:rPr>
        <w:t>?</w:t>
      </w:r>
    </w:p>
    <w:p w14:paraId="1F0E3F9E" w14:textId="77777777" w:rsidR="00A6584F" w:rsidRPr="004B140F" w:rsidRDefault="00A6584F" w:rsidP="00A6584F">
      <w:pPr>
        <w:spacing w:after="0" w:line="240" w:lineRule="auto"/>
        <w:jc w:val="both"/>
        <w:rPr>
          <w:rFonts w:ascii="Verdana" w:eastAsia="Calibri" w:hAnsi="Verdana" w:cs="Arial"/>
          <w:color w:val="7030A0"/>
        </w:rPr>
      </w:pPr>
    </w:p>
    <w:p w14:paraId="00AB4DEB" w14:textId="77777777" w:rsidR="00A6584F" w:rsidRPr="00593A5F" w:rsidRDefault="00A6584F" w:rsidP="00A6584F">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r>
        <w:rPr>
          <w:rFonts w:ascii="Verdana" w:eastAsia="Century Gothic" w:hAnsi="Verdana" w:cs="Century Gothic"/>
          <w:b/>
          <w:bCs/>
        </w:rPr>
        <w:t>s</w:t>
      </w:r>
      <w:r w:rsidRPr="00593A5F">
        <w:rPr>
          <w:rFonts w:ascii="Verdana" w:eastAsia="Century Gothic" w:hAnsi="Verdana" w:cs="Century Gothic"/>
          <w:b/>
          <w:bCs/>
        </w:rPr>
        <w:t>:</w:t>
      </w:r>
    </w:p>
    <w:p w14:paraId="46D8E8B8" w14:textId="77777777" w:rsidR="00A6584F" w:rsidRPr="00593A5F" w:rsidRDefault="00A6584F" w:rsidP="00A6584F">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A6584F" w:rsidRPr="00593A5F" w14:paraId="5246F9CE" w14:textId="77777777" w:rsidTr="00572E42">
        <w:trPr>
          <w:jc w:val="center"/>
        </w:trPr>
        <w:tc>
          <w:tcPr>
            <w:tcW w:w="8828" w:type="dxa"/>
          </w:tcPr>
          <w:p w14:paraId="0A64A51A" w14:textId="77777777" w:rsidR="00A6584F" w:rsidRPr="00F33CF0" w:rsidRDefault="00A6584F" w:rsidP="00572E42">
            <w:pPr>
              <w:tabs>
                <w:tab w:val="left" w:pos="426"/>
              </w:tabs>
              <w:spacing w:after="120" w:line="276" w:lineRule="auto"/>
              <w:jc w:val="both"/>
              <w:rPr>
                <w:rFonts w:ascii="Verdana" w:hAnsi="Verdana" w:cs="Arial"/>
                <w:lang w:eastAsia="es-ES_tradnl"/>
              </w:rPr>
            </w:pPr>
            <w:bookmarkStart w:id="1" w:name="_Hlk171694685"/>
            <w:r w:rsidRPr="00A47089">
              <w:rPr>
                <w:rFonts w:ascii="Verdana" w:eastAsia="Times New Roman" w:hAnsi="Verdana" w:cs="Arial"/>
                <w:bCs/>
                <w:lang w:eastAsia="x-none"/>
              </w:rPr>
              <w:t xml:space="preserve">Para dar solución al problema jurídico planteado en la consulta, </w:t>
            </w:r>
            <w:r>
              <w:rPr>
                <w:rFonts w:ascii="Verdana" w:eastAsia="Times New Roman" w:hAnsi="Verdana" w:cs="Arial"/>
                <w:bCs/>
                <w:lang w:eastAsia="x-none"/>
              </w:rPr>
              <w:t>se precisa que a</w:t>
            </w:r>
            <w:r w:rsidRPr="00F33CF0">
              <w:rPr>
                <w:rFonts w:ascii="Verdana" w:hAnsi="Verdana" w:cs="Arial"/>
                <w:lang w:eastAsia="es-ES_tradnl"/>
              </w:rPr>
              <w:t xml:space="preserve"> partir de la definición legal del </w:t>
            </w:r>
            <w:r w:rsidRPr="00F33CF0">
              <w:rPr>
                <w:rFonts w:ascii="Verdana" w:hAnsi="Verdana" w:cs="Arial"/>
                <w:bCs/>
                <w:lang w:eastAsia="es-ES_tradnl"/>
              </w:rPr>
              <w:t>contrato de servidumbre</w:t>
            </w:r>
            <w:r w:rsidRPr="00F33CF0">
              <w:rPr>
                <w:rFonts w:ascii="Verdana" w:hAnsi="Verdana" w:cs="Arial"/>
                <w:lang w:eastAsia="es-ES_tradnl"/>
              </w:rPr>
              <w:t xml:space="preserve"> y del procedimiento de </w:t>
            </w:r>
            <w:r w:rsidRPr="00F33CF0">
              <w:rPr>
                <w:rFonts w:ascii="Verdana" w:hAnsi="Verdana" w:cs="Arial"/>
                <w:bCs/>
                <w:lang w:eastAsia="es-ES_tradnl"/>
              </w:rPr>
              <w:t>enajenación voluntaria o negociación directa</w:t>
            </w:r>
            <w:r w:rsidRPr="00F33CF0">
              <w:rPr>
                <w:rFonts w:ascii="Verdana" w:hAnsi="Verdana" w:cs="Arial"/>
                <w:lang w:eastAsia="es-ES_tradnl"/>
              </w:rPr>
              <w:t xml:space="preserve"> previsto en el artículo 38 de la Ley 1682 de 2013, desarrollado por el artículo 2 del Decreto 738 de 2012, se enmarca en un régimen especial orientado a facilitar la ejecución de proyectos de infraestructura. En este contexto, se concluye que existe una </w:t>
            </w:r>
            <w:r w:rsidRPr="00F33CF0">
              <w:rPr>
                <w:rFonts w:ascii="Verdana" w:hAnsi="Verdana" w:cs="Arial"/>
                <w:bCs/>
                <w:lang w:eastAsia="es-ES_tradnl"/>
              </w:rPr>
              <w:t xml:space="preserve">limitación a la aplicación del artículo 33 de la Ley 996 de 2005 </w:t>
            </w:r>
            <w:r w:rsidRPr="00F33CF0">
              <w:rPr>
                <w:rFonts w:ascii="Verdana" w:hAnsi="Verdana" w:cs="Arial"/>
                <w:lang w:eastAsia="es-ES_tradnl"/>
              </w:rPr>
              <w:t>respecto de la suscripción del contrato de servidumbre, en la medida en que este sí constituye un contrato bajo un procedimiento directo, esto es, sin pluralidad de oferentes, entre la entidad pública y el particular.</w:t>
            </w:r>
          </w:p>
          <w:p w14:paraId="521E959C" w14:textId="77777777" w:rsidR="00A6584F" w:rsidRPr="00F33CF0" w:rsidRDefault="00A6584F" w:rsidP="00572E42">
            <w:pPr>
              <w:tabs>
                <w:tab w:val="left" w:pos="426"/>
              </w:tabs>
              <w:spacing w:after="120" w:line="276" w:lineRule="auto"/>
              <w:jc w:val="both"/>
              <w:rPr>
                <w:rFonts w:ascii="Verdana" w:eastAsia="Times New Roman" w:hAnsi="Verdana" w:cs="Arial"/>
                <w:lang w:eastAsia="es-ES_tradnl"/>
              </w:rPr>
            </w:pPr>
            <w:r w:rsidRPr="00F33CF0">
              <w:rPr>
                <w:rFonts w:ascii="Verdana" w:eastAsia="Times New Roman" w:hAnsi="Verdana" w:cs="Arial"/>
                <w:lang w:eastAsia="es-ES_tradnl"/>
              </w:rPr>
              <w:tab/>
            </w:r>
            <w:r w:rsidRPr="00F33CF0">
              <w:rPr>
                <w:rFonts w:ascii="Verdana" w:eastAsia="Times New Roman" w:hAnsi="Verdana" w:cs="Arial"/>
                <w:lang w:eastAsia="es-ES_tradnl"/>
              </w:rPr>
              <w:tab/>
              <w:t xml:space="preserve">No obstante, las actuaciones previas e instrumentales al acuerdo definitivo —tales como la elaboración y obtención de avalúos, la formulación de la oferta, el desarrollo de las negociaciones preliminares y, en general, todas aquellas actuaciones administrativas que no comporten por sí mismas la celebración de un contrato— pueden adelantarse válidamente incluso durante el período de restricción electoral. Ello, en tanto estas actuaciones no configuran un supuesto de </w:t>
            </w:r>
            <w:r w:rsidRPr="00F33CF0">
              <w:rPr>
                <w:rFonts w:ascii="Verdana" w:eastAsia="Times New Roman" w:hAnsi="Verdana" w:cs="Arial"/>
                <w:bCs/>
                <w:lang w:eastAsia="es-ES_tradnl"/>
              </w:rPr>
              <w:t>contratación directa en sentido estricto</w:t>
            </w:r>
            <w:r w:rsidRPr="00F33CF0">
              <w:rPr>
                <w:rFonts w:ascii="Verdana" w:eastAsia="Times New Roman" w:hAnsi="Verdana" w:cs="Arial"/>
                <w:lang w:eastAsia="es-ES_tradnl"/>
              </w:rPr>
              <w:t>, sino que corresponden al ejercicio de competencias, necesarias para la eventual constitución de la servidumbre.</w:t>
            </w:r>
          </w:p>
          <w:p w14:paraId="7A5E603A" w14:textId="77777777" w:rsidR="00A6584F" w:rsidRPr="00F33CF0" w:rsidRDefault="00A6584F" w:rsidP="00572E42">
            <w:pPr>
              <w:tabs>
                <w:tab w:val="left" w:pos="426"/>
              </w:tabs>
              <w:spacing w:after="120" w:line="276" w:lineRule="auto"/>
              <w:jc w:val="both"/>
              <w:rPr>
                <w:rFonts w:ascii="Verdana" w:eastAsia="Times New Roman" w:hAnsi="Verdana" w:cs="Arial"/>
                <w:lang w:eastAsia="es-ES_tradnl"/>
              </w:rPr>
            </w:pPr>
            <w:r w:rsidRPr="00F33CF0">
              <w:rPr>
                <w:rFonts w:ascii="Verdana" w:eastAsia="Times New Roman" w:hAnsi="Verdana" w:cs="Arial"/>
                <w:lang w:eastAsia="es-ES_tradnl"/>
              </w:rPr>
              <w:tab/>
            </w:r>
            <w:r w:rsidRPr="00F33CF0">
              <w:rPr>
                <w:rFonts w:ascii="Verdana" w:eastAsia="Times New Roman" w:hAnsi="Verdana" w:cs="Arial"/>
                <w:lang w:eastAsia="es-ES_tradnl"/>
              </w:rPr>
              <w:tab/>
              <w:t>Ahora bien, en el evento de que, con posterioridad a la aceptación de la oferta y antes de la escrituración, se celebren</w:t>
            </w:r>
            <w:r w:rsidRPr="00F33CF0">
              <w:rPr>
                <w:rFonts w:ascii="Verdana" w:eastAsia="Times New Roman" w:hAnsi="Verdana" w:cs="Arial"/>
                <w:bCs/>
                <w:lang w:eastAsia="es-ES_tradnl"/>
              </w:rPr>
              <w:t xml:space="preserve"> cualquier tipo contractual</w:t>
            </w:r>
            <w:r w:rsidRPr="00F33CF0">
              <w:rPr>
                <w:rFonts w:ascii="Verdana" w:eastAsia="Times New Roman" w:hAnsi="Verdana" w:cs="Arial"/>
                <w:lang w:eastAsia="es-ES_tradnl"/>
              </w:rPr>
              <w:t xml:space="preserve">, como podría ser un </w:t>
            </w:r>
            <w:r w:rsidRPr="00F33CF0">
              <w:rPr>
                <w:rFonts w:ascii="Verdana" w:eastAsia="Times New Roman" w:hAnsi="Verdana" w:cs="Arial"/>
                <w:bCs/>
                <w:lang w:eastAsia="es-ES_tradnl"/>
              </w:rPr>
              <w:t>contrato de transacción</w:t>
            </w:r>
            <w:r w:rsidRPr="00F33CF0">
              <w:rPr>
                <w:rFonts w:ascii="Verdana" w:eastAsia="Times New Roman" w:hAnsi="Verdana" w:cs="Arial"/>
                <w:lang w:eastAsia="es-ES_tradnl"/>
              </w:rPr>
              <w:t xml:space="preserve">, debe analizarse cuidadosamente el procedimiento para su aplicación. En estos casos, sí podría configurarse la restricción prevista en el artículo 33 de la Ley 996 de 2005, siempre que se </w:t>
            </w:r>
            <w:r w:rsidRPr="00F33CF0">
              <w:rPr>
                <w:rFonts w:ascii="Verdana" w:eastAsia="Times New Roman" w:hAnsi="Verdana" w:cs="Arial"/>
                <w:lang w:eastAsia="es-ES_tradnl"/>
              </w:rPr>
              <w:lastRenderedPageBreak/>
              <w:t>trate de un contrato suscrito de forma directa. En todo caso, dicha restricción no es aplicable, en cambio, frente a actuaciones administrativas que, aun siendo relevantes dentro del procedimiento, no generan una relación contractual entre la entidad y el particular.</w:t>
            </w:r>
          </w:p>
          <w:p w14:paraId="119E9A1E" w14:textId="77777777" w:rsidR="00A6584F" w:rsidRPr="00F33CF0" w:rsidRDefault="00A6584F" w:rsidP="00572E42">
            <w:pPr>
              <w:spacing w:after="120" w:line="276" w:lineRule="auto"/>
              <w:ind w:firstLine="708"/>
              <w:jc w:val="both"/>
              <w:rPr>
                <w:rFonts w:ascii="Verdana" w:eastAsia="Times New Roman" w:hAnsi="Verdana" w:cs="Arial"/>
                <w:bCs/>
                <w:lang w:val="es-MX" w:eastAsia="x-none"/>
              </w:rPr>
            </w:pPr>
            <w:r w:rsidRPr="00F33CF0">
              <w:rPr>
                <w:rFonts w:ascii="Verdana" w:eastAsia="Times New Roman" w:hAnsi="Verdana" w:cs="Arial"/>
                <w:bCs/>
                <w:lang w:val="es-MX" w:eastAsia="x-none"/>
              </w:rPr>
              <w:t>Esto, sin perjuicio de las excepciones a esta prohibición, contenidas en el inciso segundo del precitado artículo</w:t>
            </w:r>
            <w:r>
              <w:rPr>
                <w:rFonts w:ascii="Verdana" w:eastAsia="Times New Roman" w:hAnsi="Verdana" w:cs="Arial"/>
                <w:bCs/>
                <w:lang w:val="es-MX" w:eastAsia="x-none"/>
              </w:rPr>
              <w:t xml:space="preserve"> 33</w:t>
            </w:r>
            <w:r w:rsidRPr="00F33CF0">
              <w:rPr>
                <w:rFonts w:ascii="Verdana" w:eastAsia="Times New Roman" w:hAnsi="Verdana" w:cs="Arial"/>
                <w:bCs/>
                <w:lang w:val="es-MX" w:eastAsia="x-none"/>
              </w:rPr>
              <w:t xml:space="preserve">: i) los contratos relacionados con la defensa y seguridad del Estado, analizados en el Concepto 322 de 2026; </w:t>
            </w:r>
            <w:proofErr w:type="spellStart"/>
            <w:r w:rsidRPr="00F33CF0">
              <w:rPr>
                <w:rFonts w:ascii="Verdana" w:eastAsia="Times New Roman" w:hAnsi="Verdana" w:cs="Arial"/>
                <w:bCs/>
                <w:lang w:val="es-MX" w:eastAsia="x-none"/>
              </w:rPr>
              <w:t>ii</w:t>
            </w:r>
            <w:proofErr w:type="spellEnd"/>
            <w:r w:rsidRPr="00F33CF0">
              <w:rPr>
                <w:rFonts w:ascii="Verdana" w:eastAsia="Times New Roman" w:hAnsi="Verdana" w:cs="Arial"/>
                <w:bCs/>
                <w:lang w:val="es-MX" w:eastAsia="x-none"/>
              </w:rPr>
              <w:t xml:space="preserve">) los contratos de crédito público, abordados en el Concepto CU-372 de 2026; </w:t>
            </w:r>
            <w:proofErr w:type="spellStart"/>
            <w:r w:rsidRPr="00F33CF0">
              <w:rPr>
                <w:rFonts w:ascii="Verdana" w:eastAsia="Times New Roman" w:hAnsi="Verdana" w:cs="Arial"/>
                <w:bCs/>
                <w:lang w:val="es-MX" w:eastAsia="x-none"/>
              </w:rPr>
              <w:t>iii</w:t>
            </w:r>
            <w:proofErr w:type="spellEnd"/>
            <w:r w:rsidRPr="00F33CF0">
              <w:rPr>
                <w:rFonts w:ascii="Verdana" w:eastAsia="Times New Roman" w:hAnsi="Verdana" w:cs="Arial"/>
                <w:bCs/>
                <w:lang w:val="es-MX" w:eastAsia="x-none"/>
              </w:rPr>
              <w:t>) los contratos necesarios para atender emergencias educativas, sanitarias o desastres, tratados en los Conceptos C</w:t>
            </w:r>
            <w:r w:rsidRPr="00F33CF0">
              <w:rPr>
                <w:rFonts w:ascii="Cambria Math" w:eastAsia="Times New Roman" w:hAnsi="Cambria Math" w:cs="Cambria Math"/>
                <w:bCs/>
                <w:lang w:val="es-MX" w:eastAsia="x-none"/>
              </w:rPr>
              <w:t>‑</w:t>
            </w:r>
            <w:r w:rsidRPr="00F33CF0">
              <w:rPr>
                <w:rFonts w:ascii="Verdana" w:eastAsia="Times New Roman" w:hAnsi="Verdana" w:cs="Arial"/>
                <w:bCs/>
                <w:lang w:val="es-MX" w:eastAsia="x-none"/>
              </w:rPr>
              <w:t>118 de 2026 y C</w:t>
            </w:r>
            <w:r w:rsidRPr="00F33CF0">
              <w:rPr>
                <w:rFonts w:ascii="Cambria Math" w:eastAsia="Times New Roman" w:hAnsi="Cambria Math" w:cs="Cambria Math"/>
                <w:bCs/>
                <w:lang w:val="es-MX" w:eastAsia="x-none"/>
              </w:rPr>
              <w:t>‑</w:t>
            </w:r>
            <w:r w:rsidRPr="00F33CF0">
              <w:rPr>
                <w:rFonts w:ascii="Verdana" w:eastAsia="Times New Roman" w:hAnsi="Verdana" w:cs="Arial"/>
                <w:bCs/>
                <w:lang w:val="es-MX" w:eastAsia="x-none"/>
              </w:rPr>
              <w:t xml:space="preserve">176 de 2026, que tratan en este caso de la urgencia manifiesta; </w:t>
            </w:r>
            <w:proofErr w:type="spellStart"/>
            <w:r w:rsidRPr="00F33CF0">
              <w:rPr>
                <w:rFonts w:ascii="Verdana" w:eastAsia="Times New Roman" w:hAnsi="Verdana" w:cs="Arial"/>
                <w:bCs/>
                <w:lang w:val="es-MX" w:eastAsia="x-none"/>
              </w:rPr>
              <w:t>iv</w:t>
            </w:r>
            <w:proofErr w:type="spellEnd"/>
            <w:r w:rsidRPr="00F33CF0">
              <w:rPr>
                <w:rFonts w:ascii="Verdana" w:eastAsia="Times New Roman" w:hAnsi="Verdana" w:cs="Arial"/>
                <w:bCs/>
                <w:lang w:val="es-MX" w:eastAsia="x-none"/>
              </w:rPr>
              <w:t>) los contratos destinados a la reconstrucción de infraestructura vial, energética y de comunicaciones afectada por atentados, acciones terroristas, desastres naturales o fuerza mayor, igualmente estudiados en los Conceptos C</w:t>
            </w:r>
            <w:r w:rsidRPr="00F33CF0">
              <w:rPr>
                <w:rFonts w:ascii="Cambria Math" w:eastAsia="Times New Roman" w:hAnsi="Cambria Math" w:cs="Cambria Math"/>
                <w:bCs/>
                <w:lang w:val="es-MX" w:eastAsia="x-none"/>
              </w:rPr>
              <w:t>‑</w:t>
            </w:r>
            <w:r w:rsidRPr="00F33CF0">
              <w:rPr>
                <w:rFonts w:ascii="Verdana" w:eastAsia="Times New Roman" w:hAnsi="Verdana" w:cs="Arial"/>
                <w:bCs/>
                <w:lang w:val="es-MX" w:eastAsia="x-none"/>
              </w:rPr>
              <w:t>118 de 2026 y C</w:t>
            </w:r>
            <w:r w:rsidRPr="00F33CF0">
              <w:rPr>
                <w:rFonts w:ascii="Cambria Math" w:eastAsia="Times New Roman" w:hAnsi="Cambria Math" w:cs="Cambria Math"/>
                <w:bCs/>
                <w:lang w:val="es-MX" w:eastAsia="x-none"/>
              </w:rPr>
              <w:t>‑</w:t>
            </w:r>
            <w:r w:rsidRPr="00F33CF0">
              <w:rPr>
                <w:rFonts w:ascii="Verdana" w:eastAsia="Times New Roman" w:hAnsi="Verdana" w:cs="Arial"/>
                <w:bCs/>
                <w:lang w:val="es-MX" w:eastAsia="x-none"/>
              </w:rPr>
              <w:t>176 de 2026, entre otros; y v) la contratación directa celebrada por entidades sanitarias y hospitalarias, objeto de análisis en los Conceptos C</w:t>
            </w:r>
            <w:r w:rsidRPr="00F33CF0">
              <w:rPr>
                <w:rFonts w:ascii="Cambria Math" w:eastAsia="Times New Roman" w:hAnsi="Cambria Math" w:cs="Cambria Math"/>
                <w:bCs/>
                <w:lang w:val="es-MX" w:eastAsia="x-none"/>
              </w:rPr>
              <w:t>‑</w:t>
            </w:r>
            <w:r w:rsidRPr="00F33CF0">
              <w:rPr>
                <w:rFonts w:ascii="Verdana" w:eastAsia="Times New Roman" w:hAnsi="Verdana" w:cs="Arial"/>
                <w:bCs/>
                <w:lang w:val="es-MX" w:eastAsia="x-none"/>
              </w:rPr>
              <w:t>1124 de 2026, C</w:t>
            </w:r>
            <w:r w:rsidRPr="00F33CF0">
              <w:rPr>
                <w:rFonts w:ascii="Cambria Math" w:eastAsia="Times New Roman" w:hAnsi="Cambria Math" w:cs="Cambria Math"/>
                <w:bCs/>
                <w:lang w:val="es-MX" w:eastAsia="x-none"/>
              </w:rPr>
              <w:t>‑</w:t>
            </w:r>
            <w:r w:rsidRPr="00F33CF0">
              <w:rPr>
                <w:rFonts w:ascii="Verdana" w:eastAsia="Times New Roman" w:hAnsi="Verdana" w:cs="Arial"/>
                <w:bCs/>
                <w:lang w:val="es-MX" w:eastAsia="x-none"/>
              </w:rPr>
              <w:t>1406 de 2026 y C</w:t>
            </w:r>
            <w:r w:rsidRPr="00F33CF0">
              <w:rPr>
                <w:rFonts w:ascii="Cambria Math" w:eastAsia="Times New Roman" w:hAnsi="Cambria Math" w:cs="Cambria Math"/>
                <w:bCs/>
                <w:lang w:val="es-MX" w:eastAsia="x-none"/>
              </w:rPr>
              <w:t>‑</w:t>
            </w:r>
            <w:r w:rsidRPr="00F33CF0">
              <w:rPr>
                <w:rFonts w:ascii="Verdana" w:eastAsia="Times New Roman" w:hAnsi="Verdana" w:cs="Arial"/>
                <w:bCs/>
                <w:lang w:val="es-MX" w:eastAsia="x-none"/>
              </w:rPr>
              <w:t xml:space="preserve">1703 de 2026. </w:t>
            </w:r>
            <w:r w:rsidRPr="00F33CF0">
              <w:rPr>
                <w:rFonts w:ascii="Verdana" w:eastAsia="Times New Roman" w:hAnsi="Verdana" w:cs="Arial"/>
                <w:bCs/>
                <w:lang w:val="es-MX" w:eastAsia="es-CO"/>
              </w:rPr>
              <w:t xml:space="preserve">Es responsabilidad del respectivo ente del Estado, examinar en cada caso la naturaleza de las actividades que adelanta y determinar si las mismas se enmarcan en alguna de las mencionadas excepciones, de manera que se le permita realizar la celebración de contratos o acuerdos para la constitución de la servidumbre. </w:t>
            </w:r>
          </w:p>
          <w:p w14:paraId="0C8B2CEB" w14:textId="77777777" w:rsidR="00A6584F" w:rsidRPr="008377DE" w:rsidRDefault="00A6584F" w:rsidP="00572E42">
            <w:pPr>
              <w:spacing w:line="276" w:lineRule="auto"/>
              <w:ind w:firstLine="709"/>
              <w:jc w:val="both"/>
              <w:rPr>
                <w:rFonts w:ascii="Verdana" w:eastAsia="Times New Roman" w:hAnsi="Verdana" w:cs="Arial"/>
                <w:bCs/>
                <w:lang w:val="es-MX" w:eastAsia="es-CO"/>
              </w:rPr>
            </w:pPr>
            <w:r w:rsidRPr="00F33CF0">
              <w:rPr>
                <w:rFonts w:ascii="Verdana" w:eastAsia="Times New Roman" w:hAnsi="Verdana" w:cs="Arial"/>
                <w:bCs/>
                <w:lang w:eastAsia="x-none"/>
              </w:rPr>
              <w:t>Por último</w:t>
            </w:r>
            <w:r w:rsidRPr="00F33CF0">
              <w:rPr>
                <w:rFonts w:ascii="Verdana" w:eastAsia="Times New Roman" w:hAnsi="Verdana" w:cs="Arial"/>
                <w:bCs/>
                <w:lang w:val="es-MX" w:eastAsia="x-none"/>
              </w:rPr>
              <w:t xml:space="preserve">, se reitera, </w:t>
            </w:r>
            <w:r w:rsidRPr="00F33CF0">
              <w:rPr>
                <w:rFonts w:ascii="Verdana" w:eastAsia="Times New Roman" w:hAnsi="Verdana" w:cs="Arial"/>
                <w:bCs/>
                <w:lang w:val="es-MX" w:eastAsia="es-CO"/>
              </w:rPr>
              <w:t xml:space="preserve">que las prórrogas, modificaciones o adiciones de los contratos suscritos antes de la entrada en vigor de las prohibiciones anotadas, en especial del artículo 33 de la Ley 996 de 2005, así como la cesión de </w:t>
            </w:r>
            <w:proofErr w:type="gramStart"/>
            <w:r w:rsidRPr="00F33CF0">
              <w:rPr>
                <w:rFonts w:ascii="Verdana" w:eastAsia="Times New Roman" w:hAnsi="Verdana" w:cs="Arial"/>
                <w:bCs/>
                <w:lang w:val="es-MX" w:eastAsia="es-CO"/>
              </w:rPr>
              <w:t>los mismos</w:t>
            </w:r>
            <w:proofErr w:type="gramEnd"/>
            <w:r w:rsidRPr="00F33CF0">
              <w:rPr>
                <w:rFonts w:ascii="Verdana" w:eastAsia="Times New Roman" w:hAnsi="Verdana" w:cs="Arial"/>
                <w:bCs/>
                <w:lang w:val="es-MX" w:eastAsia="es-CO"/>
              </w:rPr>
              <w:t>, pueden tener lugar en el período de aplicación de la Ley de Garantías, sin que ello haga nugatoria la restricción de la contratación directa y siempre que cumplan los principios de planeación, transparencia y responsabilidad. Además, también es posible que contratos celebrados previamente se continúen ejecutando con normalidad.</w:t>
            </w:r>
          </w:p>
        </w:tc>
      </w:tr>
    </w:tbl>
    <w:p w14:paraId="07EA23CA" w14:textId="77777777" w:rsidR="00A6584F" w:rsidRPr="00593A5F" w:rsidRDefault="00A6584F" w:rsidP="00A6584F">
      <w:pPr>
        <w:tabs>
          <w:tab w:val="left" w:pos="142"/>
          <w:tab w:val="left" w:pos="284"/>
        </w:tabs>
        <w:spacing w:after="0" w:line="240" w:lineRule="auto"/>
        <w:jc w:val="both"/>
        <w:rPr>
          <w:rFonts w:ascii="Verdana" w:eastAsia="Century Gothic" w:hAnsi="Verdana" w:cs="Century Gothic"/>
          <w:b/>
          <w:bCs/>
          <w:lang w:val="es-ES"/>
        </w:rPr>
      </w:pPr>
    </w:p>
    <w:bookmarkEnd w:id="1"/>
    <w:p w14:paraId="3C6BA897" w14:textId="77777777" w:rsidR="00A6584F" w:rsidRPr="00593A5F" w:rsidRDefault="00A6584F" w:rsidP="00A6584F">
      <w:pPr>
        <w:pStyle w:val="Prrafodelista"/>
        <w:numPr>
          <w:ilvl w:val="0"/>
          <w:numId w:val="16"/>
        </w:numPr>
        <w:tabs>
          <w:tab w:val="left" w:pos="142"/>
          <w:tab w:val="left" w:pos="284"/>
        </w:tabs>
        <w:spacing w:after="0" w:line="240"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w:t>
      </w:r>
      <w:r>
        <w:rPr>
          <w:rFonts w:ascii="Verdana" w:eastAsia="Century Gothic" w:hAnsi="Verdana" w:cs="Century Gothic"/>
          <w:b/>
          <w:bCs/>
        </w:rPr>
        <w:t>s</w:t>
      </w:r>
      <w:r w:rsidRPr="00593A5F">
        <w:rPr>
          <w:rFonts w:ascii="Verdana" w:eastAsia="Century Gothic" w:hAnsi="Verdana" w:cs="Century Gothic"/>
          <w:b/>
          <w:bCs/>
        </w:rPr>
        <w:t xml:space="preserve"> respuesta</w:t>
      </w:r>
      <w:r>
        <w:rPr>
          <w:rFonts w:ascii="Verdana" w:eastAsia="Century Gothic" w:hAnsi="Verdana" w:cs="Century Gothic"/>
          <w:b/>
          <w:bCs/>
        </w:rPr>
        <w:t>s</w:t>
      </w:r>
      <w:r w:rsidRPr="00593A5F">
        <w:rPr>
          <w:rFonts w:ascii="Verdana" w:eastAsia="Century Gothic" w:hAnsi="Verdana" w:cs="Century Gothic"/>
          <w:b/>
          <w:bCs/>
        </w:rPr>
        <w:t>:</w:t>
      </w:r>
    </w:p>
    <w:p w14:paraId="092F8924" w14:textId="77777777" w:rsidR="00A6584F" w:rsidRPr="00593A5F" w:rsidRDefault="00A6584F" w:rsidP="00A6584F">
      <w:pPr>
        <w:spacing w:after="0" w:line="240" w:lineRule="auto"/>
        <w:jc w:val="both"/>
        <w:rPr>
          <w:rFonts w:ascii="Verdana" w:eastAsia="Calibri" w:hAnsi="Verdana" w:cs="Arial"/>
          <w:color w:val="7030A0"/>
          <w:lang w:val="es-ES"/>
        </w:rPr>
      </w:pPr>
    </w:p>
    <w:p w14:paraId="7FACED36" w14:textId="77777777" w:rsidR="00A6584F" w:rsidRDefault="00A6584F" w:rsidP="00A6584F">
      <w:pPr>
        <w:spacing w:after="0" w:line="240" w:lineRule="auto"/>
        <w:jc w:val="both"/>
        <w:rPr>
          <w:rFonts w:ascii="Verdana" w:eastAsia="Calibri" w:hAnsi="Verdana" w:cs="Arial"/>
          <w:lang w:val="es-ES"/>
        </w:rPr>
      </w:pPr>
      <w:r w:rsidRPr="00B96799">
        <w:rPr>
          <w:rFonts w:ascii="Verdana" w:eastAsia="Calibri" w:hAnsi="Verdana" w:cs="Arial"/>
          <w:lang w:val="es-ES"/>
        </w:rPr>
        <w:t>Lo anterior se sustenta en las siguientes consideraciones:</w:t>
      </w:r>
    </w:p>
    <w:p w14:paraId="2815273B" w14:textId="77777777" w:rsidR="00A6584F" w:rsidRDefault="00A6584F" w:rsidP="00A6584F">
      <w:pPr>
        <w:spacing w:after="0" w:line="240" w:lineRule="auto"/>
        <w:jc w:val="both"/>
        <w:rPr>
          <w:rFonts w:ascii="Verdana" w:eastAsia="Calibri" w:hAnsi="Verdana" w:cs="Arial"/>
          <w:lang w:val="es-ES"/>
        </w:rPr>
      </w:pPr>
    </w:p>
    <w:p w14:paraId="4E8ECA97" w14:textId="77777777" w:rsidR="00A6584F" w:rsidRPr="002D6B43" w:rsidRDefault="00A6584F" w:rsidP="00A6584F">
      <w:pPr>
        <w:tabs>
          <w:tab w:val="left" w:pos="426"/>
        </w:tabs>
        <w:spacing w:after="120" w:line="276" w:lineRule="auto"/>
        <w:jc w:val="both"/>
        <w:rPr>
          <w:rFonts w:ascii="Verdana" w:eastAsia="Times New Roman" w:hAnsi="Verdana" w:cs="Arial"/>
          <w:lang w:eastAsia="es-CO"/>
        </w:rPr>
      </w:pPr>
      <w:r w:rsidRPr="002D6B43">
        <w:rPr>
          <w:rFonts w:ascii="Verdana" w:eastAsia="Calibri" w:hAnsi="Verdana" w:cs="Arial"/>
        </w:rPr>
        <w:t xml:space="preserve">i. El ordenamiento jurídico colombiano contempla previsiones claras para evitar la obtención de beneficios personales en asuntos propios de la administración </w:t>
      </w:r>
      <w:r w:rsidRPr="002D6B43">
        <w:rPr>
          <w:rFonts w:ascii="Verdana" w:eastAsia="Calibri" w:hAnsi="Verdana" w:cs="Arial"/>
        </w:rPr>
        <w:lastRenderedPageBreak/>
        <w:t>pública</w:t>
      </w:r>
      <w:r w:rsidRPr="002D6B43">
        <w:rPr>
          <w:rFonts w:ascii="Verdana" w:eastAsia="Calibri" w:hAnsi="Verdana" w:cs="Arial"/>
          <w:i/>
        </w:rPr>
        <w:t xml:space="preserve">. </w:t>
      </w:r>
      <w:r w:rsidRPr="002D6B43">
        <w:rPr>
          <w:rFonts w:ascii="Verdana" w:eastAsia="Calibri" w:hAnsi="Verdana" w:cs="Arial"/>
        </w:rPr>
        <w:t>Por ejemplo, el artículo 127 de la Constitución Política establece una prohibición contractual a los servidores públicos y, en cuanto a aspectos políticos, establece restricciones a ciertos empleados del Estado, incluso en época no electoral</w:t>
      </w:r>
      <w:r w:rsidRPr="001924B7">
        <w:rPr>
          <w:rFonts w:ascii="Verdana" w:hAnsi="Verdana"/>
          <w:vertAlign w:val="superscript"/>
        </w:rPr>
        <w:footnoteReference w:id="2"/>
      </w:r>
      <w:r w:rsidRPr="002D6B43">
        <w:rPr>
          <w:rFonts w:ascii="Verdana" w:eastAsia="Calibri" w:hAnsi="Verdana" w:cs="Arial"/>
        </w:rPr>
        <w:t xml:space="preserve">. </w:t>
      </w:r>
    </w:p>
    <w:p w14:paraId="56FED99F" w14:textId="77777777" w:rsidR="00A6584F" w:rsidRDefault="00A6584F" w:rsidP="00A6584F">
      <w:pPr>
        <w:tabs>
          <w:tab w:val="left" w:pos="426"/>
        </w:tabs>
        <w:spacing w:after="120" w:line="276" w:lineRule="auto"/>
        <w:ind w:firstLine="709"/>
        <w:jc w:val="both"/>
        <w:rPr>
          <w:rFonts w:ascii="Verdana" w:eastAsia="Calibri" w:hAnsi="Verdana" w:cs="Arial"/>
          <w:lang w:val="es-ES_tradnl"/>
        </w:rPr>
      </w:pPr>
      <w:r w:rsidRPr="00E2397D">
        <w:rPr>
          <w:rFonts w:ascii="Verdana" w:eastAsia="Times New Roman" w:hAnsi="Verdana" w:cs="Arial"/>
          <w:lang w:eastAsia="es-CO"/>
        </w:rPr>
        <w:t>En el mismo sentido</w:t>
      </w:r>
      <w:r w:rsidRPr="00E2397D">
        <w:rPr>
          <w:rFonts w:ascii="Verdana" w:eastAsia="Times New Roman" w:hAnsi="Verdana" w:cs="Arial"/>
          <w:lang w:val="es-MX" w:eastAsia="es-CO"/>
        </w:rPr>
        <w:t xml:space="preserve">, </w:t>
      </w:r>
      <w:bookmarkStart w:id="2" w:name="_Hlk99576829"/>
      <w:r w:rsidRPr="00E2397D">
        <w:rPr>
          <w:rFonts w:ascii="Verdana" w:eastAsia="Times New Roman" w:hAnsi="Verdana" w:cs="Arial"/>
          <w:lang w:val="es-MX" w:eastAsia="es-CO"/>
        </w:rPr>
        <w:t>la Ley 996 de 2005, conocida como “Ley de Garantías Electorales”,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w:t>
      </w:r>
      <w:r w:rsidRPr="00E2397D">
        <w:rPr>
          <w:rFonts w:ascii="Verdana" w:eastAsia="Times New Roman" w:hAnsi="Verdana" w:cs="Arial"/>
          <w:vertAlign w:val="superscript"/>
          <w:lang w:val="es-MX" w:eastAsia="es-CO"/>
        </w:rPr>
        <w:footnoteReference w:id="3"/>
      </w:r>
      <w:r w:rsidRPr="00E2397D">
        <w:rPr>
          <w:rFonts w:ascii="Verdana" w:eastAsia="Times New Roman" w:hAnsi="Verdana" w:cs="Arial"/>
          <w:lang w:val="es-MX" w:eastAsia="es-CO"/>
        </w:rPr>
        <w:t>. En esta medida, introduce limitaciones para realizar nombramientos, postulaciones, contrataciones o cualquier otro tipo de actividad que implique destinación de recursos públicos bajo el devenir propio de las Entidades Estatales.</w:t>
      </w:r>
      <w:r w:rsidRPr="00E2397D">
        <w:rPr>
          <w:rFonts w:ascii="Verdana" w:eastAsia="Calibri" w:hAnsi="Verdana" w:cs="Arial"/>
          <w:lang w:val="es-ES_tradnl"/>
        </w:rPr>
        <w:t xml:space="preserve"> </w:t>
      </w:r>
      <w:bookmarkEnd w:id="2"/>
    </w:p>
    <w:p w14:paraId="09EF8FA4" w14:textId="77777777" w:rsidR="00A6584F" w:rsidRPr="006B14B5" w:rsidRDefault="00A6584F" w:rsidP="00A6584F">
      <w:pPr>
        <w:tabs>
          <w:tab w:val="left" w:pos="426"/>
        </w:tabs>
        <w:spacing w:after="0" w:line="276" w:lineRule="auto"/>
        <w:ind w:firstLine="709"/>
        <w:jc w:val="both"/>
        <w:rPr>
          <w:rFonts w:ascii="Verdana" w:eastAsia="Calibri" w:hAnsi="Verdana" w:cs="Arial"/>
          <w:lang w:val="es-ES_tradnl"/>
        </w:rPr>
      </w:pPr>
      <w:r w:rsidRPr="00E2397D">
        <w:rPr>
          <w:rFonts w:ascii="Verdana" w:eastAsia="Times New Roman" w:hAnsi="Verdana" w:cs="Arial"/>
          <w:lang w:val="es-MX" w:eastAsia="es-CO"/>
        </w:rPr>
        <w:t>En armonía con lo anterior, la Corte Constitucional ha abordado la definición de la Ley de Garantías Electorales. De esta manera, explica que tiene como propósito:</w:t>
      </w:r>
    </w:p>
    <w:p w14:paraId="4666491D" w14:textId="77777777" w:rsidR="00A6584F" w:rsidRPr="00E2397D" w:rsidRDefault="00A6584F" w:rsidP="00A6584F">
      <w:pPr>
        <w:spacing w:after="0" w:line="276" w:lineRule="auto"/>
        <w:ind w:right="709"/>
        <w:contextualSpacing/>
        <w:jc w:val="both"/>
        <w:rPr>
          <w:rFonts w:ascii="Verdana" w:eastAsia="Times New Roman" w:hAnsi="Verdana" w:cs="Arial"/>
          <w:lang w:val="es-ES" w:eastAsia="es-CO"/>
        </w:rPr>
      </w:pPr>
    </w:p>
    <w:p w14:paraId="5D0FC2C3" w14:textId="77777777" w:rsidR="00A6584F" w:rsidRPr="00E2397D" w:rsidRDefault="00A6584F" w:rsidP="00A6584F">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ES" w:eastAsia="es-CO"/>
        </w:rPr>
        <w:t xml:space="preserve">“[…] </w:t>
      </w:r>
      <w:r w:rsidRPr="00E2397D">
        <w:rPr>
          <w:rFonts w:ascii="Verdana" w:eastAsia="Times New Roman" w:hAnsi="Verdana" w:cs="Arial"/>
          <w:sz w:val="20"/>
          <w:szCs w:val="20"/>
          <w:lang w:val="es-MX" w:eastAsia="es-CO"/>
        </w:rPr>
        <w:t>la definición de reglas claras que permitan acceder a los canales de expresión democrática de manera efectiva e igualitaria. El objetivo de una ley de garantías es definir esas reglas.</w:t>
      </w:r>
    </w:p>
    <w:p w14:paraId="40AF9BE4" w14:textId="77777777" w:rsidR="00A6584F" w:rsidRDefault="00A6584F" w:rsidP="00A6584F">
      <w:pPr>
        <w:spacing w:after="0" w:line="240" w:lineRule="auto"/>
        <w:ind w:left="709" w:right="709"/>
        <w:contextualSpacing/>
        <w:jc w:val="both"/>
        <w:rPr>
          <w:rFonts w:ascii="Verdana" w:eastAsia="Times New Roman" w:hAnsi="Verdana" w:cs="Arial"/>
          <w:sz w:val="20"/>
          <w:szCs w:val="20"/>
          <w:lang w:val="es-MX" w:eastAsia="es-CO"/>
        </w:rPr>
      </w:pPr>
      <w:r>
        <w:rPr>
          <w:rFonts w:ascii="Verdana" w:eastAsia="Times New Roman" w:hAnsi="Verdana" w:cs="Arial"/>
          <w:sz w:val="20"/>
          <w:szCs w:val="20"/>
          <w:lang w:val="es-MX" w:eastAsia="es-CO"/>
        </w:rPr>
        <w:t xml:space="preserve">[…] </w:t>
      </w:r>
    </w:p>
    <w:p w14:paraId="2BFC46A2" w14:textId="77777777" w:rsidR="00A6584F" w:rsidRPr="000B35C5" w:rsidRDefault="00A6584F" w:rsidP="00A6584F">
      <w:pPr>
        <w:spacing w:after="0" w:line="240" w:lineRule="auto"/>
        <w:ind w:left="709" w:right="709"/>
        <w:contextualSpacing/>
        <w:jc w:val="both"/>
        <w:rPr>
          <w:rFonts w:ascii="Verdana" w:eastAsia="Times New Roman" w:hAnsi="Verdana" w:cs="Arial"/>
          <w:sz w:val="12"/>
          <w:szCs w:val="12"/>
          <w:lang w:val="es-MX" w:eastAsia="es-CO"/>
        </w:rPr>
      </w:pPr>
    </w:p>
    <w:p w14:paraId="082E6F4D" w14:textId="77777777" w:rsidR="00A6584F" w:rsidRPr="00E2397D" w:rsidRDefault="00A6584F" w:rsidP="00A6584F">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MX" w:eastAsia="es-CO"/>
        </w:rPr>
        <w:t xml:space="preserve">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w:t>
      </w:r>
      <w:r w:rsidRPr="00E2397D">
        <w:rPr>
          <w:rFonts w:ascii="Verdana" w:eastAsia="Times New Roman" w:hAnsi="Verdana" w:cs="Arial"/>
          <w:sz w:val="20"/>
          <w:szCs w:val="20"/>
          <w:lang w:val="es-MX" w:eastAsia="es-CO"/>
        </w:rPr>
        <w:lastRenderedPageBreak/>
        <w:t>las ideas y las propuestas las que definan el ascenso al poder, y no el músculo económico de los que se lo disputan”.</w:t>
      </w:r>
      <w:r w:rsidRPr="00E2397D">
        <w:rPr>
          <w:rFonts w:ascii="Verdana" w:eastAsia="Calibri" w:hAnsi="Verdana" w:cs="Arial"/>
          <w:sz w:val="20"/>
          <w:szCs w:val="20"/>
          <w:vertAlign w:val="superscript"/>
          <w:lang w:val="es-MX"/>
        </w:rPr>
        <w:footnoteReference w:id="4"/>
      </w:r>
    </w:p>
    <w:p w14:paraId="78708428" w14:textId="77777777" w:rsidR="00A6584F" w:rsidRPr="00E2397D" w:rsidRDefault="00A6584F" w:rsidP="00A6584F">
      <w:pPr>
        <w:spacing w:after="0" w:line="276" w:lineRule="auto"/>
        <w:ind w:firstLine="709"/>
        <w:jc w:val="both"/>
        <w:rPr>
          <w:rFonts w:ascii="Verdana" w:eastAsia="Times New Roman" w:hAnsi="Verdana" w:cs="Arial"/>
          <w:lang w:val="es-MX" w:eastAsia="es-CO"/>
        </w:rPr>
      </w:pPr>
      <w:bookmarkStart w:id="3" w:name="_Hlk78818186"/>
    </w:p>
    <w:p w14:paraId="0F8AF2A9" w14:textId="77777777" w:rsidR="00A6584F" w:rsidRPr="00E2397D" w:rsidRDefault="00A6584F" w:rsidP="00A6584F">
      <w:pPr>
        <w:spacing w:after="0" w:line="276" w:lineRule="auto"/>
        <w:ind w:firstLine="709"/>
        <w:jc w:val="both"/>
        <w:rPr>
          <w:rFonts w:ascii="Verdana" w:eastAsia="Times New Roman" w:hAnsi="Verdana" w:cs="Arial"/>
          <w:lang w:val="es-MX" w:eastAsia="es-CO"/>
        </w:rPr>
      </w:pPr>
      <w:r w:rsidRPr="00E2397D">
        <w:rPr>
          <w:rFonts w:ascii="Verdana" w:eastAsia="Times New Roman" w:hAnsi="Verdana" w:cs="Arial"/>
          <w:lang w:val="es-MX" w:eastAsia="es-CO"/>
        </w:rPr>
        <w:t>En este contexto, la Ley de Garantías Electorales establece el marco jurídico para el desarrollo de las elecciones, procurando condiciones de igualdad y transparencia para los aspirantes. Paralelamente,</w:t>
      </w:r>
      <w:r>
        <w:rPr>
          <w:rFonts w:ascii="Verdana" w:eastAsia="Times New Roman" w:hAnsi="Verdana" w:cs="Arial"/>
          <w:lang w:val="es-MX" w:eastAsia="es-CO"/>
        </w:rPr>
        <w:t xml:space="preserve"> se incluyen restricciones en las actuaciones</w:t>
      </w:r>
      <w:r w:rsidRPr="00E2397D">
        <w:rPr>
          <w:rFonts w:ascii="Verdana" w:eastAsia="Times New Roman" w:hAnsi="Verdana" w:cs="Arial"/>
          <w:lang w:val="es-MX" w:eastAsia="es-CO"/>
        </w:rPr>
        <w:t xml:space="preserve"> de los servidores públicos, evitando interferencias en la contienda electoral, así como la posible desviación de recursos públicos en aspiraciones electorales. </w:t>
      </w:r>
      <w:bookmarkEnd w:id="3"/>
      <w:r w:rsidRPr="00E2397D">
        <w:rPr>
          <w:rFonts w:ascii="Verdana" w:eastAsia="Times New Roman" w:hAnsi="Verdana" w:cs="Arial"/>
          <w:lang w:val="es-MX" w:eastAsia="es-CO"/>
        </w:rPr>
        <w:t>Por ello, varias de las disposiciones de la Ley 996 de 2005, al contener normas prohibitivas, no admiten una interpretación amplia, sino que deben interpretarse restrictivamente. En efecto, la Sala de Consulta y Servicio Civil del Consejo de Estado, pre</w:t>
      </w:r>
      <w:r>
        <w:rPr>
          <w:rFonts w:ascii="Verdana" w:eastAsia="Times New Roman" w:hAnsi="Verdana" w:cs="Arial"/>
          <w:lang w:val="es-MX" w:eastAsia="es-CO"/>
        </w:rPr>
        <w:t>cisó</w:t>
      </w:r>
      <w:r w:rsidRPr="00E2397D">
        <w:rPr>
          <w:rFonts w:ascii="Verdana" w:eastAsia="Times New Roman" w:hAnsi="Verdana" w:cs="Arial"/>
          <w:lang w:val="es-MX" w:eastAsia="es-CO"/>
        </w:rPr>
        <w:t>:</w:t>
      </w:r>
    </w:p>
    <w:p w14:paraId="608C083F" w14:textId="77777777" w:rsidR="00A6584F" w:rsidRPr="00886C02" w:rsidRDefault="00A6584F" w:rsidP="00A6584F">
      <w:pPr>
        <w:spacing w:after="0" w:line="276" w:lineRule="auto"/>
        <w:ind w:firstLine="709"/>
        <w:jc w:val="both"/>
        <w:rPr>
          <w:rFonts w:ascii="Verdana" w:eastAsia="Times New Roman" w:hAnsi="Verdana" w:cs="Arial"/>
          <w:lang w:val="es-MX" w:eastAsia="es-CO"/>
        </w:rPr>
      </w:pPr>
    </w:p>
    <w:p w14:paraId="77254455" w14:textId="77777777" w:rsidR="00A6584F" w:rsidRPr="00E2397D" w:rsidRDefault="00A6584F" w:rsidP="00A6584F">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MX" w:eastAsia="es-CO"/>
        </w:rPr>
        <w:t xml:space="preserve">“No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w:t>
      </w:r>
      <w:proofErr w:type="spellStart"/>
      <w:r w:rsidRPr="00E2397D">
        <w:rPr>
          <w:rFonts w:ascii="Verdana" w:eastAsia="Times New Roman" w:hAnsi="Verdana" w:cs="Arial"/>
          <w:sz w:val="20"/>
          <w:szCs w:val="20"/>
          <w:lang w:val="es-MX" w:eastAsia="es-CO"/>
        </w:rPr>
        <w:t>legis</w:t>
      </w:r>
      <w:proofErr w:type="spellEnd"/>
      <w:r w:rsidRPr="00E2397D">
        <w:rPr>
          <w:rFonts w:ascii="Verdana" w:eastAsia="Times New Roman" w:hAnsi="Verdana" w:cs="Arial"/>
          <w:sz w:val="20"/>
          <w:szCs w:val="20"/>
          <w:lang w:val="es-MX" w:eastAsia="es-CO"/>
        </w:rPr>
        <w:t xml:space="preserve">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6BBB5CD9" w14:textId="77777777" w:rsidR="00A6584F" w:rsidRPr="000B35C5" w:rsidRDefault="00A6584F" w:rsidP="00A6584F">
      <w:pPr>
        <w:spacing w:after="0" w:line="240" w:lineRule="auto"/>
        <w:ind w:right="709"/>
        <w:contextualSpacing/>
        <w:jc w:val="both"/>
        <w:rPr>
          <w:rFonts w:ascii="Verdana" w:eastAsia="Times New Roman" w:hAnsi="Verdana" w:cs="Arial"/>
          <w:sz w:val="12"/>
          <w:szCs w:val="12"/>
          <w:lang w:val="es-MX" w:eastAsia="es-CO"/>
        </w:rPr>
      </w:pPr>
    </w:p>
    <w:p w14:paraId="0DE5E74C" w14:textId="77777777" w:rsidR="00A6584F" w:rsidRPr="00E2397D" w:rsidRDefault="00A6584F" w:rsidP="00A6584F">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MX" w:eastAsia="es-CO"/>
        </w:rPr>
        <w:t>La jurisprudencia de la Corte Constitucional</w:t>
      </w:r>
      <w:r w:rsidRPr="00E2397D">
        <w:rPr>
          <w:rFonts w:ascii="Verdana" w:eastAsia="Times New Roman" w:hAnsi="Verdana" w:cs="Arial"/>
          <w:sz w:val="20"/>
          <w:szCs w:val="20"/>
          <w:vertAlign w:val="superscript"/>
          <w:lang w:val="es-MX" w:eastAsia="es-CO"/>
        </w:rPr>
        <w:footnoteReference w:id="5"/>
      </w:r>
      <w:r w:rsidRPr="00E2397D">
        <w:rPr>
          <w:rFonts w:ascii="Verdana" w:eastAsia="Times New Roman" w:hAnsi="Verdana" w:cs="Arial"/>
          <w:sz w:val="20"/>
          <w:szCs w:val="20"/>
          <w:lang w:val="es-MX" w:eastAsia="es-CO"/>
        </w:rPr>
        <w:t> y del Consejo de Estado</w:t>
      </w:r>
      <w:r w:rsidRPr="00E2397D">
        <w:rPr>
          <w:rFonts w:ascii="Verdana" w:eastAsia="Times New Roman" w:hAnsi="Verdana" w:cs="Arial"/>
          <w:sz w:val="20"/>
          <w:szCs w:val="20"/>
          <w:vertAlign w:val="superscript"/>
          <w:lang w:val="es-MX" w:eastAsia="es-CO"/>
        </w:rPr>
        <w:footnoteReference w:id="6"/>
      </w:r>
      <w:r w:rsidRPr="00E2397D">
        <w:rPr>
          <w:rFonts w:ascii="Verdana" w:eastAsia="Times New Roman" w:hAnsi="Verdana" w:cs="Arial"/>
          <w:sz w:val="20"/>
          <w:szCs w:val="20"/>
          <w:lang w:val="es-MX" w:eastAsia="es-CO"/>
        </w:rPr>
        <w:t xml:space="preserve">,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w:t>
      </w:r>
      <w:r w:rsidRPr="00E2397D">
        <w:rPr>
          <w:rFonts w:ascii="Verdana" w:eastAsia="Times New Roman" w:hAnsi="Verdana" w:cs="Arial"/>
          <w:sz w:val="20"/>
          <w:szCs w:val="20"/>
          <w:lang w:val="es-MX" w:eastAsia="es-CO"/>
        </w:rPr>
        <w:lastRenderedPageBreak/>
        <w:t>o capacidad de obrar, sobrepasar sus precisos términos comporta el desconocimiento de la voluntad del legislador”</w:t>
      </w:r>
      <w:r w:rsidRPr="00E2397D">
        <w:rPr>
          <w:rFonts w:ascii="Verdana" w:eastAsia="Times New Roman" w:hAnsi="Verdana" w:cs="Arial"/>
          <w:sz w:val="20"/>
          <w:szCs w:val="20"/>
          <w:vertAlign w:val="superscript"/>
          <w:lang w:val="es-MX" w:eastAsia="es-CO"/>
        </w:rPr>
        <w:footnoteReference w:id="7"/>
      </w:r>
      <w:r w:rsidRPr="00E2397D">
        <w:rPr>
          <w:rFonts w:ascii="Verdana" w:eastAsia="Times New Roman" w:hAnsi="Verdana" w:cs="Arial"/>
          <w:sz w:val="20"/>
          <w:szCs w:val="20"/>
          <w:lang w:val="es-MX" w:eastAsia="es-CO"/>
        </w:rPr>
        <w:t>.</w:t>
      </w:r>
    </w:p>
    <w:p w14:paraId="47E708D4" w14:textId="77777777" w:rsidR="00A6584F" w:rsidRPr="00E2397D" w:rsidRDefault="00A6584F" w:rsidP="00A6584F">
      <w:pPr>
        <w:spacing w:after="0" w:line="276" w:lineRule="auto"/>
        <w:jc w:val="both"/>
        <w:rPr>
          <w:rFonts w:ascii="Verdana" w:eastAsia="Calibri" w:hAnsi="Verdana" w:cs="Arial"/>
          <w:bCs/>
          <w:lang w:val="es-ES_tradnl"/>
        </w:rPr>
      </w:pPr>
    </w:p>
    <w:p w14:paraId="054A8C07" w14:textId="77777777" w:rsidR="00A6584F" w:rsidRDefault="00A6584F" w:rsidP="00A6584F">
      <w:pPr>
        <w:spacing w:after="0" w:line="276" w:lineRule="auto"/>
        <w:ind w:firstLine="709"/>
        <w:jc w:val="both"/>
        <w:rPr>
          <w:rFonts w:ascii="Verdana" w:eastAsia="Arial" w:hAnsi="Verdana" w:cs="Arial"/>
          <w:lang w:val="es-ES" w:eastAsia="es-ES" w:bidi="es-ES"/>
        </w:rPr>
      </w:pPr>
      <w:r w:rsidRPr="00E2397D">
        <w:rPr>
          <w:rFonts w:ascii="Verdana" w:eastAsia="Times New Roman" w:hAnsi="Verdana" w:cs="Arial"/>
          <w:lang w:val="es-MX" w:eastAsia="es-CO"/>
        </w:rPr>
        <w:t>De</w:t>
      </w:r>
      <w:r w:rsidRPr="00E2397D">
        <w:rPr>
          <w:rFonts w:ascii="Verdana" w:eastAsia="Arial" w:hAnsi="Verdana" w:cs="Arial"/>
          <w:lang w:val="es-ES" w:eastAsia="es-ES" w:bidi="es-ES"/>
        </w:rPr>
        <w:t xml:space="preserve"> conformidad con lo anterior, </w:t>
      </w:r>
      <w:bookmarkStart w:id="4" w:name="_Hlk77236098"/>
      <w:bookmarkStart w:id="5" w:name="_Hlk100679383"/>
      <w:r w:rsidRPr="00E2397D">
        <w:rPr>
          <w:rFonts w:ascii="Verdana" w:eastAsia="Arial" w:hAnsi="Verdana" w:cs="Arial"/>
          <w:lang w:val="es-ES" w:eastAsia="es-ES" w:bidi="es-ES"/>
        </w:rPr>
        <w:t>la L</w:t>
      </w:r>
      <w:r>
        <w:rPr>
          <w:rFonts w:ascii="Verdana" w:eastAsia="Arial" w:hAnsi="Verdana" w:cs="Arial"/>
          <w:lang w:val="es-ES" w:eastAsia="es-ES" w:bidi="es-ES"/>
        </w:rPr>
        <w:t>ey de Garantías Electorales estableció</w:t>
      </w:r>
      <w:r w:rsidRPr="00E2397D">
        <w:rPr>
          <w:rFonts w:ascii="Verdana" w:eastAsia="Arial" w:hAnsi="Verdana" w:cs="Arial"/>
          <w:lang w:val="es-ES" w:eastAsia="es-ES" w:bidi="es-ES"/>
        </w:rPr>
        <w:t xml:space="preserve"> una serie de regulaciones y prohibiciones dirigidas a los servidores públicos. Con la 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 </w:t>
      </w:r>
    </w:p>
    <w:p w14:paraId="17EAA84F" w14:textId="77777777" w:rsidR="00A6584F" w:rsidRPr="00E2397D" w:rsidRDefault="00A6584F" w:rsidP="00A6584F">
      <w:pPr>
        <w:spacing w:after="0" w:line="240" w:lineRule="auto"/>
        <w:ind w:firstLine="709"/>
        <w:jc w:val="both"/>
        <w:rPr>
          <w:rFonts w:ascii="Verdana" w:eastAsia="Arial" w:hAnsi="Verdana" w:cs="Arial"/>
          <w:lang w:val="es-ES" w:eastAsia="es-ES" w:bidi="es-ES"/>
        </w:rPr>
      </w:pPr>
    </w:p>
    <w:p w14:paraId="2047A848" w14:textId="77777777" w:rsidR="00A6584F" w:rsidRPr="00E2397D" w:rsidRDefault="00A6584F" w:rsidP="00A6584F">
      <w:pPr>
        <w:spacing w:after="120" w:line="276" w:lineRule="auto"/>
        <w:jc w:val="both"/>
        <w:rPr>
          <w:rFonts w:ascii="Verdana" w:eastAsia="Arial" w:hAnsi="Verdana" w:cs="Arial"/>
          <w:lang w:val="es-ES" w:eastAsia="es-ES" w:bidi="es-ES"/>
        </w:rPr>
      </w:pPr>
      <w:proofErr w:type="spellStart"/>
      <w:r w:rsidRPr="00E2397D">
        <w:rPr>
          <w:rFonts w:ascii="Verdana" w:eastAsia="Arial" w:hAnsi="Verdana" w:cs="Arial"/>
          <w:lang w:val="es-ES" w:eastAsia="es-ES" w:bidi="es-ES"/>
        </w:rPr>
        <w:t>ii</w:t>
      </w:r>
      <w:proofErr w:type="spellEnd"/>
      <w:r w:rsidRPr="00E2397D">
        <w:rPr>
          <w:rFonts w:ascii="Verdana" w:eastAsia="Arial" w:hAnsi="Verdana" w:cs="Arial"/>
          <w:lang w:val="es-ES" w:eastAsia="es-ES" w:bidi="es-ES"/>
        </w:rPr>
        <w:t xml:space="preserve">. </w:t>
      </w:r>
      <w:bookmarkEnd w:id="4"/>
      <w:bookmarkEnd w:id="5"/>
      <w:r w:rsidRPr="00E2397D">
        <w:rPr>
          <w:rFonts w:ascii="Verdana" w:eastAsia="Arial" w:hAnsi="Verdana" w:cs="Arial"/>
          <w:lang w:val="es-ES" w:eastAsia="es-ES" w:bidi="es-ES"/>
        </w:rPr>
        <w:t>Precisado el propósito de la Ley, es pertinente señalar que las restricciones consagradas en la citada Ley se dirigen a dos (2) tipos de campañas electorales claramente diferenciadas: las presidenciales y las demás que se adelanten para la elección de los demás cargos de elección popular, tanto a nivel nacional como territorial.</w:t>
      </w:r>
    </w:p>
    <w:p w14:paraId="780F93DE" w14:textId="77777777" w:rsidR="00A6584F" w:rsidRPr="00E2397D" w:rsidRDefault="00A6584F" w:rsidP="00A6584F">
      <w:pPr>
        <w:spacing w:after="120" w:line="276" w:lineRule="auto"/>
        <w:ind w:firstLine="708"/>
        <w:jc w:val="both"/>
        <w:rPr>
          <w:rFonts w:ascii="Verdana" w:eastAsia="Calibri" w:hAnsi="Verdana" w:cs="Arial"/>
        </w:rPr>
      </w:pPr>
      <w:r w:rsidRPr="00E2397D">
        <w:rPr>
          <w:rFonts w:ascii="Verdana" w:eastAsia="Calibri" w:hAnsi="Verdana" w:cs="Arial"/>
        </w:rPr>
        <w:t xml:space="preserve">Por un lado, el </w:t>
      </w:r>
      <w:r w:rsidRPr="00E2397D">
        <w:rPr>
          <w:rFonts w:ascii="Verdana" w:eastAsia="Calibri" w:hAnsi="Verdana" w:cs="Arial"/>
          <w:i/>
          <w:iCs/>
        </w:rPr>
        <w:t>artículo 33 de la Ley 996 de 2005</w:t>
      </w:r>
      <w:r w:rsidRPr="00E2397D">
        <w:rPr>
          <w:rFonts w:ascii="Verdana" w:eastAsia="Calibri" w:hAnsi="Verdana" w:cs="Arial"/>
        </w:rPr>
        <w:t xml:space="preserve">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E2397D">
        <w:rPr>
          <w:rFonts w:ascii="Verdana" w:eastAsia="Calibri" w:hAnsi="Verdana" w:cs="Arial"/>
          <w:vertAlign w:val="superscript"/>
        </w:rPr>
        <w:footnoteReference w:id="8"/>
      </w:r>
      <w:r w:rsidRPr="00E2397D">
        <w:rPr>
          <w:rFonts w:ascii="Verdana" w:eastAsia="Calibri" w:hAnsi="Verdana" w:cs="Arial"/>
        </w:rPr>
        <w:t>.</w:t>
      </w:r>
    </w:p>
    <w:p w14:paraId="08A890F5" w14:textId="77777777" w:rsidR="00A6584F" w:rsidRPr="00E2397D" w:rsidRDefault="00A6584F" w:rsidP="00A6584F">
      <w:pPr>
        <w:widowControl w:val="0"/>
        <w:autoSpaceDE w:val="0"/>
        <w:autoSpaceDN w:val="0"/>
        <w:spacing w:after="120" w:line="276" w:lineRule="auto"/>
        <w:ind w:right="113" w:firstLine="709"/>
        <w:jc w:val="both"/>
        <w:rPr>
          <w:rFonts w:ascii="Verdana" w:eastAsia="Arial" w:hAnsi="Verdana" w:cs="Arial"/>
          <w:lang w:val="es-ES" w:eastAsia="es-ES" w:bidi="es-ES"/>
        </w:rPr>
      </w:pPr>
      <w:r w:rsidRPr="00E2397D">
        <w:rPr>
          <w:rFonts w:ascii="Verdana" w:eastAsia="Calibri" w:hAnsi="Verdana" w:cs="Arial"/>
        </w:rPr>
        <w:t xml:space="preserve">Por otro lado, </w:t>
      </w:r>
      <w:r w:rsidRPr="00E2397D">
        <w:rPr>
          <w:rFonts w:ascii="Verdana" w:eastAsia="Calibri" w:hAnsi="Verdana" w:cs="Arial"/>
          <w:i/>
          <w:iCs/>
        </w:rPr>
        <w:t>el parágrafo del artículo 38 de la Ley 996 de 2005</w:t>
      </w:r>
      <w:r w:rsidRPr="00E2397D">
        <w:rPr>
          <w:rFonts w:ascii="Verdana" w:eastAsia="Calibri" w:hAnsi="Verdana" w:cs="Arial"/>
        </w:rPr>
        <w:t xml:space="preserve"> prevé una restricción, aplicable respecto de cualquier tipo de contienda electoral, que prohíbe a los gobernadores, alcaldes municipales o distritales, secretarios, gerentes y directores de entidades descentralizadas del orden municipal, departamental o distrital “[…] </w:t>
      </w:r>
      <w:r w:rsidRPr="00E2397D">
        <w:rPr>
          <w:rFonts w:ascii="Verdana" w:eastAsia="Calibri" w:hAnsi="Verdana" w:cs="Arial"/>
          <w:lang w:val="es-MX"/>
        </w:rPr>
        <w:t xml:space="preserve">celebrar convenios interadministrativos para la </w:t>
      </w:r>
      <w:r w:rsidRPr="00E2397D">
        <w:rPr>
          <w:rFonts w:ascii="Verdana" w:eastAsia="Calibri" w:hAnsi="Verdana" w:cs="Arial"/>
          <w:lang w:val="es-MX"/>
        </w:rPr>
        <w:lastRenderedPageBreak/>
        <w:t>ejecución de recursos públicos, ni participar, promover y destinar recursos públicos de las entidades a su cargo, como tampoco de las que participen como miembros de sus juntas directivas, en o para reuniones de carácter proselitista</w:t>
      </w:r>
      <w:r w:rsidRPr="00E2397D">
        <w:rPr>
          <w:rFonts w:ascii="Verdana" w:eastAsia="Calibri" w:hAnsi="Verdana" w:cs="Arial"/>
        </w:rPr>
        <w:t>”</w:t>
      </w:r>
      <w:r w:rsidRPr="00E2397D">
        <w:rPr>
          <w:rFonts w:ascii="Verdana" w:eastAsia="Calibri" w:hAnsi="Verdana" w:cs="Arial"/>
          <w:vertAlign w:val="superscript"/>
        </w:rPr>
        <w:footnoteReference w:id="9"/>
      </w:r>
      <w:r w:rsidRPr="00E2397D">
        <w:rPr>
          <w:rFonts w:ascii="Verdana" w:eastAsia="Calibri" w:hAnsi="Verdana" w:cs="Arial"/>
          <w:lang w:val="es-MX"/>
        </w:rPr>
        <w:t>.</w:t>
      </w:r>
      <w:r w:rsidRPr="00E2397D">
        <w:rPr>
          <w:rFonts w:ascii="Verdana" w:eastAsia="Arial" w:hAnsi="Verdana" w:cs="Arial"/>
          <w:lang w:val="es-ES" w:eastAsia="es-ES" w:bidi="es-ES"/>
        </w:rPr>
        <w:t xml:space="preserve"> </w:t>
      </w:r>
    </w:p>
    <w:p w14:paraId="45CDAA4C" w14:textId="77777777" w:rsidR="00A6584F" w:rsidRPr="00E2397D" w:rsidRDefault="00A6584F" w:rsidP="00A6584F">
      <w:pPr>
        <w:spacing w:after="120" w:line="276" w:lineRule="auto"/>
        <w:ind w:firstLine="709"/>
        <w:jc w:val="both"/>
        <w:rPr>
          <w:rFonts w:ascii="Verdana" w:eastAsia="Arial" w:hAnsi="Verdana" w:cs="Arial"/>
          <w:lang w:val="es-ES" w:eastAsia="es-ES" w:bidi="es-ES"/>
        </w:rPr>
      </w:pPr>
      <w:r w:rsidRPr="00E2397D">
        <w:rPr>
          <w:rFonts w:ascii="Verdana" w:eastAsia="Arial" w:hAnsi="Verdana" w:cs="Arial"/>
          <w:lang w:val="es-ES" w:eastAsia="es-ES" w:bidi="es-ES"/>
        </w:rPr>
        <w:t xml:space="preserve">De conformidad con lo anterior, la Ley 996 de 2005 establece dos (2) tipos de restricciones en materia de contratación, las cuales coinciden parcialmente. </w:t>
      </w:r>
      <w:r w:rsidRPr="00E2397D">
        <w:rPr>
          <w:rFonts w:ascii="Verdana" w:eastAsia="Arial" w:hAnsi="Verdana" w:cs="Arial"/>
          <w:i/>
          <w:lang w:val="es-ES" w:eastAsia="es-ES" w:bidi="es-ES"/>
        </w:rPr>
        <w:t>En primer lugar</w:t>
      </w:r>
      <w:r w:rsidRPr="00E2397D">
        <w:rPr>
          <w:rFonts w:ascii="Verdana" w:eastAsia="Arial" w:hAnsi="Verdana" w:cs="Arial"/>
          <w:lang w:val="es-ES" w:eastAsia="es-ES" w:bidi="es-ES"/>
        </w:rPr>
        <w:t xml:space="preserve">, la del artículo 33 que </w:t>
      </w:r>
      <w:r>
        <w:rPr>
          <w:rFonts w:ascii="Verdana" w:eastAsia="Arial" w:hAnsi="Verdana" w:cs="Arial"/>
          <w:lang w:val="es-ES" w:eastAsia="es-ES" w:bidi="es-ES"/>
        </w:rPr>
        <w:t xml:space="preserve">aplica </w:t>
      </w:r>
      <w:r w:rsidRPr="00E2397D">
        <w:rPr>
          <w:rFonts w:ascii="Verdana" w:eastAsia="Arial" w:hAnsi="Verdana" w:cs="Arial"/>
          <w:lang w:val="es-ES" w:eastAsia="es-ES" w:bidi="es-ES"/>
        </w:rPr>
        <w:t xml:space="preserve">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(3)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r w:rsidRPr="00E2397D">
        <w:rPr>
          <w:rFonts w:ascii="Verdana" w:eastAsia="Arial" w:hAnsi="Verdana" w:cs="Arial"/>
          <w:i/>
          <w:lang w:val="es-ES" w:eastAsia="es-ES" w:bidi="es-ES"/>
        </w:rPr>
        <w:t>En segundo lugar</w:t>
      </w:r>
      <w:r w:rsidRPr="00E2397D">
        <w:rPr>
          <w:rFonts w:ascii="Verdana" w:eastAsia="Arial" w:hAnsi="Verdana" w:cs="Arial"/>
          <w:lang w:val="es-ES" w:eastAsia="es-ES" w:bidi="es-ES"/>
        </w:rPr>
        <w:t>,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p>
    <w:p w14:paraId="7E0AEE49" w14:textId="77777777" w:rsidR="00A6584F" w:rsidRPr="00E2397D" w:rsidRDefault="00A6584F" w:rsidP="00A6584F">
      <w:pPr>
        <w:spacing w:after="120" w:line="276" w:lineRule="auto"/>
        <w:ind w:firstLine="709"/>
        <w:jc w:val="both"/>
        <w:rPr>
          <w:rFonts w:ascii="Verdana" w:eastAsia="Arial" w:hAnsi="Verdana" w:cs="Arial"/>
          <w:lang w:val="es-ES" w:eastAsia="es-ES" w:bidi="es-ES"/>
        </w:rPr>
      </w:pPr>
      <w:r w:rsidRPr="00E2397D">
        <w:rPr>
          <w:rFonts w:ascii="Verdana" w:eastAsia="Arial" w:hAnsi="Verdana" w:cs="Arial"/>
          <w:lang w:val="es-ES" w:eastAsia="es-ES" w:bidi="es-ES"/>
        </w:rPr>
        <w:t>Ambas restricciones no son excluyentes, lo que permite concluir que</w:t>
      </w:r>
      <w:r>
        <w:rPr>
          <w:rFonts w:ascii="Verdana" w:eastAsia="Arial" w:hAnsi="Verdana" w:cs="Arial"/>
          <w:lang w:val="es-ES" w:eastAsia="es-ES" w:bidi="es-ES"/>
        </w:rPr>
        <w:t>,</w:t>
      </w:r>
      <w:r w:rsidRPr="00E2397D">
        <w:rPr>
          <w:rFonts w:ascii="Verdana" w:eastAsia="Arial" w:hAnsi="Verdana" w:cs="Arial"/>
          <w:lang w:val="es-ES" w:eastAsia="es-ES" w:bidi="es-ES"/>
        </w:rPr>
        <w:t xml:space="preserve"> en el período preelectoral para elección de </w:t>
      </w:r>
      <w:proofErr w:type="gramStart"/>
      <w:r w:rsidRPr="00E2397D">
        <w:rPr>
          <w:rFonts w:ascii="Verdana" w:eastAsia="Arial" w:hAnsi="Verdana" w:cs="Arial"/>
          <w:lang w:val="es-ES" w:eastAsia="es-ES" w:bidi="es-ES"/>
        </w:rPr>
        <w:t>Presidente</w:t>
      </w:r>
      <w:proofErr w:type="gramEnd"/>
      <w:r w:rsidRPr="00E2397D">
        <w:rPr>
          <w:rFonts w:ascii="Verdana" w:eastAsia="Arial" w:hAnsi="Verdana" w:cs="Arial"/>
          <w:lang w:val="es-ES" w:eastAsia="es-ES" w:bidi="es-ES"/>
        </w:rPr>
        <w:t xml:space="preserve"> de la República, a todos los entes del Estado, incluidos los territoriales, aplican las restricciones del artículo 33 con sus excepciones, así como las del parágrafo del artículo 38. En cambio, tratándose de elecciones en general, excluyendo las correspondientes al </w:t>
      </w:r>
      <w:proofErr w:type="gramStart"/>
      <w:r w:rsidRPr="00E2397D">
        <w:rPr>
          <w:rFonts w:ascii="Verdana" w:eastAsia="Arial" w:hAnsi="Verdana" w:cs="Arial"/>
          <w:lang w:val="es-ES" w:eastAsia="es-ES" w:bidi="es-ES"/>
        </w:rPr>
        <w:t>Presidente</w:t>
      </w:r>
      <w:proofErr w:type="gramEnd"/>
      <w:r w:rsidRPr="00E2397D">
        <w:rPr>
          <w:rFonts w:ascii="Verdana" w:eastAsia="Arial" w:hAnsi="Verdana" w:cs="Arial"/>
          <w:lang w:val="es-ES" w:eastAsia="es-ES" w:bidi="es-ES"/>
        </w:rPr>
        <w:t xml:space="preserve"> de la República, las autoridades allí mencionadas sólo deben aplicar las restricciones contenidas en el parágrafo del artículo 38.</w:t>
      </w:r>
    </w:p>
    <w:p w14:paraId="04646E12" w14:textId="77777777" w:rsidR="00A6584F" w:rsidRDefault="00A6584F" w:rsidP="00A6584F">
      <w:pPr>
        <w:spacing w:after="120" w:line="276" w:lineRule="auto"/>
        <w:ind w:firstLine="709"/>
        <w:jc w:val="both"/>
        <w:rPr>
          <w:rFonts w:ascii="Verdana" w:eastAsia="Arial" w:hAnsi="Verdana" w:cs="Arial"/>
          <w:lang w:val="es-ES" w:eastAsia="es-ES" w:bidi="es-ES"/>
        </w:rPr>
      </w:pPr>
      <w:r w:rsidRPr="00E2397D">
        <w:rPr>
          <w:rFonts w:ascii="Verdana" w:eastAsia="Arial" w:hAnsi="Verdana" w:cs="Arial"/>
          <w:lang w:val="es-ES" w:eastAsia="es-ES" w:bidi="es-ES"/>
        </w:rPr>
        <w:t xml:space="preserve">La Corte Constitucional, en la Sentencia C-1153 del 11 de noviembre de 2005, señaló que, para que la garantía sea plena, era necesario que la prohibición se aplicara para el </w:t>
      </w:r>
      <w:proofErr w:type="gramStart"/>
      <w:r w:rsidRPr="00E2397D">
        <w:rPr>
          <w:rFonts w:ascii="Verdana" w:eastAsia="Arial" w:hAnsi="Verdana" w:cs="Arial"/>
          <w:lang w:val="es-ES" w:eastAsia="es-ES" w:bidi="es-ES"/>
        </w:rPr>
        <w:t>Presidente</w:t>
      </w:r>
      <w:proofErr w:type="gramEnd"/>
      <w:r w:rsidRPr="00E2397D">
        <w:rPr>
          <w:rFonts w:ascii="Verdana" w:eastAsia="Arial" w:hAnsi="Verdana" w:cs="Arial"/>
          <w:lang w:val="es-ES" w:eastAsia="es-ES" w:bidi="es-ES"/>
        </w:rPr>
        <w:t xml:space="preserve"> o el </w:t>
      </w:r>
      <w:proofErr w:type="gramStart"/>
      <w:r w:rsidRPr="00E2397D">
        <w:rPr>
          <w:rFonts w:ascii="Verdana" w:eastAsia="Arial" w:hAnsi="Verdana" w:cs="Arial"/>
          <w:lang w:val="es-ES" w:eastAsia="es-ES" w:bidi="es-ES"/>
        </w:rPr>
        <w:t>Vicepresidente</w:t>
      </w:r>
      <w:proofErr w:type="gramEnd"/>
      <w:r w:rsidRPr="00E2397D">
        <w:rPr>
          <w:rFonts w:ascii="Verdana" w:eastAsia="Arial" w:hAnsi="Verdana" w:cs="Arial"/>
          <w:lang w:val="es-ES" w:eastAsia="es-ES" w:bidi="es-ES"/>
        </w:rPr>
        <w:t xml:space="preserve"> desde que éstos –</w:t>
      </w:r>
      <w:r w:rsidRPr="00E2397D">
        <w:rPr>
          <w:rFonts w:ascii="Verdana" w:eastAsia="Arial" w:hAnsi="Verdana" w:cs="Arial"/>
          <w:lang w:val="es-ES" w:eastAsia="es-ES" w:bidi="es-ES"/>
        </w:rPr>
        <w:lastRenderedPageBreak/>
        <w:t xml:space="preserve">estando en ejercicio de su cargo– manifiesten el interés de ser candidato presidencial, lo cual debe ocurrir seis (6) meses antes de la elección en primera vuelta, de acuerdo con el artículo 9 de la Ley 996 de 2005. Sin embargo, el condicionamiento impuesto por la Corte Constitucional, relacionado con el momento en que estas restricciones empiezan a regir para el </w:t>
      </w:r>
      <w:proofErr w:type="gramStart"/>
      <w:r w:rsidRPr="00E2397D">
        <w:rPr>
          <w:rFonts w:ascii="Verdana" w:eastAsia="Arial" w:hAnsi="Verdana" w:cs="Arial"/>
          <w:lang w:val="es-ES" w:eastAsia="es-ES" w:bidi="es-ES"/>
        </w:rPr>
        <w:t>Presidente</w:t>
      </w:r>
      <w:proofErr w:type="gramEnd"/>
      <w:r w:rsidRPr="00E2397D">
        <w:rPr>
          <w:rFonts w:ascii="Verdana" w:eastAsia="Arial" w:hAnsi="Verdana" w:cs="Arial"/>
          <w:lang w:val="es-ES" w:eastAsia="es-ES" w:bidi="es-ES"/>
        </w:rPr>
        <w:t xml:space="preserve"> y el </w:t>
      </w:r>
      <w:proofErr w:type="gramStart"/>
      <w:r w:rsidRPr="00E2397D">
        <w:rPr>
          <w:rFonts w:ascii="Verdana" w:eastAsia="Arial" w:hAnsi="Verdana" w:cs="Arial"/>
          <w:lang w:val="es-ES" w:eastAsia="es-ES" w:bidi="es-ES"/>
        </w:rPr>
        <w:t>Vicepresidente</w:t>
      </w:r>
      <w:proofErr w:type="gramEnd"/>
      <w:r w:rsidRPr="00E2397D">
        <w:rPr>
          <w:rFonts w:ascii="Verdana" w:eastAsia="Arial" w:hAnsi="Verdana" w:cs="Arial"/>
          <w:lang w:val="es-ES" w:eastAsia="es-ES" w:bidi="es-ES"/>
        </w:rPr>
        <w:t xml:space="preserve"> de la República, ha perdido vigencia ante la prohibición de la reelección presidencial, restablecida por el Acto Legislativo 2 de 2015. Esto excepto para el </w:t>
      </w:r>
      <w:proofErr w:type="gramStart"/>
      <w:r w:rsidRPr="00E2397D">
        <w:rPr>
          <w:rFonts w:ascii="Verdana" w:eastAsia="Arial" w:hAnsi="Verdana" w:cs="Arial"/>
          <w:lang w:val="es-ES" w:eastAsia="es-ES" w:bidi="es-ES"/>
        </w:rPr>
        <w:t>Vicepresidente</w:t>
      </w:r>
      <w:proofErr w:type="gramEnd"/>
      <w:r w:rsidRPr="00E2397D">
        <w:rPr>
          <w:rFonts w:ascii="Verdana" w:eastAsia="Arial" w:hAnsi="Verdana" w:cs="Arial"/>
          <w:lang w:val="es-ES" w:eastAsia="es-ES" w:bidi="es-ES"/>
        </w:rPr>
        <w:t xml:space="preserve"> que no haya ejercido la presidencia o que la haya ejercido por un tiempo inferior a tres (3) meses durante el respectivo cuatrienio, en forma continua o discontinua, conforme al artículo 197 de la Constitución Política. </w:t>
      </w:r>
    </w:p>
    <w:p w14:paraId="1BDF4C48" w14:textId="77777777" w:rsidR="00A6584F" w:rsidRDefault="00A6584F" w:rsidP="00A6584F">
      <w:pPr>
        <w:spacing w:after="120" w:line="276" w:lineRule="auto"/>
        <w:ind w:firstLine="708"/>
        <w:jc w:val="both"/>
        <w:rPr>
          <w:rFonts w:ascii="Verdana" w:eastAsia="Times New Roman" w:hAnsi="Verdana" w:cs="Arial"/>
          <w:bCs/>
          <w:lang w:eastAsia="es-CO"/>
        </w:rPr>
      </w:pPr>
      <w:r>
        <w:rPr>
          <w:rFonts w:ascii="Verdana" w:eastAsia="Times New Roman" w:hAnsi="Verdana" w:cs="Arial"/>
          <w:bCs/>
          <w:lang w:val="es-MX" w:eastAsia="es-CO"/>
        </w:rPr>
        <w:t>Ahora bien, para entender el momento de aplicación de estas restricciones, es preciso señalar que el vocablo “celebrar” es definido por el Diccionario Panhispánico del Español Jurídico como:</w:t>
      </w:r>
      <w:r w:rsidRPr="00116894">
        <w:rPr>
          <w:rFonts w:ascii="Verdana" w:eastAsia="Times New Roman" w:hAnsi="Verdana" w:cs="Arial"/>
          <w:bCs/>
          <w:lang w:val="es-MX" w:eastAsia="es-CO"/>
        </w:rPr>
        <w:t xml:space="preserve"> “</w:t>
      </w:r>
      <w:r w:rsidRPr="00116894">
        <w:rPr>
          <w:rFonts w:ascii="Verdana" w:eastAsia="Times New Roman" w:hAnsi="Verdana" w:cs="Arial"/>
          <w:bCs/>
          <w:lang w:eastAsia="es-CO"/>
        </w:rPr>
        <w:t>1. </w:t>
      </w:r>
      <w:r w:rsidRPr="00116894">
        <w:rPr>
          <w:rFonts w:ascii="Verdana" w:eastAsia="Times New Roman" w:hAnsi="Verdana" w:cs="Arial"/>
          <w:bCs/>
          <w:i/>
          <w:iCs/>
          <w:lang w:eastAsia="es-CO"/>
        </w:rPr>
        <w:t>Gral.</w:t>
      </w:r>
      <w:r>
        <w:rPr>
          <w:rFonts w:ascii="Verdana" w:eastAsia="Times New Roman" w:hAnsi="Verdana" w:cs="Arial"/>
          <w:bCs/>
          <w:lang w:eastAsia="es-CO"/>
        </w:rPr>
        <w:t xml:space="preserve"> </w:t>
      </w:r>
      <w:r w:rsidRPr="00116894">
        <w:rPr>
          <w:rFonts w:ascii="Verdana" w:eastAsia="Times New Roman" w:hAnsi="Verdana" w:cs="Arial"/>
          <w:bCs/>
          <w:lang w:eastAsia="es-CO"/>
        </w:rPr>
        <w:t>Otorgar o firmar un contrato. 2</w:t>
      </w:r>
      <w:r>
        <w:rPr>
          <w:rFonts w:ascii="Verdana" w:eastAsia="Times New Roman" w:hAnsi="Verdana" w:cs="Arial"/>
          <w:bCs/>
          <w:lang w:eastAsia="es-CO"/>
        </w:rPr>
        <w:t xml:space="preserve">. </w:t>
      </w:r>
      <w:proofErr w:type="spellStart"/>
      <w:r w:rsidRPr="00116894">
        <w:rPr>
          <w:rFonts w:ascii="Verdana" w:eastAsia="Times New Roman" w:hAnsi="Verdana" w:cs="Arial"/>
          <w:bCs/>
          <w:i/>
          <w:iCs/>
          <w:lang w:eastAsia="es-CO"/>
        </w:rPr>
        <w:t>Proc</w:t>
      </w:r>
      <w:proofErr w:type="spellEnd"/>
      <w:r w:rsidRPr="00116894">
        <w:rPr>
          <w:rFonts w:ascii="Verdana" w:eastAsia="Times New Roman" w:hAnsi="Verdana" w:cs="Arial"/>
          <w:bCs/>
          <w:i/>
          <w:iCs/>
          <w:lang w:eastAsia="es-CO"/>
        </w:rPr>
        <w:t>.</w:t>
      </w:r>
      <w:r>
        <w:rPr>
          <w:rFonts w:ascii="Verdana" w:eastAsia="Times New Roman" w:hAnsi="Verdana" w:cs="Arial"/>
          <w:bCs/>
          <w:lang w:eastAsia="es-CO"/>
        </w:rPr>
        <w:t xml:space="preserve"> </w:t>
      </w:r>
      <w:r w:rsidRPr="00116894">
        <w:rPr>
          <w:rFonts w:ascii="Verdana" w:eastAsia="Times New Roman" w:hAnsi="Verdana" w:cs="Arial"/>
          <w:bCs/>
          <w:lang w:eastAsia="es-CO"/>
        </w:rPr>
        <w:t>Realizar los actos procesa</w:t>
      </w:r>
      <w:r>
        <w:rPr>
          <w:rFonts w:ascii="Verdana" w:eastAsia="Times New Roman" w:hAnsi="Verdana" w:cs="Arial"/>
          <w:bCs/>
          <w:lang w:eastAsia="es-CO"/>
        </w:rPr>
        <w:t xml:space="preserve">les propios de un juicio o vista”. Dentro de las dos definiciones, la que se acerca a la expresión “celebrar” en el contexto de la Ley de Garantías Electorales es la primera, esto es, al perfeccionamiento del contrato. </w:t>
      </w:r>
    </w:p>
    <w:p w14:paraId="607E3248" w14:textId="77777777" w:rsidR="00A6584F" w:rsidRDefault="00A6584F" w:rsidP="00A6584F">
      <w:pPr>
        <w:spacing w:after="120" w:line="276" w:lineRule="auto"/>
        <w:ind w:firstLine="708"/>
        <w:jc w:val="both"/>
        <w:rPr>
          <w:rFonts w:ascii="Verdana" w:eastAsia="Times New Roman" w:hAnsi="Verdana" w:cs="Arial"/>
          <w:bCs/>
          <w:lang w:val="es-ES" w:eastAsia="es-CO"/>
        </w:rPr>
      </w:pPr>
      <w:r>
        <w:rPr>
          <w:rFonts w:ascii="Verdana" w:eastAsia="Times New Roman" w:hAnsi="Verdana" w:cs="Arial"/>
          <w:bCs/>
          <w:lang w:eastAsia="es-CO"/>
        </w:rPr>
        <w:t xml:space="preserve">En efecto, el concepto de celebración en el marco de la contratación estatal se relaciona con el perfeccionamiento, es decir, con los requisitos para que exista un contrato estatal. Al respecto, se destaca que en entidades sometidas al Estatuto General de Contratación de la Administración Pública </w:t>
      </w:r>
      <w:r w:rsidRPr="00447D82">
        <w:rPr>
          <w:rFonts w:ascii="Verdana" w:eastAsia="Times New Roman" w:hAnsi="Verdana" w:cs="Arial"/>
          <w:bCs/>
          <w:lang w:val="es-ES" w:eastAsia="es-CO"/>
        </w:rPr>
        <w:t xml:space="preserve">la existencia de los contratos estatales, es decir, la producción de efectos jurídicos en los términos del artículo 1501 </w:t>
      </w:r>
      <w:r w:rsidRPr="00447D82">
        <w:rPr>
          <w:rFonts w:ascii="Verdana" w:eastAsia="Times New Roman" w:hAnsi="Verdana" w:cs="Arial"/>
          <w:bCs/>
          <w:i/>
          <w:lang w:val="es-ES" w:eastAsia="es-CO"/>
        </w:rPr>
        <w:t>ib</w:t>
      </w:r>
      <w:r>
        <w:rPr>
          <w:rFonts w:ascii="Verdana" w:eastAsia="Times New Roman" w:hAnsi="Verdana" w:cs="Arial"/>
          <w:bCs/>
          <w:i/>
          <w:lang w:val="es-ES" w:eastAsia="es-CO"/>
        </w:rPr>
        <w:t>i</w:t>
      </w:r>
      <w:r w:rsidRPr="00447D82">
        <w:rPr>
          <w:rFonts w:ascii="Verdana" w:eastAsia="Times New Roman" w:hAnsi="Verdana" w:cs="Arial"/>
          <w:bCs/>
          <w:i/>
          <w:lang w:val="es-ES" w:eastAsia="es-CO"/>
        </w:rPr>
        <w:t>dem</w:t>
      </w:r>
      <w:r w:rsidRPr="00447D82">
        <w:rPr>
          <w:rFonts w:ascii="Verdana" w:eastAsia="Times New Roman" w:hAnsi="Verdana" w:cs="Arial"/>
          <w:bCs/>
          <w:lang w:val="es-ES" w:eastAsia="es-CO"/>
        </w:rPr>
        <w:t>, depende de la regulación del inciso primero d</w:t>
      </w:r>
      <w:r>
        <w:rPr>
          <w:rFonts w:ascii="Verdana" w:eastAsia="Times New Roman" w:hAnsi="Verdana" w:cs="Arial"/>
          <w:bCs/>
          <w:lang w:val="es-ES" w:eastAsia="es-CO"/>
        </w:rPr>
        <w:t>e los artículos 39 y 41 de la Ley 80 de 1993</w:t>
      </w:r>
      <w:r w:rsidRPr="00447D82">
        <w:rPr>
          <w:rFonts w:ascii="Verdana" w:eastAsia="Times New Roman" w:hAnsi="Verdana" w:cs="Arial"/>
          <w:bCs/>
          <w:lang w:val="es-ES" w:eastAsia="es-CO"/>
        </w:rPr>
        <w:t>. Por un lado, “Los contratos que celebren las entidades estatales constarán por escrito y no requerirán ser elevados a escritura pública, con excepción de aquellos que impliquen mutación del dominio o imposición de gravámenes y servidumbres sobre bienes inmuebles y, en general, aquellos que conforme a las normas legales vigentes deban cumplir con dicha formalidad”. Por otra parte, “Los contratos del Estado se perfeccionan cuando se logre acuerdo sobre el objeto y la contraprestación y éste se eleve a escrito”.</w:t>
      </w:r>
      <w:r>
        <w:rPr>
          <w:rFonts w:ascii="Verdana" w:eastAsia="Times New Roman" w:hAnsi="Verdana" w:cs="Arial"/>
          <w:bCs/>
          <w:lang w:val="es-ES" w:eastAsia="es-CO"/>
        </w:rPr>
        <w:t xml:space="preserve"> </w:t>
      </w:r>
    </w:p>
    <w:p w14:paraId="645BE2F9" w14:textId="77777777" w:rsidR="00A6584F" w:rsidRDefault="00A6584F" w:rsidP="00A6584F">
      <w:pPr>
        <w:spacing w:after="120" w:line="276" w:lineRule="auto"/>
        <w:ind w:firstLine="708"/>
        <w:jc w:val="both"/>
        <w:rPr>
          <w:rFonts w:ascii="Verdana" w:eastAsia="Times New Roman" w:hAnsi="Verdana" w:cs="Arial"/>
          <w:bCs/>
          <w:lang w:val="es-ES" w:eastAsia="es-CO"/>
        </w:rPr>
      </w:pPr>
      <w:r>
        <w:rPr>
          <w:rFonts w:ascii="Verdana" w:eastAsia="Times New Roman" w:hAnsi="Verdana" w:cs="Arial"/>
          <w:bCs/>
          <w:lang w:val="es-ES" w:eastAsia="es-CO"/>
        </w:rPr>
        <w:t xml:space="preserve">De este modo, esta Agencia precisa que el concepto “celebrar” para efectos de las restricciones en la contratación dispuesta por la Ley de Garantías Electorales se refiere a los requisitos de perfeccionamiento del contrato estatal. </w:t>
      </w:r>
      <w:r>
        <w:rPr>
          <w:rFonts w:ascii="Verdana" w:eastAsia="Times New Roman" w:hAnsi="Verdana" w:cs="Arial"/>
          <w:bCs/>
          <w:lang w:val="es-ES" w:eastAsia="es-CO"/>
        </w:rPr>
        <w:lastRenderedPageBreak/>
        <w:t xml:space="preserve">Por tanto, no se refiere a los requisitos de ejecución, es decir, aquellas condiciones para iniciar un contrato, como es la aprobación de las garantías o el registro presupuestal, o en algunos casos, la firma del acta de inicio, si así se determinó. </w:t>
      </w:r>
    </w:p>
    <w:p w14:paraId="341F5D19" w14:textId="77777777" w:rsidR="00A6584F" w:rsidRPr="005B4B74" w:rsidRDefault="00A6584F" w:rsidP="00A6584F">
      <w:pPr>
        <w:spacing w:after="0" w:line="276" w:lineRule="auto"/>
        <w:ind w:firstLine="708"/>
        <w:jc w:val="both"/>
        <w:rPr>
          <w:rFonts w:ascii="Verdana" w:eastAsia="Times New Roman" w:hAnsi="Verdana" w:cs="Arial"/>
          <w:bCs/>
          <w:lang w:val="es-ES" w:eastAsia="es-CO"/>
        </w:rPr>
      </w:pPr>
      <w:r>
        <w:rPr>
          <w:rFonts w:ascii="Verdana" w:eastAsia="Times New Roman" w:hAnsi="Verdana" w:cs="Arial"/>
          <w:bCs/>
          <w:lang w:val="es-ES" w:eastAsia="es-CO"/>
        </w:rPr>
        <w:t xml:space="preserve">Asimismo, </w:t>
      </w:r>
      <w:r>
        <w:rPr>
          <w:rFonts w:ascii="Verdana" w:eastAsia="Times New Roman" w:hAnsi="Verdana" w:cs="Arial"/>
          <w:bCs/>
          <w:lang w:val="es-MX" w:eastAsia="es-CO"/>
        </w:rPr>
        <w:t>c</w:t>
      </w:r>
      <w:r w:rsidRPr="00894384">
        <w:rPr>
          <w:rFonts w:ascii="Verdana" w:eastAsia="Times New Roman" w:hAnsi="Verdana" w:cs="Arial"/>
          <w:bCs/>
          <w:lang w:val="es-MX" w:eastAsia="es-CO"/>
        </w:rPr>
        <w:t xml:space="preserve">omo en otras oportunidades lo ha manifestado esta Agencia, las prórrogas, modificaciones o adiciones de los contratos suscritos antes de la </w:t>
      </w:r>
      <w:proofErr w:type="gramStart"/>
      <w:r w:rsidRPr="00894384">
        <w:rPr>
          <w:rFonts w:ascii="Verdana" w:eastAsia="Times New Roman" w:hAnsi="Verdana" w:cs="Arial"/>
          <w:bCs/>
          <w:lang w:val="es-MX" w:eastAsia="es-CO"/>
        </w:rPr>
        <w:t>entrada en vigencia</w:t>
      </w:r>
      <w:proofErr w:type="gramEnd"/>
      <w:r w:rsidRPr="00894384">
        <w:rPr>
          <w:rFonts w:ascii="Verdana" w:eastAsia="Times New Roman" w:hAnsi="Verdana" w:cs="Arial"/>
          <w:bCs/>
          <w:lang w:val="es-MX" w:eastAsia="es-CO"/>
        </w:rPr>
        <w:t xml:space="preserve"> de las prohibiciones anotadas, así como la cesión de </w:t>
      </w:r>
      <w:proofErr w:type="gramStart"/>
      <w:r w:rsidRPr="00894384">
        <w:rPr>
          <w:rFonts w:ascii="Verdana" w:eastAsia="Times New Roman" w:hAnsi="Verdana" w:cs="Arial"/>
          <w:bCs/>
          <w:lang w:val="es-MX" w:eastAsia="es-CO"/>
        </w:rPr>
        <w:t>los mismos</w:t>
      </w:r>
      <w:proofErr w:type="gramEnd"/>
      <w:r w:rsidRPr="00894384">
        <w:rPr>
          <w:rFonts w:ascii="Verdana" w:eastAsia="Times New Roman" w:hAnsi="Verdana" w:cs="Arial"/>
          <w:bCs/>
          <w:lang w:val="es-MX" w:eastAsia="es-CO"/>
        </w:rPr>
        <w:t>, pueden tener lugar en el período de aplicación de la Ley de Garantías, sin que ello haga nugatoria la restricción de la contratación directa y siempre que cumplan los principios de planeación, transparencia y responsabilidad</w:t>
      </w:r>
      <w:r w:rsidRPr="00894384">
        <w:rPr>
          <w:rFonts w:ascii="Verdana" w:eastAsia="Times New Roman" w:hAnsi="Verdana" w:cs="Arial"/>
          <w:bCs/>
          <w:vertAlign w:val="superscript"/>
          <w:lang w:val="es-MX" w:eastAsia="es-CO"/>
        </w:rPr>
        <w:footnoteReference w:id="10"/>
      </w:r>
      <w:r w:rsidRPr="00894384">
        <w:rPr>
          <w:rFonts w:ascii="Verdana" w:eastAsia="Times New Roman" w:hAnsi="Verdana" w:cs="Arial"/>
          <w:bCs/>
          <w:lang w:val="es-MX" w:eastAsia="es-CO"/>
        </w:rPr>
        <w:t xml:space="preserve">. </w:t>
      </w:r>
      <w:r w:rsidRPr="00E2397D">
        <w:rPr>
          <w:rFonts w:ascii="Verdana" w:eastAsia="Arial" w:hAnsi="Verdana" w:cs="Arial"/>
          <w:lang w:val="es-ES" w:eastAsia="es-ES" w:bidi="es-ES"/>
        </w:rPr>
        <w:t>La Sala de Consulta y Servicio Civil del Consejo de Estado ha aclarado la distinción en la aplicación de las prohibiciones de la Ley 996 de 2005, dependiendo del tipo de elección que se trate. Al respecto, consid</w:t>
      </w:r>
      <w:r>
        <w:rPr>
          <w:rFonts w:ascii="Verdana" w:eastAsia="Arial" w:hAnsi="Verdana" w:cs="Arial"/>
          <w:lang w:val="es-ES" w:eastAsia="es-ES" w:bidi="es-ES"/>
        </w:rPr>
        <w:t>era</w:t>
      </w:r>
      <w:r w:rsidRPr="00E2397D">
        <w:rPr>
          <w:rFonts w:ascii="Verdana" w:eastAsia="Arial" w:hAnsi="Verdana" w:cs="Arial"/>
          <w:lang w:val="es-ES" w:eastAsia="es-ES" w:bidi="es-ES"/>
        </w:rPr>
        <w:t>:</w:t>
      </w:r>
    </w:p>
    <w:p w14:paraId="32435E7A" w14:textId="77777777" w:rsidR="00A6584F" w:rsidRPr="00E2397D" w:rsidRDefault="00A6584F" w:rsidP="00A6584F">
      <w:pPr>
        <w:widowControl w:val="0"/>
        <w:autoSpaceDE w:val="0"/>
        <w:autoSpaceDN w:val="0"/>
        <w:spacing w:after="0" w:line="276" w:lineRule="auto"/>
        <w:ind w:left="805" w:right="812"/>
        <w:contextualSpacing/>
        <w:jc w:val="both"/>
        <w:rPr>
          <w:rFonts w:ascii="Verdana" w:eastAsia="Arial" w:hAnsi="Verdana" w:cs="Arial"/>
          <w:lang w:val="es-ES" w:eastAsia="es-ES" w:bidi="es-ES"/>
        </w:rPr>
      </w:pPr>
    </w:p>
    <w:p w14:paraId="5D8C325B" w14:textId="77777777" w:rsidR="00A6584F" w:rsidRDefault="00A6584F" w:rsidP="00A6584F">
      <w:pPr>
        <w:widowControl w:val="0"/>
        <w:autoSpaceDE w:val="0"/>
        <w:autoSpaceDN w:val="0"/>
        <w:spacing w:after="0" w:line="240" w:lineRule="auto"/>
        <w:ind w:left="709" w:right="709"/>
        <w:jc w:val="both"/>
        <w:rPr>
          <w:rFonts w:ascii="Verdana" w:eastAsia="Arial" w:hAnsi="Verdana" w:cs="Arial"/>
          <w:lang w:val="es-ES" w:eastAsia="es-ES" w:bidi="es-ES"/>
        </w:rPr>
      </w:pPr>
      <w:r w:rsidRPr="00E2397D">
        <w:rPr>
          <w:rFonts w:ascii="Verdana" w:eastAsia="Arial" w:hAnsi="Verdana" w:cs="Arial"/>
          <w:sz w:val="20"/>
          <w:szCs w:val="20"/>
          <w:lang w:eastAsia="es-ES" w:bidi="es-ES"/>
        </w:rPr>
        <w:t xml:space="preserve">“La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se integran parcialmente, lo que permite concluir que en periodo preelectoral para elección de Presidente de la República, a todos los entes del Estado, incluidos los territoriales, se aplican las restricciones de los artículos 32 y 33 con sus excepciones, así como las del parágrafo del artículo 38. En cambio, para elecciones en general, excluyendo las correspondientes a </w:t>
      </w:r>
      <w:proofErr w:type="gramStart"/>
      <w:r w:rsidRPr="00E2397D">
        <w:rPr>
          <w:rFonts w:ascii="Verdana" w:eastAsia="Arial" w:hAnsi="Verdana" w:cs="Arial"/>
          <w:sz w:val="20"/>
          <w:szCs w:val="20"/>
          <w:lang w:eastAsia="es-ES" w:bidi="es-ES"/>
        </w:rPr>
        <w:t>Presidente</w:t>
      </w:r>
      <w:proofErr w:type="gramEnd"/>
      <w:r w:rsidRPr="00E2397D">
        <w:rPr>
          <w:rFonts w:ascii="Verdana" w:eastAsia="Arial" w:hAnsi="Verdana" w:cs="Arial"/>
          <w:sz w:val="20"/>
          <w:szCs w:val="20"/>
          <w:lang w:eastAsia="es-ES" w:bidi="es-ES"/>
        </w:rPr>
        <w:t xml:space="preserve"> de la República, a las autoridades territoriales allí mencionadas sólo se aplican las restricciones contenidas en el parágrafo del artículo 38”.</w:t>
      </w:r>
      <w:r w:rsidRPr="00E2397D">
        <w:rPr>
          <w:rFonts w:ascii="Verdana" w:eastAsia="Arial" w:hAnsi="Verdana" w:cs="Arial"/>
          <w:sz w:val="20"/>
          <w:szCs w:val="20"/>
          <w:vertAlign w:val="superscript"/>
          <w:lang w:eastAsia="es-ES" w:bidi="es-ES"/>
        </w:rPr>
        <w:footnoteReference w:id="11"/>
      </w:r>
    </w:p>
    <w:p w14:paraId="6674A433" w14:textId="77777777" w:rsidR="00A6584F" w:rsidRPr="00380CA4" w:rsidRDefault="00A6584F" w:rsidP="00A6584F">
      <w:pPr>
        <w:spacing w:after="0" w:line="276" w:lineRule="auto"/>
        <w:ind w:firstLine="709"/>
        <w:jc w:val="both"/>
        <w:rPr>
          <w:rFonts w:ascii="Verdana" w:eastAsia="Arial" w:hAnsi="Verdana" w:cs="Arial"/>
          <w:lang w:eastAsia="es-ES" w:bidi="es-ES"/>
        </w:rPr>
      </w:pPr>
    </w:p>
    <w:p w14:paraId="23CC1BE2" w14:textId="77777777" w:rsidR="00A6584F" w:rsidRPr="00380CA4" w:rsidRDefault="00A6584F" w:rsidP="00A6584F">
      <w:pPr>
        <w:spacing w:after="0" w:line="276" w:lineRule="auto"/>
        <w:jc w:val="both"/>
        <w:rPr>
          <w:rFonts w:ascii="Verdana" w:eastAsia="Times New Roman" w:hAnsi="Verdana" w:cs="Arial"/>
          <w:bCs/>
          <w:lang w:eastAsia="es-CO"/>
        </w:rPr>
      </w:pPr>
      <w:proofErr w:type="spellStart"/>
      <w:r>
        <w:rPr>
          <w:rFonts w:ascii="Verdana" w:eastAsia="Arial" w:hAnsi="Verdana" w:cs="Arial"/>
          <w:lang w:eastAsia="es-ES" w:bidi="es-ES"/>
        </w:rPr>
        <w:t>iii</w:t>
      </w:r>
      <w:proofErr w:type="spellEnd"/>
      <w:r>
        <w:rPr>
          <w:rFonts w:ascii="Verdana" w:eastAsia="Arial" w:hAnsi="Verdana" w:cs="Arial"/>
          <w:lang w:eastAsia="es-ES" w:bidi="es-ES"/>
        </w:rPr>
        <w:t>.</w:t>
      </w:r>
      <w:r w:rsidRPr="00380CA4">
        <w:rPr>
          <w:rFonts w:ascii="Verdana" w:eastAsia="Arial" w:hAnsi="Verdana" w:cs="Arial"/>
          <w:lang w:eastAsia="es-ES" w:bidi="es-ES"/>
        </w:rPr>
        <w:t xml:space="preserve"> </w:t>
      </w:r>
      <w:r w:rsidRPr="00380CA4">
        <w:rPr>
          <w:rFonts w:ascii="Verdana" w:eastAsia="Times New Roman" w:hAnsi="Verdana" w:cs="Arial"/>
          <w:bCs/>
          <w:lang w:eastAsia="x-none"/>
        </w:rPr>
        <w:t xml:space="preserve">El ámbito material de la prohibición contenida en el artículo 33 de la ley 996 de 2005 está delimitado por la expresión </w:t>
      </w:r>
      <w:r w:rsidRPr="00380CA4">
        <w:rPr>
          <w:rFonts w:ascii="Verdana" w:eastAsia="Calibri" w:hAnsi="Verdana" w:cs="Arial"/>
          <w:bCs/>
          <w:sz w:val="20"/>
          <w:szCs w:val="20"/>
        </w:rPr>
        <w:t>“</w:t>
      </w:r>
      <w:r w:rsidRPr="00380CA4">
        <w:rPr>
          <w:rFonts w:ascii="Verdana" w:eastAsia="Times New Roman" w:hAnsi="Verdana" w:cs="Arial"/>
          <w:bCs/>
          <w:lang w:eastAsia="x-none"/>
        </w:rPr>
        <w:t>queda prohibida la contratación directa</w:t>
      </w:r>
      <w:r w:rsidRPr="00380CA4">
        <w:rPr>
          <w:rFonts w:ascii="Verdana" w:eastAsia="Calibri" w:hAnsi="Verdana" w:cs="Arial"/>
          <w:sz w:val="20"/>
          <w:szCs w:val="20"/>
        </w:rPr>
        <w:t>”</w:t>
      </w:r>
      <w:r w:rsidRPr="00380CA4">
        <w:rPr>
          <w:rFonts w:ascii="Verdana" w:eastAsia="Times New Roman" w:hAnsi="Verdana" w:cs="Arial"/>
          <w:bCs/>
          <w:lang w:eastAsia="x-none"/>
        </w:rPr>
        <w:t xml:space="preserve">. </w:t>
      </w:r>
      <w:r w:rsidRPr="00380CA4">
        <w:rPr>
          <w:rFonts w:ascii="Verdana" w:eastAsia="Times New Roman" w:hAnsi="Verdana" w:cs="Arial"/>
          <w:lang w:eastAsia="es-CO"/>
        </w:rPr>
        <w:t xml:space="preserve"> A propósito de esta restricción de la Ley de Garantías Electorales, la Sala de Consulta y Servicio Civil del Consejo de Estado ha considerado que:</w:t>
      </w:r>
    </w:p>
    <w:p w14:paraId="68568165" w14:textId="77777777" w:rsidR="00A6584F" w:rsidRPr="00380CA4" w:rsidRDefault="00A6584F" w:rsidP="00A6584F">
      <w:pPr>
        <w:spacing w:after="0" w:line="240" w:lineRule="auto"/>
        <w:ind w:left="708" w:right="709"/>
        <w:jc w:val="both"/>
        <w:rPr>
          <w:rFonts w:ascii="Verdana" w:eastAsia="Calibri" w:hAnsi="Verdana" w:cs="Arial"/>
          <w:sz w:val="21"/>
          <w:szCs w:val="21"/>
        </w:rPr>
      </w:pPr>
    </w:p>
    <w:p w14:paraId="59AEE6CB" w14:textId="77777777" w:rsidR="00A6584F" w:rsidRPr="00380CA4" w:rsidRDefault="00A6584F" w:rsidP="00A6584F">
      <w:pPr>
        <w:spacing w:after="120" w:line="240" w:lineRule="auto"/>
        <w:ind w:left="709" w:right="709"/>
        <w:jc w:val="both"/>
        <w:rPr>
          <w:rFonts w:ascii="Verdana" w:eastAsia="Calibri" w:hAnsi="Verdana" w:cs="Arial"/>
          <w:sz w:val="20"/>
          <w:szCs w:val="20"/>
        </w:rPr>
      </w:pPr>
      <w:r w:rsidRPr="00380CA4">
        <w:rPr>
          <w:rFonts w:ascii="Verdana" w:eastAsia="Calibri" w:hAnsi="Verdana" w:cs="Arial"/>
          <w:sz w:val="20"/>
          <w:szCs w:val="20"/>
        </w:rPr>
        <w:lastRenderedPageBreak/>
        <w:t>La contratación directa es un mecanismo de selección de carácter excepcional, en virtud del cual las entidades públicas pueden contratar mediante un trámite simplificado, ágil y expedito sin necesidad de realizar previamente un proceso de licitación pública o concurso, únicamente en los casos en que expresa y taxativamente señale la ley (numeral 4, artículo 2, ley 1150 de 2007), y cumpliendo siempre los principios que rigen la contratación pública</w:t>
      </w:r>
      <w:r w:rsidRPr="00380CA4">
        <w:rPr>
          <w:rFonts w:ascii="Verdana" w:eastAsia="Times New Roman" w:hAnsi="Verdana" w:cs="Arial"/>
          <w:sz w:val="20"/>
          <w:szCs w:val="20"/>
          <w:vertAlign w:val="superscript"/>
          <w:lang w:eastAsia="es-CO"/>
        </w:rPr>
        <w:footnoteReference w:id="12"/>
      </w:r>
      <w:r w:rsidRPr="00380CA4">
        <w:rPr>
          <w:rFonts w:ascii="Verdana" w:eastAsia="Calibri" w:hAnsi="Verdana" w:cs="Arial"/>
          <w:sz w:val="20"/>
          <w:szCs w:val="20"/>
        </w:rPr>
        <w:t>.</w:t>
      </w:r>
    </w:p>
    <w:p w14:paraId="25D8D130" w14:textId="77777777" w:rsidR="00A6584F" w:rsidRPr="00380CA4" w:rsidRDefault="00A6584F" w:rsidP="00A6584F">
      <w:pPr>
        <w:spacing w:after="0" w:line="240" w:lineRule="auto"/>
        <w:ind w:left="708" w:right="709"/>
        <w:jc w:val="both"/>
        <w:rPr>
          <w:rFonts w:ascii="Verdana" w:eastAsia="Calibri" w:hAnsi="Verdana" w:cs="Arial"/>
          <w:sz w:val="20"/>
          <w:szCs w:val="20"/>
        </w:rPr>
      </w:pPr>
      <w:r w:rsidRPr="00380CA4">
        <w:rPr>
          <w:rFonts w:ascii="Verdana" w:eastAsia="Calibri" w:hAnsi="Verdana" w:cs="Arial"/>
          <w:sz w:val="20"/>
          <w:szCs w:val="20"/>
        </w:rPr>
        <w:t xml:space="preserve">Esta Sala ha entendido </w:t>
      </w:r>
      <w:proofErr w:type="gramStart"/>
      <w:r w:rsidRPr="00380CA4">
        <w:rPr>
          <w:rFonts w:ascii="Verdana" w:eastAsia="Calibri" w:hAnsi="Verdana" w:cs="Arial"/>
          <w:sz w:val="20"/>
          <w:szCs w:val="20"/>
        </w:rPr>
        <w:t>que</w:t>
      </w:r>
      <w:proofErr w:type="gramEnd"/>
      <w:r w:rsidRPr="00380CA4">
        <w:rPr>
          <w:rFonts w:ascii="Verdana" w:eastAsia="Calibri" w:hAnsi="Verdana" w:cs="Arial"/>
          <w:sz w:val="20"/>
          <w:szCs w:val="20"/>
        </w:rPr>
        <w:t xml:space="preserve"> para los efectos de la ley de garantías, y dada su finalidad, el enunciado ´contratación directa´ es sinónimo de cualquier sistema que no implique convocatoria pública y posibilidad de pluralidad de oferentes, y que, además, no necesariamente hace referencia al procedimiento especial regulado por la ley de contratación estatal, sino a cualquier otro que prescinda de un proceso de licitación pública o concurso</w:t>
      </w:r>
      <w:r w:rsidRPr="00380CA4">
        <w:rPr>
          <w:rFonts w:ascii="Verdana" w:eastAsia="Times New Roman" w:hAnsi="Verdana" w:cs="Arial"/>
          <w:sz w:val="20"/>
          <w:szCs w:val="20"/>
          <w:vertAlign w:val="superscript"/>
        </w:rPr>
        <w:footnoteReference w:id="13"/>
      </w:r>
      <w:r w:rsidRPr="00380CA4">
        <w:rPr>
          <w:rFonts w:ascii="Verdana" w:eastAsia="Times New Roman" w:hAnsi="Verdana" w:cs="Arial"/>
          <w:sz w:val="20"/>
          <w:szCs w:val="20"/>
          <w:vertAlign w:val="superscript"/>
        </w:rPr>
        <w:t>.</w:t>
      </w:r>
      <w:r w:rsidRPr="00380CA4">
        <w:rPr>
          <w:rFonts w:ascii="Verdana" w:eastAsia="Calibri" w:hAnsi="Verdana" w:cs="Arial"/>
          <w:sz w:val="20"/>
          <w:szCs w:val="20"/>
        </w:rPr>
        <w:t xml:space="preserve"> Por tanto, no son materia de la prohibición las demás modalidades de selección previstas en la ley 1150 de 2007, siendo estas, la licitación pública, el concurso de méritos y la selección abreviada, razón por la cual en ese periodo preelectoral de que trata la disposición pueden las entidades públicas seguir contratando bajo estos sistemas. [...]</w:t>
      </w:r>
      <w:r w:rsidRPr="00380CA4">
        <w:rPr>
          <w:rFonts w:ascii="Verdana" w:eastAsia="Times New Roman" w:hAnsi="Verdana" w:cs="Arial"/>
          <w:sz w:val="20"/>
          <w:szCs w:val="20"/>
          <w:vertAlign w:val="superscript"/>
          <w:lang w:eastAsia="es-CO"/>
        </w:rPr>
        <w:footnoteReference w:id="14"/>
      </w:r>
      <w:r w:rsidRPr="00380CA4">
        <w:rPr>
          <w:rFonts w:ascii="Verdana" w:eastAsia="Calibri" w:hAnsi="Verdana" w:cs="Arial"/>
          <w:sz w:val="20"/>
          <w:szCs w:val="20"/>
        </w:rPr>
        <w:t xml:space="preserve"> .</w:t>
      </w:r>
    </w:p>
    <w:p w14:paraId="09DDF74E" w14:textId="77777777" w:rsidR="00A6584F" w:rsidRPr="00380CA4" w:rsidRDefault="00A6584F" w:rsidP="00A6584F">
      <w:pPr>
        <w:shd w:val="clear" w:color="auto" w:fill="FFFFFF"/>
        <w:spacing w:after="0" w:line="276" w:lineRule="auto"/>
        <w:ind w:firstLine="709"/>
        <w:jc w:val="both"/>
        <w:rPr>
          <w:rFonts w:ascii="Verdana" w:eastAsia="Times New Roman" w:hAnsi="Verdana" w:cs="Arial"/>
          <w:lang w:eastAsia="x-none"/>
        </w:rPr>
      </w:pPr>
    </w:p>
    <w:p w14:paraId="23652F26" w14:textId="77777777" w:rsidR="00A6584F" w:rsidRPr="00380CA4" w:rsidRDefault="00A6584F" w:rsidP="00A6584F">
      <w:pPr>
        <w:spacing w:after="120" w:line="276" w:lineRule="auto"/>
        <w:ind w:firstLine="708"/>
        <w:jc w:val="both"/>
        <w:rPr>
          <w:rFonts w:ascii="Verdana" w:eastAsia="Times New Roman" w:hAnsi="Verdana" w:cs="Arial"/>
          <w:bCs/>
          <w:lang w:eastAsia="x-none"/>
        </w:rPr>
      </w:pPr>
      <w:r w:rsidRPr="00380CA4">
        <w:rPr>
          <w:rFonts w:ascii="Verdana" w:eastAsia="Times New Roman" w:hAnsi="Verdana" w:cs="Arial"/>
          <w:lang w:eastAsia="x-none"/>
        </w:rPr>
        <w:t xml:space="preserve">De acuerdo con el citado concepto, la prohibición del artículo 33 de la Ley de Garantías Electorales se refiere a </w:t>
      </w:r>
      <w:r w:rsidRPr="00380CA4">
        <w:rPr>
          <w:rFonts w:ascii="Verdana" w:eastAsia="Times New Roman" w:hAnsi="Verdana" w:cs="Arial"/>
          <w:sz w:val="19"/>
          <w:szCs w:val="19"/>
          <w:lang w:eastAsia="en-GB"/>
        </w:rPr>
        <w:t>“</w:t>
      </w:r>
      <w:r w:rsidRPr="00380CA4">
        <w:rPr>
          <w:rFonts w:ascii="Verdana" w:eastAsia="Times New Roman" w:hAnsi="Verdana" w:cs="Arial"/>
          <w:lang w:eastAsia="x-none"/>
        </w:rPr>
        <w:t>cualquier sistema que no implique convocatoria pública y posibilidad de pluralidad de oferentes</w:t>
      </w:r>
      <w:r w:rsidRPr="00380CA4">
        <w:rPr>
          <w:rFonts w:ascii="Verdana" w:eastAsia="Times New Roman" w:hAnsi="Verdana" w:cs="Arial"/>
          <w:lang w:eastAsia="en-GB"/>
        </w:rPr>
        <w:t>”</w:t>
      </w:r>
      <w:r w:rsidRPr="00380CA4">
        <w:rPr>
          <w:rFonts w:ascii="Verdana" w:eastAsia="Times New Roman" w:hAnsi="Verdana" w:cs="Arial"/>
          <w:lang w:eastAsia="x-none"/>
        </w:rPr>
        <w:t>, por lo que excluye las demás modalidades de contratación previstas en la Ley 1150 de 2007, es decir, la licitación pública, la selección abreviada, el concurso de méritos y la mínima cuantía</w:t>
      </w:r>
      <w:r w:rsidRPr="00380CA4" w:rsidDel="00A85D9F">
        <w:rPr>
          <w:rFonts w:ascii="Verdana" w:eastAsia="Times New Roman" w:hAnsi="Verdana" w:cs="Arial"/>
          <w:lang w:eastAsia="x-none"/>
        </w:rPr>
        <w:t xml:space="preserve"> </w:t>
      </w:r>
      <w:r w:rsidRPr="00380CA4">
        <w:rPr>
          <w:rFonts w:ascii="Verdana" w:eastAsia="Times New Roman" w:hAnsi="Verdana" w:cs="Arial"/>
          <w:lang w:eastAsia="x-none"/>
        </w:rPr>
        <w:t>u otros previstos en normas especiales. Esta posición es congruente con la expedición de la Ley 1150 de 2007 que, entre otras reformas, introdujo la selección abreviada, rediseñó el concurso de méritos</w:t>
      </w:r>
      <w:r w:rsidRPr="00380CA4">
        <w:rPr>
          <w:rFonts w:ascii="Verdana" w:eastAsia="Times New Roman" w:hAnsi="Verdana" w:cs="Arial"/>
          <w:vertAlign w:val="superscript"/>
          <w:lang w:eastAsia="x-none"/>
        </w:rPr>
        <w:footnoteReference w:id="15"/>
      </w:r>
      <w:r w:rsidRPr="00380CA4">
        <w:rPr>
          <w:rFonts w:ascii="Verdana" w:eastAsia="Times New Roman" w:hAnsi="Verdana" w:cs="Arial"/>
          <w:lang w:eastAsia="x-none"/>
        </w:rPr>
        <w:t xml:space="preserve"> y sistematizó las causales de contratación directa</w:t>
      </w:r>
      <w:r w:rsidRPr="00380CA4">
        <w:rPr>
          <w:rFonts w:ascii="Verdana" w:eastAsia="Times New Roman" w:hAnsi="Verdana" w:cs="Arial"/>
          <w:vertAlign w:val="superscript"/>
          <w:lang w:eastAsia="x-none"/>
        </w:rPr>
        <w:footnoteReference w:id="16"/>
      </w:r>
      <w:r w:rsidRPr="00380CA4">
        <w:rPr>
          <w:rFonts w:ascii="Verdana" w:eastAsia="Times New Roman" w:hAnsi="Verdana" w:cs="Arial"/>
          <w:lang w:eastAsia="x-none"/>
        </w:rPr>
        <w:t xml:space="preserve">, </w:t>
      </w:r>
      <w:r w:rsidRPr="00380CA4">
        <w:rPr>
          <w:rFonts w:ascii="Verdana" w:eastAsia="Calibri" w:hAnsi="Verdana" w:cs="Arial"/>
          <w:szCs w:val="24"/>
          <w:lang w:eastAsia="x-none"/>
        </w:rPr>
        <w:t>además lo es con la posterior creación de la modalidad de mínima cuantía establecida actualmente en el numeral 5 del artículo 2 de la Ley 1150 de 2007, de acuerdo con las modificaciones realizadas por leyes posteriores.</w:t>
      </w:r>
    </w:p>
    <w:p w14:paraId="7BCE870A" w14:textId="77777777" w:rsidR="00A6584F" w:rsidRPr="00F04D58" w:rsidRDefault="00A6584F" w:rsidP="00A6584F">
      <w:pPr>
        <w:spacing w:after="120" w:line="276" w:lineRule="auto"/>
        <w:ind w:firstLine="708"/>
        <w:jc w:val="both"/>
        <w:rPr>
          <w:rFonts w:ascii="Verdana" w:eastAsia="Times New Roman" w:hAnsi="Verdana" w:cs="Arial"/>
          <w:lang w:eastAsia="en-GB"/>
        </w:rPr>
      </w:pPr>
      <w:r w:rsidRPr="00380CA4">
        <w:rPr>
          <w:rFonts w:ascii="Verdana" w:eastAsia="Times New Roman" w:hAnsi="Verdana" w:cs="Arial"/>
          <w:lang w:eastAsia="x-none"/>
        </w:rPr>
        <w:t xml:space="preserve">De esta forma, con fundamento en la evolución de la normativa sobre la contratación pública, se ha depurado la noción de </w:t>
      </w:r>
      <w:r>
        <w:rPr>
          <w:rFonts w:ascii="Verdana" w:eastAsia="Times New Roman" w:hAnsi="Verdana" w:cs="Arial"/>
          <w:sz w:val="19"/>
          <w:szCs w:val="19"/>
          <w:lang w:eastAsia="en-GB"/>
        </w:rPr>
        <w:t>“</w:t>
      </w:r>
      <w:r w:rsidRPr="00380CA4">
        <w:rPr>
          <w:rFonts w:ascii="Verdana" w:eastAsia="Times New Roman" w:hAnsi="Verdana" w:cs="Arial"/>
          <w:lang w:eastAsia="x-none"/>
        </w:rPr>
        <w:t>contratación directa</w:t>
      </w:r>
      <w:r>
        <w:rPr>
          <w:rFonts w:ascii="Verdana" w:eastAsia="Times New Roman" w:hAnsi="Verdana" w:cs="Arial"/>
          <w:lang w:eastAsia="en-GB"/>
        </w:rPr>
        <w:t>”</w:t>
      </w:r>
      <w:r w:rsidRPr="00380CA4">
        <w:rPr>
          <w:rFonts w:ascii="Verdana" w:eastAsia="Times New Roman" w:hAnsi="Verdana" w:cs="Arial"/>
          <w:lang w:eastAsia="x-none"/>
        </w:rPr>
        <w:t xml:space="preserve">, </w:t>
      </w:r>
      <w:r w:rsidRPr="00380CA4">
        <w:rPr>
          <w:rFonts w:ascii="Verdana" w:eastAsia="Times New Roman" w:hAnsi="Verdana" w:cs="Arial"/>
          <w:lang w:eastAsia="x-none"/>
        </w:rPr>
        <w:lastRenderedPageBreak/>
        <w:t>precisando el Consejo de Estad</w:t>
      </w:r>
      <w:r>
        <w:rPr>
          <w:rFonts w:ascii="Verdana" w:eastAsia="Times New Roman" w:hAnsi="Verdana" w:cs="Arial"/>
          <w:lang w:eastAsia="x-none"/>
        </w:rPr>
        <w:t>o –en el concepto citado– que, “</w:t>
      </w:r>
      <w:r w:rsidRPr="00380CA4">
        <w:rPr>
          <w:rFonts w:ascii="Verdana" w:eastAsia="Times New Roman" w:hAnsi="Verdana" w:cs="Arial"/>
          <w:lang w:eastAsia="x-none"/>
        </w:rPr>
        <w:t>aun cuando no coincide única y exactamente con la regulación que de dicho sistema de selección hace el artículo 2º de la Ley 1150 de 2007, tampoco puede afirmarse que sea cualquier procedimiento de contratación distinto de la licitación pública, pues esto sería tanto como desconocer que el legislador, no solo en el Estatuto General de la Contratación de la Administración Pública, sino también en leyes especiales e, incluso, en el derecho privado</w:t>
      </w:r>
      <w:r w:rsidRPr="00380CA4">
        <w:rPr>
          <w:rFonts w:ascii="Verdana" w:eastAsia="Times New Roman" w:hAnsi="Verdana" w:cs="Arial"/>
          <w:vertAlign w:val="superscript"/>
          <w:lang w:eastAsia="x-none"/>
        </w:rPr>
        <w:footnoteReference w:id="17"/>
      </w:r>
      <w:r w:rsidRPr="00380CA4">
        <w:rPr>
          <w:rFonts w:ascii="Verdana" w:eastAsia="Times New Roman" w:hAnsi="Verdana" w:cs="Arial"/>
          <w:lang w:eastAsia="x-none"/>
        </w:rPr>
        <w:t>, han establecido sistemas de contratación que implican convocatoria pública y participación de varios oferentes</w:t>
      </w:r>
      <w:r>
        <w:rPr>
          <w:rFonts w:ascii="Verdana" w:eastAsia="Times New Roman" w:hAnsi="Verdana" w:cs="Arial"/>
          <w:lang w:eastAsia="en-GB"/>
        </w:rPr>
        <w:t>”</w:t>
      </w:r>
      <w:r w:rsidRPr="00380CA4">
        <w:rPr>
          <w:rFonts w:ascii="Verdana" w:eastAsia="Times New Roman" w:hAnsi="Verdana" w:cs="Arial"/>
          <w:lang w:eastAsia="x-none"/>
        </w:rPr>
        <w:t xml:space="preserve">. </w:t>
      </w:r>
    </w:p>
    <w:p w14:paraId="3D1F7A5A" w14:textId="77777777" w:rsidR="00A6584F" w:rsidRPr="00380CA4" w:rsidRDefault="00A6584F" w:rsidP="00A6584F">
      <w:pPr>
        <w:spacing w:after="120" w:line="276" w:lineRule="auto"/>
        <w:ind w:firstLine="708"/>
        <w:jc w:val="both"/>
        <w:rPr>
          <w:rFonts w:ascii="Verdana" w:eastAsia="Times New Roman" w:hAnsi="Verdana" w:cs="Arial"/>
          <w:bCs/>
          <w:lang w:eastAsia="es-CO"/>
        </w:rPr>
      </w:pPr>
      <w:r w:rsidRPr="00380CA4">
        <w:rPr>
          <w:rFonts w:ascii="Verdana" w:eastAsia="Times New Roman" w:hAnsi="Verdana" w:cs="Arial"/>
          <w:bCs/>
          <w:lang w:eastAsia="x-none"/>
        </w:rPr>
        <w:t>E</w:t>
      </w:r>
      <w:r w:rsidRPr="00380CA4">
        <w:rPr>
          <w:rFonts w:ascii="Verdana" w:eastAsia="Times New Roman" w:hAnsi="Verdana" w:cs="Arial"/>
          <w:lang w:eastAsia="x-none"/>
        </w:rPr>
        <w:t>n efecto, vale la pena mencionar que, en algunos sistemas de contratación, utilizados por entidades públicas con regímenes especiales, o sujetas al derecho privado, la convocatoria o invitación para contratar puede limitarse a aquellas personas que previamente se hayan inscrito en una lista de precalificados o de simples interesados, o en un determinado registro o banco de datos de proveedores. En estos casos, lo determinante para considerar que dicho sistema no constituye «contratación directa», es que la convocatoria para inscribirse en forma previa se haga de manera pública, y que se permita la participación de una pluralidad de oferentes</w:t>
      </w:r>
      <w:r w:rsidRPr="00380CA4">
        <w:rPr>
          <w:rFonts w:ascii="Verdana" w:eastAsia="Times New Roman" w:hAnsi="Verdana" w:cs="Arial"/>
          <w:vertAlign w:val="superscript"/>
          <w:lang w:eastAsia="x-none"/>
        </w:rPr>
        <w:footnoteReference w:id="18"/>
      </w:r>
      <w:r w:rsidRPr="00380CA4">
        <w:rPr>
          <w:rFonts w:ascii="Verdana" w:eastAsia="Times New Roman" w:hAnsi="Verdana" w:cs="Arial"/>
          <w:lang w:eastAsia="x-none"/>
        </w:rPr>
        <w:t xml:space="preserve">. </w:t>
      </w:r>
    </w:p>
    <w:p w14:paraId="7BA5A1F0" w14:textId="77777777" w:rsidR="00A6584F" w:rsidRPr="00380CA4" w:rsidRDefault="00A6584F" w:rsidP="00A6584F">
      <w:pPr>
        <w:spacing w:after="120" w:line="276" w:lineRule="auto"/>
        <w:ind w:firstLine="708"/>
        <w:jc w:val="both"/>
        <w:rPr>
          <w:rFonts w:ascii="Verdana" w:eastAsia="Times New Roman" w:hAnsi="Verdana" w:cs="Arial"/>
          <w:bCs/>
          <w:lang w:eastAsia="es-CO"/>
        </w:rPr>
      </w:pPr>
      <w:r w:rsidRPr="00380CA4">
        <w:rPr>
          <w:rFonts w:ascii="Verdana" w:eastAsia="Times New Roman" w:hAnsi="Verdana" w:cs="Arial"/>
          <w:bCs/>
          <w:lang w:eastAsia="es-CO"/>
        </w:rPr>
        <w:t>Como se advierte de lo anterior, el Consejo de Estado realiza una interpretación amplia de la contratación directa, para efectos de aplicar las restricciones establecidas en la Ley de Garantías, al señalar que no solo aplica frente a las entidades sometidas al Estatuto general de Contratación de la Administración Pública, sino también frente a las entidades que tengan un régimen especial de contratación. No obstante, también se observa que luego de la expedición de Ley 1150 de 2007, el Consejo de Estado comenzó a delimitar con</w:t>
      </w:r>
      <w:r>
        <w:rPr>
          <w:rFonts w:ascii="Verdana" w:eastAsia="Times New Roman" w:hAnsi="Verdana" w:cs="Arial"/>
          <w:bCs/>
          <w:lang w:eastAsia="es-CO"/>
        </w:rPr>
        <w:t xml:space="preserve"> mayor precisión el término de “contratación directa”</w:t>
      </w:r>
      <w:r w:rsidRPr="00380CA4">
        <w:rPr>
          <w:rFonts w:ascii="Verdana" w:eastAsia="Times New Roman" w:hAnsi="Verdana" w:cs="Arial"/>
          <w:bCs/>
          <w:lang w:eastAsia="es-CO"/>
        </w:rPr>
        <w:t>.</w:t>
      </w:r>
    </w:p>
    <w:p w14:paraId="1C426CD3" w14:textId="77777777" w:rsidR="00A6584F" w:rsidRPr="001052D1" w:rsidRDefault="00A6584F" w:rsidP="00A6584F">
      <w:pPr>
        <w:spacing w:after="120" w:line="276" w:lineRule="auto"/>
        <w:ind w:firstLine="708"/>
        <w:jc w:val="both"/>
        <w:rPr>
          <w:rFonts w:ascii="Verdana" w:eastAsia="Times New Roman" w:hAnsi="Verdana" w:cs="Arial"/>
          <w:bCs/>
          <w:lang w:eastAsia="x-none"/>
        </w:rPr>
      </w:pPr>
      <w:r w:rsidRPr="00380CA4">
        <w:rPr>
          <w:rFonts w:ascii="Verdana" w:eastAsia="Times New Roman" w:hAnsi="Verdana" w:cs="Arial"/>
          <w:bCs/>
          <w:lang w:eastAsia="x-none"/>
        </w:rPr>
        <w:t xml:space="preserve"> Así las cosas, ha de entenderse que, para los efectos de la Ley de Garantías Electorales y, en particular, para la prohibición o restricción temporal contenida en su artículo 33, “contratación directa” es cualquier sistema de selección o procedimiento de contratación utilizado por las entidades estatales que no incluya la convocatoria pública en alguna de sus etapas, ni permita la </w:t>
      </w:r>
      <w:r w:rsidRPr="00380CA4">
        <w:rPr>
          <w:rFonts w:ascii="Verdana" w:eastAsia="Times New Roman" w:hAnsi="Verdana" w:cs="Arial"/>
          <w:bCs/>
          <w:lang w:eastAsia="x-none"/>
        </w:rPr>
        <w:lastRenderedPageBreak/>
        <w:t>participación de una pluralidad de oferentes</w:t>
      </w:r>
      <w:r w:rsidRPr="00380CA4">
        <w:rPr>
          <w:rFonts w:ascii="Verdana" w:eastAsia="Times New Roman" w:hAnsi="Verdana" w:cs="Arial"/>
          <w:vertAlign w:val="superscript"/>
          <w:lang w:eastAsia="x-none"/>
        </w:rPr>
        <w:footnoteReference w:id="19"/>
      </w:r>
      <w:r w:rsidRPr="00380CA4">
        <w:rPr>
          <w:rFonts w:ascii="Verdana" w:eastAsia="Times New Roman" w:hAnsi="Verdana" w:cs="Arial"/>
          <w:bCs/>
          <w:lang w:eastAsia="x-none"/>
        </w:rPr>
        <w:t>.</w:t>
      </w:r>
      <w:r w:rsidRPr="00380CA4">
        <w:rPr>
          <w:rFonts w:ascii="Verdana" w:eastAsia="Times New Roman" w:hAnsi="Verdana" w:cs="Arial"/>
          <w:vertAlign w:val="superscript"/>
          <w:lang w:eastAsia="x-none"/>
        </w:rPr>
        <w:t xml:space="preserve"> </w:t>
      </w:r>
      <w:r w:rsidRPr="00380CA4">
        <w:rPr>
          <w:rFonts w:ascii="Verdana" w:eastAsia="Times New Roman" w:hAnsi="Verdana" w:cs="Arial"/>
          <w:bCs/>
          <w:lang w:eastAsia="x-none"/>
        </w:rPr>
        <w:t>De lo anterior se desprende que la restricción aplica, sin perjuicio de las excepciones establecidas en la misma ley, para celebrar cualquier contrato de forma directa, esto es, sin que exista un proceso abierto y competitivo.</w:t>
      </w:r>
      <w:r w:rsidRPr="00380CA4">
        <w:rPr>
          <w:rFonts w:ascii="Verdana" w:eastAsia="Times New Roman" w:hAnsi="Verdana" w:cs="Arial"/>
          <w:lang w:eastAsia="x-none"/>
        </w:rPr>
        <w:t xml:space="preserve"> Por tanto, no son materia de la prohibición las demás modalidades de selección previstas en la Ley 1150 de 2007, es decir, la licitación pública, el concurso de méritos, la selección abreviada y la mínima cuantía, razón por la cual en ese período preelectoral de que trata la disposición las entidades públicas pueden seguir contratando bajo estos sistemas.</w:t>
      </w:r>
    </w:p>
    <w:p w14:paraId="3B559F36" w14:textId="77777777" w:rsidR="00A6584F" w:rsidRDefault="00A6584F" w:rsidP="00A6584F">
      <w:pPr>
        <w:spacing w:after="120" w:line="276" w:lineRule="auto"/>
        <w:ind w:firstLine="708"/>
        <w:jc w:val="both"/>
        <w:rPr>
          <w:rFonts w:ascii="Verdana" w:eastAsia="Times New Roman" w:hAnsi="Verdana" w:cs="Arial"/>
          <w:bCs/>
          <w:lang w:eastAsia="x-none"/>
        </w:rPr>
      </w:pPr>
      <w:r w:rsidRPr="00380CA4">
        <w:rPr>
          <w:rFonts w:ascii="Verdana" w:eastAsia="Times New Roman" w:hAnsi="Verdana" w:cs="Arial"/>
          <w:bCs/>
          <w:lang w:eastAsia="x-none"/>
        </w:rPr>
        <w:t xml:space="preserve">De otro lado, las excepciones a la restricción prevista en la Ley de Garantías, con fundamento en las cuales podrán las entidades públicas adelantar procedimientos de selección directa en períodos previos a la contienda electoral por la Presidencia, se encuentran consagradas expresamente en el inciso final del citado artículo 33 de la Ley 996 de 2005 en lo referente a i) la defensa y seguridad del Estado; </w:t>
      </w:r>
      <w:proofErr w:type="spellStart"/>
      <w:r w:rsidRPr="00380CA4">
        <w:rPr>
          <w:rFonts w:ascii="Verdana" w:eastAsia="Times New Roman" w:hAnsi="Verdana" w:cs="Arial"/>
          <w:bCs/>
          <w:lang w:eastAsia="x-none"/>
        </w:rPr>
        <w:t>ii</w:t>
      </w:r>
      <w:proofErr w:type="spellEnd"/>
      <w:r w:rsidRPr="00380CA4">
        <w:rPr>
          <w:rFonts w:ascii="Verdana" w:eastAsia="Times New Roman" w:hAnsi="Verdana" w:cs="Arial"/>
          <w:bCs/>
          <w:lang w:eastAsia="x-none"/>
        </w:rPr>
        <w:t xml:space="preserve">) los contratos de crédito público; </w:t>
      </w:r>
      <w:proofErr w:type="spellStart"/>
      <w:r w:rsidRPr="00380CA4">
        <w:rPr>
          <w:rFonts w:ascii="Verdana" w:eastAsia="Times New Roman" w:hAnsi="Verdana" w:cs="Arial"/>
          <w:bCs/>
          <w:lang w:eastAsia="x-none"/>
        </w:rPr>
        <w:t>iii</w:t>
      </w:r>
      <w:proofErr w:type="spellEnd"/>
      <w:r w:rsidRPr="00380CA4">
        <w:rPr>
          <w:rFonts w:ascii="Verdana" w:eastAsia="Times New Roman" w:hAnsi="Verdana" w:cs="Arial"/>
          <w:bCs/>
          <w:lang w:eastAsia="x-none"/>
        </w:rPr>
        <w:t xml:space="preserve">) los requeridos para cubrir las emergencias educativas, sanitarias y desastres; </w:t>
      </w:r>
      <w:proofErr w:type="spellStart"/>
      <w:r w:rsidRPr="00380CA4">
        <w:rPr>
          <w:rFonts w:ascii="Verdana" w:eastAsia="Times New Roman" w:hAnsi="Verdana" w:cs="Arial"/>
          <w:bCs/>
          <w:lang w:eastAsia="x-none"/>
        </w:rPr>
        <w:t>iv</w:t>
      </w:r>
      <w:proofErr w:type="spellEnd"/>
      <w:r w:rsidRPr="00380CA4">
        <w:rPr>
          <w:rFonts w:ascii="Verdana" w:eastAsia="Times New Roman" w:hAnsi="Verdana" w:cs="Arial"/>
          <w:bCs/>
          <w:lang w:eastAsia="x-none"/>
        </w:rPr>
        <w:t>)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w:t>
      </w:r>
      <w:r>
        <w:rPr>
          <w:rFonts w:ascii="Verdana" w:eastAsia="Times New Roman" w:hAnsi="Verdana" w:cs="Arial"/>
          <w:bCs/>
          <w:lang w:eastAsia="x-none"/>
        </w:rPr>
        <w:t>s.</w:t>
      </w:r>
    </w:p>
    <w:p w14:paraId="5EC9BC2C" w14:textId="77777777" w:rsidR="00A6584F" w:rsidRDefault="00A6584F" w:rsidP="00A6584F">
      <w:pPr>
        <w:spacing w:after="120" w:line="276" w:lineRule="auto"/>
        <w:ind w:firstLine="708"/>
        <w:jc w:val="both"/>
        <w:rPr>
          <w:rFonts w:ascii="Verdana" w:eastAsia="Times New Roman" w:hAnsi="Verdana" w:cs="Arial"/>
          <w:bCs/>
          <w:lang w:eastAsia="es-CO"/>
        </w:rPr>
      </w:pPr>
      <w:r>
        <w:rPr>
          <w:rFonts w:ascii="Verdana" w:eastAsia="Times New Roman" w:hAnsi="Verdana" w:cs="Arial"/>
          <w:bCs/>
          <w:lang w:eastAsia="x-none"/>
        </w:rPr>
        <w:t>De acuerdo con dichas causales, e</w:t>
      </w:r>
      <w:r w:rsidRPr="00380CA4">
        <w:rPr>
          <w:rFonts w:ascii="Verdana" w:eastAsia="Times New Roman" w:hAnsi="Verdana" w:cs="Arial"/>
          <w:bCs/>
          <w:lang w:eastAsia="x-none"/>
        </w:rPr>
        <w:t>s.</w:t>
      </w:r>
      <w:r w:rsidRPr="00380CA4">
        <w:rPr>
          <w:rFonts w:ascii="Verdana" w:eastAsia="Times New Roman" w:hAnsi="Verdana" w:cs="Arial"/>
          <w:bCs/>
          <w:lang w:eastAsia="es-CO"/>
        </w:rPr>
        <w:t xml:space="preserve"> responsabilidad del respectivo ente del Estado, examinar en cada caso la naturaleza de las actividades que adelanta y determinar si las mismas se enmarcan en alguna de las mencionadas excepciones, de manera que se le permita realizar </w:t>
      </w:r>
      <w:r>
        <w:rPr>
          <w:rFonts w:ascii="Verdana" w:eastAsia="Times New Roman" w:hAnsi="Verdana" w:cs="Arial"/>
          <w:bCs/>
          <w:lang w:eastAsia="es-CO"/>
        </w:rPr>
        <w:t xml:space="preserve">la contratación que necesite de </w:t>
      </w:r>
      <w:r w:rsidRPr="00380CA4">
        <w:rPr>
          <w:rFonts w:ascii="Verdana" w:eastAsia="Times New Roman" w:hAnsi="Verdana" w:cs="Arial"/>
          <w:bCs/>
          <w:lang w:eastAsia="es-CO"/>
        </w:rPr>
        <w:t>forma directa.</w:t>
      </w:r>
      <w:r>
        <w:rPr>
          <w:rFonts w:ascii="Verdana" w:eastAsia="Times New Roman" w:hAnsi="Verdana" w:cs="Arial"/>
          <w:bCs/>
          <w:lang w:eastAsia="es-CO"/>
        </w:rPr>
        <w:t xml:space="preserve"> </w:t>
      </w:r>
    </w:p>
    <w:p w14:paraId="7C44D0DA" w14:textId="77777777" w:rsidR="00A6584F" w:rsidRDefault="00A6584F" w:rsidP="00A6584F">
      <w:pPr>
        <w:spacing w:after="120" w:line="276" w:lineRule="auto"/>
        <w:ind w:firstLine="708"/>
        <w:jc w:val="both"/>
        <w:rPr>
          <w:rFonts w:ascii="Verdana" w:eastAsia="Times New Roman" w:hAnsi="Verdana" w:cs="Arial"/>
          <w:bCs/>
          <w:lang w:eastAsia="x-none"/>
        </w:rPr>
      </w:pPr>
      <w:r w:rsidRPr="00380CA4">
        <w:rPr>
          <w:rFonts w:ascii="Verdana" w:eastAsia="Times New Roman" w:hAnsi="Verdana" w:cs="Arial"/>
          <w:bCs/>
          <w:lang w:eastAsia="x-none"/>
        </w:rPr>
        <w:t>En esta labor es importante tener en cuenta, como lo anotó la Corte Constitucional, en Sentencia C-1153 de noviembre 11 de 2005 que “si bien la limitación garantiza la igualdad de condiciones, también es necesario que tal limitación que pretende la igualdad no termine yendo en detrimento de intereses públicos, cuya garantía está en cabeza del ejecutivo, como son los inmersos en las excepciones para la prohibición de contratación”</w:t>
      </w:r>
      <w:r w:rsidRPr="00380CA4">
        <w:rPr>
          <w:rFonts w:ascii="Verdana" w:eastAsia="Calibri" w:hAnsi="Verdana" w:cs="Arial"/>
          <w:vertAlign w:val="superscript"/>
        </w:rPr>
        <w:footnoteReference w:id="20"/>
      </w:r>
      <w:r w:rsidRPr="00380CA4">
        <w:rPr>
          <w:rFonts w:ascii="Verdana" w:eastAsia="Times New Roman" w:hAnsi="Verdana" w:cs="Arial"/>
          <w:bCs/>
          <w:lang w:eastAsia="x-none"/>
        </w:rPr>
        <w:t xml:space="preserve">. De ahí que la Corte haya señalado que las excepciones a la restricción protegen diversos tipos de </w:t>
      </w:r>
      <w:r w:rsidRPr="00380CA4">
        <w:rPr>
          <w:rFonts w:ascii="Verdana" w:eastAsia="Times New Roman" w:hAnsi="Verdana" w:cs="Arial"/>
          <w:bCs/>
          <w:lang w:eastAsia="x-none"/>
        </w:rPr>
        <w:lastRenderedPageBreak/>
        <w:t>urgencias de defensa, salud, educación, infraestructura vial y de servicios públicos y ecológicas, que tienden a no limitar desproporcionadamente la acción del Estado en el cumplimiento de sus fines, en procura de la igualdad entre los candidatos como garantía electoral</w:t>
      </w:r>
      <w:r>
        <w:rPr>
          <w:rFonts w:ascii="Verdana" w:eastAsia="Times New Roman" w:hAnsi="Verdana" w:cs="Arial"/>
          <w:bCs/>
          <w:lang w:eastAsia="x-none"/>
        </w:rPr>
        <w:t>.</w:t>
      </w:r>
    </w:p>
    <w:p w14:paraId="770D3879" w14:textId="77777777" w:rsidR="00A6584F" w:rsidRPr="002A1E2D" w:rsidRDefault="00A6584F" w:rsidP="00A6584F">
      <w:pPr>
        <w:spacing w:after="120" w:line="276" w:lineRule="auto"/>
        <w:ind w:firstLine="708"/>
        <w:jc w:val="both"/>
        <w:rPr>
          <w:rFonts w:ascii="Verdana" w:eastAsia="Times New Roman" w:hAnsi="Verdana" w:cs="Arial"/>
          <w:bCs/>
          <w:lang w:eastAsia="x-none"/>
        </w:rPr>
      </w:pPr>
      <w:r w:rsidRPr="002A1E2D">
        <w:rPr>
          <w:rFonts w:ascii="Verdana" w:eastAsia="Times New Roman" w:hAnsi="Verdana" w:cs="Arial"/>
          <w:bCs/>
          <w:lang w:val="es-MX" w:eastAsia="x-none"/>
        </w:rPr>
        <w:t xml:space="preserve">Así mismo, la Corte Constitucional en la Sentencia C-1153 de 2005 señaló que la expresión </w:t>
      </w:r>
      <w:r w:rsidRPr="002A1E2D">
        <w:rPr>
          <w:rFonts w:ascii="Verdana" w:eastAsia="Times New Roman" w:hAnsi="Verdana" w:cs="Arial"/>
          <w:bCs/>
          <w:i/>
          <w:iCs/>
          <w:lang w:val="es-ES" w:eastAsia="x-none"/>
        </w:rPr>
        <w:t xml:space="preserve">“adicionalmente se exceptúan aquellos gastos inaplazables e imprescindibles que afecten el normal funcionamiento de la administración” </w:t>
      </w:r>
      <w:r w:rsidRPr="002A1E2D">
        <w:rPr>
          <w:rFonts w:ascii="Verdana" w:eastAsia="Times New Roman" w:hAnsi="Verdana" w:cs="Arial"/>
          <w:bCs/>
          <w:iCs/>
          <w:lang w:val="es-ES" w:eastAsia="x-none"/>
        </w:rPr>
        <w:t>regulada como excepción en el artículo 33</w:t>
      </w:r>
      <w:r w:rsidRPr="002A1E2D">
        <w:rPr>
          <w:rFonts w:ascii="Verdana" w:eastAsia="Times New Roman" w:hAnsi="Verdana" w:cs="Arial"/>
          <w:bCs/>
          <w:i/>
          <w:iCs/>
          <w:lang w:val="es-ES" w:eastAsia="x-none"/>
        </w:rPr>
        <w:t xml:space="preserve"> </w:t>
      </w:r>
      <w:r w:rsidRPr="002A1E2D">
        <w:rPr>
          <w:rFonts w:ascii="Verdana" w:eastAsia="Times New Roman" w:hAnsi="Verdana" w:cs="Arial"/>
          <w:bCs/>
          <w:iCs/>
          <w:lang w:val="es-ES" w:eastAsia="x-none"/>
        </w:rPr>
        <w:t>es demasiado amplia y ambigua, pues términos como inaplazable, imprescindible y normal funcionamiento son evaluativos y sujetos a interpretaciones diversas, lo que permitiría introducir múltiples excepciones que desfigurarían la prohibición original y comprometerían los fines y propósitos de la Ley de Garantías Electorales.</w:t>
      </w:r>
      <w:r w:rsidRPr="002A1E2D">
        <w:rPr>
          <w:rFonts w:ascii="Verdana" w:eastAsia="Times New Roman" w:hAnsi="Verdana" w:cs="Arial"/>
          <w:bCs/>
          <w:i/>
          <w:iCs/>
          <w:lang w:val="es-ES" w:eastAsia="x-none"/>
        </w:rPr>
        <w:t xml:space="preserve"> </w:t>
      </w:r>
      <w:r w:rsidRPr="002A1E2D">
        <w:rPr>
          <w:rFonts w:ascii="Verdana" w:eastAsia="Times New Roman" w:hAnsi="Verdana" w:cs="Arial"/>
          <w:bCs/>
          <w:iCs/>
          <w:lang w:val="es-ES" w:eastAsia="x-none"/>
        </w:rPr>
        <w:t>Por tanto, dicha expresión fue declarada inexequible, razón por la cual no es posible que las entidades argumenten razones como esta para exceptuar la restricción del artículo 33.</w:t>
      </w:r>
    </w:p>
    <w:p w14:paraId="513C6EC5" w14:textId="77777777" w:rsidR="00A6584F" w:rsidRPr="00380CA4" w:rsidRDefault="00A6584F" w:rsidP="00A6584F">
      <w:pPr>
        <w:spacing w:after="0" w:line="276" w:lineRule="auto"/>
        <w:ind w:firstLine="708"/>
        <w:jc w:val="both"/>
        <w:rPr>
          <w:rFonts w:ascii="Verdana" w:eastAsia="Times New Roman" w:hAnsi="Verdana" w:cs="Arial"/>
          <w:bCs/>
          <w:lang w:eastAsia="x-none"/>
        </w:rPr>
      </w:pPr>
      <w:r w:rsidRPr="00380CA4">
        <w:rPr>
          <w:rFonts w:ascii="Verdana" w:eastAsia="Times New Roman" w:hAnsi="Verdana" w:cs="Arial"/>
          <w:bCs/>
          <w:lang w:eastAsia="x-none"/>
        </w:rPr>
        <w:t>En relación con los destinatarios de la restricción analizada, el artículo 33 de la Ley 996 de 2005 los señala expresamente, en el sentido de que son “todos los entes del Estado”, expresión que contempla a los diferentes organismos o entidades autorizadas por la ley para suscribir contratos.</w:t>
      </w:r>
      <w:r w:rsidRPr="00380CA4">
        <w:rPr>
          <w:rFonts w:ascii="Verdana" w:eastAsia="Calibri" w:hAnsi="Verdana" w:cs="Arial"/>
          <w:sz w:val="24"/>
        </w:rPr>
        <w:t xml:space="preserve"> </w:t>
      </w:r>
      <w:r w:rsidRPr="00380CA4">
        <w:rPr>
          <w:rFonts w:ascii="Verdana" w:eastAsia="Times New Roman" w:hAnsi="Verdana" w:cs="Arial"/>
          <w:bCs/>
          <w:lang w:eastAsia="x-none"/>
        </w:rPr>
        <w:t>En efecto, tal como lo ha sostenido el Consejo de Estado, el vocablo “todos” utilizado por el legislador comprende</w:t>
      </w:r>
      <w:r w:rsidRPr="00380CA4">
        <w:rPr>
          <w:rFonts w:ascii="Verdana" w:eastAsia="Calibri" w:hAnsi="Verdana" w:cs="Arial"/>
          <w:sz w:val="24"/>
        </w:rPr>
        <w:t xml:space="preserve"> </w:t>
      </w:r>
      <w:r w:rsidRPr="00380CA4">
        <w:rPr>
          <w:rFonts w:ascii="Verdana" w:eastAsia="Times New Roman" w:hAnsi="Verdana" w:cs="Arial"/>
          <w:bCs/>
          <w:lang w:eastAsia="x-none"/>
        </w:rPr>
        <w:t xml:space="preserve">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 La Sala de Consulta y Servicio Civil del Consejo de Estado, en Concepto 1727 de fecha 20 de febrero de 2006, consideró que: </w:t>
      </w:r>
    </w:p>
    <w:p w14:paraId="16725C4D" w14:textId="77777777" w:rsidR="00A6584F" w:rsidRPr="00380CA4" w:rsidRDefault="00A6584F" w:rsidP="00A6584F">
      <w:pPr>
        <w:spacing w:after="0" w:line="276" w:lineRule="auto"/>
        <w:jc w:val="both"/>
        <w:rPr>
          <w:rFonts w:ascii="Verdana" w:eastAsia="Times New Roman" w:hAnsi="Verdana" w:cs="Arial"/>
          <w:bCs/>
          <w:lang w:eastAsia="x-none"/>
        </w:rPr>
      </w:pPr>
    </w:p>
    <w:p w14:paraId="3C4BBC8E" w14:textId="77777777" w:rsidR="00A6584F" w:rsidRPr="00625764" w:rsidRDefault="00A6584F" w:rsidP="00A6584F">
      <w:pPr>
        <w:spacing w:after="0" w:line="240" w:lineRule="auto"/>
        <w:ind w:left="708" w:right="709"/>
        <w:jc w:val="both"/>
        <w:rPr>
          <w:rFonts w:ascii="Verdana" w:eastAsia="Times New Roman" w:hAnsi="Verdana" w:cs="Arial"/>
          <w:bCs/>
          <w:sz w:val="20"/>
          <w:szCs w:val="20"/>
          <w:lang w:eastAsia="es-CO"/>
        </w:rPr>
      </w:pPr>
      <w:r w:rsidRPr="00625764">
        <w:rPr>
          <w:rFonts w:ascii="Verdana" w:eastAsia="Times New Roman" w:hAnsi="Verdana" w:cs="Arial"/>
          <w:bCs/>
          <w:sz w:val="20"/>
          <w:szCs w:val="20"/>
          <w:lang w:eastAsia="x-none"/>
        </w:rPr>
        <w:t xml:space="preserve">El artículo 33 de la ley 996 de 2005, efectivamente se aplica incluso a las entidades estatales con régimen especial de contratación y que están exceptuadas del ámbito de aplicación del Estatuto General de Contratación de la Administración Pública, como por ejemplo los prestadores de servicios públicos domiciliarios (empresas de servicios públicos oficiales y empresas industriales y comerciales del Estado) y a los municipios </w:t>
      </w:r>
      <w:r w:rsidRPr="00625764">
        <w:rPr>
          <w:rFonts w:ascii="Verdana" w:eastAsia="Times New Roman" w:hAnsi="Verdana" w:cs="Arial"/>
          <w:bCs/>
          <w:sz w:val="20"/>
          <w:szCs w:val="20"/>
          <w:lang w:eastAsia="x-none"/>
        </w:rPr>
        <w:lastRenderedPageBreak/>
        <w:t>prestadores directos, incluyendo las excepciones contenidas en el segundo inciso de esta norma</w:t>
      </w:r>
      <w:r w:rsidRPr="00625764">
        <w:rPr>
          <w:rFonts w:ascii="Verdana" w:eastAsia="Times New Roman" w:hAnsi="Verdana" w:cs="Arial"/>
          <w:bCs/>
          <w:sz w:val="20"/>
          <w:szCs w:val="20"/>
          <w:vertAlign w:val="superscript"/>
          <w:lang w:eastAsia="x-none"/>
        </w:rPr>
        <w:footnoteReference w:id="21"/>
      </w:r>
      <w:r w:rsidRPr="00625764">
        <w:rPr>
          <w:rFonts w:ascii="Verdana" w:eastAsia="Times New Roman" w:hAnsi="Verdana" w:cs="Arial"/>
          <w:bCs/>
          <w:sz w:val="20"/>
          <w:szCs w:val="20"/>
          <w:lang w:eastAsia="x-none"/>
        </w:rPr>
        <w:t>.</w:t>
      </w:r>
      <w:r w:rsidRPr="00625764">
        <w:rPr>
          <w:rFonts w:ascii="Verdana" w:eastAsia="Times New Roman" w:hAnsi="Verdana" w:cs="Arial"/>
          <w:bCs/>
          <w:sz w:val="20"/>
          <w:szCs w:val="20"/>
          <w:lang w:eastAsia="es-CO"/>
        </w:rPr>
        <w:t xml:space="preserve"> </w:t>
      </w:r>
    </w:p>
    <w:p w14:paraId="408D7179" w14:textId="77777777" w:rsidR="00A6584F" w:rsidRPr="00380CA4" w:rsidRDefault="00A6584F" w:rsidP="00A6584F">
      <w:pPr>
        <w:spacing w:after="0" w:line="276" w:lineRule="auto"/>
        <w:ind w:firstLine="708"/>
        <w:jc w:val="both"/>
        <w:rPr>
          <w:rFonts w:ascii="Verdana" w:eastAsia="Times New Roman" w:hAnsi="Verdana" w:cs="Arial"/>
          <w:bCs/>
          <w:lang w:eastAsia="es-CO"/>
        </w:rPr>
      </w:pPr>
    </w:p>
    <w:p w14:paraId="0D46F94A" w14:textId="77777777" w:rsidR="00A6584F" w:rsidRPr="00380CA4" w:rsidRDefault="00A6584F" w:rsidP="00A6584F">
      <w:pPr>
        <w:spacing w:after="0" w:line="276" w:lineRule="auto"/>
        <w:ind w:firstLine="708"/>
        <w:jc w:val="both"/>
        <w:rPr>
          <w:rFonts w:ascii="Verdana" w:eastAsia="Calibri" w:hAnsi="Verdana" w:cs="Arial"/>
        </w:rPr>
      </w:pPr>
      <w:r w:rsidRPr="00380CA4">
        <w:rPr>
          <w:rFonts w:ascii="Verdana" w:eastAsia="Times New Roman" w:hAnsi="Verdana" w:cs="Arial"/>
          <w:bCs/>
          <w:lang w:eastAsia="x-none"/>
        </w:rPr>
        <w:t>De igual forma, en Concepto con radicado 1738 del 6 de abril de 2006, esa misma Corporación manifestó que “Las restricciones de la Ley de Garantías en materia de contratación directa y celebración de convenios interadministrativos, se aplican a las empresas industriales y comerciales del Estado y a las Sociedades de Economía Mixta, salvo cuando la celebración de un convenio interadministrativo sea ordenada, para ambas partes, por el Legislador”</w:t>
      </w:r>
      <w:r w:rsidRPr="00380CA4">
        <w:rPr>
          <w:rFonts w:ascii="Verdana" w:eastAsia="Calibri" w:hAnsi="Verdana" w:cs="Arial"/>
          <w:sz w:val="24"/>
          <w:vertAlign w:val="superscript"/>
        </w:rPr>
        <w:footnoteReference w:id="22"/>
      </w:r>
      <w:r w:rsidRPr="00380CA4">
        <w:rPr>
          <w:rFonts w:ascii="Verdana" w:eastAsia="Times New Roman" w:hAnsi="Verdana" w:cs="Arial"/>
          <w:bCs/>
          <w:lang w:eastAsia="x-none"/>
        </w:rPr>
        <w:t>.</w:t>
      </w:r>
      <w:r w:rsidRPr="00380CA4">
        <w:rPr>
          <w:rFonts w:ascii="Verdana" w:eastAsia="Calibri" w:hAnsi="Verdana" w:cs="Arial"/>
        </w:rPr>
        <w:t xml:space="preserve"> Además, la Sala de Consulta y Servicio Civil del Consejo de Estado realizó la siguiente distinción, retomando el pronunciamiento de la misma sala del 20 de febrero de 2006, citado anteriormente:</w:t>
      </w:r>
    </w:p>
    <w:p w14:paraId="76D6468C" w14:textId="77777777" w:rsidR="00A6584F" w:rsidRPr="00380CA4" w:rsidRDefault="00A6584F" w:rsidP="00A6584F">
      <w:pPr>
        <w:spacing w:after="0" w:line="276" w:lineRule="auto"/>
        <w:jc w:val="both"/>
        <w:rPr>
          <w:rFonts w:ascii="Verdana" w:eastAsia="Calibri" w:hAnsi="Verdana" w:cs="Arial"/>
        </w:rPr>
      </w:pPr>
    </w:p>
    <w:p w14:paraId="155D71AE" w14:textId="77777777" w:rsidR="00A6584F" w:rsidRPr="00380CA4" w:rsidRDefault="00A6584F" w:rsidP="00A6584F">
      <w:pPr>
        <w:spacing w:after="0" w:line="240" w:lineRule="auto"/>
        <w:ind w:left="708" w:right="709"/>
        <w:jc w:val="both"/>
        <w:rPr>
          <w:rFonts w:ascii="Verdana" w:eastAsia="Calibri" w:hAnsi="Verdana" w:cs="Arial"/>
          <w:sz w:val="20"/>
          <w:szCs w:val="20"/>
        </w:rPr>
      </w:pPr>
      <w:r w:rsidRPr="00380CA4">
        <w:rPr>
          <w:rFonts w:ascii="Verdana" w:eastAsia="Calibri" w:hAnsi="Verdana" w:cs="Arial"/>
          <w:sz w:val="20"/>
          <w:szCs w:val="20"/>
        </w:rPr>
        <w:t>En el concepto No. 1727 de fecha 20 de febrero de 2006, ésta Sala distinguió dos clases de contratos en relación con las empresas de servicios públicos domiciliarios: unos, en los que la posición de la empresa es la de consumidora de las prestaciones objeto del contrato, que utiliza para la prestación de los servicios a su cargo, y los otros, en los que la empresa entrega esos servicios a los usuarios, conforme a unas reglas uniformes para todos ellos y sin que haya privilegios o tratos desiguales. En los primeros contratos, es claro que la empresa debe adquirir esos bienes previa licitación pública, según se expuso anteriormente, pero en el segundo caso, las empresas no pueden dejar de entregar los servicios públicos a su cargo a nuevas personas, ni dejar de renovar los contratos existentes, pues significaría la parálisis de una actividad propia de la administración, que incluso podría desconocer los derechos fundamentales.</w:t>
      </w:r>
    </w:p>
    <w:p w14:paraId="3CDEEDC3" w14:textId="77777777" w:rsidR="00A6584F" w:rsidRPr="00380CA4" w:rsidRDefault="00A6584F" w:rsidP="00A6584F">
      <w:pPr>
        <w:spacing w:after="0" w:line="240" w:lineRule="auto"/>
        <w:ind w:left="708" w:right="709"/>
        <w:jc w:val="both"/>
        <w:rPr>
          <w:rFonts w:ascii="Verdana" w:eastAsia="Calibri" w:hAnsi="Verdana" w:cs="Arial"/>
          <w:sz w:val="20"/>
          <w:szCs w:val="20"/>
        </w:rPr>
      </w:pPr>
    </w:p>
    <w:p w14:paraId="4F542B9A" w14:textId="77777777" w:rsidR="00A6584F" w:rsidRPr="00380CA4" w:rsidRDefault="00A6584F" w:rsidP="00A6584F">
      <w:pPr>
        <w:spacing w:after="0" w:line="240" w:lineRule="auto"/>
        <w:ind w:left="708" w:right="709"/>
        <w:jc w:val="both"/>
        <w:rPr>
          <w:rFonts w:ascii="Verdana" w:eastAsia="Calibri" w:hAnsi="Verdana" w:cs="Arial"/>
          <w:sz w:val="20"/>
          <w:szCs w:val="20"/>
        </w:rPr>
      </w:pPr>
      <w:r w:rsidRPr="00380CA4">
        <w:rPr>
          <w:rFonts w:ascii="Verdana" w:eastAsia="Times New Roman" w:hAnsi="Verdana" w:cs="Arial"/>
          <w:bCs/>
          <w:sz w:val="20"/>
          <w:szCs w:val="20"/>
          <w:lang w:eastAsia="x-none"/>
        </w:rPr>
        <w:t xml:space="preserve">Aplicando este razonamiento a los establecimientos de crédito, a las sociedades de servicios financieros y a las entidades aseguradoras, </w:t>
      </w:r>
      <w:r w:rsidRPr="00380CA4">
        <w:rPr>
          <w:rFonts w:ascii="Verdana" w:eastAsia="Times New Roman" w:hAnsi="Verdana" w:cs="Arial"/>
          <w:bCs/>
          <w:sz w:val="20"/>
          <w:szCs w:val="20"/>
          <w:lang w:eastAsia="x-none"/>
        </w:rPr>
        <w:lastRenderedPageBreak/>
        <w:t>encontramos que no pueden adquirir los suministros de bienes y servicios necesarios para la realización de su actividad por contratación directa sino por el mecanismo de la licitación pública, pero es obvio que si una de éstas entidades va a prestar un servicio financiero o de seguros a un particular, lo puede hacer, pues éstos se ofrecen a toda la comunidad en condiciones de igualdad. Si se supusiera que está prohibida su contratación directa, significaría la parálisis de tal actividad de interés público, lo que de ninguna manera es lo querido por la ley 996 de 2005</w:t>
      </w:r>
      <w:r w:rsidRPr="00380CA4">
        <w:rPr>
          <w:rFonts w:ascii="Verdana" w:eastAsia="Calibri" w:hAnsi="Verdana" w:cs="Arial"/>
          <w:sz w:val="20"/>
          <w:szCs w:val="20"/>
          <w:vertAlign w:val="superscript"/>
        </w:rPr>
        <w:footnoteReference w:id="23"/>
      </w:r>
      <w:r w:rsidRPr="00380CA4">
        <w:rPr>
          <w:rFonts w:ascii="Verdana" w:eastAsia="Times New Roman" w:hAnsi="Verdana" w:cs="Arial"/>
          <w:bCs/>
          <w:sz w:val="20"/>
          <w:szCs w:val="20"/>
          <w:lang w:eastAsia="x-none"/>
        </w:rPr>
        <w:t>.</w:t>
      </w:r>
    </w:p>
    <w:p w14:paraId="6B19A403" w14:textId="77777777" w:rsidR="00A6584F" w:rsidRPr="00380CA4" w:rsidRDefault="00A6584F" w:rsidP="00A6584F">
      <w:pPr>
        <w:spacing w:after="0" w:line="276" w:lineRule="auto"/>
        <w:jc w:val="both"/>
        <w:rPr>
          <w:rFonts w:ascii="Verdana" w:eastAsia="Calibri" w:hAnsi="Verdana" w:cs="Arial"/>
        </w:rPr>
      </w:pPr>
    </w:p>
    <w:p w14:paraId="51B5E499" w14:textId="77777777" w:rsidR="00A6584F" w:rsidRDefault="00A6584F" w:rsidP="00A6584F">
      <w:pPr>
        <w:spacing w:after="0" w:line="276" w:lineRule="auto"/>
        <w:ind w:firstLine="709"/>
        <w:jc w:val="both"/>
        <w:rPr>
          <w:rFonts w:ascii="Verdana" w:eastAsiaTheme="minorEastAsia" w:hAnsi="Verdana" w:cs="Arial"/>
          <w:lang w:eastAsia="es-CO"/>
        </w:rPr>
      </w:pPr>
      <w:r w:rsidRPr="00380CA4">
        <w:rPr>
          <w:rFonts w:ascii="Verdana" w:eastAsia="Calibri" w:hAnsi="Verdana" w:cs="Arial"/>
        </w:rPr>
        <w:t xml:space="preserve">De acuerdo con estos pronunciamientos de la Sala de Consulta y Servicio Civil del Consejo de Estado, la prohibición de la contratación directa también aplica frente a las entidades exceptuadas de la aplicación del EGCAP y que se rigen en materia contractual por el derecho privado. Sin embargo, señaló que </w:t>
      </w:r>
      <w:r>
        <w:rPr>
          <w:rFonts w:ascii="Verdana" w:eastAsia="Calibri" w:hAnsi="Verdana" w:cs="Arial"/>
        </w:rPr>
        <w:t>l</w:t>
      </w:r>
      <w:r w:rsidRPr="00C15179">
        <w:rPr>
          <w:rFonts w:ascii="Verdana" w:eastAsia="Times New Roman" w:hAnsi="Verdana" w:cs="Arial"/>
          <w:bCs/>
          <w:lang w:val="es-ES" w:eastAsia="es-CO"/>
        </w:rPr>
        <w:t>a Sala de Consulta y Servicio Civil del Consejo de Estado ha señalado que las restricciones de la Ley de Garantías Electorales deben interpretarse con especial cuidado cuando se trata de Empresas de Servicios Públicos Domiciliarios. En el Concepto 1727 de 2006, la Sala precisó que, aunque la norma limita la contratación directa durante la campaña presidencial, existen excepciones justificadas por razones de orden público social, particularmente en lo relacionado con la prestación de servicios públicos esenciales</w:t>
      </w:r>
      <w:r>
        <w:rPr>
          <w:rFonts w:ascii="Verdana" w:eastAsia="Times New Roman" w:hAnsi="Verdana" w:cs="Arial"/>
          <w:bCs/>
          <w:lang w:val="es-ES" w:eastAsia="es-CO"/>
        </w:rPr>
        <w:t>. Al respecto, expresó</w:t>
      </w:r>
      <w:r>
        <w:rPr>
          <w:rFonts w:ascii="Verdana" w:eastAsia="Calibri" w:hAnsi="Verdana" w:cs="Arial"/>
          <w:lang w:val="es-MX"/>
        </w:rPr>
        <w:t>:</w:t>
      </w:r>
    </w:p>
    <w:p w14:paraId="4A0FB5CC" w14:textId="77777777" w:rsidR="00A6584F" w:rsidRDefault="00A6584F" w:rsidP="00A6584F">
      <w:pPr>
        <w:spacing w:after="0" w:line="276" w:lineRule="auto"/>
        <w:ind w:left="709" w:right="709"/>
        <w:jc w:val="both"/>
        <w:rPr>
          <w:rFonts w:ascii="Verdana" w:eastAsia="Calibri" w:hAnsi="Verdana" w:cs="Arial"/>
          <w:sz w:val="20"/>
          <w:szCs w:val="20"/>
        </w:rPr>
      </w:pPr>
    </w:p>
    <w:p w14:paraId="57BE2262" w14:textId="77777777" w:rsidR="00A6584F" w:rsidRDefault="00A6584F" w:rsidP="00A6584F">
      <w:pPr>
        <w:spacing w:after="0" w:line="240" w:lineRule="auto"/>
        <w:ind w:left="709" w:right="709"/>
        <w:jc w:val="both"/>
        <w:rPr>
          <w:rFonts w:ascii="Verdana" w:eastAsia="Times New Roman" w:hAnsi="Verdana" w:cs="Arial"/>
          <w:lang w:eastAsia="es-CO"/>
        </w:rPr>
      </w:pPr>
      <w:r w:rsidRPr="002D1225">
        <w:rPr>
          <w:rFonts w:ascii="Verdana" w:eastAsia="Calibri" w:hAnsi="Verdana" w:cs="Arial"/>
          <w:sz w:val="20"/>
          <w:szCs w:val="20"/>
        </w:rPr>
        <w:t xml:space="preserve">“[…] en la medida en que los reglamentos internos de una empresa de servicios públicos domiciliarios determinen que la adquisición de algún insumo esencial para la prestación del servicio se realice por contratación directa, y que mientras se adelanta el trámite de la licitación pública del artículo 860 del código de comercio puede verse suspendido o gravemente afectado el servicio a su cargo, para evitar esta emergencia puede acudir a la contratación directa, pues se encontraría dentro de la excepción a la prohibición por causa de la sanidad y del mantenimiento del orden público en su elemento de salubridad, esenciales a la organización del Estado. Se anota </w:t>
      </w:r>
      <w:proofErr w:type="gramStart"/>
      <w:r w:rsidRPr="002D1225">
        <w:rPr>
          <w:rFonts w:ascii="Verdana" w:eastAsia="Calibri" w:hAnsi="Verdana" w:cs="Arial"/>
          <w:sz w:val="20"/>
          <w:szCs w:val="20"/>
        </w:rPr>
        <w:t>que</w:t>
      </w:r>
      <w:proofErr w:type="gramEnd"/>
      <w:r w:rsidRPr="002D1225">
        <w:rPr>
          <w:rFonts w:ascii="Verdana" w:eastAsia="Calibri" w:hAnsi="Verdana" w:cs="Arial"/>
          <w:sz w:val="20"/>
          <w:szCs w:val="20"/>
        </w:rPr>
        <w:t xml:space="preserve"> frente a los servicios públicos domiciliarios, los usuarios tienen un derecho subjetivo a su prestación, que en veces está en conexión con los derechos fundamentales, como en el caso de los servicios del acueducto, alcantarillado, saneamiento básico, </w:t>
      </w:r>
      <w:proofErr w:type="spellStart"/>
      <w:r w:rsidRPr="002D1225">
        <w:rPr>
          <w:rFonts w:ascii="Verdana" w:eastAsia="Calibri" w:hAnsi="Verdana" w:cs="Arial"/>
          <w:sz w:val="20"/>
          <w:szCs w:val="20"/>
        </w:rPr>
        <w:t>etc</w:t>
      </w:r>
      <w:proofErr w:type="spellEnd"/>
      <w:r>
        <w:rPr>
          <w:rFonts w:ascii="Verdana" w:eastAsia="Calibri" w:hAnsi="Verdana" w:cs="Arial"/>
          <w:lang w:val="es-MX"/>
        </w:rPr>
        <w:t>”</w:t>
      </w:r>
      <w:r w:rsidRPr="0057193B">
        <w:rPr>
          <w:rFonts w:ascii="Verdana" w:eastAsia="Calibri" w:hAnsi="Verdana" w:cs="Arial"/>
          <w:vertAlign w:val="superscript"/>
          <w:lang w:val="es-MX"/>
        </w:rPr>
        <w:footnoteReference w:id="24"/>
      </w:r>
      <w:r w:rsidRPr="0057193B">
        <w:rPr>
          <w:rFonts w:ascii="Verdana" w:eastAsia="Calibri" w:hAnsi="Verdana" w:cs="Arial"/>
          <w:lang w:val="es-MX"/>
        </w:rPr>
        <w:t>.</w:t>
      </w:r>
      <w:r w:rsidRPr="0057193B">
        <w:rPr>
          <w:rFonts w:ascii="Verdana" w:eastAsia="Times New Roman" w:hAnsi="Verdana" w:cs="Arial"/>
          <w:lang w:eastAsia="es-CO"/>
        </w:rPr>
        <w:t xml:space="preserve"> </w:t>
      </w:r>
    </w:p>
    <w:p w14:paraId="3439EA2F" w14:textId="77777777" w:rsidR="00A6584F" w:rsidRDefault="00A6584F" w:rsidP="00A6584F">
      <w:pPr>
        <w:spacing w:after="0" w:line="276" w:lineRule="auto"/>
        <w:ind w:left="709" w:right="709"/>
        <w:jc w:val="both"/>
        <w:rPr>
          <w:rFonts w:ascii="Verdana" w:eastAsia="Calibri" w:hAnsi="Verdana" w:cs="Arial"/>
          <w:sz w:val="20"/>
          <w:szCs w:val="20"/>
        </w:rPr>
      </w:pPr>
    </w:p>
    <w:p w14:paraId="2CD9EC16" w14:textId="77777777" w:rsidR="00A6584F" w:rsidRPr="00C15525" w:rsidRDefault="00A6584F" w:rsidP="00A6584F">
      <w:pPr>
        <w:spacing w:after="0" w:line="276" w:lineRule="auto"/>
        <w:ind w:firstLine="709"/>
        <w:jc w:val="both"/>
        <w:rPr>
          <w:rFonts w:ascii="Verdana" w:eastAsia="Arial" w:hAnsi="Verdana" w:cs="Arial"/>
          <w:lang w:val="es-ES" w:eastAsia="es-ES" w:bidi="es-ES"/>
        </w:rPr>
      </w:pPr>
      <w:r>
        <w:rPr>
          <w:rFonts w:ascii="Verdana" w:hAnsi="Verdana" w:cs="Arial"/>
          <w:lang w:val="es-ES_tradnl"/>
        </w:rPr>
        <w:lastRenderedPageBreak/>
        <w:t xml:space="preserve">En otro asunto, materia de estudio, </w:t>
      </w:r>
      <w:r w:rsidRPr="00C15525">
        <w:rPr>
          <w:rFonts w:ascii="Verdana" w:eastAsia="Calibri" w:hAnsi="Verdana" w:cs="Arial"/>
          <w:color w:val="000000" w:themeColor="text1"/>
        </w:rPr>
        <w:t xml:space="preserve">es importante </w:t>
      </w:r>
      <w:r w:rsidRPr="00C15525">
        <w:rPr>
          <w:rFonts w:ascii="Verdana" w:eastAsia="Calibri" w:hAnsi="Verdana" w:cs="Arial"/>
          <w:bCs/>
          <w:color w:val="000000" w:themeColor="text1"/>
        </w:rPr>
        <w:t xml:space="preserve">tener en cuenta </w:t>
      </w:r>
      <w:r w:rsidRPr="00C15525">
        <w:rPr>
          <w:rFonts w:ascii="Verdana" w:eastAsia="Arial" w:hAnsi="Verdana" w:cs="Arial"/>
          <w:lang w:val="es-ES" w:eastAsia="es-ES" w:bidi="es-ES"/>
        </w:rPr>
        <w:t>el pronunciamiento de la Sala de Consulta y Servicio Civil del Consejo de Estado, el cual precisó, respecto del artículo 5 de la Ley 109 de 1994, que cuando excepcionalmente el contrato o convenio interadministrativo es ordenado por una ley, su celebración no resultaría violatoria de la restricción a la contratación directa contenida en la Ley 996 de 2005:</w:t>
      </w:r>
    </w:p>
    <w:p w14:paraId="3F42C7C2" w14:textId="77777777" w:rsidR="00A6584F" w:rsidRPr="00C15525" w:rsidRDefault="00A6584F" w:rsidP="00A6584F">
      <w:pPr>
        <w:widowControl w:val="0"/>
        <w:autoSpaceDE w:val="0"/>
        <w:autoSpaceDN w:val="0"/>
        <w:spacing w:after="0" w:line="276" w:lineRule="auto"/>
        <w:jc w:val="both"/>
        <w:rPr>
          <w:rFonts w:ascii="Verdana" w:eastAsia="Arial" w:hAnsi="Verdana" w:cs="Arial"/>
          <w:lang w:val="es-ES" w:eastAsia="es-ES" w:bidi="es-ES"/>
        </w:rPr>
      </w:pPr>
    </w:p>
    <w:p w14:paraId="7FF6270D" w14:textId="77777777" w:rsidR="00A6584F" w:rsidRPr="00C15525" w:rsidRDefault="00A6584F" w:rsidP="00A6584F">
      <w:pPr>
        <w:widowControl w:val="0"/>
        <w:autoSpaceDE w:val="0"/>
        <w:autoSpaceDN w:val="0"/>
        <w:spacing w:after="0" w:line="240" w:lineRule="auto"/>
        <w:ind w:left="709" w:right="709"/>
        <w:jc w:val="both"/>
        <w:rPr>
          <w:rFonts w:ascii="Verdana" w:hAnsi="Verdana" w:cs="Arial"/>
          <w:sz w:val="20"/>
          <w:szCs w:val="20"/>
        </w:rPr>
      </w:pPr>
      <w:r w:rsidRPr="00C15525">
        <w:rPr>
          <w:rFonts w:ascii="Verdana" w:hAnsi="Verdana" w:cs="Arial"/>
          <w:sz w:val="20"/>
          <w:szCs w:val="20"/>
        </w:rPr>
        <w:t xml:space="preserve">Esta norma [artículo 5 de la Ley 109 de 1994], obliga a los “organismos” de la Rama Legislativa, esto es el Congreso de la República, a contratar con la Imprenta Nacional la publicación de la Gaceta del Congreso. Se hace notar, que este contrato regula las relaciones jurídicas entre dos órganos del Estado que desarrollan en ejercicio de sus obligaciones legales, el Congreso para cumplir el procedimiento legislativo, y la Imprenta para ejercer su función administrativa de imprimir los actos o documentos oficiales que requieran de este requisito. </w:t>
      </w:r>
    </w:p>
    <w:p w14:paraId="21452C2A" w14:textId="77777777" w:rsidR="00A6584F" w:rsidRPr="00C15525" w:rsidRDefault="00A6584F" w:rsidP="00A6584F">
      <w:pPr>
        <w:widowControl w:val="0"/>
        <w:autoSpaceDE w:val="0"/>
        <w:autoSpaceDN w:val="0"/>
        <w:spacing w:after="0" w:line="240" w:lineRule="auto"/>
        <w:ind w:left="709" w:right="709"/>
        <w:jc w:val="both"/>
        <w:rPr>
          <w:rFonts w:ascii="Verdana" w:hAnsi="Verdana" w:cs="Arial"/>
          <w:sz w:val="20"/>
          <w:szCs w:val="20"/>
        </w:rPr>
      </w:pPr>
    </w:p>
    <w:p w14:paraId="75BC0645" w14:textId="77777777" w:rsidR="00A6584F" w:rsidRPr="00C15525" w:rsidRDefault="00A6584F" w:rsidP="00A6584F">
      <w:pPr>
        <w:widowControl w:val="0"/>
        <w:autoSpaceDE w:val="0"/>
        <w:autoSpaceDN w:val="0"/>
        <w:spacing w:after="0" w:line="240" w:lineRule="auto"/>
        <w:ind w:left="709" w:right="709"/>
        <w:jc w:val="both"/>
        <w:rPr>
          <w:rFonts w:ascii="Verdana" w:hAnsi="Verdana" w:cs="Arial"/>
          <w:sz w:val="20"/>
          <w:szCs w:val="20"/>
        </w:rPr>
      </w:pPr>
      <w:r w:rsidRPr="00C15525">
        <w:rPr>
          <w:rFonts w:ascii="Verdana" w:hAnsi="Verdana" w:cs="Arial"/>
          <w:sz w:val="20"/>
          <w:szCs w:val="20"/>
        </w:rPr>
        <w:t xml:space="preserve">Es claro que la ley ordena que la regulación de dicha relación interadministrativa se efectúe por el mecanismo de una convención, pero también es claro que </w:t>
      </w:r>
      <w:proofErr w:type="gramStart"/>
      <w:r w:rsidRPr="00C15525">
        <w:rPr>
          <w:rFonts w:ascii="Verdana" w:hAnsi="Verdana" w:cs="Arial"/>
          <w:sz w:val="20"/>
          <w:szCs w:val="20"/>
        </w:rPr>
        <w:t>éste</w:t>
      </w:r>
      <w:proofErr w:type="gramEnd"/>
      <w:r w:rsidRPr="00C15525">
        <w:rPr>
          <w:rFonts w:ascii="Verdana" w:hAnsi="Verdana" w:cs="Arial"/>
          <w:sz w:val="20"/>
          <w:szCs w:val="20"/>
        </w:rPr>
        <w:t xml:space="preserve"> contrato no se celebra en ejercicio de la autonomía de la voluntad ni con el fin de cumplir la misión industrial, comercial o de gestión propia de la Imprenta Nacional. En este caso, el contrato se celebra como un mero instrumento que le posibilita el desarrollo de las funciones públicas ordenadas por la ley a ambas entidades Estatales.</w:t>
      </w:r>
    </w:p>
    <w:p w14:paraId="49497C0D" w14:textId="77777777" w:rsidR="00A6584F" w:rsidRPr="00C15525" w:rsidRDefault="00A6584F" w:rsidP="00A6584F">
      <w:pPr>
        <w:widowControl w:val="0"/>
        <w:autoSpaceDE w:val="0"/>
        <w:autoSpaceDN w:val="0"/>
        <w:spacing w:after="0" w:line="240" w:lineRule="auto"/>
        <w:ind w:left="709" w:right="709"/>
        <w:jc w:val="both"/>
        <w:rPr>
          <w:rFonts w:ascii="Verdana" w:hAnsi="Verdana" w:cs="Arial"/>
          <w:sz w:val="20"/>
          <w:szCs w:val="20"/>
        </w:rPr>
      </w:pPr>
    </w:p>
    <w:p w14:paraId="2328E9A6" w14:textId="77777777" w:rsidR="00A6584F" w:rsidRPr="00C15525" w:rsidRDefault="00A6584F" w:rsidP="00A6584F">
      <w:pPr>
        <w:widowControl w:val="0"/>
        <w:autoSpaceDE w:val="0"/>
        <w:autoSpaceDN w:val="0"/>
        <w:spacing w:after="0" w:line="240" w:lineRule="auto"/>
        <w:ind w:left="709" w:right="709"/>
        <w:jc w:val="both"/>
        <w:rPr>
          <w:rFonts w:ascii="Verdana" w:hAnsi="Verdana" w:cs="Arial"/>
        </w:rPr>
      </w:pPr>
      <w:bookmarkStart w:id="6" w:name="_Hlk75761737"/>
      <w:r w:rsidRPr="00C15525">
        <w:rPr>
          <w:rFonts w:ascii="Verdana" w:hAnsi="Verdana" w:cs="Arial"/>
          <w:sz w:val="20"/>
          <w:szCs w:val="20"/>
        </w:rPr>
        <w:t>En este orden de ideas, celebrar o prorrogar el contrato entre la Cámara de Representantes y la Imprenta Nacional no puede ser violatorio de la restricción a la contratación directa contenida por ley 996 de 2005, pues las entidades públicas que lo suscriban están cumpliendo sus funciones y la orden dada por el legislador</w:t>
      </w:r>
      <w:bookmarkEnd w:id="6"/>
      <w:r w:rsidRPr="00C15525">
        <w:rPr>
          <w:rFonts w:ascii="Verdana" w:hAnsi="Verdana" w:cs="Arial"/>
          <w:sz w:val="20"/>
          <w:szCs w:val="20"/>
          <w:vertAlign w:val="superscript"/>
        </w:rPr>
        <w:footnoteReference w:id="25"/>
      </w:r>
      <w:r w:rsidRPr="00C15525">
        <w:rPr>
          <w:rFonts w:ascii="Verdana" w:hAnsi="Verdana" w:cs="Arial"/>
          <w:sz w:val="20"/>
          <w:szCs w:val="20"/>
        </w:rPr>
        <w:t xml:space="preserve">. </w:t>
      </w:r>
    </w:p>
    <w:p w14:paraId="7398407F" w14:textId="77777777" w:rsidR="00A6584F" w:rsidRPr="00C15525" w:rsidRDefault="00A6584F" w:rsidP="00A6584F">
      <w:pPr>
        <w:widowControl w:val="0"/>
        <w:autoSpaceDE w:val="0"/>
        <w:autoSpaceDN w:val="0"/>
        <w:spacing w:after="0" w:line="276" w:lineRule="auto"/>
        <w:jc w:val="both"/>
        <w:rPr>
          <w:rFonts w:ascii="Verdana" w:eastAsia="Arial" w:hAnsi="Verdana" w:cs="Arial"/>
          <w:lang w:val="es-ES" w:eastAsia="es-ES" w:bidi="es-ES"/>
        </w:rPr>
      </w:pPr>
    </w:p>
    <w:p w14:paraId="32EF3502" w14:textId="77777777" w:rsidR="00A6584F" w:rsidRPr="000E03E2" w:rsidRDefault="00A6584F" w:rsidP="00A6584F">
      <w:pPr>
        <w:widowControl w:val="0"/>
        <w:autoSpaceDE w:val="0"/>
        <w:autoSpaceDN w:val="0"/>
        <w:spacing w:after="120" w:line="276" w:lineRule="auto"/>
        <w:ind w:firstLine="709"/>
        <w:jc w:val="both"/>
        <w:rPr>
          <w:rFonts w:ascii="Verdana" w:eastAsia="Arial" w:hAnsi="Verdana" w:cs="Arial"/>
          <w:lang w:eastAsia="es-ES" w:bidi="es-ES"/>
        </w:rPr>
      </w:pPr>
      <w:r w:rsidRPr="00C15525">
        <w:rPr>
          <w:rFonts w:ascii="Verdana" w:eastAsia="Arial" w:hAnsi="Verdana" w:cs="Arial"/>
          <w:lang w:val="es-ES" w:eastAsia="es-ES" w:bidi="es-ES"/>
        </w:rPr>
        <w:t xml:space="preserve">De lo expuesto, el Consejo de Estado resalta que el contrato que se celebra con fundamento en el artículo 5 de la Ley 109 de 1994 entre el Congreso de la República y la Imprenta Nacional no se efectúa en ejercicio de la autonomía de la voluntad ni con el fin de cumplir la misión industrial, comercial o de gestión propia de la Imprenta Nacional de Colombia, sino en cumplimiento de lo ordenado por la Ley a ambas entidades Estatales. De ahí que se concluya que en ese caso </w:t>
      </w:r>
      <w:r w:rsidRPr="00C15525">
        <w:rPr>
          <w:rFonts w:ascii="Verdana" w:eastAsia="Arial" w:hAnsi="Verdana" w:cs="Arial"/>
          <w:lang w:eastAsia="es-ES" w:bidi="es-ES"/>
        </w:rPr>
        <w:t xml:space="preserve">el contrato no puede ser violatorio de la restricción a la contratación </w:t>
      </w:r>
      <w:r w:rsidRPr="00C15525">
        <w:rPr>
          <w:rFonts w:ascii="Verdana" w:eastAsia="Arial" w:hAnsi="Verdana" w:cs="Arial"/>
          <w:lang w:eastAsia="es-ES" w:bidi="es-ES"/>
        </w:rPr>
        <w:lastRenderedPageBreak/>
        <w:t xml:space="preserve">directa contenida en el artículo 33 de la Ley 996 de 2005. </w:t>
      </w:r>
    </w:p>
    <w:p w14:paraId="1DD164B9" w14:textId="77777777" w:rsidR="00A6584F" w:rsidRPr="006177F8" w:rsidRDefault="00A6584F" w:rsidP="00A6584F">
      <w:pPr>
        <w:spacing w:after="120" w:line="276" w:lineRule="auto"/>
        <w:ind w:firstLine="708"/>
        <w:jc w:val="both"/>
        <w:rPr>
          <w:rFonts w:ascii="Verdana" w:eastAsia="Arial" w:hAnsi="Verdana" w:cs="Arial"/>
          <w:lang w:val="es-ES" w:eastAsia="es-ES" w:bidi="es-ES"/>
        </w:rPr>
      </w:pPr>
      <w:r>
        <w:rPr>
          <w:rFonts w:ascii="Verdana" w:hAnsi="Verdana" w:cs="Arial"/>
          <w:lang w:val="es-ES_tradnl"/>
        </w:rPr>
        <w:t>También la Sala de Consulta y Servicio Civil del Consejo de Estado ha presentado supuestos de excepción a la restricción de los artículos 33 y 38 cuando l</w:t>
      </w:r>
      <w:r w:rsidRPr="006177F8">
        <w:rPr>
          <w:rFonts w:ascii="Verdana" w:hAnsi="Verdana" w:cs="Arial"/>
          <w:lang w:val="es-ES_tradnl"/>
        </w:rPr>
        <w:t>a contratación se enmarca en una providencia judicial</w:t>
      </w:r>
      <w:r w:rsidRPr="006177F8">
        <w:rPr>
          <w:rFonts w:ascii="Verdana" w:eastAsia="Arial" w:hAnsi="Verdana" w:cs="Arial"/>
          <w:lang w:val="es-ES" w:eastAsia="es-ES" w:bidi="es-ES"/>
        </w:rPr>
        <w:t xml:space="preserve">, </w:t>
      </w:r>
      <w:r>
        <w:rPr>
          <w:rFonts w:ascii="Verdana" w:eastAsia="Arial" w:hAnsi="Verdana" w:cs="Arial"/>
          <w:lang w:val="es-ES" w:eastAsia="es-ES" w:bidi="es-ES"/>
        </w:rPr>
        <w:t xml:space="preserve">pues en dicho caso debe tenerse </w:t>
      </w:r>
      <w:r w:rsidRPr="006177F8">
        <w:rPr>
          <w:rFonts w:ascii="Verdana" w:eastAsia="Arial" w:hAnsi="Verdana" w:cs="Arial"/>
          <w:lang w:val="es-ES" w:eastAsia="es-ES" w:bidi="es-ES"/>
        </w:rPr>
        <w:t>en cuenta que las decisiones judiciales tienen fuerza vinculante y cumplirse en virtud del principio de supremacía constitucional y del derecho fundamental de acceso a la administraci</w:t>
      </w:r>
      <w:r>
        <w:rPr>
          <w:rFonts w:ascii="Verdana" w:eastAsia="Arial" w:hAnsi="Verdana" w:cs="Arial"/>
          <w:lang w:val="es-ES" w:eastAsia="es-ES" w:bidi="es-ES"/>
        </w:rPr>
        <w:t xml:space="preserve">ón de justicia. La celebración de un contrato de forma directa o de un convenio interadministrativo para la ejecución de recursos públicos </w:t>
      </w:r>
      <w:r w:rsidRPr="006177F8">
        <w:rPr>
          <w:rFonts w:ascii="Verdana" w:eastAsia="Arial" w:hAnsi="Verdana" w:cs="Arial"/>
          <w:lang w:val="es-ES" w:eastAsia="es-ES" w:bidi="es-ES"/>
        </w:rPr>
        <w:t>no obedece a una decisión discrecional de la administración, sino al cumplimiento de un mandato judicial, lo cual la diferencia de la contratación ordinaria y lo pone en un plano de obligatoriedad que no puede desconocerse por las restricciones de la Ley de Garantías.</w:t>
      </w:r>
    </w:p>
    <w:p w14:paraId="0511BC44" w14:textId="77777777" w:rsidR="00A6584F" w:rsidRPr="006177F8" w:rsidRDefault="00A6584F" w:rsidP="00A6584F">
      <w:pPr>
        <w:spacing w:after="0" w:line="276" w:lineRule="auto"/>
        <w:ind w:firstLine="709"/>
        <w:jc w:val="both"/>
        <w:rPr>
          <w:rFonts w:ascii="Verdana" w:eastAsia="Arial" w:hAnsi="Verdana" w:cs="Arial"/>
          <w:lang w:val="es-ES" w:eastAsia="es-ES" w:bidi="es-ES"/>
        </w:rPr>
      </w:pPr>
      <w:r w:rsidRPr="006177F8">
        <w:rPr>
          <w:rFonts w:ascii="Verdana" w:eastAsia="Arial" w:hAnsi="Verdana" w:cs="Arial"/>
          <w:lang w:val="es-ES" w:eastAsia="es-ES" w:bidi="es-ES"/>
        </w:rPr>
        <w:t xml:space="preserve">En este asunto, es importante resaltar que la Sala de Consulta y Servicio Civil del Consejo de Estado </w:t>
      </w:r>
      <w:r>
        <w:rPr>
          <w:rFonts w:ascii="Verdana" w:eastAsia="Arial" w:hAnsi="Verdana" w:cs="Arial"/>
          <w:lang w:val="es-ES" w:eastAsia="es-ES" w:bidi="es-ES"/>
        </w:rPr>
        <w:t xml:space="preserve">mediante </w:t>
      </w:r>
      <w:r w:rsidRPr="00CD734E">
        <w:rPr>
          <w:rFonts w:ascii="Verdana" w:eastAsia="Arial" w:hAnsi="Verdana" w:cs="Arial"/>
          <w:lang w:val="es-ES" w:eastAsia="es-ES" w:bidi="es-ES"/>
        </w:rPr>
        <w:t>Concepto</w:t>
      </w:r>
      <w:r>
        <w:rPr>
          <w:rFonts w:ascii="Verdana" w:eastAsia="Arial" w:hAnsi="Verdana" w:cs="Arial"/>
          <w:lang w:val="es-ES" w:eastAsia="es-ES" w:bidi="es-ES"/>
        </w:rPr>
        <w:t xml:space="preserve"> con Radicado</w:t>
      </w:r>
      <w:r w:rsidRPr="00CD734E">
        <w:rPr>
          <w:rFonts w:ascii="Verdana" w:eastAsia="Arial" w:hAnsi="Verdana" w:cs="Arial"/>
          <w:lang w:val="es-ES" w:eastAsia="es-ES" w:bidi="es-ES"/>
        </w:rPr>
        <w:t xml:space="preserve"> 1863 del 15 de noviembre de 2007 </w:t>
      </w:r>
      <w:r w:rsidRPr="006177F8">
        <w:rPr>
          <w:rFonts w:ascii="Verdana" w:eastAsia="Arial" w:hAnsi="Verdana" w:cs="Arial"/>
          <w:lang w:val="es-ES" w:eastAsia="es-ES" w:bidi="es-ES"/>
        </w:rPr>
        <w:t xml:space="preserve">se ha pronunciado en el sentido de que </w:t>
      </w:r>
      <w:bookmarkStart w:id="7" w:name="_Hlk78820889"/>
      <w:r w:rsidRPr="006177F8">
        <w:rPr>
          <w:rFonts w:ascii="Verdana" w:eastAsia="Arial" w:hAnsi="Verdana" w:cs="Arial"/>
          <w:lang w:val="es-ES" w:eastAsia="es-ES" w:bidi="es-ES"/>
        </w:rPr>
        <w:t>no se les aplica las restricciones contempladas en Ley de Garantías Electorales que deben celebrarse en virtud de un fallo judicial. Esto</w:t>
      </w:r>
      <w:r>
        <w:rPr>
          <w:rFonts w:ascii="Verdana" w:eastAsia="Arial" w:hAnsi="Verdana" w:cs="Arial"/>
          <w:lang w:val="es-ES" w:eastAsia="es-ES" w:bidi="es-ES"/>
        </w:rPr>
        <w:t>,</w:t>
      </w:r>
      <w:r w:rsidRPr="006177F8">
        <w:rPr>
          <w:rFonts w:ascii="Verdana" w:eastAsia="Arial" w:hAnsi="Verdana" w:cs="Arial"/>
          <w:lang w:val="es-ES" w:eastAsia="es-ES" w:bidi="es-ES"/>
        </w:rPr>
        <w:t xml:space="preserve"> en la medida que la obligatoriedad y la fuerza vinculante de las sentencias ejecutoriadas proferidas por los funcionarios investidos del poder judicial emanan de la autonomía conferida a estos por la Constitución y del derecho que tienen los ciudadanos al acceso y oportuna administración de justicia</w:t>
      </w:r>
      <w:bookmarkEnd w:id="7"/>
      <w:r w:rsidRPr="006177F8">
        <w:rPr>
          <w:rFonts w:ascii="Verdana" w:eastAsia="Arial" w:hAnsi="Verdana" w:cs="Arial"/>
          <w:vertAlign w:val="superscript"/>
          <w:lang w:val="es-ES" w:eastAsia="es-ES" w:bidi="es-ES"/>
        </w:rPr>
        <w:footnoteReference w:id="26"/>
      </w:r>
      <w:r w:rsidRPr="006177F8">
        <w:rPr>
          <w:rFonts w:ascii="Verdana" w:eastAsia="Arial" w:hAnsi="Verdana" w:cs="Arial"/>
          <w:lang w:val="es-ES" w:eastAsia="es-ES" w:bidi="es-ES"/>
        </w:rPr>
        <w:t>. Al respecto, dicho Concepto expresa:</w:t>
      </w:r>
    </w:p>
    <w:p w14:paraId="147032E1" w14:textId="77777777" w:rsidR="00A6584F" w:rsidRPr="006177F8" w:rsidRDefault="00A6584F" w:rsidP="00A6584F">
      <w:pPr>
        <w:spacing w:after="0" w:line="276" w:lineRule="auto"/>
        <w:ind w:firstLine="709"/>
        <w:jc w:val="both"/>
        <w:rPr>
          <w:rFonts w:ascii="Verdana" w:eastAsia="Arial" w:hAnsi="Verdana" w:cs="Arial"/>
          <w:lang w:val="es-ES" w:eastAsia="es-ES" w:bidi="es-ES"/>
        </w:rPr>
      </w:pPr>
    </w:p>
    <w:p w14:paraId="2F5CA1BA" w14:textId="77777777" w:rsidR="00A6584F" w:rsidRPr="006177F8" w:rsidRDefault="00A6584F" w:rsidP="00A6584F">
      <w:pPr>
        <w:spacing w:after="0" w:line="240" w:lineRule="auto"/>
        <w:ind w:left="709" w:right="709"/>
        <w:jc w:val="both"/>
        <w:rPr>
          <w:rFonts w:ascii="Verdana" w:eastAsia="Arial" w:hAnsi="Verdana" w:cs="Arial"/>
          <w:sz w:val="20"/>
          <w:lang w:eastAsia="es-ES" w:bidi="es-ES"/>
        </w:rPr>
      </w:pPr>
      <w:r>
        <w:rPr>
          <w:rFonts w:ascii="Verdana" w:eastAsia="Arial" w:hAnsi="Verdana" w:cs="Arial"/>
          <w:sz w:val="20"/>
          <w:lang w:val="es-ES" w:eastAsia="es-ES" w:bidi="es-ES"/>
        </w:rPr>
        <w:t>“</w:t>
      </w:r>
      <w:r w:rsidRPr="006177F8">
        <w:rPr>
          <w:rFonts w:ascii="Verdana" w:eastAsia="Arial" w:hAnsi="Verdana" w:cs="Arial"/>
          <w:sz w:val="20"/>
          <w:lang w:val="es-ES" w:eastAsia="es-ES" w:bidi="es-ES"/>
        </w:rPr>
        <w:t xml:space="preserve">[…] considera </w:t>
      </w:r>
      <w:r w:rsidRPr="006177F8">
        <w:rPr>
          <w:rFonts w:ascii="Verdana" w:eastAsia="Arial" w:hAnsi="Verdana" w:cs="Arial"/>
          <w:sz w:val="20"/>
          <w:lang w:eastAsia="es-ES" w:bidi="es-ES"/>
        </w:rPr>
        <w:t>la Sala que los servidores públicos del nivel nacional o territorial que en cumplimiento de una sentencia judicial o de una providencia proferida en una acción popular o de tutela, deban contratar, ejecutar obras, efectuar gastos e incluso hacer algún reintegro de personal durante los cuatro meses anteriores a las elecciones para cargos de elección popular general o de Presidente, según el caso, </w:t>
      </w:r>
      <w:r w:rsidRPr="006177F8">
        <w:rPr>
          <w:rFonts w:ascii="Verdana" w:eastAsia="Arial" w:hAnsi="Verdana" w:cs="Arial"/>
          <w:b/>
          <w:bCs/>
          <w:sz w:val="20"/>
          <w:lang w:eastAsia="es-ES" w:bidi="es-ES"/>
        </w:rPr>
        <w:t>no violan la ley de garantías electorales</w:t>
      </w:r>
      <w:r w:rsidRPr="006177F8">
        <w:rPr>
          <w:rFonts w:ascii="Verdana" w:eastAsia="Arial" w:hAnsi="Verdana" w:cs="Arial"/>
          <w:sz w:val="20"/>
          <w:lang w:eastAsia="es-ES" w:bidi="es-ES"/>
        </w:rPr>
        <w:t>, por las razones de orden constitucional y legal que se explican a continuación.</w:t>
      </w:r>
    </w:p>
    <w:p w14:paraId="0FB53B0F" w14:textId="77777777" w:rsidR="00A6584F" w:rsidRPr="006177F8" w:rsidRDefault="00A6584F" w:rsidP="00A6584F">
      <w:pPr>
        <w:spacing w:after="0" w:line="240" w:lineRule="auto"/>
        <w:ind w:left="709" w:right="709"/>
        <w:jc w:val="both"/>
        <w:rPr>
          <w:rFonts w:ascii="Verdana" w:eastAsia="Arial" w:hAnsi="Verdana" w:cs="Arial"/>
          <w:sz w:val="20"/>
          <w:lang w:eastAsia="es-ES" w:bidi="es-ES"/>
        </w:rPr>
      </w:pPr>
    </w:p>
    <w:p w14:paraId="36A763CD" w14:textId="77777777" w:rsidR="00A6584F" w:rsidRPr="006177F8" w:rsidRDefault="00A6584F" w:rsidP="00A6584F">
      <w:pPr>
        <w:spacing w:after="0" w:line="240" w:lineRule="auto"/>
        <w:ind w:left="709" w:right="709"/>
        <w:jc w:val="both"/>
        <w:rPr>
          <w:rFonts w:ascii="Verdana" w:eastAsia="Arial" w:hAnsi="Verdana" w:cs="Arial"/>
          <w:sz w:val="20"/>
          <w:lang w:eastAsia="es-ES" w:bidi="es-ES"/>
        </w:rPr>
      </w:pPr>
      <w:r w:rsidRPr="006177F8">
        <w:rPr>
          <w:rFonts w:ascii="Verdana" w:eastAsia="Arial" w:hAnsi="Verdana" w:cs="Arial"/>
          <w:sz w:val="20"/>
          <w:lang w:eastAsia="es-ES" w:bidi="es-ES"/>
        </w:rPr>
        <w:t xml:space="preserve">Con fundamento en la autonomía del poder judicial derivada de la separación de poderes y del derecho al acceso a la administración de justicia que tienen todos los ciudadanos, las decisiones de los jueces, como ya se expuso en el acápite anterior, son de obligatorio cumplimiento para </w:t>
      </w:r>
      <w:r w:rsidRPr="006177F8">
        <w:rPr>
          <w:rFonts w:ascii="Verdana" w:eastAsia="Arial" w:hAnsi="Verdana" w:cs="Arial"/>
          <w:sz w:val="20"/>
          <w:lang w:eastAsia="es-ES" w:bidi="es-ES"/>
        </w:rPr>
        <w:lastRenderedPageBreak/>
        <w:t>la administración y los particulares en los términos y condiciones previstos en cada providencia.</w:t>
      </w:r>
    </w:p>
    <w:p w14:paraId="4EAC6F89" w14:textId="77777777" w:rsidR="00A6584F" w:rsidRPr="006177F8" w:rsidRDefault="00A6584F" w:rsidP="00A6584F">
      <w:pPr>
        <w:spacing w:after="0" w:line="240" w:lineRule="auto"/>
        <w:ind w:left="709" w:right="709"/>
        <w:jc w:val="both"/>
        <w:rPr>
          <w:rFonts w:ascii="Verdana" w:eastAsia="Arial" w:hAnsi="Verdana" w:cs="Arial"/>
          <w:sz w:val="20"/>
          <w:lang w:eastAsia="es-ES" w:bidi="es-ES"/>
        </w:rPr>
      </w:pPr>
    </w:p>
    <w:p w14:paraId="483FC039" w14:textId="77777777" w:rsidR="00A6584F" w:rsidRPr="006177F8" w:rsidRDefault="00A6584F" w:rsidP="00A6584F">
      <w:pPr>
        <w:spacing w:after="0" w:line="240" w:lineRule="auto"/>
        <w:ind w:left="709" w:right="709"/>
        <w:jc w:val="both"/>
        <w:rPr>
          <w:rFonts w:ascii="Verdana" w:eastAsia="Arial" w:hAnsi="Verdana" w:cs="Arial"/>
          <w:sz w:val="20"/>
          <w:lang w:eastAsia="es-ES" w:bidi="es-ES"/>
        </w:rPr>
      </w:pPr>
      <w:r w:rsidRPr="006177F8">
        <w:rPr>
          <w:rFonts w:ascii="Verdana" w:eastAsia="Arial" w:hAnsi="Verdana" w:cs="Arial"/>
          <w:sz w:val="20"/>
          <w:lang w:eastAsia="es-ES" w:bidi="es-ES"/>
        </w:rPr>
        <w:t>Los actos de ejecución que la administración deba expedir o realizar para dar cabal cumplimiento a lo ordenado en las providencias judiciales, se fundamentan en decisiones desprovistas </w:t>
      </w:r>
      <w:r w:rsidRPr="006177F8">
        <w:rPr>
          <w:rFonts w:ascii="Verdana" w:eastAsia="Arial" w:hAnsi="Verdana" w:cs="Arial"/>
          <w:i/>
          <w:iCs/>
          <w:sz w:val="20"/>
          <w:lang w:eastAsia="es-ES" w:bidi="es-ES"/>
        </w:rPr>
        <w:t>per se </w:t>
      </w:r>
      <w:r w:rsidRPr="006177F8">
        <w:rPr>
          <w:rFonts w:ascii="Verdana" w:eastAsia="Arial" w:hAnsi="Verdana" w:cs="Arial"/>
          <w:sz w:val="20"/>
          <w:lang w:eastAsia="es-ES" w:bidi="es-ES"/>
        </w:rPr>
        <w:t>de intereses proselitistas, pues los funcionarios investidos de jurisdicción, al impartir justicia sólo están sometidos al imperio de la Constitución y de la ley (artículo 230 C.P.) , de manera que sus fallos no son fruto de las presiones propias de épocas de campaña electoral, ni comprometen o amenazan la transparencia de la actividad administrativa tutelada en la ley de </w:t>
      </w:r>
      <w:hyperlink r:id="rId13" w:anchor="0" w:history="1">
        <w:r w:rsidRPr="006177F8">
          <w:rPr>
            <w:rStyle w:val="Hipervnculo"/>
            <w:rFonts w:ascii="Verdana" w:eastAsia="Arial" w:hAnsi="Verdana" w:cs="Arial"/>
            <w:color w:val="auto"/>
            <w:sz w:val="20"/>
            <w:u w:val="none"/>
            <w:lang w:eastAsia="es-ES" w:bidi="es-ES"/>
          </w:rPr>
          <w:t>996</w:t>
        </w:r>
      </w:hyperlink>
      <w:r w:rsidRPr="006177F8">
        <w:rPr>
          <w:rFonts w:ascii="Verdana" w:eastAsia="Arial" w:hAnsi="Verdana" w:cs="Arial"/>
          <w:sz w:val="20"/>
          <w:lang w:eastAsia="es-ES" w:bidi="es-ES"/>
        </w:rPr>
        <w:t> de 2005</w:t>
      </w:r>
      <w:r>
        <w:rPr>
          <w:rFonts w:ascii="Verdana" w:eastAsia="Arial" w:hAnsi="Verdana" w:cs="Arial"/>
          <w:sz w:val="20"/>
          <w:lang w:eastAsia="es-ES" w:bidi="es-ES"/>
        </w:rPr>
        <w:t xml:space="preserve">. </w:t>
      </w:r>
    </w:p>
    <w:p w14:paraId="50BE224C" w14:textId="77777777" w:rsidR="00A6584F" w:rsidRPr="006177F8" w:rsidRDefault="00A6584F" w:rsidP="00A6584F">
      <w:pPr>
        <w:spacing w:after="0" w:line="240" w:lineRule="auto"/>
        <w:ind w:left="709" w:right="709"/>
        <w:jc w:val="both"/>
        <w:rPr>
          <w:rFonts w:ascii="Verdana" w:eastAsia="Arial" w:hAnsi="Verdana" w:cs="Arial"/>
          <w:sz w:val="20"/>
          <w:lang w:eastAsia="es-ES" w:bidi="es-ES"/>
        </w:rPr>
      </w:pPr>
    </w:p>
    <w:p w14:paraId="2936A46A" w14:textId="77777777" w:rsidR="00A6584F" w:rsidRPr="006177F8" w:rsidRDefault="00A6584F" w:rsidP="00A6584F">
      <w:pPr>
        <w:spacing w:after="0" w:line="240" w:lineRule="auto"/>
        <w:ind w:left="709" w:right="709"/>
        <w:jc w:val="both"/>
        <w:rPr>
          <w:rFonts w:ascii="Verdana" w:eastAsia="Arial" w:hAnsi="Verdana" w:cs="Arial"/>
          <w:sz w:val="20"/>
          <w:lang w:eastAsia="es-ES" w:bidi="es-ES"/>
        </w:rPr>
      </w:pPr>
      <w:r w:rsidRPr="006177F8">
        <w:rPr>
          <w:rFonts w:ascii="Verdana" w:eastAsia="Arial" w:hAnsi="Verdana" w:cs="Arial"/>
          <w:sz w:val="20"/>
          <w:lang w:eastAsia="es-ES" w:bidi="es-ES"/>
        </w:rPr>
        <w:t>Por tanto, el derecho de acceso y de obtener una pronta y cumplida administración de justicia , que se concreta cuando se cumple lo ordenado en las respectivas sentencias, hacen que no sea necesario que el legislador hubiese incluido el cumplimiento de fallos judiciales como parte de las excepciones a los regímenes prohibitivos contendido en los artículos </w:t>
      </w:r>
      <w:hyperlink r:id="rId14" w:anchor="32" w:history="1">
        <w:r w:rsidRPr="006177F8">
          <w:rPr>
            <w:rStyle w:val="Hipervnculo"/>
            <w:rFonts w:ascii="Verdana" w:eastAsia="Arial" w:hAnsi="Verdana" w:cs="Arial"/>
            <w:color w:val="auto"/>
            <w:sz w:val="20"/>
            <w:u w:val="none"/>
            <w:lang w:eastAsia="es-ES" w:bidi="es-ES"/>
          </w:rPr>
          <w:t>32</w:t>
        </w:r>
      </w:hyperlink>
      <w:r w:rsidRPr="006177F8">
        <w:rPr>
          <w:rFonts w:ascii="Verdana" w:eastAsia="Arial" w:hAnsi="Verdana" w:cs="Arial"/>
          <w:sz w:val="20"/>
          <w:lang w:eastAsia="es-ES" w:bidi="es-ES"/>
        </w:rPr>
        <w:t>, </w:t>
      </w:r>
      <w:hyperlink r:id="rId15" w:anchor="33" w:history="1">
        <w:r w:rsidRPr="006177F8">
          <w:rPr>
            <w:rStyle w:val="Hipervnculo"/>
            <w:rFonts w:ascii="Verdana" w:eastAsia="Arial" w:hAnsi="Verdana" w:cs="Arial"/>
            <w:color w:val="auto"/>
            <w:sz w:val="20"/>
            <w:u w:val="none"/>
            <w:lang w:eastAsia="es-ES" w:bidi="es-ES"/>
          </w:rPr>
          <w:t>33</w:t>
        </w:r>
      </w:hyperlink>
      <w:r w:rsidRPr="006177F8">
        <w:rPr>
          <w:rFonts w:ascii="Verdana" w:eastAsia="Arial" w:hAnsi="Verdana" w:cs="Arial"/>
          <w:sz w:val="20"/>
          <w:lang w:eastAsia="es-ES" w:bidi="es-ES"/>
        </w:rPr>
        <w:t> y el parágrafo del artículo </w:t>
      </w:r>
      <w:hyperlink r:id="rId16" w:anchor="38" w:history="1">
        <w:r w:rsidRPr="006177F8">
          <w:rPr>
            <w:rStyle w:val="Hipervnculo"/>
            <w:rFonts w:ascii="Verdana" w:eastAsia="Arial" w:hAnsi="Verdana" w:cs="Arial"/>
            <w:color w:val="auto"/>
            <w:sz w:val="20"/>
            <w:u w:val="none"/>
            <w:lang w:eastAsia="es-ES" w:bidi="es-ES"/>
          </w:rPr>
          <w:t>38</w:t>
        </w:r>
      </w:hyperlink>
      <w:r w:rsidRPr="006177F8">
        <w:rPr>
          <w:rFonts w:ascii="Verdana" w:eastAsia="Arial" w:hAnsi="Verdana" w:cs="Arial"/>
          <w:sz w:val="20"/>
          <w:lang w:eastAsia="es-ES" w:bidi="es-ES"/>
        </w:rPr>
        <w:t>, todos ellos de la ley 996 de 2005, ya que la fuerza vinculante de la sentencias emana directamente de estructura del Estado y de la autonomía conferida al poder judicial</w:t>
      </w:r>
      <w:r>
        <w:rPr>
          <w:rFonts w:ascii="Verdana" w:eastAsia="Arial" w:hAnsi="Verdana" w:cs="Arial"/>
          <w:sz w:val="20"/>
          <w:lang w:eastAsia="es-ES" w:bidi="es-ES"/>
        </w:rPr>
        <w:t>”</w:t>
      </w:r>
      <w:r w:rsidRPr="006177F8">
        <w:rPr>
          <w:rFonts w:ascii="Verdana" w:eastAsia="Arial" w:hAnsi="Verdana" w:cs="Arial"/>
          <w:sz w:val="20"/>
          <w:lang w:eastAsia="es-ES" w:bidi="es-ES"/>
        </w:rPr>
        <w:t>.</w:t>
      </w:r>
      <w:r>
        <w:rPr>
          <w:rFonts w:ascii="Verdana" w:eastAsia="Arial" w:hAnsi="Verdana" w:cs="Arial"/>
          <w:sz w:val="20"/>
          <w:lang w:eastAsia="es-ES" w:bidi="es-ES"/>
        </w:rPr>
        <w:t xml:space="preserve"> (énfasis dentro del texto). </w:t>
      </w:r>
    </w:p>
    <w:p w14:paraId="304E3214" w14:textId="77777777" w:rsidR="00A6584F" w:rsidRPr="006177F8" w:rsidRDefault="00A6584F" w:rsidP="00A6584F">
      <w:pPr>
        <w:spacing w:after="0" w:line="240" w:lineRule="auto"/>
        <w:ind w:firstLine="709"/>
        <w:jc w:val="both"/>
        <w:rPr>
          <w:rFonts w:ascii="Verdana" w:eastAsia="Arial" w:hAnsi="Verdana" w:cs="Arial"/>
          <w:lang w:eastAsia="es-ES" w:bidi="es-ES"/>
        </w:rPr>
      </w:pPr>
    </w:p>
    <w:p w14:paraId="42E3EC40" w14:textId="77777777" w:rsidR="00A6584F" w:rsidRDefault="00A6584F" w:rsidP="00A6584F">
      <w:pPr>
        <w:spacing w:after="120" w:line="276" w:lineRule="auto"/>
        <w:ind w:firstLine="708"/>
        <w:jc w:val="both"/>
        <w:rPr>
          <w:rFonts w:ascii="Verdana" w:hAnsi="Verdana" w:cs="Arial"/>
          <w:lang w:val="es-ES"/>
        </w:rPr>
      </w:pPr>
      <w:r>
        <w:rPr>
          <w:rFonts w:ascii="Verdana" w:hAnsi="Verdana" w:cs="Arial"/>
          <w:lang w:val="es-ES"/>
        </w:rPr>
        <w:t xml:space="preserve">El </w:t>
      </w:r>
      <w:r w:rsidRPr="006177F8">
        <w:rPr>
          <w:rFonts w:ascii="Verdana" w:hAnsi="Verdana" w:cs="Arial"/>
          <w:lang w:val="es-ES"/>
        </w:rPr>
        <w:t xml:space="preserve">razonamiento de la Sala de Consulta y Servicio Civil del Consejo de Estado establece que las decisiones judiciales no se encuentran restringidas por las limitaciones de la Ley de Garantías Electorales. En consecuencia, es posible que un juez ordene la suscripción de un contrato de manera directa, como ocurre con la contratación de un perito dentro de un proceso judicial. </w:t>
      </w:r>
      <w:r>
        <w:rPr>
          <w:rFonts w:ascii="Verdana" w:hAnsi="Verdana" w:cs="Arial"/>
          <w:lang w:val="es-ES"/>
        </w:rPr>
        <w:t>De tal manera, n</w:t>
      </w:r>
      <w:r w:rsidRPr="006177F8">
        <w:rPr>
          <w:rFonts w:ascii="Verdana" w:hAnsi="Verdana" w:cs="Arial"/>
          <w:lang w:val="es-ES"/>
        </w:rPr>
        <w:t>egar esta posibilidad significaría desconocer el principio de colaboración armónica entre poderes y, además, vulnerar el derecho fundamental de acceso a la justicia. Por ello, debe entenderse que el cumplimiento de órdenes judiciales se encuentra por fuera de los fines, límites y condiciones previstos en la Ley de Garantías Electorales, pues su naturaleza responde a la obligación constitucional de garantizar la efectividad de las decisiones judiciales y la protección de los derechos fundamentales.</w:t>
      </w:r>
    </w:p>
    <w:p w14:paraId="3CEB3BED" w14:textId="77777777" w:rsidR="00A6584F" w:rsidRPr="00380CA4" w:rsidRDefault="00A6584F" w:rsidP="00A6584F">
      <w:pPr>
        <w:spacing w:after="120" w:line="276" w:lineRule="auto"/>
        <w:ind w:firstLine="709"/>
        <w:jc w:val="both"/>
        <w:rPr>
          <w:rFonts w:ascii="Verdana" w:eastAsia="Times New Roman" w:hAnsi="Verdana" w:cs="Arial"/>
          <w:bCs/>
          <w:lang w:eastAsia="x-none"/>
        </w:rPr>
      </w:pPr>
      <w:r w:rsidRPr="00380CA4">
        <w:rPr>
          <w:rFonts w:ascii="Verdana" w:eastAsia="Times New Roman" w:hAnsi="Verdana" w:cs="Arial"/>
          <w:lang w:eastAsia="es-CO"/>
        </w:rPr>
        <w:t>Sin perjuicio de estos pronunciamientos de la Sala de Consulta y Servicio Civil</w:t>
      </w:r>
      <w:r w:rsidRPr="00380CA4">
        <w:rPr>
          <w:rFonts w:ascii="Verdana" w:eastAsia="Calibri" w:hAnsi="Verdana" w:cs="Arial"/>
        </w:rPr>
        <w:t xml:space="preserve">, como la ha señalado esa misma Corporación, la restricción prevista en la Ley 996 de 2005 </w:t>
      </w:r>
      <w:r w:rsidRPr="00380CA4">
        <w:rPr>
          <w:rFonts w:ascii="Verdana" w:eastAsia="Times New Roman" w:hAnsi="Verdana" w:cs="Arial"/>
          <w:bCs/>
          <w:lang w:eastAsia="x-none"/>
        </w:rPr>
        <w:t xml:space="preserve">cobija a cualquier entidad pública independiente del régimen jurídico, que pueda mediante la contratación directa romper el equilibrio entre los candidatos en desarrollo de las elecciones presidenciales. Tampoco existe un supuesto de exoneración a la prohibición por tener un régimen especial de los </w:t>
      </w:r>
      <w:r w:rsidRPr="00380CA4">
        <w:rPr>
          <w:rFonts w:ascii="Verdana" w:eastAsia="Times New Roman" w:hAnsi="Verdana" w:cs="Arial"/>
          <w:bCs/>
          <w:lang w:eastAsia="x-none"/>
        </w:rPr>
        <w:lastRenderedPageBreak/>
        <w:t>actos o contratos o por la ejecución de un cierto tipo de recursos en sus contrataciones, pues, la posibilidad de que los entes del Estado usen la contratación con fines políticos, esto es, con la intención de influir a los electores y alterar la voluntad popular en las contiendas electorales, puede presentarse tanto en la contratación regulada por la Ley 80 de 1993 como en la regida por normas especiales.</w:t>
      </w:r>
    </w:p>
    <w:p w14:paraId="2766C36C" w14:textId="77777777" w:rsidR="00A6584F" w:rsidRPr="00380CA4" w:rsidRDefault="00A6584F" w:rsidP="00A6584F">
      <w:pPr>
        <w:spacing w:after="0" w:line="276" w:lineRule="auto"/>
        <w:ind w:firstLine="709"/>
        <w:jc w:val="both"/>
        <w:rPr>
          <w:rFonts w:ascii="Verdana" w:eastAsia="Times New Roman" w:hAnsi="Verdana" w:cs="Arial"/>
          <w:bCs/>
          <w:lang w:eastAsia="x-none"/>
        </w:rPr>
      </w:pPr>
      <w:r w:rsidRPr="00380CA4">
        <w:rPr>
          <w:rFonts w:ascii="Verdana" w:eastAsia="Times New Roman" w:hAnsi="Verdana" w:cs="Arial"/>
          <w:bCs/>
          <w:lang w:eastAsia="x-none"/>
        </w:rPr>
        <w:t>Finalmente, se reitera, c</w:t>
      </w:r>
      <w:r w:rsidRPr="00380CA4">
        <w:rPr>
          <w:rFonts w:ascii="Verdana" w:eastAsia="Times New Roman" w:hAnsi="Verdana" w:cs="Arial"/>
          <w:bCs/>
          <w:lang w:eastAsia="es-CO"/>
        </w:rPr>
        <w:t xml:space="preserve">omo en otras oportunidades lo ha manifestado esta Agencia, que las prórrogas, modificaciones o adiciones de los contratos suscritos antes de la </w:t>
      </w:r>
      <w:proofErr w:type="gramStart"/>
      <w:r w:rsidRPr="00380CA4">
        <w:rPr>
          <w:rFonts w:ascii="Verdana" w:eastAsia="Times New Roman" w:hAnsi="Verdana" w:cs="Arial"/>
          <w:bCs/>
          <w:lang w:eastAsia="es-CO"/>
        </w:rPr>
        <w:t>entrada en vigencia</w:t>
      </w:r>
      <w:proofErr w:type="gramEnd"/>
      <w:r w:rsidRPr="00380CA4">
        <w:rPr>
          <w:rFonts w:ascii="Verdana" w:eastAsia="Times New Roman" w:hAnsi="Verdana" w:cs="Arial"/>
          <w:bCs/>
          <w:lang w:eastAsia="es-CO"/>
        </w:rPr>
        <w:t xml:space="preserve"> de las prohibiciones anotadas, así como la cesión de </w:t>
      </w:r>
      <w:proofErr w:type="gramStart"/>
      <w:r w:rsidRPr="00380CA4">
        <w:rPr>
          <w:rFonts w:ascii="Verdana" w:eastAsia="Times New Roman" w:hAnsi="Verdana" w:cs="Arial"/>
          <w:bCs/>
          <w:lang w:eastAsia="es-CO"/>
        </w:rPr>
        <w:t>los mismos</w:t>
      </w:r>
      <w:proofErr w:type="gramEnd"/>
      <w:r w:rsidRPr="00380CA4">
        <w:rPr>
          <w:rFonts w:ascii="Verdana" w:eastAsia="Times New Roman" w:hAnsi="Verdana" w:cs="Arial"/>
          <w:bCs/>
          <w:lang w:eastAsia="es-CO"/>
        </w:rPr>
        <w:t>, pueden tener lugar en el período de aplicación de la Ley de Garantías, sin que ello haga nugatoria la restricción de la contratación directa y siempre que cumplan los principios de planeación, transparencia y responsabilidad</w:t>
      </w:r>
      <w:r w:rsidRPr="00380CA4">
        <w:rPr>
          <w:rFonts w:ascii="Verdana" w:eastAsia="Times New Roman" w:hAnsi="Verdana" w:cs="Arial"/>
          <w:bCs/>
          <w:vertAlign w:val="superscript"/>
          <w:lang w:eastAsia="es-CO"/>
        </w:rPr>
        <w:footnoteReference w:id="27"/>
      </w:r>
      <w:r w:rsidRPr="00380CA4">
        <w:rPr>
          <w:rFonts w:ascii="Verdana" w:eastAsia="Times New Roman" w:hAnsi="Verdana" w:cs="Arial"/>
          <w:bCs/>
          <w:lang w:eastAsia="es-CO"/>
        </w:rPr>
        <w:t>. Además, también es posible que contratos celebrados previamente se continúen ejecutando con normalidad.</w:t>
      </w:r>
    </w:p>
    <w:p w14:paraId="2C63D549" w14:textId="77777777" w:rsidR="00A6584F" w:rsidRDefault="00A6584F" w:rsidP="00A6584F">
      <w:pPr>
        <w:pStyle w:val="paragraph"/>
        <w:shd w:val="clear" w:color="auto" w:fill="FFFFFF"/>
        <w:spacing w:before="0" w:beforeAutospacing="0" w:after="0" w:afterAutospacing="0"/>
        <w:jc w:val="both"/>
        <w:textAlignment w:val="baseline"/>
        <w:rPr>
          <w:rFonts w:ascii="Verdana" w:eastAsia="Calibri" w:hAnsi="Verdana" w:cs="Arial"/>
          <w:bCs/>
          <w:color w:val="000000" w:themeColor="text1"/>
          <w:sz w:val="22"/>
          <w:szCs w:val="22"/>
        </w:rPr>
      </w:pPr>
    </w:p>
    <w:p w14:paraId="0CFA1D33" w14:textId="77777777" w:rsidR="00A6584F" w:rsidRPr="00380CA4" w:rsidRDefault="00A6584F" w:rsidP="00A6584F">
      <w:pPr>
        <w:pStyle w:val="paragraph"/>
        <w:shd w:val="clear" w:color="auto" w:fill="FFFFFF"/>
        <w:spacing w:before="0" w:beforeAutospacing="0" w:after="120" w:afterAutospacing="0" w:line="276" w:lineRule="auto"/>
        <w:jc w:val="both"/>
        <w:textAlignment w:val="baseline"/>
        <w:rPr>
          <w:rFonts w:ascii="Verdana" w:eastAsia="Verdana" w:hAnsi="Verdana" w:cs="Verdana"/>
          <w:sz w:val="22"/>
          <w:szCs w:val="22"/>
        </w:rPr>
      </w:pPr>
      <w:proofErr w:type="spellStart"/>
      <w:r>
        <w:rPr>
          <w:rFonts w:ascii="Verdana" w:eastAsia="Calibri" w:hAnsi="Verdana" w:cs="Arial"/>
          <w:sz w:val="22"/>
          <w:szCs w:val="22"/>
        </w:rPr>
        <w:t>i</w:t>
      </w:r>
      <w:r w:rsidRPr="00380CA4">
        <w:rPr>
          <w:rFonts w:ascii="Verdana" w:eastAsia="Calibri" w:hAnsi="Verdana" w:cs="Arial"/>
          <w:sz w:val="22"/>
          <w:szCs w:val="22"/>
        </w:rPr>
        <w:t>v</w:t>
      </w:r>
      <w:proofErr w:type="spellEnd"/>
      <w:r w:rsidRPr="00380CA4">
        <w:rPr>
          <w:rFonts w:ascii="Verdana" w:eastAsia="Calibri" w:hAnsi="Verdana" w:cs="Arial"/>
          <w:sz w:val="22"/>
          <w:szCs w:val="22"/>
        </w:rPr>
        <w:t xml:space="preserve">. </w:t>
      </w:r>
      <w:bookmarkStart w:id="9" w:name="_Hlk79760203"/>
      <w:r w:rsidRPr="00380CA4">
        <w:rPr>
          <w:rFonts w:ascii="Verdana" w:hAnsi="Verdana"/>
          <w:sz w:val="22"/>
          <w:szCs w:val="22"/>
        </w:rPr>
        <w:t>La expropiación es un procedimiento administrativo por medio del cual el Estado, por razones de utilidad pública o interés social, priva coactivamente de la titularidad de un bien a un particular, de acuerdo con un procedimiento específico, con intervención de la autoridad judicial –expropiación por vía judicial– o mediante la utilización de los poderes públicos propios del régimen administrativo –expropiación por vía administrativa–, y previo pago de una indemnización</w:t>
      </w:r>
      <w:r w:rsidRPr="00380CA4">
        <w:rPr>
          <w:rStyle w:val="Refdenotaalpie"/>
          <w:rFonts w:ascii="Verdana" w:hAnsi="Verdana"/>
          <w:sz w:val="22"/>
          <w:szCs w:val="22"/>
        </w:rPr>
        <w:footnoteReference w:id="28"/>
      </w:r>
      <w:r w:rsidRPr="00380CA4">
        <w:rPr>
          <w:rFonts w:ascii="Verdana" w:hAnsi="Verdana"/>
          <w:sz w:val="22"/>
          <w:szCs w:val="22"/>
        </w:rPr>
        <w:t>.</w:t>
      </w:r>
    </w:p>
    <w:p w14:paraId="723EF289" w14:textId="77777777" w:rsidR="00A6584F" w:rsidRPr="00380CA4" w:rsidRDefault="00A6584F" w:rsidP="00A6584F">
      <w:pPr>
        <w:spacing w:after="120" w:line="276" w:lineRule="auto"/>
        <w:ind w:firstLine="708"/>
        <w:jc w:val="both"/>
        <w:rPr>
          <w:rFonts w:ascii="Verdana" w:eastAsia="Times New Roman" w:hAnsi="Verdana" w:cs="Arial"/>
          <w:lang w:eastAsia="es-ES_tradnl"/>
        </w:rPr>
      </w:pPr>
      <w:r w:rsidRPr="00380CA4">
        <w:rPr>
          <w:rFonts w:ascii="Verdana" w:eastAsia="Times New Roman" w:hAnsi="Verdana" w:cs="Arial"/>
          <w:lang w:eastAsia="es-ES_tradnl"/>
        </w:rPr>
        <w:t>El Legislador, por medio de la Ley 9 de 1989 reguló, entre otros aspectos, lo concerniente al procedimiento para la enajenación voluntaria y expropiación de bienes inmuebles con el fin de desarrollar las actividades que la misma ley –artículo 10– declaró como de utilidad pública</w:t>
      </w:r>
      <w:r w:rsidRPr="00380CA4">
        <w:rPr>
          <w:rStyle w:val="Refdenotaalpie"/>
          <w:rFonts w:ascii="Verdana" w:eastAsia="Times New Roman" w:hAnsi="Verdana" w:cs="Arial"/>
          <w:lang w:eastAsia="es-ES_tradnl"/>
        </w:rPr>
        <w:footnoteReference w:id="29"/>
      </w:r>
      <w:r w:rsidRPr="00380CA4">
        <w:rPr>
          <w:rFonts w:ascii="Verdana" w:eastAsia="Times New Roman" w:hAnsi="Verdana" w:cs="Arial"/>
          <w:lang w:eastAsia="es-ES_tradnl"/>
        </w:rPr>
        <w:t xml:space="preserve">. Dicha ley fue modificada por la </w:t>
      </w:r>
      <w:r w:rsidRPr="00380CA4">
        <w:rPr>
          <w:rFonts w:ascii="Verdana" w:eastAsia="Times New Roman" w:hAnsi="Verdana" w:cs="Arial"/>
          <w:lang w:eastAsia="es-ES_tradnl"/>
        </w:rPr>
        <w:lastRenderedPageBreak/>
        <w:t>Ley 388 de 1997</w:t>
      </w:r>
      <w:r w:rsidRPr="00380CA4">
        <w:rPr>
          <w:rStyle w:val="Refdenotaalpie"/>
          <w:rFonts w:ascii="Verdana" w:eastAsia="Times New Roman" w:hAnsi="Verdana" w:cs="Arial"/>
          <w:lang w:eastAsia="es-ES_tradnl"/>
        </w:rPr>
        <w:footnoteReference w:id="30"/>
      </w:r>
      <w:r w:rsidRPr="00380CA4">
        <w:rPr>
          <w:rFonts w:ascii="Verdana" w:eastAsia="Times New Roman" w:hAnsi="Verdana" w:cs="Arial"/>
          <w:lang w:eastAsia="es-ES_tradnl"/>
        </w:rPr>
        <w:t xml:space="preserve"> que tuvo entre sus objetivos armonizar la legislación con las nuevas normas de la Constitución Política de 1991</w:t>
      </w:r>
      <w:r w:rsidRPr="00380CA4">
        <w:rPr>
          <w:rStyle w:val="Refdenotaalpie"/>
          <w:rFonts w:ascii="Verdana" w:eastAsia="Times New Roman" w:hAnsi="Verdana" w:cs="Arial"/>
          <w:lang w:eastAsia="es-ES_tradnl"/>
        </w:rPr>
        <w:footnoteReference w:id="31"/>
      </w:r>
      <w:r w:rsidRPr="00380CA4">
        <w:rPr>
          <w:rFonts w:ascii="Verdana" w:eastAsia="Times New Roman" w:hAnsi="Verdana" w:cs="Arial"/>
          <w:lang w:eastAsia="es-ES_tradnl"/>
        </w:rPr>
        <w:t>, y en sus artículos 58 y siguientes desarrolló lo relativo a la “adquisición de inmuebles por enajenación voluntaria y expropiación judicial”. Estas normas constituyen, principalmente, el régimen general de la expropiación por vía judicial y por vía administrativa, y regulan también aspectos de la enajenación voluntaria y de la negociación directa, de manera que “contienen las directrices que deben seguir las administraciones locales y los ciudadanos para cumplir con los fines sociales y de utilidad pública del ordenamiento urbano”</w:t>
      </w:r>
      <w:r w:rsidRPr="00380CA4">
        <w:rPr>
          <w:rStyle w:val="Refdenotaalpie"/>
          <w:rFonts w:ascii="Verdana" w:eastAsia="Times New Roman" w:hAnsi="Verdana" w:cs="Arial"/>
          <w:lang w:eastAsia="es-ES_tradnl"/>
        </w:rPr>
        <w:footnoteReference w:id="32"/>
      </w:r>
      <w:r w:rsidRPr="00380CA4">
        <w:rPr>
          <w:rFonts w:ascii="Verdana" w:eastAsia="Times New Roman" w:hAnsi="Verdana" w:cs="Arial"/>
          <w:lang w:eastAsia="es-ES_tradnl"/>
        </w:rPr>
        <w:t>.</w:t>
      </w:r>
    </w:p>
    <w:bookmarkEnd w:id="9"/>
    <w:p w14:paraId="73EB56C5" w14:textId="77777777" w:rsidR="00A6584F" w:rsidRPr="00380CA4" w:rsidRDefault="00A6584F" w:rsidP="00A6584F">
      <w:pPr>
        <w:spacing w:after="120" w:line="276" w:lineRule="auto"/>
        <w:ind w:firstLine="708"/>
        <w:jc w:val="both"/>
        <w:rPr>
          <w:rFonts w:ascii="Verdana" w:hAnsi="Verdana" w:cs="Arial"/>
        </w:rPr>
      </w:pPr>
      <w:r w:rsidRPr="00380CA4">
        <w:rPr>
          <w:rFonts w:ascii="Verdana" w:hAnsi="Verdana" w:cs="Arial"/>
        </w:rPr>
        <w:t>El trámite de expropiación, como se dijo, puede realizarse por vía</w:t>
      </w:r>
      <w:bookmarkStart w:id="10" w:name="_Hlk78998965"/>
      <w:r w:rsidRPr="00380CA4">
        <w:rPr>
          <w:rFonts w:ascii="Verdana" w:hAnsi="Verdana" w:cs="Arial"/>
        </w:rPr>
        <w:t xml:space="preserve"> judicial o por vía administrativa. La jurisprudencia constitucional ha hecho énfasis</w:t>
      </w:r>
      <w:r w:rsidRPr="00380CA4">
        <w:rPr>
          <w:rFonts w:ascii="Verdana" w:hAnsi="Verdana" w:cs="Arial"/>
          <w:spacing w:val="19"/>
        </w:rPr>
        <w:t xml:space="preserve"> </w:t>
      </w:r>
      <w:r w:rsidRPr="00380CA4">
        <w:rPr>
          <w:rFonts w:ascii="Verdana" w:hAnsi="Verdana" w:cs="Arial"/>
        </w:rPr>
        <w:t>en que, sin importar la vía por la que se adelante la expropiación, este proceso debe ser garantista y respetar el debido proceso</w:t>
      </w:r>
      <w:r w:rsidRPr="00380CA4">
        <w:rPr>
          <w:rStyle w:val="Refdenotaalpie"/>
          <w:rFonts w:ascii="Verdana" w:hAnsi="Verdana" w:cs="Arial"/>
        </w:rPr>
        <w:footnoteReference w:id="33"/>
      </w:r>
      <w:r w:rsidRPr="00380CA4">
        <w:rPr>
          <w:rFonts w:ascii="Verdana" w:hAnsi="Verdana" w:cs="Arial"/>
        </w:rPr>
        <w:t xml:space="preserve">. De esta manera, la garantía del debido proceso en el marco de un proceso de expropiación implica el cumplimiento de una serie de etapas previas definidas por las leyes antes mencionadas, tales como: i) la oferta de compra, </w:t>
      </w:r>
      <w:proofErr w:type="spellStart"/>
      <w:r w:rsidRPr="00380CA4">
        <w:rPr>
          <w:rFonts w:ascii="Verdana" w:hAnsi="Verdana" w:cs="Arial"/>
        </w:rPr>
        <w:t>ii</w:t>
      </w:r>
      <w:proofErr w:type="spellEnd"/>
      <w:r w:rsidRPr="00380CA4">
        <w:rPr>
          <w:rFonts w:ascii="Verdana" w:hAnsi="Verdana" w:cs="Arial"/>
        </w:rPr>
        <w:t xml:space="preserve">) la negociación directa y </w:t>
      </w:r>
      <w:proofErr w:type="spellStart"/>
      <w:r w:rsidRPr="00380CA4">
        <w:rPr>
          <w:rFonts w:ascii="Verdana" w:hAnsi="Verdana" w:cs="Arial"/>
        </w:rPr>
        <w:t>iii</w:t>
      </w:r>
      <w:proofErr w:type="spellEnd"/>
      <w:r w:rsidRPr="00380CA4">
        <w:rPr>
          <w:rFonts w:ascii="Verdana" w:hAnsi="Verdana" w:cs="Arial"/>
        </w:rPr>
        <w:t>) el proceso expropiatorio.</w:t>
      </w:r>
    </w:p>
    <w:p w14:paraId="266CBE13" w14:textId="77777777" w:rsidR="00A6584F" w:rsidRPr="00380CA4" w:rsidRDefault="00A6584F" w:rsidP="00A6584F">
      <w:pPr>
        <w:spacing w:after="120" w:line="276" w:lineRule="auto"/>
        <w:ind w:firstLine="708"/>
        <w:jc w:val="both"/>
        <w:rPr>
          <w:rFonts w:ascii="Verdana" w:hAnsi="Verdana" w:cs="Arial"/>
        </w:rPr>
      </w:pPr>
      <w:r w:rsidRPr="00380CA4">
        <w:rPr>
          <w:rFonts w:ascii="Verdana" w:hAnsi="Verdana" w:cs="Arial"/>
        </w:rPr>
        <w:t>La primera etapa, relativa a la oferta de compra, que aplica tanto en los procesos de expropiación judicial como administrativa, hace referencia a la oferta de compra que hace la autoridad al propietario del bien. La segunda etapa de negociación o de enajenación voluntaria es aquella en virtud de la cual el particular y la entidad llegan a un acuerdo a través de la celebración de un contrato de compraventa o de promesa de compraventa, pero si en esta etapa no se logra un acuerdo entre el propietario del bien y la Administración debe adelantarse el procedimiento expropiatorio. La tercera y última etapa es la expropiación, ya sea administrativa o judicial.</w:t>
      </w:r>
    </w:p>
    <w:bookmarkEnd w:id="10"/>
    <w:p w14:paraId="34C4B825" w14:textId="77777777" w:rsidR="00A6584F" w:rsidRPr="00380CA4" w:rsidRDefault="00A6584F" w:rsidP="00A6584F">
      <w:pPr>
        <w:spacing w:after="120" w:line="276" w:lineRule="auto"/>
        <w:ind w:firstLine="708"/>
        <w:jc w:val="both"/>
        <w:rPr>
          <w:rFonts w:ascii="Verdana" w:eastAsia="Times New Roman" w:hAnsi="Verdana" w:cs="Arial"/>
          <w:lang w:eastAsia="es-ES_tradnl"/>
        </w:rPr>
      </w:pPr>
      <w:r w:rsidRPr="00380CA4">
        <w:rPr>
          <w:rFonts w:ascii="Verdana" w:eastAsia="Times New Roman" w:hAnsi="Verdana" w:cs="Arial"/>
          <w:lang w:eastAsia="es-ES_tradnl"/>
        </w:rPr>
        <w:lastRenderedPageBreak/>
        <w:t>Por consiguiente, el procedimiento para la adquisición de bienes inmuebles destinados a actividades de utilidad pública e interés social contempla que la entidad pública adquirente efectúe previamente el trámite de adquisición a través de la enajenación voluntaria y negociada con el propietario del inmueble, antes de acudir a los procedimientos especiales para la expropiación judicial o administrativa.</w:t>
      </w:r>
      <w:r w:rsidRPr="00380CA4">
        <w:rPr>
          <w:rFonts w:ascii="Verdana" w:hAnsi="Verdana"/>
        </w:rPr>
        <w:t xml:space="preserve"> </w:t>
      </w:r>
      <w:r w:rsidRPr="00380CA4">
        <w:rPr>
          <w:rFonts w:ascii="Verdana" w:eastAsia="Times New Roman" w:hAnsi="Verdana" w:cs="Arial"/>
          <w:lang w:eastAsia="es-ES_tradnl"/>
        </w:rPr>
        <w:t>Así, en los casos de enajenación voluntaria y negociación directa, la adquisición se realiza como resultado de un negocio jurídico autónomo, en el que la obligación de pago se determinará de común acuerdo entre el Estado y el vendedor, pues, en tales eventos no se trata de una expropiación</w:t>
      </w:r>
      <w:r w:rsidRPr="00380CA4">
        <w:rPr>
          <w:rStyle w:val="Refdenotaalpie"/>
          <w:rFonts w:ascii="Verdana" w:eastAsia="Times New Roman" w:hAnsi="Verdana" w:cs="Arial"/>
          <w:lang w:eastAsia="es-ES_tradnl"/>
        </w:rPr>
        <w:footnoteReference w:id="34"/>
      </w:r>
      <w:r w:rsidRPr="00380CA4">
        <w:rPr>
          <w:rFonts w:ascii="Verdana" w:eastAsia="Times New Roman" w:hAnsi="Verdana" w:cs="Arial"/>
          <w:lang w:eastAsia="es-ES_tradnl"/>
        </w:rPr>
        <w:t>.</w:t>
      </w:r>
    </w:p>
    <w:p w14:paraId="79D923BA" w14:textId="77777777" w:rsidR="00A6584F" w:rsidRPr="00380CA4" w:rsidRDefault="00A6584F" w:rsidP="00A6584F">
      <w:pPr>
        <w:spacing w:after="0" w:line="276" w:lineRule="auto"/>
        <w:ind w:firstLine="708"/>
        <w:jc w:val="both"/>
        <w:rPr>
          <w:rFonts w:ascii="Verdana" w:eastAsia="Times New Roman" w:hAnsi="Verdana" w:cs="Arial"/>
          <w:lang w:eastAsia="es-ES_tradnl"/>
        </w:rPr>
      </w:pPr>
      <w:r w:rsidRPr="00380CA4">
        <w:rPr>
          <w:rFonts w:ascii="Verdana" w:eastAsia="Times New Roman" w:hAnsi="Verdana" w:cs="Arial"/>
          <w:lang w:eastAsia="es-ES_tradnl"/>
        </w:rPr>
        <w:t xml:space="preserve">Una vez se ha efectuado la notificación del acto de oferta empieza a correr el término durante el cual se llevará a cabo la negociación con el propietario del inmueble. Si en este plazo se logra el acuerdo se celebrará un </w:t>
      </w:r>
      <w:r w:rsidRPr="00380CA4">
        <w:rPr>
          <w:rFonts w:ascii="Verdana" w:eastAsia="Times New Roman" w:hAnsi="Verdana" w:cs="Arial"/>
          <w:i/>
          <w:iCs/>
          <w:lang w:eastAsia="es-ES_tradnl"/>
        </w:rPr>
        <w:t>contrato de compraventa</w:t>
      </w:r>
      <w:r w:rsidRPr="00380CA4">
        <w:rPr>
          <w:rFonts w:ascii="Verdana" w:eastAsia="Times New Roman" w:hAnsi="Verdana" w:cs="Arial"/>
          <w:lang w:eastAsia="es-ES_tradnl"/>
        </w:rPr>
        <w:t xml:space="preserve"> o de promesa de compraventa</w:t>
      </w:r>
      <w:r w:rsidRPr="00380CA4">
        <w:rPr>
          <w:rStyle w:val="Refdenotaalpie"/>
          <w:rFonts w:ascii="Verdana" w:eastAsia="Times New Roman" w:hAnsi="Verdana" w:cs="Arial"/>
          <w:lang w:eastAsia="es-ES_tradnl"/>
        </w:rPr>
        <w:footnoteReference w:id="35"/>
      </w:r>
      <w:r w:rsidRPr="00380CA4">
        <w:rPr>
          <w:rFonts w:ascii="Verdana" w:eastAsia="Times New Roman" w:hAnsi="Verdana" w:cs="Arial"/>
          <w:lang w:eastAsia="es-ES_tradnl"/>
        </w:rPr>
        <w:t xml:space="preserve">. En caso contrario se deberá dar inicio al proceso de expropiación. Finalmente, en caso de acuerdo, realizada la entrega material del inmueble a favor de la entidad adquirente, el pago del precio se efectuará de conformidad con lo convenido dentro del respectivo contrato de compraventa. </w:t>
      </w:r>
    </w:p>
    <w:p w14:paraId="1A3C90EE" w14:textId="77777777" w:rsidR="00A6584F" w:rsidRPr="00380CA4" w:rsidRDefault="00A6584F" w:rsidP="00A6584F">
      <w:pPr>
        <w:spacing w:before="120" w:after="0" w:line="276" w:lineRule="auto"/>
        <w:ind w:firstLine="708"/>
        <w:jc w:val="both"/>
        <w:rPr>
          <w:rFonts w:ascii="Verdana" w:eastAsia="Times New Roman" w:hAnsi="Verdana" w:cs="Arial"/>
          <w:lang w:eastAsia="es-ES_tradnl"/>
        </w:rPr>
      </w:pPr>
      <w:r w:rsidRPr="00380CA4">
        <w:rPr>
          <w:rFonts w:ascii="Verdana" w:eastAsia="Times New Roman" w:hAnsi="Verdana" w:cs="Arial"/>
          <w:lang w:eastAsia="es-ES_tradnl"/>
        </w:rPr>
        <w:t xml:space="preserve">En efecto, en los procesos de expropiación judicial o expropiación administrativa existe una etapa previa de negociación, en la cual la administración intenta adquirir voluntariamente el bien, de suerte que se evite iniciar el proceso forzoso expropiatorio. Esta etapa comienza con una oferta de la entidad al particular para adquirir el bien por el precio base fijado con fundamento en un avalúo. Posteriormente, pasa a una etapa de negociación directa con el particular. En caso de que el proceso de negociación directa se concrete, culmina con la etapa de transferencia del bien y de pago del precio acordado. Pero, si el proceso de negociación se frustra, inicia la etapa </w:t>
      </w:r>
      <w:r w:rsidRPr="00380CA4">
        <w:rPr>
          <w:rFonts w:ascii="Verdana" w:eastAsia="Times New Roman" w:hAnsi="Verdana" w:cs="Arial"/>
          <w:lang w:eastAsia="es-ES_tradnl"/>
        </w:rPr>
        <w:lastRenderedPageBreak/>
        <w:t>expropiatoria, mediante los procesos judicial o administrativo, según el caso, hasta obtener el título traslaticio de dominio al Estado, la tradición del bien y realizar el pago de la indemnización al particular expropiado.</w:t>
      </w:r>
    </w:p>
    <w:p w14:paraId="2090C5C4" w14:textId="77777777" w:rsidR="00A6584F" w:rsidRPr="00380CA4" w:rsidRDefault="00A6584F" w:rsidP="00A6584F">
      <w:pPr>
        <w:tabs>
          <w:tab w:val="left" w:pos="709"/>
        </w:tabs>
        <w:spacing w:before="120" w:after="120" w:line="276" w:lineRule="auto"/>
        <w:ind w:firstLine="708"/>
        <w:jc w:val="both"/>
        <w:rPr>
          <w:rFonts w:ascii="Verdana" w:eastAsia="Times New Roman" w:hAnsi="Verdana" w:cs="Arial"/>
          <w:lang w:eastAsia="es-ES_tradnl"/>
        </w:rPr>
      </w:pPr>
      <w:bookmarkStart w:id="11" w:name="_Hlk79760762"/>
      <w:r w:rsidRPr="00380CA4">
        <w:rPr>
          <w:rFonts w:ascii="Verdana" w:eastAsia="Times New Roman" w:hAnsi="Verdana" w:cs="Arial"/>
          <w:lang w:eastAsia="es-ES_tradnl"/>
        </w:rPr>
        <w:t xml:space="preserve">Dado que el procedimiento establecido podría culminar con la celebración de </w:t>
      </w:r>
      <w:bookmarkStart w:id="12" w:name="_Hlk79003065"/>
      <w:r w:rsidRPr="00380CA4">
        <w:rPr>
          <w:rFonts w:ascii="Verdana" w:eastAsia="Times New Roman" w:hAnsi="Verdana" w:cs="Arial"/>
          <w:lang w:eastAsia="es-ES_tradnl"/>
        </w:rPr>
        <w:t xml:space="preserve">una promesa de compraventa o en un contrato de compraventa, </w:t>
      </w:r>
      <w:bookmarkEnd w:id="12"/>
      <w:r w:rsidRPr="00380CA4">
        <w:rPr>
          <w:rFonts w:ascii="Verdana" w:eastAsia="Times New Roman" w:hAnsi="Verdana" w:cs="Arial"/>
          <w:lang w:eastAsia="es-ES_tradnl"/>
        </w:rPr>
        <w:t xml:space="preserve">en el que participan entidades estatales y se invierten recursos de naturaleza pública, bien puede afirmarse que estos actos jurídicos negociales son auténticos contratos estatales, según el criterio orgánico establecido en el artículo 32 de la Ley 80 de 1993, en concordancia el artículo 2 </w:t>
      </w:r>
      <w:r w:rsidRPr="00380CA4">
        <w:rPr>
          <w:rFonts w:ascii="Verdana" w:eastAsia="Times New Roman" w:hAnsi="Verdana" w:cs="Arial"/>
          <w:i/>
          <w:iCs/>
          <w:lang w:eastAsia="es-ES_tradnl"/>
        </w:rPr>
        <w:t>ibidem</w:t>
      </w:r>
      <w:r w:rsidRPr="00380CA4">
        <w:rPr>
          <w:rFonts w:ascii="Verdana" w:eastAsia="Times New Roman" w:hAnsi="Verdana" w:cs="Arial"/>
          <w:lang w:eastAsia="es-ES_tradnl"/>
        </w:rPr>
        <w:t xml:space="preserve"> y en armonía con lo dispuesto por el artículo 1 de la Ley 1150 de 2007.</w:t>
      </w:r>
    </w:p>
    <w:p w14:paraId="6CFFB8BB" w14:textId="77777777" w:rsidR="00A6584F" w:rsidRPr="00380CA4" w:rsidRDefault="00A6584F" w:rsidP="00A6584F">
      <w:pPr>
        <w:pStyle w:val="paragraph"/>
        <w:shd w:val="clear" w:color="auto" w:fill="FFFFFF"/>
        <w:spacing w:before="0" w:beforeAutospacing="0" w:after="0" w:afterAutospacing="0" w:line="276" w:lineRule="auto"/>
        <w:ind w:firstLine="703"/>
        <w:jc w:val="both"/>
        <w:textAlignment w:val="baseline"/>
        <w:rPr>
          <w:rFonts w:ascii="Verdana" w:hAnsi="Verdana" w:cs="Arial"/>
          <w:sz w:val="22"/>
          <w:szCs w:val="22"/>
          <w:lang w:eastAsia="es-ES_tradnl"/>
        </w:rPr>
      </w:pPr>
      <w:r w:rsidRPr="00380CA4">
        <w:rPr>
          <w:rFonts w:ascii="Verdana" w:hAnsi="Verdana" w:cs="Arial"/>
          <w:sz w:val="22"/>
          <w:szCs w:val="22"/>
          <w:lang w:eastAsia="es-ES_tradnl"/>
        </w:rPr>
        <w:t>Sin embargo, el procedimiento de adquisición de bienes inmuebles establecido en el Estatuto General de Contratación de la Administración Pública no resulta aplicable. Tal y como ha sido aclarado por esta Agencia, el procedimiento para la adquisición de bienes inmuebles con fines de utilidad pública e interés social se encuentra excluido de la aplicación de tal estatuto, por cuanto es un procedimiento regulado en un régimen especial y exceptuado.</w:t>
      </w:r>
      <w:bookmarkEnd w:id="11"/>
      <w:r w:rsidRPr="00380CA4">
        <w:rPr>
          <w:rFonts w:ascii="Verdana" w:hAnsi="Verdana" w:cs="Arial"/>
          <w:sz w:val="22"/>
          <w:szCs w:val="22"/>
          <w:lang w:eastAsia="es-ES_tradnl"/>
        </w:rPr>
        <w:t xml:space="preserve"> Al respecto, se reitera lo señalado por esta Agencia mediante Concepto C-159 de 2020, en los siguientes términos:</w:t>
      </w:r>
    </w:p>
    <w:p w14:paraId="295ED78B" w14:textId="77777777" w:rsidR="00A6584F" w:rsidRPr="00380CA4" w:rsidRDefault="00A6584F" w:rsidP="00A6584F">
      <w:pPr>
        <w:pStyle w:val="paragraph"/>
        <w:shd w:val="clear" w:color="auto" w:fill="FFFFFF"/>
        <w:spacing w:before="0" w:beforeAutospacing="0" w:after="0" w:afterAutospacing="0" w:line="276" w:lineRule="auto"/>
        <w:ind w:firstLine="703"/>
        <w:jc w:val="both"/>
        <w:textAlignment w:val="baseline"/>
        <w:rPr>
          <w:rFonts w:ascii="Verdana" w:hAnsi="Verdana" w:cs="Arial"/>
          <w:sz w:val="22"/>
          <w:szCs w:val="22"/>
          <w:lang w:eastAsia="es-ES_tradnl"/>
        </w:rPr>
      </w:pPr>
    </w:p>
    <w:p w14:paraId="367FC1D8" w14:textId="77777777" w:rsidR="00A6584F" w:rsidRPr="00380CA4" w:rsidRDefault="00A6584F" w:rsidP="00A6584F">
      <w:pPr>
        <w:spacing w:after="0" w:line="240" w:lineRule="auto"/>
        <w:ind w:left="708" w:right="709"/>
        <w:jc w:val="both"/>
        <w:rPr>
          <w:rFonts w:ascii="Verdana" w:eastAsia="Times New Roman" w:hAnsi="Verdana" w:cs="Arial"/>
          <w:sz w:val="20"/>
          <w:szCs w:val="20"/>
          <w:lang w:eastAsia="es-ES_tradnl"/>
        </w:rPr>
      </w:pPr>
      <w:r w:rsidRPr="00380CA4">
        <w:rPr>
          <w:rFonts w:ascii="Verdana" w:eastAsia="Calibri" w:hAnsi="Verdana" w:cs="Arial"/>
          <w:color w:val="000000" w:themeColor="text1"/>
          <w:sz w:val="20"/>
          <w:szCs w:val="20"/>
        </w:rPr>
        <w:t>“Al observar lo anterior y contrastarlo con la normativa de contratación pública, esta entidad concluyó que, a pesar de que la Ley 80 de 1993 regula los contratos de las entidades, la excepción a esta regla debe tener origen constitucional o legal, y por ello, en virtud de la especialidad del procedimiento, el trámite de enajenación voluntaria directa, al que se refiere la Ley 9 de 1989, modificada por la Ley 388 de 1997, no hace parte de la normativa de contratación pública, toda vez que si bien dicho trámite implica la celebración de un contrato de compraventa, ese contrato tiene origen o razón de ser en la declaración previa de los bienes de «utilidad pública o interés social» en los términos del artículo 58 de la Ley 388 de 1997”</w:t>
      </w:r>
      <w:r w:rsidRPr="00380CA4">
        <w:rPr>
          <w:rStyle w:val="Refdenotaalpie"/>
          <w:rFonts w:ascii="Verdana" w:eastAsia="Calibri" w:hAnsi="Verdana" w:cs="Arial"/>
          <w:color w:val="000000" w:themeColor="text1"/>
          <w:sz w:val="20"/>
          <w:szCs w:val="20"/>
        </w:rPr>
        <w:footnoteReference w:id="36"/>
      </w:r>
      <w:r w:rsidRPr="00380CA4">
        <w:rPr>
          <w:rFonts w:ascii="Verdana" w:eastAsia="Calibri" w:hAnsi="Verdana" w:cs="Arial"/>
          <w:color w:val="000000" w:themeColor="text1"/>
          <w:sz w:val="20"/>
          <w:szCs w:val="20"/>
        </w:rPr>
        <w:t>.</w:t>
      </w:r>
    </w:p>
    <w:p w14:paraId="5E3C46D8" w14:textId="77777777" w:rsidR="00A6584F" w:rsidRPr="00380CA4" w:rsidRDefault="00A6584F" w:rsidP="00A6584F">
      <w:pPr>
        <w:spacing w:after="0" w:line="240" w:lineRule="auto"/>
        <w:jc w:val="both"/>
        <w:rPr>
          <w:rFonts w:ascii="Verdana" w:eastAsia="Times New Roman" w:hAnsi="Verdana" w:cs="Arial"/>
          <w:sz w:val="20"/>
          <w:szCs w:val="20"/>
          <w:lang w:eastAsia="es-ES_tradnl"/>
        </w:rPr>
      </w:pPr>
    </w:p>
    <w:p w14:paraId="4976C255" w14:textId="77777777" w:rsidR="00A6584F" w:rsidRPr="00380CA4" w:rsidRDefault="00A6584F" w:rsidP="00A6584F">
      <w:pPr>
        <w:spacing w:after="120" w:line="276" w:lineRule="auto"/>
        <w:ind w:firstLine="708"/>
        <w:jc w:val="both"/>
        <w:rPr>
          <w:rFonts w:ascii="Verdana" w:eastAsia="Times New Roman" w:hAnsi="Verdana" w:cs="Arial"/>
          <w:lang w:eastAsia="es-ES_tradnl"/>
        </w:rPr>
      </w:pPr>
      <w:r w:rsidRPr="00380CA4">
        <w:rPr>
          <w:rFonts w:ascii="Verdana" w:eastAsia="Times New Roman" w:hAnsi="Verdana" w:cs="Arial"/>
          <w:lang w:eastAsia="es-ES_tradnl"/>
        </w:rPr>
        <w:t xml:space="preserve">En efecto, pese a que existe un régimen normativo aplicable de manera general a la contratación del Estado, el legislador ha establecido regímenes especiales para algunas entidades estatales en consideración a su actividad o para algunos contratos estatales </w:t>
      </w:r>
      <w:proofErr w:type="gramStart"/>
      <w:r w:rsidRPr="00380CA4">
        <w:rPr>
          <w:rFonts w:ascii="Verdana" w:eastAsia="Times New Roman" w:hAnsi="Verdana" w:cs="Arial"/>
          <w:lang w:eastAsia="es-ES_tradnl"/>
        </w:rPr>
        <w:t>en razón de</w:t>
      </w:r>
      <w:proofErr w:type="gramEnd"/>
      <w:r w:rsidRPr="00380CA4">
        <w:rPr>
          <w:rFonts w:ascii="Verdana" w:eastAsia="Times New Roman" w:hAnsi="Verdana" w:cs="Arial"/>
          <w:lang w:eastAsia="es-ES_tradnl"/>
        </w:rPr>
        <w:t xml:space="preserve"> su objeto, que contienen una serie </w:t>
      </w:r>
      <w:r w:rsidRPr="00380CA4">
        <w:rPr>
          <w:rFonts w:ascii="Verdana" w:eastAsia="Times New Roman" w:hAnsi="Verdana" w:cs="Arial"/>
          <w:lang w:eastAsia="es-ES_tradnl"/>
        </w:rPr>
        <w:lastRenderedPageBreak/>
        <w:t xml:space="preserve">de normas distintas o específicas que se aplican a la actividad contractual de tales entidades o en la celebración de dichos contratos, o simplemente remiten al Derecho privado. Por ende, no resultan aplicables aquellas materias reguladas por el citado Estatuto y las normas que lo modifiquen o adicionen, como, por ejemplo, los mecanismos de selección, las cláusulas excepcionales, la liquidación del contrato, entre otros, salvo que el régimen especial así lo autorice. </w:t>
      </w:r>
    </w:p>
    <w:p w14:paraId="6C0A0600" w14:textId="77777777" w:rsidR="00A6584F" w:rsidRPr="00380CA4" w:rsidRDefault="00A6584F" w:rsidP="00A6584F">
      <w:pPr>
        <w:spacing w:after="120" w:line="276" w:lineRule="auto"/>
        <w:ind w:firstLine="708"/>
        <w:jc w:val="both"/>
        <w:rPr>
          <w:rFonts w:ascii="Verdana" w:eastAsia="Times New Roman" w:hAnsi="Verdana" w:cs="Arial"/>
          <w:lang w:eastAsia="es-ES_tradnl"/>
        </w:rPr>
      </w:pPr>
      <w:r w:rsidRPr="00380CA4">
        <w:rPr>
          <w:rFonts w:ascii="Verdana" w:eastAsia="Times New Roman" w:hAnsi="Verdana" w:cs="Arial"/>
          <w:lang w:eastAsia="es-ES_tradnl"/>
        </w:rPr>
        <w:t xml:space="preserve">Sin embargo, no debe pasarse por alto que, al margen de su especialidad, el procedimiento administrativo </w:t>
      </w:r>
      <w:bookmarkStart w:id="13" w:name="_Hlk79133236"/>
      <w:r w:rsidRPr="00380CA4">
        <w:rPr>
          <w:rFonts w:ascii="Verdana" w:eastAsia="Times New Roman" w:hAnsi="Verdana" w:cs="Arial"/>
          <w:lang w:eastAsia="es-ES_tradnl"/>
        </w:rPr>
        <w:t xml:space="preserve">para la adquisición de inmuebles por utilidad pública e interés social mediante enajenación voluntaria, </w:t>
      </w:r>
      <w:bookmarkEnd w:id="13"/>
      <w:r w:rsidRPr="00380CA4">
        <w:rPr>
          <w:rFonts w:ascii="Verdana" w:eastAsia="Times New Roman" w:hAnsi="Verdana" w:cs="Arial"/>
          <w:lang w:eastAsia="es-ES_tradnl"/>
        </w:rPr>
        <w:t>implica el ejercicio de funciones administrativas, lo que, por ende, implica la aplicación de los principios de igualdad, moralidad, eficacia, economía, celeridad, imparcialidad y publicidad contenidos en el artículo 209 de la Constitución, varios de los cuales encuentran manifestaciones prácticas y concretas dentro de la regulación de las leyes 9 de 1989, 388 de 1997 y 1682 de 2013.</w:t>
      </w:r>
      <w:bookmarkStart w:id="14" w:name="_Hlk79760844"/>
      <w:r w:rsidRPr="00380CA4">
        <w:rPr>
          <w:rFonts w:ascii="Verdana" w:eastAsia="Times New Roman" w:hAnsi="Verdana" w:cs="Arial"/>
          <w:lang w:eastAsia="es-ES_tradnl"/>
        </w:rPr>
        <w:t xml:space="preserve"> Toda vez que a través de la adquisición de bienes inmuebles mediante enajenación directa se comprometen dineros provenientes del erario, resultan también aplicables los principios propios del Estado Social de Derecho y de la Administración pública como los principios de transparencia, publicidad entre otros.</w:t>
      </w:r>
    </w:p>
    <w:p w14:paraId="57952702" w14:textId="77777777" w:rsidR="00A6584F" w:rsidRPr="00380CA4" w:rsidRDefault="00A6584F" w:rsidP="00A6584F">
      <w:pPr>
        <w:tabs>
          <w:tab w:val="left" w:pos="426"/>
        </w:tabs>
        <w:spacing w:after="120" w:line="276" w:lineRule="auto"/>
        <w:jc w:val="both"/>
        <w:rPr>
          <w:rFonts w:ascii="Verdana" w:eastAsia="Times New Roman" w:hAnsi="Verdana" w:cs="Arial"/>
          <w:lang w:eastAsia="es-ES_tradnl"/>
        </w:rPr>
      </w:pPr>
      <w:r>
        <w:rPr>
          <w:rFonts w:ascii="Verdana" w:eastAsia="Times New Roman" w:hAnsi="Verdana" w:cs="Arial"/>
          <w:lang w:eastAsia="es-ES_tradnl"/>
        </w:rPr>
        <w:tab/>
      </w:r>
      <w:r>
        <w:rPr>
          <w:rFonts w:ascii="Verdana" w:eastAsia="Times New Roman" w:hAnsi="Verdana" w:cs="Arial"/>
          <w:lang w:eastAsia="es-ES_tradnl"/>
        </w:rPr>
        <w:tab/>
        <w:t>De acuerdo con lo expuesto, y lo definido en diferentes conceptos de la Agencia Nacional de Contratación Pública – Colombia Compra Eficiente</w:t>
      </w:r>
      <w:r>
        <w:rPr>
          <w:rStyle w:val="Refdenotaalpie"/>
          <w:rFonts w:ascii="Verdana" w:eastAsia="Times New Roman" w:hAnsi="Verdana" w:cs="Arial"/>
          <w:lang w:eastAsia="es-ES_tradnl"/>
        </w:rPr>
        <w:footnoteReference w:id="37"/>
      </w:r>
      <w:r w:rsidRPr="00380CA4">
        <w:rPr>
          <w:rFonts w:ascii="Verdana" w:eastAsia="Times New Roman" w:hAnsi="Verdana" w:cs="Arial"/>
          <w:lang w:eastAsia="es-ES_tradnl"/>
        </w:rPr>
        <w:t>, la adquisición de los predios que se realice por enajenación voluntaria está sometida a un régimen especial de contratación. Sin embargo, como se explicó antes, esta culmina con la suscripción de un contrato de promesa de compraventa o de compraventa entre la entidad y la persona, con lo cual se trata de un procedimiento de contratación estatal no competitivo que está restringido por la prohibición establecida en el artículo 33 de la Ley 996 de 2005</w:t>
      </w:r>
      <w:bookmarkEnd w:id="14"/>
      <w:r w:rsidRPr="00380CA4">
        <w:rPr>
          <w:rFonts w:ascii="Verdana" w:eastAsia="Times New Roman" w:hAnsi="Verdana" w:cs="Arial"/>
          <w:lang w:eastAsia="es-ES_tradnl"/>
        </w:rPr>
        <w:t xml:space="preserve">. </w:t>
      </w:r>
      <w:r w:rsidRPr="00380CA4">
        <w:rPr>
          <w:rFonts w:ascii="Verdana" w:eastAsia="Times New Roman" w:hAnsi="Verdana" w:cs="Arial"/>
          <w:bCs/>
          <w:lang w:eastAsia="es-ES_tradnl"/>
        </w:rPr>
        <w:t xml:space="preserve">En tal sentido, se reitera que la restricción del artículo 33 de la Ley 996 de 2005 aplica frente a la contratación directa, entendida como cualquier sistema de selección o procedimiento de contratación utilizada por las entidades estatales que no incluya la convocatoria pública en alguna de sus etapas, ni permita la participación de una pluralidad de oferentes, ya sea en aplicación de normas del Estatuto General de Contratación de la Administración Pública, así como de regímenes especiales. Esto, sin perjuicio de las excepciones a la prohibición </w:t>
      </w:r>
      <w:r w:rsidRPr="00380CA4">
        <w:rPr>
          <w:rFonts w:ascii="Verdana" w:eastAsia="Times New Roman" w:hAnsi="Verdana" w:cs="Arial"/>
          <w:bCs/>
          <w:lang w:eastAsia="es-ES_tradnl"/>
        </w:rPr>
        <w:lastRenderedPageBreak/>
        <w:t xml:space="preserve">establecidas en el inciso segundo del mismo artículo 33, como son: i) la defensa y seguridad del Estado; </w:t>
      </w:r>
      <w:proofErr w:type="spellStart"/>
      <w:r w:rsidRPr="00380CA4">
        <w:rPr>
          <w:rFonts w:ascii="Verdana" w:eastAsia="Times New Roman" w:hAnsi="Verdana" w:cs="Arial"/>
          <w:bCs/>
          <w:lang w:eastAsia="es-ES_tradnl"/>
        </w:rPr>
        <w:t>ii</w:t>
      </w:r>
      <w:proofErr w:type="spellEnd"/>
      <w:r w:rsidRPr="00380CA4">
        <w:rPr>
          <w:rFonts w:ascii="Verdana" w:eastAsia="Times New Roman" w:hAnsi="Verdana" w:cs="Arial"/>
          <w:bCs/>
          <w:lang w:eastAsia="es-ES_tradnl"/>
        </w:rPr>
        <w:t xml:space="preserve">) los contratos de crédito público; </w:t>
      </w:r>
      <w:proofErr w:type="spellStart"/>
      <w:r w:rsidRPr="00380CA4">
        <w:rPr>
          <w:rFonts w:ascii="Verdana" w:eastAsia="Times New Roman" w:hAnsi="Verdana" w:cs="Arial"/>
          <w:bCs/>
          <w:lang w:eastAsia="es-ES_tradnl"/>
        </w:rPr>
        <w:t>iii</w:t>
      </w:r>
      <w:proofErr w:type="spellEnd"/>
      <w:r w:rsidRPr="00380CA4">
        <w:rPr>
          <w:rFonts w:ascii="Verdana" w:eastAsia="Times New Roman" w:hAnsi="Verdana" w:cs="Arial"/>
          <w:bCs/>
          <w:lang w:eastAsia="es-ES_tradnl"/>
        </w:rPr>
        <w:t xml:space="preserve">) los requeridos para cubrir las emergencias educativas, sanitarias y desastres; </w:t>
      </w:r>
      <w:proofErr w:type="spellStart"/>
      <w:r w:rsidRPr="00380CA4">
        <w:rPr>
          <w:rFonts w:ascii="Verdana" w:eastAsia="Times New Roman" w:hAnsi="Verdana" w:cs="Arial"/>
          <w:bCs/>
          <w:lang w:eastAsia="es-ES_tradnl"/>
        </w:rPr>
        <w:t>iv</w:t>
      </w:r>
      <w:proofErr w:type="spellEnd"/>
      <w:r w:rsidRPr="00380CA4">
        <w:rPr>
          <w:rFonts w:ascii="Verdana" w:eastAsia="Times New Roman" w:hAnsi="Verdana" w:cs="Arial"/>
          <w:bCs/>
          <w:lang w:eastAsia="es-ES_tradnl"/>
        </w:rPr>
        <w:t>)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 Es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r w:rsidRPr="00380CA4">
        <w:rPr>
          <w:rFonts w:ascii="Verdana" w:eastAsia="Times New Roman" w:hAnsi="Verdana" w:cs="Arial"/>
          <w:lang w:eastAsia="es-ES_tradnl"/>
        </w:rPr>
        <w:t xml:space="preserve"> </w:t>
      </w:r>
    </w:p>
    <w:p w14:paraId="10065F0E" w14:textId="77777777" w:rsidR="00A6584F" w:rsidRDefault="00A6584F" w:rsidP="00A6584F">
      <w:pPr>
        <w:tabs>
          <w:tab w:val="left" w:pos="426"/>
        </w:tabs>
        <w:spacing w:after="0" w:line="276" w:lineRule="auto"/>
        <w:jc w:val="both"/>
        <w:rPr>
          <w:rFonts w:ascii="Verdana" w:eastAsia="Times New Roman" w:hAnsi="Verdana" w:cs="Arial"/>
          <w:lang w:eastAsia="es-ES_tradnl"/>
        </w:rPr>
      </w:pPr>
      <w:r w:rsidRPr="00380CA4">
        <w:rPr>
          <w:rFonts w:ascii="Verdana" w:eastAsia="Times New Roman" w:hAnsi="Verdana" w:cs="Arial"/>
          <w:lang w:eastAsia="es-ES_tradnl"/>
        </w:rPr>
        <w:tab/>
      </w:r>
      <w:r w:rsidRPr="00380CA4">
        <w:rPr>
          <w:rFonts w:ascii="Verdana" w:eastAsia="Times New Roman" w:hAnsi="Verdana" w:cs="Arial"/>
          <w:lang w:eastAsia="es-ES_tradnl"/>
        </w:rPr>
        <w:tab/>
        <w:t xml:space="preserve">En contraste, cuando la adquisición de un bien se realiza mediante el procedimiento de expropiación administrativa, no se configura la celebración de un contrato, pues se trata de un acto </w:t>
      </w:r>
      <w:r>
        <w:rPr>
          <w:rFonts w:ascii="Verdana" w:eastAsia="Times New Roman" w:hAnsi="Verdana" w:cs="Arial"/>
          <w:lang w:eastAsia="es-ES_tradnl"/>
        </w:rPr>
        <w:t xml:space="preserve">administrativo </w:t>
      </w:r>
      <w:r w:rsidRPr="00380CA4">
        <w:rPr>
          <w:rFonts w:ascii="Verdana" w:eastAsia="Times New Roman" w:hAnsi="Verdana" w:cs="Arial"/>
          <w:lang w:eastAsia="es-ES_tradnl"/>
        </w:rPr>
        <w:t>sustentado en motivos de utilidad pública o interés social y en condiciones de urgencia previamente definidas por la ley. En este escenario, la transferencia de la propiedad se produce por decisión administrativa y no por acuerdo de voluntades, lo que implica que no se materializan la prohibición</w:t>
      </w:r>
      <w:r>
        <w:rPr>
          <w:rFonts w:ascii="Verdana" w:eastAsia="Times New Roman" w:hAnsi="Verdana" w:cs="Arial"/>
          <w:lang w:eastAsia="es-ES_tradnl"/>
        </w:rPr>
        <w:t xml:space="preserve"> de contratación prevista</w:t>
      </w:r>
      <w:r w:rsidRPr="00380CA4">
        <w:rPr>
          <w:rFonts w:ascii="Verdana" w:eastAsia="Times New Roman" w:hAnsi="Verdana" w:cs="Arial"/>
          <w:lang w:eastAsia="es-ES_tradnl"/>
        </w:rPr>
        <w:t xml:space="preserve"> en </w:t>
      </w:r>
      <w:r>
        <w:rPr>
          <w:rFonts w:ascii="Verdana" w:eastAsia="Times New Roman" w:hAnsi="Verdana" w:cs="Arial"/>
          <w:lang w:eastAsia="es-ES_tradnl"/>
        </w:rPr>
        <w:t xml:space="preserve">el artículo 33 de la Ley </w:t>
      </w:r>
      <w:r w:rsidRPr="00380CA4">
        <w:rPr>
          <w:rFonts w:ascii="Verdana" w:eastAsia="Times New Roman" w:hAnsi="Verdana" w:cs="Arial"/>
          <w:lang w:eastAsia="es-ES_tradnl"/>
        </w:rPr>
        <w:t>de Garantías Electorales. En consecuencia, la expropiación administrativa se mantiene como un mecanismo válido y procedente incluso durante el período de restricciones electorales, dado que su naturaleza jurídica la excluye de las limitaciones aplicables a los contratos estatales.</w:t>
      </w:r>
    </w:p>
    <w:p w14:paraId="5F796211" w14:textId="77777777" w:rsidR="00A6584F" w:rsidRDefault="00A6584F" w:rsidP="00A6584F">
      <w:pPr>
        <w:tabs>
          <w:tab w:val="left" w:pos="426"/>
        </w:tabs>
        <w:spacing w:after="0" w:line="240" w:lineRule="auto"/>
        <w:jc w:val="both"/>
        <w:rPr>
          <w:rFonts w:ascii="Verdana" w:eastAsia="Times New Roman" w:hAnsi="Verdana" w:cs="Arial"/>
          <w:lang w:eastAsia="es-ES_tradnl"/>
        </w:rPr>
      </w:pPr>
    </w:p>
    <w:p w14:paraId="4EB4190A" w14:textId="77777777" w:rsidR="00A6584F" w:rsidRPr="005F1911" w:rsidRDefault="00A6584F" w:rsidP="00A6584F">
      <w:pPr>
        <w:tabs>
          <w:tab w:val="left" w:pos="426"/>
        </w:tabs>
        <w:spacing w:after="120" w:line="276" w:lineRule="auto"/>
        <w:jc w:val="both"/>
        <w:rPr>
          <w:rFonts w:ascii="Verdana" w:hAnsi="Verdana" w:cs="Arial"/>
          <w:lang w:eastAsia="es-ES_tradnl"/>
        </w:rPr>
      </w:pPr>
      <w:r>
        <w:rPr>
          <w:rFonts w:ascii="Verdana" w:eastAsia="Times New Roman" w:hAnsi="Verdana" w:cs="Arial"/>
          <w:lang w:eastAsia="es-ES_tradnl"/>
        </w:rPr>
        <w:t>v. Ahora bien, es importante tener en cuenta el procedimiento de enajenación voluntaria para la constitución de servidumbres en proyectos de infraestructura de servicios públicos. Para ello, se acude al parágrafo 2° del artículo 38 de la Ley 1681 de 2012, que prescribe: “</w:t>
      </w:r>
      <w:r w:rsidRPr="005F1911">
        <w:rPr>
          <w:rFonts w:ascii="Verdana" w:hAnsi="Verdana" w:cs="Arial"/>
          <w:lang w:eastAsia="es-ES_tradnl"/>
        </w:rPr>
        <w:t>Lo dispuesto en este artículo será aplicable a la gestión predial necesaria para la ejecución de proyectos de infraestructura de servicios públicos, sin perjuicio de lo establecido en la Ley 56 de 1981</w:t>
      </w:r>
      <w:r>
        <w:rPr>
          <w:rFonts w:ascii="Verdana" w:hAnsi="Verdana" w:cs="Arial"/>
          <w:lang w:eastAsia="es-ES_tradnl"/>
        </w:rPr>
        <w:t>”. Es decir, debe aplicarse el artículo 38 de la Ley 1681 de 2013</w:t>
      </w:r>
      <w:r>
        <w:rPr>
          <w:rStyle w:val="Refdenotaalpie"/>
          <w:rFonts w:ascii="Verdana" w:hAnsi="Verdana" w:cs="Arial"/>
          <w:lang w:eastAsia="es-ES_tradnl"/>
        </w:rPr>
        <w:footnoteReference w:id="38"/>
      </w:r>
      <w:r>
        <w:rPr>
          <w:rFonts w:ascii="Verdana" w:hAnsi="Verdana" w:cs="Arial"/>
          <w:lang w:eastAsia="es-ES_tradnl"/>
        </w:rPr>
        <w:t xml:space="preserve">, lo que implica </w:t>
      </w:r>
      <w:r w:rsidRPr="005F1911">
        <w:rPr>
          <w:rFonts w:ascii="Verdana" w:hAnsi="Verdana" w:cs="Arial"/>
          <w:lang w:eastAsia="es-ES_tradnl"/>
        </w:rPr>
        <w:lastRenderedPageBreak/>
        <w:t>durante la construcción de</w:t>
      </w:r>
      <w:r>
        <w:rPr>
          <w:rFonts w:ascii="Verdana" w:hAnsi="Verdana" w:cs="Arial"/>
          <w:lang w:eastAsia="es-ES_tradnl"/>
        </w:rPr>
        <w:t xml:space="preserve"> proyectos de infraestructura de servicios públicos</w:t>
      </w:r>
      <w:r w:rsidRPr="005F1911">
        <w:rPr>
          <w:rFonts w:ascii="Verdana" w:hAnsi="Verdana" w:cs="Arial"/>
          <w:lang w:eastAsia="es-ES_tradnl"/>
        </w:rPr>
        <w:t xml:space="preserve">, el Estado puede imponer </w:t>
      </w:r>
      <w:r w:rsidRPr="005F1911">
        <w:rPr>
          <w:rFonts w:ascii="Verdana" w:hAnsi="Verdana" w:cs="Arial"/>
          <w:bCs/>
          <w:lang w:eastAsia="es-ES_tradnl"/>
        </w:rPr>
        <w:t>servidumbres mediante acto administrativo</w:t>
      </w:r>
      <w:r w:rsidRPr="005F1911">
        <w:rPr>
          <w:rFonts w:ascii="Verdana" w:hAnsi="Verdana" w:cs="Arial"/>
          <w:lang w:eastAsia="es-ES_tradnl"/>
        </w:rPr>
        <w:t xml:space="preserve"> para facilitar la ejecución de las obras. Esta facultad corresponde a la Nación, a través de los jefes de sus entidades, y a las entidades territoriales, por medio de gobernadores y alcaldes, según quién tenga a cargo el proyecto. </w:t>
      </w:r>
      <w:r>
        <w:rPr>
          <w:rFonts w:ascii="Verdana" w:hAnsi="Verdana" w:cs="Arial"/>
          <w:lang w:eastAsia="es-ES_tradnl"/>
        </w:rPr>
        <w:t xml:space="preserve">Así mismo, se exige </w:t>
      </w:r>
      <w:r w:rsidRPr="005F1911">
        <w:rPr>
          <w:rFonts w:ascii="Verdana" w:hAnsi="Verdana" w:cs="Arial"/>
          <w:lang w:eastAsia="es-ES_tradnl"/>
        </w:rPr>
        <w:t xml:space="preserve">como paso previo una </w:t>
      </w:r>
      <w:r w:rsidRPr="005F1911">
        <w:rPr>
          <w:rFonts w:ascii="Verdana" w:hAnsi="Verdana" w:cs="Arial"/>
          <w:bCs/>
          <w:lang w:eastAsia="es-ES_tradnl"/>
        </w:rPr>
        <w:t>etapa de negociación directa</w:t>
      </w:r>
      <w:r w:rsidRPr="005F1911">
        <w:rPr>
          <w:rFonts w:ascii="Verdana" w:hAnsi="Verdana" w:cs="Arial"/>
          <w:lang w:eastAsia="es-ES_tradnl"/>
        </w:rPr>
        <w:t xml:space="preserve"> con los propietarios de los predios afectados, la cual no puede superar los treinta días calendario. Si dentro de ese plazo no se logra un acuerdo, la autoridad competente puede imponer la servidumbre por vía administrativa. </w:t>
      </w:r>
    </w:p>
    <w:p w14:paraId="6E317FED" w14:textId="77777777" w:rsidR="00A6584F" w:rsidRDefault="00A6584F" w:rsidP="00A6584F">
      <w:pPr>
        <w:tabs>
          <w:tab w:val="left" w:pos="426"/>
        </w:tabs>
        <w:spacing w:after="0" w:line="276" w:lineRule="auto"/>
        <w:jc w:val="both"/>
        <w:rPr>
          <w:rFonts w:ascii="Verdana" w:hAnsi="Verdana" w:cs="Arial"/>
          <w:bCs/>
          <w:lang w:eastAsia="es-ES_tradnl"/>
        </w:rPr>
      </w:pPr>
      <w:r>
        <w:rPr>
          <w:rFonts w:ascii="Verdana" w:hAnsi="Verdana" w:cs="Arial"/>
          <w:lang w:eastAsia="es-ES_tradnl"/>
        </w:rPr>
        <w:tab/>
      </w:r>
      <w:r>
        <w:rPr>
          <w:rFonts w:ascii="Verdana" w:hAnsi="Verdana" w:cs="Arial"/>
          <w:lang w:eastAsia="es-ES_tradnl"/>
        </w:rPr>
        <w:tab/>
        <w:t xml:space="preserve">Como desarrollo de este artículo ya precitado, se estableció el Decreto 738 de 2014, </w:t>
      </w:r>
      <w:r w:rsidRPr="00F05DC2">
        <w:rPr>
          <w:rFonts w:ascii="Verdana" w:hAnsi="Verdana" w:cs="Arial"/>
          <w:lang w:eastAsia="es-ES_tradnl"/>
        </w:rPr>
        <w:t>“</w:t>
      </w:r>
      <w:r w:rsidRPr="00F05DC2">
        <w:rPr>
          <w:rFonts w:ascii="Verdana" w:hAnsi="Verdana" w:cs="Arial"/>
          <w:bCs/>
          <w:lang w:eastAsia="es-ES_tradnl"/>
        </w:rPr>
        <w:t>por el cual se reglamentan los términos para adelantar la negociación directa y la imposición de servidumbres por vía administrativa, de que trata el artículo 38 de la Ley 1682 de 2013”.</w:t>
      </w:r>
      <w:r>
        <w:rPr>
          <w:rFonts w:ascii="Verdana" w:hAnsi="Verdana" w:cs="Arial"/>
          <w:bCs/>
          <w:lang w:eastAsia="es-ES_tradnl"/>
        </w:rPr>
        <w:t xml:space="preserve"> Al respectivo, este Decreto en su artículo 2 establece el procedimiento de negociación directa, cuyo tenor literal prescribe:</w:t>
      </w:r>
    </w:p>
    <w:p w14:paraId="7C05AB7E" w14:textId="77777777" w:rsidR="00A6584F" w:rsidRDefault="00A6584F" w:rsidP="00A6584F">
      <w:pPr>
        <w:tabs>
          <w:tab w:val="left" w:pos="426"/>
        </w:tabs>
        <w:spacing w:after="0" w:line="276" w:lineRule="auto"/>
        <w:jc w:val="both"/>
        <w:rPr>
          <w:rFonts w:ascii="Verdana" w:hAnsi="Verdana" w:cs="Arial"/>
          <w:bCs/>
          <w:lang w:eastAsia="es-ES_tradnl"/>
        </w:rPr>
      </w:pPr>
    </w:p>
    <w:p w14:paraId="0090FF7B" w14:textId="77777777" w:rsidR="00A6584F" w:rsidRPr="008A7820" w:rsidRDefault="00A6584F" w:rsidP="00A6584F">
      <w:pPr>
        <w:tabs>
          <w:tab w:val="left" w:pos="426"/>
        </w:tabs>
        <w:spacing w:after="0" w:line="240" w:lineRule="auto"/>
        <w:ind w:left="709" w:right="709"/>
        <w:jc w:val="both"/>
        <w:rPr>
          <w:rFonts w:ascii="Verdana" w:hAnsi="Verdana" w:cs="Arial"/>
          <w:sz w:val="20"/>
          <w:szCs w:val="20"/>
          <w:lang w:eastAsia="es-ES_tradnl"/>
        </w:rPr>
      </w:pPr>
      <w:r w:rsidRPr="008A7820">
        <w:rPr>
          <w:rFonts w:ascii="Verdana" w:hAnsi="Verdana" w:cs="Arial"/>
          <w:bCs/>
          <w:sz w:val="20"/>
          <w:szCs w:val="20"/>
          <w:lang w:eastAsia="es-ES_tradnl"/>
        </w:rPr>
        <w:t>Artículo 2°.</w:t>
      </w:r>
      <w:r>
        <w:rPr>
          <w:rFonts w:ascii="Verdana" w:hAnsi="Verdana" w:cs="Arial"/>
          <w:bCs/>
          <w:sz w:val="20"/>
          <w:szCs w:val="20"/>
          <w:lang w:eastAsia="es-ES_tradnl"/>
        </w:rPr>
        <w:t xml:space="preserve"> </w:t>
      </w:r>
      <w:r w:rsidRPr="008A7820">
        <w:rPr>
          <w:rFonts w:ascii="Verdana" w:hAnsi="Verdana" w:cs="Arial"/>
          <w:i/>
          <w:iCs/>
          <w:sz w:val="20"/>
          <w:szCs w:val="20"/>
          <w:lang w:eastAsia="es-ES_tradnl"/>
        </w:rPr>
        <w:t>Negociación Directa</w:t>
      </w:r>
      <w:r w:rsidRPr="008A7820">
        <w:rPr>
          <w:rFonts w:ascii="Verdana" w:hAnsi="Verdana" w:cs="Arial"/>
          <w:sz w:val="20"/>
          <w:szCs w:val="20"/>
          <w:lang w:eastAsia="es-ES_tradnl"/>
        </w:rPr>
        <w:t>. El término máximo de treinta (30) días calendario, establecido en el artículo 38 de la Ley 1682 de 2013 empezará a correr a partir del día siguiente al recibo de la comunicación mediante la cual la autoridad presente la oferta que debe dirigirse al titular o titulares del derecho real de dominio o al poseedor o poseedores inscritos. Para efectos de la comunicación deben considerarse las disposiciones de la Ley 1437 de 2011 o aquellas que la modifiquen, adicionen o sustituyan. </w:t>
      </w:r>
    </w:p>
    <w:p w14:paraId="55A5CB27" w14:textId="77777777" w:rsidR="00A6584F" w:rsidRPr="008A7820" w:rsidRDefault="00A6584F" w:rsidP="00A6584F">
      <w:pPr>
        <w:tabs>
          <w:tab w:val="left" w:pos="426"/>
        </w:tabs>
        <w:spacing w:after="0" w:line="240" w:lineRule="auto"/>
        <w:ind w:left="709" w:right="709"/>
        <w:jc w:val="both"/>
        <w:rPr>
          <w:rFonts w:ascii="Verdana" w:hAnsi="Verdana" w:cs="Arial"/>
          <w:sz w:val="20"/>
          <w:szCs w:val="20"/>
          <w:lang w:eastAsia="es-ES_tradnl"/>
        </w:rPr>
      </w:pPr>
      <w:r w:rsidRPr="008A7820">
        <w:rPr>
          <w:rFonts w:ascii="Verdana" w:hAnsi="Verdana" w:cs="Arial"/>
          <w:sz w:val="20"/>
          <w:szCs w:val="20"/>
          <w:lang w:eastAsia="es-ES_tradnl"/>
        </w:rPr>
        <w:t xml:space="preserve">La oferta debe expresar la necesidad de constituir de común acuerdo una servidumbre sobre el inmueble o parte </w:t>
      </w:r>
      <w:proofErr w:type="gramStart"/>
      <w:r w:rsidRPr="008A7820">
        <w:rPr>
          <w:rFonts w:ascii="Verdana" w:hAnsi="Verdana" w:cs="Arial"/>
          <w:sz w:val="20"/>
          <w:szCs w:val="20"/>
          <w:lang w:eastAsia="es-ES_tradnl"/>
        </w:rPr>
        <w:t>del mismo</w:t>
      </w:r>
      <w:proofErr w:type="gramEnd"/>
      <w:r w:rsidRPr="008A7820">
        <w:rPr>
          <w:rFonts w:ascii="Verdana" w:hAnsi="Verdana" w:cs="Arial"/>
          <w:sz w:val="20"/>
          <w:szCs w:val="20"/>
          <w:lang w:eastAsia="es-ES_tradnl"/>
        </w:rPr>
        <w:t>. Debe contener: (i) la identificación del inmueble por su número de matrícula inmobiliaria, nomenclatura o nombre; (</w:t>
      </w:r>
      <w:proofErr w:type="spellStart"/>
      <w:r w:rsidRPr="008A7820">
        <w:rPr>
          <w:rFonts w:ascii="Verdana" w:hAnsi="Verdana" w:cs="Arial"/>
          <w:sz w:val="20"/>
          <w:szCs w:val="20"/>
          <w:lang w:eastAsia="es-ES_tradnl"/>
        </w:rPr>
        <w:t>ii</w:t>
      </w:r>
      <w:proofErr w:type="spellEnd"/>
      <w:r w:rsidRPr="008A7820">
        <w:rPr>
          <w:rFonts w:ascii="Verdana" w:hAnsi="Verdana" w:cs="Arial"/>
          <w:sz w:val="20"/>
          <w:szCs w:val="20"/>
          <w:lang w:eastAsia="es-ES_tradnl"/>
        </w:rPr>
        <w:t>) sus linderos; (</w:t>
      </w:r>
      <w:proofErr w:type="spellStart"/>
      <w:r w:rsidRPr="008A7820">
        <w:rPr>
          <w:rFonts w:ascii="Verdana" w:hAnsi="Verdana" w:cs="Arial"/>
          <w:sz w:val="20"/>
          <w:szCs w:val="20"/>
          <w:lang w:eastAsia="es-ES_tradnl"/>
        </w:rPr>
        <w:t>iii</w:t>
      </w:r>
      <w:proofErr w:type="spellEnd"/>
      <w:r w:rsidRPr="008A7820">
        <w:rPr>
          <w:rFonts w:ascii="Verdana" w:hAnsi="Verdana" w:cs="Arial"/>
          <w:sz w:val="20"/>
          <w:szCs w:val="20"/>
          <w:lang w:eastAsia="es-ES_tradnl"/>
        </w:rPr>
        <w:t>) el área en el sistema métrico decimal; (</w:t>
      </w:r>
      <w:proofErr w:type="spellStart"/>
      <w:r w:rsidRPr="008A7820">
        <w:rPr>
          <w:rFonts w:ascii="Verdana" w:hAnsi="Verdana" w:cs="Arial"/>
          <w:sz w:val="20"/>
          <w:szCs w:val="20"/>
          <w:lang w:eastAsia="es-ES_tradnl"/>
        </w:rPr>
        <w:t>iv</w:t>
      </w:r>
      <w:proofErr w:type="spellEnd"/>
      <w:r w:rsidRPr="008A7820">
        <w:rPr>
          <w:rFonts w:ascii="Verdana" w:hAnsi="Verdana" w:cs="Arial"/>
          <w:sz w:val="20"/>
          <w:szCs w:val="20"/>
          <w:lang w:eastAsia="es-ES_tradnl"/>
        </w:rPr>
        <w:t>) la indicación de si la servidumbre recae sobre la totalidad del inmueble o sobre una porción del mismo, </w:t>
      </w:r>
      <w:r w:rsidRPr="008A7820">
        <w:rPr>
          <w:rFonts w:ascii="Verdana" w:hAnsi="Verdana" w:cs="Arial"/>
          <w:bCs/>
          <w:sz w:val="20"/>
          <w:szCs w:val="20"/>
          <w:lang w:eastAsia="es-ES_tradnl"/>
        </w:rPr>
        <w:t>(</w:t>
      </w:r>
      <w:r w:rsidRPr="008A7820">
        <w:rPr>
          <w:rFonts w:ascii="Verdana" w:hAnsi="Verdana" w:cs="Arial"/>
          <w:sz w:val="20"/>
          <w:szCs w:val="20"/>
          <w:lang w:eastAsia="es-ES_tradnl"/>
        </w:rPr>
        <w:t>v</w:t>
      </w:r>
      <w:r w:rsidRPr="008A7820">
        <w:rPr>
          <w:rFonts w:ascii="Verdana" w:hAnsi="Verdana" w:cs="Arial"/>
          <w:bCs/>
          <w:sz w:val="20"/>
          <w:szCs w:val="20"/>
          <w:lang w:eastAsia="es-ES_tradnl"/>
        </w:rPr>
        <w:t>) </w:t>
      </w:r>
      <w:r w:rsidRPr="008A7820">
        <w:rPr>
          <w:rFonts w:ascii="Verdana" w:hAnsi="Verdana" w:cs="Arial"/>
          <w:sz w:val="20"/>
          <w:szCs w:val="20"/>
          <w:lang w:eastAsia="es-ES_tradnl"/>
        </w:rPr>
        <w:t xml:space="preserve">los linderos de la porción del predio; (vi) el término durante el cual operará la limitación; </w:t>
      </w:r>
      <w:r w:rsidRPr="008A7820">
        <w:rPr>
          <w:rFonts w:ascii="Verdana" w:hAnsi="Verdana" w:cs="Arial"/>
          <w:sz w:val="20"/>
          <w:szCs w:val="20"/>
          <w:lang w:eastAsia="es-ES_tradnl"/>
        </w:rPr>
        <w:lastRenderedPageBreak/>
        <w:t>(</w:t>
      </w:r>
      <w:proofErr w:type="spellStart"/>
      <w:r w:rsidRPr="008A7820">
        <w:rPr>
          <w:rFonts w:ascii="Verdana" w:hAnsi="Verdana" w:cs="Arial"/>
          <w:sz w:val="20"/>
          <w:szCs w:val="20"/>
          <w:lang w:eastAsia="es-ES_tradnl"/>
        </w:rPr>
        <w:t>vii</w:t>
      </w:r>
      <w:proofErr w:type="spellEnd"/>
      <w:r w:rsidRPr="008A7820">
        <w:rPr>
          <w:rFonts w:ascii="Verdana" w:hAnsi="Verdana" w:cs="Arial"/>
          <w:sz w:val="20"/>
          <w:szCs w:val="20"/>
          <w:lang w:eastAsia="es-ES_tradnl"/>
        </w:rPr>
        <w:t>) el precio que se pagará por la servidumbre anexando el avalúo comercial del predio, o el de la porción que será afectada con la medida, así como, la suma que la entidad pagará a título de indemnizaciones por las afectaciones del patrimonio de los particulares, cuando a ello haya lugar. </w:t>
      </w:r>
    </w:p>
    <w:p w14:paraId="546F7D38" w14:textId="77777777" w:rsidR="00A6584F" w:rsidRPr="008A7820" w:rsidRDefault="00A6584F" w:rsidP="00A6584F">
      <w:pPr>
        <w:tabs>
          <w:tab w:val="left" w:pos="426"/>
        </w:tabs>
        <w:spacing w:after="0" w:line="240" w:lineRule="auto"/>
        <w:ind w:left="709" w:right="709"/>
        <w:jc w:val="both"/>
        <w:rPr>
          <w:rFonts w:ascii="Verdana" w:hAnsi="Verdana" w:cs="Arial"/>
          <w:sz w:val="20"/>
          <w:szCs w:val="20"/>
          <w:lang w:eastAsia="es-ES_tradnl"/>
        </w:rPr>
      </w:pPr>
      <w:r w:rsidRPr="008A7820">
        <w:rPr>
          <w:rFonts w:ascii="Verdana" w:hAnsi="Verdana" w:cs="Arial"/>
          <w:sz w:val="20"/>
          <w:szCs w:val="20"/>
          <w:lang w:eastAsia="es-ES_tradnl"/>
        </w:rPr>
        <w:t>Dentro de los treinta (30) días calendario a los que se refiere el artículo 38 de la Ley 1682 de 2013, el interesado podrá aceptar, rechazar o presentar una contraoferta que debe ser considerada como una manifestación de interés en la negociación. </w:t>
      </w:r>
    </w:p>
    <w:p w14:paraId="5423C1C8" w14:textId="77777777" w:rsidR="00A6584F" w:rsidRPr="008A7820" w:rsidRDefault="00A6584F" w:rsidP="00A6584F">
      <w:pPr>
        <w:tabs>
          <w:tab w:val="left" w:pos="426"/>
        </w:tabs>
        <w:spacing w:after="0" w:line="240" w:lineRule="auto"/>
        <w:ind w:left="709" w:right="709"/>
        <w:jc w:val="both"/>
        <w:rPr>
          <w:rFonts w:ascii="Verdana" w:hAnsi="Verdana" w:cs="Arial"/>
          <w:sz w:val="20"/>
          <w:szCs w:val="20"/>
          <w:lang w:eastAsia="es-ES_tradnl"/>
        </w:rPr>
      </w:pPr>
      <w:r w:rsidRPr="008A7820">
        <w:rPr>
          <w:rFonts w:ascii="Verdana" w:hAnsi="Verdana" w:cs="Arial"/>
          <w:sz w:val="20"/>
          <w:szCs w:val="20"/>
          <w:lang w:eastAsia="es-ES_tradnl"/>
        </w:rPr>
        <w:t>En caso de acuerdo, la autoridad y el titular o titulares del derecho real de dominio o el poseedor o poseedores inscritos, procederán a suscribir la escritura pública de constitución de la servidumbre, que debe ser inscrita en la Oficina de Registro Público del lugar en que se encuentre matriculado el inmueble, previo agotamiento del trámite de reparto notarial, cuando a ello haya lugar. Con la escritura pública deben protocolizarse la totalidad de los documentos atinentes a la negociación. </w:t>
      </w:r>
    </w:p>
    <w:p w14:paraId="7ACDF9D5" w14:textId="77777777" w:rsidR="00A6584F" w:rsidRPr="008A7820" w:rsidRDefault="00A6584F" w:rsidP="00A6584F">
      <w:pPr>
        <w:tabs>
          <w:tab w:val="left" w:pos="426"/>
        </w:tabs>
        <w:spacing w:after="0" w:line="240" w:lineRule="auto"/>
        <w:ind w:left="709" w:right="709"/>
        <w:jc w:val="both"/>
        <w:rPr>
          <w:rFonts w:ascii="Verdana" w:hAnsi="Verdana" w:cs="Arial"/>
          <w:sz w:val="20"/>
          <w:szCs w:val="20"/>
          <w:lang w:eastAsia="es-ES_tradnl"/>
        </w:rPr>
      </w:pPr>
      <w:r w:rsidRPr="008A7820">
        <w:rPr>
          <w:rFonts w:ascii="Verdana" w:hAnsi="Verdana" w:cs="Arial"/>
          <w:sz w:val="20"/>
          <w:szCs w:val="20"/>
          <w:lang w:eastAsia="es-ES_tradnl"/>
        </w:rPr>
        <w:t>Si dentro del término establecido no se logra un acuerdo, la oferta es rechazada, o el afectado o los afectados guardan silencio en relación con la misma, o cuando habiendo aceptado la oferta no concurre(n) a la suscripción de la escritura pública dentro del plazo acordado para el efecto, la negociación directa se entenderá fracasada y procederá la imposición por vía administrativa.  </w:t>
      </w:r>
    </w:p>
    <w:p w14:paraId="4AF65AF6" w14:textId="77777777" w:rsidR="00A6584F" w:rsidRPr="008A7820" w:rsidRDefault="00A6584F" w:rsidP="00A6584F">
      <w:pPr>
        <w:tabs>
          <w:tab w:val="left" w:pos="426"/>
        </w:tabs>
        <w:spacing w:after="0" w:line="240" w:lineRule="auto"/>
        <w:ind w:left="709" w:right="709"/>
        <w:jc w:val="both"/>
        <w:rPr>
          <w:rFonts w:ascii="Verdana" w:hAnsi="Verdana" w:cs="Arial"/>
          <w:sz w:val="20"/>
          <w:szCs w:val="20"/>
          <w:lang w:eastAsia="es-ES_tradnl"/>
        </w:rPr>
      </w:pPr>
      <w:r w:rsidRPr="008A7820">
        <w:rPr>
          <w:rFonts w:ascii="Verdana" w:hAnsi="Verdana" w:cs="Arial"/>
          <w:bCs/>
          <w:sz w:val="20"/>
          <w:szCs w:val="20"/>
          <w:lang w:eastAsia="es-ES_tradnl"/>
        </w:rPr>
        <w:t>Parágrafo.</w:t>
      </w:r>
      <w:r w:rsidRPr="008A7820">
        <w:rPr>
          <w:rFonts w:ascii="Verdana" w:hAnsi="Verdana" w:cs="Arial"/>
          <w:sz w:val="20"/>
          <w:szCs w:val="20"/>
          <w:lang w:eastAsia="es-ES_tradnl"/>
        </w:rPr>
        <w:t> El avalúo será realizado por el Instituto Geográfico Agustín Codazzi, (IGAC), la autoridad catastral correspondiente o las personas naturales o jurídicas de carácter privado registradas y autorizadas por las Lonjas de Propiedad Raíz, de acuerdo con la metodología establecida por el Instituto Geográfico Agustín Codazzi, (IGAC). Dicho avalúo, incluirá, si a ello hubiere lugar, el valor de las indemnizaciones y tendrá una vigencia máxima de un (1) año contado a partir de la fecha en que el mismo quede en firme. </w:t>
      </w:r>
    </w:p>
    <w:p w14:paraId="680C6F80" w14:textId="77777777" w:rsidR="00A6584F" w:rsidRPr="005F1911" w:rsidRDefault="00A6584F" w:rsidP="00A6584F">
      <w:pPr>
        <w:tabs>
          <w:tab w:val="left" w:pos="426"/>
        </w:tabs>
        <w:spacing w:after="0" w:line="240" w:lineRule="auto"/>
        <w:jc w:val="both"/>
        <w:rPr>
          <w:rFonts w:ascii="Verdana" w:hAnsi="Verdana" w:cs="Arial"/>
          <w:lang w:eastAsia="es-ES_tradnl"/>
        </w:rPr>
      </w:pPr>
    </w:p>
    <w:p w14:paraId="401E5D10" w14:textId="77777777" w:rsidR="00A6584F" w:rsidRDefault="00A6584F" w:rsidP="00A6584F">
      <w:pPr>
        <w:tabs>
          <w:tab w:val="left" w:pos="426"/>
        </w:tabs>
        <w:spacing w:after="120" w:line="276" w:lineRule="auto"/>
        <w:jc w:val="both"/>
        <w:rPr>
          <w:rFonts w:ascii="Verdana" w:hAnsi="Verdana" w:cs="Arial"/>
          <w:lang w:eastAsia="es-ES_tradnl"/>
        </w:rPr>
      </w:pPr>
      <w:r>
        <w:rPr>
          <w:rFonts w:ascii="Verdana" w:eastAsia="Times New Roman" w:hAnsi="Verdana" w:cs="Arial"/>
          <w:lang w:eastAsia="es-ES_tradnl"/>
        </w:rPr>
        <w:tab/>
      </w:r>
      <w:r>
        <w:rPr>
          <w:rFonts w:ascii="Verdana" w:eastAsia="Times New Roman" w:hAnsi="Verdana" w:cs="Arial"/>
          <w:lang w:eastAsia="es-ES_tradnl"/>
        </w:rPr>
        <w:tab/>
      </w:r>
      <w:r w:rsidRPr="008A7820">
        <w:rPr>
          <w:rFonts w:ascii="Verdana" w:hAnsi="Verdana" w:cs="Arial"/>
          <w:lang w:eastAsia="es-ES_tradnl"/>
        </w:rPr>
        <w:t xml:space="preserve">El artículo desarrolla de manera detallada la </w:t>
      </w:r>
      <w:r w:rsidRPr="008A7820">
        <w:rPr>
          <w:rFonts w:ascii="Verdana" w:hAnsi="Verdana" w:cs="Arial"/>
          <w:bCs/>
          <w:lang w:eastAsia="es-ES_tradnl"/>
        </w:rPr>
        <w:t>etapa de negociación directa</w:t>
      </w:r>
      <w:r w:rsidRPr="008A7820">
        <w:rPr>
          <w:rFonts w:ascii="Verdana" w:hAnsi="Verdana" w:cs="Arial"/>
          <w:lang w:eastAsia="es-ES_tradnl"/>
        </w:rPr>
        <w:t xml:space="preserve"> </w:t>
      </w:r>
      <w:r>
        <w:rPr>
          <w:rFonts w:ascii="Verdana" w:hAnsi="Verdana" w:cs="Arial"/>
          <w:lang w:eastAsia="es-ES_tradnl"/>
        </w:rPr>
        <w:t xml:space="preserve">prevista, definiendo </w:t>
      </w:r>
      <w:r w:rsidRPr="008A7820">
        <w:rPr>
          <w:rFonts w:ascii="Verdana" w:hAnsi="Verdana" w:cs="Arial"/>
          <w:lang w:eastAsia="es-ES_tradnl"/>
        </w:rPr>
        <w:t>el momento exacto en el que inicia el plazo máximo de treinta días y las reglas que deben seguirse. Dicho término</w:t>
      </w:r>
      <w:r>
        <w:rPr>
          <w:rFonts w:ascii="Verdana" w:hAnsi="Verdana" w:cs="Arial"/>
          <w:lang w:eastAsia="es-ES_tradnl"/>
        </w:rPr>
        <w:t xml:space="preserve"> empieza</w:t>
      </w:r>
      <w:r w:rsidRPr="008A7820">
        <w:rPr>
          <w:rFonts w:ascii="Verdana" w:hAnsi="Verdana" w:cs="Arial"/>
          <w:lang w:eastAsia="es-ES_tradnl"/>
        </w:rPr>
        <w:t xml:space="preserve"> a contarse desde el día siguiente a aquel en que el propietario, poseedor inscrito u otro titular del derecho real reciba la comunicación oficial mediante la cual la autoridad presenta la oferta de servidumbre. Esta comunicación debe ajustarse a las normas del procedimiento administrativo establecidas en la Ley 1437 de 2011. La oferta debe expresar la necesidad de constituir la servidumbre por mutuo acuerdo e incluir información precisa del inmueble afectado, como su identificación, linderos, área, alcance de la afectación (total o parcial), duración de la servidumbre y el precio ofrecido. Además, debe anexarse el avalúo </w:t>
      </w:r>
      <w:r w:rsidRPr="008A7820">
        <w:rPr>
          <w:rFonts w:ascii="Verdana" w:hAnsi="Verdana" w:cs="Arial"/>
          <w:lang w:eastAsia="es-ES_tradnl"/>
        </w:rPr>
        <w:lastRenderedPageBreak/>
        <w:t>comercial correspondiente y, cuando sea necesario, el valor de las indemnizaciones por los perjuicios ocasionados al patrimonio del particular.</w:t>
      </w:r>
    </w:p>
    <w:p w14:paraId="67E5074D" w14:textId="77777777" w:rsidR="00A6584F" w:rsidRDefault="00A6584F" w:rsidP="00A6584F">
      <w:pPr>
        <w:tabs>
          <w:tab w:val="left" w:pos="426"/>
        </w:tabs>
        <w:spacing w:after="120" w:line="276" w:lineRule="auto"/>
        <w:jc w:val="both"/>
        <w:rPr>
          <w:rFonts w:ascii="Verdana" w:eastAsia="Times New Roman" w:hAnsi="Verdana" w:cs="Arial"/>
          <w:lang w:eastAsia="es-ES_tradnl"/>
        </w:rPr>
      </w:pPr>
      <w:r>
        <w:rPr>
          <w:rFonts w:ascii="Verdana" w:hAnsi="Verdana" w:cs="Arial"/>
          <w:lang w:eastAsia="es-ES_tradnl"/>
        </w:rPr>
        <w:tab/>
      </w:r>
      <w:r>
        <w:rPr>
          <w:rFonts w:ascii="Verdana" w:hAnsi="Verdana" w:cs="Arial"/>
          <w:lang w:eastAsia="es-ES_tradnl"/>
        </w:rPr>
        <w:tab/>
      </w:r>
      <w:r w:rsidRPr="008A7820">
        <w:rPr>
          <w:rFonts w:ascii="Verdana" w:eastAsia="Times New Roman" w:hAnsi="Verdana" w:cs="Arial"/>
          <w:lang w:eastAsia="es-ES_tradnl"/>
        </w:rPr>
        <w:t>Durante el plazo de los treinta días, el titular del inmueble puede aceptar la oferta, rechazarla o formular una contraoferta, lo cual se considera una manifestación válida de interés en negociar. Si se llega a un acuerdo, las partes deben formalizar la servidumbre mediante escritura pública</w:t>
      </w:r>
      <w:r>
        <w:rPr>
          <w:rFonts w:ascii="Verdana" w:eastAsia="Times New Roman" w:hAnsi="Verdana" w:cs="Arial"/>
          <w:lang w:eastAsia="es-ES_tradnl"/>
        </w:rPr>
        <w:t xml:space="preserve">, que </w:t>
      </w:r>
      <w:r w:rsidRPr="008A7820">
        <w:rPr>
          <w:rFonts w:ascii="Verdana" w:eastAsia="Times New Roman" w:hAnsi="Verdana" w:cs="Arial"/>
          <w:lang w:eastAsia="es-ES_tradnl"/>
        </w:rPr>
        <w:t xml:space="preserve">debe inscribirse en la Oficina de Registro de Instrumentos Públicos correspondiente, protocolizando todos los documentos relacionados con la negociación. En cambio, si no hay acuerdo, si la oferta es rechazada, si existe silencio del afectado, o si este no concurre a firmar la escritura en el plazo pactado, se entiende fracasada la negociación directa y la autoridad queda habilitada para imponer la servidumbre por vía administrativa. Finalmente, el artículo señala que el avalúo debe </w:t>
      </w:r>
      <w:r>
        <w:rPr>
          <w:rFonts w:ascii="Verdana" w:eastAsia="Times New Roman" w:hAnsi="Verdana" w:cs="Arial"/>
          <w:lang w:eastAsia="es-ES_tradnl"/>
        </w:rPr>
        <w:t xml:space="preserve">realizarse </w:t>
      </w:r>
      <w:r w:rsidRPr="008A7820">
        <w:rPr>
          <w:rFonts w:ascii="Verdana" w:eastAsia="Times New Roman" w:hAnsi="Verdana" w:cs="Arial"/>
          <w:lang w:eastAsia="es-ES_tradnl"/>
        </w:rPr>
        <w:t>por el IGAC, la autoridad catastral competente o por peritos privados autorizados, siguiendo la metodología oficial, y que dicho avalúo tiene una vigencia máxima de un año, garantizando así criterios técnicos y actualizados en la determinación del precio y las indemnizaciones.</w:t>
      </w:r>
    </w:p>
    <w:p w14:paraId="585602AB" w14:textId="77777777" w:rsidR="00A6584F" w:rsidRPr="00D42CBD" w:rsidRDefault="00A6584F" w:rsidP="00A6584F">
      <w:pPr>
        <w:tabs>
          <w:tab w:val="left" w:pos="426"/>
        </w:tabs>
        <w:spacing w:after="120" w:line="276" w:lineRule="auto"/>
        <w:jc w:val="both"/>
        <w:rPr>
          <w:rFonts w:ascii="Verdana" w:eastAsia="Times New Roman" w:hAnsi="Verdana" w:cs="Arial"/>
          <w:lang w:eastAsia="es-ES_tradnl"/>
        </w:rPr>
      </w:pPr>
      <w:r>
        <w:rPr>
          <w:rFonts w:ascii="Verdana" w:eastAsia="Times New Roman" w:hAnsi="Verdana" w:cs="Arial"/>
          <w:lang w:eastAsia="es-ES_tradnl"/>
        </w:rPr>
        <w:tab/>
      </w:r>
      <w:r>
        <w:rPr>
          <w:rFonts w:ascii="Verdana" w:eastAsia="Times New Roman" w:hAnsi="Verdana" w:cs="Arial"/>
          <w:lang w:eastAsia="es-ES_tradnl"/>
        </w:rPr>
        <w:tab/>
      </w:r>
      <w:r w:rsidRPr="00B75F06">
        <w:rPr>
          <w:rFonts w:ascii="Verdana" w:eastAsia="Times New Roman" w:hAnsi="Verdana" w:cs="Arial"/>
          <w:lang w:eastAsia="es-ES_tradnl"/>
        </w:rPr>
        <w:t xml:space="preserve">En relación </w:t>
      </w:r>
      <w:r>
        <w:rPr>
          <w:rFonts w:ascii="Verdana" w:eastAsia="Times New Roman" w:hAnsi="Verdana" w:cs="Arial"/>
          <w:lang w:eastAsia="es-ES_tradnl"/>
        </w:rPr>
        <w:t xml:space="preserve">con </w:t>
      </w:r>
      <w:r w:rsidRPr="00B75F06">
        <w:rPr>
          <w:rFonts w:ascii="Verdana" w:eastAsia="Times New Roman" w:hAnsi="Verdana" w:cs="Arial"/>
          <w:lang w:eastAsia="es-ES_tradnl"/>
        </w:rPr>
        <w:t xml:space="preserve">la constitución de una servidumbre en proyectos de infraestructura de </w:t>
      </w:r>
      <w:r w:rsidRPr="00B75F06">
        <w:rPr>
          <w:rFonts w:ascii="Verdana" w:eastAsia="Times New Roman" w:hAnsi="Verdana" w:cs="Arial"/>
          <w:bCs/>
          <w:lang w:eastAsia="es-ES_tradnl"/>
        </w:rPr>
        <w:t>servicios públicos domiciliarios</w:t>
      </w:r>
      <w:r w:rsidRPr="00B75F06">
        <w:rPr>
          <w:rFonts w:ascii="Verdana" w:eastAsia="Times New Roman" w:hAnsi="Verdana" w:cs="Arial"/>
          <w:lang w:eastAsia="es-ES_tradnl"/>
        </w:rPr>
        <w:t xml:space="preserve">, resulta pertinente tener en cuenta que el </w:t>
      </w:r>
      <w:r w:rsidRPr="00B75F06">
        <w:rPr>
          <w:rFonts w:ascii="Verdana" w:eastAsia="Times New Roman" w:hAnsi="Verdana" w:cs="Arial"/>
          <w:bCs/>
          <w:lang w:eastAsia="es-ES_tradnl"/>
        </w:rPr>
        <w:t>contrato de servidumbre</w:t>
      </w:r>
      <w:r>
        <w:rPr>
          <w:rFonts w:ascii="Verdana" w:eastAsia="Times New Roman" w:hAnsi="Verdana" w:cs="Arial"/>
          <w:lang w:eastAsia="es-ES_tradnl"/>
        </w:rPr>
        <w:t xml:space="preserve"> está </w:t>
      </w:r>
      <w:r w:rsidRPr="00B75F06">
        <w:rPr>
          <w:rFonts w:ascii="Verdana" w:eastAsia="Times New Roman" w:hAnsi="Verdana" w:cs="Arial"/>
          <w:lang w:eastAsia="es-ES_tradnl"/>
        </w:rPr>
        <w:t>definido en el</w:t>
      </w:r>
      <w:r>
        <w:rPr>
          <w:rFonts w:ascii="Verdana" w:eastAsia="Times New Roman" w:hAnsi="Verdana" w:cs="Arial"/>
          <w:lang w:eastAsia="es-ES_tradnl"/>
        </w:rPr>
        <w:t xml:space="preserve"> artículo 879 del Código Civil: […] </w:t>
      </w:r>
      <w:r w:rsidRPr="00B75F06">
        <w:rPr>
          <w:rFonts w:ascii="Verdana" w:eastAsia="Times New Roman" w:hAnsi="Verdana" w:cs="Arial"/>
          <w:lang w:eastAsia="es-ES_tradnl"/>
        </w:rPr>
        <w:t>Servidumbre predial o simple servidumbre, es un gravamen impuesto sobre un predio, en utilidad de</w:t>
      </w:r>
      <w:r>
        <w:rPr>
          <w:rFonts w:ascii="Verdana" w:eastAsia="Times New Roman" w:hAnsi="Verdana" w:cs="Arial"/>
          <w:lang w:eastAsia="es-ES_tradnl"/>
        </w:rPr>
        <w:t xml:space="preserve"> otro predio de distinto dueño. </w:t>
      </w:r>
      <w:r w:rsidRPr="00D42CBD">
        <w:rPr>
          <w:rFonts w:ascii="Verdana" w:eastAsia="Times New Roman" w:hAnsi="Verdana" w:cs="Arial"/>
          <w:lang w:eastAsia="es-ES_tradnl"/>
        </w:rPr>
        <w:t xml:space="preserve">Asimismo, de conformidad con lo dispuesto en el </w:t>
      </w:r>
      <w:r w:rsidRPr="00D42CBD">
        <w:rPr>
          <w:rFonts w:ascii="Verdana" w:eastAsia="Times New Roman" w:hAnsi="Verdana" w:cs="Arial"/>
          <w:bCs/>
          <w:lang w:eastAsia="es-ES_tradnl"/>
        </w:rPr>
        <w:t>artículo 923 del Código Civil</w:t>
      </w:r>
      <w:r w:rsidRPr="00D42CBD">
        <w:rPr>
          <w:rFonts w:ascii="Verdana" w:eastAsia="Times New Roman" w:hAnsi="Verdana" w:cs="Arial"/>
          <w:lang w:eastAsia="es-ES_tradnl"/>
        </w:rPr>
        <w:t xml:space="preserve">, relativo a la </w:t>
      </w:r>
      <w:r w:rsidRPr="00700817">
        <w:rPr>
          <w:rFonts w:ascii="Verdana" w:eastAsia="Times New Roman" w:hAnsi="Verdana" w:cs="Arial"/>
          <w:bCs/>
          <w:lang w:eastAsia="es-ES_tradnl"/>
        </w:rPr>
        <w:t>servidumbre de acueducto</w:t>
      </w:r>
      <w:r w:rsidRPr="00700817">
        <w:rPr>
          <w:rFonts w:ascii="Verdana" w:eastAsia="Times New Roman" w:hAnsi="Verdana" w:cs="Arial"/>
          <w:lang w:eastAsia="es-ES_tradnl"/>
        </w:rPr>
        <w:t>,</w:t>
      </w:r>
      <w:r w:rsidRPr="00D42CBD">
        <w:rPr>
          <w:rFonts w:ascii="Verdana" w:eastAsia="Times New Roman" w:hAnsi="Verdana" w:cs="Arial"/>
          <w:lang w:eastAsia="es-ES_tradnl"/>
        </w:rPr>
        <w:t xml:space="preserve"> se establece que el propietario del predio sirviente tiene derecho</w:t>
      </w:r>
      <w:r>
        <w:rPr>
          <w:rFonts w:ascii="Verdana" w:eastAsia="Times New Roman" w:hAnsi="Verdana" w:cs="Arial"/>
          <w:lang w:eastAsia="es-ES_tradnl"/>
        </w:rPr>
        <w:t xml:space="preserve">: </w:t>
      </w:r>
      <w:r w:rsidRPr="00700817">
        <w:rPr>
          <w:rFonts w:ascii="Verdana" w:eastAsia="Times New Roman" w:hAnsi="Verdana" w:cs="Arial"/>
          <w:lang w:eastAsia="es-ES_tradnl"/>
        </w:rPr>
        <w:t>“[…] se le pague el precio de todo el terreno que fuere ocupado por el acueducto; el de un espacio a cada uno de los costados, que no bajará de un metro de anchura en toda la extensión de su curso, y podrá ser mayor por convenio de las partes, o por disposición del juez, cuando las circunstancias lo exigieren; y un diez por ciento más sobre la suma total. Tendrá, además, derecho para que se le indemnice de todo perjuicio ocasionado por la construcción del acueducto y por sus filtraciones y derrames que puedan imputars</w:t>
      </w:r>
      <w:r>
        <w:rPr>
          <w:rFonts w:ascii="Verdana" w:eastAsia="Times New Roman" w:hAnsi="Verdana" w:cs="Arial"/>
          <w:lang w:eastAsia="es-ES_tradnl"/>
        </w:rPr>
        <w:t>e a defectos de construcción</w:t>
      </w:r>
      <w:r w:rsidRPr="00700817">
        <w:rPr>
          <w:rFonts w:ascii="Verdana" w:eastAsia="Times New Roman" w:hAnsi="Verdana" w:cs="Arial"/>
          <w:lang w:eastAsia="es-ES_tradnl"/>
        </w:rPr>
        <w:t>”</w:t>
      </w:r>
      <w:r>
        <w:rPr>
          <w:rFonts w:ascii="Verdana" w:eastAsia="Times New Roman" w:hAnsi="Verdana" w:cs="Arial"/>
          <w:lang w:eastAsia="es-ES_tradnl"/>
        </w:rPr>
        <w:t>.</w:t>
      </w:r>
    </w:p>
    <w:p w14:paraId="76B130F6" w14:textId="77777777" w:rsidR="00A6584F" w:rsidRPr="00F33CF0" w:rsidRDefault="00A6584F" w:rsidP="00A6584F">
      <w:pPr>
        <w:tabs>
          <w:tab w:val="left" w:pos="426"/>
        </w:tabs>
        <w:spacing w:after="120" w:line="276" w:lineRule="auto"/>
        <w:jc w:val="both"/>
        <w:rPr>
          <w:rFonts w:ascii="Verdana" w:hAnsi="Verdana" w:cs="Arial"/>
          <w:lang w:eastAsia="es-ES_tradnl"/>
        </w:rPr>
      </w:pPr>
      <w:r>
        <w:rPr>
          <w:rFonts w:ascii="Verdana" w:eastAsia="Times New Roman" w:hAnsi="Verdana" w:cs="Arial"/>
          <w:lang w:eastAsia="es-ES_tradnl"/>
        </w:rPr>
        <w:tab/>
      </w:r>
      <w:r w:rsidRPr="00F33CF0">
        <w:rPr>
          <w:rFonts w:ascii="Verdana" w:eastAsia="Times New Roman" w:hAnsi="Verdana" w:cs="Arial"/>
          <w:lang w:eastAsia="es-ES_tradnl"/>
        </w:rPr>
        <w:tab/>
      </w:r>
      <w:r w:rsidRPr="00F33CF0">
        <w:rPr>
          <w:rFonts w:ascii="Verdana" w:hAnsi="Verdana" w:cs="Arial"/>
          <w:lang w:eastAsia="es-ES_tradnl"/>
        </w:rPr>
        <w:t xml:space="preserve">A partir de la definición legal del </w:t>
      </w:r>
      <w:r w:rsidRPr="00F33CF0">
        <w:rPr>
          <w:rFonts w:ascii="Verdana" w:hAnsi="Verdana" w:cs="Arial"/>
          <w:bCs/>
          <w:lang w:eastAsia="es-ES_tradnl"/>
        </w:rPr>
        <w:t>contrato de servidumbre</w:t>
      </w:r>
      <w:r w:rsidRPr="00F33CF0">
        <w:rPr>
          <w:rFonts w:ascii="Verdana" w:hAnsi="Verdana" w:cs="Arial"/>
          <w:lang w:eastAsia="es-ES_tradnl"/>
        </w:rPr>
        <w:t xml:space="preserve"> y del procedimiento de </w:t>
      </w:r>
      <w:r w:rsidRPr="00F33CF0">
        <w:rPr>
          <w:rFonts w:ascii="Verdana" w:hAnsi="Verdana" w:cs="Arial"/>
          <w:bCs/>
          <w:lang w:eastAsia="es-ES_tradnl"/>
        </w:rPr>
        <w:t>enajenación voluntaria o negociación directa</w:t>
      </w:r>
      <w:r w:rsidRPr="00F33CF0">
        <w:rPr>
          <w:rFonts w:ascii="Verdana" w:hAnsi="Verdana" w:cs="Arial"/>
          <w:lang w:eastAsia="es-ES_tradnl"/>
        </w:rPr>
        <w:t xml:space="preserve"> previsto en el artículo 38 de la Ley 1682 de 2013, desarrollado por el artículo 2 del Decreto 738 de 2012, se enmarca en un régimen especial orientado a facilitar la </w:t>
      </w:r>
      <w:r w:rsidRPr="00F33CF0">
        <w:rPr>
          <w:rFonts w:ascii="Verdana" w:hAnsi="Verdana" w:cs="Arial"/>
          <w:lang w:eastAsia="es-ES_tradnl"/>
        </w:rPr>
        <w:lastRenderedPageBreak/>
        <w:t xml:space="preserve">ejecución de proyectos de infraestructura. En este contexto, se concluye que existe una </w:t>
      </w:r>
      <w:r w:rsidRPr="00F33CF0">
        <w:rPr>
          <w:rFonts w:ascii="Verdana" w:hAnsi="Verdana" w:cs="Arial"/>
          <w:bCs/>
          <w:lang w:eastAsia="es-ES_tradnl"/>
        </w:rPr>
        <w:t xml:space="preserve">limitación a la aplicación del artículo 33 de la Ley 996 de 2005 </w:t>
      </w:r>
      <w:r w:rsidRPr="00F33CF0">
        <w:rPr>
          <w:rFonts w:ascii="Verdana" w:hAnsi="Verdana" w:cs="Arial"/>
          <w:lang w:eastAsia="es-ES_tradnl"/>
        </w:rPr>
        <w:t>respecto de la suscripción del contrato de servidumbre, en la medida en que este sí constituye un contrato bajo un procedimiento directo, esto es, sin pluralidad de oferentes, entre la entidad pública y el particular.</w:t>
      </w:r>
    </w:p>
    <w:p w14:paraId="06B03B37" w14:textId="77777777" w:rsidR="00A6584F" w:rsidRPr="00F33CF0" w:rsidRDefault="00A6584F" w:rsidP="00A6584F">
      <w:pPr>
        <w:tabs>
          <w:tab w:val="left" w:pos="426"/>
        </w:tabs>
        <w:spacing w:after="120" w:line="276" w:lineRule="auto"/>
        <w:jc w:val="both"/>
        <w:rPr>
          <w:rFonts w:ascii="Verdana" w:eastAsia="Times New Roman" w:hAnsi="Verdana" w:cs="Arial"/>
          <w:lang w:eastAsia="es-ES_tradnl"/>
        </w:rPr>
      </w:pPr>
      <w:r w:rsidRPr="00F33CF0">
        <w:rPr>
          <w:rFonts w:ascii="Verdana" w:eastAsia="Times New Roman" w:hAnsi="Verdana" w:cs="Arial"/>
          <w:lang w:eastAsia="es-ES_tradnl"/>
        </w:rPr>
        <w:tab/>
      </w:r>
      <w:r w:rsidRPr="00F33CF0">
        <w:rPr>
          <w:rFonts w:ascii="Verdana" w:eastAsia="Times New Roman" w:hAnsi="Verdana" w:cs="Arial"/>
          <w:lang w:eastAsia="es-ES_tradnl"/>
        </w:rPr>
        <w:tab/>
        <w:t xml:space="preserve">No obstante, las actuaciones previas e instrumentales al acuerdo definitivo —tales como la elaboración y obtención de avalúos, la formulación de la oferta, el desarrollo de las negociaciones preliminares y, en general, todas aquellas actuaciones administrativas que no comporten por sí mismas la celebración de un contrato— pueden adelantarse válidamente incluso durante el período de restricción electoral. Ello, en tanto estas actuaciones no configuran un supuesto de </w:t>
      </w:r>
      <w:r w:rsidRPr="00F33CF0">
        <w:rPr>
          <w:rFonts w:ascii="Verdana" w:eastAsia="Times New Roman" w:hAnsi="Verdana" w:cs="Arial"/>
          <w:bCs/>
          <w:lang w:eastAsia="es-ES_tradnl"/>
        </w:rPr>
        <w:t>contratación directa en sentido estricto</w:t>
      </w:r>
      <w:r w:rsidRPr="00F33CF0">
        <w:rPr>
          <w:rFonts w:ascii="Verdana" w:eastAsia="Times New Roman" w:hAnsi="Verdana" w:cs="Arial"/>
          <w:lang w:eastAsia="es-ES_tradnl"/>
        </w:rPr>
        <w:t>, sino que corresponden al ejercicio de competencias, necesarias para la eventual constitución de la servidumbre.</w:t>
      </w:r>
    </w:p>
    <w:p w14:paraId="31DC6B8C" w14:textId="77777777" w:rsidR="00A6584F" w:rsidRPr="00F33CF0" w:rsidRDefault="00A6584F" w:rsidP="00A6584F">
      <w:pPr>
        <w:tabs>
          <w:tab w:val="left" w:pos="426"/>
        </w:tabs>
        <w:spacing w:after="120" w:line="276" w:lineRule="auto"/>
        <w:jc w:val="both"/>
        <w:rPr>
          <w:rFonts w:ascii="Verdana" w:eastAsia="Times New Roman" w:hAnsi="Verdana" w:cs="Arial"/>
          <w:lang w:eastAsia="es-ES_tradnl"/>
        </w:rPr>
      </w:pPr>
      <w:r w:rsidRPr="00F33CF0">
        <w:rPr>
          <w:rFonts w:ascii="Verdana" w:eastAsia="Times New Roman" w:hAnsi="Verdana" w:cs="Arial"/>
          <w:lang w:eastAsia="es-ES_tradnl"/>
        </w:rPr>
        <w:tab/>
      </w:r>
      <w:r w:rsidRPr="00F33CF0">
        <w:rPr>
          <w:rFonts w:ascii="Verdana" w:eastAsia="Times New Roman" w:hAnsi="Verdana" w:cs="Arial"/>
          <w:lang w:eastAsia="es-ES_tradnl"/>
        </w:rPr>
        <w:tab/>
        <w:t>Ahora bien, en el evento de que, con posterioridad a la aceptación de la oferta y antes de la escrituración, se celebren</w:t>
      </w:r>
      <w:r w:rsidRPr="00F33CF0">
        <w:rPr>
          <w:rFonts w:ascii="Verdana" w:eastAsia="Times New Roman" w:hAnsi="Verdana" w:cs="Arial"/>
          <w:bCs/>
          <w:lang w:eastAsia="es-ES_tradnl"/>
        </w:rPr>
        <w:t xml:space="preserve"> cualquier tipo contractual</w:t>
      </w:r>
      <w:r w:rsidRPr="00F33CF0">
        <w:rPr>
          <w:rFonts w:ascii="Verdana" w:eastAsia="Times New Roman" w:hAnsi="Verdana" w:cs="Arial"/>
          <w:lang w:eastAsia="es-ES_tradnl"/>
        </w:rPr>
        <w:t xml:space="preserve">, como podría ser un </w:t>
      </w:r>
      <w:r w:rsidRPr="00F33CF0">
        <w:rPr>
          <w:rFonts w:ascii="Verdana" w:eastAsia="Times New Roman" w:hAnsi="Verdana" w:cs="Arial"/>
          <w:bCs/>
          <w:lang w:eastAsia="es-ES_tradnl"/>
        </w:rPr>
        <w:t>contrato de transacción</w:t>
      </w:r>
      <w:r w:rsidRPr="00F33CF0">
        <w:rPr>
          <w:rFonts w:ascii="Verdana" w:eastAsia="Times New Roman" w:hAnsi="Verdana" w:cs="Arial"/>
          <w:lang w:eastAsia="es-ES_tradnl"/>
        </w:rPr>
        <w:t>, debe analizarse cuidadosamente el procedimiento para su aplicación. En estos casos, sí podría configurarse la restricción prevista en el artículo 33 de la Ley 996 de 2005, siempre que se trate de un contrato suscrito de forma directa. En todo caso, dicha restricción no es aplicable, en cambio, frente a actuaciones administrativas que, aun siendo relevantes dentro del procedimiento, no generan una relación contractual entre la entidad y el particular.</w:t>
      </w:r>
    </w:p>
    <w:p w14:paraId="7016A708" w14:textId="77777777" w:rsidR="00A6584F" w:rsidRPr="00F33CF0" w:rsidRDefault="00A6584F" w:rsidP="00A6584F">
      <w:pPr>
        <w:spacing w:after="120" w:line="276" w:lineRule="auto"/>
        <w:ind w:firstLine="708"/>
        <w:jc w:val="both"/>
        <w:rPr>
          <w:rFonts w:ascii="Verdana" w:eastAsia="Times New Roman" w:hAnsi="Verdana" w:cs="Arial"/>
          <w:bCs/>
          <w:lang w:val="es-MX" w:eastAsia="x-none"/>
        </w:rPr>
      </w:pPr>
      <w:r w:rsidRPr="00F33CF0">
        <w:rPr>
          <w:rFonts w:ascii="Verdana" w:eastAsia="Times New Roman" w:hAnsi="Verdana" w:cs="Arial"/>
          <w:bCs/>
          <w:lang w:val="es-MX" w:eastAsia="x-none"/>
        </w:rPr>
        <w:t xml:space="preserve">Esto, sin perjuicio de las excepciones a esta prohibición, contenidas en el inciso segundo del precitado artículo: i) los contratos relacionados con la defensa y seguridad del Estado, analizados en el Concepto 322 de 2026; </w:t>
      </w:r>
      <w:proofErr w:type="spellStart"/>
      <w:r w:rsidRPr="00F33CF0">
        <w:rPr>
          <w:rFonts w:ascii="Verdana" w:eastAsia="Times New Roman" w:hAnsi="Verdana" w:cs="Arial"/>
          <w:bCs/>
          <w:lang w:val="es-MX" w:eastAsia="x-none"/>
        </w:rPr>
        <w:t>ii</w:t>
      </w:r>
      <w:proofErr w:type="spellEnd"/>
      <w:r w:rsidRPr="00F33CF0">
        <w:rPr>
          <w:rFonts w:ascii="Verdana" w:eastAsia="Times New Roman" w:hAnsi="Verdana" w:cs="Arial"/>
          <w:bCs/>
          <w:lang w:val="es-MX" w:eastAsia="x-none"/>
        </w:rPr>
        <w:t xml:space="preserve">) los contratos de crédito público, abordados en el Concepto CU-372 de 2026; </w:t>
      </w:r>
      <w:proofErr w:type="spellStart"/>
      <w:r w:rsidRPr="00F33CF0">
        <w:rPr>
          <w:rFonts w:ascii="Verdana" w:eastAsia="Times New Roman" w:hAnsi="Verdana" w:cs="Arial"/>
          <w:bCs/>
          <w:lang w:val="es-MX" w:eastAsia="x-none"/>
        </w:rPr>
        <w:t>iii</w:t>
      </w:r>
      <w:proofErr w:type="spellEnd"/>
      <w:r w:rsidRPr="00F33CF0">
        <w:rPr>
          <w:rFonts w:ascii="Verdana" w:eastAsia="Times New Roman" w:hAnsi="Verdana" w:cs="Arial"/>
          <w:bCs/>
          <w:lang w:val="es-MX" w:eastAsia="x-none"/>
        </w:rPr>
        <w:t>) los contratos necesarios para atender emergencias educativas, sanitarias o desastres, tratados en los Conceptos C</w:t>
      </w:r>
      <w:r w:rsidRPr="00F33CF0">
        <w:rPr>
          <w:rFonts w:ascii="Cambria Math" w:eastAsia="Times New Roman" w:hAnsi="Cambria Math" w:cs="Cambria Math"/>
          <w:bCs/>
          <w:lang w:val="es-MX" w:eastAsia="x-none"/>
        </w:rPr>
        <w:t>‑</w:t>
      </w:r>
      <w:r w:rsidRPr="00F33CF0">
        <w:rPr>
          <w:rFonts w:ascii="Verdana" w:eastAsia="Times New Roman" w:hAnsi="Verdana" w:cs="Arial"/>
          <w:bCs/>
          <w:lang w:val="es-MX" w:eastAsia="x-none"/>
        </w:rPr>
        <w:t>118 de 2026 y C</w:t>
      </w:r>
      <w:r w:rsidRPr="00F33CF0">
        <w:rPr>
          <w:rFonts w:ascii="Cambria Math" w:eastAsia="Times New Roman" w:hAnsi="Cambria Math" w:cs="Cambria Math"/>
          <w:bCs/>
          <w:lang w:val="es-MX" w:eastAsia="x-none"/>
        </w:rPr>
        <w:t>‑</w:t>
      </w:r>
      <w:r w:rsidRPr="00F33CF0">
        <w:rPr>
          <w:rFonts w:ascii="Verdana" w:eastAsia="Times New Roman" w:hAnsi="Verdana" w:cs="Arial"/>
          <w:bCs/>
          <w:lang w:val="es-MX" w:eastAsia="x-none"/>
        </w:rPr>
        <w:t xml:space="preserve">176 de 2026, que tratan en este caso de la urgencia manifiesta; </w:t>
      </w:r>
      <w:proofErr w:type="spellStart"/>
      <w:r w:rsidRPr="00F33CF0">
        <w:rPr>
          <w:rFonts w:ascii="Verdana" w:eastAsia="Times New Roman" w:hAnsi="Verdana" w:cs="Arial"/>
          <w:bCs/>
          <w:lang w:val="es-MX" w:eastAsia="x-none"/>
        </w:rPr>
        <w:t>iv</w:t>
      </w:r>
      <w:proofErr w:type="spellEnd"/>
      <w:r w:rsidRPr="00F33CF0">
        <w:rPr>
          <w:rFonts w:ascii="Verdana" w:eastAsia="Times New Roman" w:hAnsi="Verdana" w:cs="Arial"/>
          <w:bCs/>
          <w:lang w:val="es-MX" w:eastAsia="x-none"/>
        </w:rPr>
        <w:t>) los contratos destinados a la reconstrucción de infraestructura vial, energética y de comunicaciones afectada por atentados, acciones terroristas, desastres naturales o fuerza mayor, igualmente estudiados en los Conceptos C</w:t>
      </w:r>
      <w:r w:rsidRPr="00F33CF0">
        <w:rPr>
          <w:rFonts w:ascii="Cambria Math" w:eastAsia="Times New Roman" w:hAnsi="Cambria Math" w:cs="Cambria Math"/>
          <w:bCs/>
          <w:lang w:val="es-MX" w:eastAsia="x-none"/>
        </w:rPr>
        <w:t>‑</w:t>
      </w:r>
      <w:r w:rsidRPr="00F33CF0">
        <w:rPr>
          <w:rFonts w:ascii="Verdana" w:eastAsia="Times New Roman" w:hAnsi="Verdana" w:cs="Arial"/>
          <w:bCs/>
          <w:lang w:val="es-MX" w:eastAsia="x-none"/>
        </w:rPr>
        <w:t>118 de 2026 y C</w:t>
      </w:r>
      <w:r w:rsidRPr="00F33CF0">
        <w:rPr>
          <w:rFonts w:ascii="Cambria Math" w:eastAsia="Times New Roman" w:hAnsi="Cambria Math" w:cs="Cambria Math"/>
          <w:bCs/>
          <w:lang w:val="es-MX" w:eastAsia="x-none"/>
        </w:rPr>
        <w:t>‑</w:t>
      </w:r>
      <w:r w:rsidRPr="00F33CF0">
        <w:rPr>
          <w:rFonts w:ascii="Verdana" w:eastAsia="Times New Roman" w:hAnsi="Verdana" w:cs="Arial"/>
          <w:bCs/>
          <w:lang w:val="es-MX" w:eastAsia="x-none"/>
        </w:rPr>
        <w:t>176 de 2026, entre otros; y v) la contratación directa celebrada por entidades sanitarias y hospitalarias, objeto de análisis en los Conceptos C</w:t>
      </w:r>
      <w:r w:rsidRPr="00F33CF0">
        <w:rPr>
          <w:rFonts w:ascii="Cambria Math" w:eastAsia="Times New Roman" w:hAnsi="Cambria Math" w:cs="Cambria Math"/>
          <w:bCs/>
          <w:lang w:val="es-MX" w:eastAsia="x-none"/>
        </w:rPr>
        <w:t>‑</w:t>
      </w:r>
      <w:r w:rsidRPr="00F33CF0">
        <w:rPr>
          <w:rFonts w:ascii="Verdana" w:eastAsia="Times New Roman" w:hAnsi="Verdana" w:cs="Arial"/>
          <w:bCs/>
          <w:lang w:val="es-MX" w:eastAsia="x-none"/>
        </w:rPr>
        <w:t>1124 de 2026, C</w:t>
      </w:r>
      <w:r w:rsidRPr="00F33CF0">
        <w:rPr>
          <w:rFonts w:ascii="Cambria Math" w:eastAsia="Times New Roman" w:hAnsi="Cambria Math" w:cs="Cambria Math"/>
          <w:bCs/>
          <w:lang w:val="es-MX" w:eastAsia="x-none"/>
        </w:rPr>
        <w:t>‑</w:t>
      </w:r>
      <w:r w:rsidRPr="00F33CF0">
        <w:rPr>
          <w:rFonts w:ascii="Verdana" w:eastAsia="Times New Roman" w:hAnsi="Verdana" w:cs="Arial"/>
          <w:bCs/>
          <w:lang w:val="es-MX" w:eastAsia="x-none"/>
        </w:rPr>
        <w:t>1406 de 2026 y C</w:t>
      </w:r>
      <w:r w:rsidRPr="00F33CF0">
        <w:rPr>
          <w:rFonts w:ascii="Cambria Math" w:eastAsia="Times New Roman" w:hAnsi="Cambria Math" w:cs="Cambria Math"/>
          <w:bCs/>
          <w:lang w:val="es-MX" w:eastAsia="x-none"/>
        </w:rPr>
        <w:t>‑</w:t>
      </w:r>
      <w:r w:rsidRPr="00F33CF0">
        <w:rPr>
          <w:rFonts w:ascii="Verdana" w:eastAsia="Times New Roman" w:hAnsi="Verdana" w:cs="Arial"/>
          <w:bCs/>
          <w:lang w:val="es-MX" w:eastAsia="x-none"/>
        </w:rPr>
        <w:t xml:space="preserve">1703 de 2026. </w:t>
      </w:r>
      <w:r w:rsidRPr="00F33CF0">
        <w:rPr>
          <w:rFonts w:ascii="Verdana" w:eastAsia="Times New Roman" w:hAnsi="Verdana" w:cs="Arial"/>
          <w:bCs/>
          <w:lang w:val="es-MX" w:eastAsia="es-CO"/>
        </w:rPr>
        <w:lastRenderedPageBreak/>
        <w:t xml:space="preserve">Es responsabilidad del respectivo ente del Estado, examinar en cada caso la naturaleza de las actividades que adelanta y determinar si las mismas se enmarcan en alguna de las mencionadas excepciones, de manera que se le permita realizar la celebración de contratos o acuerdos para la constitución de la servidumbre. </w:t>
      </w:r>
    </w:p>
    <w:p w14:paraId="3012E18E" w14:textId="77777777" w:rsidR="00A6584F" w:rsidRPr="00F33CF0" w:rsidRDefault="00A6584F" w:rsidP="00A6584F">
      <w:pPr>
        <w:spacing w:after="0" w:line="276" w:lineRule="auto"/>
        <w:ind w:firstLine="709"/>
        <w:jc w:val="both"/>
        <w:rPr>
          <w:rFonts w:ascii="Verdana" w:eastAsia="Times New Roman" w:hAnsi="Verdana" w:cs="Arial"/>
          <w:bCs/>
          <w:lang w:val="es-MX" w:eastAsia="es-CO"/>
        </w:rPr>
      </w:pPr>
      <w:r w:rsidRPr="00F33CF0">
        <w:rPr>
          <w:rFonts w:ascii="Verdana" w:eastAsia="Times New Roman" w:hAnsi="Verdana" w:cs="Arial"/>
          <w:bCs/>
          <w:lang w:eastAsia="x-none"/>
        </w:rPr>
        <w:t>Por último</w:t>
      </w:r>
      <w:r w:rsidRPr="00F33CF0">
        <w:rPr>
          <w:rFonts w:ascii="Verdana" w:eastAsia="Times New Roman" w:hAnsi="Verdana" w:cs="Arial"/>
          <w:bCs/>
          <w:lang w:val="es-MX" w:eastAsia="x-none"/>
        </w:rPr>
        <w:t xml:space="preserve">, se reitera, </w:t>
      </w:r>
      <w:r w:rsidRPr="00F33CF0">
        <w:rPr>
          <w:rFonts w:ascii="Verdana" w:eastAsia="Times New Roman" w:hAnsi="Verdana" w:cs="Arial"/>
          <w:bCs/>
          <w:lang w:val="es-MX" w:eastAsia="es-CO"/>
        </w:rPr>
        <w:t xml:space="preserve">que las prórrogas, modificaciones o adiciones de los contratos suscritos antes de la entrada en vigor de las prohibiciones anotadas, en especial del artículo 33 de la Ley 996 de 2005, así como la cesión de </w:t>
      </w:r>
      <w:proofErr w:type="gramStart"/>
      <w:r w:rsidRPr="00F33CF0">
        <w:rPr>
          <w:rFonts w:ascii="Verdana" w:eastAsia="Times New Roman" w:hAnsi="Verdana" w:cs="Arial"/>
          <w:bCs/>
          <w:lang w:val="es-MX" w:eastAsia="es-CO"/>
        </w:rPr>
        <w:t>los mismos</w:t>
      </w:r>
      <w:proofErr w:type="gramEnd"/>
      <w:r w:rsidRPr="00F33CF0">
        <w:rPr>
          <w:rFonts w:ascii="Verdana" w:eastAsia="Times New Roman" w:hAnsi="Verdana" w:cs="Arial"/>
          <w:bCs/>
          <w:lang w:val="es-MX" w:eastAsia="es-CO"/>
        </w:rPr>
        <w:t>, pueden tener lugar en el período de aplicación de la Ley de Garantías, sin que ello haga nugatoria la restricción de la contratación directa y siempre que cumplan los principios de planeación, transparencia y responsabilidad</w:t>
      </w:r>
      <w:r w:rsidRPr="00F33CF0">
        <w:rPr>
          <w:rFonts w:ascii="Verdana" w:eastAsia="Times New Roman" w:hAnsi="Verdana" w:cs="Arial"/>
          <w:bCs/>
          <w:vertAlign w:val="superscript"/>
          <w:lang w:val="es-MX" w:eastAsia="es-CO"/>
        </w:rPr>
        <w:footnoteReference w:id="39"/>
      </w:r>
      <w:r w:rsidRPr="00F33CF0">
        <w:rPr>
          <w:rFonts w:ascii="Verdana" w:eastAsia="Times New Roman" w:hAnsi="Verdana" w:cs="Arial"/>
          <w:bCs/>
          <w:lang w:val="es-MX" w:eastAsia="es-CO"/>
        </w:rPr>
        <w:t>. Además, también es posible que contratos celebrados previamente se continúen ejecutando con normalidad.</w:t>
      </w:r>
    </w:p>
    <w:p w14:paraId="5F63E3F8" w14:textId="77777777" w:rsidR="00A6584F" w:rsidRPr="007319C8" w:rsidRDefault="00A6584F" w:rsidP="00A6584F">
      <w:pPr>
        <w:spacing w:after="0" w:line="276" w:lineRule="auto"/>
        <w:ind w:firstLine="709"/>
        <w:jc w:val="both"/>
        <w:rPr>
          <w:rFonts w:ascii="Verdana" w:eastAsia="Times New Roman" w:hAnsi="Verdana" w:cs="Arial"/>
          <w:bCs/>
          <w:color w:val="FF0000"/>
          <w:lang w:val="es-MX" w:eastAsia="es-CO"/>
        </w:rPr>
      </w:pPr>
    </w:p>
    <w:p w14:paraId="162D83B4" w14:textId="77777777" w:rsidR="00A6584F" w:rsidRPr="00F4158D" w:rsidRDefault="00A6584F" w:rsidP="00A6584F">
      <w:pPr>
        <w:pStyle w:val="paragraph"/>
        <w:shd w:val="clear" w:color="auto" w:fill="FFFFFF"/>
        <w:spacing w:before="0" w:beforeAutospacing="0" w:after="120" w:afterAutospacing="0" w:line="276" w:lineRule="auto"/>
        <w:jc w:val="both"/>
        <w:textAlignment w:val="baseline"/>
        <w:rPr>
          <w:rFonts w:ascii="Verdana" w:eastAsia="Calibri" w:hAnsi="Verdana" w:cs="Arial"/>
          <w:bCs/>
          <w:color w:val="000000" w:themeColor="text1"/>
          <w:sz w:val="22"/>
          <w:szCs w:val="22"/>
        </w:rPr>
      </w:pPr>
      <w:r>
        <w:rPr>
          <w:rFonts w:ascii="Verdana" w:eastAsia="Calibri" w:hAnsi="Verdana" w:cs="Arial"/>
          <w:bCs/>
          <w:color w:val="000000" w:themeColor="text1"/>
          <w:sz w:val="22"/>
          <w:szCs w:val="22"/>
        </w:rPr>
        <w:t xml:space="preserve">vi. </w:t>
      </w:r>
      <w:r w:rsidRPr="00F4158D">
        <w:rPr>
          <w:rFonts w:ascii="Verdana" w:eastAsia="Calibri" w:hAnsi="Verdana" w:cs="Arial"/>
          <w:bCs/>
          <w:color w:val="000000" w:themeColor="text1"/>
          <w:sz w:val="22"/>
          <w:szCs w:val="22"/>
        </w:rPr>
        <w:t>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6B22455D" w14:textId="77777777" w:rsidR="00A6584F" w:rsidRPr="00F4158D" w:rsidRDefault="00A6584F" w:rsidP="00A6584F">
      <w:pPr>
        <w:spacing w:after="0" w:line="276" w:lineRule="auto"/>
        <w:ind w:firstLine="708"/>
        <w:jc w:val="both"/>
        <w:rPr>
          <w:rFonts w:ascii="Verdana" w:hAnsi="Verdana" w:cs="Arial"/>
          <w:color w:val="000000" w:themeColor="text1"/>
        </w:rPr>
      </w:pPr>
      <w:r w:rsidRPr="00F4158D">
        <w:rPr>
          <w:rFonts w:ascii="Verdana" w:eastAsia="Calibri" w:hAnsi="Verdana" w:cs="Arial"/>
          <w:bCs/>
          <w:color w:val="000000" w:themeColor="text1"/>
        </w:rPr>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1CCBEABC" w14:textId="77777777" w:rsidR="00A6584F" w:rsidRPr="00F4158D" w:rsidRDefault="00A6584F" w:rsidP="00A6584F">
      <w:pPr>
        <w:spacing w:after="0" w:line="240" w:lineRule="auto"/>
        <w:jc w:val="both"/>
        <w:rPr>
          <w:rFonts w:ascii="Verdana" w:eastAsia="Calibri" w:hAnsi="Verdana" w:cs="Arial"/>
          <w:bCs/>
          <w:color w:val="000000" w:themeColor="text1"/>
        </w:rPr>
      </w:pPr>
      <w:r w:rsidRPr="00F4158D">
        <w:rPr>
          <w:rFonts w:ascii="Verdana" w:eastAsia="Calibri" w:hAnsi="Verdana" w:cs="Arial"/>
          <w:bCs/>
          <w:color w:val="000000" w:themeColor="text1"/>
        </w:rPr>
        <w:t xml:space="preserve"> </w:t>
      </w:r>
    </w:p>
    <w:p w14:paraId="55F90224" w14:textId="77777777" w:rsidR="00A6584F" w:rsidRPr="00593A5F" w:rsidRDefault="00A6584F" w:rsidP="00A6584F">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lastRenderedPageBreak/>
        <w:t>Referencias normativas:</w:t>
      </w:r>
    </w:p>
    <w:p w14:paraId="4CD402BB" w14:textId="77777777" w:rsidR="00A6584F" w:rsidRPr="00593A5F" w:rsidRDefault="00A6584F" w:rsidP="00A6584F">
      <w:pPr>
        <w:widowControl w:val="0"/>
        <w:autoSpaceDE w:val="0"/>
        <w:autoSpaceDN w:val="0"/>
        <w:spacing w:after="0" w:line="240"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A6584F" w:rsidRPr="002407CE" w14:paraId="541C3B14" w14:textId="77777777" w:rsidTr="00572E42">
        <w:trPr>
          <w:trHeight w:val="311"/>
          <w:jc w:val="center"/>
        </w:trPr>
        <w:tc>
          <w:tcPr>
            <w:tcW w:w="8647" w:type="dxa"/>
          </w:tcPr>
          <w:p w14:paraId="7C79B019" w14:textId="77777777" w:rsidR="00A6584F" w:rsidRDefault="00A6584F" w:rsidP="00572E42">
            <w:pPr>
              <w:pStyle w:val="Prrafodelista"/>
              <w:widowControl w:val="0"/>
              <w:numPr>
                <w:ilvl w:val="0"/>
                <w:numId w:val="17"/>
              </w:numPr>
              <w:autoSpaceDE w:val="0"/>
              <w:autoSpaceDN w:val="0"/>
              <w:spacing w:before="120" w:after="120" w:line="276" w:lineRule="auto"/>
              <w:ind w:left="714" w:hanging="357"/>
              <w:contextualSpacing w:val="0"/>
              <w:jc w:val="both"/>
              <w:rPr>
                <w:rFonts w:ascii="Verdana" w:hAnsi="Verdana" w:cs="Arial"/>
              </w:rPr>
            </w:pPr>
            <w:r>
              <w:rPr>
                <w:rFonts w:ascii="Verdana" w:hAnsi="Verdana" w:cs="Arial"/>
              </w:rPr>
              <w:t>Constitución Política de 1991, artículo 127.</w:t>
            </w:r>
          </w:p>
          <w:p w14:paraId="6365AC10" w14:textId="77777777" w:rsidR="00A6584F" w:rsidRPr="00BC3F56" w:rsidRDefault="00A6584F" w:rsidP="00572E42">
            <w:pPr>
              <w:pStyle w:val="Prrafodelista"/>
              <w:numPr>
                <w:ilvl w:val="0"/>
                <w:numId w:val="17"/>
              </w:numPr>
              <w:spacing w:line="276" w:lineRule="auto"/>
              <w:rPr>
                <w:rFonts w:ascii="Verdana" w:hAnsi="Verdana" w:cs="Arial"/>
              </w:rPr>
            </w:pPr>
            <w:r w:rsidRPr="00BC3F56">
              <w:rPr>
                <w:rFonts w:ascii="Verdana" w:hAnsi="Verdana" w:cs="Arial"/>
              </w:rPr>
              <w:t xml:space="preserve">Código Civil, artículos 879, 923 y 1501. </w:t>
            </w:r>
          </w:p>
          <w:p w14:paraId="4E86BAC0" w14:textId="77777777" w:rsidR="00A6584F" w:rsidRDefault="00A6584F" w:rsidP="00572E42">
            <w:pPr>
              <w:pStyle w:val="Prrafodelista"/>
              <w:widowControl w:val="0"/>
              <w:numPr>
                <w:ilvl w:val="0"/>
                <w:numId w:val="17"/>
              </w:numPr>
              <w:autoSpaceDE w:val="0"/>
              <w:autoSpaceDN w:val="0"/>
              <w:spacing w:before="120" w:after="120" w:line="276" w:lineRule="auto"/>
              <w:ind w:left="714" w:hanging="357"/>
              <w:contextualSpacing w:val="0"/>
              <w:jc w:val="both"/>
              <w:rPr>
                <w:rFonts w:ascii="Verdana" w:hAnsi="Verdana" w:cs="Arial"/>
              </w:rPr>
            </w:pPr>
            <w:r>
              <w:rPr>
                <w:rFonts w:ascii="Verdana" w:hAnsi="Verdana" w:cs="Arial"/>
              </w:rPr>
              <w:t>Ley 56 de 1981.</w:t>
            </w:r>
          </w:p>
          <w:p w14:paraId="21B748E5" w14:textId="77777777" w:rsidR="00A6584F" w:rsidRDefault="00A6584F" w:rsidP="00572E42">
            <w:pPr>
              <w:pStyle w:val="Prrafodelista"/>
              <w:widowControl w:val="0"/>
              <w:numPr>
                <w:ilvl w:val="0"/>
                <w:numId w:val="17"/>
              </w:numPr>
              <w:autoSpaceDE w:val="0"/>
              <w:autoSpaceDN w:val="0"/>
              <w:spacing w:before="120" w:after="120" w:line="276" w:lineRule="auto"/>
              <w:ind w:left="714" w:hanging="357"/>
              <w:contextualSpacing w:val="0"/>
              <w:jc w:val="both"/>
              <w:rPr>
                <w:rFonts w:ascii="Verdana" w:hAnsi="Verdana" w:cs="Arial"/>
              </w:rPr>
            </w:pPr>
            <w:r>
              <w:rPr>
                <w:rFonts w:ascii="Verdana" w:hAnsi="Verdana" w:cs="Arial"/>
              </w:rPr>
              <w:t>Ley 9 de 1989.</w:t>
            </w:r>
          </w:p>
          <w:p w14:paraId="0F74374F" w14:textId="77777777" w:rsidR="00A6584F" w:rsidRDefault="00A6584F" w:rsidP="00572E42">
            <w:pPr>
              <w:pStyle w:val="Prrafodelista"/>
              <w:widowControl w:val="0"/>
              <w:numPr>
                <w:ilvl w:val="0"/>
                <w:numId w:val="17"/>
              </w:numPr>
              <w:autoSpaceDE w:val="0"/>
              <w:autoSpaceDN w:val="0"/>
              <w:spacing w:before="120" w:after="120" w:line="276" w:lineRule="auto"/>
              <w:ind w:left="714" w:hanging="357"/>
              <w:contextualSpacing w:val="0"/>
              <w:jc w:val="both"/>
              <w:rPr>
                <w:rFonts w:ascii="Verdana" w:hAnsi="Verdana" w:cs="Arial"/>
              </w:rPr>
            </w:pPr>
            <w:r>
              <w:rPr>
                <w:rFonts w:ascii="Verdana" w:hAnsi="Verdana" w:cs="Arial"/>
              </w:rPr>
              <w:t>Ley 80 de 1993, artículos 2, 39 y 41.</w:t>
            </w:r>
          </w:p>
          <w:p w14:paraId="787A9B6D" w14:textId="77777777" w:rsidR="00A6584F" w:rsidRDefault="00A6584F" w:rsidP="00572E42">
            <w:pPr>
              <w:pStyle w:val="Prrafodelista"/>
              <w:widowControl w:val="0"/>
              <w:numPr>
                <w:ilvl w:val="0"/>
                <w:numId w:val="17"/>
              </w:numPr>
              <w:autoSpaceDE w:val="0"/>
              <w:autoSpaceDN w:val="0"/>
              <w:spacing w:before="120" w:after="120" w:line="276" w:lineRule="auto"/>
              <w:ind w:left="714" w:hanging="357"/>
              <w:contextualSpacing w:val="0"/>
              <w:jc w:val="both"/>
              <w:rPr>
                <w:rFonts w:ascii="Verdana" w:hAnsi="Verdana" w:cs="Arial"/>
              </w:rPr>
            </w:pPr>
            <w:r>
              <w:rPr>
                <w:rFonts w:ascii="Verdana" w:hAnsi="Verdana" w:cs="Arial"/>
              </w:rPr>
              <w:t>Ley 388 de 1997.</w:t>
            </w:r>
          </w:p>
          <w:p w14:paraId="12A99A9D" w14:textId="77777777" w:rsidR="00A6584F" w:rsidRDefault="00A6584F" w:rsidP="00572E42">
            <w:pPr>
              <w:pStyle w:val="Prrafodelista"/>
              <w:widowControl w:val="0"/>
              <w:numPr>
                <w:ilvl w:val="0"/>
                <w:numId w:val="17"/>
              </w:numPr>
              <w:autoSpaceDE w:val="0"/>
              <w:autoSpaceDN w:val="0"/>
              <w:spacing w:before="120" w:after="120" w:line="276" w:lineRule="auto"/>
              <w:ind w:left="714" w:hanging="357"/>
              <w:contextualSpacing w:val="0"/>
              <w:jc w:val="both"/>
              <w:rPr>
                <w:rFonts w:ascii="Verdana" w:hAnsi="Verdana" w:cs="Arial"/>
              </w:rPr>
            </w:pPr>
            <w:r>
              <w:rPr>
                <w:rFonts w:ascii="Verdana" w:hAnsi="Verdana" w:cs="Arial"/>
              </w:rPr>
              <w:t>Ley 996 de 2005, artículos 33 y 38.</w:t>
            </w:r>
          </w:p>
          <w:p w14:paraId="0F9D2FD0" w14:textId="77777777" w:rsidR="00A6584F" w:rsidRDefault="00A6584F" w:rsidP="00572E42">
            <w:pPr>
              <w:pStyle w:val="Prrafodelista"/>
              <w:widowControl w:val="0"/>
              <w:numPr>
                <w:ilvl w:val="0"/>
                <w:numId w:val="17"/>
              </w:numPr>
              <w:autoSpaceDE w:val="0"/>
              <w:autoSpaceDN w:val="0"/>
              <w:spacing w:before="120" w:after="120" w:line="276" w:lineRule="auto"/>
              <w:ind w:left="714" w:hanging="357"/>
              <w:contextualSpacing w:val="0"/>
              <w:jc w:val="both"/>
              <w:rPr>
                <w:rFonts w:ascii="Verdana" w:hAnsi="Verdana" w:cs="Arial"/>
              </w:rPr>
            </w:pPr>
            <w:r>
              <w:rPr>
                <w:rFonts w:ascii="Verdana" w:hAnsi="Verdana" w:cs="Arial"/>
              </w:rPr>
              <w:t xml:space="preserve">Ley 1150 de 2007, artículos 1 y 2. </w:t>
            </w:r>
          </w:p>
          <w:p w14:paraId="1C3FE993" w14:textId="77777777" w:rsidR="00A6584F" w:rsidRDefault="00A6584F" w:rsidP="00572E42">
            <w:pPr>
              <w:pStyle w:val="Prrafodelista"/>
              <w:widowControl w:val="0"/>
              <w:numPr>
                <w:ilvl w:val="0"/>
                <w:numId w:val="17"/>
              </w:numPr>
              <w:autoSpaceDE w:val="0"/>
              <w:autoSpaceDN w:val="0"/>
              <w:spacing w:before="120" w:after="120" w:line="276" w:lineRule="auto"/>
              <w:contextualSpacing w:val="0"/>
              <w:jc w:val="both"/>
              <w:rPr>
                <w:rFonts w:ascii="Verdana" w:hAnsi="Verdana" w:cs="Arial"/>
              </w:rPr>
            </w:pPr>
            <w:r>
              <w:rPr>
                <w:rFonts w:ascii="Verdana" w:hAnsi="Verdana" w:cs="Arial"/>
              </w:rPr>
              <w:t xml:space="preserve">Ley 1682 de 2013, artículo 38. </w:t>
            </w:r>
          </w:p>
          <w:p w14:paraId="5AF069EB" w14:textId="77777777" w:rsidR="00A6584F" w:rsidRPr="00BC3F56" w:rsidRDefault="00A6584F" w:rsidP="00572E42">
            <w:pPr>
              <w:pStyle w:val="Prrafodelista"/>
              <w:widowControl w:val="0"/>
              <w:numPr>
                <w:ilvl w:val="0"/>
                <w:numId w:val="17"/>
              </w:numPr>
              <w:autoSpaceDE w:val="0"/>
              <w:autoSpaceDN w:val="0"/>
              <w:spacing w:before="120" w:after="120" w:line="276" w:lineRule="auto"/>
              <w:ind w:left="714" w:hanging="357"/>
              <w:contextualSpacing w:val="0"/>
              <w:jc w:val="both"/>
              <w:rPr>
                <w:rFonts w:ascii="Verdana" w:hAnsi="Verdana" w:cs="Arial"/>
              </w:rPr>
            </w:pPr>
            <w:r>
              <w:rPr>
                <w:rFonts w:ascii="Verdana" w:hAnsi="Verdana" w:cs="Arial"/>
              </w:rPr>
              <w:t xml:space="preserve">Decreto 738 de 2014, artículo 2. </w:t>
            </w:r>
          </w:p>
        </w:tc>
      </w:tr>
    </w:tbl>
    <w:p w14:paraId="5A135EE2" w14:textId="77777777" w:rsidR="00A6584F" w:rsidRPr="002407CE" w:rsidRDefault="00A6584F" w:rsidP="00A6584F">
      <w:pPr>
        <w:widowControl w:val="0"/>
        <w:autoSpaceDE w:val="0"/>
        <w:autoSpaceDN w:val="0"/>
        <w:spacing w:after="0" w:line="276" w:lineRule="auto"/>
        <w:jc w:val="both"/>
        <w:rPr>
          <w:rFonts w:ascii="Verdana" w:hAnsi="Verdana" w:cs="Arial"/>
        </w:rPr>
      </w:pPr>
    </w:p>
    <w:p w14:paraId="342BDE2B" w14:textId="77777777" w:rsidR="00A6584F" w:rsidRPr="00593A5F" w:rsidRDefault="00A6584F" w:rsidP="00A6584F">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11F6D7D6" w14:textId="77777777" w:rsidR="00A6584F" w:rsidRPr="00593A5F" w:rsidRDefault="00A6584F" w:rsidP="00A6584F">
      <w:pPr>
        <w:widowControl w:val="0"/>
        <w:autoSpaceDE w:val="0"/>
        <w:autoSpaceDN w:val="0"/>
        <w:spacing w:after="0" w:line="276" w:lineRule="auto"/>
        <w:jc w:val="both"/>
        <w:rPr>
          <w:rFonts w:ascii="Verdana" w:hAnsi="Verdana" w:cs="Arial"/>
        </w:rPr>
      </w:pPr>
    </w:p>
    <w:p w14:paraId="45C2F9C5" w14:textId="77777777" w:rsidR="00A6584F" w:rsidRPr="007D6CC8" w:rsidRDefault="00A6584F" w:rsidP="00A6584F">
      <w:pPr>
        <w:widowControl w:val="0"/>
        <w:autoSpaceDE w:val="0"/>
        <w:autoSpaceDN w:val="0"/>
        <w:spacing w:after="0" w:line="276" w:lineRule="auto"/>
        <w:jc w:val="both"/>
        <w:rPr>
          <w:rFonts w:ascii="Verdana" w:hAnsi="Verdana" w:cs="Arial"/>
          <w:shd w:val="clear" w:color="auto" w:fill="FFFFFF"/>
        </w:rPr>
      </w:pPr>
      <w:r w:rsidRPr="00380CA4">
        <w:rPr>
          <w:rFonts w:ascii="Verdana" w:eastAsia="Calibri" w:hAnsi="Verdana" w:cs="Times New Roman"/>
        </w:rPr>
        <w:t xml:space="preserve">Sobre la finalidad y propósito de la Ley de Garantías Electorales, la ANCP- CCE se ha pronunciado en los Conceptos 4201913000004536 de 17 de julio de 2019, 4201912000005556 del 12 de septiembre de 2019, 4201913000005175 del 13 de septiembre de 2019, 4201913000006452 del 07 de octubre de 2019, 4201913000005082 del 17 de octubre de 2019, 4201913000006306 del 21 de octubre de 2019, 4201912000006552 del 07 de noviembre de 2019, 4201913000006604 del 17 de diciembre de 2019,  C-227 del 24 de mayo de 2021 y 396 del 13 de agosto de 2021, C-439 del 27 de agosto de 2021, C-456 del 3 de septiembre, C-481 del 9 de septiembre de 2021, C- 528 del 27 de septiembre de 2021, C-550 del 5 de octubre de 2021 y C-523 del 10 de octubre de 2021, C-606 del 28 de octubre de 2021 y C-614 del 2 de noviembre de 2021, C-636 del 16 de noviembre de 2021, 681 del 7 de diciembre de 2021, C-686 del 21 de diciembre de 2021, C-697 del 3 de enero de 2022, C-317 del 25 de abril de 2025, C-510 del 4 de junio de 2025, 646 del 26 de junio de 2025, C-957 del 23 de agosto de 2025, C-975 del 28 de agosto de 2025, C-1015 del 4 de septiembre de 2025, C-1096 del 28 de agosto de 2025, C-1174 del 29 de septiembre de 2025, C- 1170 del 16 de septiembre de 2025, C-1194 del 3 de </w:t>
      </w:r>
      <w:r w:rsidRPr="00380CA4">
        <w:rPr>
          <w:rFonts w:ascii="Verdana" w:eastAsia="Calibri" w:hAnsi="Verdana" w:cs="Times New Roman"/>
        </w:rPr>
        <w:lastRenderedPageBreak/>
        <w:t>octubre de 2025, C-1343 del 20 de octubre de 2025, C-1350 del 1˚ de octubre de 2025, C-1401 del 22 de octubre de 2025, C-1512 del 27 de octubre de 2025, C-1488 del 30 de octubre de 2025, C-1596 del 6 de noviembre de 2025, C-1509 del 19 de noviembre de 2025, C-1548 del 2 de diciembre de 2025, C-1773 del 5 de diciembre de 2025, C-1646 del 17 de diciembre de 2025, C-1703 del 29 de diciembre de 2025, C-068 del 27 de enero de 2026</w:t>
      </w:r>
      <w:r>
        <w:rPr>
          <w:rFonts w:ascii="Verdana" w:eastAsia="Calibri" w:hAnsi="Verdana" w:cs="Times New Roman"/>
        </w:rPr>
        <w:t xml:space="preserve">, C-111 del 6 de febrero de 2026, C-127 del 6 de febrero de 2026, </w:t>
      </w:r>
      <w:r w:rsidRPr="0061256A">
        <w:rPr>
          <w:rFonts w:ascii="Verdana" w:hAnsi="Verdana" w:cs="Arial"/>
          <w:shd w:val="clear" w:color="auto" w:fill="FFFFFF"/>
        </w:rPr>
        <w:t>C-137 del 17 de febrero de 2026, C-185 del 23 de febrero de 2026, C-322 del 4 de marz</w:t>
      </w:r>
      <w:r>
        <w:rPr>
          <w:rFonts w:ascii="Verdana" w:hAnsi="Verdana" w:cs="Arial"/>
          <w:shd w:val="clear" w:color="auto" w:fill="FFFFFF"/>
        </w:rPr>
        <w:t xml:space="preserve">o de 2026, C-263 del 27 de marzo de 2026, </w:t>
      </w:r>
      <w:r>
        <w:rPr>
          <w:rFonts w:ascii="Verdana" w:eastAsia="Calibri" w:hAnsi="Verdana" w:cs="Times New Roman"/>
        </w:rPr>
        <w:t xml:space="preserve">entre otros. </w:t>
      </w:r>
      <w:r w:rsidRPr="00185EE9">
        <w:rPr>
          <w:rFonts w:ascii="Verdana" w:eastAsia="Calibri" w:hAnsi="Verdana" w:cs="Times New Roman"/>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p>
    <w:p w14:paraId="63F4C9EA" w14:textId="77777777" w:rsidR="00A6584F" w:rsidRPr="00185EE9" w:rsidRDefault="00A6584F" w:rsidP="00A6584F">
      <w:pPr>
        <w:spacing w:after="0" w:line="256" w:lineRule="auto"/>
        <w:jc w:val="both"/>
        <w:rPr>
          <w:rFonts w:ascii="Verdana" w:eastAsia="Calibri" w:hAnsi="Verdana" w:cs="Times New Roman"/>
        </w:rPr>
      </w:pPr>
      <w:hyperlink r:id="rId17" w:history="1">
        <w:r w:rsidRPr="00F14AAD">
          <w:rPr>
            <w:rStyle w:val="Hipervnculo"/>
            <w:rFonts w:ascii="Verdana" w:eastAsia="Calibri" w:hAnsi="Verdana" w:cs="Times New Roman"/>
            <w:lang w:val="es-ES"/>
          </w:rPr>
          <w:t>https://relatoria.colombiacompra.gov.co/busqueda/conceptos</w:t>
        </w:r>
      </w:hyperlink>
      <w:r w:rsidRPr="00185EE9">
        <w:rPr>
          <w:rFonts w:ascii="Verdana" w:eastAsia="Calibri" w:hAnsi="Verdana" w:cs="Times New Roman"/>
        </w:rPr>
        <w:t xml:space="preserve">. </w:t>
      </w:r>
    </w:p>
    <w:p w14:paraId="40F2FD8F" w14:textId="77777777" w:rsidR="00A6584F" w:rsidRPr="00096788" w:rsidRDefault="00A6584F" w:rsidP="00A6584F">
      <w:pPr>
        <w:widowControl w:val="0"/>
        <w:autoSpaceDE w:val="0"/>
        <w:autoSpaceDN w:val="0"/>
        <w:spacing w:after="0" w:line="276" w:lineRule="auto"/>
        <w:jc w:val="both"/>
        <w:rPr>
          <w:rFonts w:ascii="Verdana" w:hAnsi="Verdana" w:cs="Arial"/>
          <w:color w:val="000000" w:themeColor="text1"/>
          <w:shd w:val="clear" w:color="auto" w:fill="FFFFFF"/>
        </w:rPr>
      </w:pPr>
    </w:p>
    <w:p w14:paraId="44F631D6" w14:textId="77777777" w:rsidR="00A6584F" w:rsidRPr="00BC3F56" w:rsidRDefault="00A6584F" w:rsidP="00A6584F">
      <w:pPr>
        <w:spacing w:after="0" w:line="256" w:lineRule="auto"/>
        <w:jc w:val="both"/>
        <w:rPr>
          <w:rFonts w:ascii="Verdana" w:eastAsia="Calibri" w:hAnsi="Verdana" w:cs="Times New Roman"/>
        </w:rPr>
      </w:pPr>
      <w:r w:rsidRPr="00BC3F56">
        <w:rPr>
          <w:rFonts w:ascii="Verdana" w:eastAsia="Calibri" w:hAnsi="Verdana" w:cs="Times New Roman"/>
        </w:rPr>
        <w:t xml:space="preserve">La sostenibilidad no es una opción, es una obligación. Por ello, la Agencia Nacional de Contratación Pública –Colombia Compra Eficiente– te invita a realizar el </w:t>
      </w:r>
      <w:r w:rsidRPr="00BC3F56">
        <w:rPr>
          <w:rFonts w:ascii="Verdana" w:eastAsia="Calibri" w:hAnsi="Verdana" w:cs="Times New Roman"/>
          <w:b/>
          <w:bCs/>
        </w:rPr>
        <w:t>Curso de Contratación Pública Sostenible y Socialmente Responsable</w:t>
      </w:r>
      <w:r w:rsidRPr="00BC3F56">
        <w:rPr>
          <w:rFonts w:ascii="Verdana" w:eastAsia="Calibri" w:hAnsi="Verdana" w:cs="Times New Roman"/>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BC3F56">
        <w:rPr>
          <w:rFonts w:ascii="Verdana" w:eastAsia="Calibri" w:hAnsi="Verdana" w:cs="Times New Roman"/>
        </w:rPr>
        <w:br/>
      </w:r>
      <w:hyperlink r:id="rId18" w:tgtFrame="_new" w:history="1">
        <w:r w:rsidRPr="00BC3F56">
          <w:rPr>
            <w:rFonts w:ascii="Verdana" w:eastAsia="Calibri" w:hAnsi="Verdana" w:cs="Times New Roman"/>
            <w:color w:val="0000FF"/>
            <w:u w:val="single"/>
          </w:rPr>
          <w:t>https://formacionvirtual.colombiacompra.gov.co/mod/page/view.php?id=3718</w:t>
        </w:r>
      </w:hyperlink>
    </w:p>
    <w:p w14:paraId="33E2C53F" w14:textId="77777777" w:rsidR="00A6584F" w:rsidRPr="00BC3F56" w:rsidRDefault="00A6584F" w:rsidP="00A6584F">
      <w:pPr>
        <w:spacing w:after="0" w:line="256" w:lineRule="auto"/>
        <w:jc w:val="both"/>
        <w:rPr>
          <w:rFonts w:ascii="Verdana" w:eastAsia="Calibri" w:hAnsi="Verdana" w:cs="Times New Roman"/>
        </w:rPr>
      </w:pPr>
    </w:p>
    <w:p w14:paraId="1DB5C7F2" w14:textId="77777777" w:rsidR="00A6584F" w:rsidRPr="00BC3F56" w:rsidRDefault="00A6584F" w:rsidP="00A6584F">
      <w:pPr>
        <w:spacing w:after="0" w:line="256" w:lineRule="auto"/>
        <w:jc w:val="both"/>
        <w:rPr>
          <w:rFonts w:ascii="Verdana" w:eastAsia="Calibri" w:hAnsi="Verdana" w:cs="Times New Roman"/>
        </w:rPr>
      </w:pPr>
      <w:r w:rsidRPr="00BC3F56">
        <w:rPr>
          <w:rFonts w:ascii="Verdana" w:eastAsia="Calibri" w:hAnsi="Verdana" w:cs="Times New Roman"/>
        </w:rPr>
        <w:t xml:space="preserve">De otro lado, te contamos que esta Agencia ha da un paso decisivo en la estandarización y modernización del </w:t>
      </w:r>
      <w:r w:rsidRPr="00BC3F56">
        <w:rPr>
          <w:rFonts w:ascii="Verdana" w:eastAsia="Calibri" w:hAnsi="Verdana" w:cs="Times New Roman"/>
          <w:b/>
          <w:bCs/>
        </w:rPr>
        <w:t>sector  social</w:t>
      </w:r>
      <w:r w:rsidRPr="00BC3F56">
        <w:rPr>
          <w:rFonts w:ascii="Verdana" w:eastAsia="Calibri" w:hAnsi="Verdana" w:cs="Times New Roman"/>
        </w:rPr>
        <w:t xml:space="preserve"> con la expedición de las </w:t>
      </w:r>
      <w:r w:rsidRPr="00BC3F56">
        <w:rPr>
          <w:rFonts w:ascii="Verdana" w:eastAsia="Calibri" w:hAnsi="Verdana" w:cs="Times New Roman"/>
          <w:b/>
          <w:bCs/>
        </w:rPr>
        <w:t>Resoluciones 539, 540, 541, 952 y 953 de 2025</w:t>
      </w:r>
      <w:r w:rsidRPr="00BC3F56">
        <w:rPr>
          <w:rFonts w:ascii="Verdana" w:eastAsia="Calibri" w:hAnsi="Verdana" w:cs="Times New Roman"/>
        </w:rPr>
        <w:t xml:space="preserve">, </w:t>
      </w:r>
      <w:r w:rsidRPr="00BC3F56">
        <w:rPr>
          <w:rFonts w:ascii="Verdana" w:eastAsia="Calibri" w:hAnsi="Verdana" w:cs="Times New Roman"/>
          <w:b/>
          <w:bCs/>
        </w:rPr>
        <w:t>mediante las cuales adoptó Documentos Tipo</w:t>
      </w:r>
      <w:r w:rsidRPr="00BC3F56">
        <w:rPr>
          <w:rFonts w:ascii="Verdana" w:eastAsia="Calibri" w:hAnsi="Verdana" w:cs="Times New Roman"/>
        </w:rPr>
        <w:t xml:space="preserve"> para las modalidades de selección de</w:t>
      </w:r>
      <w:r w:rsidRPr="00BC3F56">
        <w:rPr>
          <w:rFonts w:ascii="Verdana" w:eastAsia="Calibri" w:hAnsi="Verdana" w:cs="Times New Roman"/>
          <w:b/>
          <w:bCs/>
        </w:rPr>
        <w:t xml:space="preserve"> licitación pública (versión 2), selección abreviada de menor cuantía, mínima cuantía, consultoría e interventoría</w:t>
      </w:r>
      <w:r w:rsidRPr="00BC3F56">
        <w:rPr>
          <w:rFonts w:ascii="Verdana" w:eastAsia="Calibri" w:hAnsi="Verdana" w:cs="Times New Roman"/>
        </w:rPr>
        <w:t xml:space="preserve">, promoviendo procesos más transparentes, eficientes  competitivos y sostenibles en sectores estratégicos como educación, salud, cultura, recreación, deporte, institucional y vivienda. Consulta y descarga los documentos aquí: </w:t>
      </w:r>
      <w:hyperlink r:id="rId19" w:tgtFrame="_new" w:history="1">
        <w:r w:rsidRPr="00BC3F56">
          <w:rPr>
            <w:rFonts w:ascii="Verdana" w:eastAsia="Calibri" w:hAnsi="Verdana" w:cs="Times New Roman"/>
            <w:color w:val="0000FF"/>
            <w:u w:val="single"/>
          </w:rPr>
          <w:t>https://www.colombiacompra.gov.co/normativa-y-relatoria/documentos-tipo</w:t>
        </w:r>
      </w:hyperlink>
    </w:p>
    <w:p w14:paraId="61C46262" w14:textId="77777777" w:rsidR="00A6584F" w:rsidRPr="00BC3F56" w:rsidRDefault="00A6584F" w:rsidP="00A6584F">
      <w:pPr>
        <w:spacing w:after="0" w:line="256" w:lineRule="auto"/>
        <w:jc w:val="both"/>
        <w:rPr>
          <w:rFonts w:ascii="Verdana" w:eastAsia="Calibri" w:hAnsi="Verdana" w:cs="Times New Roman"/>
        </w:rPr>
      </w:pPr>
    </w:p>
    <w:p w14:paraId="45FF30C7" w14:textId="77777777" w:rsidR="00A6584F" w:rsidRPr="00BC3F56" w:rsidRDefault="00A6584F" w:rsidP="00A6584F">
      <w:pPr>
        <w:spacing w:after="0" w:line="256" w:lineRule="auto"/>
        <w:jc w:val="both"/>
        <w:rPr>
          <w:rFonts w:ascii="Verdana" w:eastAsia="Calibri" w:hAnsi="Verdana" w:cs="Times New Roman"/>
        </w:rPr>
      </w:pPr>
      <w:r w:rsidRPr="00BC3F56">
        <w:rPr>
          <w:rFonts w:ascii="Verdana" w:eastAsia="Calibri" w:hAnsi="Verdana" w:cs="Times New Roman"/>
        </w:rPr>
        <w:t xml:space="preserve">Si quieres conocer más sobre la aplicación de Documentos Tipo puedes consultar la última versión de la </w:t>
      </w:r>
      <w:r w:rsidRPr="00BC3F56">
        <w:rPr>
          <w:rFonts w:ascii="Verdana" w:eastAsia="Calibri" w:hAnsi="Verdana" w:cs="Times New Roman"/>
          <w:b/>
          <w:bCs/>
        </w:rPr>
        <w:t>Guía para la comprensión e implementación de los Documentos Tipo de obra pública de infraestructura de transporte</w:t>
      </w:r>
      <w:r w:rsidRPr="00BC3F56">
        <w:rPr>
          <w:rFonts w:ascii="Verdana" w:eastAsia="Calibri" w:hAnsi="Verdana" w:cs="Times New Roman"/>
        </w:rPr>
        <w:t xml:space="preserve">. En </w:t>
      </w:r>
      <w:r w:rsidRPr="00BC3F56">
        <w:rPr>
          <w:rFonts w:ascii="Verdana" w:eastAsia="Calibri" w:hAnsi="Verdana" w:cs="Times New Roman"/>
        </w:rPr>
        <w:lastRenderedPageBreak/>
        <w:t>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BC3F56">
        <w:rPr>
          <w:rFonts w:ascii="Verdana" w:eastAsia="Calibri" w:hAnsi="Verdana" w:cs="Times New Roman"/>
        </w:rPr>
        <w:br/>
      </w:r>
      <w:hyperlink r:id="rId20" w:tgtFrame="_new" w:history="1">
        <w:r w:rsidRPr="00BC3F56">
          <w:rPr>
            <w:rFonts w:ascii="Verdana" w:eastAsia="Calibri" w:hAnsi="Verdana" w:cs="Times New Roman"/>
            <w:color w:val="0000FF"/>
            <w:u w:val="single"/>
          </w:rPr>
          <w:t>https://www.colombiacompra.gov.co/archivos/manual/guia-para-la-comprension-e-implementacion-de-los-documentos-tipo-de-obra-publica-de-infraestructura-de-transporte-bajo-las-diferentes-modalidades-de-contratacion-vigentes</w:t>
        </w:r>
      </w:hyperlink>
    </w:p>
    <w:p w14:paraId="69FF20B3" w14:textId="77777777" w:rsidR="00A6584F" w:rsidRPr="00BC3F56" w:rsidRDefault="00A6584F" w:rsidP="00A6584F">
      <w:pPr>
        <w:spacing w:after="0" w:line="240" w:lineRule="auto"/>
        <w:jc w:val="both"/>
        <w:rPr>
          <w:rFonts w:ascii="Verdana" w:hAnsi="Verdana"/>
        </w:rPr>
      </w:pPr>
    </w:p>
    <w:p w14:paraId="7B966E22" w14:textId="77777777" w:rsidR="00A6584F" w:rsidRPr="00BC3F56" w:rsidRDefault="00A6584F" w:rsidP="00A6584F">
      <w:pPr>
        <w:spacing w:after="0"/>
        <w:jc w:val="both"/>
        <w:rPr>
          <w:rFonts w:ascii="Verdana" w:hAnsi="Verdana"/>
        </w:rPr>
      </w:pPr>
      <w:r w:rsidRPr="00BC3F56">
        <w:rPr>
          <w:rFonts w:ascii="Verdana" w:hAnsi="Verdana"/>
        </w:rPr>
        <w:t xml:space="preserve">Por último, aprovechamos la oportunidad de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550BF8E6" w14:textId="77777777" w:rsidR="00A6584F" w:rsidRPr="00BC3F56" w:rsidRDefault="00A6584F" w:rsidP="00A6584F">
      <w:pPr>
        <w:spacing w:after="0"/>
        <w:jc w:val="both"/>
        <w:rPr>
          <w:rFonts w:ascii="Verdana" w:hAnsi="Verdana"/>
        </w:rPr>
      </w:pPr>
    </w:p>
    <w:p w14:paraId="475874C8" w14:textId="77777777" w:rsidR="00A6584F" w:rsidRPr="00BC3F56" w:rsidRDefault="00A6584F" w:rsidP="00A6584F">
      <w:pPr>
        <w:numPr>
          <w:ilvl w:val="0"/>
          <w:numId w:val="15"/>
        </w:numPr>
        <w:spacing w:after="0" w:line="240" w:lineRule="auto"/>
        <w:contextualSpacing/>
        <w:jc w:val="both"/>
        <w:rPr>
          <w:rFonts w:ascii="Verdana" w:eastAsia="Verdana" w:hAnsi="Verdana" w:cs="Verdana"/>
          <w:color w:val="4472C4" w:themeColor="accent1"/>
          <w:u w:val="single"/>
          <w:lang w:val="es-MX"/>
        </w:rPr>
      </w:pPr>
      <w:r w:rsidRPr="00BC3F56">
        <w:rPr>
          <w:rFonts w:ascii="Verdana" w:eastAsia="Verdana" w:hAnsi="Verdana" w:cs="Verdana"/>
          <w:lang w:val="es-MX"/>
        </w:rPr>
        <w:t xml:space="preserve">Línea nacional gratuita o servicio a la ciudadanía (Mesa de servicio): </w:t>
      </w:r>
      <w:r w:rsidRPr="00BC3F56">
        <w:rPr>
          <w:rFonts w:ascii="Verdana" w:hAnsi="Verdana"/>
          <w:color w:val="0000FF"/>
          <w:u w:val="single"/>
          <w:lang w:val="es-ES"/>
        </w:rPr>
        <w:t>01800 0520808</w:t>
      </w:r>
    </w:p>
    <w:p w14:paraId="278505B5" w14:textId="77777777" w:rsidR="00A6584F" w:rsidRPr="00BC3F56" w:rsidRDefault="00A6584F" w:rsidP="00A6584F">
      <w:pPr>
        <w:numPr>
          <w:ilvl w:val="0"/>
          <w:numId w:val="15"/>
        </w:numPr>
        <w:spacing w:after="0"/>
        <w:contextualSpacing/>
        <w:rPr>
          <w:rFonts w:ascii="Verdana" w:eastAsia="Verdana" w:hAnsi="Verdana" w:cs="Verdana"/>
          <w:color w:val="4472C4" w:themeColor="accent1"/>
          <w:u w:val="single"/>
          <w:lang w:val="es-MX"/>
        </w:rPr>
      </w:pPr>
      <w:r w:rsidRPr="00BC3F56">
        <w:rPr>
          <w:rFonts w:ascii="Verdana" w:eastAsia="Verdana" w:hAnsi="Verdana" w:cs="Verdana"/>
          <w:lang w:val="es-MX"/>
        </w:rPr>
        <w:t>Línea en Bogotá (Mesa de servicio</w:t>
      </w:r>
      <w:proofErr w:type="gramStart"/>
      <w:r w:rsidRPr="00BC3F56">
        <w:rPr>
          <w:rFonts w:ascii="Verdana" w:eastAsia="Verdana" w:hAnsi="Verdana" w:cs="Verdana"/>
          <w:lang w:val="es-MX"/>
        </w:rPr>
        <w:t>):</w:t>
      </w:r>
      <w:r w:rsidRPr="00BC3F56">
        <w:rPr>
          <w:rFonts w:ascii="Verdana" w:hAnsi="Verdana"/>
          <w:color w:val="0000FF"/>
          <w:u w:val="single"/>
          <w:lang w:val="es-ES"/>
        </w:rPr>
        <w:t>+</w:t>
      </w:r>
      <w:proofErr w:type="gramEnd"/>
      <w:r w:rsidRPr="00BC3F56">
        <w:rPr>
          <w:rFonts w:ascii="Verdana" w:hAnsi="Verdana"/>
          <w:color w:val="0000FF"/>
          <w:u w:val="single"/>
          <w:lang w:val="es-ES"/>
        </w:rPr>
        <w:t>57 601 7456788</w:t>
      </w:r>
    </w:p>
    <w:p w14:paraId="3538BD8E" w14:textId="77777777" w:rsidR="00A6584F" w:rsidRPr="00BC3F56" w:rsidRDefault="00A6584F" w:rsidP="00A6584F">
      <w:pPr>
        <w:numPr>
          <w:ilvl w:val="0"/>
          <w:numId w:val="15"/>
        </w:numPr>
        <w:spacing w:after="0"/>
        <w:contextualSpacing/>
        <w:rPr>
          <w:rFonts w:ascii="Verdana" w:eastAsia="Verdana" w:hAnsi="Verdana" w:cs="Verdana"/>
          <w:color w:val="0000FF"/>
          <w:u w:val="single"/>
          <w:lang w:val="es-MX"/>
        </w:rPr>
      </w:pPr>
      <w:r w:rsidRPr="00BC3F56">
        <w:rPr>
          <w:rFonts w:ascii="Verdana" w:eastAsia="Verdana" w:hAnsi="Verdana" w:cs="Verdana"/>
          <w:lang w:val="es-MX"/>
        </w:rPr>
        <w:t xml:space="preserve">Correo de radicación de correspondencia: </w:t>
      </w:r>
      <w:hyperlink r:id="rId21">
        <w:r w:rsidRPr="00BC3F56">
          <w:rPr>
            <w:rFonts w:ascii="Verdana" w:eastAsia="Verdana" w:hAnsi="Verdana" w:cs="Verdana"/>
            <w:color w:val="0000FF"/>
            <w:u w:val="single"/>
            <w:lang w:val="es-MX"/>
          </w:rPr>
          <w:t>ventanilladeradicacion@colombiacompra.gov.co</w:t>
        </w:r>
      </w:hyperlink>
    </w:p>
    <w:p w14:paraId="5CCCD164" w14:textId="77777777" w:rsidR="00A6584F" w:rsidRPr="00BC3F56" w:rsidRDefault="00A6584F" w:rsidP="00A6584F">
      <w:pPr>
        <w:numPr>
          <w:ilvl w:val="0"/>
          <w:numId w:val="15"/>
        </w:numPr>
        <w:spacing w:after="0"/>
        <w:contextualSpacing/>
        <w:rPr>
          <w:rFonts w:ascii="Verdana" w:eastAsia="Verdana" w:hAnsi="Verdana" w:cs="Verdana"/>
          <w:color w:val="0000FF"/>
          <w:u w:val="single"/>
          <w:lang w:val="es-MX"/>
        </w:rPr>
      </w:pPr>
      <w:r w:rsidRPr="00BC3F56">
        <w:rPr>
          <w:rFonts w:ascii="Verdana" w:eastAsia="Verdana" w:hAnsi="Verdana" w:cs="Verdana"/>
          <w:lang w:val="es-ES"/>
        </w:rPr>
        <w:t>Formulario web para</w:t>
      </w:r>
      <w:r w:rsidRPr="00BC3F56">
        <w:rPr>
          <w:rFonts w:ascii="Verdana" w:eastAsia="Verdana" w:hAnsi="Verdana" w:cs="Verdana"/>
          <w:lang w:val="es"/>
        </w:rPr>
        <w:t xml:space="preserve"> PQRSD: </w:t>
      </w:r>
      <w:hyperlink r:id="rId22">
        <w:r w:rsidRPr="00BC3F56">
          <w:rPr>
            <w:rFonts w:ascii="Verdana" w:eastAsia="Verdana" w:hAnsi="Verdana" w:cs="Verdana"/>
            <w:color w:val="0000FF"/>
            <w:u w:val="single"/>
            <w:lang w:val="es-MX"/>
          </w:rPr>
          <w:t>https://www.colombiacompra.gov.co/pqrsd/informacion-importante-antes-de-formular-una-pqrsd</w:t>
        </w:r>
      </w:hyperlink>
    </w:p>
    <w:p w14:paraId="3889DD3E" w14:textId="77777777" w:rsidR="00A6584F" w:rsidRPr="00BC3F56" w:rsidRDefault="00A6584F" w:rsidP="00A6584F">
      <w:pPr>
        <w:spacing w:after="0" w:line="240" w:lineRule="auto"/>
        <w:ind w:left="720"/>
        <w:jc w:val="both"/>
        <w:rPr>
          <w:rFonts w:ascii="Verdana" w:hAnsi="Verdana"/>
        </w:rPr>
      </w:pPr>
    </w:p>
    <w:p w14:paraId="1BF96D4A" w14:textId="77777777" w:rsidR="00A6584F" w:rsidRPr="00BC3F56" w:rsidRDefault="00A6584F" w:rsidP="00A6584F">
      <w:pPr>
        <w:spacing w:after="0" w:line="240" w:lineRule="auto"/>
        <w:rPr>
          <w:rFonts w:ascii="Verdana" w:hAnsi="Verdana"/>
        </w:rPr>
      </w:pPr>
      <w:r w:rsidRPr="00BC3F56">
        <w:rPr>
          <w:rFonts w:ascii="Verdana" w:hAnsi="Verdana"/>
        </w:rPr>
        <w:t xml:space="preserve">Evalúa el servicio que ofrece la Agencia por el canal de atención de PQRSD en el siguiente </w:t>
      </w:r>
      <w:proofErr w:type="gramStart"/>
      <w:r w:rsidRPr="00BC3F56">
        <w:rPr>
          <w:rFonts w:ascii="Verdana" w:hAnsi="Verdana"/>
        </w:rPr>
        <w:t>enlace :</w:t>
      </w:r>
      <w:proofErr w:type="gramEnd"/>
      <w:hyperlink r:id="rId23" w:tgtFrame="_blank" w:tooltip="https://forms.office.com/r/pphywvs2sz" w:history="1">
        <w:r w:rsidRPr="00BC3F56">
          <w:rPr>
            <w:rFonts w:ascii="Verdana" w:hAnsi="Verdana"/>
            <w:color w:val="0000FF"/>
            <w:u w:val="single"/>
          </w:rPr>
          <w:t>https://forms.office.com/r/pPHyWVs2SZ</w:t>
        </w:r>
      </w:hyperlink>
      <w:r w:rsidRPr="00BC3F56">
        <w:rPr>
          <w:rFonts w:ascii="Verdana" w:hAnsi="Verdana"/>
        </w:rPr>
        <w:t xml:space="preserve"> .¡Ayúdanos a mejorar porque el compromiso es de todos!</w:t>
      </w:r>
    </w:p>
    <w:p w14:paraId="4AE27A96" w14:textId="77777777" w:rsidR="00A6584F" w:rsidRPr="00BC3F56" w:rsidRDefault="00A6584F" w:rsidP="00A6584F">
      <w:pPr>
        <w:spacing w:after="0" w:line="240" w:lineRule="auto"/>
        <w:rPr>
          <w:rFonts w:ascii="Verdana" w:hAnsi="Verdana"/>
        </w:rPr>
      </w:pPr>
    </w:p>
    <w:p w14:paraId="6D85AA00" w14:textId="77777777" w:rsidR="00A6584F" w:rsidRPr="00BC3F56" w:rsidRDefault="00A6584F" w:rsidP="00A6584F">
      <w:pPr>
        <w:spacing w:after="0" w:line="240" w:lineRule="auto"/>
        <w:jc w:val="both"/>
        <w:rPr>
          <w:rFonts w:ascii="Verdana" w:hAnsi="Verdana"/>
        </w:rPr>
      </w:pPr>
      <w:r w:rsidRPr="00BC3F56">
        <w:rPr>
          <w:rFonts w:ascii="Verdana" w:hAnsi="Verdana"/>
        </w:rPr>
        <w:t xml:space="preserve">Por último, lo invitamos a seguirnos en las redes sociales en las cuales se difunde información institucional: </w:t>
      </w:r>
    </w:p>
    <w:p w14:paraId="3BD7B637" w14:textId="77777777" w:rsidR="00A6584F" w:rsidRPr="00BC3F56" w:rsidRDefault="00A6584F" w:rsidP="00A6584F">
      <w:pPr>
        <w:spacing w:after="0" w:line="240" w:lineRule="auto"/>
        <w:jc w:val="both"/>
        <w:rPr>
          <w:rFonts w:ascii="Verdana" w:hAnsi="Verdana"/>
        </w:rPr>
      </w:pPr>
    </w:p>
    <w:p w14:paraId="5D762B54" w14:textId="77777777" w:rsidR="00A6584F" w:rsidRPr="00BC3F56" w:rsidRDefault="00A6584F" w:rsidP="00A6584F">
      <w:pPr>
        <w:spacing w:after="0" w:line="240" w:lineRule="auto"/>
        <w:jc w:val="both"/>
        <w:rPr>
          <w:rFonts w:ascii="Verdana" w:hAnsi="Verdana"/>
        </w:rPr>
      </w:pPr>
      <w:r w:rsidRPr="00BC3F56">
        <w:rPr>
          <w:rFonts w:ascii="Verdana" w:hAnsi="Verdana"/>
        </w:rPr>
        <w:t xml:space="preserve">Twitter: </w:t>
      </w:r>
      <w:r w:rsidRPr="00BC3F56">
        <w:rPr>
          <w:rFonts w:ascii="Verdana" w:hAnsi="Verdana"/>
          <w:color w:val="0000FF"/>
          <w:u w:val="single"/>
        </w:rPr>
        <w:t>@colombiacompra</w:t>
      </w:r>
      <w:r w:rsidRPr="00BC3F56">
        <w:rPr>
          <w:rFonts w:ascii="Verdana" w:hAnsi="Verdana"/>
        </w:rPr>
        <w:t xml:space="preserve"> </w:t>
      </w:r>
    </w:p>
    <w:p w14:paraId="19691D12" w14:textId="77777777" w:rsidR="00A6584F" w:rsidRPr="00BC3F56" w:rsidRDefault="00A6584F" w:rsidP="00A6584F">
      <w:pPr>
        <w:spacing w:after="0" w:line="240" w:lineRule="auto"/>
        <w:jc w:val="both"/>
        <w:rPr>
          <w:rFonts w:ascii="Verdana" w:hAnsi="Verdana"/>
        </w:rPr>
      </w:pPr>
      <w:r w:rsidRPr="00BC3F56">
        <w:rPr>
          <w:rFonts w:ascii="Verdana" w:hAnsi="Verdana"/>
        </w:rPr>
        <w:t xml:space="preserve">Facebook: </w:t>
      </w:r>
      <w:proofErr w:type="spellStart"/>
      <w:r w:rsidRPr="00BC3F56">
        <w:rPr>
          <w:rFonts w:ascii="Verdana" w:hAnsi="Verdana"/>
          <w:color w:val="0000FF"/>
          <w:u w:val="single"/>
        </w:rPr>
        <w:t>ColombiaCompraEficiente</w:t>
      </w:r>
      <w:proofErr w:type="spellEnd"/>
    </w:p>
    <w:p w14:paraId="708CF010" w14:textId="77777777" w:rsidR="00A6584F" w:rsidRPr="00BC3F56" w:rsidRDefault="00A6584F" w:rsidP="00A6584F">
      <w:pPr>
        <w:spacing w:after="0" w:line="240" w:lineRule="auto"/>
        <w:jc w:val="both"/>
        <w:rPr>
          <w:rFonts w:ascii="Verdana" w:hAnsi="Verdana"/>
        </w:rPr>
      </w:pPr>
      <w:r w:rsidRPr="00BC3F56">
        <w:rPr>
          <w:rFonts w:ascii="Verdana" w:hAnsi="Verdana"/>
        </w:rPr>
        <w:t xml:space="preserve">LinkedIn: </w:t>
      </w:r>
      <w:r w:rsidRPr="00BC3F56">
        <w:rPr>
          <w:rFonts w:ascii="Verdana" w:hAnsi="Verdana"/>
          <w:color w:val="0000FF"/>
          <w:u w:val="single"/>
        </w:rPr>
        <w:t>Agencia Nacional de Contratación Pública - Colombia Compra Eficiente</w:t>
      </w:r>
      <w:r w:rsidRPr="00BC3F56">
        <w:rPr>
          <w:rFonts w:ascii="Verdana" w:hAnsi="Verdana"/>
        </w:rPr>
        <w:t xml:space="preserve"> Instagram: </w:t>
      </w:r>
      <w:r w:rsidRPr="00BC3F56">
        <w:rPr>
          <w:rFonts w:ascii="Verdana" w:hAnsi="Verdana"/>
          <w:color w:val="0000FF"/>
          <w:u w:val="single"/>
        </w:rPr>
        <w:t>@colombiacompraeficiente_cce</w:t>
      </w:r>
    </w:p>
    <w:p w14:paraId="69E27C50" w14:textId="77777777" w:rsidR="00A6584F" w:rsidRPr="00593A5F" w:rsidRDefault="00A6584F" w:rsidP="00A6584F">
      <w:pPr>
        <w:widowControl w:val="0"/>
        <w:autoSpaceDE w:val="0"/>
        <w:autoSpaceDN w:val="0"/>
        <w:spacing w:after="0" w:line="276" w:lineRule="auto"/>
        <w:jc w:val="both"/>
        <w:rPr>
          <w:rFonts w:ascii="Verdana" w:hAnsi="Verdana" w:cs="Arial"/>
        </w:rPr>
      </w:pPr>
    </w:p>
    <w:p w14:paraId="30C7F57C" w14:textId="77777777" w:rsidR="00A6584F" w:rsidRDefault="00A6584F" w:rsidP="00A6584F">
      <w:pPr>
        <w:spacing w:after="0" w:line="240" w:lineRule="auto"/>
        <w:rPr>
          <w:rFonts w:ascii="Verdana" w:hAnsi="Verdana" w:cs="Arial"/>
          <w:lang w:eastAsia="es-CO"/>
        </w:rPr>
      </w:pPr>
      <w:r w:rsidRPr="00593A5F">
        <w:rPr>
          <w:rFonts w:ascii="Verdana" w:eastAsia="Times New Roman" w:hAnsi="Verdana" w:cs="Arial"/>
          <w:lang w:eastAsia="es-CO"/>
        </w:rPr>
        <w:t>Atentamente,</w:t>
      </w:r>
      <w:r w:rsidRPr="00593A5F">
        <w:rPr>
          <w:rFonts w:ascii="Verdana" w:hAnsi="Verdana" w:cs="Arial"/>
          <w:lang w:eastAsia="es-CO"/>
        </w:rPr>
        <w:t xml:space="preserve"> </w:t>
      </w:r>
    </w:p>
    <w:p w14:paraId="02216985" w14:textId="77777777" w:rsidR="00A6584F" w:rsidRPr="005C2A0C" w:rsidRDefault="00A6584F" w:rsidP="00A6584F">
      <w:pPr>
        <w:spacing w:after="0" w:line="240" w:lineRule="auto"/>
        <w:rPr>
          <w:rFonts w:ascii="Verdana" w:hAnsi="Verdana" w:cs="Arial"/>
          <w:lang w:eastAsia="es-CO"/>
        </w:rPr>
      </w:pPr>
    </w:p>
    <w:p w14:paraId="56D9D421" w14:textId="22E1AF03" w:rsidR="00A6584F" w:rsidRPr="0060360B" w:rsidRDefault="007B57B5" w:rsidP="00A6584F">
      <w:pPr>
        <w:spacing w:after="0" w:line="256" w:lineRule="auto"/>
        <w:jc w:val="center"/>
        <w:rPr>
          <w:rFonts w:ascii="Century Gothic" w:hAnsi="Century Gothic"/>
          <w:noProof/>
          <w:lang w:val="en-US"/>
        </w:rPr>
      </w:pPr>
      <w:r w:rsidRPr="00F21F0B">
        <w:rPr>
          <w:rFonts w:ascii="Century Gothic" w:hAnsi="Century Gothic"/>
          <w:noProof/>
          <w:lang w:val="en-US"/>
        </w:rPr>
        <w:lastRenderedPageBreak/>
        <w:drawing>
          <wp:inline distT="0" distB="0" distL="0" distR="0" wp14:anchorId="4703D9C9" wp14:editId="50476494">
            <wp:extent cx="3657485" cy="1359550"/>
            <wp:effectExtent l="0" t="0" r="635" b="0"/>
            <wp:docPr id="4"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Texto&#10;&#10;Descripción generada automáticamente"/>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3662738" cy="1361503"/>
                    </a:xfrm>
                    <a:prstGeom prst="rect">
                      <a:avLst/>
                    </a:prstGeom>
                    <a:noFill/>
                    <a:ln>
                      <a:noFill/>
                    </a:ln>
                  </pic:spPr>
                </pic:pic>
              </a:graphicData>
            </a:graphic>
          </wp:inline>
        </w:drawing>
      </w:r>
    </w:p>
    <w:p w14:paraId="7DABD466" w14:textId="77777777" w:rsidR="00A6584F" w:rsidRPr="0060360B" w:rsidRDefault="00A6584F" w:rsidP="00A6584F">
      <w:pPr>
        <w:spacing w:after="0" w:line="256" w:lineRule="auto"/>
        <w:rPr>
          <w:rFonts w:ascii="Century Gothic" w:hAnsi="Century Gothic"/>
          <w:noProof/>
          <w:sz w:val="16"/>
          <w:szCs w:val="16"/>
          <w:lang w:val="en-US"/>
        </w:rPr>
      </w:pPr>
    </w:p>
    <w:tbl>
      <w:tblPr>
        <w:tblW w:w="5754"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17"/>
        <w:gridCol w:w="4937"/>
      </w:tblGrid>
      <w:tr w:rsidR="00A6584F" w:rsidRPr="0060360B" w14:paraId="041B9A52" w14:textId="77777777" w:rsidTr="00572E42">
        <w:trPr>
          <w:trHeight w:val="409"/>
        </w:trPr>
        <w:tc>
          <w:tcPr>
            <w:tcW w:w="817" w:type="dxa"/>
            <w:tcBorders>
              <w:top w:val="nil"/>
              <w:left w:val="nil"/>
              <w:bottom w:val="nil"/>
              <w:right w:val="nil"/>
            </w:tcBorders>
            <w:vAlign w:val="center"/>
            <w:hideMark/>
          </w:tcPr>
          <w:p w14:paraId="440038CD" w14:textId="77777777" w:rsidR="00A6584F" w:rsidRPr="0060360B" w:rsidRDefault="00A6584F" w:rsidP="00572E42">
            <w:pPr>
              <w:spacing w:after="0" w:line="256" w:lineRule="auto"/>
              <w:rPr>
                <w:rFonts w:ascii="Verdana" w:eastAsia="Calibri" w:hAnsi="Verdana" w:cs="Times New Roman"/>
                <w:sz w:val="16"/>
                <w:szCs w:val="16"/>
              </w:rPr>
            </w:pPr>
            <w:r w:rsidRPr="0060360B">
              <w:rPr>
                <w:rFonts w:ascii="Verdana" w:eastAsia="Calibri" w:hAnsi="Verdana" w:cs="Times New Roman"/>
                <w:sz w:val="16"/>
                <w:szCs w:val="16"/>
              </w:rPr>
              <w:t>Elaboró: </w:t>
            </w:r>
          </w:p>
        </w:tc>
        <w:tc>
          <w:tcPr>
            <w:tcW w:w="4937" w:type="dxa"/>
            <w:tcBorders>
              <w:top w:val="nil"/>
              <w:left w:val="nil"/>
              <w:bottom w:val="dotted" w:sz="6" w:space="0" w:color="7F7F7F" w:themeColor="text1" w:themeTint="80"/>
              <w:right w:val="nil"/>
            </w:tcBorders>
            <w:vAlign w:val="center"/>
            <w:hideMark/>
          </w:tcPr>
          <w:p w14:paraId="578FF21A" w14:textId="77777777" w:rsidR="00A6584F" w:rsidRPr="0060360B" w:rsidRDefault="00A6584F" w:rsidP="00572E42">
            <w:pPr>
              <w:spacing w:after="0" w:line="256" w:lineRule="auto"/>
              <w:rPr>
                <w:rFonts w:ascii="Verdana" w:eastAsia="Calibri" w:hAnsi="Verdana" w:cs="Times New Roman"/>
                <w:sz w:val="16"/>
                <w:szCs w:val="16"/>
              </w:rPr>
            </w:pPr>
            <w:r w:rsidRPr="0060360B">
              <w:rPr>
                <w:rFonts w:ascii="Verdana" w:eastAsia="Calibri" w:hAnsi="Verdana" w:cs="Times New Roman"/>
                <w:sz w:val="16"/>
                <w:szCs w:val="16"/>
              </w:rPr>
              <w:t>José Luis Sánchez Cardona</w:t>
            </w:r>
          </w:p>
          <w:p w14:paraId="4847C349" w14:textId="77777777" w:rsidR="00A6584F" w:rsidRPr="0060360B" w:rsidRDefault="00A6584F" w:rsidP="00572E42">
            <w:pPr>
              <w:spacing w:after="0" w:line="256" w:lineRule="auto"/>
              <w:rPr>
                <w:rFonts w:ascii="Verdana" w:eastAsia="Calibri" w:hAnsi="Verdana" w:cs="Times New Roman"/>
                <w:sz w:val="16"/>
                <w:szCs w:val="16"/>
              </w:rPr>
            </w:pPr>
            <w:r w:rsidRPr="0060360B">
              <w:rPr>
                <w:rFonts w:ascii="Verdana" w:eastAsia="Calibri" w:hAnsi="Verdana" w:cs="Times New Roman"/>
                <w:sz w:val="16"/>
                <w:szCs w:val="16"/>
              </w:rPr>
              <w:t>Contratista de la Subdirección de Gestión Contractual</w:t>
            </w:r>
          </w:p>
        </w:tc>
      </w:tr>
      <w:tr w:rsidR="00A6584F" w:rsidRPr="0060360B" w14:paraId="233FFA20" w14:textId="77777777" w:rsidTr="00572E42">
        <w:trPr>
          <w:trHeight w:val="409"/>
        </w:trPr>
        <w:tc>
          <w:tcPr>
            <w:tcW w:w="817" w:type="dxa"/>
            <w:tcBorders>
              <w:top w:val="nil"/>
              <w:left w:val="nil"/>
              <w:bottom w:val="nil"/>
              <w:right w:val="nil"/>
            </w:tcBorders>
            <w:vAlign w:val="center"/>
            <w:hideMark/>
          </w:tcPr>
          <w:p w14:paraId="31FBE440" w14:textId="77777777" w:rsidR="00A6584F" w:rsidRPr="0060360B" w:rsidRDefault="00A6584F" w:rsidP="00572E42">
            <w:pPr>
              <w:spacing w:after="0" w:line="256" w:lineRule="auto"/>
              <w:rPr>
                <w:rFonts w:ascii="Verdana" w:eastAsia="Calibri" w:hAnsi="Verdana" w:cs="Times New Roman"/>
                <w:sz w:val="16"/>
                <w:szCs w:val="16"/>
              </w:rPr>
            </w:pPr>
            <w:r w:rsidRPr="0060360B">
              <w:rPr>
                <w:rFonts w:ascii="Verdana" w:eastAsia="Calibri" w:hAnsi="Verdana" w:cs="Times New Roman"/>
                <w:sz w:val="16"/>
                <w:szCs w:val="16"/>
              </w:rPr>
              <w:t>Revisó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27704863" w14:textId="77777777" w:rsidR="00A6584F" w:rsidRPr="0060360B" w:rsidRDefault="00A6584F" w:rsidP="00572E42">
            <w:pPr>
              <w:spacing w:after="0" w:line="256" w:lineRule="auto"/>
              <w:rPr>
                <w:rFonts w:ascii="Verdana" w:eastAsia="Calibri" w:hAnsi="Verdana" w:cs="Times New Roman"/>
                <w:sz w:val="16"/>
                <w:szCs w:val="16"/>
              </w:rPr>
            </w:pPr>
            <w:r w:rsidRPr="0060360B">
              <w:rPr>
                <w:rFonts w:ascii="Verdana" w:eastAsia="Calibri" w:hAnsi="Verdana" w:cs="Times New Roman"/>
                <w:sz w:val="16"/>
                <w:szCs w:val="16"/>
              </w:rPr>
              <w:t>Diana Lucía Saavedra Castañeda</w:t>
            </w:r>
          </w:p>
          <w:p w14:paraId="1995CF57" w14:textId="77777777" w:rsidR="00A6584F" w:rsidRPr="0060360B" w:rsidRDefault="00A6584F" w:rsidP="00572E42">
            <w:pPr>
              <w:spacing w:after="0" w:line="256" w:lineRule="auto"/>
              <w:rPr>
                <w:rFonts w:ascii="Verdana" w:eastAsia="Calibri" w:hAnsi="Verdana" w:cs="Times New Roman"/>
                <w:sz w:val="16"/>
                <w:szCs w:val="16"/>
              </w:rPr>
            </w:pPr>
            <w:r w:rsidRPr="0060360B">
              <w:rPr>
                <w:rFonts w:ascii="Verdana" w:eastAsia="Calibri" w:hAnsi="Verdana" w:cs="Times New Roman"/>
                <w:sz w:val="16"/>
                <w:szCs w:val="16"/>
              </w:rPr>
              <w:t>Contratista de la Subdirección de Gestión Contractual </w:t>
            </w:r>
          </w:p>
        </w:tc>
      </w:tr>
      <w:tr w:rsidR="00A6584F" w:rsidRPr="0060360B" w14:paraId="1E707E71" w14:textId="77777777" w:rsidTr="00572E42">
        <w:trPr>
          <w:trHeight w:val="389"/>
        </w:trPr>
        <w:tc>
          <w:tcPr>
            <w:tcW w:w="817" w:type="dxa"/>
            <w:tcBorders>
              <w:top w:val="nil"/>
              <w:left w:val="nil"/>
              <w:bottom w:val="nil"/>
              <w:right w:val="nil"/>
            </w:tcBorders>
            <w:vAlign w:val="center"/>
            <w:hideMark/>
          </w:tcPr>
          <w:p w14:paraId="686B55F8" w14:textId="77777777" w:rsidR="00A6584F" w:rsidRPr="0060360B" w:rsidRDefault="00A6584F" w:rsidP="00572E42">
            <w:pPr>
              <w:spacing w:after="0" w:line="256" w:lineRule="auto"/>
              <w:rPr>
                <w:rFonts w:ascii="Verdana" w:eastAsia="Calibri" w:hAnsi="Verdana" w:cs="Times New Roman"/>
                <w:sz w:val="16"/>
                <w:szCs w:val="16"/>
              </w:rPr>
            </w:pPr>
            <w:r w:rsidRPr="0060360B">
              <w:rPr>
                <w:rFonts w:ascii="Verdana" w:eastAsia="Calibri" w:hAnsi="Verdana" w:cs="Times New Roman"/>
                <w:sz w:val="16"/>
                <w:szCs w:val="16"/>
              </w:rPr>
              <w:t>Aprobó: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78CDFBB5" w14:textId="77777777" w:rsidR="00A6584F" w:rsidRPr="0060360B" w:rsidRDefault="00A6584F" w:rsidP="00572E42">
            <w:pPr>
              <w:spacing w:after="0" w:line="256" w:lineRule="auto"/>
              <w:rPr>
                <w:rFonts w:ascii="Verdana" w:eastAsia="Calibri" w:hAnsi="Verdana" w:cs="Times New Roman"/>
                <w:sz w:val="16"/>
                <w:szCs w:val="16"/>
              </w:rPr>
            </w:pPr>
            <w:r w:rsidRPr="0060360B">
              <w:rPr>
                <w:rFonts w:ascii="Verdana" w:eastAsia="Calibri" w:hAnsi="Verdana" w:cs="Times New Roman"/>
                <w:sz w:val="16"/>
                <w:szCs w:val="16"/>
              </w:rPr>
              <w:t>Carolina Quintero Gacharná</w:t>
            </w:r>
          </w:p>
          <w:p w14:paraId="113E4F2F" w14:textId="77777777" w:rsidR="00A6584F" w:rsidRPr="0060360B" w:rsidRDefault="00A6584F" w:rsidP="00572E42">
            <w:pPr>
              <w:spacing w:after="0" w:line="256" w:lineRule="auto"/>
              <w:rPr>
                <w:rFonts w:ascii="Verdana" w:eastAsia="Calibri" w:hAnsi="Verdana" w:cs="Times New Roman"/>
                <w:sz w:val="16"/>
                <w:szCs w:val="16"/>
              </w:rPr>
            </w:pPr>
            <w:r w:rsidRPr="0060360B">
              <w:rPr>
                <w:rFonts w:ascii="Verdana" w:eastAsia="Calibri" w:hAnsi="Verdana" w:cs="Times New Roman"/>
                <w:sz w:val="16"/>
                <w:szCs w:val="16"/>
              </w:rPr>
              <w:t>Subdirectora de Gestión Contractual ANCP – CCE</w:t>
            </w:r>
          </w:p>
        </w:tc>
      </w:tr>
    </w:tbl>
    <w:p w14:paraId="5CAF69A6" w14:textId="77777777" w:rsidR="00A6584F" w:rsidRPr="007319C8" w:rsidRDefault="00A6584F" w:rsidP="00A6584F">
      <w:pPr>
        <w:spacing w:after="0" w:line="256" w:lineRule="auto"/>
        <w:jc w:val="center"/>
        <w:rPr>
          <w:rFonts w:ascii="Century Gothic" w:hAnsi="Century Gothic"/>
          <w:noProof/>
        </w:rPr>
      </w:pPr>
    </w:p>
    <w:bookmarkEnd w:id="0"/>
    <w:p w14:paraId="0F293BF4" w14:textId="0F6C922B" w:rsidR="00127233" w:rsidRPr="00FB40B6" w:rsidRDefault="00127233" w:rsidP="00FB40B6">
      <w:pPr>
        <w:spacing w:after="0" w:line="240" w:lineRule="auto"/>
        <w:textAlignment w:val="baseline"/>
        <w:rPr>
          <w:rFonts w:ascii="Verdana" w:eastAsia="Verdana" w:hAnsi="Verdana" w:cs="Verdana"/>
          <w:lang w:eastAsia="es-CO"/>
        </w:rPr>
      </w:pPr>
    </w:p>
    <w:sectPr w:rsidR="00127233" w:rsidRPr="00FB40B6" w:rsidSect="007C0C0F">
      <w:headerReference w:type="default" r:id="rId25"/>
      <w:footerReference w:type="default" r:id="rId2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53A2E31" w14:textId="77777777" w:rsidR="004F1FEA" w:rsidRDefault="004F1FEA" w:rsidP="004A1847">
      <w:pPr>
        <w:spacing w:after="0" w:line="240" w:lineRule="auto"/>
      </w:pPr>
      <w:r>
        <w:separator/>
      </w:r>
    </w:p>
  </w:endnote>
  <w:endnote w:type="continuationSeparator" w:id="0">
    <w:p w14:paraId="0211C87F" w14:textId="77777777" w:rsidR="004F1FEA" w:rsidRDefault="004F1FEA" w:rsidP="004A1847">
      <w:pPr>
        <w:spacing w:after="0" w:line="240" w:lineRule="auto"/>
      </w:pPr>
      <w:r>
        <w:continuationSeparator/>
      </w:r>
    </w:p>
  </w:endnote>
  <w:endnote w:type="continuationNotice" w:id="1">
    <w:p w14:paraId="216AADF9" w14:textId="77777777" w:rsidR="004F1FEA" w:rsidRDefault="004F1FE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mbria Math">
    <w:panose1 w:val="02040503050406030204"/>
    <w:charset w:val="00"/>
    <w:family w:val="roman"/>
    <w:pitch w:val="variable"/>
    <w:sig w:usb0="E00006FF" w:usb1="420024FF" w:usb2="02000000"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altName w:val="Arial"/>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05202B" w:rsidRDefault="0005202B">
    <w:pPr>
      <w:pStyle w:val="Piedepgina"/>
    </w:pPr>
  </w:p>
  <w:p w14:paraId="594D6D9F" w14:textId="2F260698" w:rsidR="0005202B" w:rsidRPr="00174B77" w:rsidRDefault="0005202B"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sidR="00FB40B6" w:rsidRPr="00FB40B6">
      <w:rPr>
        <w:rFonts w:ascii="Verdana" w:eastAsiaTheme="minorEastAsia" w:hAnsi="Verdana"/>
        <w:b/>
        <w:bCs/>
        <w:noProof/>
        <w:sz w:val="16"/>
        <w:szCs w:val="16"/>
      </w:rPr>
      <w:t>39</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05202B" w:rsidRDefault="0005202B"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05202B" w:rsidRPr="00E41027" w:rsidRDefault="0005202B"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05202B" w:rsidRDefault="0005202B"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CE82738" w14:textId="77777777" w:rsidR="004F1FEA" w:rsidRDefault="004F1FEA" w:rsidP="004A1847">
      <w:pPr>
        <w:spacing w:after="0" w:line="240" w:lineRule="auto"/>
      </w:pPr>
      <w:r>
        <w:separator/>
      </w:r>
    </w:p>
  </w:footnote>
  <w:footnote w:type="continuationSeparator" w:id="0">
    <w:p w14:paraId="2F2CBB78" w14:textId="77777777" w:rsidR="004F1FEA" w:rsidRDefault="004F1FEA" w:rsidP="004A1847">
      <w:pPr>
        <w:spacing w:after="0" w:line="240" w:lineRule="auto"/>
      </w:pPr>
      <w:r>
        <w:continuationSeparator/>
      </w:r>
    </w:p>
  </w:footnote>
  <w:footnote w:type="continuationNotice" w:id="1">
    <w:p w14:paraId="1C95B996" w14:textId="77777777" w:rsidR="004F1FEA" w:rsidRDefault="004F1FEA">
      <w:pPr>
        <w:spacing w:after="0" w:line="240" w:lineRule="auto"/>
      </w:pPr>
    </w:p>
  </w:footnote>
  <w:footnote w:id="2">
    <w:p w14:paraId="5E008B53" w14:textId="77777777" w:rsidR="00A6584F" w:rsidRPr="00F62D81" w:rsidRDefault="00A6584F" w:rsidP="00A6584F">
      <w:pPr>
        <w:pStyle w:val="Textonotapie"/>
        <w:ind w:firstLine="709"/>
        <w:jc w:val="both"/>
        <w:rPr>
          <w:rFonts w:ascii="Verdana" w:hAnsi="Verdana" w:cs="Arial"/>
          <w:sz w:val="16"/>
          <w:szCs w:val="16"/>
        </w:rPr>
      </w:pPr>
      <w:r w:rsidRPr="00F62D81">
        <w:rPr>
          <w:rStyle w:val="Refdenotaalpie"/>
          <w:rFonts w:ascii="Verdana" w:hAnsi="Verdana" w:cs="Arial"/>
          <w:sz w:val="16"/>
          <w:szCs w:val="16"/>
        </w:rPr>
        <w:footnoteRef/>
      </w:r>
      <w:r w:rsidRPr="00F62D81">
        <w:rPr>
          <w:rFonts w:ascii="Verdana" w:hAnsi="Verdana" w:cs="Arial"/>
          <w:sz w:val="16"/>
          <w:szCs w:val="16"/>
        </w:rPr>
        <w:t xml:space="preserve"> El artículo 127 de la Constitución Política señala: “Los servidores públicos no podrán celebrar, por si o por interpuesta persona, o en representación de otro, contrato alguno con entidades públicas o con personas privadas que manejen o administren recursos públicos, salvo las excepciones legales. </w:t>
      </w:r>
    </w:p>
    <w:p w14:paraId="55EDE04B" w14:textId="77777777" w:rsidR="00A6584F" w:rsidRPr="00F62D81" w:rsidRDefault="00A6584F" w:rsidP="00A6584F">
      <w:pPr>
        <w:pStyle w:val="Textonotapie"/>
        <w:ind w:firstLine="709"/>
        <w:jc w:val="both"/>
        <w:rPr>
          <w:rFonts w:ascii="Verdana" w:hAnsi="Verdana" w:cs="Arial"/>
          <w:sz w:val="16"/>
          <w:szCs w:val="16"/>
        </w:rPr>
      </w:pPr>
      <w:r w:rsidRPr="00F62D81">
        <w:rPr>
          <w:rFonts w:ascii="Verdana" w:hAnsi="Verdana" w:cs="Arial"/>
          <w:sz w:val="16"/>
          <w:szCs w:val="16"/>
        </w:rPr>
        <w:t>A los empleados del Estado que se desempeñen en la Rama Judicial, en los órganos electorales, de control y de seguridad les está prohibido tomar parte en las actividades de los partidos y movimientos y en las controversias políticas, sin perjuicio de ejercer libremente el derecho al sufragio. A los miembros de la Fuerza Pública en servicio activo se les aplican las limitaciones contempladas en el artículo 219 de la Constitución. Los empleados no contemplados en esta prohibición solo podrán participar en dichas actividades y controversias en las condiciones que señale la Ley Estatutaria”.</w:t>
      </w:r>
    </w:p>
  </w:footnote>
  <w:footnote w:id="3">
    <w:p w14:paraId="21C281BA" w14:textId="77777777" w:rsidR="00A6584F" w:rsidRPr="00F62D81" w:rsidRDefault="00A6584F" w:rsidP="00A6584F">
      <w:pPr>
        <w:pStyle w:val="Textonotapie"/>
        <w:ind w:firstLine="709"/>
        <w:jc w:val="both"/>
        <w:rPr>
          <w:rFonts w:ascii="Verdana" w:hAnsi="Verdana" w:cs="Arial"/>
          <w:sz w:val="16"/>
          <w:szCs w:val="16"/>
        </w:rPr>
      </w:pPr>
      <w:r w:rsidRPr="00F62D81">
        <w:rPr>
          <w:rStyle w:val="Refdenotaalpie"/>
          <w:rFonts w:ascii="Verdana" w:hAnsi="Verdana" w:cs="Arial"/>
          <w:sz w:val="16"/>
          <w:szCs w:val="16"/>
        </w:rPr>
        <w:footnoteRef/>
      </w:r>
      <w:r w:rsidRPr="00F62D81">
        <w:rPr>
          <w:rFonts w:ascii="Verdana" w:hAnsi="Verdana" w:cs="Arial"/>
          <w:sz w:val="16"/>
          <w:szCs w:val="16"/>
        </w:rPr>
        <w:t xml:space="preserve"> Gaceta del Congreso de la República No. 71 del 2005.</w:t>
      </w:r>
    </w:p>
  </w:footnote>
  <w:footnote w:id="4">
    <w:p w14:paraId="3DF7864D" w14:textId="77777777" w:rsidR="00A6584F" w:rsidRPr="00F62D81" w:rsidRDefault="00A6584F" w:rsidP="00A6584F">
      <w:pPr>
        <w:pStyle w:val="Textonotapie"/>
        <w:ind w:firstLine="709"/>
        <w:jc w:val="both"/>
        <w:rPr>
          <w:rFonts w:ascii="Verdana" w:hAnsi="Verdana" w:cs="Arial"/>
          <w:sz w:val="16"/>
          <w:szCs w:val="16"/>
          <w:lang w:val="pt-BR"/>
        </w:rPr>
      </w:pPr>
      <w:r w:rsidRPr="00F62D81">
        <w:rPr>
          <w:rStyle w:val="Refdenotaalpie"/>
          <w:rFonts w:ascii="Verdana" w:hAnsi="Verdana" w:cs="Arial"/>
          <w:sz w:val="16"/>
          <w:szCs w:val="16"/>
        </w:rPr>
        <w:footnoteRef/>
      </w:r>
      <w:r w:rsidRPr="00F62D81">
        <w:rPr>
          <w:rFonts w:ascii="Verdana" w:hAnsi="Verdana" w:cs="Arial"/>
          <w:sz w:val="16"/>
          <w:szCs w:val="16"/>
          <w:lang w:val="pt-BR"/>
        </w:rPr>
        <w:t xml:space="preserve"> Corte Constitucional, Sentencia C- 1153 de 2005, M.P. Marco Gerardo Monroy Cabra.</w:t>
      </w:r>
    </w:p>
  </w:footnote>
  <w:footnote w:id="5">
    <w:p w14:paraId="5BE8079F" w14:textId="77777777" w:rsidR="00A6584F" w:rsidRPr="00F62D81" w:rsidRDefault="00A6584F" w:rsidP="00A6584F">
      <w:pPr>
        <w:pStyle w:val="Textonotapie"/>
        <w:ind w:firstLine="709"/>
        <w:jc w:val="both"/>
        <w:rPr>
          <w:rFonts w:ascii="Verdana" w:hAnsi="Verdana" w:cs="Arial"/>
          <w:sz w:val="16"/>
          <w:szCs w:val="16"/>
          <w:lang w:val="pt-BR"/>
        </w:rPr>
      </w:pPr>
      <w:r w:rsidRPr="00F62D81">
        <w:rPr>
          <w:rStyle w:val="Refdenotaalpie"/>
          <w:rFonts w:ascii="Verdana" w:hAnsi="Verdana" w:cs="Arial"/>
          <w:sz w:val="16"/>
          <w:szCs w:val="16"/>
        </w:rPr>
        <w:footnoteRef/>
      </w:r>
      <w:r w:rsidRPr="00F62D81">
        <w:rPr>
          <w:rFonts w:ascii="Verdana" w:hAnsi="Verdana" w:cs="Arial"/>
          <w:sz w:val="16"/>
          <w:szCs w:val="16"/>
          <w:lang w:val="pt-BR"/>
        </w:rPr>
        <w:t xml:space="preserve"> Corte Constitucional. Sentencias: C-233 de 4 de abril de 2002, expediente: D-3704; C-551 de 9 de julio de 2003, expediente: CRF-001 de 9 de julio de 2003; C-652 de 5 de agosto de 2003, expediente: D-4330; C-353 de 20 de mayo de 2009, expediente: D-7518, C-541 de 30 de junio de 2010, expediente: DD7966; entre otras.</w:t>
      </w:r>
    </w:p>
  </w:footnote>
  <w:footnote w:id="6">
    <w:p w14:paraId="6F793BD2" w14:textId="77777777" w:rsidR="00A6584F" w:rsidRPr="00F62D81" w:rsidRDefault="00A6584F" w:rsidP="00A6584F">
      <w:pPr>
        <w:pStyle w:val="Textonotapie"/>
        <w:ind w:firstLine="709"/>
        <w:jc w:val="both"/>
        <w:rPr>
          <w:rFonts w:ascii="Verdana" w:hAnsi="Verdana" w:cs="Arial"/>
          <w:sz w:val="16"/>
          <w:szCs w:val="16"/>
          <w:lang w:val="es-CO"/>
        </w:rPr>
      </w:pPr>
      <w:r w:rsidRPr="00F62D81">
        <w:rPr>
          <w:rStyle w:val="Refdenotaalpie"/>
          <w:rFonts w:ascii="Verdana" w:hAnsi="Verdana" w:cs="Arial"/>
          <w:sz w:val="16"/>
          <w:szCs w:val="16"/>
        </w:rPr>
        <w:footnoteRef/>
      </w:r>
      <w:r w:rsidRPr="00F62D81">
        <w:rPr>
          <w:rFonts w:ascii="Verdana" w:hAnsi="Verdana" w:cs="Arial"/>
          <w:sz w:val="16"/>
          <w:szCs w:val="16"/>
          <w:lang w:val="es-CO"/>
        </w:rPr>
        <w:t xml:space="preserve"> Consejo de Estado, Sala de lo Contencioso Administrativo, Sección Primera. Sentencia de 3 de marzo de 2005, expediente número 2004-00823-01(PI). Ver también, de la Sección Tercera. Sentencia de 22 de enero de 2002, expediente número 2001-0148-01 y, Sección Tercera. Sentencia de 20 de noviembre de 2001, expediente número 2001-0130-01(PI), entre otras.</w:t>
      </w:r>
    </w:p>
  </w:footnote>
  <w:footnote w:id="7">
    <w:p w14:paraId="18F8D80F" w14:textId="77777777" w:rsidR="00A6584F" w:rsidRPr="00F62D81" w:rsidRDefault="00A6584F" w:rsidP="00A6584F">
      <w:pPr>
        <w:pStyle w:val="Textonotapie"/>
        <w:ind w:firstLine="709"/>
        <w:jc w:val="both"/>
        <w:rPr>
          <w:rFonts w:ascii="Verdana" w:hAnsi="Verdana" w:cs="Arial"/>
          <w:sz w:val="16"/>
          <w:szCs w:val="16"/>
        </w:rPr>
      </w:pPr>
      <w:r w:rsidRPr="00F62D81">
        <w:rPr>
          <w:rStyle w:val="Refdenotaalpie"/>
          <w:rFonts w:ascii="Verdana" w:hAnsi="Verdana" w:cs="Arial"/>
          <w:sz w:val="16"/>
          <w:szCs w:val="16"/>
        </w:rPr>
        <w:footnoteRef/>
      </w:r>
      <w:r w:rsidRPr="00F62D81">
        <w:rPr>
          <w:rFonts w:ascii="Verdana" w:hAnsi="Verdana" w:cs="Arial"/>
          <w:sz w:val="16"/>
          <w:szCs w:val="16"/>
        </w:rPr>
        <w:t xml:space="preserve"> Consejo de Estado, Sala de Consulta y Servicio Civil de fecha 24 de julio de 2013, radicado 2166, C. P. Álvaro Namén Vargas.  </w:t>
      </w:r>
    </w:p>
  </w:footnote>
  <w:footnote w:id="8">
    <w:p w14:paraId="1D85792A" w14:textId="77777777" w:rsidR="00A6584F" w:rsidRPr="00F62D81" w:rsidRDefault="00A6584F" w:rsidP="00A6584F">
      <w:pPr>
        <w:spacing w:after="0" w:line="240" w:lineRule="auto"/>
        <w:ind w:firstLine="709"/>
        <w:jc w:val="both"/>
        <w:rPr>
          <w:rFonts w:ascii="Verdana" w:eastAsia="Times New Roman" w:hAnsi="Verdana" w:cs="Arial"/>
          <w:sz w:val="16"/>
          <w:szCs w:val="16"/>
        </w:rPr>
      </w:pPr>
      <w:r w:rsidRPr="00F62D81">
        <w:rPr>
          <w:rStyle w:val="Refdenotaalpie"/>
          <w:rFonts w:ascii="Verdana" w:hAnsi="Verdana" w:cs="Arial"/>
          <w:sz w:val="16"/>
          <w:szCs w:val="16"/>
        </w:rPr>
        <w:footnoteRef/>
      </w:r>
      <w:r w:rsidRPr="00F62D81">
        <w:rPr>
          <w:rFonts w:ascii="Verdana" w:hAnsi="Verdana" w:cs="Arial"/>
          <w:sz w:val="16"/>
          <w:szCs w:val="16"/>
        </w:rPr>
        <w:t xml:space="preserve"> </w:t>
      </w:r>
      <w:r w:rsidRPr="00F62D81">
        <w:rPr>
          <w:rFonts w:ascii="Verdana" w:eastAsia="Calibri" w:hAnsi="Verdana" w:cs="Arial"/>
          <w:color w:val="000000"/>
          <w:sz w:val="16"/>
          <w:szCs w:val="16"/>
        </w:rPr>
        <w:t>“</w:t>
      </w:r>
      <w:r w:rsidRPr="00F62D81">
        <w:rPr>
          <w:rFonts w:ascii="Verdana" w:eastAsia="Times New Roman" w:hAnsi="Verdana" w:cs="Arial"/>
          <w:sz w:val="16"/>
          <w:szCs w:val="16"/>
        </w:rPr>
        <w:t>Artículo 33. Restricciones a la contratación pública. Durante los cuatro (4) meses anteriores a la elección presidencial y hasta la realización de la elección en la segunda vuelta, si fuere el caso, queda prohibida la contratación directa por parte de todos los entes del Estado.</w:t>
      </w:r>
    </w:p>
    <w:p w14:paraId="2485FF33" w14:textId="77777777" w:rsidR="00A6584F" w:rsidRPr="00F62D81" w:rsidRDefault="00A6584F" w:rsidP="00A6584F">
      <w:pPr>
        <w:spacing w:after="0" w:line="240" w:lineRule="auto"/>
        <w:ind w:firstLine="709"/>
        <w:jc w:val="both"/>
        <w:rPr>
          <w:rFonts w:ascii="Verdana" w:eastAsia="Times New Roman" w:hAnsi="Verdana" w:cs="Arial"/>
          <w:sz w:val="16"/>
          <w:szCs w:val="16"/>
        </w:rPr>
      </w:pPr>
      <w:r w:rsidRPr="00F62D81">
        <w:rPr>
          <w:rFonts w:ascii="Verdana" w:eastAsia="Times New Roman" w:hAnsi="Verdana" w:cs="Arial"/>
          <w:sz w:val="16"/>
          <w:szCs w:val="16"/>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F62D81">
        <w:rPr>
          <w:rFonts w:ascii="Verdana" w:eastAsia="Calibri" w:hAnsi="Verdana" w:cs="Arial"/>
          <w:color w:val="000000"/>
          <w:sz w:val="16"/>
          <w:szCs w:val="16"/>
        </w:rPr>
        <w:t>”</w:t>
      </w:r>
      <w:r w:rsidRPr="00F62D81">
        <w:rPr>
          <w:rFonts w:ascii="Verdana" w:eastAsia="Times New Roman" w:hAnsi="Verdana" w:cs="Arial"/>
          <w:sz w:val="16"/>
          <w:szCs w:val="16"/>
        </w:rPr>
        <w:t>.</w:t>
      </w:r>
    </w:p>
  </w:footnote>
  <w:footnote w:id="9">
    <w:p w14:paraId="439C112F" w14:textId="77777777" w:rsidR="00A6584F" w:rsidRPr="00F62D81" w:rsidRDefault="00A6584F" w:rsidP="00A6584F">
      <w:pPr>
        <w:pStyle w:val="NormalWeb"/>
        <w:spacing w:before="0" w:beforeAutospacing="0" w:after="0" w:afterAutospacing="0"/>
        <w:ind w:firstLine="709"/>
        <w:jc w:val="both"/>
        <w:rPr>
          <w:rFonts w:ascii="Verdana" w:hAnsi="Verdana" w:cs="Arial"/>
          <w:sz w:val="16"/>
          <w:szCs w:val="16"/>
          <w:lang w:val="es-MX"/>
        </w:rPr>
      </w:pPr>
      <w:r w:rsidRPr="00F62D81">
        <w:rPr>
          <w:rStyle w:val="Refdenotaalpie"/>
          <w:rFonts w:ascii="Verdana" w:hAnsi="Verdana" w:cs="Arial"/>
          <w:sz w:val="16"/>
          <w:szCs w:val="16"/>
        </w:rPr>
        <w:footnoteRef/>
      </w:r>
      <w:r w:rsidRPr="00F62D81">
        <w:rPr>
          <w:rFonts w:ascii="Verdana" w:hAnsi="Verdana" w:cs="Arial"/>
          <w:sz w:val="16"/>
          <w:szCs w:val="16"/>
        </w:rPr>
        <w:t xml:space="preserve"> </w:t>
      </w:r>
      <w:r w:rsidRPr="00F62D81">
        <w:rPr>
          <w:rFonts w:ascii="Verdana" w:eastAsia="Calibri" w:hAnsi="Verdana" w:cs="Arial"/>
          <w:color w:val="000000"/>
          <w:sz w:val="16"/>
          <w:szCs w:val="16"/>
        </w:rPr>
        <w:t>“</w:t>
      </w:r>
      <w:r w:rsidRPr="00F62D81">
        <w:rPr>
          <w:rFonts w:ascii="Verdana" w:hAnsi="Verdana" w:cs="Arial"/>
          <w:sz w:val="16"/>
          <w:szCs w:val="16"/>
          <w:lang w:val="es-MX"/>
        </w:rPr>
        <w:t>Artículo 38. Prohibiciones para los servidores públicos. A los empleados del Estado les está prohibido: […]</w:t>
      </w:r>
    </w:p>
    <w:p w14:paraId="554C00C1" w14:textId="77777777" w:rsidR="00A6584F" w:rsidRPr="00F62D81" w:rsidRDefault="00A6584F" w:rsidP="00A6584F">
      <w:pPr>
        <w:pStyle w:val="NormalWeb"/>
        <w:spacing w:before="0" w:beforeAutospacing="0" w:after="0" w:afterAutospacing="0"/>
        <w:ind w:firstLine="709"/>
        <w:jc w:val="both"/>
        <w:rPr>
          <w:rFonts w:ascii="Verdana" w:hAnsi="Verdana" w:cs="Arial"/>
          <w:sz w:val="16"/>
          <w:szCs w:val="16"/>
          <w:lang w:val="es-MX"/>
        </w:rPr>
      </w:pPr>
      <w:r w:rsidRPr="00F62D81">
        <w:rPr>
          <w:rStyle w:val="baj"/>
          <w:rFonts w:ascii="Verdana" w:hAnsi="Verdana" w:cs="Arial"/>
          <w:sz w:val="16"/>
          <w:szCs w:val="16"/>
          <w:lang w:val="es-MX"/>
        </w:rPr>
        <w:t>Parágrafo.</w:t>
      </w:r>
      <w:r w:rsidRPr="00F62D81">
        <w:rPr>
          <w:rFonts w:ascii="Verdana" w:hAnsi="Verdana" w:cs="Arial"/>
          <w:sz w:val="16"/>
          <w:szCs w:val="16"/>
          <w:lang w:val="es-MX"/>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F62D81">
        <w:rPr>
          <w:rFonts w:ascii="Verdana" w:eastAsia="Calibri" w:hAnsi="Verdana" w:cs="Arial"/>
          <w:color w:val="000000"/>
          <w:sz w:val="16"/>
          <w:szCs w:val="16"/>
        </w:rPr>
        <w:t>”</w:t>
      </w:r>
      <w:r w:rsidRPr="00F62D81">
        <w:rPr>
          <w:rFonts w:ascii="Verdana" w:hAnsi="Verdana" w:cs="Arial"/>
          <w:sz w:val="16"/>
          <w:szCs w:val="16"/>
          <w:lang w:val="es-MX"/>
        </w:rPr>
        <w:t>.</w:t>
      </w:r>
    </w:p>
  </w:footnote>
  <w:footnote w:id="10">
    <w:p w14:paraId="5FC5CD4B" w14:textId="77777777" w:rsidR="00A6584F" w:rsidRPr="00F62D81" w:rsidRDefault="00A6584F" w:rsidP="00A6584F">
      <w:pPr>
        <w:pStyle w:val="Textonotapie"/>
        <w:ind w:firstLine="708"/>
        <w:jc w:val="both"/>
        <w:rPr>
          <w:rFonts w:ascii="Verdana" w:hAnsi="Verdana" w:cs="Arial"/>
          <w:sz w:val="16"/>
          <w:szCs w:val="16"/>
        </w:rPr>
      </w:pPr>
      <w:r w:rsidRPr="00F62D81">
        <w:rPr>
          <w:rStyle w:val="Refdenotaalpie"/>
          <w:rFonts w:ascii="Verdana" w:hAnsi="Verdana" w:cs="Arial"/>
          <w:sz w:val="16"/>
          <w:szCs w:val="16"/>
        </w:rPr>
        <w:footnoteRef/>
      </w:r>
      <w:r w:rsidRPr="00F62D81">
        <w:rPr>
          <w:rFonts w:ascii="Verdana" w:hAnsi="Verdana" w:cs="Arial"/>
          <w:sz w:val="16"/>
          <w:szCs w:val="16"/>
        </w:rPr>
        <w:t xml:space="preserve"> Colombia Compra Eficiente. Circular Externa Única. Numeral 16.5. </w:t>
      </w:r>
    </w:p>
  </w:footnote>
  <w:footnote w:id="11">
    <w:p w14:paraId="4261A6A4" w14:textId="77777777" w:rsidR="00A6584F" w:rsidRPr="00F62D81" w:rsidRDefault="00A6584F" w:rsidP="00A6584F">
      <w:pPr>
        <w:spacing w:after="0" w:line="240" w:lineRule="auto"/>
        <w:ind w:left="100" w:right="244" w:firstLine="608"/>
        <w:jc w:val="both"/>
        <w:rPr>
          <w:rFonts w:ascii="Verdana" w:hAnsi="Verdana" w:cs="Arial"/>
          <w:sz w:val="16"/>
          <w:szCs w:val="16"/>
          <w:lang w:val="es-ES"/>
        </w:rPr>
      </w:pPr>
      <w:r w:rsidRPr="00F62D81">
        <w:rPr>
          <w:rStyle w:val="Refdenotaalpie"/>
          <w:rFonts w:ascii="Verdana" w:hAnsi="Verdana" w:cs="Arial"/>
          <w:sz w:val="16"/>
          <w:szCs w:val="16"/>
        </w:rPr>
        <w:footnoteRef/>
      </w:r>
      <w:r w:rsidRPr="00F62D81">
        <w:rPr>
          <w:rFonts w:ascii="Verdana" w:hAnsi="Verdana" w:cs="Arial"/>
          <w:sz w:val="16"/>
          <w:szCs w:val="16"/>
        </w:rPr>
        <w:t xml:space="preserve"> Consejo de Estado. Sala de Consulta y Servicio Civil. Concepto del 17 de febrero de 2015. C.P. William Zambrano Cetina. Radicación No. 11001-03-06-000-2015-00164-00(2269).</w:t>
      </w:r>
    </w:p>
  </w:footnote>
  <w:footnote w:id="12">
    <w:p w14:paraId="3742A6BD" w14:textId="77777777" w:rsidR="00A6584F" w:rsidRPr="00F62D81" w:rsidRDefault="00A6584F" w:rsidP="00A6584F">
      <w:pPr>
        <w:pStyle w:val="Textonotapie"/>
        <w:ind w:right="51" w:firstLine="709"/>
        <w:jc w:val="both"/>
        <w:rPr>
          <w:rFonts w:ascii="Verdana" w:hAnsi="Verdana" w:cs="Arial"/>
          <w:sz w:val="16"/>
          <w:szCs w:val="16"/>
        </w:rPr>
      </w:pPr>
      <w:r w:rsidRPr="00F62D81">
        <w:rPr>
          <w:rStyle w:val="Refdenotaalpie"/>
          <w:rFonts w:ascii="Verdana" w:hAnsi="Verdana" w:cs="Arial"/>
          <w:sz w:val="16"/>
          <w:szCs w:val="16"/>
        </w:rPr>
        <w:footnoteRef/>
      </w:r>
      <w:r w:rsidRPr="00F62D81">
        <w:rPr>
          <w:rFonts w:ascii="Verdana" w:hAnsi="Verdana" w:cs="Arial"/>
          <w:sz w:val="16"/>
          <w:szCs w:val="16"/>
        </w:rPr>
        <w:t xml:space="preserve"> “</w:t>
      </w:r>
      <w:r w:rsidRPr="00F62D81">
        <w:rPr>
          <w:rFonts w:ascii="Verdana" w:hAnsi="Verdana" w:cs="Arial"/>
          <w:sz w:val="16"/>
          <w:szCs w:val="16"/>
          <w:lang w:val="es-ES"/>
        </w:rPr>
        <w:t xml:space="preserve">[25] </w:t>
      </w:r>
      <w:r w:rsidRPr="00F62D81">
        <w:rPr>
          <w:rFonts w:ascii="Verdana" w:hAnsi="Verdana" w:cs="Arial"/>
          <w:sz w:val="16"/>
          <w:szCs w:val="16"/>
        </w:rPr>
        <w:t>Cfr. Consejo de Estado. Sección Tercera. Sentencia de 3 de diciembre de 2007. Radicados: 24.715, 25.206, 25.409, 24.524, 27.834, 25.410, 26.105, 28.244, 31.447 -acumulados-“.</w:t>
      </w:r>
    </w:p>
  </w:footnote>
  <w:footnote w:id="13">
    <w:p w14:paraId="13036D3D" w14:textId="77777777" w:rsidR="00A6584F" w:rsidRPr="00F62D81" w:rsidRDefault="00A6584F" w:rsidP="00A6584F">
      <w:pPr>
        <w:pStyle w:val="Textonotapie"/>
        <w:ind w:right="51" w:firstLine="709"/>
        <w:jc w:val="both"/>
        <w:rPr>
          <w:rFonts w:ascii="Verdana" w:hAnsi="Verdana" w:cs="Arial"/>
          <w:sz w:val="16"/>
          <w:szCs w:val="16"/>
        </w:rPr>
      </w:pPr>
      <w:r w:rsidRPr="00F62D81">
        <w:rPr>
          <w:rStyle w:val="Refdenotaalpie"/>
          <w:rFonts w:ascii="Verdana" w:hAnsi="Verdana" w:cs="Arial"/>
          <w:sz w:val="16"/>
          <w:szCs w:val="16"/>
        </w:rPr>
        <w:footnoteRef/>
      </w:r>
      <w:r w:rsidRPr="00F62D81">
        <w:rPr>
          <w:rFonts w:ascii="Verdana" w:hAnsi="Verdana" w:cs="Arial"/>
          <w:sz w:val="16"/>
          <w:szCs w:val="16"/>
        </w:rPr>
        <w:t xml:space="preserve"> “</w:t>
      </w:r>
      <w:r w:rsidRPr="00F62D81">
        <w:rPr>
          <w:rFonts w:ascii="Verdana" w:hAnsi="Verdana" w:cs="Arial"/>
          <w:sz w:val="16"/>
          <w:szCs w:val="16"/>
          <w:lang w:val="es-ES"/>
        </w:rPr>
        <w:t xml:space="preserve">[26] </w:t>
      </w:r>
      <w:r w:rsidRPr="00F62D81">
        <w:rPr>
          <w:rFonts w:ascii="Verdana" w:hAnsi="Verdana" w:cs="Arial"/>
          <w:sz w:val="16"/>
          <w:szCs w:val="16"/>
        </w:rPr>
        <w:t>Al respecto ver el concepto 1712 de 2 de febrero de 2006. Consejo de Estado Sala de Consulta y Servicio Civil”.</w:t>
      </w:r>
    </w:p>
  </w:footnote>
  <w:footnote w:id="14">
    <w:p w14:paraId="05828911" w14:textId="77777777" w:rsidR="00A6584F" w:rsidRPr="00F62D81" w:rsidRDefault="00A6584F" w:rsidP="00A6584F">
      <w:pPr>
        <w:pStyle w:val="Textonotapie"/>
        <w:ind w:firstLine="709"/>
        <w:jc w:val="both"/>
        <w:rPr>
          <w:rFonts w:ascii="Verdana" w:hAnsi="Verdana" w:cs="Arial"/>
          <w:sz w:val="16"/>
          <w:szCs w:val="16"/>
        </w:rPr>
      </w:pPr>
      <w:r w:rsidRPr="00F62D81">
        <w:rPr>
          <w:rStyle w:val="Refdenotaalpie"/>
          <w:rFonts w:ascii="Verdana" w:hAnsi="Verdana" w:cs="Arial"/>
          <w:sz w:val="16"/>
          <w:szCs w:val="16"/>
        </w:rPr>
        <w:footnoteRef/>
      </w:r>
      <w:r w:rsidRPr="00F62D81">
        <w:rPr>
          <w:rFonts w:ascii="Verdana" w:hAnsi="Verdana" w:cs="Arial"/>
          <w:sz w:val="16"/>
          <w:szCs w:val="16"/>
        </w:rPr>
        <w:t xml:space="preserve"> Consejo de Estado. Sala de Consulta y Servicio Civil. Concepto del 2 de septiembre de 2013. Radicación número: 11001-03-06-000-2013-00412-00 (2168). Consejero Ponente: Álvaro Namén Vargas.</w:t>
      </w:r>
    </w:p>
  </w:footnote>
  <w:footnote w:id="15">
    <w:p w14:paraId="7BD104B9" w14:textId="77777777" w:rsidR="00A6584F" w:rsidRPr="00F62D81" w:rsidRDefault="00A6584F" w:rsidP="00A6584F">
      <w:pPr>
        <w:pStyle w:val="Textonotapie"/>
        <w:ind w:firstLine="709"/>
        <w:jc w:val="both"/>
        <w:rPr>
          <w:rFonts w:ascii="Verdana" w:hAnsi="Verdana" w:cs="Arial"/>
          <w:sz w:val="16"/>
          <w:szCs w:val="16"/>
          <w:lang w:val="es-ES"/>
        </w:rPr>
      </w:pPr>
      <w:r w:rsidRPr="00F62D81">
        <w:rPr>
          <w:rStyle w:val="Refdenotaalpie"/>
          <w:rFonts w:ascii="Verdana" w:hAnsi="Verdana" w:cs="Arial"/>
          <w:sz w:val="16"/>
          <w:szCs w:val="16"/>
        </w:rPr>
        <w:footnoteRef/>
      </w:r>
      <w:r w:rsidRPr="00F62D81">
        <w:rPr>
          <w:rFonts w:ascii="Verdana" w:hAnsi="Verdana" w:cs="Arial"/>
          <w:sz w:val="16"/>
          <w:szCs w:val="16"/>
        </w:rPr>
        <w:t xml:space="preserve"> </w:t>
      </w:r>
      <w:r w:rsidRPr="00F62D81">
        <w:rPr>
          <w:rFonts w:ascii="Verdana" w:hAnsi="Verdana" w:cs="Arial"/>
          <w:sz w:val="16"/>
          <w:szCs w:val="16"/>
          <w:lang w:val="es-ES"/>
        </w:rPr>
        <w:t xml:space="preserve">Artículo 2. </w:t>
      </w:r>
    </w:p>
  </w:footnote>
  <w:footnote w:id="16">
    <w:p w14:paraId="1CAF2C37" w14:textId="77777777" w:rsidR="00A6584F" w:rsidRPr="00F62D81" w:rsidRDefault="00A6584F" w:rsidP="00A6584F">
      <w:pPr>
        <w:pStyle w:val="Textonotapie"/>
        <w:ind w:firstLine="709"/>
        <w:jc w:val="both"/>
        <w:rPr>
          <w:rFonts w:ascii="Verdana" w:hAnsi="Verdana" w:cs="Arial"/>
          <w:sz w:val="16"/>
          <w:szCs w:val="16"/>
          <w:lang w:val="es-ES"/>
        </w:rPr>
      </w:pPr>
      <w:r w:rsidRPr="00F62D81">
        <w:rPr>
          <w:rStyle w:val="Refdenotaalpie"/>
          <w:rFonts w:ascii="Verdana" w:hAnsi="Verdana" w:cs="Arial"/>
          <w:sz w:val="16"/>
          <w:szCs w:val="16"/>
        </w:rPr>
        <w:footnoteRef/>
      </w:r>
      <w:r w:rsidRPr="00F62D81">
        <w:rPr>
          <w:rFonts w:ascii="Verdana" w:hAnsi="Verdana" w:cs="Arial"/>
          <w:sz w:val="16"/>
          <w:szCs w:val="16"/>
        </w:rPr>
        <w:t xml:space="preserve"> </w:t>
      </w:r>
      <w:r w:rsidRPr="00F62D81">
        <w:rPr>
          <w:rFonts w:ascii="Verdana" w:hAnsi="Verdana" w:cs="Arial"/>
          <w:i/>
          <w:sz w:val="16"/>
          <w:szCs w:val="16"/>
          <w:lang w:val="es-ES"/>
        </w:rPr>
        <w:t>Ídem</w:t>
      </w:r>
      <w:r w:rsidRPr="00F62D81">
        <w:rPr>
          <w:rFonts w:ascii="Verdana" w:hAnsi="Verdana" w:cs="Arial"/>
          <w:sz w:val="16"/>
          <w:szCs w:val="16"/>
          <w:lang w:val="es-ES"/>
        </w:rPr>
        <w:t>.</w:t>
      </w:r>
    </w:p>
  </w:footnote>
  <w:footnote w:id="17">
    <w:p w14:paraId="073FE8F7" w14:textId="77777777" w:rsidR="00A6584F" w:rsidRPr="00F62D81" w:rsidRDefault="00A6584F" w:rsidP="00A6584F">
      <w:pPr>
        <w:pStyle w:val="Textonotapie"/>
        <w:ind w:firstLine="709"/>
        <w:jc w:val="both"/>
        <w:rPr>
          <w:rFonts w:ascii="Verdana" w:hAnsi="Verdana" w:cs="Arial"/>
          <w:sz w:val="16"/>
          <w:szCs w:val="16"/>
          <w:lang w:val="es-ES"/>
        </w:rPr>
      </w:pPr>
      <w:r w:rsidRPr="00F62D81">
        <w:rPr>
          <w:rStyle w:val="Refdenotaalpie"/>
          <w:rFonts w:ascii="Verdana" w:hAnsi="Verdana" w:cs="Arial"/>
          <w:sz w:val="16"/>
          <w:szCs w:val="16"/>
        </w:rPr>
        <w:footnoteRef/>
      </w:r>
      <w:r w:rsidRPr="00F62D81">
        <w:rPr>
          <w:rStyle w:val="Refdenotaalpie"/>
          <w:rFonts w:ascii="Verdana" w:hAnsi="Verdana" w:cs="Arial"/>
          <w:sz w:val="16"/>
          <w:szCs w:val="16"/>
        </w:rPr>
        <w:t xml:space="preserve"> </w:t>
      </w:r>
      <w:r w:rsidRPr="00F62D81">
        <w:rPr>
          <w:rFonts w:ascii="Verdana" w:hAnsi="Verdana" w:cs="Arial"/>
          <w:sz w:val="16"/>
          <w:szCs w:val="16"/>
          <w:lang w:val="es-ES"/>
        </w:rPr>
        <w:t xml:space="preserve">“[…] A este respecto, cabe recordar que el artículo 860 del Código de Comercio regula la licitación en el derecho privado”. </w:t>
      </w:r>
    </w:p>
  </w:footnote>
  <w:footnote w:id="18">
    <w:p w14:paraId="39D8FAF0" w14:textId="77777777" w:rsidR="00A6584F" w:rsidRPr="00F62D81" w:rsidRDefault="00A6584F" w:rsidP="00A6584F">
      <w:pPr>
        <w:shd w:val="clear" w:color="auto" w:fill="FFFFFF"/>
        <w:spacing w:after="0" w:line="240" w:lineRule="auto"/>
        <w:ind w:firstLine="709"/>
        <w:jc w:val="both"/>
        <w:rPr>
          <w:rFonts w:ascii="Verdana" w:hAnsi="Verdana" w:cs="Arial"/>
          <w:sz w:val="16"/>
          <w:szCs w:val="16"/>
          <w:lang w:val="es-ES"/>
        </w:rPr>
      </w:pPr>
      <w:r w:rsidRPr="00F62D81">
        <w:rPr>
          <w:rStyle w:val="Refdenotaalpie"/>
          <w:rFonts w:ascii="Verdana" w:hAnsi="Verdana" w:cs="Arial"/>
          <w:sz w:val="16"/>
          <w:szCs w:val="16"/>
        </w:rPr>
        <w:footnoteRef/>
      </w:r>
      <w:r w:rsidRPr="00F62D81">
        <w:rPr>
          <w:rStyle w:val="Refdenotaalpie"/>
          <w:rFonts w:ascii="Verdana" w:hAnsi="Verdana" w:cs="Arial"/>
          <w:sz w:val="16"/>
          <w:szCs w:val="16"/>
        </w:rPr>
        <w:t xml:space="preserve"> </w:t>
      </w:r>
      <w:r w:rsidRPr="00F62D81">
        <w:rPr>
          <w:rFonts w:ascii="Verdana" w:hAnsi="Verdana" w:cs="Arial"/>
          <w:sz w:val="16"/>
          <w:szCs w:val="16"/>
          <w:lang w:val="es-ES"/>
        </w:rPr>
        <w:t>Consejo de Estado. Sala de Consulta y Servicio Civil, Concepto de 8 de mayo de 2018. Radicación Número: 11001-03-06-000-2018-00095-00(2382). C.P. Álvaro Namén Vargas.</w:t>
      </w:r>
    </w:p>
  </w:footnote>
  <w:footnote w:id="19">
    <w:p w14:paraId="541F8D4C" w14:textId="77777777" w:rsidR="00A6584F" w:rsidRPr="00F62D81" w:rsidRDefault="00A6584F" w:rsidP="00A6584F">
      <w:pPr>
        <w:pStyle w:val="Textonotapie"/>
        <w:ind w:firstLine="709"/>
        <w:jc w:val="both"/>
        <w:rPr>
          <w:rFonts w:ascii="Verdana" w:hAnsi="Verdana" w:cs="Arial"/>
          <w:sz w:val="16"/>
          <w:szCs w:val="16"/>
        </w:rPr>
      </w:pPr>
      <w:r w:rsidRPr="00F62D81">
        <w:rPr>
          <w:rStyle w:val="Refdenotaalpie"/>
          <w:rFonts w:ascii="Verdana" w:hAnsi="Verdana" w:cs="Arial"/>
          <w:sz w:val="16"/>
          <w:szCs w:val="16"/>
        </w:rPr>
        <w:footnoteRef/>
      </w:r>
      <w:r w:rsidRPr="00F62D81">
        <w:rPr>
          <w:rFonts w:ascii="Verdana" w:hAnsi="Verdana" w:cs="Arial"/>
          <w:sz w:val="16"/>
          <w:szCs w:val="16"/>
        </w:rPr>
        <w:t xml:space="preserve"> Consejo de Estado. Sala de Consulta y Servicio Civil. Concepto del 08 de mayo de 2018. Exp. 2.382. C.P. Álvaro Namén Vargas.</w:t>
      </w:r>
    </w:p>
  </w:footnote>
  <w:footnote w:id="20">
    <w:p w14:paraId="597C7AB8" w14:textId="77777777" w:rsidR="00A6584F" w:rsidRPr="00F62D81" w:rsidRDefault="00A6584F" w:rsidP="00A6584F">
      <w:pPr>
        <w:pStyle w:val="Textonotapie"/>
        <w:ind w:firstLine="709"/>
        <w:jc w:val="both"/>
        <w:rPr>
          <w:rFonts w:ascii="Verdana" w:hAnsi="Verdana" w:cs="Arial"/>
          <w:sz w:val="16"/>
          <w:szCs w:val="16"/>
        </w:rPr>
      </w:pPr>
      <w:r w:rsidRPr="00F62D81">
        <w:rPr>
          <w:rStyle w:val="Refdenotaalpie"/>
          <w:rFonts w:ascii="Verdana" w:hAnsi="Verdana" w:cs="Arial"/>
          <w:sz w:val="16"/>
          <w:szCs w:val="16"/>
        </w:rPr>
        <w:footnoteRef/>
      </w:r>
      <w:r w:rsidRPr="00F62D81">
        <w:rPr>
          <w:rFonts w:ascii="Verdana" w:hAnsi="Verdana" w:cs="Arial"/>
          <w:sz w:val="16"/>
          <w:szCs w:val="16"/>
        </w:rPr>
        <w:t xml:space="preserve"> La Corte Constitucional mediante Sentencia C-1153-05 de 11 de noviembre de 2005, Magistrado Ponente Marco Gerardo Monroy Cabra, efectuó el Control constitucional al Proyecto de Ley Estatutaria N° 216/05 Senado, N° 235-Cámara que dio lugar a la Ley de Garantías Electorales.</w:t>
      </w:r>
    </w:p>
  </w:footnote>
  <w:footnote w:id="21">
    <w:p w14:paraId="177CC415" w14:textId="77777777" w:rsidR="00A6584F" w:rsidRPr="00F62D81" w:rsidRDefault="00A6584F" w:rsidP="00A6584F">
      <w:pPr>
        <w:spacing w:after="0" w:line="240" w:lineRule="auto"/>
        <w:ind w:firstLine="709"/>
        <w:jc w:val="both"/>
        <w:rPr>
          <w:rFonts w:ascii="Verdana" w:hAnsi="Verdana" w:cs="Arial"/>
          <w:sz w:val="16"/>
          <w:szCs w:val="16"/>
        </w:rPr>
      </w:pPr>
      <w:r w:rsidRPr="00F62D81">
        <w:rPr>
          <w:rStyle w:val="Refdenotaalpie"/>
          <w:rFonts w:ascii="Verdana" w:hAnsi="Verdana" w:cs="Arial"/>
          <w:sz w:val="16"/>
          <w:szCs w:val="16"/>
        </w:rPr>
        <w:footnoteRef/>
      </w:r>
      <w:r w:rsidRPr="00F62D81">
        <w:rPr>
          <w:rFonts w:ascii="Verdana" w:hAnsi="Verdana" w:cs="Arial"/>
          <w:sz w:val="16"/>
          <w:szCs w:val="16"/>
        </w:rPr>
        <w:t xml:space="preserve"> Consejo de Estado. Sala de Consulta y Servicio Civil. Concepto de 20 de febrero de 2006. Radicación Número: 11001-03-06-000-2006-00026-00 (1727). C.P. Enrique José Arboleda Perdomo. Conceptuó que para las entidades que contratan por el derecho privado, estaba prohibida la contratación diferente de la licitación pública regulada por el código de comercio, criterio que luego se extendió para aquellos procesos que, en algunos sistemas de contratación utilizados por entidades públicas con regímenes especiales y establecidos en sus manuales de contratación, utilicen convocatoria de manera pública y se permita la participación de una pluralidad de oferentes.</w:t>
      </w:r>
    </w:p>
  </w:footnote>
  <w:footnote w:id="22">
    <w:p w14:paraId="287B07F0" w14:textId="77777777" w:rsidR="00A6584F" w:rsidRPr="00F62D81" w:rsidRDefault="00A6584F" w:rsidP="00A6584F">
      <w:pPr>
        <w:pStyle w:val="Textonotapie"/>
        <w:ind w:right="51" w:firstLine="709"/>
        <w:jc w:val="both"/>
        <w:rPr>
          <w:rFonts w:ascii="Verdana" w:eastAsia="Times New Roman" w:hAnsi="Verdana" w:cs="Arial"/>
          <w:bCs/>
          <w:sz w:val="16"/>
          <w:szCs w:val="16"/>
          <w:lang w:eastAsia="x-none"/>
        </w:rPr>
      </w:pPr>
      <w:r w:rsidRPr="00F62D81">
        <w:rPr>
          <w:rStyle w:val="Refdenotaalpie"/>
          <w:rFonts w:ascii="Verdana" w:hAnsi="Verdana" w:cs="Arial"/>
          <w:sz w:val="16"/>
          <w:szCs w:val="16"/>
        </w:rPr>
        <w:footnoteRef/>
      </w:r>
      <w:r w:rsidRPr="00F62D81">
        <w:rPr>
          <w:rFonts w:ascii="Verdana" w:hAnsi="Verdana" w:cs="Arial"/>
          <w:sz w:val="16"/>
          <w:szCs w:val="16"/>
        </w:rPr>
        <w:t xml:space="preserve"> Consejo de Estado. Sala de Consulta y Servicio Civil. Concepto de 6 de abril de 2006. Radicación Número: 11001-03-06-000-2006-00038-00 (1738). C.P. Enrique José Arboleda Perdomo:</w:t>
      </w:r>
      <w:r w:rsidRPr="00F62D81">
        <w:rPr>
          <w:rFonts w:ascii="Verdana" w:eastAsia="Times New Roman" w:hAnsi="Verdana" w:cs="Arial"/>
          <w:bCs/>
          <w:sz w:val="16"/>
          <w:szCs w:val="16"/>
          <w:lang w:eastAsia="x-none"/>
        </w:rPr>
        <w:t xml:space="preserve"> “</w:t>
      </w:r>
      <w:r w:rsidRPr="00F62D81">
        <w:rPr>
          <w:rFonts w:ascii="Verdana" w:hAnsi="Verdana" w:cs="Arial"/>
          <w:sz w:val="16"/>
          <w:szCs w:val="16"/>
        </w:rPr>
        <w:t>Si bien en el tema del concepto del que se extractaron los párrafos transcritos, se hacía referencia a las empresas de servicios públicos domiciliarios mixtas, la explicación dada cobija también a las empresas industriales y comerciales del estado y a las de crédito, pues todas ellas hacen parte de la definición de administración pública de la ley 489 de 1998, y además encajan dentro de la noción de todos los entes del Estado que trae la ley 996 de 2005 en el artículo 33, de manera que no es lógico pretender exonerarse de ésta prohibición alegando un régimen especial de los actos o contratos</w:t>
      </w:r>
      <w:r w:rsidRPr="00F62D81">
        <w:rPr>
          <w:rFonts w:ascii="Verdana" w:eastAsia="Times New Roman" w:hAnsi="Verdana" w:cs="Arial"/>
          <w:bCs/>
          <w:sz w:val="16"/>
          <w:szCs w:val="16"/>
          <w:lang w:eastAsia="x-none"/>
        </w:rPr>
        <w:t>”.</w:t>
      </w:r>
    </w:p>
  </w:footnote>
  <w:footnote w:id="23">
    <w:p w14:paraId="12EC3F68" w14:textId="77777777" w:rsidR="00A6584F" w:rsidRPr="00F62D81" w:rsidRDefault="00A6584F" w:rsidP="00A6584F">
      <w:pPr>
        <w:spacing w:after="0" w:line="240" w:lineRule="auto"/>
        <w:ind w:firstLine="708"/>
        <w:jc w:val="both"/>
        <w:rPr>
          <w:rFonts w:ascii="Verdana" w:hAnsi="Verdana" w:cs="Arial"/>
          <w:sz w:val="16"/>
          <w:szCs w:val="16"/>
        </w:rPr>
      </w:pPr>
      <w:r w:rsidRPr="00F62D81">
        <w:rPr>
          <w:rStyle w:val="Refdenotaalpie"/>
          <w:rFonts w:ascii="Verdana" w:hAnsi="Verdana" w:cs="Arial"/>
          <w:sz w:val="16"/>
          <w:szCs w:val="16"/>
        </w:rPr>
        <w:footnoteRef/>
      </w:r>
      <w:r w:rsidRPr="00F62D81">
        <w:rPr>
          <w:rFonts w:ascii="Verdana" w:hAnsi="Verdana" w:cs="Arial"/>
          <w:sz w:val="16"/>
          <w:szCs w:val="16"/>
        </w:rPr>
        <w:t xml:space="preserve"> Consejo de Estado. Sala de Consulta y Servicio Civil. Concepto de 6 de abril de 2006. Radicación Número: 11001-03-06-000-2006-00038-00(1738). Consejero Ponente: Enrique José Arboleda Perdomo. </w:t>
      </w:r>
    </w:p>
  </w:footnote>
  <w:footnote w:id="24">
    <w:p w14:paraId="0C493B9F" w14:textId="77777777" w:rsidR="00A6584F" w:rsidRPr="00F62D81" w:rsidRDefault="00A6584F" w:rsidP="00A6584F">
      <w:pPr>
        <w:pStyle w:val="Textonotapie"/>
        <w:ind w:right="51" w:firstLine="709"/>
        <w:jc w:val="both"/>
        <w:rPr>
          <w:rFonts w:ascii="Verdana" w:hAnsi="Verdana" w:cs="Arial"/>
          <w:sz w:val="16"/>
          <w:szCs w:val="16"/>
        </w:rPr>
      </w:pPr>
      <w:r w:rsidRPr="00F62D81">
        <w:rPr>
          <w:rStyle w:val="Refdenotaalpie"/>
          <w:rFonts w:ascii="Verdana" w:hAnsi="Verdana" w:cs="Arial"/>
          <w:sz w:val="16"/>
          <w:szCs w:val="16"/>
        </w:rPr>
        <w:footnoteRef/>
      </w:r>
      <w:r w:rsidRPr="00F62D81">
        <w:rPr>
          <w:rFonts w:ascii="Verdana" w:hAnsi="Verdana" w:cs="Arial"/>
          <w:sz w:val="16"/>
          <w:szCs w:val="16"/>
        </w:rPr>
        <w:t xml:space="preserve"> Consejo de Estado. Sala de Consulta y Servicio Civil. Concepto del 20 de febrero de 2006. Rad. 1727. C.P. Enrique José Arboleda Perdomo. </w:t>
      </w:r>
    </w:p>
  </w:footnote>
  <w:footnote w:id="25">
    <w:p w14:paraId="7080F722" w14:textId="77777777" w:rsidR="00A6584F" w:rsidRPr="00F62D81" w:rsidRDefault="00A6584F" w:rsidP="00A6584F">
      <w:pPr>
        <w:pStyle w:val="Textonotapie"/>
        <w:ind w:firstLine="709"/>
        <w:rPr>
          <w:rFonts w:ascii="Verdana" w:hAnsi="Verdana"/>
          <w:sz w:val="16"/>
          <w:szCs w:val="16"/>
          <w:lang w:val="es-CO"/>
        </w:rPr>
      </w:pPr>
      <w:r w:rsidRPr="00F62D81">
        <w:rPr>
          <w:rStyle w:val="Refdenotaalpie"/>
          <w:rFonts w:ascii="Verdana" w:hAnsi="Verdana"/>
          <w:sz w:val="16"/>
          <w:szCs w:val="16"/>
        </w:rPr>
        <w:footnoteRef/>
      </w:r>
      <w:r w:rsidRPr="00F62D81">
        <w:rPr>
          <w:rFonts w:ascii="Verdana" w:hAnsi="Verdana"/>
          <w:sz w:val="16"/>
          <w:szCs w:val="16"/>
        </w:rPr>
        <w:t xml:space="preserve"> </w:t>
      </w:r>
      <w:r w:rsidRPr="00F62D81">
        <w:rPr>
          <w:rFonts w:ascii="Verdana" w:hAnsi="Verdana" w:cs="Arial"/>
          <w:sz w:val="16"/>
          <w:szCs w:val="16"/>
        </w:rPr>
        <w:t>Consejo de Estado. Sala de Consulta y Servicio Civil. Concepto de 6 de abril de 2006. Rad. 1738. C.P. Enrique José Arboleda Perdomo.</w:t>
      </w:r>
    </w:p>
  </w:footnote>
  <w:footnote w:id="26">
    <w:p w14:paraId="1E95D248" w14:textId="77777777" w:rsidR="00A6584F" w:rsidRPr="00F62D81" w:rsidRDefault="00A6584F" w:rsidP="00A6584F">
      <w:pPr>
        <w:pStyle w:val="Textonotapie"/>
        <w:ind w:firstLine="709"/>
        <w:contextualSpacing/>
        <w:jc w:val="both"/>
        <w:rPr>
          <w:rFonts w:ascii="Verdana" w:hAnsi="Verdana" w:cs="Arial"/>
          <w:sz w:val="16"/>
          <w:szCs w:val="16"/>
        </w:rPr>
      </w:pPr>
      <w:r w:rsidRPr="00F62D81">
        <w:rPr>
          <w:rStyle w:val="Refdenotaalpie"/>
          <w:rFonts w:ascii="Verdana" w:hAnsi="Verdana" w:cs="Arial"/>
          <w:sz w:val="16"/>
          <w:szCs w:val="16"/>
        </w:rPr>
        <w:footnoteRef/>
      </w:r>
      <w:r w:rsidRPr="00F62D81">
        <w:rPr>
          <w:rFonts w:ascii="Verdana" w:hAnsi="Verdana" w:cs="Arial"/>
          <w:sz w:val="16"/>
          <w:szCs w:val="16"/>
        </w:rPr>
        <w:t xml:space="preserve"> </w:t>
      </w:r>
      <w:bookmarkStart w:id="8" w:name="_Hlk192533196"/>
      <w:r w:rsidRPr="00F62D81">
        <w:rPr>
          <w:rFonts w:ascii="Verdana" w:hAnsi="Verdana" w:cs="Arial"/>
          <w:sz w:val="16"/>
          <w:szCs w:val="16"/>
        </w:rPr>
        <w:t>Consejo de Estado. Sala de Consulta y Servicio Civil. Concepto del 15 de noviembre de 2007. Rad. 1863. C.P.: Luis Fernando Álvarez Jaramillo.</w:t>
      </w:r>
      <w:bookmarkEnd w:id="8"/>
    </w:p>
  </w:footnote>
  <w:footnote w:id="27">
    <w:p w14:paraId="74B0E29A" w14:textId="77777777" w:rsidR="00A6584F" w:rsidRPr="00F62D81" w:rsidRDefault="00A6584F" w:rsidP="00A6584F">
      <w:pPr>
        <w:pStyle w:val="Textonotapie"/>
        <w:ind w:firstLine="708"/>
        <w:jc w:val="both"/>
        <w:rPr>
          <w:rFonts w:ascii="Verdana" w:hAnsi="Verdana" w:cs="Arial"/>
          <w:sz w:val="16"/>
          <w:szCs w:val="16"/>
        </w:rPr>
      </w:pPr>
      <w:r w:rsidRPr="00F62D81">
        <w:rPr>
          <w:rStyle w:val="Refdenotaalpie"/>
          <w:rFonts w:ascii="Verdana" w:hAnsi="Verdana" w:cs="Arial"/>
          <w:sz w:val="16"/>
          <w:szCs w:val="16"/>
        </w:rPr>
        <w:footnoteRef/>
      </w:r>
      <w:r w:rsidRPr="00F62D81">
        <w:rPr>
          <w:rFonts w:ascii="Verdana" w:hAnsi="Verdana" w:cs="Arial"/>
          <w:sz w:val="16"/>
          <w:szCs w:val="16"/>
        </w:rPr>
        <w:t xml:space="preserve"> Colombia Compra Eficiente. Circular Externa Única. Numeral 15.5.</w:t>
      </w:r>
    </w:p>
  </w:footnote>
  <w:footnote w:id="28">
    <w:p w14:paraId="40F234F7" w14:textId="77777777" w:rsidR="00A6584F" w:rsidRPr="00F62D81" w:rsidRDefault="00A6584F" w:rsidP="00A6584F">
      <w:pPr>
        <w:snapToGrid w:val="0"/>
        <w:spacing w:after="0" w:line="240" w:lineRule="auto"/>
        <w:ind w:firstLine="709"/>
        <w:contextualSpacing/>
        <w:jc w:val="both"/>
        <w:rPr>
          <w:rFonts w:ascii="Verdana" w:hAnsi="Verdana" w:cs="Arial"/>
          <w:color w:val="000000" w:themeColor="text1"/>
          <w:sz w:val="16"/>
          <w:szCs w:val="16"/>
        </w:rPr>
      </w:pPr>
      <w:r w:rsidRPr="00F62D81">
        <w:rPr>
          <w:rStyle w:val="Refdenotaalpie"/>
          <w:rFonts w:ascii="Verdana" w:hAnsi="Verdana" w:cs="Arial"/>
          <w:color w:val="000000" w:themeColor="text1"/>
          <w:sz w:val="16"/>
          <w:szCs w:val="16"/>
        </w:rPr>
        <w:footnoteRef/>
      </w:r>
      <w:r w:rsidRPr="00F62D81">
        <w:rPr>
          <w:rFonts w:ascii="Verdana" w:hAnsi="Verdana" w:cs="Arial"/>
          <w:color w:val="000000" w:themeColor="text1"/>
          <w:sz w:val="16"/>
          <w:szCs w:val="16"/>
        </w:rPr>
        <w:t xml:space="preserve"> Corte Constitucional. Sentencia C- 474 de 2005, M.P. Humberto Antonio Sierra Porto. Sentencia C - 428 de 1994. M.P. Antonio Barrera Carbonell.</w:t>
      </w:r>
    </w:p>
  </w:footnote>
  <w:footnote w:id="29">
    <w:p w14:paraId="26E6CDDC" w14:textId="77777777" w:rsidR="00A6584F" w:rsidRPr="00F62D81" w:rsidRDefault="00A6584F" w:rsidP="00A6584F">
      <w:pPr>
        <w:snapToGrid w:val="0"/>
        <w:spacing w:after="0" w:line="240" w:lineRule="auto"/>
        <w:ind w:firstLine="709"/>
        <w:contextualSpacing/>
        <w:jc w:val="both"/>
        <w:rPr>
          <w:rFonts w:ascii="Verdana" w:eastAsia="Times New Roman" w:hAnsi="Verdana" w:cs="Arial"/>
          <w:color w:val="000000" w:themeColor="text1"/>
          <w:sz w:val="16"/>
          <w:szCs w:val="16"/>
          <w:shd w:val="clear" w:color="auto" w:fill="FFFFFF"/>
          <w:lang w:eastAsia="es-ES_tradnl"/>
        </w:rPr>
      </w:pPr>
      <w:r w:rsidRPr="00F62D81">
        <w:rPr>
          <w:rStyle w:val="Refdenotaalpie"/>
          <w:rFonts w:ascii="Verdana" w:hAnsi="Verdana" w:cs="Arial"/>
          <w:color w:val="000000" w:themeColor="text1"/>
          <w:sz w:val="16"/>
          <w:szCs w:val="16"/>
        </w:rPr>
        <w:footnoteRef/>
      </w:r>
      <w:r w:rsidRPr="00F62D81">
        <w:rPr>
          <w:rFonts w:ascii="Verdana" w:hAnsi="Verdana" w:cs="Arial"/>
          <w:color w:val="000000" w:themeColor="text1"/>
          <w:sz w:val="16"/>
          <w:szCs w:val="16"/>
        </w:rPr>
        <w:t xml:space="preserve"> “</w:t>
      </w:r>
      <w:r w:rsidRPr="00F62D81">
        <w:rPr>
          <w:rFonts w:ascii="Verdana" w:eastAsia="Times New Roman" w:hAnsi="Verdana" w:cs="Arial"/>
          <w:color w:val="000000" w:themeColor="text1"/>
          <w:sz w:val="16"/>
          <w:szCs w:val="16"/>
          <w:shd w:val="clear" w:color="auto" w:fill="FFFFFF"/>
          <w:lang w:eastAsia="es-ES_tradnl"/>
        </w:rPr>
        <w:t>Por la cual se dictan normas sobre planes de desarrollo municipal, compraventa y expropiación de bienes y se dictan otras disposiciones”. En el Capítulo III se reguló específicamente la adquisición de bienes por enajenación voluntaria y por expropiación.</w:t>
      </w:r>
    </w:p>
    <w:p w14:paraId="7F743A7F" w14:textId="77777777" w:rsidR="00A6584F" w:rsidRPr="00F62D81" w:rsidRDefault="00A6584F" w:rsidP="00A6584F">
      <w:pPr>
        <w:snapToGrid w:val="0"/>
        <w:spacing w:after="0" w:line="240" w:lineRule="auto"/>
        <w:ind w:firstLine="709"/>
        <w:contextualSpacing/>
        <w:jc w:val="both"/>
        <w:rPr>
          <w:rFonts w:ascii="Verdana" w:eastAsia="Times New Roman" w:hAnsi="Verdana" w:cs="Arial"/>
          <w:color w:val="000000" w:themeColor="text1"/>
          <w:sz w:val="16"/>
          <w:szCs w:val="16"/>
          <w:lang w:eastAsia="es-ES_tradnl"/>
        </w:rPr>
      </w:pPr>
      <w:r w:rsidRPr="00F62D81">
        <w:rPr>
          <w:rFonts w:ascii="Verdana" w:eastAsia="Times New Roman" w:hAnsi="Verdana" w:cs="Arial"/>
          <w:color w:val="000000" w:themeColor="text1"/>
          <w:sz w:val="16"/>
          <w:szCs w:val="16"/>
          <w:lang w:eastAsia="es-ES_tradnl"/>
        </w:rPr>
        <w:t>Esta normativa se expidió con fundamento el acto legislativo 1 de 1936, que había modificado el artículo 30 de la Constitución Política de 1886, a cuyo tenor: “Artículo 30. Se garantizan la propiedad privada y los demás derechos adquiridos con justo título, con arreglo a las leyes civiles, por personas naturales o jurídicas, los cuales no pueden ser desconocidos ni vulnerados por leyes posteriores. Cuando de la aplicación de una ley expedida por motivos de utilidad pública o interés social, resultaren en conflicto los derechos de particulares con la necesidad reconocida por la misma ley, el interés privado deberá ceder ante el interés público o social. // La propiedad es una función social que implica obligaciones. // Por motivos de utilidad pública o de interés social definidos por el legislador, podrá haber expropiación, mediante sentencia judicial e indemnización previa. // Con todo, el legislador, por razones de equidad, podrá determinar los casos en que no haya lugar a indemnización, mediante el voto favorable de la mayoría absoluta de los miembros de una y otra Cámara”.</w:t>
      </w:r>
    </w:p>
  </w:footnote>
  <w:footnote w:id="30">
    <w:p w14:paraId="28F52894" w14:textId="77777777" w:rsidR="00A6584F" w:rsidRPr="00F62D81" w:rsidRDefault="00A6584F" w:rsidP="00A6584F">
      <w:pPr>
        <w:snapToGrid w:val="0"/>
        <w:spacing w:after="0" w:line="240" w:lineRule="auto"/>
        <w:ind w:firstLine="709"/>
        <w:contextualSpacing/>
        <w:jc w:val="both"/>
        <w:rPr>
          <w:rFonts w:ascii="Verdana" w:eastAsia="Times New Roman" w:hAnsi="Verdana" w:cs="Arial"/>
          <w:color w:val="000000" w:themeColor="text1"/>
          <w:sz w:val="16"/>
          <w:szCs w:val="16"/>
          <w:lang w:eastAsia="es-ES_tradnl"/>
        </w:rPr>
      </w:pPr>
      <w:r w:rsidRPr="00F62D81">
        <w:rPr>
          <w:rStyle w:val="Refdenotaalpie"/>
          <w:rFonts w:ascii="Verdana" w:hAnsi="Verdana" w:cs="Arial"/>
          <w:color w:val="000000" w:themeColor="text1"/>
          <w:sz w:val="16"/>
          <w:szCs w:val="16"/>
        </w:rPr>
        <w:footnoteRef/>
      </w:r>
      <w:r w:rsidRPr="00F62D81">
        <w:rPr>
          <w:rFonts w:ascii="Verdana" w:hAnsi="Verdana" w:cs="Arial"/>
          <w:color w:val="000000" w:themeColor="text1"/>
          <w:sz w:val="16"/>
          <w:szCs w:val="16"/>
        </w:rPr>
        <w:t xml:space="preserve"> </w:t>
      </w:r>
      <w:r w:rsidRPr="00F62D81">
        <w:rPr>
          <w:rFonts w:ascii="Verdana" w:eastAsia="Times New Roman" w:hAnsi="Verdana" w:cs="Arial"/>
          <w:color w:val="000000" w:themeColor="text1"/>
          <w:sz w:val="16"/>
          <w:szCs w:val="16"/>
          <w:lang w:eastAsia="es-ES_tradnl"/>
        </w:rPr>
        <w:t>Por la cual se modifica la Ley 9 de 1989, y la Ley 2 de 1991 y se dictan otras disposiciones.</w:t>
      </w:r>
    </w:p>
  </w:footnote>
  <w:footnote w:id="31">
    <w:p w14:paraId="602274C7" w14:textId="77777777" w:rsidR="00A6584F" w:rsidRPr="00F62D81" w:rsidRDefault="00A6584F" w:rsidP="00A6584F">
      <w:pPr>
        <w:snapToGrid w:val="0"/>
        <w:spacing w:after="0" w:line="240" w:lineRule="auto"/>
        <w:ind w:firstLine="709"/>
        <w:contextualSpacing/>
        <w:jc w:val="both"/>
        <w:rPr>
          <w:rFonts w:ascii="Verdana" w:eastAsia="Times New Roman" w:hAnsi="Verdana" w:cs="Arial"/>
          <w:b/>
          <w:bCs/>
          <w:color w:val="000000" w:themeColor="text1"/>
          <w:sz w:val="16"/>
          <w:szCs w:val="16"/>
          <w:shd w:val="clear" w:color="auto" w:fill="FFFFFF"/>
          <w:lang w:eastAsia="es-ES_tradnl"/>
        </w:rPr>
      </w:pPr>
      <w:r w:rsidRPr="00F62D81">
        <w:rPr>
          <w:rStyle w:val="Refdenotaalpie"/>
          <w:rFonts w:ascii="Verdana" w:hAnsi="Verdana" w:cs="Arial"/>
          <w:color w:val="000000" w:themeColor="text1"/>
          <w:sz w:val="16"/>
          <w:szCs w:val="16"/>
        </w:rPr>
        <w:footnoteRef/>
      </w:r>
      <w:r w:rsidRPr="00F62D81">
        <w:rPr>
          <w:rFonts w:ascii="Verdana" w:hAnsi="Verdana" w:cs="Arial"/>
          <w:color w:val="000000" w:themeColor="text1"/>
          <w:sz w:val="16"/>
          <w:szCs w:val="16"/>
        </w:rPr>
        <w:t xml:space="preserve"> </w:t>
      </w:r>
      <w:r w:rsidRPr="00F62D81">
        <w:rPr>
          <w:rFonts w:ascii="Verdana" w:hAnsi="Verdana" w:cs="Arial"/>
          <w:color w:val="000000" w:themeColor="text1"/>
          <w:sz w:val="16"/>
          <w:szCs w:val="16"/>
          <w:lang w:val="es-ES"/>
        </w:rPr>
        <w:t xml:space="preserve">Consejo de Estado. Sala de Consulta y Servicio Civil. Concepto del 10 de abril de 2008. Rad. </w:t>
      </w:r>
      <w:r w:rsidRPr="00F62D81">
        <w:rPr>
          <w:rFonts w:ascii="Verdana" w:eastAsia="Times New Roman" w:hAnsi="Verdana" w:cs="Arial"/>
          <w:color w:val="000000" w:themeColor="text1"/>
          <w:sz w:val="16"/>
          <w:szCs w:val="16"/>
          <w:shd w:val="clear" w:color="auto" w:fill="FFFFFF"/>
          <w:lang w:eastAsia="es-ES_tradnl"/>
        </w:rPr>
        <w:t>11001-03-06-000-2008-00017-00. C.P. Gustavo Aponte Santos.</w:t>
      </w:r>
      <w:r w:rsidRPr="00F62D81">
        <w:rPr>
          <w:rFonts w:ascii="Verdana" w:eastAsia="Times New Roman" w:hAnsi="Verdana" w:cs="Arial"/>
          <w:b/>
          <w:bCs/>
          <w:color w:val="000000" w:themeColor="text1"/>
          <w:sz w:val="16"/>
          <w:szCs w:val="16"/>
          <w:shd w:val="clear" w:color="auto" w:fill="FFFFFF"/>
          <w:lang w:eastAsia="es-ES_tradnl"/>
        </w:rPr>
        <w:t xml:space="preserve"> </w:t>
      </w:r>
    </w:p>
  </w:footnote>
  <w:footnote w:id="32">
    <w:p w14:paraId="24E6ED48" w14:textId="77777777" w:rsidR="00A6584F" w:rsidRPr="00F62D81" w:rsidRDefault="00A6584F" w:rsidP="00A6584F">
      <w:pPr>
        <w:pStyle w:val="Textonotapie"/>
        <w:snapToGrid w:val="0"/>
        <w:ind w:firstLine="709"/>
        <w:contextualSpacing/>
        <w:jc w:val="both"/>
        <w:rPr>
          <w:rFonts w:ascii="Verdana" w:hAnsi="Verdana" w:cs="Arial"/>
          <w:color w:val="000000" w:themeColor="text1"/>
          <w:sz w:val="16"/>
          <w:szCs w:val="16"/>
          <w:lang w:val="es-CO"/>
        </w:rPr>
      </w:pPr>
      <w:r w:rsidRPr="00F62D81">
        <w:rPr>
          <w:rStyle w:val="Refdenotaalpie"/>
          <w:rFonts w:ascii="Verdana" w:hAnsi="Verdana" w:cs="Arial"/>
          <w:color w:val="000000" w:themeColor="text1"/>
          <w:sz w:val="16"/>
          <w:szCs w:val="16"/>
        </w:rPr>
        <w:footnoteRef/>
      </w:r>
      <w:r w:rsidRPr="00F62D81">
        <w:rPr>
          <w:rFonts w:ascii="Verdana" w:hAnsi="Verdana" w:cs="Arial"/>
          <w:color w:val="000000" w:themeColor="text1"/>
          <w:sz w:val="16"/>
          <w:szCs w:val="16"/>
        </w:rPr>
        <w:t xml:space="preserve"> </w:t>
      </w:r>
      <w:r w:rsidRPr="00F62D81">
        <w:rPr>
          <w:rFonts w:ascii="Verdana" w:hAnsi="Verdana" w:cs="Arial"/>
          <w:color w:val="000000" w:themeColor="text1"/>
          <w:sz w:val="16"/>
          <w:szCs w:val="16"/>
          <w:lang w:val="es-CO"/>
        </w:rPr>
        <w:t>Corte Constitucional. Sentencia C - 1074 de 4 de diciembre de 2002. M.P. Manuel José Cepeda Espinoza.</w:t>
      </w:r>
    </w:p>
  </w:footnote>
  <w:footnote w:id="33">
    <w:p w14:paraId="4A29A7B7" w14:textId="77777777" w:rsidR="00A6584F" w:rsidRPr="00F62D81" w:rsidRDefault="00A6584F" w:rsidP="00A6584F">
      <w:pPr>
        <w:snapToGrid w:val="0"/>
        <w:spacing w:after="0" w:line="240" w:lineRule="auto"/>
        <w:ind w:firstLine="708"/>
        <w:contextualSpacing/>
        <w:jc w:val="both"/>
        <w:rPr>
          <w:rFonts w:ascii="Verdana" w:hAnsi="Verdana" w:cs="Arial"/>
          <w:color w:val="000000" w:themeColor="text1"/>
          <w:sz w:val="16"/>
          <w:szCs w:val="16"/>
        </w:rPr>
      </w:pPr>
      <w:r w:rsidRPr="00F62D81">
        <w:rPr>
          <w:rStyle w:val="Refdenotaalpie"/>
          <w:rFonts w:ascii="Verdana" w:hAnsi="Verdana" w:cs="Arial"/>
          <w:color w:val="000000" w:themeColor="text1"/>
          <w:sz w:val="16"/>
          <w:szCs w:val="16"/>
        </w:rPr>
        <w:footnoteRef/>
      </w:r>
      <w:r w:rsidRPr="00F62D81">
        <w:rPr>
          <w:rFonts w:ascii="Verdana" w:hAnsi="Verdana" w:cs="Arial"/>
          <w:color w:val="000000" w:themeColor="text1"/>
          <w:sz w:val="16"/>
          <w:szCs w:val="16"/>
        </w:rPr>
        <w:t xml:space="preserve"> Corte Constitucional. Sentencia C - 669 de 28 de octubre de 2015. M.P. Luis Ernesto Vargas Silva.</w:t>
      </w:r>
    </w:p>
  </w:footnote>
  <w:footnote w:id="34">
    <w:p w14:paraId="3B13F90A" w14:textId="77777777" w:rsidR="00A6584F" w:rsidRPr="00F62D81" w:rsidRDefault="00A6584F" w:rsidP="00A6584F">
      <w:pPr>
        <w:pStyle w:val="Textonotapie"/>
        <w:snapToGrid w:val="0"/>
        <w:ind w:firstLine="709"/>
        <w:contextualSpacing/>
        <w:jc w:val="both"/>
        <w:rPr>
          <w:rFonts w:ascii="Verdana" w:hAnsi="Verdana" w:cs="Arial"/>
          <w:color w:val="000000" w:themeColor="text1"/>
          <w:sz w:val="16"/>
          <w:szCs w:val="16"/>
        </w:rPr>
      </w:pPr>
      <w:r w:rsidRPr="00F62D81">
        <w:rPr>
          <w:rStyle w:val="Refdenotaalpie"/>
          <w:rFonts w:ascii="Verdana" w:hAnsi="Verdana" w:cs="Arial"/>
          <w:color w:val="000000" w:themeColor="text1"/>
          <w:sz w:val="16"/>
          <w:szCs w:val="16"/>
        </w:rPr>
        <w:footnoteRef/>
      </w:r>
      <w:r w:rsidRPr="00F62D81">
        <w:rPr>
          <w:rFonts w:ascii="Verdana" w:hAnsi="Verdana" w:cs="Arial"/>
          <w:color w:val="000000" w:themeColor="text1"/>
          <w:sz w:val="16"/>
          <w:szCs w:val="16"/>
        </w:rPr>
        <w:t xml:space="preserve"> “La expropiación no es un contrato, no es una venta, ni siquiera forzada, como la que se verifica en subasta pública en determinados casos; es una figura esencialmente distinta, de derecho público, enderezada al bien de la comunidad y en virtud de la cual, por motivos superiores, la Administración toma la propiedad particular, y como esta medida genera un daño, y no un precio, se satisface mediante una indemnización. Se indemniza el perjuicio en diferentes órdenes de la responsabilidad contractual y extracontractual, y se indemniza al expropiado el daño que para él implica esta forma de expropiación –que opera contra su voluntad- pero en provecho público”. (Corte Constitucional. Sentencia C - 153 de 1994. M.P. Alejandro Martínez Caballero).</w:t>
      </w:r>
    </w:p>
  </w:footnote>
  <w:footnote w:id="35">
    <w:p w14:paraId="0845BB25" w14:textId="77777777" w:rsidR="00A6584F" w:rsidRPr="00F62D81" w:rsidRDefault="00A6584F" w:rsidP="00A6584F">
      <w:pPr>
        <w:snapToGrid w:val="0"/>
        <w:spacing w:after="0" w:line="240" w:lineRule="auto"/>
        <w:ind w:firstLine="709"/>
        <w:contextualSpacing/>
        <w:jc w:val="both"/>
        <w:rPr>
          <w:rFonts w:ascii="Verdana" w:eastAsia="Times New Roman" w:hAnsi="Verdana" w:cs="Arial"/>
          <w:color w:val="000000" w:themeColor="text1"/>
          <w:sz w:val="16"/>
          <w:szCs w:val="16"/>
          <w:lang w:eastAsia="es-ES_tradnl"/>
        </w:rPr>
      </w:pPr>
      <w:r w:rsidRPr="00F62D81">
        <w:rPr>
          <w:rStyle w:val="Refdenotaalpie"/>
          <w:rFonts w:ascii="Verdana" w:hAnsi="Verdana" w:cs="Arial"/>
          <w:color w:val="000000" w:themeColor="text1"/>
          <w:sz w:val="16"/>
          <w:szCs w:val="16"/>
        </w:rPr>
        <w:footnoteRef/>
      </w:r>
      <w:r w:rsidRPr="00F62D81">
        <w:rPr>
          <w:rFonts w:ascii="Verdana" w:hAnsi="Verdana" w:cs="Arial"/>
          <w:color w:val="000000" w:themeColor="text1"/>
          <w:sz w:val="16"/>
          <w:szCs w:val="16"/>
        </w:rPr>
        <w:t xml:space="preserve"> Una vez otorgada la correspondiente escritura pública de compraventa, esta deberá ser inscrita en la Oficina de Instrumentos Públicos respectiva, conforme a lo previsto en el artículo 14 de la Ley 9 de 1989, modificado por el artículo 34 de la Ley 3 de 1991</w:t>
      </w:r>
      <w:r w:rsidRPr="00F62D81">
        <w:rPr>
          <w:rFonts w:ascii="Verdana" w:eastAsia="Times New Roman" w:hAnsi="Verdana" w:cs="Arial"/>
          <w:color w:val="000000" w:themeColor="text1"/>
          <w:sz w:val="16"/>
          <w:szCs w:val="16"/>
          <w:lang w:eastAsia="es-ES_tradnl"/>
        </w:rPr>
        <w:t>.</w:t>
      </w:r>
    </w:p>
  </w:footnote>
  <w:footnote w:id="36">
    <w:p w14:paraId="76292AFE" w14:textId="77777777" w:rsidR="00A6584F" w:rsidRPr="00F62D81" w:rsidRDefault="00A6584F" w:rsidP="00A6584F">
      <w:pPr>
        <w:pStyle w:val="Textonotapie"/>
        <w:snapToGrid w:val="0"/>
        <w:ind w:firstLine="708"/>
        <w:contextualSpacing/>
        <w:jc w:val="both"/>
        <w:rPr>
          <w:rFonts w:ascii="Verdana" w:hAnsi="Verdana" w:cs="Arial"/>
          <w:color w:val="000000" w:themeColor="text1"/>
          <w:sz w:val="16"/>
          <w:szCs w:val="16"/>
          <w:lang w:val="es-CO"/>
        </w:rPr>
      </w:pPr>
      <w:r w:rsidRPr="00F62D81">
        <w:rPr>
          <w:rStyle w:val="Refdenotaalpie"/>
          <w:rFonts w:ascii="Verdana" w:hAnsi="Verdana" w:cs="Arial"/>
          <w:color w:val="000000" w:themeColor="text1"/>
          <w:sz w:val="16"/>
          <w:szCs w:val="16"/>
        </w:rPr>
        <w:footnoteRef/>
      </w:r>
      <w:r w:rsidRPr="00F62D81">
        <w:rPr>
          <w:rFonts w:ascii="Verdana" w:hAnsi="Verdana" w:cs="Arial"/>
          <w:color w:val="000000" w:themeColor="text1"/>
          <w:sz w:val="16"/>
          <w:szCs w:val="16"/>
        </w:rPr>
        <w:t xml:space="preserve"> Postura que también fue desarrollada con mayor detalle en el concepto con radicado de salida No. 2201913000008597 del 19 de noviembre de 2019 –rad. De entrada 2201913000008597–, proferido por esta Agencia. (Disponible en: </w:t>
      </w:r>
      <w:hyperlink r:id="rId1" w:history="1">
        <w:r w:rsidRPr="00F62D81">
          <w:rPr>
            <w:rStyle w:val="Hipervnculo"/>
            <w:rFonts w:ascii="Verdana" w:hAnsi="Verdana" w:cs="Arial"/>
            <w:color w:val="000000" w:themeColor="text1"/>
            <w:sz w:val="16"/>
            <w:szCs w:val="16"/>
          </w:rPr>
          <w:t>https://relatoria.colombiacompra.gov.co/ficha/4201912000005718</w:t>
        </w:r>
      </w:hyperlink>
      <w:r w:rsidRPr="00F62D81">
        <w:rPr>
          <w:rFonts w:ascii="Verdana" w:hAnsi="Verdana" w:cs="Arial"/>
          <w:color w:val="000000" w:themeColor="text1"/>
          <w:sz w:val="16"/>
          <w:szCs w:val="16"/>
        </w:rPr>
        <w:t>).</w:t>
      </w:r>
    </w:p>
  </w:footnote>
  <w:footnote w:id="37">
    <w:p w14:paraId="24634717" w14:textId="77777777" w:rsidR="00A6584F" w:rsidRPr="00F62D81" w:rsidRDefault="00A6584F" w:rsidP="00A6584F">
      <w:pPr>
        <w:pStyle w:val="Textonotapie"/>
        <w:ind w:firstLine="708"/>
        <w:jc w:val="both"/>
        <w:rPr>
          <w:sz w:val="16"/>
          <w:szCs w:val="16"/>
          <w:lang w:val="es-ES"/>
        </w:rPr>
      </w:pPr>
      <w:r w:rsidRPr="00F62D81">
        <w:rPr>
          <w:rStyle w:val="Refdenotaalpie"/>
          <w:rFonts w:ascii="Verdana" w:hAnsi="Verdana"/>
          <w:sz w:val="16"/>
          <w:szCs w:val="16"/>
        </w:rPr>
        <w:footnoteRef/>
      </w:r>
      <w:r w:rsidRPr="00F62D81">
        <w:rPr>
          <w:rFonts w:ascii="Verdana" w:hAnsi="Verdana"/>
          <w:sz w:val="16"/>
          <w:szCs w:val="16"/>
        </w:rPr>
        <w:t xml:space="preserve"> </w:t>
      </w:r>
      <w:r w:rsidRPr="00F62D81">
        <w:rPr>
          <w:rFonts w:ascii="Verdana" w:hAnsi="Verdana"/>
          <w:sz w:val="16"/>
          <w:szCs w:val="16"/>
          <w:lang w:val="es-ES"/>
        </w:rPr>
        <w:t xml:space="preserve">En torno a la aplicación de la Ley de Garantías en los procesos de enajenación voluntaria, podemos destacar los conceptos </w:t>
      </w:r>
      <w:r w:rsidRPr="00F62D81">
        <w:rPr>
          <w:rFonts w:ascii="Verdana" w:eastAsia="Times New Roman" w:hAnsi="Verdana" w:cs="Arial"/>
          <w:bCs/>
          <w:sz w:val="16"/>
          <w:szCs w:val="16"/>
          <w:lang w:val="es-CO" w:eastAsia="x-none"/>
        </w:rPr>
        <w:t xml:space="preserve">C-1512 de 2015, C-1529 de 2015, C-118 del 4 de marzo de 2026, C-275 del 11 de marzo de 2026, entre otros. </w:t>
      </w:r>
    </w:p>
  </w:footnote>
  <w:footnote w:id="38">
    <w:p w14:paraId="0FAAF7BA" w14:textId="77777777" w:rsidR="00A6584F" w:rsidRPr="00F62D81" w:rsidRDefault="00A6584F" w:rsidP="00A6584F">
      <w:pPr>
        <w:pStyle w:val="Textonotapie"/>
        <w:ind w:firstLine="708"/>
        <w:jc w:val="both"/>
        <w:rPr>
          <w:rFonts w:ascii="Verdana" w:hAnsi="Verdana"/>
          <w:sz w:val="16"/>
          <w:szCs w:val="16"/>
          <w:lang w:val="es-CO"/>
        </w:rPr>
      </w:pPr>
      <w:r w:rsidRPr="00F62D81">
        <w:rPr>
          <w:rStyle w:val="Refdenotaalpie"/>
          <w:rFonts w:ascii="Verdana" w:hAnsi="Verdana"/>
          <w:sz w:val="16"/>
          <w:szCs w:val="16"/>
        </w:rPr>
        <w:footnoteRef/>
      </w:r>
      <w:r w:rsidRPr="00F62D81">
        <w:rPr>
          <w:rFonts w:ascii="Verdana" w:hAnsi="Verdana"/>
          <w:sz w:val="16"/>
          <w:szCs w:val="16"/>
        </w:rPr>
        <w:t xml:space="preserve"> </w:t>
      </w:r>
      <w:r w:rsidRPr="00F62D81">
        <w:rPr>
          <w:rFonts w:ascii="Verdana" w:hAnsi="Verdana"/>
          <w:bCs/>
          <w:sz w:val="16"/>
          <w:szCs w:val="16"/>
          <w:lang w:val="es-CO"/>
        </w:rPr>
        <w:t>Artículo 38.</w:t>
      </w:r>
      <w:r w:rsidRPr="00F62D81">
        <w:rPr>
          <w:rFonts w:ascii="Verdana" w:hAnsi="Verdana"/>
          <w:sz w:val="16"/>
          <w:szCs w:val="16"/>
          <w:lang w:val="es-CO"/>
        </w:rPr>
        <w:t> Durante la etapa de construcción de los proyectos de infraestructura de transporte y con el fin de facilitar su ejecución la Nación a través de los jefes de las entidades de dicho orden y las entidades territoriales, a través de los Gobernadores y Alcaldes, según la infraestructura a su cargo, tienen facultades para imponer servidumbres, mediante acto administrativo. </w:t>
      </w:r>
    </w:p>
    <w:p w14:paraId="2CEE6127" w14:textId="77777777" w:rsidR="00A6584F" w:rsidRPr="00F62D81" w:rsidRDefault="00A6584F" w:rsidP="00A6584F">
      <w:pPr>
        <w:pStyle w:val="Textonotapie"/>
        <w:ind w:firstLine="708"/>
        <w:jc w:val="both"/>
        <w:rPr>
          <w:rFonts w:ascii="Verdana" w:hAnsi="Verdana"/>
          <w:sz w:val="16"/>
          <w:szCs w:val="16"/>
          <w:lang w:val="es-CO"/>
        </w:rPr>
      </w:pPr>
      <w:r w:rsidRPr="00F62D81">
        <w:rPr>
          <w:rFonts w:ascii="Verdana" w:hAnsi="Verdana"/>
          <w:sz w:val="16"/>
          <w:szCs w:val="16"/>
          <w:lang w:val="es-CO"/>
        </w:rPr>
        <w:t>El Ministerio de Transporte impondrá tales servidumbres en los proyectos de infraestructura de transporte a cargo de los departamentos, cuando se afecten predios que se encuentren ubicados en más de uno de ellos. Asimismo, el Gobernador del departamento impondrá servidumbres en los proyectos de infraestructura de transporte a cargo de los municipios cuando se afecten predios que se encuentren ubicados en más de un municipio. </w:t>
      </w:r>
    </w:p>
    <w:p w14:paraId="5011F30D" w14:textId="77777777" w:rsidR="00A6584F" w:rsidRPr="00F62D81" w:rsidRDefault="00A6584F" w:rsidP="00A6584F">
      <w:pPr>
        <w:pStyle w:val="Textonotapie"/>
        <w:ind w:firstLine="708"/>
        <w:jc w:val="both"/>
        <w:rPr>
          <w:rFonts w:ascii="Verdana" w:hAnsi="Verdana"/>
          <w:sz w:val="16"/>
          <w:szCs w:val="16"/>
          <w:lang w:val="es-CO"/>
        </w:rPr>
      </w:pPr>
      <w:r w:rsidRPr="00F62D81">
        <w:rPr>
          <w:rFonts w:ascii="Verdana" w:hAnsi="Verdana"/>
          <w:sz w:val="16"/>
          <w:szCs w:val="16"/>
          <w:lang w:val="es-CO"/>
        </w:rPr>
        <w:t>En los proyectos a cargo de la Nación, esta podrá imponer servidumbres en todo el Territorio Nacional. </w:t>
      </w:r>
    </w:p>
    <w:p w14:paraId="5BA62A6A" w14:textId="77777777" w:rsidR="00A6584F" w:rsidRPr="00F62D81" w:rsidRDefault="00A6584F" w:rsidP="00A6584F">
      <w:pPr>
        <w:pStyle w:val="Textonotapie"/>
        <w:ind w:firstLine="708"/>
        <w:jc w:val="both"/>
        <w:rPr>
          <w:rFonts w:ascii="Verdana" w:hAnsi="Verdana"/>
          <w:sz w:val="16"/>
          <w:szCs w:val="16"/>
          <w:lang w:val="es-CO"/>
        </w:rPr>
      </w:pPr>
      <w:r w:rsidRPr="00F62D81">
        <w:rPr>
          <w:rFonts w:ascii="Verdana" w:hAnsi="Verdana"/>
          <w:sz w:val="16"/>
          <w:szCs w:val="16"/>
          <w:lang w:val="es-CO"/>
        </w:rPr>
        <w:t>Para efectos de lo previsto en este artículo, se deberá agotar una etapa de negociación directa en un plazo máximo de treinta (30) días calendario. En caso de no lograrse acuerdo se procederá a la imposición de servidumbre por vía administrativa. El Gobierno Nacional expedirá la reglamentación correspondiente con el fin de definir los términos en que se deberán surtir estas etapas. </w:t>
      </w:r>
    </w:p>
    <w:p w14:paraId="10B6058B" w14:textId="77777777" w:rsidR="00A6584F" w:rsidRPr="00F62D81" w:rsidRDefault="00A6584F" w:rsidP="00A6584F">
      <w:pPr>
        <w:pStyle w:val="Textonotapie"/>
        <w:ind w:firstLine="708"/>
        <w:jc w:val="both"/>
        <w:rPr>
          <w:rFonts w:ascii="Verdana" w:hAnsi="Verdana"/>
          <w:sz w:val="16"/>
          <w:szCs w:val="16"/>
          <w:lang w:val="es-CO"/>
        </w:rPr>
      </w:pPr>
      <w:r w:rsidRPr="00F62D81">
        <w:rPr>
          <w:rFonts w:ascii="Verdana" w:hAnsi="Verdana"/>
          <w:bCs/>
          <w:sz w:val="16"/>
          <w:szCs w:val="16"/>
          <w:lang w:val="es-CO"/>
        </w:rPr>
        <w:t>Parágrafo 1°.</w:t>
      </w:r>
      <w:r w:rsidRPr="00F62D81">
        <w:rPr>
          <w:rFonts w:ascii="Verdana" w:hAnsi="Verdana"/>
          <w:sz w:val="16"/>
          <w:szCs w:val="16"/>
          <w:lang w:val="es-CO"/>
        </w:rPr>
        <w:t> El Ministro de Transporte podrá delegar esta facultad. </w:t>
      </w:r>
    </w:p>
    <w:p w14:paraId="31FF6197" w14:textId="77777777" w:rsidR="00A6584F" w:rsidRPr="00F62D81" w:rsidRDefault="00A6584F" w:rsidP="00A6584F">
      <w:pPr>
        <w:pStyle w:val="Textonotapie"/>
        <w:ind w:firstLine="708"/>
        <w:jc w:val="both"/>
        <w:rPr>
          <w:rFonts w:ascii="Verdana" w:hAnsi="Verdana"/>
          <w:sz w:val="16"/>
          <w:szCs w:val="16"/>
          <w:lang w:val="es-CO"/>
        </w:rPr>
      </w:pPr>
      <w:r w:rsidRPr="00F62D81">
        <w:rPr>
          <w:rFonts w:ascii="Verdana" w:hAnsi="Verdana"/>
          <w:bCs/>
          <w:sz w:val="16"/>
          <w:szCs w:val="16"/>
          <w:lang w:val="es-CO"/>
        </w:rPr>
        <w:t>Parágrafo 2°.</w:t>
      </w:r>
      <w:r w:rsidRPr="00F62D81">
        <w:rPr>
          <w:rFonts w:ascii="Verdana" w:hAnsi="Verdana"/>
          <w:sz w:val="16"/>
          <w:szCs w:val="16"/>
          <w:lang w:val="es-CO"/>
        </w:rPr>
        <w:t> Lo dispuesto en este artículo será aplicable a la gestión predial necesaria para la ejecución de proyectos de infraestructura de servicios públicos, sin perjuicio de lo establecido en la Ley 56 de 1981.</w:t>
      </w:r>
      <w:r w:rsidRPr="00F05DC2">
        <w:rPr>
          <w:rFonts w:ascii="Verdana" w:hAnsi="Verdana"/>
          <w:sz w:val="16"/>
          <w:szCs w:val="16"/>
          <w:lang w:val="es-CO"/>
        </w:rPr>
        <w:t> </w:t>
      </w:r>
    </w:p>
  </w:footnote>
  <w:footnote w:id="39">
    <w:p w14:paraId="2D4FAB42" w14:textId="77777777" w:rsidR="00A6584F" w:rsidRPr="009D6AE1" w:rsidRDefault="00A6584F" w:rsidP="00A6584F">
      <w:pPr>
        <w:pStyle w:val="Textonotapie"/>
        <w:ind w:firstLine="708"/>
        <w:jc w:val="both"/>
        <w:rPr>
          <w:rFonts w:ascii="Arial" w:hAnsi="Arial" w:cs="Arial"/>
          <w:sz w:val="14"/>
          <w:szCs w:val="14"/>
        </w:rPr>
      </w:pPr>
      <w:r w:rsidRPr="00E5567D">
        <w:rPr>
          <w:rStyle w:val="Refdenotaalpie"/>
          <w:rFonts w:ascii="Verdana" w:hAnsi="Verdana" w:cs="Arial"/>
          <w:sz w:val="15"/>
          <w:szCs w:val="15"/>
        </w:rPr>
        <w:footnoteRef/>
      </w:r>
      <w:r w:rsidRPr="00E5567D">
        <w:rPr>
          <w:rFonts w:ascii="Verdana" w:hAnsi="Verdana" w:cs="Arial"/>
          <w:sz w:val="15"/>
          <w:szCs w:val="15"/>
        </w:rPr>
        <w:t xml:space="preserve"> Colombia Compra Eficiente. Circular Externa Única. Numeral 15.5.</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05202B" w:rsidRDefault="0005202B" w:rsidP="00844AE9">
    <w:pPr>
      <w:pStyle w:val="Encabezado"/>
      <w:spacing w:line="120" w:lineRule="auto"/>
    </w:pPr>
    <w:r>
      <w:rPr>
        <w:rFonts w:ascii="Geomanist Bold" w:hAnsi="Geomanist Bold"/>
        <w:b/>
        <w:bCs/>
        <w:noProof/>
        <w:color w:val="002060"/>
        <w:sz w:val="24"/>
        <w:szCs w:val="24"/>
        <w:lang w:val="en-US"/>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lang w:val="en-US"/>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05202B" w:rsidRDefault="0005202B">
    <w:pPr>
      <w:pStyle w:val="Encabezado"/>
    </w:pPr>
  </w:p>
  <w:p w14:paraId="5E18350A" w14:textId="705F7B76" w:rsidR="0005202B" w:rsidRPr="004A305D" w:rsidRDefault="0005202B" w:rsidP="00B01B1A">
    <w:pPr>
      <w:spacing w:after="0" w:line="120" w:lineRule="auto"/>
      <w:rPr>
        <w:rFonts w:ascii="Century Gothic" w:eastAsia="Geo" w:hAnsi="Century Gothic" w:cs="Geo"/>
        <w:sz w:val="16"/>
        <w:szCs w:val="16"/>
        <w:lang w:eastAsia="es-CO"/>
      </w:rPr>
    </w:pPr>
  </w:p>
  <w:p w14:paraId="211B7F5D" w14:textId="77777777" w:rsidR="0005202B" w:rsidRDefault="0005202B" w:rsidP="00844AE9">
    <w:pPr>
      <w:spacing w:after="0" w:line="240" w:lineRule="auto"/>
      <w:rPr>
        <w:rFonts w:ascii="Verdana" w:hAnsi="Verdana"/>
        <w:sz w:val="24"/>
        <w:szCs w:val="24"/>
      </w:rPr>
    </w:pPr>
  </w:p>
  <w:p w14:paraId="5A0054B1" w14:textId="77777777" w:rsidR="0005202B" w:rsidRPr="00C925AC" w:rsidRDefault="0005202B" w:rsidP="00844AE9">
    <w:pPr>
      <w:spacing w:after="0" w:line="240" w:lineRule="auto"/>
      <w:rPr>
        <w:rFonts w:ascii="Verdana" w:hAnsi="Verdana"/>
        <w:sz w:val="24"/>
        <w:szCs w:val="24"/>
      </w:rPr>
    </w:pPr>
  </w:p>
  <w:p w14:paraId="1FD1C243" w14:textId="37C5500A" w:rsidR="0005202B" w:rsidRPr="00C925AC" w:rsidRDefault="0005202B" w:rsidP="000D5DA7">
    <w:pPr>
      <w:spacing w:after="0" w:line="480" w:lineRule="auto"/>
      <w:rPr>
        <w:rFonts w:ascii="Verdana" w:hAnsi="Verdana"/>
        <w:b/>
        <w:bCs/>
        <w:sz w:val="24"/>
        <w:szCs w:val="24"/>
      </w:rPr>
    </w:pPr>
    <w:r w:rsidRPr="00C925AC">
      <w:rPr>
        <w:rFonts w:ascii="Verdana" w:hAnsi="Verdana"/>
        <w:b/>
        <w:bCs/>
        <w:sz w:val="24"/>
        <w:szCs w:val="24"/>
      </w:rPr>
      <w:t>FORMATO</w:t>
    </w:r>
    <w:r>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4.4pt;height:14.4pt" o:bullet="t">
        <v:imagedata r:id="rId1" o:title="mso1B13"/>
      </v:shape>
    </w:pict>
  </w:numPicBullet>
  <w:abstractNum w:abstractNumId="0" w15:restartNumberingAfterBreak="0">
    <w:nsid w:val="F7634B6B"/>
    <w:multiLevelType w:val="hybridMultilevel"/>
    <w:tmpl w:val="92994A04"/>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2"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4" w15:restartNumberingAfterBreak="0">
    <w:nsid w:val="14CA4EFE"/>
    <w:multiLevelType w:val="hybridMultilevel"/>
    <w:tmpl w:val="535A062C"/>
    <w:lvl w:ilvl="0" w:tplc="0C0A52FC">
      <w:start w:val="1"/>
      <w:numFmt w:val="bullet"/>
      <w:lvlText w:val="•"/>
      <w:lvlJc w:val="left"/>
      <w:pPr>
        <w:tabs>
          <w:tab w:val="num" w:pos="720"/>
        </w:tabs>
        <w:ind w:left="720" w:hanging="360"/>
      </w:pPr>
      <w:rPr>
        <w:rFonts w:ascii="Arial" w:hAnsi="Arial" w:hint="default"/>
      </w:rPr>
    </w:lvl>
    <w:lvl w:ilvl="1" w:tplc="ECE23108" w:tentative="1">
      <w:start w:val="1"/>
      <w:numFmt w:val="bullet"/>
      <w:lvlText w:val="•"/>
      <w:lvlJc w:val="left"/>
      <w:pPr>
        <w:tabs>
          <w:tab w:val="num" w:pos="1440"/>
        </w:tabs>
        <w:ind w:left="1440" w:hanging="360"/>
      </w:pPr>
      <w:rPr>
        <w:rFonts w:ascii="Arial" w:hAnsi="Arial" w:hint="default"/>
      </w:rPr>
    </w:lvl>
    <w:lvl w:ilvl="2" w:tplc="5E0E9E88" w:tentative="1">
      <w:start w:val="1"/>
      <w:numFmt w:val="bullet"/>
      <w:lvlText w:val="•"/>
      <w:lvlJc w:val="left"/>
      <w:pPr>
        <w:tabs>
          <w:tab w:val="num" w:pos="2160"/>
        </w:tabs>
        <w:ind w:left="2160" w:hanging="360"/>
      </w:pPr>
      <w:rPr>
        <w:rFonts w:ascii="Arial" w:hAnsi="Arial" w:hint="default"/>
      </w:rPr>
    </w:lvl>
    <w:lvl w:ilvl="3" w:tplc="35927F38" w:tentative="1">
      <w:start w:val="1"/>
      <w:numFmt w:val="bullet"/>
      <w:lvlText w:val="•"/>
      <w:lvlJc w:val="left"/>
      <w:pPr>
        <w:tabs>
          <w:tab w:val="num" w:pos="2880"/>
        </w:tabs>
        <w:ind w:left="2880" w:hanging="360"/>
      </w:pPr>
      <w:rPr>
        <w:rFonts w:ascii="Arial" w:hAnsi="Arial" w:hint="default"/>
      </w:rPr>
    </w:lvl>
    <w:lvl w:ilvl="4" w:tplc="1CAC6EF0" w:tentative="1">
      <w:start w:val="1"/>
      <w:numFmt w:val="bullet"/>
      <w:lvlText w:val="•"/>
      <w:lvlJc w:val="left"/>
      <w:pPr>
        <w:tabs>
          <w:tab w:val="num" w:pos="3600"/>
        </w:tabs>
        <w:ind w:left="3600" w:hanging="360"/>
      </w:pPr>
      <w:rPr>
        <w:rFonts w:ascii="Arial" w:hAnsi="Arial" w:hint="default"/>
      </w:rPr>
    </w:lvl>
    <w:lvl w:ilvl="5" w:tplc="664865F0" w:tentative="1">
      <w:start w:val="1"/>
      <w:numFmt w:val="bullet"/>
      <w:lvlText w:val="•"/>
      <w:lvlJc w:val="left"/>
      <w:pPr>
        <w:tabs>
          <w:tab w:val="num" w:pos="4320"/>
        </w:tabs>
        <w:ind w:left="4320" w:hanging="360"/>
      </w:pPr>
      <w:rPr>
        <w:rFonts w:ascii="Arial" w:hAnsi="Arial" w:hint="default"/>
      </w:rPr>
    </w:lvl>
    <w:lvl w:ilvl="6" w:tplc="29840596" w:tentative="1">
      <w:start w:val="1"/>
      <w:numFmt w:val="bullet"/>
      <w:lvlText w:val="•"/>
      <w:lvlJc w:val="left"/>
      <w:pPr>
        <w:tabs>
          <w:tab w:val="num" w:pos="5040"/>
        </w:tabs>
        <w:ind w:left="5040" w:hanging="360"/>
      </w:pPr>
      <w:rPr>
        <w:rFonts w:ascii="Arial" w:hAnsi="Arial" w:hint="default"/>
      </w:rPr>
    </w:lvl>
    <w:lvl w:ilvl="7" w:tplc="B95EFAC0" w:tentative="1">
      <w:start w:val="1"/>
      <w:numFmt w:val="bullet"/>
      <w:lvlText w:val="•"/>
      <w:lvlJc w:val="left"/>
      <w:pPr>
        <w:tabs>
          <w:tab w:val="num" w:pos="5760"/>
        </w:tabs>
        <w:ind w:left="5760" w:hanging="360"/>
      </w:pPr>
      <w:rPr>
        <w:rFonts w:ascii="Arial" w:hAnsi="Arial" w:hint="default"/>
      </w:rPr>
    </w:lvl>
    <w:lvl w:ilvl="8" w:tplc="2DAC8E96" w:tentative="1">
      <w:start w:val="1"/>
      <w:numFmt w:val="bullet"/>
      <w:lvlText w:val="•"/>
      <w:lvlJc w:val="left"/>
      <w:pPr>
        <w:tabs>
          <w:tab w:val="num" w:pos="6480"/>
        </w:tabs>
        <w:ind w:left="6480" w:hanging="360"/>
      </w:pPr>
      <w:rPr>
        <w:rFonts w:ascii="Arial" w:hAnsi="Arial" w:hint="default"/>
      </w:rPr>
    </w:lvl>
  </w:abstractNum>
  <w:abstractNum w:abstractNumId="5" w15:restartNumberingAfterBreak="0">
    <w:nsid w:val="16C0FB4E"/>
    <w:multiLevelType w:val="hybridMultilevel"/>
    <w:tmpl w:val="895AFCF9"/>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15:restartNumberingAfterBreak="0">
    <w:nsid w:val="16F022D9"/>
    <w:multiLevelType w:val="hybridMultilevel"/>
    <w:tmpl w:val="EDA4693E"/>
    <w:lvl w:ilvl="0" w:tplc="405EC3D8">
      <w:start w:val="1"/>
      <w:numFmt w:val="lowerRoman"/>
      <w:lvlText w:val="%1)"/>
      <w:lvlJc w:val="left"/>
      <w:pPr>
        <w:ind w:left="1429" w:hanging="72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7"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9"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1"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4" w15:restartNumberingAfterBreak="0">
    <w:nsid w:val="45D54189"/>
    <w:multiLevelType w:val="hybridMultilevel"/>
    <w:tmpl w:val="41C69838"/>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5" w15:restartNumberingAfterBreak="0">
    <w:nsid w:val="4A6C115E"/>
    <w:multiLevelType w:val="hybridMultilevel"/>
    <w:tmpl w:val="54433602"/>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7"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6F8BCD79"/>
    <w:multiLevelType w:val="hybridMultilevel"/>
    <w:tmpl w:val="13FB668E"/>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1"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782067405">
    <w:abstractNumId w:val="10"/>
  </w:num>
  <w:num w:numId="2" w16cid:durableId="1732849050">
    <w:abstractNumId w:val="3"/>
  </w:num>
  <w:num w:numId="3" w16cid:durableId="1077485383">
    <w:abstractNumId w:val="8"/>
  </w:num>
  <w:num w:numId="4" w16cid:durableId="853034402">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157921141">
    <w:abstractNumId w:val="3"/>
  </w:num>
  <w:num w:numId="6" w16cid:durableId="66614972">
    <w:abstractNumId w:val="19"/>
  </w:num>
  <w:num w:numId="7" w16cid:durableId="1886791308">
    <w:abstractNumId w:val="9"/>
  </w:num>
  <w:num w:numId="8" w16cid:durableId="1708917341">
    <w:abstractNumId w:val="18"/>
  </w:num>
  <w:num w:numId="9" w16cid:durableId="1239484507">
    <w:abstractNumId w:val="11"/>
  </w:num>
  <w:num w:numId="10" w16cid:durableId="1804692702">
    <w:abstractNumId w:val="17"/>
  </w:num>
  <w:num w:numId="11" w16cid:durableId="1771971880">
    <w:abstractNumId w:val="12"/>
  </w:num>
  <w:num w:numId="12" w16cid:durableId="1140154215">
    <w:abstractNumId w:val="2"/>
  </w:num>
  <w:num w:numId="13" w16cid:durableId="1326126337">
    <w:abstractNumId w:val="7"/>
  </w:num>
  <w:num w:numId="14" w16cid:durableId="2008744314">
    <w:abstractNumId w:val="21"/>
  </w:num>
  <w:num w:numId="15" w16cid:durableId="1855487652">
    <w:abstractNumId w:val="16"/>
  </w:num>
  <w:num w:numId="16" w16cid:durableId="2099787360">
    <w:abstractNumId w:val="1"/>
  </w:num>
  <w:num w:numId="17" w16cid:durableId="452480556">
    <w:abstractNumId w:val="13"/>
  </w:num>
  <w:num w:numId="18" w16cid:durableId="2035424568">
    <w:abstractNumId w:val="14"/>
  </w:num>
  <w:num w:numId="19" w16cid:durableId="1692493840">
    <w:abstractNumId w:val="4"/>
  </w:num>
  <w:num w:numId="20" w16cid:durableId="1679189481">
    <w:abstractNumId w:val="6"/>
  </w:num>
  <w:num w:numId="21" w16cid:durableId="1557088810">
    <w:abstractNumId w:val="0"/>
  </w:num>
  <w:num w:numId="22" w16cid:durableId="474952547">
    <w:abstractNumId w:val="5"/>
  </w:num>
  <w:num w:numId="23" w16cid:durableId="805316122">
    <w:abstractNumId w:val="20"/>
  </w:num>
  <w:num w:numId="24" w16cid:durableId="319967002">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1847"/>
    <w:rsid w:val="0001041D"/>
    <w:rsid w:val="00016F78"/>
    <w:rsid w:val="00031BC1"/>
    <w:rsid w:val="000452C6"/>
    <w:rsid w:val="00046945"/>
    <w:rsid w:val="0005202B"/>
    <w:rsid w:val="00061B2A"/>
    <w:rsid w:val="0006246F"/>
    <w:rsid w:val="00077D14"/>
    <w:rsid w:val="00081367"/>
    <w:rsid w:val="00082362"/>
    <w:rsid w:val="000825A6"/>
    <w:rsid w:val="00082AFE"/>
    <w:rsid w:val="00095DAE"/>
    <w:rsid w:val="000A02D4"/>
    <w:rsid w:val="000A683E"/>
    <w:rsid w:val="000B19B9"/>
    <w:rsid w:val="000D0334"/>
    <w:rsid w:val="000D5DA7"/>
    <w:rsid w:val="000D6D48"/>
    <w:rsid w:val="000F6486"/>
    <w:rsid w:val="00102203"/>
    <w:rsid w:val="0011272A"/>
    <w:rsid w:val="001156CB"/>
    <w:rsid w:val="00116940"/>
    <w:rsid w:val="00125105"/>
    <w:rsid w:val="00127233"/>
    <w:rsid w:val="00127474"/>
    <w:rsid w:val="0013401F"/>
    <w:rsid w:val="0015699B"/>
    <w:rsid w:val="001A33BF"/>
    <w:rsid w:val="001E1005"/>
    <w:rsid w:val="001E194B"/>
    <w:rsid w:val="001E4177"/>
    <w:rsid w:val="001E5EA0"/>
    <w:rsid w:val="001F0B24"/>
    <w:rsid w:val="001F7DC6"/>
    <w:rsid w:val="0020079E"/>
    <w:rsid w:val="0020088C"/>
    <w:rsid w:val="0021277A"/>
    <w:rsid w:val="0022400B"/>
    <w:rsid w:val="002421BB"/>
    <w:rsid w:val="0024692A"/>
    <w:rsid w:val="0025796E"/>
    <w:rsid w:val="00261121"/>
    <w:rsid w:val="002707A2"/>
    <w:rsid w:val="002826F0"/>
    <w:rsid w:val="002845F4"/>
    <w:rsid w:val="002857D9"/>
    <w:rsid w:val="00293441"/>
    <w:rsid w:val="002951A0"/>
    <w:rsid w:val="002962BC"/>
    <w:rsid w:val="002A093D"/>
    <w:rsid w:val="002A0DD0"/>
    <w:rsid w:val="002A49AC"/>
    <w:rsid w:val="002A64FD"/>
    <w:rsid w:val="002A760C"/>
    <w:rsid w:val="002C27D0"/>
    <w:rsid w:val="002C5509"/>
    <w:rsid w:val="002C5725"/>
    <w:rsid w:val="002C7A84"/>
    <w:rsid w:val="002E2BF8"/>
    <w:rsid w:val="002E4FD9"/>
    <w:rsid w:val="002F3CDF"/>
    <w:rsid w:val="0030657A"/>
    <w:rsid w:val="00307DCF"/>
    <w:rsid w:val="00322A85"/>
    <w:rsid w:val="00324168"/>
    <w:rsid w:val="00330834"/>
    <w:rsid w:val="003318AB"/>
    <w:rsid w:val="00335987"/>
    <w:rsid w:val="003448F4"/>
    <w:rsid w:val="00355EA0"/>
    <w:rsid w:val="003604F5"/>
    <w:rsid w:val="00374F5E"/>
    <w:rsid w:val="00377E3E"/>
    <w:rsid w:val="003A130F"/>
    <w:rsid w:val="003A1A0B"/>
    <w:rsid w:val="003A779E"/>
    <w:rsid w:val="003C5B9E"/>
    <w:rsid w:val="003C64B8"/>
    <w:rsid w:val="003D0F4D"/>
    <w:rsid w:val="003D1CF9"/>
    <w:rsid w:val="003D5B0D"/>
    <w:rsid w:val="003E0499"/>
    <w:rsid w:val="003E0A60"/>
    <w:rsid w:val="003E4F80"/>
    <w:rsid w:val="003E6439"/>
    <w:rsid w:val="003E6637"/>
    <w:rsid w:val="003E6646"/>
    <w:rsid w:val="003F1AD6"/>
    <w:rsid w:val="003F3941"/>
    <w:rsid w:val="00406575"/>
    <w:rsid w:val="00414C74"/>
    <w:rsid w:val="004151A8"/>
    <w:rsid w:val="00417B5B"/>
    <w:rsid w:val="0042722E"/>
    <w:rsid w:val="00437377"/>
    <w:rsid w:val="0044528D"/>
    <w:rsid w:val="004473CC"/>
    <w:rsid w:val="00455F82"/>
    <w:rsid w:val="00466302"/>
    <w:rsid w:val="00466E39"/>
    <w:rsid w:val="00473BEB"/>
    <w:rsid w:val="004A1847"/>
    <w:rsid w:val="004A305D"/>
    <w:rsid w:val="004B7D74"/>
    <w:rsid w:val="004D3F95"/>
    <w:rsid w:val="004F1FEA"/>
    <w:rsid w:val="004F21C4"/>
    <w:rsid w:val="004F685F"/>
    <w:rsid w:val="0050028B"/>
    <w:rsid w:val="00506CA6"/>
    <w:rsid w:val="0053199F"/>
    <w:rsid w:val="005566E8"/>
    <w:rsid w:val="00557199"/>
    <w:rsid w:val="00570D3F"/>
    <w:rsid w:val="0057428E"/>
    <w:rsid w:val="00574867"/>
    <w:rsid w:val="00575D0A"/>
    <w:rsid w:val="00580BC6"/>
    <w:rsid w:val="00580D2E"/>
    <w:rsid w:val="0058142F"/>
    <w:rsid w:val="00582C4B"/>
    <w:rsid w:val="00591460"/>
    <w:rsid w:val="00597A19"/>
    <w:rsid w:val="005A39E6"/>
    <w:rsid w:val="005A65E0"/>
    <w:rsid w:val="005B0452"/>
    <w:rsid w:val="005C2A0C"/>
    <w:rsid w:val="005C3777"/>
    <w:rsid w:val="005C5CDC"/>
    <w:rsid w:val="005C6190"/>
    <w:rsid w:val="005C6BC8"/>
    <w:rsid w:val="005D476C"/>
    <w:rsid w:val="005E288B"/>
    <w:rsid w:val="005E6B20"/>
    <w:rsid w:val="005F181C"/>
    <w:rsid w:val="005F1911"/>
    <w:rsid w:val="0060360B"/>
    <w:rsid w:val="0061375F"/>
    <w:rsid w:val="006200BF"/>
    <w:rsid w:val="006219F8"/>
    <w:rsid w:val="006302F7"/>
    <w:rsid w:val="00646B9F"/>
    <w:rsid w:val="00662D62"/>
    <w:rsid w:val="00665485"/>
    <w:rsid w:val="00665D70"/>
    <w:rsid w:val="006900D9"/>
    <w:rsid w:val="006A6A7A"/>
    <w:rsid w:val="006C04F1"/>
    <w:rsid w:val="006D4D7F"/>
    <w:rsid w:val="006E4C4E"/>
    <w:rsid w:val="00700817"/>
    <w:rsid w:val="00706C16"/>
    <w:rsid w:val="00715041"/>
    <w:rsid w:val="00721364"/>
    <w:rsid w:val="0072640F"/>
    <w:rsid w:val="007317FA"/>
    <w:rsid w:val="007319C8"/>
    <w:rsid w:val="00731E59"/>
    <w:rsid w:val="007340C3"/>
    <w:rsid w:val="00737E18"/>
    <w:rsid w:val="0075235A"/>
    <w:rsid w:val="00756841"/>
    <w:rsid w:val="007649AB"/>
    <w:rsid w:val="00771D0C"/>
    <w:rsid w:val="007744FB"/>
    <w:rsid w:val="00777679"/>
    <w:rsid w:val="007829E1"/>
    <w:rsid w:val="007833AC"/>
    <w:rsid w:val="0078433B"/>
    <w:rsid w:val="00791D76"/>
    <w:rsid w:val="007A153F"/>
    <w:rsid w:val="007B268C"/>
    <w:rsid w:val="007B57B5"/>
    <w:rsid w:val="007B7171"/>
    <w:rsid w:val="007C0C0F"/>
    <w:rsid w:val="007C3DC2"/>
    <w:rsid w:val="007D3968"/>
    <w:rsid w:val="007E5497"/>
    <w:rsid w:val="00804180"/>
    <w:rsid w:val="00806F5F"/>
    <w:rsid w:val="00815B83"/>
    <w:rsid w:val="00817856"/>
    <w:rsid w:val="00820169"/>
    <w:rsid w:val="00820278"/>
    <w:rsid w:val="008258C9"/>
    <w:rsid w:val="00826EE8"/>
    <w:rsid w:val="008377DE"/>
    <w:rsid w:val="00844AE9"/>
    <w:rsid w:val="008470B0"/>
    <w:rsid w:val="00867F95"/>
    <w:rsid w:val="008835B4"/>
    <w:rsid w:val="008843B6"/>
    <w:rsid w:val="00891928"/>
    <w:rsid w:val="008934CB"/>
    <w:rsid w:val="00895356"/>
    <w:rsid w:val="008A2CD2"/>
    <w:rsid w:val="008A446D"/>
    <w:rsid w:val="008A7820"/>
    <w:rsid w:val="008B104D"/>
    <w:rsid w:val="008B25F1"/>
    <w:rsid w:val="008C309E"/>
    <w:rsid w:val="008C383D"/>
    <w:rsid w:val="008C571F"/>
    <w:rsid w:val="008C5A84"/>
    <w:rsid w:val="008D180B"/>
    <w:rsid w:val="008E72AF"/>
    <w:rsid w:val="008F0EA7"/>
    <w:rsid w:val="008F327E"/>
    <w:rsid w:val="0091294A"/>
    <w:rsid w:val="009216BA"/>
    <w:rsid w:val="00923EEF"/>
    <w:rsid w:val="009305DC"/>
    <w:rsid w:val="009419F9"/>
    <w:rsid w:val="0095685E"/>
    <w:rsid w:val="00961B09"/>
    <w:rsid w:val="00965334"/>
    <w:rsid w:val="0097093E"/>
    <w:rsid w:val="00990BF1"/>
    <w:rsid w:val="00991790"/>
    <w:rsid w:val="009A027F"/>
    <w:rsid w:val="009A0DFA"/>
    <w:rsid w:val="009A1C6F"/>
    <w:rsid w:val="009B2D26"/>
    <w:rsid w:val="009C71FA"/>
    <w:rsid w:val="009C72E7"/>
    <w:rsid w:val="009C7F7E"/>
    <w:rsid w:val="009D0BD0"/>
    <w:rsid w:val="009D3058"/>
    <w:rsid w:val="009E6333"/>
    <w:rsid w:val="009E746B"/>
    <w:rsid w:val="009F35DD"/>
    <w:rsid w:val="009F3A13"/>
    <w:rsid w:val="00A07EBF"/>
    <w:rsid w:val="00A122D3"/>
    <w:rsid w:val="00A14468"/>
    <w:rsid w:val="00A17F13"/>
    <w:rsid w:val="00A20739"/>
    <w:rsid w:val="00A23AF9"/>
    <w:rsid w:val="00A33C78"/>
    <w:rsid w:val="00A47089"/>
    <w:rsid w:val="00A63F17"/>
    <w:rsid w:val="00A6584F"/>
    <w:rsid w:val="00A83161"/>
    <w:rsid w:val="00A86E5C"/>
    <w:rsid w:val="00AA3788"/>
    <w:rsid w:val="00AB0ADB"/>
    <w:rsid w:val="00AD67E7"/>
    <w:rsid w:val="00AF1B67"/>
    <w:rsid w:val="00AF619D"/>
    <w:rsid w:val="00B00C0E"/>
    <w:rsid w:val="00B01B1A"/>
    <w:rsid w:val="00B0381D"/>
    <w:rsid w:val="00B13627"/>
    <w:rsid w:val="00B13882"/>
    <w:rsid w:val="00B14F36"/>
    <w:rsid w:val="00B31A79"/>
    <w:rsid w:val="00B44A47"/>
    <w:rsid w:val="00B72CD3"/>
    <w:rsid w:val="00B72FFF"/>
    <w:rsid w:val="00B7443D"/>
    <w:rsid w:val="00B75F06"/>
    <w:rsid w:val="00B944AA"/>
    <w:rsid w:val="00B95ED8"/>
    <w:rsid w:val="00BA15D8"/>
    <w:rsid w:val="00BA7A2E"/>
    <w:rsid w:val="00BC3D36"/>
    <w:rsid w:val="00BC3F56"/>
    <w:rsid w:val="00BD31E4"/>
    <w:rsid w:val="00BD54A6"/>
    <w:rsid w:val="00BD7F72"/>
    <w:rsid w:val="00BE378A"/>
    <w:rsid w:val="00BF6651"/>
    <w:rsid w:val="00BF7425"/>
    <w:rsid w:val="00C04FB3"/>
    <w:rsid w:val="00C11D8B"/>
    <w:rsid w:val="00C15139"/>
    <w:rsid w:val="00C330EB"/>
    <w:rsid w:val="00C50D69"/>
    <w:rsid w:val="00C5365C"/>
    <w:rsid w:val="00C67C8B"/>
    <w:rsid w:val="00C754BE"/>
    <w:rsid w:val="00C76B1C"/>
    <w:rsid w:val="00C77E63"/>
    <w:rsid w:val="00C819F9"/>
    <w:rsid w:val="00C84596"/>
    <w:rsid w:val="00C925AC"/>
    <w:rsid w:val="00C946BF"/>
    <w:rsid w:val="00C958D1"/>
    <w:rsid w:val="00CA0E68"/>
    <w:rsid w:val="00CB6357"/>
    <w:rsid w:val="00CB7450"/>
    <w:rsid w:val="00CC1B26"/>
    <w:rsid w:val="00CD6067"/>
    <w:rsid w:val="00CE4589"/>
    <w:rsid w:val="00CE72C3"/>
    <w:rsid w:val="00CF4861"/>
    <w:rsid w:val="00D078F7"/>
    <w:rsid w:val="00D13A78"/>
    <w:rsid w:val="00D13C5D"/>
    <w:rsid w:val="00D31EC6"/>
    <w:rsid w:val="00D350D3"/>
    <w:rsid w:val="00D361FD"/>
    <w:rsid w:val="00D423A2"/>
    <w:rsid w:val="00D42CBD"/>
    <w:rsid w:val="00D439FC"/>
    <w:rsid w:val="00D44E26"/>
    <w:rsid w:val="00D520D8"/>
    <w:rsid w:val="00D53F94"/>
    <w:rsid w:val="00D63AC2"/>
    <w:rsid w:val="00D677B5"/>
    <w:rsid w:val="00D70345"/>
    <w:rsid w:val="00D7383B"/>
    <w:rsid w:val="00D7788A"/>
    <w:rsid w:val="00DA231B"/>
    <w:rsid w:val="00DC39FC"/>
    <w:rsid w:val="00DD0992"/>
    <w:rsid w:val="00DF3F1B"/>
    <w:rsid w:val="00DF5254"/>
    <w:rsid w:val="00E02524"/>
    <w:rsid w:val="00E16408"/>
    <w:rsid w:val="00E170D1"/>
    <w:rsid w:val="00E20894"/>
    <w:rsid w:val="00E245AB"/>
    <w:rsid w:val="00E2764C"/>
    <w:rsid w:val="00E27F2E"/>
    <w:rsid w:val="00E434DE"/>
    <w:rsid w:val="00E5016B"/>
    <w:rsid w:val="00E50AFE"/>
    <w:rsid w:val="00E56EE8"/>
    <w:rsid w:val="00E60AD8"/>
    <w:rsid w:val="00E66DD3"/>
    <w:rsid w:val="00E75C92"/>
    <w:rsid w:val="00E760D9"/>
    <w:rsid w:val="00E771DC"/>
    <w:rsid w:val="00E8252C"/>
    <w:rsid w:val="00E83EFE"/>
    <w:rsid w:val="00E8772A"/>
    <w:rsid w:val="00E90AC3"/>
    <w:rsid w:val="00E90F6B"/>
    <w:rsid w:val="00E92C27"/>
    <w:rsid w:val="00EA0E3D"/>
    <w:rsid w:val="00EA4B5D"/>
    <w:rsid w:val="00EC1DAC"/>
    <w:rsid w:val="00EC38A7"/>
    <w:rsid w:val="00EE1AA8"/>
    <w:rsid w:val="00F04FFA"/>
    <w:rsid w:val="00F05DC2"/>
    <w:rsid w:val="00F11A10"/>
    <w:rsid w:val="00F11E70"/>
    <w:rsid w:val="00F163B0"/>
    <w:rsid w:val="00F16BC8"/>
    <w:rsid w:val="00F238FA"/>
    <w:rsid w:val="00F23FEA"/>
    <w:rsid w:val="00F31A4A"/>
    <w:rsid w:val="00F31EDC"/>
    <w:rsid w:val="00F33CF0"/>
    <w:rsid w:val="00F462B3"/>
    <w:rsid w:val="00F5664F"/>
    <w:rsid w:val="00F624DD"/>
    <w:rsid w:val="00F666C4"/>
    <w:rsid w:val="00F7339B"/>
    <w:rsid w:val="00F76AFC"/>
    <w:rsid w:val="00F76B7B"/>
    <w:rsid w:val="00FA3E17"/>
    <w:rsid w:val="00FA47C0"/>
    <w:rsid w:val="00FB2271"/>
    <w:rsid w:val="00FB3A0F"/>
    <w:rsid w:val="00FB40B6"/>
    <w:rsid w:val="00FB5DD1"/>
    <w:rsid w:val="00FC2B5D"/>
    <w:rsid w:val="00FD63E7"/>
    <w:rsid w:val="00FF1449"/>
    <w:rsid w:val="00FF7963"/>
    <w:rsid w:val="071B8F93"/>
    <w:rsid w:val="09908A09"/>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6584F"/>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customStyle="1" w:styleId="Mencinsinresolver1">
    <w:name w:val="Mención sin resolver1"/>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D53F94"/>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D53F94"/>
    <w:rPr>
      <w:rFonts w:ascii="Geomanist Light" w:hAnsi="Geomanist Light"/>
      <w:lang w:val="es-ES"/>
    </w:rPr>
  </w:style>
  <w:style w:type="character" w:customStyle="1" w:styleId="s15">
    <w:name w:val="s15"/>
    <w:basedOn w:val="Fuentedeprrafopredeter"/>
    <w:rsid w:val="00D53F94"/>
  </w:style>
  <w:style w:type="paragraph" w:styleId="Textoindependiente">
    <w:name w:val="Body Text"/>
    <w:basedOn w:val="Normal"/>
    <w:link w:val="TextoindependienteCar"/>
    <w:uiPriority w:val="1"/>
    <w:qFormat/>
    <w:rsid w:val="00D53F94"/>
    <w:pPr>
      <w:widowControl w:val="0"/>
      <w:autoSpaceDE w:val="0"/>
      <w:autoSpaceDN w:val="0"/>
      <w:spacing w:after="0" w:line="240" w:lineRule="auto"/>
    </w:pPr>
    <w:rPr>
      <w:rFonts w:ascii="Verdana" w:eastAsia="Verdana" w:hAnsi="Verdana" w:cs="Verdana"/>
      <w:lang w:val="es-ES"/>
    </w:rPr>
  </w:style>
  <w:style w:type="character" w:customStyle="1" w:styleId="TextoindependienteCar">
    <w:name w:val="Texto independiente Car"/>
    <w:basedOn w:val="Fuentedeprrafopredeter"/>
    <w:link w:val="Textoindependiente"/>
    <w:uiPriority w:val="1"/>
    <w:rsid w:val="00D53F94"/>
    <w:rPr>
      <w:rFonts w:ascii="Verdana" w:eastAsia="Verdana" w:hAnsi="Verdana" w:cs="Verdana"/>
      <w:lang w:val="es-ES"/>
    </w:rPr>
  </w:style>
  <w:style w:type="character" w:customStyle="1" w:styleId="NormalWebCar">
    <w:name w:val="Normal (Web) Car"/>
    <w:link w:val="NormalWeb"/>
    <w:uiPriority w:val="99"/>
    <w:locked/>
    <w:rsid w:val="00D53F94"/>
    <w:rPr>
      <w:rFonts w:ascii="Times New Roman" w:eastAsia="Times New Roman" w:hAnsi="Times New Roman" w:cs="Times New Roman"/>
      <w:sz w:val="24"/>
      <w:szCs w:val="24"/>
      <w:lang w:eastAsia="es-CO"/>
    </w:rPr>
  </w:style>
  <w:style w:type="character" w:customStyle="1" w:styleId="baj">
    <w:name w:val="b_aj"/>
    <w:basedOn w:val="Fuentedeprrafopredeter"/>
    <w:rsid w:val="00D53F94"/>
  </w:style>
  <w:style w:type="character" w:styleId="Refdecomentario">
    <w:name w:val="annotation reference"/>
    <w:basedOn w:val="Fuentedeprrafopredeter"/>
    <w:uiPriority w:val="99"/>
    <w:semiHidden/>
    <w:unhideWhenUsed/>
    <w:rsid w:val="008F327E"/>
    <w:rPr>
      <w:sz w:val="16"/>
      <w:szCs w:val="16"/>
    </w:rPr>
  </w:style>
  <w:style w:type="paragraph" w:styleId="Textocomentario">
    <w:name w:val="annotation text"/>
    <w:basedOn w:val="Normal"/>
    <w:link w:val="TextocomentarioCar"/>
    <w:uiPriority w:val="99"/>
    <w:unhideWhenUsed/>
    <w:rsid w:val="008F327E"/>
    <w:pPr>
      <w:spacing w:line="240" w:lineRule="auto"/>
    </w:pPr>
    <w:rPr>
      <w:sz w:val="20"/>
      <w:szCs w:val="20"/>
    </w:rPr>
  </w:style>
  <w:style w:type="character" w:customStyle="1" w:styleId="TextocomentarioCar">
    <w:name w:val="Texto comentario Car"/>
    <w:basedOn w:val="Fuentedeprrafopredeter"/>
    <w:link w:val="Textocomentario"/>
    <w:uiPriority w:val="99"/>
    <w:rsid w:val="008F327E"/>
    <w:rPr>
      <w:sz w:val="20"/>
      <w:szCs w:val="20"/>
    </w:rPr>
  </w:style>
  <w:style w:type="paragraph" w:styleId="Asuntodelcomentario">
    <w:name w:val="annotation subject"/>
    <w:basedOn w:val="Textocomentario"/>
    <w:next w:val="Textocomentario"/>
    <w:link w:val="AsuntodelcomentarioCar"/>
    <w:uiPriority w:val="99"/>
    <w:semiHidden/>
    <w:unhideWhenUsed/>
    <w:rsid w:val="008F327E"/>
    <w:rPr>
      <w:b/>
      <w:bCs/>
    </w:rPr>
  </w:style>
  <w:style w:type="character" w:customStyle="1" w:styleId="AsuntodelcomentarioCar">
    <w:name w:val="Asunto del comentario Car"/>
    <w:basedOn w:val="TextocomentarioCar"/>
    <w:link w:val="Asuntodelcomentario"/>
    <w:uiPriority w:val="99"/>
    <w:semiHidden/>
    <w:rsid w:val="008F327E"/>
    <w:rPr>
      <w:b/>
      <w:bCs/>
      <w:sz w:val="20"/>
      <w:szCs w:val="20"/>
    </w:rPr>
  </w:style>
  <w:style w:type="table" w:customStyle="1" w:styleId="Tablaconcuadrcula1">
    <w:name w:val="Tabla con cuadrícula1"/>
    <w:basedOn w:val="Tablanormal"/>
    <w:next w:val="Tablaconcuadrcula"/>
    <w:uiPriority w:val="39"/>
    <w:qFormat/>
    <w:rsid w:val="009305DC"/>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encinsinresolver2">
    <w:name w:val="Mención sin resolver2"/>
    <w:basedOn w:val="Fuentedeprrafopredeter"/>
    <w:uiPriority w:val="99"/>
    <w:semiHidden/>
    <w:unhideWhenUsed/>
    <w:rsid w:val="00CE72C3"/>
    <w:rPr>
      <w:color w:val="605E5C"/>
      <w:shd w:val="clear" w:color="auto" w:fill="E1DFDD"/>
    </w:rPr>
  </w:style>
  <w:style w:type="character" w:styleId="Fuerte">
    <w:name w:val="Strong"/>
    <w:basedOn w:val="Fuentedeprrafopredeter"/>
    <w:uiPriority w:val="22"/>
    <w:qFormat/>
    <w:rsid w:val="004151A8"/>
    <w:rPr>
      <w:b/>
      <w:bCs/>
    </w:rPr>
  </w:style>
  <w:style w:type="character" w:styleId="nfasis">
    <w:name w:val="Emphasis"/>
    <w:basedOn w:val="Fuentedeprrafopredeter"/>
    <w:uiPriority w:val="20"/>
    <w:qFormat/>
    <w:rsid w:val="004151A8"/>
    <w:rPr>
      <w:i/>
      <w:iCs/>
    </w:rPr>
  </w:style>
  <w:style w:type="paragraph" w:styleId="Textodeglobo">
    <w:name w:val="Balloon Text"/>
    <w:basedOn w:val="Normal"/>
    <w:link w:val="TextodegloboCar"/>
    <w:uiPriority w:val="99"/>
    <w:semiHidden/>
    <w:unhideWhenUsed/>
    <w:rsid w:val="0061375F"/>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61375F"/>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9664887">
      <w:bodyDiv w:val="1"/>
      <w:marLeft w:val="0"/>
      <w:marRight w:val="0"/>
      <w:marTop w:val="0"/>
      <w:marBottom w:val="0"/>
      <w:divBdr>
        <w:top w:val="none" w:sz="0" w:space="0" w:color="auto"/>
        <w:left w:val="none" w:sz="0" w:space="0" w:color="auto"/>
        <w:bottom w:val="none" w:sz="0" w:space="0" w:color="auto"/>
        <w:right w:val="none" w:sz="0" w:space="0" w:color="auto"/>
      </w:divBdr>
      <w:divsChild>
        <w:div w:id="1014302957">
          <w:marLeft w:val="0"/>
          <w:marRight w:val="0"/>
          <w:marTop w:val="0"/>
          <w:marBottom w:val="0"/>
          <w:divBdr>
            <w:top w:val="none" w:sz="0" w:space="0" w:color="auto"/>
            <w:left w:val="none" w:sz="0" w:space="0" w:color="auto"/>
            <w:bottom w:val="none" w:sz="0" w:space="0" w:color="auto"/>
            <w:right w:val="none" w:sz="0" w:space="0" w:color="auto"/>
          </w:divBdr>
        </w:div>
      </w:divsChild>
    </w:div>
    <w:div w:id="88625773">
      <w:bodyDiv w:val="1"/>
      <w:marLeft w:val="0"/>
      <w:marRight w:val="0"/>
      <w:marTop w:val="0"/>
      <w:marBottom w:val="0"/>
      <w:divBdr>
        <w:top w:val="none" w:sz="0" w:space="0" w:color="auto"/>
        <w:left w:val="none" w:sz="0" w:space="0" w:color="auto"/>
        <w:bottom w:val="none" w:sz="0" w:space="0" w:color="auto"/>
        <w:right w:val="none" w:sz="0" w:space="0" w:color="auto"/>
      </w:divBdr>
    </w:div>
    <w:div w:id="264727878">
      <w:bodyDiv w:val="1"/>
      <w:marLeft w:val="0"/>
      <w:marRight w:val="0"/>
      <w:marTop w:val="0"/>
      <w:marBottom w:val="0"/>
      <w:divBdr>
        <w:top w:val="none" w:sz="0" w:space="0" w:color="auto"/>
        <w:left w:val="none" w:sz="0" w:space="0" w:color="auto"/>
        <w:bottom w:val="none" w:sz="0" w:space="0" w:color="auto"/>
        <w:right w:val="none" w:sz="0" w:space="0" w:color="auto"/>
      </w:divBdr>
      <w:divsChild>
        <w:div w:id="1634362215">
          <w:marLeft w:val="0"/>
          <w:marRight w:val="0"/>
          <w:marTop w:val="0"/>
          <w:marBottom w:val="0"/>
          <w:divBdr>
            <w:top w:val="none" w:sz="0" w:space="0" w:color="auto"/>
            <w:left w:val="none" w:sz="0" w:space="0" w:color="auto"/>
            <w:bottom w:val="none" w:sz="0" w:space="0" w:color="auto"/>
            <w:right w:val="none" w:sz="0" w:space="0" w:color="auto"/>
          </w:divBdr>
        </w:div>
      </w:divsChild>
    </w:div>
    <w:div w:id="278729725">
      <w:bodyDiv w:val="1"/>
      <w:marLeft w:val="0"/>
      <w:marRight w:val="0"/>
      <w:marTop w:val="0"/>
      <w:marBottom w:val="0"/>
      <w:divBdr>
        <w:top w:val="none" w:sz="0" w:space="0" w:color="auto"/>
        <w:left w:val="none" w:sz="0" w:space="0" w:color="auto"/>
        <w:bottom w:val="none" w:sz="0" w:space="0" w:color="auto"/>
        <w:right w:val="none" w:sz="0" w:space="0" w:color="auto"/>
      </w:divBdr>
      <w:divsChild>
        <w:div w:id="1992824514">
          <w:marLeft w:val="0"/>
          <w:marRight w:val="0"/>
          <w:marTop w:val="0"/>
          <w:marBottom w:val="0"/>
          <w:divBdr>
            <w:top w:val="none" w:sz="0" w:space="0" w:color="auto"/>
            <w:left w:val="none" w:sz="0" w:space="0" w:color="auto"/>
            <w:bottom w:val="none" w:sz="0" w:space="0" w:color="auto"/>
            <w:right w:val="none" w:sz="0" w:space="0" w:color="auto"/>
          </w:divBdr>
        </w:div>
      </w:divsChild>
    </w:div>
    <w:div w:id="290668246">
      <w:bodyDiv w:val="1"/>
      <w:marLeft w:val="0"/>
      <w:marRight w:val="0"/>
      <w:marTop w:val="0"/>
      <w:marBottom w:val="0"/>
      <w:divBdr>
        <w:top w:val="none" w:sz="0" w:space="0" w:color="auto"/>
        <w:left w:val="none" w:sz="0" w:space="0" w:color="auto"/>
        <w:bottom w:val="none" w:sz="0" w:space="0" w:color="auto"/>
        <w:right w:val="none" w:sz="0" w:space="0" w:color="auto"/>
      </w:divBdr>
      <w:divsChild>
        <w:div w:id="819032843">
          <w:marLeft w:val="0"/>
          <w:marRight w:val="0"/>
          <w:marTop w:val="0"/>
          <w:marBottom w:val="0"/>
          <w:divBdr>
            <w:top w:val="none" w:sz="0" w:space="0" w:color="auto"/>
            <w:left w:val="none" w:sz="0" w:space="0" w:color="auto"/>
            <w:bottom w:val="none" w:sz="0" w:space="0" w:color="auto"/>
            <w:right w:val="none" w:sz="0" w:space="0" w:color="auto"/>
          </w:divBdr>
        </w:div>
      </w:divsChild>
    </w:div>
    <w:div w:id="468741564">
      <w:bodyDiv w:val="1"/>
      <w:marLeft w:val="0"/>
      <w:marRight w:val="0"/>
      <w:marTop w:val="0"/>
      <w:marBottom w:val="0"/>
      <w:divBdr>
        <w:top w:val="none" w:sz="0" w:space="0" w:color="auto"/>
        <w:left w:val="none" w:sz="0" w:space="0" w:color="auto"/>
        <w:bottom w:val="none" w:sz="0" w:space="0" w:color="auto"/>
        <w:right w:val="none" w:sz="0" w:space="0" w:color="auto"/>
      </w:divBdr>
      <w:divsChild>
        <w:div w:id="692998847">
          <w:marLeft w:val="0"/>
          <w:marRight w:val="0"/>
          <w:marTop w:val="0"/>
          <w:marBottom w:val="0"/>
          <w:divBdr>
            <w:top w:val="none" w:sz="0" w:space="0" w:color="auto"/>
            <w:left w:val="none" w:sz="0" w:space="0" w:color="auto"/>
            <w:bottom w:val="none" w:sz="0" w:space="0" w:color="auto"/>
            <w:right w:val="none" w:sz="0" w:space="0" w:color="auto"/>
          </w:divBdr>
        </w:div>
      </w:divsChild>
    </w:div>
    <w:div w:id="494808525">
      <w:bodyDiv w:val="1"/>
      <w:marLeft w:val="0"/>
      <w:marRight w:val="0"/>
      <w:marTop w:val="0"/>
      <w:marBottom w:val="0"/>
      <w:divBdr>
        <w:top w:val="none" w:sz="0" w:space="0" w:color="auto"/>
        <w:left w:val="none" w:sz="0" w:space="0" w:color="auto"/>
        <w:bottom w:val="none" w:sz="0" w:space="0" w:color="auto"/>
        <w:right w:val="none" w:sz="0" w:space="0" w:color="auto"/>
      </w:divBdr>
      <w:divsChild>
        <w:div w:id="1682782366">
          <w:marLeft w:val="0"/>
          <w:marRight w:val="0"/>
          <w:marTop w:val="0"/>
          <w:marBottom w:val="0"/>
          <w:divBdr>
            <w:top w:val="none" w:sz="0" w:space="0" w:color="auto"/>
            <w:left w:val="none" w:sz="0" w:space="0" w:color="auto"/>
            <w:bottom w:val="none" w:sz="0" w:space="0" w:color="auto"/>
            <w:right w:val="none" w:sz="0" w:space="0" w:color="auto"/>
          </w:divBdr>
        </w:div>
      </w:divsChild>
    </w:div>
    <w:div w:id="544291271">
      <w:bodyDiv w:val="1"/>
      <w:marLeft w:val="0"/>
      <w:marRight w:val="0"/>
      <w:marTop w:val="0"/>
      <w:marBottom w:val="0"/>
      <w:divBdr>
        <w:top w:val="none" w:sz="0" w:space="0" w:color="auto"/>
        <w:left w:val="none" w:sz="0" w:space="0" w:color="auto"/>
        <w:bottom w:val="none" w:sz="0" w:space="0" w:color="auto"/>
        <w:right w:val="none" w:sz="0" w:space="0" w:color="auto"/>
      </w:divBdr>
      <w:divsChild>
        <w:div w:id="734931538">
          <w:marLeft w:val="0"/>
          <w:marRight w:val="0"/>
          <w:marTop w:val="0"/>
          <w:marBottom w:val="0"/>
          <w:divBdr>
            <w:top w:val="none" w:sz="0" w:space="0" w:color="auto"/>
            <w:left w:val="none" w:sz="0" w:space="0" w:color="auto"/>
            <w:bottom w:val="none" w:sz="0" w:space="0" w:color="auto"/>
            <w:right w:val="none" w:sz="0" w:space="0" w:color="auto"/>
          </w:divBdr>
        </w:div>
      </w:divsChild>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42415040">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825783829">
      <w:bodyDiv w:val="1"/>
      <w:marLeft w:val="0"/>
      <w:marRight w:val="0"/>
      <w:marTop w:val="0"/>
      <w:marBottom w:val="0"/>
      <w:divBdr>
        <w:top w:val="none" w:sz="0" w:space="0" w:color="auto"/>
        <w:left w:val="none" w:sz="0" w:space="0" w:color="auto"/>
        <w:bottom w:val="none" w:sz="0" w:space="0" w:color="auto"/>
        <w:right w:val="none" w:sz="0" w:space="0" w:color="auto"/>
      </w:divBdr>
      <w:divsChild>
        <w:div w:id="540437323">
          <w:marLeft w:val="0"/>
          <w:marRight w:val="0"/>
          <w:marTop w:val="0"/>
          <w:marBottom w:val="0"/>
          <w:divBdr>
            <w:top w:val="none" w:sz="0" w:space="0" w:color="auto"/>
            <w:left w:val="none" w:sz="0" w:space="0" w:color="auto"/>
            <w:bottom w:val="none" w:sz="0" w:space="0" w:color="auto"/>
            <w:right w:val="none" w:sz="0" w:space="0" w:color="auto"/>
          </w:divBdr>
        </w:div>
      </w:divsChild>
    </w:div>
    <w:div w:id="995231916">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164515305">
      <w:bodyDiv w:val="1"/>
      <w:marLeft w:val="0"/>
      <w:marRight w:val="0"/>
      <w:marTop w:val="0"/>
      <w:marBottom w:val="0"/>
      <w:divBdr>
        <w:top w:val="none" w:sz="0" w:space="0" w:color="auto"/>
        <w:left w:val="none" w:sz="0" w:space="0" w:color="auto"/>
        <w:bottom w:val="none" w:sz="0" w:space="0" w:color="auto"/>
        <w:right w:val="none" w:sz="0" w:space="0" w:color="auto"/>
      </w:divBdr>
      <w:divsChild>
        <w:div w:id="737703769">
          <w:marLeft w:val="0"/>
          <w:marRight w:val="0"/>
          <w:marTop w:val="0"/>
          <w:marBottom w:val="0"/>
          <w:divBdr>
            <w:top w:val="none" w:sz="0" w:space="0" w:color="auto"/>
            <w:left w:val="none" w:sz="0" w:space="0" w:color="auto"/>
            <w:bottom w:val="none" w:sz="0" w:space="0" w:color="auto"/>
            <w:right w:val="none" w:sz="0" w:space="0" w:color="auto"/>
          </w:divBdr>
        </w:div>
      </w:divsChild>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77057947">
      <w:bodyDiv w:val="1"/>
      <w:marLeft w:val="0"/>
      <w:marRight w:val="0"/>
      <w:marTop w:val="0"/>
      <w:marBottom w:val="0"/>
      <w:divBdr>
        <w:top w:val="none" w:sz="0" w:space="0" w:color="auto"/>
        <w:left w:val="none" w:sz="0" w:space="0" w:color="auto"/>
        <w:bottom w:val="none" w:sz="0" w:space="0" w:color="auto"/>
        <w:right w:val="none" w:sz="0" w:space="0" w:color="auto"/>
      </w:divBdr>
      <w:divsChild>
        <w:div w:id="663704293">
          <w:marLeft w:val="0"/>
          <w:marRight w:val="0"/>
          <w:marTop w:val="0"/>
          <w:marBottom w:val="0"/>
          <w:divBdr>
            <w:top w:val="none" w:sz="0" w:space="0" w:color="auto"/>
            <w:left w:val="none" w:sz="0" w:space="0" w:color="auto"/>
            <w:bottom w:val="none" w:sz="0" w:space="0" w:color="auto"/>
            <w:right w:val="none" w:sz="0" w:space="0" w:color="auto"/>
          </w:divBdr>
        </w:div>
      </w:divsChild>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1387148157">
      <w:bodyDiv w:val="1"/>
      <w:marLeft w:val="0"/>
      <w:marRight w:val="0"/>
      <w:marTop w:val="0"/>
      <w:marBottom w:val="0"/>
      <w:divBdr>
        <w:top w:val="none" w:sz="0" w:space="0" w:color="auto"/>
        <w:left w:val="none" w:sz="0" w:space="0" w:color="auto"/>
        <w:bottom w:val="none" w:sz="0" w:space="0" w:color="auto"/>
        <w:right w:val="none" w:sz="0" w:space="0" w:color="auto"/>
      </w:divBdr>
      <w:divsChild>
        <w:div w:id="2098598528">
          <w:marLeft w:val="0"/>
          <w:marRight w:val="0"/>
          <w:marTop w:val="0"/>
          <w:marBottom w:val="0"/>
          <w:divBdr>
            <w:top w:val="none" w:sz="0" w:space="0" w:color="auto"/>
            <w:left w:val="none" w:sz="0" w:space="0" w:color="auto"/>
            <w:bottom w:val="none" w:sz="0" w:space="0" w:color="auto"/>
            <w:right w:val="none" w:sz="0" w:space="0" w:color="auto"/>
          </w:divBdr>
        </w:div>
      </w:divsChild>
    </w:div>
    <w:div w:id="1479764076">
      <w:bodyDiv w:val="1"/>
      <w:marLeft w:val="0"/>
      <w:marRight w:val="0"/>
      <w:marTop w:val="0"/>
      <w:marBottom w:val="0"/>
      <w:divBdr>
        <w:top w:val="none" w:sz="0" w:space="0" w:color="auto"/>
        <w:left w:val="none" w:sz="0" w:space="0" w:color="auto"/>
        <w:bottom w:val="none" w:sz="0" w:space="0" w:color="auto"/>
        <w:right w:val="none" w:sz="0" w:space="0" w:color="auto"/>
      </w:divBdr>
      <w:divsChild>
        <w:div w:id="58983323">
          <w:marLeft w:val="0"/>
          <w:marRight w:val="0"/>
          <w:marTop w:val="0"/>
          <w:marBottom w:val="0"/>
          <w:divBdr>
            <w:top w:val="none" w:sz="0" w:space="0" w:color="auto"/>
            <w:left w:val="none" w:sz="0" w:space="0" w:color="auto"/>
            <w:bottom w:val="none" w:sz="0" w:space="0" w:color="auto"/>
            <w:right w:val="none" w:sz="0" w:space="0" w:color="auto"/>
          </w:divBdr>
        </w:div>
      </w:divsChild>
    </w:div>
    <w:div w:id="1489788465">
      <w:bodyDiv w:val="1"/>
      <w:marLeft w:val="0"/>
      <w:marRight w:val="0"/>
      <w:marTop w:val="0"/>
      <w:marBottom w:val="0"/>
      <w:divBdr>
        <w:top w:val="none" w:sz="0" w:space="0" w:color="auto"/>
        <w:left w:val="none" w:sz="0" w:space="0" w:color="auto"/>
        <w:bottom w:val="none" w:sz="0" w:space="0" w:color="auto"/>
        <w:right w:val="none" w:sz="0" w:space="0" w:color="auto"/>
      </w:divBdr>
      <w:divsChild>
        <w:div w:id="913703278">
          <w:marLeft w:val="0"/>
          <w:marRight w:val="0"/>
          <w:marTop w:val="0"/>
          <w:marBottom w:val="0"/>
          <w:divBdr>
            <w:top w:val="none" w:sz="0" w:space="0" w:color="auto"/>
            <w:left w:val="none" w:sz="0" w:space="0" w:color="auto"/>
            <w:bottom w:val="none" w:sz="0" w:space="0" w:color="auto"/>
            <w:right w:val="none" w:sz="0" w:space="0" w:color="auto"/>
          </w:divBdr>
        </w:div>
      </w:divsChild>
    </w:div>
    <w:div w:id="1558398087">
      <w:bodyDiv w:val="1"/>
      <w:marLeft w:val="0"/>
      <w:marRight w:val="0"/>
      <w:marTop w:val="0"/>
      <w:marBottom w:val="0"/>
      <w:divBdr>
        <w:top w:val="none" w:sz="0" w:space="0" w:color="auto"/>
        <w:left w:val="none" w:sz="0" w:space="0" w:color="auto"/>
        <w:bottom w:val="none" w:sz="0" w:space="0" w:color="auto"/>
        <w:right w:val="none" w:sz="0" w:space="0" w:color="auto"/>
      </w:divBdr>
      <w:divsChild>
        <w:div w:id="1643585234">
          <w:marLeft w:val="0"/>
          <w:marRight w:val="0"/>
          <w:marTop w:val="0"/>
          <w:marBottom w:val="0"/>
          <w:divBdr>
            <w:top w:val="none" w:sz="0" w:space="0" w:color="auto"/>
            <w:left w:val="none" w:sz="0" w:space="0" w:color="auto"/>
            <w:bottom w:val="none" w:sz="0" w:space="0" w:color="auto"/>
            <w:right w:val="none" w:sz="0" w:space="0" w:color="auto"/>
          </w:divBdr>
        </w:div>
      </w:divsChild>
    </w:div>
    <w:div w:id="1754886305">
      <w:bodyDiv w:val="1"/>
      <w:marLeft w:val="0"/>
      <w:marRight w:val="0"/>
      <w:marTop w:val="0"/>
      <w:marBottom w:val="0"/>
      <w:divBdr>
        <w:top w:val="none" w:sz="0" w:space="0" w:color="auto"/>
        <w:left w:val="none" w:sz="0" w:space="0" w:color="auto"/>
        <w:bottom w:val="none" w:sz="0" w:space="0" w:color="auto"/>
        <w:right w:val="none" w:sz="0" w:space="0" w:color="auto"/>
      </w:divBdr>
      <w:divsChild>
        <w:div w:id="525680914">
          <w:marLeft w:val="0"/>
          <w:marRight w:val="0"/>
          <w:marTop w:val="0"/>
          <w:marBottom w:val="0"/>
          <w:divBdr>
            <w:top w:val="none" w:sz="0" w:space="0" w:color="auto"/>
            <w:left w:val="none" w:sz="0" w:space="0" w:color="auto"/>
            <w:bottom w:val="none" w:sz="0" w:space="0" w:color="auto"/>
            <w:right w:val="none" w:sz="0" w:space="0" w:color="auto"/>
          </w:divBdr>
        </w:div>
      </w:divsChild>
    </w:div>
    <w:div w:id="1860656450">
      <w:bodyDiv w:val="1"/>
      <w:marLeft w:val="0"/>
      <w:marRight w:val="0"/>
      <w:marTop w:val="0"/>
      <w:marBottom w:val="0"/>
      <w:divBdr>
        <w:top w:val="none" w:sz="0" w:space="0" w:color="auto"/>
        <w:left w:val="none" w:sz="0" w:space="0" w:color="auto"/>
        <w:bottom w:val="none" w:sz="0" w:space="0" w:color="auto"/>
        <w:right w:val="none" w:sz="0" w:space="0" w:color="auto"/>
      </w:divBdr>
    </w:div>
    <w:div w:id="1865633806">
      <w:bodyDiv w:val="1"/>
      <w:marLeft w:val="0"/>
      <w:marRight w:val="0"/>
      <w:marTop w:val="0"/>
      <w:marBottom w:val="0"/>
      <w:divBdr>
        <w:top w:val="none" w:sz="0" w:space="0" w:color="auto"/>
        <w:left w:val="none" w:sz="0" w:space="0" w:color="auto"/>
        <w:bottom w:val="none" w:sz="0" w:space="0" w:color="auto"/>
        <w:right w:val="none" w:sz="0" w:space="0" w:color="auto"/>
      </w:divBdr>
    </w:div>
    <w:div w:id="1874607864">
      <w:bodyDiv w:val="1"/>
      <w:marLeft w:val="0"/>
      <w:marRight w:val="0"/>
      <w:marTop w:val="0"/>
      <w:marBottom w:val="0"/>
      <w:divBdr>
        <w:top w:val="none" w:sz="0" w:space="0" w:color="auto"/>
        <w:left w:val="none" w:sz="0" w:space="0" w:color="auto"/>
        <w:bottom w:val="none" w:sz="0" w:space="0" w:color="auto"/>
        <w:right w:val="none" w:sz="0" w:space="0" w:color="auto"/>
      </w:divBdr>
      <w:divsChild>
        <w:div w:id="1158226532">
          <w:marLeft w:val="0"/>
          <w:marRight w:val="0"/>
          <w:marTop w:val="0"/>
          <w:marBottom w:val="0"/>
          <w:divBdr>
            <w:top w:val="none" w:sz="0" w:space="0" w:color="auto"/>
            <w:left w:val="none" w:sz="0" w:space="0" w:color="auto"/>
            <w:bottom w:val="none" w:sz="0" w:space="0" w:color="auto"/>
            <w:right w:val="none" w:sz="0" w:space="0" w:color="auto"/>
          </w:divBdr>
        </w:div>
      </w:divsChild>
    </w:div>
    <w:div w:id="2022974133">
      <w:bodyDiv w:val="1"/>
      <w:marLeft w:val="0"/>
      <w:marRight w:val="0"/>
      <w:marTop w:val="0"/>
      <w:marBottom w:val="0"/>
      <w:divBdr>
        <w:top w:val="none" w:sz="0" w:space="0" w:color="auto"/>
        <w:left w:val="none" w:sz="0" w:space="0" w:color="auto"/>
        <w:bottom w:val="none" w:sz="0" w:space="0" w:color="auto"/>
        <w:right w:val="none" w:sz="0" w:space="0" w:color="auto"/>
      </w:divBdr>
      <w:divsChild>
        <w:div w:id="1847477349">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funcionpublica.gov.co/eva/gestornormativo/norma.php?i=18232" TargetMode="External"/><Relationship Id="rId18" Type="http://schemas.openxmlformats.org/officeDocument/2006/relationships/hyperlink" Target="https://formacionvirtual.colombiacompra.gov.co/mod/page/view.php?id=3718" TargetMode="External"/><Relationship Id="rId26"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hyperlink" Target="mailto:ventanilladeradicacion@colombiacompra.gov.co" TargetMode="External"/><Relationship Id="rId7" Type="http://schemas.openxmlformats.org/officeDocument/2006/relationships/settings" Target="settings.xml"/><Relationship Id="rId12" Type="http://schemas.openxmlformats.org/officeDocument/2006/relationships/hyperlink" Target="mailto:apoyo.gestionpredial@empocaldas.com.co" TargetMode="External"/><Relationship Id="rId17" Type="http://schemas.openxmlformats.org/officeDocument/2006/relationships/hyperlink" Target="https://relatoria.colombiacompra.gov.co/busqueda/conceptos" TargetMode="External"/><Relationship Id="rId25"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https://www.funcionpublica.gov.co/eva/gestornormativo/norma.php?i=18232" TargetMode="External"/><Relationship Id="rId20"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emf"/><Relationship Id="rId24" Type="http://schemas.openxmlformats.org/officeDocument/2006/relationships/image" Target="media/image3.png"/><Relationship Id="rId5" Type="http://schemas.openxmlformats.org/officeDocument/2006/relationships/numbering" Target="numbering.xml"/><Relationship Id="rId15" Type="http://schemas.openxmlformats.org/officeDocument/2006/relationships/hyperlink" Target="https://www.funcionpublica.gov.co/eva/gestornormativo/norma.php?i=18232" TargetMode="External"/><Relationship Id="rId23" Type="http://schemas.openxmlformats.org/officeDocument/2006/relationships/hyperlink" Target="https://forms.office.com/r/pPHyWVs2SZ" TargetMode="External"/><Relationship Id="rId28"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hyperlink" Target="https://www.colombiacompra.gov.co/normativa-y-relatoria/documentos-tipo"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funcionpublica.gov.co/eva/gestornormativo/norma.php?i=18232" TargetMode="External"/><Relationship Id="rId22" Type="http://schemas.openxmlformats.org/officeDocument/2006/relationships/hyperlink" Target="https://www.colombiacompra.gov.co/pqrsd/informacion-importante-antes-de-formular-una-pqrsd" TargetMode="External"/><Relationship Id="rId27" Type="http://schemas.openxmlformats.org/officeDocument/2006/relationships/fontTable" Target="fontTable.xml"/></Relationships>
</file>

<file path=word/_rels/footnotes.xml.rels><?xml version="1.0" encoding="UTF-8" standalone="yes"?>
<Relationships xmlns="http://schemas.openxmlformats.org/package/2006/relationships"><Relationship Id="rId1" Type="http://schemas.openxmlformats.org/officeDocument/2006/relationships/hyperlink" Target="https://relatoria.colombiacompra.gov.co/ficha/4201912000005718"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889D0918-BC03-4E9E-A07D-F21AA0EC078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72E184F-B74F-4310-96B6-370D84F771B1}">
  <ds:schemaRefs>
    <ds:schemaRef ds:uri="http://schemas.openxmlformats.org/officeDocument/2006/bibliography"/>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a6cb9e4b-f1d1-4245-83ec-6cad768d538a"/>
    <ds:schemaRef ds:uri="9d85dbaf-23eb-4e57-a637-93dcacc8b1a1"/>
  </ds:schemaRefs>
</ds:datastoreItem>
</file>

<file path=customXml/itemProps4.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55</TotalTime>
  <Pages>40</Pages>
  <Words>14145</Words>
  <Characters>77798</Characters>
  <Application>Microsoft Office Word</Application>
  <DocSecurity>0</DocSecurity>
  <Lines>648</Lines>
  <Paragraphs>183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91760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5</cp:revision>
  <cp:lastPrinted>2023-01-10T21:18:00Z</cp:lastPrinted>
  <dcterms:created xsi:type="dcterms:W3CDTF">2026-04-24T21:32:00Z</dcterms:created>
  <dcterms:modified xsi:type="dcterms:W3CDTF">2026-04-28T18:55:00Z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