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5657D" w14:textId="77777777" w:rsidR="00BF70E2" w:rsidRPr="00FE1FE7" w:rsidRDefault="00BF70E2" w:rsidP="00BF70E2">
      <w:pPr>
        <w:spacing w:after="0" w:line="240" w:lineRule="auto"/>
        <w:rPr>
          <w:rFonts w:ascii="Verdana" w:eastAsia="Calibri" w:hAnsi="Verdana" w:cs="Arial"/>
          <w:b/>
          <w:bCs/>
          <w:lang w:val="es-ES" w:eastAsia="es-ES"/>
        </w:rPr>
      </w:pPr>
      <w:bookmarkStart w:id="0" w:name="_Hlk186494164"/>
      <w:bookmarkStart w:id="1" w:name="_Hlk143780582"/>
      <w:r w:rsidRPr="00FE1FE7">
        <w:rPr>
          <w:rFonts w:ascii="Verdana" w:eastAsia="Calibri" w:hAnsi="Verdana" w:cs="Arial"/>
          <w:b/>
          <w:bCs/>
          <w:lang w:val="es-ES" w:eastAsia="es-ES"/>
        </w:rPr>
        <w:t xml:space="preserve">SISTEMA GENERAL DE REGALÍAS – Ley 2056 de 2020 – artículo 37 </w:t>
      </w:r>
    </w:p>
    <w:p w14:paraId="3B532C06" w14:textId="77777777" w:rsidR="00BF70E2" w:rsidRPr="00BF70E2" w:rsidRDefault="00BF70E2" w:rsidP="00BF70E2">
      <w:pPr>
        <w:spacing w:after="0" w:line="240" w:lineRule="auto"/>
        <w:jc w:val="both"/>
        <w:rPr>
          <w:rFonts w:ascii="Verdana" w:hAnsi="Verdana" w:cs="Arial"/>
          <w:noProof/>
          <w:sz w:val="20"/>
          <w:szCs w:val="20"/>
          <w:lang w:val="es-ES_tradnl"/>
        </w:rPr>
      </w:pPr>
    </w:p>
    <w:p w14:paraId="00CCC431" w14:textId="77777777" w:rsidR="00BF70E2" w:rsidRPr="00BF70E2" w:rsidRDefault="00BF70E2" w:rsidP="00BF70E2">
      <w:pPr>
        <w:spacing w:after="0" w:line="240" w:lineRule="auto"/>
        <w:jc w:val="both"/>
        <w:rPr>
          <w:rFonts w:ascii="Verdana" w:hAnsi="Verdana" w:cs="Arial"/>
          <w:noProof/>
          <w:sz w:val="20"/>
          <w:szCs w:val="20"/>
          <w:lang w:val="es-ES_tradnl"/>
        </w:rPr>
      </w:pPr>
      <w:r w:rsidRPr="00BF70E2">
        <w:rPr>
          <w:rFonts w:ascii="Verdana" w:hAnsi="Verdana" w:cs="Arial"/>
          <w:noProof/>
          <w:sz w:val="20"/>
          <w:szCs w:val="20"/>
          <w:lang w:val="es-ES_tradnl"/>
        </w:rPr>
        <w:t xml:space="preserve">En </w:t>
      </w:r>
      <w:r w:rsidRPr="00BF70E2">
        <w:rPr>
          <w:rFonts w:ascii="Verdana" w:hAnsi="Verdana" w:cs="Arial"/>
          <w:noProof/>
          <w:sz w:val="20"/>
          <w:szCs w:val="20"/>
        </w:rPr>
        <w:t>el Título IV, Capítulo I, la Ley 2056 de 2020 establece las reglas generales para los proyectos de inversión en el Sistema General de Regalías. En esta línea, regula la destinación de los proyectos del Sistema General de Regalías –artículo 28–, las características de los proyectos de inversión –artículo 29–, los ejercicios de planeación –artículo 30–, el ciclo de los proyectos de inversión –artículo 31–, el 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w:t>
      </w:r>
    </w:p>
    <w:p w14:paraId="4A8F4665" w14:textId="77777777" w:rsidR="00BF70E2" w:rsidRPr="00BF70E2" w:rsidRDefault="00BF70E2" w:rsidP="00BF70E2">
      <w:pPr>
        <w:spacing w:after="0" w:line="240" w:lineRule="auto"/>
        <w:jc w:val="both"/>
        <w:rPr>
          <w:rFonts w:ascii="Verdana" w:hAnsi="Verdana" w:cs="Arial"/>
          <w:noProof/>
          <w:sz w:val="20"/>
          <w:szCs w:val="20"/>
        </w:rPr>
      </w:pPr>
    </w:p>
    <w:p w14:paraId="271EFDB3" w14:textId="172A44E5" w:rsidR="00BF70E2" w:rsidRDefault="00BF70E2" w:rsidP="00FE1FE7">
      <w:pPr>
        <w:spacing w:after="0" w:line="240" w:lineRule="auto"/>
        <w:jc w:val="both"/>
        <w:rPr>
          <w:rFonts w:ascii="Verdana" w:hAnsi="Verdana" w:cs="Arial"/>
          <w:sz w:val="20"/>
          <w:szCs w:val="20"/>
        </w:rPr>
      </w:pPr>
      <w:r w:rsidRPr="00BF70E2">
        <w:rPr>
          <w:rFonts w:ascii="Verdana" w:hAnsi="Verdana" w:cs="Arial"/>
          <w:noProof/>
          <w:sz w:val="20"/>
          <w:szCs w:val="20"/>
        </w:rPr>
        <w:t xml:space="preserve">Particularmente, el artículo 37 </w:t>
      </w:r>
      <w:r w:rsidRPr="00BF70E2">
        <w:rPr>
          <w:rFonts w:ascii="Verdana" w:hAnsi="Verdana" w:cs="Arial"/>
          <w:sz w:val="20"/>
          <w:szCs w:val="20"/>
        </w:rPr>
        <w:t xml:space="preserve">de la Ley 2056 de 2020 dispone que los proyectos de inversión que se financien con cargo al Sistema General de Regalías serán ejecutados por quien designe las entidades u órganos de que tratan los artículos 35 y 36 </w:t>
      </w:r>
      <w:r w:rsidRPr="00BF70E2">
        <w:rPr>
          <w:rFonts w:ascii="Verdana" w:hAnsi="Verdana" w:cs="Arial"/>
          <w:i/>
          <w:iCs/>
          <w:sz w:val="20"/>
          <w:szCs w:val="20"/>
        </w:rPr>
        <w:t>ibidem</w:t>
      </w:r>
      <w:r w:rsidRPr="00BF70E2">
        <w:rPr>
          <w:rFonts w:ascii="Verdana" w:hAnsi="Verdana" w:cs="Arial"/>
          <w:sz w:val="20"/>
          <w:szCs w:val="20"/>
        </w:rPr>
        <w:t xml:space="preserve">. También agrega que la entidad pública ejecutora tiene el deber de adelantar la contratación de la interventoría, de conformidad con lo previsto en la presente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w:t>
      </w:r>
      <w:proofErr w:type="gramStart"/>
      <w:r w:rsidRPr="00BF70E2">
        <w:rPr>
          <w:rFonts w:ascii="Verdana" w:hAnsi="Verdana" w:cs="Arial"/>
          <w:sz w:val="20"/>
          <w:szCs w:val="20"/>
        </w:rPr>
        <w:t>los mismos</w:t>
      </w:r>
      <w:proofErr w:type="gramEnd"/>
      <w:r w:rsidRPr="00BF70E2">
        <w:rPr>
          <w:rFonts w:ascii="Verdana" w:hAnsi="Verdana" w:cs="Arial"/>
          <w:sz w:val="20"/>
          <w:szCs w:val="20"/>
        </w:rPr>
        <w:t xml:space="preserve">, sin perjuicio de las acciones de control a las que haya lugar. El parágrafo primero del artículo 37 </w:t>
      </w:r>
      <w:r w:rsidRPr="00BF70E2">
        <w:rPr>
          <w:rFonts w:ascii="Verdana" w:hAnsi="Verdana" w:cs="Arial"/>
          <w:i/>
          <w:iCs/>
          <w:sz w:val="20"/>
          <w:szCs w:val="20"/>
        </w:rPr>
        <w:t>ibidem</w:t>
      </w:r>
      <w:r w:rsidRPr="00BF70E2">
        <w:rPr>
          <w:rFonts w:ascii="Verdana" w:hAnsi="Verdana" w:cs="Arial"/>
          <w:sz w:val="20"/>
          <w:szCs w:val="20"/>
        </w:rPr>
        <w:t xml:space="preserve"> dispone lo siguiente: “La ejecución de proyectos de que trata este artículo, se adelantará, con estricta sujeción al régimen presupuestal definido en esta ley, </w:t>
      </w:r>
      <w:r w:rsidRPr="00BF70E2">
        <w:rPr>
          <w:rFonts w:ascii="Verdana" w:hAnsi="Verdana" w:cs="Arial"/>
          <w:i/>
          <w:iCs/>
          <w:sz w:val="20"/>
          <w:szCs w:val="20"/>
          <w:u w:val="single"/>
        </w:rPr>
        <w:t>al de contratación pública</w:t>
      </w:r>
      <w:r w:rsidRPr="00BF70E2">
        <w:rPr>
          <w:rFonts w:ascii="Verdana" w:hAnsi="Verdana" w:cs="Arial"/>
          <w:sz w:val="20"/>
          <w:szCs w:val="20"/>
        </w:rPr>
        <w:t xml:space="preserve"> y las demás normas legales vigentes. El ejecutor garantizará la correcta ejecución de los recursos asignados al proyecto de inversión, así como el suministro y registro de la información requerida por el sistema de seguimiento, evaluación y control”.</w:t>
      </w:r>
    </w:p>
    <w:p w14:paraId="1838D2A5" w14:textId="77777777" w:rsidR="00FE1FE7" w:rsidRPr="00FE1FE7" w:rsidRDefault="00FE1FE7" w:rsidP="00FE1FE7">
      <w:pPr>
        <w:spacing w:after="0" w:line="240" w:lineRule="auto"/>
        <w:jc w:val="both"/>
        <w:rPr>
          <w:rFonts w:ascii="Verdana" w:hAnsi="Verdana" w:cs="Arial"/>
          <w:sz w:val="20"/>
          <w:szCs w:val="20"/>
        </w:rPr>
      </w:pPr>
    </w:p>
    <w:p w14:paraId="6AF77F89" w14:textId="77777777" w:rsidR="00BF70E2" w:rsidRPr="00BF70E2" w:rsidRDefault="00BF70E2" w:rsidP="00BF70E2">
      <w:pPr>
        <w:jc w:val="both"/>
        <w:rPr>
          <w:rFonts w:ascii="Verdana" w:eastAsia="Calibri" w:hAnsi="Verdana" w:cs="Arial"/>
          <w:b/>
          <w:bCs/>
          <w:lang w:val="es-ES" w:eastAsia="es-ES"/>
        </w:rPr>
      </w:pPr>
      <w:r w:rsidRPr="00BF70E2">
        <w:rPr>
          <w:rFonts w:ascii="Verdana" w:eastAsia="Calibri" w:hAnsi="Verdana" w:cs="Arial"/>
          <w:b/>
          <w:bCs/>
          <w:lang w:val="es-ES" w:eastAsia="es-ES"/>
        </w:rPr>
        <w:t xml:space="preserve">RÉGIMEN CONTRACTUAL – Entidades ejecutoras – Aplicación del Estatuto General de Contratación de la Administración Pública         </w:t>
      </w:r>
    </w:p>
    <w:p w14:paraId="33E49DDC" w14:textId="77777777" w:rsidR="00BF70E2" w:rsidRPr="00BF70E2" w:rsidRDefault="00BF70E2" w:rsidP="00BF70E2">
      <w:pPr>
        <w:spacing w:after="0" w:line="240" w:lineRule="auto"/>
        <w:jc w:val="both"/>
        <w:rPr>
          <w:rFonts w:ascii="Verdana" w:hAnsi="Verdana" w:cs="Arial"/>
          <w:sz w:val="20"/>
          <w:szCs w:val="20"/>
          <w:bdr w:val="none" w:sz="0" w:space="0" w:color="auto" w:frame="1"/>
        </w:rPr>
      </w:pPr>
      <w:r w:rsidRPr="00BF70E2">
        <w:rPr>
          <w:rFonts w:ascii="Verdana" w:hAnsi="Verdana" w:cs="Arial"/>
          <w:sz w:val="20"/>
          <w:szCs w:val="20"/>
        </w:rPr>
        <w:t xml:space="preserve">En caso de que se realicen proyectos de inversión en el marco del Sistema General de Regalías, como también aquellos proyectos especiales referenciados </w:t>
      </w:r>
      <w:r w:rsidRPr="00BF70E2">
        <w:rPr>
          <w:rFonts w:ascii="Verdana" w:hAnsi="Verdana" w:cs="Arial"/>
          <w:i/>
          <w:iCs/>
          <w:sz w:val="20"/>
          <w:szCs w:val="20"/>
        </w:rPr>
        <w:t>ut supra</w:t>
      </w:r>
      <w:r w:rsidRPr="00BF70E2">
        <w:rPr>
          <w:rFonts w:ascii="Verdana" w:hAnsi="Verdana" w:cs="Arial"/>
          <w:sz w:val="20"/>
          <w:szCs w:val="20"/>
        </w:rPr>
        <w:t>, los ejecutores designados para desarrollarlos deben sujetarse al Estatuto General de Contratación de la Administración Pública</w:t>
      </w:r>
      <w:r w:rsidRPr="00BF70E2">
        <w:rPr>
          <w:rFonts w:ascii="Verdana" w:eastAsia="Calibri" w:hAnsi="Verdana" w:cs="Arial"/>
          <w:sz w:val="20"/>
          <w:szCs w:val="20"/>
        </w:rPr>
        <w:t>.</w:t>
      </w:r>
      <w:r w:rsidRPr="00BF70E2">
        <w:rPr>
          <w:rFonts w:ascii="Verdana" w:hAnsi="Verdana" w:cs="Arial"/>
          <w:sz w:val="20"/>
          <w:szCs w:val="20"/>
        </w:rPr>
        <w:t xml:space="preserve"> </w:t>
      </w:r>
      <w:r w:rsidRPr="00BF70E2">
        <w:rPr>
          <w:rFonts w:ascii="Verdana" w:hAnsi="Verdana" w:cs="Arial"/>
          <w:sz w:val="20"/>
          <w:szCs w:val="20"/>
          <w:bdr w:val="none" w:sz="0" w:space="0" w:color="auto" w:frame="1"/>
        </w:rPr>
        <w:t xml:space="preserve">En el evento en que determinados asuntos estén sometidos por norma especial al Estatuto General de Contratación Pública, la ejecución de los contratos deberá realizarse conforme a este régimen. </w:t>
      </w:r>
    </w:p>
    <w:p w14:paraId="6488DAC2" w14:textId="77777777" w:rsidR="00BF70E2" w:rsidRPr="00BF70E2" w:rsidRDefault="00BF70E2" w:rsidP="00BF70E2">
      <w:pPr>
        <w:spacing w:after="0" w:line="240" w:lineRule="auto"/>
        <w:jc w:val="both"/>
        <w:rPr>
          <w:rFonts w:ascii="Verdana" w:eastAsia="Calibri" w:hAnsi="Verdana" w:cs="Arial"/>
          <w:color w:val="000000"/>
          <w:sz w:val="20"/>
          <w:szCs w:val="20"/>
          <w:lang w:val="es-ES" w:eastAsia="es-ES"/>
        </w:rPr>
      </w:pPr>
    </w:p>
    <w:p w14:paraId="713D3C82" w14:textId="77777777" w:rsidR="00BF70E2" w:rsidRPr="00BF70E2" w:rsidRDefault="00BF70E2" w:rsidP="00BF70E2">
      <w:pPr>
        <w:spacing w:after="0" w:line="240" w:lineRule="auto"/>
        <w:jc w:val="both"/>
        <w:rPr>
          <w:rFonts w:ascii="Verdana" w:eastAsia="Calibri" w:hAnsi="Verdana" w:cs="Arial"/>
          <w:color w:val="000000"/>
          <w:sz w:val="20"/>
          <w:szCs w:val="20"/>
          <w:lang w:val="es-ES" w:eastAsia="es-ES"/>
        </w:rPr>
      </w:pPr>
      <w:r w:rsidRPr="00BF70E2">
        <w:rPr>
          <w:rFonts w:ascii="Verdana" w:eastAsia="Calibri" w:hAnsi="Verdana" w:cs="Arial"/>
          <w:color w:val="000000"/>
          <w:sz w:val="20"/>
          <w:szCs w:val="20"/>
          <w:lang w:val="es-ES" w:eastAsia="es-ES"/>
        </w:rPr>
        <w:t xml:space="preserve">Así las cosas, se ha sostenido que si la entidad ejecutora es de régimen especial, no podrá apoyarse en las excepciones a la aplicación de la Ley 80 de 1993 para la ejecución de los proyectos. De esta manera, el artículo 37 citado excluye la posibilidad de que los recursos se ejecuten con prevalencia del derecho privado, pues quienes tengan la calidad de entidades ejecutoras para efectos del SGR deben sujetarse a las normas donde </w:t>
      </w:r>
      <w:r w:rsidRPr="00BF70E2">
        <w:rPr>
          <w:rFonts w:ascii="Verdana" w:eastAsia="Calibri" w:hAnsi="Verdana" w:cs="Arial"/>
          <w:color w:val="000000"/>
          <w:sz w:val="20"/>
          <w:szCs w:val="20"/>
          <w:lang w:val="es-ES" w:eastAsia="es-ES"/>
        </w:rPr>
        <w:lastRenderedPageBreak/>
        <w:t>prevalece el derecho público, esto es, al EGCAP, sin perjuicio de que en sus demás actividades apliquen el régimen especial que les corresponda.</w:t>
      </w:r>
    </w:p>
    <w:p w14:paraId="554746FA" w14:textId="77777777" w:rsidR="00BF70E2" w:rsidRPr="00BF70E2" w:rsidRDefault="00BF70E2" w:rsidP="00BF70E2">
      <w:pPr>
        <w:spacing w:after="0" w:line="240" w:lineRule="auto"/>
        <w:rPr>
          <w:rFonts w:ascii="Verdana" w:eastAsia="Geomanist Light" w:hAnsi="Verdana" w:cs="Arial"/>
          <w:b/>
          <w:bCs/>
          <w:color w:val="000000" w:themeColor="text1"/>
        </w:rPr>
      </w:pPr>
    </w:p>
    <w:p w14:paraId="2A7AD97C" w14:textId="43FD2A3B" w:rsidR="00BF70E2" w:rsidRPr="00BF70E2" w:rsidRDefault="00BF70E2" w:rsidP="00BF70E2">
      <w:pPr>
        <w:spacing w:after="0" w:line="240" w:lineRule="auto"/>
        <w:rPr>
          <w:rFonts w:ascii="Verdana" w:eastAsia="Calibri" w:hAnsi="Verdana" w:cs="Arial"/>
          <w:lang w:val="es-ES" w:eastAsia="es-ES"/>
        </w:rPr>
      </w:pPr>
      <w:r w:rsidRPr="00BF70E2">
        <w:rPr>
          <w:rFonts w:ascii="Verdana" w:eastAsia="Calibri" w:hAnsi="Verdana" w:cs="Arial"/>
          <w:b/>
          <w:bCs/>
          <w:lang w:val="es-ES" w:eastAsia="es-ES"/>
        </w:rPr>
        <w:t xml:space="preserve">SGR – </w:t>
      </w:r>
      <w:r w:rsidR="00D6085C" w:rsidRPr="00BF70E2">
        <w:rPr>
          <w:rFonts w:ascii="Verdana" w:eastAsia="Calibri" w:hAnsi="Verdana" w:cs="Arial"/>
          <w:b/>
          <w:bCs/>
          <w:lang w:val="es-ES" w:eastAsia="es-ES"/>
        </w:rPr>
        <w:t xml:space="preserve">Aplicación Documentos Tipo </w:t>
      </w:r>
      <w:r w:rsidRPr="00BF70E2">
        <w:rPr>
          <w:rFonts w:ascii="Verdana" w:eastAsia="Calibri" w:hAnsi="Verdana" w:cs="Arial"/>
          <w:b/>
          <w:bCs/>
          <w:lang w:val="es-ES" w:eastAsia="es-ES"/>
        </w:rPr>
        <w:t>– SECOP</w:t>
      </w:r>
      <w:r w:rsidRPr="00BF70E2">
        <w:rPr>
          <w:rFonts w:ascii="Verdana" w:eastAsia="Calibri" w:hAnsi="Verdana" w:cs="Arial"/>
          <w:lang w:val="es-ES" w:eastAsia="es-ES"/>
        </w:rPr>
        <w:t xml:space="preserve">        </w:t>
      </w:r>
    </w:p>
    <w:p w14:paraId="45F63CC5" w14:textId="77777777" w:rsidR="00BF70E2" w:rsidRPr="00BF70E2" w:rsidRDefault="00BF70E2" w:rsidP="00BF70E2">
      <w:pPr>
        <w:spacing w:after="0" w:line="240" w:lineRule="auto"/>
        <w:rPr>
          <w:rFonts w:ascii="Verdana" w:eastAsia="Calibri" w:hAnsi="Verdana" w:cs="Arial"/>
          <w:lang w:val="es-ES" w:eastAsia="es-ES"/>
        </w:rPr>
      </w:pPr>
    </w:p>
    <w:p w14:paraId="1286196D" w14:textId="77777777" w:rsidR="00BF70E2" w:rsidRPr="00BF70E2" w:rsidRDefault="00BF70E2" w:rsidP="00BF70E2">
      <w:pPr>
        <w:spacing w:after="0" w:line="240" w:lineRule="auto"/>
        <w:jc w:val="both"/>
        <w:rPr>
          <w:rFonts w:ascii="Verdana" w:hAnsi="Verdana" w:cs="Arial"/>
          <w:sz w:val="20"/>
          <w:szCs w:val="20"/>
          <w:bdr w:val="none" w:sz="0" w:space="0" w:color="auto" w:frame="1"/>
        </w:rPr>
      </w:pPr>
      <w:r w:rsidRPr="00BF70E2">
        <w:rPr>
          <w:rFonts w:ascii="Verdana" w:hAnsi="Verdana" w:cs="Arial"/>
          <w:sz w:val="20"/>
          <w:szCs w:val="20"/>
          <w:bdr w:val="none" w:sz="0" w:space="0" w:color="auto" w:frame="1"/>
        </w:rPr>
        <w:t xml:space="preserve">En este orden de ideas, si bien en principio las entidades con régimen de contratación especial no están obligadas a aplicar los documentos tipo, la remisión efectuada por el parágrafo primero del artículo 37 de la Ley 2056 de 2020 al EGCAP, conlleva a que las entidades designadas ejecutoras deban sujetarse a las reglas y principios establecidos en el Estatuto General de Contratación de la Administración Pública y sus disposiciones reglamentarias. En consecuencia, ello comprende la aplicación de los documentos tipo en la medida en que el parágrafo 7 del artículo 2 de la Ley 1150 de 2007, adicionado por la Ley 1882 de 2018 y modificado por la Ley 2022 de 2020, establece su carácter obligatorio para las entidades que se rigen por el EGCAP, como sucede para efectos de los recursos del SGR. </w:t>
      </w:r>
    </w:p>
    <w:p w14:paraId="3D8A257E" w14:textId="77777777" w:rsidR="00BF70E2" w:rsidRPr="00BF70E2" w:rsidRDefault="00BF70E2" w:rsidP="00BF70E2">
      <w:pPr>
        <w:spacing w:after="0" w:line="240" w:lineRule="auto"/>
        <w:jc w:val="both"/>
        <w:rPr>
          <w:rFonts w:ascii="Verdana" w:hAnsi="Verdana" w:cs="Arial"/>
          <w:sz w:val="20"/>
          <w:szCs w:val="20"/>
          <w:bdr w:val="none" w:sz="0" w:space="0" w:color="auto" w:frame="1"/>
        </w:rPr>
      </w:pPr>
    </w:p>
    <w:p w14:paraId="77CD23C5" w14:textId="77777777" w:rsidR="00BF70E2" w:rsidRPr="00BF70E2" w:rsidRDefault="00BF70E2" w:rsidP="00BF70E2">
      <w:pPr>
        <w:spacing w:after="0" w:line="240" w:lineRule="auto"/>
        <w:jc w:val="both"/>
        <w:rPr>
          <w:rFonts w:ascii="Verdana" w:hAnsi="Verdana" w:cs="Arial"/>
          <w:sz w:val="20"/>
          <w:szCs w:val="20"/>
          <w:bdr w:val="none" w:sz="0" w:space="0" w:color="auto" w:frame="1"/>
        </w:rPr>
      </w:pPr>
      <w:r w:rsidRPr="00BF70E2">
        <w:rPr>
          <w:rFonts w:ascii="Verdana" w:hAnsi="Verdana" w:cs="Arial"/>
          <w:sz w:val="20"/>
          <w:szCs w:val="20"/>
          <w:bdr w:val="none" w:sz="0" w:space="0" w:color="auto" w:frame="1"/>
        </w:rPr>
        <w:t>Por último, sobre el deber de publicidad de la información relativa al Sistema General de Regalías, el artículo 27 de la Ley 2056 del 2020 establece en su parágrafo segundo que las Entidades ejecutoras y los beneficiarios de los recursos del Sistema General de Regalías “al momento de afectar las apropiaciones en Sistema de Presupuesto y Giros de Regalías (SPGR), deberán publicar el proceso de contratación en el Sistema Electrónico para la Contratación Pública”.</w:t>
      </w:r>
    </w:p>
    <w:p w14:paraId="13E223F8" w14:textId="77777777" w:rsidR="00BF70E2" w:rsidRPr="00BF70E2" w:rsidRDefault="00BF70E2" w:rsidP="00BF70E2">
      <w:pPr>
        <w:spacing w:after="0" w:line="240" w:lineRule="auto"/>
        <w:rPr>
          <w:rFonts w:ascii="Verdana" w:eastAsia="Geomanist Light" w:hAnsi="Verdana" w:cs="Arial"/>
          <w:color w:val="000000" w:themeColor="text1"/>
        </w:rPr>
      </w:pPr>
    </w:p>
    <w:p w14:paraId="658AAE0B" w14:textId="77777777" w:rsidR="00BF70E2" w:rsidRPr="00BF70E2" w:rsidRDefault="00BF70E2" w:rsidP="00BF70E2">
      <w:pPr>
        <w:spacing w:after="0" w:line="240" w:lineRule="auto"/>
        <w:rPr>
          <w:rFonts w:ascii="Verdana" w:eastAsia="Geomanist Light" w:hAnsi="Verdana" w:cs="Arial"/>
          <w:color w:val="000000" w:themeColor="text1"/>
        </w:rPr>
      </w:pPr>
    </w:p>
    <w:p w14:paraId="1443CABE" w14:textId="77777777" w:rsidR="00BF70E2" w:rsidRPr="00BF70E2" w:rsidRDefault="00BF70E2" w:rsidP="00BF70E2">
      <w:pPr>
        <w:spacing w:after="0" w:line="240" w:lineRule="auto"/>
        <w:rPr>
          <w:rFonts w:ascii="Verdana" w:eastAsia="Geomanist Light" w:hAnsi="Verdana" w:cs="Arial"/>
          <w:color w:val="000000" w:themeColor="text1"/>
        </w:rPr>
      </w:pPr>
    </w:p>
    <w:p w14:paraId="07C5A056" w14:textId="77777777" w:rsidR="00BF70E2" w:rsidRPr="00BF70E2" w:rsidRDefault="00BF70E2" w:rsidP="00BF70E2">
      <w:pPr>
        <w:spacing w:after="0" w:line="240" w:lineRule="auto"/>
        <w:rPr>
          <w:rFonts w:ascii="Verdana" w:eastAsia="Geomanist Light" w:hAnsi="Verdana" w:cs="Arial"/>
          <w:color w:val="000000" w:themeColor="text1"/>
        </w:rPr>
      </w:pPr>
    </w:p>
    <w:p w14:paraId="43A4B764" w14:textId="77777777" w:rsidR="00BF70E2" w:rsidRPr="00BF70E2" w:rsidRDefault="00BF70E2" w:rsidP="00BF70E2">
      <w:pPr>
        <w:spacing w:after="0" w:line="240" w:lineRule="auto"/>
        <w:rPr>
          <w:rFonts w:ascii="Verdana" w:eastAsia="Geomanist Light" w:hAnsi="Verdana" w:cs="Arial"/>
          <w:color w:val="000000" w:themeColor="text1"/>
        </w:rPr>
      </w:pPr>
    </w:p>
    <w:p w14:paraId="211C615B" w14:textId="77777777" w:rsidR="00BF70E2" w:rsidRPr="00BF70E2" w:rsidRDefault="00BF70E2" w:rsidP="00BF70E2">
      <w:pPr>
        <w:spacing w:after="0" w:line="240" w:lineRule="auto"/>
        <w:rPr>
          <w:rFonts w:ascii="Verdana" w:eastAsia="Geomanist Light" w:hAnsi="Verdana" w:cs="Arial"/>
          <w:color w:val="000000" w:themeColor="text1"/>
        </w:rPr>
      </w:pPr>
    </w:p>
    <w:p w14:paraId="58CF945B" w14:textId="77777777" w:rsidR="00BF70E2" w:rsidRPr="00BF70E2" w:rsidRDefault="00BF70E2" w:rsidP="00BF70E2">
      <w:pPr>
        <w:spacing w:after="0" w:line="240" w:lineRule="auto"/>
        <w:rPr>
          <w:rFonts w:ascii="Verdana" w:eastAsia="Geomanist Light" w:hAnsi="Verdana" w:cs="Arial"/>
          <w:color w:val="000000" w:themeColor="text1"/>
        </w:rPr>
      </w:pPr>
    </w:p>
    <w:p w14:paraId="2E7B5F05" w14:textId="77777777" w:rsidR="00BF70E2" w:rsidRPr="00BF70E2" w:rsidRDefault="00BF70E2" w:rsidP="00BF70E2">
      <w:pPr>
        <w:spacing w:after="0" w:line="240" w:lineRule="auto"/>
        <w:rPr>
          <w:rFonts w:ascii="Verdana" w:eastAsia="Geomanist Light" w:hAnsi="Verdana" w:cs="Arial"/>
          <w:color w:val="000000" w:themeColor="text1"/>
        </w:rPr>
      </w:pPr>
    </w:p>
    <w:p w14:paraId="4DF9153D" w14:textId="77777777" w:rsidR="00BF70E2" w:rsidRPr="00BF70E2" w:rsidRDefault="00BF70E2" w:rsidP="00BF70E2">
      <w:pPr>
        <w:spacing w:after="0" w:line="240" w:lineRule="auto"/>
        <w:rPr>
          <w:rFonts w:ascii="Verdana" w:eastAsia="Geomanist Light" w:hAnsi="Verdana" w:cs="Arial"/>
          <w:color w:val="000000" w:themeColor="text1"/>
        </w:rPr>
      </w:pPr>
    </w:p>
    <w:p w14:paraId="67B09781" w14:textId="77777777" w:rsidR="00BF70E2" w:rsidRPr="00BF70E2" w:rsidRDefault="00BF70E2" w:rsidP="00BF70E2">
      <w:pPr>
        <w:spacing w:after="0" w:line="240" w:lineRule="auto"/>
        <w:rPr>
          <w:rFonts w:ascii="Verdana" w:eastAsia="Geomanist Light" w:hAnsi="Verdana" w:cs="Arial"/>
          <w:color w:val="000000" w:themeColor="text1"/>
        </w:rPr>
      </w:pPr>
    </w:p>
    <w:p w14:paraId="7CB1219A" w14:textId="77777777" w:rsidR="00BF70E2" w:rsidRPr="00BF70E2" w:rsidRDefault="00BF70E2" w:rsidP="00BF70E2">
      <w:pPr>
        <w:spacing w:after="0" w:line="240" w:lineRule="auto"/>
        <w:rPr>
          <w:rFonts w:ascii="Verdana" w:eastAsia="Geomanist Light" w:hAnsi="Verdana" w:cs="Arial"/>
          <w:color w:val="000000" w:themeColor="text1"/>
        </w:rPr>
      </w:pPr>
    </w:p>
    <w:p w14:paraId="326306CF" w14:textId="77777777" w:rsidR="00BF70E2" w:rsidRPr="00BF70E2" w:rsidRDefault="00BF70E2" w:rsidP="00BF70E2">
      <w:pPr>
        <w:spacing w:after="0" w:line="240" w:lineRule="auto"/>
        <w:rPr>
          <w:rFonts w:ascii="Verdana" w:eastAsia="Geomanist Light" w:hAnsi="Verdana" w:cs="Arial"/>
          <w:color w:val="000000" w:themeColor="text1"/>
        </w:rPr>
      </w:pPr>
    </w:p>
    <w:p w14:paraId="1C090267" w14:textId="77777777" w:rsidR="00BF70E2" w:rsidRPr="00BF70E2" w:rsidRDefault="00BF70E2" w:rsidP="00BF70E2">
      <w:pPr>
        <w:spacing w:after="0" w:line="240" w:lineRule="auto"/>
        <w:rPr>
          <w:rFonts w:ascii="Verdana" w:eastAsia="Geomanist Light" w:hAnsi="Verdana" w:cs="Arial"/>
          <w:color w:val="000000" w:themeColor="text1"/>
        </w:rPr>
      </w:pPr>
    </w:p>
    <w:p w14:paraId="20ADDCAC" w14:textId="77777777" w:rsidR="00BF70E2" w:rsidRPr="00BF70E2" w:rsidRDefault="00BF70E2" w:rsidP="00BF70E2">
      <w:pPr>
        <w:spacing w:after="0" w:line="240" w:lineRule="auto"/>
        <w:rPr>
          <w:rFonts w:ascii="Verdana" w:eastAsia="Geomanist Light" w:hAnsi="Verdana" w:cs="Arial"/>
          <w:color w:val="000000" w:themeColor="text1"/>
        </w:rPr>
      </w:pPr>
    </w:p>
    <w:p w14:paraId="48F76F40" w14:textId="77777777" w:rsidR="00BF70E2" w:rsidRPr="00BF70E2" w:rsidRDefault="00BF70E2" w:rsidP="00BF70E2">
      <w:pPr>
        <w:spacing w:after="0" w:line="240" w:lineRule="auto"/>
        <w:rPr>
          <w:rFonts w:ascii="Verdana" w:eastAsia="Geomanist Light" w:hAnsi="Verdana" w:cs="Arial"/>
          <w:color w:val="000000" w:themeColor="text1"/>
        </w:rPr>
      </w:pPr>
    </w:p>
    <w:p w14:paraId="5773D000" w14:textId="77777777" w:rsidR="00BF70E2" w:rsidRPr="00BF70E2" w:rsidRDefault="00BF70E2" w:rsidP="00BF70E2">
      <w:pPr>
        <w:spacing w:after="0" w:line="240" w:lineRule="auto"/>
        <w:rPr>
          <w:rFonts w:ascii="Verdana" w:eastAsia="Geomanist Light" w:hAnsi="Verdana" w:cs="Arial"/>
          <w:color w:val="000000" w:themeColor="text1"/>
        </w:rPr>
      </w:pPr>
    </w:p>
    <w:p w14:paraId="10FF8378" w14:textId="77777777" w:rsidR="00BF70E2" w:rsidRPr="00BF70E2" w:rsidRDefault="00BF70E2" w:rsidP="00BF70E2">
      <w:pPr>
        <w:spacing w:after="0" w:line="240" w:lineRule="auto"/>
        <w:rPr>
          <w:rFonts w:ascii="Verdana" w:eastAsia="Geomanist Light" w:hAnsi="Verdana" w:cs="Arial"/>
          <w:color w:val="000000" w:themeColor="text1"/>
        </w:rPr>
      </w:pPr>
    </w:p>
    <w:p w14:paraId="3563428D" w14:textId="77777777" w:rsidR="00BF70E2" w:rsidRPr="00BF70E2" w:rsidRDefault="00BF70E2" w:rsidP="00BF70E2">
      <w:pPr>
        <w:spacing w:after="0" w:line="240" w:lineRule="auto"/>
        <w:rPr>
          <w:rFonts w:ascii="Verdana" w:eastAsia="Geomanist Light" w:hAnsi="Verdana" w:cs="Arial"/>
          <w:color w:val="000000" w:themeColor="text1"/>
        </w:rPr>
      </w:pPr>
    </w:p>
    <w:p w14:paraId="3BFCD84A" w14:textId="77777777" w:rsidR="00BF70E2" w:rsidRPr="00BF70E2" w:rsidRDefault="00BF70E2" w:rsidP="00BF70E2">
      <w:pPr>
        <w:spacing w:after="0" w:line="240" w:lineRule="auto"/>
        <w:rPr>
          <w:rFonts w:ascii="Verdana" w:eastAsia="Geomanist Light" w:hAnsi="Verdana" w:cs="Arial"/>
          <w:color w:val="000000" w:themeColor="text1"/>
        </w:rPr>
      </w:pPr>
    </w:p>
    <w:p w14:paraId="6E026A25" w14:textId="77777777" w:rsidR="00BF70E2" w:rsidRPr="00BF70E2" w:rsidRDefault="00BF70E2" w:rsidP="00BF70E2">
      <w:pPr>
        <w:spacing w:after="0" w:line="240" w:lineRule="auto"/>
        <w:rPr>
          <w:rFonts w:ascii="Verdana" w:eastAsia="Geomanist Light" w:hAnsi="Verdana" w:cs="Arial"/>
          <w:color w:val="000000" w:themeColor="text1"/>
        </w:rPr>
      </w:pPr>
    </w:p>
    <w:p w14:paraId="6DAEF06B" w14:textId="44557992" w:rsidR="00BF70E2" w:rsidRDefault="00F555D3" w:rsidP="00BF70E2">
      <w:pPr>
        <w:spacing w:after="0" w:line="240" w:lineRule="auto"/>
        <w:rPr>
          <w:rFonts w:ascii="Verdana" w:eastAsia="Geomanist Light" w:hAnsi="Verdana" w:cs="Arial"/>
          <w:color w:val="201F1E"/>
        </w:rPr>
      </w:pPr>
      <w:r w:rsidRPr="00450625">
        <w:rPr>
          <w:rFonts w:ascii="Verdana" w:eastAsia="Calibri" w:hAnsi="Verdana" w:cs="Arial"/>
          <w:noProof/>
          <w:color w:val="000000"/>
        </w:rPr>
        <w:lastRenderedPageBreak/>
        <w:drawing>
          <wp:anchor distT="0" distB="0" distL="114300" distR="114300" simplePos="0" relativeHeight="251659264" behindDoc="0" locked="0" layoutInCell="1" allowOverlap="1" wp14:anchorId="5B875E1E" wp14:editId="26829DDE">
            <wp:simplePos x="0" y="0"/>
            <wp:positionH relativeFrom="margin">
              <wp:align>right</wp:align>
            </wp:positionH>
            <wp:positionV relativeFrom="paragraph">
              <wp:posOffset>0</wp:posOffset>
            </wp:positionV>
            <wp:extent cx="2392680" cy="708660"/>
            <wp:effectExtent l="0" t="0" r="7620" b="0"/>
            <wp:wrapSquare wrapText="bothSides"/>
            <wp:docPr id="6658299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92680" cy="7086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F70E2" w:rsidRPr="00BF70E2">
        <w:rPr>
          <w:rFonts w:ascii="Verdana" w:eastAsia="Geomanist Light" w:hAnsi="Verdana" w:cs="Arial"/>
          <w:color w:val="000000" w:themeColor="text1"/>
        </w:rPr>
        <w:t>Bogotá D.C., </w:t>
      </w:r>
      <w:r w:rsidR="00364F0A">
        <w:rPr>
          <w:rFonts w:ascii="Verdana" w:eastAsia="Geomanist Light" w:hAnsi="Verdana" w:cs="Arial"/>
          <w:color w:val="201F1E"/>
        </w:rPr>
        <w:t>17 de abril de 2026</w:t>
      </w:r>
    </w:p>
    <w:p w14:paraId="0B537D52" w14:textId="5A7DD95B" w:rsidR="00F555D3" w:rsidRPr="00BF70E2" w:rsidRDefault="00F555D3" w:rsidP="00BF70E2">
      <w:pPr>
        <w:spacing w:after="0" w:line="240" w:lineRule="auto"/>
        <w:rPr>
          <w:rFonts w:ascii="Verdana" w:eastAsia="Geomanist Light" w:hAnsi="Verdana" w:cs="Arial"/>
          <w:color w:val="201F1E"/>
        </w:rPr>
      </w:pPr>
    </w:p>
    <w:p w14:paraId="6B4A371F" w14:textId="15965C09" w:rsidR="00BF70E2" w:rsidRDefault="00BF70E2" w:rsidP="00F555D3">
      <w:pPr>
        <w:spacing w:after="0" w:line="240" w:lineRule="auto"/>
        <w:jc w:val="right"/>
        <w:rPr>
          <w:rFonts w:ascii="Verdana" w:eastAsia="Calibri" w:hAnsi="Verdana" w:cs="Arial"/>
          <w:color w:val="000000"/>
        </w:rPr>
      </w:pPr>
    </w:p>
    <w:p w14:paraId="6159F5BE" w14:textId="77777777" w:rsidR="00F555D3" w:rsidRDefault="00F555D3" w:rsidP="00BF70E2">
      <w:pPr>
        <w:spacing w:after="0" w:line="240" w:lineRule="auto"/>
        <w:jc w:val="both"/>
        <w:rPr>
          <w:rFonts w:ascii="Verdana" w:eastAsia="Calibri" w:hAnsi="Verdana" w:cs="Arial"/>
          <w:color w:val="000000"/>
        </w:rPr>
      </w:pPr>
    </w:p>
    <w:p w14:paraId="1931A304" w14:textId="17765A99" w:rsidR="00BF70E2" w:rsidRPr="00BF70E2" w:rsidRDefault="00D26E9A" w:rsidP="00BF70E2">
      <w:pPr>
        <w:spacing w:after="0" w:line="240" w:lineRule="auto"/>
        <w:jc w:val="both"/>
        <w:rPr>
          <w:rFonts w:ascii="Verdana" w:eastAsia="Calibri" w:hAnsi="Verdana" w:cs="Arial"/>
          <w:color w:val="000000"/>
        </w:rPr>
      </w:pPr>
      <w:r w:rsidRPr="00F555D3">
        <w:rPr>
          <w:rFonts w:ascii="Verdana" w:eastAsia="Calibri" w:hAnsi="Verdana" w:cs="Arial"/>
          <w:noProof/>
          <w:color w:val="000000"/>
        </w:rPr>
        <w:drawing>
          <wp:anchor distT="0" distB="0" distL="114300" distR="114300" simplePos="0" relativeHeight="251658240" behindDoc="0" locked="0" layoutInCell="1" allowOverlap="1" wp14:anchorId="6A587268" wp14:editId="61D9B551">
            <wp:simplePos x="0" y="0"/>
            <wp:positionH relativeFrom="column">
              <wp:posOffset>3217545</wp:posOffset>
            </wp:positionH>
            <wp:positionV relativeFrom="paragraph">
              <wp:posOffset>120650</wp:posOffset>
            </wp:positionV>
            <wp:extent cx="2423160" cy="655320"/>
            <wp:effectExtent l="0" t="0" r="0" b="0"/>
            <wp:wrapSquare wrapText="bothSides"/>
            <wp:docPr id="52495168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23160" cy="6553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0478295" w14:textId="33322562" w:rsidR="00BF70E2" w:rsidRPr="00BF70E2" w:rsidRDefault="00BF70E2" w:rsidP="00BF70E2">
      <w:pPr>
        <w:spacing w:after="0" w:line="240" w:lineRule="auto"/>
        <w:jc w:val="both"/>
        <w:rPr>
          <w:rFonts w:ascii="Verdana" w:eastAsia="Calibri" w:hAnsi="Verdana" w:cs="Arial"/>
          <w:lang w:eastAsia="es-ES"/>
        </w:rPr>
      </w:pPr>
      <w:r w:rsidRPr="00BF70E2">
        <w:rPr>
          <w:rFonts w:ascii="Verdana" w:eastAsia="Calibri" w:hAnsi="Verdana" w:cs="Arial"/>
          <w:lang w:eastAsia="es-ES"/>
        </w:rPr>
        <w:t>Señor</w:t>
      </w:r>
    </w:p>
    <w:p w14:paraId="72695575" w14:textId="592910CC" w:rsidR="00BF70E2" w:rsidRPr="00BF70E2" w:rsidRDefault="00BF70E2" w:rsidP="00BF70E2">
      <w:pPr>
        <w:spacing w:after="0" w:line="240" w:lineRule="auto"/>
        <w:jc w:val="both"/>
        <w:rPr>
          <w:rFonts w:ascii="Verdana" w:eastAsia="Calibri" w:hAnsi="Verdana" w:cs="Arial"/>
          <w:b/>
          <w:bCs/>
          <w:lang w:eastAsia="es-ES"/>
        </w:rPr>
      </w:pPr>
      <w:r w:rsidRPr="00BF70E2">
        <w:rPr>
          <w:rFonts w:ascii="Verdana" w:eastAsia="Calibri" w:hAnsi="Verdana" w:cs="Arial"/>
          <w:b/>
          <w:bCs/>
          <w:lang w:eastAsia="es-ES"/>
        </w:rPr>
        <w:t>Fernando José Gutiérrez Ibáñez</w:t>
      </w:r>
    </w:p>
    <w:p w14:paraId="4E0066B5" w14:textId="77777777" w:rsidR="00BF70E2" w:rsidRPr="00BF70E2" w:rsidRDefault="00BF70E2" w:rsidP="00BF70E2">
      <w:pPr>
        <w:spacing w:after="0" w:line="240" w:lineRule="auto"/>
        <w:rPr>
          <w:rFonts w:ascii="Verdana" w:hAnsi="Verdana"/>
        </w:rPr>
      </w:pPr>
      <w:hyperlink r:id="rId13" w:history="1">
        <w:r w:rsidRPr="00BF70E2">
          <w:rPr>
            <w:rFonts w:ascii="Verdana" w:hAnsi="Verdana"/>
            <w:color w:val="0563C1" w:themeColor="hyperlink"/>
            <w:u w:val="single"/>
          </w:rPr>
          <w:t>fernandog213@hotmail.com</w:t>
        </w:r>
      </w:hyperlink>
      <w:r w:rsidRPr="00BF70E2">
        <w:rPr>
          <w:rFonts w:ascii="Verdana" w:hAnsi="Verdana"/>
        </w:rPr>
        <w:t xml:space="preserve"> </w:t>
      </w:r>
    </w:p>
    <w:p w14:paraId="00711BAE" w14:textId="77777777" w:rsidR="00BF70E2" w:rsidRPr="00BF70E2" w:rsidRDefault="00BF70E2" w:rsidP="00BF70E2">
      <w:pPr>
        <w:spacing w:after="0" w:line="240" w:lineRule="auto"/>
        <w:rPr>
          <w:rFonts w:ascii="Verdana" w:hAnsi="Verdana"/>
          <w:lang w:val="pt-BR"/>
        </w:rPr>
      </w:pPr>
      <w:proofErr w:type="spellStart"/>
      <w:r w:rsidRPr="00BF70E2">
        <w:rPr>
          <w:rFonts w:ascii="Verdana" w:hAnsi="Verdana"/>
          <w:lang w:val="pt-BR"/>
        </w:rPr>
        <w:t>Valledupar</w:t>
      </w:r>
      <w:proofErr w:type="spellEnd"/>
      <w:r w:rsidRPr="00BF70E2">
        <w:rPr>
          <w:rFonts w:ascii="Verdana" w:hAnsi="Verdana"/>
          <w:lang w:val="pt-BR"/>
        </w:rPr>
        <w:t xml:space="preserve">, Cesar  </w:t>
      </w:r>
    </w:p>
    <w:p w14:paraId="0E3F813C" w14:textId="77777777" w:rsidR="00BF70E2" w:rsidRPr="00BF70E2" w:rsidRDefault="00BF70E2" w:rsidP="00BF70E2">
      <w:pPr>
        <w:spacing w:after="0" w:line="240" w:lineRule="auto"/>
        <w:rPr>
          <w:rFonts w:ascii="Verdana" w:eastAsia="Calibri" w:hAnsi="Verdana" w:cs="Arial"/>
          <w:lang w:val="pt-BR" w:eastAsia="es-ES"/>
        </w:rPr>
      </w:pPr>
    </w:p>
    <w:p w14:paraId="354D95EB" w14:textId="77777777" w:rsidR="00BF70E2" w:rsidRPr="00BF70E2" w:rsidRDefault="00BF70E2" w:rsidP="00BF70E2">
      <w:pPr>
        <w:spacing w:after="0" w:line="240" w:lineRule="auto"/>
        <w:rPr>
          <w:rFonts w:ascii="Verdana" w:eastAsia="Calibri" w:hAnsi="Verdana" w:cs="Arial"/>
          <w:b/>
          <w:color w:val="000000"/>
          <w:lang w:val="pt-BR" w:eastAsia="es-ES_tradnl"/>
        </w:rPr>
      </w:pPr>
    </w:p>
    <w:p w14:paraId="7C7D2369" w14:textId="77777777" w:rsidR="00BF70E2" w:rsidRPr="00BF70E2" w:rsidRDefault="00BF70E2" w:rsidP="00BF70E2">
      <w:pPr>
        <w:spacing w:after="0" w:line="240" w:lineRule="auto"/>
        <w:jc w:val="center"/>
        <w:rPr>
          <w:rFonts w:ascii="Verdana" w:eastAsia="Calibri" w:hAnsi="Verdana" w:cs="Arial"/>
          <w:b/>
          <w:lang w:val="pt-BR" w:eastAsia="es-ES"/>
        </w:rPr>
      </w:pPr>
      <w:r w:rsidRPr="00BF70E2">
        <w:rPr>
          <w:rFonts w:ascii="Verdana" w:eastAsia="Calibri" w:hAnsi="Verdana" w:cs="Arial"/>
          <w:b/>
          <w:lang w:val="pt-BR" w:eastAsia="es-ES"/>
        </w:rPr>
        <w:t>Concepto C – 417 de 2026</w:t>
      </w:r>
    </w:p>
    <w:p w14:paraId="67C45CD4" w14:textId="77777777" w:rsidR="00BF70E2" w:rsidRPr="00BF70E2" w:rsidRDefault="00BF70E2" w:rsidP="00BF70E2">
      <w:pPr>
        <w:spacing w:after="0" w:line="240" w:lineRule="auto"/>
        <w:rPr>
          <w:rFonts w:ascii="Verdana" w:eastAsia="Calibri" w:hAnsi="Verdana" w:cs="Arial"/>
          <w:b/>
          <w:color w:val="000000"/>
          <w:lang w:val="pt-BR"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F70E2" w:rsidRPr="00BF70E2" w14:paraId="4EE4F347" w14:textId="77777777" w:rsidTr="005642F4">
        <w:trPr>
          <w:trHeight w:val="884"/>
        </w:trPr>
        <w:tc>
          <w:tcPr>
            <w:tcW w:w="2689" w:type="dxa"/>
          </w:tcPr>
          <w:p w14:paraId="732A25FA" w14:textId="77777777" w:rsidR="00BF70E2" w:rsidRPr="00BF70E2" w:rsidRDefault="00BF70E2" w:rsidP="00BF70E2">
            <w:pPr>
              <w:jc w:val="both"/>
              <w:rPr>
                <w:rFonts w:ascii="Verdana" w:eastAsia="Calibri" w:hAnsi="Verdana" w:cs="Arial"/>
                <w:color w:val="000000"/>
                <w:lang w:eastAsia="es-ES_tradnl"/>
              </w:rPr>
            </w:pPr>
            <w:r w:rsidRPr="00BF70E2">
              <w:rPr>
                <w:rFonts w:ascii="Verdana" w:eastAsia="Calibri" w:hAnsi="Verdana" w:cs="Arial"/>
                <w:b/>
                <w:color w:val="000000"/>
                <w:lang w:eastAsia="es-ES_tradnl"/>
              </w:rPr>
              <w:t>Temas:</w:t>
            </w:r>
            <w:r w:rsidRPr="00BF70E2">
              <w:rPr>
                <w:rFonts w:ascii="Verdana" w:eastAsia="Calibri" w:hAnsi="Verdana" w:cs="Arial"/>
                <w:color w:val="000000"/>
                <w:lang w:eastAsia="es-ES_tradnl"/>
              </w:rPr>
              <w:t xml:space="preserve">                   </w:t>
            </w:r>
          </w:p>
        </w:tc>
        <w:tc>
          <w:tcPr>
            <w:tcW w:w="6100" w:type="dxa"/>
          </w:tcPr>
          <w:p w14:paraId="32FFD66A" w14:textId="77777777" w:rsidR="00BF70E2" w:rsidRPr="00BF70E2" w:rsidRDefault="00BF70E2" w:rsidP="00BF70E2">
            <w:pPr>
              <w:spacing w:line="276" w:lineRule="auto"/>
              <w:jc w:val="both"/>
              <w:rPr>
                <w:rFonts w:ascii="Verdana" w:eastAsia="Calibri" w:hAnsi="Verdana" w:cs="Arial"/>
                <w:lang w:val="es-ES" w:eastAsia="es-ES"/>
              </w:rPr>
            </w:pPr>
            <w:r w:rsidRPr="00BF70E2">
              <w:rPr>
                <w:rFonts w:ascii="Verdana" w:eastAsia="Calibri" w:hAnsi="Verdana" w:cs="Arial"/>
                <w:lang w:val="es-ES" w:eastAsia="es-ES"/>
              </w:rPr>
              <w:t xml:space="preserve">SISTEMA GENERAL DE REGALÍAS – Ley 2056 de 2020 – artículo 37 / RÉGIMEN CONTRACTUAL – Entidades ejecutoras – Aplicación del Estatuto General de Contratación de la Administración Pública / SGR – Aplicación documentos tipo – SECOP        </w:t>
            </w:r>
          </w:p>
          <w:p w14:paraId="1BD17E3F" w14:textId="77777777" w:rsidR="00BF70E2" w:rsidRPr="00BF70E2" w:rsidRDefault="00BF70E2" w:rsidP="00BF70E2">
            <w:pPr>
              <w:jc w:val="both"/>
              <w:rPr>
                <w:rFonts w:ascii="Verdana" w:eastAsia="Calibri" w:hAnsi="Verdana" w:cs="Arial"/>
                <w:lang w:eastAsia="es-ES"/>
              </w:rPr>
            </w:pPr>
          </w:p>
        </w:tc>
      </w:tr>
      <w:tr w:rsidR="00BF70E2" w:rsidRPr="00BF70E2" w14:paraId="46DEBF8C" w14:textId="77777777" w:rsidTr="005642F4">
        <w:tc>
          <w:tcPr>
            <w:tcW w:w="2689" w:type="dxa"/>
          </w:tcPr>
          <w:p w14:paraId="4055D411" w14:textId="77777777" w:rsidR="00BF70E2" w:rsidRPr="00BF70E2" w:rsidRDefault="00BF70E2" w:rsidP="00BF70E2">
            <w:pPr>
              <w:jc w:val="both"/>
              <w:rPr>
                <w:rFonts w:ascii="Verdana" w:eastAsia="Calibri" w:hAnsi="Verdana" w:cs="Arial"/>
                <w:b/>
                <w:lang w:eastAsia="es-ES_tradnl"/>
              </w:rPr>
            </w:pPr>
            <w:r w:rsidRPr="00BF70E2">
              <w:rPr>
                <w:rFonts w:ascii="Verdana" w:eastAsia="Calibri" w:hAnsi="Verdana" w:cs="Arial"/>
                <w:b/>
                <w:lang w:eastAsia="es-ES_tradnl"/>
              </w:rPr>
              <w:t>Radicación:</w:t>
            </w:r>
            <w:r w:rsidRPr="00BF70E2">
              <w:rPr>
                <w:rFonts w:ascii="Verdana" w:eastAsia="Calibri" w:hAnsi="Verdana" w:cs="Arial"/>
                <w:lang w:eastAsia="es-ES_tradnl"/>
              </w:rPr>
              <w:t xml:space="preserve">               </w:t>
            </w:r>
          </w:p>
        </w:tc>
        <w:tc>
          <w:tcPr>
            <w:tcW w:w="6100" w:type="dxa"/>
          </w:tcPr>
          <w:p w14:paraId="37B571E2" w14:textId="77777777" w:rsidR="00BF70E2" w:rsidRPr="00BF70E2" w:rsidRDefault="00BF70E2" w:rsidP="00BF70E2">
            <w:pPr>
              <w:jc w:val="both"/>
              <w:rPr>
                <w:rFonts w:ascii="Verdana" w:eastAsia="Calibri" w:hAnsi="Verdana" w:cs="Arial"/>
                <w:lang w:eastAsia="es-ES_tradnl"/>
              </w:rPr>
            </w:pPr>
            <w:r w:rsidRPr="00BF70E2">
              <w:rPr>
                <w:rFonts w:ascii="Verdana" w:eastAsia="Calibri" w:hAnsi="Verdana" w:cs="Arial"/>
                <w:lang w:eastAsia="es-ES_tradnl"/>
              </w:rPr>
              <w:t>Respuesta a las consultas con radicado Nos.</w:t>
            </w:r>
            <w:r w:rsidRPr="00BF70E2">
              <w:rPr>
                <w:rFonts w:ascii="Verdana" w:hAnsi="Verdana"/>
              </w:rPr>
              <w:t xml:space="preserve"> 1_2026_03_13_003543 y 1_2026_03_13_003570 (Acumuladas)</w:t>
            </w:r>
          </w:p>
        </w:tc>
      </w:tr>
    </w:tbl>
    <w:p w14:paraId="6A672C88" w14:textId="77777777" w:rsidR="00BF70E2" w:rsidRPr="00BF70E2" w:rsidRDefault="00BF70E2" w:rsidP="00BF70E2">
      <w:pPr>
        <w:spacing w:after="0" w:line="240" w:lineRule="auto"/>
        <w:jc w:val="both"/>
        <w:rPr>
          <w:rFonts w:ascii="Verdana" w:eastAsia="Calibri" w:hAnsi="Verdana" w:cs="Arial"/>
          <w:color w:val="000000"/>
          <w:lang w:eastAsia="es-ES_tradnl"/>
        </w:rPr>
      </w:pPr>
    </w:p>
    <w:p w14:paraId="132452F9" w14:textId="77777777" w:rsidR="00BF70E2" w:rsidRPr="00BF70E2" w:rsidRDefault="00BF70E2" w:rsidP="00BF70E2">
      <w:pPr>
        <w:spacing w:after="0" w:line="240" w:lineRule="auto"/>
        <w:jc w:val="both"/>
        <w:rPr>
          <w:rFonts w:ascii="Verdana" w:eastAsia="Calibri" w:hAnsi="Verdana" w:cs="Arial"/>
          <w:color w:val="000000"/>
          <w:lang w:eastAsia="es-ES_tradnl"/>
        </w:rPr>
      </w:pPr>
    </w:p>
    <w:p w14:paraId="738FCDB5" w14:textId="77777777" w:rsidR="00BF70E2" w:rsidRPr="00BF70E2" w:rsidRDefault="00BF70E2" w:rsidP="00BF70E2">
      <w:pPr>
        <w:spacing w:after="0" w:line="276" w:lineRule="auto"/>
        <w:jc w:val="both"/>
        <w:rPr>
          <w:rFonts w:ascii="Verdana" w:eastAsia="Calibri" w:hAnsi="Verdana" w:cs="Arial"/>
          <w:lang w:eastAsia="es-ES"/>
        </w:rPr>
      </w:pPr>
      <w:r w:rsidRPr="00BF70E2">
        <w:rPr>
          <w:rFonts w:ascii="Verdana" w:eastAsia="Calibri" w:hAnsi="Verdana" w:cs="Arial"/>
          <w:lang w:eastAsia="es-ES"/>
        </w:rPr>
        <w:t xml:space="preserve">Estimado señor Gutiérrez: </w:t>
      </w:r>
    </w:p>
    <w:p w14:paraId="6ED37BE2" w14:textId="77777777" w:rsidR="00BF70E2" w:rsidRPr="00BF70E2" w:rsidRDefault="00BF70E2" w:rsidP="00BF70E2">
      <w:pPr>
        <w:tabs>
          <w:tab w:val="left" w:pos="3768"/>
        </w:tabs>
        <w:spacing w:after="0" w:line="276" w:lineRule="auto"/>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ab/>
      </w:r>
    </w:p>
    <w:p w14:paraId="424472EE" w14:textId="77777777" w:rsidR="00BF70E2" w:rsidRPr="00BF70E2" w:rsidRDefault="00BF70E2" w:rsidP="00BF70E2">
      <w:pPr>
        <w:spacing w:after="0" w:line="276" w:lineRule="auto"/>
        <w:jc w:val="both"/>
        <w:rPr>
          <w:rFonts w:ascii="Verdana" w:eastAsia="Calibri" w:hAnsi="Verdana" w:cs="Arial"/>
          <w:i/>
          <w:iCs/>
          <w:lang w:eastAsia="es-ES"/>
        </w:rPr>
      </w:pPr>
      <w:r w:rsidRPr="00BF70E2">
        <w:rPr>
          <w:rFonts w:ascii="Verdana" w:eastAsia="Calibri" w:hAnsi="Verdana" w:cs="Arial"/>
          <w:color w:val="000000" w:themeColor="text1"/>
          <w:lang w:eastAsia="es-ES"/>
        </w:rPr>
        <w:t>En ejercicio de la competencia otorgada por los artículos 3, numeral 5º, y 11, numeral 8º, del Decreto Ley 4170 de 2011,</w:t>
      </w:r>
      <w:r w:rsidRPr="00BF70E2">
        <w:rPr>
          <w:rFonts w:ascii="Verdana" w:eastAsia="Arial MT" w:hAnsi="Verdana" w:cs="Arial MT"/>
          <w:lang w:eastAsia="es-ES"/>
        </w:rPr>
        <w:t xml:space="preserve"> </w:t>
      </w:r>
      <w:r w:rsidRPr="00BF70E2">
        <w:rPr>
          <w:rFonts w:ascii="Verdana" w:hAnsi="Verdana" w:cs="Arial"/>
        </w:rPr>
        <w:t xml:space="preserve">así como lo establecido en la Resolución 469 de 2025 expedida por esta Entidad, </w:t>
      </w:r>
      <w:r w:rsidRPr="00BF70E2">
        <w:rPr>
          <w:rFonts w:ascii="Verdana" w:eastAsia="Calibri" w:hAnsi="Verdana" w:cs="Arial"/>
          <w:color w:val="000000" w:themeColor="text1"/>
          <w:lang w:eastAsia="es-ES"/>
        </w:rPr>
        <w:t>la Agencia Nacional de Contratación Pública – Colombia Compra Eficiente responde los puntos 2, 3 y 4 de su solicitud remitida por competencia por el Departamento Nacional de Planeación el 13 de marzo de 2026,</w:t>
      </w:r>
      <w:r w:rsidRPr="00BF70E2">
        <w:rPr>
          <w:rFonts w:ascii="Verdana" w:eastAsia="Calibri" w:hAnsi="Verdana" w:cs="Arial"/>
          <w:lang w:eastAsia="es-ES"/>
        </w:rPr>
        <w:t xml:space="preserve"> en la cual, respecto del parágrafo primero del artículo 37 de la Ley 2056 de 2020, consulta sobre lo siguiente:</w:t>
      </w:r>
      <w:r w:rsidRPr="00BF70E2">
        <w:rPr>
          <w:rFonts w:ascii="Verdana" w:eastAsia="Calibri" w:hAnsi="Verdana" w:cs="Arial"/>
          <w:i/>
          <w:iCs/>
          <w:lang w:eastAsia="es-ES"/>
        </w:rPr>
        <w:t xml:space="preserve"> </w:t>
      </w:r>
      <w:bookmarkStart w:id="2" w:name="_Hlk95313578"/>
    </w:p>
    <w:p w14:paraId="56F9E89B" w14:textId="77777777" w:rsidR="00BF70E2" w:rsidRPr="00BF70E2" w:rsidRDefault="00BF70E2" w:rsidP="00BF70E2">
      <w:pPr>
        <w:spacing w:after="0" w:line="276" w:lineRule="auto"/>
        <w:jc w:val="both"/>
        <w:rPr>
          <w:rFonts w:ascii="Verdana" w:eastAsia="Calibri" w:hAnsi="Verdana" w:cs="Arial"/>
          <w:i/>
          <w:iCs/>
          <w:lang w:eastAsia="es-ES"/>
        </w:rPr>
      </w:pPr>
    </w:p>
    <w:p w14:paraId="4C5D5B79" w14:textId="77777777" w:rsidR="00BF70E2" w:rsidRPr="00BF70E2" w:rsidRDefault="00BF70E2" w:rsidP="00BF70E2">
      <w:pPr>
        <w:spacing w:after="0" w:line="240" w:lineRule="auto"/>
        <w:ind w:left="709" w:right="709"/>
        <w:jc w:val="both"/>
        <w:rPr>
          <w:rFonts w:ascii="Verdana" w:hAnsi="Verdana"/>
          <w:sz w:val="20"/>
          <w:szCs w:val="20"/>
        </w:rPr>
      </w:pPr>
      <w:r w:rsidRPr="00BF70E2">
        <w:rPr>
          <w:rFonts w:ascii="Verdana" w:eastAsia="Arial" w:hAnsi="Verdana" w:cs="Arial"/>
          <w:iCs/>
          <w:color w:val="000000"/>
          <w:sz w:val="20"/>
          <w:szCs w:val="20"/>
        </w:rPr>
        <w:t>“</w:t>
      </w:r>
      <w:bookmarkEnd w:id="2"/>
      <w:r w:rsidRPr="00BF70E2">
        <w:rPr>
          <w:rFonts w:ascii="Verdana" w:hAnsi="Verdana"/>
          <w:sz w:val="20"/>
          <w:szCs w:val="20"/>
        </w:rPr>
        <w:t xml:space="preserve">2. Indicar si los ejecutores financiados con recursos del Sistema General de Regalías -incluidos fondos mixtos, Empresas Industriales y Comerciales del Estado (EICE) y otras entidades con régimen contractual especial- deben aplicar el Estatuto General de Contratación de la Administración Pública cuando adelantan procesos contractuales con dichos recursos. </w:t>
      </w:r>
    </w:p>
    <w:p w14:paraId="348B10A4" w14:textId="77777777" w:rsidR="00BF70E2" w:rsidRPr="00BF70E2" w:rsidRDefault="00BF70E2" w:rsidP="00BF70E2">
      <w:pPr>
        <w:spacing w:after="0" w:line="240" w:lineRule="auto"/>
        <w:ind w:left="709" w:right="709"/>
        <w:jc w:val="both"/>
        <w:rPr>
          <w:rFonts w:ascii="Verdana" w:hAnsi="Verdana"/>
          <w:sz w:val="20"/>
          <w:szCs w:val="20"/>
        </w:rPr>
      </w:pPr>
    </w:p>
    <w:p w14:paraId="560A3BB1" w14:textId="77777777" w:rsidR="00BF70E2" w:rsidRPr="00BF70E2" w:rsidRDefault="00BF70E2" w:rsidP="00BF70E2">
      <w:pPr>
        <w:spacing w:after="0" w:line="240" w:lineRule="auto"/>
        <w:ind w:left="709" w:right="709"/>
        <w:jc w:val="both"/>
        <w:rPr>
          <w:rFonts w:ascii="Verdana" w:hAnsi="Verdana"/>
          <w:sz w:val="20"/>
          <w:szCs w:val="20"/>
        </w:rPr>
      </w:pPr>
      <w:r w:rsidRPr="00BF70E2">
        <w:rPr>
          <w:rFonts w:ascii="Verdana" w:hAnsi="Verdana"/>
          <w:sz w:val="20"/>
          <w:szCs w:val="20"/>
        </w:rPr>
        <w:lastRenderedPageBreak/>
        <w:t xml:space="preserve">3. Informar si los ejecutores de proyectos financiados con recursos del Sistema General de Regalías están obligados a utilizar los documentos tipo o pliegos tipo en procesos de contratación de infraestructura cuando el objeto contractual corresponda a las tipologías para las cuales dichos documentos han sido adoptados y publicarlo con los términos estipulados en la ley 80 de 1993, decreto 1082 de 2015 y además ser publicado en el </w:t>
      </w:r>
      <w:proofErr w:type="spellStart"/>
      <w:r w:rsidRPr="00BF70E2">
        <w:rPr>
          <w:rFonts w:ascii="Verdana" w:hAnsi="Verdana"/>
          <w:sz w:val="20"/>
          <w:szCs w:val="20"/>
        </w:rPr>
        <w:t>secop</w:t>
      </w:r>
      <w:proofErr w:type="spellEnd"/>
      <w:r w:rsidRPr="00BF70E2">
        <w:rPr>
          <w:rFonts w:ascii="Verdana" w:hAnsi="Verdana"/>
          <w:sz w:val="20"/>
          <w:szCs w:val="20"/>
        </w:rPr>
        <w:t xml:space="preserve"> II. </w:t>
      </w:r>
    </w:p>
    <w:p w14:paraId="61A0E684" w14:textId="77777777" w:rsidR="00BF70E2" w:rsidRPr="00BF70E2" w:rsidRDefault="00BF70E2" w:rsidP="00BF70E2">
      <w:pPr>
        <w:spacing w:after="0" w:line="240" w:lineRule="auto"/>
        <w:ind w:left="709" w:right="709"/>
        <w:jc w:val="both"/>
        <w:rPr>
          <w:rFonts w:ascii="Verdana" w:hAnsi="Verdana"/>
          <w:sz w:val="20"/>
          <w:szCs w:val="20"/>
        </w:rPr>
      </w:pPr>
    </w:p>
    <w:p w14:paraId="74B84166" w14:textId="77777777" w:rsidR="00BF70E2" w:rsidRPr="00BF70E2" w:rsidRDefault="00BF70E2" w:rsidP="00BF70E2">
      <w:pPr>
        <w:spacing w:after="0" w:line="240" w:lineRule="auto"/>
        <w:ind w:left="709" w:right="709"/>
        <w:jc w:val="both"/>
        <w:rPr>
          <w:rFonts w:ascii="Verdana" w:eastAsia="Arial" w:hAnsi="Verdana" w:cs="Arial"/>
          <w:iCs/>
          <w:color w:val="000000"/>
          <w:sz w:val="20"/>
          <w:szCs w:val="20"/>
        </w:rPr>
      </w:pPr>
      <w:r w:rsidRPr="00BF70E2">
        <w:rPr>
          <w:rFonts w:ascii="Verdana" w:hAnsi="Verdana"/>
          <w:sz w:val="20"/>
          <w:szCs w:val="20"/>
        </w:rPr>
        <w:t>4. Informar si en caso de haber realizado procesos contractuales desconociendo lo estipulado en el artículo 37 de la Ley 2056 de 2020, pliegos tipo, estarían incurriendo en alguna irregularidad. (…)”</w:t>
      </w:r>
    </w:p>
    <w:p w14:paraId="5BB1D206" w14:textId="77777777" w:rsidR="00BF70E2" w:rsidRPr="00BF70E2" w:rsidRDefault="00BF70E2" w:rsidP="00BF70E2">
      <w:pPr>
        <w:spacing w:after="0" w:line="276" w:lineRule="auto"/>
        <w:ind w:left="709" w:right="618"/>
        <w:jc w:val="both"/>
        <w:rPr>
          <w:rFonts w:ascii="Verdana" w:eastAsia="Calibri" w:hAnsi="Verdana" w:cs="Arial"/>
          <w:i/>
          <w:iCs/>
          <w:lang w:eastAsia="es-ES"/>
        </w:rPr>
      </w:pPr>
    </w:p>
    <w:p w14:paraId="4FD326A4" w14:textId="77777777" w:rsidR="00BF70E2" w:rsidRPr="00BF70E2" w:rsidRDefault="00BF70E2" w:rsidP="00BF70E2">
      <w:pPr>
        <w:spacing w:after="120" w:line="276" w:lineRule="auto"/>
        <w:ind w:firstLine="709"/>
        <w:jc w:val="both"/>
        <w:rPr>
          <w:rFonts w:ascii="Verdana" w:eastAsia="Calibri" w:hAnsi="Verdana" w:cs="Arial"/>
          <w:color w:val="000000"/>
          <w:lang w:eastAsia="es-ES"/>
        </w:rPr>
      </w:pPr>
      <w:r w:rsidRPr="00BF70E2">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F70E2">
        <w:rPr>
          <w:rFonts w:ascii="Verdana" w:eastAsia="Calibri" w:hAnsi="Verdana" w:cs="Arial"/>
          <w:color w:val="000000"/>
          <w:szCs w:val="24"/>
          <w:lang w:eastAsia="es-ES_tradnl"/>
        </w:rPr>
        <w:tab/>
      </w:r>
    </w:p>
    <w:p w14:paraId="727E4215" w14:textId="77777777" w:rsidR="00BF70E2" w:rsidRPr="00BF70E2" w:rsidRDefault="00BF70E2" w:rsidP="00BF70E2">
      <w:pPr>
        <w:spacing w:after="0" w:line="276" w:lineRule="auto"/>
        <w:ind w:firstLine="709"/>
        <w:jc w:val="both"/>
        <w:rPr>
          <w:rFonts w:ascii="Verdana" w:eastAsia="Calibri" w:hAnsi="Verdana" w:cs="Arial"/>
          <w:color w:val="000000"/>
          <w:lang w:eastAsia="es-ES"/>
        </w:rPr>
      </w:pPr>
      <w:r w:rsidRPr="00BF70E2">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BF70E2">
        <w:rPr>
          <w:rFonts w:ascii="Verdana" w:eastAsia="Calibri" w:hAnsi="Verdana" w:cs="Arial"/>
          <w:color w:val="7030A0"/>
          <w:lang w:eastAsia="es-ES"/>
        </w:rPr>
        <w:t xml:space="preserve"> </w:t>
      </w:r>
      <w:r w:rsidRPr="00BF70E2">
        <w:rPr>
          <w:rFonts w:ascii="Verdana" w:eastAsia="Calibri" w:hAnsi="Verdana" w:cs="Arial"/>
          <w:color w:val="000000"/>
          <w:lang w:eastAsia="es-ES"/>
        </w:rPr>
        <w:t>problemas</w:t>
      </w:r>
      <w:r w:rsidRPr="00BF70E2">
        <w:rPr>
          <w:rFonts w:ascii="Verdana" w:eastAsia="Calibri" w:hAnsi="Verdana" w:cs="Arial"/>
          <w:color w:val="7030A0"/>
          <w:lang w:eastAsia="es-ES"/>
        </w:rPr>
        <w:t xml:space="preserve"> </w:t>
      </w:r>
      <w:r w:rsidRPr="00BF70E2">
        <w:rPr>
          <w:rFonts w:ascii="Verdana" w:eastAsia="Calibri" w:hAnsi="Verdana" w:cs="Arial"/>
          <w:color w:val="000000"/>
          <w:lang w:eastAsia="es-ES"/>
        </w:rPr>
        <w:t>jurídicos</w:t>
      </w:r>
      <w:r w:rsidRPr="00BF70E2">
        <w:rPr>
          <w:rFonts w:ascii="Verdana" w:eastAsia="Calibri" w:hAnsi="Verdana" w:cs="Arial"/>
          <w:color w:val="7030A0"/>
          <w:lang w:eastAsia="es-ES"/>
        </w:rPr>
        <w:t xml:space="preserve"> </w:t>
      </w:r>
      <w:r w:rsidRPr="00BF70E2">
        <w:rPr>
          <w:rFonts w:ascii="Verdana" w:eastAsia="Calibri" w:hAnsi="Verdana" w:cs="Arial"/>
          <w:color w:val="000000"/>
          <w:lang w:eastAsia="es-ES"/>
        </w:rPr>
        <w:t xml:space="preserve">de su consulta. </w:t>
      </w:r>
    </w:p>
    <w:p w14:paraId="70BA1E08" w14:textId="77777777" w:rsidR="00BF70E2" w:rsidRPr="00BF70E2" w:rsidRDefault="00BF70E2" w:rsidP="00BF70E2">
      <w:pPr>
        <w:spacing w:after="0" w:line="276" w:lineRule="auto"/>
        <w:ind w:firstLine="709"/>
        <w:jc w:val="both"/>
        <w:rPr>
          <w:rFonts w:ascii="Verdana" w:eastAsia="Calibri" w:hAnsi="Verdana" w:cs="Arial"/>
          <w:color w:val="000000"/>
          <w:lang w:eastAsia="es-ES"/>
        </w:rPr>
      </w:pPr>
    </w:p>
    <w:p w14:paraId="2F1F033B" w14:textId="77777777" w:rsidR="00BF70E2" w:rsidRPr="00BF70E2" w:rsidRDefault="00BF70E2" w:rsidP="00BF70E2">
      <w:pPr>
        <w:numPr>
          <w:ilvl w:val="0"/>
          <w:numId w:val="1"/>
        </w:numPr>
        <w:tabs>
          <w:tab w:val="left" w:pos="142"/>
          <w:tab w:val="left" w:pos="284"/>
        </w:tabs>
        <w:spacing w:after="0" w:line="276" w:lineRule="auto"/>
        <w:jc w:val="both"/>
        <w:rPr>
          <w:rFonts w:ascii="Verdana" w:eastAsia="Century Gothic" w:hAnsi="Verdana" w:cs="Century Gothic"/>
          <w:b/>
          <w:bCs/>
        </w:rPr>
      </w:pPr>
      <w:r w:rsidRPr="00BF70E2">
        <w:rPr>
          <w:rFonts w:ascii="Verdana" w:eastAsia="Century Gothic" w:hAnsi="Verdana" w:cs="Century Gothic"/>
          <w:b/>
          <w:bCs/>
        </w:rPr>
        <w:t>Problemas planteados:</w:t>
      </w:r>
    </w:p>
    <w:p w14:paraId="53CBBEAE" w14:textId="77777777" w:rsidR="00BF70E2" w:rsidRPr="00BF70E2" w:rsidRDefault="00BF70E2" w:rsidP="00BF70E2">
      <w:pPr>
        <w:tabs>
          <w:tab w:val="left" w:pos="426"/>
        </w:tabs>
        <w:spacing w:after="0" w:line="276" w:lineRule="auto"/>
        <w:jc w:val="both"/>
        <w:rPr>
          <w:rFonts w:ascii="Verdana" w:eastAsia="Century Gothic" w:hAnsi="Verdana" w:cs="Century Gothic"/>
        </w:rPr>
      </w:pPr>
    </w:p>
    <w:p w14:paraId="4A5F07A8" w14:textId="77777777" w:rsidR="00BF70E2" w:rsidRPr="00BF70E2" w:rsidRDefault="00BF70E2" w:rsidP="00BF70E2">
      <w:pPr>
        <w:spacing w:after="0" w:line="276" w:lineRule="auto"/>
        <w:jc w:val="both"/>
        <w:rPr>
          <w:rFonts w:ascii="Verdana" w:eastAsia="Century Gothic" w:hAnsi="Verdana" w:cs="Century Gothic"/>
        </w:rPr>
      </w:pPr>
      <w:r w:rsidRPr="00BF70E2">
        <w:rPr>
          <w:rFonts w:ascii="Verdana" w:eastAsia="Century Gothic" w:hAnsi="Verdana" w:cs="Century Gothic"/>
        </w:rPr>
        <w:t>De acuerdo con el contenido de su solicitud, esta Agencia resolverá el siguiente problema jurídico: i) ¿</w:t>
      </w:r>
      <w:r w:rsidRPr="00BF70E2">
        <w:rPr>
          <w:rFonts w:ascii="Verdana" w:eastAsia="Calibri" w:hAnsi="Verdana" w:cs="Times New Roman"/>
        </w:rPr>
        <w:t>Cuál es el régimen contractual aplicable en la ejecución de proyectos cuya fuente de financiación es el Sistema General de Regalías, en adelante SGR, cuando la entidad ejecutora se rige por el derecho privado</w:t>
      </w:r>
      <w:r w:rsidRPr="00BF70E2">
        <w:rPr>
          <w:rFonts w:ascii="Verdana" w:eastAsia="Century Gothic" w:hAnsi="Verdana" w:cs="Century Gothic"/>
        </w:rPr>
        <w:t xml:space="preserve">?, y de </w:t>
      </w:r>
      <w:r w:rsidRPr="00BF70E2">
        <w:rPr>
          <w:rFonts w:ascii="Verdana" w:eastAsia="Century Gothic" w:hAnsi="Verdana" w:cs="Century Gothic"/>
        </w:rPr>
        <w:lastRenderedPageBreak/>
        <w:t xml:space="preserve">acuerdo con lo anterior </w:t>
      </w:r>
      <w:proofErr w:type="spellStart"/>
      <w:r w:rsidRPr="00BF70E2">
        <w:rPr>
          <w:rFonts w:ascii="Verdana" w:eastAsia="Century Gothic" w:hAnsi="Verdana" w:cs="Century Gothic"/>
        </w:rPr>
        <w:t>ii</w:t>
      </w:r>
      <w:proofErr w:type="spellEnd"/>
      <w:r w:rsidRPr="00BF70E2">
        <w:rPr>
          <w:rFonts w:ascii="Verdana" w:eastAsia="Century Gothic" w:hAnsi="Verdana" w:cs="Century Gothic"/>
        </w:rPr>
        <w:t>) ¿la entidad ejecutora debe aplicar los documentos tipo cuando el objeto contractual se enmarque en el ámbito de aplicación de estos?</w:t>
      </w:r>
    </w:p>
    <w:p w14:paraId="3AB587D5" w14:textId="77777777" w:rsidR="00BF70E2" w:rsidRPr="00BF70E2" w:rsidRDefault="00BF70E2" w:rsidP="00BF70E2">
      <w:pPr>
        <w:spacing w:after="0" w:line="276" w:lineRule="auto"/>
        <w:jc w:val="both"/>
        <w:rPr>
          <w:rFonts w:ascii="Verdana" w:eastAsia="Century Gothic" w:hAnsi="Verdana" w:cs="Century Gothic"/>
        </w:rPr>
      </w:pPr>
    </w:p>
    <w:p w14:paraId="6128BB03" w14:textId="77777777" w:rsidR="00BF70E2" w:rsidRPr="00BF70E2" w:rsidRDefault="00BF70E2" w:rsidP="00BF70E2">
      <w:pPr>
        <w:numPr>
          <w:ilvl w:val="0"/>
          <w:numId w:val="1"/>
        </w:numPr>
        <w:tabs>
          <w:tab w:val="left" w:pos="142"/>
          <w:tab w:val="left" w:pos="284"/>
        </w:tabs>
        <w:spacing w:after="0" w:line="276" w:lineRule="auto"/>
        <w:jc w:val="both"/>
        <w:rPr>
          <w:rFonts w:ascii="Verdana" w:eastAsia="Century Gothic" w:hAnsi="Verdana" w:cs="Century Gothic"/>
          <w:b/>
          <w:bCs/>
        </w:rPr>
      </w:pPr>
      <w:r w:rsidRPr="00BF70E2">
        <w:rPr>
          <w:rFonts w:ascii="Verdana" w:eastAsia="Century Gothic" w:hAnsi="Verdana" w:cs="Century Gothic"/>
          <w:b/>
          <w:bCs/>
        </w:rPr>
        <w:t>Respuestas:</w:t>
      </w:r>
    </w:p>
    <w:p w14:paraId="729B4A9D" w14:textId="77777777" w:rsidR="00BF70E2" w:rsidRPr="00BF70E2" w:rsidRDefault="00BF70E2" w:rsidP="00BF70E2">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F70E2" w:rsidRPr="00BF70E2" w14:paraId="6BF1FD28" w14:textId="77777777" w:rsidTr="005642F4">
        <w:trPr>
          <w:trHeight w:val="58"/>
          <w:jc w:val="center"/>
        </w:trPr>
        <w:tc>
          <w:tcPr>
            <w:tcW w:w="8828" w:type="dxa"/>
          </w:tcPr>
          <w:p w14:paraId="4A8A51C9" w14:textId="77777777" w:rsidR="00BF70E2" w:rsidRPr="00BF70E2" w:rsidRDefault="00BF70E2" w:rsidP="00BF70E2">
            <w:pPr>
              <w:spacing w:after="120" w:line="276" w:lineRule="auto"/>
              <w:jc w:val="both"/>
              <w:rPr>
                <w:rFonts w:ascii="Verdana" w:eastAsia="Calibri" w:hAnsi="Verdana" w:cs="Arial"/>
                <w:color w:val="000000"/>
                <w:lang w:val="es-ES" w:eastAsia="es-ES"/>
              </w:rPr>
            </w:pPr>
            <w:bookmarkStart w:id="3" w:name="_Hlk171694685"/>
            <w:r w:rsidRPr="00BF70E2">
              <w:rPr>
                <w:rFonts w:ascii="Verdana" w:eastAsia="Calibri" w:hAnsi="Verdana" w:cs="Arial"/>
                <w:color w:val="000000"/>
                <w:lang w:val="es-ES" w:eastAsia="es-ES"/>
              </w:rPr>
              <w:t xml:space="preserve">i. Conforme a la interpretación general de las normas del sistema de compras públicas, esta Subdirección en </w:t>
            </w:r>
            <w:r w:rsidRPr="00BF70E2">
              <w:rPr>
                <w:rFonts w:ascii="Verdana" w:hAnsi="Verdana" w:cs="Arial"/>
              </w:rPr>
              <w:t xml:space="preserve">los conceptos </w:t>
            </w:r>
            <w:r w:rsidRPr="00BF70E2">
              <w:rPr>
                <w:rFonts w:ascii="Verdana" w:hAnsi="Verdana"/>
              </w:rPr>
              <w:t>C-370 del 2021,</w:t>
            </w:r>
            <w:r w:rsidRPr="00BF70E2">
              <w:rPr>
                <w:rFonts w:ascii="Verdana" w:hAnsi="Verdana"/>
                <w:shd w:val="clear" w:color="auto" w:fill="FFFFFF"/>
              </w:rPr>
              <w:t xml:space="preserve"> C-353 del 2 de junio de 2022, C-918 del 9 de diciembre de 2024, C-504 del 1 de octubre 2024, C-951 del 16 de diciembre de 2024, C-285 del 14 de abril de 2025, C-348 del 25 de abril de 2025, C-370 del 2 de mayo de 2025, C-680 del 8 de julio de 2025, C-914 del 15 de agosto de 2025, C-1065 del 8 de septiembre de 2025 y C-225 del 27 de febrero de 2026, </w:t>
            </w:r>
            <w:r w:rsidRPr="00BF70E2">
              <w:rPr>
                <w:rFonts w:ascii="Verdana" w:hAnsi="Verdana" w:cs="Arial"/>
                <w:shd w:val="clear" w:color="auto" w:fill="FFFFFF"/>
              </w:rPr>
              <w:t xml:space="preserve">ha mantenido la postura en virtud de la cual </w:t>
            </w:r>
            <w:r w:rsidRPr="00BF70E2">
              <w:rPr>
                <w:rFonts w:ascii="Verdana" w:eastAsia="Calibri" w:hAnsi="Verdana" w:cs="Arial"/>
                <w:color w:val="000000"/>
                <w:lang w:val="es-ES" w:eastAsia="es-ES"/>
              </w:rPr>
              <w:t>de acuerdo con el parágrafo primero del artículo 37 de la Ley 2056 de 2020, el ejecutor de los proyectos de inversión del Sistema General de Regalías, independiente del régimen contractual al cuál se encuentre sujeto de manera general, deberá aplicar las reglas de contratación pública, es decir, las prescripciones establecidas en el Estatuto General de Contratación de la Administración Pública-EGCAP, así como las normas que lo modifiquen, sustituyan o reglamenten.</w:t>
            </w:r>
          </w:p>
          <w:p w14:paraId="37706376" w14:textId="77777777" w:rsidR="00BF70E2" w:rsidRPr="00BF70E2" w:rsidRDefault="00BF70E2" w:rsidP="00BF70E2">
            <w:pPr>
              <w:spacing w:after="120" w:line="276" w:lineRule="auto"/>
              <w:ind w:firstLine="709"/>
              <w:jc w:val="both"/>
              <w:rPr>
                <w:rFonts w:ascii="Verdana" w:eastAsia="Calibri" w:hAnsi="Verdana" w:cs="Arial"/>
                <w:color w:val="000000"/>
                <w:lang w:val="es-ES" w:eastAsia="es-ES"/>
              </w:rPr>
            </w:pPr>
            <w:r w:rsidRPr="00BF70E2">
              <w:rPr>
                <w:rFonts w:ascii="Verdana" w:eastAsia="Calibri" w:hAnsi="Verdana" w:cs="Arial"/>
                <w:color w:val="000000"/>
                <w:lang w:val="es-ES" w:eastAsia="es-ES"/>
              </w:rPr>
              <w:t>En este sentido, si la entidad ejecutora es de régimen especial, no podrá apoyarse en las excepciones a la aplicación de la Ley 80 de 1993 para la ejecución de los proyectos. De esta manera, el artículo 37 citado excluye la posibilidad de que los recursos se ejecuten con prevalencia del derecho privado, pues quienes tengan la calidad de entidades ejecutoras para efectos del SGR deben sujetarse a las normas donde prevalece el derecho público, esto es, al EGCAP, sin perjuicio de que en sus demás actividades apliquen el régimen especial que les corresponda.</w:t>
            </w:r>
          </w:p>
          <w:p w14:paraId="6DA47EBB" w14:textId="77777777" w:rsidR="00BF70E2" w:rsidRPr="00BF70E2" w:rsidRDefault="00BF70E2" w:rsidP="00BF70E2">
            <w:pPr>
              <w:spacing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 xml:space="preserve">Así las cosas, con base en la lectura literal y sistemática de las disposiciones contenidas en la Ley 2056 de 2020, así como la aplicación de principios generales del derecho, se colige que la remisión al EGCAP que se consagra en el artículo 37 de la Ley 2056 de 2020 debe entenderse como una disposición con efectos jurídicos y no meramente referencial, lo que significa que somete a todas las entidades ejecutoras, sin distinción de su naturaleza jurídica o régimen de contratación, a la aplicación del EGCAP para la contratación con recursos con cargo al SGR. </w:t>
            </w:r>
          </w:p>
          <w:p w14:paraId="5A9EB61B" w14:textId="77777777" w:rsidR="00BF70E2" w:rsidRPr="00BF70E2" w:rsidRDefault="00BF70E2" w:rsidP="00BF70E2">
            <w:pPr>
              <w:spacing w:line="276" w:lineRule="auto"/>
              <w:ind w:firstLine="709"/>
              <w:jc w:val="both"/>
              <w:rPr>
                <w:rFonts w:ascii="Verdana" w:eastAsia="Calibri" w:hAnsi="Verdana" w:cs="Arial"/>
                <w:color w:val="000000" w:themeColor="text1"/>
                <w:lang w:eastAsia="es-ES"/>
              </w:rPr>
            </w:pPr>
          </w:p>
          <w:p w14:paraId="15BD127C" w14:textId="77777777" w:rsidR="00BF70E2" w:rsidRPr="00BF70E2" w:rsidRDefault="00BF70E2" w:rsidP="00BF70E2">
            <w:pPr>
              <w:spacing w:after="120" w:line="276" w:lineRule="auto"/>
              <w:jc w:val="both"/>
              <w:rPr>
                <w:rFonts w:ascii="Verdana" w:eastAsia="Calibri" w:hAnsi="Verdana" w:cs="Arial"/>
                <w:color w:val="000000" w:themeColor="text1"/>
                <w:lang w:eastAsia="es-ES"/>
              </w:rPr>
            </w:pPr>
            <w:proofErr w:type="spellStart"/>
            <w:r w:rsidRPr="00BF70E2">
              <w:rPr>
                <w:rFonts w:ascii="Verdana" w:eastAsia="Calibri" w:hAnsi="Verdana" w:cs="Arial"/>
                <w:color w:val="000000"/>
                <w:lang w:val="es-ES" w:eastAsia="es-ES"/>
              </w:rPr>
              <w:t>ii</w:t>
            </w:r>
            <w:proofErr w:type="spellEnd"/>
            <w:r w:rsidRPr="00BF70E2">
              <w:rPr>
                <w:rFonts w:ascii="Verdana" w:eastAsia="Calibri" w:hAnsi="Verdana" w:cs="Arial"/>
                <w:color w:val="000000"/>
                <w:lang w:val="es-ES" w:eastAsia="es-ES"/>
              </w:rPr>
              <w:t>. D</w:t>
            </w:r>
            <w:r w:rsidRPr="00BF70E2">
              <w:rPr>
                <w:rFonts w:ascii="Verdana" w:eastAsia="Calibri" w:hAnsi="Verdana" w:cs="Arial"/>
                <w:color w:val="000000" w:themeColor="text1"/>
                <w:lang w:eastAsia="es-ES"/>
              </w:rPr>
              <w:t>e acuerdo con la interpretación explicada, las entidades ejecutoras para efectos de los recursos de regalías deben sujetarse al EGCAP,</w:t>
            </w:r>
            <w:r w:rsidRPr="00BF70E2">
              <w:rPr>
                <w:rFonts w:ascii="Verdana" w:eastAsia="Calibri" w:hAnsi="Verdana" w:cs="Arial"/>
                <w:color w:val="000000"/>
                <w:lang w:val="es-ES" w:eastAsia="es-ES"/>
              </w:rPr>
              <w:t xml:space="preserve"> sin perjuicio de que en sus demás actividades apliquen el régimen especial que les corresponda</w:t>
            </w:r>
            <w:r w:rsidRPr="00BF70E2">
              <w:rPr>
                <w:rFonts w:ascii="Verdana" w:eastAsia="Calibri" w:hAnsi="Verdana" w:cs="Arial"/>
                <w:color w:val="000000" w:themeColor="text1"/>
                <w:lang w:eastAsia="es-ES"/>
              </w:rPr>
              <w:t xml:space="preserve">. Esto significa que, en el marco de la ejecución de estos proyectos, la contratación de los bienes, obras o servicios deberá adelantarse conforme los procedimientos de selección establecidos en el EGCAP, lo que implica el uso de los documentos tipo cuando se adelanten procesos de contratación con objetos contractuales cobijados por alguno de los Documentos Tipo vigentes en los diferentes sectores. </w:t>
            </w:r>
          </w:p>
          <w:p w14:paraId="117AEF60" w14:textId="77777777" w:rsidR="00BF70E2" w:rsidRPr="00BF70E2" w:rsidRDefault="00BF70E2" w:rsidP="00BF70E2">
            <w:pPr>
              <w:spacing w:after="120" w:line="276" w:lineRule="auto"/>
              <w:ind w:firstLine="708"/>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 xml:space="preserve">En efecto, de conformidad con el parágrafo 7 del artículo 2 de la Ley 1150 de 2007, adicionado por la Ley 1882 de 2018 y modificado por la Ley 2022 de 2020, las Entidades Estatales regidas por el EGCAP, se encuentran obligadas a aplicar los Documentos Tipo implementados por esta Agencia para adelantar los Procesos de Contratación que se encuentren cobijados por los Documentos Tipo expedidos. </w:t>
            </w:r>
          </w:p>
          <w:p w14:paraId="343DDE90" w14:textId="77777777" w:rsidR="00BF70E2" w:rsidRPr="00BF70E2" w:rsidRDefault="00BF70E2" w:rsidP="00BF70E2">
            <w:pPr>
              <w:spacing w:after="120" w:line="276" w:lineRule="auto"/>
              <w:ind w:firstLine="708"/>
              <w:jc w:val="both"/>
              <w:rPr>
                <w:rFonts w:ascii="Verdana" w:eastAsia="Calibri" w:hAnsi="Verdana" w:cs="Arial"/>
                <w:color w:val="000000" w:themeColor="text1"/>
                <w:lang w:eastAsia="es-ES"/>
              </w:rPr>
            </w:pPr>
            <w:r w:rsidRPr="00BF70E2">
              <w:rPr>
                <w:rFonts w:ascii="Verdana" w:eastAsia="Calibri" w:hAnsi="Verdana" w:cs="Arial"/>
                <w:lang w:val="es-ES"/>
              </w:rPr>
              <w:t xml:space="preserve">En este orden de ideas, si bien en principio las entidades con régimen de contratación especial no están obligadas a aplicar los documentos tipo, la remisión efectuada por el parágrafo primero del artículo 37 de la Ley 2056 de 2020 al EGCAP, conlleva a que las </w:t>
            </w:r>
            <w:r w:rsidRPr="00BF70E2">
              <w:rPr>
                <w:rFonts w:ascii="Verdana" w:eastAsia="Calibri" w:hAnsi="Verdana" w:cs="Arial"/>
                <w:color w:val="000000" w:themeColor="text1"/>
                <w:lang w:eastAsia="es-ES"/>
              </w:rPr>
              <w:t xml:space="preserve">entidades designadas ejecutoras deban sujetarse a las reglas y principios establecidos en el Estatuto General de Contratación de la Administración Pública y sus disposiciones reglamentarias. En consecuencia, ello comprende la aplicación de los documentos tipo en la medida en que el parágrafo 7 del artículo 2 de la Ley 1150 de 2007, adicionado por la Ley 1882 de 2018 y modificado por la Ley 2022 de 2020, establece su carácter obligatorio para las entidades que se rigen por el EGCAP, como sucede para efectos de los recursos del SGR. </w:t>
            </w:r>
          </w:p>
          <w:p w14:paraId="449005FD" w14:textId="77777777" w:rsidR="00BF70E2" w:rsidRPr="00BF70E2" w:rsidRDefault="00BF70E2" w:rsidP="00BF70E2">
            <w:pPr>
              <w:spacing w:before="120" w:line="276" w:lineRule="auto"/>
              <w:ind w:firstLine="709"/>
              <w:jc w:val="both"/>
              <w:rPr>
                <w:rFonts w:ascii="Verdana" w:eastAsia="Calibri" w:hAnsi="Verdana" w:cs="Times New Roman"/>
              </w:rPr>
            </w:pPr>
            <w:r w:rsidRPr="00BF70E2">
              <w:rPr>
                <w:rFonts w:ascii="Verdana" w:eastAsia="Calibri" w:hAnsi="Verdana" w:cs="Times New Roman"/>
              </w:rPr>
              <w:t xml:space="preserve">Sobre el deber de publicidad de la información relativa al Sistema General de Regalías, el artículo 27 de la Ley 2056 del 2020 establece en su parágrafo segundo que las Entidades ejecutoras y los beneficiarios de los recursos del Sistema General de Regalías “al momento de afectar las apropiaciones en Sistema de Presupuesto y Giros de Regalías (SPGR), deberán publicar el proceso de contratación en el Sistema Electrónico para la Contratación Pública”. </w:t>
            </w:r>
          </w:p>
          <w:p w14:paraId="6442A648" w14:textId="77777777" w:rsidR="00BF70E2" w:rsidRPr="00BF70E2" w:rsidRDefault="00BF70E2" w:rsidP="00BF70E2">
            <w:pPr>
              <w:spacing w:before="120" w:line="276" w:lineRule="auto"/>
              <w:ind w:firstLine="709"/>
              <w:jc w:val="both"/>
              <w:rPr>
                <w:rFonts w:ascii="Verdana" w:eastAsia="Calibri" w:hAnsi="Verdana" w:cs="Times New Roman"/>
              </w:rPr>
            </w:pPr>
            <w:r w:rsidRPr="00BF70E2">
              <w:rPr>
                <w:rFonts w:ascii="Verdana" w:hAnsi="Verdana"/>
              </w:rPr>
              <w:lastRenderedPageBreak/>
              <w:t xml:space="preserve">Finalmente, se precisa que corresponde a cada entidad pública, en ejercicio de su competencia y previa valoración de los elementos fácticos y jurídicos, así como de las disposiciones legales mencionadas, determinar su gestión contractual.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ni determinar las irregularidades de un proceso de contratación. </w:t>
            </w:r>
          </w:p>
        </w:tc>
      </w:tr>
    </w:tbl>
    <w:p w14:paraId="3D89E20A" w14:textId="77777777" w:rsidR="00BF70E2" w:rsidRPr="00BF70E2" w:rsidRDefault="00BF70E2" w:rsidP="00BF70E2">
      <w:pPr>
        <w:tabs>
          <w:tab w:val="left" w:pos="142"/>
          <w:tab w:val="left" w:pos="284"/>
        </w:tabs>
        <w:spacing w:after="0" w:line="276" w:lineRule="auto"/>
        <w:jc w:val="both"/>
        <w:rPr>
          <w:rFonts w:ascii="Verdana" w:eastAsia="Century Gothic" w:hAnsi="Verdana" w:cs="Century Gothic"/>
          <w:b/>
          <w:bCs/>
        </w:rPr>
      </w:pPr>
    </w:p>
    <w:bookmarkEnd w:id="3"/>
    <w:p w14:paraId="6DB172DF" w14:textId="77777777" w:rsidR="00BF70E2" w:rsidRPr="00BF70E2" w:rsidRDefault="00BF70E2" w:rsidP="00BF70E2">
      <w:pPr>
        <w:numPr>
          <w:ilvl w:val="0"/>
          <w:numId w:val="1"/>
        </w:numPr>
        <w:tabs>
          <w:tab w:val="left" w:pos="142"/>
          <w:tab w:val="left" w:pos="284"/>
        </w:tabs>
        <w:spacing w:after="0" w:line="276" w:lineRule="auto"/>
        <w:jc w:val="both"/>
        <w:rPr>
          <w:rFonts w:ascii="Verdana" w:eastAsia="Century Gothic" w:hAnsi="Verdana" w:cs="Century Gothic"/>
          <w:b/>
          <w:bCs/>
        </w:rPr>
      </w:pPr>
      <w:r w:rsidRPr="00BF70E2">
        <w:rPr>
          <w:rFonts w:ascii="Verdana" w:eastAsia="Century Gothic" w:hAnsi="Verdana" w:cs="Century Gothic"/>
          <w:b/>
          <w:bCs/>
        </w:rPr>
        <w:t>Razones de las respuestas:</w:t>
      </w:r>
    </w:p>
    <w:p w14:paraId="4B90BBAA" w14:textId="77777777" w:rsidR="00BF70E2" w:rsidRPr="00BF70E2" w:rsidRDefault="00BF70E2" w:rsidP="00BF70E2">
      <w:pPr>
        <w:spacing w:after="0" w:line="276" w:lineRule="auto"/>
        <w:jc w:val="both"/>
        <w:rPr>
          <w:rFonts w:ascii="Verdana" w:eastAsia="Calibri" w:hAnsi="Verdana" w:cs="Arial"/>
          <w:color w:val="7030A0"/>
        </w:rPr>
      </w:pPr>
    </w:p>
    <w:p w14:paraId="0A7C3CE8" w14:textId="77777777" w:rsidR="00BF70E2" w:rsidRPr="00BF70E2" w:rsidRDefault="00BF70E2" w:rsidP="00BF70E2">
      <w:pPr>
        <w:spacing w:after="0" w:line="276" w:lineRule="auto"/>
        <w:jc w:val="both"/>
        <w:rPr>
          <w:rFonts w:ascii="Verdana" w:eastAsia="Calibri" w:hAnsi="Verdana" w:cs="Arial"/>
        </w:rPr>
      </w:pPr>
      <w:r w:rsidRPr="00BF70E2">
        <w:rPr>
          <w:rFonts w:ascii="Verdana" w:eastAsia="Calibri" w:hAnsi="Verdana" w:cs="Arial"/>
        </w:rPr>
        <w:t>Lo anterior se sustenta en las siguientes consideraciones:</w:t>
      </w:r>
    </w:p>
    <w:p w14:paraId="5B394315" w14:textId="77777777" w:rsidR="00BF70E2" w:rsidRPr="00BF70E2" w:rsidRDefault="00BF70E2" w:rsidP="00BF70E2">
      <w:pPr>
        <w:spacing w:after="0" w:line="276" w:lineRule="auto"/>
        <w:jc w:val="both"/>
        <w:rPr>
          <w:rFonts w:ascii="Verdana" w:eastAsia="Calibri" w:hAnsi="Verdana" w:cs="Arial"/>
        </w:rPr>
      </w:pPr>
    </w:p>
    <w:p w14:paraId="3ECF5C50" w14:textId="77777777" w:rsidR="00BF70E2" w:rsidRPr="00BF70E2" w:rsidRDefault="00BF70E2" w:rsidP="00BF70E2">
      <w:pPr>
        <w:spacing w:after="120" w:line="276" w:lineRule="auto"/>
        <w:jc w:val="both"/>
        <w:rPr>
          <w:rFonts w:ascii="Verdana" w:eastAsia="Calibri" w:hAnsi="Verdana" w:cs="Arial"/>
          <w:color w:val="000000"/>
          <w:lang w:val="es-ES" w:eastAsia="es-ES"/>
        </w:rPr>
      </w:pPr>
      <w:r w:rsidRPr="00BF70E2">
        <w:rPr>
          <w:rFonts w:ascii="Verdana" w:eastAsia="Calibri" w:hAnsi="Verdana" w:cs="Arial"/>
          <w:color w:val="000000"/>
          <w:lang w:val="es-ES" w:eastAsia="es-ES"/>
        </w:rPr>
        <w:t xml:space="preserve">i. Como punto de partida es importante señalar que conforme a la interpretación general de las normas del sistema de compras públicas, esta Subdirección en </w:t>
      </w:r>
      <w:r w:rsidRPr="00BF70E2">
        <w:rPr>
          <w:rFonts w:ascii="Verdana" w:hAnsi="Verdana" w:cs="Arial"/>
        </w:rPr>
        <w:t>los conceptos C-370 del 2021,</w:t>
      </w:r>
      <w:r w:rsidRPr="00BF70E2">
        <w:rPr>
          <w:rFonts w:ascii="Verdana" w:hAnsi="Verdana" w:cs="Arial"/>
          <w:shd w:val="clear" w:color="auto" w:fill="FFFFFF"/>
        </w:rPr>
        <w:t xml:space="preserve"> C-353 del 2 de junio de 2022, C-918 del 9 de diciembre de 2024, C-504 del 1 de octubre 2024, C-951 del 16 de diciembre de 2024, C-285 del 14 de abril de 2025, C-348 del 25 de abril de 2025, C-370 del 2 de mayo de 202, C-680 del 8 de julio de 2025 y C-914 del 15 de agosto de 2025, ha mantenido la postura en virtud de la cual </w:t>
      </w:r>
      <w:r w:rsidRPr="00BF70E2">
        <w:rPr>
          <w:rFonts w:ascii="Verdana" w:eastAsia="Calibri" w:hAnsi="Verdana" w:cs="Arial"/>
          <w:color w:val="000000"/>
          <w:lang w:val="es-ES" w:eastAsia="es-ES"/>
        </w:rPr>
        <w:t>de acuerdo con el parágrafo primero del artículo 37 de la Ley 2056 de 2020, el ejecutor de los proyectos de inversión del Sistema General de Regalías, independiente del régimen contractual al cuál se encuentre sujeto de manera general, deberá aplicar las reglas de contratación pública, es decir, a las prescripciones establecidas en el Estatuto General de Contratación de la Administración Pública-EGCAP, así como las normas que lo modifiquen, sustituyan o reglamenten.</w:t>
      </w:r>
    </w:p>
    <w:p w14:paraId="3415412E" w14:textId="77777777" w:rsidR="00BF70E2" w:rsidRPr="00BF70E2" w:rsidRDefault="00BF70E2" w:rsidP="00BF70E2">
      <w:pPr>
        <w:spacing w:after="120" w:line="276" w:lineRule="auto"/>
        <w:ind w:firstLine="709"/>
        <w:jc w:val="both"/>
        <w:rPr>
          <w:rFonts w:ascii="Verdana" w:hAnsi="Verdana" w:cs="Arial"/>
          <w:noProof/>
        </w:rPr>
      </w:pPr>
      <w:r w:rsidRPr="00BF70E2">
        <w:rPr>
          <w:rFonts w:ascii="Verdana" w:eastAsia="Calibri" w:hAnsi="Verdana" w:cs="Arial"/>
          <w:color w:val="000000"/>
          <w:lang w:val="es-ES" w:eastAsia="es-ES"/>
        </w:rPr>
        <w:t xml:space="preserve">En efecto, conforme se ha explicado en estos conceptos, </w:t>
      </w:r>
      <w:r w:rsidRPr="00BF70E2">
        <w:rPr>
          <w:rFonts w:ascii="Verdana" w:hAnsi="Verdana" w:cs="Arial"/>
          <w:noProof/>
          <w:lang w:val="es-ES_tradnl"/>
        </w:rPr>
        <w:t xml:space="preserve">en </w:t>
      </w:r>
      <w:r w:rsidRPr="00BF70E2">
        <w:rPr>
          <w:rFonts w:ascii="Verdana" w:hAnsi="Verdana" w:cs="Arial"/>
          <w:noProof/>
        </w:rPr>
        <w:t xml:space="preserve">el Título IV, Capítulo I, la Ley 2056 de 2020 establece las reglas generales para los proyectos de inversión en el Sistema General de Regalías. En esta línea, regula la destinación de los proyectos del Sistema General de Regalías –artículo 28–, las características de los proyectos de inversión –artículo 29–, los ejercicios de planeación –artículo 30–, el ciclo de los proyectos de inversión –artículo 31–, el </w:t>
      </w:r>
      <w:r w:rsidRPr="00BF70E2">
        <w:rPr>
          <w:rFonts w:ascii="Verdana" w:hAnsi="Verdana" w:cs="Arial"/>
          <w:noProof/>
        </w:rPr>
        <w:lastRenderedPageBreak/>
        <w:t>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w:t>
      </w:r>
    </w:p>
    <w:p w14:paraId="2E724C91" w14:textId="77777777" w:rsidR="00BF70E2" w:rsidRPr="00BF70E2" w:rsidRDefault="00BF70E2" w:rsidP="00BF70E2">
      <w:pPr>
        <w:spacing w:after="120" w:line="276" w:lineRule="auto"/>
        <w:ind w:firstLine="709"/>
        <w:jc w:val="both"/>
        <w:rPr>
          <w:rFonts w:ascii="Verdana" w:hAnsi="Verdana" w:cs="Arial"/>
        </w:rPr>
      </w:pPr>
      <w:r w:rsidRPr="00BF70E2">
        <w:rPr>
          <w:rFonts w:ascii="Verdana" w:hAnsi="Verdana" w:cs="Arial"/>
          <w:noProof/>
        </w:rPr>
        <w:t xml:space="preserve">Particularmente, el artículo 37 </w:t>
      </w:r>
      <w:r w:rsidRPr="00BF70E2">
        <w:rPr>
          <w:rFonts w:ascii="Verdana" w:hAnsi="Verdana" w:cs="Arial"/>
        </w:rPr>
        <w:t xml:space="preserve">de la Ley 2056 de 2020 dispone que los proyectos de inversión que se financien con cargo al Sistema General de Regalías serán ejecutados por quien designe las entidades u órganos de que tratan los artículos 35 y 36 </w:t>
      </w:r>
      <w:r w:rsidRPr="00BF70E2">
        <w:rPr>
          <w:rFonts w:ascii="Verdana" w:hAnsi="Verdana" w:cs="Arial"/>
          <w:i/>
          <w:iCs/>
        </w:rPr>
        <w:t>ibidem</w:t>
      </w:r>
      <w:r w:rsidRPr="00BF70E2">
        <w:rPr>
          <w:rFonts w:ascii="Verdana" w:hAnsi="Verdana" w:cs="Arial"/>
        </w:rPr>
        <w:t xml:space="preserve">. También agrega que la entidad pública ejecutora tiene el deber de adelantar la contratación de la interventoría, de conformidad con lo previsto en la presente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w:t>
      </w:r>
      <w:proofErr w:type="gramStart"/>
      <w:r w:rsidRPr="00BF70E2">
        <w:rPr>
          <w:rFonts w:ascii="Verdana" w:hAnsi="Verdana" w:cs="Arial"/>
        </w:rPr>
        <w:t>los mismos</w:t>
      </w:r>
      <w:proofErr w:type="gramEnd"/>
      <w:r w:rsidRPr="00BF70E2">
        <w:rPr>
          <w:rFonts w:ascii="Verdana" w:hAnsi="Verdana" w:cs="Arial"/>
        </w:rPr>
        <w:t xml:space="preserve">, sin perjuicio de las acciones de control a las que haya lugar. </w:t>
      </w:r>
    </w:p>
    <w:p w14:paraId="71F01BC2" w14:textId="77777777" w:rsidR="00BF70E2" w:rsidRPr="00BF70E2" w:rsidRDefault="00BF70E2" w:rsidP="00BF70E2">
      <w:pPr>
        <w:spacing w:after="120" w:line="276" w:lineRule="auto"/>
        <w:ind w:firstLine="709"/>
        <w:jc w:val="both"/>
        <w:rPr>
          <w:rFonts w:ascii="Verdana" w:hAnsi="Verdana" w:cs="Arial"/>
        </w:rPr>
      </w:pPr>
      <w:r w:rsidRPr="00BF70E2">
        <w:rPr>
          <w:rFonts w:ascii="Verdana" w:hAnsi="Verdana" w:cs="Arial"/>
        </w:rPr>
        <w:t xml:space="preserve">El parágrafo primero del artículo 37 </w:t>
      </w:r>
      <w:r w:rsidRPr="00BF70E2">
        <w:rPr>
          <w:rFonts w:ascii="Verdana" w:hAnsi="Verdana" w:cs="Arial"/>
          <w:i/>
          <w:iCs/>
        </w:rPr>
        <w:t>ibidem</w:t>
      </w:r>
      <w:r w:rsidRPr="00BF70E2">
        <w:rPr>
          <w:rFonts w:ascii="Verdana" w:hAnsi="Verdana" w:cs="Arial"/>
        </w:rPr>
        <w:t xml:space="preserve"> dispone lo siguiente: “La ejecución de proyectos de que trata este artículo, se adelantará, con estricta sujeción al régimen presupuestal definido en esta ley, </w:t>
      </w:r>
      <w:r w:rsidRPr="00BF70E2">
        <w:rPr>
          <w:rFonts w:ascii="Verdana" w:hAnsi="Verdana" w:cs="Arial"/>
          <w:i/>
          <w:iCs/>
          <w:u w:val="single"/>
        </w:rPr>
        <w:t>al de contratación pública</w:t>
      </w:r>
      <w:r w:rsidRPr="00BF70E2">
        <w:rPr>
          <w:rFonts w:ascii="Verdana" w:hAnsi="Verdana" w:cs="Arial"/>
        </w:rPr>
        <w:t xml:space="preserve"> y las demás normas legales vigentes. El ejecutor garantizará la correcta ejecución de los recursos asignados al proyecto de inversión, así como el suministro y registro de la información requerida por el sistema de seguimiento, evaluación y control”</w:t>
      </w:r>
      <w:r w:rsidRPr="00BF70E2">
        <w:rPr>
          <w:rFonts w:ascii="Verdana" w:hAnsi="Verdana" w:cs="Arial"/>
          <w:vertAlign w:val="superscript"/>
        </w:rPr>
        <w:footnoteReference w:id="2"/>
      </w:r>
      <w:r w:rsidRPr="00BF70E2">
        <w:rPr>
          <w:rFonts w:ascii="Verdana" w:hAnsi="Verdana" w:cs="Arial"/>
        </w:rPr>
        <w:t>.</w:t>
      </w:r>
      <w:r w:rsidRPr="00BF70E2">
        <w:rPr>
          <w:rFonts w:ascii="Verdana" w:hAnsi="Verdana" w:cs="Arial"/>
          <w:noProof/>
        </w:rPr>
        <w:t xml:space="preserve"> A partir de esta norma, el ejercutor de los proyectos de </w:t>
      </w:r>
      <w:r w:rsidRPr="00BF70E2">
        <w:rPr>
          <w:rFonts w:ascii="Verdana" w:hAnsi="Verdana" w:cs="Arial"/>
          <w:noProof/>
        </w:rPr>
        <w:lastRenderedPageBreak/>
        <w:t xml:space="preserve">inversion en el SGR debe sujetarse a las reglas de contratación pública, es decir, a las prescripciones establecidas en el Estatuto General de Contratación Pública, así como las normas que lo modifiquen, sustituyan o reglamenten. En efecto, el ejecutor debe someterse a las reglas generales de la contratación pública cuando desarrolle proyectos en el marco del Sistema General de Regalías. </w:t>
      </w:r>
    </w:p>
    <w:p w14:paraId="2365CD73" w14:textId="77777777" w:rsidR="00BF70E2" w:rsidRPr="00BF70E2" w:rsidRDefault="00BF70E2" w:rsidP="00BF70E2">
      <w:pPr>
        <w:spacing w:after="120" w:line="276" w:lineRule="auto"/>
        <w:ind w:firstLine="709"/>
        <w:jc w:val="both"/>
        <w:rPr>
          <w:rFonts w:ascii="Verdana" w:hAnsi="Verdana" w:cs="Arial"/>
          <w:bdr w:val="none" w:sz="0" w:space="0" w:color="auto" w:frame="1"/>
        </w:rPr>
      </w:pPr>
      <w:r w:rsidRPr="00BF70E2">
        <w:rPr>
          <w:rFonts w:ascii="Verdana" w:hAnsi="Verdana" w:cs="Arial"/>
        </w:rPr>
        <w:t xml:space="preserve">Por tanto, en caso de que se realicen proyectos de inversión en el marco del Sistema General de Regalías, como también aquellos proyectos especiales referenciados </w:t>
      </w:r>
      <w:r w:rsidRPr="00BF70E2">
        <w:rPr>
          <w:rFonts w:ascii="Verdana" w:hAnsi="Verdana" w:cs="Arial"/>
          <w:i/>
          <w:iCs/>
        </w:rPr>
        <w:t>ut supra</w:t>
      </w:r>
      <w:r w:rsidRPr="00BF70E2">
        <w:rPr>
          <w:rFonts w:ascii="Verdana" w:hAnsi="Verdana" w:cs="Arial"/>
        </w:rPr>
        <w:t>, los ejecutores designados para desarrollarlos deben sujetarse al Estatuto General de Contratación de la Administración Pública</w:t>
      </w:r>
      <w:r w:rsidRPr="00BF70E2">
        <w:rPr>
          <w:rFonts w:ascii="Verdana" w:eastAsia="Calibri" w:hAnsi="Verdana" w:cs="Arial"/>
        </w:rPr>
        <w:t>.</w:t>
      </w:r>
      <w:r w:rsidRPr="00BF70E2">
        <w:rPr>
          <w:rFonts w:ascii="Verdana" w:hAnsi="Verdana" w:cs="Arial"/>
        </w:rPr>
        <w:t xml:space="preserve"> </w:t>
      </w:r>
      <w:r w:rsidRPr="00BF70E2">
        <w:rPr>
          <w:rFonts w:ascii="Verdana" w:hAnsi="Verdana" w:cs="Arial"/>
          <w:bdr w:val="none" w:sz="0" w:space="0" w:color="auto" w:frame="1"/>
        </w:rPr>
        <w:t xml:space="preserve">En el evento en que determinados asuntos estén sometidos por norma especial al Estatuto General de Contratación Pública, la ejecución de los contratos deberá realizarse conforme a este régimen. </w:t>
      </w:r>
    </w:p>
    <w:p w14:paraId="138784E1" w14:textId="77777777" w:rsidR="00BF70E2" w:rsidRPr="00BF70E2" w:rsidRDefault="00BF70E2" w:rsidP="00BF70E2">
      <w:pPr>
        <w:spacing w:after="120" w:line="276" w:lineRule="auto"/>
        <w:ind w:firstLine="709"/>
        <w:jc w:val="both"/>
        <w:rPr>
          <w:rFonts w:ascii="Verdana" w:eastAsia="Calibri" w:hAnsi="Verdana" w:cs="Arial"/>
          <w:iCs/>
          <w:color w:val="000000"/>
          <w:lang w:eastAsia="es-ES"/>
        </w:rPr>
      </w:pPr>
      <w:r w:rsidRPr="00BF70E2">
        <w:rPr>
          <w:rFonts w:ascii="Verdana" w:eastAsia="Calibri" w:hAnsi="Verdana" w:cs="Arial"/>
          <w:color w:val="000000"/>
          <w:lang w:val="es-ES" w:eastAsia="es-ES"/>
        </w:rPr>
        <w:t>Así las cosas, se ha sostenido que si la entidad ejecutora es de régimen especial, no podrá apoyarse en las excepciones a la aplicación de la Ley 80 de 1993 para la ejecución de los proyectos. De esta manera, el artículo 37 citado excluye la posibilidad de que los recursos se ejecuten con prevalencia del derecho privado, pues quienes tengan la calidad de entidades ejecutoras para efectos del SGR deben sujetarse a las normas donde prevalece el derecho público, esto es, al EGCAP, sin perjuicio de que en sus demás actividades apliquen el régimen especial que les corresponda</w:t>
      </w:r>
      <w:r w:rsidRPr="00BF70E2">
        <w:rPr>
          <w:rFonts w:ascii="Verdana" w:eastAsia="Calibri" w:hAnsi="Verdana" w:cs="Arial"/>
          <w:iCs/>
          <w:color w:val="000000"/>
          <w:lang w:eastAsia="es-ES"/>
        </w:rPr>
        <w:t>.</w:t>
      </w:r>
    </w:p>
    <w:p w14:paraId="510165E2"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rPr>
        <w:t xml:space="preserve">De acuerdo con esta interpretación, esta Subdirección considera que el </w:t>
      </w:r>
      <w:r w:rsidRPr="00BF70E2">
        <w:rPr>
          <w:rFonts w:ascii="Verdana" w:eastAsia="Calibri" w:hAnsi="Verdana" w:cs="Arial"/>
          <w:color w:val="000000" w:themeColor="text1"/>
          <w:lang w:eastAsia="es-ES"/>
        </w:rPr>
        <w:t xml:space="preserve">parágrafo primero del artículo 37 de la Ley 2056 de 2020 incorpora una remisión </w:t>
      </w:r>
      <w:r w:rsidRPr="00BF70E2">
        <w:rPr>
          <w:rFonts w:ascii="Verdana" w:eastAsia="Calibri" w:hAnsi="Verdana" w:cs="Arial"/>
          <w:color w:val="000000" w:themeColor="text1"/>
          <w:lang w:eastAsia="es-ES"/>
        </w:rPr>
        <w:lastRenderedPageBreak/>
        <w:t>normativa expresa y categórica al régimen de contratación pública, es decir, a las reglas contenidas principalmente en la Ley 80 de 1993 y sus normas complementarias - Ley 1150 de 2007, Decreto 1082 de 2015, entre otras-. Además, el uso de la expresión “estricta sujeción” refuerza la intención del legislador de conferir un carácter obligatorio a dicha remisión.</w:t>
      </w:r>
    </w:p>
    <w:p w14:paraId="3DAE6725"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 xml:space="preserve">El alcance de esta remisión normativa implica que, para efectos de la ejecución de proyectos financiados con recursos del Sistema General de Regalías, las entidades ejecutoras deben sujetarse a las reglas y principios establecidos en el Estatuto General de Contratación de la Administración Pública y sus disposiciones reglamentarias. En tal sentido, esta remisión impone la aplicación del régimen general de contratación pública como garantía de transparencia y eficiencia configurando un marco jurídico específico que se activa por el uso de los recursos de regalías, lo que excluye la aplicación de regímenes especiales. </w:t>
      </w:r>
    </w:p>
    <w:p w14:paraId="66B7BA53"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 xml:space="preserve">Así pues, se parte de una lectura literal del texto normativo, en la que la remisión al EGCAP refleja de manera directa la voluntad del legislador de someter tales asuntos a la ley 80 de 1993 y normas reglamentarias vigentes. De igual forma, esta remisión expresa al EGCAP establecida en el parágrafo 1 del artículo 37 se contempla en diferentes disposiciones de la Ley 2056 de 2020, </w:t>
      </w:r>
      <w:r w:rsidRPr="00BF70E2">
        <w:rPr>
          <w:rFonts w:ascii="Verdana" w:eastAsia="Calibri" w:hAnsi="Verdana" w:cs="Arial"/>
          <w:color w:val="000000" w:themeColor="text1"/>
          <w:lang w:eastAsia="es-ES"/>
        </w:rPr>
        <w:lastRenderedPageBreak/>
        <w:t>como son los artículos 84</w:t>
      </w:r>
      <w:r w:rsidRPr="00BF70E2">
        <w:rPr>
          <w:rFonts w:ascii="Verdana" w:eastAsia="Calibri" w:hAnsi="Verdana" w:cs="Arial"/>
          <w:color w:val="000000" w:themeColor="text1"/>
          <w:vertAlign w:val="superscript"/>
          <w:lang w:eastAsia="es-ES"/>
        </w:rPr>
        <w:footnoteReference w:id="3"/>
      </w:r>
      <w:r w:rsidRPr="00BF70E2">
        <w:rPr>
          <w:rFonts w:ascii="Verdana" w:eastAsia="Calibri" w:hAnsi="Verdana" w:cs="Arial"/>
          <w:color w:val="000000" w:themeColor="text1"/>
          <w:lang w:eastAsia="es-ES"/>
        </w:rPr>
        <w:t>, 85</w:t>
      </w:r>
      <w:r w:rsidRPr="00BF70E2">
        <w:rPr>
          <w:rFonts w:ascii="Verdana" w:eastAsia="Calibri" w:hAnsi="Verdana" w:cs="Arial"/>
          <w:color w:val="000000" w:themeColor="text1"/>
          <w:vertAlign w:val="superscript"/>
          <w:lang w:eastAsia="es-ES"/>
        </w:rPr>
        <w:footnoteReference w:id="4"/>
      </w:r>
      <w:r w:rsidRPr="00BF70E2">
        <w:rPr>
          <w:rFonts w:ascii="Verdana" w:eastAsia="Calibri" w:hAnsi="Verdana" w:cs="Arial"/>
          <w:color w:val="000000" w:themeColor="text1"/>
          <w:lang w:eastAsia="es-ES"/>
        </w:rPr>
        <w:t>, 98</w:t>
      </w:r>
      <w:r w:rsidRPr="00BF70E2">
        <w:rPr>
          <w:rFonts w:ascii="Verdana" w:eastAsia="Calibri" w:hAnsi="Verdana" w:cs="Arial"/>
          <w:color w:val="000000" w:themeColor="text1"/>
          <w:vertAlign w:val="superscript"/>
          <w:lang w:eastAsia="es-ES"/>
        </w:rPr>
        <w:footnoteReference w:id="5"/>
      </w:r>
      <w:r w:rsidRPr="00BF70E2">
        <w:rPr>
          <w:rFonts w:ascii="Verdana" w:eastAsia="Calibri" w:hAnsi="Verdana" w:cs="Arial"/>
          <w:color w:val="000000" w:themeColor="text1"/>
          <w:lang w:eastAsia="es-ES"/>
        </w:rPr>
        <w:t>, 99</w:t>
      </w:r>
      <w:r w:rsidRPr="00BF70E2">
        <w:rPr>
          <w:rFonts w:ascii="Verdana" w:eastAsia="Calibri" w:hAnsi="Verdana" w:cs="Arial"/>
          <w:color w:val="000000" w:themeColor="text1"/>
          <w:vertAlign w:val="superscript"/>
          <w:lang w:eastAsia="es-ES"/>
        </w:rPr>
        <w:footnoteReference w:id="6"/>
      </w:r>
      <w:r w:rsidRPr="00BF70E2">
        <w:rPr>
          <w:rFonts w:ascii="Verdana" w:eastAsia="Calibri" w:hAnsi="Verdana" w:cs="Arial"/>
          <w:color w:val="000000" w:themeColor="text1"/>
          <w:lang w:eastAsia="es-ES"/>
        </w:rPr>
        <w:t>, 108</w:t>
      </w:r>
      <w:r w:rsidRPr="00BF70E2">
        <w:rPr>
          <w:rFonts w:ascii="Verdana" w:eastAsia="Calibri" w:hAnsi="Verdana" w:cs="Arial"/>
          <w:color w:val="000000" w:themeColor="text1"/>
          <w:vertAlign w:val="superscript"/>
          <w:lang w:eastAsia="es-ES"/>
        </w:rPr>
        <w:footnoteReference w:id="7"/>
      </w:r>
      <w:r w:rsidRPr="00BF70E2">
        <w:rPr>
          <w:rFonts w:ascii="Verdana" w:eastAsia="Calibri" w:hAnsi="Verdana" w:cs="Arial"/>
          <w:color w:val="000000" w:themeColor="text1"/>
          <w:lang w:eastAsia="es-ES"/>
        </w:rPr>
        <w:t xml:space="preserve"> y 109</w:t>
      </w:r>
      <w:r w:rsidRPr="00BF70E2">
        <w:rPr>
          <w:rFonts w:ascii="Verdana" w:eastAsia="Calibri" w:hAnsi="Verdana" w:cs="Arial"/>
          <w:color w:val="000000" w:themeColor="text1"/>
          <w:vertAlign w:val="superscript"/>
          <w:lang w:eastAsia="es-ES"/>
        </w:rPr>
        <w:footnoteReference w:id="8"/>
      </w:r>
      <w:r w:rsidRPr="00BF70E2">
        <w:rPr>
          <w:rFonts w:ascii="Verdana" w:eastAsia="Calibri" w:hAnsi="Verdana" w:cs="Arial"/>
          <w:color w:val="000000" w:themeColor="text1"/>
          <w:lang w:eastAsia="es-ES"/>
        </w:rPr>
        <w:t>, lo que evidencia una voluntad legislativa clara y reiterada de aplicar el EGCAP, sin distinción o salvedades sobre el régimen de contratación de las entidades ejecutoras.</w:t>
      </w:r>
    </w:p>
    <w:p w14:paraId="3173F1B9"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Desde una lectura sistemática de la Ley 2056 de 2020, estas múltiples remisiones a las normas del régimen general de contratación pública no deben considerarse como simples alusiones formales sin efectos jurídicos. Por el contrario, configuran un mandato normativo concreto que impone la aplicación del EGCAP en la contratación de proyectos financiados con recursos de regalías. De esta manera, una lectura sistemática de todas las normas señaladas conlleva a interpretar la ley en su conjunto, atendiendo no solo a su tenor literal, sino a su estructura interna, lo que permite identificar una intención legislativa de sujetar la ejecución de los recursos del SGR al EGCAP, sin excepciones.</w:t>
      </w:r>
    </w:p>
    <w:p w14:paraId="480D0B71"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 xml:space="preserve">Aunado a lo anterior, se precisa que el parágrafo 1 del artículo 37 de la Ley 2056 de 2020 no distingue sobre el tipo de régimen de contratación aplicable a las entidades ejecutoras de los recursos del SGR, sin embargo, si realiza la remisión expresa al EGCAP. Por tanto, en desarrollo del principio general de interpretación jurídica según el cual </w:t>
      </w:r>
      <w:r w:rsidRPr="00BF70E2">
        <w:rPr>
          <w:rFonts w:ascii="Verdana" w:eastAsia="Calibri" w:hAnsi="Verdana" w:cs="Arial"/>
          <w:i/>
          <w:iCs/>
          <w:color w:val="000000" w:themeColor="text1"/>
          <w:lang w:eastAsia="es-ES"/>
        </w:rPr>
        <w:t xml:space="preserve">donde la norma no distingue, no le </w:t>
      </w:r>
      <w:r w:rsidRPr="00BF70E2">
        <w:rPr>
          <w:rFonts w:ascii="Verdana" w:eastAsia="Calibri" w:hAnsi="Verdana" w:cs="Arial"/>
          <w:i/>
          <w:iCs/>
          <w:color w:val="000000" w:themeColor="text1"/>
          <w:lang w:eastAsia="es-ES"/>
        </w:rPr>
        <w:lastRenderedPageBreak/>
        <w:t>corresponde distinguir al intérprete,</w:t>
      </w:r>
      <w:r w:rsidRPr="00BF70E2">
        <w:rPr>
          <w:rFonts w:ascii="Verdana" w:eastAsia="Calibri" w:hAnsi="Verdana" w:cs="Arial"/>
          <w:color w:val="000000" w:themeColor="text1"/>
          <w:lang w:eastAsia="es-ES"/>
        </w:rPr>
        <w:t xml:space="preserve"> no resulta viable concluir que es posible la aplicación de un régimen distinto al del EGCAP. Esta regla cobra particular relevancia por el carácter público de los recursos, en los que se impone garantizar</w:t>
      </w:r>
      <w:r w:rsidRPr="00BF70E2">
        <w:t xml:space="preserve"> </w:t>
      </w:r>
      <w:r w:rsidRPr="00BF70E2">
        <w:rPr>
          <w:rFonts w:ascii="Verdana" w:eastAsia="Calibri" w:hAnsi="Verdana" w:cs="Arial"/>
          <w:color w:val="000000" w:themeColor="text1"/>
          <w:lang w:eastAsia="es-ES"/>
        </w:rPr>
        <w:t xml:space="preserve">la eficiencia, transparencia y responsabilidad en la gestión del gasto público.  </w:t>
      </w:r>
    </w:p>
    <w:p w14:paraId="377CC199"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 xml:space="preserve">En este sentido, con base en la lectura literal y sistemática de las disposiciones contenidas en la Ley 2056 de 2020, así como la aplicación de principios generales del derecho, se colige que la remisión al EGCAP que se consagra en el artículo 37 de la Ley 2056 de 2020 debe entenderse como una disposición con efectos jurídicos y no meramente referencial, lo que significa que somete a todas las entidades ejecutoras, sin distinción de su naturaleza jurídica o régimen de contratación, a la aplicación del EGCAP para la contratación con recursos con cargo al SGR. </w:t>
      </w:r>
    </w:p>
    <w:p w14:paraId="481BD25D"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Adicionalmente, resulta pertinente indicar que el hecho de que el parágrafo primero del artículo 37 de la Ley 2056 de 2020 haga referencia a “las demás normas legales aplicables” no puede interpretarse como una exclusión de la remisión expresa que realiza al EGCAP. En otras palabras, dicha inclusión no niega que hay una remisión expresa y prevalente al EGCAP. Por el contrario, debe entenderse como una manifestación clara de la voluntad del legislador de establecer un marco normativo específico para la ejecución de los recursos del SGR, sin que ello implique desconocer o derogar de manera general los regímenes de contratación propios de las entidades que tienen regímenes especiales.</w:t>
      </w:r>
    </w:p>
    <w:p w14:paraId="6E621412"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Por lo tanto, lejos de generar una contradicción normativa, la remisión al EGCAP debe entenderse como una disposición especial y prevalente frente a la aplicación de otras normas contractuales, y como un instrumento para garantizar la unidad, el control y la eficiencia en el manejo de los recursos del Sistema General de Regalías.</w:t>
      </w:r>
    </w:p>
    <w:p w14:paraId="43A8F205"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A lo anterior debe agregarse que en este marco también cobra relevancia el principio de hermenéutica jurídica del efecto útil de las normas, conforme al cual “debe preferir la interpretación que permita dotarlas de sentido y eficacia, frente a otra u otras que lo impidan”</w:t>
      </w:r>
      <w:r w:rsidRPr="00BF70E2">
        <w:rPr>
          <w:rFonts w:ascii="Verdana" w:eastAsia="Calibri" w:hAnsi="Verdana" w:cs="Arial"/>
          <w:color w:val="000000" w:themeColor="text1"/>
          <w:vertAlign w:val="superscript"/>
          <w:lang w:eastAsia="es-ES"/>
        </w:rPr>
        <w:footnoteReference w:id="9"/>
      </w:r>
      <w:r w:rsidRPr="00BF70E2">
        <w:rPr>
          <w:rFonts w:ascii="Verdana" w:eastAsia="Calibri" w:hAnsi="Verdana" w:cs="Arial"/>
          <w:color w:val="000000" w:themeColor="text1"/>
          <w:lang w:eastAsia="es-ES"/>
        </w:rPr>
        <w:t xml:space="preserve">, es decir, que su aplicación y efectividad </w:t>
      </w:r>
      <w:r w:rsidRPr="00BF70E2">
        <w:rPr>
          <w:rFonts w:ascii="Verdana" w:eastAsia="Calibri" w:hAnsi="Verdana" w:cs="Arial"/>
          <w:color w:val="000000" w:themeColor="text1"/>
          <w:lang w:eastAsia="es-ES"/>
        </w:rPr>
        <w:lastRenderedPageBreak/>
        <w:t>debe estar ligada al propósito para el cual fueron promulgadas. En este sentido, desconocer la aplicación del EGCAP en el marco de la Ley 2056 de 2020 implicaría privar de eficacia la remisión expresa que esta ley establece en materia de contratación pública, contrariando tanto su tenor literal como su finalidad normativa. En este caso, la voluntad del legislador ha sido la de establecer mecanismos que garanticen la transparencia, eficiencia y control en la ejecución de los recursos del SGR mediante la aplicación del EGCAP, lo cual se refleja no solo en la redacción del articulado, sino también en los antecedentes legislativos que dieron lugar a su expedición</w:t>
      </w:r>
      <w:r w:rsidRPr="00BF70E2">
        <w:rPr>
          <w:rFonts w:ascii="Verdana" w:eastAsia="Calibri" w:hAnsi="Verdana" w:cs="Arial"/>
          <w:color w:val="000000" w:themeColor="text1"/>
          <w:vertAlign w:val="superscript"/>
          <w:lang w:eastAsia="es-ES"/>
        </w:rPr>
        <w:footnoteReference w:id="10"/>
      </w:r>
      <w:r w:rsidRPr="00BF70E2">
        <w:rPr>
          <w:rFonts w:ascii="Verdana" w:eastAsia="Calibri" w:hAnsi="Verdana" w:cs="Arial"/>
          <w:color w:val="000000" w:themeColor="text1"/>
          <w:lang w:eastAsia="es-ES"/>
        </w:rPr>
        <w:t>.</w:t>
      </w:r>
    </w:p>
    <w:p w14:paraId="435990D8"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 xml:space="preserve">De acuerdo con lo señalado, el legislador optó claramente por un criterio funcional o finalista, según el cual el régimen de contratación aplicable se determina por el origen de los recursos públicos y no por la naturaleza orgánica de la entidad ejecutora. Este enfoque parte de la premisa de que los recursos públicos de regalías deben estar sometidos a un marco normativo concreto. De esta forma, el legislador privilegia la naturaleza pública de recursos de regalías como criterio rector, por encima de cualquier particularidad orgánica o régimen especial que pudiera ostentar la entidad ejecutora. Esto se refuerza con el hecho de que la norma no hace ninguna distinción respecto de la ejecución de recurso por parte las entidades con régimen especial. </w:t>
      </w:r>
    </w:p>
    <w:p w14:paraId="5E167EF1"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 xml:space="preserve">Finalmente, resulta indispensable precisar que la remisión al EGCAP de la ejecución de los proyectos financiados con recursos de regalías no implica una alteración estructural del régimen especial de las entidades ejecutoras ni desconoce las normas que lo regulan. Tal y como se ha expuesto, la interpretación literal, sistemática y teleológica de la norma, armonizada con el principio general del </w:t>
      </w:r>
      <w:r w:rsidRPr="00BF70E2">
        <w:rPr>
          <w:rFonts w:ascii="Verdana" w:eastAsia="Calibri" w:hAnsi="Verdana" w:cs="Arial"/>
          <w:i/>
          <w:iCs/>
          <w:color w:val="000000" w:themeColor="text1"/>
          <w:lang w:eastAsia="es-ES"/>
        </w:rPr>
        <w:t>efecto útil</w:t>
      </w:r>
      <w:r w:rsidRPr="00BF70E2">
        <w:rPr>
          <w:rFonts w:ascii="Verdana" w:eastAsia="Calibri" w:hAnsi="Verdana" w:cs="Arial"/>
          <w:color w:val="000000" w:themeColor="text1"/>
          <w:lang w:eastAsia="es-ES"/>
        </w:rPr>
        <w:t xml:space="preserve">, conduce a concluir que cuando estas entidades actúan en calidad de ejecutoras en el marco de la Ley 2056 de 2020, deben sujetarse al EGCAP. </w:t>
      </w:r>
    </w:p>
    <w:p w14:paraId="2010C08A"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 xml:space="preserve">Este régimen particular no sustituye ni deroga el régimen especial de contratación al que está sujeta la entidad ejecutora, pero sí superpone </w:t>
      </w:r>
      <w:r w:rsidRPr="00BF70E2">
        <w:rPr>
          <w:rFonts w:ascii="Verdana" w:eastAsia="Calibri" w:hAnsi="Verdana" w:cs="Arial"/>
          <w:color w:val="000000" w:themeColor="text1"/>
          <w:lang w:eastAsia="es-ES"/>
        </w:rPr>
        <w:lastRenderedPageBreak/>
        <w:t>válidamente un conjunto de reglas especiales aplicables de manera preferente respecto de los contratos financiados con recursos de regalías, porque la Ley 2056 de 2020 contiene disposiciones específicas que regulan un aspecto puntual. En ese contexto, la remisión al régimen de contratación pública contenida en el artículo 37, y reiterada en otras disposiciones de la ley, despliega un efecto de aplicación preferente, no solo por su especialidad temática, sino también por su carácter imperativo y por estar dirigida a una función específica que es la ejecución de proyectos con recursos de regalías.</w:t>
      </w:r>
    </w:p>
    <w:p w14:paraId="3DB73192" w14:textId="77777777" w:rsidR="00BF70E2" w:rsidRPr="00BF70E2" w:rsidRDefault="00BF70E2" w:rsidP="00BF70E2">
      <w:pPr>
        <w:spacing w:after="120" w:line="276" w:lineRule="auto"/>
        <w:ind w:firstLine="709"/>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Debido a que esta remisión normativa no es una mera referencia indicativa sino que tiene pleno efectos jurídicos, impone la aplicación de régimen de contratación específico en virtud del principio de especialidad y de legalidad. Es decir, mientras actúan como ejecutoras del SGR, dichas entidades deben sujetarse al régimen previsto en la Ley 2056, incluyendo su remisión expresa al EGCAP, sin que ello implique una derogatoria general de su régimen contractual ordinario.</w:t>
      </w:r>
    </w:p>
    <w:p w14:paraId="37F573CC" w14:textId="77777777" w:rsidR="00BF70E2" w:rsidRPr="00BF70E2" w:rsidRDefault="00BF70E2" w:rsidP="00BF70E2">
      <w:pPr>
        <w:spacing w:after="120" w:line="276" w:lineRule="auto"/>
        <w:jc w:val="both"/>
        <w:rPr>
          <w:rFonts w:ascii="Verdana" w:eastAsia="Calibri" w:hAnsi="Verdana" w:cs="Arial"/>
          <w:color w:val="000000" w:themeColor="text1"/>
          <w:lang w:eastAsia="es-ES"/>
        </w:rPr>
      </w:pPr>
      <w:proofErr w:type="spellStart"/>
      <w:r w:rsidRPr="00BF70E2">
        <w:rPr>
          <w:rFonts w:ascii="Verdana" w:eastAsia="Calibri" w:hAnsi="Verdana" w:cs="Arial"/>
          <w:color w:val="000000" w:themeColor="text1"/>
          <w:lang w:eastAsia="es-ES"/>
        </w:rPr>
        <w:t>ii</w:t>
      </w:r>
      <w:proofErr w:type="spellEnd"/>
      <w:r w:rsidRPr="00BF70E2">
        <w:rPr>
          <w:rFonts w:ascii="Verdana" w:eastAsia="Calibri" w:hAnsi="Verdana" w:cs="Arial"/>
          <w:color w:val="000000" w:themeColor="text1"/>
          <w:lang w:eastAsia="es-ES"/>
        </w:rPr>
        <w:t>. Ahora bien, de acuerdo con la interpretación explicada, las entidades ejecutoras para efectos de los recursos de regalías deben sujetarse al EGCAP,</w:t>
      </w:r>
      <w:r w:rsidRPr="00BF70E2">
        <w:rPr>
          <w:rFonts w:ascii="Verdana" w:eastAsia="Calibri" w:hAnsi="Verdana" w:cs="Arial"/>
          <w:color w:val="000000"/>
          <w:lang w:val="es-ES" w:eastAsia="es-ES"/>
        </w:rPr>
        <w:t xml:space="preserve"> sin perjuicio de que en sus demás actividades apliquen el régimen especial que les corresponda</w:t>
      </w:r>
      <w:r w:rsidRPr="00BF70E2">
        <w:rPr>
          <w:rFonts w:ascii="Verdana" w:eastAsia="Calibri" w:hAnsi="Verdana" w:cs="Arial"/>
          <w:color w:val="000000" w:themeColor="text1"/>
          <w:lang w:eastAsia="es-ES"/>
        </w:rPr>
        <w:t xml:space="preserve">. Esto significa que, en el marco de la ejecución de estos proyectos, la contratación de los bienes, obras o servicios deberá adelantarse conforme las reglas establecidos en el EGCAP, lo que implica la aplicación de los documentos tipo cuando se adelanten procesos de contratación con objetos contractuales cobijados por alguno de los Documentos Tipo vigentes en los diferentes sectores. </w:t>
      </w:r>
    </w:p>
    <w:p w14:paraId="5E683711" w14:textId="77777777" w:rsidR="00BF70E2" w:rsidRPr="00BF70E2" w:rsidRDefault="00BF70E2" w:rsidP="00BF70E2">
      <w:pPr>
        <w:spacing w:after="120" w:line="276" w:lineRule="auto"/>
        <w:ind w:firstLine="708"/>
        <w:jc w:val="both"/>
        <w:rPr>
          <w:rFonts w:ascii="Verdana" w:eastAsia="Calibri" w:hAnsi="Verdana" w:cs="Arial"/>
          <w:color w:val="000000" w:themeColor="text1"/>
          <w:lang w:eastAsia="es-ES"/>
        </w:rPr>
      </w:pPr>
      <w:r w:rsidRPr="00BF70E2">
        <w:rPr>
          <w:rFonts w:ascii="Verdana" w:eastAsia="Calibri" w:hAnsi="Verdana" w:cs="Arial"/>
          <w:color w:val="000000" w:themeColor="text1"/>
          <w:lang w:eastAsia="es-ES"/>
        </w:rPr>
        <w:t xml:space="preserve">En efecto, de conformidad con el parágrafo 7 del artículo 2 de la Ley 1150 de 2007, adicionado por la Ley 1882 de 2018 y modificado por la Ley 2022 de 2020, las Entidades Estatales regidas por el EGCAP, se encuentran obligadas a aplicar los Documentos Tipo implementados por esta Agencia para adelantar los Procesos de Contratación que se encuentren cobijados por los Documentos Tipo expedidos. </w:t>
      </w:r>
    </w:p>
    <w:p w14:paraId="5F157ED6" w14:textId="77777777" w:rsidR="00BF70E2" w:rsidRPr="00BF70E2" w:rsidRDefault="00BF70E2" w:rsidP="00BF70E2">
      <w:pPr>
        <w:spacing w:after="120" w:line="276" w:lineRule="auto"/>
        <w:ind w:firstLine="708"/>
        <w:jc w:val="both"/>
        <w:rPr>
          <w:rFonts w:ascii="Verdana" w:eastAsia="Calibri" w:hAnsi="Verdana" w:cs="Arial"/>
          <w:lang w:val="es-ES"/>
        </w:rPr>
      </w:pPr>
      <w:r w:rsidRPr="00BF70E2">
        <w:rPr>
          <w:rFonts w:ascii="Verdana" w:eastAsia="Calibri" w:hAnsi="Verdana" w:cs="Arial"/>
        </w:rPr>
        <w:t xml:space="preserve">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w:t>
      </w:r>
      <w:r w:rsidRPr="00BF70E2">
        <w:rPr>
          <w:rFonts w:ascii="Verdana" w:eastAsia="Calibri" w:hAnsi="Verdana" w:cs="Arial"/>
        </w:rPr>
        <w:lastRenderedPageBreak/>
        <w:t xml:space="preserve">decir, que las Entidades Públicas carecen de la facultad de modificarlos, con excepción de aquellos aspectos que pueden diligenciar, que son las descripciones que están incluidas entre corchetes y resaltadas en gris en cada uno de los Documentos Tipo. </w:t>
      </w:r>
      <w:r w:rsidRPr="00BF70E2">
        <w:rPr>
          <w:rFonts w:ascii="Verdana" w:eastAsia="Calibri" w:hAnsi="Verdana" w:cs="Arial"/>
          <w:lang w:val="es-ES"/>
        </w:rPr>
        <w:t xml:space="preserve">Sin embargo, si el objeto contractual no se relaciona con actividades u objetos contractuales descritos en los Documentos Tipo que han sido expedidos por Colombia Compra Eficiente, o estos no aplican a la modalidad de escogencia aplicable, no será obligatorio aplicar los Pliegos Tipo. </w:t>
      </w:r>
    </w:p>
    <w:p w14:paraId="56AFB4A7" w14:textId="77777777" w:rsidR="00BF70E2" w:rsidRPr="00BF70E2" w:rsidRDefault="00BF70E2" w:rsidP="00BF70E2">
      <w:pPr>
        <w:spacing w:after="120" w:line="276" w:lineRule="auto"/>
        <w:ind w:firstLine="708"/>
        <w:jc w:val="both"/>
        <w:rPr>
          <w:rFonts w:ascii="Verdana" w:eastAsia="Calibri" w:hAnsi="Verdana" w:cs="Arial"/>
          <w:color w:val="000000" w:themeColor="text1"/>
          <w:lang w:eastAsia="es-ES"/>
        </w:rPr>
      </w:pPr>
      <w:r w:rsidRPr="00BF70E2">
        <w:rPr>
          <w:rFonts w:ascii="Verdana" w:eastAsia="Calibri" w:hAnsi="Verdana" w:cs="Arial"/>
          <w:lang w:val="es-ES"/>
        </w:rPr>
        <w:t xml:space="preserve">En este orden de ideas, si bien en principio las entidades con régimen de contratación especial no están obligadas a aplicar los documentos tipo, la remisión efectuada por el parágrafo primero del artículo 37 de la Ley 2056 de 2020 al EGCAP, conlleva a que las </w:t>
      </w:r>
      <w:r w:rsidRPr="00BF70E2">
        <w:rPr>
          <w:rFonts w:ascii="Verdana" w:eastAsia="Calibri" w:hAnsi="Verdana" w:cs="Arial"/>
          <w:color w:val="000000" w:themeColor="text1"/>
          <w:lang w:eastAsia="es-ES"/>
        </w:rPr>
        <w:t xml:space="preserve">entidades designadas ejecutoras deban sujetarse a las reglas y principios establecidos en el Estatuto General de Contratación de la Administración Pública y sus disposiciones reglamentarias. En consecuencia, ello comprende la aplicación de los documentos tipo en la medida en que el parágrafo 7 del artículo 2 de la Ley 1150 de 2007, adicionado por la Ley 1882 de 2018 y modificado por la Ley 2022 de 2020, establece su carácter obligatorio para las entidades que se rigen por el EGCAP, como sucede para efectos de los recursos del SGR. </w:t>
      </w:r>
    </w:p>
    <w:p w14:paraId="2DB24D80" w14:textId="77777777" w:rsidR="00BF70E2" w:rsidRPr="00BF70E2" w:rsidRDefault="00BF70E2" w:rsidP="00BF70E2">
      <w:pPr>
        <w:spacing w:before="120" w:line="276" w:lineRule="auto"/>
        <w:ind w:firstLine="709"/>
        <w:jc w:val="both"/>
        <w:rPr>
          <w:rFonts w:ascii="Verdana" w:eastAsia="Calibri" w:hAnsi="Verdana" w:cs="Times New Roman"/>
        </w:rPr>
      </w:pPr>
      <w:r w:rsidRPr="00BF70E2">
        <w:rPr>
          <w:rFonts w:ascii="Verdana" w:eastAsia="Calibri" w:hAnsi="Verdana" w:cs="Times New Roman"/>
        </w:rPr>
        <w:t>Por último, de acuerdo con lo planteado en la consulta, sobre el deber de publicidad de la información relativa al Sistema General de Regalías, el artículo 27 de la Ley 2056 del 2020 establece en su parágrafo segundo que las Entidades ejecutoras y los beneficiarios de los recursos del Sistema General de Regalías “al momento de afectar las apropiaciones en Sistema de Presupuesto y Giros de Regalías (SPGR), deberán publicar el proceso de contratación en el Sistema Electrónico para la Contratación Pública”.</w:t>
      </w:r>
    </w:p>
    <w:p w14:paraId="2C53F161" w14:textId="77777777" w:rsidR="00BF70E2" w:rsidRPr="00BF70E2" w:rsidRDefault="00BF70E2" w:rsidP="00BF70E2">
      <w:pPr>
        <w:spacing w:before="120" w:line="276" w:lineRule="auto"/>
        <w:ind w:firstLine="709"/>
        <w:jc w:val="both"/>
        <w:rPr>
          <w:rFonts w:ascii="Verdana" w:eastAsia="Calibri" w:hAnsi="Verdana" w:cs="Arial"/>
          <w:noProof/>
        </w:rPr>
      </w:pPr>
      <w:bookmarkStart w:id="7" w:name="_Hlk109111956"/>
      <w:r w:rsidRPr="00BF70E2">
        <w:rPr>
          <w:rFonts w:ascii="Verdana" w:eastAsia="Calibri" w:hAnsi="Verdana" w:cs="Times New Roman"/>
        </w:rPr>
        <w:t>Conforme a lo expuesto, en el marco del Sistema General de Regalías</w:t>
      </w:r>
      <w:r w:rsidRPr="00BF70E2">
        <w:rPr>
          <w:rFonts w:ascii="Verdana" w:eastAsia="Calibri" w:hAnsi="Verdana" w:cs="Arial"/>
        </w:rPr>
        <w:t xml:space="preserve"> las entidades ejecutoras tienen la</w:t>
      </w:r>
      <w:r w:rsidRPr="00BF70E2">
        <w:rPr>
          <w:rFonts w:ascii="Verdana" w:eastAsia="Calibri" w:hAnsi="Verdana" w:cs="Times New Roman"/>
        </w:rPr>
        <w:t xml:space="preserve"> obligación de registro y publicación en el SECOP de toda la actividad contractual. Además,</w:t>
      </w:r>
      <w:r w:rsidRPr="00BF70E2">
        <w:rPr>
          <w:rFonts w:ascii="Verdana" w:eastAsia="Calibri" w:hAnsi="Verdana" w:cs="Arial"/>
          <w:noProof/>
        </w:rPr>
        <w:t xml:space="preserve"> este deber de publicación en el SECOP, se hace extensivo a la entidades ejecutoras teniendo en cuenta que su actividad en esta materia se encuentra sometida al Estatuto General de Contratación de la Administración Pública, en virtud de la remisión del </w:t>
      </w:r>
      <w:r w:rsidRPr="00BF70E2">
        <w:rPr>
          <w:rFonts w:ascii="Verdana" w:eastAsia="Calibri" w:hAnsi="Verdana" w:cs="Arial"/>
          <w:color w:val="000000" w:themeColor="text1"/>
          <w:lang w:eastAsia="es-ES"/>
        </w:rPr>
        <w:t xml:space="preserve">artículo 37 de la Ley 2056 de 2020. De cualquier modo, es importante aclarar que el deber de publicidad también es extensible a las entidades exceptuadas, en los términos del artículo </w:t>
      </w:r>
      <w:r w:rsidRPr="00BF70E2">
        <w:rPr>
          <w:rFonts w:ascii="Verdana" w:eastAsia="Calibri" w:hAnsi="Verdana" w:cs="Arial"/>
          <w:color w:val="000000" w:themeColor="text1"/>
          <w:lang w:eastAsia="es-ES"/>
        </w:rPr>
        <w:lastRenderedPageBreak/>
        <w:t xml:space="preserve">53 </w:t>
      </w:r>
      <w:r w:rsidRPr="00BF70E2">
        <w:rPr>
          <w:rFonts w:ascii="Verdana" w:eastAsia="Calibri" w:hAnsi="Verdana" w:cs="Arial"/>
          <w:lang w:val="es-ES_tradnl"/>
        </w:rPr>
        <w:t>de la Ley 2195 de 2022</w:t>
      </w:r>
      <w:r w:rsidRPr="00BF70E2">
        <w:rPr>
          <w:rFonts w:ascii="Verdana" w:eastAsia="Calibri" w:hAnsi="Verdana" w:cs="Arial"/>
          <w:vertAlign w:val="superscript"/>
          <w:lang w:val="es-ES_tradnl"/>
        </w:rPr>
        <w:footnoteReference w:id="11"/>
      </w:r>
      <w:r w:rsidRPr="00BF70E2">
        <w:rPr>
          <w:rFonts w:ascii="Verdana" w:eastAsia="Calibri" w:hAnsi="Verdana" w:cs="Arial"/>
          <w:lang w:val="es-ES_tradnl"/>
        </w:rPr>
        <w:t>, quienes</w:t>
      </w:r>
      <w:r w:rsidRPr="00BF70E2">
        <w:rPr>
          <w:rFonts w:ascii="Verdana" w:eastAsia="Calibri" w:hAnsi="Verdana" w:cs="Arial"/>
          <w:noProof/>
        </w:rPr>
        <w:t xml:space="preserve"> deben </w:t>
      </w:r>
      <w:r w:rsidRPr="00BF70E2">
        <w:rPr>
          <w:rFonts w:ascii="Verdana" w:eastAsia="Calibri" w:hAnsi="Verdana" w:cs="Arial"/>
          <w:lang w:val="es-ES_tradnl"/>
        </w:rPr>
        <w:t>publicar en el SECOP II todo documento expedido durante las diferentes etapas del proceso contractual, abarcando desde la fase previa a su celebración, pasando por la ejecución y hasta la fase posterior a su ejecución. Lo anterior sin perjuicio de las reservas de información establecidas en normas de orden constitucional o legal.</w:t>
      </w:r>
      <w:bookmarkEnd w:id="7"/>
    </w:p>
    <w:p w14:paraId="2B5FF3D3" w14:textId="77777777" w:rsidR="00BF70E2" w:rsidRPr="00BF70E2" w:rsidRDefault="00BF70E2" w:rsidP="00BF70E2">
      <w:pPr>
        <w:spacing w:after="120" w:line="276" w:lineRule="auto"/>
        <w:jc w:val="both"/>
        <w:rPr>
          <w:rFonts w:ascii="Verdana" w:eastAsiaTheme="minorEastAsia" w:hAnsi="Verdana" w:cs="Arial"/>
          <w:spacing w:val="-9"/>
          <w:szCs w:val="24"/>
          <w:lang w:eastAsia="es-CO"/>
        </w:rPr>
      </w:pPr>
      <w:proofErr w:type="spellStart"/>
      <w:r w:rsidRPr="00BF70E2">
        <w:rPr>
          <w:rFonts w:ascii="Verdana" w:eastAsia="Calibri" w:hAnsi="Verdana" w:cs="Arial"/>
          <w:lang w:val="es-ES"/>
        </w:rPr>
        <w:t>iii</w:t>
      </w:r>
      <w:proofErr w:type="spellEnd"/>
      <w:r w:rsidRPr="00BF70E2">
        <w:rPr>
          <w:rFonts w:ascii="Verdana" w:eastAsia="Calibri" w:hAnsi="Verdana" w:cs="Arial"/>
          <w:lang w:val="es-ES"/>
        </w:rPr>
        <w:t xml:space="preserve">. </w:t>
      </w:r>
      <w:r w:rsidRPr="00BF70E2">
        <w:rPr>
          <w:rFonts w:ascii="Verdana" w:hAnsi="Verdana" w:cs="Arial"/>
          <w:lang w:eastAsia="es-ES"/>
        </w:rPr>
        <w:t>Al margen de la postura de la ANCP – CCE en torno a</w:t>
      </w:r>
      <w:r w:rsidRPr="00BF70E2">
        <w:rPr>
          <w:rFonts w:ascii="Verdana" w:eastAsia="Calibri" w:hAnsi="Verdana" w:cs="Arial"/>
          <w:color w:val="000000"/>
          <w:lang w:val="es-ES" w:eastAsia="es-ES"/>
        </w:rPr>
        <w:t xml:space="preserve">l régimen de contratación aplicable a la ejecución de proyectos financiados con recursos del Sistema General de Regalías -SGR, se reitera que los conceptos emitidos por esta Subdirección en el marco de la función consultiva </w:t>
      </w:r>
      <w:bookmarkStart w:id="8" w:name="_Hlk200718672"/>
      <w:r w:rsidRPr="00BF70E2">
        <w:rPr>
          <w:rFonts w:ascii="Verdana" w:eastAsia="Calibri" w:hAnsi="Verdana" w:cs="Arial"/>
          <w:color w:val="000000"/>
          <w:lang w:val="es-ES" w:eastAsia="es-ES"/>
        </w:rPr>
        <w:t>representan</w:t>
      </w:r>
      <w:r w:rsidRPr="00BF70E2">
        <w:rPr>
          <w:rFonts w:ascii="Verdana" w:hAnsi="Verdana" w:cs="Arial"/>
          <w:lang w:eastAsia="es-ES"/>
        </w:rPr>
        <w:t xml:space="preserve"> una </w:t>
      </w:r>
      <w:r w:rsidRPr="00BF70E2">
        <w:rPr>
          <w:rFonts w:ascii="Verdana" w:eastAsia="Calibri" w:hAnsi="Verdana" w:cs="Arial"/>
          <w:bCs/>
          <w:lang w:val="es-ES_tradnl"/>
        </w:rPr>
        <w:t>posición hermenéutica respecto a las disposiciones normativas del Sistema de Compras Públicas,</w:t>
      </w:r>
      <w:r w:rsidRPr="00BF70E2">
        <w:rPr>
          <w:rFonts w:ascii="Verdana" w:hAnsi="Verdana" w:cs="Arial"/>
          <w:lang w:eastAsia="es-ES"/>
        </w:rPr>
        <w:t xml:space="preserve"> </w:t>
      </w:r>
      <w:bookmarkStart w:id="9" w:name="_Hlk42100007"/>
      <w:r w:rsidRPr="00BF70E2">
        <w:rPr>
          <w:rFonts w:ascii="Verdana" w:hAnsi="Verdana" w:cs="Arial"/>
          <w:lang w:eastAsia="es-ES"/>
        </w:rPr>
        <w:t xml:space="preserve">que </w:t>
      </w:r>
      <w:r w:rsidRPr="00BF70E2">
        <w:rPr>
          <w:rFonts w:ascii="Verdana" w:eastAsia="Calibri" w:hAnsi="Verdana" w:cs="Arial"/>
          <w:bCs/>
          <w:lang w:val="es-ES_tradnl"/>
        </w:rPr>
        <w:t xml:space="preserve">no tienen efectos vinculantes </w:t>
      </w:r>
      <w:bookmarkEnd w:id="8"/>
      <w:r w:rsidRPr="00BF70E2">
        <w:rPr>
          <w:rFonts w:ascii="Verdana" w:eastAsia="Calibri" w:hAnsi="Verdana" w:cs="Arial"/>
          <w:bCs/>
          <w:lang w:val="es-ES_tradnl"/>
        </w:rPr>
        <w:t>en relación con una situación jurídica particular y concreta, y exponen un criterio que, aunque jurídicamente fundamentado, no representan la única interpretación válida del ordenamiento jurídico.</w:t>
      </w:r>
      <w:bookmarkEnd w:id="9"/>
      <w:r w:rsidRPr="00BF70E2">
        <w:rPr>
          <w:rFonts w:ascii="Verdana" w:eastAsiaTheme="minorEastAsia" w:hAnsi="Verdana" w:cs="Arial"/>
          <w:szCs w:val="24"/>
          <w:lang w:eastAsia="es-CO"/>
        </w:rPr>
        <w:t xml:space="preserve"> De este modo, las autoridades que ejercen funciones consultivas pueden expresar su</w:t>
      </w:r>
      <w:r w:rsidRPr="00BF70E2">
        <w:rPr>
          <w:rFonts w:ascii="Verdana" w:eastAsiaTheme="minorEastAsia" w:hAnsi="Verdana" w:cs="Arial"/>
          <w:spacing w:val="1"/>
          <w:szCs w:val="24"/>
          <w:lang w:eastAsia="es-CO"/>
        </w:rPr>
        <w:t xml:space="preserve"> </w:t>
      </w:r>
      <w:r w:rsidRPr="00BF70E2">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sidRPr="00BF70E2">
        <w:rPr>
          <w:rFonts w:ascii="Verdana" w:eastAsiaTheme="minorEastAsia" w:hAnsi="Verdana" w:cs="Arial"/>
          <w:spacing w:val="1"/>
          <w:szCs w:val="24"/>
          <w:lang w:eastAsia="es-CO"/>
        </w:rPr>
        <w:t xml:space="preserve"> </w:t>
      </w:r>
      <w:r w:rsidRPr="00BF70E2">
        <w:rPr>
          <w:rFonts w:ascii="Verdana" w:eastAsiaTheme="minorEastAsia" w:hAnsi="Verdana" w:cs="Arial"/>
          <w:szCs w:val="24"/>
          <w:lang w:eastAsia="es-CO"/>
        </w:rPr>
        <w:t>virtud</w:t>
      </w:r>
      <w:r w:rsidRPr="00BF70E2">
        <w:rPr>
          <w:rFonts w:ascii="Verdana" w:eastAsiaTheme="minorEastAsia" w:hAnsi="Verdana" w:cs="Arial"/>
          <w:spacing w:val="-10"/>
          <w:szCs w:val="24"/>
          <w:lang w:eastAsia="es-CO"/>
        </w:rPr>
        <w:t xml:space="preserve"> </w:t>
      </w:r>
      <w:r w:rsidRPr="00BF70E2">
        <w:rPr>
          <w:rFonts w:ascii="Verdana" w:eastAsiaTheme="minorEastAsia" w:hAnsi="Verdana" w:cs="Arial"/>
          <w:szCs w:val="24"/>
          <w:lang w:eastAsia="es-CO"/>
        </w:rPr>
        <w:t>de</w:t>
      </w:r>
      <w:r w:rsidRPr="00BF70E2">
        <w:rPr>
          <w:rFonts w:ascii="Verdana" w:eastAsiaTheme="minorEastAsia" w:hAnsi="Verdana" w:cs="Arial"/>
          <w:spacing w:val="-9"/>
          <w:szCs w:val="24"/>
          <w:lang w:eastAsia="es-CO"/>
        </w:rPr>
        <w:t xml:space="preserve"> </w:t>
      </w:r>
      <w:r w:rsidRPr="00BF70E2">
        <w:rPr>
          <w:rFonts w:ascii="Verdana" w:eastAsiaTheme="minorEastAsia" w:hAnsi="Verdana" w:cs="Arial"/>
          <w:szCs w:val="24"/>
          <w:lang w:eastAsia="es-CO"/>
        </w:rPr>
        <w:t>la</w:t>
      </w:r>
      <w:r w:rsidRPr="00BF70E2">
        <w:rPr>
          <w:rFonts w:ascii="Verdana" w:eastAsiaTheme="minorEastAsia" w:hAnsi="Verdana" w:cs="Arial"/>
          <w:spacing w:val="-9"/>
          <w:szCs w:val="24"/>
          <w:lang w:eastAsia="es-CO"/>
        </w:rPr>
        <w:t xml:space="preserve"> </w:t>
      </w:r>
      <w:r w:rsidRPr="00BF70E2">
        <w:rPr>
          <w:rFonts w:ascii="Verdana" w:eastAsiaTheme="minorEastAsia" w:hAnsi="Verdana" w:cs="Arial"/>
          <w:szCs w:val="24"/>
          <w:lang w:eastAsia="es-CO"/>
        </w:rPr>
        <w:t>utilización</w:t>
      </w:r>
      <w:r w:rsidRPr="00BF70E2">
        <w:rPr>
          <w:rFonts w:ascii="Verdana" w:eastAsiaTheme="minorEastAsia" w:hAnsi="Verdana" w:cs="Arial"/>
          <w:spacing w:val="-9"/>
          <w:szCs w:val="24"/>
          <w:lang w:eastAsia="es-CO"/>
        </w:rPr>
        <w:t xml:space="preserve"> </w:t>
      </w:r>
      <w:r w:rsidRPr="00BF70E2">
        <w:rPr>
          <w:rFonts w:ascii="Verdana" w:eastAsiaTheme="minorEastAsia" w:hAnsi="Verdana" w:cs="Arial"/>
          <w:szCs w:val="24"/>
          <w:lang w:eastAsia="es-CO"/>
        </w:rPr>
        <w:t>de</w:t>
      </w:r>
      <w:r w:rsidRPr="00BF70E2">
        <w:rPr>
          <w:rFonts w:ascii="Verdana" w:eastAsiaTheme="minorEastAsia" w:hAnsi="Verdana" w:cs="Arial"/>
          <w:spacing w:val="-9"/>
          <w:szCs w:val="24"/>
          <w:lang w:eastAsia="es-CO"/>
        </w:rPr>
        <w:t xml:space="preserve"> </w:t>
      </w:r>
      <w:r w:rsidRPr="00BF70E2">
        <w:rPr>
          <w:rFonts w:ascii="Verdana" w:eastAsiaTheme="minorEastAsia" w:hAnsi="Verdana" w:cs="Arial"/>
          <w:szCs w:val="24"/>
          <w:lang w:eastAsia="es-CO"/>
        </w:rPr>
        <w:t>conceptos</w:t>
      </w:r>
      <w:r w:rsidRPr="00BF70E2">
        <w:rPr>
          <w:rFonts w:ascii="Verdana" w:eastAsiaTheme="minorEastAsia" w:hAnsi="Verdana" w:cs="Arial"/>
          <w:spacing w:val="-10"/>
          <w:szCs w:val="24"/>
          <w:lang w:eastAsia="es-CO"/>
        </w:rPr>
        <w:t xml:space="preserve"> </w:t>
      </w:r>
      <w:r w:rsidRPr="00BF70E2">
        <w:rPr>
          <w:rFonts w:ascii="Verdana" w:eastAsiaTheme="minorEastAsia" w:hAnsi="Verdana" w:cs="Arial"/>
          <w:szCs w:val="24"/>
          <w:lang w:eastAsia="es-CO"/>
        </w:rPr>
        <w:t>jurídicos</w:t>
      </w:r>
      <w:r w:rsidRPr="00BF70E2">
        <w:rPr>
          <w:rFonts w:ascii="Verdana" w:eastAsiaTheme="minorEastAsia" w:hAnsi="Verdana" w:cs="Arial"/>
          <w:spacing w:val="-9"/>
          <w:szCs w:val="24"/>
          <w:lang w:eastAsia="es-CO"/>
        </w:rPr>
        <w:t xml:space="preserve"> </w:t>
      </w:r>
      <w:r w:rsidRPr="00BF70E2">
        <w:rPr>
          <w:rFonts w:ascii="Verdana" w:eastAsiaTheme="minorEastAsia" w:hAnsi="Verdana" w:cs="Arial"/>
          <w:szCs w:val="24"/>
          <w:lang w:eastAsia="es-CO"/>
        </w:rPr>
        <w:t>indeterminados.</w:t>
      </w:r>
      <w:r w:rsidRPr="00BF70E2">
        <w:rPr>
          <w:rFonts w:ascii="Verdana" w:eastAsiaTheme="minorEastAsia" w:hAnsi="Verdana" w:cs="Arial"/>
          <w:spacing w:val="-9"/>
          <w:szCs w:val="24"/>
          <w:lang w:eastAsia="es-CO"/>
        </w:rPr>
        <w:t xml:space="preserve"> </w:t>
      </w:r>
    </w:p>
    <w:p w14:paraId="1B19BA79" w14:textId="77777777" w:rsidR="00BF70E2" w:rsidRPr="00BF70E2" w:rsidRDefault="00BF70E2" w:rsidP="00BF70E2">
      <w:pPr>
        <w:spacing w:after="120" w:line="276" w:lineRule="auto"/>
        <w:ind w:firstLine="709"/>
        <w:jc w:val="both"/>
        <w:rPr>
          <w:rFonts w:ascii="Verdana" w:eastAsia="Calibri" w:hAnsi="Verdana" w:cs="Arial"/>
          <w:color w:val="000000"/>
          <w:lang w:val="es-ES" w:eastAsia="es-ES"/>
        </w:rPr>
      </w:pPr>
      <w:r w:rsidRPr="00BF70E2">
        <w:rPr>
          <w:rFonts w:ascii="Verdana" w:hAnsi="Verdana" w:cs="Arial"/>
          <w:lang w:eastAsia="es-ES"/>
        </w:rPr>
        <w:t xml:space="preserve">Por consiguiente, debe advertirse que el llamado a emitir lineamientos respecto a </w:t>
      </w:r>
      <w:r w:rsidRPr="00BF70E2">
        <w:rPr>
          <w:rFonts w:ascii="Verdana" w:eastAsia="Calibri" w:hAnsi="Verdana" w:cs="Arial"/>
          <w:bCs/>
          <w:color w:val="000000" w:themeColor="text1"/>
        </w:rPr>
        <w:t>los proyectos adelantados con cargo al Sistema General de Regalías</w:t>
      </w:r>
      <w:r w:rsidRPr="00BF70E2">
        <w:rPr>
          <w:rFonts w:ascii="Verdana" w:hAnsi="Verdana" w:cs="Arial"/>
          <w:lang w:eastAsia="es-ES"/>
        </w:rPr>
        <w:t xml:space="preserve"> debe ser realizado por el Departamento Nacional de Planeación</w:t>
      </w:r>
      <w:r w:rsidRPr="00BF70E2">
        <w:rPr>
          <w:rFonts w:ascii="Verdana" w:eastAsia="Calibri" w:hAnsi="Verdana" w:cs="Arial"/>
          <w:color w:val="000000"/>
          <w:lang w:val="es-ES" w:eastAsia="es-ES"/>
        </w:rPr>
        <w:t xml:space="preserve">, el cual tiene a su cargo el deber de </w:t>
      </w:r>
      <w:r w:rsidRPr="00BF70E2">
        <w:rPr>
          <w:rFonts w:ascii="Verdana" w:eastAsia="Calibri" w:hAnsi="Verdana" w:cs="Arial"/>
          <w:color w:val="000000"/>
          <w:lang w:eastAsia="es-ES"/>
        </w:rPr>
        <w:t xml:space="preserve">impartir las directrices jurídicas y adoptar los instrumentos para la interpretación y aplicación de las normas por parte de las dependencias y demás organismos y entidades del Estado y de establecer criterios de interpretación legal de última instancia, así como fijar la posición jurídica institucional del Departamento Nacional de Planeación y de las normas legales relacionadas con el Sistema General de Regalías, de </w:t>
      </w:r>
      <w:r w:rsidRPr="00BF70E2">
        <w:rPr>
          <w:rFonts w:ascii="Verdana" w:eastAsia="Calibri" w:hAnsi="Verdana" w:cs="Arial"/>
          <w:color w:val="000000"/>
          <w:lang w:val="es-ES" w:eastAsia="es-ES"/>
        </w:rPr>
        <w:t xml:space="preserve">conformidad con lo señalado en los numeral 2 y 3 del artículo 8 del Decreto 1893 de 2021. </w:t>
      </w:r>
    </w:p>
    <w:p w14:paraId="45137F1C" w14:textId="77777777" w:rsidR="00BF70E2" w:rsidRPr="00BF70E2" w:rsidRDefault="00BF70E2" w:rsidP="00BF70E2">
      <w:pPr>
        <w:widowControl w:val="0"/>
        <w:autoSpaceDE w:val="0"/>
        <w:autoSpaceDN w:val="0"/>
        <w:spacing w:after="120" w:line="276" w:lineRule="auto"/>
        <w:ind w:right="176" w:firstLine="708"/>
        <w:jc w:val="both"/>
        <w:rPr>
          <w:rFonts w:ascii="Verdana" w:hAnsi="Verdana"/>
        </w:rPr>
      </w:pPr>
      <w:r w:rsidRPr="00BF70E2">
        <w:rPr>
          <w:rFonts w:ascii="Verdana" w:hAnsi="Verdana"/>
        </w:rPr>
        <w:t xml:space="preserve">Dentro de este marco, corresponde a cada entidad pública, en ejercicio </w:t>
      </w:r>
      <w:r w:rsidRPr="00BF70E2">
        <w:rPr>
          <w:rFonts w:ascii="Verdana" w:hAnsi="Verdana"/>
        </w:rPr>
        <w:lastRenderedPageBreak/>
        <w:t xml:space="preserve">de su competencia y previa valoración de los elementos fácticos y jurídicos, así como de las disposiciones legales mencionadas, determinar su gestión contractual.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ni determinar las irregularidades de un proceso de contratación. </w:t>
      </w:r>
    </w:p>
    <w:p w14:paraId="18003622" w14:textId="77777777" w:rsidR="00BF70E2" w:rsidRPr="00BF70E2" w:rsidRDefault="00BF70E2" w:rsidP="00BF70E2">
      <w:pPr>
        <w:widowControl w:val="0"/>
        <w:autoSpaceDE w:val="0"/>
        <w:autoSpaceDN w:val="0"/>
        <w:spacing w:after="0" w:line="276" w:lineRule="auto"/>
        <w:jc w:val="both"/>
        <w:rPr>
          <w:rFonts w:ascii="Verdana" w:eastAsia="Arial" w:hAnsi="Verdana" w:cs="Arial"/>
          <w:lang w:val="es-ES"/>
        </w:rPr>
      </w:pPr>
    </w:p>
    <w:p w14:paraId="5B296B79" w14:textId="77777777" w:rsidR="00BF70E2" w:rsidRPr="00BF70E2" w:rsidRDefault="00BF70E2" w:rsidP="00BF70E2">
      <w:pPr>
        <w:numPr>
          <w:ilvl w:val="0"/>
          <w:numId w:val="1"/>
        </w:numPr>
        <w:tabs>
          <w:tab w:val="left" w:pos="142"/>
          <w:tab w:val="left" w:pos="284"/>
        </w:tabs>
        <w:spacing w:after="0" w:line="276" w:lineRule="auto"/>
        <w:jc w:val="both"/>
        <w:rPr>
          <w:rFonts w:ascii="Verdana" w:eastAsia="Century Gothic" w:hAnsi="Verdana" w:cs="Century Gothic"/>
          <w:b/>
          <w:bCs/>
        </w:rPr>
      </w:pPr>
      <w:r w:rsidRPr="00BF70E2">
        <w:rPr>
          <w:rFonts w:ascii="Verdana" w:eastAsia="Century Gothic" w:hAnsi="Verdana" w:cs="Century Gothic"/>
          <w:b/>
          <w:bCs/>
        </w:rPr>
        <w:t>Referencias normativas y jurisprudenciales:</w:t>
      </w:r>
    </w:p>
    <w:p w14:paraId="5F0CF8D7" w14:textId="77777777" w:rsidR="00BF70E2" w:rsidRPr="00BF70E2" w:rsidRDefault="00BF70E2" w:rsidP="00BF70E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F70E2" w:rsidRPr="00BF70E2" w14:paraId="37CA0138" w14:textId="77777777" w:rsidTr="005642F4">
        <w:trPr>
          <w:trHeight w:val="410"/>
          <w:jc w:val="center"/>
        </w:trPr>
        <w:tc>
          <w:tcPr>
            <w:tcW w:w="8647" w:type="dxa"/>
          </w:tcPr>
          <w:p w14:paraId="0FB341ED" w14:textId="77777777" w:rsidR="00BF70E2" w:rsidRPr="00BF70E2" w:rsidRDefault="00BF70E2" w:rsidP="00BF70E2">
            <w:pPr>
              <w:widowControl w:val="0"/>
              <w:numPr>
                <w:ilvl w:val="0"/>
                <w:numId w:val="3"/>
              </w:numPr>
              <w:autoSpaceDE w:val="0"/>
              <w:autoSpaceDN w:val="0"/>
              <w:spacing w:after="120" w:line="276" w:lineRule="auto"/>
              <w:ind w:left="317" w:hanging="357"/>
              <w:contextualSpacing/>
              <w:jc w:val="both"/>
              <w:rPr>
                <w:rFonts w:ascii="Verdana" w:hAnsi="Verdana" w:cs="Arial"/>
                <w:lang w:val="es-ES"/>
              </w:rPr>
            </w:pPr>
            <w:r w:rsidRPr="00BF70E2">
              <w:rPr>
                <w:rFonts w:ascii="Verdana" w:hAnsi="Verdana" w:cs="Arial"/>
                <w:lang w:val="es-ES"/>
              </w:rPr>
              <w:t xml:space="preserve">Constitución Política de 1991, artículos 360 y 361. </w:t>
            </w:r>
          </w:p>
          <w:p w14:paraId="6AF4D133" w14:textId="77777777" w:rsidR="00BF70E2" w:rsidRPr="00BF70E2" w:rsidRDefault="00BF70E2" w:rsidP="00BF70E2">
            <w:pPr>
              <w:widowControl w:val="0"/>
              <w:numPr>
                <w:ilvl w:val="0"/>
                <w:numId w:val="3"/>
              </w:numPr>
              <w:autoSpaceDE w:val="0"/>
              <w:autoSpaceDN w:val="0"/>
              <w:spacing w:after="120" w:line="276" w:lineRule="auto"/>
              <w:ind w:left="317" w:hanging="357"/>
              <w:contextualSpacing/>
              <w:jc w:val="both"/>
              <w:rPr>
                <w:rFonts w:ascii="Verdana" w:hAnsi="Verdana" w:cs="Arial"/>
                <w:lang w:val="es-ES"/>
              </w:rPr>
            </w:pPr>
            <w:r w:rsidRPr="00BF70E2">
              <w:rPr>
                <w:rFonts w:ascii="Verdana" w:hAnsi="Verdana" w:cs="Arial"/>
                <w:lang w:val="es-ES"/>
              </w:rPr>
              <w:t>Ley 80 de 1993, artículos 40 y 41</w:t>
            </w:r>
          </w:p>
          <w:p w14:paraId="4D0A82E5" w14:textId="77777777" w:rsidR="00BF70E2" w:rsidRPr="00BF70E2" w:rsidRDefault="00BF70E2" w:rsidP="00BF70E2">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BF70E2">
              <w:rPr>
                <w:rFonts w:ascii="Verdana" w:hAnsi="Verdana" w:cs="Arial"/>
              </w:rPr>
              <w:t>Ley 2056 de 2020, artículos 28 a 37, 83, 87, 98, 99, 101, 108 y 109</w:t>
            </w:r>
          </w:p>
          <w:p w14:paraId="274C5E4A" w14:textId="77777777" w:rsidR="00BF70E2" w:rsidRPr="00BF70E2" w:rsidRDefault="00BF70E2" w:rsidP="00BF70E2">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BF70E2">
              <w:rPr>
                <w:rFonts w:ascii="Verdana" w:eastAsia="Aptos" w:hAnsi="Verdana" w:cs="Arial"/>
              </w:rPr>
              <w:t>Consejo De Estado. Sección tercera. Sentencia del 7 de marzo de 2025. Radicación No.69.941. C.P: José Roberto Sáchica.</w:t>
            </w:r>
          </w:p>
        </w:tc>
      </w:tr>
    </w:tbl>
    <w:p w14:paraId="5B9D8DFE" w14:textId="77777777" w:rsidR="00BF70E2" w:rsidRPr="00BF70E2" w:rsidRDefault="00BF70E2" w:rsidP="00BF70E2">
      <w:pPr>
        <w:widowControl w:val="0"/>
        <w:autoSpaceDE w:val="0"/>
        <w:autoSpaceDN w:val="0"/>
        <w:spacing w:after="0" w:line="276" w:lineRule="auto"/>
        <w:jc w:val="both"/>
        <w:rPr>
          <w:rFonts w:ascii="Verdana" w:hAnsi="Verdana" w:cs="Arial"/>
        </w:rPr>
      </w:pPr>
    </w:p>
    <w:p w14:paraId="465D4282" w14:textId="77777777" w:rsidR="00BF70E2" w:rsidRPr="00BF70E2" w:rsidRDefault="00BF70E2" w:rsidP="00BF70E2">
      <w:pPr>
        <w:numPr>
          <w:ilvl w:val="0"/>
          <w:numId w:val="1"/>
        </w:numPr>
        <w:tabs>
          <w:tab w:val="left" w:pos="142"/>
          <w:tab w:val="left" w:pos="284"/>
        </w:tabs>
        <w:spacing w:after="0" w:line="276" w:lineRule="auto"/>
        <w:jc w:val="both"/>
        <w:rPr>
          <w:rFonts w:ascii="Verdana" w:eastAsia="Century Gothic" w:hAnsi="Verdana" w:cs="Century Gothic"/>
          <w:b/>
          <w:bCs/>
        </w:rPr>
      </w:pPr>
      <w:r w:rsidRPr="00BF70E2">
        <w:rPr>
          <w:rFonts w:ascii="Verdana" w:eastAsia="Century Gothic" w:hAnsi="Verdana" w:cs="Century Gothic"/>
          <w:b/>
          <w:bCs/>
        </w:rPr>
        <w:t>Doctrina de la Agencia Nacional de Contratación Pública:</w:t>
      </w:r>
    </w:p>
    <w:p w14:paraId="02CD4B06" w14:textId="77777777" w:rsidR="00BF70E2" w:rsidRPr="00BF70E2" w:rsidRDefault="00BF70E2" w:rsidP="00BF70E2">
      <w:pPr>
        <w:widowControl w:val="0"/>
        <w:autoSpaceDE w:val="0"/>
        <w:autoSpaceDN w:val="0"/>
        <w:spacing w:after="0" w:line="276" w:lineRule="auto"/>
        <w:jc w:val="both"/>
        <w:rPr>
          <w:rFonts w:ascii="Verdana" w:hAnsi="Verdana" w:cs="Arial"/>
        </w:rPr>
      </w:pPr>
    </w:p>
    <w:p w14:paraId="18C3D7D5" w14:textId="77777777" w:rsidR="00BF70E2" w:rsidRPr="00BF70E2" w:rsidRDefault="00BF70E2" w:rsidP="00BF70E2">
      <w:pPr>
        <w:widowControl w:val="0"/>
        <w:autoSpaceDE w:val="0"/>
        <w:autoSpaceDN w:val="0"/>
        <w:spacing w:after="120" w:line="276" w:lineRule="auto"/>
        <w:jc w:val="both"/>
        <w:rPr>
          <w:rFonts w:ascii="Verdana" w:hAnsi="Verdana" w:cs="Arial"/>
          <w:color w:val="000000" w:themeColor="text1"/>
          <w:shd w:val="clear" w:color="auto" w:fill="FFFFFF"/>
        </w:rPr>
      </w:pPr>
      <w:r w:rsidRPr="00BF70E2">
        <w:rPr>
          <w:rFonts w:ascii="Verdana" w:hAnsi="Verdana" w:cs="Arial"/>
          <w:shd w:val="clear" w:color="auto" w:fill="FFFFFF"/>
        </w:rPr>
        <w:t xml:space="preserve">Esta Subdirección se ha pronunciado sobre el régimen de contratación de las entidades ejecutoras cuando ejecutan recursos del SGR en los conceptos </w:t>
      </w:r>
      <w:r w:rsidRPr="00BF70E2">
        <w:rPr>
          <w:rFonts w:ascii="Verdana" w:hAnsi="Verdana"/>
        </w:rPr>
        <w:t>C-370 del 2021,</w:t>
      </w:r>
      <w:r w:rsidRPr="00BF70E2">
        <w:rPr>
          <w:rFonts w:ascii="Verdana" w:hAnsi="Verdana"/>
          <w:shd w:val="clear" w:color="auto" w:fill="FFFFFF"/>
        </w:rPr>
        <w:t xml:space="preserve"> C-353 del 2 de junio de 2022, C-918 del 9 de diciembre de 2024, C-504 del 1 de octubre 2024, C-951 del 16 de diciembre de 2024, C-285 del 14 de abril de 2025, C-348 del 25 de abril de 2025, C-370 del 2 de mayo de 2025, C-680 del 8 de julio de 2025, C-914 del 15 de agosto de 2025, C-1065 del 8 de septiembre de 2025 y C-225 del 27 de febrero de 2026, </w:t>
      </w:r>
      <w:r w:rsidRPr="00BF70E2">
        <w:rPr>
          <w:rFonts w:ascii="Verdana" w:hAnsi="Verdana" w:cs="Arial"/>
          <w:shd w:val="clear" w:color="auto" w:fill="FFFFFF"/>
        </w:rPr>
        <w:t>Es</w:t>
      </w:r>
      <w:r w:rsidRPr="00BF70E2">
        <w:rPr>
          <w:rFonts w:ascii="Verdana" w:hAnsi="Verdana"/>
        </w:rPr>
        <w:t>tos conceptos se encuentran disponibles para consulta en el Sistema de relatoría de la Agencia, al cual se puede acceder a través del siguiente enlace:</w:t>
      </w:r>
      <w:r w:rsidRPr="00BF70E2">
        <w:rPr>
          <w:rFonts w:ascii="Verdana" w:hAnsi="Verdana" w:cs="Arial"/>
          <w:shd w:val="clear" w:color="auto" w:fill="FFFFFF"/>
        </w:rPr>
        <w:t xml:space="preserve"> </w:t>
      </w:r>
      <w:hyperlink r:id="rId14" w:history="1">
        <w:r w:rsidRPr="00BF70E2">
          <w:rPr>
            <w:rFonts w:ascii="Verdana" w:hAnsi="Verdana" w:cs="Arial"/>
            <w:color w:val="0563C1" w:themeColor="hyperlink"/>
            <w:u w:val="single"/>
            <w:shd w:val="clear" w:color="auto" w:fill="FFFFFF"/>
          </w:rPr>
          <w:t>https://relatoria.colombiacompra.gov.co/busqueda/conceptos</w:t>
        </w:r>
      </w:hyperlink>
      <w:r w:rsidRPr="00BF70E2">
        <w:rPr>
          <w:rFonts w:ascii="Verdana" w:hAnsi="Verdana" w:cs="Arial"/>
          <w:shd w:val="clear" w:color="auto" w:fill="FFFFFF"/>
        </w:rPr>
        <w:t>.</w:t>
      </w:r>
      <w:r w:rsidRPr="00BF70E2">
        <w:rPr>
          <w:rFonts w:ascii="Verdana" w:hAnsi="Verdana" w:cs="Arial"/>
          <w:color w:val="FF0000"/>
          <w:shd w:val="clear" w:color="auto" w:fill="FFFFFF"/>
        </w:rPr>
        <w:t xml:space="preserve"> </w:t>
      </w:r>
      <w:r w:rsidRPr="00BF70E2">
        <w:rPr>
          <w:rFonts w:ascii="Verdana" w:hAnsi="Verdana" w:cs="Arial"/>
          <w:color w:val="000000" w:themeColor="text1"/>
          <w:shd w:val="clear" w:color="auto" w:fill="FFFFFF"/>
        </w:rPr>
        <w:t> </w:t>
      </w:r>
    </w:p>
    <w:p w14:paraId="2C3BD821" w14:textId="77777777" w:rsidR="00BF70E2" w:rsidRPr="00BF70E2" w:rsidRDefault="00BF70E2" w:rsidP="00BF70E2">
      <w:pPr>
        <w:jc w:val="both"/>
        <w:rPr>
          <w:rFonts w:ascii="Verdana" w:hAnsi="Verdana"/>
        </w:rPr>
      </w:pPr>
      <w:r w:rsidRPr="00BF70E2">
        <w:rPr>
          <w:rFonts w:ascii="Verdana" w:hAnsi="Verdana"/>
        </w:rPr>
        <w:t xml:space="preserve">La sostenibilidad no es una opción, es una obligación. Por ello, la Agencia Nacional de Contratación Pública –Colombia Compra Eficiente– te invita a realizar el </w:t>
      </w:r>
      <w:r w:rsidRPr="00BF70E2">
        <w:rPr>
          <w:rFonts w:ascii="Verdana" w:hAnsi="Verdana"/>
          <w:b/>
          <w:bCs/>
        </w:rPr>
        <w:t>Curso de Contratación Pública Sostenible y Socialmente Responsable</w:t>
      </w:r>
      <w:r w:rsidRPr="00BF70E2">
        <w:rPr>
          <w:rFonts w:ascii="Verdana" w:hAnsi="Verdana"/>
        </w:rPr>
        <w:t xml:space="preserve">, una herramienta clave para fortalecer las capacidades de todos los compradores públicos, proveedores, servidores públicos v para generar </w:t>
      </w:r>
      <w:r w:rsidRPr="00BF70E2">
        <w:rPr>
          <w:rFonts w:ascii="Verdana" w:hAnsi="Verdana"/>
        </w:rPr>
        <w:lastRenderedPageBreak/>
        <w:t>mayor valor público. Accede al curso y aprende como implementar criterios sociales y ambientales en las diferentes etapas del proceso de contratación:</w:t>
      </w:r>
      <w:r w:rsidRPr="00BF70E2">
        <w:rPr>
          <w:rFonts w:ascii="Verdana" w:hAnsi="Verdana"/>
        </w:rPr>
        <w:br/>
      </w:r>
      <w:hyperlink r:id="rId15" w:tgtFrame="_new" w:history="1">
        <w:r w:rsidRPr="00BF70E2">
          <w:rPr>
            <w:rFonts w:ascii="Verdana" w:hAnsi="Verdana"/>
            <w:color w:val="0000FF"/>
            <w:u w:val="single"/>
          </w:rPr>
          <w:t>https://formacionvirtual.colombiacompra.gov.co/mod/page/view.php?id=3718</w:t>
        </w:r>
      </w:hyperlink>
    </w:p>
    <w:p w14:paraId="0EDF3AFD" w14:textId="77777777" w:rsidR="00BF70E2" w:rsidRPr="00BF70E2" w:rsidRDefault="00BF70E2" w:rsidP="00BF70E2">
      <w:pPr>
        <w:jc w:val="both"/>
        <w:rPr>
          <w:rFonts w:ascii="Verdana" w:hAnsi="Verdana"/>
        </w:rPr>
      </w:pPr>
      <w:r w:rsidRPr="00BF70E2">
        <w:rPr>
          <w:rFonts w:ascii="Verdana" w:hAnsi="Verdana"/>
        </w:rPr>
        <w:t xml:space="preserve">De otro lado, te contamos que esta Agencia ha da un paso decisivo en la estandarización y modernización del </w:t>
      </w:r>
      <w:r w:rsidRPr="00BF70E2">
        <w:rPr>
          <w:rFonts w:ascii="Verdana" w:hAnsi="Verdana"/>
          <w:b/>
          <w:bCs/>
        </w:rPr>
        <w:t>sector  social</w:t>
      </w:r>
      <w:r w:rsidRPr="00BF70E2">
        <w:rPr>
          <w:rFonts w:ascii="Verdana" w:hAnsi="Verdana"/>
        </w:rPr>
        <w:t xml:space="preserve"> con la expedición de las </w:t>
      </w:r>
      <w:r w:rsidRPr="00BF70E2">
        <w:rPr>
          <w:rFonts w:ascii="Verdana" w:hAnsi="Verdana"/>
          <w:b/>
          <w:bCs/>
        </w:rPr>
        <w:t>Resoluciones 539, 540, 541, 952 y 953 de 2025</w:t>
      </w:r>
      <w:r w:rsidRPr="00BF70E2">
        <w:rPr>
          <w:rFonts w:ascii="Verdana" w:hAnsi="Verdana"/>
        </w:rPr>
        <w:t xml:space="preserve">, </w:t>
      </w:r>
      <w:r w:rsidRPr="00BF70E2">
        <w:rPr>
          <w:rFonts w:ascii="Verdana" w:hAnsi="Verdana"/>
          <w:b/>
          <w:bCs/>
        </w:rPr>
        <w:t>mediante las cuales adoptó Documentos Tipo</w:t>
      </w:r>
      <w:r w:rsidRPr="00BF70E2">
        <w:rPr>
          <w:rFonts w:ascii="Verdana" w:hAnsi="Verdana"/>
        </w:rPr>
        <w:t xml:space="preserve"> para las modalidades de selección de</w:t>
      </w:r>
      <w:r w:rsidRPr="00BF70E2">
        <w:rPr>
          <w:rFonts w:ascii="Verdana" w:hAnsi="Verdana"/>
          <w:b/>
          <w:bCs/>
        </w:rPr>
        <w:t xml:space="preserve"> licitación pública (versión 2), selección abreviada de menor cuantía, mínima cuantía, consultoría e interventoría</w:t>
      </w:r>
      <w:r w:rsidRPr="00BF70E2">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BF70E2">
          <w:rPr>
            <w:rFonts w:ascii="Verdana" w:hAnsi="Verdana"/>
            <w:color w:val="0000FF"/>
            <w:u w:val="single"/>
          </w:rPr>
          <w:t>https://www.colombiacompra.gov.co/normativa-y-relatoria/documentos-tipo</w:t>
        </w:r>
      </w:hyperlink>
    </w:p>
    <w:p w14:paraId="24E6BCF3" w14:textId="77777777" w:rsidR="00BF70E2" w:rsidRPr="00BF70E2" w:rsidRDefault="00BF70E2" w:rsidP="00BF70E2">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BF70E2">
        <w:rPr>
          <w:rFonts w:ascii="Verdana" w:hAnsi="Verdana"/>
        </w:rPr>
        <w:t xml:space="preserve">Si quieres conocer más sobre la aplicación de Documentos Tipo puedes consultar la última versión de la </w:t>
      </w:r>
      <w:r w:rsidRPr="00BF70E2">
        <w:rPr>
          <w:rFonts w:ascii="Verdana" w:hAnsi="Verdana"/>
          <w:b/>
          <w:bCs/>
        </w:rPr>
        <w:t>Guía para la comprensión e implementación de los Documentos Tipo de obra pública de infraestructura de transporte</w:t>
      </w:r>
      <w:r w:rsidRPr="00BF70E2">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F70E2">
        <w:rPr>
          <w:rFonts w:ascii="Verdana" w:hAnsi="Verdana"/>
        </w:rPr>
        <w:br/>
      </w:r>
      <w:hyperlink r:id="rId17" w:tgtFrame="_new" w:history="1">
        <w:r w:rsidRPr="00BF70E2">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42EB833B" w14:textId="77777777" w:rsidR="00BF70E2" w:rsidRPr="00BF70E2" w:rsidRDefault="00BF70E2" w:rsidP="00BF70E2">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601636D0" w14:textId="77777777" w:rsidR="00BF70E2" w:rsidRPr="00BF70E2" w:rsidRDefault="00BF70E2" w:rsidP="00BF70E2">
      <w:pPr>
        <w:widowControl w:val="0"/>
        <w:autoSpaceDE w:val="0"/>
        <w:autoSpaceDN w:val="0"/>
        <w:spacing w:after="0" w:line="276" w:lineRule="auto"/>
        <w:jc w:val="both"/>
        <w:rPr>
          <w:rFonts w:ascii="Verdana" w:hAnsi="Verdana" w:cs="Arial"/>
        </w:rPr>
      </w:pPr>
      <w:r w:rsidRPr="00BF70E2">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F41B53C" w14:textId="77777777" w:rsidR="00BF70E2" w:rsidRPr="00BF70E2" w:rsidRDefault="00BF70E2" w:rsidP="00BF70E2">
      <w:pPr>
        <w:widowControl w:val="0"/>
        <w:autoSpaceDE w:val="0"/>
        <w:autoSpaceDN w:val="0"/>
        <w:spacing w:after="0" w:line="276" w:lineRule="auto"/>
        <w:jc w:val="both"/>
        <w:rPr>
          <w:rFonts w:ascii="Verdana" w:hAnsi="Verdana" w:cs="Arial"/>
        </w:rPr>
      </w:pPr>
    </w:p>
    <w:p w14:paraId="26D29950" w14:textId="77777777" w:rsidR="00BF70E2" w:rsidRPr="00BF70E2" w:rsidRDefault="00BF70E2" w:rsidP="00BF70E2">
      <w:pPr>
        <w:spacing w:after="0" w:line="276" w:lineRule="auto"/>
        <w:rPr>
          <w:rFonts w:ascii="Verdana" w:hAnsi="Verdana" w:cs="Arial"/>
          <w:lang w:eastAsia="es-CO"/>
        </w:rPr>
      </w:pPr>
      <w:r w:rsidRPr="00BF70E2">
        <w:rPr>
          <w:rFonts w:ascii="Verdana" w:eastAsia="Times New Roman" w:hAnsi="Verdana" w:cs="Arial"/>
          <w:lang w:eastAsia="es-CO"/>
        </w:rPr>
        <w:t>Atentamente,</w:t>
      </w:r>
      <w:r w:rsidRPr="00BF70E2">
        <w:rPr>
          <w:rFonts w:ascii="Verdana" w:hAnsi="Verdana" w:cs="Arial"/>
          <w:lang w:eastAsia="es-CO"/>
        </w:rPr>
        <w:t xml:space="preserve"> </w:t>
      </w:r>
    </w:p>
    <w:p w14:paraId="3CF574DF" w14:textId="43710ED0" w:rsidR="00BF70E2" w:rsidRPr="00D6085C" w:rsidRDefault="00D6085C" w:rsidP="00D6085C">
      <w:pPr>
        <w:spacing w:line="276" w:lineRule="auto"/>
        <w:jc w:val="center"/>
        <w:rPr>
          <w:rFonts w:ascii="Verdana" w:hAnsi="Verdana" w:cs="Arial"/>
          <w:color w:val="000000"/>
          <w:lang w:eastAsia="es-CO"/>
        </w:rPr>
      </w:pPr>
      <w:r>
        <w:rPr>
          <w:noProof/>
        </w:rPr>
        <w:lastRenderedPageBreak/>
        <w:drawing>
          <wp:inline distT="0" distB="0" distL="0" distR="0" wp14:anchorId="1E12D1D0" wp14:editId="5307CD3C">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bookmarkEnd w:id="0"/>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F70E2" w:rsidRPr="00BF70E2" w14:paraId="1D6AC209" w14:textId="77777777" w:rsidTr="005642F4">
        <w:trPr>
          <w:trHeight w:val="315"/>
        </w:trPr>
        <w:tc>
          <w:tcPr>
            <w:tcW w:w="893" w:type="dxa"/>
            <w:vAlign w:val="center"/>
            <w:hideMark/>
          </w:tcPr>
          <w:p w14:paraId="2F9160C3" w14:textId="77777777" w:rsidR="00BF70E2" w:rsidRPr="00BF70E2" w:rsidRDefault="00BF70E2" w:rsidP="00BF70E2">
            <w:pPr>
              <w:contextualSpacing/>
              <w:rPr>
                <w:rFonts w:ascii="Verdana" w:hAnsi="Verdana" w:cs="Arial"/>
                <w:sz w:val="16"/>
                <w:szCs w:val="16"/>
                <w:lang w:eastAsia="es-ES"/>
              </w:rPr>
            </w:pPr>
            <w:r w:rsidRPr="00BF70E2">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739D2D5" w14:textId="77777777" w:rsidR="00BF70E2" w:rsidRPr="00BF70E2" w:rsidRDefault="00BF70E2" w:rsidP="00BF70E2">
            <w:pPr>
              <w:contextualSpacing/>
              <w:rPr>
                <w:rFonts w:ascii="Verdana" w:hAnsi="Verdana"/>
                <w:sz w:val="16"/>
                <w:szCs w:val="16"/>
              </w:rPr>
            </w:pPr>
            <w:r w:rsidRPr="00BF70E2">
              <w:rPr>
                <w:rFonts w:ascii="Verdana" w:hAnsi="Verdana"/>
                <w:sz w:val="16"/>
                <w:szCs w:val="16"/>
              </w:rPr>
              <w:t>Tatiana Baquero Iguarán</w:t>
            </w:r>
          </w:p>
          <w:p w14:paraId="005A25DA" w14:textId="77777777" w:rsidR="00BF70E2" w:rsidRPr="00BF70E2" w:rsidRDefault="00BF70E2" w:rsidP="00BF70E2">
            <w:pPr>
              <w:contextualSpacing/>
              <w:rPr>
                <w:rFonts w:ascii="Verdana" w:eastAsia="Arial" w:hAnsi="Verdana" w:cs="Arial"/>
                <w:sz w:val="16"/>
                <w:szCs w:val="16"/>
              </w:rPr>
            </w:pPr>
            <w:r w:rsidRPr="00BF70E2">
              <w:rPr>
                <w:rFonts w:ascii="Verdana" w:hAnsi="Verdana"/>
                <w:sz w:val="16"/>
                <w:szCs w:val="16"/>
              </w:rPr>
              <w:t>Contratista de la Subdirección de Gestión Contractual</w:t>
            </w:r>
          </w:p>
        </w:tc>
      </w:tr>
      <w:tr w:rsidR="00BF70E2" w:rsidRPr="00BF70E2" w14:paraId="080C5BF9" w14:textId="77777777" w:rsidTr="005642F4">
        <w:trPr>
          <w:trHeight w:val="330"/>
        </w:trPr>
        <w:tc>
          <w:tcPr>
            <w:tcW w:w="893" w:type="dxa"/>
            <w:vAlign w:val="center"/>
            <w:hideMark/>
          </w:tcPr>
          <w:p w14:paraId="23A2A2B2" w14:textId="77777777" w:rsidR="00BF70E2" w:rsidRPr="00BF70E2" w:rsidRDefault="00BF70E2" w:rsidP="00BF70E2">
            <w:pPr>
              <w:contextualSpacing/>
              <w:rPr>
                <w:rFonts w:ascii="Verdana" w:hAnsi="Verdana" w:cs="Arial"/>
                <w:sz w:val="16"/>
                <w:szCs w:val="16"/>
                <w:lang w:eastAsia="es-ES"/>
              </w:rPr>
            </w:pPr>
            <w:r w:rsidRPr="00BF70E2">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1485D35" w14:textId="77777777" w:rsidR="00BF70E2" w:rsidRPr="00BF70E2" w:rsidRDefault="00BF70E2" w:rsidP="00BF70E2">
            <w:pPr>
              <w:spacing w:before="100" w:beforeAutospacing="1" w:afterAutospacing="1"/>
              <w:contextualSpacing/>
              <w:textAlignment w:val="baseline"/>
              <w:rPr>
                <w:rFonts w:ascii="Verdana" w:eastAsia="Times New Roman" w:hAnsi="Verdana" w:cs="Arial"/>
                <w:sz w:val="16"/>
                <w:szCs w:val="16"/>
                <w:lang w:val="es-ES" w:eastAsia="es-ES_tradnl"/>
              </w:rPr>
            </w:pPr>
            <w:r w:rsidRPr="00BF70E2">
              <w:rPr>
                <w:rFonts w:ascii="Verdana" w:eastAsia="Times New Roman" w:hAnsi="Verdana" w:cs="Arial"/>
                <w:sz w:val="16"/>
                <w:szCs w:val="16"/>
                <w:lang w:val="es-ES" w:eastAsia="es-ES_tradnl"/>
              </w:rPr>
              <w:t>Diana Lucía Saavedra Castañeda</w:t>
            </w:r>
          </w:p>
          <w:p w14:paraId="402C8C3A" w14:textId="77777777" w:rsidR="00BF70E2" w:rsidRPr="00BF70E2" w:rsidRDefault="00BF70E2" w:rsidP="00BF70E2">
            <w:pPr>
              <w:spacing w:before="100" w:beforeAutospacing="1" w:afterAutospacing="1"/>
              <w:contextualSpacing/>
              <w:textAlignment w:val="baseline"/>
              <w:rPr>
                <w:rFonts w:ascii="Verdana" w:eastAsia="Times New Roman" w:hAnsi="Verdana" w:cs="Arial"/>
                <w:sz w:val="16"/>
                <w:szCs w:val="16"/>
                <w:lang w:eastAsia="es-ES_tradnl"/>
              </w:rPr>
            </w:pPr>
            <w:r w:rsidRPr="00BF70E2">
              <w:rPr>
                <w:rFonts w:ascii="Verdana" w:eastAsia="Times New Roman" w:hAnsi="Verdana" w:cs="Arial"/>
                <w:sz w:val="16"/>
                <w:szCs w:val="16"/>
                <w:lang w:val="es-ES" w:eastAsia="es-ES_tradnl"/>
              </w:rPr>
              <w:t>Contratista de la Subdirección de Gestión Contractual</w:t>
            </w:r>
            <w:r w:rsidRPr="00BF70E2">
              <w:rPr>
                <w:rFonts w:ascii="Verdana" w:eastAsia="Times New Roman" w:hAnsi="Verdana" w:cs="Arial"/>
                <w:sz w:val="16"/>
                <w:szCs w:val="16"/>
                <w:lang w:eastAsia="es-ES_tradnl"/>
              </w:rPr>
              <w:t xml:space="preserve"> </w:t>
            </w:r>
          </w:p>
        </w:tc>
      </w:tr>
      <w:tr w:rsidR="00BF70E2" w:rsidRPr="00BF70E2" w14:paraId="11C13E0D" w14:textId="77777777" w:rsidTr="005642F4">
        <w:trPr>
          <w:trHeight w:val="300"/>
        </w:trPr>
        <w:tc>
          <w:tcPr>
            <w:tcW w:w="893" w:type="dxa"/>
            <w:vAlign w:val="center"/>
          </w:tcPr>
          <w:p w14:paraId="5D311D32" w14:textId="77777777" w:rsidR="00BF70E2" w:rsidRPr="00BF70E2" w:rsidRDefault="00BF70E2" w:rsidP="00BF70E2">
            <w:pPr>
              <w:contextualSpacing/>
              <w:rPr>
                <w:rFonts w:ascii="Verdana" w:hAnsi="Verdana" w:cs="Arial"/>
                <w:sz w:val="16"/>
                <w:szCs w:val="16"/>
                <w:lang w:eastAsia="es-ES"/>
              </w:rPr>
            </w:pPr>
            <w:r w:rsidRPr="00BF70E2">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039FAC7" w14:textId="77777777" w:rsidR="00BF70E2" w:rsidRPr="00BF70E2" w:rsidRDefault="00BF70E2" w:rsidP="00BF70E2">
            <w:pPr>
              <w:contextualSpacing/>
              <w:rPr>
                <w:rFonts w:ascii="Verdana" w:eastAsia="Calibri" w:hAnsi="Verdana" w:cs="Arial"/>
                <w:sz w:val="16"/>
                <w:szCs w:val="16"/>
                <w:lang w:eastAsia="es-ES"/>
              </w:rPr>
            </w:pPr>
            <w:r w:rsidRPr="00BF70E2">
              <w:rPr>
                <w:rFonts w:ascii="Verdana" w:eastAsia="Calibri" w:hAnsi="Verdana" w:cs="Arial"/>
                <w:sz w:val="16"/>
                <w:szCs w:val="16"/>
                <w:lang w:eastAsia="es-ES"/>
              </w:rPr>
              <w:t>Carolina Quintero Gacharná</w:t>
            </w:r>
          </w:p>
          <w:p w14:paraId="0B56888D" w14:textId="77777777" w:rsidR="00BF70E2" w:rsidRPr="00BF70E2" w:rsidRDefault="00BF70E2" w:rsidP="00BF70E2">
            <w:pPr>
              <w:contextualSpacing/>
              <w:rPr>
                <w:rFonts w:ascii="Verdana" w:eastAsia="Calibri" w:hAnsi="Verdana" w:cs="Arial"/>
                <w:sz w:val="16"/>
                <w:szCs w:val="16"/>
                <w:lang w:eastAsia="es-ES"/>
              </w:rPr>
            </w:pPr>
            <w:r w:rsidRPr="00BF70E2">
              <w:rPr>
                <w:rFonts w:ascii="Verdana" w:eastAsia="Calibri" w:hAnsi="Verdana" w:cs="Arial"/>
                <w:sz w:val="16"/>
                <w:szCs w:val="16"/>
                <w:lang w:eastAsia="es-ES"/>
              </w:rPr>
              <w:t>Subdirectora de Gestión Contractual ANCP – CCE</w:t>
            </w:r>
          </w:p>
        </w:tc>
      </w:tr>
    </w:tbl>
    <w:p w14:paraId="3D762E5F" w14:textId="77777777" w:rsidR="00BF70E2" w:rsidRPr="00BF70E2" w:rsidRDefault="00BF70E2" w:rsidP="00BF70E2">
      <w:pPr>
        <w:spacing w:after="0" w:line="240" w:lineRule="auto"/>
        <w:rPr>
          <w:rFonts w:ascii="Verdana" w:eastAsia="Times New Roman" w:hAnsi="Verdana" w:cs="Arial"/>
          <w:sz w:val="24"/>
          <w:szCs w:val="24"/>
          <w:lang w:eastAsia="es-ES"/>
        </w:rPr>
      </w:pPr>
    </w:p>
    <w:p w14:paraId="79DDCE72" w14:textId="77777777" w:rsidR="00BF70E2" w:rsidRPr="00BF70E2" w:rsidRDefault="00BF70E2" w:rsidP="00BF70E2">
      <w:pPr>
        <w:spacing w:after="0" w:line="240" w:lineRule="auto"/>
        <w:jc w:val="both"/>
        <w:rPr>
          <w:rFonts w:ascii="Verdana" w:eastAsia="Verdana" w:hAnsi="Verdana" w:cs="Verdana"/>
          <w:b/>
          <w:bCs/>
          <w:lang w:val="es-MX"/>
        </w:rPr>
      </w:pPr>
    </w:p>
    <w:p w14:paraId="4D45E6BF" w14:textId="77777777" w:rsidR="00BF70E2" w:rsidRPr="00BF70E2" w:rsidRDefault="00BF70E2" w:rsidP="00BF70E2">
      <w:pPr>
        <w:spacing w:after="0" w:line="240" w:lineRule="auto"/>
        <w:jc w:val="both"/>
        <w:textAlignment w:val="baseline"/>
        <w:rPr>
          <w:rFonts w:ascii="Verdana" w:eastAsia="Verdana" w:hAnsi="Verdana" w:cs="Verdana"/>
          <w:lang w:eastAsia="es-CO"/>
        </w:rPr>
      </w:pPr>
    </w:p>
    <w:p w14:paraId="0DB206A1" w14:textId="77777777" w:rsidR="00BF70E2" w:rsidRPr="00BF70E2" w:rsidRDefault="00BF70E2" w:rsidP="00BF70E2">
      <w:pPr>
        <w:spacing w:after="0" w:line="240" w:lineRule="auto"/>
        <w:textAlignment w:val="baseline"/>
        <w:rPr>
          <w:rFonts w:ascii="Verdana" w:eastAsia="Verdana" w:hAnsi="Verdana" w:cs="Verdana"/>
          <w:lang w:eastAsia="es-CO"/>
        </w:rPr>
      </w:pPr>
      <w:r w:rsidRPr="00BF70E2">
        <w:rPr>
          <w:noProof/>
        </w:rPr>
        <w:drawing>
          <wp:inline distT="0" distB="0" distL="0" distR="0" wp14:anchorId="42B82E1D" wp14:editId="2ECDE71A">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00BF70E2">
        <w:rPr>
          <w:rFonts w:ascii="Verdana" w:eastAsia="Verdana" w:hAnsi="Verdana" w:cs="Verdana"/>
          <w:lang w:eastAsia="es-CO"/>
        </w:rPr>
        <w:t> </w:t>
      </w:r>
      <w:bookmarkEnd w:id="1"/>
    </w:p>
    <w:p w14:paraId="2E980930" w14:textId="77777777" w:rsidR="001F2DB5" w:rsidRPr="00350575" w:rsidRDefault="001F2DB5" w:rsidP="00350575"/>
    <w:sectPr w:rsidR="001F2DB5" w:rsidRPr="00350575" w:rsidSect="00C44B4C">
      <w:headerReference w:type="default" r:id="rId20"/>
      <w:footerReference w:type="default" r:id="rId21"/>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A7CBB" w14:textId="77777777" w:rsidR="00885DD7" w:rsidRPr="009B7987" w:rsidRDefault="00885DD7" w:rsidP="00B30448">
      <w:pPr>
        <w:spacing w:after="0" w:line="240" w:lineRule="auto"/>
      </w:pPr>
      <w:r w:rsidRPr="009B7987">
        <w:separator/>
      </w:r>
    </w:p>
  </w:endnote>
  <w:endnote w:type="continuationSeparator" w:id="0">
    <w:p w14:paraId="1D397E3B" w14:textId="77777777" w:rsidR="00885DD7" w:rsidRPr="009B7987" w:rsidRDefault="00885DD7" w:rsidP="00B30448">
      <w:pPr>
        <w:spacing w:after="0" w:line="240" w:lineRule="auto"/>
      </w:pPr>
      <w:r w:rsidRPr="009B7987">
        <w:continuationSeparator/>
      </w:r>
    </w:p>
  </w:endnote>
  <w:endnote w:type="continuationNotice" w:id="1">
    <w:p w14:paraId="0A3011C0" w14:textId="77777777" w:rsidR="00885DD7" w:rsidRPr="009B7987" w:rsidRDefault="00885D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CE5876" w14:textId="77777777" w:rsidR="00885DD7" w:rsidRPr="009B7987" w:rsidRDefault="00885DD7" w:rsidP="00B30448">
      <w:pPr>
        <w:spacing w:after="0" w:line="240" w:lineRule="auto"/>
      </w:pPr>
      <w:r w:rsidRPr="009B7987">
        <w:separator/>
      </w:r>
    </w:p>
  </w:footnote>
  <w:footnote w:type="continuationSeparator" w:id="0">
    <w:p w14:paraId="5CBDCDAD" w14:textId="77777777" w:rsidR="00885DD7" w:rsidRPr="009B7987" w:rsidRDefault="00885DD7" w:rsidP="00B30448">
      <w:pPr>
        <w:spacing w:after="0" w:line="240" w:lineRule="auto"/>
      </w:pPr>
      <w:r w:rsidRPr="009B7987">
        <w:continuationSeparator/>
      </w:r>
    </w:p>
  </w:footnote>
  <w:footnote w:type="continuationNotice" w:id="1">
    <w:p w14:paraId="1D453D05" w14:textId="77777777" w:rsidR="00885DD7" w:rsidRPr="009B7987" w:rsidRDefault="00885DD7">
      <w:pPr>
        <w:spacing w:after="0" w:line="240" w:lineRule="auto"/>
      </w:pPr>
    </w:p>
  </w:footnote>
  <w:footnote w:id="2">
    <w:p w14:paraId="2C279EBF" w14:textId="77777777" w:rsidR="00BF70E2" w:rsidRPr="00591347" w:rsidRDefault="00BF70E2" w:rsidP="00BF70E2">
      <w:pPr>
        <w:spacing w:after="0"/>
        <w:ind w:firstLine="708"/>
        <w:jc w:val="both"/>
        <w:rPr>
          <w:rFonts w:ascii="Verdana" w:hAnsi="Verdana" w:cs="Arial"/>
          <w:sz w:val="16"/>
          <w:szCs w:val="16"/>
        </w:rPr>
      </w:pPr>
      <w:r w:rsidRPr="00591347">
        <w:rPr>
          <w:rStyle w:val="Refdenotaalpie"/>
          <w:rFonts w:ascii="Verdana" w:hAnsi="Verdana" w:cs="Arial"/>
          <w:sz w:val="16"/>
          <w:szCs w:val="16"/>
        </w:rPr>
        <w:footnoteRef/>
      </w:r>
      <w:r w:rsidRPr="00591347">
        <w:rPr>
          <w:rFonts w:ascii="Verdana" w:hAnsi="Verdana" w:cs="Arial"/>
          <w:sz w:val="16"/>
          <w:szCs w:val="16"/>
        </w:rPr>
        <w:t xml:space="preserve"> “</w:t>
      </w:r>
      <w:r w:rsidRPr="00591347">
        <w:rPr>
          <w:rFonts w:ascii="Verdana" w:hAnsi="Verdana" w:cs="Arial"/>
          <w:bCs/>
          <w:sz w:val="16"/>
          <w:szCs w:val="16"/>
        </w:rPr>
        <w:t>Artículo 37. ejecución de proyectos de inversión.</w:t>
      </w:r>
      <w:r w:rsidRPr="00591347">
        <w:rPr>
          <w:rFonts w:ascii="Verdana" w:hAnsi="Verdana" w:cs="Arial"/>
          <w:sz w:val="16"/>
          <w:szCs w:val="16"/>
        </w:rPr>
        <w:t> los proyectos de inversión que se financien con cargo al sistema general de regalías serán ejecutados por quien designe las entidades u órganos de que tratan los artículos </w:t>
      </w:r>
      <w:hyperlink r:id="rId1" w:anchor="35" w:history="1">
        <w:r w:rsidRPr="00591347">
          <w:rPr>
            <w:rFonts w:ascii="Verdana" w:hAnsi="Verdana" w:cs="Arial"/>
            <w:sz w:val="16"/>
            <w:szCs w:val="16"/>
          </w:rPr>
          <w:t>35</w:t>
        </w:r>
      </w:hyperlink>
      <w:r w:rsidRPr="00591347">
        <w:rPr>
          <w:rFonts w:ascii="Verdana" w:hAnsi="Verdana" w:cs="Arial"/>
          <w:sz w:val="16"/>
          <w:szCs w:val="16"/>
        </w:rPr>
        <w:t> y </w:t>
      </w:r>
      <w:hyperlink r:id="rId2" w:anchor="36" w:history="1">
        <w:r w:rsidRPr="00591347">
          <w:rPr>
            <w:rFonts w:ascii="Verdana" w:hAnsi="Verdana" w:cs="Arial"/>
            <w:sz w:val="16"/>
            <w:szCs w:val="16"/>
          </w:rPr>
          <w:t>36</w:t>
        </w:r>
      </w:hyperlink>
      <w:r w:rsidRPr="00591347">
        <w:rPr>
          <w:rFonts w:ascii="Verdana" w:hAnsi="Verdana" w:cs="Arial"/>
          <w:sz w:val="16"/>
          <w:szCs w:val="16"/>
        </w:rPr>
        <w:t> de la presente ley. así mismo, la entidad ejecutora estará a cargo de la contratación de la interventoría, de conformidad con lo previsto en la presente ley.</w:t>
      </w:r>
    </w:p>
    <w:p w14:paraId="0701D81D" w14:textId="77777777" w:rsidR="00BF70E2" w:rsidRPr="00591347" w:rsidRDefault="00BF70E2" w:rsidP="00BF70E2">
      <w:pPr>
        <w:spacing w:after="0"/>
        <w:ind w:firstLine="708"/>
        <w:jc w:val="both"/>
        <w:rPr>
          <w:rFonts w:ascii="Verdana" w:hAnsi="Verdana" w:cs="Arial"/>
          <w:sz w:val="16"/>
          <w:szCs w:val="16"/>
        </w:rPr>
      </w:pPr>
      <w:r w:rsidRPr="00591347">
        <w:rPr>
          <w:rFonts w:ascii="Verdana" w:hAnsi="Verdana" w:cs="Arial"/>
          <w:sz w:val="16"/>
          <w:szCs w:val="16"/>
        </w:rPr>
        <w:t>Las entidades ejecutoras de recursos del sistema son responsables de suministrar de forma veraz, oportuna e idónea, la información de la gestión de los proyectos que se requiera e implementar las acciones que sean pertinentes para encauzar el desempeño de los proyectos de inversión y decidir, de manera motivada, sobre la continuidad de los mismos, sin perjuicio de las acciones de control a las que haya lugar.</w:t>
      </w:r>
    </w:p>
    <w:p w14:paraId="6CCC7207" w14:textId="77777777" w:rsidR="00BF70E2" w:rsidRPr="00591347" w:rsidRDefault="00BF70E2" w:rsidP="00BF70E2">
      <w:pPr>
        <w:spacing w:after="0"/>
        <w:ind w:firstLine="708"/>
        <w:jc w:val="both"/>
        <w:rPr>
          <w:rFonts w:ascii="Verdana" w:hAnsi="Verdana" w:cs="Arial"/>
          <w:sz w:val="16"/>
          <w:szCs w:val="16"/>
        </w:rPr>
      </w:pPr>
      <w:r w:rsidRPr="00591347">
        <w:rPr>
          <w:rFonts w:ascii="Verdana" w:hAnsi="Verdana" w:cs="Arial"/>
          <w:bCs/>
          <w:sz w:val="16"/>
          <w:szCs w:val="16"/>
        </w:rPr>
        <w:t>Parágrafo 1o.</w:t>
      </w:r>
      <w:r w:rsidRPr="00591347">
        <w:rPr>
          <w:rFonts w:ascii="Verdana" w:hAnsi="Verdana" w:cs="Arial"/>
          <w:sz w:val="16"/>
          <w:szCs w:val="16"/>
        </w:rPr>
        <w:t xml:space="preserve"> 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p>
    <w:p w14:paraId="7A3F57CC" w14:textId="77777777" w:rsidR="00BF70E2" w:rsidRPr="00591347" w:rsidRDefault="00BF70E2" w:rsidP="00BF70E2">
      <w:pPr>
        <w:spacing w:after="0"/>
        <w:ind w:firstLine="708"/>
        <w:jc w:val="both"/>
        <w:rPr>
          <w:rFonts w:ascii="Verdana" w:hAnsi="Verdana" w:cs="Arial"/>
          <w:sz w:val="16"/>
          <w:szCs w:val="16"/>
        </w:rPr>
      </w:pPr>
      <w:r w:rsidRPr="00591347">
        <w:rPr>
          <w:rFonts w:ascii="Verdana" w:hAnsi="Verdana" w:cs="Arial"/>
          <w:bCs/>
          <w:sz w:val="16"/>
          <w:szCs w:val="16"/>
        </w:rPr>
        <w:t>Parágrafo 2o.</w:t>
      </w:r>
      <w:r w:rsidRPr="00591347">
        <w:rPr>
          <w:rFonts w:ascii="Verdana" w:hAnsi="Verdana" w:cs="Arial"/>
          <w:sz w:val="16"/>
          <w:szCs w:val="16"/>
        </w:rPr>
        <w:t xml:space="preserve"> Las entidades territoriales beneficiarias de asignaciones directas, la asignación para la inversión local y del 60% de la asignación para la inversión regional en cabeza de los departamentos podrán ejecutar directamente estos recursos o la entidad ejecutora que designe.</w:t>
      </w:r>
    </w:p>
    <w:p w14:paraId="6B18249E" w14:textId="77777777" w:rsidR="00BF70E2" w:rsidRPr="00591347" w:rsidRDefault="00BF70E2" w:rsidP="00BF70E2">
      <w:pPr>
        <w:spacing w:after="0"/>
        <w:ind w:firstLine="708"/>
        <w:jc w:val="both"/>
        <w:rPr>
          <w:rFonts w:ascii="Verdana" w:hAnsi="Verdana" w:cs="Arial"/>
          <w:sz w:val="16"/>
          <w:szCs w:val="16"/>
        </w:rPr>
      </w:pPr>
      <w:r w:rsidRPr="00591347">
        <w:rPr>
          <w:rFonts w:ascii="Verdana" w:hAnsi="Verdana" w:cs="Arial"/>
          <w:bCs/>
          <w:sz w:val="16"/>
          <w:szCs w:val="16"/>
        </w:rPr>
        <w:t>Parágrafo 3o.</w:t>
      </w:r>
      <w:r w:rsidRPr="00591347">
        <w:rPr>
          <w:rFonts w:ascii="Verdana" w:hAnsi="Verdana" w:cs="Arial"/>
          <w:sz w:val="16"/>
          <w:szCs w:val="16"/>
        </w:rPr>
        <w:t xml:space="preserve"> La entidad designada ejecutora por las entidades u órganos de que tratan los artículos </w:t>
      </w:r>
      <w:hyperlink r:id="rId3" w:anchor="35" w:history="1">
        <w:r w:rsidRPr="00591347">
          <w:rPr>
            <w:rFonts w:ascii="Verdana" w:hAnsi="Verdana" w:cs="Arial"/>
            <w:sz w:val="16"/>
            <w:szCs w:val="16"/>
          </w:rPr>
          <w:t>35</w:t>
        </w:r>
      </w:hyperlink>
      <w:r w:rsidRPr="00591347">
        <w:rPr>
          <w:rFonts w:ascii="Verdana" w:hAnsi="Verdana" w:cs="Arial"/>
          <w:sz w:val="16"/>
          <w:szCs w:val="16"/>
        </w:rPr>
        <w:t xml:space="preserve"> y </w:t>
      </w:r>
      <w:hyperlink r:id="rId4" w:anchor="36" w:history="1">
        <w:r w:rsidRPr="00591347">
          <w:rPr>
            <w:rFonts w:ascii="Verdana" w:hAnsi="Verdana" w:cs="Arial"/>
            <w:sz w:val="16"/>
            <w:szCs w:val="16"/>
          </w:rPr>
          <w:t>36</w:t>
        </w:r>
      </w:hyperlink>
      <w:r w:rsidRPr="00591347">
        <w:rPr>
          <w:rFonts w:ascii="Verdana" w:hAnsi="Verdana" w:cs="Arial"/>
          <w:sz w:val="16"/>
          <w:szCs w:val="16"/>
        </w:rPr>
        <w:t>, deberá expedir el acto administrativo que ordena la apertura del proceso de selección o acto administrativo unilateral que decreta el gasto con cargo a los recursos asignados, a más tardar dentro de los seis (6) meses contados a partir de la publicación del acuerdo de aprobación del proyecto de inversión que emita la entidad o instancia, según corresponda, y será la responsable de verificar el cumplimiento de los requisitos legales para el inicio de la ejecución del proyecto de inversión.</w:t>
      </w:r>
    </w:p>
    <w:p w14:paraId="1841B6D0" w14:textId="77777777" w:rsidR="00BF70E2" w:rsidRPr="00591347" w:rsidRDefault="00BF70E2" w:rsidP="00BF70E2">
      <w:pPr>
        <w:spacing w:after="0"/>
        <w:ind w:firstLine="708"/>
        <w:jc w:val="both"/>
        <w:rPr>
          <w:rFonts w:ascii="Verdana" w:hAnsi="Verdana" w:cs="Arial"/>
          <w:sz w:val="16"/>
          <w:szCs w:val="16"/>
        </w:rPr>
      </w:pPr>
      <w:r w:rsidRPr="00591347">
        <w:rPr>
          <w:rFonts w:ascii="Verdana" w:hAnsi="Verdana" w:cs="Arial"/>
          <w:sz w:val="16"/>
          <w:szCs w:val="16"/>
        </w:rPr>
        <w:t>En caso de no cumplirse lo anterior, las entidades u órganos liberarán automáticamente los recursos para la aprobación de nuevos proyectos de inversión y reportarán estos casos al sistema de seguimiento, evaluación y control para que se tengan en cuenta en la medición del desempeño en la gestión de los recursos del sistema general de regalías y a los órganos de control.</w:t>
      </w:r>
    </w:p>
    <w:p w14:paraId="2C0F1551" w14:textId="77777777" w:rsidR="00BF70E2" w:rsidRPr="00591347" w:rsidRDefault="00BF70E2" w:rsidP="00BF70E2">
      <w:pPr>
        <w:spacing w:after="0"/>
        <w:ind w:firstLine="708"/>
        <w:jc w:val="both"/>
        <w:rPr>
          <w:rFonts w:ascii="Verdana" w:hAnsi="Verdana"/>
          <w:sz w:val="16"/>
          <w:szCs w:val="16"/>
        </w:rPr>
      </w:pPr>
      <w:r w:rsidRPr="00591347">
        <w:rPr>
          <w:rFonts w:ascii="Verdana" w:hAnsi="Verdana" w:cs="Arial"/>
          <w:sz w:val="16"/>
          <w:szCs w:val="16"/>
        </w:rPr>
        <w:t>Se exceptúan los casos en los que por causas no atribuibles a la entidad designada como ejecutora no se logre expedir el acto administrativo que ordena la apertura del proceso de selección o acto administrativo unilateral que decreta el gasto con cargo a los recursos asignados en los seis (6) meses, caso en el cual las entidades u órganos podrán prorrogar hasta por doce (12) meses más lo estipulado en este parágrafo. la comisión rectora del sistema general de regalías reglamentará estos casos</w:t>
      </w:r>
      <w:r w:rsidRPr="00591347">
        <w:rPr>
          <w:rFonts w:ascii="Verdana" w:hAnsi="Verdana" w:cs="Arial"/>
          <w:sz w:val="16"/>
          <w:szCs w:val="16"/>
          <w:lang w:val="es-ES"/>
        </w:rPr>
        <w:t>”</w:t>
      </w:r>
      <w:r w:rsidRPr="00591347">
        <w:rPr>
          <w:rFonts w:ascii="Verdana" w:hAnsi="Verdana" w:cs="Arial"/>
          <w:sz w:val="16"/>
          <w:szCs w:val="16"/>
        </w:rPr>
        <w:t>.</w:t>
      </w:r>
    </w:p>
  </w:footnote>
  <w:footnote w:id="3">
    <w:p w14:paraId="59B19067" w14:textId="77777777" w:rsidR="00BF70E2" w:rsidRPr="00591347" w:rsidRDefault="00BF70E2" w:rsidP="00BF70E2">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r w:rsidRPr="00591347">
        <w:rPr>
          <w:rFonts w:ascii="Verdana" w:hAnsi="Verdana"/>
          <w:color w:val="000000" w:themeColor="text1"/>
          <w:sz w:val="16"/>
          <w:szCs w:val="16"/>
        </w:rPr>
        <w:t>Artículo 84.</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color w:val="000000" w:themeColor="text1"/>
          <w:sz w:val="16"/>
          <w:szCs w:val="16"/>
        </w:rPr>
        <w:t xml:space="preserve"> </w:t>
      </w:r>
      <w:r w:rsidRPr="00591347">
        <w:rPr>
          <w:rStyle w:val="baj"/>
          <w:rFonts w:ascii="Verdana" w:hAnsi="Verdana" w:cs="Arial"/>
          <w:color w:val="000000" w:themeColor="text1"/>
          <w:sz w:val="16"/>
          <w:szCs w:val="16"/>
        </w:rPr>
        <w:t>PARÁGRAFO 2o.</w:t>
      </w:r>
      <w:r w:rsidRPr="00591347">
        <w:rPr>
          <w:rFonts w:ascii="Verdana" w:hAnsi="Verdana" w:cs="Arial"/>
          <w:color w:val="000000" w:themeColor="text1"/>
          <w:sz w:val="16"/>
          <w:szCs w:val="16"/>
        </w:rPr>
        <w:t xml:space="preserve"> La ejecución de los proyectos de inversión financiados con recursos del Sistema General de Regalías se adelantará con estricta sujeción al régimen presupuestal definido en esta ley </w:t>
      </w:r>
      <w:r w:rsidRPr="00591347">
        <w:rPr>
          <w:rFonts w:ascii="Verdana" w:hAnsi="Verdana" w:cs="Arial"/>
          <w:i/>
          <w:iCs/>
          <w:color w:val="000000" w:themeColor="text1"/>
          <w:sz w:val="16"/>
          <w:szCs w:val="16"/>
        </w:rPr>
        <w:t>y al de contratación pública</w:t>
      </w:r>
      <w:r w:rsidRPr="00591347">
        <w:rPr>
          <w:rFonts w:ascii="Verdana" w:hAnsi="Verdana" w:cs="Arial"/>
          <w:color w:val="000000" w:themeColor="text1"/>
          <w:sz w:val="16"/>
          <w:szCs w:val="16"/>
        </w:rPr>
        <w:t xml:space="preserve"> y a las normas legales vigentes. El ejecutor será el ordenador del gasto y garantizará la correcta ejecución de los recursos asignados al proyecto de inversión, así como el suministro y registro de la información requerida por el Sistema de Seguimiento, Evaluación y Control.</w:t>
      </w:r>
    </w:p>
  </w:footnote>
  <w:footnote w:id="4">
    <w:p w14:paraId="0BFDA04E" w14:textId="77777777" w:rsidR="00BF70E2" w:rsidRPr="00591347" w:rsidRDefault="00BF70E2" w:rsidP="00BF70E2">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bookmarkStart w:id="4" w:name="85"/>
      <w:r w:rsidRPr="00591347">
        <w:rPr>
          <w:rFonts w:ascii="Verdana" w:hAnsi="Verdana"/>
          <w:b/>
          <w:bCs/>
          <w:sz w:val="16"/>
          <w:szCs w:val="16"/>
          <w:lang w:val="es-CO"/>
        </w:rPr>
        <w:t xml:space="preserve"> </w:t>
      </w:r>
      <w:r w:rsidRPr="00591347">
        <w:rPr>
          <w:rFonts w:ascii="Verdana" w:hAnsi="Verdana"/>
          <w:sz w:val="16"/>
          <w:szCs w:val="16"/>
          <w:lang w:val="es-CO"/>
        </w:rPr>
        <w:t xml:space="preserve">Artículo 85.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sz w:val="16"/>
          <w:szCs w:val="16"/>
          <w:lang w:val="es-CO"/>
        </w:rPr>
        <w:t>Ejecución De Recursos.</w:t>
      </w:r>
      <w:bookmarkEnd w:id="4"/>
      <w:r w:rsidRPr="00591347">
        <w:rPr>
          <w:rFonts w:ascii="Verdana" w:hAnsi="Verdana"/>
          <w:sz w:val="16"/>
          <w:szCs w:val="16"/>
          <w:lang w:val="es-CO"/>
        </w:rPr>
        <w:t> Los actos o contratos que expidan o celebren los ejecutores se regirán po</w:t>
      </w:r>
      <w:r w:rsidRPr="00591347">
        <w:rPr>
          <w:rFonts w:ascii="Verdana" w:hAnsi="Verdana"/>
          <w:color w:val="000000" w:themeColor="text1"/>
          <w:sz w:val="16"/>
          <w:szCs w:val="16"/>
          <w:lang w:val="es-CO"/>
        </w:rPr>
        <w:t xml:space="preserve">r las normas presupuestales contenidas en la presente ley, </w:t>
      </w:r>
      <w:r w:rsidRPr="00591347">
        <w:rPr>
          <w:rFonts w:ascii="Verdana" w:hAnsi="Verdana"/>
          <w:i/>
          <w:iCs/>
          <w:color w:val="000000" w:themeColor="text1"/>
          <w:sz w:val="16"/>
          <w:szCs w:val="16"/>
          <w:lang w:val="es-CO"/>
        </w:rPr>
        <w:t>el Estatuto de Contratación Estatal</w:t>
      </w:r>
      <w:r w:rsidRPr="00591347">
        <w:rPr>
          <w:rFonts w:ascii="Verdana" w:hAnsi="Verdana"/>
          <w:color w:val="000000" w:themeColor="text1"/>
          <w:sz w:val="16"/>
          <w:szCs w:val="16"/>
          <w:lang w:val="es-CO"/>
        </w:rPr>
        <w:t>, los Decretos </w:t>
      </w:r>
      <w:hyperlink r:id="rId5" w:anchor="INICIO" w:history="1">
        <w:r w:rsidRPr="00591347">
          <w:rPr>
            <w:rStyle w:val="Hipervnculo"/>
            <w:rFonts w:ascii="Verdana" w:hAnsi="Verdana"/>
            <w:color w:val="000000" w:themeColor="text1"/>
            <w:sz w:val="16"/>
            <w:szCs w:val="16"/>
            <w:lang w:val="es-CO"/>
          </w:rPr>
          <w:t>1088</w:t>
        </w:r>
      </w:hyperlink>
      <w:r w:rsidRPr="00591347">
        <w:rPr>
          <w:rFonts w:ascii="Verdana" w:hAnsi="Verdana"/>
          <w:color w:val="000000" w:themeColor="text1"/>
          <w:sz w:val="16"/>
          <w:szCs w:val="16"/>
          <w:lang w:val="es-CO"/>
        </w:rPr>
        <w:t> de 1993 y </w:t>
      </w:r>
      <w:hyperlink r:id="rId6" w:anchor="INICIO" w:history="1">
        <w:r w:rsidRPr="00591347">
          <w:rPr>
            <w:rStyle w:val="Hipervnculo"/>
            <w:rFonts w:ascii="Verdana" w:hAnsi="Verdana"/>
            <w:color w:val="000000" w:themeColor="text1"/>
            <w:sz w:val="16"/>
            <w:szCs w:val="16"/>
            <w:lang w:val="es-CO"/>
          </w:rPr>
          <w:t>252</w:t>
        </w:r>
      </w:hyperlink>
      <w:r w:rsidRPr="00591347">
        <w:rPr>
          <w:rFonts w:ascii="Verdana" w:hAnsi="Verdana"/>
          <w:color w:val="000000" w:themeColor="text1"/>
          <w:sz w:val="16"/>
          <w:szCs w:val="16"/>
          <w:lang w:val="es-CO"/>
        </w:rPr>
        <w:t> de 2020, las normas contables que para este efecto defina la Contaduría General de la Nación y las demás disposiciones complementarias</w:t>
      </w:r>
      <w:r w:rsidRPr="00591347">
        <w:rPr>
          <w:rFonts w:ascii="Verdana" w:hAnsi="Verdana"/>
          <w:sz w:val="16"/>
          <w:szCs w:val="16"/>
          <w:lang w:val="es-CO"/>
        </w:rPr>
        <w:t>.</w:t>
      </w:r>
    </w:p>
  </w:footnote>
  <w:footnote w:id="5">
    <w:p w14:paraId="1BFB7E7F" w14:textId="77777777" w:rsidR="00BF70E2" w:rsidRPr="00591347" w:rsidRDefault="00BF70E2" w:rsidP="00BF70E2">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r w:rsidRPr="00591347">
        <w:rPr>
          <w:rFonts w:ascii="Verdana" w:hAnsi="Verdana"/>
          <w:color w:val="000000" w:themeColor="text1"/>
          <w:sz w:val="16"/>
          <w:szCs w:val="16"/>
        </w:rPr>
        <w:t xml:space="preserve">Artículo 98.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sz w:val="16"/>
          <w:szCs w:val="16"/>
          <w:lang w:val="es-CO"/>
        </w:rPr>
        <w:t xml:space="preserve">PARÁGRAFO 2o. La ejecución de proyectos de inversión de que trata este artículo, se adelantará, con estricta sujeción al régimen presupuestal definido en esta ley y </w:t>
      </w:r>
      <w:r w:rsidRPr="00591347">
        <w:rPr>
          <w:rFonts w:ascii="Verdana" w:hAnsi="Verdana"/>
          <w:i/>
          <w:iCs/>
          <w:sz w:val="16"/>
          <w:szCs w:val="16"/>
          <w:lang w:val="es-CO"/>
        </w:rPr>
        <w:t>al de contratación pública</w:t>
      </w:r>
      <w:r w:rsidRPr="00591347">
        <w:rPr>
          <w:rFonts w:ascii="Verdana" w:hAnsi="Verdana"/>
          <w:sz w:val="16"/>
          <w:szCs w:val="16"/>
          <w:lang w:val="es-CO"/>
        </w:rPr>
        <w:t xml:space="preserve"> o a las normas legales vigentes. El ejecutor será el ordenador del gasto y garantizará la correcta ejecución de los recursos asignados al proyecto de inversión, así como el suministro y registro de la información requerida por el Sistema de Seguimiento, Evaluación y Control.</w:t>
      </w:r>
    </w:p>
  </w:footnote>
  <w:footnote w:id="6">
    <w:p w14:paraId="1A307D6B" w14:textId="77777777" w:rsidR="00BF70E2" w:rsidRPr="00591347" w:rsidRDefault="00BF70E2" w:rsidP="00BF70E2">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bookmarkStart w:id="5" w:name="99"/>
      <w:r w:rsidRPr="00591347">
        <w:rPr>
          <w:rFonts w:ascii="Verdana" w:hAnsi="Verdana"/>
          <w:sz w:val="16"/>
          <w:szCs w:val="16"/>
          <w:lang w:val="es-CO"/>
        </w:rPr>
        <w:t xml:space="preserve">Artículo 99.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sz w:val="16"/>
          <w:szCs w:val="16"/>
          <w:lang w:val="es-CO"/>
        </w:rPr>
        <w:t>Ejecución De Recursos.</w:t>
      </w:r>
      <w:bookmarkEnd w:id="5"/>
      <w:r w:rsidRPr="00591347">
        <w:rPr>
          <w:rFonts w:ascii="Verdana" w:hAnsi="Verdana"/>
          <w:sz w:val="16"/>
          <w:szCs w:val="16"/>
          <w:lang w:val="es-CO"/>
        </w:rPr>
        <w:t xml:space="preserve"> Los actos o contratos que expidan o celebren los ejecutores se regirán por las normas presupuestales contenidas en la presente ley, </w:t>
      </w:r>
      <w:r w:rsidRPr="00591347">
        <w:rPr>
          <w:rFonts w:ascii="Verdana" w:hAnsi="Verdana"/>
          <w:i/>
          <w:iCs/>
          <w:sz w:val="16"/>
          <w:szCs w:val="16"/>
          <w:lang w:val="es-CO"/>
        </w:rPr>
        <w:t>el Estatuto de Contratación Estatal</w:t>
      </w:r>
      <w:r w:rsidRPr="00591347">
        <w:rPr>
          <w:rFonts w:ascii="Verdana" w:hAnsi="Verdana"/>
          <w:sz w:val="16"/>
          <w:szCs w:val="16"/>
          <w:lang w:val="es-CO"/>
        </w:rPr>
        <w:t>, las normas contables que para este efecto defina la Contaduría General de la Nación y las demás disposiciones complementarias.</w:t>
      </w:r>
    </w:p>
  </w:footnote>
  <w:footnote w:id="7">
    <w:p w14:paraId="51483CF3" w14:textId="77777777" w:rsidR="00BF70E2" w:rsidRPr="00591347" w:rsidRDefault="00BF70E2" w:rsidP="00BF70E2">
      <w:pPr>
        <w:pStyle w:val="Textonotapie"/>
        <w:ind w:firstLine="709"/>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r w:rsidRPr="00591347">
        <w:rPr>
          <w:rFonts w:ascii="Verdana" w:hAnsi="Verdana"/>
          <w:color w:val="000000" w:themeColor="text1"/>
          <w:sz w:val="16"/>
          <w:szCs w:val="16"/>
        </w:rPr>
        <w:t xml:space="preserve">Artículo 108.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sz w:val="16"/>
          <w:szCs w:val="16"/>
          <w:lang w:val="es-CO"/>
        </w:rPr>
        <w:t>PARÁGRAFO 2o. La ejecución de proyectos de inversión de que trata este artículo, se adelantará, con estricta sujeción al régimen presupuestal definido en esta ley y al de contratación pública o a las normas legales vigentes. El ejecutor será el ordenador del gasto y garantizará la correcta ejecución de los recursos asignados al proyecto de inversión, así como el suministro y registro de la información requerida por el Sistema de Seguimiento, Evaluación y Control.</w:t>
      </w:r>
    </w:p>
  </w:footnote>
  <w:footnote w:id="8">
    <w:p w14:paraId="5B571044" w14:textId="77777777" w:rsidR="00BF70E2" w:rsidRPr="00591347" w:rsidRDefault="00BF70E2" w:rsidP="00BF70E2">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bookmarkStart w:id="6" w:name="109"/>
      <w:r w:rsidRPr="00591347">
        <w:rPr>
          <w:rFonts w:ascii="Verdana" w:hAnsi="Verdana" w:cs="Arial"/>
          <w:color w:val="000000" w:themeColor="text1"/>
          <w:sz w:val="16"/>
          <w:szCs w:val="16"/>
        </w:rPr>
        <w:t xml:space="preserve">Artículo 109.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cs="Arial"/>
          <w:color w:val="000000" w:themeColor="text1"/>
          <w:sz w:val="16"/>
          <w:szCs w:val="16"/>
        </w:rPr>
        <w:t>Ejecución De Recursos.</w:t>
      </w:r>
      <w:bookmarkEnd w:id="6"/>
      <w:r w:rsidRPr="00591347">
        <w:rPr>
          <w:rFonts w:ascii="Verdana" w:hAnsi="Verdana" w:cs="Arial"/>
          <w:color w:val="000000" w:themeColor="text1"/>
          <w:sz w:val="16"/>
          <w:szCs w:val="16"/>
        </w:rPr>
        <w:t xml:space="preserve"> Los actos o contratos que expidan o celebren los ejecutores se regirán por las normas presupuestales contenidas en la presente ley, </w:t>
      </w:r>
      <w:r w:rsidRPr="00591347">
        <w:rPr>
          <w:rFonts w:ascii="Verdana" w:hAnsi="Verdana" w:cs="Arial"/>
          <w:i/>
          <w:iCs/>
          <w:color w:val="000000" w:themeColor="text1"/>
          <w:sz w:val="16"/>
          <w:szCs w:val="16"/>
        </w:rPr>
        <w:t>el Estatuto de Contratación Estatal,</w:t>
      </w:r>
      <w:r w:rsidRPr="00591347">
        <w:rPr>
          <w:rFonts w:ascii="Verdana" w:hAnsi="Verdana" w:cs="Arial"/>
          <w:color w:val="000000" w:themeColor="text1"/>
          <w:sz w:val="16"/>
          <w:szCs w:val="16"/>
        </w:rPr>
        <w:t xml:space="preserve"> las normas contables que para este efecto defina la Contaduría General de la Nación y las demás disposiciones complementarias.</w:t>
      </w:r>
    </w:p>
  </w:footnote>
  <w:footnote w:id="9">
    <w:p w14:paraId="3617E050" w14:textId="77777777" w:rsidR="00BF70E2" w:rsidRPr="00591347" w:rsidRDefault="00BF70E2" w:rsidP="00BF70E2">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Consejo De Estado. Sección tercera. Sentencia del 7 de marzo de 2025. Radicación No.69.941. C.P: José Roberto Sáchica. </w:t>
      </w:r>
    </w:p>
  </w:footnote>
  <w:footnote w:id="10">
    <w:p w14:paraId="4D052E36" w14:textId="77777777" w:rsidR="00BF70E2" w:rsidRPr="00591347" w:rsidRDefault="00BF70E2" w:rsidP="00BF70E2">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La exposición de motivos de la Ley 2056 de 2020 explica que “el proyecto de ley prevé que los proyectos de inversión que se financien con cargo al SGR serán ejecutados por quien designe la entidad u órgano que apruebe y priorice el respetivo proyecto, y que la entidad ejecutora estará a cargo de la contratación de la interventoría, la cual se regirá por los establecido en el Estatuto General de Contratación de la Administración Pública vigente</w:t>
      </w:r>
      <w:r w:rsidRPr="00591347">
        <w:rPr>
          <w:rFonts w:ascii="Verdana" w:hAnsi="Verdana" w:cs="Arial"/>
          <w:sz w:val="16"/>
          <w:szCs w:val="16"/>
          <w:lang w:val="es-ES"/>
        </w:rPr>
        <w:t xml:space="preserve">. Gaceta 638 del 2020 Disponible en: </w:t>
      </w:r>
      <w:hyperlink r:id="rId7" w:history="1">
        <w:r w:rsidRPr="00591347">
          <w:rPr>
            <w:rStyle w:val="Hipervnculo"/>
            <w:rFonts w:ascii="Verdana" w:hAnsi="Verdana" w:cs="Arial"/>
            <w:sz w:val="16"/>
            <w:szCs w:val="16"/>
            <w:lang w:val="es-ES"/>
          </w:rPr>
          <w:t>https://leyes.senado.gov.co/proyectos/index.php/proyectos-ley/cuatrenio-2018-2022/2020-2021/article/200-por-el-cual-se-regula-la-organizacion-y-el-funcionamiento-del-sistema-general-de-regalias-mensaje-de-urgencia</w:t>
        </w:r>
      </w:hyperlink>
    </w:p>
  </w:footnote>
  <w:footnote w:id="11">
    <w:p w14:paraId="5ACA9C97" w14:textId="77777777" w:rsidR="00BF70E2" w:rsidRDefault="00BF70E2" w:rsidP="00BF70E2">
      <w:pPr>
        <w:pStyle w:val="Textonotapie"/>
        <w:ind w:firstLine="708"/>
        <w:jc w:val="both"/>
        <w:rPr>
          <w:rFonts w:ascii="Verdana" w:hAnsi="Verdana" w:cs="Times New Roman"/>
          <w:sz w:val="16"/>
          <w:szCs w:val="16"/>
          <w:lang w:val="es-ES"/>
        </w:rPr>
      </w:pPr>
      <w:r>
        <w:rPr>
          <w:rStyle w:val="Refdenotaalpie"/>
          <w:rFonts w:ascii="Verdana" w:hAnsi="Verdana"/>
          <w:sz w:val="16"/>
          <w:szCs w:val="16"/>
        </w:rPr>
        <w:footnoteRef/>
      </w:r>
      <w:r>
        <w:rPr>
          <w:rFonts w:ascii="Verdana" w:hAnsi="Verdana"/>
          <w:sz w:val="16"/>
          <w:szCs w:val="16"/>
        </w:rPr>
        <w:t xml:space="preserve"> Frente a la obligación de publicar los Procesos de Contratación en el SECOP II,</w:t>
      </w:r>
      <w:r>
        <w:rPr>
          <w:rFonts w:ascii="Verdana" w:hAnsi="Verdana"/>
          <w:spacing w:val="40"/>
          <w:sz w:val="16"/>
          <w:szCs w:val="16"/>
        </w:rPr>
        <w:t xml:space="preserve"> </w:t>
      </w:r>
      <w:r>
        <w:rPr>
          <w:rFonts w:ascii="Verdana" w:hAnsi="Verdana"/>
          <w:sz w:val="16"/>
          <w:szCs w:val="16"/>
        </w:rPr>
        <w:t>el 18 de enero de 2022 fue expedida la Ley 2195 de 2022 “</w:t>
      </w:r>
      <w:r>
        <w:rPr>
          <w:rFonts w:ascii="Verdana" w:hAnsi="Verdana"/>
          <w:i/>
          <w:sz w:val="16"/>
          <w:szCs w:val="16"/>
        </w:rPr>
        <w:t>Por medio</w:t>
      </w:r>
      <w:r>
        <w:rPr>
          <w:rFonts w:ascii="Verdana" w:hAnsi="Verdana"/>
          <w:i/>
          <w:spacing w:val="-20"/>
          <w:sz w:val="16"/>
          <w:szCs w:val="16"/>
        </w:rPr>
        <w:t xml:space="preserve"> </w:t>
      </w:r>
      <w:r>
        <w:rPr>
          <w:rFonts w:ascii="Verdana" w:hAnsi="Verdana"/>
          <w:i/>
          <w:sz w:val="16"/>
          <w:szCs w:val="16"/>
        </w:rPr>
        <w:t>de</w:t>
      </w:r>
      <w:r>
        <w:rPr>
          <w:rFonts w:ascii="Verdana" w:hAnsi="Verdana"/>
          <w:i/>
          <w:spacing w:val="-19"/>
          <w:sz w:val="16"/>
          <w:szCs w:val="16"/>
        </w:rPr>
        <w:t xml:space="preserve"> </w:t>
      </w:r>
      <w:r>
        <w:rPr>
          <w:rFonts w:ascii="Verdana" w:hAnsi="Verdana"/>
          <w:i/>
          <w:sz w:val="16"/>
          <w:szCs w:val="16"/>
        </w:rPr>
        <w:t>la</w:t>
      </w:r>
      <w:r>
        <w:rPr>
          <w:rFonts w:ascii="Verdana" w:hAnsi="Verdana"/>
          <w:i/>
          <w:spacing w:val="-19"/>
          <w:sz w:val="16"/>
          <w:szCs w:val="16"/>
        </w:rPr>
        <w:t xml:space="preserve"> </w:t>
      </w:r>
      <w:r>
        <w:rPr>
          <w:rFonts w:ascii="Verdana" w:hAnsi="Verdana"/>
          <w:i/>
          <w:sz w:val="16"/>
          <w:szCs w:val="16"/>
        </w:rPr>
        <w:t>cual</w:t>
      </w:r>
      <w:r>
        <w:rPr>
          <w:rFonts w:ascii="Verdana" w:hAnsi="Verdana"/>
          <w:i/>
          <w:spacing w:val="-20"/>
          <w:sz w:val="16"/>
          <w:szCs w:val="16"/>
        </w:rPr>
        <w:t xml:space="preserve"> </w:t>
      </w:r>
      <w:r>
        <w:rPr>
          <w:rFonts w:ascii="Verdana" w:hAnsi="Verdana"/>
          <w:i/>
          <w:sz w:val="16"/>
          <w:szCs w:val="16"/>
        </w:rPr>
        <w:t>se</w:t>
      </w:r>
      <w:r>
        <w:rPr>
          <w:rFonts w:ascii="Verdana" w:hAnsi="Verdana"/>
          <w:i/>
          <w:spacing w:val="-19"/>
          <w:sz w:val="16"/>
          <w:szCs w:val="16"/>
        </w:rPr>
        <w:t xml:space="preserve"> </w:t>
      </w:r>
      <w:r>
        <w:rPr>
          <w:rFonts w:ascii="Verdana" w:hAnsi="Verdana"/>
          <w:i/>
          <w:sz w:val="16"/>
          <w:szCs w:val="16"/>
        </w:rPr>
        <w:t>adoptan</w:t>
      </w:r>
      <w:r>
        <w:rPr>
          <w:rFonts w:ascii="Verdana" w:hAnsi="Verdana"/>
          <w:i/>
          <w:spacing w:val="-20"/>
          <w:sz w:val="16"/>
          <w:szCs w:val="16"/>
        </w:rPr>
        <w:t xml:space="preserve"> </w:t>
      </w:r>
      <w:r>
        <w:rPr>
          <w:rFonts w:ascii="Verdana" w:hAnsi="Verdana"/>
          <w:i/>
          <w:sz w:val="16"/>
          <w:szCs w:val="16"/>
        </w:rPr>
        <w:t>medidas</w:t>
      </w:r>
      <w:r>
        <w:rPr>
          <w:rFonts w:ascii="Verdana" w:hAnsi="Verdana"/>
          <w:i/>
          <w:spacing w:val="-19"/>
          <w:sz w:val="16"/>
          <w:szCs w:val="16"/>
        </w:rPr>
        <w:t xml:space="preserve"> </w:t>
      </w:r>
      <w:r>
        <w:rPr>
          <w:rFonts w:ascii="Verdana" w:hAnsi="Verdana"/>
          <w:i/>
          <w:sz w:val="16"/>
          <w:szCs w:val="16"/>
        </w:rPr>
        <w:t>en</w:t>
      </w:r>
      <w:r>
        <w:rPr>
          <w:rFonts w:ascii="Verdana" w:hAnsi="Verdana"/>
          <w:i/>
          <w:spacing w:val="-19"/>
          <w:sz w:val="16"/>
          <w:szCs w:val="16"/>
        </w:rPr>
        <w:t xml:space="preserve"> </w:t>
      </w:r>
      <w:r>
        <w:rPr>
          <w:rFonts w:ascii="Verdana" w:hAnsi="Verdana"/>
          <w:i/>
          <w:sz w:val="16"/>
          <w:szCs w:val="16"/>
        </w:rPr>
        <w:t>materia</w:t>
      </w:r>
      <w:r>
        <w:rPr>
          <w:rFonts w:ascii="Verdana" w:hAnsi="Verdana"/>
          <w:i/>
          <w:spacing w:val="-20"/>
          <w:sz w:val="16"/>
          <w:szCs w:val="16"/>
        </w:rPr>
        <w:t xml:space="preserve"> </w:t>
      </w:r>
      <w:r>
        <w:rPr>
          <w:rFonts w:ascii="Verdana" w:hAnsi="Verdana"/>
          <w:i/>
          <w:sz w:val="16"/>
          <w:szCs w:val="16"/>
        </w:rPr>
        <w:t>de</w:t>
      </w:r>
      <w:r>
        <w:rPr>
          <w:rFonts w:ascii="Verdana" w:hAnsi="Verdana"/>
          <w:i/>
          <w:spacing w:val="-19"/>
          <w:sz w:val="16"/>
          <w:szCs w:val="16"/>
        </w:rPr>
        <w:t xml:space="preserve"> </w:t>
      </w:r>
      <w:r>
        <w:rPr>
          <w:rFonts w:ascii="Verdana" w:hAnsi="Verdana"/>
          <w:i/>
          <w:sz w:val="16"/>
          <w:szCs w:val="16"/>
        </w:rPr>
        <w:t>transparencia,</w:t>
      </w:r>
      <w:r>
        <w:rPr>
          <w:rFonts w:ascii="Verdana" w:hAnsi="Verdana"/>
          <w:i/>
          <w:spacing w:val="-19"/>
          <w:sz w:val="16"/>
          <w:szCs w:val="16"/>
        </w:rPr>
        <w:t xml:space="preserve"> </w:t>
      </w:r>
      <w:r>
        <w:rPr>
          <w:rFonts w:ascii="Verdana" w:hAnsi="Verdana"/>
          <w:i/>
          <w:sz w:val="16"/>
          <w:szCs w:val="16"/>
        </w:rPr>
        <w:t>prevención y</w:t>
      </w:r>
      <w:r>
        <w:rPr>
          <w:rFonts w:ascii="Verdana" w:hAnsi="Verdana"/>
          <w:i/>
          <w:spacing w:val="-13"/>
          <w:sz w:val="16"/>
          <w:szCs w:val="16"/>
        </w:rPr>
        <w:t xml:space="preserve"> </w:t>
      </w:r>
      <w:r>
        <w:rPr>
          <w:rFonts w:ascii="Verdana" w:hAnsi="Verdana"/>
          <w:i/>
          <w:sz w:val="16"/>
          <w:szCs w:val="16"/>
        </w:rPr>
        <w:t>lucha</w:t>
      </w:r>
      <w:r>
        <w:rPr>
          <w:rFonts w:ascii="Verdana" w:hAnsi="Verdana"/>
          <w:i/>
          <w:spacing w:val="-11"/>
          <w:sz w:val="16"/>
          <w:szCs w:val="16"/>
        </w:rPr>
        <w:t xml:space="preserve"> </w:t>
      </w:r>
      <w:r>
        <w:rPr>
          <w:rFonts w:ascii="Verdana" w:hAnsi="Verdana"/>
          <w:i/>
          <w:sz w:val="16"/>
          <w:szCs w:val="16"/>
        </w:rPr>
        <w:t>contra</w:t>
      </w:r>
      <w:r>
        <w:rPr>
          <w:rFonts w:ascii="Verdana" w:hAnsi="Verdana"/>
          <w:i/>
          <w:spacing w:val="-12"/>
          <w:sz w:val="16"/>
          <w:szCs w:val="16"/>
        </w:rPr>
        <w:t xml:space="preserve"> </w:t>
      </w:r>
      <w:r>
        <w:rPr>
          <w:rFonts w:ascii="Verdana" w:hAnsi="Verdana"/>
          <w:i/>
          <w:sz w:val="16"/>
          <w:szCs w:val="16"/>
        </w:rPr>
        <w:t>la</w:t>
      </w:r>
      <w:r>
        <w:rPr>
          <w:rFonts w:ascii="Verdana" w:hAnsi="Verdana"/>
          <w:i/>
          <w:spacing w:val="-11"/>
          <w:sz w:val="16"/>
          <w:szCs w:val="16"/>
        </w:rPr>
        <w:t xml:space="preserve"> </w:t>
      </w:r>
      <w:r>
        <w:rPr>
          <w:rFonts w:ascii="Verdana" w:hAnsi="Verdana"/>
          <w:i/>
          <w:sz w:val="16"/>
          <w:szCs w:val="16"/>
        </w:rPr>
        <w:t>corrupción</w:t>
      </w:r>
      <w:r>
        <w:rPr>
          <w:rFonts w:ascii="Verdana" w:hAnsi="Verdana"/>
          <w:i/>
          <w:spacing w:val="-12"/>
          <w:sz w:val="16"/>
          <w:szCs w:val="16"/>
        </w:rPr>
        <w:t xml:space="preserve"> </w:t>
      </w:r>
      <w:r>
        <w:rPr>
          <w:rFonts w:ascii="Verdana" w:hAnsi="Verdana"/>
          <w:i/>
          <w:sz w:val="16"/>
          <w:szCs w:val="16"/>
        </w:rPr>
        <w:t>y</w:t>
      </w:r>
      <w:r>
        <w:rPr>
          <w:rFonts w:ascii="Verdana" w:hAnsi="Verdana"/>
          <w:i/>
          <w:spacing w:val="-13"/>
          <w:sz w:val="16"/>
          <w:szCs w:val="16"/>
        </w:rPr>
        <w:t xml:space="preserve"> </w:t>
      </w:r>
      <w:r>
        <w:rPr>
          <w:rFonts w:ascii="Verdana" w:hAnsi="Verdana"/>
          <w:i/>
          <w:sz w:val="16"/>
          <w:szCs w:val="16"/>
        </w:rPr>
        <w:t>se</w:t>
      </w:r>
      <w:r>
        <w:rPr>
          <w:rFonts w:ascii="Verdana" w:hAnsi="Verdana"/>
          <w:i/>
          <w:spacing w:val="-11"/>
          <w:sz w:val="16"/>
          <w:szCs w:val="16"/>
        </w:rPr>
        <w:t xml:space="preserve"> </w:t>
      </w:r>
      <w:r>
        <w:rPr>
          <w:rFonts w:ascii="Verdana" w:hAnsi="Verdana"/>
          <w:i/>
          <w:sz w:val="16"/>
          <w:szCs w:val="16"/>
        </w:rPr>
        <w:t>dictan</w:t>
      </w:r>
      <w:r>
        <w:rPr>
          <w:rFonts w:ascii="Verdana" w:hAnsi="Verdana"/>
          <w:i/>
          <w:spacing w:val="-12"/>
          <w:sz w:val="16"/>
          <w:szCs w:val="16"/>
        </w:rPr>
        <w:t xml:space="preserve"> </w:t>
      </w:r>
      <w:r>
        <w:rPr>
          <w:rFonts w:ascii="Verdana" w:hAnsi="Verdana"/>
          <w:i/>
          <w:sz w:val="16"/>
          <w:szCs w:val="16"/>
        </w:rPr>
        <w:t>otras</w:t>
      </w:r>
      <w:r>
        <w:rPr>
          <w:rFonts w:ascii="Verdana" w:hAnsi="Verdana"/>
          <w:i/>
          <w:spacing w:val="-11"/>
          <w:sz w:val="16"/>
          <w:szCs w:val="16"/>
        </w:rPr>
        <w:t xml:space="preserve"> </w:t>
      </w:r>
      <w:r>
        <w:rPr>
          <w:rFonts w:ascii="Verdana" w:hAnsi="Verdana"/>
          <w:i/>
          <w:sz w:val="16"/>
          <w:szCs w:val="16"/>
        </w:rPr>
        <w:t>disposiciones</w:t>
      </w:r>
      <w:r>
        <w:rPr>
          <w:rFonts w:ascii="Verdana" w:hAnsi="Verdana"/>
          <w:sz w:val="16"/>
          <w:szCs w:val="16"/>
        </w:rPr>
        <w:t>”,</w:t>
      </w:r>
      <w:r>
        <w:rPr>
          <w:rFonts w:ascii="Verdana" w:hAnsi="Verdana"/>
          <w:spacing w:val="-14"/>
          <w:sz w:val="16"/>
          <w:szCs w:val="16"/>
        </w:rPr>
        <w:t xml:space="preserve"> </w:t>
      </w:r>
      <w:r>
        <w:rPr>
          <w:rFonts w:ascii="Verdana" w:hAnsi="Verdana"/>
          <w:sz w:val="16"/>
          <w:szCs w:val="16"/>
        </w:rPr>
        <w:t>mediante</w:t>
      </w:r>
      <w:r>
        <w:rPr>
          <w:rFonts w:ascii="Verdana" w:hAnsi="Verdana"/>
          <w:spacing w:val="-11"/>
          <w:sz w:val="16"/>
          <w:szCs w:val="16"/>
        </w:rPr>
        <w:t xml:space="preserve"> </w:t>
      </w:r>
      <w:r>
        <w:rPr>
          <w:rFonts w:ascii="Verdana" w:hAnsi="Verdana"/>
          <w:sz w:val="16"/>
          <w:szCs w:val="16"/>
        </w:rPr>
        <w:t>la</w:t>
      </w:r>
      <w:r>
        <w:rPr>
          <w:rFonts w:ascii="Verdana" w:hAnsi="Verdana"/>
          <w:spacing w:val="-10"/>
          <w:sz w:val="16"/>
          <w:szCs w:val="16"/>
        </w:rPr>
        <w:t xml:space="preserve"> </w:t>
      </w:r>
      <w:r>
        <w:rPr>
          <w:rFonts w:ascii="Verdana" w:hAnsi="Verdana"/>
          <w:sz w:val="16"/>
          <w:szCs w:val="16"/>
        </w:rPr>
        <w:t>cual se introdujeron, a través del artículo 53, los incisos 2° y 3° al artículo 13 de la Ley 1150 de 2007, los cuales establecen la obligación, para las entidades públicas que por disposición legal cuenten con un régimen especial de contratación, de publicar su actividad contractual a través del Sistema Electrónico</w:t>
      </w:r>
      <w:r>
        <w:rPr>
          <w:rFonts w:ascii="Verdana" w:hAnsi="Verdana"/>
          <w:spacing w:val="-2"/>
          <w:sz w:val="16"/>
          <w:szCs w:val="16"/>
        </w:rPr>
        <w:t xml:space="preserve"> </w:t>
      </w:r>
      <w:r>
        <w:rPr>
          <w:rFonts w:ascii="Verdana" w:hAnsi="Verdana"/>
          <w:sz w:val="16"/>
          <w:szCs w:val="16"/>
        </w:rPr>
        <w:t>para</w:t>
      </w:r>
      <w:r>
        <w:rPr>
          <w:rFonts w:ascii="Verdana" w:hAnsi="Verdana"/>
          <w:spacing w:val="-4"/>
          <w:sz w:val="16"/>
          <w:szCs w:val="16"/>
        </w:rPr>
        <w:t xml:space="preserve"> </w:t>
      </w:r>
      <w:r>
        <w:rPr>
          <w:rFonts w:ascii="Verdana" w:hAnsi="Verdana"/>
          <w:sz w:val="16"/>
          <w:szCs w:val="16"/>
        </w:rPr>
        <w:t>la</w:t>
      </w:r>
      <w:r>
        <w:rPr>
          <w:rFonts w:ascii="Verdana" w:hAnsi="Verdana"/>
          <w:spacing w:val="-2"/>
          <w:sz w:val="16"/>
          <w:szCs w:val="16"/>
        </w:rPr>
        <w:t xml:space="preserve"> </w:t>
      </w:r>
      <w:r>
        <w:rPr>
          <w:rFonts w:ascii="Verdana" w:hAnsi="Verdana"/>
          <w:sz w:val="16"/>
          <w:szCs w:val="16"/>
        </w:rPr>
        <w:t>Contratación</w:t>
      </w:r>
      <w:r>
        <w:rPr>
          <w:rFonts w:ascii="Verdana" w:hAnsi="Verdana"/>
          <w:spacing w:val="-3"/>
          <w:sz w:val="16"/>
          <w:szCs w:val="16"/>
        </w:rPr>
        <w:t xml:space="preserve"> </w:t>
      </w:r>
      <w:r>
        <w:rPr>
          <w:rFonts w:ascii="Verdana" w:hAnsi="Verdana"/>
          <w:sz w:val="16"/>
          <w:szCs w:val="16"/>
        </w:rPr>
        <w:t>Pública</w:t>
      </w:r>
      <w:r>
        <w:rPr>
          <w:rFonts w:ascii="Verdana" w:hAnsi="Verdana"/>
          <w:spacing w:val="-4"/>
          <w:sz w:val="16"/>
          <w:szCs w:val="16"/>
        </w:rPr>
        <w:t xml:space="preserve"> </w:t>
      </w:r>
      <w:r>
        <w:rPr>
          <w:rFonts w:ascii="Verdana" w:hAnsi="Verdana"/>
          <w:sz w:val="16"/>
          <w:szCs w:val="16"/>
        </w:rPr>
        <w:t>en</w:t>
      </w:r>
      <w:r>
        <w:rPr>
          <w:rFonts w:ascii="Verdana" w:hAnsi="Verdana"/>
          <w:spacing w:val="-1"/>
          <w:sz w:val="16"/>
          <w:szCs w:val="16"/>
        </w:rPr>
        <w:t xml:space="preserve"> </w:t>
      </w:r>
      <w:r>
        <w:rPr>
          <w:rFonts w:ascii="Verdana" w:hAnsi="Verdana"/>
          <w:sz w:val="16"/>
          <w:szCs w:val="16"/>
        </w:rPr>
        <w:t>su</w:t>
      </w:r>
      <w:r>
        <w:rPr>
          <w:rFonts w:ascii="Verdana" w:hAnsi="Verdana"/>
          <w:spacing w:val="-3"/>
          <w:sz w:val="16"/>
          <w:szCs w:val="16"/>
        </w:rPr>
        <w:t xml:space="preserve"> </w:t>
      </w:r>
      <w:r>
        <w:rPr>
          <w:rFonts w:ascii="Verdana" w:hAnsi="Verdana"/>
          <w:sz w:val="16"/>
          <w:szCs w:val="16"/>
        </w:rPr>
        <w:t>versión</w:t>
      </w:r>
      <w:r>
        <w:rPr>
          <w:rFonts w:ascii="Verdana" w:hAnsi="Verdana"/>
          <w:spacing w:val="-3"/>
          <w:sz w:val="16"/>
          <w:szCs w:val="16"/>
        </w:rPr>
        <w:t xml:space="preserve"> </w:t>
      </w:r>
      <w:r>
        <w:rPr>
          <w:rFonts w:ascii="Verdana" w:hAnsi="Verdana"/>
          <w:sz w:val="16"/>
          <w:szCs w:val="16"/>
        </w:rPr>
        <w:t>transaccional,</w:t>
      </w:r>
      <w:r>
        <w:rPr>
          <w:rFonts w:ascii="Verdana" w:hAnsi="Verdana"/>
          <w:spacing w:val="-2"/>
          <w:sz w:val="16"/>
          <w:szCs w:val="16"/>
        </w:rPr>
        <w:t xml:space="preserve"> </w:t>
      </w:r>
      <w:r>
        <w:rPr>
          <w:rFonts w:ascii="Verdana" w:hAnsi="Verdana"/>
          <w:sz w:val="16"/>
          <w:szCs w:val="16"/>
        </w:rPr>
        <w:t>es</w:t>
      </w:r>
      <w:r>
        <w:rPr>
          <w:rFonts w:ascii="Verdana" w:hAnsi="Verdana"/>
          <w:spacing w:val="-2"/>
          <w:sz w:val="16"/>
          <w:szCs w:val="16"/>
        </w:rPr>
        <w:t xml:space="preserve"> </w:t>
      </w:r>
      <w:r>
        <w:rPr>
          <w:rFonts w:ascii="Verdana" w:hAnsi="Verdana"/>
          <w:sz w:val="16"/>
          <w:szCs w:val="16"/>
        </w:rPr>
        <w:t>decir en la plataforma SECOP II.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769791B"/>
    <w:multiLevelType w:val="hybridMultilevel"/>
    <w:tmpl w:val="6BF6515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7"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0" w15:restartNumberingAfterBreak="0">
    <w:nsid w:val="251123D3"/>
    <w:multiLevelType w:val="hybridMultilevel"/>
    <w:tmpl w:val="6B7E2E24"/>
    <w:lvl w:ilvl="0" w:tplc="A3687E8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2"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6"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0"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4"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8"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0" w15:restartNumberingAfterBreak="0">
    <w:nsid w:val="6EC84743"/>
    <w:multiLevelType w:val="hybridMultilevel"/>
    <w:tmpl w:val="9790F6FE"/>
    <w:lvl w:ilvl="0" w:tplc="6D1C2B0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2"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78226FF1"/>
    <w:multiLevelType w:val="hybridMultilevel"/>
    <w:tmpl w:val="18F0F084"/>
    <w:lvl w:ilvl="0" w:tplc="6A3AC74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7"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4"/>
  </w:num>
  <w:num w:numId="3" w16cid:durableId="679089576">
    <w:abstractNumId w:val="18"/>
  </w:num>
  <w:num w:numId="4" w16cid:durableId="893472101">
    <w:abstractNumId w:val="9"/>
  </w:num>
  <w:num w:numId="5" w16cid:durableId="1982299905">
    <w:abstractNumId w:val="37"/>
  </w:num>
  <w:num w:numId="6" w16cid:durableId="130758360">
    <w:abstractNumId w:val="21"/>
  </w:num>
  <w:num w:numId="7" w16cid:durableId="262541512">
    <w:abstractNumId w:val="33"/>
  </w:num>
  <w:num w:numId="8" w16cid:durableId="1947226218">
    <w:abstractNumId w:val="17"/>
  </w:num>
  <w:num w:numId="9" w16cid:durableId="1180706126">
    <w:abstractNumId w:val="20"/>
  </w:num>
  <w:num w:numId="10" w16cid:durableId="2097506960">
    <w:abstractNumId w:val="26"/>
  </w:num>
  <w:num w:numId="11" w16cid:durableId="1977490869">
    <w:abstractNumId w:val="24"/>
  </w:num>
  <w:num w:numId="12" w16cid:durableId="158663248">
    <w:abstractNumId w:val="23"/>
  </w:num>
  <w:num w:numId="13" w16cid:durableId="2024085788">
    <w:abstractNumId w:val="2"/>
  </w:num>
  <w:num w:numId="14" w16cid:durableId="1885099950">
    <w:abstractNumId w:val="16"/>
  </w:num>
  <w:num w:numId="15" w16cid:durableId="32047459">
    <w:abstractNumId w:val="11"/>
  </w:num>
  <w:num w:numId="16" w16cid:durableId="1192261824">
    <w:abstractNumId w:val="12"/>
  </w:num>
  <w:num w:numId="17" w16cid:durableId="375933272">
    <w:abstractNumId w:val="19"/>
  </w:num>
  <w:num w:numId="18" w16cid:durableId="610939998">
    <w:abstractNumId w:val="27"/>
  </w:num>
  <w:num w:numId="19" w16cid:durableId="1910656144">
    <w:abstractNumId w:val="4"/>
  </w:num>
  <w:num w:numId="20" w16cid:durableId="947545103">
    <w:abstractNumId w:val="15"/>
  </w:num>
  <w:num w:numId="21" w16cid:durableId="1851335222">
    <w:abstractNumId w:val="36"/>
  </w:num>
  <w:num w:numId="22" w16cid:durableId="578707994">
    <w:abstractNumId w:val="6"/>
  </w:num>
  <w:num w:numId="23" w16cid:durableId="876742304">
    <w:abstractNumId w:val="13"/>
  </w:num>
  <w:num w:numId="24" w16cid:durableId="1994095851">
    <w:abstractNumId w:val="7"/>
  </w:num>
  <w:num w:numId="25" w16cid:durableId="1567109325">
    <w:abstractNumId w:val="28"/>
  </w:num>
  <w:num w:numId="26" w16cid:durableId="1116487847">
    <w:abstractNumId w:val="22"/>
  </w:num>
  <w:num w:numId="27" w16cid:durableId="611326471">
    <w:abstractNumId w:val="31"/>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5"/>
  </w:num>
  <w:num w:numId="30" w16cid:durableId="363991975">
    <w:abstractNumId w:val="32"/>
  </w:num>
  <w:num w:numId="31" w16cid:durableId="1509440290">
    <w:abstractNumId w:val="25"/>
  </w:num>
  <w:num w:numId="32" w16cid:durableId="1601723362">
    <w:abstractNumId w:val="8"/>
  </w:num>
  <w:num w:numId="33" w16cid:durableId="1484539021">
    <w:abstractNumId w:val="5"/>
  </w:num>
  <w:num w:numId="34" w16cid:durableId="1387339555">
    <w:abstractNumId w:val="3"/>
  </w:num>
  <w:num w:numId="35" w16cid:durableId="591087840">
    <w:abstractNumId w:val="29"/>
  </w:num>
  <w:num w:numId="36" w16cid:durableId="1632059173">
    <w:abstractNumId w:val="34"/>
  </w:num>
  <w:num w:numId="37" w16cid:durableId="742992957">
    <w:abstractNumId w:val="18"/>
  </w:num>
  <w:num w:numId="38" w16cid:durableId="1317681908">
    <w:abstractNumId w:val="10"/>
  </w:num>
  <w:num w:numId="39" w16cid:durableId="72079176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08"/>
    <w:rsid w:val="00001E39"/>
    <w:rsid w:val="00002920"/>
    <w:rsid w:val="00002D55"/>
    <w:rsid w:val="0000399A"/>
    <w:rsid w:val="00005225"/>
    <w:rsid w:val="000054DB"/>
    <w:rsid w:val="0000587D"/>
    <w:rsid w:val="000059AE"/>
    <w:rsid w:val="00005BB0"/>
    <w:rsid w:val="00006F59"/>
    <w:rsid w:val="00007086"/>
    <w:rsid w:val="00007382"/>
    <w:rsid w:val="00007576"/>
    <w:rsid w:val="0001025F"/>
    <w:rsid w:val="0001155E"/>
    <w:rsid w:val="00011613"/>
    <w:rsid w:val="00011D3C"/>
    <w:rsid w:val="0001222D"/>
    <w:rsid w:val="00012550"/>
    <w:rsid w:val="00012679"/>
    <w:rsid w:val="00012C27"/>
    <w:rsid w:val="00012EDA"/>
    <w:rsid w:val="00013B3F"/>
    <w:rsid w:val="00014981"/>
    <w:rsid w:val="00014B0D"/>
    <w:rsid w:val="00014E7B"/>
    <w:rsid w:val="00016280"/>
    <w:rsid w:val="0001672C"/>
    <w:rsid w:val="00016F04"/>
    <w:rsid w:val="00017870"/>
    <w:rsid w:val="00021068"/>
    <w:rsid w:val="00021595"/>
    <w:rsid w:val="000219D1"/>
    <w:rsid w:val="00021C3A"/>
    <w:rsid w:val="0002202D"/>
    <w:rsid w:val="00022C23"/>
    <w:rsid w:val="00023DF7"/>
    <w:rsid w:val="00024F51"/>
    <w:rsid w:val="000267DD"/>
    <w:rsid w:val="000273EA"/>
    <w:rsid w:val="00027B63"/>
    <w:rsid w:val="00027CA9"/>
    <w:rsid w:val="00030B3D"/>
    <w:rsid w:val="00030BC5"/>
    <w:rsid w:val="00030BFB"/>
    <w:rsid w:val="00031DA1"/>
    <w:rsid w:val="00031EAF"/>
    <w:rsid w:val="0003287A"/>
    <w:rsid w:val="00033390"/>
    <w:rsid w:val="000361EA"/>
    <w:rsid w:val="0003699E"/>
    <w:rsid w:val="000369C0"/>
    <w:rsid w:val="0003731A"/>
    <w:rsid w:val="00037A8B"/>
    <w:rsid w:val="00040372"/>
    <w:rsid w:val="000408AD"/>
    <w:rsid w:val="00041469"/>
    <w:rsid w:val="0004180C"/>
    <w:rsid w:val="000419D7"/>
    <w:rsid w:val="00042DD7"/>
    <w:rsid w:val="000438BA"/>
    <w:rsid w:val="00043EE5"/>
    <w:rsid w:val="000442CC"/>
    <w:rsid w:val="000442DE"/>
    <w:rsid w:val="0004491F"/>
    <w:rsid w:val="00044B24"/>
    <w:rsid w:val="0004508D"/>
    <w:rsid w:val="0004526E"/>
    <w:rsid w:val="00045B37"/>
    <w:rsid w:val="0004709D"/>
    <w:rsid w:val="000504AA"/>
    <w:rsid w:val="0005086B"/>
    <w:rsid w:val="0005098A"/>
    <w:rsid w:val="00050C95"/>
    <w:rsid w:val="00050CAD"/>
    <w:rsid w:val="0005142D"/>
    <w:rsid w:val="00051A3C"/>
    <w:rsid w:val="00051BE4"/>
    <w:rsid w:val="00051E96"/>
    <w:rsid w:val="000526A8"/>
    <w:rsid w:val="00052EF1"/>
    <w:rsid w:val="0005420B"/>
    <w:rsid w:val="00054DFE"/>
    <w:rsid w:val="000551CB"/>
    <w:rsid w:val="00055ED8"/>
    <w:rsid w:val="0005620B"/>
    <w:rsid w:val="00057392"/>
    <w:rsid w:val="00057740"/>
    <w:rsid w:val="000577A2"/>
    <w:rsid w:val="000577D3"/>
    <w:rsid w:val="00057963"/>
    <w:rsid w:val="000579AB"/>
    <w:rsid w:val="00060AE4"/>
    <w:rsid w:val="000618E5"/>
    <w:rsid w:val="000622B9"/>
    <w:rsid w:val="000631E9"/>
    <w:rsid w:val="00063B4B"/>
    <w:rsid w:val="00064431"/>
    <w:rsid w:val="00064721"/>
    <w:rsid w:val="00064D60"/>
    <w:rsid w:val="0006565C"/>
    <w:rsid w:val="00065973"/>
    <w:rsid w:val="00065C6D"/>
    <w:rsid w:val="000665D3"/>
    <w:rsid w:val="00066646"/>
    <w:rsid w:val="00066C7A"/>
    <w:rsid w:val="00066CF1"/>
    <w:rsid w:val="000678BB"/>
    <w:rsid w:val="000709EF"/>
    <w:rsid w:val="00070D9B"/>
    <w:rsid w:val="0007144A"/>
    <w:rsid w:val="000716AB"/>
    <w:rsid w:val="00071AB8"/>
    <w:rsid w:val="0007243A"/>
    <w:rsid w:val="00072AF5"/>
    <w:rsid w:val="000734CB"/>
    <w:rsid w:val="00074660"/>
    <w:rsid w:val="000752FA"/>
    <w:rsid w:val="00075BDC"/>
    <w:rsid w:val="00076211"/>
    <w:rsid w:val="000762C0"/>
    <w:rsid w:val="0007655A"/>
    <w:rsid w:val="00076737"/>
    <w:rsid w:val="00076C2B"/>
    <w:rsid w:val="00076C73"/>
    <w:rsid w:val="00076F81"/>
    <w:rsid w:val="000772B1"/>
    <w:rsid w:val="000779DE"/>
    <w:rsid w:val="000800B6"/>
    <w:rsid w:val="00080D15"/>
    <w:rsid w:val="00081B03"/>
    <w:rsid w:val="00081BAA"/>
    <w:rsid w:val="000847A0"/>
    <w:rsid w:val="00084BFD"/>
    <w:rsid w:val="00085BD2"/>
    <w:rsid w:val="0008651B"/>
    <w:rsid w:val="00087073"/>
    <w:rsid w:val="0008734C"/>
    <w:rsid w:val="0008739A"/>
    <w:rsid w:val="000875BD"/>
    <w:rsid w:val="000878E7"/>
    <w:rsid w:val="00087A3B"/>
    <w:rsid w:val="00087C01"/>
    <w:rsid w:val="000903E4"/>
    <w:rsid w:val="000906E3"/>
    <w:rsid w:val="00091D73"/>
    <w:rsid w:val="0009252F"/>
    <w:rsid w:val="000933B5"/>
    <w:rsid w:val="000933BC"/>
    <w:rsid w:val="00093544"/>
    <w:rsid w:val="00093D95"/>
    <w:rsid w:val="00093F87"/>
    <w:rsid w:val="00094663"/>
    <w:rsid w:val="00095410"/>
    <w:rsid w:val="00095CF4"/>
    <w:rsid w:val="00095E48"/>
    <w:rsid w:val="00096637"/>
    <w:rsid w:val="0009726B"/>
    <w:rsid w:val="00097285"/>
    <w:rsid w:val="0009740F"/>
    <w:rsid w:val="000975EA"/>
    <w:rsid w:val="000A021A"/>
    <w:rsid w:val="000A1828"/>
    <w:rsid w:val="000A1C31"/>
    <w:rsid w:val="000A1D06"/>
    <w:rsid w:val="000A1F38"/>
    <w:rsid w:val="000A2030"/>
    <w:rsid w:val="000A358F"/>
    <w:rsid w:val="000A37F5"/>
    <w:rsid w:val="000A413A"/>
    <w:rsid w:val="000A4F1E"/>
    <w:rsid w:val="000A5881"/>
    <w:rsid w:val="000A66A1"/>
    <w:rsid w:val="000A69FB"/>
    <w:rsid w:val="000A776F"/>
    <w:rsid w:val="000A77D4"/>
    <w:rsid w:val="000B0B16"/>
    <w:rsid w:val="000B1087"/>
    <w:rsid w:val="000B146F"/>
    <w:rsid w:val="000B1936"/>
    <w:rsid w:val="000B199A"/>
    <w:rsid w:val="000B1FF7"/>
    <w:rsid w:val="000B2529"/>
    <w:rsid w:val="000B2685"/>
    <w:rsid w:val="000B2B7C"/>
    <w:rsid w:val="000B3027"/>
    <w:rsid w:val="000B377E"/>
    <w:rsid w:val="000B381D"/>
    <w:rsid w:val="000B3DD4"/>
    <w:rsid w:val="000B4024"/>
    <w:rsid w:val="000B44BA"/>
    <w:rsid w:val="000B4C9C"/>
    <w:rsid w:val="000B5311"/>
    <w:rsid w:val="000B5313"/>
    <w:rsid w:val="000B5C05"/>
    <w:rsid w:val="000B5C65"/>
    <w:rsid w:val="000B5F1D"/>
    <w:rsid w:val="000B5FB9"/>
    <w:rsid w:val="000B69C5"/>
    <w:rsid w:val="000B6BE9"/>
    <w:rsid w:val="000C02AD"/>
    <w:rsid w:val="000C060A"/>
    <w:rsid w:val="000C07B0"/>
    <w:rsid w:val="000C09DF"/>
    <w:rsid w:val="000C0AA8"/>
    <w:rsid w:val="000C18BD"/>
    <w:rsid w:val="000C1FC8"/>
    <w:rsid w:val="000C36E1"/>
    <w:rsid w:val="000C42A9"/>
    <w:rsid w:val="000C42C6"/>
    <w:rsid w:val="000C50D6"/>
    <w:rsid w:val="000C51E1"/>
    <w:rsid w:val="000C557B"/>
    <w:rsid w:val="000C5A85"/>
    <w:rsid w:val="000C5F29"/>
    <w:rsid w:val="000C5F48"/>
    <w:rsid w:val="000C66BF"/>
    <w:rsid w:val="000C6FC1"/>
    <w:rsid w:val="000C7FF8"/>
    <w:rsid w:val="000D0372"/>
    <w:rsid w:val="000D0ADE"/>
    <w:rsid w:val="000D1A8F"/>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E0622"/>
    <w:rsid w:val="000E07AA"/>
    <w:rsid w:val="000E161A"/>
    <w:rsid w:val="000E1D6F"/>
    <w:rsid w:val="000E2D0D"/>
    <w:rsid w:val="000E3381"/>
    <w:rsid w:val="000E3744"/>
    <w:rsid w:val="000E3CD9"/>
    <w:rsid w:val="000E481D"/>
    <w:rsid w:val="000E496B"/>
    <w:rsid w:val="000E4DBF"/>
    <w:rsid w:val="000E4DF2"/>
    <w:rsid w:val="000E5844"/>
    <w:rsid w:val="000E634B"/>
    <w:rsid w:val="000E7349"/>
    <w:rsid w:val="000E762D"/>
    <w:rsid w:val="000E77CC"/>
    <w:rsid w:val="000F0144"/>
    <w:rsid w:val="000F0783"/>
    <w:rsid w:val="000F0807"/>
    <w:rsid w:val="000F080D"/>
    <w:rsid w:val="000F0B3C"/>
    <w:rsid w:val="000F13D5"/>
    <w:rsid w:val="000F175F"/>
    <w:rsid w:val="000F1AD8"/>
    <w:rsid w:val="000F2F4C"/>
    <w:rsid w:val="000F306E"/>
    <w:rsid w:val="000F38D9"/>
    <w:rsid w:val="000F3CED"/>
    <w:rsid w:val="000F414C"/>
    <w:rsid w:val="000F6320"/>
    <w:rsid w:val="000F64FC"/>
    <w:rsid w:val="000F696E"/>
    <w:rsid w:val="000F6C10"/>
    <w:rsid w:val="000F718E"/>
    <w:rsid w:val="001001F2"/>
    <w:rsid w:val="00100207"/>
    <w:rsid w:val="001003C6"/>
    <w:rsid w:val="00100682"/>
    <w:rsid w:val="00100F25"/>
    <w:rsid w:val="001010D3"/>
    <w:rsid w:val="0010144A"/>
    <w:rsid w:val="00101C11"/>
    <w:rsid w:val="00102F4F"/>
    <w:rsid w:val="001034DD"/>
    <w:rsid w:val="00104425"/>
    <w:rsid w:val="00104B4C"/>
    <w:rsid w:val="00105135"/>
    <w:rsid w:val="001055A2"/>
    <w:rsid w:val="00105DC2"/>
    <w:rsid w:val="0010682A"/>
    <w:rsid w:val="00106C4C"/>
    <w:rsid w:val="001079AE"/>
    <w:rsid w:val="00107DEF"/>
    <w:rsid w:val="00110145"/>
    <w:rsid w:val="0011031D"/>
    <w:rsid w:val="0011037E"/>
    <w:rsid w:val="00110404"/>
    <w:rsid w:val="001109E8"/>
    <w:rsid w:val="00110F73"/>
    <w:rsid w:val="00111E35"/>
    <w:rsid w:val="001128B4"/>
    <w:rsid w:val="00112EBD"/>
    <w:rsid w:val="001132C2"/>
    <w:rsid w:val="00113335"/>
    <w:rsid w:val="0011382D"/>
    <w:rsid w:val="00113AF2"/>
    <w:rsid w:val="00113C17"/>
    <w:rsid w:val="00113FDD"/>
    <w:rsid w:val="00114051"/>
    <w:rsid w:val="00114973"/>
    <w:rsid w:val="00114CFB"/>
    <w:rsid w:val="00114CFF"/>
    <w:rsid w:val="00114FDF"/>
    <w:rsid w:val="0011650B"/>
    <w:rsid w:val="00116616"/>
    <w:rsid w:val="00116FC5"/>
    <w:rsid w:val="00117163"/>
    <w:rsid w:val="00117BBD"/>
    <w:rsid w:val="00117E26"/>
    <w:rsid w:val="001202DF"/>
    <w:rsid w:val="00120F1B"/>
    <w:rsid w:val="001213E7"/>
    <w:rsid w:val="00122208"/>
    <w:rsid w:val="001224BA"/>
    <w:rsid w:val="001238BC"/>
    <w:rsid w:val="00124518"/>
    <w:rsid w:val="001248AB"/>
    <w:rsid w:val="00124981"/>
    <w:rsid w:val="00124B10"/>
    <w:rsid w:val="00124B2E"/>
    <w:rsid w:val="001256A1"/>
    <w:rsid w:val="00125D81"/>
    <w:rsid w:val="00126301"/>
    <w:rsid w:val="0012661F"/>
    <w:rsid w:val="00126966"/>
    <w:rsid w:val="001269B0"/>
    <w:rsid w:val="00126B24"/>
    <w:rsid w:val="00127234"/>
    <w:rsid w:val="001276C4"/>
    <w:rsid w:val="00127C68"/>
    <w:rsid w:val="00127D5B"/>
    <w:rsid w:val="001300B0"/>
    <w:rsid w:val="00131373"/>
    <w:rsid w:val="001314A0"/>
    <w:rsid w:val="00131A1F"/>
    <w:rsid w:val="00131A66"/>
    <w:rsid w:val="00131F9C"/>
    <w:rsid w:val="00132336"/>
    <w:rsid w:val="00132425"/>
    <w:rsid w:val="0013280A"/>
    <w:rsid w:val="00132875"/>
    <w:rsid w:val="0013315A"/>
    <w:rsid w:val="001332B3"/>
    <w:rsid w:val="0013343F"/>
    <w:rsid w:val="001344F9"/>
    <w:rsid w:val="00134F37"/>
    <w:rsid w:val="00135F76"/>
    <w:rsid w:val="001360E9"/>
    <w:rsid w:val="001360F4"/>
    <w:rsid w:val="001363C7"/>
    <w:rsid w:val="00136E87"/>
    <w:rsid w:val="00140793"/>
    <w:rsid w:val="0014203B"/>
    <w:rsid w:val="001422BD"/>
    <w:rsid w:val="0014286D"/>
    <w:rsid w:val="00143B8E"/>
    <w:rsid w:val="00143F21"/>
    <w:rsid w:val="0014420C"/>
    <w:rsid w:val="001446C3"/>
    <w:rsid w:val="00145EA8"/>
    <w:rsid w:val="001461A7"/>
    <w:rsid w:val="00146946"/>
    <w:rsid w:val="00146E7C"/>
    <w:rsid w:val="00147F8C"/>
    <w:rsid w:val="00150492"/>
    <w:rsid w:val="00151200"/>
    <w:rsid w:val="001513CE"/>
    <w:rsid w:val="00151465"/>
    <w:rsid w:val="00151AD8"/>
    <w:rsid w:val="00151E77"/>
    <w:rsid w:val="00153287"/>
    <w:rsid w:val="001533E6"/>
    <w:rsid w:val="001538BE"/>
    <w:rsid w:val="00153BA7"/>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3EB1"/>
    <w:rsid w:val="00164803"/>
    <w:rsid w:val="00164AE0"/>
    <w:rsid w:val="001656F6"/>
    <w:rsid w:val="00165BF5"/>
    <w:rsid w:val="00165F2E"/>
    <w:rsid w:val="0016646A"/>
    <w:rsid w:val="001673EE"/>
    <w:rsid w:val="0016793B"/>
    <w:rsid w:val="00167C43"/>
    <w:rsid w:val="001706C9"/>
    <w:rsid w:val="0017120C"/>
    <w:rsid w:val="0017150D"/>
    <w:rsid w:val="001719EC"/>
    <w:rsid w:val="00171D3A"/>
    <w:rsid w:val="001727D7"/>
    <w:rsid w:val="00172C96"/>
    <w:rsid w:val="00172DDC"/>
    <w:rsid w:val="00172F3A"/>
    <w:rsid w:val="0017303B"/>
    <w:rsid w:val="00173477"/>
    <w:rsid w:val="0017414F"/>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338"/>
    <w:rsid w:val="00182348"/>
    <w:rsid w:val="001831FE"/>
    <w:rsid w:val="00183F50"/>
    <w:rsid w:val="001848FF"/>
    <w:rsid w:val="00184BB2"/>
    <w:rsid w:val="00184BD9"/>
    <w:rsid w:val="00184ED6"/>
    <w:rsid w:val="00184F13"/>
    <w:rsid w:val="00184FD9"/>
    <w:rsid w:val="00185361"/>
    <w:rsid w:val="00186037"/>
    <w:rsid w:val="00186AE4"/>
    <w:rsid w:val="00186D14"/>
    <w:rsid w:val="001876D8"/>
    <w:rsid w:val="00187F6A"/>
    <w:rsid w:val="00190325"/>
    <w:rsid w:val="00190391"/>
    <w:rsid w:val="0019151E"/>
    <w:rsid w:val="00191593"/>
    <w:rsid w:val="001918F1"/>
    <w:rsid w:val="0019196E"/>
    <w:rsid w:val="00191FF5"/>
    <w:rsid w:val="001926D7"/>
    <w:rsid w:val="00192CCE"/>
    <w:rsid w:val="0019385B"/>
    <w:rsid w:val="00193F1C"/>
    <w:rsid w:val="00194428"/>
    <w:rsid w:val="001947C0"/>
    <w:rsid w:val="001948F5"/>
    <w:rsid w:val="00194958"/>
    <w:rsid w:val="0019566E"/>
    <w:rsid w:val="00196359"/>
    <w:rsid w:val="0019710C"/>
    <w:rsid w:val="00197205"/>
    <w:rsid w:val="00197632"/>
    <w:rsid w:val="0019793F"/>
    <w:rsid w:val="00197A9D"/>
    <w:rsid w:val="001A08E7"/>
    <w:rsid w:val="001A17D7"/>
    <w:rsid w:val="001A1A67"/>
    <w:rsid w:val="001A1FDD"/>
    <w:rsid w:val="001A2D8F"/>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CA"/>
    <w:rsid w:val="001B28D5"/>
    <w:rsid w:val="001B28E4"/>
    <w:rsid w:val="001B3175"/>
    <w:rsid w:val="001B35D4"/>
    <w:rsid w:val="001B4446"/>
    <w:rsid w:val="001B52D3"/>
    <w:rsid w:val="001B53DD"/>
    <w:rsid w:val="001B5565"/>
    <w:rsid w:val="001B5A00"/>
    <w:rsid w:val="001B5F59"/>
    <w:rsid w:val="001B63A7"/>
    <w:rsid w:val="001B6810"/>
    <w:rsid w:val="001B6E89"/>
    <w:rsid w:val="001B7358"/>
    <w:rsid w:val="001B791C"/>
    <w:rsid w:val="001B7B9B"/>
    <w:rsid w:val="001B7D70"/>
    <w:rsid w:val="001C0125"/>
    <w:rsid w:val="001C1074"/>
    <w:rsid w:val="001C21C8"/>
    <w:rsid w:val="001C25F5"/>
    <w:rsid w:val="001C265A"/>
    <w:rsid w:val="001C2DFD"/>
    <w:rsid w:val="001C34D0"/>
    <w:rsid w:val="001C4249"/>
    <w:rsid w:val="001C46E3"/>
    <w:rsid w:val="001C496A"/>
    <w:rsid w:val="001C4AC1"/>
    <w:rsid w:val="001C4F27"/>
    <w:rsid w:val="001C51FE"/>
    <w:rsid w:val="001C582B"/>
    <w:rsid w:val="001C6573"/>
    <w:rsid w:val="001C7B08"/>
    <w:rsid w:val="001C7D03"/>
    <w:rsid w:val="001D00BE"/>
    <w:rsid w:val="001D079B"/>
    <w:rsid w:val="001D0D32"/>
    <w:rsid w:val="001D1363"/>
    <w:rsid w:val="001D17C9"/>
    <w:rsid w:val="001D1AB9"/>
    <w:rsid w:val="001D1EEB"/>
    <w:rsid w:val="001D1F20"/>
    <w:rsid w:val="001D22D5"/>
    <w:rsid w:val="001D2A41"/>
    <w:rsid w:val="001D3795"/>
    <w:rsid w:val="001D4006"/>
    <w:rsid w:val="001D54BD"/>
    <w:rsid w:val="001D5C72"/>
    <w:rsid w:val="001D616F"/>
    <w:rsid w:val="001D626E"/>
    <w:rsid w:val="001D733B"/>
    <w:rsid w:val="001D73CF"/>
    <w:rsid w:val="001D7536"/>
    <w:rsid w:val="001D7E8C"/>
    <w:rsid w:val="001E04CD"/>
    <w:rsid w:val="001E0902"/>
    <w:rsid w:val="001E1801"/>
    <w:rsid w:val="001E1C73"/>
    <w:rsid w:val="001E1E05"/>
    <w:rsid w:val="001E20B7"/>
    <w:rsid w:val="001E2254"/>
    <w:rsid w:val="001E22D2"/>
    <w:rsid w:val="001E22DE"/>
    <w:rsid w:val="001E2343"/>
    <w:rsid w:val="001E3A17"/>
    <w:rsid w:val="001E3FCB"/>
    <w:rsid w:val="001E52DF"/>
    <w:rsid w:val="001E5500"/>
    <w:rsid w:val="001E65BD"/>
    <w:rsid w:val="001E6BCB"/>
    <w:rsid w:val="001E761F"/>
    <w:rsid w:val="001E774A"/>
    <w:rsid w:val="001E783B"/>
    <w:rsid w:val="001E7FBC"/>
    <w:rsid w:val="001F0822"/>
    <w:rsid w:val="001F08CB"/>
    <w:rsid w:val="001F105B"/>
    <w:rsid w:val="001F15F6"/>
    <w:rsid w:val="001F179C"/>
    <w:rsid w:val="001F24B7"/>
    <w:rsid w:val="001F2649"/>
    <w:rsid w:val="001F2DB5"/>
    <w:rsid w:val="001F2DC7"/>
    <w:rsid w:val="001F3496"/>
    <w:rsid w:val="001F41CA"/>
    <w:rsid w:val="001F4355"/>
    <w:rsid w:val="001F478E"/>
    <w:rsid w:val="001F4819"/>
    <w:rsid w:val="001F485F"/>
    <w:rsid w:val="001F48BD"/>
    <w:rsid w:val="001F4FAB"/>
    <w:rsid w:val="001F5034"/>
    <w:rsid w:val="001F61DE"/>
    <w:rsid w:val="001F63AA"/>
    <w:rsid w:val="001F69C8"/>
    <w:rsid w:val="001F7054"/>
    <w:rsid w:val="001F77E5"/>
    <w:rsid w:val="001F7DB7"/>
    <w:rsid w:val="002000AA"/>
    <w:rsid w:val="00201502"/>
    <w:rsid w:val="0020302A"/>
    <w:rsid w:val="0020324C"/>
    <w:rsid w:val="002032A0"/>
    <w:rsid w:val="00203532"/>
    <w:rsid w:val="00203AE0"/>
    <w:rsid w:val="00204106"/>
    <w:rsid w:val="00204109"/>
    <w:rsid w:val="0020503A"/>
    <w:rsid w:val="00205041"/>
    <w:rsid w:val="0020524C"/>
    <w:rsid w:val="002059E3"/>
    <w:rsid w:val="00206258"/>
    <w:rsid w:val="00207438"/>
    <w:rsid w:val="002100FF"/>
    <w:rsid w:val="00210543"/>
    <w:rsid w:val="00210B9B"/>
    <w:rsid w:val="0021102F"/>
    <w:rsid w:val="002118D1"/>
    <w:rsid w:val="00211DCE"/>
    <w:rsid w:val="0021229D"/>
    <w:rsid w:val="00212390"/>
    <w:rsid w:val="00212897"/>
    <w:rsid w:val="00212ACB"/>
    <w:rsid w:val="00213612"/>
    <w:rsid w:val="0021386A"/>
    <w:rsid w:val="00213C44"/>
    <w:rsid w:val="002147EE"/>
    <w:rsid w:val="00215516"/>
    <w:rsid w:val="002158DC"/>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935"/>
    <w:rsid w:val="00221C72"/>
    <w:rsid w:val="002223E1"/>
    <w:rsid w:val="002225AB"/>
    <w:rsid w:val="00222955"/>
    <w:rsid w:val="002231B0"/>
    <w:rsid w:val="002239B8"/>
    <w:rsid w:val="002250D1"/>
    <w:rsid w:val="00225AAD"/>
    <w:rsid w:val="002267D2"/>
    <w:rsid w:val="00227AD7"/>
    <w:rsid w:val="00230839"/>
    <w:rsid w:val="00230EE8"/>
    <w:rsid w:val="00231ADB"/>
    <w:rsid w:val="00232178"/>
    <w:rsid w:val="00232248"/>
    <w:rsid w:val="00232D12"/>
    <w:rsid w:val="0023353F"/>
    <w:rsid w:val="00233616"/>
    <w:rsid w:val="00233975"/>
    <w:rsid w:val="00233B8C"/>
    <w:rsid w:val="002353E3"/>
    <w:rsid w:val="00235CC0"/>
    <w:rsid w:val="00235F30"/>
    <w:rsid w:val="00236287"/>
    <w:rsid w:val="002363FF"/>
    <w:rsid w:val="00236D10"/>
    <w:rsid w:val="0023777E"/>
    <w:rsid w:val="002407CE"/>
    <w:rsid w:val="002410D2"/>
    <w:rsid w:val="00241A6E"/>
    <w:rsid w:val="00242325"/>
    <w:rsid w:val="002430FE"/>
    <w:rsid w:val="00243A38"/>
    <w:rsid w:val="0024474F"/>
    <w:rsid w:val="00244761"/>
    <w:rsid w:val="002450F2"/>
    <w:rsid w:val="00245716"/>
    <w:rsid w:val="00245B7F"/>
    <w:rsid w:val="00246383"/>
    <w:rsid w:val="002469C2"/>
    <w:rsid w:val="00247BDE"/>
    <w:rsid w:val="00247DE2"/>
    <w:rsid w:val="00247F35"/>
    <w:rsid w:val="002505DE"/>
    <w:rsid w:val="002514FA"/>
    <w:rsid w:val="00251DAF"/>
    <w:rsid w:val="00252503"/>
    <w:rsid w:val="0025265C"/>
    <w:rsid w:val="00252ED7"/>
    <w:rsid w:val="0025393C"/>
    <w:rsid w:val="002549E7"/>
    <w:rsid w:val="00254A7A"/>
    <w:rsid w:val="00254EA4"/>
    <w:rsid w:val="0025509C"/>
    <w:rsid w:val="002552F8"/>
    <w:rsid w:val="0025575F"/>
    <w:rsid w:val="002560FB"/>
    <w:rsid w:val="002571E3"/>
    <w:rsid w:val="002573DA"/>
    <w:rsid w:val="00260496"/>
    <w:rsid w:val="00260542"/>
    <w:rsid w:val="00260BAD"/>
    <w:rsid w:val="002612EA"/>
    <w:rsid w:val="0026224C"/>
    <w:rsid w:val="00264022"/>
    <w:rsid w:val="00264C7C"/>
    <w:rsid w:val="0026650F"/>
    <w:rsid w:val="00266DC3"/>
    <w:rsid w:val="0027029D"/>
    <w:rsid w:val="00270443"/>
    <w:rsid w:val="00270EE2"/>
    <w:rsid w:val="0027138C"/>
    <w:rsid w:val="0027165A"/>
    <w:rsid w:val="00272787"/>
    <w:rsid w:val="00272826"/>
    <w:rsid w:val="00272A7B"/>
    <w:rsid w:val="00272C44"/>
    <w:rsid w:val="00272E8C"/>
    <w:rsid w:val="00272F05"/>
    <w:rsid w:val="00273527"/>
    <w:rsid w:val="00273F6B"/>
    <w:rsid w:val="002747EF"/>
    <w:rsid w:val="00274B06"/>
    <w:rsid w:val="002751D6"/>
    <w:rsid w:val="002754D3"/>
    <w:rsid w:val="00276261"/>
    <w:rsid w:val="00276944"/>
    <w:rsid w:val="00276964"/>
    <w:rsid w:val="002769AE"/>
    <w:rsid w:val="00276CA7"/>
    <w:rsid w:val="0027737B"/>
    <w:rsid w:val="002816DD"/>
    <w:rsid w:val="002817A6"/>
    <w:rsid w:val="002821E8"/>
    <w:rsid w:val="00282B86"/>
    <w:rsid w:val="00282F1D"/>
    <w:rsid w:val="00283215"/>
    <w:rsid w:val="00283294"/>
    <w:rsid w:val="00283369"/>
    <w:rsid w:val="002833F3"/>
    <w:rsid w:val="00284203"/>
    <w:rsid w:val="0028512A"/>
    <w:rsid w:val="00285237"/>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CB7"/>
    <w:rsid w:val="00292E91"/>
    <w:rsid w:val="002930AD"/>
    <w:rsid w:val="00293254"/>
    <w:rsid w:val="00295002"/>
    <w:rsid w:val="0029568E"/>
    <w:rsid w:val="00295E8C"/>
    <w:rsid w:val="002971C7"/>
    <w:rsid w:val="002971F2"/>
    <w:rsid w:val="00297785"/>
    <w:rsid w:val="00297E05"/>
    <w:rsid w:val="002A0444"/>
    <w:rsid w:val="002A0BEB"/>
    <w:rsid w:val="002A0F8D"/>
    <w:rsid w:val="002A1311"/>
    <w:rsid w:val="002A1377"/>
    <w:rsid w:val="002A1F89"/>
    <w:rsid w:val="002A211A"/>
    <w:rsid w:val="002A264B"/>
    <w:rsid w:val="002A4A82"/>
    <w:rsid w:val="002A4B33"/>
    <w:rsid w:val="002A4C00"/>
    <w:rsid w:val="002A5311"/>
    <w:rsid w:val="002A5863"/>
    <w:rsid w:val="002A6E9B"/>
    <w:rsid w:val="002A6FBB"/>
    <w:rsid w:val="002B05D1"/>
    <w:rsid w:val="002B09F5"/>
    <w:rsid w:val="002B0DE1"/>
    <w:rsid w:val="002B18C7"/>
    <w:rsid w:val="002B1933"/>
    <w:rsid w:val="002B20BD"/>
    <w:rsid w:val="002B22DB"/>
    <w:rsid w:val="002B2611"/>
    <w:rsid w:val="002B27D8"/>
    <w:rsid w:val="002B35B9"/>
    <w:rsid w:val="002B38D2"/>
    <w:rsid w:val="002B3A46"/>
    <w:rsid w:val="002B3F1C"/>
    <w:rsid w:val="002B3F60"/>
    <w:rsid w:val="002B401B"/>
    <w:rsid w:val="002B48C5"/>
    <w:rsid w:val="002B4ED9"/>
    <w:rsid w:val="002B4EF4"/>
    <w:rsid w:val="002B4F53"/>
    <w:rsid w:val="002B5007"/>
    <w:rsid w:val="002B51BB"/>
    <w:rsid w:val="002B58C5"/>
    <w:rsid w:val="002B654E"/>
    <w:rsid w:val="002B6C1F"/>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3799"/>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630"/>
    <w:rsid w:val="002D38D9"/>
    <w:rsid w:val="002D3CE3"/>
    <w:rsid w:val="002D3DBE"/>
    <w:rsid w:val="002D4298"/>
    <w:rsid w:val="002D47E8"/>
    <w:rsid w:val="002D4FCC"/>
    <w:rsid w:val="002D5FD5"/>
    <w:rsid w:val="002D68F4"/>
    <w:rsid w:val="002D7125"/>
    <w:rsid w:val="002D7395"/>
    <w:rsid w:val="002D7417"/>
    <w:rsid w:val="002D782B"/>
    <w:rsid w:val="002E0D9C"/>
    <w:rsid w:val="002E1247"/>
    <w:rsid w:val="002E26E8"/>
    <w:rsid w:val="002E33A6"/>
    <w:rsid w:val="002E3DD8"/>
    <w:rsid w:val="002E3ED8"/>
    <w:rsid w:val="002E556D"/>
    <w:rsid w:val="002E5A01"/>
    <w:rsid w:val="002E5AF4"/>
    <w:rsid w:val="002E5EA3"/>
    <w:rsid w:val="002E717C"/>
    <w:rsid w:val="002E7533"/>
    <w:rsid w:val="002E7A61"/>
    <w:rsid w:val="002F00B8"/>
    <w:rsid w:val="002F0106"/>
    <w:rsid w:val="002F02C2"/>
    <w:rsid w:val="002F03C8"/>
    <w:rsid w:val="002F188D"/>
    <w:rsid w:val="002F18A5"/>
    <w:rsid w:val="002F26F3"/>
    <w:rsid w:val="002F317F"/>
    <w:rsid w:val="002F3FE7"/>
    <w:rsid w:val="002F51A2"/>
    <w:rsid w:val="002F5BA8"/>
    <w:rsid w:val="002F5E95"/>
    <w:rsid w:val="002F5F68"/>
    <w:rsid w:val="002F6367"/>
    <w:rsid w:val="002F63CA"/>
    <w:rsid w:val="002F67B4"/>
    <w:rsid w:val="002F6F73"/>
    <w:rsid w:val="002F7AA9"/>
    <w:rsid w:val="00300414"/>
    <w:rsid w:val="003004E3"/>
    <w:rsid w:val="00300FF1"/>
    <w:rsid w:val="003010FF"/>
    <w:rsid w:val="00301C0D"/>
    <w:rsid w:val="00301D7B"/>
    <w:rsid w:val="00301E19"/>
    <w:rsid w:val="003023DE"/>
    <w:rsid w:val="00302998"/>
    <w:rsid w:val="00303DC4"/>
    <w:rsid w:val="00304676"/>
    <w:rsid w:val="00306BE7"/>
    <w:rsid w:val="00306D4A"/>
    <w:rsid w:val="00307F1A"/>
    <w:rsid w:val="00307F40"/>
    <w:rsid w:val="003110A2"/>
    <w:rsid w:val="00311655"/>
    <w:rsid w:val="00311B66"/>
    <w:rsid w:val="00311F29"/>
    <w:rsid w:val="00312518"/>
    <w:rsid w:val="00313432"/>
    <w:rsid w:val="00314036"/>
    <w:rsid w:val="003142CC"/>
    <w:rsid w:val="00314347"/>
    <w:rsid w:val="00314C4F"/>
    <w:rsid w:val="00314FAF"/>
    <w:rsid w:val="003162A5"/>
    <w:rsid w:val="00316591"/>
    <w:rsid w:val="00317C91"/>
    <w:rsid w:val="00320553"/>
    <w:rsid w:val="00320C6D"/>
    <w:rsid w:val="003213A8"/>
    <w:rsid w:val="00321FA8"/>
    <w:rsid w:val="00321FE5"/>
    <w:rsid w:val="00321FFD"/>
    <w:rsid w:val="003225AD"/>
    <w:rsid w:val="00322E18"/>
    <w:rsid w:val="00323C3D"/>
    <w:rsid w:val="00323D1D"/>
    <w:rsid w:val="00323F8A"/>
    <w:rsid w:val="00324752"/>
    <w:rsid w:val="00324D73"/>
    <w:rsid w:val="00326011"/>
    <w:rsid w:val="0032643D"/>
    <w:rsid w:val="00326D02"/>
    <w:rsid w:val="00327069"/>
    <w:rsid w:val="00327812"/>
    <w:rsid w:val="00327AFB"/>
    <w:rsid w:val="00327BAF"/>
    <w:rsid w:val="00327D10"/>
    <w:rsid w:val="00331894"/>
    <w:rsid w:val="00331FA5"/>
    <w:rsid w:val="00332CB8"/>
    <w:rsid w:val="00333428"/>
    <w:rsid w:val="00334784"/>
    <w:rsid w:val="003350B6"/>
    <w:rsid w:val="0033595E"/>
    <w:rsid w:val="0033601B"/>
    <w:rsid w:val="003364B6"/>
    <w:rsid w:val="0033764C"/>
    <w:rsid w:val="00337DF3"/>
    <w:rsid w:val="00337F8E"/>
    <w:rsid w:val="00340039"/>
    <w:rsid w:val="003400D3"/>
    <w:rsid w:val="0034024F"/>
    <w:rsid w:val="00340A77"/>
    <w:rsid w:val="00340D39"/>
    <w:rsid w:val="00340DFB"/>
    <w:rsid w:val="00341787"/>
    <w:rsid w:val="00341941"/>
    <w:rsid w:val="0034207A"/>
    <w:rsid w:val="0034278F"/>
    <w:rsid w:val="0034281F"/>
    <w:rsid w:val="00343B47"/>
    <w:rsid w:val="00343F24"/>
    <w:rsid w:val="0034404F"/>
    <w:rsid w:val="00344ACC"/>
    <w:rsid w:val="00345F01"/>
    <w:rsid w:val="0034654F"/>
    <w:rsid w:val="00346762"/>
    <w:rsid w:val="00346B28"/>
    <w:rsid w:val="003475E1"/>
    <w:rsid w:val="00347685"/>
    <w:rsid w:val="00350575"/>
    <w:rsid w:val="003509A5"/>
    <w:rsid w:val="003515FD"/>
    <w:rsid w:val="003518A4"/>
    <w:rsid w:val="00351E21"/>
    <w:rsid w:val="00352327"/>
    <w:rsid w:val="003526A9"/>
    <w:rsid w:val="00354062"/>
    <w:rsid w:val="00354405"/>
    <w:rsid w:val="00354752"/>
    <w:rsid w:val="0035505D"/>
    <w:rsid w:val="00355779"/>
    <w:rsid w:val="00355A76"/>
    <w:rsid w:val="00355DEC"/>
    <w:rsid w:val="0035635F"/>
    <w:rsid w:val="003564B1"/>
    <w:rsid w:val="00356E0F"/>
    <w:rsid w:val="0035700C"/>
    <w:rsid w:val="003607C1"/>
    <w:rsid w:val="003607EE"/>
    <w:rsid w:val="00360BC8"/>
    <w:rsid w:val="00360E35"/>
    <w:rsid w:val="00361106"/>
    <w:rsid w:val="003617AE"/>
    <w:rsid w:val="00361F64"/>
    <w:rsid w:val="0036215C"/>
    <w:rsid w:val="003630F7"/>
    <w:rsid w:val="0036332B"/>
    <w:rsid w:val="00363589"/>
    <w:rsid w:val="00363636"/>
    <w:rsid w:val="0036498F"/>
    <w:rsid w:val="00364F0A"/>
    <w:rsid w:val="003651AC"/>
    <w:rsid w:val="003653AA"/>
    <w:rsid w:val="00366120"/>
    <w:rsid w:val="003661FF"/>
    <w:rsid w:val="003665A5"/>
    <w:rsid w:val="00366900"/>
    <w:rsid w:val="00366A0C"/>
    <w:rsid w:val="00367238"/>
    <w:rsid w:val="00367462"/>
    <w:rsid w:val="003677D5"/>
    <w:rsid w:val="0037034B"/>
    <w:rsid w:val="00370507"/>
    <w:rsid w:val="00370682"/>
    <w:rsid w:val="00370F0B"/>
    <w:rsid w:val="003718D8"/>
    <w:rsid w:val="00372A01"/>
    <w:rsid w:val="00372ADC"/>
    <w:rsid w:val="00372B87"/>
    <w:rsid w:val="00372C82"/>
    <w:rsid w:val="00372CFC"/>
    <w:rsid w:val="003733DF"/>
    <w:rsid w:val="00373865"/>
    <w:rsid w:val="003739DA"/>
    <w:rsid w:val="00373CE8"/>
    <w:rsid w:val="00374DB0"/>
    <w:rsid w:val="003751C7"/>
    <w:rsid w:val="00375C84"/>
    <w:rsid w:val="00376524"/>
    <w:rsid w:val="003769DE"/>
    <w:rsid w:val="00376E3B"/>
    <w:rsid w:val="003770C7"/>
    <w:rsid w:val="003776FE"/>
    <w:rsid w:val="00380424"/>
    <w:rsid w:val="00380868"/>
    <w:rsid w:val="00380B9B"/>
    <w:rsid w:val="003818B3"/>
    <w:rsid w:val="003819F5"/>
    <w:rsid w:val="00381A52"/>
    <w:rsid w:val="00381B57"/>
    <w:rsid w:val="00381D47"/>
    <w:rsid w:val="003821CC"/>
    <w:rsid w:val="003835F0"/>
    <w:rsid w:val="00384296"/>
    <w:rsid w:val="003853B1"/>
    <w:rsid w:val="003853ED"/>
    <w:rsid w:val="0038628F"/>
    <w:rsid w:val="00386421"/>
    <w:rsid w:val="0038704C"/>
    <w:rsid w:val="00387AA1"/>
    <w:rsid w:val="0039082A"/>
    <w:rsid w:val="0039101F"/>
    <w:rsid w:val="00392EDB"/>
    <w:rsid w:val="00392FAE"/>
    <w:rsid w:val="003931AA"/>
    <w:rsid w:val="00393EEE"/>
    <w:rsid w:val="003941C0"/>
    <w:rsid w:val="00394D45"/>
    <w:rsid w:val="00395132"/>
    <w:rsid w:val="00395D99"/>
    <w:rsid w:val="00396682"/>
    <w:rsid w:val="003968DF"/>
    <w:rsid w:val="003976C3"/>
    <w:rsid w:val="00397A03"/>
    <w:rsid w:val="00397A64"/>
    <w:rsid w:val="003A010B"/>
    <w:rsid w:val="003A099A"/>
    <w:rsid w:val="003A1372"/>
    <w:rsid w:val="003A15DE"/>
    <w:rsid w:val="003A1D46"/>
    <w:rsid w:val="003A2447"/>
    <w:rsid w:val="003A2B82"/>
    <w:rsid w:val="003A36D3"/>
    <w:rsid w:val="003A3927"/>
    <w:rsid w:val="003A3D2E"/>
    <w:rsid w:val="003A3F75"/>
    <w:rsid w:val="003A3FF7"/>
    <w:rsid w:val="003A43D1"/>
    <w:rsid w:val="003A6A2B"/>
    <w:rsid w:val="003A6A51"/>
    <w:rsid w:val="003A6E29"/>
    <w:rsid w:val="003A7FEA"/>
    <w:rsid w:val="003B0464"/>
    <w:rsid w:val="003B0BDB"/>
    <w:rsid w:val="003B0E88"/>
    <w:rsid w:val="003B106E"/>
    <w:rsid w:val="003B153F"/>
    <w:rsid w:val="003B17B0"/>
    <w:rsid w:val="003B1844"/>
    <w:rsid w:val="003B1A5C"/>
    <w:rsid w:val="003B211E"/>
    <w:rsid w:val="003B24EA"/>
    <w:rsid w:val="003B2DA7"/>
    <w:rsid w:val="003B348A"/>
    <w:rsid w:val="003B3993"/>
    <w:rsid w:val="003B3AB7"/>
    <w:rsid w:val="003B3ABC"/>
    <w:rsid w:val="003B3CDD"/>
    <w:rsid w:val="003B3D8E"/>
    <w:rsid w:val="003B3FED"/>
    <w:rsid w:val="003B3FF1"/>
    <w:rsid w:val="003B4217"/>
    <w:rsid w:val="003B59A1"/>
    <w:rsid w:val="003B6D11"/>
    <w:rsid w:val="003B74F1"/>
    <w:rsid w:val="003B7541"/>
    <w:rsid w:val="003B783F"/>
    <w:rsid w:val="003B7966"/>
    <w:rsid w:val="003B7F07"/>
    <w:rsid w:val="003B7FCE"/>
    <w:rsid w:val="003C067C"/>
    <w:rsid w:val="003C0F87"/>
    <w:rsid w:val="003C1113"/>
    <w:rsid w:val="003C141E"/>
    <w:rsid w:val="003C1B83"/>
    <w:rsid w:val="003C210E"/>
    <w:rsid w:val="003C2186"/>
    <w:rsid w:val="003C21B3"/>
    <w:rsid w:val="003C30AD"/>
    <w:rsid w:val="003C3503"/>
    <w:rsid w:val="003C3A13"/>
    <w:rsid w:val="003C40DE"/>
    <w:rsid w:val="003C4851"/>
    <w:rsid w:val="003C4C96"/>
    <w:rsid w:val="003C55E0"/>
    <w:rsid w:val="003C5E39"/>
    <w:rsid w:val="003C683A"/>
    <w:rsid w:val="003D0079"/>
    <w:rsid w:val="003D017D"/>
    <w:rsid w:val="003D04D6"/>
    <w:rsid w:val="003D10EC"/>
    <w:rsid w:val="003D1901"/>
    <w:rsid w:val="003D28DE"/>
    <w:rsid w:val="003D29B9"/>
    <w:rsid w:val="003D3500"/>
    <w:rsid w:val="003D37B6"/>
    <w:rsid w:val="003D3C68"/>
    <w:rsid w:val="003D450D"/>
    <w:rsid w:val="003D4BA9"/>
    <w:rsid w:val="003D4F8F"/>
    <w:rsid w:val="003D503A"/>
    <w:rsid w:val="003D6505"/>
    <w:rsid w:val="003D71A6"/>
    <w:rsid w:val="003D7709"/>
    <w:rsid w:val="003E004C"/>
    <w:rsid w:val="003E0BAF"/>
    <w:rsid w:val="003E0E25"/>
    <w:rsid w:val="003E1409"/>
    <w:rsid w:val="003E14AC"/>
    <w:rsid w:val="003E16F2"/>
    <w:rsid w:val="003E2195"/>
    <w:rsid w:val="003E241A"/>
    <w:rsid w:val="003E36A5"/>
    <w:rsid w:val="003E42BC"/>
    <w:rsid w:val="003E4A52"/>
    <w:rsid w:val="003E5CBA"/>
    <w:rsid w:val="003E782F"/>
    <w:rsid w:val="003E78A9"/>
    <w:rsid w:val="003E7912"/>
    <w:rsid w:val="003F04A3"/>
    <w:rsid w:val="003F04E6"/>
    <w:rsid w:val="003F097C"/>
    <w:rsid w:val="003F163F"/>
    <w:rsid w:val="003F2164"/>
    <w:rsid w:val="003F229A"/>
    <w:rsid w:val="003F2CDD"/>
    <w:rsid w:val="003F3FB3"/>
    <w:rsid w:val="003F45D7"/>
    <w:rsid w:val="003F4C1B"/>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3F02"/>
    <w:rsid w:val="004041BA"/>
    <w:rsid w:val="00404592"/>
    <w:rsid w:val="0040496E"/>
    <w:rsid w:val="00404B58"/>
    <w:rsid w:val="00404BD2"/>
    <w:rsid w:val="0040544F"/>
    <w:rsid w:val="00405537"/>
    <w:rsid w:val="0040597C"/>
    <w:rsid w:val="0040625C"/>
    <w:rsid w:val="004069D2"/>
    <w:rsid w:val="004076FF"/>
    <w:rsid w:val="00411B17"/>
    <w:rsid w:val="00411B3A"/>
    <w:rsid w:val="00411FFF"/>
    <w:rsid w:val="0041222D"/>
    <w:rsid w:val="004124F2"/>
    <w:rsid w:val="00412C2A"/>
    <w:rsid w:val="00412E6F"/>
    <w:rsid w:val="00413C5C"/>
    <w:rsid w:val="00413DB2"/>
    <w:rsid w:val="0041413F"/>
    <w:rsid w:val="0041567A"/>
    <w:rsid w:val="00415BAB"/>
    <w:rsid w:val="00415BCF"/>
    <w:rsid w:val="00416297"/>
    <w:rsid w:val="00417083"/>
    <w:rsid w:val="0041736F"/>
    <w:rsid w:val="00417E36"/>
    <w:rsid w:val="0042057C"/>
    <w:rsid w:val="00420BDF"/>
    <w:rsid w:val="00421608"/>
    <w:rsid w:val="00421849"/>
    <w:rsid w:val="00421C23"/>
    <w:rsid w:val="0042261E"/>
    <w:rsid w:val="00422749"/>
    <w:rsid w:val="004228F2"/>
    <w:rsid w:val="004233DC"/>
    <w:rsid w:val="00424888"/>
    <w:rsid w:val="004255D9"/>
    <w:rsid w:val="00425763"/>
    <w:rsid w:val="00425C3C"/>
    <w:rsid w:val="00425F29"/>
    <w:rsid w:val="0042605B"/>
    <w:rsid w:val="004261FD"/>
    <w:rsid w:val="00426B69"/>
    <w:rsid w:val="00426F8D"/>
    <w:rsid w:val="00427D1B"/>
    <w:rsid w:val="00427E40"/>
    <w:rsid w:val="004306AB"/>
    <w:rsid w:val="0043159D"/>
    <w:rsid w:val="0043171D"/>
    <w:rsid w:val="0043263C"/>
    <w:rsid w:val="00432AC3"/>
    <w:rsid w:val="00432F78"/>
    <w:rsid w:val="004334A2"/>
    <w:rsid w:val="004335BC"/>
    <w:rsid w:val="00433972"/>
    <w:rsid w:val="004339E6"/>
    <w:rsid w:val="00433DA5"/>
    <w:rsid w:val="00434723"/>
    <w:rsid w:val="00434729"/>
    <w:rsid w:val="0043499E"/>
    <w:rsid w:val="00434FEA"/>
    <w:rsid w:val="0043617B"/>
    <w:rsid w:val="00437D17"/>
    <w:rsid w:val="00437D2F"/>
    <w:rsid w:val="0044046D"/>
    <w:rsid w:val="00440DEC"/>
    <w:rsid w:val="004410D3"/>
    <w:rsid w:val="00441A5B"/>
    <w:rsid w:val="00441DAF"/>
    <w:rsid w:val="0044270D"/>
    <w:rsid w:val="00442E8C"/>
    <w:rsid w:val="0044312A"/>
    <w:rsid w:val="00443310"/>
    <w:rsid w:val="004435D5"/>
    <w:rsid w:val="00443A34"/>
    <w:rsid w:val="00443D38"/>
    <w:rsid w:val="00444140"/>
    <w:rsid w:val="00444BF5"/>
    <w:rsid w:val="00444F43"/>
    <w:rsid w:val="00447213"/>
    <w:rsid w:val="0044765A"/>
    <w:rsid w:val="00447C23"/>
    <w:rsid w:val="00450625"/>
    <w:rsid w:val="00450744"/>
    <w:rsid w:val="00450BE7"/>
    <w:rsid w:val="00450FE8"/>
    <w:rsid w:val="004518D0"/>
    <w:rsid w:val="0045213A"/>
    <w:rsid w:val="0045227C"/>
    <w:rsid w:val="0045230E"/>
    <w:rsid w:val="00452553"/>
    <w:rsid w:val="004528FA"/>
    <w:rsid w:val="00452D67"/>
    <w:rsid w:val="00452E53"/>
    <w:rsid w:val="0045418C"/>
    <w:rsid w:val="004542C6"/>
    <w:rsid w:val="0045435F"/>
    <w:rsid w:val="00454EDC"/>
    <w:rsid w:val="00455B00"/>
    <w:rsid w:val="00455B97"/>
    <w:rsid w:val="00456635"/>
    <w:rsid w:val="00456BFD"/>
    <w:rsid w:val="004575D5"/>
    <w:rsid w:val="00457657"/>
    <w:rsid w:val="004600BF"/>
    <w:rsid w:val="004607D0"/>
    <w:rsid w:val="00460CE3"/>
    <w:rsid w:val="00460F25"/>
    <w:rsid w:val="0046116D"/>
    <w:rsid w:val="004612A4"/>
    <w:rsid w:val="0046153C"/>
    <w:rsid w:val="004624D2"/>
    <w:rsid w:val="004625C8"/>
    <w:rsid w:val="00462DCE"/>
    <w:rsid w:val="00464194"/>
    <w:rsid w:val="0046442A"/>
    <w:rsid w:val="00464BF1"/>
    <w:rsid w:val="00464CAF"/>
    <w:rsid w:val="00465D73"/>
    <w:rsid w:val="00466078"/>
    <w:rsid w:val="0046626B"/>
    <w:rsid w:val="00466967"/>
    <w:rsid w:val="004676E4"/>
    <w:rsid w:val="00467AFF"/>
    <w:rsid w:val="00470183"/>
    <w:rsid w:val="004708C9"/>
    <w:rsid w:val="00470C48"/>
    <w:rsid w:val="0047139F"/>
    <w:rsid w:val="00471429"/>
    <w:rsid w:val="0047153B"/>
    <w:rsid w:val="004722B1"/>
    <w:rsid w:val="00472312"/>
    <w:rsid w:val="00473A2B"/>
    <w:rsid w:val="00473A47"/>
    <w:rsid w:val="00473A4F"/>
    <w:rsid w:val="00473C0A"/>
    <w:rsid w:val="00473EEF"/>
    <w:rsid w:val="00474415"/>
    <w:rsid w:val="00474BC1"/>
    <w:rsid w:val="00475A46"/>
    <w:rsid w:val="004763EC"/>
    <w:rsid w:val="0047722F"/>
    <w:rsid w:val="00477459"/>
    <w:rsid w:val="00477CC9"/>
    <w:rsid w:val="0048026E"/>
    <w:rsid w:val="00480303"/>
    <w:rsid w:val="004804C3"/>
    <w:rsid w:val="004807A9"/>
    <w:rsid w:val="00480A8A"/>
    <w:rsid w:val="00480F76"/>
    <w:rsid w:val="004810A5"/>
    <w:rsid w:val="004810E0"/>
    <w:rsid w:val="00481318"/>
    <w:rsid w:val="00481363"/>
    <w:rsid w:val="004813EE"/>
    <w:rsid w:val="00481835"/>
    <w:rsid w:val="0048237F"/>
    <w:rsid w:val="00482CDC"/>
    <w:rsid w:val="00482FB0"/>
    <w:rsid w:val="00483B03"/>
    <w:rsid w:val="0048444C"/>
    <w:rsid w:val="00485058"/>
    <w:rsid w:val="00485702"/>
    <w:rsid w:val="00485C2D"/>
    <w:rsid w:val="004860F7"/>
    <w:rsid w:val="00486177"/>
    <w:rsid w:val="004862C2"/>
    <w:rsid w:val="004867EC"/>
    <w:rsid w:val="00486A37"/>
    <w:rsid w:val="00486DA6"/>
    <w:rsid w:val="00487662"/>
    <w:rsid w:val="004876C6"/>
    <w:rsid w:val="00487D7B"/>
    <w:rsid w:val="004905DF"/>
    <w:rsid w:val="00490F7A"/>
    <w:rsid w:val="00490FD5"/>
    <w:rsid w:val="00491241"/>
    <w:rsid w:val="00491813"/>
    <w:rsid w:val="00492B82"/>
    <w:rsid w:val="00493278"/>
    <w:rsid w:val="00493855"/>
    <w:rsid w:val="004951D8"/>
    <w:rsid w:val="004952C1"/>
    <w:rsid w:val="00497575"/>
    <w:rsid w:val="004A078B"/>
    <w:rsid w:val="004A12C0"/>
    <w:rsid w:val="004A169A"/>
    <w:rsid w:val="004A18C9"/>
    <w:rsid w:val="004A191A"/>
    <w:rsid w:val="004A1A70"/>
    <w:rsid w:val="004A2D5A"/>
    <w:rsid w:val="004A2E84"/>
    <w:rsid w:val="004A3988"/>
    <w:rsid w:val="004A4027"/>
    <w:rsid w:val="004A419E"/>
    <w:rsid w:val="004A43F0"/>
    <w:rsid w:val="004A4688"/>
    <w:rsid w:val="004A4776"/>
    <w:rsid w:val="004A4F72"/>
    <w:rsid w:val="004A5741"/>
    <w:rsid w:val="004A6463"/>
    <w:rsid w:val="004A6B58"/>
    <w:rsid w:val="004A6BA2"/>
    <w:rsid w:val="004A7D74"/>
    <w:rsid w:val="004B0364"/>
    <w:rsid w:val="004B06C3"/>
    <w:rsid w:val="004B0917"/>
    <w:rsid w:val="004B0B09"/>
    <w:rsid w:val="004B140F"/>
    <w:rsid w:val="004B14EB"/>
    <w:rsid w:val="004B21CF"/>
    <w:rsid w:val="004B2DE3"/>
    <w:rsid w:val="004B34DF"/>
    <w:rsid w:val="004B3FEA"/>
    <w:rsid w:val="004B44A9"/>
    <w:rsid w:val="004B4E68"/>
    <w:rsid w:val="004B53F1"/>
    <w:rsid w:val="004B5D6E"/>
    <w:rsid w:val="004B60BA"/>
    <w:rsid w:val="004B6946"/>
    <w:rsid w:val="004B6D89"/>
    <w:rsid w:val="004B6E81"/>
    <w:rsid w:val="004B7DE4"/>
    <w:rsid w:val="004C0FFE"/>
    <w:rsid w:val="004C136D"/>
    <w:rsid w:val="004C1619"/>
    <w:rsid w:val="004C177F"/>
    <w:rsid w:val="004C19E4"/>
    <w:rsid w:val="004C1B59"/>
    <w:rsid w:val="004C3C25"/>
    <w:rsid w:val="004C3CFC"/>
    <w:rsid w:val="004C3EEA"/>
    <w:rsid w:val="004C4D02"/>
    <w:rsid w:val="004C4EA2"/>
    <w:rsid w:val="004C596B"/>
    <w:rsid w:val="004C5E41"/>
    <w:rsid w:val="004C60E7"/>
    <w:rsid w:val="004C664D"/>
    <w:rsid w:val="004C7BDE"/>
    <w:rsid w:val="004D0090"/>
    <w:rsid w:val="004D020F"/>
    <w:rsid w:val="004D03D1"/>
    <w:rsid w:val="004D10B0"/>
    <w:rsid w:val="004D11AF"/>
    <w:rsid w:val="004D2E58"/>
    <w:rsid w:val="004D37D9"/>
    <w:rsid w:val="004D41A2"/>
    <w:rsid w:val="004D47F2"/>
    <w:rsid w:val="004D502C"/>
    <w:rsid w:val="004D5CEE"/>
    <w:rsid w:val="004D5FB2"/>
    <w:rsid w:val="004D60A3"/>
    <w:rsid w:val="004D6DC3"/>
    <w:rsid w:val="004D71CA"/>
    <w:rsid w:val="004D78B9"/>
    <w:rsid w:val="004E016A"/>
    <w:rsid w:val="004E0461"/>
    <w:rsid w:val="004E12E8"/>
    <w:rsid w:val="004E1CC8"/>
    <w:rsid w:val="004E2052"/>
    <w:rsid w:val="004E29B1"/>
    <w:rsid w:val="004E3F87"/>
    <w:rsid w:val="004E461B"/>
    <w:rsid w:val="004E477D"/>
    <w:rsid w:val="004E5890"/>
    <w:rsid w:val="004E79EF"/>
    <w:rsid w:val="004E7B33"/>
    <w:rsid w:val="004F0368"/>
    <w:rsid w:val="004F0D19"/>
    <w:rsid w:val="004F121B"/>
    <w:rsid w:val="004F140F"/>
    <w:rsid w:val="004F185F"/>
    <w:rsid w:val="004F2811"/>
    <w:rsid w:val="004F2F69"/>
    <w:rsid w:val="004F3326"/>
    <w:rsid w:val="004F4D22"/>
    <w:rsid w:val="004F590E"/>
    <w:rsid w:val="004F5966"/>
    <w:rsid w:val="004F6026"/>
    <w:rsid w:val="004F60F4"/>
    <w:rsid w:val="004F62E8"/>
    <w:rsid w:val="004F67C3"/>
    <w:rsid w:val="004F6C17"/>
    <w:rsid w:val="004F7390"/>
    <w:rsid w:val="004F78F8"/>
    <w:rsid w:val="005001A5"/>
    <w:rsid w:val="00500201"/>
    <w:rsid w:val="00500CCD"/>
    <w:rsid w:val="005019AA"/>
    <w:rsid w:val="00502008"/>
    <w:rsid w:val="00502075"/>
    <w:rsid w:val="005026B8"/>
    <w:rsid w:val="005028AF"/>
    <w:rsid w:val="005032E9"/>
    <w:rsid w:val="00503C3B"/>
    <w:rsid w:val="00503CE7"/>
    <w:rsid w:val="005040C9"/>
    <w:rsid w:val="005042DB"/>
    <w:rsid w:val="0050458E"/>
    <w:rsid w:val="00505928"/>
    <w:rsid w:val="00505CD6"/>
    <w:rsid w:val="005069B2"/>
    <w:rsid w:val="0050741A"/>
    <w:rsid w:val="00510452"/>
    <w:rsid w:val="005107BD"/>
    <w:rsid w:val="005108EC"/>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17667"/>
    <w:rsid w:val="00520482"/>
    <w:rsid w:val="00520BBA"/>
    <w:rsid w:val="00522185"/>
    <w:rsid w:val="005225AC"/>
    <w:rsid w:val="005226FA"/>
    <w:rsid w:val="005233F3"/>
    <w:rsid w:val="0052365C"/>
    <w:rsid w:val="005245D2"/>
    <w:rsid w:val="00524806"/>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2B9F"/>
    <w:rsid w:val="00543C9C"/>
    <w:rsid w:val="005442F1"/>
    <w:rsid w:val="00544A24"/>
    <w:rsid w:val="0054583C"/>
    <w:rsid w:val="00546227"/>
    <w:rsid w:val="005468E2"/>
    <w:rsid w:val="00546D83"/>
    <w:rsid w:val="00546FCC"/>
    <w:rsid w:val="00550113"/>
    <w:rsid w:val="0055019B"/>
    <w:rsid w:val="005504BE"/>
    <w:rsid w:val="0055082B"/>
    <w:rsid w:val="0055093A"/>
    <w:rsid w:val="00550F00"/>
    <w:rsid w:val="00551964"/>
    <w:rsid w:val="00551BDF"/>
    <w:rsid w:val="00551ED7"/>
    <w:rsid w:val="0055211C"/>
    <w:rsid w:val="0055263A"/>
    <w:rsid w:val="005526EE"/>
    <w:rsid w:val="00552B57"/>
    <w:rsid w:val="00552E53"/>
    <w:rsid w:val="00553E34"/>
    <w:rsid w:val="005547B7"/>
    <w:rsid w:val="00554D6D"/>
    <w:rsid w:val="005551E9"/>
    <w:rsid w:val="0055680D"/>
    <w:rsid w:val="00557670"/>
    <w:rsid w:val="00557C2D"/>
    <w:rsid w:val="00560094"/>
    <w:rsid w:val="0056054A"/>
    <w:rsid w:val="00560C62"/>
    <w:rsid w:val="00562A61"/>
    <w:rsid w:val="00562E78"/>
    <w:rsid w:val="005638A2"/>
    <w:rsid w:val="00563D60"/>
    <w:rsid w:val="00564E45"/>
    <w:rsid w:val="005652D5"/>
    <w:rsid w:val="005652FA"/>
    <w:rsid w:val="00565E52"/>
    <w:rsid w:val="00567227"/>
    <w:rsid w:val="00567CD0"/>
    <w:rsid w:val="00570C7B"/>
    <w:rsid w:val="00571C77"/>
    <w:rsid w:val="00572BCD"/>
    <w:rsid w:val="00572D5B"/>
    <w:rsid w:val="00574614"/>
    <w:rsid w:val="00574A70"/>
    <w:rsid w:val="00574D35"/>
    <w:rsid w:val="00575C75"/>
    <w:rsid w:val="00575CEA"/>
    <w:rsid w:val="005762CA"/>
    <w:rsid w:val="005770CF"/>
    <w:rsid w:val="00577904"/>
    <w:rsid w:val="00577922"/>
    <w:rsid w:val="00577AC3"/>
    <w:rsid w:val="00580577"/>
    <w:rsid w:val="00580E97"/>
    <w:rsid w:val="005815A8"/>
    <w:rsid w:val="00581915"/>
    <w:rsid w:val="0058284A"/>
    <w:rsid w:val="00583431"/>
    <w:rsid w:val="005835B0"/>
    <w:rsid w:val="005846C0"/>
    <w:rsid w:val="00584D04"/>
    <w:rsid w:val="005853F5"/>
    <w:rsid w:val="0058567E"/>
    <w:rsid w:val="00585DE1"/>
    <w:rsid w:val="0058659E"/>
    <w:rsid w:val="005869EE"/>
    <w:rsid w:val="005872DD"/>
    <w:rsid w:val="00587CF2"/>
    <w:rsid w:val="00587D3A"/>
    <w:rsid w:val="00590197"/>
    <w:rsid w:val="00590346"/>
    <w:rsid w:val="0059093F"/>
    <w:rsid w:val="00590BA2"/>
    <w:rsid w:val="00590CA7"/>
    <w:rsid w:val="00590E93"/>
    <w:rsid w:val="005915E1"/>
    <w:rsid w:val="0059177A"/>
    <w:rsid w:val="00591C75"/>
    <w:rsid w:val="00592D10"/>
    <w:rsid w:val="0059388B"/>
    <w:rsid w:val="00593A5F"/>
    <w:rsid w:val="0059404E"/>
    <w:rsid w:val="00594269"/>
    <w:rsid w:val="005950C2"/>
    <w:rsid w:val="00595539"/>
    <w:rsid w:val="00597108"/>
    <w:rsid w:val="005976DB"/>
    <w:rsid w:val="005A1A84"/>
    <w:rsid w:val="005A3E82"/>
    <w:rsid w:val="005A4287"/>
    <w:rsid w:val="005A482E"/>
    <w:rsid w:val="005A4DB0"/>
    <w:rsid w:val="005A5095"/>
    <w:rsid w:val="005A5597"/>
    <w:rsid w:val="005A57BF"/>
    <w:rsid w:val="005A6AC2"/>
    <w:rsid w:val="005A7A65"/>
    <w:rsid w:val="005A7B26"/>
    <w:rsid w:val="005A7B8E"/>
    <w:rsid w:val="005A7C10"/>
    <w:rsid w:val="005B012B"/>
    <w:rsid w:val="005B0C87"/>
    <w:rsid w:val="005B0FE9"/>
    <w:rsid w:val="005B2195"/>
    <w:rsid w:val="005B26C7"/>
    <w:rsid w:val="005B2D1F"/>
    <w:rsid w:val="005B2D65"/>
    <w:rsid w:val="005B3877"/>
    <w:rsid w:val="005B3AC8"/>
    <w:rsid w:val="005B3CC1"/>
    <w:rsid w:val="005B4002"/>
    <w:rsid w:val="005B45AB"/>
    <w:rsid w:val="005B46DF"/>
    <w:rsid w:val="005B4D8F"/>
    <w:rsid w:val="005B526C"/>
    <w:rsid w:val="005B541E"/>
    <w:rsid w:val="005B6551"/>
    <w:rsid w:val="005B71A8"/>
    <w:rsid w:val="005B744B"/>
    <w:rsid w:val="005C0A6F"/>
    <w:rsid w:val="005C0FA7"/>
    <w:rsid w:val="005C155F"/>
    <w:rsid w:val="005C1C0E"/>
    <w:rsid w:val="005C1FF5"/>
    <w:rsid w:val="005C259E"/>
    <w:rsid w:val="005C36E2"/>
    <w:rsid w:val="005C3E9E"/>
    <w:rsid w:val="005C400C"/>
    <w:rsid w:val="005C410C"/>
    <w:rsid w:val="005C4BF1"/>
    <w:rsid w:val="005C4BF2"/>
    <w:rsid w:val="005C52D4"/>
    <w:rsid w:val="005C5624"/>
    <w:rsid w:val="005C5967"/>
    <w:rsid w:val="005C5BED"/>
    <w:rsid w:val="005C5D86"/>
    <w:rsid w:val="005C6167"/>
    <w:rsid w:val="005C6ADB"/>
    <w:rsid w:val="005C6EE2"/>
    <w:rsid w:val="005C74DC"/>
    <w:rsid w:val="005C7A07"/>
    <w:rsid w:val="005C7DDC"/>
    <w:rsid w:val="005C7F7C"/>
    <w:rsid w:val="005D0BAD"/>
    <w:rsid w:val="005D0C0A"/>
    <w:rsid w:val="005D107D"/>
    <w:rsid w:val="005D123A"/>
    <w:rsid w:val="005D2506"/>
    <w:rsid w:val="005D2BB5"/>
    <w:rsid w:val="005D3677"/>
    <w:rsid w:val="005D3A10"/>
    <w:rsid w:val="005D42B7"/>
    <w:rsid w:val="005D4E4C"/>
    <w:rsid w:val="005D57A3"/>
    <w:rsid w:val="005D5B5E"/>
    <w:rsid w:val="005D5C85"/>
    <w:rsid w:val="005D5CA0"/>
    <w:rsid w:val="005D5F27"/>
    <w:rsid w:val="005D69AB"/>
    <w:rsid w:val="005D72FC"/>
    <w:rsid w:val="005D7DFC"/>
    <w:rsid w:val="005E035A"/>
    <w:rsid w:val="005E0464"/>
    <w:rsid w:val="005E0681"/>
    <w:rsid w:val="005E1143"/>
    <w:rsid w:val="005E1218"/>
    <w:rsid w:val="005E18EC"/>
    <w:rsid w:val="005E1A55"/>
    <w:rsid w:val="005E1B6B"/>
    <w:rsid w:val="005E1F61"/>
    <w:rsid w:val="005E2127"/>
    <w:rsid w:val="005E2281"/>
    <w:rsid w:val="005E236C"/>
    <w:rsid w:val="005E2FAE"/>
    <w:rsid w:val="005E32C9"/>
    <w:rsid w:val="005E351B"/>
    <w:rsid w:val="005E38A8"/>
    <w:rsid w:val="005E39F9"/>
    <w:rsid w:val="005E3D9B"/>
    <w:rsid w:val="005E44B6"/>
    <w:rsid w:val="005E4828"/>
    <w:rsid w:val="005E4887"/>
    <w:rsid w:val="005E5016"/>
    <w:rsid w:val="005E5231"/>
    <w:rsid w:val="005E55BB"/>
    <w:rsid w:val="005E5D11"/>
    <w:rsid w:val="005E667C"/>
    <w:rsid w:val="005E68BC"/>
    <w:rsid w:val="005E6A1D"/>
    <w:rsid w:val="005E6F12"/>
    <w:rsid w:val="005E733E"/>
    <w:rsid w:val="005E7428"/>
    <w:rsid w:val="005F0694"/>
    <w:rsid w:val="005F06E1"/>
    <w:rsid w:val="005F077C"/>
    <w:rsid w:val="005F0B88"/>
    <w:rsid w:val="005F1735"/>
    <w:rsid w:val="005F187E"/>
    <w:rsid w:val="005F252A"/>
    <w:rsid w:val="005F367B"/>
    <w:rsid w:val="005F3CC3"/>
    <w:rsid w:val="005F3CE8"/>
    <w:rsid w:val="005F4F41"/>
    <w:rsid w:val="005F4F70"/>
    <w:rsid w:val="005F566D"/>
    <w:rsid w:val="005F648F"/>
    <w:rsid w:val="005F68C3"/>
    <w:rsid w:val="005F7D87"/>
    <w:rsid w:val="00601794"/>
    <w:rsid w:val="00601E94"/>
    <w:rsid w:val="006021B1"/>
    <w:rsid w:val="006029A7"/>
    <w:rsid w:val="00602F40"/>
    <w:rsid w:val="006037C5"/>
    <w:rsid w:val="00603CC8"/>
    <w:rsid w:val="006040CE"/>
    <w:rsid w:val="0060467D"/>
    <w:rsid w:val="00604DF3"/>
    <w:rsid w:val="0060585E"/>
    <w:rsid w:val="00605B4D"/>
    <w:rsid w:val="00605B9D"/>
    <w:rsid w:val="00606213"/>
    <w:rsid w:val="00606B57"/>
    <w:rsid w:val="00606B85"/>
    <w:rsid w:val="00607390"/>
    <w:rsid w:val="006076D8"/>
    <w:rsid w:val="00607C43"/>
    <w:rsid w:val="00607E6D"/>
    <w:rsid w:val="00610490"/>
    <w:rsid w:val="0061061D"/>
    <w:rsid w:val="00610B97"/>
    <w:rsid w:val="00611708"/>
    <w:rsid w:val="00611816"/>
    <w:rsid w:val="00611A3B"/>
    <w:rsid w:val="006120CA"/>
    <w:rsid w:val="00612389"/>
    <w:rsid w:val="00612570"/>
    <w:rsid w:val="006127BD"/>
    <w:rsid w:val="00612871"/>
    <w:rsid w:val="00612929"/>
    <w:rsid w:val="006129DD"/>
    <w:rsid w:val="00612A44"/>
    <w:rsid w:val="00612A8E"/>
    <w:rsid w:val="00613098"/>
    <w:rsid w:val="0061348F"/>
    <w:rsid w:val="006134D9"/>
    <w:rsid w:val="006135DA"/>
    <w:rsid w:val="00613BDC"/>
    <w:rsid w:val="00613F64"/>
    <w:rsid w:val="00614921"/>
    <w:rsid w:val="00615564"/>
    <w:rsid w:val="006155E2"/>
    <w:rsid w:val="00615ECA"/>
    <w:rsid w:val="00615F26"/>
    <w:rsid w:val="00616974"/>
    <w:rsid w:val="00616CCC"/>
    <w:rsid w:val="00617A81"/>
    <w:rsid w:val="00617C11"/>
    <w:rsid w:val="00617DEC"/>
    <w:rsid w:val="00617EEC"/>
    <w:rsid w:val="00620542"/>
    <w:rsid w:val="00620573"/>
    <w:rsid w:val="00620579"/>
    <w:rsid w:val="006208AA"/>
    <w:rsid w:val="0062128D"/>
    <w:rsid w:val="00621C96"/>
    <w:rsid w:val="00622161"/>
    <w:rsid w:val="0062228D"/>
    <w:rsid w:val="006224D1"/>
    <w:rsid w:val="0062258F"/>
    <w:rsid w:val="00622732"/>
    <w:rsid w:val="00622E6D"/>
    <w:rsid w:val="00623BC7"/>
    <w:rsid w:val="00623E70"/>
    <w:rsid w:val="006241D0"/>
    <w:rsid w:val="00624425"/>
    <w:rsid w:val="00624665"/>
    <w:rsid w:val="00624B06"/>
    <w:rsid w:val="00625434"/>
    <w:rsid w:val="0062576B"/>
    <w:rsid w:val="00625C5F"/>
    <w:rsid w:val="00625FF2"/>
    <w:rsid w:val="00626032"/>
    <w:rsid w:val="0062719D"/>
    <w:rsid w:val="00627643"/>
    <w:rsid w:val="00627788"/>
    <w:rsid w:val="006300CD"/>
    <w:rsid w:val="0063017E"/>
    <w:rsid w:val="00630723"/>
    <w:rsid w:val="00630EAE"/>
    <w:rsid w:val="006312D0"/>
    <w:rsid w:val="00631866"/>
    <w:rsid w:val="006318A4"/>
    <w:rsid w:val="00631A11"/>
    <w:rsid w:val="00631D4F"/>
    <w:rsid w:val="006321B6"/>
    <w:rsid w:val="006327C6"/>
    <w:rsid w:val="00633496"/>
    <w:rsid w:val="006338D2"/>
    <w:rsid w:val="00633F92"/>
    <w:rsid w:val="0063435E"/>
    <w:rsid w:val="00634CB2"/>
    <w:rsid w:val="0063571A"/>
    <w:rsid w:val="006357E2"/>
    <w:rsid w:val="00635923"/>
    <w:rsid w:val="00635FD8"/>
    <w:rsid w:val="00636651"/>
    <w:rsid w:val="006368E4"/>
    <w:rsid w:val="006369C3"/>
    <w:rsid w:val="00636A1C"/>
    <w:rsid w:val="00636F7B"/>
    <w:rsid w:val="00637784"/>
    <w:rsid w:val="00640140"/>
    <w:rsid w:val="0064019C"/>
    <w:rsid w:val="00640288"/>
    <w:rsid w:val="006405AC"/>
    <w:rsid w:val="0064099D"/>
    <w:rsid w:val="00640E9A"/>
    <w:rsid w:val="006412CD"/>
    <w:rsid w:val="006413D8"/>
    <w:rsid w:val="00641420"/>
    <w:rsid w:val="00641610"/>
    <w:rsid w:val="00641B7B"/>
    <w:rsid w:val="00641C55"/>
    <w:rsid w:val="00642405"/>
    <w:rsid w:val="00642645"/>
    <w:rsid w:val="006437E8"/>
    <w:rsid w:val="006438E0"/>
    <w:rsid w:val="006443D6"/>
    <w:rsid w:val="00644BED"/>
    <w:rsid w:val="00644F27"/>
    <w:rsid w:val="006453C4"/>
    <w:rsid w:val="006455CB"/>
    <w:rsid w:val="00646FD5"/>
    <w:rsid w:val="006472F8"/>
    <w:rsid w:val="00647680"/>
    <w:rsid w:val="00647743"/>
    <w:rsid w:val="00647CE0"/>
    <w:rsid w:val="0065069B"/>
    <w:rsid w:val="006510C0"/>
    <w:rsid w:val="00651DC7"/>
    <w:rsid w:val="00652092"/>
    <w:rsid w:val="00652472"/>
    <w:rsid w:val="00652A5F"/>
    <w:rsid w:val="00652F31"/>
    <w:rsid w:val="006535E5"/>
    <w:rsid w:val="0065394E"/>
    <w:rsid w:val="00653B2B"/>
    <w:rsid w:val="00653B38"/>
    <w:rsid w:val="00654D37"/>
    <w:rsid w:val="00654F06"/>
    <w:rsid w:val="00656385"/>
    <w:rsid w:val="00656F19"/>
    <w:rsid w:val="00657274"/>
    <w:rsid w:val="00657BB7"/>
    <w:rsid w:val="00660299"/>
    <w:rsid w:val="00660552"/>
    <w:rsid w:val="00660DBE"/>
    <w:rsid w:val="00661113"/>
    <w:rsid w:val="0066127D"/>
    <w:rsid w:val="00661AB0"/>
    <w:rsid w:val="006623A4"/>
    <w:rsid w:val="006627B5"/>
    <w:rsid w:val="0066351C"/>
    <w:rsid w:val="006635BF"/>
    <w:rsid w:val="00663CBA"/>
    <w:rsid w:val="00663DBD"/>
    <w:rsid w:val="00664498"/>
    <w:rsid w:val="00664693"/>
    <w:rsid w:val="00664C4B"/>
    <w:rsid w:val="00664DC0"/>
    <w:rsid w:val="00664F24"/>
    <w:rsid w:val="006651CC"/>
    <w:rsid w:val="0066582B"/>
    <w:rsid w:val="006658DA"/>
    <w:rsid w:val="00665B9B"/>
    <w:rsid w:val="00665CA1"/>
    <w:rsid w:val="00666676"/>
    <w:rsid w:val="00666F2F"/>
    <w:rsid w:val="00667421"/>
    <w:rsid w:val="0066780E"/>
    <w:rsid w:val="00667A31"/>
    <w:rsid w:val="00667E6C"/>
    <w:rsid w:val="00670702"/>
    <w:rsid w:val="006708EB"/>
    <w:rsid w:val="0067147C"/>
    <w:rsid w:val="0067225F"/>
    <w:rsid w:val="00672895"/>
    <w:rsid w:val="00672A8A"/>
    <w:rsid w:val="00673524"/>
    <w:rsid w:val="00673F50"/>
    <w:rsid w:val="00674EEA"/>
    <w:rsid w:val="0067549D"/>
    <w:rsid w:val="006759B0"/>
    <w:rsid w:val="0067636E"/>
    <w:rsid w:val="00677012"/>
    <w:rsid w:val="0067705C"/>
    <w:rsid w:val="006771EA"/>
    <w:rsid w:val="006772F9"/>
    <w:rsid w:val="00677C53"/>
    <w:rsid w:val="00680D0E"/>
    <w:rsid w:val="00680F00"/>
    <w:rsid w:val="006825A6"/>
    <w:rsid w:val="006825B4"/>
    <w:rsid w:val="006829BA"/>
    <w:rsid w:val="00682AF2"/>
    <w:rsid w:val="00682C1D"/>
    <w:rsid w:val="00682E8A"/>
    <w:rsid w:val="00682FB7"/>
    <w:rsid w:val="006837DE"/>
    <w:rsid w:val="00683CE0"/>
    <w:rsid w:val="00684FA5"/>
    <w:rsid w:val="00685026"/>
    <w:rsid w:val="0068537F"/>
    <w:rsid w:val="00685E0D"/>
    <w:rsid w:val="00686104"/>
    <w:rsid w:val="00686334"/>
    <w:rsid w:val="00686C3A"/>
    <w:rsid w:val="00686EEB"/>
    <w:rsid w:val="00687628"/>
    <w:rsid w:val="00687CFE"/>
    <w:rsid w:val="0069035A"/>
    <w:rsid w:val="006906FD"/>
    <w:rsid w:val="00690EB8"/>
    <w:rsid w:val="0069109D"/>
    <w:rsid w:val="006915E5"/>
    <w:rsid w:val="00692401"/>
    <w:rsid w:val="00692AD4"/>
    <w:rsid w:val="00693B7A"/>
    <w:rsid w:val="006940BE"/>
    <w:rsid w:val="006941CC"/>
    <w:rsid w:val="006942BA"/>
    <w:rsid w:val="006945D4"/>
    <w:rsid w:val="00694EC0"/>
    <w:rsid w:val="00695852"/>
    <w:rsid w:val="00695F56"/>
    <w:rsid w:val="0069690E"/>
    <w:rsid w:val="0069758B"/>
    <w:rsid w:val="00697F88"/>
    <w:rsid w:val="006A050B"/>
    <w:rsid w:val="006A07FF"/>
    <w:rsid w:val="006A0A70"/>
    <w:rsid w:val="006A0B6C"/>
    <w:rsid w:val="006A1692"/>
    <w:rsid w:val="006A16E1"/>
    <w:rsid w:val="006A179F"/>
    <w:rsid w:val="006A188D"/>
    <w:rsid w:val="006A3293"/>
    <w:rsid w:val="006A36DF"/>
    <w:rsid w:val="006A3C8A"/>
    <w:rsid w:val="006A3E61"/>
    <w:rsid w:val="006A5213"/>
    <w:rsid w:val="006A6003"/>
    <w:rsid w:val="006A6737"/>
    <w:rsid w:val="006B0AE6"/>
    <w:rsid w:val="006B1AF3"/>
    <w:rsid w:val="006B1E08"/>
    <w:rsid w:val="006B2099"/>
    <w:rsid w:val="006B26B1"/>
    <w:rsid w:val="006B2741"/>
    <w:rsid w:val="006B275D"/>
    <w:rsid w:val="006B2E45"/>
    <w:rsid w:val="006B341B"/>
    <w:rsid w:val="006B3875"/>
    <w:rsid w:val="006B3937"/>
    <w:rsid w:val="006B425B"/>
    <w:rsid w:val="006B4A56"/>
    <w:rsid w:val="006B545C"/>
    <w:rsid w:val="006B5AC8"/>
    <w:rsid w:val="006B5D32"/>
    <w:rsid w:val="006B6AC1"/>
    <w:rsid w:val="006B6EDF"/>
    <w:rsid w:val="006B758B"/>
    <w:rsid w:val="006B78A5"/>
    <w:rsid w:val="006B7BF8"/>
    <w:rsid w:val="006C00A0"/>
    <w:rsid w:val="006C0A9F"/>
    <w:rsid w:val="006C0E54"/>
    <w:rsid w:val="006C0F11"/>
    <w:rsid w:val="006C23E1"/>
    <w:rsid w:val="006C25D5"/>
    <w:rsid w:val="006C25F9"/>
    <w:rsid w:val="006C262B"/>
    <w:rsid w:val="006C27DC"/>
    <w:rsid w:val="006C2866"/>
    <w:rsid w:val="006C31C6"/>
    <w:rsid w:val="006C32BE"/>
    <w:rsid w:val="006C3A2D"/>
    <w:rsid w:val="006C4666"/>
    <w:rsid w:val="006C49BF"/>
    <w:rsid w:val="006C4BB3"/>
    <w:rsid w:val="006C63D7"/>
    <w:rsid w:val="006C6894"/>
    <w:rsid w:val="006C69D9"/>
    <w:rsid w:val="006C6C2D"/>
    <w:rsid w:val="006C7535"/>
    <w:rsid w:val="006C76A6"/>
    <w:rsid w:val="006C796D"/>
    <w:rsid w:val="006D0525"/>
    <w:rsid w:val="006D08DC"/>
    <w:rsid w:val="006D09D1"/>
    <w:rsid w:val="006D10C4"/>
    <w:rsid w:val="006D23FF"/>
    <w:rsid w:val="006D2F09"/>
    <w:rsid w:val="006D2FD2"/>
    <w:rsid w:val="006D33E6"/>
    <w:rsid w:val="006D3783"/>
    <w:rsid w:val="006D3DC0"/>
    <w:rsid w:val="006D40C4"/>
    <w:rsid w:val="006D4162"/>
    <w:rsid w:val="006D44D2"/>
    <w:rsid w:val="006D453E"/>
    <w:rsid w:val="006D4F80"/>
    <w:rsid w:val="006D5303"/>
    <w:rsid w:val="006D5E84"/>
    <w:rsid w:val="006D7A4C"/>
    <w:rsid w:val="006D7C99"/>
    <w:rsid w:val="006E0369"/>
    <w:rsid w:val="006E0443"/>
    <w:rsid w:val="006E0C50"/>
    <w:rsid w:val="006E0DCF"/>
    <w:rsid w:val="006E14D6"/>
    <w:rsid w:val="006E1647"/>
    <w:rsid w:val="006E1BA2"/>
    <w:rsid w:val="006E2298"/>
    <w:rsid w:val="006E2C5A"/>
    <w:rsid w:val="006E2F3A"/>
    <w:rsid w:val="006E310A"/>
    <w:rsid w:val="006E3C3E"/>
    <w:rsid w:val="006E3FBD"/>
    <w:rsid w:val="006E40C7"/>
    <w:rsid w:val="006E429F"/>
    <w:rsid w:val="006E47E0"/>
    <w:rsid w:val="006E50E4"/>
    <w:rsid w:val="006E6F30"/>
    <w:rsid w:val="006E6FE9"/>
    <w:rsid w:val="006E7082"/>
    <w:rsid w:val="006E709F"/>
    <w:rsid w:val="006E7F73"/>
    <w:rsid w:val="006F030F"/>
    <w:rsid w:val="006F03AF"/>
    <w:rsid w:val="006F193C"/>
    <w:rsid w:val="006F1B58"/>
    <w:rsid w:val="006F27DC"/>
    <w:rsid w:val="006F2B89"/>
    <w:rsid w:val="006F36F1"/>
    <w:rsid w:val="006F3B81"/>
    <w:rsid w:val="006F4860"/>
    <w:rsid w:val="006F4D59"/>
    <w:rsid w:val="006F4F79"/>
    <w:rsid w:val="006F4F80"/>
    <w:rsid w:val="006F5532"/>
    <w:rsid w:val="006F5ADA"/>
    <w:rsid w:val="006F62CC"/>
    <w:rsid w:val="006F644B"/>
    <w:rsid w:val="006F66C1"/>
    <w:rsid w:val="006F681D"/>
    <w:rsid w:val="006F6FA1"/>
    <w:rsid w:val="006F731E"/>
    <w:rsid w:val="006F78E9"/>
    <w:rsid w:val="0070235F"/>
    <w:rsid w:val="00702BC3"/>
    <w:rsid w:val="00702FF3"/>
    <w:rsid w:val="007032AC"/>
    <w:rsid w:val="00703496"/>
    <w:rsid w:val="007036FE"/>
    <w:rsid w:val="00703AB1"/>
    <w:rsid w:val="00704614"/>
    <w:rsid w:val="00704C5F"/>
    <w:rsid w:val="00704DEB"/>
    <w:rsid w:val="00705623"/>
    <w:rsid w:val="00705B37"/>
    <w:rsid w:val="0070658A"/>
    <w:rsid w:val="00706B65"/>
    <w:rsid w:val="007070DA"/>
    <w:rsid w:val="007071AF"/>
    <w:rsid w:val="00707C1A"/>
    <w:rsid w:val="00710023"/>
    <w:rsid w:val="00710207"/>
    <w:rsid w:val="0071023D"/>
    <w:rsid w:val="007103CD"/>
    <w:rsid w:val="007104CB"/>
    <w:rsid w:val="00710530"/>
    <w:rsid w:val="007107BD"/>
    <w:rsid w:val="00710A79"/>
    <w:rsid w:val="00711E77"/>
    <w:rsid w:val="00712912"/>
    <w:rsid w:val="00713AAC"/>
    <w:rsid w:val="00713C1D"/>
    <w:rsid w:val="007141DC"/>
    <w:rsid w:val="00714B04"/>
    <w:rsid w:val="00714F75"/>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3E16"/>
    <w:rsid w:val="00723FAF"/>
    <w:rsid w:val="0072442F"/>
    <w:rsid w:val="00725189"/>
    <w:rsid w:val="0072541E"/>
    <w:rsid w:val="00725735"/>
    <w:rsid w:val="00725BB8"/>
    <w:rsid w:val="007260A3"/>
    <w:rsid w:val="0072630D"/>
    <w:rsid w:val="00726A2A"/>
    <w:rsid w:val="007271E9"/>
    <w:rsid w:val="007273BC"/>
    <w:rsid w:val="007275FD"/>
    <w:rsid w:val="007276E5"/>
    <w:rsid w:val="00730943"/>
    <w:rsid w:val="007310EF"/>
    <w:rsid w:val="00731D5E"/>
    <w:rsid w:val="00732492"/>
    <w:rsid w:val="00733549"/>
    <w:rsid w:val="00733E5A"/>
    <w:rsid w:val="00733F25"/>
    <w:rsid w:val="00736395"/>
    <w:rsid w:val="00736459"/>
    <w:rsid w:val="0073685F"/>
    <w:rsid w:val="00737821"/>
    <w:rsid w:val="0074058F"/>
    <w:rsid w:val="00740E86"/>
    <w:rsid w:val="00741175"/>
    <w:rsid w:val="007419FB"/>
    <w:rsid w:val="0074218C"/>
    <w:rsid w:val="00742606"/>
    <w:rsid w:val="007441FF"/>
    <w:rsid w:val="007448A7"/>
    <w:rsid w:val="00744EE8"/>
    <w:rsid w:val="00744F42"/>
    <w:rsid w:val="007459F5"/>
    <w:rsid w:val="00745D9E"/>
    <w:rsid w:val="007466DC"/>
    <w:rsid w:val="00746713"/>
    <w:rsid w:val="007467E4"/>
    <w:rsid w:val="00746B08"/>
    <w:rsid w:val="00747569"/>
    <w:rsid w:val="00750238"/>
    <w:rsid w:val="0075023C"/>
    <w:rsid w:val="007518E3"/>
    <w:rsid w:val="007518E9"/>
    <w:rsid w:val="00752247"/>
    <w:rsid w:val="007523E7"/>
    <w:rsid w:val="007524C4"/>
    <w:rsid w:val="00752AE5"/>
    <w:rsid w:val="007531CA"/>
    <w:rsid w:val="00754252"/>
    <w:rsid w:val="00755894"/>
    <w:rsid w:val="007560D3"/>
    <w:rsid w:val="00756258"/>
    <w:rsid w:val="007569B0"/>
    <w:rsid w:val="007577B1"/>
    <w:rsid w:val="00757CB3"/>
    <w:rsid w:val="00757D87"/>
    <w:rsid w:val="00757DB4"/>
    <w:rsid w:val="00757E79"/>
    <w:rsid w:val="00760EED"/>
    <w:rsid w:val="0076109F"/>
    <w:rsid w:val="00761399"/>
    <w:rsid w:val="00761615"/>
    <w:rsid w:val="007616DA"/>
    <w:rsid w:val="007619CE"/>
    <w:rsid w:val="00761F4F"/>
    <w:rsid w:val="007620DC"/>
    <w:rsid w:val="00762102"/>
    <w:rsid w:val="0076255D"/>
    <w:rsid w:val="007625F6"/>
    <w:rsid w:val="00762B8B"/>
    <w:rsid w:val="0076325B"/>
    <w:rsid w:val="00763A04"/>
    <w:rsid w:val="00764AF9"/>
    <w:rsid w:val="007650AD"/>
    <w:rsid w:val="00765D18"/>
    <w:rsid w:val="0076640B"/>
    <w:rsid w:val="007673DE"/>
    <w:rsid w:val="00770C54"/>
    <w:rsid w:val="00771344"/>
    <w:rsid w:val="0077213A"/>
    <w:rsid w:val="00772613"/>
    <w:rsid w:val="00772B41"/>
    <w:rsid w:val="00772CED"/>
    <w:rsid w:val="00773EA1"/>
    <w:rsid w:val="00775215"/>
    <w:rsid w:val="00775748"/>
    <w:rsid w:val="00776ACC"/>
    <w:rsid w:val="00776AD5"/>
    <w:rsid w:val="00777AE2"/>
    <w:rsid w:val="00777C71"/>
    <w:rsid w:val="00777D6B"/>
    <w:rsid w:val="00777F20"/>
    <w:rsid w:val="0078080B"/>
    <w:rsid w:val="00781148"/>
    <w:rsid w:val="0078120F"/>
    <w:rsid w:val="00781F98"/>
    <w:rsid w:val="007820DF"/>
    <w:rsid w:val="0078265B"/>
    <w:rsid w:val="00782AFE"/>
    <w:rsid w:val="00782E10"/>
    <w:rsid w:val="00784926"/>
    <w:rsid w:val="00784DB8"/>
    <w:rsid w:val="00784FDD"/>
    <w:rsid w:val="0078508F"/>
    <w:rsid w:val="00786448"/>
    <w:rsid w:val="007875D7"/>
    <w:rsid w:val="007906B2"/>
    <w:rsid w:val="0079134E"/>
    <w:rsid w:val="007925F0"/>
    <w:rsid w:val="0079278E"/>
    <w:rsid w:val="00792DCA"/>
    <w:rsid w:val="00792E3C"/>
    <w:rsid w:val="00792FDF"/>
    <w:rsid w:val="00793040"/>
    <w:rsid w:val="007930C1"/>
    <w:rsid w:val="0079315D"/>
    <w:rsid w:val="00793B45"/>
    <w:rsid w:val="007946EE"/>
    <w:rsid w:val="0079477A"/>
    <w:rsid w:val="007956CD"/>
    <w:rsid w:val="00795706"/>
    <w:rsid w:val="007960E3"/>
    <w:rsid w:val="00796F7C"/>
    <w:rsid w:val="00797131"/>
    <w:rsid w:val="00797254"/>
    <w:rsid w:val="00797430"/>
    <w:rsid w:val="00797AF4"/>
    <w:rsid w:val="007A0F8D"/>
    <w:rsid w:val="007A1078"/>
    <w:rsid w:val="007A180A"/>
    <w:rsid w:val="007A21E4"/>
    <w:rsid w:val="007A2304"/>
    <w:rsid w:val="007A257D"/>
    <w:rsid w:val="007A2CB0"/>
    <w:rsid w:val="007A343D"/>
    <w:rsid w:val="007A38CE"/>
    <w:rsid w:val="007A3F1C"/>
    <w:rsid w:val="007A457D"/>
    <w:rsid w:val="007A46E6"/>
    <w:rsid w:val="007A48D8"/>
    <w:rsid w:val="007A5ACE"/>
    <w:rsid w:val="007A5C5C"/>
    <w:rsid w:val="007A6528"/>
    <w:rsid w:val="007A6A64"/>
    <w:rsid w:val="007A7B48"/>
    <w:rsid w:val="007A7FD7"/>
    <w:rsid w:val="007B08FD"/>
    <w:rsid w:val="007B0A0A"/>
    <w:rsid w:val="007B18C6"/>
    <w:rsid w:val="007B20C2"/>
    <w:rsid w:val="007B25D5"/>
    <w:rsid w:val="007B27E4"/>
    <w:rsid w:val="007B2818"/>
    <w:rsid w:val="007B2910"/>
    <w:rsid w:val="007B301D"/>
    <w:rsid w:val="007B3264"/>
    <w:rsid w:val="007B35F6"/>
    <w:rsid w:val="007B3F87"/>
    <w:rsid w:val="007B404F"/>
    <w:rsid w:val="007B44A6"/>
    <w:rsid w:val="007B494E"/>
    <w:rsid w:val="007B4C5E"/>
    <w:rsid w:val="007B51F8"/>
    <w:rsid w:val="007B7462"/>
    <w:rsid w:val="007B7B52"/>
    <w:rsid w:val="007B7EEE"/>
    <w:rsid w:val="007C02A3"/>
    <w:rsid w:val="007C0C55"/>
    <w:rsid w:val="007C1507"/>
    <w:rsid w:val="007C1857"/>
    <w:rsid w:val="007C207E"/>
    <w:rsid w:val="007C290B"/>
    <w:rsid w:val="007C2F60"/>
    <w:rsid w:val="007C3639"/>
    <w:rsid w:val="007C3757"/>
    <w:rsid w:val="007C4D8D"/>
    <w:rsid w:val="007C5144"/>
    <w:rsid w:val="007C5613"/>
    <w:rsid w:val="007C6138"/>
    <w:rsid w:val="007C6153"/>
    <w:rsid w:val="007C6849"/>
    <w:rsid w:val="007C6BC6"/>
    <w:rsid w:val="007C6C12"/>
    <w:rsid w:val="007C73B2"/>
    <w:rsid w:val="007D0435"/>
    <w:rsid w:val="007D0D3E"/>
    <w:rsid w:val="007D116E"/>
    <w:rsid w:val="007D1772"/>
    <w:rsid w:val="007D1B24"/>
    <w:rsid w:val="007D267F"/>
    <w:rsid w:val="007D3341"/>
    <w:rsid w:val="007D399C"/>
    <w:rsid w:val="007D3A3E"/>
    <w:rsid w:val="007D400A"/>
    <w:rsid w:val="007D4365"/>
    <w:rsid w:val="007D44C1"/>
    <w:rsid w:val="007D4B0E"/>
    <w:rsid w:val="007D4DD2"/>
    <w:rsid w:val="007D558F"/>
    <w:rsid w:val="007D5D0F"/>
    <w:rsid w:val="007D6EA8"/>
    <w:rsid w:val="007D7B3C"/>
    <w:rsid w:val="007E010B"/>
    <w:rsid w:val="007E042B"/>
    <w:rsid w:val="007E05DB"/>
    <w:rsid w:val="007E1247"/>
    <w:rsid w:val="007E1A44"/>
    <w:rsid w:val="007E2419"/>
    <w:rsid w:val="007E2E7D"/>
    <w:rsid w:val="007E3FF5"/>
    <w:rsid w:val="007E4219"/>
    <w:rsid w:val="007E577E"/>
    <w:rsid w:val="007E635E"/>
    <w:rsid w:val="007E6A9C"/>
    <w:rsid w:val="007E6C0C"/>
    <w:rsid w:val="007E7300"/>
    <w:rsid w:val="007E767B"/>
    <w:rsid w:val="007E7B54"/>
    <w:rsid w:val="007F038C"/>
    <w:rsid w:val="007F0428"/>
    <w:rsid w:val="007F0C82"/>
    <w:rsid w:val="007F0F24"/>
    <w:rsid w:val="007F1755"/>
    <w:rsid w:val="007F1C20"/>
    <w:rsid w:val="007F222B"/>
    <w:rsid w:val="007F2443"/>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6272"/>
    <w:rsid w:val="008064DD"/>
    <w:rsid w:val="0080662C"/>
    <w:rsid w:val="008070B2"/>
    <w:rsid w:val="00807D79"/>
    <w:rsid w:val="00810102"/>
    <w:rsid w:val="008102BC"/>
    <w:rsid w:val="008116F3"/>
    <w:rsid w:val="008117C4"/>
    <w:rsid w:val="0081222E"/>
    <w:rsid w:val="00812461"/>
    <w:rsid w:val="008127E0"/>
    <w:rsid w:val="00812810"/>
    <w:rsid w:val="0081398E"/>
    <w:rsid w:val="00813F02"/>
    <w:rsid w:val="008149D8"/>
    <w:rsid w:val="00815714"/>
    <w:rsid w:val="00815A2A"/>
    <w:rsid w:val="00816559"/>
    <w:rsid w:val="0081724D"/>
    <w:rsid w:val="0081788A"/>
    <w:rsid w:val="00817927"/>
    <w:rsid w:val="00817CFC"/>
    <w:rsid w:val="00817E82"/>
    <w:rsid w:val="00820A3F"/>
    <w:rsid w:val="00821D81"/>
    <w:rsid w:val="00822A52"/>
    <w:rsid w:val="00822F31"/>
    <w:rsid w:val="00823654"/>
    <w:rsid w:val="0082374A"/>
    <w:rsid w:val="008237F3"/>
    <w:rsid w:val="00823A90"/>
    <w:rsid w:val="00823D01"/>
    <w:rsid w:val="00825C68"/>
    <w:rsid w:val="00826883"/>
    <w:rsid w:val="0082757E"/>
    <w:rsid w:val="0082769C"/>
    <w:rsid w:val="008277D4"/>
    <w:rsid w:val="008279D2"/>
    <w:rsid w:val="00827B6C"/>
    <w:rsid w:val="00827D77"/>
    <w:rsid w:val="00830259"/>
    <w:rsid w:val="00830561"/>
    <w:rsid w:val="00831115"/>
    <w:rsid w:val="00832092"/>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547"/>
    <w:rsid w:val="008427D3"/>
    <w:rsid w:val="008428CA"/>
    <w:rsid w:val="008429CF"/>
    <w:rsid w:val="0084324C"/>
    <w:rsid w:val="00843910"/>
    <w:rsid w:val="00843B9B"/>
    <w:rsid w:val="008451F8"/>
    <w:rsid w:val="008456C8"/>
    <w:rsid w:val="008457D2"/>
    <w:rsid w:val="00846212"/>
    <w:rsid w:val="008468E0"/>
    <w:rsid w:val="0084767E"/>
    <w:rsid w:val="0084790F"/>
    <w:rsid w:val="00847BE7"/>
    <w:rsid w:val="00850EAB"/>
    <w:rsid w:val="00851C80"/>
    <w:rsid w:val="00851D70"/>
    <w:rsid w:val="00852760"/>
    <w:rsid w:val="008529B3"/>
    <w:rsid w:val="008529BB"/>
    <w:rsid w:val="00852ADD"/>
    <w:rsid w:val="00853883"/>
    <w:rsid w:val="00853EB9"/>
    <w:rsid w:val="00854CF7"/>
    <w:rsid w:val="00854DA7"/>
    <w:rsid w:val="008557A0"/>
    <w:rsid w:val="00855FA6"/>
    <w:rsid w:val="00856258"/>
    <w:rsid w:val="00856607"/>
    <w:rsid w:val="00857AA1"/>
    <w:rsid w:val="008602F1"/>
    <w:rsid w:val="008604A8"/>
    <w:rsid w:val="00860ADD"/>
    <w:rsid w:val="00860CA2"/>
    <w:rsid w:val="008616A2"/>
    <w:rsid w:val="00861C6C"/>
    <w:rsid w:val="008636AC"/>
    <w:rsid w:val="00863862"/>
    <w:rsid w:val="00863AAD"/>
    <w:rsid w:val="00863AB5"/>
    <w:rsid w:val="00864644"/>
    <w:rsid w:val="00864F4D"/>
    <w:rsid w:val="008658DE"/>
    <w:rsid w:val="00865F5C"/>
    <w:rsid w:val="00866296"/>
    <w:rsid w:val="008665C7"/>
    <w:rsid w:val="00866DC1"/>
    <w:rsid w:val="00867BBF"/>
    <w:rsid w:val="008707A3"/>
    <w:rsid w:val="00870A36"/>
    <w:rsid w:val="008711AE"/>
    <w:rsid w:val="0087143E"/>
    <w:rsid w:val="00871A36"/>
    <w:rsid w:val="00871E97"/>
    <w:rsid w:val="00872F21"/>
    <w:rsid w:val="00873736"/>
    <w:rsid w:val="0087378E"/>
    <w:rsid w:val="008737DF"/>
    <w:rsid w:val="008755E7"/>
    <w:rsid w:val="00875A46"/>
    <w:rsid w:val="00875E16"/>
    <w:rsid w:val="00877D03"/>
    <w:rsid w:val="00877E96"/>
    <w:rsid w:val="0088023D"/>
    <w:rsid w:val="008803CE"/>
    <w:rsid w:val="00880D8F"/>
    <w:rsid w:val="00882077"/>
    <w:rsid w:val="008820D9"/>
    <w:rsid w:val="00882F34"/>
    <w:rsid w:val="00883613"/>
    <w:rsid w:val="0088557F"/>
    <w:rsid w:val="00885DD7"/>
    <w:rsid w:val="00886393"/>
    <w:rsid w:val="00886579"/>
    <w:rsid w:val="00886F19"/>
    <w:rsid w:val="00887090"/>
    <w:rsid w:val="00887865"/>
    <w:rsid w:val="00887B37"/>
    <w:rsid w:val="00890598"/>
    <w:rsid w:val="0089065A"/>
    <w:rsid w:val="00890DEB"/>
    <w:rsid w:val="0089177A"/>
    <w:rsid w:val="00891AA9"/>
    <w:rsid w:val="00891D7A"/>
    <w:rsid w:val="00891DFC"/>
    <w:rsid w:val="00892791"/>
    <w:rsid w:val="00892B98"/>
    <w:rsid w:val="008945D2"/>
    <w:rsid w:val="008949A3"/>
    <w:rsid w:val="00894CB5"/>
    <w:rsid w:val="008959FC"/>
    <w:rsid w:val="0089605E"/>
    <w:rsid w:val="00896668"/>
    <w:rsid w:val="00896E9A"/>
    <w:rsid w:val="00897619"/>
    <w:rsid w:val="008978D6"/>
    <w:rsid w:val="008A0CCC"/>
    <w:rsid w:val="008A1D0E"/>
    <w:rsid w:val="008A25EA"/>
    <w:rsid w:val="008A276E"/>
    <w:rsid w:val="008A31C7"/>
    <w:rsid w:val="008A3215"/>
    <w:rsid w:val="008A3630"/>
    <w:rsid w:val="008A3E8B"/>
    <w:rsid w:val="008A47BE"/>
    <w:rsid w:val="008A4AEC"/>
    <w:rsid w:val="008A5609"/>
    <w:rsid w:val="008A5697"/>
    <w:rsid w:val="008A5B35"/>
    <w:rsid w:val="008A6DD5"/>
    <w:rsid w:val="008A6DF0"/>
    <w:rsid w:val="008A6FA0"/>
    <w:rsid w:val="008B0385"/>
    <w:rsid w:val="008B05E6"/>
    <w:rsid w:val="008B0E76"/>
    <w:rsid w:val="008B105C"/>
    <w:rsid w:val="008B15CE"/>
    <w:rsid w:val="008B1C8F"/>
    <w:rsid w:val="008B21F8"/>
    <w:rsid w:val="008B2570"/>
    <w:rsid w:val="008B2B19"/>
    <w:rsid w:val="008B2F40"/>
    <w:rsid w:val="008B2FCD"/>
    <w:rsid w:val="008B3627"/>
    <w:rsid w:val="008B3EAD"/>
    <w:rsid w:val="008B4208"/>
    <w:rsid w:val="008B49B6"/>
    <w:rsid w:val="008B534B"/>
    <w:rsid w:val="008B55A6"/>
    <w:rsid w:val="008B56A0"/>
    <w:rsid w:val="008B5AA1"/>
    <w:rsid w:val="008B5C51"/>
    <w:rsid w:val="008B5E49"/>
    <w:rsid w:val="008B5E61"/>
    <w:rsid w:val="008B64CE"/>
    <w:rsid w:val="008B68B4"/>
    <w:rsid w:val="008B756F"/>
    <w:rsid w:val="008B7633"/>
    <w:rsid w:val="008B7914"/>
    <w:rsid w:val="008C0D0C"/>
    <w:rsid w:val="008C127A"/>
    <w:rsid w:val="008C179E"/>
    <w:rsid w:val="008C18BD"/>
    <w:rsid w:val="008C1932"/>
    <w:rsid w:val="008C1CC8"/>
    <w:rsid w:val="008C1ECC"/>
    <w:rsid w:val="008C2C41"/>
    <w:rsid w:val="008C2C7F"/>
    <w:rsid w:val="008C2F0D"/>
    <w:rsid w:val="008C346A"/>
    <w:rsid w:val="008C364D"/>
    <w:rsid w:val="008C500C"/>
    <w:rsid w:val="008C58A2"/>
    <w:rsid w:val="008C5BC0"/>
    <w:rsid w:val="008C5D2A"/>
    <w:rsid w:val="008C62E8"/>
    <w:rsid w:val="008C6754"/>
    <w:rsid w:val="008C6C16"/>
    <w:rsid w:val="008C6F7D"/>
    <w:rsid w:val="008C74FB"/>
    <w:rsid w:val="008C7AF4"/>
    <w:rsid w:val="008C7B0F"/>
    <w:rsid w:val="008C7DA4"/>
    <w:rsid w:val="008C7F6E"/>
    <w:rsid w:val="008C7FAE"/>
    <w:rsid w:val="008D0210"/>
    <w:rsid w:val="008D033E"/>
    <w:rsid w:val="008D0851"/>
    <w:rsid w:val="008D0AF5"/>
    <w:rsid w:val="008D0DEF"/>
    <w:rsid w:val="008D0FCD"/>
    <w:rsid w:val="008D1074"/>
    <w:rsid w:val="008D1079"/>
    <w:rsid w:val="008D2643"/>
    <w:rsid w:val="008D280F"/>
    <w:rsid w:val="008D2F60"/>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1B7B"/>
    <w:rsid w:val="008E22F8"/>
    <w:rsid w:val="008E23EE"/>
    <w:rsid w:val="008E25D0"/>
    <w:rsid w:val="008E25EC"/>
    <w:rsid w:val="008E39D8"/>
    <w:rsid w:val="008E5313"/>
    <w:rsid w:val="008E5D73"/>
    <w:rsid w:val="008E606F"/>
    <w:rsid w:val="008E6300"/>
    <w:rsid w:val="008E6AD9"/>
    <w:rsid w:val="008E6E25"/>
    <w:rsid w:val="008F022A"/>
    <w:rsid w:val="008F06FD"/>
    <w:rsid w:val="008F1172"/>
    <w:rsid w:val="008F27E3"/>
    <w:rsid w:val="008F3485"/>
    <w:rsid w:val="008F3AC3"/>
    <w:rsid w:val="008F42C1"/>
    <w:rsid w:val="008F51FF"/>
    <w:rsid w:val="008F52FC"/>
    <w:rsid w:val="008F5DEF"/>
    <w:rsid w:val="008F6031"/>
    <w:rsid w:val="008F61F2"/>
    <w:rsid w:val="008F636D"/>
    <w:rsid w:val="008F7C0A"/>
    <w:rsid w:val="00901140"/>
    <w:rsid w:val="00901613"/>
    <w:rsid w:val="00901DBB"/>
    <w:rsid w:val="009026CB"/>
    <w:rsid w:val="00902876"/>
    <w:rsid w:val="00902C0B"/>
    <w:rsid w:val="009030FF"/>
    <w:rsid w:val="009036E9"/>
    <w:rsid w:val="009038F6"/>
    <w:rsid w:val="00903FB2"/>
    <w:rsid w:val="00904038"/>
    <w:rsid w:val="009041AF"/>
    <w:rsid w:val="009042AA"/>
    <w:rsid w:val="009049AB"/>
    <w:rsid w:val="00904C8C"/>
    <w:rsid w:val="009050B7"/>
    <w:rsid w:val="0090510D"/>
    <w:rsid w:val="00905130"/>
    <w:rsid w:val="009053BD"/>
    <w:rsid w:val="00905728"/>
    <w:rsid w:val="009061B8"/>
    <w:rsid w:val="009064BF"/>
    <w:rsid w:val="009069B8"/>
    <w:rsid w:val="0091015D"/>
    <w:rsid w:val="009130CC"/>
    <w:rsid w:val="009133EC"/>
    <w:rsid w:val="00913AF7"/>
    <w:rsid w:val="00913B37"/>
    <w:rsid w:val="00914683"/>
    <w:rsid w:val="00914861"/>
    <w:rsid w:val="009148D8"/>
    <w:rsid w:val="00914B5F"/>
    <w:rsid w:val="00914E71"/>
    <w:rsid w:val="0091504C"/>
    <w:rsid w:val="00915417"/>
    <w:rsid w:val="0091573F"/>
    <w:rsid w:val="00915897"/>
    <w:rsid w:val="00915B44"/>
    <w:rsid w:val="00915CD5"/>
    <w:rsid w:val="00916093"/>
    <w:rsid w:val="009160E3"/>
    <w:rsid w:val="0091639C"/>
    <w:rsid w:val="00916A8C"/>
    <w:rsid w:val="00916E99"/>
    <w:rsid w:val="0092002E"/>
    <w:rsid w:val="0092050A"/>
    <w:rsid w:val="009209A1"/>
    <w:rsid w:val="00920EC6"/>
    <w:rsid w:val="0092101E"/>
    <w:rsid w:val="009225D6"/>
    <w:rsid w:val="0092383B"/>
    <w:rsid w:val="00923DCE"/>
    <w:rsid w:val="00924119"/>
    <w:rsid w:val="0092492A"/>
    <w:rsid w:val="00925120"/>
    <w:rsid w:val="009251B3"/>
    <w:rsid w:val="009255FA"/>
    <w:rsid w:val="009262E4"/>
    <w:rsid w:val="009266D2"/>
    <w:rsid w:val="00927361"/>
    <w:rsid w:val="00927D4E"/>
    <w:rsid w:val="00927F89"/>
    <w:rsid w:val="00930AC2"/>
    <w:rsid w:val="00930D2A"/>
    <w:rsid w:val="009312BF"/>
    <w:rsid w:val="00931680"/>
    <w:rsid w:val="00931B84"/>
    <w:rsid w:val="00931DA9"/>
    <w:rsid w:val="0093220A"/>
    <w:rsid w:val="009322B2"/>
    <w:rsid w:val="009328DA"/>
    <w:rsid w:val="00932E7E"/>
    <w:rsid w:val="00933846"/>
    <w:rsid w:val="00933A80"/>
    <w:rsid w:val="0093442D"/>
    <w:rsid w:val="00934CD2"/>
    <w:rsid w:val="00935A35"/>
    <w:rsid w:val="009366FD"/>
    <w:rsid w:val="009375E5"/>
    <w:rsid w:val="0093785F"/>
    <w:rsid w:val="00937BC5"/>
    <w:rsid w:val="00937D30"/>
    <w:rsid w:val="00941692"/>
    <w:rsid w:val="00941848"/>
    <w:rsid w:val="00942258"/>
    <w:rsid w:val="009423BB"/>
    <w:rsid w:val="0094337A"/>
    <w:rsid w:val="009437F2"/>
    <w:rsid w:val="009442E8"/>
    <w:rsid w:val="00944BA7"/>
    <w:rsid w:val="0094519B"/>
    <w:rsid w:val="0094636D"/>
    <w:rsid w:val="00946854"/>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643"/>
    <w:rsid w:val="0096086A"/>
    <w:rsid w:val="009612A9"/>
    <w:rsid w:val="00961453"/>
    <w:rsid w:val="009616D4"/>
    <w:rsid w:val="0096182D"/>
    <w:rsid w:val="00962150"/>
    <w:rsid w:val="009627E5"/>
    <w:rsid w:val="00962CCD"/>
    <w:rsid w:val="00963847"/>
    <w:rsid w:val="00964036"/>
    <w:rsid w:val="00964166"/>
    <w:rsid w:val="00964429"/>
    <w:rsid w:val="009645AD"/>
    <w:rsid w:val="0096475C"/>
    <w:rsid w:val="0096546E"/>
    <w:rsid w:val="0096562A"/>
    <w:rsid w:val="00965865"/>
    <w:rsid w:val="00966096"/>
    <w:rsid w:val="009661BA"/>
    <w:rsid w:val="00966A13"/>
    <w:rsid w:val="00966BAF"/>
    <w:rsid w:val="00967473"/>
    <w:rsid w:val="00967730"/>
    <w:rsid w:val="00970D56"/>
    <w:rsid w:val="00970E50"/>
    <w:rsid w:val="00971074"/>
    <w:rsid w:val="009725B2"/>
    <w:rsid w:val="00972969"/>
    <w:rsid w:val="009747AA"/>
    <w:rsid w:val="00974B99"/>
    <w:rsid w:val="00974BCB"/>
    <w:rsid w:val="0097529C"/>
    <w:rsid w:val="00975361"/>
    <w:rsid w:val="009758CD"/>
    <w:rsid w:val="00975AEF"/>
    <w:rsid w:val="00975BF2"/>
    <w:rsid w:val="0097616C"/>
    <w:rsid w:val="009763E4"/>
    <w:rsid w:val="0097649D"/>
    <w:rsid w:val="0097654D"/>
    <w:rsid w:val="009766B7"/>
    <w:rsid w:val="00976D58"/>
    <w:rsid w:val="00977A66"/>
    <w:rsid w:val="00977C23"/>
    <w:rsid w:val="00980A22"/>
    <w:rsid w:val="00980D85"/>
    <w:rsid w:val="0098167D"/>
    <w:rsid w:val="00981E09"/>
    <w:rsid w:val="00983094"/>
    <w:rsid w:val="00983599"/>
    <w:rsid w:val="009843DE"/>
    <w:rsid w:val="00984BE4"/>
    <w:rsid w:val="0098536A"/>
    <w:rsid w:val="0098544F"/>
    <w:rsid w:val="00985B04"/>
    <w:rsid w:val="0098661B"/>
    <w:rsid w:val="00986A6D"/>
    <w:rsid w:val="00986BEF"/>
    <w:rsid w:val="00987298"/>
    <w:rsid w:val="00987B34"/>
    <w:rsid w:val="00990282"/>
    <w:rsid w:val="00990769"/>
    <w:rsid w:val="00991DF8"/>
    <w:rsid w:val="00992499"/>
    <w:rsid w:val="009928A3"/>
    <w:rsid w:val="00992986"/>
    <w:rsid w:val="009936E2"/>
    <w:rsid w:val="00994B55"/>
    <w:rsid w:val="00995D86"/>
    <w:rsid w:val="00995FB2"/>
    <w:rsid w:val="00996A5A"/>
    <w:rsid w:val="0099781E"/>
    <w:rsid w:val="00997A68"/>
    <w:rsid w:val="009A0071"/>
    <w:rsid w:val="009A00EA"/>
    <w:rsid w:val="009A0403"/>
    <w:rsid w:val="009A0587"/>
    <w:rsid w:val="009A0DA2"/>
    <w:rsid w:val="009A1F6B"/>
    <w:rsid w:val="009A2616"/>
    <w:rsid w:val="009A2C4C"/>
    <w:rsid w:val="009A2DD8"/>
    <w:rsid w:val="009A30DE"/>
    <w:rsid w:val="009A39D5"/>
    <w:rsid w:val="009A3D29"/>
    <w:rsid w:val="009A509F"/>
    <w:rsid w:val="009A5453"/>
    <w:rsid w:val="009A6A7B"/>
    <w:rsid w:val="009A7532"/>
    <w:rsid w:val="009A7883"/>
    <w:rsid w:val="009B04B7"/>
    <w:rsid w:val="009B0596"/>
    <w:rsid w:val="009B1D50"/>
    <w:rsid w:val="009B237F"/>
    <w:rsid w:val="009B2760"/>
    <w:rsid w:val="009B308D"/>
    <w:rsid w:val="009B31D6"/>
    <w:rsid w:val="009B3707"/>
    <w:rsid w:val="009B38D5"/>
    <w:rsid w:val="009B3B62"/>
    <w:rsid w:val="009B3C8D"/>
    <w:rsid w:val="009B3DE3"/>
    <w:rsid w:val="009B4FFB"/>
    <w:rsid w:val="009B53C7"/>
    <w:rsid w:val="009B54FD"/>
    <w:rsid w:val="009B7489"/>
    <w:rsid w:val="009B7987"/>
    <w:rsid w:val="009B7B0A"/>
    <w:rsid w:val="009C0519"/>
    <w:rsid w:val="009C07C9"/>
    <w:rsid w:val="009C08D7"/>
    <w:rsid w:val="009C0B63"/>
    <w:rsid w:val="009C0DC5"/>
    <w:rsid w:val="009C1866"/>
    <w:rsid w:val="009C1FDE"/>
    <w:rsid w:val="009C23FE"/>
    <w:rsid w:val="009C24C8"/>
    <w:rsid w:val="009C274A"/>
    <w:rsid w:val="009C375C"/>
    <w:rsid w:val="009C4E0D"/>
    <w:rsid w:val="009C4F09"/>
    <w:rsid w:val="009C4F1B"/>
    <w:rsid w:val="009C503B"/>
    <w:rsid w:val="009C542B"/>
    <w:rsid w:val="009C5793"/>
    <w:rsid w:val="009C5816"/>
    <w:rsid w:val="009C61EA"/>
    <w:rsid w:val="009C63EC"/>
    <w:rsid w:val="009C6DF1"/>
    <w:rsid w:val="009C7DAC"/>
    <w:rsid w:val="009C7F93"/>
    <w:rsid w:val="009D077D"/>
    <w:rsid w:val="009D08A6"/>
    <w:rsid w:val="009D0EC0"/>
    <w:rsid w:val="009D1915"/>
    <w:rsid w:val="009D1B69"/>
    <w:rsid w:val="009D1EB3"/>
    <w:rsid w:val="009D25DE"/>
    <w:rsid w:val="009D2ABF"/>
    <w:rsid w:val="009D3AD2"/>
    <w:rsid w:val="009D3E06"/>
    <w:rsid w:val="009D5843"/>
    <w:rsid w:val="009D638D"/>
    <w:rsid w:val="009D6393"/>
    <w:rsid w:val="009D6B6C"/>
    <w:rsid w:val="009D766F"/>
    <w:rsid w:val="009E0885"/>
    <w:rsid w:val="009E1CC8"/>
    <w:rsid w:val="009E20F7"/>
    <w:rsid w:val="009E2827"/>
    <w:rsid w:val="009E2863"/>
    <w:rsid w:val="009E30D2"/>
    <w:rsid w:val="009E31B5"/>
    <w:rsid w:val="009E4885"/>
    <w:rsid w:val="009E49C6"/>
    <w:rsid w:val="009E4E65"/>
    <w:rsid w:val="009E508B"/>
    <w:rsid w:val="009E5EDF"/>
    <w:rsid w:val="009E5FBE"/>
    <w:rsid w:val="009E6068"/>
    <w:rsid w:val="009E6A00"/>
    <w:rsid w:val="009E6DB4"/>
    <w:rsid w:val="009F0086"/>
    <w:rsid w:val="009F03AB"/>
    <w:rsid w:val="009F0619"/>
    <w:rsid w:val="009F068A"/>
    <w:rsid w:val="009F08C5"/>
    <w:rsid w:val="009F0A85"/>
    <w:rsid w:val="009F1260"/>
    <w:rsid w:val="009F15CA"/>
    <w:rsid w:val="009F1B71"/>
    <w:rsid w:val="009F220A"/>
    <w:rsid w:val="009F3171"/>
    <w:rsid w:val="009F36D6"/>
    <w:rsid w:val="009F3860"/>
    <w:rsid w:val="009F6575"/>
    <w:rsid w:val="009F7ADC"/>
    <w:rsid w:val="00A0002A"/>
    <w:rsid w:val="00A01F3A"/>
    <w:rsid w:val="00A0236D"/>
    <w:rsid w:val="00A026A4"/>
    <w:rsid w:val="00A02985"/>
    <w:rsid w:val="00A02B2B"/>
    <w:rsid w:val="00A02FA8"/>
    <w:rsid w:val="00A03F1A"/>
    <w:rsid w:val="00A03F74"/>
    <w:rsid w:val="00A03F88"/>
    <w:rsid w:val="00A044B9"/>
    <w:rsid w:val="00A046BF"/>
    <w:rsid w:val="00A04709"/>
    <w:rsid w:val="00A05A37"/>
    <w:rsid w:val="00A05B25"/>
    <w:rsid w:val="00A05C04"/>
    <w:rsid w:val="00A05EC0"/>
    <w:rsid w:val="00A06254"/>
    <w:rsid w:val="00A06842"/>
    <w:rsid w:val="00A07459"/>
    <w:rsid w:val="00A07D78"/>
    <w:rsid w:val="00A07DB6"/>
    <w:rsid w:val="00A10573"/>
    <w:rsid w:val="00A10972"/>
    <w:rsid w:val="00A11406"/>
    <w:rsid w:val="00A11C82"/>
    <w:rsid w:val="00A13205"/>
    <w:rsid w:val="00A132A1"/>
    <w:rsid w:val="00A13422"/>
    <w:rsid w:val="00A148F0"/>
    <w:rsid w:val="00A15132"/>
    <w:rsid w:val="00A15331"/>
    <w:rsid w:val="00A1554D"/>
    <w:rsid w:val="00A15792"/>
    <w:rsid w:val="00A158E3"/>
    <w:rsid w:val="00A1591A"/>
    <w:rsid w:val="00A172E0"/>
    <w:rsid w:val="00A17527"/>
    <w:rsid w:val="00A211C5"/>
    <w:rsid w:val="00A221A3"/>
    <w:rsid w:val="00A223D5"/>
    <w:rsid w:val="00A235E4"/>
    <w:rsid w:val="00A23F41"/>
    <w:rsid w:val="00A254D5"/>
    <w:rsid w:val="00A25547"/>
    <w:rsid w:val="00A2563D"/>
    <w:rsid w:val="00A25F76"/>
    <w:rsid w:val="00A3003E"/>
    <w:rsid w:val="00A31E14"/>
    <w:rsid w:val="00A331DC"/>
    <w:rsid w:val="00A3325E"/>
    <w:rsid w:val="00A34276"/>
    <w:rsid w:val="00A34524"/>
    <w:rsid w:val="00A345B6"/>
    <w:rsid w:val="00A3502D"/>
    <w:rsid w:val="00A354D1"/>
    <w:rsid w:val="00A357A4"/>
    <w:rsid w:val="00A35AF5"/>
    <w:rsid w:val="00A35CDF"/>
    <w:rsid w:val="00A36453"/>
    <w:rsid w:val="00A37970"/>
    <w:rsid w:val="00A37A68"/>
    <w:rsid w:val="00A37B0C"/>
    <w:rsid w:val="00A37CE6"/>
    <w:rsid w:val="00A37D1C"/>
    <w:rsid w:val="00A37FFE"/>
    <w:rsid w:val="00A404BE"/>
    <w:rsid w:val="00A40C08"/>
    <w:rsid w:val="00A40ECF"/>
    <w:rsid w:val="00A411C9"/>
    <w:rsid w:val="00A41B47"/>
    <w:rsid w:val="00A41FEF"/>
    <w:rsid w:val="00A42476"/>
    <w:rsid w:val="00A433CA"/>
    <w:rsid w:val="00A43A1A"/>
    <w:rsid w:val="00A43D48"/>
    <w:rsid w:val="00A43F3C"/>
    <w:rsid w:val="00A447A5"/>
    <w:rsid w:val="00A44D18"/>
    <w:rsid w:val="00A45B83"/>
    <w:rsid w:val="00A4646E"/>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7EA"/>
    <w:rsid w:val="00A539AD"/>
    <w:rsid w:val="00A53D1B"/>
    <w:rsid w:val="00A53E3E"/>
    <w:rsid w:val="00A540B2"/>
    <w:rsid w:val="00A5414D"/>
    <w:rsid w:val="00A54A3E"/>
    <w:rsid w:val="00A556B7"/>
    <w:rsid w:val="00A56454"/>
    <w:rsid w:val="00A564A6"/>
    <w:rsid w:val="00A567AE"/>
    <w:rsid w:val="00A56819"/>
    <w:rsid w:val="00A568AC"/>
    <w:rsid w:val="00A57809"/>
    <w:rsid w:val="00A57B07"/>
    <w:rsid w:val="00A6025F"/>
    <w:rsid w:val="00A60E9C"/>
    <w:rsid w:val="00A61196"/>
    <w:rsid w:val="00A6131E"/>
    <w:rsid w:val="00A616AF"/>
    <w:rsid w:val="00A61879"/>
    <w:rsid w:val="00A628B4"/>
    <w:rsid w:val="00A62B65"/>
    <w:rsid w:val="00A62E6A"/>
    <w:rsid w:val="00A63E32"/>
    <w:rsid w:val="00A63E4E"/>
    <w:rsid w:val="00A6444F"/>
    <w:rsid w:val="00A652FF"/>
    <w:rsid w:val="00A65567"/>
    <w:rsid w:val="00A6598D"/>
    <w:rsid w:val="00A65A0D"/>
    <w:rsid w:val="00A65C27"/>
    <w:rsid w:val="00A65F3C"/>
    <w:rsid w:val="00A661FD"/>
    <w:rsid w:val="00A66FB3"/>
    <w:rsid w:val="00A67DF5"/>
    <w:rsid w:val="00A709A3"/>
    <w:rsid w:val="00A71216"/>
    <w:rsid w:val="00A714A3"/>
    <w:rsid w:val="00A71B8B"/>
    <w:rsid w:val="00A74456"/>
    <w:rsid w:val="00A75089"/>
    <w:rsid w:val="00A754D1"/>
    <w:rsid w:val="00A75832"/>
    <w:rsid w:val="00A75EDC"/>
    <w:rsid w:val="00A80404"/>
    <w:rsid w:val="00A80548"/>
    <w:rsid w:val="00A8085F"/>
    <w:rsid w:val="00A80A3D"/>
    <w:rsid w:val="00A817A8"/>
    <w:rsid w:val="00A81E50"/>
    <w:rsid w:val="00A81F1C"/>
    <w:rsid w:val="00A82241"/>
    <w:rsid w:val="00A82602"/>
    <w:rsid w:val="00A82DA0"/>
    <w:rsid w:val="00A83E49"/>
    <w:rsid w:val="00A8401C"/>
    <w:rsid w:val="00A8415A"/>
    <w:rsid w:val="00A841A6"/>
    <w:rsid w:val="00A84221"/>
    <w:rsid w:val="00A843CA"/>
    <w:rsid w:val="00A84B7A"/>
    <w:rsid w:val="00A85063"/>
    <w:rsid w:val="00A85367"/>
    <w:rsid w:val="00A86359"/>
    <w:rsid w:val="00A865DC"/>
    <w:rsid w:val="00A86FBC"/>
    <w:rsid w:val="00A879C5"/>
    <w:rsid w:val="00A87FA2"/>
    <w:rsid w:val="00A902AD"/>
    <w:rsid w:val="00A90302"/>
    <w:rsid w:val="00A9099E"/>
    <w:rsid w:val="00A91FB7"/>
    <w:rsid w:val="00A921CE"/>
    <w:rsid w:val="00A92967"/>
    <w:rsid w:val="00A9298F"/>
    <w:rsid w:val="00A9301E"/>
    <w:rsid w:val="00A93E3A"/>
    <w:rsid w:val="00A94BFF"/>
    <w:rsid w:val="00A95186"/>
    <w:rsid w:val="00A951AD"/>
    <w:rsid w:val="00A952F8"/>
    <w:rsid w:val="00A9561B"/>
    <w:rsid w:val="00A961BD"/>
    <w:rsid w:val="00A9652F"/>
    <w:rsid w:val="00A973B1"/>
    <w:rsid w:val="00AA027E"/>
    <w:rsid w:val="00AA1224"/>
    <w:rsid w:val="00AA14F2"/>
    <w:rsid w:val="00AA17D9"/>
    <w:rsid w:val="00AA180B"/>
    <w:rsid w:val="00AA1D43"/>
    <w:rsid w:val="00AA2358"/>
    <w:rsid w:val="00AA2469"/>
    <w:rsid w:val="00AA2CD7"/>
    <w:rsid w:val="00AA2FA4"/>
    <w:rsid w:val="00AA3301"/>
    <w:rsid w:val="00AA3360"/>
    <w:rsid w:val="00AA386B"/>
    <w:rsid w:val="00AA4C2E"/>
    <w:rsid w:val="00AA5B16"/>
    <w:rsid w:val="00AA6384"/>
    <w:rsid w:val="00AA6B93"/>
    <w:rsid w:val="00AA7A06"/>
    <w:rsid w:val="00AA7A7F"/>
    <w:rsid w:val="00AA7F56"/>
    <w:rsid w:val="00AB1984"/>
    <w:rsid w:val="00AB1CBB"/>
    <w:rsid w:val="00AB215B"/>
    <w:rsid w:val="00AB266D"/>
    <w:rsid w:val="00AB2E7D"/>
    <w:rsid w:val="00AB3146"/>
    <w:rsid w:val="00AB333E"/>
    <w:rsid w:val="00AB37DB"/>
    <w:rsid w:val="00AB3ECC"/>
    <w:rsid w:val="00AB54B5"/>
    <w:rsid w:val="00AB573A"/>
    <w:rsid w:val="00AB5A73"/>
    <w:rsid w:val="00AB5F48"/>
    <w:rsid w:val="00AB7156"/>
    <w:rsid w:val="00AB716D"/>
    <w:rsid w:val="00AB72BB"/>
    <w:rsid w:val="00AB7472"/>
    <w:rsid w:val="00AB7BF3"/>
    <w:rsid w:val="00AC039D"/>
    <w:rsid w:val="00AC09D5"/>
    <w:rsid w:val="00AC0C1D"/>
    <w:rsid w:val="00AC0D8E"/>
    <w:rsid w:val="00AC175B"/>
    <w:rsid w:val="00AC1AA3"/>
    <w:rsid w:val="00AC1F8E"/>
    <w:rsid w:val="00AC22C1"/>
    <w:rsid w:val="00AC374B"/>
    <w:rsid w:val="00AC3798"/>
    <w:rsid w:val="00AC3ED5"/>
    <w:rsid w:val="00AC4CB3"/>
    <w:rsid w:val="00AC4D7C"/>
    <w:rsid w:val="00AC53B0"/>
    <w:rsid w:val="00AC6473"/>
    <w:rsid w:val="00AC6655"/>
    <w:rsid w:val="00AC6EF2"/>
    <w:rsid w:val="00AC71A6"/>
    <w:rsid w:val="00AC742F"/>
    <w:rsid w:val="00AC7664"/>
    <w:rsid w:val="00AC774F"/>
    <w:rsid w:val="00AC780D"/>
    <w:rsid w:val="00AC787B"/>
    <w:rsid w:val="00AC78A0"/>
    <w:rsid w:val="00AC7956"/>
    <w:rsid w:val="00AC7E18"/>
    <w:rsid w:val="00AD1B79"/>
    <w:rsid w:val="00AD3208"/>
    <w:rsid w:val="00AD3C00"/>
    <w:rsid w:val="00AD4A3C"/>
    <w:rsid w:val="00AD4F6A"/>
    <w:rsid w:val="00AD50F8"/>
    <w:rsid w:val="00AD719F"/>
    <w:rsid w:val="00AD738C"/>
    <w:rsid w:val="00AD7447"/>
    <w:rsid w:val="00AD752A"/>
    <w:rsid w:val="00AD7D36"/>
    <w:rsid w:val="00AE0A0E"/>
    <w:rsid w:val="00AE0DED"/>
    <w:rsid w:val="00AE1D05"/>
    <w:rsid w:val="00AE2780"/>
    <w:rsid w:val="00AE284A"/>
    <w:rsid w:val="00AE307E"/>
    <w:rsid w:val="00AE3450"/>
    <w:rsid w:val="00AE392E"/>
    <w:rsid w:val="00AE3E11"/>
    <w:rsid w:val="00AE40B3"/>
    <w:rsid w:val="00AE4BAB"/>
    <w:rsid w:val="00AE4BDC"/>
    <w:rsid w:val="00AE4CFD"/>
    <w:rsid w:val="00AE4EA6"/>
    <w:rsid w:val="00AE51FF"/>
    <w:rsid w:val="00AE55AD"/>
    <w:rsid w:val="00AE5D8F"/>
    <w:rsid w:val="00AE67D5"/>
    <w:rsid w:val="00AE67FA"/>
    <w:rsid w:val="00AE78ED"/>
    <w:rsid w:val="00AE7AC2"/>
    <w:rsid w:val="00AE7EC9"/>
    <w:rsid w:val="00AF0117"/>
    <w:rsid w:val="00AF1117"/>
    <w:rsid w:val="00AF1555"/>
    <w:rsid w:val="00AF174E"/>
    <w:rsid w:val="00AF18BA"/>
    <w:rsid w:val="00AF19AE"/>
    <w:rsid w:val="00AF1CA5"/>
    <w:rsid w:val="00AF228C"/>
    <w:rsid w:val="00AF2DB9"/>
    <w:rsid w:val="00AF3928"/>
    <w:rsid w:val="00AF3B55"/>
    <w:rsid w:val="00AF3D62"/>
    <w:rsid w:val="00AF4146"/>
    <w:rsid w:val="00AF56FE"/>
    <w:rsid w:val="00AF5C45"/>
    <w:rsid w:val="00AF62A7"/>
    <w:rsid w:val="00AF6AC5"/>
    <w:rsid w:val="00AF7809"/>
    <w:rsid w:val="00AF7CA7"/>
    <w:rsid w:val="00AF7F7B"/>
    <w:rsid w:val="00B00BDE"/>
    <w:rsid w:val="00B0104B"/>
    <w:rsid w:val="00B01FA1"/>
    <w:rsid w:val="00B021E0"/>
    <w:rsid w:val="00B03A30"/>
    <w:rsid w:val="00B03A35"/>
    <w:rsid w:val="00B0430C"/>
    <w:rsid w:val="00B04F99"/>
    <w:rsid w:val="00B057B6"/>
    <w:rsid w:val="00B05A7C"/>
    <w:rsid w:val="00B06361"/>
    <w:rsid w:val="00B0651D"/>
    <w:rsid w:val="00B06955"/>
    <w:rsid w:val="00B0758A"/>
    <w:rsid w:val="00B07BEA"/>
    <w:rsid w:val="00B07F41"/>
    <w:rsid w:val="00B102F9"/>
    <w:rsid w:val="00B11C80"/>
    <w:rsid w:val="00B11F33"/>
    <w:rsid w:val="00B12152"/>
    <w:rsid w:val="00B12DCA"/>
    <w:rsid w:val="00B13ECB"/>
    <w:rsid w:val="00B1524F"/>
    <w:rsid w:val="00B15A54"/>
    <w:rsid w:val="00B15ECF"/>
    <w:rsid w:val="00B16666"/>
    <w:rsid w:val="00B169CD"/>
    <w:rsid w:val="00B16C0A"/>
    <w:rsid w:val="00B1785C"/>
    <w:rsid w:val="00B17F60"/>
    <w:rsid w:val="00B2039A"/>
    <w:rsid w:val="00B20AC8"/>
    <w:rsid w:val="00B21063"/>
    <w:rsid w:val="00B2124A"/>
    <w:rsid w:val="00B215D5"/>
    <w:rsid w:val="00B21D55"/>
    <w:rsid w:val="00B225CB"/>
    <w:rsid w:val="00B22870"/>
    <w:rsid w:val="00B22A22"/>
    <w:rsid w:val="00B22AA6"/>
    <w:rsid w:val="00B23D1A"/>
    <w:rsid w:val="00B23F4C"/>
    <w:rsid w:val="00B24233"/>
    <w:rsid w:val="00B246DD"/>
    <w:rsid w:val="00B248D8"/>
    <w:rsid w:val="00B24BA7"/>
    <w:rsid w:val="00B25A6F"/>
    <w:rsid w:val="00B25CD9"/>
    <w:rsid w:val="00B268D0"/>
    <w:rsid w:val="00B269D3"/>
    <w:rsid w:val="00B27886"/>
    <w:rsid w:val="00B27F44"/>
    <w:rsid w:val="00B301ED"/>
    <w:rsid w:val="00B30448"/>
    <w:rsid w:val="00B3048B"/>
    <w:rsid w:val="00B30875"/>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40162"/>
    <w:rsid w:val="00B401B6"/>
    <w:rsid w:val="00B4054D"/>
    <w:rsid w:val="00B405CD"/>
    <w:rsid w:val="00B40903"/>
    <w:rsid w:val="00B40FDB"/>
    <w:rsid w:val="00B41C6D"/>
    <w:rsid w:val="00B420B2"/>
    <w:rsid w:val="00B42800"/>
    <w:rsid w:val="00B42832"/>
    <w:rsid w:val="00B42863"/>
    <w:rsid w:val="00B430F6"/>
    <w:rsid w:val="00B43511"/>
    <w:rsid w:val="00B43CE6"/>
    <w:rsid w:val="00B4468B"/>
    <w:rsid w:val="00B45528"/>
    <w:rsid w:val="00B468B0"/>
    <w:rsid w:val="00B46B6E"/>
    <w:rsid w:val="00B478FA"/>
    <w:rsid w:val="00B50156"/>
    <w:rsid w:val="00B501E8"/>
    <w:rsid w:val="00B502A3"/>
    <w:rsid w:val="00B506D4"/>
    <w:rsid w:val="00B506ED"/>
    <w:rsid w:val="00B507AA"/>
    <w:rsid w:val="00B50953"/>
    <w:rsid w:val="00B509AE"/>
    <w:rsid w:val="00B50E13"/>
    <w:rsid w:val="00B51581"/>
    <w:rsid w:val="00B518AD"/>
    <w:rsid w:val="00B51BB6"/>
    <w:rsid w:val="00B52056"/>
    <w:rsid w:val="00B52B0E"/>
    <w:rsid w:val="00B52D81"/>
    <w:rsid w:val="00B5355B"/>
    <w:rsid w:val="00B536C1"/>
    <w:rsid w:val="00B5402E"/>
    <w:rsid w:val="00B540E8"/>
    <w:rsid w:val="00B54681"/>
    <w:rsid w:val="00B55852"/>
    <w:rsid w:val="00B55E43"/>
    <w:rsid w:val="00B560A9"/>
    <w:rsid w:val="00B56866"/>
    <w:rsid w:val="00B56CC4"/>
    <w:rsid w:val="00B604BB"/>
    <w:rsid w:val="00B6062A"/>
    <w:rsid w:val="00B60A96"/>
    <w:rsid w:val="00B60DD7"/>
    <w:rsid w:val="00B60EB6"/>
    <w:rsid w:val="00B60EE5"/>
    <w:rsid w:val="00B616A5"/>
    <w:rsid w:val="00B628BE"/>
    <w:rsid w:val="00B62B67"/>
    <w:rsid w:val="00B637FB"/>
    <w:rsid w:val="00B6386F"/>
    <w:rsid w:val="00B649BD"/>
    <w:rsid w:val="00B65295"/>
    <w:rsid w:val="00B65D9B"/>
    <w:rsid w:val="00B667E1"/>
    <w:rsid w:val="00B66E51"/>
    <w:rsid w:val="00B66E68"/>
    <w:rsid w:val="00B672CB"/>
    <w:rsid w:val="00B67346"/>
    <w:rsid w:val="00B6793A"/>
    <w:rsid w:val="00B67AC3"/>
    <w:rsid w:val="00B70880"/>
    <w:rsid w:val="00B71422"/>
    <w:rsid w:val="00B71486"/>
    <w:rsid w:val="00B71607"/>
    <w:rsid w:val="00B71EF7"/>
    <w:rsid w:val="00B720BE"/>
    <w:rsid w:val="00B72361"/>
    <w:rsid w:val="00B74AB0"/>
    <w:rsid w:val="00B75345"/>
    <w:rsid w:val="00B7584B"/>
    <w:rsid w:val="00B76327"/>
    <w:rsid w:val="00B76400"/>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83620"/>
    <w:rsid w:val="00B86BD5"/>
    <w:rsid w:val="00B90351"/>
    <w:rsid w:val="00B90532"/>
    <w:rsid w:val="00B906F2"/>
    <w:rsid w:val="00B90D9B"/>
    <w:rsid w:val="00B91259"/>
    <w:rsid w:val="00B91AD5"/>
    <w:rsid w:val="00B91B81"/>
    <w:rsid w:val="00B91FF0"/>
    <w:rsid w:val="00B92164"/>
    <w:rsid w:val="00B926A8"/>
    <w:rsid w:val="00B92FFF"/>
    <w:rsid w:val="00B93538"/>
    <w:rsid w:val="00B936F8"/>
    <w:rsid w:val="00B9492E"/>
    <w:rsid w:val="00B94B06"/>
    <w:rsid w:val="00B960DB"/>
    <w:rsid w:val="00B96799"/>
    <w:rsid w:val="00B96DE5"/>
    <w:rsid w:val="00B97A76"/>
    <w:rsid w:val="00BA0166"/>
    <w:rsid w:val="00BA0584"/>
    <w:rsid w:val="00BA0755"/>
    <w:rsid w:val="00BA1E9D"/>
    <w:rsid w:val="00BA249D"/>
    <w:rsid w:val="00BA2F9B"/>
    <w:rsid w:val="00BA38D5"/>
    <w:rsid w:val="00BA3C66"/>
    <w:rsid w:val="00BA4D00"/>
    <w:rsid w:val="00BA4D30"/>
    <w:rsid w:val="00BA4F9B"/>
    <w:rsid w:val="00BA51C0"/>
    <w:rsid w:val="00BA5665"/>
    <w:rsid w:val="00BA6825"/>
    <w:rsid w:val="00BA72D9"/>
    <w:rsid w:val="00BA74E8"/>
    <w:rsid w:val="00BB02DB"/>
    <w:rsid w:val="00BB0AB5"/>
    <w:rsid w:val="00BB195B"/>
    <w:rsid w:val="00BB1BBA"/>
    <w:rsid w:val="00BB1DB7"/>
    <w:rsid w:val="00BB204A"/>
    <w:rsid w:val="00BB2BD1"/>
    <w:rsid w:val="00BB31DF"/>
    <w:rsid w:val="00BB33E9"/>
    <w:rsid w:val="00BB34B7"/>
    <w:rsid w:val="00BB37AF"/>
    <w:rsid w:val="00BB3BE4"/>
    <w:rsid w:val="00BB44DB"/>
    <w:rsid w:val="00BB57D3"/>
    <w:rsid w:val="00BB58EE"/>
    <w:rsid w:val="00BB64EC"/>
    <w:rsid w:val="00BB7589"/>
    <w:rsid w:val="00BB7668"/>
    <w:rsid w:val="00BB767D"/>
    <w:rsid w:val="00BB7D3C"/>
    <w:rsid w:val="00BB7E42"/>
    <w:rsid w:val="00BC06ED"/>
    <w:rsid w:val="00BC077E"/>
    <w:rsid w:val="00BC0DE5"/>
    <w:rsid w:val="00BC0E57"/>
    <w:rsid w:val="00BC1F5F"/>
    <w:rsid w:val="00BC21BE"/>
    <w:rsid w:val="00BC2465"/>
    <w:rsid w:val="00BC2A8A"/>
    <w:rsid w:val="00BC3E36"/>
    <w:rsid w:val="00BC4B2D"/>
    <w:rsid w:val="00BC4CE8"/>
    <w:rsid w:val="00BC4D54"/>
    <w:rsid w:val="00BC5645"/>
    <w:rsid w:val="00BC6E2F"/>
    <w:rsid w:val="00BC728A"/>
    <w:rsid w:val="00BC7632"/>
    <w:rsid w:val="00BC77A4"/>
    <w:rsid w:val="00BC7C9E"/>
    <w:rsid w:val="00BD1E79"/>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3FED"/>
    <w:rsid w:val="00BE42FC"/>
    <w:rsid w:val="00BE53CB"/>
    <w:rsid w:val="00BE5888"/>
    <w:rsid w:val="00BE6085"/>
    <w:rsid w:val="00BE66FC"/>
    <w:rsid w:val="00BE73FA"/>
    <w:rsid w:val="00BF00D1"/>
    <w:rsid w:val="00BF0353"/>
    <w:rsid w:val="00BF090A"/>
    <w:rsid w:val="00BF0918"/>
    <w:rsid w:val="00BF2001"/>
    <w:rsid w:val="00BF208E"/>
    <w:rsid w:val="00BF2575"/>
    <w:rsid w:val="00BF31A0"/>
    <w:rsid w:val="00BF323A"/>
    <w:rsid w:val="00BF36C0"/>
    <w:rsid w:val="00BF3CC3"/>
    <w:rsid w:val="00BF3F0A"/>
    <w:rsid w:val="00BF4331"/>
    <w:rsid w:val="00BF4C22"/>
    <w:rsid w:val="00BF4E35"/>
    <w:rsid w:val="00BF5098"/>
    <w:rsid w:val="00BF5FB3"/>
    <w:rsid w:val="00BF6F82"/>
    <w:rsid w:val="00BF70E2"/>
    <w:rsid w:val="00BF7B9B"/>
    <w:rsid w:val="00C0083F"/>
    <w:rsid w:val="00C00976"/>
    <w:rsid w:val="00C020CD"/>
    <w:rsid w:val="00C02DDE"/>
    <w:rsid w:val="00C0362D"/>
    <w:rsid w:val="00C0367B"/>
    <w:rsid w:val="00C04E51"/>
    <w:rsid w:val="00C05074"/>
    <w:rsid w:val="00C05AF9"/>
    <w:rsid w:val="00C0606E"/>
    <w:rsid w:val="00C060A3"/>
    <w:rsid w:val="00C060B0"/>
    <w:rsid w:val="00C06D2C"/>
    <w:rsid w:val="00C072F0"/>
    <w:rsid w:val="00C07344"/>
    <w:rsid w:val="00C079A3"/>
    <w:rsid w:val="00C07C1F"/>
    <w:rsid w:val="00C07C79"/>
    <w:rsid w:val="00C11A79"/>
    <w:rsid w:val="00C1211E"/>
    <w:rsid w:val="00C13607"/>
    <w:rsid w:val="00C137B1"/>
    <w:rsid w:val="00C13811"/>
    <w:rsid w:val="00C13B43"/>
    <w:rsid w:val="00C14152"/>
    <w:rsid w:val="00C147CC"/>
    <w:rsid w:val="00C15E81"/>
    <w:rsid w:val="00C174C9"/>
    <w:rsid w:val="00C17A25"/>
    <w:rsid w:val="00C17B6E"/>
    <w:rsid w:val="00C200BA"/>
    <w:rsid w:val="00C20748"/>
    <w:rsid w:val="00C20754"/>
    <w:rsid w:val="00C21378"/>
    <w:rsid w:val="00C220A5"/>
    <w:rsid w:val="00C22307"/>
    <w:rsid w:val="00C22BB2"/>
    <w:rsid w:val="00C22EAF"/>
    <w:rsid w:val="00C23150"/>
    <w:rsid w:val="00C23F7D"/>
    <w:rsid w:val="00C24580"/>
    <w:rsid w:val="00C24908"/>
    <w:rsid w:val="00C250E8"/>
    <w:rsid w:val="00C25150"/>
    <w:rsid w:val="00C2515F"/>
    <w:rsid w:val="00C251F1"/>
    <w:rsid w:val="00C25B30"/>
    <w:rsid w:val="00C25DCF"/>
    <w:rsid w:val="00C26AEA"/>
    <w:rsid w:val="00C276EC"/>
    <w:rsid w:val="00C27C0A"/>
    <w:rsid w:val="00C30530"/>
    <w:rsid w:val="00C305D9"/>
    <w:rsid w:val="00C31184"/>
    <w:rsid w:val="00C31197"/>
    <w:rsid w:val="00C31AD4"/>
    <w:rsid w:val="00C31C63"/>
    <w:rsid w:val="00C31C8C"/>
    <w:rsid w:val="00C31CD9"/>
    <w:rsid w:val="00C32481"/>
    <w:rsid w:val="00C3394C"/>
    <w:rsid w:val="00C34278"/>
    <w:rsid w:val="00C34581"/>
    <w:rsid w:val="00C34A4C"/>
    <w:rsid w:val="00C34AD7"/>
    <w:rsid w:val="00C3516D"/>
    <w:rsid w:val="00C351E4"/>
    <w:rsid w:val="00C353D8"/>
    <w:rsid w:val="00C35B43"/>
    <w:rsid w:val="00C361A6"/>
    <w:rsid w:val="00C365C5"/>
    <w:rsid w:val="00C3670F"/>
    <w:rsid w:val="00C36E1A"/>
    <w:rsid w:val="00C36E26"/>
    <w:rsid w:val="00C371DF"/>
    <w:rsid w:val="00C37818"/>
    <w:rsid w:val="00C37EFC"/>
    <w:rsid w:val="00C37FF9"/>
    <w:rsid w:val="00C40126"/>
    <w:rsid w:val="00C41099"/>
    <w:rsid w:val="00C41425"/>
    <w:rsid w:val="00C41B4A"/>
    <w:rsid w:val="00C4213A"/>
    <w:rsid w:val="00C42C11"/>
    <w:rsid w:val="00C43344"/>
    <w:rsid w:val="00C43ADB"/>
    <w:rsid w:val="00C44065"/>
    <w:rsid w:val="00C44949"/>
    <w:rsid w:val="00C44B4C"/>
    <w:rsid w:val="00C450E3"/>
    <w:rsid w:val="00C456CC"/>
    <w:rsid w:val="00C45830"/>
    <w:rsid w:val="00C45C56"/>
    <w:rsid w:val="00C45CCD"/>
    <w:rsid w:val="00C46734"/>
    <w:rsid w:val="00C46C24"/>
    <w:rsid w:val="00C50112"/>
    <w:rsid w:val="00C5105D"/>
    <w:rsid w:val="00C511F0"/>
    <w:rsid w:val="00C513C7"/>
    <w:rsid w:val="00C51639"/>
    <w:rsid w:val="00C51871"/>
    <w:rsid w:val="00C53220"/>
    <w:rsid w:val="00C533A0"/>
    <w:rsid w:val="00C537E7"/>
    <w:rsid w:val="00C53AFE"/>
    <w:rsid w:val="00C53E9D"/>
    <w:rsid w:val="00C5426B"/>
    <w:rsid w:val="00C54C18"/>
    <w:rsid w:val="00C573DA"/>
    <w:rsid w:val="00C5772E"/>
    <w:rsid w:val="00C5781B"/>
    <w:rsid w:val="00C609E1"/>
    <w:rsid w:val="00C61117"/>
    <w:rsid w:val="00C616B4"/>
    <w:rsid w:val="00C621A7"/>
    <w:rsid w:val="00C62AA0"/>
    <w:rsid w:val="00C62AEC"/>
    <w:rsid w:val="00C62BF2"/>
    <w:rsid w:val="00C62D1B"/>
    <w:rsid w:val="00C62D43"/>
    <w:rsid w:val="00C638A6"/>
    <w:rsid w:val="00C63FB9"/>
    <w:rsid w:val="00C64266"/>
    <w:rsid w:val="00C647DF"/>
    <w:rsid w:val="00C64F8E"/>
    <w:rsid w:val="00C66306"/>
    <w:rsid w:val="00C66CE8"/>
    <w:rsid w:val="00C70074"/>
    <w:rsid w:val="00C703BA"/>
    <w:rsid w:val="00C70D51"/>
    <w:rsid w:val="00C70DF4"/>
    <w:rsid w:val="00C71252"/>
    <w:rsid w:val="00C7277F"/>
    <w:rsid w:val="00C72960"/>
    <w:rsid w:val="00C73C07"/>
    <w:rsid w:val="00C74759"/>
    <w:rsid w:val="00C74930"/>
    <w:rsid w:val="00C74B47"/>
    <w:rsid w:val="00C74D80"/>
    <w:rsid w:val="00C754BD"/>
    <w:rsid w:val="00C75D3A"/>
    <w:rsid w:val="00C769A9"/>
    <w:rsid w:val="00C772BC"/>
    <w:rsid w:val="00C774C9"/>
    <w:rsid w:val="00C77F1B"/>
    <w:rsid w:val="00C80987"/>
    <w:rsid w:val="00C80A3F"/>
    <w:rsid w:val="00C8180E"/>
    <w:rsid w:val="00C818A9"/>
    <w:rsid w:val="00C81F34"/>
    <w:rsid w:val="00C82436"/>
    <w:rsid w:val="00C82933"/>
    <w:rsid w:val="00C82BE2"/>
    <w:rsid w:val="00C835D3"/>
    <w:rsid w:val="00C84BBF"/>
    <w:rsid w:val="00C84BE9"/>
    <w:rsid w:val="00C854B7"/>
    <w:rsid w:val="00C85DEF"/>
    <w:rsid w:val="00C85E1C"/>
    <w:rsid w:val="00C85E40"/>
    <w:rsid w:val="00C86D76"/>
    <w:rsid w:val="00C86DA6"/>
    <w:rsid w:val="00C87A64"/>
    <w:rsid w:val="00C910F8"/>
    <w:rsid w:val="00C91106"/>
    <w:rsid w:val="00C9117B"/>
    <w:rsid w:val="00C91D19"/>
    <w:rsid w:val="00C93286"/>
    <w:rsid w:val="00C93B58"/>
    <w:rsid w:val="00C93C2F"/>
    <w:rsid w:val="00C9437C"/>
    <w:rsid w:val="00C946E4"/>
    <w:rsid w:val="00C946FF"/>
    <w:rsid w:val="00C94A14"/>
    <w:rsid w:val="00C94CDA"/>
    <w:rsid w:val="00C95BED"/>
    <w:rsid w:val="00C95EB3"/>
    <w:rsid w:val="00C96725"/>
    <w:rsid w:val="00C96FD9"/>
    <w:rsid w:val="00C97A66"/>
    <w:rsid w:val="00CA007B"/>
    <w:rsid w:val="00CA01BB"/>
    <w:rsid w:val="00CA0AA4"/>
    <w:rsid w:val="00CA0C1E"/>
    <w:rsid w:val="00CA15B0"/>
    <w:rsid w:val="00CA1C71"/>
    <w:rsid w:val="00CA1D4C"/>
    <w:rsid w:val="00CA1D50"/>
    <w:rsid w:val="00CA1DAB"/>
    <w:rsid w:val="00CA20E0"/>
    <w:rsid w:val="00CA2598"/>
    <w:rsid w:val="00CA3347"/>
    <w:rsid w:val="00CA41A6"/>
    <w:rsid w:val="00CA523D"/>
    <w:rsid w:val="00CA6FDA"/>
    <w:rsid w:val="00CA77CF"/>
    <w:rsid w:val="00CA7B58"/>
    <w:rsid w:val="00CB0836"/>
    <w:rsid w:val="00CB0CB9"/>
    <w:rsid w:val="00CB1413"/>
    <w:rsid w:val="00CB18D4"/>
    <w:rsid w:val="00CB24D9"/>
    <w:rsid w:val="00CB2518"/>
    <w:rsid w:val="00CB3156"/>
    <w:rsid w:val="00CB3920"/>
    <w:rsid w:val="00CB469E"/>
    <w:rsid w:val="00CB4C4C"/>
    <w:rsid w:val="00CB4DBA"/>
    <w:rsid w:val="00CB6413"/>
    <w:rsid w:val="00CB696F"/>
    <w:rsid w:val="00CB6A00"/>
    <w:rsid w:val="00CB7059"/>
    <w:rsid w:val="00CB7097"/>
    <w:rsid w:val="00CB709D"/>
    <w:rsid w:val="00CB73EE"/>
    <w:rsid w:val="00CB77F4"/>
    <w:rsid w:val="00CB780D"/>
    <w:rsid w:val="00CC00E9"/>
    <w:rsid w:val="00CC0F1C"/>
    <w:rsid w:val="00CC109F"/>
    <w:rsid w:val="00CC1983"/>
    <w:rsid w:val="00CC1BBB"/>
    <w:rsid w:val="00CC259D"/>
    <w:rsid w:val="00CC299A"/>
    <w:rsid w:val="00CC3039"/>
    <w:rsid w:val="00CC32B7"/>
    <w:rsid w:val="00CC36DE"/>
    <w:rsid w:val="00CC4498"/>
    <w:rsid w:val="00CC4F99"/>
    <w:rsid w:val="00CC5CDC"/>
    <w:rsid w:val="00CC5FC3"/>
    <w:rsid w:val="00CC6369"/>
    <w:rsid w:val="00CC6576"/>
    <w:rsid w:val="00CC65D6"/>
    <w:rsid w:val="00CC73F3"/>
    <w:rsid w:val="00CC7B85"/>
    <w:rsid w:val="00CD081C"/>
    <w:rsid w:val="00CD14DA"/>
    <w:rsid w:val="00CD1B5A"/>
    <w:rsid w:val="00CD1E9C"/>
    <w:rsid w:val="00CD27DB"/>
    <w:rsid w:val="00CD2E70"/>
    <w:rsid w:val="00CD386B"/>
    <w:rsid w:val="00CD3D06"/>
    <w:rsid w:val="00CD4A09"/>
    <w:rsid w:val="00CD4C67"/>
    <w:rsid w:val="00CD4C7B"/>
    <w:rsid w:val="00CD5125"/>
    <w:rsid w:val="00CD5397"/>
    <w:rsid w:val="00CD5E93"/>
    <w:rsid w:val="00CD6D2E"/>
    <w:rsid w:val="00CE061C"/>
    <w:rsid w:val="00CE1344"/>
    <w:rsid w:val="00CE15AE"/>
    <w:rsid w:val="00CE1CFC"/>
    <w:rsid w:val="00CE235A"/>
    <w:rsid w:val="00CE37A3"/>
    <w:rsid w:val="00CE3814"/>
    <w:rsid w:val="00CE3FC0"/>
    <w:rsid w:val="00CE4AC7"/>
    <w:rsid w:val="00CE56B7"/>
    <w:rsid w:val="00CE6543"/>
    <w:rsid w:val="00CE6660"/>
    <w:rsid w:val="00CE6855"/>
    <w:rsid w:val="00CE6B6F"/>
    <w:rsid w:val="00CE7033"/>
    <w:rsid w:val="00CE7075"/>
    <w:rsid w:val="00CE770A"/>
    <w:rsid w:val="00CF02A6"/>
    <w:rsid w:val="00CF05A6"/>
    <w:rsid w:val="00CF060D"/>
    <w:rsid w:val="00CF06CF"/>
    <w:rsid w:val="00CF101C"/>
    <w:rsid w:val="00CF15C5"/>
    <w:rsid w:val="00CF1E77"/>
    <w:rsid w:val="00CF1EFE"/>
    <w:rsid w:val="00CF2DC1"/>
    <w:rsid w:val="00CF2EE2"/>
    <w:rsid w:val="00CF37AD"/>
    <w:rsid w:val="00CF3948"/>
    <w:rsid w:val="00CF3ACF"/>
    <w:rsid w:val="00CF441D"/>
    <w:rsid w:val="00CF4FCF"/>
    <w:rsid w:val="00CF4FDC"/>
    <w:rsid w:val="00CF53F2"/>
    <w:rsid w:val="00CF56AF"/>
    <w:rsid w:val="00CF58F1"/>
    <w:rsid w:val="00CF5BE0"/>
    <w:rsid w:val="00CF5BF1"/>
    <w:rsid w:val="00CF5D64"/>
    <w:rsid w:val="00CF6001"/>
    <w:rsid w:val="00CF61CB"/>
    <w:rsid w:val="00CF666F"/>
    <w:rsid w:val="00CF686F"/>
    <w:rsid w:val="00CF6CA7"/>
    <w:rsid w:val="00CF6E7D"/>
    <w:rsid w:val="00CF76FB"/>
    <w:rsid w:val="00CF7705"/>
    <w:rsid w:val="00D00175"/>
    <w:rsid w:val="00D00223"/>
    <w:rsid w:val="00D00312"/>
    <w:rsid w:val="00D0045E"/>
    <w:rsid w:val="00D008D8"/>
    <w:rsid w:val="00D00DBF"/>
    <w:rsid w:val="00D0149B"/>
    <w:rsid w:val="00D01AAA"/>
    <w:rsid w:val="00D01F5D"/>
    <w:rsid w:val="00D01FA9"/>
    <w:rsid w:val="00D02D17"/>
    <w:rsid w:val="00D03755"/>
    <w:rsid w:val="00D03DBE"/>
    <w:rsid w:val="00D03EED"/>
    <w:rsid w:val="00D0597D"/>
    <w:rsid w:val="00D06274"/>
    <w:rsid w:val="00D066D8"/>
    <w:rsid w:val="00D07FB9"/>
    <w:rsid w:val="00D10C27"/>
    <w:rsid w:val="00D10E78"/>
    <w:rsid w:val="00D11949"/>
    <w:rsid w:val="00D11A69"/>
    <w:rsid w:val="00D11CB2"/>
    <w:rsid w:val="00D12C98"/>
    <w:rsid w:val="00D12FFC"/>
    <w:rsid w:val="00D13CA3"/>
    <w:rsid w:val="00D1484F"/>
    <w:rsid w:val="00D14BA0"/>
    <w:rsid w:val="00D14D7B"/>
    <w:rsid w:val="00D1516D"/>
    <w:rsid w:val="00D158B0"/>
    <w:rsid w:val="00D15B1C"/>
    <w:rsid w:val="00D15BBB"/>
    <w:rsid w:val="00D1707A"/>
    <w:rsid w:val="00D17CC2"/>
    <w:rsid w:val="00D20EED"/>
    <w:rsid w:val="00D21435"/>
    <w:rsid w:val="00D2242C"/>
    <w:rsid w:val="00D224FA"/>
    <w:rsid w:val="00D23033"/>
    <w:rsid w:val="00D23D60"/>
    <w:rsid w:val="00D23DA6"/>
    <w:rsid w:val="00D2402F"/>
    <w:rsid w:val="00D245C2"/>
    <w:rsid w:val="00D25660"/>
    <w:rsid w:val="00D2569B"/>
    <w:rsid w:val="00D258EB"/>
    <w:rsid w:val="00D25AEB"/>
    <w:rsid w:val="00D26C14"/>
    <w:rsid w:val="00D26E9A"/>
    <w:rsid w:val="00D271CD"/>
    <w:rsid w:val="00D27BD2"/>
    <w:rsid w:val="00D27C94"/>
    <w:rsid w:val="00D30480"/>
    <w:rsid w:val="00D3064E"/>
    <w:rsid w:val="00D315CC"/>
    <w:rsid w:val="00D31DDA"/>
    <w:rsid w:val="00D31F05"/>
    <w:rsid w:val="00D32067"/>
    <w:rsid w:val="00D327A3"/>
    <w:rsid w:val="00D33893"/>
    <w:rsid w:val="00D33AE9"/>
    <w:rsid w:val="00D34224"/>
    <w:rsid w:val="00D34927"/>
    <w:rsid w:val="00D34C82"/>
    <w:rsid w:val="00D36550"/>
    <w:rsid w:val="00D36C97"/>
    <w:rsid w:val="00D379EC"/>
    <w:rsid w:val="00D37C94"/>
    <w:rsid w:val="00D37E9F"/>
    <w:rsid w:val="00D40D88"/>
    <w:rsid w:val="00D41E42"/>
    <w:rsid w:val="00D41F6B"/>
    <w:rsid w:val="00D42380"/>
    <w:rsid w:val="00D42C9B"/>
    <w:rsid w:val="00D4348D"/>
    <w:rsid w:val="00D436D7"/>
    <w:rsid w:val="00D43ADD"/>
    <w:rsid w:val="00D44E42"/>
    <w:rsid w:val="00D44FC3"/>
    <w:rsid w:val="00D45072"/>
    <w:rsid w:val="00D450E2"/>
    <w:rsid w:val="00D453D7"/>
    <w:rsid w:val="00D4552D"/>
    <w:rsid w:val="00D462D6"/>
    <w:rsid w:val="00D46898"/>
    <w:rsid w:val="00D4714D"/>
    <w:rsid w:val="00D474AB"/>
    <w:rsid w:val="00D4754E"/>
    <w:rsid w:val="00D50460"/>
    <w:rsid w:val="00D50961"/>
    <w:rsid w:val="00D50A02"/>
    <w:rsid w:val="00D512A1"/>
    <w:rsid w:val="00D518D6"/>
    <w:rsid w:val="00D51FDC"/>
    <w:rsid w:val="00D52AB4"/>
    <w:rsid w:val="00D52F26"/>
    <w:rsid w:val="00D531F5"/>
    <w:rsid w:val="00D5373C"/>
    <w:rsid w:val="00D538C1"/>
    <w:rsid w:val="00D538D5"/>
    <w:rsid w:val="00D53B5C"/>
    <w:rsid w:val="00D54640"/>
    <w:rsid w:val="00D54916"/>
    <w:rsid w:val="00D55455"/>
    <w:rsid w:val="00D559B5"/>
    <w:rsid w:val="00D56420"/>
    <w:rsid w:val="00D5658A"/>
    <w:rsid w:val="00D56A94"/>
    <w:rsid w:val="00D56C0C"/>
    <w:rsid w:val="00D56F9E"/>
    <w:rsid w:val="00D570B4"/>
    <w:rsid w:val="00D5798B"/>
    <w:rsid w:val="00D602DF"/>
    <w:rsid w:val="00D60736"/>
    <w:rsid w:val="00D6085C"/>
    <w:rsid w:val="00D6170E"/>
    <w:rsid w:val="00D61972"/>
    <w:rsid w:val="00D61B58"/>
    <w:rsid w:val="00D6307D"/>
    <w:rsid w:val="00D63632"/>
    <w:rsid w:val="00D63732"/>
    <w:rsid w:val="00D637F5"/>
    <w:rsid w:val="00D63925"/>
    <w:rsid w:val="00D63D9C"/>
    <w:rsid w:val="00D6405D"/>
    <w:rsid w:val="00D6568E"/>
    <w:rsid w:val="00D65893"/>
    <w:rsid w:val="00D658EC"/>
    <w:rsid w:val="00D66816"/>
    <w:rsid w:val="00D6684E"/>
    <w:rsid w:val="00D6742A"/>
    <w:rsid w:val="00D67B9B"/>
    <w:rsid w:val="00D71733"/>
    <w:rsid w:val="00D718AC"/>
    <w:rsid w:val="00D719A3"/>
    <w:rsid w:val="00D71E7A"/>
    <w:rsid w:val="00D72DE7"/>
    <w:rsid w:val="00D7302F"/>
    <w:rsid w:val="00D7329E"/>
    <w:rsid w:val="00D7340B"/>
    <w:rsid w:val="00D73870"/>
    <w:rsid w:val="00D73BB2"/>
    <w:rsid w:val="00D74575"/>
    <w:rsid w:val="00D74C57"/>
    <w:rsid w:val="00D74D14"/>
    <w:rsid w:val="00D74E74"/>
    <w:rsid w:val="00D74F3B"/>
    <w:rsid w:val="00D752E7"/>
    <w:rsid w:val="00D7574B"/>
    <w:rsid w:val="00D75913"/>
    <w:rsid w:val="00D75E82"/>
    <w:rsid w:val="00D76270"/>
    <w:rsid w:val="00D767C6"/>
    <w:rsid w:val="00D769C5"/>
    <w:rsid w:val="00D76E76"/>
    <w:rsid w:val="00D80631"/>
    <w:rsid w:val="00D818EC"/>
    <w:rsid w:val="00D81A20"/>
    <w:rsid w:val="00D81F55"/>
    <w:rsid w:val="00D8292F"/>
    <w:rsid w:val="00D8321A"/>
    <w:rsid w:val="00D83F57"/>
    <w:rsid w:val="00D84A86"/>
    <w:rsid w:val="00D8507B"/>
    <w:rsid w:val="00D85152"/>
    <w:rsid w:val="00D85D1A"/>
    <w:rsid w:val="00D85F2C"/>
    <w:rsid w:val="00D86030"/>
    <w:rsid w:val="00D861BD"/>
    <w:rsid w:val="00D86D55"/>
    <w:rsid w:val="00D8789C"/>
    <w:rsid w:val="00D8789D"/>
    <w:rsid w:val="00D87B3F"/>
    <w:rsid w:val="00D9003D"/>
    <w:rsid w:val="00D90279"/>
    <w:rsid w:val="00D90558"/>
    <w:rsid w:val="00D9082F"/>
    <w:rsid w:val="00D90C79"/>
    <w:rsid w:val="00D914EB"/>
    <w:rsid w:val="00D91B36"/>
    <w:rsid w:val="00D9305B"/>
    <w:rsid w:val="00D94085"/>
    <w:rsid w:val="00D9445B"/>
    <w:rsid w:val="00D944D2"/>
    <w:rsid w:val="00D95ECE"/>
    <w:rsid w:val="00D96D4F"/>
    <w:rsid w:val="00DA1806"/>
    <w:rsid w:val="00DA1BD1"/>
    <w:rsid w:val="00DA212B"/>
    <w:rsid w:val="00DA3155"/>
    <w:rsid w:val="00DA3A76"/>
    <w:rsid w:val="00DA5713"/>
    <w:rsid w:val="00DA5B51"/>
    <w:rsid w:val="00DA5F95"/>
    <w:rsid w:val="00DA6856"/>
    <w:rsid w:val="00DA6D6D"/>
    <w:rsid w:val="00DA73C1"/>
    <w:rsid w:val="00DA7457"/>
    <w:rsid w:val="00DA7478"/>
    <w:rsid w:val="00DA770D"/>
    <w:rsid w:val="00DA77A8"/>
    <w:rsid w:val="00DA7851"/>
    <w:rsid w:val="00DA7DC1"/>
    <w:rsid w:val="00DB00EE"/>
    <w:rsid w:val="00DB0132"/>
    <w:rsid w:val="00DB2754"/>
    <w:rsid w:val="00DB2D88"/>
    <w:rsid w:val="00DB3687"/>
    <w:rsid w:val="00DB38D1"/>
    <w:rsid w:val="00DB3DC3"/>
    <w:rsid w:val="00DB41CB"/>
    <w:rsid w:val="00DB5114"/>
    <w:rsid w:val="00DB681B"/>
    <w:rsid w:val="00DB6D37"/>
    <w:rsid w:val="00DB73C2"/>
    <w:rsid w:val="00DB7E24"/>
    <w:rsid w:val="00DC0445"/>
    <w:rsid w:val="00DC115F"/>
    <w:rsid w:val="00DC17A9"/>
    <w:rsid w:val="00DC2082"/>
    <w:rsid w:val="00DC225F"/>
    <w:rsid w:val="00DC254E"/>
    <w:rsid w:val="00DC2883"/>
    <w:rsid w:val="00DC2C48"/>
    <w:rsid w:val="00DC46B5"/>
    <w:rsid w:val="00DC4B28"/>
    <w:rsid w:val="00DC4B5D"/>
    <w:rsid w:val="00DC525E"/>
    <w:rsid w:val="00DC535C"/>
    <w:rsid w:val="00DC5DCB"/>
    <w:rsid w:val="00DC6C0D"/>
    <w:rsid w:val="00DC75E7"/>
    <w:rsid w:val="00DD074A"/>
    <w:rsid w:val="00DD0D70"/>
    <w:rsid w:val="00DD1941"/>
    <w:rsid w:val="00DD26A5"/>
    <w:rsid w:val="00DD2812"/>
    <w:rsid w:val="00DD2CE3"/>
    <w:rsid w:val="00DD34F2"/>
    <w:rsid w:val="00DD3C6B"/>
    <w:rsid w:val="00DD4A56"/>
    <w:rsid w:val="00DD54ED"/>
    <w:rsid w:val="00DD6861"/>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703"/>
    <w:rsid w:val="00DE3BB8"/>
    <w:rsid w:val="00DE40EB"/>
    <w:rsid w:val="00DE5117"/>
    <w:rsid w:val="00DE51F6"/>
    <w:rsid w:val="00DE5648"/>
    <w:rsid w:val="00DE568A"/>
    <w:rsid w:val="00DE56B7"/>
    <w:rsid w:val="00DE595E"/>
    <w:rsid w:val="00DE5CD9"/>
    <w:rsid w:val="00DE6A70"/>
    <w:rsid w:val="00DE70B5"/>
    <w:rsid w:val="00DE7113"/>
    <w:rsid w:val="00DF00F9"/>
    <w:rsid w:val="00DF0576"/>
    <w:rsid w:val="00DF1981"/>
    <w:rsid w:val="00DF1D07"/>
    <w:rsid w:val="00DF1E89"/>
    <w:rsid w:val="00DF1EC8"/>
    <w:rsid w:val="00DF2144"/>
    <w:rsid w:val="00DF24D9"/>
    <w:rsid w:val="00DF2EA5"/>
    <w:rsid w:val="00DF310B"/>
    <w:rsid w:val="00DF3E47"/>
    <w:rsid w:val="00DF5362"/>
    <w:rsid w:val="00DF56E8"/>
    <w:rsid w:val="00DF5C01"/>
    <w:rsid w:val="00DF5FF5"/>
    <w:rsid w:val="00DF6655"/>
    <w:rsid w:val="00DF6EB6"/>
    <w:rsid w:val="00DF7133"/>
    <w:rsid w:val="00DF722A"/>
    <w:rsid w:val="00DF764C"/>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67C4"/>
    <w:rsid w:val="00E06A36"/>
    <w:rsid w:val="00E074C9"/>
    <w:rsid w:val="00E1198B"/>
    <w:rsid w:val="00E11C0C"/>
    <w:rsid w:val="00E126B2"/>
    <w:rsid w:val="00E127E3"/>
    <w:rsid w:val="00E13AFB"/>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C65"/>
    <w:rsid w:val="00E2307E"/>
    <w:rsid w:val="00E2352B"/>
    <w:rsid w:val="00E23C63"/>
    <w:rsid w:val="00E23E84"/>
    <w:rsid w:val="00E23F9B"/>
    <w:rsid w:val="00E24D23"/>
    <w:rsid w:val="00E2546F"/>
    <w:rsid w:val="00E26285"/>
    <w:rsid w:val="00E26649"/>
    <w:rsid w:val="00E2703D"/>
    <w:rsid w:val="00E271F9"/>
    <w:rsid w:val="00E27F0A"/>
    <w:rsid w:val="00E304DF"/>
    <w:rsid w:val="00E30712"/>
    <w:rsid w:val="00E309B0"/>
    <w:rsid w:val="00E30A3E"/>
    <w:rsid w:val="00E30E67"/>
    <w:rsid w:val="00E32143"/>
    <w:rsid w:val="00E325F3"/>
    <w:rsid w:val="00E326E9"/>
    <w:rsid w:val="00E32AB7"/>
    <w:rsid w:val="00E32B61"/>
    <w:rsid w:val="00E33106"/>
    <w:rsid w:val="00E33585"/>
    <w:rsid w:val="00E345C2"/>
    <w:rsid w:val="00E34D99"/>
    <w:rsid w:val="00E352C3"/>
    <w:rsid w:val="00E35476"/>
    <w:rsid w:val="00E355C0"/>
    <w:rsid w:val="00E359A5"/>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19C"/>
    <w:rsid w:val="00E43894"/>
    <w:rsid w:val="00E44AC7"/>
    <w:rsid w:val="00E44E08"/>
    <w:rsid w:val="00E45B2D"/>
    <w:rsid w:val="00E45D26"/>
    <w:rsid w:val="00E45DF9"/>
    <w:rsid w:val="00E468F2"/>
    <w:rsid w:val="00E477C4"/>
    <w:rsid w:val="00E478EF"/>
    <w:rsid w:val="00E47A20"/>
    <w:rsid w:val="00E47BBA"/>
    <w:rsid w:val="00E5065D"/>
    <w:rsid w:val="00E5084C"/>
    <w:rsid w:val="00E50871"/>
    <w:rsid w:val="00E50AD9"/>
    <w:rsid w:val="00E50B4C"/>
    <w:rsid w:val="00E512FE"/>
    <w:rsid w:val="00E5198D"/>
    <w:rsid w:val="00E52063"/>
    <w:rsid w:val="00E52A9B"/>
    <w:rsid w:val="00E52C66"/>
    <w:rsid w:val="00E53533"/>
    <w:rsid w:val="00E537ED"/>
    <w:rsid w:val="00E5384D"/>
    <w:rsid w:val="00E53F2E"/>
    <w:rsid w:val="00E54004"/>
    <w:rsid w:val="00E546C9"/>
    <w:rsid w:val="00E54BB9"/>
    <w:rsid w:val="00E54D3F"/>
    <w:rsid w:val="00E55F1F"/>
    <w:rsid w:val="00E56735"/>
    <w:rsid w:val="00E56866"/>
    <w:rsid w:val="00E56904"/>
    <w:rsid w:val="00E56FA9"/>
    <w:rsid w:val="00E57DFD"/>
    <w:rsid w:val="00E60423"/>
    <w:rsid w:val="00E60438"/>
    <w:rsid w:val="00E60545"/>
    <w:rsid w:val="00E606F4"/>
    <w:rsid w:val="00E607E5"/>
    <w:rsid w:val="00E60A16"/>
    <w:rsid w:val="00E610CB"/>
    <w:rsid w:val="00E6125B"/>
    <w:rsid w:val="00E615AF"/>
    <w:rsid w:val="00E6170A"/>
    <w:rsid w:val="00E62816"/>
    <w:rsid w:val="00E629EF"/>
    <w:rsid w:val="00E62ADF"/>
    <w:rsid w:val="00E62FA7"/>
    <w:rsid w:val="00E637A3"/>
    <w:rsid w:val="00E659FD"/>
    <w:rsid w:val="00E65B0C"/>
    <w:rsid w:val="00E66783"/>
    <w:rsid w:val="00E66B16"/>
    <w:rsid w:val="00E66BA2"/>
    <w:rsid w:val="00E677DB"/>
    <w:rsid w:val="00E700F8"/>
    <w:rsid w:val="00E71B42"/>
    <w:rsid w:val="00E71C2D"/>
    <w:rsid w:val="00E72187"/>
    <w:rsid w:val="00E7266C"/>
    <w:rsid w:val="00E72BB6"/>
    <w:rsid w:val="00E72CD0"/>
    <w:rsid w:val="00E730AC"/>
    <w:rsid w:val="00E7310C"/>
    <w:rsid w:val="00E733ED"/>
    <w:rsid w:val="00E734CE"/>
    <w:rsid w:val="00E73D33"/>
    <w:rsid w:val="00E74DAE"/>
    <w:rsid w:val="00E750CB"/>
    <w:rsid w:val="00E778DC"/>
    <w:rsid w:val="00E77FD3"/>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48F0"/>
    <w:rsid w:val="00E84D1C"/>
    <w:rsid w:val="00E84D9C"/>
    <w:rsid w:val="00E85069"/>
    <w:rsid w:val="00E8628F"/>
    <w:rsid w:val="00E86888"/>
    <w:rsid w:val="00E8695C"/>
    <w:rsid w:val="00E90DE0"/>
    <w:rsid w:val="00E91191"/>
    <w:rsid w:val="00E92C96"/>
    <w:rsid w:val="00E93F01"/>
    <w:rsid w:val="00E942B8"/>
    <w:rsid w:val="00E944ED"/>
    <w:rsid w:val="00E945AF"/>
    <w:rsid w:val="00E94A0B"/>
    <w:rsid w:val="00E94A2C"/>
    <w:rsid w:val="00E9544C"/>
    <w:rsid w:val="00E95799"/>
    <w:rsid w:val="00E95A53"/>
    <w:rsid w:val="00E95D93"/>
    <w:rsid w:val="00E9683D"/>
    <w:rsid w:val="00E970B7"/>
    <w:rsid w:val="00E97D95"/>
    <w:rsid w:val="00EA0035"/>
    <w:rsid w:val="00EA010D"/>
    <w:rsid w:val="00EA04C5"/>
    <w:rsid w:val="00EA0507"/>
    <w:rsid w:val="00EA09B6"/>
    <w:rsid w:val="00EA0BB5"/>
    <w:rsid w:val="00EA1A8A"/>
    <w:rsid w:val="00EA21FA"/>
    <w:rsid w:val="00EA25EB"/>
    <w:rsid w:val="00EA26D5"/>
    <w:rsid w:val="00EA2775"/>
    <w:rsid w:val="00EA305D"/>
    <w:rsid w:val="00EA3106"/>
    <w:rsid w:val="00EA3874"/>
    <w:rsid w:val="00EA5697"/>
    <w:rsid w:val="00EA5AB6"/>
    <w:rsid w:val="00EA5FB0"/>
    <w:rsid w:val="00EA612E"/>
    <w:rsid w:val="00EA6F91"/>
    <w:rsid w:val="00EA7618"/>
    <w:rsid w:val="00EA761C"/>
    <w:rsid w:val="00EA7D7F"/>
    <w:rsid w:val="00EB0810"/>
    <w:rsid w:val="00EB0B5F"/>
    <w:rsid w:val="00EB1CF7"/>
    <w:rsid w:val="00EB25C2"/>
    <w:rsid w:val="00EB2B6F"/>
    <w:rsid w:val="00EB2CAD"/>
    <w:rsid w:val="00EB2FA2"/>
    <w:rsid w:val="00EB3272"/>
    <w:rsid w:val="00EB37B2"/>
    <w:rsid w:val="00EB3FF9"/>
    <w:rsid w:val="00EB5047"/>
    <w:rsid w:val="00EB5F0B"/>
    <w:rsid w:val="00EB7352"/>
    <w:rsid w:val="00EB769A"/>
    <w:rsid w:val="00EC08CF"/>
    <w:rsid w:val="00EC11E4"/>
    <w:rsid w:val="00EC14E1"/>
    <w:rsid w:val="00EC183C"/>
    <w:rsid w:val="00EC1AB4"/>
    <w:rsid w:val="00EC1CDD"/>
    <w:rsid w:val="00EC2A3F"/>
    <w:rsid w:val="00EC2E64"/>
    <w:rsid w:val="00EC3A35"/>
    <w:rsid w:val="00EC3C52"/>
    <w:rsid w:val="00EC3E5B"/>
    <w:rsid w:val="00EC3E69"/>
    <w:rsid w:val="00EC41A7"/>
    <w:rsid w:val="00EC4257"/>
    <w:rsid w:val="00EC46CE"/>
    <w:rsid w:val="00EC4F94"/>
    <w:rsid w:val="00EC5162"/>
    <w:rsid w:val="00EC5554"/>
    <w:rsid w:val="00EC572B"/>
    <w:rsid w:val="00EC5B8E"/>
    <w:rsid w:val="00EC7356"/>
    <w:rsid w:val="00EC75F6"/>
    <w:rsid w:val="00EC75FC"/>
    <w:rsid w:val="00ED0065"/>
    <w:rsid w:val="00ED17B5"/>
    <w:rsid w:val="00ED1BA0"/>
    <w:rsid w:val="00ED1D2D"/>
    <w:rsid w:val="00ED353D"/>
    <w:rsid w:val="00ED3B56"/>
    <w:rsid w:val="00ED4C59"/>
    <w:rsid w:val="00ED4FF4"/>
    <w:rsid w:val="00ED588C"/>
    <w:rsid w:val="00ED5B71"/>
    <w:rsid w:val="00ED6E7A"/>
    <w:rsid w:val="00ED6EA1"/>
    <w:rsid w:val="00ED7A7F"/>
    <w:rsid w:val="00ED7B85"/>
    <w:rsid w:val="00EE060B"/>
    <w:rsid w:val="00EE07AC"/>
    <w:rsid w:val="00EE0891"/>
    <w:rsid w:val="00EE0C94"/>
    <w:rsid w:val="00EE0F24"/>
    <w:rsid w:val="00EE1062"/>
    <w:rsid w:val="00EE17F2"/>
    <w:rsid w:val="00EE188A"/>
    <w:rsid w:val="00EE1B01"/>
    <w:rsid w:val="00EE1C62"/>
    <w:rsid w:val="00EE1DB8"/>
    <w:rsid w:val="00EE210D"/>
    <w:rsid w:val="00EE2746"/>
    <w:rsid w:val="00EE2FD8"/>
    <w:rsid w:val="00EE3256"/>
    <w:rsid w:val="00EE4759"/>
    <w:rsid w:val="00EE4C20"/>
    <w:rsid w:val="00EE4F2D"/>
    <w:rsid w:val="00EE524C"/>
    <w:rsid w:val="00EE589E"/>
    <w:rsid w:val="00EE6755"/>
    <w:rsid w:val="00EE78D6"/>
    <w:rsid w:val="00EF03DC"/>
    <w:rsid w:val="00EF0437"/>
    <w:rsid w:val="00EF0568"/>
    <w:rsid w:val="00EF0BFE"/>
    <w:rsid w:val="00EF1878"/>
    <w:rsid w:val="00EF1DE8"/>
    <w:rsid w:val="00EF2AC7"/>
    <w:rsid w:val="00EF3397"/>
    <w:rsid w:val="00EF40BF"/>
    <w:rsid w:val="00EF429A"/>
    <w:rsid w:val="00EF4557"/>
    <w:rsid w:val="00EF493F"/>
    <w:rsid w:val="00EF5947"/>
    <w:rsid w:val="00EF5E22"/>
    <w:rsid w:val="00EF60CA"/>
    <w:rsid w:val="00EF63C1"/>
    <w:rsid w:val="00EF6557"/>
    <w:rsid w:val="00EF69B7"/>
    <w:rsid w:val="00EF6C2B"/>
    <w:rsid w:val="00F00059"/>
    <w:rsid w:val="00F00084"/>
    <w:rsid w:val="00F008BD"/>
    <w:rsid w:val="00F021A9"/>
    <w:rsid w:val="00F02B50"/>
    <w:rsid w:val="00F02C54"/>
    <w:rsid w:val="00F02CD0"/>
    <w:rsid w:val="00F02D03"/>
    <w:rsid w:val="00F035DB"/>
    <w:rsid w:val="00F03B30"/>
    <w:rsid w:val="00F0448C"/>
    <w:rsid w:val="00F04BAF"/>
    <w:rsid w:val="00F0553C"/>
    <w:rsid w:val="00F0571E"/>
    <w:rsid w:val="00F06BA7"/>
    <w:rsid w:val="00F06C50"/>
    <w:rsid w:val="00F071BA"/>
    <w:rsid w:val="00F108BD"/>
    <w:rsid w:val="00F11A39"/>
    <w:rsid w:val="00F11D2E"/>
    <w:rsid w:val="00F1284F"/>
    <w:rsid w:val="00F13228"/>
    <w:rsid w:val="00F136A4"/>
    <w:rsid w:val="00F1377B"/>
    <w:rsid w:val="00F13C5E"/>
    <w:rsid w:val="00F14108"/>
    <w:rsid w:val="00F148D5"/>
    <w:rsid w:val="00F1601A"/>
    <w:rsid w:val="00F160BF"/>
    <w:rsid w:val="00F16173"/>
    <w:rsid w:val="00F1675C"/>
    <w:rsid w:val="00F16A3C"/>
    <w:rsid w:val="00F16B84"/>
    <w:rsid w:val="00F17428"/>
    <w:rsid w:val="00F17EAC"/>
    <w:rsid w:val="00F20046"/>
    <w:rsid w:val="00F20CC1"/>
    <w:rsid w:val="00F20D22"/>
    <w:rsid w:val="00F21A58"/>
    <w:rsid w:val="00F2302A"/>
    <w:rsid w:val="00F23048"/>
    <w:rsid w:val="00F239CD"/>
    <w:rsid w:val="00F23DCC"/>
    <w:rsid w:val="00F24158"/>
    <w:rsid w:val="00F24294"/>
    <w:rsid w:val="00F2477C"/>
    <w:rsid w:val="00F24E5D"/>
    <w:rsid w:val="00F24EBB"/>
    <w:rsid w:val="00F27696"/>
    <w:rsid w:val="00F2777F"/>
    <w:rsid w:val="00F27F06"/>
    <w:rsid w:val="00F30C26"/>
    <w:rsid w:val="00F314E8"/>
    <w:rsid w:val="00F316A2"/>
    <w:rsid w:val="00F323A2"/>
    <w:rsid w:val="00F32850"/>
    <w:rsid w:val="00F332D4"/>
    <w:rsid w:val="00F333DF"/>
    <w:rsid w:val="00F33B57"/>
    <w:rsid w:val="00F33CA8"/>
    <w:rsid w:val="00F33D5C"/>
    <w:rsid w:val="00F356D6"/>
    <w:rsid w:val="00F372DB"/>
    <w:rsid w:val="00F3785D"/>
    <w:rsid w:val="00F378BE"/>
    <w:rsid w:val="00F37D37"/>
    <w:rsid w:val="00F400E3"/>
    <w:rsid w:val="00F4021A"/>
    <w:rsid w:val="00F40876"/>
    <w:rsid w:val="00F4363B"/>
    <w:rsid w:val="00F44642"/>
    <w:rsid w:val="00F454A2"/>
    <w:rsid w:val="00F45E89"/>
    <w:rsid w:val="00F47845"/>
    <w:rsid w:val="00F47B6C"/>
    <w:rsid w:val="00F50039"/>
    <w:rsid w:val="00F50675"/>
    <w:rsid w:val="00F5071D"/>
    <w:rsid w:val="00F50BD6"/>
    <w:rsid w:val="00F50E16"/>
    <w:rsid w:val="00F513B2"/>
    <w:rsid w:val="00F51520"/>
    <w:rsid w:val="00F52140"/>
    <w:rsid w:val="00F521E4"/>
    <w:rsid w:val="00F52CCE"/>
    <w:rsid w:val="00F53151"/>
    <w:rsid w:val="00F535A9"/>
    <w:rsid w:val="00F53F3D"/>
    <w:rsid w:val="00F53F92"/>
    <w:rsid w:val="00F54096"/>
    <w:rsid w:val="00F5480F"/>
    <w:rsid w:val="00F54AA5"/>
    <w:rsid w:val="00F552F7"/>
    <w:rsid w:val="00F553A7"/>
    <w:rsid w:val="00F554EB"/>
    <w:rsid w:val="00F555D3"/>
    <w:rsid w:val="00F5562D"/>
    <w:rsid w:val="00F55710"/>
    <w:rsid w:val="00F55BC7"/>
    <w:rsid w:val="00F56631"/>
    <w:rsid w:val="00F566EA"/>
    <w:rsid w:val="00F567A4"/>
    <w:rsid w:val="00F578EB"/>
    <w:rsid w:val="00F605BE"/>
    <w:rsid w:val="00F60778"/>
    <w:rsid w:val="00F60AF6"/>
    <w:rsid w:val="00F60DDC"/>
    <w:rsid w:val="00F610A9"/>
    <w:rsid w:val="00F617BE"/>
    <w:rsid w:val="00F6185D"/>
    <w:rsid w:val="00F61C7A"/>
    <w:rsid w:val="00F625F7"/>
    <w:rsid w:val="00F632C2"/>
    <w:rsid w:val="00F64702"/>
    <w:rsid w:val="00F64D5A"/>
    <w:rsid w:val="00F65399"/>
    <w:rsid w:val="00F65B68"/>
    <w:rsid w:val="00F65C22"/>
    <w:rsid w:val="00F65EC9"/>
    <w:rsid w:val="00F66CB1"/>
    <w:rsid w:val="00F672BD"/>
    <w:rsid w:val="00F677CB"/>
    <w:rsid w:val="00F67E15"/>
    <w:rsid w:val="00F67FCA"/>
    <w:rsid w:val="00F70815"/>
    <w:rsid w:val="00F709F4"/>
    <w:rsid w:val="00F71019"/>
    <w:rsid w:val="00F710A9"/>
    <w:rsid w:val="00F72823"/>
    <w:rsid w:val="00F7284D"/>
    <w:rsid w:val="00F72CFE"/>
    <w:rsid w:val="00F72FB0"/>
    <w:rsid w:val="00F73336"/>
    <w:rsid w:val="00F73423"/>
    <w:rsid w:val="00F7365E"/>
    <w:rsid w:val="00F737A4"/>
    <w:rsid w:val="00F73950"/>
    <w:rsid w:val="00F74242"/>
    <w:rsid w:val="00F75481"/>
    <w:rsid w:val="00F76664"/>
    <w:rsid w:val="00F76A4C"/>
    <w:rsid w:val="00F76AB3"/>
    <w:rsid w:val="00F80B27"/>
    <w:rsid w:val="00F816A4"/>
    <w:rsid w:val="00F8194C"/>
    <w:rsid w:val="00F81AE9"/>
    <w:rsid w:val="00F827D0"/>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138"/>
    <w:rsid w:val="00F87C3F"/>
    <w:rsid w:val="00F87C5B"/>
    <w:rsid w:val="00F87FEA"/>
    <w:rsid w:val="00F90613"/>
    <w:rsid w:val="00F906F4"/>
    <w:rsid w:val="00F915F3"/>
    <w:rsid w:val="00F91800"/>
    <w:rsid w:val="00F91853"/>
    <w:rsid w:val="00F918B6"/>
    <w:rsid w:val="00F91987"/>
    <w:rsid w:val="00F91CCD"/>
    <w:rsid w:val="00F9208E"/>
    <w:rsid w:val="00F92571"/>
    <w:rsid w:val="00F93837"/>
    <w:rsid w:val="00F93B2F"/>
    <w:rsid w:val="00F93CAE"/>
    <w:rsid w:val="00F9453D"/>
    <w:rsid w:val="00F954E4"/>
    <w:rsid w:val="00F95BFB"/>
    <w:rsid w:val="00F95CCE"/>
    <w:rsid w:val="00F966D3"/>
    <w:rsid w:val="00F9692D"/>
    <w:rsid w:val="00F978BE"/>
    <w:rsid w:val="00F97D7B"/>
    <w:rsid w:val="00FA0013"/>
    <w:rsid w:val="00FA0154"/>
    <w:rsid w:val="00FA0288"/>
    <w:rsid w:val="00FA0C62"/>
    <w:rsid w:val="00FA0F71"/>
    <w:rsid w:val="00FA23E2"/>
    <w:rsid w:val="00FA26BC"/>
    <w:rsid w:val="00FA2D8E"/>
    <w:rsid w:val="00FA3520"/>
    <w:rsid w:val="00FA3872"/>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2D46"/>
    <w:rsid w:val="00FB2EE5"/>
    <w:rsid w:val="00FB3363"/>
    <w:rsid w:val="00FB4048"/>
    <w:rsid w:val="00FB446E"/>
    <w:rsid w:val="00FB4629"/>
    <w:rsid w:val="00FB577F"/>
    <w:rsid w:val="00FB5E5D"/>
    <w:rsid w:val="00FB5FC4"/>
    <w:rsid w:val="00FB6A07"/>
    <w:rsid w:val="00FB6E1F"/>
    <w:rsid w:val="00FB6FB1"/>
    <w:rsid w:val="00FB7460"/>
    <w:rsid w:val="00FB7747"/>
    <w:rsid w:val="00FB7A10"/>
    <w:rsid w:val="00FC0F81"/>
    <w:rsid w:val="00FC3798"/>
    <w:rsid w:val="00FC577C"/>
    <w:rsid w:val="00FC59AF"/>
    <w:rsid w:val="00FC5BDD"/>
    <w:rsid w:val="00FC5C43"/>
    <w:rsid w:val="00FC5F72"/>
    <w:rsid w:val="00FC62B5"/>
    <w:rsid w:val="00FC6D4E"/>
    <w:rsid w:val="00FC7073"/>
    <w:rsid w:val="00FC736F"/>
    <w:rsid w:val="00FD0CDB"/>
    <w:rsid w:val="00FD1FA7"/>
    <w:rsid w:val="00FD226A"/>
    <w:rsid w:val="00FD2282"/>
    <w:rsid w:val="00FD2D42"/>
    <w:rsid w:val="00FD30B5"/>
    <w:rsid w:val="00FD3453"/>
    <w:rsid w:val="00FD39CF"/>
    <w:rsid w:val="00FD4B7B"/>
    <w:rsid w:val="00FD4D84"/>
    <w:rsid w:val="00FD5468"/>
    <w:rsid w:val="00FD58F5"/>
    <w:rsid w:val="00FD6287"/>
    <w:rsid w:val="00FD754C"/>
    <w:rsid w:val="00FD7696"/>
    <w:rsid w:val="00FE0669"/>
    <w:rsid w:val="00FE0DAE"/>
    <w:rsid w:val="00FE0E6B"/>
    <w:rsid w:val="00FE1370"/>
    <w:rsid w:val="00FE1510"/>
    <w:rsid w:val="00FE1FE7"/>
    <w:rsid w:val="00FE2121"/>
    <w:rsid w:val="00FE2387"/>
    <w:rsid w:val="00FE254A"/>
    <w:rsid w:val="00FE321B"/>
    <w:rsid w:val="00FE3D07"/>
    <w:rsid w:val="00FE4411"/>
    <w:rsid w:val="00FE46BC"/>
    <w:rsid w:val="00FE4B6F"/>
    <w:rsid w:val="00FE6788"/>
    <w:rsid w:val="00FE6818"/>
    <w:rsid w:val="00FE6A9E"/>
    <w:rsid w:val="00FE6BFB"/>
    <w:rsid w:val="00FF009D"/>
    <w:rsid w:val="00FF0CF5"/>
    <w:rsid w:val="00FF0D6F"/>
    <w:rsid w:val="00FF0E9E"/>
    <w:rsid w:val="00FF1103"/>
    <w:rsid w:val="00FF1712"/>
    <w:rsid w:val="00FF213D"/>
    <w:rsid w:val="00FF251D"/>
    <w:rsid w:val="00FF37DC"/>
    <w:rsid w:val="00FF37F2"/>
    <w:rsid w:val="00FF4243"/>
    <w:rsid w:val="00FF43D9"/>
    <w:rsid w:val="00FF44E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link w:val="NormalWebCar"/>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character" w:customStyle="1" w:styleId="s15">
    <w:name w:val="s15"/>
    <w:basedOn w:val="Fuentedeprrafopredeter"/>
    <w:rsid w:val="00F11A39"/>
  </w:style>
  <w:style w:type="character" w:customStyle="1" w:styleId="apple-converted-space">
    <w:name w:val="apple-converted-space"/>
    <w:basedOn w:val="Fuentedeprrafopredeter"/>
    <w:rsid w:val="00F11A39"/>
  </w:style>
  <w:style w:type="character" w:customStyle="1" w:styleId="NormalWebCar">
    <w:name w:val="Normal (Web) Car"/>
    <w:link w:val="NormalWeb"/>
    <w:uiPriority w:val="99"/>
    <w:locked/>
    <w:rsid w:val="009E49C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31460425">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65763639">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41471648">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2574583">
      <w:bodyDiv w:val="1"/>
      <w:marLeft w:val="0"/>
      <w:marRight w:val="0"/>
      <w:marTop w:val="0"/>
      <w:marBottom w:val="0"/>
      <w:divBdr>
        <w:top w:val="none" w:sz="0" w:space="0" w:color="auto"/>
        <w:left w:val="none" w:sz="0" w:space="0" w:color="auto"/>
        <w:bottom w:val="none" w:sz="0" w:space="0" w:color="auto"/>
        <w:right w:val="none" w:sz="0" w:space="0" w:color="auto"/>
      </w:divBdr>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2882439">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39845968">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17657566">
      <w:bodyDiv w:val="1"/>
      <w:marLeft w:val="0"/>
      <w:marRight w:val="0"/>
      <w:marTop w:val="0"/>
      <w:marBottom w:val="0"/>
      <w:divBdr>
        <w:top w:val="none" w:sz="0" w:space="0" w:color="auto"/>
        <w:left w:val="none" w:sz="0" w:space="0" w:color="auto"/>
        <w:bottom w:val="none" w:sz="0" w:space="0" w:color="auto"/>
        <w:right w:val="none" w:sz="0" w:space="0" w:color="auto"/>
      </w:divBdr>
    </w:div>
    <w:div w:id="1022704690">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0246720">
      <w:bodyDiv w:val="1"/>
      <w:marLeft w:val="0"/>
      <w:marRight w:val="0"/>
      <w:marTop w:val="0"/>
      <w:marBottom w:val="0"/>
      <w:divBdr>
        <w:top w:val="none" w:sz="0" w:space="0" w:color="auto"/>
        <w:left w:val="none" w:sz="0" w:space="0" w:color="auto"/>
        <w:bottom w:val="none" w:sz="0" w:space="0" w:color="auto"/>
        <w:right w:val="none" w:sz="0" w:space="0" w:color="auto"/>
      </w:divBdr>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18936703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47184175">
      <w:bodyDiv w:val="1"/>
      <w:marLeft w:val="0"/>
      <w:marRight w:val="0"/>
      <w:marTop w:val="0"/>
      <w:marBottom w:val="0"/>
      <w:divBdr>
        <w:top w:val="none" w:sz="0" w:space="0" w:color="auto"/>
        <w:left w:val="none" w:sz="0" w:space="0" w:color="auto"/>
        <w:bottom w:val="none" w:sz="0" w:space="0" w:color="auto"/>
        <w:right w:val="none" w:sz="0" w:space="0" w:color="auto"/>
      </w:divBdr>
    </w:div>
    <w:div w:id="1548563183">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02983792">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 w:id="21338674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fernandog213@hotmail.com"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2056_2020.html" TargetMode="External"/><Relationship Id="rId7" Type="http://schemas.openxmlformats.org/officeDocument/2006/relationships/hyperlink" Target="https://leyes.senado.gov.co/proyectos/index.php/proyectos-ley/cuatrenio-2018-2022/2020-2021/article/200-por-el-cual-se-regula-la-organizacion-y-el-funcionamiento-del-sistema-general-de-regalias-mensaje-de-urgencia" TargetMode="External"/><Relationship Id="rId2" Type="http://schemas.openxmlformats.org/officeDocument/2006/relationships/hyperlink" Target="http://www.secretariasenado.gov.co/senado/basedoc/ley_2056_2020.html" TargetMode="External"/><Relationship Id="rId1" Type="http://schemas.openxmlformats.org/officeDocument/2006/relationships/hyperlink" Target="http://www.secretariasenado.gov.co/senado/basedoc/ley_2056_2020.html" TargetMode="External"/><Relationship Id="rId6" Type="http://schemas.openxmlformats.org/officeDocument/2006/relationships/hyperlink" Target="http://www.secretariasenado.gov.co/senado/basedoc/decreto_0252_2020.html" TargetMode="External"/><Relationship Id="rId5" Type="http://schemas.openxmlformats.org/officeDocument/2006/relationships/hyperlink" Target="http://www.secretariasenado.gov.co/senado/basedoc/decreto_1088_1993.html" TargetMode="External"/><Relationship Id="rId4" Type="http://schemas.openxmlformats.org/officeDocument/2006/relationships/hyperlink" Target="http://www.secretariasenado.gov.co/senado/basedoc/ley_2056_202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7EC6277E-7B6D-424C-9FA8-80F13CC44A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19</Pages>
  <Words>5896</Words>
  <Characters>32431</Characters>
  <Application>Microsoft Office Word</Application>
  <DocSecurity>0</DocSecurity>
  <Lines>270</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38251</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8</cp:revision>
  <dcterms:created xsi:type="dcterms:W3CDTF">2026-04-21T19:02:00Z</dcterms:created>
  <dcterms:modified xsi:type="dcterms:W3CDTF">2026-04-21T21:20:00Z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