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9B477B" w14:textId="77777777" w:rsidR="008E7783" w:rsidRPr="00737496" w:rsidRDefault="00B64166" w:rsidP="008E7783">
      <w:pPr>
        <w:spacing w:after="0" w:line="240" w:lineRule="auto"/>
        <w:jc w:val="both"/>
        <w:rPr>
          <w:rFonts w:ascii="Verdana" w:eastAsia="Calibri" w:hAnsi="Verdana" w:cs="Arial"/>
          <w:b/>
          <w:bCs/>
          <w:lang w:val="es-ES" w:eastAsia="es-ES"/>
        </w:rPr>
      </w:pPr>
      <w:r w:rsidRPr="008E7783">
        <w:t xml:space="preserve"> </w:t>
      </w:r>
      <w:bookmarkStart w:id="0" w:name="_Hlk143780582"/>
      <w:r w:rsidR="008E7783" w:rsidRPr="00737496">
        <w:rPr>
          <w:rFonts w:ascii="Verdana" w:eastAsia="Calibri" w:hAnsi="Verdana" w:cs="Arial"/>
          <w:b/>
          <w:bCs/>
          <w:lang w:val="es-ES" w:eastAsia="es-ES"/>
        </w:rPr>
        <w:t>SUBSANABILIDAD – Aplicación – R</w:t>
      </w:r>
      <w:r w:rsidR="008E7783" w:rsidRPr="00737496">
        <w:rPr>
          <w:rFonts w:ascii="Verdana" w:eastAsia="Calibri" w:hAnsi="Verdana" w:cs="Times New Roman"/>
          <w:b/>
          <w:bCs/>
          <w:lang w:val="es-ES" w:eastAsia="es-ES"/>
        </w:rPr>
        <w:t>egla general</w:t>
      </w:r>
      <w:r w:rsidR="008E7783" w:rsidRPr="00737496">
        <w:rPr>
          <w:rFonts w:ascii="Verdana" w:eastAsia="Calibri" w:hAnsi="Verdana" w:cs="Arial"/>
          <w:b/>
          <w:bCs/>
          <w:lang w:val="es-ES" w:eastAsia="es-ES"/>
        </w:rPr>
        <w:t xml:space="preserve"> – Excepciones </w:t>
      </w:r>
    </w:p>
    <w:p w14:paraId="3111F70D" w14:textId="77777777" w:rsidR="008E7783" w:rsidRPr="00737496" w:rsidRDefault="008E7783" w:rsidP="008E7783">
      <w:pPr>
        <w:tabs>
          <w:tab w:val="left" w:pos="426"/>
        </w:tabs>
        <w:spacing w:after="0" w:line="240" w:lineRule="auto"/>
        <w:jc w:val="both"/>
        <w:rPr>
          <w:rFonts w:ascii="Verdana" w:eastAsia="Calibri" w:hAnsi="Verdana" w:cs="Arial"/>
          <w:b/>
          <w:sz w:val="20"/>
          <w:szCs w:val="20"/>
          <w:lang w:eastAsia="es-CO"/>
        </w:rPr>
      </w:pPr>
    </w:p>
    <w:p w14:paraId="193F7E80" w14:textId="77777777" w:rsidR="008E7783" w:rsidRPr="00737496" w:rsidRDefault="008E7783" w:rsidP="008E7783">
      <w:pPr>
        <w:spacing w:after="0" w:line="240" w:lineRule="auto"/>
        <w:jc w:val="both"/>
        <w:rPr>
          <w:rFonts w:ascii="Verdana" w:eastAsia="Calibri" w:hAnsi="Verdana" w:cs="Arial"/>
          <w:bCs/>
          <w:sz w:val="20"/>
          <w:szCs w:val="20"/>
          <w:lang w:eastAsia="es-CO"/>
        </w:rPr>
      </w:pPr>
      <w:r w:rsidRPr="00737496">
        <w:rPr>
          <w:rFonts w:ascii="Verdana" w:eastAsia="Calibri" w:hAnsi="Verdana" w:cs="Arial"/>
          <w:bCs/>
          <w:sz w:val="20"/>
          <w:szCs w:val="20"/>
          <w:lang w:eastAsia="es-CO"/>
        </w:rPr>
        <w:t>La regla de la subsanabilidad de las ofertas en los procedimientos de selección 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33E4A0A2" w14:textId="77777777" w:rsidR="008E7783" w:rsidRPr="00737496" w:rsidRDefault="008E7783" w:rsidP="008E7783">
      <w:pPr>
        <w:spacing w:after="0" w:line="240" w:lineRule="auto"/>
        <w:jc w:val="both"/>
        <w:rPr>
          <w:rFonts w:ascii="Verdana" w:eastAsia="Calibri" w:hAnsi="Verdana" w:cs="Arial"/>
          <w:bCs/>
          <w:sz w:val="20"/>
          <w:szCs w:val="20"/>
          <w:lang w:val="es-ES_tradnl" w:eastAsia="es-CO"/>
        </w:rPr>
      </w:pPr>
    </w:p>
    <w:p w14:paraId="64F3402A" w14:textId="77777777" w:rsidR="008E7783" w:rsidRPr="00737496" w:rsidRDefault="008E7783" w:rsidP="008E7783">
      <w:pPr>
        <w:spacing w:after="0" w:line="240" w:lineRule="auto"/>
        <w:jc w:val="both"/>
        <w:rPr>
          <w:rFonts w:ascii="Verdana" w:eastAsia="Calibri" w:hAnsi="Verdana" w:cs="Arial"/>
          <w:b/>
          <w:bCs/>
          <w:lang w:val="es-ES" w:eastAsia="es-ES"/>
        </w:rPr>
      </w:pPr>
      <w:r w:rsidRPr="00737496">
        <w:rPr>
          <w:rFonts w:ascii="Verdana" w:eastAsia="Calibri" w:hAnsi="Verdana" w:cs="Arial"/>
          <w:b/>
          <w:bCs/>
          <w:lang w:val="es-ES" w:eastAsia="es-ES"/>
        </w:rPr>
        <w:t xml:space="preserve">SUBSANABILIDAD – Ley 1882 de 2018 </w:t>
      </w:r>
    </w:p>
    <w:p w14:paraId="62F178E0" w14:textId="77777777" w:rsidR="008E7783" w:rsidRPr="00737496" w:rsidRDefault="008E7783" w:rsidP="008E7783">
      <w:pPr>
        <w:spacing w:after="0" w:line="240" w:lineRule="auto"/>
        <w:jc w:val="both"/>
        <w:rPr>
          <w:rFonts w:ascii="Verdana" w:eastAsia="Times New Roman" w:hAnsi="Verdana" w:cs="Arial"/>
          <w:lang w:val="es-ES" w:eastAsia="es-ES_tradnl"/>
        </w:rPr>
      </w:pPr>
    </w:p>
    <w:p w14:paraId="64B71F9C" w14:textId="77777777" w:rsidR="008E7783" w:rsidRPr="00737496" w:rsidRDefault="008E7783" w:rsidP="008E7783">
      <w:pPr>
        <w:spacing w:after="0" w:line="240" w:lineRule="auto"/>
        <w:jc w:val="both"/>
        <w:rPr>
          <w:rFonts w:ascii="Verdana" w:eastAsia="Calibri" w:hAnsi="Verdana" w:cs="Arial"/>
          <w:bCs/>
          <w:sz w:val="20"/>
          <w:szCs w:val="20"/>
          <w:lang w:eastAsia="es-CO"/>
        </w:rPr>
      </w:pPr>
      <w:r w:rsidRPr="00737496">
        <w:rPr>
          <w:rFonts w:ascii="Verdana" w:eastAsia="Calibri" w:hAnsi="Verdana" w:cs="Arial"/>
          <w:bCs/>
          <w:sz w:val="20"/>
          <w:szCs w:val="20"/>
          <w:lang w:eastAsia="es-CO"/>
        </w:rPr>
        <w:t>[…] la Ley 1882 de 2018: i) mantiene el criterio de la Ley 80 de 1993, relativo a que todo lo que no sea necesario para la comparación de propuestas no es título suficiente para su rechazo; ii) mantiene el criterio aclaratorio de la Ley 1150 de 2007, según el cual todo lo que no afecte la asignación de puntaje puede subsanarse; e, iii) introduce modificaciones en relación con algunos aspectos que se analizarán a continuación.</w:t>
      </w:r>
    </w:p>
    <w:p w14:paraId="604495A3" w14:textId="77777777" w:rsidR="008E7783" w:rsidRPr="00737496" w:rsidRDefault="008E7783" w:rsidP="008E7783">
      <w:pPr>
        <w:widowControl w:val="0"/>
        <w:autoSpaceDE w:val="0"/>
        <w:autoSpaceDN w:val="0"/>
        <w:spacing w:before="163" w:after="0" w:line="240" w:lineRule="auto"/>
        <w:rPr>
          <w:rFonts w:ascii="Verdana" w:eastAsia="Verdana" w:hAnsi="Verdana" w:cs="Verdana"/>
          <w:b/>
          <w:bCs/>
          <w:lang w:val="es-ES"/>
        </w:rPr>
      </w:pPr>
      <w:r w:rsidRPr="00737496">
        <w:rPr>
          <w:rFonts w:ascii="Verdana" w:eastAsia="Calibri" w:hAnsi="Verdana" w:cs="Arial"/>
          <w:b/>
          <w:bCs/>
          <w:color w:val="000000" w:themeColor="text1"/>
          <w:lang w:val="es-ES" w:eastAsia="es-ES_tradnl"/>
        </w:rPr>
        <w:t>GARANTÍA DE SERIEDAD – Subsanación – Alcance – Límites</w:t>
      </w:r>
      <w:r w:rsidRPr="00737496">
        <w:rPr>
          <w:rFonts w:ascii="Arial" w:eastAsia="Calibri" w:hAnsi="Arial" w:cs="Arial"/>
          <w:b/>
          <w:bCs/>
          <w:color w:val="000000" w:themeColor="text1"/>
          <w:lang w:val="es-ES" w:eastAsia="es-ES_tradnl"/>
        </w:rPr>
        <w:t xml:space="preserve"> </w:t>
      </w:r>
    </w:p>
    <w:p w14:paraId="422D729E" w14:textId="77777777" w:rsidR="008E7783" w:rsidRPr="00737496" w:rsidRDefault="008E7783" w:rsidP="008E7783">
      <w:pPr>
        <w:spacing w:after="0" w:line="240" w:lineRule="auto"/>
        <w:jc w:val="both"/>
        <w:rPr>
          <w:rFonts w:ascii="Verdana" w:eastAsia="Calibri" w:hAnsi="Verdana" w:cs="Arial"/>
          <w:bCs/>
          <w:sz w:val="20"/>
          <w:szCs w:val="20"/>
          <w:lang w:eastAsia="es-CO"/>
        </w:rPr>
      </w:pPr>
    </w:p>
    <w:p w14:paraId="64930085" w14:textId="77777777" w:rsidR="008E7783" w:rsidRPr="00737496" w:rsidRDefault="008E7783" w:rsidP="008E7783">
      <w:pPr>
        <w:spacing w:after="0" w:line="240" w:lineRule="auto"/>
        <w:jc w:val="both"/>
        <w:rPr>
          <w:rFonts w:ascii="Verdana" w:eastAsia="Calibri" w:hAnsi="Verdana" w:cs="Arial"/>
          <w:bCs/>
          <w:sz w:val="20"/>
          <w:szCs w:val="20"/>
          <w:lang w:eastAsia="es-CO"/>
        </w:rPr>
      </w:pPr>
      <w:r w:rsidRPr="00737496">
        <w:rPr>
          <w:rFonts w:ascii="Verdana" w:eastAsia="Calibri" w:hAnsi="Verdana" w:cs="Arial"/>
          <w:bCs/>
          <w:sz w:val="20"/>
          <w:szCs w:val="20"/>
          <w:lang w:eastAsia="es-CO"/>
        </w:rPr>
        <w:t>Un tercer cambio fue el introducido por el parágrafo 3 del artículo 5 de la Ley 1882 de 2018 determinó, de manera expresa, que “la no entrega de la garantía de seriedad junto con la propuesta no será subsanable y será causal de rechazo de la misma”. Esta disposición deja claro que se trata de un documento de obligatoria presentación junto con la propuesta y que su omisión no puede ser corregida posteriormente. Esta exigencia materializa los principios de seriedad e irrevocabilidad de la oferta, relacionados con la selección objetiva de la oferta. </w:t>
      </w:r>
    </w:p>
    <w:p w14:paraId="7687E872" w14:textId="77777777" w:rsidR="008E7783" w:rsidRPr="00737496" w:rsidRDefault="008E7783" w:rsidP="008E7783">
      <w:pPr>
        <w:spacing w:after="0" w:line="240" w:lineRule="auto"/>
        <w:jc w:val="both"/>
        <w:rPr>
          <w:rFonts w:ascii="Verdana" w:eastAsia="Calibri" w:hAnsi="Verdana" w:cs="Arial"/>
          <w:bCs/>
          <w:sz w:val="20"/>
          <w:szCs w:val="20"/>
          <w:lang w:eastAsia="es-CO"/>
        </w:rPr>
      </w:pPr>
    </w:p>
    <w:p w14:paraId="56ED6076" w14:textId="77777777" w:rsidR="008E7783" w:rsidRPr="00737496" w:rsidRDefault="008E7783" w:rsidP="008E7783">
      <w:pPr>
        <w:spacing w:after="0" w:line="240" w:lineRule="auto"/>
        <w:jc w:val="both"/>
        <w:rPr>
          <w:rFonts w:ascii="Verdana" w:eastAsia="Calibri" w:hAnsi="Verdana" w:cs="Arial"/>
          <w:bCs/>
          <w:sz w:val="20"/>
          <w:szCs w:val="20"/>
          <w:lang w:eastAsia="es-CO"/>
        </w:rPr>
      </w:pPr>
      <w:r w:rsidRPr="00737496">
        <w:rPr>
          <w:rFonts w:ascii="Verdana" w:eastAsia="Calibri" w:hAnsi="Verdana" w:cs="Arial"/>
          <w:bCs/>
          <w:sz w:val="20"/>
          <w:szCs w:val="20"/>
          <w:lang w:eastAsia="es-CO"/>
        </w:rPr>
        <w:t>El origen de dicha norma, según se desprende de lo dicho en la Gaceta No. 605 del 2016, se encuentra en que para el legislador era necesario eliminar la posibilidad de subsanar la garantía de seriedad hasta antes de la adjudicación del contrato, porque si no se presentaba de manera concomitante con la oferta, en el evento que el proponente retirara su propuesta si la entidad no contaba con la póliza, no podía reclamarle por los perjuicios causados y, por lo tanto, se vería afectado el proceso de selección.</w:t>
      </w:r>
    </w:p>
    <w:p w14:paraId="6B9A833A" w14:textId="77777777" w:rsidR="008E7783" w:rsidRPr="00737496" w:rsidRDefault="008E7783" w:rsidP="008E7783">
      <w:pPr>
        <w:spacing w:after="0" w:line="240" w:lineRule="auto"/>
        <w:jc w:val="both"/>
        <w:rPr>
          <w:rFonts w:ascii="Verdana" w:eastAsia="Calibri" w:hAnsi="Verdana" w:cs="Arial"/>
          <w:bCs/>
          <w:sz w:val="20"/>
          <w:szCs w:val="20"/>
          <w:lang w:eastAsia="es-CO"/>
        </w:rPr>
      </w:pPr>
    </w:p>
    <w:p w14:paraId="21A94BA6" w14:textId="77777777" w:rsidR="008E7783" w:rsidRPr="00737496" w:rsidRDefault="008E7783" w:rsidP="008E7783">
      <w:pPr>
        <w:spacing w:after="0" w:line="240" w:lineRule="auto"/>
        <w:jc w:val="both"/>
        <w:rPr>
          <w:rFonts w:ascii="Verdana" w:eastAsia="Calibri" w:hAnsi="Verdana" w:cs="Arial"/>
          <w:bCs/>
          <w:sz w:val="20"/>
          <w:szCs w:val="20"/>
          <w:lang w:eastAsia="es-CO"/>
        </w:rPr>
      </w:pPr>
      <w:r w:rsidRPr="00737496">
        <w:rPr>
          <w:rFonts w:ascii="Verdana" w:eastAsia="Calibri" w:hAnsi="Verdana" w:cs="Arial"/>
          <w:bCs/>
          <w:sz w:val="20"/>
          <w:szCs w:val="20"/>
          <w:lang w:eastAsia="es-CO"/>
        </w:rPr>
        <w:t>[…]</w:t>
      </w:r>
    </w:p>
    <w:p w14:paraId="76C7D147" w14:textId="77777777" w:rsidR="008E7783" w:rsidRPr="00737496" w:rsidRDefault="008E7783" w:rsidP="008E7783">
      <w:pPr>
        <w:spacing w:after="0" w:line="240" w:lineRule="auto"/>
        <w:jc w:val="both"/>
        <w:rPr>
          <w:rFonts w:ascii="Verdana" w:eastAsia="Calibri" w:hAnsi="Verdana" w:cs="Arial"/>
          <w:bCs/>
          <w:sz w:val="20"/>
          <w:szCs w:val="20"/>
          <w:lang w:eastAsia="es-CO"/>
        </w:rPr>
      </w:pPr>
    </w:p>
    <w:p w14:paraId="6AB496EA" w14:textId="77777777" w:rsidR="008E7783" w:rsidRPr="00737496" w:rsidRDefault="008E7783" w:rsidP="008E7783">
      <w:pPr>
        <w:spacing w:after="0" w:line="240" w:lineRule="auto"/>
        <w:jc w:val="both"/>
        <w:rPr>
          <w:rFonts w:ascii="Verdana" w:eastAsia="Calibri" w:hAnsi="Verdana" w:cs="Arial"/>
          <w:bCs/>
          <w:sz w:val="20"/>
          <w:szCs w:val="20"/>
          <w:lang w:eastAsia="es-CO"/>
        </w:rPr>
      </w:pPr>
      <w:r w:rsidRPr="00737496">
        <w:rPr>
          <w:rFonts w:ascii="Verdana" w:eastAsia="Calibri" w:hAnsi="Verdana" w:cs="Arial"/>
          <w:bCs/>
          <w:sz w:val="20"/>
          <w:szCs w:val="20"/>
          <w:lang w:eastAsia="es-CO"/>
        </w:rPr>
        <w:t>Bajo este contexto, es claro que conforme cambio introducido por el parágrafo 3 del artículo 5 de la Ley 1882 de 2018 la no entrega de la garantía de seriedad junto con la propuesta no será subsanable y será causal de rechazo de la misma, lo que significa que no aportar el documento contentivo de la garantía resulta insubsanable por expresa disposición legal.</w:t>
      </w:r>
    </w:p>
    <w:p w14:paraId="2D0E6E3E" w14:textId="77777777" w:rsidR="008E7783" w:rsidRPr="00737496" w:rsidRDefault="008E7783" w:rsidP="008E7783">
      <w:pPr>
        <w:widowControl w:val="0"/>
        <w:autoSpaceDE w:val="0"/>
        <w:autoSpaceDN w:val="0"/>
        <w:spacing w:before="163" w:after="0" w:line="240" w:lineRule="auto"/>
        <w:rPr>
          <w:rFonts w:ascii="Verdana" w:eastAsia="Verdana" w:hAnsi="Verdana" w:cs="Verdana"/>
          <w:b/>
          <w:bCs/>
          <w:lang w:val="es-ES"/>
        </w:rPr>
      </w:pPr>
      <w:r w:rsidRPr="00737496">
        <w:rPr>
          <w:rFonts w:ascii="Verdana" w:eastAsia="Calibri" w:hAnsi="Verdana" w:cs="Arial"/>
          <w:b/>
          <w:bCs/>
          <w:color w:val="000000" w:themeColor="text1"/>
          <w:lang w:val="es-ES" w:eastAsia="es-ES_tradnl"/>
        </w:rPr>
        <w:t>SECOP II – Cargue documental – Garantía de seriedad</w:t>
      </w:r>
    </w:p>
    <w:p w14:paraId="1DA81532" w14:textId="77777777" w:rsidR="008E7783" w:rsidRPr="00737496" w:rsidRDefault="008E7783" w:rsidP="008E7783">
      <w:pPr>
        <w:spacing w:after="0" w:line="240" w:lineRule="auto"/>
        <w:jc w:val="both"/>
        <w:rPr>
          <w:rFonts w:ascii="Verdana" w:eastAsia="Calibri" w:hAnsi="Verdana" w:cs="Arial"/>
          <w:bCs/>
          <w:sz w:val="20"/>
          <w:szCs w:val="20"/>
          <w:lang w:eastAsia="es-CO"/>
        </w:rPr>
      </w:pPr>
    </w:p>
    <w:p w14:paraId="5441DC61" w14:textId="77777777" w:rsidR="008E7783" w:rsidRPr="00737496" w:rsidRDefault="008E7783" w:rsidP="008E7783">
      <w:pPr>
        <w:spacing w:after="0" w:line="240" w:lineRule="auto"/>
        <w:jc w:val="both"/>
        <w:rPr>
          <w:rFonts w:ascii="Verdana" w:eastAsia="Calibri" w:hAnsi="Verdana" w:cs="Arial"/>
          <w:bCs/>
          <w:sz w:val="20"/>
          <w:szCs w:val="20"/>
          <w:lang w:eastAsia="es-CO"/>
        </w:rPr>
      </w:pPr>
      <w:r w:rsidRPr="00737496">
        <w:rPr>
          <w:rFonts w:ascii="Verdana" w:eastAsia="Calibri" w:hAnsi="Verdana" w:cs="Arial"/>
          <w:bCs/>
          <w:sz w:val="20"/>
          <w:szCs w:val="20"/>
          <w:lang w:eastAsia="es-CO"/>
        </w:rPr>
        <w:t xml:space="preserve">El SECOP II es una plataforma transaccional que permite gestionar en línea todos los procedimientos de contratación, con cuentas y usuarios asociados a estas, para las </w:t>
      </w:r>
      <w:r w:rsidRPr="00737496">
        <w:rPr>
          <w:rFonts w:ascii="Verdana" w:eastAsia="Calibri" w:hAnsi="Verdana" w:cs="Arial"/>
          <w:bCs/>
          <w:sz w:val="20"/>
          <w:szCs w:val="20"/>
          <w:lang w:eastAsia="es-CO"/>
        </w:rPr>
        <w:lastRenderedPageBreak/>
        <w:t>entidades y los proveedores, y vista pública para cualquier interesado en hacer seguimiento a la contratación pública. Desde sus cuentas, las entidades crean, evalúan y adjudican procedimientos de contratación, y gestionan la fase de ejecución del contrato. Por su parte, los proveedores pueden hacer comentarios a los documentos del procedimiento, presentar ofertas y seguir el procedimiento de selección en línea.</w:t>
      </w:r>
    </w:p>
    <w:p w14:paraId="7DB05E6F" w14:textId="77777777" w:rsidR="008E7783" w:rsidRPr="00737496" w:rsidRDefault="008E7783" w:rsidP="008E7783">
      <w:pPr>
        <w:spacing w:after="0" w:line="240" w:lineRule="auto"/>
        <w:jc w:val="both"/>
        <w:rPr>
          <w:rFonts w:ascii="Verdana" w:eastAsia="Calibri" w:hAnsi="Verdana" w:cs="Arial"/>
          <w:bCs/>
          <w:sz w:val="20"/>
          <w:szCs w:val="20"/>
          <w:lang w:eastAsia="es-CO"/>
        </w:rPr>
      </w:pPr>
    </w:p>
    <w:p w14:paraId="7223C96C" w14:textId="77777777" w:rsidR="008E7783" w:rsidRPr="00737496" w:rsidRDefault="008E7783" w:rsidP="008E7783">
      <w:pPr>
        <w:spacing w:after="0" w:line="240" w:lineRule="auto"/>
        <w:jc w:val="both"/>
        <w:rPr>
          <w:rFonts w:ascii="Verdana" w:eastAsia="Calibri" w:hAnsi="Verdana" w:cs="Arial"/>
          <w:bCs/>
          <w:sz w:val="20"/>
          <w:szCs w:val="20"/>
          <w:lang w:eastAsia="es-CO"/>
        </w:rPr>
      </w:pPr>
      <w:r w:rsidRPr="00737496">
        <w:rPr>
          <w:rFonts w:ascii="Verdana" w:eastAsia="Calibri" w:hAnsi="Verdana" w:cs="Arial"/>
          <w:bCs/>
          <w:sz w:val="20"/>
          <w:szCs w:val="20"/>
          <w:lang w:eastAsia="es-CO"/>
        </w:rPr>
        <w:t xml:space="preserve">De esta forma, para efectos de la presentación de la oferta en el SECOP II el proponente deberá diligenciar la información respectiva y cargar en la sección correspondiente toda la documentación requerida por la entidad en el pliego de condiciones.  Conforme a esto y teniendo en cuenta lo previsto en el artículo 5 de la Ley 1882 de 2018, el proponente deberá presentar junto con la oferta el documento contentivo del contrato de seguro que expide el asegurador para que la misma no sea rechazada. La entrega de este documento no tiene que ser en físico, sino que se debe efectuar en la plataforma del SECOP, puesto que esta permite que el proponente diligencie y cargue de forma digital la póliza que garantiza la seriedad de la oferta. </w:t>
      </w:r>
    </w:p>
    <w:p w14:paraId="61F3333C" w14:textId="77777777" w:rsidR="008E7783" w:rsidRPr="00737496" w:rsidRDefault="008E7783" w:rsidP="008E7783">
      <w:pPr>
        <w:spacing w:after="0" w:line="240" w:lineRule="auto"/>
        <w:jc w:val="both"/>
        <w:rPr>
          <w:rFonts w:ascii="Verdana" w:eastAsia="Calibri" w:hAnsi="Verdana" w:cs="Arial"/>
          <w:bCs/>
          <w:sz w:val="20"/>
          <w:szCs w:val="20"/>
          <w:lang w:eastAsia="es-CO"/>
        </w:rPr>
      </w:pPr>
    </w:p>
    <w:p w14:paraId="4A018081" w14:textId="77777777" w:rsidR="008E7783" w:rsidRPr="00737496" w:rsidRDefault="008E7783" w:rsidP="008E7783">
      <w:pPr>
        <w:spacing w:after="0" w:line="240" w:lineRule="auto"/>
        <w:jc w:val="both"/>
        <w:rPr>
          <w:rFonts w:ascii="Verdana" w:eastAsia="Calibri" w:hAnsi="Verdana" w:cs="Arial"/>
          <w:bCs/>
          <w:sz w:val="20"/>
          <w:szCs w:val="20"/>
          <w:lang w:eastAsia="es-CO"/>
        </w:rPr>
      </w:pPr>
      <w:r w:rsidRPr="00737496">
        <w:rPr>
          <w:rFonts w:ascii="Verdana" w:eastAsia="Calibri" w:hAnsi="Verdana" w:cs="Arial"/>
          <w:bCs/>
          <w:sz w:val="20"/>
          <w:szCs w:val="20"/>
          <w:lang w:eastAsia="es-CO"/>
        </w:rPr>
        <w:t xml:space="preserve">En tal sentido, si el proponente al momento de presentar la oferta carga a la plataforma del SECOP II la póliza que expide el asegurador, está cumpliendo con lo prescrito en el artículo 5 de la Ley 1882 de 2018, y, por lo tanto, la entidad no debería requerir al proponente para que allegue dicho documento en físico, ni mucho menos rechazar su oferta por este motivo. Por el contrario, en aquellos eventos en los que el proponente omite cargar la póliza expedida por el asegurador en la plataforma del SECOP II, debe entenderse que no cumple con lo previsto en la norma en mención y por ende, la consecuencia jurídica ante tal escenario es el rechazo de la oferta. </w:t>
      </w:r>
    </w:p>
    <w:p w14:paraId="36ABAA6F" w14:textId="77777777" w:rsidR="008E7783" w:rsidRPr="00737496" w:rsidRDefault="008E7783" w:rsidP="008E7783">
      <w:pPr>
        <w:widowControl w:val="0"/>
        <w:autoSpaceDE w:val="0"/>
        <w:autoSpaceDN w:val="0"/>
        <w:spacing w:after="0" w:line="240" w:lineRule="auto"/>
        <w:rPr>
          <w:rFonts w:ascii="Verdana" w:eastAsia="Verdana" w:hAnsi="Verdana" w:cs="Verdana"/>
          <w:lang w:val="es-ES"/>
        </w:rPr>
      </w:pPr>
    </w:p>
    <w:p w14:paraId="72B6286E" w14:textId="77777777" w:rsidR="008E7783" w:rsidRPr="00737496" w:rsidRDefault="008E7783" w:rsidP="008E7783">
      <w:pPr>
        <w:widowControl w:val="0"/>
        <w:autoSpaceDE w:val="0"/>
        <w:autoSpaceDN w:val="0"/>
        <w:spacing w:after="0" w:line="240" w:lineRule="auto"/>
        <w:rPr>
          <w:rFonts w:ascii="Verdana" w:eastAsia="Verdana" w:hAnsi="Verdana" w:cs="Verdana"/>
          <w:b/>
          <w:bCs/>
          <w:lang w:val="es-ES"/>
        </w:rPr>
      </w:pPr>
      <w:r w:rsidRPr="00737496">
        <w:rPr>
          <w:rFonts w:ascii="Verdana" w:eastAsia="Calibri" w:hAnsi="Verdana" w:cs="Arial"/>
          <w:b/>
          <w:bCs/>
          <w:color w:val="000000" w:themeColor="text1"/>
          <w:lang w:val="es-ES" w:eastAsia="es-ES_tradnl"/>
        </w:rPr>
        <w:t>PRINCIPIO DE LEGALIDAD – insubsanabildiad – Garantía de seriedad</w:t>
      </w:r>
    </w:p>
    <w:p w14:paraId="513A086F" w14:textId="77777777" w:rsidR="008E7783" w:rsidRPr="00737496" w:rsidRDefault="008E7783" w:rsidP="008E7783">
      <w:pPr>
        <w:widowControl w:val="0"/>
        <w:autoSpaceDE w:val="0"/>
        <w:autoSpaceDN w:val="0"/>
        <w:spacing w:after="0" w:line="240" w:lineRule="auto"/>
        <w:rPr>
          <w:rFonts w:ascii="Verdana" w:eastAsia="Verdana" w:hAnsi="Verdana" w:cs="Verdana"/>
          <w:lang w:val="es-ES"/>
        </w:rPr>
      </w:pPr>
    </w:p>
    <w:p w14:paraId="3A62698F" w14:textId="77777777" w:rsidR="008E7783" w:rsidRPr="00737496" w:rsidRDefault="008E7783" w:rsidP="008E7783">
      <w:pPr>
        <w:spacing w:after="0" w:line="240" w:lineRule="auto"/>
        <w:jc w:val="both"/>
        <w:rPr>
          <w:rFonts w:ascii="Verdana" w:eastAsia="Calibri" w:hAnsi="Verdana" w:cs="Arial"/>
          <w:bCs/>
          <w:sz w:val="20"/>
          <w:szCs w:val="20"/>
          <w:lang w:eastAsia="es-CO"/>
        </w:rPr>
      </w:pPr>
      <w:r w:rsidRPr="00737496">
        <w:rPr>
          <w:rFonts w:ascii="Verdana" w:eastAsia="Calibri" w:hAnsi="Verdana" w:cs="Arial"/>
          <w:bCs/>
          <w:sz w:val="20"/>
          <w:szCs w:val="20"/>
          <w:lang w:eastAsia="es-CO"/>
        </w:rPr>
        <w:t>Si bien el régimen de contratación estatal admite la subsanación de ciertos requisitos cuando se trata de acreditar circunstancias posteriores al cierre del proceso, en el caso de la garantía de seriedad el legislador ha establecido una excepción expresa al calificar su no entrega como un defecto no subsanable. Esta previsión normativa excluye cualquier posibilidad de interpretación flexible, en la medida en que delimita de forma clara el ámbito de aplicación de la subsanabilidad en este caso, impidiendo que la administración amplíe dicho margen por vía interpretativa.</w:t>
      </w:r>
    </w:p>
    <w:p w14:paraId="6C78679E" w14:textId="77777777" w:rsidR="008E7783" w:rsidRPr="00737496" w:rsidRDefault="008E7783" w:rsidP="008E7783">
      <w:pPr>
        <w:spacing w:after="0" w:line="240" w:lineRule="auto"/>
        <w:jc w:val="both"/>
        <w:rPr>
          <w:rFonts w:ascii="Verdana" w:eastAsia="Calibri" w:hAnsi="Verdana" w:cs="Arial"/>
          <w:bCs/>
          <w:sz w:val="20"/>
          <w:szCs w:val="20"/>
          <w:lang w:eastAsia="es-CO"/>
        </w:rPr>
      </w:pPr>
    </w:p>
    <w:p w14:paraId="622BFBFA" w14:textId="77777777" w:rsidR="008E7783" w:rsidRPr="00737496" w:rsidRDefault="008E7783" w:rsidP="008E7783">
      <w:pPr>
        <w:spacing w:after="0" w:line="240" w:lineRule="auto"/>
        <w:jc w:val="both"/>
        <w:rPr>
          <w:rFonts w:ascii="Verdana" w:eastAsia="Calibri" w:hAnsi="Verdana" w:cs="Arial"/>
          <w:bCs/>
          <w:sz w:val="20"/>
          <w:szCs w:val="20"/>
          <w:lang w:eastAsia="es-CO"/>
        </w:rPr>
      </w:pPr>
      <w:r w:rsidRPr="00737496">
        <w:rPr>
          <w:rFonts w:ascii="Verdana" w:eastAsia="Calibri" w:hAnsi="Verdana" w:cs="Arial"/>
          <w:bCs/>
          <w:sz w:val="20"/>
          <w:szCs w:val="20"/>
          <w:lang w:eastAsia="es-CO"/>
        </w:rPr>
        <w:t>Lo anterior resulta concordante con el principio de legalidad que rige la actividad contractual, conforme al cual es legítima la actuación de las autoridades en cuanto se desarrolle dentro del preciso ámbito funcional definido por el legislador, proscribiendo las actuaciones de los servidores públicos que impliquen omisión o extralimitación en el ejercicio de las mismas; a la observancia del debido proceso, y a los principios de la función administrativa, desarrollados legalmente por el mismo Estatuto General de Contratación de la Administración Públicas. De acuerdo con este principio se garantiza la sujeción estricta de la administración a las condiciones establecidas en la ley, evitando márgenes indebidos de discrecionalidad que puedan afectar la transparencia y la igualdad entre los proponentes.</w:t>
      </w:r>
    </w:p>
    <w:p w14:paraId="4C6E8F18" w14:textId="77777777" w:rsidR="008E7783" w:rsidRPr="00737496" w:rsidRDefault="008E7783" w:rsidP="008E7783">
      <w:pPr>
        <w:widowControl w:val="0"/>
        <w:autoSpaceDE w:val="0"/>
        <w:autoSpaceDN w:val="0"/>
        <w:spacing w:before="163" w:after="0" w:line="240" w:lineRule="auto"/>
        <w:rPr>
          <w:rFonts w:ascii="Verdana" w:eastAsia="Verdana" w:hAnsi="Verdana" w:cs="Verdana"/>
          <w:lang w:val="es-ES"/>
        </w:rPr>
      </w:pPr>
    </w:p>
    <w:p w14:paraId="48746D6D" w14:textId="0C150ED9" w:rsidR="008E7783" w:rsidRDefault="008E7783" w:rsidP="008E7783">
      <w:pPr>
        <w:widowControl w:val="0"/>
        <w:autoSpaceDE w:val="0"/>
        <w:autoSpaceDN w:val="0"/>
        <w:spacing w:before="163" w:after="0" w:line="240" w:lineRule="auto"/>
        <w:rPr>
          <w:rFonts w:ascii="Verdana" w:eastAsia="Verdana" w:hAnsi="Verdana" w:cs="Verdana"/>
        </w:rPr>
      </w:pPr>
      <w:r w:rsidRPr="00737496">
        <w:rPr>
          <w:rFonts w:ascii="Verdana" w:eastAsia="Verdana" w:hAnsi="Verdana" w:cs="Verdana"/>
          <w:lang w:val="es-ES"/>
        </w:rPr>
        <w:lastRenderedPageBreak/>
        <w:t>Bogotá</w:t>
      </w:r>
      <w:r w:rsidRPr="00737496">
        <w:rPr>
          <w:rFonts w:ascii="Verdana" w:eastAsia="Verdana" w:hAnsi="Verdana" w:cs="Verdana"/>
          <w:spacing w:val="-6"/>
          <w:lang w:val="es-ES"/>
        </w:rPr>
        <w:t xml:space="preserve"> </w:t>
      </w:r>
      <w:r w:rsidRPr="00737496">
        <w:rPr>
          <w:rFonts w:ascii="Verdana" w:eastAsia="Verdana" w:hAnsi="Verdana" w:cs="Verdana"/>
          <w:lang w:val="es-ES"/>
        </w:rPr>
        <w:t xml:space="preserve">D.C., </w:t>
      </w:r>
      <w:r w:rsidR="004703AF">
        <w:rPr>
          <w:rFonts w:ascii="Verdana" w:eastAsia="Verdana" w:hAnsi="Verdana" w:cs="Verdana"/>
        </w:rPr>
        <w:t>27 de abril de 2026</w:t>
      </w:r>
    </w:p>
    <w:p w14:paraId="3B04EE08" w14:textId="77777777" w:rsidR="004703AF" w:rsidRPr="00737496" w:rsidRDefault="004703AF" w:rsidP="008E7783">
      <w:pPr>
        <w:widowControl w:val="0"/>
        <w:autoSpaceDE w:val="0"/>
        <w:autoSpaceDN w:val="0"/>
        <w:spacing w:before="163" w:after="0" w:line="240" w:lineRule="auto"/>
        <w:rPr>
          <w:rFonts w:ascii="Verdana" w:eastAsia="Verdana" w:hAnsi="Verdana" w:cs="Verdana"/>
        </w:rPr>
      </w:pPr>
    </w:p>
    <w:p w14:paraId="3596C30B" w14:textId="298314A4" w:rsidR="008E7783" w:rsidRPr="00737496" w:rsidRDefault="004703AF" w:rsidP="004703AF">
      <w:pPr>
        <w:widowControl w:val="0"/>
        <w:autoSpaceDE w:val="0"/>
        <w:autoSpaceDN w:val="0"/>
        <w:spacing w:before="1" w:after="0" w:line="240" w:lineRule="auto"/>
        <w:jc w:val="right"/>
        <w:rPr>
          <w:rFonts w:ascii="Verdana" w:eastAsia="Verdana" w:hAnsi="Verdana" w:cs="Verdana"/>
          <w:lang w:val="es-ES"/>
        </w:rPr>
      </w:pPr>
      <w:r w:rsidRPr="004703AF">
        <w:rPr>
          <w:rFonts w:ascii="Verdana" w:eastAsia="Verdana" w:hAnsi="Verdana" w:cs="Verdana"/>
          <w:noProof/>
          <w:lang w:val="es-ES"/>
        </w:rPr>
        <w:drawing>
          <wp:anchor distT="0" distB="0" distL="114300" distR="114300" simplePos="0" relativeHeight="251658240" behindDoc="0" locked="0" layoutInCell="1" allowOverlap="1" wp14:anchorId="45ACDE99" wp14:editId="5E258400">
            <wp:simplePos x="0" y="0"/>
            <wp:positionH relativeFrom="column">
              <wp:posOffset>3019425</wp:posOffset>
            </wp:positionH>
            <wp:positionV relativeFrom="paragraph">
              <wp:posOffset>4445</wp:posOffset>
            </wp:positionV>
            <wp:extent cx="2583180" cy="990600"/>
            <wp:effectExtent l="0" t="0" r="7620" b="0"/>
            <wp:wrapSquare wrapText="bothSides"/>
            <wp:docPr id="18511977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3180" cy="990600"/>
                    </a:xfrm>
                    <a:prstGeom prst="rect">
                      <a:avLst/>
                    </a:prstGeom>
                    <a:noFill/>
                    <a:ln>
                      <a:noFill/>
                    </a:ln>
                  </pic:spPr>
                </pic:pic>
              </a:graphicData>
            </a:graphic>
          </wp:anchor>
        </w:drawing>
      </w:r>
    </w:p>
    <w:p w14:paraId="73C54BAB" w14:textId="77777777" w:rsidR="008E7783" w:rsidRPr="00737496" w:rsidRDefault="008E7783" w:rsidP="008E7783">
      <w:pPr>
        <w:spacing w:after="0" w:line="240" w:lineRule="auto"/>
        <w:jc w:val="both"/>
        <w:rPr>
          <w:rFonts w:ascii="Verdana" w:eastAsia="Calibri" w:hAnsi="Verdana" w:cs="Arial"/>
          <w:color w:val="000000"/>
          <w:lang w:val="es-ES"/>
        </w:rPr>
      </w:pPr>
    </w:p>
    <w:p w14:paraId="72F4D4AE" w14:textId="77777777" w:rsidR="008E7783" w:rsidRPr="00737496" w:rsidRDefault="008E7783" w:rsidP="008E7783">
      <w:pPr>
        <w:spacing w:after="0" w:line="240" w:lineRule="auto"/>
        <w:jc w:val="both"/>
        <w:rPr>
          <w:rFonts w:ascii="Verdana" w:eastAsia="Calibri" w:hAnsi="Verdana" w:cs="Arial"/>
          <w:lang w:val="es-ES" w:eastAsia="es-ES"/>
        </w:rPr>
      </w:pPr>
      <w:r w:rsidRPr="00737496">
        <w:rPr>
          <w:rFonts w:ascii="Verdana" w:eastAsia="Calibri" w:hAnsi="Verdana" w:cs="Arial"/>
          <w:lang w:val="es-ES" w:eastAsia="es-ES"/>
        </w:rPr>
        <w:t>Señor</w:t>
      </w:r>
    </w:p>
    <w:p w14:paraId="35901744" w14:textId="77777777" w:rsidR="008E7783" w:rsidRPr="00737496" w:rsidRDefault="008E7783" w:rsidP="008E7783">
      <w:pPr>
        <w:spacing w:after="0" w:line="240" w:lineRule="auto"/>
        <w:rPr>
          <w:rFonts w:ascii="Verdana" w:hAnsi="Verdana" w:cs="DejaVuSans-Bold"/>
          <w:b/>
          <w:bCs/>
        </w:rPr>
      </w:pPr>
      <w:r w:rsidRPr="00737496">
        <w:rPr>
          <w:rFonts w:ascii="Verdana" w:hAnsi="Verdana" w:cs="DejaVuSans-Bold"/>
          <w:b/>
          <w:bCs/>
        </w:rPr>
        <w:t xml:space="preserve">Omar Yire Mendoza Comas </w:t>
      </w:r>
    </w:p>
    <w:p w14:paraId="73D94F83" w14:textId="77777777" w:rsidR="008E7783" w:rsidRPr="00737496" w:rsidRDefault="008E7783" w:rsidP="008E7783">
      <w:pPr>
        <w:spacing w:after="0" w:line="240" w:lineRule="auto"/>
        <w:rPr>
          <w:rFonts w:ascii="Verdana" w:eastAsia="Calibri" w:hAnsi="Verdana" w:cs="Arial"/>
          <w:b/>
          <w:lang w:val="es-ES" w:eastAsia="es-ES"/>
        </w:rPr>
      </w:pPr>
      <w:hyperlink r:id="rId12" w:history="1">
        <w:r w:rsidRPr="00737496">
          <w:rPr>
            <w:rFonts w:ascii="Verdana" w:hAnsi="Verdana" w:cs="DejaVuSans"/>
            <w:color w:val="0000FF"/>
            <w:u w:val="single"/>
          </w:rPr>
          <w:t>omaryire@hotmail.es</w:t>
        </w:r>
      </w:hyperlink>
      <w:r w:rsidRPr="00737496">
        <w:rPr>
          <w:rFonts w:ascii="Verdana" w:hAnsi="Verdana" w:cs="DejaVuSans"/>
        </w:rPr>
        <w:t xml:space="preserve"> </w:t>
      </w:r>
    </w:p>
    <w:p w14:paraId="72CC3D30" w14:textId="77777777" w:rsidR="008E7783" w:rsidRPr="00737496" w:rsidRDefault="008E7783" w:rsidP="008E7783">
      <w:pPr>
        <w:spacing w:after="0" w:line="240" w:lineRule="auto"/>
        <w:rPr>
          <w:rFonts w:ascii="Verdana" w:eastAsia="Calibri" w:hAnsi="Verdana" w:cs="Arial"/>
          <w:b/>
          <w:bCs/>
          <w:lang w:val="es-ES" w:eastAsia="es-ES"/>
        </w:rPr>
      </w:pPr>
      <w:r w:rsidRPr="00737496">
        <w:rPr>
          <w:rFonts w:ascii="Verdana" w:eastAsia="Calibri" w:hAnsi="Verdana" w:cs="Arial"/>
          <w:lang w:val="es-ES" w:eastAsia="es-ES"/>
        </w:rPr>
        <w:t xml:space="preserve">Medellín, Antioquia </w:t>
      </w:r>
    </w:p>
    <w:p w14:paraId="20544A28" w14:textId="77777777" w:rsidR="008E7783" w:rsidRPr="00737496" w:rsidRDefault="008E7783" w:rsidP="008E7783">
      <w:pPr>
        <w:spacing w:after="0" w:line="240" w:lineRule="auto"/>
        <w:rPr>
          <w:rFonts w:ascii="Verdana" w:eastAsia="Calibri" w:hAnsi="Verdana" w:cs="Arial"/>
          <w:b/>
          <w:bCs/>
          <w:color w:val="000000"/>
          <w:lang w:val="es-ES_tradnl" w:eastAsia="es-ES_tradnl"/>
        </w:rPr>
      </w:pPr>
    </w:p>
    <w:p w14:paraId="5CADB3C6" w14:textId="77777777" w:rsidR="008E7783" w:rsidRPr="00737496" w:rsidRDefault="008E7783" w:rsidP="008E778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E7783" w:rsidRPr="00737496" w14:paraId="4C3BA6C9" w14:textId="77777777" w:rsidTr="008132BC">
        <w:trPr>
          <w:trHeight w:val="222"/>
        </w:trPr>
        <w:tc>
          <w:tcPr>
            <w:tcW w:w="2689" w:type="dxa"/>
          </w:tcPr>
          <w:p w14:paraId="0ED6AB91" w14:textId="77777777" w:rsidR="008E7783" w:rsidRPr="00737496" w:rsidRDefault="008E7783" w:rsidP="008132BC">
            <w:pPr>
              <w:jc w:val="both"/>
              <w:rPr>
                <w:rFonts w:ascii="Verdana" w:eastAsia="Calibri" w:hAnsi="Verdana" w:cs="Arial"/>
                <w:b/>
                <w:bCs/>
                <w:color w:val="7030A0"/>
                <w:lang w:val="es-ES_tradnl" w:eastAsia="es-ES_tradnl"/>
              </w:rPr>
            </w:pPr>
          </w:p>
        </w:tc>
        <w:tc>
          <w:tcPr>
            <w:tcW w:w="6100" w:type="dxa"/>
          </w:tcPr>
          <w:p w14:paraId="5C809E15" w14:textId="77777777" w:rsidR="008E7783" w:rsidRPr="00737496" w:rsidRDefault="008E7783" w:rsidP="008132BC">
            <w:pPr>
              <w:jc w:val="both"/>
              <w:rPr>
                <w:rFonts w:ascii="Verdana" w:eastAsia="Calibri" w:hAnsi="Verdana" w:cs="Arial"/>
                <w:b/>
                <w:bCs/>
                <w:lang w:val="es-ES" w:eastAsia="es-ES"/>
              </w:rPr>
            </w:pPr>
            <w:r w:rsidRPr="00737496">
              <w:rPr>
                <w:rFonts w:ascii="Verdana" w:eastAsia="Calibri" w:hAnsi="Verdana" w:cs="Arial"/>
                <w:b/>
                <w:bCs/>
                <w:lang w:val="es-ES" w:eastAsia="es-ES"/>
              </w:rPr>
              <w:t>Concepto C – 421 de 2026</w:t>
            </w:r>
          </w:p>
          <w:p w14:paraId="4D3D859D" w14:textId="77777777" w:rsidR="008E7783" w:rsidRPr="00737496" w:rsidRDefault="008E7783" w:rsidP="008132BC">
            <w:pPr>
              <w:jc w:val="both"/>
              <w:rPr>
                <w:rFonts w:ascii="Verdana" w:eastAsia="Calibri" w:hAnsi="Verdana" w:cs="Arial"/>
                <w:b/>
                <w:bCs/>
                <w:color w:val="7030A0"/>
                <w:lang w:val="es-ES" w:eastAsia="es-ES"/>
              </w:rPr>
            </w:pPr>
          </w:p>
        </w:tc>
      </w:tr>
      <w:tr w:rsidR="008E7783" w:rsidRPr="00737496" w14:paraId="38A523F6" w14:textId="77777777" w:rsidTr="008132BC">
        <w:trPr>
          <w:trHeight w:val="884"/>
        </w:trPr>
        <w:tc>
          <w:tcPr>
            <w:tcW w:w="2689" w:type="dxa"/>
          </w:tcPr>
          <w:p w14:paraId="277A4330" w14:textId="77777777" w:rsidR="008E7783" w:rsidRPr="00737496" w:rsidRDefault="008E7783" w:rsidP="008132BC">
            <w:pPr>
              <w:jc w:val="both"/>
              <w:rPr>
                <w:rFonts w:ascii="Verdana" w:eastAsia="Calibri" w:hAnsi="Verdana" w:cs="Arial"/>
                <w:color w:val="000000"/>
                <w:lang w:val="es-ES_tradnl" w:eastAsia="es-ES_tradnl"/>
              </w:rPr>
            </w:pPr>
            <w:r w:rsidRPr="00737496">
              <w:rPr>
                <w:rFonts w:ascii="Verdana" w:eastAsia="Calibri" w:hAnsi="Verdana" w:cs="Arial"/>
                <w:b/>
                <w:color w:val="000000"/>
                <w:lang w:val="es-ES_tradnl" w:eastAsia="es-ES_tradnl"/>
              </w:rPr>
              <w:t>Temas:</w:t>
            </w:r>
            <w:r w:rsidRPr="00737496">
              <w:rPr>
                <w:rFonts w:ascii="Verdana" w:eastAsia="Calibri" w:hAnsi="Verdana" w:cs="Arial"/>
                <w:color w:val="000000"/>
                <w:lang w:val="es-ES_tradnl" w:eastAsia="es-ES_tradnl"/>
              </w:rPr>
              <w:t xml:space="preserve">                   </w:t>
            </w:r>
          </w:p>
        </w:tc>
        <w:tc>
          <w:tcPr>
            <w:tcW w:w="6100" w:type="dxa"/>
          </w:tcPr>
          <w:p w14:paraId="18705DEF" w14:textId="4A4185F4" w:rsidR="008E7783" w:rsidRPr="00737496" w:rsidRDefault="008E7783" w:rsidP="008132BC">
            <w:pPr>
              <w:spacing w:line="276" w:lineRule="auto"/>
              <w:jc w:val="both"/>
              <w:rPr>
                <w:rFonts w:ascii="Verdana" w:hAnsi="Verdana"/>
              </w:rPr>
            </w:pPr>
            <w:r w:rsidRPr="00737496">
              <w:rPr>
                <w:rFonts w:ascii="Verdana" w:hAnsi="Verdana"/>
                <w:lang w:val="es-ES"/>
              </w:rPr>
              <w:t xml:space="preserve">SUBSANABILIDAD – Aplicación – Regla general – Excepciones / SUBSANABILIDAD – Ley 1882 de 2018 / </w:t>
            </w:r>
            <w:r w:rsidRPr="00737496">
              <w:rPr>
                <w:rFonts w:ascii="Verdana" w:eastAsia="Calibri" w:hAnsi="Verdana" w:cs="Arial"/>
                <w:color w:val="000000" w:themeColor="text1"/>
                <w:lang w:eastAsia="es-ES_tradnl"/>
              </w:rPr>
              <w:t>GARANTÍA DE SERIEDAD – Subsanación – Alcance – Límites</w:t>
            </w:r>
            <w:r w:rsidRPr="00737496">
              <w:rPr>
                <w:rFonts w:ascii="Arial" w:eastAsia="Calibri" w:hAnsi="Arial" w:cs="Arial"/>
                <w:color w:val="000000" w:themeColor="text1"/>
                <w:lang w:eastAsia="es-ES_tradnl"/>
              </w:rPr>
              <w:t xml:space="preserve"> / </w:t>
            </w:r>
            <w:r w:rsidRPr="00737496">
              <w:rPr>
                <w:rFonts w:ascii="Verdana" w:eastAsia="Calibri" w:hAnsi="Verdana" w:cs="Arial"/>
                <w:color w:val="000000" w:themeColor="text1"/>
                <w:lang w:eastAsia="es-ES_tradnl"/>
              </w:rPr>
              <w:t xml:space="preserve">SECOP II – Cargue documental – Garantía de seriedad / PRINCIPIO DE LEGALIDAD – </w:t>
            </w:r>
            <w:r w:rsidR="00633361">
              <w:rPr>
                <w:rFonts w:ascii="Verdana" w:eastAsia="Calibri" w:hAnsi="Verdana" w:cs="Arial"/>
                <w:color w:val="000000" w:themeColor="text1"/>
                <w:lang w:eastAsia="es-ES_tradnl"/>
              </w:rPr>
              <w:t>I</w:t>
            </w:r>
            <w:r w:rsidRPr="00737496">
              <w:rPr>
                <w:rFonts w:ascii="Verdana" w:eastAsia="Calibri" w:hAnsi="Verdana" w:cs="Arial"/>
                <w:color w:val="000000" w:themeColor="text1"/>
                <w:lang w:eastAsia="es-ES_tradnl"/>
              </w:rPr>
              <w:t>nsubsanabildiad – Garantía de seriedad</w:t>
            </w:r>
          </w:p>
          <w:p w14:paraId="29D056F8" w14:textId="77777777" w:rsidR="008E7783" w:rsidRPr="00737496" w:rsidRDefault="008E7783" w:rsidP="008132BC">
            <w:pPr>
              <w:spacing w:line="276" w:lineRule="auto"/>
              <w:jc w:val="both"/>
              <w:rPr>
                <w:rFonts w:ascii="Verdana" w:eastAsia="Calibri" w:hAnsi="Verdana" w:cs="Arial"/>
                <w:lang w:val="es-ES" w:eastAsia="es-ES"/>
              </w:rPr>
            </w:pPr>
          </w:p>
        </w:tc>
      </w:tr>
      <w:tr w:rsidR="008E7783" w:rsidRPr="00737496" w14:paraId="71A9EC29" w14:textId="77777777" w:rsidTr="008132BC">
        <w:tc>
          <w:tcPr>
            <w:tcW w:w="2689" w:type="dxa"/>
          </w:tcPr>
          <w:p w14:paraId="3261733A" w14:textId="77777777" w:rsidR="008E7783" w:rsidRPr="00737496" w:rsidRDefault="008E7783" w:rsidP="008132BC">
            <w:pPr>
              <w:jc w:val="both"/>
              <w:rPr>
                <w:rFonts w:ascii="Verdana" w:eastAsia="Calibri" w:hAnsi="Verdana" w:cs="Arial"/>
                <w:b/>
                <w:color w:val="000000" w:themeColor="text1"/>
                <w:lang w:val="es-ES_tradnl" w:eastAsia="es-ES_tradnl"/>
              </w:rPr>
            </w:pPr>
            <w:r w:rsidRPr="00737496">
              <w:rPr>
                <w:rFonts w:ascii="Verdana" w:eastAsia="Calibri" w:hAnsi="Verdana" w:cs="Arial"/>
                <w:b/>
                <w:color w:val="000000" w:themeColor="text1"/>
                <w:lang w:val="es-ES_tradnl" w:eastAsia="es-ES_tradnl"/>
              </w:rPr>
              <w:t>Radicación:</w:t>
            </w:r>
            <w:r w:rsidRPr="00737496">
              <w:rPr>
                <w:rFonts w:ascii="Verdana" w:eastAsia="Calibri" w:hAnsi="Verdana" w:cs="Arial"/>
                <w:color w:val="000000" w:themeColor="text1"/>
                <w:lang w:val="es-ES_tradnl" w:eastAsia="es-ES_tradnl"/>
              </w:rPr>
              <w:t xml:space="preserve">               </w:t>
            </w:r>
          </w:p>
        </w:tc>
        <w:tc>
          <w:tcPr>
            <w:tcW w:w="6100" w:type="dxa"/>
          </w:tcPr>
          <w:p w14:paraId="5F8E5042" w14:textId="77777777" w:rsidR="008E7783" w:rsidRPr="00737496" w:rsidRDefault="008E7783" w:rsidP="008132BC">
            <w:pPr>
              <w:jc w:val="both"/>
              <w:rPr>
                <w:rFonts w:ascii="Verdana" w:eastAsia="Calibri" w:hAnsi="Verdana" w:cs="Arial"/>
                <w:color w:val="000000" w:themeColor="text1"/>
                <w:lang w:val="es-ES" w:eastAsia="es-ES"/>
              </w:rPr>
            </w:pPr>
            <w:r w:rsidRPr="00737496">
              <w:rPr>
                <w:rFonts w:ascii="Verdana" w:eastAsia="Calibri" w:hAnsi="Verdana" w:cs="Arial"/>
                <w:color w:val="000000" w:themeColor="text1"/>
                <w:lang w:val="es-ES" w:eastAsia="es-ES"/>
              </w:rPr>
              <w:t>Respuesta a consulta con radicado No. 1_2026_03_14_003585</w:t>
            </w:r>
          </w:p>
        </w:tc>
      </w:tr>
    </w:tbl>
    <w:p w14:paraId="1ED5C839" w14:textId="77777777" w:rsidR="008E7783" w:rsidRPr="00737496" w:rsidRDefault="008E7783" w:rsidP="008E7783">
      <w:pPr>
        <w:spacing w:after="0" w:line="276" w:lineRule="auto"/>
        <w:jc w:val="both"/>
        <w:rPr>
          <w:rFonts w:ascii="Verdana" w:eastAsia="Calibri" w:hAnsi="Verdana" w:cs="Arial"/>
          <w:color w:val="000000"/>
          <w:lang w:val="es-ES" w:eastAsia="es-ES"/>
        </w:rPr>
      </w:pPr>
    </w:p>
    <w:p w14:paraId="0A6EF8C5" w14:textId="77777777" w:rsidR="008E7783" w:rsidRPr="00737496" w:rsidRDefault="008E7783" w:rsidP="008E7783">
      <w:pPr>
        <w:spacing w:after="0" w:line="276" w:lineRule="auto"/>
        <w:jc w:val="both"/>
        <w:rPr>
          <w:rFonts w:ascii="Verdana" w:eastAsia="Calibri" w:hAnsi="Verdana" w:cs="Arial"/>
          <w:color w:val="000000" w:themeColor="text1"/>
          <w:lang w:val="es-ES" w:eastAsia="es-ES"/>
        </w:rPr>
      </w:pPr>
    </w:p>
    <w:p w14:paraId="5E4A4AAC" w14:textId="77777777" w:rsidR="008E7783" w:rsidRPr="00737496" w:rsidRDefault="008E7783" w:rsidP="008E7783">
      <w:pPr>
        <w:spacing w:after="0" w:line="276" w:lineRule="auto"/>
        <w:jc w:val="both"/>
        <w:rPr>
          <w:rFonts w:ascii="Verdana" w:eastAsia="Calibri" w:hAnsi="Verdana" w:cs="Arial"/>
          <w:color w:val="000000" w:themeColor="text1"/>
          <w:lang w:val="es-ES" w:eastAsia="es-ES"/>
        </w:rPr>
      </w:pPr>
      <w:r w:rsidRPr="00737496">
        <w:rPr>
          <w:rFonts w:ascii="Verdana" w:eastAsia="Calibri" w:hAnsi="Verdana" w:cs="Arial"/>
          <w:color w:val="000000" w:themeColor="text1"/>
          <w:lang w:val="es-ES" w:eastAsia="es-ES"/>
        </w:rPr>
        <w:t xml:space="preserve">Estimado señor Mendoza: </w:t>
      </w:r>
    </w:p>
    <w:p w14:paraId="631F8FA9" w14:textId="77777777" w:rsidR="008E7783" w:rsidRPr="00737496" w:rsidRDefault="008E7783" w:rsidP="008E7783">
      <w:pPr>
        <w:tabs>
          <w:tab w:val="left" w:pos="3768"/>
        </w:tabs>
        <w:spacing w:after="0" w:line="276" w:lineRule="auto"/>
        <w:jc w:val="both"/>
        <w:rPr>
          <w:rFonts w:ascii="Verdana" w:eastAsia="Calibri" w:hAnsi="Verdana" w:cs="Arial"/>
          <w:color w:val="000000" w:themeColor="text1"/>
          <w:lang w:val="es-ES" w:eastAsia="es-ES"/>
        </w:rPr>
      </w:pPr>
    </w:p>
    <w:p w14:paraId="4CD724CE" w14:textId="77777777" w:rsidR="008E7783" w:rsidRPr="00737496" w:rsidRDefault="008E7783" w:rsidP="008E7783">
      <w:pPr>
        <w:spacing w:after="0" w:line="276" w:lineRule="auto"/>
        <w:jc w:val="both"/>
        <w:rPr>
          <w:rFonts w:ascii="Verdana" w:hAnsi="Verdana" w:cs="Arial"/>
        </w:rPr>
      </w:pPr>
      <w:r w:rsidRPr="00737496">
        <w:rPr>
          <w:rFonts w:ascii="Verdana" w:eastAsia="Calibri" w:hAnsi="Verdana" w:cs="Arial"/>
          <w:color w:val="000000" w:themeColor="text1"/>
          <w:lang w:val="es-ES" w:eastAsia="es-ES"/>
        </w:rPr>
        <w:t>En ejercicio de la competencia otorgada por los artículos 3, numeral 5º, y 11, numeral 8º, del Decreto Ley 4170 de 2011,</w:t>
      </w:r>
      <w:r w:rsidRPr="00737496">
        <w:rPr>
          <w:rFonts w:ascii="Verdana" w:eastAsia="Arial MT" w:hAnsi="Verdana" w:cs="Arial MT"/>
          <w:lang w:val="es-ES" w:eastAsia="es-ES"/>
        </w:rPr>
        <w:t xml:space="preserve"> </w:t>
      </w:r>
      <w:r w:rsidRPr="00737496">
        <w:rPr>
          <w:rFonts w:ascii="Verdana" w:hAnsi="Verdana" w:cs="Arial"/>
        </w:rPr>
        <w:t xml:space="preserve">así como lo establecido en la Resolución 469 de 2025 expedida por esta Entidad, </w:t>
      </w:r>
      <w:r w:rsidRPr="00737496">
        <w:rPr>
          <w:rFonts w:ascii="Verdana" w:eastAsia="Calibri" w:hAnsi="Verdana" w:cs="Arial"/>
          <w:color w:val="000000" w:themeColor="text1"/>
          <w:lang w:val="es-ES" w:eastAsia="es-ES"/>
        </w:rPr>
        <w:t>la Agencia Nacional de Contratación Pública – Colombia Compra Eficiente– responde su solicitud de consulta de fecha 14 de marzo de 2026</w:t>
      </w:r>
      <w:r w:rsidRPr="00737496">
        <w:rPr>
          <w:rFonts w:ascii="Verdana" w:eastAsia="Calibri" w:hAnsi="Verdana" w:cs="Arial"/>
          <w:color w:val="7030A0"/>
          <w:lang w:val="es-ES" w:eastAsia="es-ES"/>
        </w:rPr>
        <w:t>,</w:t>
      </w:r>
      <w:r w:rsidRPr="00737496">
        <w:rPr>
          <w:rFonts w:ascii="Verdana" w:eastAsia="Calibri" w:hAnsi="Verdana" w:cs="Arial"/>
          <w:color w:val="FF0000"/>
          <w:lang w:val="es-ES" w:eastAsia="es-ES"/>
        </w:rPr>
        <w:t xml:space="preserve"> </w:t>
      </w:r>
      <w:r w:rsidRPr="00737496">
        <w:rPr>
          <w:rFonts w:ascii="Verdana" w:eastAsia="Calibri" w:hAnsi="Verdana" w:cs="Arial"/>
          <w:color w:val="000000" w:themeColor="text1"/>
          <w:lang w:val="es-ES" w:eastAsia="es-ES"/>
        </w:rPr>
        <w:t>en la cual manifiesta lo siguiente:</w:t>
      </w:r>
    </w:p>
    <w:p w14:paraId="74ABC794" w14:textId="77777777" w:rsidR="008E7783" w:rsidRPr="00737496" w:rsidRDefault="008E7783" w:rsidP="008E7783">
      <w:pPr>
        <w:tabs>
          <w:tab w:val="left" w:pos="142"/>
          <w:tab w:val="left" w:pos="284"/>
        </w:tabs>
        <w:spacing w:after="0" w:line="276" w:lineRule="auto"/>
        <w:contextualSpacing/>
        <w:jc w:val="both"/>
        <w:rPr>
          <w:rFonts w:ascii="Verdana" w:eastAsia="Century Gothic" w:hAnsi="Verdana" w:cs="Century Gothic"/>
          <w:b/>
          <w:lang w:val="es-ES"/>
        </w:rPr>
      </w:pPr>
    </w:p>
    <w:p w14:paraId="7D14634F" w14:textId="77777777" w:rsidR="008E7783" w:rsidRPr="00737496" w:rsidRDefault="008E7783" w:rsidP="008E7783">
      <w:pPr>
        <w:spacing w:after="0" w:line="240" w:lineRule="auto"/>
        <w:ind w:left="709" w:right="709"/>
        <w:jc w:val="both"/>
        <w:rPr>
          <w:rFonts w:ascii="Verdana" w:eastAsia="Century Gothic" w:hAnsi="Verdana" w:cs="Century Gothic"/>
          <w:color w:val="000000" w:themeColor="text1"/>
          <w:sz w:val="20"/>
          <w:szCs w:val="20"/>
        </w:rPr>
      </w:pPr>
      <w:bookmarkStart w:id="1" w:name="_Hlk95313578"/>
      <w:r w:rsidRPr="00737496">
        <w:rPr>
          <w:rFonts w:ascii="Verdana" w:eastAsia="Century Gothic" w:hAnsi="Verdana" w:cs="Century Gothic"/>
          <w:color w:val="000000" w:themeColor="text1"/>
          <w:sz w:val="20"/>
          <w:szCs w:val="20"/>
          <w:lang w:val="es-ES"/>
        </w:rPr>
        <w:t>“</w:t>
      </w:r>
      <w:r w:rsidRPr="00737496">
        <w:rPr>
          <w:rFonts w:ascii="Verdana" w:eastAsia="Century Gothic" w:hAnsi="Verdana" w:cs="Century Gothic"/>
          <w:b/>
          <w:bCs/>
          <w:color w:val="000000" w:themeColor="text1"/>
          <w:sz w:val="20"/>
          <w:szCs w:val="20"/>
        </w:rPr>
        <w:t>PRIMERA: EMITIR CONCEPTO JURÍDICO</w:t>
      </w:r>
      <w:r w:rsidRPr="00737496">
        <w:rPr>
          <w:rFonts w:ascii="Verdana" w:eastAsia="Century Gothic" w:hAnsi="Verdana" w:cs="Century Gothic"/>
          <w:color w:val="000000" w:themeColor="text1"/>
          <w:sz w:val="20"/>
          <w:szCs w:val="20"/>
        </w:rPr>
        <w:t xml:space="preserve"> en el que la Agencia determine si, frente al supuesto fáctico planteado (póliza expedida materialmente antes del cierre, pero cuyo archivo PDF no se cargó oportunamente por error en plataforma), considera que el perfeccionamiento material del amparo prevalece sobre la falta de anexidad del documento en la plataforma, teniendo en cuenta la aplicación hermenéutica de la naturaleza consensual del contrato de seguro (</w:t>
      </w:r>
      <w:r w:rsidRPr="00737496">
        <w:rPr>
          <w:rFonts w:ascii="Verdana" w:eastAsia="Century Gothic" w:hAnsi="Verdana" w:cs="Century Gothic"/>
          <w:i/>
          <w:iCs/>
          <w:color w:val="000000" w:themeColor="text1"/>
          <w:sz w:val="20"/>
          <w:szCs w:val="20"/>
        </w:rPr>
        <w:t>ad probationem vs ad substantiam actus</w:t>
      </w:r>
      <w:r w:rsidRPr="00737496">
        <w:rPr>
          <w:rFonts w:ascii="Verdana" w:eastAsia="Century Gothic" w:hAnsi="Verdana" w:cs="Century Gothic"/>
          <w:color w:val="000000" w:themeColor="text1"/>
          <w:sz w:val="20"/>
          <w:szCs w:val="20"/>
        </w:rPr>
        <w:t xml:space="preserve">) prevista en el artículo 1036 del Código de Comercio. </w:t>
      </w:r>
    </w:p>
    <w:p w14:paraId="1232D94B" w14:textId="77777777" w:rsidR="008E7783" w:rsidRPr="00737496" w:rsidRDefault="008E7783" w:rsidP="008E7783">
      <w:pPr>
        <w:spacing w:after="0" w:line="240" w:lineRule="auto"/>
        <w:ind w:left="709" w:right="709"/>
        <w:jc w:val="both"/>
        <w:rPr>
          <w:rFonts w:ascii="Verdana" w:eastAsia="Century Gothic" w:hAnsi="Verdana" w:cs="Century Gothic"/>
          <w:color w:val="000000" w:themeColor="text1"/>
          <w:sz w:val="20"/>
          <w:szCs w:val="20"/>
        </w:rPr>
      </w:pPr>
    </w:p>
    <w:p w14:paraId="43C6D502" w14:textId="77777777" w:rsidR="008E7783" w:rsidRPr="00737496" w:rsidRDefault="008E7783" w:rsidP="008E7783">
      <w:pPr>
        <w:spacing w:after="0" w:line="240" w:lineRule="auto"/>
        <w:ind w:left="709" w:right="709"/>
        <w:jc w:val="both"/>
        <w:rPr>
          <w:rFonts w:ascii="Verdana" w:eastAsia="Century Gothic" w:hAnsi="Verdana" w:cs="Century Gothic"/>
          <w:color w:val="000000" w:themeColor="text1"/>
          <w:sz w:val="20"/>
          <w:szCs w:val="20"/>
        </w:rPr>
      </w:pPr>
      <w:r w:rsidRPr="00737496">
        <w:rPr>
          <w:rFonts w:ascii="Verdana" w:eastAsia="Century Gothic" w:hAnsi="Verdana" w:cs="Century Gothic"/>
          <w:b/>
          <w:bCs/>
          <w:color w:val="000000" w:themeColor="text1"/>
          <w:sz w:val="20"/>
          <w:szCs w:val="20"/>
        </w:rPr>
        <w:t>SEGUNDA: INDICAR EXPRESAMENTE</w:t>
      </w:r>
      <w:r w:rsidRPr="00737496">
        <w:rPr>
          <w:rFonts w:ascii="Verdana" w:eastAsia="Century Gothic" w:hAnsi="Verdana" w:cs="Century Gothic"/>
          <w:color w:val="000000" w:themeColor="text1"/>
          <w:sz w:val="20"/>
          <w:szCs w:val="20"/>
        </w:rPr>
        <w:t xml:space="preserve"> en su concepto si los Manuales y guías de uso del SECOP II, así como las directrices jurídicas de Colombia Compra Eficiente, armonizan con las Sentencias SU-041/22 de la Corte Constitucional y la providencia del 12 de noviembre de 2014 del Consejo de Estado, en el sentido de proscribir el </w:t>
      </w:r>
      <w:r w:rsidRPr="00737496">
        <w:rPr>
          <w:rFonts w:ascii="Verdana" w:eastAsia="Century Gothic" w:hAnsi="Verdana" w:cs="Century Gothic"/>
          <w:b/>
          <w:bCs/>
          <w:color w:val="000000" w:themeColor="text1"/>
          <w:sz w:val="20"/>
          <w:szCs w:val="20"/>
        </w:rPr>
        <w:t>Exceso Ritual Manifiesto</w:t>
      </w:r>
      <w:r w:rsidRPr="00737496">
        <w:rPr>
          <w:rFonts w:ascii="Verdana" w:eastAsia="Century Gothic" w:hAnsi="Verdana" w:cs="Century Gothic"/>
          <w:color w:val="000000" w:themeColor="text1"/>
          <w:sz w:val="20"/>
          <w:szCs w:val="20"/>
        </w:rPr>
        <w:t xml:space="preserve">, entendiendo que rechazar a un proponente cuyo amparo existía previamente constituye un apego ciego a las formas que sacrifica el derecho sustancial (Art. 228 C.P.), el cual justificaría la interposición de recursos procesales para impugnar dicha actuación. </w:t>
      </w:r>
    </w:p>
    <w:p w14:paraId="3DE6817F" w14:textId="77777777" w:rsidR="008E7783" w:rsidRPr="00737496" w:rsidRDefault="008E7783" w:rsidP="008E7783">
      <w:pPr>
        <w:spacing w:after="0" w:line="240" w:lineRule="auto"/>
        <w:ind w:left="709" w:right="709"/>
        <w:jc w:val="both"/>
        <w:rPr>
          <w:rFonts w:ascii="Verdana" w:eastAsia="Century Gothic" w:hAnsi="Verdana" w:cs="Century Gothic"/>
          <w:color w:val="000000" w:themeColor="text1"/>
          <w:sz w:val="20"/>
          <w:szCs w:val="20"/>
        </w:rPr>
      </w:pPr>
    </w:p>
    <w:p w14:paraId="4F02C1D3" w14:textId="77777777" w:rsidR="008E7783" w:rsidRPr="00737496" w:rsidRDefault="008E7783" w:rsidP="008E7783">
      <w:pPr>
        <w:spacing w:after="0" w:line="240" w:lineRule="auto"/>
        <w:ind w:left="709" w:right="709"/>
        <w:jc w:val="both"/>
        <w:rPr>
          <w:rFonts w:ascii="Verdana" w:eastAsia="Century Gothic" w:hAnsi="Verdana" w:cs="Century Gothic"/>
          <w:color w:val="000000" w:themeColor="text1"/>
          <w:sz w:val="20"/>
          <w:szCs w:val="20"/>
        </w:rPr>
      </w:pPr>
      <w:r w:rsidRPr="00737496">
        <w:rPr>
          <w:rFonts w:ascii="Verdana" w:eastAsia="Century Gothic" w:hAnsi="Verdana" w:cs="Century Gothic"/>
          <w:b/>
          <w:bCs/>
          <w:color w:val="000000" w:themeColor="text1"/>
          <w:sz w:val="20"/>
          <w:szCs w:val="20"/>
        </w:rPr>
        <w:t>TERCERA: PRECISAR</w:t>
      </w:r>
      <w:r w:rsidRPr="00737496">
        <w:rPr>
          <w:rFonts w:ascii="Verdana" w:eastAsia="Century Gothic" w:hAnsi="Verdana" w:cs="Century Gothic"/>
          <w:color w:val="000000" w:themeColor="text1"/>
          <w:sz w:val="20"/>
          <w:szCs w:val="20"/>
        </w:rPr>
        <w:t xml:space="preserve">, a través de su concepto institucional, si de cara al principio de Selección Objetiva y al resultado del Test de Proporcionalidad y ponderación esbozado en el Acápite IV de este documento, Colombia Compra Eficiente considera jurídicamente </w:t>
      </w:r>
      <w:r w:rsidRPr="00737496">
        <w:rPr>
          <w:rFonts w:ascii="Verdana" w:eastAsia="Century Gothic" w:hAnsi="Verdana" w:cs="Century Gothic"/>
          <w:b/>
          <w:bCs/>
          <w:color w:val="000000" w:themeColor="text1"/>
          <w:sz w:val="20"/>
          <w:szCs w:val="20"/>
        </w:rPr>
        <w:t>viable y subsanable la habilitación de un oferente</w:t>
      </w:r>
      <w:r w:rsidRPr="00737496">
        <w:rPr>
          <w:rFonts w:ascii="Verdana" w:eastAsia="Century Gothic" w:hAnsi="Verdana" w:cs="Century Gothic"/>
          <w:color w:val="000000" w:themeColor="text1"/>
          <w:sz w:val="20"/>
          <w:szCs w:val="20"/>
        </w:rPr>
        <w:t xml:space="preserve"> que demuestre de manera fehaciente (con certificación de la aseguradora) que su póliza fue expedida, pagada y entró en vigencia con anterioridad al cierre del proceso, independientemente del momento exacto de la carga del archivo en SECOP II. </w:t>
      </w:r>
    </w:p>
    <w:p w14:paraId="37D28994" w14:textId="77777777" w:rsidR="008E7783" w:rsidRPr="00737496" w:rsidRDefault="008E7783" w:rsidP="008E7783">
      <w:pPr>
        <w:spacing w:after="0" w:line="240" w:lineRule="auto"/>
        <w:ind w:left="709" w:right="709"/>
        <w:jc w:val="both"/>
        <w:rPr>
          <w:rFonts w:ascii="Verdana" w:eastAsia="Century Gothic" w:hAnsi="Verdana" w:cs="Century Gothic"/>
          <w:color w:val="000000" w:themeColor="text1"/>
          <w:sz w:val="20"/>
          <w:szCs w:val="20"/>
        </w:rPr>
      </w:pPr>
    </w:p>
    <w:p w14:paraId="22F4C903" w14:textId="77777777" w:rsidR="008E7783" w:rsidRPr="00737496" w:rsidRDefault="008E7783" w:rsidP="008E7783">
      <w:pPr>
        <w:spacing w:after="0" w:line="240" w:lineRule="auto"/>
        <w:ind w:left="709" w:right="709"/>
        <w:jc w:val="both"/>
        <w:rPr>
          <w:rFonts w:ascii="Verdana" w:eastAsia="Century Gothic" w:hAnsi="Verdana" w:cs="Century Gothic"/>
          <w:color w:val="000000" w:themeColor="text1"/>
          <w:sz w:val="20"/>
          <w:szCs w:val="20"/>
        </w:rPr>
      </w:pPr>
      <w:r w:rsidRPr="00737496">
        <w:rPr>
          <w:rFonts w:ascii="Verdana" w:eastAsia="Century Gothic" w:hAnsi="Verdana" w:cs="Century Gothic"/>
          <w:b/>
          <w:bCs/>
          <w:color w:val="000000" w:themeColor="text1"/>
          <w:sz w:val="20"/>
          <w:szCs w:val="20"/>
        </w:rPr>
        <w:t>CUARTA: Sobre los deberes oficiosos de constatación y la prevalencia de la realidad material frente a las validaciones de interfaz electrónica. EMITIR CONCEPTO JURÍDICO</w:t>
      </w:r>
      <w:r w:rsidRPr="00737496">
        <w:rPr>
          <w:rFonts w:ascii="Verdana" w:eastAsia="Century Gothic" w:hAnsi="Verdana" w:cs="Century Gothic"/>
          <w:color w:val="000000" w:themeColor="text1"/>
          <w:sz w:val="20"/>
          <w:szCs w:val="20"/>
        </w:rPr>
        <w:t xml:space="preserve"> de fondo en el cual la Agencia determine si, a la luz de los postulados constitucionales que ordenan darle primacía a lo sustancial sobre las formas, el rol de los comités evaluadores se agota en la validación mecánica de la plataforma SECOP II. Concretamente, solicito se indique si, ante la posibilidad de que un proponente demuestre que el negocio jurídico de aseguramiento ya existía plenamente con una aseguradora vigilada antes de la hora de cierre, Colombia Compra Eficiente reconoce la existencia de un </w:t>
      </w:r>
      <w:r w:rsidRPr="00737496">
        <w:rPr>
          <w:rFonts w:ascii="Verdana" w:eastAsia="Century Gothic" w:hAnsi="Verdana" w:cs="Century Gothic"/>
          <w:b/>
          <w:bCs/>
          <w:color w:val="000000" w:themeColor="text1"/>
          <w:sz w:val="20"/>
          <w:szCs w:val="20"/>
        </w:rPr>
        <w:t>deber administrativo de constatación para verificar la realidad de dicho amparo</w:t>
      </w:r>
      <w:r w:rsidRPr="00737496">
        <w:rPr>
          <w:rFonts w:ascii="Verdana" w:eastAsia="Century Gothic" w:hAnsi="Verdana" w:cs="Century Gothic"/>
          <w:color w:val="000000" w:themeColor="text1"/>
          <w:sz w:val="20"/>
          <w:szCs w:val="20"/>
        </w:rPr>
        <w:t xml:space="preserve">, o si, por el contrario, considera ajustado a derecho descartar una propuesta asumiendo que el instrumento tecnológico tiene mayor valor que la existencia material, jurídica e inalterable del contrato de seguro. </w:t>
      </w:r>
    </w:p>
    <w:p w14:paraId="23D02E31" w14:textId="77777777" w:rsidR="008E7783" w:rsidRPr="00737496" w:rsidRDefault="008E7783" w:rsidP="008E7783">
      <w:pPr>
        <w:spacing w:after="0" w:line="240" w:lineRule="auto"/>
        <w:ind w:left="709" w:right="709"/>
        <w:jc w:val="both"/>
        <w:rPr>
          <w:rFonts w:ascii="Verdana" w:eastAsia="Century Gothic" w:hAnsi="Verdana" w:cs="Century Gothic"/>
          <w:color w:val="000000" w:themeColor="text1"/>
          <w:sz w:val="20"/>
          <w:szCs w:val="20"/>
        </w:rPr>
      </w:pPr>
    </w:p>
    <w:p w14:paraId="0488C6D3" w14:textId="77777777" w:rsidR="008E7783" w:rsidRPr="00737496" w:rsidRDefault="008E7783" w:rsidP="008E7783">
      <w:pPr>
        <w:spacing w:after="0" w:line="240" w:lineRule="auto"/>
        <w:ind w:left="709" w:right="709"/>
        <w:jc w:val="both"/>
        <w:rPr>
          <w:rFonts w:ascii="Verdana" w:eastAsia="Century Gothic" w:hAnsi="Verdana" w:cs="Century Gothic"/>
          <w:color w:val="000000" w:themeColor="text1"/>
          <w:sz w:val="20"/>
          <w:szCs w:val="20"/>
        </w:rPr>
      </w:pPr>
      <w:r w:rsidRPr="00737496">
        <w:rPr>
          <w:rFonts w:ascii="Verdana" w:eastAsia="Century Gothic" w:hAnsi="Verdana" w:cs="Century Gothic"/>
          <w:b/>
          <w:bCs/>
          <w:color w:val="000000" w:themeColor="text1"/>
          <w:sz w:val="20"/>
          <w:szCs w:val="20"/>
        </w:rPr>
        <w:t>QUINTA: Sobre la congruencia entre el rechazo por fallas instrumentales y los fines de eficiencia comercial de la entidad contratante. PRONUNCIARSE INSTITUCIONALMENTE</w:t>
      </w:r>
      <w:r w:rsidRPr="00737496">
        <w:rPr>
          <w:rFonts w:ascii="Verdana" w:eastAsia="Century Gothic" w:hAnsi="Verdana" w:cs="Century Gothic"/>
          <w:color w:val="000000" w:themeColor="text1"/>
          <w:sz w:val="20"/>
          <w:szCs w:val="20"/>
        </w:rPr>
        <w:t xml:space="preserve"> frente a la exigencia de anexidad informática contrastada con la naturaleza misional y los fines de la contratación estatal. Dado que las entidades acuden a los procesos de selección precisamente para asegurar la opción más favorable, solicito conceptuar si la decisión de excluir de plano a un proponente plural cuyo respaldo financiero sí se concretó en los tiempos exigidos resulta una medida razonable y congruente con dichos fines. Es decir, sírvase indicar si la Agencia considera que el beneficio operativo de tener un archivo cargado en un repositorio digital justifica el grave </w:t>
      </w:r>
      <w:r w:rsidRPr="00737496">
        <w:rPr>
          <w:rFonts w:ascii="Verdana" w:eastAsia="Century Gothic" w:hAnsi="Verdana" w:cs="Century Gothic"/>
          <w:color w:val="000000" w:themeColor="text1"/>
          <w:sz w:val="20"/>
          <w:szCs w:val="20"/>
        </w:rPr>
        <w:lastRenderedPageBreak/>
        <w:t xml:space="preserve">perjuicio económico y competitivo que sufriría el Estado al privarse de evaluar una oferta que podría ser altamente conveniente, todo a causa de un error netamente instrumental. </w:t>
      </w:r>
    </w:p>
    <w:p w14:paraId="0E4048E6" w14:textId="77777777" w:rsidR="008E7783" w:rsidRPr="00737496" w:rsidRDefault="008E7783" w:rsidP="008E7783">
      <w:pPr>
        <w:spacing w:after="0" w:line="240" w:lineRule="auto"/>
        <w:ind w:left="709" w:right="709"/>
        <w:jc w:val="both"/>
        <w:rPr>
          <w:rFonts w:ascii="Verdana" w:eastAsia="Century Gothic" w:hAnsi="Verdana" w:cs="Century Gothic"/>
          <w:b/>
          <w:bCs/>
          <w:color w:val="000000" w:themeColor="text1"/>
          <w:sz w:val="20"/>
          <w:szCs w:val="20"/>
        </w:rPr>
      </w:pPr>
    </w:p>
    <w:p w14:paraId="53395487" w14:textId="77777777" w:rsidR="008E7783" w:rsidRPr="00737496" w:rsidRDefault="008E7783" w:rsidP="008E7783">
      <w:pPr>
        <w:spacing w:after="0" w:line="240" w:lineRule="auto"/>
        <w:ind w:left="709" w:right="709"/>
        <w:jc w:val="both"/>
        <w:rPr>
          <w:rFonts w:ascii="Verdana" w:eastAsia="Century Gothic" w:hAnsi="Verdana" w:cs="Century Gothic"/>
          <w:color w:val="000000" w:themeColor="text1"/>
          <w:sz w:val="20"/>
          <w:szCs w:val="20"/>
        </w:rPr>
      </w:pPr>
      <w:r w:rsidRPr="00737496">
        <w:rPr>
          <w:rFonts w:ascii="Verdana" w:eastAsia="Century Gothic" w:hAnsi="Verdana" w:cs="Century Gothic"/>
          <w:b/>
          <w:bCs/>
          <w:color w:val="000000" w:themeColor="text1"/>
          <w:sz w:val="20"/>
          <w:szCs w:val="20"/>
        </w:rPr>
        <w:t>SEXTA: Sobre la validez de los actos administrativos de rechazo fundamentados en premisas fácticas que no corresponden a la realidad del oferente. PRONUNCIARSE JURÍDICAMENTE</w:t>
      </w:r>
      <w:r w:rsidRPr="00737496">
        <w:rPr>
          <w:rFonts w:ascii="Verdana" w:eastAsia="Century Gothic" w:hAnsi="Verdana" w:cs="Century Gothic"/>
          <w:color w:val="000000" w:themeColor="text1"/>
          <w:sz w:val="20"/>
          <w:szCs w:val="20"/>
        </w:rPr>
        <w:t xml:space="preserve"> sobre la solidez y legalidad de las decisiones de rechazo en este tipo de escenarios. Considerando que la finalidad de exigir este amparo es precaver que los proponentes participen sin voluntad real de obligarse o que constituyan las pólizas de forma extemporánea, sírvase conceptuar qué validez tendría un acto definitivo que excluye a un postor bajo el argumento normativo de </w:t>
      </w:r>
      <w:r w:rsidRPr="00737496">
        <w:rPr>
          <w:rFonts w:ascii="Verdana" w:eastAsia="Century Gothic" w:hAnsi="Verdana" w:cs="Century Gothic"/>
          <w:i/>
          <w:iCs/>
          <w:color w:val="000000" w:themeColor="text1"/>
          <w:sz w:val="20"/>
          <w:szCs w:val="20"/>
        </w:rPr>
        <w:t>“no allegar la garantía”</w:t>
      </w:r>
      <w:r w:rsidRPr="00737496">
        <w:rPr>
          <w:rFonts w:ascii="Verdana" w:eastAsia="Century Gothic" w:hAnsi="Verdana" w:cs="Century Gothic"/>
          <w:color w:val="000000" w:themeColor="text1"/>
          <w:sz w:val="20"/>
          <w:szCs w:val="20"/>
        </w:rPr>
        <w:t xml:space="preserve">, si en la realidad objetiva dicho oferente sí comprometió su patrimonio y adquirió la cobertura antes del vencimiento del plazo. Concretamente, solicito indicar si la entidad rectora considera ajustado a derecho expedir decisiones sancionatorias o excluyentes basándose en supuestos de hecho que riñen con la verdad comprobable, asumiendo la </w:t>
      </w:r>
      <w:r w:rsidRPr="00737496">
        <w:rPr>
          <w:rFonts w:ascii="Verdana" w:eastAsia="Century Gothic" w:hAnsi="Verdana" w:cs="Century Gothic"/>
          <w:i/>
          <w:iCs/>
          <w:color w:val="000000" w:themeColor="text1"/>
          <w:sz w:val="20"/>
          <w:szCs w:val="20"/>
        </w:rPr>
        <w:t>“falta de garantía”</w:t>
      </w:r>
      <w:r w:rsidRPr="00737496">
        <w:rPr>
          <w:rFonts w:ascii="Verdana" w:eastAsia="Century Gothic" w:hAnsi="Verdana" w:cs="Century Gothic"/>
          <w:color w:val="000000" w:themeColor="text1"/>
          <w:sz w:val="20"/>
          <w:szCs w:val="20"/>
        </w:rPr>
        <w:t xml:space="preserve"> simplemente por un fallo tecnológico de la plataforma, a pesar de que el riesgo sí estaba materialmente cubierto. </w:t>
      </w:r>
    </w:p>
    <w:p w14:paraId="596CA8FE" w14:textId="77777777" w:rsidR="008E7783" w:rsidRPr="00737496" w:rsidRDefault="008E7783" w:rsidP="008E7783">
      <w:pPr>
        <w:spacing w:after="0" w:line="240" w:lineRule="auto"/>
        <w:ind w:left="709" w:right="709"/>
        <w:jc w:val="both"/>
        <w:rPr>
          <w:rFonts w:ascii="Verdana" w:eastAsia="Century Gothic" w:hAnsi="Verdana" w:cs="Century Gothic"/>
          <w:color w:val="000000" w:themeColor="text1"/>
          <w:sz w:val="20"/>
          <w:szCs w:val="20"/>
        </w:rPr>
      </w:pPr>
    </w:p>
    <w:p w14:paraId="389BEBF8" w14:textId="77777777" w:rsidR="008E7783" w:rsidRPr="00737496" w:rsidRDefault="008E7783" w:rsidP="008E7783">
      <w:pPr>
        <w:spacing w:after="0" w:line="240" w:lineRule="auto"/>
        <w:ind w:left="709" w:right="709"/>
        <w:jc w:val="both"/>
        <w:rPr>
          <w:rFonts w:ascii="Verdana" w:eastAsia="Century Gothic" w:hAnsi="Verdana" w:cs="Century Gothic"/>
          <w:color w:val="000000" w:themeColor="text1"/>
          <w:sz w:val="20"/>
          <w:szCs w:val="20"/>
        </w:rPr>
      </w:pPr>
      <w:r w:rsidRPr="00737496">
        <w:rPr>
          <w:rFonts w:ascii="Verdana" w:eastAsia="Century Gothic" w:hAnsi="Verdana" w:cs="Century Gothic"/>
          <w:b/>
          <w:bCs/>
          <w:color w:val="000000" w:themeColor="text1"/>
          <w:sz w:val="20"/>
          <w:szCs w:val="20"/>
        </w:rPr>
        <w:t>SÉPTIMA: Sobre la interoperabilidad, la racionalización de trámites y la verificación directa en portales web de entidades aseguradoras. EMITIR CONCEPTO JURÍDICO</w:t>
      </w:r>
      <w:r w:rsidRPr="00737496">
        <w:rPr>
          <w:rFonts w:ascii="Verdana" w:eastAsia="Century Gothic" w:hAnsi="Verdana" w:cs="Century Gothic"/>
          <w:color w:val="000000" w:themeColor="text1"/>
          <w:sz w:val="20"/>
          <w:szCs w:val="20"/>
        </w:rPr>
        <w:t xml:space="preserve"> respecto al alcance del deber de verificación de la entidad evaluadora a la luz de los principios de eficacia, economía y lo dispuesto en la normativa de racionalización de trámites (Decreto 2106 de 2019). Específicamente, solicito se determine si Colombia Compra Eficiente considera ajustado a derecho rechazar una propuesta por la no carga del archivo PDF en SECOP II, en aquellos eventos donde la existencia, vigencia y firmeza de la garantía de seriedad (expedida oportunamente) </w:t>
      </w:r>
      <w:r w:rsidRPr="00737496">
        <w:rPr>
          <w:rFonts w:ascii="Verdana" w:eastAsia="Century Gothic" w:hAnsi="Verdana" w:cs="Century Gothic"/>
          <w:b/>
          <w:bCs/>
          <w:color w:val="000000" w:themeColor="text1"/>
          <w:sz w:val="20"/>
          <w:szCs w:val="20"/>
        </w:rPr>
        <w:t>puede ser consultada, validada y descargada de manera directa, gratuita y en tiempo real a través de los portales web de consulta de las propias compañías aseguradoras</w:t>
      </w:r>
      <w:r w:rsidRPr="00737496">
        <w:rPr>
          <w:rFonts w:ascii="Verdana" w:eastAsia="Century Gothic" w:hAnsi="Verdana" w:cs="Century Gothic"/>
          <w:color w:val="000000" w:themeColor="text1"/>
          <w:sz w:val="20"/>
          <w:szCs w:val="20"/>
        </w:rPr>
        <w:t xml:space="preserve"> (entidades vigiladas por la Superintendencia Financiera). Sírvase conceptuar si, ante la duda o ausencia temporal de un documento en SECOP II, el deber oficioso y diligente del evaluador incluye agotar esta simple validación digital pública antes de proferir una decisión excluyente que lesione la libre concurrencia</w:t>
      </w:r>
      <w:bookmarkEnd w:id="1"/>
      <w:r w:rsidRPr="00737496">
        <w:rPr>
          <w:rFonts w:ascii="Verdana" w:hAnsi="Verdana" w:cs="Arial"/>
          <w:color w:val="7030A0"/>
          <w:shd w:val="clear" w:color="auto" w:fill="FFFFFF"/>
          <w:lang w:val="es-ES"/>
        </w:rPr>
        <w:t xml:space="preserve">” </w:t>
      </w:r>
    </w:p>
    <w:p w14:paraId="50B85ED0" w14:textId="77777777" w:rsidR="008E7783" w:rsidRPr="00737496" w:rsidRDefault="008E7783" w:rsidP="008E7783">
      <w:pPr>
        <w:tabs>
          <w:tab w:val="left" w:pos="142"/>
          <w:tab w:val="left" w:pos="284"/>
        </w:tabs>
        <w:spacing w:after="0" w:line="276" w:lineRule="auto"/>
        <w:contextualSpacing/>
        <w:jc w:val="both"/>
        <w:rPr>
          <w:rFonts w:ascii="Verdana" w:eastAsia="Century Gothic" w:hAnsi="Verdana" w:cs="Century Gothic"/>
          <w:b/>
          <w:bCs/>
          <w:lang w:val="es-ES"/>
        </w:rPr>
      </w:pPr>
    </w:p>
    <w:p w14:paraId="4C1A239C" w14:textId="77777777" w:rsidR="008E7783" w:rsidRPr="00737496" w:rsidRDefault="008E7783" w:rsidP="008E7783">
      <w:pPr>
        <w:spacing w:after="120" w:line="276" w:lineRule="auto"/>
        <w:ind w:firstLine="709"/>
        <w:jc w:val="both"/>
        <w:rPr>
          <w:rFonts w:ascii="Verdana" w:eastAsia="Calibri" w:hAnsi="Verdana" w:cs="Arial"/>
          <w:color w:val="000000"/>
          <w:lang w:val="es-ES" w:eastAsia="es-ES"/>
        </w:rPr>
      </w:pPr>
      <w:r w:rsidRPr="00737496">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w:t>
      </w:r>
      <w:r w:rsidRPr="00737496">
        <w:rPr>
          <w:rFonts w:ascii="Verdana" w:eastAsia="Calibri" w:hAnsi="Verdana" w:cs="Arial"/>
          <w:color w:val="000000" w:themeColor="text1"/>
          <w:lang w:val="es-ES" w:eastAsia="es-ES"/>
        </w:rPr>
        <w:lastRenderedPageBreak/>
        <w:t xml:space="preserve">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37496">
        <w:tab/>
      </w:r>
    </w:p>
    <w:p w14:paraId="21D4ED8B" w14:textId="77777777" w:rsidR="008E7783" w:rsidRPr="00737496" w:rsidRDefault="008E7783" w:rsidP="008E7783">
      <w:pPr>
        <w:spacing w:after="0" w:line="276" w:lineRule="auto"/>
        <w:ind w:firstLine="709"/>
        <w:jc w:val="both"/>
        <w:rPr>
          <w:rFonts w:ascii="Verdana" w:eastAsia="Calibri" w:hAnsi="Verdana" w:cs="Arial"/>
          <w:color w:val="000000"/>
          <w:lang w:val="es-ES" w:eastAsia="es-ES"/>
        </w:rPr>
      </w:pPr>
      <w:r w:rsidRPr="00737496">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w:t>
      </w:r>
      <w:r w:rsidRPr="00737496">
        <w:rPr>
          <w:rFonts w:ascii="Verdana" w:eastAsia="Calibri" w:hAnsi="Verdana" w:cs="Arial"/>
          <w:color w:val="7030A0"/>
          <w:lang w:val="es-ES" w:eastAsia="es-ES"/>
        </w:rPr>
        <w:t xml:space="preserve"> </w:t>
      </w:r>
      <w:r w:rsidRPr="00737496">
        <w:rPr>
          <w:rFonts w:ascii="Verdana" w:eastAsia="Calibri" w:hAnsi="Verdana" w:cs="Arial"/>
          <w:color w:val="000000" w:themeColor="text1"/>
          <w:lang w:val="es-ES" w:eastAsia="es-ES"/>
        </w:rPr>
        <w:t>jurídico</w:t>
      </w:r>
      <w:r w:rsidRPr="00737496">
        <w:rPr>
          <w:rFonts w:ascii="Verdana" w:eastAsia="Calibri" w:hAnsi="Verdana" w:cs="Arial"/>
          <w:color w:val="7030A0"/>
          <w:lang w:val="es-ES" w:eastAsia="es-ES"/>
        </w:rPr>
        <w:t xml:space="preserve"> </w:t>
      </w:r>
      <w:r w:rsidRPr="00737496">
        <w:rPr>
          <w:rFonts w:ascii="Verdana" w:eastAsia="Calibri" w:hAnsi="Verdana" w:cs="Arial"/>
          <w:color w:val="000000" w:themeColor="text1"/>
          <w:lang w:val="es-ES" w:eastAsia="es-ES"/>
        </w:rPr>
        <w:t>de su consulta.</w:t>
      </w:r>
    </w:p>
    <w:p w14:paraId="00A9A71F" w14:textId="77777777" w:rsidR="008E7783" w:rsidRPr="00737496" w:rsidRDefault="008E7783" w:rsidP="008E7783">
      <w:pPr>
        <w:spacing w:after="0" w:line="276" w:lineRule="auto"/>
        <w:ind w:firstLine="709"/>
        <w:jc w:val="both"/>
        <w:rPr>
          <w:rFonts w:ascii="Verdana" w:eastAsia="Calibri" w:hAnsi="Verdana" w:cs="Arial"/>
          <w:color w:val="000000"/>
          <w:lang w:val="es-ES" w:eastAsia="es-ES"/>
        </w:rPr>
      </w:pPr>
    </w:p>
    <w:p w14:paraId="077CF787" w14:textId="77777777" w:rsidR="008E7783" w:rsidRPr="00737496" w:rsidRDefault="008E7783" w:rsidP="008E7783">
      <w:pPr>
        <w:numPr>
          <w:ilvl w:val="0"/>
          <w:numId w:val="16"/>
        </w:numPr>
        <w:tabs>
          <w:tab w:val="left" w:pos="142"/>
          <w:tab w:val="left" w:pos="284"/>
        </w:tabs>
        <w:spacing w:after="0" w:line="276" w:lineRule="auto"/>
        <w:ind w:hanging="6601"/>
        <w:contextualSpacing/>
        <w:jc w:val="both"/>
        <w:rPr>
          <w:rFonts w:ascii="Verdana" w:eastAsia="Century Gothic" w:hAnsi="Verdana" w:cs="Century Gothic"/>
          <w:b/>
          <w:bCs/>
          <w:lang w:val="es-ES"/>
        </w:rPr>
      </w:pPr>
      <w:r w:rsidRPr="00737496">
        <w:rPr>
          <w:rFonts w:ascii="Verdana" w:eastAsia="Century Gothic" w:hAnsi="Verdana" w:cs="Century Gothic"/>
          <w:b/>
          <w:bCs/>
          <w:lang w:val="es-ES"/>
        </w:rPr>
        <w:t>Problema planteado:</w:t>
      </w:r>
    </w:p>
    <w:p w14:paraId="6030B069" w14:textId="77777777" w:rsidR="008E7783" w:rsidRPr="00737496" w:rsidRDefault="008E7783" w:rsidP="008E7783">
      <w:pPr>
        <w:tabs>
          <w:tab w:val="left" w:pos="426"/>
        </w:tabs>
        <w:spacing w:after="0" w:line="276" w:lineRule="auto"/>
        <w:jc w:val="both"/>
        <w:rPr>
          <w:rFonts w:ascii="Verdana" w:eastAsia="Century Gothic" w:hAnsi="Verdana" w:cs="Century Gothic"/>
          <w:lang w:val="es-ES"/>
        </w:rPr>
      </w:pPr>
    </w:p>
    <w:p w14:paraId="46ECA497" w14:textId="77777777" w:rsidR="008E7783" w:rsidRPr="00737496" w:rsidRDefault="008E7783" w:rsidP="008E7783">
      <w:pPr>
        <w:spacing w:after="0" w:line="276" w:lineRule="auto"/>
        <w:jc w:val="both"/>
        <w:rPr>
          <w:rFonts w:ascii="Verdana" w:hAnsi="Verdana"/>
        </w:rPr>
      </w:pPr>
      <w:r w:rsidRPr="00737496">
        <w:rPr>
          <w:rFonts w:ascii="Verdana" w:eastAsia="Century Gothic" w:hAnsi="Verdana" w:cs="Century Gothic"/>
        </w:rPr>
        <w:t xml:space="preserve">De acuerdo con el contenido de su solicitud, esta Agencia resolverá el siguiente problema jurídico: ¿Conforme al régimen de contratación estatal, no entregar o cargar la garantía de seriedad de la oferta en la plataforma SECOP II al momento de la presentación de la propuesta configura una causal de rechazo de la oferta? </w:t>
      </w:r>
    </w:p>
    <w:p w14:paraId="7F732159" w14:textId="77777777" w:rsidR="008E7783" w:rsidRPr="00737496" w:rsidRDefault="008E7783" w:rsidP="008E7783">
      <w:pPr>
        <w:spacing w:after="0" w:line="276" w:lineRule="auto"/>
        <w:jc w:val="both"/>
        <w:rPr>
          <w:rFonts w:ascii="Verdana" w:eastAsia="Calibri" w:hAnsi="Verdana" w:cs="Arial"/>
          <w:color w:val="7030A0"/>
          <w:lang w:val="es-ES"/>
        </w:rPr>
      </w:pPr>
    </w:p>
    <w:p w14:paraId="7ED35421" w14:textId="77777777" w:rsidR="008E7783" w:rsidRPr="00737496" w:rsidRDefault="008E7783" w:rsidP="008E7783">
      <w:pPr>
        <w:numPr>
          <w:ilvl w:val="0"/>
          <w:numId w:val="16"/>
        </w:numPr>
        <w:tabs>
          <w:tab w:val="left" w:pos="142"/>
          <w:tab w:val="left" w:pos="284"/>
        </w:tabs>
        <w:spacing w:after="0" w:line="276" w:lineRule="auto"/>
        <w:ind w:hanging="6601"/>
        <w:jc w:val="both"/>
        <w:rPr>
          <w:rFonts w:ascii="Verdana" w:eastAsia="Century Gothic" w:hAnsi="Verdana" w:cs="Century Gothic"/>
          <w:b/>
          <w:bCs/>
          <w:lang w:val="es-ES"/>
        </w:rPr>
      </w:pPr>
      <w:r w:rsidRPr="00737496">
        <w:rPr>
          <w:rFonts w:ascii="Verdana" w:eastAsia="Century Gothic" w:hAnsi="Verdana" w:cs="Century Gothic"/>
          <w:b/>
          <w:bCs/>
          <w:lang w:val="es-ES"/>
        </w:rPr>
        <w:t>Respuesta:</w:t>
      </w:r>
    </w:p>
    <w:p w14:paraId="0C4F7F7C" w14:textId="77777777" w:rsidR="008E7783" w:rsidRPr="00737496" w:rsidRDefault="008E7783" w:rsidP="008E778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E7783" w:rsidRPr="00737496" w14:paraId="1932E685" w14:textId="77777777" w:rsidTr="008132BC">
        <w:tc>
          <w:tcPr>
            <w:tcW w:w="8828" w:type="dxa"/>
          </w:tcPr>
          <w:p w14:paraId="60DA7782" w14:textId="77777777" w:rsidR="008E7783" w:rsidRPr="00737496" w:rsidRDefault="008E7783" w:rsidP="008132BC">
            <w:pPr>
              <w:spacing w:after="120" w:line="276" w:lineRule="auto"/>
              <w:jc w:val="both"/>
              <w:rPr>
                <w:rFonts w:ascii="Verdana" w:eastAsia="Calibri" w:hAnsi="Verdana" w:cs="Arial"/>
                <w:color w:val="000000" w:themeColor="text1"/>
              </w:rPr>
            </w:pPr>
            <w:bookmarkStart w:id="2" w:name="OLE_LINK2"/>
            <w:r w:rsidRPr="00737496">
              <w:rPr>
                <w:rFonts w:ascii="Verdana" w:eastAsia="Calibri" w:hAnsi="Verdana" w:cs="Times New Roman"/>
                <w:color w:val="000000" w:themeColor="text1"/>
              </w:rPr>
              <w:t xml:space="preserve">El </w:t>
            </w:r>
            <w:r w:rsidRPr="00737496">
              <w:rPr>
                <w:rFonts w:ascii="Verdana" w:eastAsia="Calibri" w:hAnsi="Verdana" w:cs="Arial"/>
                <w:color w:val="000000" w:themeColor="text1"/>
                <w:lang w:val="es-ES"/>
              </w:rPr>
              <w:t>parágrafo 3 del artículo 5 de la Ley 1882 de 2018 establece de manera expresa que “la no entrega de la garantía de seriedad junto con la propuesta no será subsanable y será causal de rechazo de la misma”.</w:t>
            </w:r>
            <w:r w:rsidRPr="00737496">
              <w:rPr>
                <w:rFonts w:ascii="Verdana" w:eastAsia="Calibri" w:hAnsi="Verdana" w:cs="Times New Roman"/>
                <w:color w:val="000000" w:themeColor="text1"/>
              </w:rPr>
              <w:t xml:space="preserve"> </w:t>
            </w:r>
            <w:r w:rsidRPr="00737496">
              <w:rPr>
                <w:rFonts w:ascii="Verdana" w:eastAsia="Calibri" w:hAnsi="Verdana" w:cs="Arial"/>
                <w:color w:val="000000" w:themeColor="text1"/>
              </w:rPr>
              <w:t xml:space="preserve">Esta disposición deja claro que la garantía de seriedad de la oferta es un documento de presentación obligatoria y simultánea con la oferta, y su omisión constituye una causal de rechazo insubsanable. </w:t>
            </w:r>
          </w:p>
          <w:p w14:paraId="3827B0A9" w14:textId="77777777" w:rsidR="008E7783" w:rsidRPr="00737496" w:rsidRDefault="008E7783" w:rsidP="008132BC">
            <w:pPr>
              <w:spacing w:before="120" w:after="120" w:line="276" w:lineRule="auto"/>
              <w:ind w:firstLine="708"/>
              <w:jc w:val="both"/>
              <w:rPr>
                <w:rFonts w:ascii="Verdana" w:hAnsi="Verdana" w:cs="Arial"/>
              </w:rPr>
            </w:pPr>
            <w:r w:rsidRPr="00737496">
              <w:rPr>
                <w:rFonts w:ascii="Verdana" w:hAnsi="Verdana" w:cs="Arial"/>
              </w:rPr>
              <w:t xml:space="preserve">El origen de dicha norma, según se desprende de lo dicho en la Gaceta No. 605 del 2016, se encuentra en que para el legislador era necesario eliminar la posibilidad de subsanar la garantía de seriedad hasta antes de la adjudicación del contrato, porque si no se presentaba de manera concomitante con la oferta, en el evento que el proponente retirara su propuesta si la entidad no contaba con la póliza, no podía reclamarle por los perjuicios causados y, por lo tanto, se vería afectado el proceso de selección. </w:t>
            </w:r>
          </w:p>
          <w:p w14:paraId="65B11597" w14:textId="77777777" w:rsidR="008E7783" w:rsidRPr="00737496" w:rsidRDefault="008E7783" w:rsidP="008132BC">
            <w:pPr>
              <w:spacing w:before="120" w:after="120" w:line="276" w:lineRule="auto"/>
              <w:ind w:firstLine="709"/>
              <w:jc w:val="both"/>
              <w:rPr>
                <w:rFonts w:ascii="Verdana" w:hAnsi="Verdana" w:cs="Arial"/>
              </w:rPr>
            </w:pPr>
            <w:r w:rsidRPr="00737496">
              <w:rPr>
                <w:rFonts w:ascii="Verdana" w:hAnsi="Verdana" w:cs="Arial"/>
              </w:rPr>
              <w:t>De esta forma, el mandato legal establecido en el parágrafo 3 del artículo 5 de la Ley 1150 de 2007</w:t>
            </w:r>
            <w:r>
              <w:rPr>
                <w:rFonts w:ascii="Verdana" w:hAnsi="Verdana" w:cs="Arial"/>
              </w:rPr>
              <w:t>,</w:t>
            </w:r>
            <w:r w:rsidRPr="00737496">
              <w:rPr>
                <w:rFonts w:ascii="Verdana" w:hAnsi="Verdana" w:cs="Arial"/>
              </w:rPr>
              <w:t xml:space="preserve"> adicionado por el artículo 5 de la Ley 1882 </w:t>
            </w:r>
            <w:r w:rsidRPr="00737496">
              <w:rPr>
                <w:rFonts w:ascii="Verdana" w:hAnsi="Verdana" w:cs="Arial"/>
              </w:rPr>
              <w:lastRenderedPageBreak/>
              <w:t xml:space="preserve">de 2018, impone de manera expresa e inequívoca la entrega de la garantía de seriedad o aporte simultáneo con la oferta, lo cual configura un deber en cabeza del proponente. </w:t>
            </w:r>
          </w:p>
          <w:p w14:paraId="559625A9" w14:textId="77777777" w:rsidR="008E7783" w:rsidRPr="00737496" w:rsidRDefault="008E7783" w:rsidP="008132BC">
            <w:pPr>
              <w:spacing w:before="120" w:after="120" w:line="276" w:lineRule="auto"/>
              <w:ind w:firstLine="709"/>
              <w:jc w:val="both"/>
              <w:rPr>
                <w:rFonts w:ascii="Verdana" w:hAnsi="Verdana" w:cs="Arial"/>
              </w:rPr>
            </w:pPr>
            <w:r w:rsidRPr="00737496">
              <w:rPr>
                <w:rFonts w:ascii="Verdana" w:eastAsia="Calibri" w:hAnsi="Verdana" w:cs="Times New Roman"/>
                <w:color w:val="000000" w:themeColor="text1"/>
              </w:rPr>
              <w:t>Desde esta perspectiva, para efectos de</w:t>
            </w:r>
            <w:r>
              <w:rPr>
                <w:rFonts w:ascii="Verdana" w:eastAsia="Calibri" w:hAnsi="Verdana" w:cs="Times New Roman"/>
                <w:color w:val="000000" w:themeColor="text1"/>
              </w:rPr>
              <w:t xml:space="preserve"> </w:t>
            </w:r>
            <w:r w:rsidRPr="00737496">
              <w:rPr>
                <w:rFonts w:ascii="Verdana" w:eastAsia="Calibri" w:hAnsi="Verdana" w:cs="Times New Roman"/>
                <w:color w:val="000000" w:themeColor="text1"/>
              </w:rPr>
              <w:t>l</w:t>
            </w:r>
            <w:r>
              <w:rPr>
                <w:rFonts w:ascii="Verdana" w:eastAsia="Calibri" w:hAnsi="Verdana" w:cs="Times New Roman"/>
                <w:color w:val="000000" w:themeColor="text1"/>
              </w:rPr>
              <w:t>os procesos adelantados por medio del</w:t>
            </w:r>
            <w:r w:rsidRPr="00737496">
              <w:rPr>
                <w:rFonts w:ascii="Verdana" w:eastAsia="Calibri" w:hAnsi="Verdana" w:cs="Times New Roman"/>
                <w:color w:val="000000" w:themeColor="text1"/>
              </w:rPr>
              <w:t xml:space="preserve"> SECOP II, el alcance de este mandato legal se entiende como la incorporación efectiva del documento digital al proceso de selección en el momento requerido por la norma, es decir, de manera concomitante con la presentación de la oferta en dicha plataforma y no con posterioridad. Esta exigencia, como se explicó, fue incorporada por el legislador precisamente </w:t>
            </w:r>
            <w:r w:rsidRPr="00737496">
              <w:rPr>
                <w:rFonts w:ascii="Verdana" w:hAnsi="Verdana" w:cs="Arial"/>
              </w:rPr>
              <w:t xml:space="preserve">con el propósito de eliminar la posibilidad de subsanar la garantía de seriedad hasta antes de la adjudicación del contrato, por lo que la omisión en su entrega o cargue en el SECOP II no puede ser objeto de subsanación, ya que desnaturalizaría el sentido de la norma y desconocería su finalidad. </w:t>
            </w:r>
          </w:p>
          <w:p w14:paraId="7C2F9C22" w14:textId="77777777" w:rsidR="008E7783" w:rsidRPr="00737496" w:rsidRDefault="008E7783" w:rsidP="008132BC">
            <w:pPr>
              <w:spacing w:after="120" w:line="276" w:lineRule="auto"/>
              <w:ind w:firstLine="709"/>
              <w:jc w:val="both"/>
              <w:rPr>
                <w:rFonts w:ascii="Verdana" w:eastAsia="Calibri" w:hAnsi="Verdana" w:cs="Times New Roman"/>
                <w:color w:val="000000" w:themeColor="text1"/>
              </w:rPr>
            </w:pPr>
            <w:r w:rsidRPr="00737496">
              <w:rPr>
                <w:rFonts w:ascii="Verdana" w:eastAsia="Calibri" w:hAnsi="Verdana" w:cs="Times New Roman"/>
                <w:color w:val="000000" w:themeColor="text1"/>
              </w:rPr>
              <w:t>Si bien el régimen de contratación estatal admite la subsanación de ciertos requisitos</w:t>
            </w:r>
            <w:r>
              <w:rPr>
                <w:rFonts w:ascii="Verdana" w:eastAsia="Calibri" w:hAnsi="Verdana" w:cs="Times New Roman"/>
                <w:color w:val="000000" w:themeColor="text1"/>
              </w:rPr>
              <w:t>,</w:t>
            </w:r>
            <w:r w:rsidRPr="00737496">
              <w:rPr>
                <w:rFonts w:ascii="Verdana" w:eastAsia="Calibri" w:hAnsi="Verdana" w:cs="Times New Roman"/>
                <w:color w:val="000000" w:themeColor="text1"/>
              </w:rPr>
              <w:t xml:space="preserve"> </w:t>
            </w:r>
            <w:r w:rsidRPr="00367FAE">
              <w:rPr>
                <w:rFonts w:ascii="Verdana" w:eastAsia="Calibri" w:hAnsi="Verdana" w:cs="Times New Roman"/>
                <w:color w:val="000000" w:themeColor="text1"/>
              </w:rPr>
              <w:t>cuando se trata de acreditar circunstancias posteriores al cierre del proceso</w:t>
            </w:r>
            <w:r w:rsidRPr="00A71851">
              <w:rPr>
                <w:rFonts w:ascii="Verdana" w:eastAsia="Calibri" w:hAnsi="Verdana" w:cs="Times New Roman"/>
                <w:color w:val="000000" w:themeColor="text1"/>
              </w:rPr>
              <w:t>, siempre que no hayan ocurrido posterior a este momento</w:t>
            </w:r>
            <w:r w:rsidRPr="00367FAE">
              <w:rPr>
                <w:rFonts w:ascii="Verdana" w:eastAsia="Calibri" w:hAnsi="Verdana" w:cs="Times New Roman"/>
                <w:color w:val="000000" w:themeColor="text1"/>
              </w:rPr>
              <w:t>,</w:t>
            </w:r>
            <w:r w:rsidRPr="00737496">
              <w:rPr>
                <w:rFonts w:ascii="Verdana" w:eastAsia="Calibri" w:hAnsi="Verdana" w:cs="Times New Roman"/>
                <w:color w:val="000000" w:themeColor="text1"/>
              </w:rPr>
              <w:t xml:space="preserve"> en el caso de la garantía de seriedad el legislador ha establecido una excepción expresa al calificar su no entrega como un defecto no subsanable. Esta previsión normativa excluye cualquier posibilidad de interpretación flexible, en la medida en que delimita de forma clara el ámbito de aplicación de la subsanabilidad en este caso, impidiendo que la administración amplíe dicho margen por vía interpretativa.</w:t>
            </w:r>
          </w:p>
          <w:p w14:paraId="4985B917" w14:textId="77777777" w:rsidR="008E7783" w:rsidRPr="00737496" w:rsidRDefault="008E7783" w:rsidP="008132BC">
            <w:pPr>
              <w:spacing w:after="120" w:line="276" w:lineRule="auto"/>
              <w:ind w:firstLine="709"/>
              <w:jc w:val="both"/>
              <w:rPr>
                <w:rFonts w:ascii="Verdana" w:eastAsia="Calibri" w:hAnsi="Verdana" w:cs="Times New Roman"/>
                <w:color w:val="000000" w:themeColor="text1"/>
              </w:rPr>
            </w:pPr>
            <w:r w:rsidRPr="00737496">
              <w:rPr>
                <w:rFonts w:ascii="Verdana" w:eastAsia="Calibri" w:hAnsi="Verdana" w:cs="Times New Roman"/>
                <w:color w:val="000000" w:themeColor="text1"/>
              </w:rPr>
              <w:t>Lo anterior resulta concordante con el principio de legalidad que rige la actividad contractual, conforme al cual es legítima la actuación de las autoridades en cuanto se desarrolle dentro del preciso ámbito funcional definido por el legislador, proscribiendo las actuaciones de los servidores públicos que impliquen omisión o extralimitación en el ejercicio de las mismas; a la observancia del debido proceso y</w:t>
            </w:r>
            <w:r>
              <w:rPr>
                <w:rFonts w:ascii="Verdana" w:eastAsia="Calibri" w:hAnsi="Verdana" w:cs="Times New Roman"/>
                <w:color w:val="000000" w:themeColor="text1"/>
              </w:rPr>
              <w:t>;</w:t>
            </w:r>
            <w:r w:rsidRPr="00737496">
              <w:rPr>
                <w:rFonts w:ascii="Verdana" w:eastAsia="Calibri" w:hAnsi="Verdana" w:cs="Times New Roman"/>
                <w:color w:val="000000" w:themeColor="text1"/>
              </w:rPr>
              <w:t xml:space="preserve"> a los principios de la función administrativa, desarrollados legalmente por el mismo Estatuto General de Contratación de la Administración Pública. De acuerdo con este principio</w:t>
            </w:r>
            <w:r>
              <w:rPr>
                <w:rFonts w:ascii="Verdana" w:eastAsia="Calibri" w:hAnsi="Verdana" w:cs="Times New Roman"/>
                <w:color w:val="000000" w:themeColor="text1"/>
              </w:rPr>
              <w:t>,</w:t>
            </w:r>
            <w:r w:rsidRPr="00737496">
              <w:rPr>
                <w:rFonts w:ascii="Verdana" w:eastAsia="Calibri" w:hAnsi="Verdana" w:cs="Times New Roman"/>
                <w:color w:val="000000" w:themeColor="text1"/>
              </w:rPr>
              <w:t xml:space="preserve"> se garantiza la sujeción estricta de la administración a las condiciones establecidas en la ley, evitando márgenes indebidos de discrecionalidad que puedan afectar la transparencia y la igualdad entre los proponentes.</w:t>
            </w:r>
          </w:p>
          <w:p w14:paraId="2A1A8132" w14:textId="77777777" w:rsidR="008E7783" w:rsidRPr="00737496" w:rsidRDefault="008E7783" w:rsidP="008132BC">
            <w:pPr>
              <w:spacing w:after="120" w:line="276" w:lineRule="auto"/>
              <w:ind w:firstLine="709"/>
              <w:jc w:val="both"/>
              <w:rPr>
                <w:rFonts w:ascii="Verdana" w:eastAsia="Calibri" w:hAnsi="Verdana" w:cs="Times New Roman"/>
                <w:color w:val="000000" w:themeColor="text1"/>
              </w:rPr>
            </w:pPr>
            <w:r w:rsidRPr="00737496">
              <w:rPr>
                <w:rFonts w:ascii="Verdana" w:eastAsia="Calibri" w:hAnsi="Verdana" w:cs="Times New Roman"/>
                <w:color w:val="000000" w:themeColor="text1"/>
              </w:rPr>
              <w:t xml:space="preserve">En consecuencia, la interpretación conforme a la cual la sola constitución de la garantía sería suficiente, aun sin su entrega oportuna y cargue del </w:t>
            </w:r>
            <w:r w:rsidRPr="00737496">
              <w:rPr>
                <w:rFonts w:ascii="Verdana" w:eastAsia="Calibri" w:hAnsi="Verdana" w:cs="Times New Roman"/>
                <w:color w:val="000000" w:themeColor="text1"/>
              </w:rPr>
              <w:lastRenderedPageBreak/>
              <w:t>documento digital en el SECOP II, no resulta compatible con el marco normativo vigente, pues desconoce el tenor literal de la disposición señalada y la intención del legislador. Por el contrario, la aplicación estricta de la regla de rechazo no subsanable constituye una manifestación legítima del principio de legalidad y una garantía de transparencia y seguridad jurídica en los procesos de contratación.</w:t>
            </w:r>
          </w:p>
          <w:p w14:paraId="55DB2CD6" w14:textId="77777777" w:rsidR="008E7783" w:rsidRPr="00737496" w:rsidRDefault="008E7783" w:rsidP="008132BC">
            <w:pPr>
              <w:spacing w:after="120" w:line="276" w:lineRule="auto"/>
              <w:ind w:firstLine="709"/>
              <w:jc w:val="both"/>
              <w:rPr>
                <w:rFonts w:ascii="Verdana" w:eastAsia="Calibri" w:hAnsi="Verdana" w:cs="Times New Roman"/>
                <w:color w:val="000000" w:themeColor="text1"/>
              </w:rPr>
            </w:pPr>
            <w:r w:rsidRPr="00737496">
              <w:rPr>
                <w:rFonts w:ascii="Verdana" w:eastAsia="Calibri" w:hAnsi="Verdana" w:cs="Times New Roman"/>
                <w:color w:val="000000" w:themeColor="text1"/>
              </w:rPr>
              <w:t>Por consiguiente, la omisión en su cargue no puede entenderse como un defecto meramente formal susceptible de subsanación, sino como el incumplimiento de una exigencia que ha sido establecida por el legislador, cuya inobservancia conlleva al rechazo de la oferta. En esa medida, la decisión de rechazar la oferta no puede interpretarse como una manifestación de “exceso de ritual manifiesto” por parte de la entidad estatal,</w:t>
            </w:r>
            <w:r w:rsidRPr="00737496">
              <w:t xml:space="preserve"> </w:t>
            </w:r>
            <w:r w:rsidRPr="00737496">
              <w:rPr>
                <w:rFonts w:ascii="Verdana" w:eastAsia="Calibri" w:hAnsi="Verdana" w:cs="Times New Roman"/>
                <w:color w:val="000000" w:themeColor="text1"/>
              </w:rPr>
              <w:t>sino como la aplicación estricta de una consecuencia jurídica previamente definida por el legislador.</w:t>
            </w:r>
          </w:p>
          <w:p w14:paraId="5453E721" w14:textId="77777777" w:rsidR="008E7783" w:rsidRPr="00737496" w:rsidRDefault="008E7783" w:rsidP="008132BC">
            <w:pPr>
              <w:spacing w:after="120" w:line="276" w:lineRule="auto"/>
              <w:ind w:firstLine="709"/>
              <w:jc w:val="both"/>
              <w:rPr>
                <w:rFonts w:ascii="Verdana" w:eastAsia="Calibri" w:hAnsi="Verdana" w:cs="Times New Roman"/>
                <w:color w:val="000000" w:themeColor="text1"/>
              </w:rPr>
            </w:pPr>
            <w:r w:rsidRPr="00737496">
              <w:rPr>
                <w:rFonts w:ascii="Verdana" w:eastAsia="Calibri" w:hAnsi="Verdana" w:cs="Times New Roman"/>
                <w:color w:val="000000" w:themeColor="text1"/>
              </w:rPr>
              <w:t xml:space="preserve">Finalmente, es preciso resaltar que cada entidad deberá realizar el análisis correspondiente que le permita determinar la procedencia del rechazo de la oferta, a partir de las circunstancias fácticas y jurídicas propias de cada caso concreto, así como valorar la incidencia que puedan tener las situaciones técnicas presentadas en la plataforma SECOP II durante el desarrollo del proceso de contratación. </w:t>
            </w:r>
            <w:r w:rsidRPr="00737496">
              <w:rPr>
                <w:rFonts w:ascii="Verdana" w:eastAsia="Calibri" w:hAnsi="Verdana" w:cs="Times New Roman"/>
                <w:bCs/>
                <w:color w:val="000000" w:themeColor="text1"/>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1D6D194" w14:textId="77777777" w:rsidR="008E7783" w:rsidRPr="00737496" w:rsidRDefault="008E7783" w:rsidP="008132BC">
            <w:pPr>
              <w:spacing w:after="120" w:line="276" w:lineRule="auto"/>
              <w:ind w:firstLine="709"/>
              <w:jc w:val="both"/>
              <w:rPr>
                <w:rFonts w:ascii="Verdana" w:eastAsia="Calibri" w:hAnsi="Verdana" w:cs="Times New Roman"/>
                <w:color w:val="000000" w:themeColor="text1"/>
              </w:rPr>
            </w:pPr>
            <w:r w:rsidRPr="00737496">
              <w:rPr>
                <w:rFonts w:ascii="Verdana" w:eastAsia="Calibri" w:hAnsi="Verdana" w:cs="Times New Roman"/>
                <w:color w:val="000000" w:themeColor="text1"/>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bookmarkEnd w:id="2"/>
          </w:p>
        </w:tc>
      </w:tr>
    </w:tbl>
    <w:p w14:paraId="50C2484B" w14:textId="77777777" w:rsidR="008E7783" w:rsidRPr="00737496" w:rsidRDefault="008E7783" w:rsidP="008E7783">
      <w:pPr>
        <w:tabs>
          <w:tab w:val="left" w:pos="142"/>
          <w:tab w:val="left" w:pos="284"/>
        </w:tabs>
        <w:spacing w:after="0" w:line="276" w:lineRule="auto"/>
        <w:jc w:val="both"/>
        <w:rPr>
          <w:rFonts w:ascii="Verdana" w:eastAsia="Century Gothic" w:hAnsi="Verdana" w:cs="Century Gothic"/>
          <w:b/>
          <w:bCs/>
          <w:lang w:val="es-ES"/>
        </w:rPr>
      </w:pPr>
    </w:p>
    <w:p w14:paraId="485C4621" w14:textId="77777777" w:rsidR="008E7783" w:rsidRPr="00737496" w:rsidRDefault="008E7783" w:rsidP="008E7783">
      <w:pPr>
        <w:numPr>
          <w:ilvl w:val="0"/>
          <w:numId w:val="16"/>
        </w:numPr>
        <w:tabs>
          <w:tab w:val="left" w:pos="142"/>
          <w:tab w:val="left" w:pos="284"/>
        </w:tabs>
        <w:spacing w:after="0" w:line="276" w:lineRule="auto"/>
        <w:ind w:hanging="6601"/>
        <w:jc w:val="both"/>
        <w:rPr>
          <w:rFonts w:ascii="Verdana" w:eastAsia="Century Gothic" w:hAnsi="Verdana" w:cs="Century Gothic"/>
          <w:b/>
          <w:bCs/>
          <w:lang w:val="es-ES"/>
        </w:rPr>
      </w:pPr>
      <w:r w:rsidRPr="00737496">
        <w:rPr>
          <w:rFonts w:ascii="Verdana" w:eastAsia="Century Gothic" w:hAnsi="Verdana" w:cs="Century Gothic"/>
          <w:b/>
          <w:bCs/>
          <w:lang w:val="es-ES"/>
        </w:rPr>
        <w:t>Razones de la respuesta:</w:t>
      </w:r>
    </w:p>
    <w:p w14:paraId="16FB3483" w14:textId="77777777" w:rsidR="008E7783" w:rsidRPr="00737496" w:rsidRDefault="008E7783" w:rsidP="008E7783">
      <w:pPr>
        <w:spacing w:after="0" w:line="276" w:lineRule="auto"/>
        <w:jc w:val="both"/>
        <w:rPr>
          <w:rFonts w:ascii="Verdana" w:eastAsia="Calibri" w:hAnsi="Verdana" w:cs="Arial"/>
          <w:color w:val="7030A0"/>
          <w:lang w:val="es-ES"/>
        </w:rPr>
      </w:pPr>
    </w:p>
    <w:p w14:paraId="3E1A34DF" w14:textId="77777777" w:rsidR="008E7783" w:rsidRPr="00737496" w:rsidRDefault="008E7783" w:rsidP="008E7783">
      <w:pPr>
        <w:spacing w:after="0" w:line="276" w:lineRule="auto"/>
        <w:jc w:val="both"/>
        <w:rPr>
          <w:rFonts w:ascii="Verdana" w:eastAsia="Calibri" w:hAnsi="Verdana" w:cs="Arial"/>
          <w:lang w:val="es-ES"/>
        </w:rPr>
      </w:pPr>
      <w:r w:rsidRPr="00737496">
        <w:rPr>
          <w:rFonts w:ascii="Verdana" w:eastAsia="Calibri" w:hAnsi="Verdana" w:cs="Arial"/>
          <w:lang w:val="es-ES"/>
        </w:rPr>
        <w:t xml:space="preserve">Lo anterior se sustenta en las siguientes consideraciones: </w:t>
      </w:r>
    </w:p>
    <w:p w14:paraId="0E6B1A18" w14:textId="77777777" w:rsidR="008E7783" w:rsidRPr="00737496" w:rsidRDefault="008E7783" w:rsidP="008E7783">
      <w:pPr>
        <w:widowControl w:val="0"/>
        <w:autoSpaceDE w:val="0"/>
        <w:autoSpaceDN w:val="0"/>
        <w:spacing w:after="0" w:line="276" w:lineRule="auto"/>
        <w:jc w:val="both"/>
        <w:rPr>
          <w:rFonts w:ascii="Verdana" w:eastAsia="Calibri" w:hAnsi="Verdana" w:cs="Arial"/>
          <w:lang w:val="es-ES"/>
        </w:rPr>
      </w:pPr>
    </w:p>
    <w:p w14:paraId="3DD4BE58" w14:textId="77777777" w:rsidR="008E7783" w:rsidRPr="00737496" w:rsidRDefault="008E7783" w:rsidP="008E7783">
      <w:pPr>
        <w:spacing w:after="120" w:line="276" w:lineRule="auto"/>
        <w:jc w:val="both"/>
        <w:rPr>
          <w:rFonts w:ascii="Verdana" w:eastAsia="Times New Roman" w:hAnsi="Verdana" w:cs="Arial"/>
          <w:lang w:val="es-ES_tradnl" w:eastAsia="es-ES_tradnl"/>
        </w:rPr>
      </w:pPr>
      <w:r w:rsidRPr="00737496">
        <w:rPr>
          <w:rFonts w:ascii="Verdana" w:eastAsia="Calibri" w:hAnsi="Verdana" w:cs="Arial"/>
          <w:noProof/>
          <w:lang w:val="es-ES"/>
        </w:rPr>
        <w:t xml:space="preserve">i. </w:t>
      </w:r>
      <w:r w:rsidRPr="00737496">
        <w:rPr>
          <w:rFonts w:ascii="Verdana" w:eastAsia="Calibri" w:hAnsi="Verdana" w:cs="Arial"/>
          <w:noProof/>
          <w:lang w:val="es-ES_tradnl"/>
        </w:rPr>
        <w:t>L</w:t>
      </w:r>
      <w:r w:rsidRPr="00737496">
        <w:rPr>
          <w:rFonts w:ascii="Verdana" w:eastAsia="Times New Roman" w:hAnsi="Verdana" w:cs="Arial"/>
        </w:rPr>
        <w:t>a regla de la subsanabilidad de las ofertas en los procedimientos de selección</w:t>
      </w:r>
      <w:r w:rsidRPr="00737496">
        <w:rPr>
          <w:rFonts w:ascii="Verdana" w:eastAsia="Times New Roman" w:hAnsi="Verdana" w:cs="Arial"/>
          <w:b/>
          <w:bCs/>
        </w:rPr>
        <w:t xml:space="preserve"> </w:t>
      </w:r>
      <w:r w:rsidRPr="00737496">
        <w:rPr>
          <w:rFonts w:ascii="Verdana" w:eastAsia="Times New Roman" w:hAnsi="Verdana" w:cs="Arial"/>
          <w:lang w:val="es-ES_tradnl" w:eastAsia="es-ES_tradnl"/>
        </w:rPr>
        <w:t>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25971594" w14:textId="77777777" w:rsidR="008E7783" w:rsidRPr="00737496" w:rsidRDefault="008E7783" w:rsidP="008E7783">
      <w:pPr>
        <w:spacing w:after="120" w:line="276" w:lineRule="auto"/>
        <w:ind w:firstLine="708"/>
        <w:jc w:val="both"/>
        <w:rPr>
          <w:rFonts w:ascii="Verdana" w:eastAsia="Times New Roman" w:hAnsi="Verdana" w:cs="Arial"/>
          <w:lang w:val="es-ES" w:eastAsia="es-ES"/>
        </w:rPr>
      </w:pPr>
      <w:r w:rsidRPr="00737496">
        <w:rPr>
          <w:rFonts w:ascii="Verdana" w:eastAsia="Times New Roman" w:hAnsi="Verdana" w:cs="Arial"/>
          <w:lang w:val="es-ES_tradnl" w:eastAsia="es-ES_tradnl"/>
        </w:rPr>
        <w:t>La posibilidad de enmendar, corregir o subsanar los errores en los que se incurre en los documentos contentivos de la oferta es un tema que ha tenido diferentes momentos o etapas en el ordenamiento jurídico colombiano, momentos que se han expuesto de manera detallada en conceptos como el C-285 del 20 de mayo de 2022</w:t>
      </w:r>
      <w:r w:rsidRPr="00737496">
        <w:rPr>
          <w:rFonts w:ascii="Verdana" w:eastAsia="Times New Roman" w:hAnsi="Verdana" w:cs="Arial"/>
          <w:vertAlign w:val="superscript"/>
          <w:lang w:val="es-ES_tradnl" w:eastAsia="es-ES_tradnl"/>
        </w:rPr>
        <w:footnoteReference w:id="1"/>
      </w:r>
      <w:r w:rsidRPr="00737496">
        <w:rPr>
          <w:rFonts w:ascii="Verdana" w:eastAsia="Times New Roman" w:hAnsi="Verdana" w:cs="Arial"/>
          <w:lang w:val="es-ES_tradnl" w:eastAsia="es-ES_tradnl"/>
        </w:rPr>
        <w:t xml:space="preserve"> o el C-447 del 19 de septiembre de 2024</w:t>
      </w:r>
      <w:r w:rsidRPr="00737496">
        <w:rPr>
          <w:rFonts w:ascii="Verdana" w:eastAsia="Times New Roman" w:hAnsi="Verdana" w:cs="Arial"/>
          <w:vertAlign w:val="superscript"/>
          <w:lang w:val="es-ES_tradnl" w:eastAsia="es-ES_tradnl"/>
        </w:rPr>
        <w:footnoteReference w:id="2"/>
      </w:r>
      <w:r w:rsidRPr="00737496">
        <w:rPr>
          <w:rFonts w:ascii="Verdana" w:eastAsia="Times New Roman" w:hAnsi="Verdana" w:cs="Arial"/>
          <w:lang w:val="es-ES_tradnl" w:eastAsia="es-ES_tradnl"/>
        </w:rPr>
        <w:t xml:space="preserve"> los cuales, en el evento en que tenga interés, podrá consultar en los enlaces de la nota al pie. Sin embargo</w:t>
      </w:r>
      <w:r w:rsidRPr="00737496">
        <w:rPr>
          <w:rFonts w:ascii="Verdana" w:eastAsia="Times New Roman" w:hAnsi="Verdana" w:cs="Arial"/>
          <w:lang w:val="es-ES" w:eastAsia="es-ES"/>
        </w:rPr>
        <w:t>, a continuación, se hará referencia particularmente al último momento, que refleja la postura vigente de esta Entidad en torno a la subsanabilidad:</w:t>
      </w:r>
    </w:p>
    <w:p w14:paraId="30239FEA" w14:textId="77777777" w:rsidR="008E7783" w:rsidRPr="00737496" w:rsidRDefault="008E7783" w:rsidP="008E7783">
      <w:pPr>
        <w:tabs>
          <w:tab w:val="left" w:pos="284"/>
        </w:tabs>
        <w:spacing w:after="0" w:line="276" w:lineRule="auto"/>
        <w:ind w:firstLine="709"/>
        <w:jc w:val="both"/>
        <w:rPr>
          <w:rFonts w:ascii="Verdana" w:eastAsia="Times New Roman" w:hAnsi="Verdana" w:cs="Arial"/>
          <w:lang w:val="es-ES_tradnl" w:eastAsia="es-CO"/>
        </w:rPr>
      </w:pPr>
      <w:r w:rsidRPr="00737496">
        <w:rPr>
          <w:rFonts w:ascii="Verdana" w:eastAsia="Times New Roman" w:hAnsi="Verdana" w:cs="Arial"/>
          <w:lang w:val="es-ES_tradnl" w:eastAsia="es-ES_tradnl"/>
        </w:rPr>
        <w:t xml:space="preserve">La expedición de la Ley </w:t>
      </w:r>
      <w:r w:rsidRPr="00737496">
        <w:rPr>
          <w:rFonts w:ascii="Verdana" w:eastAsia="Times New Roman" w:hAnsi="Verdana" w:cs="Arial"/>
          <w:lang w:val="es-ES_tradnl" w:eastAsia="es-CO"/>
        </w:rPr>
        <w:t xml:space="preserve">1882 de 2018 tuvo por finalidad la de introducir cambios y ajustes para fortalecer la contratación pública. En ese orden, mediante su artículo 5 modificó el parágrafo 1º y adicionó algunos otros, entre ellos el 3° y 4° del artículo 5 de la Ley 1150 de 2007, en los siguientes términos: </w:t>
      </w:r>
    </w:p>
    <w:p w14:paraId="61BAA2FB" w14:textId="77777777" w:rsidR="008E7783" w:rsidRPr="00737496" w:rsidRDefault="008E7783" w:rsidP="008E7783">
      <w:pPr>
        <w:spacing w:after="0" w:line="276" w:lineRule="auto"/>
        <w:ind w:left="709" w:right="709"/>
        <w:jc w:val="both"/>
        <w:rPr>
          <w:rFonts w:ascii="Verdana" w:eastAsia="Times New Roman" w:hAnsi="Verdana" w:cs="Arial"/>
          <w:lang w:val="es-ES_tradnl" w:eastAsia="es-CO"/>
        </w:rPr>
      </w:pPr>
    </w:p>
    <w:p w14:paraId="500B6241" w14:textId="77777777" w:rsidR="008E7783" w:rsidRPr="00737496" w:rsidRDefault="008E7783" w:rsidP="008E7783">
      <w:pPr>
        <w:spacing w:after="0" w:line="240" w:lineRule="auto"/>
        <w:ind w:left="709" w:right="709"/>
        <w:jc w:val="both"/>
        <w:rPr>
          <w:rFonts w:ascii="Verdana" w:eastAsia="Times New Roman" w:hAnsi="Verdana" w:cs="Arial"/>
          <w:sz w:val="20"/>
          <w:szCs w:val="20"/>
          <w:lang w:val="es-ES_tradnl" w:eastAsia="es-CO"/>
        </w:rPr>
      </w:pPr>
      <w:r w:rsidRPr="00737496">
        <w:rPr>
          <w:rFonts w:ascii="Verdana" w:eastAsia="Times New Roman" w:hAnsi="Verdana" w:cs="Arial"/>
          <w:sz w:val="20"/>
          <w:szCs w:val="20"/>
          <w:lang w:val="es-ES_tradnl" w:eastAsia="es-CO"/>
        </w:rPr>
        <w:t xml:space="preserve">“Artículo 5°. De la selección objetiva. </w:t>
      </w:r>
    </w:p>
    <w:p w14:paraId="5FC5471B" w14:textId="77777777" w:rsidR="008E7783" w:rsidRPr="00737496" w:rsidRDefault="008E7783" w:rsidP="008E7783">
      <w:pPr>
        <w:spacing w:after="0" w:line="240" w:lineRule="auto"/>
        <w:ind w:left="709" w:right="709"/>
        <w:jc w:val="both"/>
        <w:textAlignment w:val="baseline"/>
        <w:rPr>
          <w:rFonts w:ascii="Verdana" w:eastAsia="Times New Roman" w:hAnsi="Verdana" w:cs="Arial"/>
          <w:color w:val="000000"/>
          <w:sz w:val="20"/>
          <w:szCs w:val="20"/>
          <w:lang w:val="es-ES" w:eastAsia="es-ES_tradnl"/>
        </w:rPr>
      </w:pPr>
    </w:p>
    <w:p w14:paraId="2E45BB70" w14:textId="77777777" w:rsidR="008E7783" w:rsidRPr="00737496" w:rsidRDefault="008E7783" w:rsidP="008E7783">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Times New Roman" w:hAnsi="Verdana" w:cs="Arial"/>
          <w:color w:val="000000"/>
          <w:sz w:val="20"/>
          <w:szCs w:val="20"/>
          <w:lang w:val="es-ES" w:eastAsia="es-ES_tradnl"/>
        </w:rPr>
        <w:t>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r w:rsidRPr="00737496">
        <w:rPr>
          <w:rFonts w:ascii="Verdana" w:eastAsia="Arial" w:hAnsi="Verdana" w:cs="Times New Roman"/>
          <w:color w:val="000000"/>
          <w:sz w:val="20"/>
          <w:szCs w:val="20"/>
          <w:lang w:eastAsia="es-ES_tradnl"/>
        </w:rPr>
        <w:t> </w:t>
      </w:r>
    </w:p>
    <w:p w14:paraId="44348F5B" w14:textId="77777777" w:rsidR="008E7783" w:rsidRPr="00737496" w:rsidRDefault="008E7783" w:rsidP="008E7783">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Arial" w:hAnsi="Verdana" w:cs="Times New Roman"/>
          <w:color w:val="000000"/>
          <w:sz w:val="20"/>
          <w:szCs w:val="20"/>
          <w:lang w:eastAsia="es-ES_tradnl"/>
        </w:rPr>
        <w:t> </w:t>
      </w:r>
    </w:p>
    <w:p w14:paraId="2F6C5D77" w14:textId="77777777" w:rsidR="008E7783" w:rsidRPr="00737496" w:rsidRDefault="008E7783" w:rsidP="008E7783">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Times New Roman" w:hAnsi="Verdana" w:cs="Arial"/>
          <w:color w:val="000000"/>
          <w:sz w:val="20"/>
          <w:szCs w:val="20"/>
          <w:lang w:val="es-ES" w:eastAsia="es-ES_tradnl"/>
        </w:rPr>
        <w:t>(…)</w:t>
      </w:r>
    </w:p>
    <w:p w14:paraId="6B4A7C0A" w14:textId="77777777" w:rsidR="008E7783" w:rsidRPr="00737496" w:rsidRDefault="008E7783" w:rsidP="008E7783">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Arial" w:hAnsi="Verdana" w:cs="Times New Roman"/>
          <w:color w:val="000000"/>
          <w:sz w:val="20"/>
          <w:szCs w:val="20"/>
          <w:lang w:eastAsia="es-ES_tradnl"/>
        </w:rPr>
        <w:t> </w:t>
      </w:r>
    </w:p>
    <w:p w14:paraId="2385755C" w14:textId="77777777" w:rsidR="008E7783" w:rsidRPr="00737496" w:rsidRDefault="008E7783" w:rsidP="008E7783">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Times New Roman" w:hAnsi="Verdana" w:cs="Arial"/>
          <w:color w:val="000000"/>
          <w:sz w:val="20"/>
          <w:szCs w:val="20"/>
          <w:u w:val="single"/>
          <w:lang w:val="es-ES" w:eastAsia="es-ES_tradnl"/>
        </w:rPr>
        <w:lastRenderedPageBreak/>
        <w:t>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w:t>
      </w:r>
      <w:r w:rsidRPr="00737496">
        <w:rPr>
          <w:rFonts w:ascii="Verdana" w:eastAsia="Times New Roman" w:hAnsi="Verdana" w:cs="Arial"/>
          <w:color w:val="000000"/>
          <w:sz w:val="20"/>
          <w:szCs w:val="20"/>
          <w:lang w:val="es-ES" w:eastAsia="es-ES_tradnl"/>
        </w:rPr>
        <w:t xml:space="preserve">, salvo lo dispuesto para el proceso de Mínima cuantía y para el proceso de selección a través del sistema de subasta. </w:t>
      </w:r>
      <w:r w:rsidRPr="00737496">
        <w:rPr>
          <w:rFonts w:ascii="Verdana" w:eastAsia="Times New Roman" w:hAnsi="Verdana" w:cs="Arial"/>
          <w:color w:val="000000"/>
          <w:sz w:val="20"/>
          <w:szCs w:val="20"/>
          <w:u w:val="single"/>
          <w:lang w:val="es-ES" w:eastAsia="es-ES_tradnl"/>
        </w:rPr>
        <w:t>Serán rechazadas las ofertas de aquellos proponentes que no suministren la información y la documentación solicitada por la entidad estatal hasta el plazo anteriormente señalado.</w:t>
      </w:r>
      <w:r w:rsidRPr="00737496">
        <w:rPr>
          <w:rFonts w:ascii="Verdana" w:eastAsia="Arial" w:hAnsi="Verdana" w:cs="Times New Roman"/>
          <w:color w:val="000000"/>
          <w:sz w:val="20"/>
          <w:szCs w:val="20"/>
          <w:u w:val="single"/>
          <w:lang w:eastAsia="es-ES_tradnl"/>
        </w:rPr>
        <w:t> </w:t>
      </w:r>
    </w:p>
    <w:p w14:paraId="51F40949" w14:textId="77777777" w:rsidR="008E7783" w:rsidRPr="00737496" w:rsidRDefault="008E7783" w:rsidP="008E7783">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Arial" w:hAnsi="Verdana" w:cs="Times New Roman"/>
          <w:color w:val="000000"/>
          <w:sz w:val="20"/>
          <w:szCs w:val="20"/>
          <w:lang w:eastAsia="es-ES_tradnl"/>
        </w:rPr>
        <w:t> </w:t>
      </w:r>
    </w:p>
    <w:p w14:paraId="1A151E92" w14:textId="77777777" w:rsidR="008E7783" w:rsidRPr="00737496" w:rsidRDefault="008E7783" w:rsidP="008E7783">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Times New Roman" w:hAnsi="Verdana" w:cs="Arial"/>
          <w:color w:val="000000"/>
          <w:sz w:val="20"/>
          <w:szCs w:val="20"/>
          <w:u w:val="single"/>
          <w:lang w:val="es-ES" w:eastAsia="es-ES_tradnl"/>
        </w:rPr>
        <w:t>Durante el término otorgado para subsanar las ofertas, los proponentes no podrán acreditar circunstancias ocurridas con posterioridad al cierre del proceso.</w:t>
      </w:r>
      <w:r w:rsidRPr="00737496">
        <w:rPr>
          <w:rFonts w:ascii="Verdana" w:eastAsia="Arial" w:hAnsi="Verdana" w:cs="Times New Roman"/>
          <w:color w:val="000000"/>
          <w:sz w:val="20"/>
          <w:szCs w:val="20"/>
          <w:lang w:eastAsia="es-ES_tradnl"/>
        </w:rPr>
        <w:t> </w:t>
      </w:r>
    </w:p>
    <w:p w14:paraId="374293D7" w14:textId="77777777" w:rsidR="008E7783" w:rsidRPr="00737496" w:rsidRDefault="008E7783" w:rsidP="008E7783">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Arial" w:hAnsi="Verdana" w:cs="Times New Roman"/>
          <w:color w:val="000000"/>
          <w:sz w:val="20"/>
          <w:szCs w:val="20"/>
          <w:lang w:eastAsia="es-ES_tradnl"/>
        </w:rPr>
        <w:t> </w:t>
      </w:r>
    </w:p>
    <w:p w14:paraId="102E7FEB" w14:textId="77777777" w:rsidR="008E7783" w:rsidRPr="00737496" w:rsidRDefault="008E7783" w:rsidP="008E7783">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Times New Roman" w:hAnsi="Verdana" w:cs="Arial"/>
          <w:color w:val="000000"/>
          <w:sz w:val="20"/>
          <w:szCs w:val="20"/>
          <w:lang w:val="es-ES" w:eastAsia="es-ES_tradnl"/>
        </w:rPr>
        <w:t>PARÁGRAFO 2o. Las certificaciones de sistemas de gestión de calidad no serán objeto de calificación, ni podrán establecerse como documento habilitante para participar en licitaciones o concursos.</w:t>
      </w:r>
      <w:r w:rsidRPr="00737496">
        <w:rPr>
          <w:rFonts w:ascii="Verdana" w:eastAsia="Arial" w:hAnsi="Verdana" w:cs="Times New Roman"/>
          <w:color w:val="000000"/>
          <w:sz w:val="20"/>
          <w:szCs w:val="20"/>
          <w:lang w:eastAsia="es-ES_tradnl"/>
        </w:rPr>
        <w:t> </w:t>
      </w:r>
    </w:p>
    <w:p w14:paraId="62EE018F" w14:textId="77777777" w:rsidR="008E7783" w:rsidRPr="00737496" w:rsidRDefault="008E7783" w:rsidP="008E7783">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Arial" w:hAnsi="Verdana" w:cs="Times New Roman"/>
          <w:color w:val="000000"/>
          <w:sz w:val="20"/>
          <w:szCs w:val="20"/>
          <w:lang w:eastAsia="es-ES_tradnl"/>
        </w:rPr>
        <w:t> </w:t>
      </w:r>
    </w:p>
    <w:p w14:paraId="5FBEA4B6" w14:textId="77777777" w:rsidR="008E7783" w:rsidRPr="00737496" w:rsidRDefault="008E7783" w:rsidP="008E7783">
      <w:pPr>
        <w:spacing w:after="0" w:line="240" w:lineRule="auto"/>
        <w:ind w:left="709" w:right="709"/>
        <w:jc w:val="both"/>
        <w:textAlignment w:val="baseline"/>
        <w:rPr>
          <w:rFonts w:ascii="Verdana" w:eastAsia="Times New Roman" w:hAnsi="Verdana" w:cs="Segoe UI"/>
          <w:sz w:val="20"/>
          <w:szCs w:val="20"/>
          <w:u w:val="single"/>
          <w:lang w:eastAsia="es-ES_tradnl"/>
        </w:rPr>
      </w:pPr>
      <w:r w:rsidRPr="00737496">
        <w:rPr>
          <w:rFonts w:ascii="Verdana" w:eastAsia="Times New Roman" w:hAnsi="Verdana" w:cs="Arial"/>
          <w:color w:val="000000"/>
          <w:sz w:val="20"/>
          <w:szCs w:val="20"/>
          <w:u w:val="single"/>
          <w:lang w:val="es-ES" w:eastAsia="es-ES_tradnl"/>
        </w:rPr>
        <w:t>PARÁGRAFO 3o. &lt;Parágrafo adicionado por el artículo 5 de la Ley 1882 de 2018. El nuevo texto es el siguiente:&gt; La no entrega de la garantía de seriedad junto con la propuesta no será subsanable y será causal de rechazo de la misma.</w:t>
      </w:r>
      <w:r w:rsidRPr="00737496">
        <w:rPr>
          <w:rFonts w:ascii="Verdana" w:eastAsia="Arial" w:hAnsi="Verdana" w:cs="Times New Roman"/>
          <w:color w:val="000000"/>
          <w:sz w:val="20"/>
          <w:szCs w:val="20"/>
          <w:u w:val="single"/>
          <w:lang w:eastAsia="es-ES_tradnl"/>
        </w:rPr>
        <w:t> </w:t>
      </w:r>
    </w:p>
    <w:p w14:paraId="2FC1CB2F" w14:textId="77777777" w:rsidR="008E7783" w:rsidRPr="00737496" w:rsidRDefault="008E7783" w:rsidP="008E7783">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Arial" w:hAnsi="Verdana" w:cs="Times New Roman"/>
          <w:color w:val="000000"/>
          <w:sz w:val="20"/>
          <w:szCs w:val="20"/>
          <w:lang w:eastAsia="es-ES_tradnl"/>
        </w:rPr>
        <w:t> </w:t>
      </w:r>
    </w:p>
    <w:p w14:paraId="389CA796" w14:textId="77777777" w:rsidR="008E7783" w:rsidRPr="00737496" w:rsidRDefault="008E7783" w:rsidP="008E7783">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Times New Roman" w:hAnsi="Verdana" w:cs="Arial"/>
          <w:color w:val="000000"/>
          <w:sz w:val="20"/>
          <w:szCs w:val="20"/>
          <w:lang w:val="es-ES" w:eastAsia="es-ES_tradnl"/>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737496">
        <w:rPr>
          <w:rFonts w:ascii="Verdana" w:eastAsia="Arial" w:hAnsi="Verdana" w:cs="Times New Roman"/>
          <w:color w:val="000000"/>
          <w:sz w:val="20"/>
          <w:szCs w:val="20"/>
          <w:lang w:eastAsia="es-ES_tradnl"/>
        </w:rPr>
        <w:t> </w:t>
      </w:r>
    </w:p>
    <w:p w14:paraId="6CD5F357" w14:textId="77777777" w:rsidR="008E7783" w:rsidRPr="00737496" w:rsidRDefault="008E7783" w:rsidP="008E7783">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Arial" w:hAnsi="Verdana" w:cs="Times New Roman"/>
          <w:color w:val="000000"/>
          <w:sz w:val="20"/>
          <w:szCs w:val="20"/>
          <w:lang w:eastAsia="es-ES_tradnl"/>
        </w:rPr>
        <w:t> </w:t>
      </w:r>
    </w:p>
    <w:p w14:paraId="66E5463E" w14:textId="77777777" w:rsidR="008E7783" w:rsidRPr="00737496" w:rsidRDefault="008E7783" w:rsidP="008E7783">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Times New Roman" w:hAnsi="Verdana" w:cs="Arial"/>
          <w:color w:val="000000"/>
          <w:sz w:val="20"/>
          <w:szCs w:val="20"/>
          <w:lang w:val="es-ES" w:eastAsia="es-ES_tradnl"/>
        </w:rPr>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 [Subrayado por fuera de texto original]</w:t>
      </w:r>
    </w:p>
    <w:p w14:paraId="04C49943" w14:textId="77777777" w:rsidR="008E7783" w:rsidRPr="00737496" w:rsidRDefault="008E7783" w:rsidP="008E7783">
      <w:pPr>
        <w:spacing w:after="0" w:line="276" w:lineRule="auto"/>
        <w:ind w:left="709" w:right="709"/>
        <w:jc w:val="both"/>
        <w:rPr>
          <w:rFonts w:ascii="Verdana" w:eastAsia="Times New Roman" w:hAnsi="Verdana" w:cs="Arial"/>
          <w:lang w:eastAsia="es-CO"/>
        </w:rPr>
      </w:pPr>
    </w:p>
    <w:p w14:paraId="05383F90" w14:textId="77777777" w:rsidR="008E7783" w:rsidRPr="00737496" w:rsidRDefault="008E7783" w:rsidP="008E7783">
      <w:pPr>
        <w:spacing w:after="120" w:line="276" w:lineRule="auto"/>
        <w:ind w:firstLine="709"/>
        <w:jc w:val="both"/>
        <w:rPr>
          <w:rFonts w:ascii="Verdana" w:eastAsia="Times New Roman" w:hAnsi="Verdana" w:cs="Arial"/>
          <w:lang w:val="es-ES" w:eastAsia="es-ES"/>
        </w:rPr>
      </w:pPr>
      <w:r w:rsidRPr="00737496">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ii) mantiene el criterio aclaratorio de la Ley 1150 de 2007, según el cual todo lo que no afecte </w:t>
      </w:r>
      <w:r w:rsidRPr="00737496">
        <w:rPr>
          <w:rFonts w:ascii="Verdana" w:eastAsia="Times New Roman" w:hAnsi="Verdana" w:cs="Arial"/>
          <w:lang w:val="es-ES" w:eastAsia="es-ES"/>
        </w:rPr>
        <w:lastRenderedPageBreak/>
        <w:t xml:space="preserve">la asignación de puntaje puede subsanarse; e, iii) introduce modificaciones en relación con algunos aspectos que se analizarán a continuación. </w:t>
      </w:r>
    </w:p>
    <w:p w14:paraId="59EB2ED5" w14:textId="77777777" w:rsidR="008E7783" w:rsidRPr="00737496" w:rsidRDefault="008E7783" w:rsidP="008E7783">
      <w:pPr>
        <w:spacing w:after="120" w:line="276" w:lineRule="auto"/>
        <w:ind w:right="51" w:firstLine="709"/>
        <w:jc w:val="both"/>
        <w:rPr>
          <w:rFonts w:ascii="Verdana" w:eastAsia="Times New Roman" w:hAnsi="Verdana" w:cs="Arial"/>
          <w:lang w:val="es-ES_tradnl" w:eastAsia="es-ES_tradnl"/>
        </w:rPr>
      </w:pPr>
      <w:r w:rsidRPr="00737496">
        <w:rPr>
          <w:rFonts w:ascii="Verdana" w:eastAsia="Times New Roman" w:hAnsi="Verdana" w:cs="Arial"/>
          <w:i/>
          <w:iCs/>
          <w:lang w:val="es-ES_tradnl" w:eastAsia="es-ES_tradnl"/>
        </w:rPr>
        <w:t xml:space="preserve">La primera modificación </w:t>
      </w:r>
      <w:r w:rsidRPr="00737496">
        <w:rPr>
          <w:rFonts w:ascii="Verdana" w:eastAsia="Times New Roman" w:hAnsi="Verdana" w:cs="Arial"/>
          <w:lang w:val="es-ES_tradnl" w:eastAsia="es-ES_tradnl"/>
        </w:rPr>
        <w:t>introducid</w:t>
      </w:r>
      <w:r>
        <w:rPr>
          <w:rFonts w:ascii="Verdana" w:eastAsia="Times New Roman" w:hAnsi="Verdana" w:cs="Arial"/>
          <w:lang w:val="es-ES_tradnl" w:eastAsia="es-ES_tradnl"/>
        </w:rPr>
        <w:t>a</w:t>
      </w:r>
      <w:r w:rsidRPr="00737496">
        <w:rPr>
          <w:rFonts w:ascii="Verdana" w:eastAsia="Times New Roman" w:hAnsi="Verdana" w:cs="Arial"/>
          <w:lang w:val="es-ES_tradnl" w:eastAsia="es-ES_tradnl"/>
        </w:rPr>
        <w:t xml:space="preserve"> por el artículo antes citado está relacionada con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737496">
        <w:rPr>
          <w:rFonts w:ascii="Verdana" w:eastAsia="Times New Roman" w:hAnsi="Verdana" w:cs="Arial"/>
          <w:vertAlign w:val="superscript"/>
          <w:lang w:val="es-ES_tradnl" w:eastAsia="es-ES_tradnl"/>
        </w:rPr>
        <w:footnoteReference w:id="3"/>
      </w:r>
      <w:r w:rsidRPr="00737496">
        <w:rPr>
          <w:rFonts w:ascii="Verdana" w:eastAsia="Times New Roman" w:hAnsi="Verdana" w:cs="Arial"/>
          <w:lang w:val="es-ES_tradnl" w:eastAsia="es-ES_tradnl"/>
        </w:rPr>
        <w:t>.</w:t>
      </w:r>
    </w:p>
    <w:p w14:paraId="2E709213" w14:textId="77777777" w:rsidR="008E7783" w:rsidRPr="00737496" w:rsidRDefault="008E7783" w:rsidP="008E7783">
      <w:pPr>
        <w:spacing w:after="120" w:line="276" w:lineRule="auto"/>
        <w:ind w:firstLine="709"/>
        <w:jc w:val="both"/>
        <w:rPr>
          <w:rFonts w:ascii="Verdana" w:eastAsia="Times New Roman" w:hAnsi="Verdana" w:cs="Arial"/>
          <w:lang w:val="es-ES" w:eastAsia="es-ES"/>
        </w:rPr>
      </w:pPr>
      <w:r w:rsidRPr="00737496">
        <w:rPr>
          <w:rFonts w:ascii="Verdana" w:eastAsia="Times New Roman" w:hAnsi="Verdana" w:cs="Arial"/>
          <w:lang w:val="es-ES" w:eastAsia="es-ES"/>
        </w:rPr>
        <w:t>Frente a la regla general aplicable a los demás procesos de selección, la norma fijó un límite final para que la Administración y los oferentes subsanen los requisitos o documentos que puedan y deban ser subsanados. No obstante, 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w:t>
      </w:r>
      <w:r w:rsidRPr="00737496">
        <w:rPr>
          <w:rFonts w:ascii="Verdana" w:eastAsia="Times New Roman" w:hAnsi="Verdana" w:cs="Arial"/>
          <w:i/>
          <w:iCs/>
          <w:lang w:val="es-ES" w:eastAsia="es-ES"/>
        </w:rPr>
        <w:t>deberán ser solicitados por las entidades estatales y deberán ser entregados por los proponentes hasta el término de traslado del informe de evaluación que corresponda a cada modalidad de selección”.</w:t>
      </w:r>
      <w:r w:rsidRPr="00737496">
        <w:rPr>
          <w:rFonts w:ascii="Verdana" w:eastAsia="Times New Roman" w:hAnsi="Verdana" w:cs="Arial"/>
          <w:lang w:val="es-ES" w:eastAsia="es-ES"/>
        </w:rPr>
        <w:t xml:space="preserve"> </w:t>
      </w:r>
    </w:p>
    <w:p w14:paraId="2FA09D93" w14:textId="77777777" w:rsidR="008E7783" w:rsidRPr="00737496" w:rsidRDefault="008E7783" w:rsidP="008E7783">
      <w:pPr>
        <w:spacing w:after="120" w:line="276" w:lineRule="auto"/>
        <w:ind w:firstLine="709"/>
        <w:jc w:val="both"/>
        <w:rPr>
          <w:rFonts w:ascii="Verdana" w:eastAsia="Times New Roman" w:hAnsi="Verdana" w:cs="Arial"/>
          <w:lang w:val="es-ES" w:eastAsia="es-ES"/>
        </w:rPr>
      </w:pPr>
      <w:r w:rsidRPr="00737496">
        <w:rPr>
          <w:rFonts w:ascii="Verdana" w:eastAsia="Times New Roman" w:hAnsi="Verdana" w:cs="Arial"/>
          <w:lang w:val="es-ES" w:eastAsia="es-ES"/>
        </w:rPr>
        <w:t xml:space="preserve">Sin perjuicio de lo expuesto, de la lectura de este aparte podrían, en la práctica, darse dos interpretaciones que dan lugar a dos formas de proceder en los procesos de selección, en lo que a la subsanabilidad de las ofertas se refiere. </w:t>
      </w:r>
      <w:r w:rsidRPr="00737496">
        <w:rPr>
          <w:rFonts w:ascii="Verdana" w:eastAsia="Times New Roman" w:hAnsi="Verdana" w:cs="Arial"/>
          <w:i/>
          <w:iCs/>
          <w:lang w:val="es-ES" w:eastAsia="es-ES"/>
        </w:rPr>
        <w:t>Primera</w:t>
      </w:r>
      <w:r w:rsidRPr="00737496">
        <w:rPr>
          <w:rFonts w:ascii="Verdana" w:eastAsia="Times New Roman" w:hAnsi="Verdana" w:cs="Arial"/>
          <w:lang w:val="es-ES" w:eastAsia="es-ES"/>
        </w:rPr>
        <w:t xml:space="preserve">, que la posibilidad para subsanar de los oferentes es el término del traslado del informe de evaluación, ya que es en este documento donde la Administración consigna los requisitos o documentos omitidos que los oferentes deben subsanar, so pena de rechazo. </w:t>
      </w:r>
      <w:r w:rsidRPr="00737496">
        <w:rPr>
          <w:rFonts w:ascii="Verdana" w:eastAsia="Times New Roman" w:hAnsi="Verdana" w:cs="Arial"/>
          <w:i/>
          <w:iCs/>
          <w:lang w:val="es-ES" w:eastAsia="es-ES"/>
        </w:rPr>
        <w:t>Segunda</w:t>
      </w:r>
      <w:r w:rsidRPr="00737496">
        <w:rPr>
          <w:rFonts w:ascii="Verdana" w:eastAsia="Times New Roman" w:hAnsi="Verdana" w:cs="Arial"/>
          <w:lang w:val="es-ES" w:eastAsia="es-ES"/>
        </w:rPr>
        <w:t xml:space="preserve">, que el término del traslado del informe de evaluación es el </w:t>
      </w:r>
      <w:r w:rsidRPr="00737496">
        <w:rPr>
          <w:rFonts w:ascii="Verdana" w:eastAsia="Times New Roman" w:hAnsi="Verdana" w:cs="Arial"/>
          <w:i/>
          <w:lang w:val="es-ES" w:eastAsia="es-ES"/>
        </w:rPr>
        <w:t>límite</w:t>
      </w:r>
      <w:r w:rsidRPr="00737496">
        <w:rPr>
          <w:rFonts w:ascii="Verdana" w:eastAsia="Times New Roman" w:hAnsi="Verdana" w:cs="Arial"/>
          <w:lang w:val="es-ES" w:eastAsia="es-ES"/>
        </w:rPr>
        <w:t xml:space="preserve"> para la subsanación de ofertas, pero no el único momento para hacerlo. </w:t>
      </w:r>
    </w:p>
    <w:p w14:paraId="3FC9CC7F" w14:textId="77777777" w:rsidR="008E7783" w:rsidRPr="00737496" w:rsidRDefault="008E7783" w:rsidP="008E7783">
      <w:pPr>
        <w:spacing w:after="120" w:line="276" w:lineRule="auto"/>
        <w:ind w:firstLine="709"/>
        <w:jc w:val="both"/>
        <w:rPr>
          <w:rFonts w:ascii="Verdana" w:eastAsia="Times New Roman" w:hAnsi="Verdana" w:cs="Arial"/>
          <w:lang w:val="es-ES_tradnl" w:eastAsia="es-ES_tradnl"/>
        </w:rPr>
      </w:pPr>
      <w:r w:rsidRPr="00737496">
        <w:rPr>
          <w:rFonts w:ascii="Verdana" w:eastAsia="Times New Roman" w:hAnsi="Verdana" w:cs="Arial"/>
          <w:lang w:val="es-ES_tradnl" w:eastAsia="es-ES_tradnl"/>
        </w:rPr>
        <w:t xml:space="preserve">De acuerdo con la primera interpretación, el informe de evaluación se convierte en la oportunidad que adopta la Administración para decirles a los oferentes qué documentos o requisitos omitieron y deben subsanar. </w:t>
      </w:r>
      <w:r w:rsidRPr="00737496">
        <w:rPr>
          <w:rFonts w:ascii="Verdana" w:eastAsia="Times New Roman" w:hAnsi="Verdana" w:cs="Arial"/>
          <w:lang w:val="es-ES_tradnl" w:eastAsia="es-ES_tradnl"/>
        </w:rPr>
        <w:lastRenderedPageBreak/>
        <w:t xml:space="preserve">Consecuentemente, el término del traslado es la oportunidad del proponente para cumplir con lo solicitado.  </w:t>
      </w:r>
    </w:p>
    <w:p w14:paraId="3BB6F18A" w14:textId="77777777" w:rsidR="008E7783" w:rsidRPr="00737496" w:rsidRDefault="008E7783" w:rsidP="008E7783">
      <w:pPr>
        <w:spacing w:after="120" w:line="276" w:lineRule="auto"/>
        <w:ind w:firstLine="709"/>
        <w:jc w:val="both"/>
        <w:rPr>
          <w:rFonts w:ascii="Verdana" w:eastAsia="Times New Roman" w:hAnsi="Verdana" w:cs="Arial"/>
          <w:lang w:val="es-ES_tradnl" w:eastAsia="es-ES_tradnl"/>
        </w:rPr>
      </w:pPr>
      <w:r w:rsidRPr="00737496">
        <w:rPr>
          <w:rFonts w:ascii="Verdana" w:eastAsia="Times New Roman" w:hAnsi="Verdana" w:cs="Arial"/>
          <w:lang w:val="es-ES_tradnl" w:eastAsia="es-ES_tradnl"/>
        </w:rPr>
        <w:t>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745D06F5" w14:textId="77777777" w:rsidR="008E7783" w:rsidRPr="00737496" w:rsidRDefault="008E7783" w:rsidP="008E7783">
      <w:pPr>
        <w:spacing w:after="120" w:line="276" w:lineRule="auto"/>
        <w:ind w:firstLine="709"/>
        <w:jc w:val="both"/>
        <w:rPr>
          <w:rFonts w:ascii="Verdana" w:eastAsia="Times New Roman" w:hAnsi="Verdana" w:cs="Arial"/>
          <w:lang w:val="es-ES" w:eastAsia="es-ES"/>
        </w:rPr>
      </w:pPr>
      <w:r w:rsidRPr="00737496">
        <w:rPr>
          <w:rFonts w:ascii="Verdana" w:eastAsia="Times New Roman" w:hAnsi="Verdana" w:cs="Arial"/>
          <w:lang w:val="es-ES" w:eastAsia="es-ES"/>
        </w:rPr>
        <w:t>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Lo anterior, se aclara, sin desconocer el límite que establece la norma para que los oferentes, sin perjuicio de que lo hagan antes, cuenten hasta el término de traslado del informe de evaluación con la posibilidad de presentar la información solicitada.</w:t>
      </w:r>
    </w:p>
    <w:p w14:paraId="2FE0DE50" w14:textId="77777777" w:rsidR="008E7783" w:rsidRPr="00737496" w:rsidRDefault="008E7783" w:rsidP="008E7783">
      <w:pPr>
        <w:spacing w:after="120" w:line="276" w:lineRule="auto"/>
        <w:ind w:firstLine="709"/>
        <w:jc w:val="both"/>
        <w:rPr>
          <w:rFonts w:ascii="Verdana" w:eastAsia="Times New Roman" w:hAnsi="Verdana" w:cs="Arial"/>
          <w:lang w:val="es-ES_tradnl" w:eastAsia="es-ES_tradnl"/>
        </w:rPr>
      </w:pPr>
      <w:r w:rsidRPr="00737496">
        <w:rPr>
          <w:rFonts w:ascii="Verdana" w:eastAsia="Times New Roman" w:hAnsi="Verdana" w:cs="Arial"/>
          <w:lang w:val="es-ES_tradnl" w:eastAsia="es-ES_tradnl"/>
        </w:rPr>
        <w:t xml:space="preserve">El </w:t>
      </w:r>
      <w:r w:rsidRPr="00737496">
        <w:rPr>
          <w:rFonts w:ascii="Verdana" w:eastAsia="Times New Roman" w:hAnsi="Verdana" w:cs="Arial"/>
          <w:i/>
          <w:iCs/>
          <w:lang w:val="es-ES_tradnl" w:eastAsia="es-ES_tradnl"/>
        </w:rPr>
        <w:t>segundo cambio</w:t>
      </w:r>
      <w:r w:rsidRPr="00737496">
        <w:rPr>
          <w:rFonts w:ascii="Verdana" w:eastAsia="Times New Roman" w:hAnsi="Verdana" w:cs="Arial"/>
          <w:lang w:val="es-ES_tradnl" w:eastAsia="es-ES_tradnl"/>
        </w:rPr>
        <w:t xml:space="preserve"> importante de la Ley 1882 de 2018 fue la introducción de un criterio material, directamente relacionado con los aspectos subsanables: </w:t>
      </w:r>
      <w:r w:rsidRPr="00737496">
        <w:rPr>
          <w:rFonts w:ascii="Verdana" w:eastAsia="Times New Roman" w:hAnsi="Verdana" w:cs="Arial"/>
          <w:i/>
          <w:iCs/>
          <w:lang w:val="es-ES_tradnl" w:eastAsia="es-ES_tradnl"/>
        </w:rPr>
        <w:t>“los proponentes no podrán acreditar circunstancias ocurridas con posterioridad al cierre del proceso”.</w:t>
      </w:r>
      <w:r w:rsidRPr="00737496">
        <w:rPr>
          <w:rFonts w:ascii="Verdana" w:eastAsia="Times New Roman" w:hAnsi="Verdana" w:cs="Arial"/>
          <w:lang w:val="es-ES_tradnl" w:eastAsia="es-ES_tradnl"/>
        </w:rPr>
        <w:t xml:space="preserve"> Lo anterior ofrece dos aspectos que merecen clarificación; primero, qué debe entenderse por circunstancias ocurridas con posterioridad; y segundo, qué es el cierre del proceso. </w:t>
      </w:r>
    </w:p>
    <w:p w14:paraId="60BD7FE6" w14:textId="77777777" w:rsidR="008E7783" w:rsidRPr="00737496" w:rsidRDefault="008E7783" w:rsidP="008E7783">
      <w:pPr>
        <w:spacing w:after="120" w:line="276" w:lineRule="auto"/>
        <w:ind w:firstLine="709"/>
        <w:jc w:val="both"/>
        <w:rPr>
          <w:rFonts w:ascii="Verdana" w:eastAsia="Times New Roman" w:hAnsi="Verdana" w:cs="Arial"/>
          <w:lang w:val="es-ES" w:eastAsia="es-ES"/>
        </w:rPr>
      </w:pPr>
      <w:r w:rsidRPr="00737496">
        <w:rPr>
          <w:rFonts w:ascii="Verdana" w:eastAsia="Times New Roman" w:hAnsi="Verdana" w:cs="Arial"/>
          <w:lang w:val="es-ES" w:eastAsia="es-ES"/>
        </w:rPr>
        <w:t xml:space="preserve">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En esa ocasión, el Consejo de Estado precisó que, por cierre del proceso debe entenderse el </w:t>
      </w:r>
      <w:r w:rsidRPr="00737496">
        <w:rPr>
          <w:rFonts w:ascii="Verdana" w:eastAsia="Times New Roman" w:hAnsi="Verdana" w:cs="Arial"/>
          <w:lang w:val="es-ES" w:eastAsia="es-ES"/>
        </w:rPr>
        <w:lastRenderedPageBreak/>
        <w:t>vencimiento del plazo para la presentación de las ofertas y que lo subsanable son las circunstancias que ocurrieron con anterioridad a esa fecha</w:t>
      </w:r>
      <w:r w:rsidRPr="00737496">
        <w:rPr>
          <w:rFonts w:ascii="Verdana" w:eastAsia="Times New Roman" w:hAnsi="Verdana" w:cs="Arial"/>
          <w:vertAlign w:val="superscript"/>
          <w:lang w:val="es-ES" w:eastAsia="es-ES"/>
        </w:rPr>
        <w:footnoteReference w:id="4"/>
      </w:r>
      <w:r w:rsidRPr="00737496">
        <w:rPr>
          <w:rFonts w:ascii="Verdana" w:eastAsia="Times New Roman" w:hAnsi="Verdana" w:cs="Arial"/>
          <w:lang w:val="es-ES" w:eastAsia="es-ES"/>
        </w:rPr>
        <w:t>.</w:t>
      </w:r>
    </w:p>
    <w:p w14:paraId="60E0766A" w14:textId="77777777" w:rsidR="008E7783" w:rsidRPr="00737496" w:rsidRDefault="008E7783" w:rsidP="008E7783">
      <w:pPr>
        <w:spacing w:after="120" w:line="276" w:lineRule="auto"/>
        <w:ind w:firstLine="709"/>
        <w:jc w:val="both"/>
        <w:rPr>
          <w:rFonts w:ascii="Verdana" w:eastAsia="Times New Roman" w:hAnsi="Verdana" w:cs="Arial"/>
          <w:lang w:val="es-ES_tradnl" w:eastAsia="es-ES_tradnl"/>
        </w:rPr>
      </w:pPr>
      <w:r w:rsidRPr="00737496">
        <w:rPr>
          <w:rFonts w:ascii="Verdana" w:eastAsia="Times New Roman" w:hAnsi="Verdana" w:cs="Arial"/>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1E2BB4E0" w14:textId="77777777" w:rsidR="008E7783" w:rsidRPr="00737496" w:rsidRDefault="008E7783" w:rsidP="008E7783">
      <w:pPr>
        <w:spacing w:after="120" w:line="276" w:lineRule="auto"/>
        <w:ind w:firstLine="709"/>
        <w:jc w:val="both"/>
        <w:rPr>
          <w:rFonts w:ascii="Verdana" w:eastAsia="Times New Roman" w:hAnsi="Verdana" w:cs="Arial"/>
          <w:lang w:val="es-ES" w:eastAsia="es-ES"/>
        </w:rPr>
      </w:pPr>
      <w:r w:rsidRPr="00737496">
        <w:rPr>
          <w:rFonts w:ascii="Verdana" w:eastAsia="Times New Roman" w:hAnsi="Verdana" w:cs="Arial"/>
          <w:lang w:val="es-ES" w:eastAsia="es-ES"/>
        </w:rPr>
        <w:t xml:space="preserve">Un mejor entendimiento del significado de la expresión </w:t>
      </w:r>
      <w:r w:rsidRPr="00737496">
        <w:rPr>
          <w:rFonts w:ascii="Verdana" w:eastAsia="Times New Roman" w:hAnsi="Verdana" w:cs="Arial"/>
          <w:i/>
          <w:lang w:val="es-ES" w:eastAsia="es-ES"/>
        </w:rPr>
        <w:t>“circunstancias ocurridas con posterioridad al cierre del proceso”</w:t>
      </w:r>
      <w:r w:rsidRPr="00737496">
        <w:rPr>
          <w:rFonts w:ascii="Verdana" w:eastAsia="Times New Roman" w:hAnsi="Verdana" w:cs="Arial"/>
          <w:lang w:val="es-ES" w:eastAsia="es-ES"/>
        </w:rPr>
        <w:t xml:space="preserve"> implica distinguir entre la prueba de un hecho y el hecho mismo. En el caso de la subsanabilidad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00737496">
        <w:rPr>
          <w:rFonts w:ascii="Verdana" w:eastAsia="Times New Roman" w:hAnsi="Verdana" w:cs="Arial"/>
          <w:vertAlign w:val="superscript"/>
          <w:lang w:val="es-ES" w:eastAsia="es-ES"/>
        </w:rPr>
        <w:footnoteReference w:id="5"/>
      </w:r>
      <w:r w:rsidRPr="00737496">
        <w:rPr>
          <w:rFonts w:ascii="Verdana" w:eastAsia="Times New Roman" w:hAnsi="Verdana" w:cs="Arial"/>
          <w:lang w:val="es-ES" w:eastAsia="es-ES"/>
        </w:rPr>
        <w:t xml:space="preserve">. </w:t>
      </w:r>
    </w:p>
    <w:p w14:paraId="0DC6AC3A" w14:textId="77777777" w:rsidR="008E7783" w:rsidRPr="00737496" w:rsidRDefault="008E7783" w:rsidP="008E7783">
      <w:pPr>
        <w:spacing w:after="120" w:line="276" w:lineRule="auto"/>
        <w:ind w:firstLine="709"/>
        <w:jc w:val="both"/>
        <w:rPr>
          <w:rFonts w:ascii="Verdana" w:eastAsia="Times New Roman" w:hAnsi="Verdana" w:cs="Arial"/>
          <w:lang w:val="es-ES" w:eastAsia="es-ES"/>
        </w:rPr>
      </w:pPr>
      <w:r w:rsidRPr="00737496">
        <w:rPr>
          <w:rFonts w:ascii="Verdana" w:eastAsia="Times New Roman" w:hAnsi="Verdana" w:cs="Arial"/>
          <w:lang w:val="es-ES" w:eastAsia="es-ES"/>
        </w:rPr>
        <w:lastRenderedPageBreak/>
        <w:t>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está en firme para dicho momento; ii)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737496">
        <w:rPr>
          <w:rFonts w:ascii="Verdana" w:eastAsia="Times New Roman" w:hAnsi="Verdana" w:cs="Arial"/>
          <w:vertAlign w:val="superscript"/>
          <w:lang w:val="es-ES" w:eastAsia="es-ES"/>
        </w:rPr>
        <w:footnoteReference w:id="6"/>
      </w:r>
      <w:r w:rsidRPr="00737496">
        <w:rPr>
          <w:rFonts w:ascii="Verdana" w:eastAsia="Times New Roman" w:hAnsi="Verdana" w:cs="Arial"/>
          <w:lang w:val="es-ES" w:eastAsia="es-ES"/>
        </w:rPr>
        <w:t>; iii) si un oferente no anexó el Certificado de existencia y representación legal, el documento aportado con posterioridad debe dar cuenta de que la sociedad existía antes del cierre del proceso</w:t>
      </w:r>
      <w:r w:rsidRPr="00737496">
        <w:rPr>
          <w:rFonts w:ascii="Verdana" w:eastAsia="Times New Roman" w:hAnsi="Verdana" w:cs="Arial"/>
          <w:vertAlign w:val="superscript"/>
          <w:lang w:val="es-ES" w:eastAsia="es-ES"/>
        </w:rPr>
        <w:footnoteReference w:id="7"/>
      </w:r>
      <w:r w:rsidRPr="00737496">
        <w:rPr>
          <w:rFonts w:ascii="Verdana" w:eastAsia="Times New Roman" w:hAnsi="Verdana" w:cs="Arial"/>
          <w:lang w:val="es-ES" w:eastAsia="es-ES"/>
        </w:rPr>
        <w:t xml:space="preserve">; iv) si 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–sin importar que tenga fecha posterior– debe demostrar que la experiencia que se pretende hacer valer se obtuvo antes de vencerse el término para presentar ofertas y; vi) si el oferente olvidó firmar la propuesta o presentar una copia de ella, puede subsanar sin que con ello se entienda que acreditó una circunstancia ocurrida con posterioridad al cierre del proceso. </w:t>
      </w:r>
    </w:p>
    <w:p w14:paraId="19C9DF0D" w14:textId="77777777" w:rsidR="008E7783" w:rsidRPr="00737496" w:rsidRDefault="008E7783" w:rsidP="008E7783">
      <w:pPr>
        <w:spacing w:after="120" w:line="276" w:lineRule="auto"/>
        <w:ind w:firstLine="709"/>
        <w:jc w:val="both"/>
        <w:rPr>
          <w:rFonts w:ascii="Verdana" w:eastAsia="Times New Roman" w:hAnsi="Verdana" w:cs="Arial"/>
          <w:i/>
          <w:lang w:val="es-ES" w:eastAsia="es-ES"/>
        </w:rPr>
      </w:pPr>
      <w:r w:rsidRPr="00737496">
        <w:rPr>
          <w:rFonts w:ascii="Verdana" w:eastAsia="Times New Roman" w:hAnsi="Verdana" w:cs="Arial"/>
          <w:lang w:val="es-ES" w:eastAsia="es-ES"/>
        </w:rPr>
        <w:t xml:space="preserve">Lo anterior quiere decir que 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w:t>
      </w:r>
      <w:r w:rsidRPr="00737496">
        <w:rPr>
          <w:rFonts w:ascii="Verdana" w:eastAsia="Times New Roman" w:hAnsi="Verdana" w:cs="Arial"/>
          <w:lang w:val="es-ES" w:eastAsia="es-ES"/>
        </w:rPr>
        <w:lastRenderedPageBreak/>
        <w:t>del proceso. Es por esto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737496">
        <w:rPr>
          <w:rFonts w:ascii="Verdana" w:eastAsia="Times New Roman" w:hAnsi="Verdana" w:cs="Arial"/>
          <w:vertAlign w:val="superscript"/>
          <w:lang w:val="es-ES" w:eastAsia="es-ES"/>
        </w:rPr>
        <w:footnoteReference w:id="8"/>
      </w:r>
      <w:r w:rsidRPr="00737496">
        <w:rPr>
          <w:rFonts w:ascii="Verdana" w:eastAsia="Times New Roman" w:hAnsi="Verdana" w:cs="Arial"/>
          <w:lang w:val="es-ES" w:eastAsia="es-ES"/>
        </w:rPr>
        <w:t>.</w:t>
      </w:r>
    </w:p>
    <w:p w14:paraId="707EAF1D" w14:textId="77777777" w:rsidR="008E7783" w:rsidRPr="00737496" w:rsidRDefault="008E7783" w:rsidP="008E7783">
      <w:pPr>
        <w:spacing w:after="120" w:line="276" w:lineRule="auto"/>
        <w:ind w:firstLine="709"/>
        <w:jc w:val="both"/>
        <w:rPr>
          <w:rFonts w:ascii="Verdana" w:eastAsia="Calibri" w:hAnsi="Verdana" w:cs="Times New Roman"/>
          <w:color w:val="000000" w:themeColor="text1"/>
        </w:rPr>
      </w:pPr>
      <w:r w:rsidRPr="00737496">
        <w:rPr>
          <w:rFonts w:ascii="Verdana" w:eastAsia="Times New Roman" w:hAnsi="Verdana" w:cs="Arial"/>
          <w:lang w:val="es-ES" w:eastAsia="es-ES"/>
        </w:rPr>
        <w:t xml:space="preserve">Un </w:t>
      </w:r>
      <w:r w:rsidRPr="00737496">
        <w:rPr>
          <w:rFonts w:ascii="Verdana" w:eastAsia="Times New Roman" w:hAnsi="Verdana" w:cs="Arial"/>
          <w:i/>
          <w:iCs/>
          <w:lang w:val="es-ES" w:eastAsia="es-ES"/>
        </w:rPr>
        <w:t>tercer cambio</w:t>
      </w:r>
      <w:r w:rsidRPr="00737496">
        <w:rPr>
          <w:rFonts w:ascii="Verdana" w:eastAsia="Times New Roman" w:hAnsi="Verdana" w:cs="Arial"/>
          <w:lang w:val="es-ES" w:eastAsia="es-ES"/>
        </w:rPr>
        <w:t xml:space="preserve"> fue el introducido por</w:t>
      </w:r>
      <w:r w:rsidRPr="00737496">
        <w:rPr>
          <w:rFonts w:ascii="Verdana" w:eastAsia="Times New Roman" w:hAnsi="Verdana" w:cs="Arial"/>
          <w:i/>
          <w:lang w:val="es-ES" w:eastAsia="es-ES"/>
        </w:rPr>
        <w:t xml:space="preserve"> e</w:t>
      </w:r>
      <w:r w:rsidRPr="00737496">
        <w:rPr>
          <w:rFonts w:ascii="Verdana" w:eastAsia="Calibri" w:hAnsi="Verdana" w:cs="Arial"/>
          <w:color w:val="000000" w:themeColor="text1"/>
          <w:lang w:val="es-ES"/>
        </w:rPr>
        <w:t>l parágrafo 3 del artículo 5 de la Ley 1882 de 2018</w:t>
      </w:r>
      <w:r>
        <w:rPr>
          <w:rFonts w:ascii="Verdana" w:eastAsia="Calibri" w:hAnsi="Verdana" w:cs="Arial"/>
          <w:color w:val="000000" w:themeColor="text1"/>
          <w:lang w:val="es-ES"/>
        </w:rPr>
        <w:t>, el cual</w:t>
      </w:r>
      <w:r w:rsidRPr="00737496">
        <w:rPr>
          <w:rFonts w:ascii="Verdana" w:eastAsia="Calibri" w:hAnsi="Verdana" w:cs="Arial"/>
          <w:color w:val="000000" w:themeColor="text1"/>
          <w:lang w:val="es-ES"/>
        </w:rPr>
        <w:t xml:space="preserve"> determinó, de manera expresa, que “la no entrega de la garantía de seriedad junto con la propuesta no será subsanable y será causal de rechazo de la misma”. Esta disposición deja claro que se trata de un documento de obligatoria presentación junto con la propuesta y que su omisión no puede ser corregida posteriormente. Esta exigencia materializa los principios de seriedad e irrevocabilidad de la oferta, relacionados con la selección objetiva de la oferta.</w:t>
      </w:r>
      <w:r w:rsidRPr="00737496">
        <w:rPr>
          <w:rFonts w:ascii="Verdana" w:eastAsia="Calibri" w:hAnsi="Verdana" w:cs="Times New Roman"/>
          <w:color w:val="000000" w:themeColor="text1"/>
        </w:rPr>
        <w:t> </w:t>
      </w:r>
    </w:p>
    <w:p w14:paraId="4710F0FB" w14:textId="77777777" w:rsidR="008E7783" w:rsidRPr="00737496" w:rsidRDefault="008E7783" w:rsidP="008E7783">
      <w:pPr>
        <w:spacing w:before="120" w:after="120" w:line="276" w:lineRule="auto"/>
        <w:ind w:firstLine="708"/>
        <w:jc w:val="both"/>
        <w:rPr>
          <w:rFonts w:ascii="Verdana" w:hAnsi="Verdana" w:cs="Arial"/>
        </w:rPr>
      </w:pPr>
      <w:r w:rsidRPr="00737496">
        <w:rPr>
          <w:rFonts w:ascii="Verdana" w:hAnsi="Verdana" w:cs="Arial"/>
        </w:rPr>
        <w:t>El origen de dicha norma, según se desprende de lo dicho en la Gaceta No. 605 del 2016, se encuentra en que para el legislador era necesario eliminar la posibilidad de subsanar la garantía de seriedad hasta antes de la adjudicación del contrato, porque si no se presentaba de manera concomitante con la oferta, en el evento que el proponente retirara su propuesta si la entidad no contaba con la póliza, no podía reclamarle por los perjuicios causados y, por lo tanto, se vería afectado el proceso de selección</w:t>
      </w:r>
      <w:r w:rsidRPr="00737496">
        <w:rPr>
          <w:rFonts w:ascii="Verdana" w:hAnsi="Verdana" w:cs="Arial"/>
          <w:vertAlign w:val="superscript"/>
        </w:rPr>
        <w:footnoteReference w:id="9"/>
      </w:r>
      <w:r w:rsidRPr="00737496">
        <w:rPr>
          <w:rFonts w:ascii="Verdana" w:hAnsi="Verdana" w:cs="Arial"/>
        </w:rPr>
        <w:t xml:space="preserve"> . </w:t>
      </w:r>
    </w:p>
    <w:p w14:paraId="6FF9BA5A" w14:textId="77777777" w:rsidR="008E7783" w:rsidRPr="00737496" w:rsidRDefault="008E7783" w:rsidP="008E7783">
      <w:pPr>
        <w:spacing w:before="120" w:after="120" w:line="276" w:lineRule="auto"/>
        <w:ind w:firstLine="708"/>
        <w:jc w:val="both"/>
        <w:rPr>
          <w:rFonts w:ascii="Verdana" w:hAnsi="Verdana" w:cs="Arial"/>
        </w:rPr>
      </w:pPr>
      <w:r w:rsidRPr="00737496">
        <w:rPr>
          <w:rFonts w:ascii="Verdana" w:hAnsi="Verdana" w:cs="Arial"/>
        </w:rPr>
        <w:t xml:space="preserve">Es así, como el artículo 5 de la Ley 1882 de 2018 dispone que la no presentación de la garantía junto con la propuesta no será subsanable y será causal de rechazo de esta. El Código de Comercio regula el contrato de seguro como un contrato consensual, bilateral, oneroso, aleatorio y de ejecución sucesiva. El artículo 1.046 ibidem establece que el contrato de seguro se probará por escrito o confesión y, para fines exclusivamente probatorios, el asegurador está obligado a entregar en su original al tomador dentro de los quince días siguientes a la fecha de su celebración, el documento contentivo del contrato de </w:t>
      </w:r>
      <w:r w:rsidRPr="00737496">
        <w:rPr>
          <w:rFonts w:ascii="Verdana" w:hAnsi="Verdana" w:cs="Arial"/>
        </w:rPr>
        <w:lastRenderedPageBreak/>
        <w:t>seguro, es decir, la póliza de seguro, la cual deberá redactarse en castellano y firmarse por el asegurador</w:t>
      </w:r>
      <w:r w:rsidRPr="00737496">
        <w:rPr>
          <w:rFonts w:ascii="Verdana" w:hAnsi="Verdana" w:cs="Arial"/>
          <w:vertAlign w:val="superscript"/>
        </w:rPr>
        <w:footnoteReference w:id="10"/>
      </w:r>
      <w:r w:rsidRPr="00737496">
        <w:rPr>
          <w:rFonts w:ascii="Verdana" w:hAnsi="Verdana" w:cs="Arial"/>
        </w:rPr>
        <w:t>.</w:t>
      </w:r>
    </w:p>
    <w:p w14:paraId="5A6F017C" w14:textId="77777777" w:rsidR="008E7783" w:rsidRPr="00737496" w:rsidRDefault="008E7783" w:rsidP="008E7783">
      <w:pPr>
        <w:spacing w:before="120" w:after="120" w:line="276" w:lineRule="auto"/>
        <w:ind w:firstLine="709"/>
        <w:jc w:val="both"/>
        <w:rPr>
          <w:rFonts w:ascii="Verdana" w:hAnsi="Verdana" w:cs="Arial"/>
        </w:rPr>
      </w:pPr>
      <w:r w:rsidRPr="00737496">
        <w:rPr>
          <w:rFonts w:ascii="Verdana" w:hAnsi="Verdana" w:cs="Arial"/>
        </w:rPr>
        <w:t xml:space="preserve">En este sentido, solo para fines probatorios del contrato de seguro, el asegurador está obligado a entregar a su tomador el documento contentivo del contrato de seguro, aunque el mismo se perfeccione por el solo consentimiento de las partes (tomador y asegurador), sin perjuicio de que el asegurador también esté obligado a librar duplicados o copias de la póliza al beneficiario, el asegurado o tomador por solicitud de estos. </w:t>
      </w:r>
    </w:p>
    <w:p w14:paraId="6F98D660" w14:textId="77777777" w:rsidR="008E7783" w:rsidRDefault="008E7783" w:rsidP="008E7783">
      <w:pPr>
        <w:spacing w:after="0" w:line="276" w:lineRule="auto"/>
        <w:ind w:firstLine="709"/>
        <w:jc w:val="both"/>
        <w:rPr>
          <w:rFonts w:ascii="Verdana" w:eastAsia="Calibri" w:hAnsi="Verdana" w:cs="Arial"/>
          <w:color w:val="000000" w:themeColor="text1"/>
          <w:lang w:val="es-ES"/>
        </w:rPr>
      </w:pPr>
      <w:r w:rsidRPr="00737496">
        <w:rPr>
          <w:rFonts w:ascii="Verdana" w:eastAsia="Calibri" w:hAnsi="Verdana" w:cs="Times New Roman"/>
          <w:color w:val="000000" w:themeColor="text1"/>
        </w:rPr>
        <w:t xml:space="preserve">Bajo este contexto, es claro que conforme </w:t>
      </w:r>
      <w:r w:rsidRPr="00737496">
        <w:rPr>
          <w:rFonts w:ascii="Verdana" w:eastAsia="Times New Roman" w:hAnsi="Verdana" w:cs="Arial"/>
          <w:lang w:val="es-ES" w:eastAsia="es-ES"/>
        </w:rPr>
        <w:t>cambio introducido por</w:t>
      </w:r>
      <w:r w:rsidRPr="00737496">
        <w:rPr>
          <w:rFonts w:ascii="Verdana" w:eastAsia="Times New Roman" w:hAnsi="Verdana" w:cs="Arial"/>
          <w:i/>
          <w:lang w:val="es-ES" w:eastAsia="es-ES"/>
        </w:rPr>
        <w:t xml:space="preserve"> e</w:t>
      </w:r>
      <w:r w:rsidRPr="00737496">
        <w:rPr>
          <w:rFonts w:ascii="Verdana" w:eastAsia="Calibri" w:hAnsi="Verdana" w:cs="Arial"/>
          <w:color w:val="000000" w:themeColor="text1"/>
          <w:lang w:val="es-ES"/>
        </w:rPr>
        <w:t xml:space="preserve">l parágrafo 3 del artículo 5 de la Ley 1882 de 2018 la no entrega de la garantía de seriedad junto con la propuesta no será subsanable y será causal de rechazo de la misma, lo que significa que no aportar el documento contentivo de la garantía resulta insubsanable por expresa disposición legal. </w:t>
      </w:r>
    </w:p>
    <w:p w14:paraId="55650308" w14:textId="77777777" w:rsidR="008E7783" w:rsidRPr="00737496" w:rsidRDefault="008E7783" w:rsidP="008E7783">
      <w:pPr>
        <w:spacing w:after="0" w:line="276" w:lineRule="auto"/>
        <w:ind w:firstLine="709"/>
        <w:jc w:val="both"/>
        <w:rPr>
          <w:rFonts w:ascii="Verdana" w:eastAsia="Calibri" w:hAnsi="Verdana" w:cs="Times New Roman"/>
          <w:color w:val="000000" w:themeColor="text1"/>
        </w:rPr>
      </w:pPr>
    </w:p>
    <w:p w14:paraId="1F3221F3" w14:textId="77777777" w:rsidR="008E7783" w:rsidRPr="00737496" w:rsidRDefault="008E7783" w:rsidP="008E7783">
      <w:pPr>
        <w:spacing w:after="120" w:line="276" w:lineRule="auto"/>
        <w:jc w:val="both"/>
        <w:rPr>
          <w:rFonts w:ascii="Verdana" w:eastAsia="Times New Roman" w:hAnsi="Verdana" w:cs="Arial"/>
          <w:bCs/>
          <w:lang w:val="es-MX" w:eastAsia="x-none"/>
        </w:rPr>
      </w:pPr>
      <w:r w:rsidRPr="00737496">
        <w:rPr>
          <w:rFonts w:ascii="Verdana" w:eastAsia="Calibri" w:hAnsi="Verdana" w:cs="Times New Roman"/>
          <w:color w:val="000000" w:themeColor="text1"/>
        </w:rPr>
        <w:t xml:space="preserve">ii. Ahora bien, para efectos de dar respuesta al problema jurídico planteado, es importante destacar que </w:t>
      </w:r>
      <w:r w:rsidRPr="00737496">
        <w:rPr>
          <w:rFonts w:ascii="Verdana" w:eastAsia="Calibri" w:hAnsi="Verdana" w:cs="Arial"/>
          <w:color w:val="000000" w:themeColor="text1"/>
        </w:rPr>
        <w:t xml:space="preserve">el SECOP II es una plataforma transaccional que permite gestionar en línea todos los procedimientos de contratación, </w:t>
      </w:r>
      <w:r w:rsidRPr="00737496">
        <w:rPr>
          <w:rFonts w:ascii="Verdana" w:eastAsia="Calibri" w:hAnsi="Verdana" w:cs="Arial"/>
          <w:lang w:val="es-ES"/>
        </w:rPr>
        <w:t>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Por su parte, los proveedores pueden hacer comentarios a los documentos del procedimiento, presentar ofertas y seguir el procedimiento de selección en línea.</w:t>
      </w:r>
    </w:p>
    <w:p w14:paraId="614D2B29" w14:textId="77777777" w:rsidR="008E7783" w:rsidRPr="00737496" w:rsidRDefault="008E7783" w:rsidP="008E7783">
      <w:pPr>
        <w:spacing w:after="120" w:line="276" w:lineRule="auto"/>
        <w:ind w:firstLine="567"/>
        <w:jc w:val="both"/>
        <w:rPr>
          <w:rFonts w:ascii="Verdana" w:eastAsia="Calibri" w:hAnsi="Verdana" w:cs="Arial"/>
          <w:lang w:val="es-ES"/>
        </w:rPr>
      </w:pPr>
      <w:r w:rsidRPr="00737496">
        <w:rPr>
          <w:rFonts w:ascii="Verdana" w:eastAsia="Calibri" w:hAnsi="Verdana" w:cs="Arial"/>
          <w:lang w:val="es-ES"/>
        </w:rPr>
        <w:t xml:space="preserve">En este sentido, en el SECOP II el procedimiento contractual se desarrolla en línea y dentro de la plataforma, conformándose un expediente electrónico, lo cual denota una diferencia con el SECOP I, donde el procedimiento se desarrolla de manera física, esto es, con documentos escritos que se publican para cumplir las obligaciones de las entidades antes señaladas. Al existir esa diferencia entre las dos versiones del SECOP, no es posible realizar en SECOP II actuaciones por </w:t>
      </w:r>
      <w:r w:rsidRPr="00737496">
        <w:rPr>
          <w:rFonts w:ascii="Verdana" w:eastAsia="Calibri" w:hAnsi="Verdana" w:cs="Arial"/>
          <w:lang w:val="es-ES"/>
        </w:rPr>
        <w:lastRenderedPageBreak/>
        <w:t>escrito que son propias del SECOP I, sino que los documentos y actuaciones son electrónicas.</w:t>
      </w:r>
    </w:p>
    <w:p w14:paraId="687DB376" w14:textId="77777777" w:rsidR="008E7783" w:rsidRPr="00737496" w:rsidRDefault="008E7783" w:rsidP="008E7783">
      <w:pPr>
        <w:spacing w:after="120" w:line="276" w:lineRule="auto"/>
        <w:ind w:firstLine="709"/>
        <w:jc w:val="both"/>
        <w:rPr>
          <w:rFonts w:ascii="Verdana" w:eastAsia="Calibri" w:hAnsi="Verdana" w:cs="Arial"/>
          <w:lang w:val="es-ES"/>
        </w:rPr>
      </w:pPr>
      <w:r w:rsidRPr="00737496">
        <w:rPr>
          <w:rFonts w:ascii="Verdana" w:eastAsia="Calibri" w:hAnsi="Verdana" w:cs="Arial"/>
          <w:lang w:val="es-ES"/>
        </w:rPr>
        <w:t xml:space="preserve">Debido a que la plataforma es totalmente transaccional, el trámite se realiza en línea y la publicidad de las actuaciones es concomitante, según transcurran cada una de las etapas del procedimiento, lo que descarta la necesidad de cargar documentación alguna, salvo algunas excepciones.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w:t>
      </w:r>
      <w:r w:rsidRPr="00A71851">
        <w:rPr>
          <w:rFonts w:ascii="Verdana" w:eastAsia="Calibri" w:hAnsi="Verdana" w:cs="Arial"/>
          <w:i/>
          <w:iCs/>
          <w:lang w:val="es-ES"/>
        </w:rPr>
        <w:t>ibidem</w:t>
      </w:r>
      <w:r w:rsidRPr="00737496">
        <w:rPr>
          <w:rFonts w:ascii="Verdana" w:eastAsia="Calibri" w:hAnsi="Verdana" w:cs="Arial"/>
          <w:lang w:val="es-ES"/>
        </w:rPr>
        <w:t xml:space="preserve"> dispone que los contratos electrónicos compuestos por mensajes de datos tienen los efectos jurídicos según las normas aplicables al negocio jurídico contenido en dichos mensajes, esto es, las normas que regulan el sistema de contratación pública.</w:t>
      </w:r>
    </w:p>
    <w:p w14:paraId="395AA177" w14:textId="77777777" w:rsidR="008E7783" w:rsidRPr="00737496" w:rsidRDefault="008E7783" w:rsidP="008E7783">
      <w:pPr>
        <w:spacing w:after="120" w:line="276" w:lineRule="auto"/>
        <w:ind w:firstLine="709"/>
        <w:jc w:val="both"/>
        <w:rPr>
          <w:rFonts w:ascii="Verdana" w:eastAsia="Calibri" w:hAnsi="Verdana" w:cs="Arial"/>
          <w:lang w:val="es-ES"/>
        </w:rPr>
      </w:pPr>
      <w:r w:rsidRPr="00737496">
        <w:rPr>
          <w:rFonts w:ascii="Verdana" w:eastAsia="Calibri" w:hAnsi="Verdana" w:cs="Arial"/>
          <w:lang w:val="es-ES"/>
        </w:rPr>
        <w:t xml:space="preserve">De esta forma, para efectos de la presentación de la oferta en el SECOP II el proponente deberá diligenciar la información respectiva y cargar en la sección correspondiente toda la documentación requerida por la entidad en el pliego de condiciones. </w:t>
      </w:r>
      <w:r w:rsidRPr="00737496">
        <w:rPr>
          <w:rFonts w:ascii="Verdana" w:hAnsi="Verdana" w:cs="Arial"/>
        </w:rPr>
        <w:t xml:space="preserve">Conforme a esto y teniendo en cuenta lo previsto en el artículo 5 de la Ley 1882 de 2018, el proponente deberá presentar junto con la oferta el documento contentivo del contrato de seguro que expide el asegurador </w:t>
      </w:r>
      <w:r>
        <w:rPr>
          <w:rFonts w:ascii="Verdana" w:hAnsi="Verdana" w:cs="Arial"/>
        </w:rPr>
        <w:t xml:space="preserve">que garantice la seriedad de la oferta, </w:t>
      </w:r>
      <w:r w:rsidRPr="00737496">
        <w:rPr>
          <w:rFonts w:ascii="Verdana" w:hAnsi="Verdana" w:cs="Arial"/>
        </w:rPr>
        <w:t xml:space="preserve">para que la misma no sea rechazada. La entrega de este documento no tiene que ser en físico, sino que se debe efectuar en la plataforma del SECOP, puesto que esta permite que el proponente diligencie y cargue de forma digital la póliza que garantiza la seriedad de la oferta. </w:t>
      </w:r>
    </w:p>
    <w:p w14:paraId="64F125C6" w14:textId="77777777" w:rsidR="008E7783" w:rsidRPr="00737496" w:rsidRDefault="008E7783" w:rsidP="008E7783">
      <w:pPr>
        <w:spacing w:before="120" w:after="120" w:line="276" w:lineRule="auto"/>
        <w:ind w:firstLine="709"/>
        <w:jc w:val="both"/>
        <w:rPr>
          <w:rFonts w:ascii="Verdana" w:hAnsi="Verdana" w:cs="Arial"/>
        </w:rPr>
      </w:pPr>
      <w:r w:rsidRPr="00737496">
        <w:rPr>
          <w:rFonts w:ascii="Verdana" w:hAnsi="Verdana" w:cs="Arial"/>
        </w:rPr>
        <w:t xml:space="preserve">En tal sentido, si el proponente al momento de presentar la oferta carga a la plataforma del SECOP II la póliza que expide el asegurador, está cumpliendo con lo prescrito en el artículo 5 de la Ley 1882 de 2018, y, por lo tanto, la entidad no debería requerir al proponente para que allegue dicho documento en físico, ni mucho menos rechazar su oferta por este motivo. Por el contrario, en aquellos eventos en los que el proponente omite cargar la póliza expedida por el asegurador en la plataforma del SECOP II, debe entenderse que no cumple con lo previsto en la norma en mención y por ende, la consecuencia jurídica ante tal escenario es el rechazo de la oferta. </w:t>
      </w:r>
    </w:p>
    <w:p w14:paraId="12430B14" w14:textId="77777777" w:rsidR="008E7783" w:rsidRPr="00737496" w:rsidRDefault="008E7783" w:rsidP="008E7783">
      <w:pPr>
        <w:spacing w:before="120" w:after="120" w:line="276" w:lineRule="auto"/>
        <w:ind w:firstLine="709"/>
        <w:jc w:val="both"/>
        <w:rPr>
          <w:rFonts w:ascii="Verdana" w:hAnsi="Verdana" w:cs="Arial"/>
        </w:rPr>
      </w:pPr>
      <w:r w:rsidRPr="00737496">
        <w:rPr>
          <w:rFonts w:ascii="Verdana" w:hAnsi="Verdana" w:cs="Arial"/>
        </w:rPr>
        <w:lastRenderedPageBreak/>
        <w:t xml:space="preserve">En efecto, el mandato legal establecido en el parágrafo 3 del artículo 5 de la Ley 1150 de 2007 adicionado por el artículo 5 de la Ley 1882 de 2018, impone de manera expresa e inequívoca la entrega de la garantía de seriedad o aporte simultáneo con la oferta, lo cual configura un deber en cabeza del proponente. </w:t>
      </w:r>
    </w:p>
    <w:p w14:paraId="310CB231" w14:textId="77777777" w:rsidR="008E7783" w:rsidRPr="00737496" w:rsidRDefault="008E7783" w:rsidP="008E7783">
      <w:pPr>
        <w:spacing w:after="120" w:line="276" w:lineRule="auto"/>
        <w:ind w:firstLine="709"/>
        <w:jc w:val="both"/>
        <w:rPr>
          <w:rFonts w:ascii="Verdana" w:hAnsi="Verdana" w:cs="Arial"/>
        </w:rPr>
      </w:pPr>
      <w:r w:rsidRPr="00737496">
        <w:rPr>
          <w:rFonts w:ascii="Verdana" w:eastAsia="Calibri" w:hAnsi="Verdana" w:cs="Times New Roman"/>
          <w:color w:val="000000" w:themeColor="text1"/>
        </w:rPr>
        <w:t xml:space="preserve">Desde esta perspectiva, para efectos del SECOP II, el alcance de este mandato legal se entiende como la incorporación efectiva del documento digital al proceso de selección en el momento requerido por la norma, es decir, de manera concomitante con la presentación de la oferta en dicha plataforma y no con posterioridad. Esta exigencia, como se explicó, fue incorporada por el legislador precisamente </w:t>
      </w:r>
      <w:r w:rsidRPr="00737496">
        <w:rPr>
          <w:rFonts w:ascii="Verdana" w:hAnsi="Verdana" w:cs="Arial"/>
        </w:rPr>
        <w:t xml:space="preserve">con el propósito de eliminar la posibilidad de subsanar la garantía de seriedad hasta antes de la adjudicación del contrato, por lo que la omisión en su entrega o cargue en el SECOP II no puede ser objeto de subsanación, ya que desnaturalizaría el sentido de la norma y desconocería su finalidad. </w:t>
      </w:r>
    </w:p>
    <w:p w14:paraId="4F1CD6EB" w14:textId="77777777" w:rsidR="008E7783" w:rsidRPr="00737496" w:rsidRDefault="008E7783" w:rsidP="008E7783">
      <w:pPr>
        <w:spacing w:after="120" w:line="276" w:lineRule="auto"/>
        <w:ind w:firstLine="709"/>
        <w:jc w:val="both"/>
        <w:rPr>
          <w:rFonts w:ascii="Verdana" w:eastAsia="Calibri" w:hAnsi="Verdana" w:cs="Times New Roman"/>
          <w:color w:val="000000" w:themeColor="text1"/>
        </w:rPr>
      </w:pPr>
      <w:r w:rsidRPr="00737496">
        <w:rPr>
          <w:rFonts w:ascii="Verdana" w:eastAsia="Calibri" w:hAnsi="Verdana" w:cs="Times New Roman"/>
          <w:color w:val="000000" w:themeColor="text1"/>
        </w:rPr>
        <w:t>Si bien el régimen de contratación estatal admite la subsanación de ciertos requisitos cuando se trata de acreditar circunstancias posteriores al cierre del proceso, en el caso de la garantía de seriedad el legislador ha establecido una excepción expresa al calificar su no entrega como un defecto no subsanable. Esta previsión normativa excluye cualquier posibilidad de interpretación flexible, en la medida en que delimita de forma clara el ámbito de aplicación de la subsanabilidad en este caso, impidiendo que la administración amplíe dicho margen por vía interpretativa.</w:t>
      </w:r>
    </w:p>
    <w:p w14:paraId="206DDC66" w14:textId="77777777" w:rsidR="008E7783" w:rsidRPr="00737496" w:rsidRDefault="008E7783" w:rsidP="008E7783">
      <w:pPr>
        <w:spacing w:after="120" w:line="276" w:lineRule="auto"/>
        <w:ind w:firstLine="709"/>
        <w:jc w:val="both"/>
        <w:rPr>
          <w:rFonts w:ascii="Verdana" w:eastAsia="Calibri" w:hAnsi="Verdana" w:cs="Times New Roman"/>
          <w:color w:val="000000" w:themeColor="text1"/>
        </w:rPr>
      </w:pPr>
      <w:r w:rsidRPr="00737496">
        <w:rPr>
          <w:rFonts w:ascii="Verdana" w:eastAsia="Calibri" w:hAnsi="Verdana" w:cs="Times New Roman"/>
          <w:color w:val="000000" w:themeColor="text1"/>
        </w:rPr>
        <w:t>Lo anterior resulta concordante con el principio de legalidad que rige la actividad contractual, conforme al cual es legítima la actuación de las autoridades en cuanto se desarrolle dentro del preciso ámbito funcional definido por el legislador, proscribiendo las actuaciones de los servidores públicos que impliquen omisión o extralimitación en el ejercicio de las mismas; a la observancia del debido proceso, y a los principios de la función administrativa, desarrollados legalmente por el mismo Estatuto General de Contratación de la Administración Públicas</w:t>
      </w:r>
      <w:r w:rsidRPr="00737496">
        <w:rPr>
          <w:rFonts w:ascii="Verdana" w:eastAsia="Calibri" w:hAnsi="Verdana" w:cs="Times New Roman"/>
          <w:color w:val="000000" w:themeColor="text1"/>
          <w:vertAlign w:val="superscript"/>
        </w:rPr>
        <w:footnoteReference w:id="11"/>
      </w:r>
      <w:r w:rsidRPr="00737496">
        <w:rPr>
          <w:rFonts w:ascii="Verdana" w:eastAsia="Calibri" w:hAnsi="Verdana" w:cs="Times New Roman"/>
          <w:color w:val="000000" w:themeColor="text1"/>
        </w:rPr>
        <w:t>. De acuerdo con este principio se garantiza la sujeción estricta de la administración a las condiciones establecidas en la ley, evitando márgenes indebidos de discrecionalidad que puedan afectar la transparencia y la igualdad entre los proponentes.</w:t>
      </w:r>
    </w:p>
    <w:p w14:paraId="31AD0587" w14:textId="77777777" w:rsidR="008E7783" w:rsidRPr="00737496" w:rsidRDefault="008E7783" w:rsidP="008E7783">
      <w:pPr>
        <w:spacing w:after="120" w:line="276" w:lineRule="auto"/>
        <w:ind w:firstLine="709"/>
        <w:jc w:val="both"/>
        <w:rPr>
          <w:rFonts w:ascii="Verdana" w:eastAsia="Calibri" w:hAnsi="Verdana" w:cs="Times New Roman"/>
          <w:color w:val="000000" w:themeColor="text1"/>
        </w:rPr>
      </w:pPr>
      <w:r w:rsidRPr="00737496">
        <w:rPr>
          <w:rFonts w:ascii="Verdana" w:eastAsia="Calibri" w:hAnsi="Verdana" w:cs="Times New Roman"/>
          <w:color w:val="000000" w:themeColor="text1"/>
        </w:rPr>
        <w:lastRenderedPageBreak/>
        <w:t>En consecuencia, la interpretación conforme a la cual la sola constitución de la garantía sería suficiente, aun sin su entrega oportuna y cargue del documento digital en el SECOP II, no resulta compatible con el marco normativo vigente, pues desconoce el tenor literal de la disposición señalada y la intención del legislador. Por el contrario, la aplicación estricta de la regla de rechazo no subsanable constituye una manifestación legítima del principio de legalidad y una garantía de transparencia y seguridad jurídica en los procesos de contratación.</w:t>
      </w:r>
    </w:p>
    <w:p w14:paraId="55B9E907" w14:textId="77777777" w:rsidR="008E7783" w:rsidRPr="00737496" w:rsidRDefault="008E7783" w:rsidP="008E7783">
      <w:pPr>
        <w:spacing w:after="120" w:line="276" w:lineRule="auto"/>
        <w:ind w:firstLine="709"/>
        <w:jc w:val="both"/>
        <w:rPr>
          <w:rFonts w:ascii="Verdana" w:eastAsia="Calibri" w:hAnsi="Verdana" w:cs="Times New Roman"/>
          <w:color w:val="000000"/>
        </w:rPr>
      </w:pPr>
      <w:r w:rsidRPr="00737496">
        <w:rPr>
          <w:rFonts w:ascii="Verdana" w:eastAsia="Calibri" w:hAnsi="Verdana" w:cs="Times New Roman"/>
          <w:color w:val="000000"/>
        </w:rPr>
        <w:t>Así, la obligación del proponente no se agota en la existencia de la póliza como documento independiente, sino que se proyecta hacia su efectiva incorporación en el proceso de contratación en la plataforma del SECOP II, garantizando de esta forma su conocimiento oportuno por parte de la entidad contratante y la verificación de su validez. En este sentido, la norma impone una mayor diligencia en cabeza del proponente que</w:t>
      </w:r>
      <w:r w:rsidRPr="00737496">
        <w:rPr>
          <w:rFonts w:ascii="Verdana" w:eastAsia="Calibri" w:hAnsi="Verdana" w:cs="Times New Roman"/>
          <w:color w:val="000000" w:themeColor="text1"/>
        </w:rPr>
        <w:t xml:space="preserve"> trasciende la constitución de la garantía y comprende su aporte oportuno y completo al proceso de contratación, de manera que se trata de una obligación con efectos sustanciales pues no basta con tener la póliza, sino que es indispensable entregarla en el momento requerido.</w:t>
      </w:r>
    </w:p>
    <w:p w14:paraId="582D9B57" w14:textId="77777777" w:rsidR="008E7783" w:rsidRPr="00737496" w:rsidRDefault="008E7783" w:rsidP="008E7783">
      <w:pPr>
        <w:spacing w:after="120" w:line="276" w:lineRule="auto"/>
        <w:ind w:firstLine="709"/>
        <w:jc w:val="both"/>
        <w:rPr>
          <w:rFonts w:ascii="Verdana" w:eastAsia="Calibri" w:hAnsi="Verdana" w:cs="Times New Roman"/>
          <w:color w:val="000000" w:themeColor="text1"/>
        </w:rPr>
      </w:pPr>
      <w:r w:rsidRPr="00737496">
        <w:rPr>
          <w:rFonts w:ascii="Verdana" w:eastAsia="Calibri" w:hAnsi="Verdana" w:cs="Times New Roman"/>
          <w:color w:val="000000" w:themeColor="text1"/>
        </w:rPr>
        <w:t>Por consiguiente, la omisión en su cargue no puede entenderse como un defecto meramente formal susceptible de subsanación, sino como el incumplimiento de una exigencia que ha sido establecida por el legislador, cuya inobservancia conlleva al rechazo de la oferta. En esa medida, la decisión de rechazar la oferta no puede interpretarse como una manifestación de “exceso de ritual manifiesto” por parte de la entidad estatal,</w:t>
      </w:r>
      <w:r w:rsidRPr="00737496">
        <w:t xml:space="preserve"> </w:t>
      </w:r>
      <w:r w:rsidRPr="00737496">
        <w:rPr>
          <w:rFonts w:ascii="Verdana" w:eastAsia="Calibri" w:hAnsi="Verdana" w:cs="Times New Roman"/>
          <w:color w:val="000000" w:themeColor="text1"/>
        </w:rPr>
        <w:t>sino como la aplicación estricta de una consecuencia jurídica previamente definida por el legislador.</w:t>
      </w:r>
    </w:p>
    <w:p w14:paraId="68AD44BA" w14:textId="77777777" w:rsidR="008E7783" w:rsidRPr="00737496" w:rsidRDefault="008E7783" w:rsidP="008E7783">
      <w:pPr>
        <w:spacing w:after="120" w:line="276" w:lineRule="auto"/>
        <w:ind w:firstLine="709"/>
        <w:jc w:val="both"/>
        <w:rPr>
          <w:rFonts w:ascii="Verdana" w:eastAsia="Calibri" w:hAnsi="Verdana" w:cs="Times New Roman"/>
          <w:color w:val="000000" w:themeColor="text1"/>
          <w:lang w:val="es-ES"/>
        </w:rPr>
      </w:pPr>
      <w:r w:rsidRPr="00737496">
        <w:rPr>
          <w:rFonts w:ascii="Verdana" w:eastAsia="Calibri" w:hAnsi="Verdana" w:cs="Times New Roman"/>
          <w:color w:val="000000" w:themeColor="text1"/>
        </w:rPr>
        <w:t xml:space="preserve">En todo caso, vale la pena señalar la regla contenida en el parágrafo 3 artículo 5 de la Ley 1150 de 2007 debe aplicarse cuando la garantía de seriedad no se entregó con la presentación de la oferta. Por ello, en principio, se podrían corregir los errores de la garantía, siempre y cuando estos se pretendan corregir, modificar o enmendar y no se enmarquen en el supuesto de no presentación de la garantía de seriedad junto con la oferta, por lo que es posible enmendar ciertas falencias, como por ejemplo, un error en el valor o en la vigencia de los amparos. </w:t>
      </w:r>
    </w:p>
    <w:p w14:paraId="5A327187" w14:textId="77777777" w:rsidR="008E7783" w:rsidRPr="00737496" w:rsidRDefault="008E7783" w:rsidP="008E7783">
      <w:pPr>
        <w:spacing w:after="120" w:line="276" w:lineRule="auto"/>
        <w:ind w:firstLine="709"/>
        <w:jc w:val="both"/>
        <w:rPr>
          <w:rFonts w:ascii="Verdana" w:eastAsia="Calibri" w:hAnsi="Verdana" w:cs="Times New Roman"/>
          <w:color w:val="000000" w:themeColor="text1"/>
        </w:rPr>
      </w:pPr>
      <w:r w:rsidRPr="00737496">
        <w:rPr>
          <w:rFonts w:ascii="Verdana" w:eastAsia="Calibri" w:hAnsi="Verdana" w:cs="Times New Roman"/>
          <w:color w:val="000000" w:themeColor="text1"/>
        </w:rPr>
        <w:t xml:space="preserve">Finalmente, es preciso resaltar que cada entidad deberá realizar el análisis correspondiente que le permita determinar la procedencia del rechazo de la oferta, a partir de las circunstancias fácticas y jurídicas propias de cada caso </w:t>
      </w:r>
      <w:r w:rsidRPr="00737496">
        <w:rPr>
          <w:rFonts w:ascii="Verdana" w:eastAsia="Calibri" w:hAnsi="Verdana" w:cs="Times New Roman"/>
          <w:color w:val="000000" w:themeColor="text1"/>
        </w:rPr>
        <w:lastRenderedPageBreak/>
        <w:t xml:space="preserve">concreto, así como valorar la incidencia que puedan tener las situaciones técnicas presentadas en la plataforma SECOP II durante el desarrollo del proceso de contratación. </w:t>
      </w:r>
      <w:r w:rsidRPr="00737496">
        <w:rPr>
          <w:rFonts w:ascii="Verdana" w:hAnsi="Verdana" w:cs="Arial"/>
          <w:bCs/>
          <w:color w:val="000000" w:themeColor="text1"/>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C3A3FB4" w14:textId="77777777" w:rsidR="008E7783" w:rsidRPr="00737496" w:rsidRDefault="008E7783" w:rsidP="008E7783">
      <w:pPr>
        <w:widowControl w:val="0"/>
        <w:autoSpaceDE w:val="0"/>
        <w:autoSpaceDN w:val="0"/>
        <w:spacing w:after="0" w:line="276" w:lineRule="auto"/>
        <w:ind w:right="176" w:firstLine="708"/>
        <w:jc w:val="both"/>
        <w:rPr>
          <w:rFonts w:ascii="Verdana" w:hAnsi="Verdana"/>
        </w:rPr>
      </w:pPr>
      <w:r w:rsidRPr="00737496">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1AAB94D" w14:textId="77777777" w:rsidR="008E7783" w:rsidRPr="00737496" w:rsidRDefault="008E7783" w:rsidP="008E7783">
      <w:pPr>
        <w:widowControl w:val="0"/>
        <w:autoSpaceDE w:val="0"/>
        <w:autoSpaceDN w:val="0"/>
        <w:spacing w:after="0" w:line="276" w:lineRule="auto"/>
        <w:ind w:firstLine="709"/>
        <w:jc w:val="both"/>
        <w:rPr>
          <w:rFonts w:ascii="Verdana" w:hAnsi="Verdana"/>
        </w:rPr>
      </w:pPr>
    </w:p>
    <w:p w14:paraId="4D93A1CD" w14:textId="77777777" w:rsidR="008E7783" w:rsidRPr="00737496" w:rsidRDefault="008E7783" w:rsidP="008E7783">
      <w:pPr>
        <w:numPr>
          <w:ilvl w:val="0"/>
          <w:numId w:val="16"/>
        </w:numPr>
        <w:tabs>
          <w:tab w:val="left" w:pos="142"/>
          <w:tab w:val="left" w:pos="284"/>
        </w:tabs>
        <w:spacing w:after="0" w:line="276" w:lineRule="auto"/>
        <w:ind w:hanging="6601"/>
        <w:jc w:val="both"/>
        <w:rPr>
          <w:rFonts w:ascii="Verdana" w:eastAsia="Century Gothic" w:hAnsi="Verdana" w:cs="Century Gothic"/>
          <w:b/>
          <w:bCs/>
          <w:lang w:val="es-ES"/>
        </w:rPr>
      </w:pPr>
      <w:r w:rsidRPr="00737496">
        <w:rPr>
          <w:rFonts w:ascii="Verdana" w:eastAsia="Century Gothic" w:hAnsi="Verdana" w:cs="Century Gothic"/>
          <w:b/>
          <w:bCs/>
          <w:lang w:val="es-ES"/>
        </w:rPr>
        <w:t>Referencias normativas, jurisprudenciales y otras fuentes:</w:t>
      </w:r>
    </w:p>
    <w:p w14:paraId="33B325B7" w14:textId="77777777" w:rsidR="008E7783" w:rsidRPr="00737496" w:rsidRDefault="008E7783" w:rsidP="008E778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E7783" w:rsidRPr="00737496" w14:paraId="047BF733" w14:textId="77777777" w:rsidTr="008132BC">
        <w:trPr>
          <w:trHeight w:val="870"/>
        </w:trPr>
        <w:tc>
          <w:tcPr>
            <w:tcW w:w="8647" w:type="dxa"/>
          </w:tcPr>
          <w:p w14:paraId="7ABABB10" w14:textId="77777777" w:rsidR="008E7783" w:rsidRPr="00737496" w:rsidRDefault="008E7783" w:rsidP="008132BC">
            <w:pPr>
              <w:numPr>
                <w:ilvl w:val="0"/>
                <w:numId w:val="17"/>
              </w:numPr>
              <w:spacing w:line="256" w:lineRule="auto"/>
              <w:ind w:left="360"/>
              <w:jc w:val="both"/>
              <w:rPr>
                <w:rFonts w:ascii="Verdana" w:hAnsi="Verdana" w:cs="Arial"/>
                <w:color w:val="000000"/>
                <w:lang w:eastAsia="es-ES"/>
              </w:rPr>
            </w:pPr>
            <w:r w:rsidRPr="00737496">
              <w:rPr>
                <w:rFonts w:ascii="Verdana" w:hAnsi="Verdana" w:cs="Arial"/>
                <w:color w:val="000000" w:themeColor="text1"/>
                <w:lang w:val="es-ES"/>
              </w:rPr>
              <w:t>Ley 80 de 1993</w:t>
            </w:r>
          </w:p>
          <w:p w14:paraId="68A74FFE" w14:textId="77777777" w:rsidR="008E7783" w:rsidRPr="00737496" w:rsidRDefault="008E7783" w:rsidP="008132BC">
            <w:pPr>
              <w:numPr>
                <w:ilvl w:val="0"/>
                <w:numId w:val="17"/>
              </w:numPr>
              <w:spacing w:line="276" w:lineRule="auto"/>
              <w:ind w:left="357" w:hanging="357"/>
              <w:jc w:val="both"/>
              <w:rPr>
                <w:rFonts w:ascii="Verdana" w:hAnsi="Verdana" w:cs="Arial"/>
                <w:color w:val="000000"/>
                <w:lang w:eastAsia="es-ES"/>
              </w:rPr>
            </w:pPr>
            <w:r w:rsidRPr="00737496">
              <w:rPr>
                <w:rFonts w:ascii="Verdana" w:hAnsi="Verdana" w:cs="Arial"/>
                <w:color w:val="000000" w:themeColor="text1"/>
                <w:lang w:eastAsia="es-ES"/>
              </w:rPr>
              <w:t xml:space="preserve">Ley 1150 de 2007, </w:t>
            </w:r>
            <w:r w:rsidRPr="00737496">
              <w:rPr>
                <w:rFonts w:ascii="Verdana" w:hAnsi="Verdana" w:cs="Arial"/>
                <w:color w:val="000000" w:themeColor="text1"/>
              </w:rPr>
              <w:t>artículo 5</w:t>
            </w:r>
          </w:p>
          <w:p w14:paraId="75B4B4C9" w14:textId="77777777" w:rsidR="008E7783" w:rsidRPr="00737496" w:rsidRDefault="008E7783" w:rsidP="008132BC">
            <w:pPr>
              <w:numPr>
                <w:ilvl w:val="0"/>
                <w:numId w:val="17"/>
              </w:numPr>
              <w:spacing w:line="256" w:lineRule="auto"/>
              <w:ind w:left="360"/>
              <w:jc w:val="both"/>
              <w:rPr>
                <w:rFonts w:ascii="Verdana" w:hAnsi="Verdana" w:cs="Arial"/>
                <w:color w:val="000000"/>
                <w:lang w:eastAsia="es-ES"/>
              </w:rPr>
            </w:pPr>
            <w:r w:rsidRPr="00737496">
              <w:rPr>
                <w:rFonts w:ascii="Verdana" w:hAnsi="Verdana" w:cs="Arial"/>
                <w:color w:val="000000" w:themeColor="text1"/>
              </w:rPr>
              <w:t>Ley 1882 de 2018, artículo 5</w:t>
            </w:r>
          </w:p>
          <w:p w14:paraId="30888A57" w14:textId="77777777" w:rsidR="008E7783" w:rsidRPr="00737496" w:rsidRDefault="008E7783" w:rsidP="008132BC">
            <w:pPr>
              <w:numPr>
                <w:ilvl w:val="0"/>
                <w:numId w:val="17"/>
              </w:numPr>
              <w:spacing w:line="256" w:lineRule="auto"/>
              <w:ind w:left="360"/>
              <w:jc w:val="both"/>
              <w:rPr>
                <w:rFonts w:ascii="Verdana" w:hAnsi="Verdana" w:cs="Arial"/>
                <w:color w:val="000000"/>
                <w:lang w:eastAsia="es-ES"/>
              </w:rPr>
            </w:pPr>
            <w:r w:rsidRPr="00737496">
              <w:rPr>
                <w:rFonts w:ascii="Verdana" w:hAnsi="Verdana" w:cs="Arial"/>
                <w:color w:val="000000" w:themeColor="text1"/>
              </w:rPr>
              <w:t>Código de Comercio, artículo 1046</w:t>
            </w:r>
          </w:p>
          <w:p w14:paraId="0130073F" w14:textId="77777777" w:rsidR="008E7783" w:rsidRPr="00737496" w:rsidRDefault="008E7783" w:rsidP="008132BC">
            <w:pPr>
              <w:numPr>
                <w:ilvl w:val="0"/>
                <w:numId w:val="17"/>
              </w:numPr>
              <w:spacing w:line="256" w:lineRule="auto"/>
              <w:ind w:left="360"/>
              <w:jc w:val="both"/>
              <w:rPr>
                <w:rFonts w:ascii="Verdana" w:hAnsi="Verdana" w:cs="Arial"/>
                <w:color w:val="000000"/>
                <w:lang w:eastAsia="es-ES"/>
              </w:rPr>
            </w:pPr>
            <w:r w:rsidRPr="00737496">
              <w:rPr>
                <w:rFonts w:ascii="Verdana" w:hAnsi="Verdana" w:cs="Arial"/>
                <w:color w:val="000000"/>
                <w:lang w:eastAsia="es-ES"/>
              </w:rPr>
              <w:t>Consejo de Estado, Sección Tercera, Subsección C. Sentencia del 26 de febrero de 2011. C.P. Jaime Orlando Santofimio. Rad. 36.408.</w:t>
            </w:r>
          </w:p>
          <w:p w14:paraId="2A92B4FC" w14:textId="77777777" w:rsidR="008E7783" w:rsidRPr="00737496" w:rsidRDefault="008E7783" w:rsidP="008132BC">
            <w:pPr>
              <w:numPr>
                <w:ilvl w:val="0"/>
                <w:numId w:val="17"/>
              </w:numPr>
              <w:spacing w:line="256" w:lineRule="auto"/>
              <w:ind w:left="360"/>
              <w:jc w:val="both"/>
              <w:rPr>
                <w:rFonts w:ascii="Verdana" w:hAnsi="Verdana" w:cs="Arial"/>
                <w:color w:val="000000"/>
                <w:lang w:eastAsia="es-ES"/>
              </w:rPr>
            </w:pPr>
            <w:r w:rsidRPr="00737496">
              <w:rPr>
                <w:rFonts w:ascii="Verdana" w:hAnsi="Verdana" w:cs="Arial"/>
                <w:color w:val="000000"/>
                <w:lang w:eastAsia="es-ES"/>
              </w:rPr>
              <w:t>Consejo de Estado, Sección Tercera, Subsección C. Sentencia del 26 de febrero de 2014. C.P. Enrique Gil Botero. Rad. 25.804.</w:t>
            </w:r>
          </w:p>
          <w:p w14:paraId="5935EAC2" w14:textId="77777777" w:rsidR="008E7783" w:rsidRPr="00737496" w:rsidRDefault="008E7783" w:rsidP="008132BC">
            <w:pPr>
              <w:numPr>
                <w:ilvl w:val="0"/>
                <w:numId w:val="17"/>
              </w:numPr>
              <w:spacing w:line="256" w:lineRule="auto"/>
              <w:ind w:left="360"/>
              <w:jc w:val="both"/>
              <w:rPr>
                <w:rFonts w:ascii="Verdana" w:hAnsi="Verdana" w:cs="Arial"/>
                <w:color w:val="000000"/>
                <w:lang w:eastAsia="es-ES"/>
              </w:rPr>
            </w:pPr>
            <w:r w:rsidRPr="00737496">
              <w:rPr>
                <w:rFonts w:ascii="Verdana" w:hAnsi="Verdana" w:cs="Arial"/>
                <w:color w:val="000000"/>
                <w:lang w:eastAsia="es-ES"/>
              </w:rPr>
              <w:t>Consejo de Estado. Sala de Consulta y Servicio Civil. Concepto del 20 de mayo de 2010. Expediente: 1992. Consejero Ponente: Enrique José Arboleda Perdomo.</w:t>
            </w:r>
          </w:p>
        </w:tc>
      </w:tr>
    </w:tbl>
    <w:p w14:paraId="22C70BBD" w14:textId="77777777" w:rsidR="008E7783" w:rsidRPr="00737496" w:rsidRDefault="008E7783" w:rsidP="008E7783">
      <w:pPr>
        <w:widowControl w:val="0"/>
        <w:autoSpaceDE w:val="0"/>
        <w:autoSpaceDN w:val="0"/>
        <w:spacing w:after="0" w:line="276" w:lineRule="auto"/>
        <w:jc w:val="both"/>
        <w:rPr>
          <w:rFonts w:ascii="Verdana" w:hAnsi="Verdana" w:cs="Arial"/>
        </w:rPr>
      </w:pPr>
    </w:p>
    <w:p w14:paraId="491A0B94" w14:textId="77777777" w:rsidR="008E7783" w:rsidRPr="00737496" w:rsidRDefault="008E7783" w:rsidP="008E7783">
      <w:pPr>
        <w:numPr>
          <w:ilvl w:val="0"/>
          <w:numId w:val="16"/>
        </w:numPr>
        <w:tabs>
          <w:tab w:val="left" w:pos="142"/>
          <w:tab w:val="left" w:pos="284"/>
        </w:tabs>
        <w:spacing w:after="0" w:line="276" w:lineRule="auto"/>
        <w:ind w:hanging="6601"/>
        <w:jc w:val="both"/>
        <w:rPr>
          <w:rFonts w:ascii="Verdana" w:eastAsia="Century Gothic" w:hAnsi="Verdana" w:cs="Century Gothic"/>
          <w:b/>
          <w:bCs/>
          <w:lang w:val="es-ES"/>
        </w:rPr>
      </w:pPr>
      <w:r w:rsidRPr="00737496">
        <w:rPr>
          <w:rFonts w:ascii="Verdana" w:eastAsia="Century Gothic" w:hAnsi="Verdana" w:cs="Century Gothic"/>
          <w:b/>
          <w:bCs/>
          <w:lang w:val="es-ES"/>
        </w:rPr>
        <w:t>Doctrina de la Agencia Nacional de Contratación Pública:</w:t>
      </w:r>
    </w:p>
    <w:p w14:paraId="073B1645" w14:textId="77777777" w:rsidR="008E7783" w:rsidRPr="00737496" w:rsidRDefault="008E7783" w:rsidP="008E7783">
      <w:pPr>
        <w:widowControl w:val="0"/>
        <w:autoSpaceDE w:val="0"/>
        <w:autoSpaceDN w:val="0"/>
        <w:spacing w:after="0" w:line="276" w:lineRule="auto"/>
        <w:jc w:val="both"/>
        <w:rPr>
          <w:rFonts w:ascii="Verdana" w:hAnsi="Verdana" w:cs="Arial"/>
        </w:rPr>
      </w:pPr>
    </w:p>
    <w:p w14:paraId="00D1FEF5" w14:textId="77777777" w:rsidR="008E7783" w:rsidRPr="00737496" w:rsidRDefault="008E7783" w:rsidP="008E7783">
      <w:pPr>
        <w:widowControl w:val="0"/>
        <w:autoSpaceDE w:val="0"/>
        <w:autoSpaceDN w:val="0"/>
        <w:spacing w:after="0" w:line="276" w:lineRule="auto"/>
        <w:jc w:val="both"/>
        <w:rPr>
          <w:rFonts w:ascii="Verdana" w:hAnsi="Verdana"/>
        </w:rPr>
      </w:pPr>
      <w:r w:rsidRPr="00737496">
        <w:rPr>
          <w:rFonts w:ascii="Verdana" w:eastAsia="Calibri" w:hAnsi="Verdana" w:cs="Arial"/>
          <w:shd w:val="clear" w:color="auto" w:fill="FFFFFF"/>
          <w:lang w:val="es-ES"/>
        </w:rPr>
        <w:t xml:space="preserve">Sobre la regla de subsanabilidad en los procesos de selección y la aclaración de la oferta económica, se pronunció esta Subdirección en los conceptos 4201913000007643 del 26 de diciembre de 2019, C-343 del 17 de junio de 2020, C-518 del 9 de septiembre de 2020, C-285 del 20 de mayo de 2022, C-614 del 5 de octubre de 2022, C-882 del 21 de diciembre de 2022, C-172 del 6 </w:t>
      </w:r>
      <w:r w:rsidRPr="00737496">
        <w:rPr>
          <w:rFonts w:ascii="Verdana" w:eastAsia="Calibri" w:hAnsi="Verdana" w:cs="Arial"/>
          <w:shd w:val="clear" w:color="auto" w:fill="FFFFFF"/>
          <w:lang w:val="es-ES"/>
        </w:rPr>
        <w:lastRenderedPageBreak/>
        <w:t>de junio de 2023, C-354 del 30 de agosto de 2024, C-447 del 19 de septiembre de 2024, C-1009 del 30 de enero de 2025 y C – 687 del 9 de julio de 2025. Es</w:t>
      </w:r>
      <w:r w:rsidRPr="00737496">
        <w:rPr>
          <w:rFonts w:ascii="Verdana" w:eastAsia="Calibri" w:hAnsi="Verdana" w:cs="Times New Roman"/>
        </w:rPr>
        <w:t>tos y otros conceptos se encuentran disponibles para consulta en el Sistema de relatoría de la Agencia, al cual se puede acceder a través del siguiente enlace:</w:t>
      </w:r>
      <w:r w:rsidRPr="00737496">
        <w:rPr>
          <w:rFonts w:ascii="Verdana" w:eastAsia="Calibri" w:hAnsi="Verdana" w:cs="Arial"/>
          <w:shd w:val="clear" w:color="auto" w:fill="FFFFFF"/>
          <w:lang w:val="es-ES"/>
        </w:rPr>
        <w:t xml:space="preserve"> </w:t>
      </w:r>
      <w:hyperlink r:id="rId13" w:history="1">
        <w:r w:rsidRPr="00737496">
          <w:rPr>
            <w:rFonts w:ascii="Verdana" w:eastAsia="Calibri" w:hAnsi="Verdana" w:cs="Arial"/>
            <w:u w:val="single"/>
            <w:shd w:val="clear" w:color="auto" w:fill="FFFFFF"/>
            <w:lang w:val="es-ES"/>
          </w:rPr>
          <w:t>https://relatoria.colombiacompra.gov.co/busqueda/conceptos</w:t>
        </w:r>
      </w:hyperlink>
      <w:r w:rsidRPr="00737496">
        <w:rPr>
          <w:rFonts w:ascii="Verdana" w:hAnsi="Verdana"/>
        </w:rPr>
        <w:t xml:space="preserve">  </w:t>
      </w:r>
    </w:p>
    <w:p w14:paraId="132E9EBA" w14:textId="77777777" w:rsidR="008E7783" w:rsidRPr="00737496" w:rsidRDefault="008E7783" w:rsidP="008E7783">
      <w:pPr>
        <w:spacing w:after="0" w:line="240" w:lineRule="auto"/>
        <w:jc w:val="both"/>
        <w:rPr>
          <w:rFonts w:ascii="Verdana" w:eastAsia="Calibri" w:hAnsi="Verdana" w:cs="Times New Roman"/>
        </w:rPr>
      </w:pPr>
    </w:p>
    <w:p w14:paraId="7E8BEF01" w14:textId="77777777" w:rsidR="008E7783" w:rsidRPr="00737496" w:rsidRDefault="008E7783" w:rsidP="008E7783">
      <w:pPr>
        <w:spacing w:after="0"/>
        <w:jc w:val="both"/>
        <w:rPr>
          <w:rFonts w:ascii="Verdana" w:hAnsi="Verdana"/>
        </w:rPr>
      </w:pPr>
      <w:r w:rsidRPr="00737496">
        <w:rPr>
          <w:rFonts w:ascii="Verdana" w:hAnsi="Verdana"/>
        </w:rPr>
        <w:t xml:space="preserve">La sostenibilidad no es una opción, es una obligación. Por ello, la Agencia Nacional de Contratación Pública –Colombia Compra Eficiente– te invita a realizar el </w:t>
      </w:r>
      <w:r w:rsidRPr="00737496">
        <w:rPr>
          <w:rFonts w:ascii="Verdana" w:hAnsi="Verdana"/>
          <w:b/>
          <w:bCs/>
        </w:rPr>
        <w:t>Curso de Contratación Pública Sostenible y Socialmente Responsable</w:t>
      </w:r>
      <w:r w:rsidRPr="00737496">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37496">
        <w:rPr>
          <w:rFonts w:ascii="Verdana" w:hAnsi="Verdana"/>
        </w:rPr>
        <w:br/>
      </w:r>
      <w:hyperlink r:id="rId14" w:tgtFrame="_new" w:history="1">
        <w:r w:rsidRPr="00737496">
          <w:rPr>
            <w:rFonts w:ascii="Verdana" w:hAnsi="Verdana"/>
            <w:color w:val="0000FF"/>
            <w:u w:val="single"/>
          </w:rPr>
          <w:t>https://formacionvirtual.colombiacompra.gov.co/mod/page/view.php?id=3718</w:t>
        </w:r>
      </w:hyperlink>
    </w:p>
    <w:p w14:paraId="595CEFDC" w14:textId="77777777" w:rsidR="008E7783" w:rsidRDefault="008E7783" w:rsidP="008E7783">
      <w:pPr>
        <w:spacing w:after="0"/>
        <w:jc w:val="both"/>
        <w:rPr>
          <w:rFonts w:ascii="Verdana" w:hAnsi="Verdana"/>
        </w:rPr>
      </w:pPr>
    </w:p>
    <w:p w14:paraId="5D6AC222" w14:textId="77777777" w:rsidR="008E7783" w:rsidRPr="00737496" w:rsidRDefault="008E7783" w:rsidP="008E7783">
      <w:pPr>
        <w:spacing w:after="0"/>
        <w:jc w:val="both"/>
        <w:rPr>
          <w:rFonts w:ascii="Verdana" w:hAnsi="Verdana"/>
        </w:rPr>
      </w:pPr>
      <w:r w:rsidRPr="00737496">
        <w:rPr>
          <w:rFonts w:ascii="Verdana" w:hAnsi="Verdana"/>
        </w:rPr>
        <w:t xml:space="preserve">De otro lado, te contamos que esta Agencia ha da un paso decisivo en la estandarización y modernización del </w:t>
      </w:r>
      <w:r w:rsidRPr="00737496">
        <w:rPr>
          <w:rFonts w:ascii="Verdana" w:hAnsi="Verdana"/>
          <w:b/>
          <w:bCs/>
        </w:rPr>
        <w:t>sector  social</w:t>
      </w:r>
      <w:r w:rsidRPr="00737496">
        <w:rPr>
          <w:rFonts w:ascii="Verdana" w:hAnsi="Verdana"/>
        </w:rPr>
        <w:t xml:space="preserve"> con la expedición de las </w:t>
      </w:r>
      <w:r w:rsidRPr="00737496">
        <w:rPr>
          <w:rFonts w:ascii="Verdana" w:hAnsi="Verdana"/>
          <w:b/>
          <w:bCs/>
        </w:rPr>
        <w:t>Resoluciones 539, 540, 541, 952 y 953 de 2025</w:t>
      </w:r>
      <w:r w:rsidRPr="00737496">
        <w:rPr>
          <w:rFonts w:ascii="Verdana" w:hAnsi="Verdana"/>
        </w:rPr>
        <w:t xml:space="preserve">, </w:t>
      </w:r>
      <w:r w:rsidRPr="00737496">
        <w:rPr>
          <w:rFonts w:ascii="Verdana" w:hAnsi="Verdana"/>
          <w:b/>
          <w:bCs/>
        </w:rPr>
        <w:t>mediante las cuales adoptó Documentos Tipo</w:t>
      </w:r>
      <w:r w:rsidRPr="00737496">
        <w:rPr>
          <w:rFonts w:ascii="Verdana" w:hAnsi="Verdana"/>
        </w:rPr>
        <w:t xml:space="preserve"> para las modalidades de selección de</w:t>
      </w:r>
      <w:r w:rsidRPr="00737496">
        <w:rPr>
          <w:rFonts w:ascii="Verdana" w:hAnsi="Verdana"/>
          <w:b/>
          <w:bCs/>
        </w:rPr>
        <w:t xml:space="preserve"> licitación pública (versión 2), selección abreviada de menor cuantía, mínima cuantía, consultoría e interventoría</w:t>
      </w:r>
      <w:r w:rsidRPr="00737496">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737496">
          <w:rPr>
            <w:rFonts w:ascii="Verdana" w:hAnsi="Verdana"/>
            <w:color w:val="0000FF"/>
            <w:u w:val="single"/>
          </w:rPr>
          <w:t>https://www.colombiacompra.gov.co/normativa-y-relatoria/documentos-tipo</w:t>
        </w:r>
      </w:hyperlink>
    </w:p>
    <w:p w14:paraId="63A66BD0" w14:textId="77777777" w:rsidR="008E7783" w:rsidRDefault="008E7783" w:rsidP="008E7783">
      <w:pPr>
        <w:widowControl w:val="0"/>
        <w:autoSpaceDE w:val="0"/>
        <w:autoSpaceDN w:val="0"/>
        <w:spacing w:after="0" w:line="276" w:lineRule="auto"/>
        <w:jc w:val="both"/>
        <w:rPr>
          <w:rFonts w:ascii="Verdana" w:hAnsi="Verdana"/>
        </w:rPr>
      </w:pPr>
    </w:p>
    <w:p w14:paraId="02830620" w14:textId="77777777" w:rsidR="008E7783" w:rsidRPr="00737496" w:rsidRDefault="008E7783" w:rsidP="008E7783">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737496">
        <w:rPr>
          <w:rFonts w:ascii="Verdana" w:hAnsi="Verdana"/>
        </w:rPr>
        <w:t xml:space="preserve">Si quieres conocer más sobre la aplicación de Documentos Tipo puedes consultar la última versión de la </w:t>
      </w:r>
      <w:r w:rsidRPr="00737496">
        <w:rPr>
          <w:rFonts w:ascii="Verdana" w:hAnsi="Verdana"/>
          <w:b/>
          <w:bCs/>
        </w:rPr>
        <w:t>Guía para la comprensión e implementación de los Documentos Tipo de obra pública de infraestructura de transporte</w:t>
      </w:r>
      <w:r w:rsidRPr="00737496">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37496">
        <w:rPr>
          <w:rFonts w:ascii="Verdana" w:hAnsi="Verdana"/>
        </w:rPr>
        <w:br/>
      </w:r>
      <w:hyperlink r:id="rId16" w:tgtFrame="_new" w:history="1">
        <w:r w:rsidRPr="00737496">
          <w:rPr>
            <w:rFonts w:ascii="Verdana" w:hAnsi="Verdana"/>
            <w:color w:val="0000FF"/>
            <w:u w:val="single"/>
          </w:rPr>
          <w:t>https://www.colombiacompra.gov.co/archivos/manual/guia-para-la-comprension-e-implementacion-de-los-documentos-tipo-de-obra-publica-de-infraestructura-de-transporte-bajo-las-diferentes-modalidades-de-</w:t>
        </w:r>
        <w:r w:rsidRPr="00737496">
          <w:rPr>
            <w:rFonts w:ascii="Verdana" w:hAnsi="Verdana"/>
            <w:color w:val="0000FF"/>
            <w:u w:val="single"/>
          </w:rPr>
          <w:lastRenderedPageBreak/>
          <w:t>contratacion-vigentes</w:t>
        </w:r>
      </w:hyperlink>
    </w:p>
    <w:p w14:paraId="778E9AE4" w14:textId="77777777" w:rsidR="008E7783" w:rsidRPr="00737496" w:rsidRDefault="008E7783" w:rsidP="008E7783">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p>
    <w:p w14:paraId="34D90F8C" w14:textId="77777777" w:rsidR="008E7783" w:rsidRPr="00737496" w:rsidRDefault="008E7783" w:rsidP="008E7783">
      <w:pPr>
        <w:widowControl w:val="0"/>
        <w:autoSpaceDE w:val="0"/>
        <w:autoSpaceDN w:val="0"/>
        <w:spacing w:after="0" w:line="276" w:lineRule="auto"/>
        <w:jc w:val="both"/>
        <w:rPr>
          <w:rFonts w:ascii="Verdana" w:hAnsi="Verdana" w:cs="Arial"/>
        </w:rPr>
      </w:pPr>
      <w:r w:rsidRPr="00737496">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6363BDD" w14:textId="77777777" w:rsidR="008E7783" w:rsidRPr="00737496" w:rsidRDefault="008E7783" w:rsidP="008E7783">
      <w:pPr>
        <w:widowControl w:val="0"/>
        <w:autoSpaceDE w:val="0"/>
        <w:autoSpaceDN w:val="0"/>
        <w:spacing w:after="0" w:line="276" w:lineRule="auto"/>
        <w:jc w:val="both"/>
        <w:rPr>
          <w:rFonts w:ascii="Verdana" w:hAnsi="Verdana" w:cs="Arial"/>
        </w:rPr>
      </w:pPr>
    </w:p>
    <w:p w14:paraId="69A34421" w14:textId="77777777" w:rsidR="008E7783" w:rsidRPr="00737496" w:rsidRDefault="008E7783" w:rsidP="008E7783">
      <w:pPr>
        <w:spacing w:after="0" w:line="276" w:lineRule="auto"/>
        <w:rPr>
          <w:rFonts w:ascii="Verdana" w:hAnsi="Verdana" w:cs="Arial"/>
          <w:lang w:eastAsia="es-CO"/>
        </w:rPr>
      </w:pPr>
      <w:r w:rsidRPr="00737496">
        <w:rPr>
          <w:rFonts w:ascii="Verdana" w:eastAsia="Times New Roman" w:hAnsi="Verdana" w:cs="Arial"/>
          <w:lang w:eastAsia="es-CO"/>
        </w:rPr>
        <w:t>Atentamente,</w:t>
      </w:r>
      <w:r w:rsidRPr="00737496">
        <w:rPr>
          <w:rFonts w:ascii="Verdana" w:hAnsi="Verdana" w:cs="Arial"/>
          <w:lang w:eastAsia="es-CO"/>
        </w:rPr>
        <w:t xml:space="preserve"> </w:t>
      </w:r>
    </w:p>
    <w:p w14:paraId="3779A4B1" w14:textId="49D2389B" w:rsidR="008E7783" w:rsidRPr="00737496" w:rsidRDefault="002513BC" w:rsidP="008E7783">
      <w:pPr>
        <w:spacing w:line="276" w:lineRule="auto"/>
        <w:jc w:val="center"/>
      </w:pPr>
      <w:r>
        <w:rPr>
          <w:noProof/>
        </w:rPr>
        <w:drawing>
          <wp:inline distT="0" distB="0" distL="0" distR="0" wp14:anchorId="20D26E66" wp14:editId="43E1FB99">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E7783" w:rsidRPr="00737496" w14:paraId="4E91E052" w14:textId="77777777" w:rsidTr="008132BC">
        <w:trPr>
          <w:trHeight w:val="315"/>
        </w:trPr>
        <w:tc>
          <w:tcPr>
            <w:tcW w:w="893" w:type="dxa"/>
            <w:vAlign w:val="center"/>
            <w:hideMark/>
          </w:tcPr>
          <w:p w14:paraId="50AFFA0F" w14:textId="77777777" w:rsidR="008E7783" w:rsidRPr="00737496" w:rsidRDefault="008E7783" w:rsidP="008132BC">
            <w:pPr>
              <w:contextualSpacing/>
              <w:rPr>
                <w:rFonts w:ascii="Verdana" w:hAnsi="Verdana" w:cs="Arial"/>
                <w:sz w:val="16"/>
                <w:szCs w:val="16"/>
                <w:lang w:eastAsia="es-ES"/>
              </w:rPr>
            </w:pPr>
            <w:r w:rsidRPr="00737496">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A18F089" w14:textId="77777777" w:rsidR="008E7783" w:rsidRPr="00737496" w:rsidRDefault="008E7783" w:rsidP="008132BC">
            <w:pPr>
              <w:contextualSpacing/>
              <w:rPr>
                <w:rFonts w:ascii="Verdana" w:hAnsi="Verdana"/>
                <w:sz w:val="16"/>
                <w:szCs w:val="16"/>
              </w:rPr>
            </w:pPr>
            <w:r w:rsidRPr="00737496">
              <w:rPr>
                <w:rFonts w:ascii="Verdana" w:hAnsi="Verdana"/>
                <w:sz w:val="16"/>
                <w:szCs w:val="16"/>
              </w:rPr>
              <w:t>Tatiana Baquero Iguarán</w:t>
            </w:r>
          </w:p>
          <w:p w14:paraId="79D07E80" w14:textId="77777777" w:rsidR="008E7783" w:rsidRPr="00737496" w:rsidRDefault="008E7783" w:rsidP="008132BC">
            <w:pPr>
              <w:contextualSpacing/>
              <w:rPr>
                <w:rFonts w:ascii="Verdana" w:eastAsia="Arial" w:hAnsi="Verdana" w:cs="Arial"/>
                <w:sz w:val="16"/>
                <w:szCs w:val="16"/>
              </w:rPr>
            </w:pPr>
            <w:r w:rsidRPr="00737496">
              <w:rPr>
                <w:rFonts w:ascii="Verdana" w:hAnsi="Verdana"/>
                <w:sz w:val="16"/>
                <w:szCs w:val="16"/>
              </w:rPr>
              <w:t>Contratista de la Subdirección de Gestión Contractual</w:t>
            </w:r>
          </w:p>
        </w:tc>
      </w:tr>
      <w:tr w:rsidR="008E7783" w:rsidRPr="00737496" w14:paraId="47D8FD7D" w14:textId="77777777" w:rsidTr="008132BC">
        <w:trPr>
          <w:trHeight w:val="330"/>
        </w:trPr>
        <w:tc>
          <w:tcPr>
            <w:tcW w:w="893" w:type="dxa"/>
            <w:vAlign w:val="center"/>
            <w:hideMark/>
          </w:tcPr>
          <w:p w14:paraId="4D579250" w14:textId="77777777" w:rsidR="008E7783" w:rsidRPr="00737496" w:rsidRDefault="008E7783" w:rsidP="008132BC">
            <w:pPr>
              <w:contextualSpacing/>
              <w:rPr>
                <w:rFonts w:ascii="Verdana" w:hAnsi="Verdana" w:cs="Arial"/>
                <w:sz w:val="16"/>
                <w:szCs w:val="16"/>
                <w:lang w:eastAsia="es-ES"/>
              </w:rPr>
            </w:pPr>
            <w:r w:rsidRPr="00737496">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394EFD0" w14:textId="77777777" w:rsidR="008E7783" w:rsidRPr="00737496" w:rsidRDefault="008E7783" w:rsidP="008132BC">
            <w:pPr>
              <w:spacing w:before="100" w:beforeAutospacing="1" w:afterAutospacing="1"/>
              <w:contextualSpacing/>
              <w:textAlignment w:val="baseline"/>
              <w:rPr>
                <w:rFonts w:ascii="Verdana" w:eastAsia="Times New Roman" w:hAnsi="Verdana" w:cs="Arial"/>
                <w:sz w:val="16"/>
                <w:szCs w:val="16"/>
                <w:lang w:val="es-ES" w:eastAsia="es-ES_tradnl"/>
              </w:rPr>
            </w:pPr>
            <w:r w:rsidRPr="00737496">
              <w:rPr>
                <w:rFonts w:ascii="Verdana" w:eastAsia="Times New Roman" w:hAnsi="Verdana" w:cs="Arial"/>
                <w:sz w:val="16"/>
                <w:szCs w:val="16"/>
                <w:lang w:val="es-ES" w:eastAsia="es-ES_tradnl"/>
              </w:rPr>
              <w:t>Diana Lucía Saavedra Castañeda</w:t>
            </w:r>
          </w:p>
          <w:p w14:paraId="73C0D5DA" w14:textId="77777777" w:rsidR="008E7783" w:rsidRPr="00737496" w:rsidRDefault="008E7783" w:rsidP="008132BC">
            <w:pPr>
              <w:spacing w:before="100" w:beforeAutospacing="1" w:afterAutospacing="1"/>
              <w:contextualSpacing/>
              <w:textAlignment w:val="baseline"/>
              <w:rPr>
                <w:rFonts w:ascii="Verdana" w:eastAsia="Times New Roman" w:hAnsi="Verdana" w:cs="Arial"/>
                <w:sz w:val="16"/>
                <w:szCs w:val="16"/>
                <w:lang w:eastAsia="es-ES_tradnl"/>
              </w:rPr>
            </w:pPr>
            <w:r w:rsidRPr="00737496">
              <w:rPr>
                <w:rFonts w:ascii="Verdana" w:eastAsia="Times New Roman" w:hAnsi="Verdana" w:cs="Arial"/>
                <w:sz w:val="16"/>
                <w:szCs w:val="16"/>
                <w:lang w:val="es-ES" w:eastAsia="es-ES_tradnl"/>
              </w:rPr>
              <w:t>Contratista de la Subdirección de Gestión Contractual</w:t>
            </w:r>
            <w:r w:rsidRPr="00737496">
              <w:rPr>
                <w:rFonts w:ascii="Verdana" w:eastAsia="Times New Roman" w:hAnsi="Verdana" w:cs="Arial"/>
                <w:sz w:val="16"/>
                <w:szCs w:val="16"/>
                <w:lang w:eastAsia="es-ES_tradnl"/>
              </w:rPr>
              <w:t xml:space="preserve"> </w:t>
            </w:r>
          </w:p>
        </w:tc>
      </w:tr>
      <w:tr w:rsidR="008E7783" w:rsidRPr="00737496" w14:paraId="453D0D8B" w14:textId="77777777" w:rsidTr="008132BC">
        <w:trPr>
          <w:trHeight w:val="300"/>
        </w:trPr>
        <w:tc>
          <w:tcPr>
            <w:tcW w:w="893" w:type="dxa"/>
            <w:vAlign w:val="center"/>
          </w:tcPr>
          <w:p w14:paraId="6A817076" w14:textId="77777777" w:rsidR="008E7783" w:rsidRPr="00737496" w:rsidRDefault="008E7783" w:rsidP="008132BC">
            <w:pPr>
              <w:contextualSpacing/>
              <w:rPr>
                <w:rFonts w:ascii="Verdana" w:hAnsi="Verdana" w:cs="Arial"/>
                <w:sz w:val="16"/>
                <w:szCs w:val="16"/>
                <w:lang w:eastAsia="es-ES"/>
              </w:rPr>
            </w:pPr>
            <w:r w:rsidRPr="00737496">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2C446B9" w14:textId="77777777" w:rsidR="008E7783" w:rsidRPr="00737496" w:rsidRDefault="008E7783" w:rsidP="008132BC">
            <w:pPr>
              <w:contextualSpacing/>
              <w:rPr>
                <w:rFonts w:ascii="Verdana" w:eastAsia="Calibri" w:hAnsi="Verdana" w:cs="Arial"/>
                <w:sz w:val="16"/>
                <w:szCs w:val="16"/>
                <w:lang w:eastAsia="es-ES"/>
              </w:rPr>
            </w:pPr>
            <w:r w:rsidRPr="00737496">
              <w:rPr>
                <w:rFonts w:ascii="Verdana" w:eastAsia="Calibri" w:hAnsi="Verdana" w:cs="Arial"/>
                <w:sz w:val="16"/>
                <w:szCs w:val="16"/>
                <w:lang w:eastAsia="es-ES"/>
              </w:rPr>
              <w:t>Carolina Quintero Gacharná</w:t>
            </w:r>
          </w:p>
          <w:p w14:paraId="3ED9D13E" w14:textId="77777777" w:rsidR="008E7783" w:rsidRPr="00737496" w:rsidRDefault="008E7783" w:rsidP="008132BC">
            <w:pPr>
              <w:contextualSpacing/>
              <w:rPr>
                <w:rFonts w:ascii="Verdana" w:eastAsia="Calibri" w:hAnsi="Verdana" w:cs="Arial"/>
                <w:sz w:val="16"/>
                <w:szCs w:val="16"/>
                <w:lang w:eastAsia="es-ES"/>
              </w:rPr>
            </w:pPr>
            <w:r w:rsidRPr="00737496">
              <w:rPr>
                <w:rFonts w:ascii="Verdana" w:eastAsia="Calibri" w:hAnsi="Verdana" w:cs="Arial"/>
                <w:sz w:val="16"/>
                <w:szCs w:val="16"/>
                <w:lang w:eastAsia="es-ES"/>
              </w:rPr>
              <w:t>Subdirectora de Gestión Contractual ANCP – CCE</w:t>
            </w:r>
          </w:p>
        </w:tc>
      </w:tr>
    </w:tbl>
    <w:p w14:paraId="523D6C0E" w14:textId="77777777" w:rsidR="008E7783" w:rsidRPr="000E2B93" w:rsidRDefault="008E7783" w:rsidP="008E7783">
      <w:pPr>
        <w:spacing w:after="0" w:line="240" w:lineRule="auto"/>
        <w:jc w:val="both"/>
        <w:textAlignment w:val="baseline"/>
        <w:rPr>
          <w:rFonts w:ascii="Verdana" w:eastAsia="Verdana" w:hAnsi="Verdana" w:cs="Verdana"/>
          <w:lang w:eastAsia="es-CO"/>
        </w:rPr>
      </w:pPr>
    </w:p>
    <w:p w14:paraId="196737C5" w14:textId="00A8B6CE" w:rsidR="008E7783" w:rsidRPr="000E2B93" w:rsidRDefault="008E7783" w:rsidP="008E7783">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0465BA6D" w14:textId="27D33C83" w:rsidR="00E245AB" w:rsidRPr="008E7783" w:rsidRDefault="00E245AB" w:rsidP="008E7783"/>
    <w:sectPr w:rsidR="00E245AB" w:rsidRPr="008E778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B2C25" w14:textId="77777777" w:rsidR="00B16D66" w:rsidRDefault="00B16D66" w:rsidP="004A1847">
      <w:pPr>
        <w:spacing w:after="0" w:line="240" w:lineRule="auto"/>
      </w:pPr>
      <w:r>
        <w:separator/>
      </w:r>
    </w:p>
  </w:endnote>
  <w:endnote w:type="continuationSeparator" w:id="0">
    <w:p w14:paraId="311747D1" w14:textId="77777777" w:rsidR="00B16D66" w:rsidRDefault="00B16D6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DejaVuSans-Bold">
    <w:altName w:val="Calibri"/>
    <w:charset w:val="00"/>
    <w:family w:val="auto"/>
    <w:pitch w:val="default"/>
    <w:sig w:usb0="00000003" w:usb1="00000000" w:usb2="00000000" w:usb3="00000000" w:csb0="00000001" w:csb1="00000000"/>
  </w:font>
  <w:font w:name="DejaVuSans">
    <w:altName w:val="Calibri"/>
    <w:charset w:val="00"/>
    <w:family w:val="auto"/>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E6FB60" w14:textId="77777777" w:rsidR="00B16D66" w:rsidRDefault="00B16D66" w:rsidP="004A1847">
      <w:pPr>
        <w:spacing w:after="0" w:line="240" w:lineRule="auto"/>
      </w:pPr>
      <w:r>
        <w:separator/>
      </w:r>
    </w:p>
  </w:footnote>
  <w:footnote w:type="continuationSeparator" w:id="0">
    <w:p w14:paraId="76F6074F" w14:textId="77777777" w:rsidR="00B16D66" w:rsidRDefault="00B16D66" w:rsidP="004A1847">
      <w:pPr>
        <w:spacing w:after="0" w:line="240" w:lineRule="auto"/>
      </w:pPr>
      <w:r>
        <w:continuationSeparator/>
      </w:r>
    </w:p>
  </w:footnote>
  <w:footnote w:id="1">
    <w:p w14:paraId="5245938C" w14:textId="77777777" w:rsidR="008E7783" w:rsidRDefault="008E7783" w:rsidP="008E7783">
      <w:pPr>
        <w:pStyle w:val="Textonotapie"/>
        <w:ind w:firstLine="708"/>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Agencia Nacional de Contratación Pública – Colombia Compra Eficiente. Concepto C-285 del 20 de mayo de 2022. Consultar en: </w:t>
      </w:r>
      <w:hyperlink r:id="rId1" w:history="1">
        <w:r>
          <w:rPr>
            <w:rStyle w:val="Hipervnculo"/>
            <w:rFonts w:ascii="Verdana" w:hAnsi="Verdana"/>
            <w:sz w:val="16"/>
            <w:szCs w:val="16"/>
          </w:rPr>
          <w:t>https://relatoria.colombiacompra.gov.co/conceptos/c-285-de-2022/</w:t>
        </w:r>
      </w:hyperlink>
    </w:p>
    <w:p w14:paraId="523A3EEB" w14:textId="77777777" w:rsidR="008E7783" w:rsidRDefault="008E7783" w:rsidP="008E7783">
      <w:pPr>
        <w:pStyle w:val="Textonotapie"/>
        <w:ind w:firstLine="708"/>
        <w:jc w:val="both"/>
        <w:rPr>
          <w:rFonts w:ascii="Verdana" w:hAnsi="Verdana"/>
          <w:sz w:val="16"/>
          <w:szCs w:val="16"/>
          <w:lang w:val="es-CO"/>
        </w:rPr>
      </w:pPr>
      <w:r>
        <w:rPr>
          <w:rFonts w:ascii="Verdana" w:hAnsi="Verdana"/>
          <w:sz w:val="16"/>
          <w:szCs w:val="16"/>
        </w:rPr>
        <w:t xml:space="preserve"> </w:t>
      </w:r>
    </w:p>
  </w:footnote>
  <w:footnote w:id="2">
    <w:p w14:paraId="1F8CAE24" w14:textId="77777777" w:rsidR="008E7783" w:rsidRDefault="008E7783" w:rsidP="008E7783">
      <w:pPr>
        <w:pStyle w:val="Textonotapie"/>
        <w:ind w:firstLine="708"/>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Agencia Nacional de Contratación Pública – Colombia Compra Eficiente. Concepto C-447 del 19 de septiembre de 2024. Consultar en: </w:t>
      </w:r>
      <w:hyperlink r:id="rId2" w:history="1">
        <w:r>
          <w:rPr>
            <w:rStyle w:val="Hipervnculo"/>
            <w:rFonts w:ascii="Verdana" w:hAnsi="Verdana"/>
            <w:sz w:val="16"/>
            <w:szCs w:val="16"/>
          </w:rPr>
          <w:t>https://relatoria.colombiacompra.gov.co/conceptos/c-447-de-2024/</w:t>
        </w:r>
      </w:hyperlink>
      <w:r>
        <w:rPr>
          <w:rFonts w:ascii="Verdana" w:hAnsi="Verdana"/>
          <w:sz w:val="16"/>
          <w:szCs w:val="16"/>
        </w:rPr>
        <w:t xml:space="preserve"> </w:t>
      </w:r>
    </w:p>
    <w:p w14:paraId="73015CB6" w14:textId="77777777" w:rsidR="008E7783" w:rsidRDefault="008E7783" w:rsidP="008E7783">
      <w:pPr>
        <w:pStyle w:val="Textonotapie"/>
        <w:jc w:val="both"/>
        <w:rPr>
          <w:rFonts w:ascii="Verdana" w:hAnsi="Verdana"/>
          <w:sz w:val="16"/>
          <w:szCs w:val="16"/>
        </w:rPr>
      </w:pPr>
    </w:p>
  </w:footnote>
  <w:footnote w:id="3">
    <w:p w14:paraId="164EB6D1" w14:textId="77777777" w:rsidR="008E7783" w:rsidRDefault="008E7783" w:rsidP="008E7783">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Style w:val="Refdenotaalpie"/>
          <w:rFonts w:ascii="Verdana" w:hAnsi="Verdana" w:cs="Arial"/>
          <w:color w:val="000000"/>
          <w:sz w:val="16"/>
          <w:szCs w:val="16"/>
        </w:rPr>
        <w:t xml:space="preserve"> </w:t>
      </w:r>
      <w:r>
        <w:rPr>
          <w:rFonts w:ascii="Verdana"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64C83DC6" w14:textId="77777777" w:rsidR="008E7783" w:rsidRDefault="008E7783" w:rsidP="008E7783">
      <w:pPr>
        <w:pStyle w:val="Textonotapie"/>
        <w:ind w:firstLine="709"/>
        <w:jc w:val="both"/>
        <w:rPr>
          <w:rFonts w:ascii="Verdana" w:hAnsi="Verdana" w:cs="Arial"/>
          <w:color w:val="000000"/>
          <w:sz w:val="16"/>
          <w:szCs w:val="16"/>
        </w:rPr>
      </w:pPr>
    </w:p>
  </w:footnote>
  <w:footnote w:id="4">
    <w:p w14:paraId="70F6CA90" w14:textId="77777777" w:rsidR="008E7783" w:rsidRDefault="008E7783" w:rsidP="008E7783">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46C5FD42" w14:textId="77777777" w:rsidR="008E7783" w:rsidRDefault="008E7783" w:rsidP="008E7783">
      <w:pPr>
        <w:pStyle w:val="Textonotapie"/>
        <w:ind w:firstLine="709"/>
        <w:jc w:val="both"/>
        <w:rPr>
          <w:rFonts w:ascii="Verdana" w:hAnsi="Verdana" w:cs="Arial"/>
          <w:color w:val="000000"/>
          <w:sz w:val="16"/>
          <w:szCs w:val="16"/>
        </w:rPr>
      </w:pPr>
      <w:r>
        <w:rPr>
          <w:rFonts w:ascii="Verdana" w:hAnsi="Verdana" w:cs="Arial"/>
          <w:color w:val="000000"/>
          <w:sz w:val="16"/>
          <w:szCs w:val="16"/>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3491AC10" w14:textId="77777777" w:rsidR="008E7783" w:rsidRDefault="008E7783" w:rsidP="008E7783">
      <w:pPr>
        <w:pStyle w:val="Textonotapie"/>
        <w:ind w:firstLine="709"/>
        <w:jc w:val="both"/>
        <w:rPr>
          <w:rFonts w:ascii="Verdana" w:hAnsi="Verdana" w:cs="Arial"/>
          <w:color w:val="000000"/>
          <w:sz w:val="16"/>
          <w:szCs w:val="16"/>
        </w:rPr>
      </w:pPr>
    </w:p>
  </w:footnote>
  <w:footnote w:id="5">
    <w:p w14:paraId="5382A88B" w14:textId="77777777" w:rsidR="008E7783" w:rsidRDefault="008E7783" w:rsidP="008E7783">
      <w:pPr>
        <w:pStyle w:val="Textonotapie"/>
        <w:ind w:firstLine="709"/>
        <w:jc w:val="both"/>
        <w:rPr>
          <w:rFonts w:ascii="Verdana" w:hAnsi="Verdana" w:cs="Arial"/>
          <w:color w:val="000000"/>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color w:val="000000"/>
          <w:sz w:val="16"/>
          <w:szCs w:val="16"/>
        </w:rPr>
        <w:t xml:space="preserve">En armonía con lo anterior, actualmente la Circular Externa Única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5688C851" w14:textId="77777777" w:rsidR="008E7783" w:rsidRDefault="008E7783" w:rsidP="008E7783">
      <w:pPr>
        <w:pStyle w:val="Textonotapie"/>
        <w:ind w:firstLine="709"/>
        <w:jc w:val="both"/>
        <w:rPr>
          <w:rFonts w:ascii="Verdana" w:hAnsi="Verdana" w:cs="Arial"/>
          <w:color w:val="000000"/>
          <w:sz w:val="16"/>
          <w:szCs w:val="16"/>
        </w:rPr>
      </w:pPr>
      <w:r>
        <w:rPr>
          <w:rFonts w:ascii="Verdana" w:hAnsi="Verdana" w:cs="Arial"/>
          <w:color w:val="000000"/>
          <w:sz w:val="16"/>
          <w:szCs w:val="16"/>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3" w:history="1">
        <w:r>
          <w:rPr>
            <w:rStyle w:val="Hipervnculo"/>
            <w:rFonts w:ascii="Verdana" w:hAnsi="Verdana" w:cs="Arial"/>
            <w:sz w:val="16"/>
            <w:szCs w:val="16"/>
          </w:rPr>
          <w:t>https://www.colombiacompra.gov.co/circulares?page=2</w:t>
        </w:r>
      </w:hyperlink>
      <w:r>
        <w:rPr>
          <w:rStyle w:val="Hipervnculo"/>
          <w:rFonts w:ascii="Verdana" w:hAnsi="Verdana" w:cs="Arial"/>
          <w:color w:val="000000"/>
          <w:sz w:val="16"/>
          <w:szCs w:val="16"/>
        </w:rPr>
        <w:t xml:space="preserve"> </w:t>
      </w:r>
    </w:p>
    <w:p w14:paraId="5879B3E0" w14:textId="77777777" w:rsidR="008E7783" w:rsidRDefault="008E7783" w:rsidP="008E7783">
      <w:pPr>
        <w:pStyle w:val="Textonotapie"/>
        <w:ind w:firstLine="709"/>
        <w:jc w:val="both"/>
        <w:rPr>
          <w:rFonts w:ascii="Verdana" w:hAnsi="Verdana" w:cs="Arial"/>
          <w:color w:val="000000"/>
          <w:sz w:val="16"/>
          <w:szCs w:val="16"/>
        </w:rPr>
      </w:pPr>
    </w:p>
  </w:footnote>
  <w:footnote w:id="6">
    <w:p w14:paraId="4FF67A28" w14:textId="77777777" w:rsidR="008E7783" w:rsidRDefault="008E7783" w:rsidP="008E7783">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Ver Consejo de Estado, Sección Tercera, Subsección C. Sentencia del 26 de febrero de 2011. C.P. Jaime Orlando Santofimio. Rad. 36.408. </w:t>
      </w:r>
    </w:p>
  </w:footnote>
  <w:footnote w:id="7">
    <w:p w14:paraId="3DB92BF2" w14:textId="77777777" w:rsidR="008E7783" w:rsidRDefault="008E7783" w:rsidP="008E7783">
      <w:pPr>
        <w:pStyle w:val="Textonotapie"/>
        <w:ind w:firstLine="709"/>
        <w:jc w:val="both"/>
        <w:rPr>
          <w:rFonts w:ascii="Verdana" w:hAnsi="Verdana" w:cs="Arial"/>
          <w:color w:val="000000"/>
          <w:sz w:val="16"/>
          <w:szCs w:val="16"/>
        </w:rPr>
      </w:pPr>
    </w:p>
    <w:p w14:paraId="03D7AD79" w14:textId="77777777" w:rsidR="008E7783" w:rsidRDefault="008E7783" w:rsidP="008E7783">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Ver Consejo de Estado, Sección Tercera, Subsección C. Sentencia del 26 de febrero de 2014. C.P. Enrique Gil Botero. Rad. 25.804. </w:t>
      </w:r>
    </w:p>
    <w:p w14:paraId="0426A42C" w14:textId="77777777" w:rsidR="008E7783" w:rsidRDefault="008E7783" w:rsidP="008E7783">
      <w:pPr>
        <w:pStyle w:val="Textonotapie"/>
        <w:ind w:firstLine="709"/>
        <w:jc w:val="both"/>
        <w:rPr>
          <w:rFonts w:ascii="Verdana" w:hAnsi="Verdana" w:cs="Arial"/>
          <w:color w:val="000000"/>
          <w:sz w:val="16"/>
          <w:szCs w:val="16"/>
        </w:rPr>
      </w:pPr>
    </w:p>
  </w:footnote>
  <w:footnote w:id="8">
    <w:p w14:paraId="5974DBB6" w14:textId="77777777" w:rsidR="008E7783" w:rsidRDefault="008E7783" w:rsidP="008E7783">
      <w:pPr>
        <w:pStyle w:val="Textonotapie"/>
        <w:ind w:firstLine="708"/>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Consejo de Estado. Sala de Consulta y Servicio Civil. Concepto del 20 de mayo de 2010. Expediente: 1992. Consejero Ponente: Enrique José Arboleda Perdomo.</w:t>
      </w:r>
    </w:p>
  </w:footnote>
  <w:footnote w:id="9">
    <w:p w14:paraId="731DCA01" w14:textId="77777777" w:rsidR="008E7783" w:rsidRPr="008A4616" w:rsidRDefault="008E7783" w:rsidP="008E7783">
      <w:pPr>
        <w:pStyle w:val="Textonotapie"/>
        <w:jc w:val="both"/>
        <w:rPr>
          <w:rFonts w:ascii="Verdana" w:hAnsi="Verdana" w:cs="Arial"/>
          <w:color w:val="000000" w:themeColor="text1"/>
          <w:sz w:val="16"/>
          <w:szCs w:val="16"/>
        </w:rPr>
      </w:pPr>
    </w:p>
    <w:p w14:paraId="58DB6FFD" w14:textId="77777777" w:rsidR="008E7783" w:rsidRPr="008A4616" w:rsidRDefault="008E7783" w:rsidP="008E7783">
      <w:pPr>
        <w:pStyle w:val="Textonotapie"/>
        <w:ind w:firstLine="708"/>
        <w:jc w:val="both"/>
        <w:rPr>
          <w:rFonts w:ascii="Verdana" w:hAnsi="Verdana" w:cs="Arial"/>
          <w:color w:val="000000" w:themeColor="text1"/>
          <w:sz w:val="16"/>
          <w:szCs w:val="16"/>
        </w:rPr>
      </w:pPr>
      <w:r w:rsidRPr="008A4616">
        <w:rPr>
          <w:rStyle w:val="Refdenotaalpie"/>
          <w:rFonts w:ascii="Verdana" w:hAnsi="Verdana" w:cs="Arial"/>
          <w:color w:val="000000" w:themeColor="text1"/>
          <w:sz w:val="16"/>
          <w:szCs w:val="16"/>
        </w:rPr>
        <w:footnoteRef/>
      </w:r>
      <w:r w:rsidRPr="008A4616">
        <w:rPr>
          <w:rFonts w:ascii="Verdana" w:hAnsi="Verdana" w:cs="Arial"/>
          <w:color w:val="000000" w:themeColor="text1"/>
          <w:sz w:val="16"/>
          <w:szCs w:val="16"/>
        </w:rPr>
        <w:t xml:space="preserve"> CONGRESO DE LA REPÚBLICA. Gaceta 605 del 10 de agosto de 2016: «Aunque resulte extraña la anterior proposición, hoy en Colombia impera la posición según la cual, en la medida en que de la garantía de seriedad de la oferta no afecta la asignación de puntaje, su presentación, así como y la corrección de errores contenidos en esta, son susceptibles de subsanación hasta antes de oferta.</w:t>
      </w:r>
    </w:p>
    <w:p w14:paraId="75641ED7" w14:textId="77777777" w:rsidR="008E7783" w:rsidRPr="008A4616" w:rsidRDefault="008E7783" w:rsidP="008E7783">
      <w:pPr>
        <w:pStyle w:val="Textonotapie"/>
        <w:ind w:firstLine="708"/>
        <w:jc w:val="both"/>
        <w:rPr>
          <w:rFonts w:ascii="Verdana" w:hAnsi="Verdana" w:cs="Arial"/>
          <w:color w:val="000000" w:themeColor="text1"/>
          <w:sz w:val="16"/>
          <w:szCs w:val="16"/>
        </w:rPr>
      </w:pPr>
      <w:r w:rsidRPr="008A4616">
        <w:rPr>
          <w:rFonts w:ascii="Verdana" w:hAnsi="Verdana" w:cs="Arial"/>
          <w:color w:val="000000" w:themeColor="text1"/>
          <w:sz w:val="16"/>
          <w:szCs w:val="16"/>
        </w:rPr>
        <w:t xml:space="preserve"> Esto ha generado, además de las precipitadas prácticas colusivas, una desprotección del patrimonio público por cuanto no existe un amparo del riesgo de retiro de la oferta por parte de los proponentes después de vencido el plazo fijo para la presentación de las ofertas.</w:t>
      </w:r>
    </w:p>
    <w:p w14:paraId="1D000775" w14:textId="77777777" w:rsidR="008E7783" w:rsidRPr="008A4616" w:rsidRDefault="008E7783" w:rsidP="008E7783">
      <w:pPr>
        <w:pStyle w:val="Textonotapie"/>
        <w:ind w:firstLine="708"/>
        <w:jc w:val="both"/>
        <w:rPr>
          <w:rFonts w:ascii="Verdana" w:hAnsi="Verdana" w:cs="Arial"/>
          <w:color w:val="000000" w:themeColor="text1"/>
          <w:sz w:val="16"/>
          <w:szCs w:val="16"/>
          <w:lang w:val="es-CO"/>
        </w:rPr>
      </w:pPr>
    </w:p>
  </w:footnote>
  <w:footnote w:id="10">
    <w:p w14:paraId="252AD5F8" w14:textId="77777777" w:rsidR="008E7783" w:rsidRPr="008A4616" w:rsidRDefault="008E7783" w:rsidP="008E7783">
      <w:pPr>
        <w:pStyle w:val="Textonotapie"/>
        <w:ind w:firstLine="708"/>
        <w:jc w:val="both"/>
        <w:rPr>
          <w:rFonts w:ascii="Verdana" w:hAnsi="Verdana" w:cs="Arial"/>
          <w:color w:val="000000" w:themeColor="text1"/>
          <w:sz w:val="16"/>
          <w:szCs w:val="16"/>
        </w:rPr>
      </w:pPr>
      <w:r w:rsidRPr="008A4616">
        <w:rPr>
          <w:rStyle w:val="Refdenotaalpie"/>
          <w:rFonts w:ascii="Verdana" w:hAnsi="Verdana" w:cs="Arial"/>
          <w:color w:val="000000" w:themeColor="text1"/>
          <w:sz w:val="16"/>
          <w:szCs w:val="16"/>
        </w:rPr>
        <w:footnoteRef/>
      </w:r>
      <w:r w:rsidRPr="008A4616">
        <w:rPr>
          <w:rFonts w:ascii="Verdana" w:hAnsi="Verdana" w:cs="Arial"/>
          <w:color w:val="000000" w:themeColor="text1"/>
          <w:sz w:val="16"/>
          <w:szCs w:val="16"/>
        </w:rPr>
        <w:t xml:space="preserve"> El Código de comercio en el artículo 1046, indica, frente a la prueba del contrato de seguro que se hará por escrito o por confesión: </w:t>
      </w:r>
      <w:r>
        <w:rPr>
          <w:rFonts w:ascii="Verdana" w:hAnsi="Verdana" w:cs="Arial"/>
          <w:color w:val="000000" w:themeColor="text1"/>
          <w:sz w:val="16"/>
          <w:szCs w:val="16"/>
        </w:rPr>
        <w:t>“</w:t>
      </w:r>
      <w:r w:rsidRPr="008A4616">
        <w:rPr>
          <w:rFonts w:ascii="Verdana" w:hAnsi="Verdana" w:cs="Arial"/>
          <w:color w:val="000000" w:themeColor="text1"/>
          <w:sz w:val="16"/>
          <w:szCs w:val="16"/>
        </w:rPr>
        <w:t xml:space="preserve">Con fines exclusivamente probatorios, el asegurador está obligado a entregar en su original, al tomador, dentro de los quince días siguientes a la fecha de su celebración el documento contentivo del contrato de seguro, el cual se denomina póliza, el que deberá redactarse en castellano y firmarse por el asegurador. </w:t>
      </w:r>
    </w:p>
    <w:p w14:paraId="775F42FD" w14:textId="77777777" w:rsidR="008E7783" w:rsidRPr="008A4616" w:rsidRDefault="008E7783" w:rsidP="008E7783">
      <w:pPr>
        <w:pStyle w:val="Textonotapie"/>
        <w:ind w:firstLine="708"/>
        <w:jc w:val="both"/>
        <w:rPr>
          <w:rFonts w:ascii="Verdana" w:hAnsi="Verdana" w:cs="Arial"/>
          <w:color w:val="000000" w:themeColor="text1"/>
          <w:sz w:val="16"/>
          <w:szCs w:val="16"/>
        </w:rPr>
      </w:pPr>
      <w:r w:rsidRPr="008A4616">
        <w:rPr>
          <w:rFonts w:ascii="Verdana" w:hAnsi="Verdana" w:cs="Arial"/>
          <w:color w:val="000000" w:themeColor="text1"/>
          <w:sz w:val="16"/>
          <w:szCs w:val="16"/>
        </w:rPr>
        <w:t xml:space="preserve"> La Superintendencia Bancaria señalará los ramos y la clase de contratos que se redacten en idioma extranjero. </w:t>
      </w:r>
    </w:p>
    <w:p w14:paraId="1C99D115" w14:textId="77777777" w:rsidR="008E7783" w:rsidRPr="008A4616" w:rsidRDefault="008E7783" w:rsidP="008E7783">
      <w:pPr>
        <w:pStyle w:val="Textonotapie"/>
        <w:ind w:firstLine="708"/>
        <w:jc w:val="both"/>
        <w:rPr>
          <w:rFonts w:ascii="Verdana" w:hAnsi="Verdana" w:cs="Arial"/>
          <w:color w:val="000000" w:themeColor="text1"/>
          <w:sz w:val="16"/>
          <w:szCs w:val="16"/>
          <w:lang w:val="es-CO"/>
        </w:rPr>
      </w:pPr>
      <w:r w:rsidRPr="008A4616">
        <w:rPr>
          <w:rFonts w:ascii="Verdana" w:hAnsi="Verdana" w:cs="Arial"/>
          <w:color w:val="000000" w:themeColor="text1"/>
          <w:sz w:val="16"/>
          <w:szCs w:val="16"/>
        </w:rPr>
        <w:t xml:space="preserve"> Parágrafo. El asegurador está también obligado a librar a petición y a costa del tomador, del asegurado o del beneficiario duplicados o copias de la póliza</w:t>
      </w:r>
      <w:r>
        <w:rPr>
          <w:rFonts w:ascii="Verdana" w:hAnsi="Verdana" w:cs="Arial"/>
          <w:color w:val="000000" w:themeColor="text1"/>
          <w:sz w:val="16"/>
          <w:szCs w:val="16"/>
        </w:rPr>
        <w:t>”</w:t>
      </w:r>
      <w:r w:rsidRPr="008A4616">
        <w:rPr>
          <w:rFonts w:ascii="Verdana" w:hAnsi="Verdana" w:cs="Arial"/>
          <w:color w:val="000000" w:themeColor="text1"/>
          <w:sz w:val="16"/>
          <w:szCs w:val="16"/>
        </w:rPr>
        <w:t>.</w:t>
      </w:r>
    </w:p>
  </w:footnote>
  <w:footnote w:id="11">
    <w:p w14:paraId="53F6DF21" w14:textId="77777777" w:rsidR="008E7783" w:rsidRPr="001F368D" w:rsidRDefault="008E7783" w:rsidP="008E7783">
      <w:pPr>
        <w:pStyle w:val="Textonotapie"/>
        <w:ind w:firstLine="709"/>
        <w:jc w:val="both"/>
        <w:rPr>
          <w:lang w:val="es-CO"/>
        </w:rPr>
      </w:pPr>
      <w:r>
        <w:rPr>
          <w:rStyle w:val="Refdenotaalpie"/>
        </w:rPr>
        <w:footnoteRef/>
      </w:r>
      <w:r>
        <w:t xml:space="preserve"> </w:t>
      </w:r>
      <w:r>
        <w:rPr>
          <w:rFonts w:ascii="Verdana" w:hAnsi="Verdana" w:cs="Arial"/>
          <w:color w:val="000000"/>
          <w:sz w:val="16"/>
          <w:szCs w:val="16"/>
        </w:rPr>
        <w:t>Consejo de Estado. Sala de Consulta y Servicio Civil. Concepto del 20 de mayo de 2010. Expediente: 1992. Consejero Ponente: 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B86"/>
    <w:rsid w:val="00007318"/>
    <w:rsid w:val="00011106"/>
    <w:rsid w:val="00015004"/>
    <w:rsid w:val="00016F78"/>
    <w:rsid w:val="00023398"/>
    <w:rsid w:val="000326F5"/>
    <w:rsid w:val="00033949"/>
    <w:rsid w:val="000344C5"/>
    <w:rsid w:val="00046945"/>
    <w:rsid w:val="0005755D"/>
    <w:rsid w:val="00061B2A"/>
    <w:rsid w:val="00073039"/>
    <w:rsid w:val="00075FD6"/>
    <w:rsid w:val="00082362"/>
    <w:rsid w:val="00083C43"/>
    <w:rsid w:val="000867EB"/>
    <w:rsid w:val="00090B32"/>
    <w:rsid w:val="0009694A"/>
    <w:rsid w:val="000A1790"/>
    <w:rsid w:val="000A2066"/>
    <w:rsid w:val="000A683E"/>
    <w:rsid w:val="000A757F"/>
    <w:rsid w:val="000A77E4"/>
    <w:rsid w:val="000B19B9"/>
    <w:rsid w:val="000C0E9D"/>
    <w:rsid w:val="000C5ABD"/>
    <w:rsid w:val="000C7BD7"/>
    <w:rsid w:val="000D0334"/>
    <w:rsid w:val="000D1E61"/>
    <w:rsid w:val="000D3E3D"/>
    <w:rsid w:val="000D5FF9"/>
    <w:rsid w:val="000D727A"/>
    <w:rsid w:val="000E108D"/>
    <w:rsid w:val="000F57B6"/>
    <w:rsid w:val="000F6486"/>
    <w:rsid w:val="00104C09"/>
    <w:rsid w:val="00107446"/>
    <w:rsid w:val="00110A46"/>
    <w:rsid w:val="0011131D"/>
    <w:rsid w:val="00111FF0"/>
    <w:rsid w:val="00114004"/>
    <w:rsid w:val="00114B81"/>
    <w:rsid w:val="00125105"/>
    <w:rsid w:val="00127233"/>
    <w:rsid w:val="0013514E"/>
    <w:rsid w:val="00146E3D"/>
    <w:rsid w:val="001511A0"/>
    <w:rsid w:val="00152637"/>
    <w:rsid w:val="0015625B"/>
    <w:rsid w:val="001619F9"/>
    <w:rsid w:val="001661D5"/>
    <w:rsid w:val="00166609"/>
    <w:rsid w:val="00192BAB"/>
    <w:rsid w:val="00194392"/>
    <w:rsid w:val="00196898"/>
    <w:rsid w:val="001A33D1"/>
    <w:rsid w:val="001A3C28"/>
    <w:rsid w:val="001B2F90"/>
    <w:rsid w:val="001B5BE8"/>
    <w:rsid w:val="001B6D95"/>
    <w:rsid w:val="001C1B61"/>
    <w:rsid w:val="001C1BDA"/>
    <w:rsid w:val="001C29A9"/>
    <w:rsid w:val="001D0B3C"/>
    <w:rsid w:val="001E4177"/>
    <w:rsid w:val="001E4F3E"/>
    <w:rsid w:val="001F368D"/>
    <w:rsid w:val="001F7DC6"/>
    <w:rsid w:val="00210A1A"/>
    <w:rsid w:val="00210C0B"/>
    <w:rsid w:val="002117CA"/>
    <w:rsid w:val="00230786"/>
    <w:rsid w:val="00237902"/>
    <w:rsid w:val="0024006E"/>
    <w:rsid w:val="002421BB"/>
    <w:rsid w:val="002505CF"/>
    <w:rsid w:val="002513BC"/>
    <w:rsid w:val="0025620A"/>
    <w:rsid w:val="0025796E"/>
    <w:rsid w:val="00257EB3"/>
    <w:rsid w:val="00260BB4"/>
    <w:rsid w:val="002707A2"/>
    <w:rsid w:val="002764DA"/>
    <w:rsid w:val="00280A18"/>
    <w:rsid w:val="002951A0"/>
    <w:rsid w:val="002962BC"/>
    <w:rsid w:val="00297388"/>
    <w:rsid w:val="002A093D"/>
    <w:rsid w:val="002A0DD0"/>
    <w:rsid w:val="002A49AC"/>
    <w:rsid w:val="002A64FD"/>
    <w:rsid w:val="002A7903"/>
    <w:rsid w:val="002B234A"/>
    <w:rsid w:val="002B251D"/>
    <w:rsid w:val="002C7A84"/>
    <w:rsid w:val="002D0589"/>
    <w:rsid w:val="002D76B9"/>
    <w:rsid w:val="002E2819"/>
    <w:rsid w:val="002E3DC2"/>
    <w:rsid w:val="002E4FD9"/>
    <w:rsid w:val="002F5FDF"/>
    <w:rsid w:val="0030071D"/>
    <w:rsid w:val="00303073"/>
    <w:rsid w:val="0030413B"/>
    <w:rsid w:val="003163E0"/>
    <w:rsid w:val="00322A85"/>
    <w:rsid w:val="00324168"/>
    <w:rsid w:val="00326ACD"/>
    <w:rsid w:val="00326FE2"/>
    <w:rsid w:val="003273F4"/>
    <w:rsid w:val="003278BB"/>
    <w:rsid w:val="00330118"/>
    <w:rsid w:val="003360BC"/>
    <w:rsid w:val="003422E9"/>
    <w:rsid w:val="00343276"/>
    <w:rsid w:val="003448F4"/>
    <w:rsid w:val="00345E74"/>
    <w:rsid w:val="00353120"/>
    <w:rsid w:val="003713C3"/>
    <w:rsid w:val="00373B69"/>
    <w:rsid w:val="00374F5E"/>
    <w:rsid w:val="00377E3E"/>
    <w:rsid w:val="00380669"/>
    <w:rsid w:val="00381693"/>
    <w:rsid w:val="00382352"/>
    <w:rsid w:val="00383C67"/>
    <w:rsid w:val="00387121"/>
    <w:rsid w:val="00395FE9"/>
    <w:rsid w:val="003A40D7"/>
    <w:rsid w:val="003A779E"/>
    <w:rsid w:val="003B0D74"/>
    <w:rsid w:val="003B2819"/>
    <w:rsid w:val="003B300B"/>
    <w:rsid w:val="003B55B2"/>
    <w:rsid w:val="003B6374"/>
    <w:rsid w:val="003B64E6"/>
    <w:rsid w:val="003C24F9"/>
    <w:rsid w:val="003D0F4D"/>
    <w:rsid w:val="003D14B6"/>
    <w:rsid w:val="003D416C"/>
    <w:rsid w:val="003D5B0D"/>
    <w:rsid w:val="003E0499"/>
    <w:rsid w:val="003E2416"/>
    <w:rsid w:val="003E2BC5"/>
    <w:rsid w:val="003E4F9E"/>
    <w:rsid w:val="003E55A1"/>
    <w:rsid w:val="003E78F0"/>
    <w:rsid w:val="003F3941"/>
    <w:rsid w:val="003F421F"/>
    <w:rsid w:val="00402F27"/>
    <w:rsid w:val="00406575"/>
    <w:rsid w:val="00414C6C"/>
    <w:rsid w:val="00414C74"/>
    <w:rsid w:val="0042722E"/>
    <w:rsid w:val="004278D5"/>
    <w:rsid w:val="00427E2A"/>
    <w:rsid w:val="004409DB"/>
    <w:rsid w:val="004418E8"/>
    <w:rsid w:val="0044528D"/>
    <w:rsid w:val="004477AB"/>
    <w:rsid w:val="00450233"/>
    <w:rsid w:val="0045305F"/>
    <w:rsid w:val="00453DF1"/>
    <w:rsid w:val="0045540A"/>
    <w:rsid w:val="0045623A"/>
    <w:rsid w:val="00461E4B"/>
    <w:rsid w:val="00463F5C"/>
    <w:rsid w:val="00466967"/>
    <w:rsid w:val="004703AF"/>
    <w:rsid w:val="00470760"/>
    <w:rsid w:val="00474459"/>
    <w:rsid w:val="00487DE0"/>
    <w:rsid w:val="00493F04"/>
    <w:rsid w:val="004949C7"/>
    <w:rsid w:val="004A1847"/>
    <w:rsid w:val="004A305D"/>
    <w:rsid w:val="004A5021"/>
    <w:rsid w:val="004B5239"/>
    <w:rsid w:val="004D0C28"/>
    <w:rsid w:val="004D2279"/>
    <w:rsid w:val="004D55AB"/>
    <w:rsid w:val="004E39A5"/>
    <w:rsid w:val="004F21C4"/>
    <w:rsid w:val="004F382A"/>
    <w:rsid w:val="004F685F"/>
    <w:rsid w:val="00514231"/>
    <w:rsid w:val="00521F38"/>
    <w:rsid w:val="0052443A"/>
    <w:rsid w:val="0052566E"/>
    <w:rsid w:val="00535E96"/>
    <w:rsid w:val="005433B1"/>
    <w:rsid w:val="005436A9"/>
    <w:rsid w:val="00547F21"/>
    <w:rsid w:val="005517BD"/>
    <w:rsid w:val="00553FAF"/>
    <w:rsid w:val="005547F4"/>
    <w:rsid w:val="0055513A"/>
    <w:rsid w:val="005566E8"/>
    <w:rsid w:val="0056398E"/>
    <w:rsid w:val="005660EA"/>
    <w:rsid w:val="00573472"/>
    <w:rsid w:val="00573DCB"/>
    <w:rsid w:val="00574867"/>
    <w:rsid w:val="00575868"/>
    <w:rsid w:val="00575D97"/>
    <w:rsid w:val="005762D0"/>
    <w:rsid w:val="005818E1"/>
    <w:rsid w:val="005905EB"/>
    <w:rsid w:val="00591460"/>
    <w:rsid w:val="00592B2B"/>
    <w:rsid w:val="00594B86"/>
    <w:rsid w:val="005B3816"/>
    <w:rsid w:val="005C3777"/>
    <w:rsid w:val="005C5CDC"/>
    <w:rsid w:val="005C6EE4"/>
    <w:rsid w:val="005D476C"/>
    <w:rsid w:val="005D58CF"/>
    <w:rsid w:val="005E3A30"/>
    <w:rsid w:val="005E5CE9"/>
    <w:rsid w:val="005F3748"/>
    <w:rsid w:val="005F6E90"/>
    <w:rsid w:val="0060741A"/>
    <w:rsid w:val="00610CF5"/>
    <w:rsid w:val="00612528"/>
    <w:rsid w:val="00616503"/>
    <w:rsid w:val="006177BB"/>
    <w:rsid w:val="00620474"/>
    <w:rsid w:val="00620D7F"/>
    <w:rsid w:val="006219F8"/>
    <w:rsid w:val="00621A4B"/>
    <w:rsid w:val="00624183"/>
    <w:rsid w:val="00627B76"/>
    <w:rsid w:val="00633361"/>
    <w:rsid w:val="00635109"/>
    <w:rsid w:val="00635DE9"/>
    <w:rsid w:val="00642682"/>
    <w:rsid w:val="0065454E"/>
    <w:rsid w:val="006548A0"/>
    <w:rsid w:val="00656D64"/>
    <w:rsid w:val="0066312B"/>
    <w:rsid w:val="00665D70"/>
    <w:rsid w:val="0067250F"/>
    <w:rsid w:val="006843DB"/>
    <w:rsid w:val="006867F7"/>
    <w:rsid w:val="006873C6"/>
    <w:rsid w:val="006900D9"/>
    <w:rsid w:val="00696370"/>
    <w:rsid w:val="006A1FF5"/>
    <w:rsid w:val="006A2E2B"/>
    <w:rsid w:val="006A5A85"/>
    <w:rsid w:val="006B6920"/>
    <w:rsid w:val="006C4B33"/>
    <w:rsid w:val="006C7CA9"/>
    <w:rsid w:val="006D79FD"/>
    <w:rsid w:val="006E529D"/>
    <w:rsid w:val="006E6AEF"/>
    <w:rsid w:val="006E6E87"/>
    <w:rsid w:val="006E705E"/>
    <w:rsid w:val="006F2237"/>
    <w:rsid w:val="006F2A73"/>
    <w:rsid w:val="007029FF"/>
    <w:rsid w:val="00706C16"/>
    <w:rsid w:val="007151E0"/>
    <w:rsid w:val="00723542"/>
    <w:rsid w:val="0074061E"/>
    <w:rsid w:val="00756841"/>
    <w:rsid w:val="00761473"/>
    <w:rsid w:val="007649AB"/>
    <w:rsid w:val="00771D0C"/>
    <w:rsid w:val="007750F8"/>
    <w:rsid w:val="0078065C"/>
    <w:rsid w:val="007810CA"/>
    <w:rsid w:val="007826FB"/>
    <w:rsid w:val="00782C0E"/>
    <w:rsid w:val="00783165"/>
    <w:rsid w:val="007833AC"/>
    <w:rsid w:val="00792699"/>
    <w:rsid w:val="00795A94"/>
    <w:rsid w:val="007A225D"/>
    <w:rsid w:val="007A4C0B"/>
    <w:rsid w:val="007A7EF6"/>
    <w:rsid w:val="007B204D"/>
    <w:rsid w:val="007B268C"/>
    <w:rsid w:val="007B7171"/>
    <w:rsid w:val="007C0C0F"/>
    <w:rsid w:val="007C1315"/>
    <w:rsid w:val="007C3C7F"/>
    <w:rsid w:val="007C3DC2"/>
    <w:rsid w:val="007C3FB3"/>
    <w:rsid w:val="007C4C74"/>
    <w:rsid w:val="007D384F"/>
    <w:rsid w:val="007E05B0"/>
    <w:rsid w:val="007E0D54"/>
    <w:rsid w:val="007E46CB"/>
    <w:rsid w:val="007E5497"/>
    <w:rsid w:val="007F2135"/>
    <w:rsid w:val="007F452C"/>
    <w:rsid w:val="007F4E14"/>
    <w:rsid w:val="007F504E"/>
    <w:rsid w:val="007F7419"/>
    <w:rsid w:val="007F7660"/>
    <w:rsid w:val="008006C4"/>
    <w:rsid w:val="008042B2"/>
    <w:rsid w:val="00806F5F"/>
    <w:rsid w:val="008101B2"/>
    <w:rsid w:val="00820278"/>
    <w:rsid w:val="00820439"/>
    <w:rsid w:val="008253BF"/>
    <w:rsid w:val="00825F0B"/>
    <w:rsid w:val="00833885"/>
    <w:rsid w:val="00833B08"/>
    <w:rsid w:val="00833E0C"/>
    <w:rsid w:val="00847662"/>
    <w:rsid w:val="0085070E"/>
    <w:rsid w:val="00851B95"/>
    <w:rsid w:val="008531EC"/>
    <w:rsid w:val="0085345A"/>
    <w:rsid w:val="00865E57"/>
    <w:rsid w:val="00866BE4"/>
    <w:rsid w:val="00867F95"/>
    <w:rsid w:val="00870B39"/>
    <w:rsid w:val="00875D30"/>
    <w:rsid w:val="008815B0"/>
    <w:rsid w:val="008843B6"/>
    <w:rsid w:val="008903D6"/>
    <w:rsid w:val="00891928"/>
    <w:rsid w:val="00893BE7"/>
    <w:rsid w:val="00894DC2"/>
    <w:rsid w:val="0089799C"/>
    <w:rsid w:val="00897D8F"/>
    <w:rsid w:val="008A446D"/>
    <w:rsid w:val="008A4616"/>
    <w:rsid w:val="008B3A5D"/>
    <w:rsid w:val="008C034E"/>
    <w:rsid w:val="008C3448"/>
    <w:rsid w:val="008C4A55"/>
    <w:rsid w:val="008C5106"/>
    <w:rsid w:val="008D180B"/>
    <w:rsid w:val="008E12E5"/>
    <w:rsid w:val="008E1BCE"/>
    <w:rsid w:val="008E7783"/>
    <w:rsid w:val="008F01BB"/>
    <w:rsid w:val="008F0EA7"/>
    <w:rsid w:val="008F217E"/>
    <w:rsid w:val="00900411"/>
    <w:rsid w:val="00902B11"/>
    <w:rsid w:val="00902B20"/>
    <w:rsid w:val="00903D77"/>
    <w:rsid w:val="00921411"/>
    <w:rsid w:val="00923EEF"/>
    <w:rsid w:val="00940808"/>
    <w:rsid w:val="0094135A"/>
    <w:rsid w:val="009419F9"/>
    <w:rsid w:val="009545F9"/>
    <w:rsid w:val="00955605"/>
    <w:rsid w:val="0095685E"/>
    <w:rsid w:val="00957EB9"/>
    <w:rsid w:val="00961B09"/>
    <w:rsid w:val="00961D17"/>
    <w:rsid w:val="009645E3"/>
    <w:rsid w:val="00965334"/>
    <w:rsid w:val="00970068"/>
    <w:rsid w:val="0097093E"/>
    <w:rsid w:val="00972050"/>
    <w:rsid w:val="00980200"/>
    <w:rsid w:val="00986AC5"/>
    <w:rsid w:val="009871BC"/>
    <w:rsid w:val="00996792"/>
    <w:rsid w:val="009A0DFA"/>
    <w:rsid w:val="009A4BFB"/>
    <w:rsid w:val="009B21D7"/>
    <w:rsid w:val="009B2D26"/>
    <w:rsid w:val="009C12F1"/>
    <w:rsid w:val="009C71FA"/>
    <w:rsid w:val="009C72E7"/>
    <w:rsid w:val="009D0D49"/>
    <w:rsid w:val="009D1399"/>
    <w:rsid w:val="009D1522"/>
    <w:rsid w:val="009D3058"/>
    <w:rsid w:val="009E3E4D"/>
    <w:rsid w:val="009E561C"/>
    <w:rsid w:val="009E58E0"/>
    <w:rsid w:val="009F3A13"/>
    <w:rsid w:val="00A0641C"/>
    <w:rsid w:val="00A10EF7"/>
    <w:rsid w:val="00A11E72"/>
    <w:rsid w:val="00A122D3"/>
    <w:rsid w:val="00A156FB"/>
    <w:rsid w:val="00A17F13"/>
    <w:rsid w:val="00A20739"/>
    <w:rsid w:val="00A33C78"/>
    <w:rsid w:val="00A412FD"/>
    <w:rsid w:val="00A42F75"/>
    <w:rsid w:val="00A43005"/>
    <w:rsid w:val="00A453AE"/>
    <w:rsid w:val="00A53711"/>
    <w:rsid w:val="00A63CE0"/>
    <w:rsid w:val="00A64CA8"/>
    <w:rsid w:val="00A67464"/>
    <w:rsid w:val="00A7076D"/>
    <w:rsid w:val="00A72F6E"/>
    <w:rsid w:val="00A73D0B"/>
    <w:rsid w:val="00A75B10"/>
    <w:rsid w:val="00A81B40"/>
    <w:rsid w:val="00A851D2"/>
    <w:rsid w:val="00A911BE"/>
    <w:rsid w:val="00A96CB5"/>
    <w:rsid w:val="00AA3578"/>
    <w:rsid w:val="00AA38D4"/>
    <w:rsid w:val="00AB0ADB"/>
    <w:rsid w:val="00AB0F4B"/>
    <w:rsid w:val="00AB607D"/>
    <w:rsid w:val="00AB666B"/>
    <w:rsid w:val="00AC0016"/>
    <w:rsid w:val="00AD4773"/>
    <w:rsid w:val="00AD5D95"/>
    <w:rsid w:val="00AD6E40"/>
    <w:rsid w:val="00AF2180"/>
    <w:rsid w:val="00AF3AA4"/>
    <w:rsid w:val="00AF521F"/>
    <w:rsid w:val="00B01B1A"/>
    <w:rsid w:val="00B03DC4"/>
    <w:rsid w:val="00B079DA"/>
    <w:rsid w:val="00B10E38"/>
    <w:rsid w:val="00B163E7"/>
    <w:rsid w:val="00B16D66"/>
    <w:rsid w:val="00B27B25"/>
    <w:rsid w:val="00B358F3"/>
    <w:rsid w:val="00B37FD8"/>
    <w:rsid w:val="00B4123D"/>
    <w:rsid w:val="00B4484C"/>
    <w:rsid w:val="00B44BD4"/>
    <w:rsid w:val="00B46E27"/>
    <w:rsid w:val="00B4762C"/>
    <w:rsid w:val="00B57C44"/>
    <w:rsid w:val="00B61845"/>
    <w:rsid w:val="00B63648"/>
    <w:rsid w:val="00B64166"/>
    <w:rsid w:val="00B65950"/>
    <w:rsid w:val="00B66319"/>
    <w:rsid w:val="00B67668"/>
    <w:rsid w:val="00B67A8E"/>
    <w:rsid w:val="00B70639"/>
    <w:rsid w:val="00B71828"/>
    <w:rsid w:val="00B72A6D"/>
    <w:rsid w:val="00B72CD3"/>
    <w:rsid w:val="00B72FFF"/>
    <w:rsid w:val="00B8040A"/>
    <w:rsid w:val="00B80587"/>
    <w:rsid w:val="00B81568"/>
    <w:rsid w:val="00B81688"/>
    <w:rsid w:val="00B83110"/>
    <w:rsid w:val="00B84F1B"/>
    <w:rsid w:val="00B852D4"/>
    <w:rsid w:val="00B919A7"/>
    <w:rsid w:val="00B9249C"/>
    <w:rsid w:val="00B94A86"/>
    <w:rsid w:val="00BA703C"/>
    <w:rsid w:val="00BB469F"/>
    <w:rsid w:val="00BB6DBF"/>
    <w:rsid w:val="00BB7C1E"/>
    <w:rsid w:val="00BC2B8C"/>
    <w:rsid w:val="00BC35CA"/>
    <w:rsid w:val="00BC3D36"/>
    <w:rsid w:val="00BC6922"/>
    <w:rsid w:val="00BD0B3A"/>
    <w:rsid w:val="00BD1403"/>
    <w:rsid w:val="00BD7F72"/>
    <w:rsid w:val="00BE05EE"/>
    <w:rsid w:val="00BE57A7"/>
    <w:rsid w:val="00BE5E38"/>
    <w:rsid w:val="00BF02CB"/>
    <w:rsid w:val="00BF1115"/>
    <w:rsid w:val="00C030C9"/>
    <w:rsid w:val="00C0396A"/>
    <w:rsid w:val="00C04FB3"/>
    <w:rsid w:val="00C10813"/>
    <w:rsid w:val="00C1693A"/>
    <w:rsid w:val="00C22FFE"/>
    <w:rsid w:val="00C330EB"/>
    <w:rsid w:val="00C41061"/>
    <w:rsid w:val="00C43C89"/>
    <w:rsid w:val="00C57AEA"/>
    <w:rsid w:val="00C62A15"/>
    <w:rsid w:val="00C64031"/>
    <w:rsid w:val="00C67E81"/>
    <w:rsid w:val="00C754BE"/>
    <w:rsid w:val="00C75A7A"/>
    <w:rsid w:val="00C76B1C"/>
    <w:rsid w:val="00C80D62"/>
    <w:rsid w:val="00C847E8"/>
    <w:rsid w:val="00C84D02"/>
    <w:rsid w:val="00C8679D"/>
    <w:rsid w:val="00C92F6E"/>
    <w:rsid w:val="00C977BA"/>
    <w:rsid w:val="00CA4C9D"/>
    <w:rsid w:val="00CB0C38"/>
    <w:rsid w:val="00CB6357"/>
    <w:rsid w:val="00CC1B26"/>
    <w:rsid w:val="00CC4356"/>
    <w:rsid w:val="00CC55AD"/>
    <w:rsid w:val="00CD2AA4"/>
    <w:rsid w:val="00CD76A1"/>
    <w:rsid w:val="00CE5121"/>
    <w:rsid w:val="00CE7957"/>
    <w:rsid w:val="00CF123A"/>
    <w:rsid w:val="00CF6161"/>
    <w:rsid w:val="00D1375F"/>
    <w:rsid w:val="00D235CC"/>
    <w:rsid w:val="00D25726"/>
    <w:rsid w:val="00D423A2"/>
    <w:rsid w:val="00D44F96"/>
    <w:rsid w:val="00D520D8"/>
    <w:rsid w:val="00D57EFD"/>
    <w:rsid w:val="00D63AC2"/>
    <w:rsid w:val="00D64800"/>
    <w:rsid w:val="00D6641A"/>
    <w:rsid w:val="00D7252B"/>
    <w:rsid w:val="00D73697"/>
    <w:rsid w:val="00D736A2"/>
    <w:rsid w:val="00D7383B"/>
    <w:rsid w:val="00D75A19"/>
    <w:rsid w:val="00D77F6C"/>
    <w:rsid w:val="00D84B7A"/>
    <w:rsid w:val="00D85211"/>
    <w:rsid w:val="00D85AEB"/>
    <w:rsid w:val="00D87831"/>
    <w:rsid w:val="00D90616"/>
    <w:rsid w:val="00D94B7D"/>
    <w:rsid w:val="00DA231B"/>
    <w:rsid w:val="00DA26D6"/>
    <w:rsid w:val="00DC39FC"/>
    <w:rsid w:val="00DC3F7E"/>
    <w:rsid w:val="00DC4561"/>
    <w:rsid w:val="00DD5C1E"/>
    <w:rsid w:val="00DE0FAE"/>
    <w:rsid w:val="00DE18FE"/>
    <w:rsid w:val="00DE3792"/>
    <w:rsid w:val="00DE3D45"/>
    <w:rsid w:val="00DE40CC"/>
    <w:rsid w:val="00DE6EB3"/>
    <w:rsid w:val="00DF1F28"/>
    <w:rsid w:val="00DF34B1"/>
    <w:rsid w:val="00DF4032"/>
    <w:rsid w:val="00DF5254"/>
    <w:rsid w:val="00E00FA5"/>
    <w:rsid w:val="00E074E6"/>
    <w:rsid w:val="00E13839"/>
    <w:rsid w:val="00E16408"/>
    <w:rsid w:val="00E164D0"/>
    <w:rsid w:val="00E20894"/>
    <w:rsid w:val="00E245AB"/>
    <w:rsid w:val="00E2552C"/>
    <w:rsid w:val="00E2764C"/>
    <w:rsid w:val="00E27F2E"/>
    <w:rsid w:val="00E41CA8"/>
    <w:rsid w:val="00E4293F"/>
    <w:rsid w:val="00E50AFE"/>
    <w:rsid w:val="00E5612D"/>
    <w:rsid w:val="00E62B51"/>
    <w:rsid w:val="00E6536B"/>
    <w:rsid w:val="00E75C92"/>
    <w:rsid w:val="00E771DC"/>
    <w:rsid w:val="00E8772A"/>
    <w:rsid w:val="00E90D05"/>
    <w:rsid w:val="00E90F6B"/>
    <w:rsid w:val="00E9108F"/>
    <w:rsid w:val="00E92C27"/>
    <w:rsid w:val="00E96D74"/>
    <w:rsid w:val="00EA0E3D"/>
    <w:rsid w:val="00EA46EC"/>
    <w:rsid w:val="00EC013A"/>
    <w:rsid w:val="00EC38A7"/>
    <w:rsid w:val="00EC3A5C"/>
    <w:rsid w:val="00EC4F53"/>
    <w:rsid w:val="00EC59D7"/>
    <w:rsid w:val="00EC7660"/>
    <w:rsid w:val="00ED70C5"/>
    <w:rsid w:val="00ED7384"/>
    <w:rsid w:val="00EE1AA8"/>
    <w:rsid w:val="00EE2CE3"/>
    <w:rsid w:val="00EF0D48"/>
    <w:rsid w:val="00EF4987"/>
    <w:rsid w:val="00EF67E9"/>
    <w:rsid w:val="00F03C7C"/>
    <w:rsid w:val="00F068E8"/>
    <w:rsid w:val="00F25715"/>
    <w:rsid w:val="00F31EDC"/>
    <w:rsid w:val="00F36528"/>
    <w:rsid w:val="00F43F6D"/>
    <w:rsid w:val="00F44D03"/>
    <w:rsid w:val="00F45593"/>
    <w:rsid w:val="00F462B3"/>
    <w:rsid w:val="00F50D36"/>
    <w:rsid w:val="00F51E1D"/>
    <w:rsid w:val="00F53189"/>
    <w:rsid w:val="00F5664F"/>
    <w:rsid w:val="00F666C4"/>
    <w:rsid w:val="00F67999"/>
    <w:rsid w:val="00F75E28"/>
    <w:rsid w:val="00F76AFC"/>
    <w:rsid w:val="00F93B78"/>
    <w:rsid w:val="00FA1393"/>
    <w:rsid w:val="00FA17E9"/>
    <w:rsid w:val="00FA47C0"/>
    <w:rsid w:val="00FA4996"/>
    <w:rsid w:val="00FA6F9B"/>
    <w:rsid w:val="00FB5DD1"/>
    <w:rsid w:val="00FB708B"/>
    <w:rsid w:val="00FC2B5D"/>
    <w:rsid w:val="00FC5434"/>
    <w:rsid w:val="00FE17CF"/>
    <w:rsid w:val="00FF0E68"/>
    <w:rsid w:val="00FF1449"/>
    <w:rsid w:val="00FF566F"/>
    <w:rsid w:val="120B7EA7"/>
    <w:rsid w:val="165E9519"/>
    <w:rsid w:val="172A3F6A"/>
    <w:rsid w:val="183CF9EB"/>
    <w:rsid w:val="382536D9"/>
    <w:rsid w:val="568741DF"/>
    <w:rsid w:val="624090BA"/>
    <w:rsid w:val="6EFDAB80"/>
    <w:rsid w:val="6FDF005A"/>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8058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80587"/>
    <w:rPr>
      <w:rFonts w:ascii="Geomanist Light" w:hAnsi="Geomanist Light"/>
      <w:lang w:val="es-ES"/>
    </w:rPr>
  </w:style>
  <w:style w:type="character" w:customStyle="1" w:styleId="citation-625">
    <w:name w:val="citation-625"/>
    <w:basedOn w:val="Fuentedeprrafopredeter"/>
    <w:rsid w:val="00B80587"/>
  </w:style>
  <w:style w:type="character" w:customStyle="1" w:styleId="citation-624">
    <w:name w:val="citation-624"/>
    <w:basedOn w:val="Fuentedeprrafopredeter"/>
    <w:rsid w:val="00B80587"/>
  </w:style>
  <w:style w:type="character" w:customStyle="1" w:styleId="citation-623">
    <w:name w:val="citation-623"/>
    <w:basedOn w:val="Fuentedeprrafopredeter"/>
    <w:rsid w:val="00B80587"/>
  </w:style>
  <w:style w:type="character" w:customStyle="1" w:styleId="citation-622">
    <w:name w:val="citation-622"/>
    <w:basedOn w:val="Fuentedeprrafopredeter"/>
    <w:rsid w:val="00B80587"/>
  </w:style>
  <w:style w:type="character" w:customStyle="1" w:styleId="citation-621">
    <w:name w:val="citation-621"/>
    <w:basedOn w:val="Fuentedeprrafopredeter"/>
    <w:rsid w:val="00B80587"/>
  </w:style>
  <w:style w:type="character" w:customStyle="1" w:styleId="citation-620">
    <w:name w:val="citation-620"/>
    <w:basedOn w:val="Fuentedeprrafopredeter"/>
    <w:rsid w:val="00B80587"/>
  </w:style>
  <w:style w:type="character" w:styleId="Refdecomentario">
    <w:name w:val="annotation reference"/>
    <w:basedOn w:val="Fuentedeprrafopredeter"/>
    <w:uiPriority w:val="99"/>
    <w:semiHidden/>
    <w:unhideWhenUsed/>
    <w:rsid w:val="00A64CA8"/>
    <w:rPr>
      <w:sz w:val="16"/>
      <w:szCs w:val="16"/>
    </w:rPr>
  </w:style>
  <w:style w:type="paragraph" w:styleId="Textocomentario">
    <w:name w:val="annotation text"/>
    <w:basedOn w:val="Normal"/>
    <w:link w:val="TextocomentarioCar"/>
    <w:uiPriority w:val="99"/>
    <w:unhideWhenUsed/>
    <w:rsid w:val="00A64CA8"/>
    <w:pPr>
      <w:spacing w:line="240" w:lineRule="auto"/>
    </w:pPr>
    <w:rPr>
      <w:sz w:val="20"/>
      <w:szCs w:val="20"/>
    </w:rPr>
  </w:style>
  <w:style w:type="character" w:customStyle="1" w:styleId="TextocomentarioCar">
    <w:name w:val="Texto comentario Car"/>
    <w:basedOn w:val="Fuentedeprrafopredeter"/>
    <w:link w:val="Textocomentario"/>
    <w:uiPriority w:val="99"/>
    <w:rsid w:val="00A64CA8"/>
    <w:rPr>
      <w:sz w:val="20"/>
      <w:szCs w:val="20"/>
    </w:rPr>
  </w:style>
  <w:style w:type="paragraph" w:styleId="Asuntodelcomentario">
    <w:name w:val="annotation subject"/>
    <w:basedOn w:val="Textocomentario"/>
    <w:next w:val="Textocomentario"/>
    <w:link w:val="AsuntodelcomentarioCar"/>
    <w:uiPriority w:val="99"/>
    <w:semiHidden/>
    <w:unhideWhenUsed/>
    <w:rsid w:val="00A64CA8"/>
    <w:rPr>
      <w:b/>
      <w:bCs/>
    </w:rPr>
  </w:style>
  <w:style w:type="character" w:customStyle="1" w:styleId="AsuntodelcomentarioCar">
    <w:name w:val="Asunto del comentario Car"/>
    <w:basedOn w:val="TextocomentarioCar"/>
    <w:link w:val="Asuntodelcomentario"/>
    <w:uiPriority w:val="99"/>
    <w:semiHidden/>
    <w:rsid w:val="00A64CA8"/>
    <w:rPr>
      <w:b/>
      <w:bCs/>
      <w:sz w:val="20"/>
      <w:szCs w:val="20"/>
    </w:rPr>
  </w:style>
  <w:style w:type="paragraph" w:styleId="Textoindependiente">
    <w:name w:val="Body Text"/>
    <w:basedOn w:val="Normal"/>
    <w:link w:val="TextoindependienteCar"/>
    <w:uiPriority w:val="1"/>
    <w:qFormat/>
    <w:rsid w:val="009D0D49"/>
    <w:pPr>
      <w:widowControl w:val="0"/>
      <w:autoSpaceDE w:val="0"/>
      <w:autoSpaceDN w:val="0"/>
      <w:spacing w:after="0" w:line="240" w:lineRule="auto"/>
      <w:ind w:left="260"/>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9D0D49"/>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omaryire@hotmail.e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circulares?page=2" TargetMode="External"/><Relationship Id="rId2" Type="http://schemas.openxmlformats.org/officeDocument/2006/relationships/hyperlink" Target="https://relatoria.colombiacompra.gov.co/conceptos/c-447-de-2024/" TargetMode="External"/><Relationship Id="rId1" Type="http://schemas.openxmlformats.org/officeDocument/2006/relationships/hyperlink" Target="https://relatoria.colombiacompra.gov.co/conceptos/c-285-de-202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56E22D-FFA8-6241-BE6F-4880B4F081F1}">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A1B41142-E911-4C5A-A1A3-91F129592F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22</Pages>
  <Words>7769</Words>
  <Characters>42730</Characters>
  <Application>Microsoft Office Word</Application>
  <DocSecurity>0</DocSecurity>
  <Lines>356</Lines>
  <Paragraphs>100</Paragraphs>
  <ScaleCrop>false</ScaleCrop>
  <Company/>
  <LinksUpToDate>false</LinksUpToDate>
  <CharactersWithSpaces>50399</CharactersWithSpaces>
  <SharedDoc>false</SharedDoc>
  <HLinks>
    <vt:vector size="12" baseType="variant">
      <vt:variant>
        <vt:i4>7471218</vt:i4>
      </vt:variant>
      <vt:variant>
        <vt:i4>0</vt:i4>
      </vt:variant>
      <vt:variant>
        <vt:i4>0</vt:i4>
      </vt:variant>
      <vt:variant>
        <vt:i4>5</vt:i4>
      </vt:variant>
      <vt:variant>
        <vt:lpwstr>https://relatoria.colombiacompra.gov.co/busqueda/conceptos</vt:lpwstr>
      </vt:variant>
      <vt:variant>
        <vt:lpwstr/>
      </vt:variant>
      <vt:variant>
        <vt:i4>2424940</vt:i4>
      </vt:variant>
      <vt:variant>
        <vt:i4>0</vt:i4>
      </vt:variant>
      <vt:variant>
        <vt:i4>0</vt:i4>
      </vt:variant>
      <vt:variant>
        <vt:i4>5</vt:i4>
      </vt:variant>
      <vt:variant>
        <vt:lpwstr>https://www.colombiacompra.gov.co/circulares?page=2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2026-04-28T18:56:00Z</dcterms:created>
  <dcterms:modified xsi:type="dcterms:W3CDTF">2026-04-28T19:47:00Z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