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ECA126" w14:textId="77777777" w:rsidR="00EE2D2F" w:rsidRPr="00EE2D2F" w:rsidRDefault="00EE2D2F" w:rsidP="00EE2D2F">
      <w:pPr>
        <w:spacing w:after="0" w:line="276" w:lineRule="auto"/>
        <w:jc w:val="both"/>
        <w:rPr>
          <w:rFonts w:ascii="Verdana" w:eastAsia="Calibri" w:hAnsi="Verdana" w:cs="Arial"/>
          <w:b/>
          <w:bCs/>
          <w:lang w:val="es-ES_tradnl" w:eastAsia="es-MX"/>
        </w:rPr>
      </w:pPr>
      <w:bookmarkStart w:id="0" w:name="_Hlk143780582"/>
      <w:r w:rsidRPr="00EE2D2F">
        <w:rPr>
          <w:rFonts w:ascii="Verdana" w:eastAsia="Calibri" w:hAnsi="Verdana" w:cs="Arial"/>
          <w:b/>
          <w:bCs/>
          <w:lang w:val="es-ES_tradnl" w:eastAsia="es-MX"/>
        </w:rPr>
        <w:t xml:space="preserve">DOCUMENTOS TIPO – Fundamento normativo – Obligatoriedad </w:t>
      </w:r>
    </w:p>
    <w:p w14:paraId="64EF25A4" w14:textId="77777777" w:rsidR="00EE2D2F" w:rsidRPr="00EE2D2F" w:rsidRDefault="00EE2D2F" w:rsidP="00EE2D2F">
      <w:pPr>
        <w:spacing w:after="0" w:line="276" w:lineRule="auto"/>
        <w:jc w:val="both"/>
        <w:rPr>
          <w:rFonts w:ascii="Verdana" w:eastAsia="Calibri" w:hAnsi="Verdana" w:cs="Arial"/>
          <w:b/>
          <w:bCs/>
          <w:sz w:val="20"/>
          <w:szCs w:val="20"/>
          <w:lang w:val="es-ES_tradnl" w:eastAsia="es-MX"/>
        </w:rPr>
      </w:pPr>
    </w:p>
    <w:p w14:paraId="4583E190" w14:textId="77777777" w:rsidR="00EE2D2F" w:rsidRPr="00EE2D2F" w:rsidRDefault="00EE2D2F" w:rsidP="00EE2D2F">
      <w:pPr>
        <w:tabs>
          <w:tab w:val="left" w:pos="709"/>
        </w:tabs>
        <w:spacing w:after="0" w:line="240" w:lineRule="auto"/>
        <w:jc w:val="both"/>
        <w:rPr>
          <w:rFonts w:ascii="Verdana" w:eastAsia="Calibri" w:hAnsi="Verdana" w:cs="Arial"/>
          <w:sz w:val="20"/>
          <w:szCs w:val="20"/>
          <w:lang w:val="es-ES" w:eastAsia="es-MX"/>
        </w:rPr>
      </w:pPr>
      <w:r w:rsidRPr="00EE2D2F">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F713B1C" w14:textId="77777777" w:rsidR="00EE2D2F" w:rsidRPr="00EE2D2F" w:rsidRDefault="00EE2D2F" w:rsidP="00EE2D2F">
      <w:pPr>
        <w:spacing w:after="0" w:line="240" w:lineRule="auto"/>
        <w:jc w:val="both"/>
        <w:rPr>
          <w:rFonts w:ascii="Verdana" w:eastAsia="Calibri" w:hAnsi="Verdana" w:cs="Arial"/>
          <w:b/>
          <w:bCs/>
          <w:sz w:val="20"/>
          <w:szCs w:val="20"/>
          <w:lang w:val="es-ES_tradnl" w:eastAsia="es-MX"/>
        </w:rPr>
      </w:pPr>
    </w:p>
    <w:p w14:paraId="65F58D4B" w14:textId="77777777" w:rsidR="00EE2D2F" w:rsidRPr="00E06AB2" w:rsidRDefault="00EE2D2F" w:rsidP="00EE2D2F">
      <w:pPr>
        <w:widowControl w:val="0"/>
        <w:autoSpaceDE w:val="0"/>
        <w:autoSpaceDN w:val="0"/>
        <w:spacing w:after="0" w:line="240" w:lineRule="auto"/>
        <w:jc w:val="both"/>
        <w:rPr>
          <w:rFonts w:ascii="Verdana" w:eastAsia="Calibri" w:hAnsi="Verdana" w:cs="Times New Roman"/>
          <w:b/>
          <w:bCs/>
          <w:lang w:val="es-ES" w:eastAsia="es-MX"/>
        </w:rPr>
      </w:pPr>
      <w:r w:rsidRPr="00E06AB2">
        <w:rPr>
          <w:rFonts w:ascii="Verdana" w:eastAsia="Calibri" w:hAnsi="Verdana" w:cs="Arial"/>
          <w:b/>
          <w:bCs/>
          <w:lang w:val="es-ES_tradnl" w:eastAsia="es-MX"/>
        </w:rPr>
        <w:t>SECTOR SOCIAL</w:t>
      </w:r>
      <w:r w:rsidRPr="00E06AB2">
        <w:rPr>
          <w:rFonts w:ascii="Verdana" w:eastAsia="Calibri" w:hAnsi="Verdana" w:cs="Times New Roman"/>
          <w:lang w:val="es-ES" w:eastAsia="es-MX"/>
        </w:rPr>
        <w:t xml:space="preserve"> </w:t>
      </w:r>
      <w:r w:rsidRPr="00E06AB2">
        <w:rPr>
          <w:rFonts w:ascii="Verdana" w:eastAsia="Calibri" w:hAnsi="Verdana" w:cs="Times New Roman"/>
          <w:b/>
          <w:bCs/>
          <w:lang w:val="es-ES" w:eastAsia="es-MX"/>
        </w:rPr>
        <w:t>– Documentos tipo – Vigentes – Selección abreviada – Resolución 540 de 2025</w:t>
      </w:r>
    </w:p>
    <w:p w14:paraId="183A5449" w14:textId="77777777" w:rsidR="00EE2D2F" w:rsidRPr="00EE2D2F" w:rsidRDefault="00EE2D2F" w:rsidP="00EE2D2F">
      <w:pPr>
        <w:widowControl w:val="0"/>
        <w:autoSpaceDE w:val="0"/>
        <w:autoSpaceDN w:val="0"/>
        <w:spacing w:after="0" w:line="240" w:lineRule="auto"/>
        <w:jc w:val="both"/>
        <w:rPr>
          <w:rFonts w:ascii="Verdana" w:eastAsia="Calibri" w:hAnsi="Verdana" w:cs="Times New Roman"/>
          <w:b/>
          <w:bCs/>
          <w:sz w:val="20"/>
          <w:szCs w:val="20"/>
          <w:lang w:val="es-ES" w:eastAsia="es-MX"/>
        </w:rPr>
      </w:pPr>
    </w:p>
    <w:p w14:paraId="10C0266D" w14:textId="77777777" w:rsidR="00EE2D2F" w:rsidRPr="00E06AB2" w:rsidRDefault="00EE2D2F" w:rsidP="00EE2D2F">
      <w:pPr>
        <w:spacing w:after="0" w:line="240" w:lineRule="auto"/>
        <w:jc w:val="both"/>
        <w:rPr>
          <w:rFonts w:ascii="Verdana" w:eastAsia="Times New Roman" w:hAnsi="Verdana" w:cs="Times New Roman"/>
          <w:color w:val="000000"/>
          <w:sz w:val="20"/>
          <w:szCs w:val="20"/>
          <w:lang w:eastAsia="es-CO"/>
        </w:rPr>
      </w:pPr>
      <w:r w:rsidRPr="00E06AB2">
        <w:rPr>
          <w:rFonts w:ascii="Verdana" w:eastAsia="Aptos" w:hAnsi="Verdana" w:cs="Arial"/>
          <w:sz w:val="20"/>
          <w:szCs w:val="20"/>
          <w:lang w:eastAsia="es-MX"/>
        </w:rPr>
        <w:t xml:space="preserve">En el sector social, </w:t>
      </w:r>
      <w:r w:rsidRPr="00E06AB2">
        <w:rPr>
          <w:rFonts w:ascii="Verdana" w:eastAsia="Calibri" w:hAnsi="Verdana" w:cs="Arial"/>
          <w:sz w:val="20"/>
          <w:szCs w:val="20"/>
          <w:lang w:val="es-MX" w:eastAsia="es-MX"/>
        </w:rPr>
        <w:t xml:space="preserve">la Agencia Nacional de Contratación Pública – Colombia Compra </w:t>
      </w:r>
      <w:r w:rsidRPr="00E06AB2">
        <w:rPr>
          <w:rFonts w:ascii="Verdana" w:eastAsia="Calibri" w:hAnsi="Verdana" w:cs="Arial"/>
          <w:sz w:val="20"/>
          <w:szCs w:val="20"/>
          <w:lang w:eastAsia="es-MX"/>
        </w:rPr>
        <w:t xml:space="preserve">Eficiente </w:t>
      </w:r>
      <w:r w:rsidRPr="00E06AB2">
        <w:rPr>
          <w:rFonts w:ascii="Verdana" w:eastAsia="Times New Roman" w:hAnsi="Verdana" w:cs="Times New Roman"/>
          <w:color w:val="000000"/>
          <w:sz w:val="20"/>
          <w:szCs w:val="20"/>
          <w:lang w:eastAsia="es-CO"/>
        </w:rPr>
        <w:t>en el segundo semestre del año 2025 adoptó las siguientes Resoluciones para contratar obra pública y concurso de méritos:</w:t>
      </w:r>
    </w:p>
    <w:p w14:paraId="368ED606" w14:textId="77777777" w:rsidR="00EE2D2F" w:rsidRPr="00E06AB2" w:rsidRDefault="00EE2D2F" w:rsidP="00EE2D2F">
      <w:pPr>
        <w:spacing w:after="0" w:line="240" w:lineRule="auto"/>
        <w:jc w:val="both"/>
        <w:rPr>
          <w:rFonts w:ascii="Verdana" w:eastAsia="Times New Roman" w:hAnsi="Verdana" w:cs="Times New Roman"/>
          <w:color w:val="000000"/>
          <w:sz w:val="20"/>
          <w:szCs w:val="20"/>
          <w:lang w:eastAsia="es-CO"/>
        </w:rPr>
      </w:pPr>
    </w:p>
    <w:p w14:paraId="20B58763" w14:textId="77777777" w:rsidR="00EE2D2F" w:rsidRPr="00E06AB2" w:rsidRDefault="00EE2D2F" w:rsidP="00EE2D2F">
      <w:pPr>
        <w:spacing w:after="0" w:line="240" w:lineRule="auto"/>
        <w:jc w:val="both"/>
        <w:rPr>
          <w:rFonts w:ascii="Verdana" w:eastAsia="Times New Roman" w:hAnsi="Verdana" w:cs="Times New Roman"/>
          <w:color w:val="000000"/>
          <w:sz w:val="20"/>
          <w:szCs w:val="20"/>
          <w:lang w:eastAsia="es-CO"/>
        </w:rPr>
      </w:pPr>
      <w:r w:rsidRPr="00E06AB2">
        <w:rPr>
          <w:rFonts w:ascii="Verdana" w:eastAsia="Times New Roman" w:hAnsi="Verdana" w:cs="Times New Roman"/>
          <w:color w:val="000000"/>
          <w:sz w:val="20"/>
          <w:szCs w:val="20"/>
          <w:lang w:eastAsia="es-CO"/>
        </w:rPr>
        <w:t>(…)</w:t>
      </w:r>
    </w:p>
    <w:p w14:paraId="6F17A752" w14:textId="77777777" w:rsidR="00EE2D2F" w:rsidRPr="00E06AB2" w:rsidRDefault="00EE2D2F" w:rsidP="00EE2D2F">
      <w:pPr>
        <w:spacing w:after="0" w:line="240" w:lineRule="auto"/>
        <w:jc w:val="both"/>
        <w:rPr>
          <w:rFonts w:ascii="Verdana" w:eastAsia="Times New Roman" w:hAnsi="Verdana" w:cs="Times New Roman"/>
          <w:color w:val="000000"/>
          <w:sz w:val="20"/>
          <w:szCs w:val="20"/>
          <w:lang w:eastAsia="es-CO"/>
        </w:rPr>
      </w:pPr>
    </w:p>
    <w:p w14:paraId="797AE421" w14:textId="77777777" w:rsidR="00EE2D2F" w:rsidRPr="00E06AB2" w:rsidRDefault="00EE2D2F" w:rsidP="00EE2D2F">
      <w:pPr>
        <w:spacing w:after="0" w:line="240" w:lineRule="auto"/>
        <w:jc w:val="both"/>
        <w:rPr>
          <w:rFonts w:ascii="Verdana" w:eastAsia="Times New Roman" w:hAnsi="Verdana" w:cs="Times New Roman"/>
          <w:color w:val="000000"/>
          <w:sz w:val="20"/>
          <w:szCs w:val="20"/>
          <w:lang w:eastAsia="es-CO"/>
        </w:rPr>
      </w:pPr>
      <w:proofErr w:type="spellStart"/>
      <w:r w:rsidRPr="00E06AB2">
        <w:rPr>
          <w:rFonts w:ascii="Verdana" w:eastAsia="Times New Roman" w:hAnsi="Verdana" w:cs="Times New Roman"/>
          <w:color w:val="000000"/>
          <w:sz w:val="20"/>
          <w:szCs w:val="20"/>
          <w:lang w:eastAsia="es-CO"/>
        </w:rPr>
        <w:t>ii</w:t>
      </w:r>
      <w:proofErr w:type="spellEnd"/>
      <w:r w:rsidRPr="00E06AB2">
        <w:rPr>
          <w:rFonts w:ascii="Verdana" w:eastAsia="Times New Roman" w:hAnsi="Verdana" w:cs="Times New Roman"/>
          <w:color w:val="000000"/>
          <w:sz w:val="20"/>
          <w:szCs w:val="2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7A8EC30A" w14:textId="77777777" w:rsidR="00EE2D2F" w:rsidRPr="00EE2D2F" w:rsidRDefault="00EE2D2F" w:rsidP="00EE2D2F">
      <w:pPr>
        <w:spacing w:after="0" w:line="278" w:lineRule="auto"/>
        <w:jc w:val="both"/>
        <w:rPr>
          <w:rFonts w:ascii="Verdana" w:eastAsia="Calibri" w:hAnsi="Verdana" w:cs="Arial"/>
          <w:color w:val="0D0D0D"/>
          <w:kern w:val="2"/>
          <w:sz w:val="20"/>
          <w:szCs w:val="20"/>
          <w:lang w:eastAsia="es-MX"/>
          <w14:ligatures w14:val="standardContextual"/>
        </w:rPr>
      </w:pPr>
    </w:p>
    <w:p w14:paraId="51DD5CFA" w14:textId="77777777" w:rsidR="00EE2D2F" w:rsidRPr="00EE2D2F" w:rsidRDefault="00EE2D2F" w:rsidP="00EE2D2F">
      <w:pPr>
        <w:spacing w:after="0" w:line="240" w:lineRule="auto"/>
        <w:jc w:val="both"/>
        <w:rPr>
          <w:rFonts w:ascii="Verdana" w:eastAsia="Calibri" w:hAnsi="Verdana" w:cs="Arial"/>
          <w:b/>
          <w:bCs/>
          <w:color w:val="000000"/>
          <w:kern w:val="2"/>
          <w:lang w:val="es-ES"/>
          <w14:ligatures w14:val="standardContextual"/>
        </w:rPr>
      </w:pPr>
      <w:r w:rsidRPr="00EE2D2F">
        <w:rPr>
          <w:rFonts w:ascii="Verdana" w:eastAsia="Calibri" w:hAnsi="Verdana" w:cs="Arial"/>
          <w:b/>
          <w:bCs/>
          <w:color w:val="000000"/>
          <w:kern w:val="2"/>
          <w:lang w:val="es-ES"/>
          <w14:ligatures w14:val="standardContextual"/>
        </w:rPr>
        <w:t xml:space="preserve">CONTRATO POR MONTO AGOTABLE </w:t>
      </w:r>
      <w:r w:rsidRPr="00EE2D2F">
        <w:rPr>
          <w:rFonts w:ascii="Verdana" w:eastAsia="Calibri" w:hAnsi="Verdana" w:cs="Arial"/>
          <w:b/>
          <w:bCs/>
          <w:color w:val="000000"/>
          <w:kern w:val="2"/>
          <w14:ligatures w14:val="standardContextual"/>
        </w:rPr>
        <w:t xml:space="preserve">– </w:t>
      </w:r>
      <w:r w:rsidRPr="00EE2D2F">
        <w:rPr>
          <w:rFonts w:ascii="Verdana" w:eastAsia="Calibri" w:hAnsi="Verdana" w:cs="Arial"/>
          <w:b/>
          <w:bCs/>
          <w:color w:val="000000"/>
          <w:kern w:val="2"/>
          <w:lang w:val="es-ES"/>
          <w14:ligatures w14:val="standardContextual"/>
        </w:rPr>
        <w:t>Forma de Pago – Contratos de obra</w:t>
      </w:r>
    </w:p>
    <w:p w14:paraId="3444D6E3" w14:textId="77777777" w:rsidR="00EE2D2F" w:rsidRPr="00EE2D2F" w:rsidRDefault="00EE2D2F" w:rsidP="00EE2D2F">
      <w:pPr>
        <w:spacing w:after="0" w:line="240" w:lineRule="auto"/>
        <w:jc w:val="both"/>
        <w:rPr>
          <w:rFonts w:ascii="Verdana" w:eastAsia="Calibri" w:hAnsi="Verdana" w:cs="Arial"/>
          <w:b/>
          <w:bCs/>
          <w:color w:val="000000"/>
          <w:kern w:val="2"/>
          <w:sz w:val="24"/>
          <w:szCs w:val="24"/>
          <w:lang w:val="es-ES"/>
          <w14:ligatures w14:val="standardContextual"/>
        </w:rPr>
      </w:pPr>
    </w:p>
    <w:p w14:paraId="4FF483CD" w14:textId="77777777" w:rsidR="00EE2D2F" w:rsidRPr="00EE2D2F" w:rsidRDefault="00EE2D2F" w:rsidP="00EE2D2F">
      <w:pPr>
        <w:spacing w:after="0" w:line="240" w:lineRule="auto"/>
        <w:jc w:val="both"/>
        <w:rPr>
          <w:rFonts w:ascii="Verdana" w:eastAsia="Calibri" w:hAnsi="Verdana" w:cs="Arial"/>
          <w:kern w:val="2"/>
          <w:sz w:val="20"/>
          <w:szCs w:val="20"/>
          <w:lang w:eastAsia="es-MX"/>
          <w14:ligatures w14:val="standardContextual"/>
        </w:rPr>
      </w:pPr>
      <w:r w:rsidRPr="00EE2D2F">
        <w:rPr>
          <w:rFonts w:ascii="Verdana" w:eastAsia="Calibri" w:hAnsi="Verdana" w:cs="Arial"/>
          <w:sz w:val="20"/>
          <w:szCs w:val="20"/>
          <w:lang w:eastAsia="es-MX"/>
        </w:rPr>
        <w:t xml:space="preserve">Lo que el peticionario denomina como “Monto agotable”, en realidad puede corresponder a un contrato de suministro o de obra, donde se pacta el pago de la contraprestación a precios unitarios, conforme a unos valores asignados, que son objeto del negocio y que se entregan a la entidad, durante el plazo de ejecución del contrato, sin exceder el valor o presupuesto oficial asignado por la entidad contratante para el efecto. </w:t>
      </w:r>
    </w:p>
    <w:p w14:paraId="7271384B" w14:textId="77777777" w:rsidR="00EE2D2F" w:rsidRPr="00EE2D2F" w:rsidRDefault="00EE2D2F" w:rsidP="00EE2D2F">
      <w:pPr>
        <w:spacing w:after="0" w:line="240" w:lineRule="auto"/>
        <w:jc w:val="both"/>
        <w:rPr>
          <w:rFonts w:ascii="Verdana" w:eastAsia="Calibri" w:hAnsi="Verdana" w:cs="Arial"/>
          <w:sz w:val="20"/>
          <w:szCs w:val="20"/>
          <w:lang w:eastAsia="es-MX"/>
        </w:rPr>
      </w:pPr>
    </w:p>
    <w:p w14:paraId="7C8999DE" w14:textId="77777777" w:rsidR="00EE2D2F" w:rsidRPr="00EE2D2F" w:rsidRDefault="00EE2D2F" w:rsidP="00EE2D2F">
      <w:pPr>
        <w:spacing w:after="0" w:line="240" w:lineRule="auto"/>
        <w:jc w:val="both"/>
        <w:rPr>
          <w:rFonts w:ascii="Verdana" w:eastAsia="Calibri" w:hAnsi="Verdana" w:cs="Arial"/>
          <w:kern w:val="2"/>
          <w:sz w:val="20"/>
          <w:szCs w:val="20"/>
          <w:lang w:eastAsia="es-MX"/>
          <w14:ligatures w14:val="standardContextual"/>
        </w:rPr>
      </w:pPr>
      <w:r w:rsidRPr="00EE2D2F">
        <w:rPr>
          <w:rFonts w:ascii="Verdana" w:eastAsia="Calibri" w:hAnsi="Verdana" w:cs="Arial"/>
          <w:kern w:val="2"/>
          <w:sz w:val="20"/>
          <w:szCs w:val="20"/>
          <w:lang w:eastAsia="es-MX"/>
          <w14:ligatures w14:val="standardContextual"/>
        </w:rPr>
        <w:t>(…)</w:t>
      </w:r>
    </w:p>
    <w:p w14:paraId="45E0C6D2" w14:textId="77777777" w:rsidR="00EE2D2F" w:rsidRPr="00EE2D2F" w:rsidRDefault="00EE2D2F" w:rsidP="00EE2D2F">
      <w:pPr>
        <w:spacing w:after="0" w:line="240" w:lineRule="auto"/>
        <w:jc w:val="both"/>
        <w:rPr>
          <w:rFonts w:ascii="Verdana" w:eastAsia="Calibri" w:hAnsi="Verdana" w:cs="Arial"/>
          <w:kern w:val="2"/>
          <w:sz w:val="20"/>
          <w:szCs w:val="20"/>
          <w:lang w:eastAsia="es-MX"/>
          <w14:ligatures w14:val="standardContextual"/>
        </w:rPr>
      </w:pPr>
    </w:p>
    <w:p w14:paraId="5B3832CA" w14:textId="77777777" w:rsidR="00EE2D2F" w:rsidRPr="00EE2D2F" w:rsidRDefault="00EE2D2F" w:rsidP="00EE2D2F">
      <w:pPr>
        <w:spacing w:after="0" w:line="240" w:lineRule="auto"/>
        <w:jc w:val="both"/>
        <w:rPr>
          <w:rFonts w:ascii="Verdana" w:eastAsia="Calibri" w:hAnsi="Verdana" w:cs="Arial"/>
          <w:kern w:val="2"/>
          <w:sz w:val="20"/>
          <w:szCs w:val="20"/>
          <w:lang w:eastAsia="es-MX"/>
          <w14:ligatures w14:val="standardContextual"/>
        </w:rPr>
      </w:pPr>
      <w:r w:rsidRPr="00EE2D2F">
        <w:rPr>
          <w:rFonts w:ascii="Verdana" w:eastAsia="Calibri" w:hAnsi="Verdana" w:cs="Arial"/>
          <w:sz w:val="20"/>
          <w:szCs w:val="20"/>
          <w:lang w:eastAsia="es-MX"/>
        </w:rPr>
        <w:t xml:space="preserve">Para la doctrina, “Se trata de un sistema flexible en el precio y en la obra, por cuanto ambos solo van a quedar definitivamente determinados al momento de la conclusión de las obras, circunstancia en la que recién podrán conocerse con exactitud la cantidad de unidades ejecutadas por el constructor y, del mismo modo, el precio definitivo a ser pagado por el comitente”. En este caso, también se requiere establecer un tope máximo para la adelantar las obras, ya que “[…] el precio total depende del conjunto de trabajos ejecutados según el presupuesto, pudiendo por tanto variar por nuevos trabajos adicionales […]”. Por lo demás, a pesar de que el precio del contrato se fije por un monto agotable, este no deja de pertenecer a la tipología del artículo 32.1 del Estatuto General de Contratación de la Administración Pública, especialmente, cuando –conforme al tenor </w:t>
      </w:r>
      <w:r w:rsidRPr="00EE2D2F">
        <w:rPr>
          <w:rFonts w:ascii="Verdana" w:eastAsia="Calibri" w:hAnsi="Verdana" w:cs="Arial"/>
          <w:sz w:val="20"/>
          <w:szCs w:val="20"/>
          <w:lang w:eastAsia="es-MX"/>
        </w:rPr>
        <w:lastRenderedPageBreak/>
        <w:t xml:space="preserve">literal de la norma– la obra pública existe cualquiera que sea la modalidad de ejecución y pago.    </w:t>
      </w:r>
    </w:p>
    <w:p w14:paraId="16015AAF" w14:textId="77777777" w:rsidR="00EE2D2F" w:rsidRPr="00EE2D2F" w:rsidRDefault="00EE2D2F" w:rsidP="00EE2D2F">
      <w:pPr>
        <w:spacing w:after="0" w:line="278" w:lineRule="auto"/>
        <w:jc w:val="both"/>
        <w:rPr>
          <w:rFonts w:ascii="Verdana" w:eastAsia="Calibri" w:hAnsi="Verdana" w:cs="Arial"/>
          <w:kern w:val="2"/>
          <w:sz w:val="20"/>
          <w:szCs w:val="20"/>
          <w:lang w:eastAsia="es-MX"/>
          <w14:ligatures w14:val="standardContextual"/>
        </w:rPr>
      </w:pPr>
    </w:p>
    <w:p w14:paraId="4D00A33F" w14:textId="77777777" w:rsidR="00EE2D2F" w:rsidRPr="00EE2D2F" w:rsidRDefault="00EE2D2F" w:rsidP="00EE2D2F">
      <w:pPr>
        <w:spacing w:after="0" w:line="240" w:lineRule="auto"/>
        <w:contextualSpacing/>
        <w:jc w:val="both"/>
        <w:rPr>
          <w:rFonts w:ascii="Verdana" w:eastAsia="Arial" w:hAnsi="Verdana" w:cs="Arial"/>
          <w:b/>
          <w:bCs/>
          <w:lang w:val="es-ES" w:eastAsia="es-CO"/>
        </w:rPr>
      </w:pPr>
      <w:r w:rsidRPr="00EE2D2F">
        <w:rPr>
          <w:rFonts w:ascii="Verdana" w:eastAsia="Arial" w:hAnsi="Verdana" w:cs="Arial"/>
          <w:b/>
          <w:bCs/>
          <w:lang w:val="es-ES" w:eastAsia="es-CO"/>
        </w:rPr>
        <w:t>APOYO A LA INDUSTRIA NACIONAL – Decreto 680 de 2021</w:t>
      </w:r>
    </w:p>
    <w:p w14:paraId="2C838027" w14:textId="77777777" w:rsidR="00EE2D2F" w:rsidRPr="00EE2D2F" w:rsidRDefault="00EE2D2F" w:rsidP="00EE2D2F">
      <w:pPr>
        <w:spacing w:after="0" w:line="240" w:lineRule="auto"/>
        <w:contextualSpacing/>
        <w:jc w:val="both"/>
        <w:rPr>
          <w:rFonts w:ascii="Verdana" w:eastAsia="Arial" w:hAnsi="Verdana" w:cs="Arial"/>
          <w:sz w:val="20"/>
          <w:szCs w:val="20"/>
          <w:lang w:val="es-ES" w:eastAsia="es-CO"/>
        </w:rPr>
      </w:pPr>
    </w:p>
    <w:p w14:paraId="4BD830F5" w14:textId="77777777" w:rsidR="00EE2D2F" w:rsidRPr="00EE2D2F" w:rsidRDefault="00EE2D2F" w:rsidP="00EE2D2F">
      <w:pPr>
        <w:spacing w:after="0" w:line="240" w:lineRule="auto"/>
        <w:contextualSpacing/>
        <w:jc w:val="both"/>
        <w:rPr>
          <w:rFonts w:ascii="Verdana" w:eastAsia="Calibri" w:hAnsi="Verdana" w:cs="Arial"/>
          <w:sz w:val="20"/>
          <w:szCs w:val="20"/>
          <w:lang w:val="es-ES"/>
        </w:rPr>
      </w:pPr>
      <w:r w:rsidRPr="00EE2D2F">
        <w:rPr>
          <w:rFonts w:ascii="Verdana" w:eastAsia="Calibri" w:hAnsi="Verdana" w:cs="Arial"/>
          <w:sz w:val="20"/>
          <w:szCs w:val="20"/>
          <w:lang w:val="es-ES"/>
        </w:rPr>
        <w:t>De acuerdo con esta norma, las ofertas de bienes y servicios nacionales –o extranjeros con derecho a trato nacional– deberán beneficiarse de la obtención de un puntaje comprendido entre el 10 y el 20% del total de los puntos, según lo haya definido la entidad estatal contratante en el pliego de condiciones o documento equivalente, con la finalidad de incentivar la industria nacional. Al respecto, conviene señalar que es la entidad pública la que, en el pliego de condiciones o en el documento equivalente, debe fijar los criterios de asignación de puntaje –o factores de evaluación–. De este modo, cuenta con la discrecionalidad administrativa para determinar a partir de qué elementos o circunstancias realizará la calificación de las propuestas. Por supuesto, tal discrecionalidad no es absoluta, sino que está limitada por las normas de orden público, que incluyen reglas imperativas para la elaboración del pliego de condiciones y el deber de selección objetiva.</w:t>
      </w:r>
    </w:p>
    <w:p w14:paraId="3FDB0A36" w14:textId="77777777" w:rsidR="00EE2D2F" w:rsidRPr="00EE2D2F" w:rsidRDefault="00EE2D2F" w:rsidP="00EE2D2F">
      <w:pPr>
        <w:tabs>
          <w:tab w:val="left" w:pos="0"/>
        </w:tabs>
        <w:spacing w:after="0" w:line="240" w:lineRule="auto"/>
        <w:contextualSpacing/>
        <w:jc w:val="both"/>
        <w:rPr>
          <w:rFonts w:ascii="Verdana" w:eastAsia="Calibri" w:hAnsi="Verdana" w:cs="Arial"/>
          <w:bCs/>
          <w:sz w:val="20"/>
          <w:szCs w:val="20"/>
          <w:lang w:val="es-ES_tradnl"/>
        </w:rPr>
      </w:pPr>
    </w:p>
    <w:p w14:paraId="51237FF9" w14:textId="77777777" w:rsidR="00EE2D2F" w:rsidRPr="00EE2D2F" w:rsidRDefault="00EE2D2F" w:rsidP="00EE2D2F">
      <w:pPr>
        <w:tabs>
          <w:tab w:val="left" w:pos="0"/>
        </w:tabs>
        <w:spacing w:after="0" w:line="240" w:lineRule="auto"/>
        <w:contextualSpacing/>
        <w:jc w:val="both"/>
        <w:rPr>
          <w:rFonts w:ascii="Verdana" w:eastAsia="Calibri" w:hAnsi="Verdana" w:cs="Arial"/>
          <w:bCs/>
          <w:sz w:val="20"/>
          <w:szCs w:val="20"/>
          <w:lang w:val="es-ES_tradnl"/>
        </w:rPr>
      </w:pPr>
      <w:r w:rsidRPr="00EE2D2F">
        <w:rPr>
          <w:rFonts w:ascii="Verdana" w:eastAsia="Calibri" w:hAnsi="Verdana" w:cs="Arial"/>
          <w:bCs/>
          <w:sz w:val="20"/>
          <w:szCs w:val="20"/>
          <w:lang w:val="es-ES_tradnl"/>
        </w:rPr>
        <w:t>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sidRPr="00EE2D2F">
        <w:rPr>
          <w:rFonts w:ascii="Verdana" w:eastAsia="Calibri" w:hAnsi="Verdana" w:cs="Arial"/>
          <w:sz w:val="20"/>
          <w:szCs w:val="20"/>
          <w:lang w:val="es-ES_tradnl"/>
        </w:rPr>
        <w:t xml:space="preserve">[…] </w:t>
      </w:r>
      <w:r w:rsidRPr="00EE2D2F">
        <w:rPr>
          <w:rFonts w:ascii="Verdana" w:eastAsia="Calibri" w:hAnsi="Verdana" w:cs="Arial"/>
          <w:bCs/>
          <w:sz w:val="20"/>
          <w:szCs w:val="20"/>
          <w:lang w:val="es-ES_tradnl"/>
        </w:rPr>
        <w:t xml:space="preserve">un puntaje comprendido entre el diez (10) y el veinte por ciento (20%)” para estimular la industria nacional, cuando se oferten bienes o servicios nacionales” –inciso primero o “Franja 1”–. Adicionalmente, la norma indica que, si no se ofertan bienes o servicios nacionales, sino bienes o servicios </w:t>
      </w:r>
      <w:r w:rsidRPr="00EE2D2F">
        <w:rPr>
          <w:rFonts w:ascii="Verdana" w:eastAsia="Calibri" w:hAnsi="Verdana" w:cs="Arial"/>
          <w:bCs/>
          <w:i/>
          <w:iCs/>
          <w:sz w:val="20"/>
          <w:szCs w:val="20"/>
          <w:lang w:val="es-ES_tradnl"/>
        </w:rPr>
        <w:t>extranjeros</w:t>
      </w:r>
      <w:r w:rsidRPr="00EE2D2F">
        <w:rPr>
          <w:rFonts w:ascii="Verdana" w:eastAsia="Calibri" w:hAnsi="Verdana" w:cs="Arial"/>
          <w:bCs/>
          <w:sz w:val="20"/>
          <w:szCs w:val="20"/>
          <w:lang w:val="es-ES_tradnl"/>
        </w:rPr>
        <w:t xml:space="preserve">, “[…] la entidad contratante establecerá un puntaje comprendido entre el cinco (5) y el quince por ciento (15%), para incentivar la incorporación de componente colombiano de bienes y servicios profesionales, técnicos y operativos” –inciso segundo o </w:t>
      </w:r>
      <w:r w:rsidRPr="00EE2D2F">
        <w:rPr>
          <w:rFonts w:ascii="Verdana" w:eastAsia="Calibri" w:hAnsi="Verdana" w:cs="Arial"/>
          <w:bCs/>
          <w:sz w:val="20"/>
          <w:szCs w:val="20"/>
        </w:rPr>
        <w:t>“</w:t>
      </w:r>
      <w:r w:rsidRPr="00EE2D2F">
        <w:rPr>
          <w:rFonts w:ascii="Verdana" w:eastAsia="Calibri" w:hAnsi="Verdana" w:cs="Arial"/>
          <w:bCs/>
          <w:sz w:val="20"/>
          <w:szCs w:val="20"/>
          <w:lang w:val="es-ES_tradnl"/>
        </w:rPr>
        <w:t xml:space="preserve">Franja 2”–. </w:t>
      </w:r>
    </w:p>
    <w:p w14:paraId="59F162CD" w14:textId="77777777" w:rsidR="00EE2D2F" w:rsidRPr="00EE2D2F" w:rsidRDefault="00EE2D2F" w:rsidP="00EE2D2F">
      <w:pPr>
        <w:spacing w:after="0" w:line="240" w:lineRule="auto"/>
        <w:contextualSpacing/>
        <w:jc w:val="both"/>
        <w:rPr>
          <w:rFonts w:ascii="Verdana" w:eastAsia="Calibri" w:hAnsi="Verdana" w:cs="Arial"/>
          <w:b/>
          <w:bCs/>
          <w:sz w:val="20"/>
          <w:szCs w:val="20"/>
          <w:lang w:val="es-ES_tradnl"/>
        </w:rPr>
      </w:pPr>
    </w:p>
    <w:p w14:paraId="1C68292B" w14:textId="77777777" w:rsidR="00EE2D2F" w:rsidRPr="00EE2D2F" w:rsidRDefault="00EE2D2F" w:rsidP="00EE2D2F">
      <w:pPr>
        <w:spacing w:after="0" w:line="240" w:lineRule="auto"/>
        <w:contextualSpacing/>
        <w:jc w:val="both"/>
        <w:rPr>
          <w:rFonts w:ascii="Verdana" w:eastAsia="Calibri" w:hAnsi="Verdana" w:cs="Arial"/>
          <w:b/>
          <w:bCs/>
          <w:lang w:val="es-ES_tradnl"/>
        </w:rPr>
      </w:pPr>
      <w:r w:rsidRPr="00EE2D2F">
        <w:rPr>
          <w:rFonts w:ascii="Verdana" w:eastAsia="Calibri" w:hAnsi="Verdana" w:cs="Arial"/>
          <w:b/>
          <w:bCs/>
          <w:lang w:val="es-ES_tradnl"/>
        </w:rPr>
        <w:t>DECRETO 680 DE 2021 – Alcance servicios nacionales – Noción</w:t>
      </w:r>
    </w:p>
    <w:p w14:paraId="6300102A" w14:textId="77777777" w:rsidR="00EE2D2F" w:rsidRPr="00EE2D2F" w:rsidRDefault="00EE2D2F" w:rsidP="00EE2D2F">
      <w:pPr>
        <w:spacing w:after="0" w:line="240" w:lineRule="auto"/>
        <w:contextualSpacing/>
        <w:jc w:val="both"/>
        <w:rPr>
          <w:rFonts w:ascii="Verdana" w:eastAsia="Calibri" w:hAnsi="Verdana" w:cs="Arial"/>
          <w:b/>
          <w:bCs/>
          <w:sz w:val="20"/>
          <w:szCs w:val="20"/>
          <w:lang w:val="es-ES_tradnl"/>
        </w:rPr>
      </w:pPr>
    </w:p>
    <w:p w14:paraId="14790848" w14:textId="77777777" w:rsidR="00EE2D2F" w:rsidRPr="00EE2D2F" w:rsidRDefault="00EE2D2F" w:rsidP="00EE2D2F">
      <w:pPr>
        <w:tabs>
          <w:tab w:val="left" w:pos="0"/>
        </w:tabs>
        <w:spacing w:after="0" w:line="240" w:lineRule="auto"/>
        <w:contextualSpacing/>
        <w:jc w:val="both"/>
        <w:rPr>
          <w:rFonts w:ascii="Verdana" w:eastAsia="Calibri" w:hAnsi="Verdana" w:cs="Arial"/>
          <w:bCs/>
          <w:sz w:val="20"/>
          <w:szCs w:val="20"/>
          <w:lang w:val="es-ES_tradnl"/>
        </w:rPr>
      </w:pPr>
      <w:r w:rsidRPr="00EE2D2F">
        <w:rPr>
          <w:rFonts w:ascii="Verdana" w:eastAsia="Calibri" w:hAnsi="Verdana" w:cs="Arial"/>
          <w:bCs/>
          <w:sz w:val="20"/>
          <w:szCs w:val="20"/>
          <w:lang w:val="es-ES_tradnl"/>
        </w:rPr>
        <w:t xml:space="preserve">[…] la noción de </w:t>
      </w:r>
      <w:r w:rsidRPr="00EE2D2F">
        <w:rPr>
          <w:rFonts w:ascii="Verdana" w:eastAsia="Calibri" w:hAnsi="Verdana" w:cs="Arial"/>
          <w:bCs/>
          <w:i/>
          <w:iCs/>
          <w:sz w:val="20"/>
          <w:szCs w:val="20"/>
          <w:lang w:val="es-ES_tradnl"/>
        </w:rPr>
        <w:t>Servicios Nacionales</w:t>
      </w:r>
      <w:r w:rsidRPr="00EE2D2F">
        <w:rPr>
          <w:rFonts w:ascii="Verdana" w:eastAsia="Calibri" w:hAnsi="Verdana" w:cs="Arial"/>
          <w:bCs/>
          <w:sz w:val="20"/>
          <w:szCs w:val="20"/>
          <w:lang w:val="es-ES_tradnl"/>
        </w:rPr>
        <w:t xml:space="preserve"> no está determinada únicamente por la naturaleza jurídica de su prestador, ya que además de tratarse de una persona natural colombiana o jurídica conformada según la ley colombiana, se requiere que la propuesta, en principio, incluya en la ejecución del contrato la utilización de los bienes nacionales relevantes. En ese sentido, la definición de </w:t>
      </w:r>
      <w:r w:rsidRPr="00EE2D2F">
        <w:rPr>
          <w:rFonts w:ascii="Verdana" w:eastAsia="Calibri" w:hAnsi="Verdana" w:cs="Arial"/>
          <w:bCs/>
          <w:i/>
          <w:iCs/>
          <w:sz w:val="20"/>
          <w:szCs w:val="20"/>
          <w:lang w:val="es-ES_tradnl"/>
        </w:rPr>
        <w:t xml:space="preserve">Servicios Nacionales </w:t>
      </w:r>
      <w:r w:rsidRPr="00EE2D2F">
        <w:rPr>
          <w:rFonts w:ascii="Verdana" w:eastAsia="Calibri" w:hAnsi="Verdana" w:cs="Arial"/>
          <w:bCs/>
          <w:sz w:val="20"/>
          <w:szCs w:val="20"/>
          <w:lang w:val="es-ES_tradnl"/>
        </w:rPr>
        <w:t xml:space="preserve">remite a la noción de </w:t>
      </w:r>
      <w:r w:rsidRPr="00EE2D2F">
        <w:rPr>
          <w:rFonts w:ascii="Verdana" w:eastAsia="Calibri" w:hAnsi="Verdana" w:cs="Arial"/>
          <w:bCs/>
          <w:i/>
          <w:iCs/>
          <w:sz w:val="20"/>
          <w:szCs w:val="20"/>
          <w:lang w:val="es-ES_tradnl"/>
        </w:rPr>
        <w:t>Bienes Nacionales</w:t>
      </w:r>
      <w:r w:rsidRPr="00EE2D2F">
        <w:rPr>
          <w:rFonts w:ascii="Verdana" w:eastAsia="Calibri" w:hAnsi="Verdana" w:cs="Arial"/>
          <w:bCs/>
          <w:sz w:val="20"/>
          <w:szCs w:val="20"/>
          <w:lang w:val="es-ES_tradnl"/>
        </w:rPr>
        <w:t xml:space="preserve"> establecida en el mismo artículo 2.2.1.1.1.3.1. del Decreto 1082 de 2015, que dispone que son aquellos “Bienes definidos como nacionales en el Registro de Productores de Bienes Nacionales, de conformidad con el Decreto 2680 de 2009 o las normas que lo modifiquen, aclaren, adicionen o sustituyan”. El artículo 1 del Decreto 2680 de 2009 señala que “Se entiende como bienes nacionales, aquellos bienes totalmente obtenidos, bienes elaborados con materiales nacionales o productos que sufran una transformación sustancial de conformidad con lo previsto en el presente decreto”.</w:t>
      </w:r>
    </w:p>
    <w:p w14:paraId="023F70A7" w14:textId="77777777" w:rsidR="00EE2D2F" w:rsidRPr="00EE2D2F" w:rsidRDefault="00EE2D2F" w:rsidP="00EE2D2F">
      <w:pPr>
        <w:spacing w:after="0" w:line="240" w:lineRule="auto"/>
        <w:contextualSpacing/>
        <w:jc w:val="both"/>
        <w:rPr>
          <w:rFonts w:ascii="Verdana" w:eastAsia="Calibri" w:hAnsi="Verdana" w:cs="Arial"/>
          <w:sz w:val="20"/>
          <w:szCs w:val="20"/>
          <w:lang w:val="es-ES_tradnl"/>
        </w:rPr>
      </w:pPr>
    </w:p>
    <w:p w14:paraId="56D15683" w14:textId="77777777" w:rsidR="00EE2D2F" w:rsidRPr="00EE2D2F" w:rsidRDefault="00EE2D2F" w:rsidP="00EE2D2F">
      <w:pPr>
        <w:spacing w:after="0" w:line="240" w:lineRule="auto"/>
        <w:contextualSpacing/>
        <w:jc w:val="both"/>
        <w:rPr>
          <w:rFonts w:ascii="Verdana" w:eastAsia="Calibri" w:hAnsi="Verdana" w:cs="Arial"/>
          <w:b/>
          <w:bCs/>
          <w:lang w:val="es-ES_tradnl"/>
        </w:rPr>
      </w:pPr>
      <w:r w:rsidRPr="00EE2D2F">
        <w:rPr>
          <w:rFonts w:ascii="Verdana" w:eastAsia="Calibri" w:hAnsi="Verdana" w:cs="Arial"/>
          <w:b/>
          <w:bCs/>
          <w:lang w:val="es-ES_tradnl"/>
        </w:rPr>
        <w:lastRenderedPageBreak/>
        <w:t>DECRETO 680 DE 2021 – Regla de origen – Criterios – Identificación – Bienes nacionales relevantes</w:t>
      </w:r>
    </w:p>
    <w:p w14:paraId="37F0C100" w14:textId="77777777" w:rsidR="00EE2D2F" w:rsidRPr="00EE2D2F" w:rsidRDefault="00EE2D2F" w:rsidP="00EE2D2F">
      <w:pPr>
        <w:spacing w:after="0" w:line="240" w:lineRule="auto"/>
        <w:contextualSpacing/>
        <w:jc w:val="both"/>
        <w:rPr>
          <w:rFonts w:ascii="Verdana" w:eastAsia="Calibri" w:hAnsi="Verdana" w:cs="Arial"/>
          <w:sz w:val="20"/>
          <w:szCs w:val="20"/>
          <w:lang w:val="es-ES_tradnl"/>
        </w:rPr>
      </w:pPr>
    </w:p>
    <w:p w14:paraId="2A28EC93" w14:textId="77777777" w:rsidR="00EE2D2F" w:rsidRPr="00EE2D2F" w:rsidRDefault="00EE2D2F" w:rsidP="00EE2D2F">
      <w:pPr>
        <w:spacing w:after="0" w:line="240" w:lineRule="auto"/>
        <w:contextualSpacing/>
        <w:jc w:val="both"/>
        <w:rPr>
          <w:rFonts w:ascii="Verdana" w:eastAsia="Calibri" w:hAnsi="Verdana" w:cs="Arial"/>
          <w:color w:val="000000"/>
          <w:sz w:val="20"/>
          <w:szCs w:val="20"/>
          <w:lang w:val="es-ES"/>
        </w:rPr>
      </w:pPr>
      <w:r w:rsidRPr="00EE2D2F">
        <w:rPr>
          <w:rFonts w:ascii="Verdana" w:eastAsia="Calibri" w:hAnsi="Verdana" w:cs="Arial"/>
          <w:color w:val="000000"/>
          <w:sz w:val="20"/>
          <w:szCs w:val="20"/>
          <w:lang w:val="es-ES"/>
        </w:rPr>
        <w:t xml:space="preserve">Según el artículo 2.2.1.2.4.2.9 del Decreto 1082 de 2015, adicionado por el Decreto 680 de 2021, que desarrolla lo establecido en la Ley 816 de 2003, para definir los bienes colombianos relevantes, la entidad estatal debe tener en cuenta tres criterios, a saber: i) “el análisis del sector económico y de los oferentes, y, toda aquella información adicional con la que cuente la entidad estatal en la etapa de planeación del Proceso de Contratación”, </w:t>
      </w:r>
      <w:proofErr w:type="spellStart"/>
      <w:r w:rsidRPr="00EE2D2F">
        <w:rPr>
          <w:rFonts w:ascii="Verdana" w:eastAsia="Calibri" w:hAnsi="Verdana" w:cs="Arial"/>
          <w:color w:val="000000"/>
          <w:sz w:val="20"/>
          <w:szCs w:val="20"/>
          <w:lang w:val="es-ES"/>
        </w:rPr>
        <w:t>ii</w:t>
      </w:r>
      <w:proofErr w:type="spellEnd"/>
      <w:r w:rsidRPr="00EE2D2F">
        <w:rPr>
          <w:rFonts w:ascii="Verdana" w:eastAsia="Calibri" w:hAnsi="Verdana" w:cs="Arial"/>
          <w:color w:val="000000"/>
          <w:sz w:val="20"/>
          <w:szCs w:val="20"/>
          <w:lang w:val="es-ES"/>
        </w:rPr>
        <w:t xml:space="preserve">) el porcentaje de participación de los bienes en el presupuesto del Proceso de Contratación y </w:t>
      </w:r>
      <w:proofErr w:type="spellStart"/>
      <w:r w:rsidRPr="00EE2D2F">
        <w:rPr>
          <w:rFonts w:ascii="Verdana" w:eastAsia="Calibri" w:hAnsi="Verdana" w:cs="Arial"/>
          <w:color w:val="000000"/>
          <w:sz w:val="20"/>
          <w:szCs w:val="20"/>
          <w:lang w:val="es-ES"/>
        </w:rPr>
        <w:t>iii</w:t>
      </w:r>
      <w:proofErr w:type="spellEnd"/>
      <w:r w:rsidRPr="00EE2D2F">
        <w:rPr>
          <w:rFonts w:ascii="Verdana" w:eastAsia="Calibri" w:hAnsi="Verdana" w:cs="Arial"/>
          <w:color w:val="000000"/>
          <w:sz w:val="20"/>
          <w:szCs w:val="20"/>
          <w:lang w:val="es-ES"/>
        </w:rPr>
        <w:t>) la existencia de los bienes en el Registro de Productores de Bienes Nacionales, en los términos del Decreto 2680 de 2009. En aplicación de estos criterios, corresponde a la entidad estatal determinar en los respectivos pliegos de condiciones o documentos equivalentes, la metodología conforme con la cual se asignará el puntaje correspondiente por apoyo a la industria nacional.</w:t>
      </w:r>
    </w:p>
    <w:p w14:paraId="7F08997E" w14:textId="77777777" w:rsidR="00EE2D2F" w:rsidRPr="00EE2D2F" w:rsidRDefault="00EE2D2F" w:rsidP="00EE2D2F">
      <w:pPr>
        <w:tabs>
          <w:tab w:val="left" w:pos="0"/>
        </w:tabs>
        <w:spacing w:after="0" w:line="240" w:lineRule="auto"/>
        <w:contextualSpacing/>
        <w:jc w:val="both"/>
        <w:rPr>
          <w:rFonts w:ascii="Verdana" w:eastAsia="Calibri" w:hAnsi="Verdana" w:cs="Arial"/>
          <w:bCs/>
          <w:sz w:val="20"/>
          <w:szCs w:val="20"/>
          <w:lang w:val="es-ES_tradnl"/>
        </w:rPr>
      </w:pPr>
    </w:p>
    <w:p w14:paraId="07F56BAA" w14:textId="77777777" w:rsidR="00EE2D2F" w:rsidRPr="00EE2D2F" w:rsidRDefault="00EE2D2F" w:rsidP="00EE2D2F">
      <w:pPr>
        <w:tabs>
          <w:tab w:val="left" w:pos="0"/>
        </w:tabs>
        <w:spacing w:after="0" w:line="240" w:lineRule="auto"/>
        <w:contextualSpacing/>
        <w:jc w:val="both"/>
        <w:rPr>
          <w:rFonts w:ascii="Verdana" w:eastAsia="Calibri" w:hAnsi="Verdana" w:cs="Arial"/>
          <w:bCs/>
          <w:sz w:val="20"/>
          <w:szCs w:val="20"/>
          <w:lang w:val="es-ES_tradnl"/>
        </w:rPr>
      </w:pPr>
      <w:r w:rsidRPr="00EE2D2F">
        <w:rPr>
          <w:rFonts w:ascii="Verdana" w:eastAsia="Calibri" w:hAnsi="Verdana" w:cs="Arial"/>
          <w:bCs/>
          <w:sz w:val="20"/>
          <w:szCs w:val="20"/>
          <w:lang w:val="es-ES_tradnl"/>
        </w:rPr>
        <w:t xml:space="preserve">El penúltimo inciso del artículo del 2.2.1.2.4.2.9 del Decreto 1082 de 2015, adicionado por el Decreto 680 de 2021, establece una regla subsidiaria para otorgar el puntaje de industria nacional en procesos de contratación en los que, en atención al objeto contractual no existan bienes colombianos relevantes o no exista oferta nacional de los bienes relevantes en el Registro de Productores de Bienes Nacionales. Esta regla consiste en otorgar el puntaje al proponente que vincule el porcentaje mínimo de empleados o contratistas por prestación de servicios colombianos establecido por la entidad estatal, el cual no podrá ser inferior al 40% del total de empleados y contratistas asociados al cumplimiento del contrato. Conforme con esta regla residual, cuando en el análisis efectuado en la fase de planeación la entidad estatal no logre establecer que el objeto contractual requiera de bienes nacionales que se ajusten a los referidos criterios, deberá otorgar el puntaje por apoyo a la industria nacional a los proponentes que se comprometan a ejecutar el contrato garantizando la participación de personal colombiano en el correspondiente porcentaje mínimo.    </w:t>
      </w:r>
    </w:p>
    <w:p w14:paraId="6D301A05" w14:textId="77777777" w:rsidR="00EE2D2F" w:rsidRPr="00EE2D2F" w:rsidRDefault="00EE2D2F" w:rsidP="00EE2D2F">
      <w:pPr>
        <w:spacing w:after="0" w:line="278" w:lineRule="auto"/>
        <w:jc w:val="both"/>
        <w:rPr>
          <w:rFonts w:ascii="Verdana" w:eastAsia="Calibri" w:hAnsi="Verdana" w:cs="Arial"/>
          <w:kern w:val="2"/>
          <w:sz w:val="20"/>
          <w:szCs w:val="20"/>
          <w:lang w:val="es-ES_tradnl" w:eastAsia="es-MX"/>
          <w14:ligatures w14:val="standardContextual"/>
        </w:rPr>
      </w:pPr>
    </w:p>
    <w:p w14:paraId="696313AC" w14:textId="77777777" w:rsidR="00EE2D2F" w:rsidRPr="00EE2D2F" w:rsidRDefault="00EE2D2F" w:rsidP="00EE2D2F">
      <w:pPr>
        <w:tabs>
          <w:tab w:val="left" w:pos="0"/>
        </w:tabs>
        <w:spacing w:after="0" w:line="240" w:lineRule="auto"/>
        <w:contextualSpacing/>
        <w:jc w:val="both"/>
        <w:rPr>
          <w:rFonts w:ascii="Verdana" w:eastAsia="Calibri" w:hAnsi="Verdana" w:cs="Arial"/>
          <w:b/>
          <w:bCs/>
          <w:lang w:val="es-ES_tradnl"/>
        </w:rPr>
      </w:pPr>
      <w:r w:rsidRPr="00EE2D2F">
        <w:rPr>
          <w:rFonts w:ascii="Verdana" w:eastAsia="Calibri" w:hAnsi="Verdana" w:cs="Arial"/>
          <w:b/>
          <w:bCs/>
          <w:lang w:val="es-ES_tradnl"/>
        </w:rPr>
        <w:t>PUNTAJE POR SERVICIOS NACIONALES O CON TRATO NACIONAL – Documentos tipo –</w:t>
      </w:r>
      <w:r w:rsidRPr="00EE2D2F">
        <w:rPr>
          <w:rFonts w:ascii="Verdana" w:eastAsia="Calibri" w:hAnsi="Verdana" w:cs="Arial"/>
          <w:b/>
          <w:bCs/>
          <w:lang w:val="es-MX"/>
        </w:rPr>
        <w:t xml:space="preserve"> Selección abreviada de menor cuantía – Infraestructura de social</w:t>
      </w:r>
    </w:p>
    <w:p w14:paraId="18F68FDE" w14:textId="77777777" w:rsidR="00EE2D2F" w:rsidRPr="00EE2D2F" w:rsidRDefault="00EE2D2F" w:rsidP="00EE2D2F">
      <w:pPr>
        <w:tabs>
          <w:tab w:val="left" w:pos="0"/>
        </w:tabs>
        <w:spacing w:after="0" w:line="240" w:lineRule="auto"/>
        <w:contextualSpacing/>
        <w:jc w:val="both"/>
        <w:rPr>
          <w:rFonts w:ascii="Verdana" w:eastAsia="Calibri" w:hAnsi="Verdana" w:cs="Arial"/>
          <w:b/>
          <w:bCs/>
          <w:lang w:val="es-ES_tradnl"/>
        </w:rPr>
      </w:pPr>
    </w:p>
    <w:p w14:paraId="45F9FE15" w14:textId="77777777" w:rsidR="00EE2D2F" w:rsidRPr="00EE2D2F" w:rsidRDefault="00EE2D2F" w:rsidP="00EE2D2F">
      <w:pPr>
        <w:spacing w:after="0" w:line="276" w:lineRule="auto"/>
        <w:jc w:val="both"/>
        <w:rPr>
          <w:rFonts w:ascii="Verdana" w:eastAsia="Aptos" w:hAnsi="Verdana" w:cs="Arial"/>
          <w:kern w:val="2"/>
          <w14:ligatures w14:val="standardContextual"/>
        </w:rPr>
      </w:pPr>
      <w:r w:rsidRPr="00EE2D2F">
        <w:rPr>
          <w:rFonts w:ascii="Verdana" w:eastAsia="Calibri" w:hAnsi="Verdana" w:cs="Arial"/>
          <w:sz w:val="20"/>
          <w:szCs w:val="20"/>
          <w:lang w:val="es-MX"/>
        </w:rPr>
        <w:t xml:space="preserve">Por un lado, el numeral 4.3 </w:t>
      </w:r>
      <w:r w:rsidRPr="00EE2D2F">
        <w:rPr>
          <w:rFonts w:ascii="Verdana" w:eastAsia="Calibri" w:hAnsi="Verdana" w:cs="Arial"/>
          <w:i/>
          <w:iCs/>
          <w:sz w:val="20"/>
          <w:szCs w:val="20"/>
          <w:lang w:val="es-MX"/>
        </w:rPr>
        <w:t>“Apoyo a la Industria Nacional”</w:t>
      </w:r>
      <w:r w:rsidRPr="00EE2D2F">
        <w:rPr>
          <w:rFonts w:ascii="Verdana" w:eastAsia="Calibri" w:hAnsi="Verdana" w:cs="Arial"/>
          <w:sz w:val="20"/>
          <w:szCs w:val="20"/>
          <w:lang w:val="es-MX"/>
        </w:rPr>
        <w:t xml:space="preserve"> del Documento Base de los documentos tipo de selección abreviada de menor cuantía de obra pública de infraestructura de transporte – versión 1, indica que, </w:t>
      </w:r>
      <w:r w:rsidRPr="00EE2D2F">
        <w:rPr>
          <w:rFonts w:ascii="Verdana" w:eastAsia="Calibri" w:hAnsi="Verdana" w:cs="Arial"/>
          <w:i/>
          <w:iCs/>
          <w:sz w:val="20"/>
          <w:szCs w:val="20"/>
          <w:lang w:val="es-MX"/>
        </w:rPr>
        <w:t xml:space="preserve">“Los proponentes pueden obtener puntaje de apoyo a la industria nacional por: i) Servicios Nacionales o con Trato Nacional o por </w:t>
      </w:r>
      <w:proofErr w:type="spellStart"/>
      <w:r w:rsidRPr="00EE2D2F">
        <w:rPr>
          <w:rFonts w:ascii="Verdana" w:eastAsia="Calibri" w:hAnsi="Verdana" w:cs="Arial"/>
          <w:i/>
          <w:iCs/>
          <w:sz w:val="20"/>
          <w:szCs w:val="20"/>
          <w:lang w:val="es-MX"/>
        </w:rPr>
        <w:t>ii</w:t>
      </w:r>
      <w:proofErr w:type="spellEnd"/>
      <w:r w:rsidRPr="00EE2D2F">
        <w:rPr>
          <w:rFonts w:ascii="Verdana" w:eastAsia="Calibri" w:hAnsi="Verdana" w:cs="Arial"/>
          <w:i/>
          <w:iCs/>
          <w:sz w:val="20"/>
          <w:szCs w:val="20"/>
          <w:lang w:val="es-MX"/>
        </w:rPr>
        <w:t xml:space="preserve">) la incorporación de componente nacional en servicios extranjeros […]”, </w:t>
      </w:r>
      <w:r w:rsidRPr="00EE2D2F">
        <w:rPr>
          <w:rFonts w:ascii="Verdana" w:eastAsia="Calibri" w:hAnsi="Verdana" w:cs="Arial"/>
          <w:sz w:val="20"/>
          <w:szCs w:val="20"/>
          <w:lang w:val="es-MX"/>
        </w:rPr>
        <w:t xml:space="preserve">es decir, que el proponente deberá verificar en primer lugar si accederá al referido puntaje mediante alguno de los dos conceptos mencionados </w:t>
      </w:r>
      <w:r w:rsidRPr="00EE2D2F">
        <w:rPr>
          <w:rFonts w:ascii="Verdana" w:eastAsia="Calibri" w:hAnsi="Verdana" w:cs="Arial"/>
          <w:sz w:val="20"/>
          <w:szCs w:val="20"/>
          <w:lang w:val="es-ES_tradnl"/>
        </w:rPr>
        <w:t>[…]</w:t>
      </w:r>
    </w:p>
    <w:p w14:paraId="22953B94" w14:textId="77777777" w:rsidR="00EE2D2F" w:rsidRPr="00EE2D2F" w:rsidRDefault="00EE2D2F" w:rsidP="00EE2D2F">
      <w:pPr>
        <w:spacing w:after="0" w:line="278" w:lineRule="auto"/>
        <w:jc w:val="both"/>
        <w:rPr>
          <w:rFonts w:ascii="Verdana" w:eastAsia="Calibri" w:hAnsi="Verdana" w:cs="Arial"/>
          <w:kern w:val="2"/>
          <w:sz w:val="20"/>
          <w:szCs w:val="20"/>
          <w:lang w:val="es-ES_tradnl" w:eastAsia="es-MX"/>
          <w14:ligatures w14:val="standardContextual"/>
        </w:rPr>
      </w:pPr>
    </w:p>
    <w:p w14:paraId="521B6F56" w14:textId="77777777" w:rsidR="00EE2D2F" w:rsidRPr="00EE2D2F" w:rsidRDefault="00EE2D2F" w:rsidP="00EE2D2F">
      <w:pPr>
        <w:widowControl w:val="0"/>
        <w:autoSpaceDE w:val="0"/>
        <w:autoSpaceDN w:val="0"/>
        <w:spacing w:after="0" w:line="240" w:lineRule="auto"/>
        <w:jc w:val="both"/>
        <w:rPr>
          <w:rFonts w:ascii="Verdana" w:eastAsia="Calibri" w:hAnsi="Verdana" w:cs="Arial"/>
          <w:b/>
          <w:color w:val="000000"/>
          <w:kern w:val="2"/>
          <w:lang w:val="es-ES_tradnl"/>
          <w14:ligatures w14:val="standardContextual"/>
        </w:rPr>
      </w:pPr>
      <w:r w:rsidRPr="00EE2D2F">
        <w:rPr>
          <w:rFonts w:ascii="Verdana" w:eastAsia="Calibri" w:hAnsi="Verdana" w:cs="Arial"/>
          <w:b/>
          <w:color w:val="000000"/>
          <w:kern w:val="2"/>
          <w:lang w:val="es-ES_tradnl"/>
          <w14:ligatures w14:val="standardContextual"/>
        </w:rPr>
        <w:t xml:space="preserve">BIENES NACIONALES RELEVANTES – Documentos tipo – Infraestructura de social – Matriz 4 – Metodología </w:t>
      </w:r>
    </w:p>
    <w:p w14:paraId="018B1687" w14:textId="77777777" w:rsidR="00EE2D2F" w:rsidRPr="00EE2D2F" w:rsidRDefault="00EE2D2F" w:rsidP="00EE2D2F">
      <w:pPr>
        <w:widowControl w:val="0"/>
        <w:autoSpaceDE w:val="0"/>
        <w:autoSpaceDN w:val="0"/>
        <w:spacing w:after="0" w:line="276" w:lineRule="auto"/>
        <w:jc w:val="both"/>
        <w:rPr>
          <w:rFonts w:ascii="Verdana" w:eastAsia="Calibri" w:hAnsi="Verdana" w:cs="Arial"/>
          <w:b/>
          <w:color w:val="000000"/>
          <w:kern w:val="2"/>
          <w:lang w:val="es-ES_tradnl"/>
          <w14:ligatures w14:val="standardContextual"/>
        </w:rPr>
      </w:pPr>
    </w:p>
    <w:p w14:paraId="4FEBFC2E" w14:textId="77777777" w:rsidR="00EE2D2F" w:rsidRPr="00EE2D2F" w:rsidRDefault="00EE2D2F" w:rsidP="00EE2D2F">
      <w:pPr>
        <w:widowControl w:val="0"/>
        <w:autoSpaceDE w:val="0"/>
        <w:autoSpaceDN w:val="0"/>
        <w:spacing w:after="0" w:line="240" w:lineRule="auto"/>
        <w:jc w:val="both"/>
        <w:rPr>
          <w:rFonts w:ascii="Verdana" w:eastAsia="Calibri" w:hAnsi="Verdana" w:cs="Arial"/>
          <w:bCs/>
          <w:color w:val="000000"/>
          <w:kern w:val="2"/>
          <w:sz w:val="20"/>
          <w:szCs w:val="20"/>
          <w:lang w:val="es-ES_tradnl"/>
          <w14:ligatures w14:val="standardContextual"/>
        </w:rPr>
      </w:pPr>
      <w:r w:rsidRPr="00EE2D2F">
        <w:rPr>
          <w:rFonts w:ascii="Verdana" w:eastAsia="Calibri" w:hAnsi="Verdana" w:cs="Arial"/>
          <w:bCs/>
          <w:color w:val="000000"/>
          <w:kern w:val="2"/>
          <w:sz w:val="20"/>
          <w:szCs w:val="20"/>
          <w:lang w:val="es-ES_tradnl"/>
          <w14:ligatures w14:val="standardContextual"/>
        </w:rPr>
        <w:t xml:space="preserve">Aplicando la metodología prevista en la Matriz 4 las entidades estatales obligadas a observar los documentos tipo deben definir los bienes nacionales que resultan relevantes para el cumplimiento del objeto contractual, que, en cumplimiento de lo dispuesto en el Decreto 680 de 2021, son relevantes para considerar un servicio como nacional y, por tanto, para determinar la aplicabilidad del puntaje por apoyo a la industria nacional regulado por el artículo 2 de la Ley 816 de 2003. </w:t>
      </w:r>
    </w:p>
    <w:p w14:paraId="2B3640F6" w14:textId="77777777" w:rsidR="00EE2D2F" w:rsidRPr="00EE2D2F" w:rsidRDefault="00EE2D2F" w:rsidP="00EE2D2F">
      <w:pPr>
        <w:spacing w:after="0" w:line="240" w:lineRule="auto"/>
        <w:jc w:val="both"/>
        <w:rPr>
          <w:rFonts w:ascii="Verdana" w:eastAsia="Calibri" w:hAnsi="Verdana" w:cs="Arial"/>
          <w:bCs/>
          <w:color w:val="000000"/>
          <w:kern w:val="2"/>
          <w:lang w:val="es-ES_tradnl"/>
          <w14:ligatures w14:val="standardContextual"/>
        </w:rPr>
      </w:pPr>
    </w:p>
    <w:p w14:paraId="5B66F0E9" w14:textId="77777777" w:rsidR="00EE2D2F" w:rsidRPr="00EE2D2F" w:rsidRDefault="00EE2D2F" w:rsidP="00EE2D2F">
      <w:pPr>
        <w:widowControl w:val="0"/>
        <w:autoSpaceDE w:val="0"/>
        <w:autoSpaceDN w:val="0"/>
        <w:spacing w:after="0" w:line="240" w:lineRule="auto"/>
        <w:jc w:val="both"/>
        <w:rPr>
          <w:rFonts w:ascii="Verdana" w:eastAsia="Calibri" w:hAnsi="Verdana" w:cs="Arial"/>
          <w:b/>
          <w:color w:val="000000"/>
          <w:kern w:val="2"/>
          <w:lang w:val="es-ES_tradnl"/>
          <w14:ligatures w14:val="standardContextual"/>
        </w:rPr>
      </w:pPr>
      <w:r w:rsidRPr="00EE2D2F">
        <w:rPr>
          <w:rFonts w:ascii="Verdana" w:eastAsia="Calibri" w:hAnsi="Verdana" w:cs="Arial"/>
          <w:b/>
          <w:color w:val="000000"/>
          <w:kern w:val="2"/>
          <w:lang w:val="es-ES_tradnl"/>
          <w14:ligatures w14:val="standardContextual"/>
        </w:rPr>
        <w:t>BIENES NACIONALES RELEVANTES – Documentos tipo – Infraestructura de social – Matriz 4 – Metodología – Monto agotable – Precio unitario</w:t>
      </w:r>
    </w:p>
    <w:p w14:paraId="173508CB" w14:textId="77777777" w:rsidR="00EE2D2F" w:rsidRPr="00EE2D2F" w:rsidRDefault="00EE2D2F" w:rsidP="00EE2D2F">
      <w:pPr>
        <w:spacing w:after="0" w:line="240" w:lineRule="auto"/>
        <w:jc w:val="both"/>
        <w:rPr>
          <w:rFonts w:ascii="Verdana" w:eastAsia="Calibri" w:hAnsi="Verdana" w:cs="Arial"/>
          <w:bCs/>
          <w:color w:val="000000"/>
          <w:kern w:val="2"/>
          <w:lang w:val="es-ES_tradnl"/>
          <w14:ligatures w14:val="standardContextual"/>
        </w:rPr>
      </w:pPr>
    </w:p>
    <w:p w14:paraId="689F07AB" w14:textId="77777777" w:rsidR="00EE2D2F" w:rsidRPr="00EE2D2F" w:rsidRDefault="00EE2D2F" w:rsidP="00EE2D2F">
      <w:pPr>
        <w:widowControl w:val="0"/>
        <w:autoSpaceDE w:val="0"/>
        <w:autoSpaceDN w:val="0"/>
        <w:spacing w:after="0" w:line="240" w:lineRule="auto"/>
        <w:jc w:val="both"/>
        <w:rPr>
          <w:rFonts w:ascii="Verdana" w:eastAsia="Arial" w:hAnsi="Verdana" w:cs="Arial"/>
          <w:bCs/>
          <w:iCs/>
          <w:sz w:val="20"/>
          <w:szCs w:val="20"/>
          <w:lang w:eastAsia="es-ES" w:bidi="es-ES"/>
        </w:rPr>
      </w:pPr>
      <w:r w:rsidRPr="00EE2D2F">
        <w:rPr>
          <w:rFonts w:ascii="Verdana" w:eastAsia="Arial" w:hAnsi="Verdana" w:cs="Arial"/>
          <w:bCs/>
          <w:iCs/>
          <w:sz w:val="20"/>
          <w:szCs w:val="20"/>
          <w:lang w:eastAsia="es-ES" w:bidi="es-ES"/>
        </w:rPr>
        <w:t>De acuerdo con lo anterior, en relación con uno de los problemas jurídicos planteados en este concepto, debe indicarse que, en los documentos tipo de selección abreviada de menor cuantía de obra pública de infraestructura social – versión 1, que se estructuren bajo la modalidad de bolsa de recursos a precios unitarios o monto agotable, la forma adecuada de determinar uno o varios bienes nacionales relevantes de acuerdo con los criterios establecidos en el artículo 2.2.1.2.4.2.9. del Decreto 1082 de 2015 y los previstos en esta Matriz 4 –señalados en los diez (10) numerales precedentes–, parte de una premisa y es que la indeterminación de las cantidades finales no exime a la entidad que adelanta el proceso de selección del deber de aplicar integralmente la metodología señalada, ni mucho menos habilita ajustes o simplificaciones de esta.</w:t>
      </w:r>
    </w:p>
    <w:p w14:paraId="37F6269B" w14:textId="77777777" w:rsidR="00EE2D2F" w:rsidRPr="00EE2D2F" w:rsidRDefault="00EE2D2F" w:rsidP="00EE2D2F">
      <w:pPr>
        <w:widowControl w:val="0"/>
        <w:autoSpaceDE w:val="0"/>
        <w:autoSpaceDN w:val="0"/>
        <w:spacing w:after="0" w:line="240" w:lineRule="auto"/>
        <w:jc w:val="both"/>
        <w:rPr>
          <w:rFonts w:ascii="Verdana" w:eastAsia="Arial" w:hAnsi="Verdana" w:cs="Arial"/>
          <w:bCs/>
          <w:iCs/>
          <w:sz w:val="20"/>
          <w:szCs w:val="20"/>
          <w:lang w:eastAsia="es-ES" w:bidi="es-ES"/>
        </w:rPr>
      </w:pPr>
    </w:p>
    <w:p w14:paraId="7933C8F8" w14:textId="77777777" w:rsidR="00EE2D2F" w:rsidRPr="00EE2D2F" w:rsidRDefault="00EE2D2F" w:rsidP="00EE2D2F">
      <w:pPr>
        <w:widowControl w:val="0"/>
        <w:autoSpaceDE w:val="0"/>
        <w:autoSpaceDN w:val="0"/>
        <w:spacing w:after="0" w:line="240" w:lineRule="auto"/>
        <w:jc w:val="both"/>
        <w:rPr>
          <w:rFonts w:ascii="Verdana" w:eastAsia="Arial" w:hAnsi="Verdana" w:cs="Arial"/>
          <w:bCs/>
          <w:iCs/>
          <w:sz w:val="20"/>
          <w:szCs w:val="20"/>
          <w:lang w:eastAsia="es-ES" w:bidi="es-ES"/>
        </w:rPr>
      </w:pPr>
      <w:r w:rsidRPr="00EE2D2F">
        <w:rPr>
          <w:rFonts w:ascii="Verdana" w:eastAsia="Arial" w:hAnsi="Verdana" w:cs="Arial"/>
          <w:bCs/>
          <w:iCs/>
          <w:sz w:val="20"/>
          <w:szCs w:val="20"/>
          <w:lang w:eastAsia="es-ES" w:bidi="es-ES"/>
        </w:rPr>
        <w:t xml:space="preserve">En efecto. Aun cuando en este tipo de contratos las cantidades de obra dependen de la ejecución efectiva durante el plazo contractual, la entidad sí cuenta en la etapa de planeación con un presupuesto oficial estructurado, el cual incorpora cantidades estimadas y valores unitarios derivados de estudios previos, análisis del sector y diseños, entre otros. Así, es sobre esta base que la entidad que adelante el proceso de selección con los documentos tipo debe aplicar la totalidad de la metodología dispuesta en el numeral 4.3.1 del documento base. </w:t>
      </w:r>
    </w:p>
    <w:p w14:paraId="52B1C8EE" w14:textId="77777777" w:rsidR="00EE2D2F" w:rsidRPr="00EE2D2F" w:rsidRDefault="00EE2D2F" w:rsidP="00EE2D2F">
      <w:pPr>
        <w:widowControl w:val="0"/>
        <w:autoSpaceDE w:val="0"/>
        <w:autoSpaceDN w:val="0"/>
        <w:spacing w:after="0" w:line="240" w:lineRule="auto"/>
        <w:jc w:val="both"/>
        <w:rPr>
          <w:rFonts w:ascii="Verdana" w:eastAsia="Arial" w:hAnsi="Verdana" w:cs="Arial"/>
          <w:bCs/>
          <w:iCs/>
          <w:sz w:val="20"/>
          <w:szCs w:val="20"/>
          <w:lang w:eastAsia="es-ES" w:bidi="es-ES"/>
        </w:rPr>
      </w:pPr>
    </w:p>
    <w:p w14:paraId="09762F73" w14:textId="77777777" w:rsidR="00EE2D2F" w:rsidRPr="00EE2D2F" w:rsidRDefault="00EE2D2F" w:rsidP="00EE2D2F">
      <w:pPr>
        <w:widowControl w:val="0"/>
        <w:autoSpaceDE w:val="0"/>
        <w:autoSpaceDN w:val="0"/>
        <w:spacing w:after="0" w:line="240" w:lineRule="auto"/>
        <w:jc w:val="both"/>
        <w:rPr>
          <w:rFonts w:ascii="Verdana" w:eastAsia="Arial" w:hAnsi="Verdana" w:cs="Arial"/>
          <w:bCs/>
          <w:iCs/>
          <w:sz w:val="20"/>
          <w:szCs w:val="20"/>
          <w:lang w:eastAsia="es-ES" w:bidi="es-ES"/>
        </w:rPr>
      </w:pPr>
      <w:r w:rsidRPr="00EE2D2F">
        <w:rPr>
          <w:rFonts w:ascii="Verdana" w:eastAsia="Arial" w:hAnsi="Verdana" w:cs="Arial"/>
          <w:bCs/>
          <w:iCs/>
          <w:sz w:val="20"/>
          <w:szCs w:val="20"/>
          <w:lang w:eastAsia="es-ES" w:bidi="es-ES"/>
        </w:rPr>
        <w:t xml:space="preserve">Desde el punto de vista jurídico, este enfoque encuentra sustento en el artículo 2.2.1.2.4.2.9. del Decreto 1082 de 2015, el cual exige que la determinación de los bienes nacionales relevantes se realice considerando el porcentaje de participación de los bienes en el presupuesto del proceso de contratación, sin distinguir entre contratos con cantidades ciertas o estimadas. </w:t>
      </w:r>
    </w:p>
    <w:p w14:paraId="16071237" w14:textId="77777777" w:rsidR="00EE2D2F" w:rsidRPr="00EE2D2F" w:rsidRDefault="00EE2D2F" w:rsidP="00EE2D2F">
      <w:pPr>
        <w:spacing w:after="0" w:line="276" w:lineRule="auto"/>
        <w:jc w:val="both"/>
        <w:rPr>
          <w:rFonts w:ascii="Verdana" w:eastAsia="Calibri" w:hAnsi="Verdana" w:cs="Arial"/>
          <w:bCs/>
          <w:color w:val="000000"/>
          <w:kern w:val="2"/>
          <w:lang w:val="es-ES_tradnl"/>
          <w14:ligatures w14:val="standardContextual"/>
        </w:rPr>
      </w:pPr>
    </w:p>
    <w:p w14:paraId="28528DBE" w14:textId="77777777" w:rsidR="00EE2D2F" w:rsidRPr="00EE2D2F" w:rsidRDefault="00EE2D2F" w:rsidP="00EE2D2F">
      <w:pPr>
        <w:widowControl w:val="0"/>
        <w:autoSpaceDE w:val="0"/>
        <w:autoSpaceDN w:val="0"/>
        <w:spacing w:after="0" w:line="240" w:lineRule="auto"/>
        <w:jc w:val="both"/>
        <w:rPr>
          <w:rFonts w:ascii="Verdana" w:eastAsia="Calibri" w:hAnsi="Verdana" w:cs="Arial"/>
          <w:b/>
          <w:color w:val="000000"/>
          <w:kern w:val="2"/>
          <w:lang w:val="es-ES_tradnl"/>
          <w14:ligatures w14:val="standardContextual"/>
        </w:rPr>
      </w:pPr>
      <w:r w:rsidRPr="00EE2D2F">
        <w:rPr>
          <w:rFonts w:ascii="Verdana" w:eastAsia="Calibri" w:hAnsi="Verdana" w:cs="Arial"/>
          <w:b/>
          <w:color w:val="000000"/>
          <w:kern w:val="2"/>
          <w:lang w:val="es-ES_tradnl"/>
          <w14:ligatures w14:val="standardContextual"/>
        </w:rPr>
        <w:t xml:space="preserve">BIENES NACIONALES RELEVANTES – Documentos tipo – Infraestructura de social – Matriz 4 – Metodología – Fecha de inscripción – Fecha de vigencia - porcentaje de participación – Determinación </w:t>
      </w:r>
    </w:p>
    <w:p w14:paraId="021469A0" w14:textId="77777777" w:rsidR="00EE2D2F" w:rsidRPr="00EE2D2F" w:rsidRDefault="00EE2D2F" w:rsidP="00EE2D2F">
      <w:pPr>
        <w:spacing w:after="0" w:line="276" w:lineRule="auto"/>
        <w:jc w:val="both"/>
        <w:rPr>
          <w:rFonts w:ascii="Verdana" w:eastAsia="Calibri" w:hAnsi="Verdana" w:cs="Arial"/>
          <w:bCs/>
          <w:color w:val="000000"/>
          <w:kern w:val="2"/>
          <w:lang w:val="es-ES_tradnl"/>
          <w14:ligatures w14:val="standardContextual"/>
        </w:rPr>
      </w:pPr>
    </w:p>
    <w:p w14:paraId="6424CA0F" w14:textId="77777777" w:rsidR="00EE2D2F" w:rsidRPr="00EE2D2F" w:rsidRDefault="00EE2D2F" w:rsidP="00EE2D2F">
      <w:pPr>
        <w:spacing w:after="0" w:line="240" w:lineRule="auto"/>
        <w:jc w:val="both"/>
        <w:rPr>
          <w:rFonts w:ascii="Verdana" w:eastAsia="Arial" w:hAnsi="Verdana" w:cs="Arial"/>
          <w:bCs/>
          <w:kern w:val="2"/>
          <w:sz w:val="20"/>
          <w:szCs w:val="20"/>
          <w:lang w:eastAsia="es-ES" w:bidi="es-ES"/>
          <w14:ligatures w14:val="standardContextual"/>
        </w:rPr>
      </w:pPr>
      <w:r w:rsidRPr="00EE2D2F">
        <w:rPr>
          <w:rFonts w:ascii="Verdana" w:eastAsia="Calibri" w:hAnsi="Verdana" w:cs="Arial"/>
          <w:bCs/>
          <w:color w:val="000000"/>
          <w:kern w:val="2"/>
          <w:sz w:val="20"/>
          <w:szCs w:val="20"/>
          <w:lang w:val="es-ES_tradnl"/>
          <w14:ligatures w14:val="standardContextual"/>
        </w:rPr>
        <w:t xml:space="preserve">Si luego de aplicar la metodología para determinar los bienes nacionales relevantes −descrita con anterioridad−, la entidad determina uno o varios bienes nacionales relevantes para el proceso de contratación, deberá incluir la </w:t>
      </w:r>
      <w:r w:rsidRPr="00EE2D2F">
        <w:rPr>
          <w:rFonts w:ascii="Verdana" w:eastAsia="Calibri" w:hAnsi="Verdana" w:cs="Arial"/>
          <w:b/>
          <w:i/>
          <w:iCs/>
          <w:color w:val="000000"/>
          <w:kern w:val="2"/>
          <w:sz w:val="20"/>
          <w:szCs w:val="20"/>
          <w:lang w:val="es-ES_tradnl"/>
          <w14:ligatures w14:val="standardContextual"/>
        </w:rPr>
        <w:t>opción 1</w:t>
      </w:r>
      <w:r w:rsidRPr="00EE2D2F">
        <w:rPr>
          <w:rFonts w:ascii="Verdana" w:eastAsia="Calibri" w:hAnsi="Verdana" w:cs="Arial"/>
          <w:bCs/>
          <w:color w:val="000000"/>
          <w:kern w:val="2"/>
          <w:sz w:val="20"/>
          <w:szCs w:val="20"/>
          <w:lang w:val="es-ES_tradnl"/>
          <w14:ligatures w14:val="standardContextual"/>
        </w:rPr>
        <w:t xml:space="preserve"> del numeral </w:t>
      </w:r>
      <w:r w:rsidRPr="00EE2D2F">
        <w:rPr>
          <w:rFonts w:ascii="Verdana" w:eastAsia="Aptos" w:hAnsi="Verdana" w:cs="Arial"/>
          <w:kern w:val="2"/>
          <w:sz w:val="20"/>
          <w:szCs w:val="20"/>
          <w:lang w:val="es-MX"/>
          <w14:ligatures w14:val="standardContextual"/>
        </w:rPr>
        <w:t>4</w:t>
      </w:r>
      <w:r w:rsidRPr="00EE2D2F">
        <w:rPr>
          <w:rFonts w:ascii="Verdana" w:eastAsia="Arial" w:hAnsi="Verdana" w:cs="Arial"/>
          <w:bCs/>
          <w:kern w:val="2"/>
          <w:sz w:val="20"/>
          <w:szCs w:val="20"/>
          <w:lang w:eastAsia="es-ES" w:bidi="es-ES"/>
          <w14:ligatures w14:val="standardContextual"/>
        </w:rPr>
        <w:t xml:space="preserve">.3.1 “Promoción de servicios nacionales o con trato nacional”, en la que se señalarán los </w:t>
      </w:r>
      <w:r w:rsidRPr="00EE2D2F">
        <w:rPr>
          <w:rFonts w:ascii="Verdana" w:eastAsia="Arial" w:hAnsi="Verdana" w:cs="Arial"/>
          <w:bCs/>
          <w:kern w:val="2"/>
          <w:sz w:val="20"/>
          <w:szCs w:val="20"/>
          <w:lang w:eastAsia="es-ES" w:bidi="es-ES"/>
          <w14:ligatures w14:val="standardContextual"/>
        </w:rPr>
        <w:lastRenderedPageBreak/>
        <w:t xml:space="preserve">bienes nacionales relevantes en el proceso de contratación, diligenciando una tabla con la información tomada del Registro de Productores de Bienes Nacionales, en la que se señalará: i) el bien nacional relevante, </w:t>
      </w:r>
      <w:proofErr w:type="spellStart"/>
      <w:r w:rsidRPr="00EE2D2F">
        <w:rPr>
          <w:rFonts w:ascii="Verdana" w:eastAsia="Arial" w:hAnsi="Verdana" w:cs="Arial"/>
          <w:bCs/>
          <w:kern w:val="2"/>
          <w:sz w:val="20"/>
          <w:szCs w:val="20"/>
          <w:lang w:eastAsia="es-ES" w:bidi="es-ES"/>
          <w14:ligatures w14:val="standardContextual"/>
        </w:rPr>
        <w:t>ii</w:t>
      </w:r>
      <w:proofErr w:type="spellEnd"/>
      <w:r w:rsidRPr="00EE2D2F">
        <w:rPr>
          <w:rFonts w:ascii="Verdana" w:eastAsia="Arial" w:hAnsi="Verdana" w:cs="Arial"/>
          <w:bCs/>
          <w:kern w:val="2"/>
          <w:sz w:val="20"/>
          <w:szCs w:val="20"/>
          <w:lang w:eastAsia="es-ES" w:bidi="es-ES"/>
          <w14:ligatures w14:val="standardContextual"/>
        </w:rPr>
        <w:t xml:space="preserve">) la fecha de inscripción, </w:t>
      </w:r>
      <w:proofErr w:type="spellStart"/>
      <w:r w:rsidRPr="00EE2D2F">
        <w:rPr>
          <w:rFonts w:ascii="Verdana" w:eastAsia="Arial" w:hAnsi="Verdana" w:cs="Arial"/>
          <w:bCs/>
          <w:kern w:val="2"/>
          <w:sz w:val="20"/>
          <w:szCs w:val="20"/>
          <w:lang w:eastAsia="es-ES" w:bidi="es-ES"/>
          <w14:ligatures w14:val="standardContextual"/>
        </w:rPr>
        <w:t>iii</w:t>
      </w:r>
      <w:proofErr w:type="spellEnd"/>
      <w:r w:rsidRPr="00EE2D2F">
        <w:rPr>
          <w:rFonts w:ascii="Verdana" w:eastAsia="Arial" w:hAnsi="Verdana" w:cs="Arial"/>
          <w:bCs/>
          <w:kern w:val="2"/>
          <w:sz w:val="20"/>
          <w:szCs w:val="20"/>
          <w:lang w:eastAsia="es-ES" w:bidi="es-ES"/>
          <w14:ligatures w14:val="standardContextual"/>
        </w:rPr>
        <w:t xml:space="preserve">) la fecha de vigencia, </w:t>
      </w:r>
      <w:proofErr w:type="spellStart"/>
      <w:r w:rsidRPr="00EE2D2F">
        <w:rPr>
          <w:rFonts w:ascii="Verdana" w:eastAsia="Arial" w:hAnsi="Verdana" w:cs="Arial"/>
          <w:bCs/>
          <w:kern w:val="2"/>
          <w:sz w:val="20"/>
          <w:szCs w:val="20"/>
          <w:lang w:eastAsia="es-ES" w:bidi="es-ES"/>
          <w14:ligatures w14:val="standardContextual"/>
        </w:rPr>
        <w:t>iv</w:t>
      </w:r>
      <w:proofErr w:type="spellEnd"/>
      <w:r w:rsidRPr="00EE2D2F">
        <w:rPr>
          <w:rFonts w:ascii="Verdana" w:eastAsia="Arial" w:hAnsi="Verdana" w:cs="Arial"/>
          <w:bCs/>
          <w:kern w:val="2"/>
          <w:sz w:val="20"/>
          <w:szCs w:val="20"/>
          <w:lang w:eastAsia="es-ES" w:bidi="es-ES"/>
          <w14:ligatures w14:val="standardContextual"/>
        </w:rPr>
        <w:t xml:space="preserve">) el número de partida arancelaria, v) el porcentaje (%) de participación del bien y vi) el puntaje individual de cada bien. </w:t>
      </w:r>
    </w:p>
    <w:p w14:paraId="72687E5C" w14:textId="77777777" w:rsidR="00EE2D2F" w:rsidRPr="00EE2D2F" w:rsidRDefault="00EE2D2F" w:rsidP="00EE2D2F">
      <w:pPr>
        <w:spacing w:after="0" w:line="240" w:lineRule="auto"/>
        <w:jc w:val="both"/>
        <w:rPr>
          <w:rFonts w:ascii="Verdana" w:eastAsia="Arial" w:hAnsi="Verdana" w:cs="Arial"/>
          <w:bCs/>
          <w:kern w:val="2"/>
          <w:sz w:val="20"/>
          <w:szCs w:val="20"/>
          <w:lang w:eastAsia="es-ES" w:bidi="es-ES"/>
          <w14:ligatures w14:val="standardContextual"/>
        </w:rPr>
      </w:pPr>
    </w:p>
    <w:p w14:paraId="2DC48942" w14:textId="77777777" w:rsidR="00EE2D2F" w:rsidRPr="00EE2D2F" w:rsidRDefault="00EE2D2F" w:rsidP="00EE2D2F">
      <w:pPr>
        <w:spacing w:after="0" w:line="240" w:lineRule="auto"/>
        <w:jc w:val="both"/>
        <w:rPr>
          <w:rFonts w:ascii="Verdana" w:eastAsia="Arial" w:hAnsi="Verdana" w:cs="Arial"/>
          <w:bCs/>
          <w:kern w:val="2"/>
          <w:sz w:val="20"/>
          <w:szCs w:val="20"/>
          <w:lang w:eastAsia="es-ES" w:bidi="es-ES"/>
          <w14:ligatures w14:val="standardContextual"/>
        </w:rPr>
      </w:pPr>
      <w:r w:rsidRPr="00EE2D2F">
        <w:rPr>
          <w:rFonts w:ascii="Verdana" w:eastAsia="Arial" w:hAnsi="Verdana" w:cs="Arial"/>
          <w:bCs/>
          <w:kern w:val="2"/>
          <w:sz w:val="20"/>
          <w:szCs w:val="20"/>
          <w:lang w:eastAsia="es-ES" w:bidi="es-ES"/>
          <w14:ligatures w14:val="standardContextual"/>
        </w:rPr>
        <w:t>(…)</w:t>
      </w:r>
    </w:p>
    <w:p w14:paraId="67D269CA" w14:textId="77777777" w:rsidR="00EE2D2F" w:rsidRPr="00EE2D2F" w:rsidRDefault="00EE2D2F" w:rsidP="00EE2D2F">
      <w:pPr>
        <w:spacing w:after="0" w:line="240" w:lineRule="auto"/>
        <w:jc w:val="both"/>
        <w:rPr>
          <w:rFonts w:ascii="Verdana" w:eastAsia="Arial" w:hAnsi="Verdana" w:cs="Arial"/>
          <w:bCs/>
          <w:kern w:val="2"/>
          <w:sz w:val="20"/>
          <w:szCs w:val="20"/>
          <w:lang w:eastAsia="es-ES" w:bidi="es-ES"/>
          <w14:ligatures w14:val="standardContextual"/>
        </w:rPr>
      </w:pPr>
    </w:p>
    <w:p w14:paraId="0E3148CC" w14:textId="77777777" w:rsidR="00EE2D2F" w:rsidRPr="00EE2D2F" w:rsidRDefault="00EE2D2F" w:rsidP="00EE2D2F">
      <w:pPr>
        <w:spacing w:after="0" w:line="240" w:lineRule="auto"/>
        <w:jc w:val="both"/>
        <w:rPr>
          <w:rFonts w:ascii="Verdana" w:eastAsia="Aptos" w:hAnsi="Verdana" w:cs="Arial"/>
          <w:kern w:val="2"/>
          <w:sz w:val="20"/>
          <w:szCs w:val="20"/>
          <w14:ligatures w14:val="standardContextual"/>
        </w:rPr>
      </w:pPr>
      <w:r w:rsidRPr="00EE2D2F">
        <w:rPr>
          <w:rFonts w:ascii="Verdana" w:eastAsia="Arial" w:hAnsi="Verdana" w:cs="Arial"/>
          <w:bCs/>
          <w:kern w:val="2"/>
          <w:sz w:val="20"/>
          <w:szCs w:val="20"/>
          <w:lang w:eastAsia="es-ES" w:bidi="es-ES"/>
          <w14:ligatures w14:val="standardContextual"/>
        </w:rPr>
        <w:t xml:space="preserve">Respecto a cada “Bien nacional relevante” identificado, </w:t>
      </w:r>
      <w:r w:rsidRPr="00EE2D2F">
        <w:rPr>
          <w:rFonts w:ascii="Verdana" w:eastAsia="Aptos" w:hAnsi="Verdana" w:cs="Arial"/>
          <w:kern w:val="2"/>
          <w:sz w:val="20"/>
          <w:szCs w:val="20"/>
          <w14:ligatures w14:val="standardContextual"/>
        </w:rPr>
        <w:t>para diligenciar las casillas “fecha de inscripción” y “fecha de vigencia” en la tabla anterior, debe tenerse en cuenta que cada una corresponde a los datos contenidos en las columnas tituladas “radicado” y “fecha de vencimiento”, respectivamente, del Registro de Productores y Bienes Nacionales del Ministerio de Comercio, Industria y Turismo. Específicamente, la “fecha de inscripción” corresponde a los 8 primeros dígitos de la columna de “radicado” y, por su parte, la “fecha de vigencia” corresponde a la información de la columna “fecha de vencimiento”, según el resultado que arroja la búsqueda en la página web de la ventanilla única de comercio exterior. Por otra parte, con la consulta en el mencionado registro, también es posible acceder al “No. de partida arancelaria”. Finalmente, el “porcentaje (%) de participación» y el «puntaje individual de cada bien” se determinan con la metodología prevista en la Matriz 4 y las fórmulas previstas en el pliego de condiciones.</w:t>
      </w:r>
    </w:p>
    <w:p w14:paraId="13C2687E" w14:textId="77777777" w:rsidR="00EE2D2F" w:rsidRPr="00EE2D2F" w:rsidRDefault="00EE2D2F" w:rsidP="00EE2D2F">
      <w:pPr>
        <w:spacing w:after="0" w:line="240" w:lineRule="auto"/>
        <w:jc w:val="both"/>
        <w:rPr>
          <w:rFonts w:ascii="Verdana" w:eastAsia="Aptos" w:hAnsi="Verdana" w:cs="Arial"/>
          <w:kern w:val="2"/>
          <w14:ligatures w14:val="standardContextual"/>
        </w:rPr>
      </w:pPr>
    </w:p>
    <w:p w14:paraId="242F6DF6" w14:textId="77777777" w:rsidR="00EE2D2F" w:rsidRPr="00EE2D2F" w:rsidRDefault="00EE2D2F" w:rsidP="00EE2D2F">
      <w:pPr>
        <w:widowControl w:val="0"/>
        <w:autoSpaceDE w:val="0"/>
        <w:autoSpaceDN w:val="0"/>
        <w:spacing w:after="0" w:line="240" w:lineRule="auto"/>
        <w:jc w:val="both"/>
        <w:rPr>
          <w:rFonts w:ascii="Verdana" w:eastAsia="Calibri" w:hAnsi="Verdana" w:cs="Arial"/>
          <w:b/>
          <w:color w:val="000000"/>
          <w:kern w:val="2"/>
          <w:lang w:val="es-ES_tradnl"/>
          <w14:ligatures w14:val="standardContextual"/>
        </w:rPr>
      </w:pPr>
      <w:r w:rsidRPr="00EE2D2F">
        <w:rPr>
          <w:rFonts w:ascii="Verdana" w:eastAsia="Calibri" w:hAnsi="Verdana" w:cs="Arial"/>
          <w:b/>
          <w:color w:val="000000"/>
          <w:kern w:val="2"/>
          <w:lang w:val="es-ES_tradnl"/>
          <w14:ligatures w14:val="standardContextual"/>
        </w:rPr>
        <w:t xml:space="preserve">DOCUMENTOS TIPO – Infraestructura de social – Opción 2 – Numeral 4.3.1 – Vinculación personal </w:t>
      </w:r>
    </w:p>
    <w:p w14:paraId="4A9A3515" w14:textId="77777777" w:rsidR="00EE2D2F" w:rsidRPr="00EE2D2F" w:rsidRDefault="00EE2D2F" w:rsidP="00EE2D2F">
      <w:pPr>
        <w:spacing w:after="0" w:line="240" w:lineRule="auto"/>
        <w:jc w:val="both"/>
        <w:rPr>
          <w:rFonts w:ascii="Verdana" w:eastAsia="Aptos" w:hAnsi="Verdana" w:cs="Arial"/>
          <w:kern w:val="2"/>
          <w:highlight w:val="yellow"/>
          <w:lang w:val="es-ES_tradnl"/>
          <w14:ligatures w14:val="standardContextual"/>
        </w:rPr>
      </w:pPr>
    </w:p>
    <w:p w14:paraId="18F341BF" w14:textId="77777777" w:rsidR="00EE2D2F" w:rsidRPr="00EE2D2F" w:rsidRDefault="00EE2D2F" w:rsidP="00EE2D2F">
      <w:pPr>
        <w:widowControl w:val="0"/>
        <w:tabs>
          <w:tab w:val="left" w:pos="2143"/>
        </w:tabs>
        <w:autoSpaceDE w:val="0"/>
        <w:autoSpaceDN w:val="0"/>
        <w:spacing w:after="0" w:line="240" w:lineRule="auto"/>
        <w:jc w:val="both"/>
        <w:rPr>
          <w:rFonts w:ascii="Verdana" w:eastAsia="Arial" w:hAnsi="Verdana" w:cs="Arial"/>
          <w:bCs/>
          <w:sz w:val="20"/>
          <w:szCs w:val="20"/>
          <w:lang w:eastAsia="es-ES" w:bidi="es-ES"/>
        </w:rPr>
      </w:pPr>
      <w:r w:rsidRPr="00EE2D2F">
        <w:rPr>
          <w:rFonts w:ascii="Verdana" w:eastAsia="Arial" w:hAnsi="Verdana" w:cs="Arial"/>
          <w:bCs/>
          <w:sz w:val="20"/>
          <w:szCs w:val="20"/>
          <w:lang w:eastAsia="es-ES" w:bidi="es-ES"/>
        </w:rPr>
        <w:t xml:space="preserve">Por otra parte, si luego de aplicar la metodología para identificar los bienes nacionales relevantes, prevista en la “Matriz 4 - Bienes nacionales relevantes para la obra pública del sector social”, la entidad estatal demuestra que los bienes nacionales relevantes no están registrados en el Registro de Productos de Bienes Nacionales Relevantes, deberá aplicar la </w:t>
      </w:r>
      <w:r w:rsidRPr="00EE2D2F">
        <w:rPr>
          <w:rFonts w:ascii="Verdana" w:eastAsia="Arial" w:hAnsi="Verdana" w:cs="Arial"/>
          <w:b/>
          <w:i/>
          <w:iCs/>
          <w:sz w:val="20"/>
          <w:szCs w:val="20"/>
          <w:lang w:eastAsia="es-ES" w:bidi="es-ES"/>
        </w:rPr>
        <w:t>opción 2</w:t>
      </w:r>
      <w:r w:rsidRPr="00EE2D2F">
        <w:rPr>
          <w:rFonts w:ascii="Verdana" w:eastAsia="Arial" w:hAnsi="Verdana" w:cs="Arial"/>
          <w:bCs/>
          <w:sz w:val="20"/>
          <w:szCs w:val="20"/>
          <w:lang w:eastAsia="es-ES" w:bidi="es-ES"/>
        </w:rPr>
        <w:t xml:space="preserve"> del numeral 4.3.1 “Promoción de servicios nacionales o con trato nacional”. Así, la entidad, otorgará el puntaje a los proponentes que se comprometan a vincular al desarrollo del objeto contractual un porcentaje de empleados o contratistas por prestación de servicios colombianos de al menos el cuarenta (40%) del personal requerido para el cumplimento del contrato, y deberá incluir los siguientes párrafos (…). </w:t>
      </w:r>
    </w:p>
    <w:p w14:paraId="472DEB11" w14:textId="77777777" w:rsidR="00EE2D2F" w:rsidRPr="00EE2D2F" w:rsidRDefault="00EE2D2F" w:rsidP="00EE2D2F">
      <w:pPr>
        <w:spacing w:after="0" w:line="240" w:lineRule="auto"/>
        <w:jc w:val="both"/>
        <w:rPr>
          <w:rFonts w:ascii="Verdana" w:eastAsia="Aptos" w:hAnsi="Verdana" w:cs="Arial"/>
          <w:kern w:val="2"/>
          <w14:ligatures w14:val="standardContextual"/>
        </w:rPr>
      </w:pPr>
    </w:p>
    <w:p w14:paraId="479FCB3C" w14:textId="77777777" w:rsidR="00EE2D2F" w:rsidRPr="00EE2D2F" w:rsidRDefault="00EE2D2F" w:rsidP="00EE2D2F">
      <w:pPr>
        <w:spacing w:line="278" w:lineRule="auto"/>
        <w:rPr>
          <w:rFonts w:ascii="Verdana" w:eastAsia="Calibri" w:hAnsi="Verdana" w:cs="Arial"/>
          <w:b/>
          <w:bCs/>
          <w:lang w:val="es-ES_tradnl"/>
        </w:rPr>
      </w:pPr>
    </w:p>
    <w:p w14:paraId="58449164" w14:textId="77777777" w:rsidR="00EE2D2F" w:rsidRPr="00EE2D2F" w:rsidRDefault="00EE2D2F" w:rsidP="00EE2D2F">
      <w:pPr>
        <w:spacing w:line="278" w:lineRule="auto"/>
        <w:rPr>
          <w:rFonts w:ascii="Verdana" w:eastAsia="Calibri" w:hAnsi="Verdana" w:cs="Arial"/>
          <w:b/>
          <w:bCs/>
          <w:lang w:val="es-ES_tradnl"/>
        </w:rPr>
      </w:pPr>
    </w:p>
    <w:p w14:paraId="598A85F0" w14:textId="77777777" w:rsidR="00EE2D2F" w:rsidRDefault="00EE2D2F" w:rsidP="00EE2D2F">
      <w:pPr>
        <w:spacing w:line="278" w:lineRule="auto"/>
        <w:rPr>
          <w:rFonts w:ascii="Verdana" w:eastAsia="Calibri" w:hAnsi="Verdana" w:cs="Arial"/>
          <w:b/>
          <w:bCs/>
          <w:lang w:val="es-ES_tradnl"/>
        </w:rPr>
      </w:pPr>
    </w:p>
    <w:p w14:paraId="430EA7CC" w14:textId="77777777" w:rsidR="005142A9" w:rsidRPr="00EE2D2F" w:rsidRDefault="005142A9" w:rsidP="00EE2D2F">
      <w:pPr>
        <w:spacing w:line="278" w:lineRule="auto"/>
        <w:rPr>
          <w:rFonts w:ascii="Verdana" w:eastAsia="Calibri" w:hAnsi="Verdana" w:cs="Arial"/>
          <w:b/>
          <w:bCs/>
          <w:lang w:val="es-ES_tradnl"/>
        </w:rPr>
      </w:pPr>
    </w:p>
    <w:p w14:paraId="32413582" w14:textId="77777777" w:rsidR="00EE2D2F" w:rsidRPr="00EE2D2F" w:rsidRDefault="00EE2D2F" w:rsidP="00EE2D2F">
      <w:pPr>
        <w:spacing w:line="278" w:lineRule="auto"/>
        <w:rPr>
          <w:rFonts w:ascii="Verdana" w:eastAsia="Calibri" w:hAnsi="Verdana" w:cs="Arial"/>
          <w:b/>
          <w:bCs/>
          <w:lang w:val="es-ES_tradnl"/>
        </w:rPr>
      </w:pPr>
    </w:p>
    <w:p w14:paraId="0AAE9698" w14:textId="77777777" w:rsidR="00EE2D2F" w:rsidRPr="00EE2D2F" w:rsidRDefault="00EE2D2F" w:rsidP="00EE2D2F">
      <w:pPr>
        <w:spacing w:line="278" w:lineRule="auto"/>
        <w:rPr>
          <w:rFonts w:ascii="Verdana" w:eastAsia="Calibri" w:hAnsi="Verdana" w:cs="Arial"/>
          <w:b/>
          <w:bCs/>
          <w:lang w:val="es-ES_tradnl"/>
        </w:rPr>
      </w:pPr>
    </w:p>
    <w:p w14:paraId="66D3FAF1" w14:textId="28271708" w:rsidR="00EE2D2F" w:rsidRDefault="00EE2D2F" w:rsidP="00EE2D2F">
      <w:pPr>
        <w:spacing w:after="0" w:line="278" w:lineRule="auto"/>
        <w:rPr>
          <w:rFonts w:ascii="Verdana" w:eastAsia="Aptos" w:hAnsi="Verdana" w:cs="Times New Roman"/>
          <w:kern w:val="2"/>
          <w:sz w:val="24"/>
          <w:szCs w:val="24"/>
          <w14:ligatures w14:val="standardContextual"/>
        </w:rPr>
      </w:pPr>
      <w:r w:rsidRPr="00EE2D2F">
        <w:rPr>
          <w:rFonts w:ascii="Verdana" w:eastAsia="Aptos" w:hAnsi="Verdana" w:cs="Times New Roman"/>
          <w:kern w:val="2"/>
          <w:sz w:val="24"/>
          <w:szCs w:val="24"/>
          <w14:ligatures w14:val="standardContextual"/>
        </w:rPr>
        <w:lastRenderedPageBreak/>
        <w:t xml:space="preserve">Bogotá D.C., </w:t>
      </w:r>
      <w:r w:rsidR="005A3A78">
        <w:rPr>
          <w:rFonts w:ascii="Verdana" w:eastAsia="Aptos" w:hAnsi="Verdana" w:cs="Times New Roman"/>
          <w:kern w:val="2"/>
          <w:sz w:val="24"/>
          <w:szCs w:val="24"/>
          <w14:ligatures w14:val="standardContextual"/>
        </w:rPr>
        <w:t>28 de abril de 2026</w:t>
      </w:r>
    </w:p>
    <w:p w14:paraId="6D4ED274" w14:textId="2E543F39" w:rsidR="00EE2D2F" w:rsidRPr="00680B7D" w:rsidRDefault="00E06AB2" w:rsidP="00680B7D">
      <w:pPr>
        <w:spacing w:after="0" w:line="278" w:lineRule="auto"/>
        <w:rPr>
          <w:rFonts w:ascii="Verdana" w:eastAsia="Aptos" w:hAnsi="Verdana" w:cs="Times New Roman"/>
          <w:kern w:val="2"/>
          <w:sz w:val="24"/>
          <w:szCs w:val="24"/>
          <w14:ligatures w14:val="standardContextual"/>
        </w:rPr>
      </w:pPr>
      <w:r w:rsidRPr="005A3A78">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3A3D7450" wp14:editId="1E58F6DD">
            <wp:simplePos x="0" y="0"/>
            <wp:positionH relativeFrom="column">
              <wp:posOffset>3228975</wp:posOffset>
            </wp:positionH>
            <wp:positionV relativeFrom="paragraph">
              <wp:posOffset>168910</wp:posOffset>
            </wp:positionV>
            <wp:extent cx="2919730" cy="874395"/>
            <wp:effectExtent l="0" t="0" r="0" b="1905"/>
            <wp:wrapSquare wrapText="bothSides"/>
            <wp:docPr id="15038407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840771" name=""/>
                    <pic:cNvPicPr/>
                  </pic:nvPicPr>
                  <pic:blipFill>
                    <a:blip r:embed="rId10">
                      <a:extLst>
                        <a:ext uri="{28A0092B-C50C-407E-A947-70E740481C1C}">
                          <a14:useLocalDpi xmlns:a14="http://schemas.microsoft.com/office/drawing/2010/main" val="0"/>
                        </a:ext>
                      </a:extLst>
                    </a:blip>
                    <a:stretch>
                      <a:fillRect/>
                    </a:stretch>
                  </pic:blipFill>
                  <pic:spPr>
                    <a:xfrm>
                      <a:off x="0" y="0"/>
                      <a:ext cx="2919730" cy="874395"/>
                    </a:xfrm>
                    <a:prstGeom prst="rect">
                      <a:avLst/>
                    </a:prstGeom>
                  </pic:spPr>
                </pic:pic>
              </a:graphicData>
            </a:graphic>
            <wp14:sizeRelH relativeFrom="page">
              <wp14:pctWidth>0</wp14:pctWidth>
            </wp14:sizeRelH>
            <wp14:sizeRelV relativeFrom="page">
              <wp14:pctHeight>0</wp14:pctHeight>
            </wp14:sizeRelV>
          </wp:anchor>
        </w:drawing>
      </w:r>
    </w:p>
    <w:p w14:paraId="03ECA35B" w14:textId="7E200B08" w:rsidR="00EE2D2F" w:rsidRPr="00EE2D2F" w:rsidRDefault="00EE2D2F" w:rsidP="00EE2D2F">
      <w:pPr>
        <w:spacing w:after="0" w:line="240" w:lineRule="auto"/>
        <w:rPr>
          <w:rFonts w:ascii="Verdana" w:eastAsia="Calibri" w:hAnsi="Verdana" w:cs="Arial"/>
          <w:lang w:val="es-ES" w:eastAsia="es-ES"/>
        </w:rPr>
      </w:pPr>
      <w:r w:rsidRPr="00EE2D2F">
        <w:rPr>
          <w:rFonts w:ascii="Verdana" w:eastAsia="Calibri" w:hAnsi="Verdana" w:cs="Arial"/>
          <w:lang w:val="es-ES" w:eastAsia="es-ES"/>
        </w:rPr>
        <w:t>Señor</w:t>
      </w:r>
    </w:p>
    <w:p w14:paraId="28438D3D" w14:textId="77777777" w:rsidR="00EE2D2F" w:rsidRPr="00EE2D2F" w:rsidRDefault="00EE2D2F" w:rsidP="00EE2D2F">
      <w:pPr>
        <w:spacing w:after="0" w:line="240" w:lineRule="auto"/>
        <w:rPr>
          <w:rFonts w:ascii="Verdana" w:eastAsia="Times New Roman" w:hAnsi="Verdana" w:cs="Times New Roman"/>
          <w:b/>
          <w:bCs/>
          <w:color w:val="242424"/>
          <w:shd w:val="clear" w:color="auto" w:fill="FFFFFF"/>
          <w:lang w:eastAsia="es-MX"/>
        </w:rPr>
      </w:pPr>
      <w:r w:rsidRPr="00EE2D2F">
        <w:rPr>
          <w:rFonts w:ascii="Verdana" w:eastAsia="Times New Roman" w:hAnsi="Verdana" w:cs="Times New Roman"/>
          <w:b/>
          <w:bCs/>
          <w:color w:val="242424"/>
          <w:shd w:val="clear" w:color="auto" w:fill="FFFFFF"/>
          <w:lang w:eastAsia="es-MX"/>
        </w:rPr>
        <w:t>Juan Antonio Castillo Fuentealba</w:t>
      </w:r>
    </w:p>
    <w:p w14:paraId="428E12F5" w14:textId="77777777" w:rsidR="00EE2D2F" w:rsidRPr="00EE2D2F" w:rsidRDefault="00EE2D2F" w:rsidP="00EE2D2F">
      <w:pPr>
        <w:spacing w:after="0" w:line="240" w:lineRule="auto"/>
        <w:rPr>
          <w:rFonts w:ascii="Verdana" w:eastAsia="Times New Roman" w:hAnsi="Verdana" w:cs="Times New Roman"/>
          <w:color w:val="242424"/>
          <w:shd w:val="clear" w:color="auto" w:fill="FFFFFF"/>
          <w:lang w:eastAsia="es-MX"/>
        </w:rPr>
      </w:pPr>
      <w:r w:rsidRPr="00EE2D2F">
        <w:rPr>
          <w:rFonts w:ascii="Verdana" w:eastAsia="Times New Roman" w:hAnsi="Verdana" w:cs="Times New Roman"/>
          <w:color w:val="242424"/>
          <w:shd w:val="clear" w:color="auto" w:fill="FFFFFF"/>
          <w:lang w:eastAsia="es-MX"/>
        </w:rPr>
        <w:t xml:space="preserve">Dirección Administrativa </w:t>
      </w:r>
    </w:p>
    <w:p w14:paraId="5F7A2AE0" w14:textId="77777777" w:rsidR="00EE2D2F" w:rsidRPr="00EE2D2F" w:rsidRDefault="00EE2D2F" w:rsidP="00EE2D2F">
      <w:pPr>
        <w:spacing w:after="0" w:line="240" w:lineRule="auto"/>
        <w:rPr>
          <w:rFonts w:ascii="Verdana" w:eastAsia="Times New Roman" w:hAnsi="Verdana" w:cs="Times New Roman"/>
          <w:color w:val="242424"/>
          <w:shd w:val="clear" w:color="auto" w:fill="FFFFFF"/>
          <w:lang w:eastAsia="es-MX"/>
        </w:rPr>
      </w:pPr>
      <w:r w:rsidRPr="00EE2D2F">
        <w:rPr>
          <w:rFonts w:ascii="Verdana" w:eastAsia="Times New Roman" w:hAnsi="Verdana" w:cs="Times New Roman"/>
          <w:color w:val="242424"/>
          <w:shd w:val="clear" w:color="auto" w:fill="FFFFFF"/>
          <w:lang w:eastAsia="es-MX"/>
        </w:rPr>
        <w:t>Grupo de Infraestructura Inmobiliaria</w:t>
      </w:r>
    </w:p>
    <w:p w14:paraId="6CCBC676" w14:textId="77777777" w:rsidR="00EE2D2F" w:rsidRPr="00EE2D2F" w:rsidRDefault="00EE2D2F" w:rsidP="00EE2D2F">
      <w:pPr>
        <w:spacing w:after="0" w:line="240" w:lineRule="auto"/>
        <w:rPr>
          <w:rFonts w:ascii="Verdana" w:eastAsia="Times New Roman" w:hAnsi="Verdana" w:cs="Times New Roman"/>
          <w:color w:val="242424"/>
          <w:shd w:val="clear" w:color="auto" w:fill="FFFFFF"/>
          <w:lang w:eastAsia="es-MX"/>
        </w:rPr>
      </w:pPr>
      <w:r w:rsidRPr="00EE2D2F">
        <w:rPr>
          <w:rFonts w:ascii="Verdana" w:eastAsia="Times New Roman" w:hAnsi="Verdana" w:cs="Times New Roman"/>
          <w:color w:val="242424"/>
          <w:shd w:val="clear" w:color="auto" w:fill="FFFFFF"/>
          <w:lang w:eastAsia="es-MX"/>
        </w:rPr>
        <w:t>Instituto Colombiano de Bienes Familiar</w:t>
      </w:r>
    </w:p>
    <w:p w14:paraId="60899D11" w14:textId="77777777" w:rsidR="00EE2D2F" w:rsidRPr="00EE2D2F" w:rsidRDefault="00EE2D2F" w:rsidP="00EE2D2F">
      <w:pPr>
        <w:spacing w:after="0" w:line="240" w:lineRule="auto"/>
        <w:rPr>
          <w:rFonts w:ascii="Verdana" w:eastAsia="Times New Roman" w:hAnsi="Verdana" w:cs="Times New Roman"/>
          <w:color w:val="242424"/>
          <w:shd w:val="clear" w:color="auto" w:fill="FFFFFF"/>
          <w:lang w:eastAsia="es-MX"/>
        </w:rPr>
      </w:pPr>
      <w:r w:rsidRPr="00EE2D2F">
        <w:rPr>
          <w:rFonts w:ascii="Verdana" w:eastAsia="Times New Roman" w:hAnsi="Verdana" w:cs="Times New Roman"/>
          <w:color w:val="242424"/>
          <w:shd w:val="clear" w:color="auto" w:fill="FFFFFF"/>
          <w:lang w:eastAsia="es-MX"/>
        </w:rPr>
        <w:t>Ciudad</w:t>
      </w:r>
    </w:p>
    <w:p w14:paraId="454809E1" w14:textId="77777777" w:rsidR="00EE2D2F" w:rsidRPr="00EE2D2F" w:rsidRDefault="00EE2D2F" w:rsidP="00EE2D2F">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EE2D2F" w:rsidRPr="00EE2D2F" w14:paraId="23A241E9" w14:textId="77777777" w:rsidTr="00C80FF3">
        <w:trPr>
          <w:trHeight w:val="229"/>
        </w:trPr>
        <w:tc>
          <w:tcPr>
            <w:tcW w:w="2268" w:type="dxa"/>
          </w:tcPr>
          <w:p w14:paraId="77AFC6D7" w14:textId="77777777" w:rsidR="00EE2D2F" w:rsidRPr="00EE2D2F" w:rsidRDefault="00EE2D2F" w:rsidP="00EE2D2F">
            <w:pPr>
              <w:jc w:val="both"/>
              <w:rPr>
                <w:rFonts w:ascii="Verdana" w:eastAsia="Calibri" w:hAnsi="Verdana" w:cs="Arial"/>
                <w:b/>
                <w:bCs/>
                <w:lang w:val="es-ES_tradnl" w:eastAsia="es-ES_tradnl"/>
              </w:rPr>
            </w:pPr>
          </w:p>
        </w:tc>
        <w:tc>
          <w:tcPr>
            <w:tcW w:w="6100" w:type="dxa"/>
          </w:tcPr>
          <w:p w14:paraId="2D6C1899" w14:textId="77777777" w:rsidR="00EE2D2F" w:rsidRPr="00EE2D2F" w:rsidRDefault="00EE2D2F" w:rsidP="00EE2D2F">
            <w:pPr>
              <w:jc w:val="both"/>
              <w:rPr>
                <w:rFonts w:ascii="Verdana" w:eastAsia="Calibri" w:hAnsi="Verdana" w:cs="Arial"/>
                <w:b/>
                <w:bCs/>
                <w:lang w:val="es-ES" w:eastAsia="es-ES"/>
              </w:rPr>
            </w:pPr>
            <w:r w:rsidRPr="00EE2D2F">
              <w:rPr>
                <w:rFonts w:ascii="Verdana" w:eastAsia="Calibri" w:hAnsi="Verdana" w:cs="Arial"/>
                <w:b/>
                <w:bCs/>
                <w:lang w:val="es-ES" w:eastAsia="es-ES"/>
              </w:rPr>
              <w:t xml:space="preserve">Concepto </w:t>
            </w:r>
            <w:bookmarkStart w:id="1" w:name="OLE_LINK1"/>
            <w:r w:rsidRPr="00EE2D2F">
              <w:rPr>
                <w:rFonts w:ascii="Verdana" w:eastAsia="Calibri" w:hAnsi="Verdana" w:cs="Arial"/>
                <w:b/>
                <w:bCs/>
                <w:lang w:val="es-ES" w:eastAsia="es-ES"/>
              </w:rPr>
              <w:t>C-423 de 2026</w:t>
            </w:r>
            <w:bookmarkEnd w:id="1"/>
          </w:p>
          <w:p w14:paraId="26F86E0A" w14:textId="77777777" w:rsidR="00EE2D2F" w:rsidRPr="00EE2D2F" w:rsidRDefault="00EE2D2F" w:rsidP="00EE2D2F">
            <w:pPr>
              <w:jc w:val="both"/>
              <w:rPr>
                <w:rFonts w:ascii="Verdana" w:eastAsia="Calibri" w:hAnsi="Verdana" w:cs="Arial"/>
                <w:b/>
                <w:bCs/>
                <w:lang w:val="es-ES" w:eastAsia="es-ES"/>
              </w:rPr>
            </w:pPr>
          </w:p>
        </w:tc>
      </w:tr>
      <w:tr w:rsidR="00EE2D2F" w:rsidRPr="00EE2D2F" w14:paraId="59B899B2" w14:textId="77777777" w:rsidTr="00C80FF3">
        <w:trPr>
          <w:trHeight w:val="884"/>
        </w:trPr>
        <w:tc>
          <w:tcPr>
            <w:tcW w:w="2268" w:type="dxa"/>
          </w:tcPr>
          <w:p w14:paraId="22C75E0A" w14:textId="77777777" w:rsidR="00EE2D2F" w:rsidRPr="00EE2D2F" w:rsidRDefault="00EE2D2F" w:rsidP="00EE2D2F">
            <w:pPr>
              <w:jc w:val="both"/>
              <w:rPr>
                <w:rFonts w:ascii="Verdana" w:eastAsia="Calibri" w:hAnsi="Verdana" w:cs="Arial"/>
                <w:lang w:val="es-ES_tradnl" w:eastAsia="es-ES_tradnl"/>
              </w:rPr>
            </w:pPr>
            <w:r w:rsidRPr="00EE2D2F">
              <w:rPr>
                <w:rFonts w:ascii="Verdana" w:eastAsia="Calibri" w:hAnsi="Verdana" w:cs="Arial"/>
                <w:b/>
                <w:lang w:val="es-ES_tradnl" w:eastAsia="es-ES_tradnl"/>
              </w:rPr>
              <w:t>Temas:</w:t>
            </w:r>
            <w:r w:rsidRPr="00EE2D2F">
              <w:rPr>
                <w:rFonts w:ascii="Verdana" w:eastAsia="Calibri" w:hAnsi="Verdana" w:cs="Arial"/>
                <w:lang w:val="es-ES_tradnl" w:eastAsia="es-ES_tradnl"/>
              </w:rPr>
              <w:t xml:space="preserve">                   </w:t>
            </w:r>
          </w:p>
        </w:tc>
        <w:tc>
          <w:tcPr>
            <w:tcW w:w="6100" w:type="dxa"/>
          </w:tcPr>
          <w:p w14:paraId="556F69AB" w14:textId="77777777" w:rsidR="00EE2D2F" w:rsidRPr="00E06AB2" w:rsidRDefault="00EE2D2F" w:rsidP="00EE2D2F">
            <w:pPr>
              <w:widowControl w:val="0"/>
              <w:autoSpaceDE w:val="0"/>
              <w:autoSpaceDN w:val="0"/>
              <w:jc w:val="both"/>
              <w:rPr>
                <w:rFonts w:ascii="Verdana" w:eastAsia="Calibri" w:hAnsi="Verdana" w:cs="Arial"/>
                <w:color w:val="000000"/>
                <w:lang w:val="es-ES_tradnl"/>
              </w:rPr>
            </w:pPr>
            <w:r w:rsidRPr="00E06AB2">
              <w:rPr>
                <w:rFonts w:ascii="Verdana" w:eastAsia="Calibri" w:hAnsi="Verdana" w:cs="Arial"/>
                <w:lang w:val="es-ES_tradnl" w:eastAsia="es-MX"/>
              </w:rPr>
              <w:t>DOCUMENTOS TIPO – Fundamento normativo – Obligatoriedad / SECTOR SOCIAL</w:t>
            </w:r>
            <w:r w:rsidRPr="00E06AB2">
              <w:rPr>
                <w:rFonts w:ascii="Verdana" w:eastAsia="Calibri" w:hAnsi="Verdana" w:cs="Times New Roman"/>
                <w:lang w:val="es-ES" w:eastAsia="es-MX"/>
              </w:rPr>
              <w:t xml:space="preserve"> – Documentos tipo – Vigentes – Selección abreviada – Resolución 540 de 2025 / </w:t>
            </w:r>
            <w:r w:rsidRPr="00E06AB2">
              <w:rPr>
                <w:rFonts w:ascii="Verdana" w:eastAsia="Calibri" w:hAnsi="Verdana" w:cs="Arial"/>
                <w:color w:val="000000"/>
                <w:lang w:val="es-ES"/>
              </w:rPr>
              <w:t xml:space="preserve">CONTRATO POR MONTO AGOTABLE </w:t>
            </w:r>
            <w:r w:rsidRPr="00E06AB2">
              <w:rPr>
                <w:rFonts w:ascii="Verdana" w:eastAsia="Calibri" w:hAnsi="Verdana" w:cs="Arial"/>
                <w:color w:val="000000"/>
              </w:rPr>
              <w:t xml:space="preserve">– </w:t>
            </w:r>
            <w:r w:rsidRPr="00E06AB2">
              <w:rPr>
                <w:rFonts w:ascii="Verdana" w:eastAsia="Calibri" w:hAnsi="Verdana" w:cs="Arial"/>
                <w:color w:val="000000"/>
                <w:lang w:val="es-ES"/>
              </w:rPr>
              <w:t xml:space="preserve">Forma de Pago – Contratos de obra / </w:t>
            </w:r>
            <w:r w:rsidRPr="00E06AB2">
              <w:rPr>
                <w:rFonts w:ascii="Verdana" w:eastAsia="Arial" w:hAnsi="Verdana" w:cs="Arial"/>
                <w:lang w:val="es-ES" w:eastAsia="es-CO"/>
              </w:rPr>
              <w:t xml:space="preserve">APOYO A LA INDUSTRIA NACIONAL – Decreto 680 de 2021 / </w:t>
            </w:r>
            <w:r w:rsidRPr="00E06AB2">
              <w:rPr>
                <w:rFonts w:ascii="Verdana" w:eastAsia="Calibri" w:hAnsi="Verdana" w:cs="Arial"/>
                <w:lang w:val="es-ES_tradnl"/>
              </w:rPr>
              <w:t>DECRETO 680 DE 2021 – Alcance servicios nacionales – Noción / DECRETO 680 DE 2021 – Regla de origen – Criterios – Identificación – Bienes nacionales relevantes / PUNTAJE POR SERVICIOS NACIONALES O CON TRATO NACIONAL – Documentos tipo –</w:t>
            </w:r>
            <w:r w:rsidRPr="00E06AB2">
              <w:rPr>
                <w:rFonts w:ascii="Verdana" w:eastAsia="Calibri" w:hAnsi="Verdana" w:cs="Arial"/>
                <w:lang w:val="es-MX"/>
              </w:rPr>
              <w:t xml:space="preserve"> Selección abreviada de menor cuantía – Infraestructura de social</w:t>
            </w:r>
            <w:r w:rsidRPr="00E06AB2">
              <w:rPr>
                <w:rFonts w:ascii="Verdana" w:eastAsia="Calibri" w:hAnsi="Verdana" w:cs="Arial"/>
                <w:lang w:val="es-ES_tradnl"/>
              </w:rPr>
              <w:t xml:space="preserve"> / </w:t>
            </w:r>
            <w:r w:rsidRPr="00E06AB2">
              <w:rPr>
                <w:rFonts w:ascii="Verdana" w:eastAsia="Calibri" w:hAnsi="Verdana" w:cs="Arial"/>
                <w:color w:val="000000"/>
                <w:lang w:val="es-ES_tradnl"/>
              </w:rPr>
              <w:t xml:space="preserve">BIENES NACIONALES RELEVANTES – Documentos tipo – Infraestructura de social – Matriz 4 – Metodología / BIENES NACIONALES RELEVANTES – Documentos tipo – Infraestructura de social – Matriz 4 – Metodología – Monto agotable – Precio unitario / BIENES NACIONALES RELEVANTES – Documentos tipo – Infraestructura de social – Matriz 4 – Metodología – Fecha de inscripción – Fecha de vigencia - porcentaje de participación – Determinación / DOCUMENTOS TIPO – Infraestructura de social – Opción 2 – Numeral 4.3.1 – Vinculación personal </w:t>
            </w:r>
          </w:p>
          <w:p w14:paraId="2E359C44" w14:textId="77777777" w:rsidR="00EE2D2F" w:rsidRPr="00EE2D2F" w:rsidRDefault="00EE2D2F" w:rsidP="00EE2D2F">
            <w:pPr>
              <w:jc w:val="both"/>
              <w:rPr>
                <w:rFonts w:ascii="Verdana" w:eastAsia="Calibri" w:hAnsi="Verdana" w:cs="Arial"/>
                <w:bCs/>
                <w:lang w:val="es-ES_tradnl" w:eastAsia="es-ES"/>
              </w:rPr>
            </w:pPr>
          </w:p>
        </w:tc>
      </w:tr>
      <w:tr w:rsidR="00EE2D2F" w:rsidRPr="00EE2D2F" w14:paraId="6831C63F" w14:textId="77777777" w:rsidTr="00C80FF3">
        <w:tc>
          <w:tcPr>
            <w:tcW w:w="2268" w:type="dxa"/>
          </w:tcPr>
          <w:p w14:paraId="19ED15F6" w14:textId="77777777" w:rsidR="00EE2D2F" w:rsidRPr="00EE2D2F" w:rsidRDefault="00EE2D2F" w:rsidP="00EE2D2F">
            <w:pPr>
              <w:jc w:val="both"/>
              <w:rPr>
                <w:rFonts w:ascii="Verdana" w:eastAsia="Calibri" w:hAnsi="Verdana" w:cs="Arial"/>
                <w:b/>
                <w:lang w:val="es-ES_tradnl" w:eastAsia="es-ES_tradnl"/>
              </w:rPr>
            </w:pPr>
            <w:r w:rsidRPr="00EE2D2F">
              <w:rPr>
                <w:rFonts w:ascii="Verdana" w:eastAsia="Calibri" w:hAnsi="Verdana" w:cs="Arial"/>
                <w:b/>
                <w:lang w:val="es-ES_tradnl" w:eastAsia="es-ES_tradnl"/>
              </w:rPr>
              <w:t>Radicación:</w:t>
            </w:r>
            <w:r w:rsidRPr="00EE2D2F">
              <w:rPr>
                <w:rFonts w:ascii="Verdana" w:eastAsia="Calibri" w:hAnsi="Verdana" w:cs="Arial"/>
                <w:lang w:val="es-ES_tradnl" w:eastAsia="es-ES_tradnl"/>
              </w:rPr>
              <w:t xml:space="preserve">               </w:t>
            </w:r>
          </w:p>
        </w:tc>
        <w:tc>
          <w:tcPr>
            <w:tcW w:w="6100" w:type="dxa"/>
          </w:tcPr>
          <w:p w14:paraId="37703F1B" w14:textId="77777777" w:rsidR="00EE2D2F" w:rsidRPr="00EE2D2F" w:rsidRDefault="00EE2D2F" w:rsidP="00EE2D2F">
            <w:pPr>
              <w:ind w:left="3" w:hanging="3"/>
              <w:jc w:val="both"/>
              <w:rPr>
                <w:rFonts w:ascii="Verdana" w:eastAsia="Calibri" w:hAnsi="Verdana" w:cs="Arial"/>
                <w:lang w:val="es-ES_tradnl" w:eastAsia="es-ES_tradnl"/>
              </w:rPr>
            </w:pPr>
            <w:r w:rsidRPr="00EE2D2F">
              <w:rPr>
                <w:rFonts w:ascii="Verdana" w:eastAsia="Calibri" w:hAnsi="Verdana" w:cs="Arial"/>
                <w:lang w:val="es-ES_tradnl" w:eastAsia="es-ES_tradnl"/>
              </w:rPr>
              <w:t>Respuesta a consulta con radicado No. 1_2026_03_16_003621</w:t>
            </w:r>
          </w:p>
        </w:tc>
      </w:tr>
    </w:tbl>
    <w:p w14:paraId="588F5E1D" w14:textId="77777777" w:rsidR="00EE2D2F" w:rsidRPr="00EE2D2F" w:rsidRDefault="00EE2D2F" w:rsidP="00EE2D2F">
      <w:pPr>
        <w:spacing w:after="0" w:line="240" w:lineRule="auto"/>
        <w:jc w:val="both"/>
        <w:rPr>
          <w:rFonts w:ascii="Verdana" w:eastAsia="Calibri" w:hAnsi="Verdana" w:cs="Arial"/>
          <w:lang w:val="es-ES_tradnl" w:eastAsia="es-ES_tradnl"/>
        </w:rPr>
      </w:pPr>
    </w:p>
    <w:p w14:paraId="0F1A68B6" w14:textId="77777777" w:rsidR="00EE2D2F" w:rsidRPr="00EE2D2F" w:rsidRDefault="00EE2D2F" w:rsidP="00EE2D2F">
      <w:pPr>
        <w:spacing w:after="0" w:line="276" w:lineRule="auto"/>
        <w:jc w:val="both"/>
        <w:rPr>
          <w:rFonts w:ascii="Verdana" w:eastAsia="Calibri" w:hAnsi="Verdana" w:cs="Arial"/>
          <w:lang w:val="es-ES" w:eastAsia="es-ES"/>
        </w:rPr>
      </w:pPr>
      <w:r w:rsidRPr="00EE2D2F">
        <w:rPr>
          <w:rFonts w:ascii="Verdana" w:eastAsia="Calibri" w:hAnsi="Verdana" w:cs="Arial"/>
          <w:lang w:val="es-ES" w:eastAsia="es-ES"/>
        </w:rPr>
        <w:t xml:space="preserve">Estimado señor </w:t>
      </w:r>
      <w:r w:rsidRPr="00EE2D2F">
        <w:rPr>
          <w:rFonts w:ascii="Verdana" w:eastAsia="Times New Roman" w:hAnsi="Verdana" w:cs="Times New Roman"/>
          <w:color w:val="242424"/>
          <w:shd w:val="clear" w:color="auto" w:fill="FFFFFF"/>
          <w:lang w:eastAsia="es-MX"/>
        </w:rPr>
        <w:t>Castillo Fuentealba</w:t>
      </w:r>
      <w:r w:rsidRPr="00EE2D2F">
        <w:rPr>
          <w:rFonts w:ascii="Verdana" w:eastAsia="Calibri" w:hAnsi="Verdana" w:cs="Arial"/>
          <w:lang w:val="es-ES" w:eastAsia="es-ES"/>
        </w:rPr>
        <w:t xml:space="preserve">: </w:t>
      </w:r>
    </w:p>
    <w:p w14:paraId="032FD05C" w14:textId="77777777" w:rsidR="00EE2D2F" w:rsidRPr="00EE2D2F" w:rsidRDefault="00EE2D2F" w:rsidP="00EE2D2F">
      <w:pPr>
        <w:tabs>
          <w:tab w:val="left" w:pos="3768"/>
        </w:tabs>
        <w:spacing w:after="0" w:line="276" w:lineRule="auto"/>
        <w:jc w:val="both"/>
        <w:rPr>
          <w:rFonts w:ascii="Verdana" w:eastAsia="Calibri" w:hAnsi="Verdana" w:cs="Arial"/>
          <w:lang w:val="es-ES" w:eastAsia="es-ES"/>
        </w:rPr>
      </w:pPr>
      <w:r w:rsidRPr="00EE2D2F">
        <w:rPr>
          <w:rFonts w:ascii="Verdana" w:eastAsia="Calibri" w:hAnsi="Verdana" w:cs="Arial"/>
          <w:lang w:val="es-ES" w:eastAsia="es-ES"/>
        </w:rPr>
        <w:tab/>
      </w:r>
    </w:p>
    <w:p w14:paraId="5C58FC69" w14:textId="77777777" w:rsidR="00EE2D2F" w:rsidRPr="00EE2D2F" w:rsidRDefault="00EE2D2F" w:rsidP="00EE2D2F">
      <w:pPr>
        <w:spacing w:after="0" w:line="276" w:lineRule="auto"/>
        <w:jc w:val="both"/>
        <w:rPr>
          <w:rFonts w:ascii="Verdana" w:eastAsia="Calibri" w:hAnsi="Verdana" w:cs="Arial"/>
          <w:lang w:val="es-ES" w:eastAsia="es-ES"/>
        </w:rPr>
      </w:pPr>
      <w:r w:rsidRPr="00EE2D2F">
        <w:rPr>
          <w:rFonts w:ascii="Verdana" w:eastAsia="Calibri" w:hAnsi="Verdana" w:cs="Arial"/>
          <w:lang w:val="es-ES" w:eastAsia="es-ES"/>
        </w:rPr>
        <w:lastRenderedPageBreak/>
        <w:t>En ejercicio de la competencia otorgada por los artículos 3, numeral 5º, y 11, numeral 8º, del Decreto Ley 4170 de 2011,</w:t>
      </w:r>
      <w:r w:rsidRPr="00EE2D2F">
        <w:rPr>
          <w:rFonts w:ascii="Verdana" w:eastAsia="Arial MT" w:hAnsi="Verdana" w:cs="Arial MT"/>
          <w:lang w:val="es-ES" w:eastAsia="es-ES"/>
        </w:rPr>
        <w:t xml:space="preserve"> </w:t>
      </w:r>
      <w:r w:rsidRPr="00EE2D2F">
        <w:rPr>
          <w:rFonts w:ascii="Verdana" w:eastAsia="Calibri" w:hAnsi="Verdana" w:cs="Arial"/>
          <w:lang w:eastAsia="es-MX"/>
        </w:rPr>
        <w:t xml:space="preserve">así como lo establecido por la </w:t>
      </w:r>
      <w:r w:rsidRPr="00EE2D2F">
        <w:rPr>
          <w:rFonts w:ascii="Verdana" w:eastAsia="Aptos" w:hAnsi="Verdana" w:cs="Arial"/>
          <w:bCs/>
          <w:lang w:eastAsia="es-ES" w:bidi="es-ES"/>
        </w:rPr>
        <w:t>Resolución 469 de 2025 expedida por esta Entidad</w:t>
      </w:r>
      <w:r w:rsidRPr="00EE2D2F">
        <w:rPr>
          <w:rFonts w:ascii="Verdana" w:eastAsia="Calibri" w:hAnsi="Verdana" w:cs="Arial"/>
          <w:lang w:eastAsia="es-MX"/>
        </w:rPr>
        <w:t xml:space="preserve">, </w:t>
      </w:r>
      <w:r w:rsidRPr="00EE2D2F">
        <w:rPr>
          <w:rFonts w:ascii="Verdana" w:eastAsia="Calibri" w:hAnsi="Verdana" w:cs="Arial"/>
          <w:lang w:val="es-ES" w:eastAsia="es-ES"/>
        </w:rPr>
        <w:t xml:space="preserve">la Agencia Nacional de Contratación Pública – Colombia Compra Eficiente– responde su solicitud de consulta del 12 de marzo de 2026, en la cual manifiesta lo siguiente: </w:t>
      </w:r>
    </w:p>
    <w:p w14:paraId="5CD841AE" w14:textId="77777777" w:rsidR="00EE2D2F" w:rsidRPr="00EE2D2F" w:rsidRDefault="00EE2D2F" w:rsidP="00EE2D2F">
      <w:pPr>
        <w:tabs>
          <w:tab w:val="left" w:pos="142"/>
          <w:tab w:val="left" w:pos="284"/>
        </w:tabs>
        <w:spacing w:after="0" w:line="276" w:lineRule="auto"/>
        <w:ind w:left="709" w:right="709"/>
        <w:jc w:val="both"/>
        <w:rPr>
          <w:rFonts w:ascii="Verdana" w:eastAsia="Century Gothic" w:hAnsi="Verdana" w:cs="Century Gothic"/>
          <w:b/>
          <w:bCs/>
          <w:lang w:eastAsia="es-MX"/>
        </w:rPr>
      </w:pPr>
    </w:p>
    <w:p w14:paraId="6F5C9284" w14:textId="77777777" w:rsidR="00EE2D2F" w:rsidRPr="00EE2D2F" w:rsidRDefault="00EE2D2F" w:rsidP="00EE2D2F">
      <w:pPr>
        <w:shd w:val="clear" w:color="auto" w:fill="FFFFFF"/>
        <w:spacing w:after="12" w:line="240" w:lineRule="auto"/>
        <w:ind w:left="709" w:right="709"/>
        <w:jc w:val="both"/>
        <w:rPr>
          <w:rFonts w:ascii="Verdana" w:eastAsia="Aptos" w:hAnsi="Verdana" w:cs="Times New Roman"/>
          <w:color w:val="000000"/>
          <w:kern w:val="2"/>
          <w:sz w:val="20"/>
          <w:szCs w:val="20"/>
          <w:shd w:val="clear" w:color="auto" w:fill="FFFFFF"/>
          <w14:ligatures w14:val="standardContextual"/>
        </w:rPr>
      </w:pPr>
      <w:r w:rsidRPr="00EE2D2F">
        <w:rPr>
          <w:rFonts w:ascii="Verdana" w:eastAsia="Times New Roman" w:hAnsi="Verdana" w:cs="Times New Roman"/>
          <w:color w:val="242424"/>
          <w:sz w:val="20"/>
          <w:szCs w:val="20"/>
          <w:lang w:eastAsia="es-MX"/>
        </w:rPr>
        <w:t>“</w:t>
      </w:r>
      <w:r w:rsidRPr="00EE2D2F">
        <w:rPr>
          <w:rFonts w:ascii="Verdana" w:eastAsia="Aptos" w:hAnsi="Verdana" w:cs="Times New Roman"/>
          <w:color w:val="000000"/>
          <w:kern w:val="2"/>
          <w:sz w:val="20"/>
          <w:szCs w:val="20"/>
          <w:shd w:val="clear" w:color="auto" w:fill="FFFFFF"/>
          <w14:ligatures w14:val="standardContextual"/>
        </w:rPr>
        <w:t>Amablemente solicito su orientación respecto al diligenciamiento del numeral 4.3.1 – Promoción de la Industria Nacional, particularmente en lo relacionado con la matriz de bienes nacionales relevantes, que incluye el siguiente cuadro:</w:t>
      </w:r>
    </w:p>
    <w:p w14:paraId="4D6DB7C8" w14:textId="77777777" w:rsidR="00EE2D2F" w:rsidRPr="00EE2D2F" w:rsidRDefault="00EE2D2F" w:rsidP="00EE2D2F">
      <w:pPr>
        <w:shd w:val="clear" w:color="auto" w:fill="FFFFFF"/>
        <w:spacing w:after="12" w:line="240" w:lineRule="auto"/>
        <w:ind w:left="709" w:right="709"/>
        <w:jc w:val="both"/>
        <w:rPr>
          <w:rFonts w:ascii="Verdana" w:eastAsia="Aptos" w:hAnsi="Verdana" w:cs="Times New Roman"/>
          <w:kern w:val="2"/>
          <w:sz w:val="20"/>
          <w:szCs w:val="20"/>
          <w14:ligatures w14:val="standardContextual"/>
        </w:rPr>
      </w:pPr>
      <w:r w:rsidRPr="00EE2D2F">
        <w:rPr>
          <w:rFonts w:ascii="Verdana" w:eastAsia="Aptos" w:hAnsi="Verdana" w:cs="Times New Roman"/>
          <w:noProof/>
          <w:kern w:val="2"/>
          <w:sz w:val="20"/>
          <w:szCs w:val="20"/>
          <w14:ligatures w14:val="standardContextual"/>
        </w:rPr>
        <w:drawing>
          <wp:inline distT="0" distB="0" distL="0" distR="0" wp14:anchorId="6E218580" wp14:editId="170B687A">
            <wp:extent cx="4635260" cy="1735469"/>
            <wp:effectExtent l="0" t="0" r="635" b="4445"/>
            <wp:docPr id="549785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78514" name=""/>
                    <pic:cNvPicPr/>
                  </pic:nvPicPr>
                  <pic:blipFill>
                    <a:blip r:embed="rId11"/>
                    <a:stretch>
                      <a:fillRect/>
                    </a:stretch>
                  </pic:blipFill>
                  <pic:spPr>
                    <a:xfrm>
                      <a:off x="0" y="0"/>
                      <a:ext cx="4654146" cy="1742540"/>
                    </a:xfrm>
                    <a:prstGeom prst="rect">
                      <a:avLst/>
                    </a:prstGeom>
                  </pic:spPr>
                </pic:pic>
              </a:graphicData>
            </a:graphic>
          </wp:inline>
        </w:drawing>
      </w:r>
    </w:p>
    <w:p w14:paraId="053047CE" w14:textId="77777777" w:rsidR="00EE2D2F" w:rsidRPr="00EE2D2F" w:rsidRDefault="00EE2D2F" w:rsidP="00EE2D2F">
      <w:pPr>
        <w:spacing w:after="120" w:line="240" w:lineRule="auto"/>
        <w:ind w:left="709" w:right="709"/>
        <w:jc w:val="both"/>
        <w:rPr>
          <w:rFonts w:ascii="Verdana" w:eastAsia="Calibri" w:hAnsi="Verdana" w:cs="Arial"/>
          <w:color w:val="000000"/>
          <w:sz w:val="21"/>
          <w:szCs w:val="21"/>
          <w:lang w:val="es-ES" w:eastAsia="es-ES"/>
        </w:rPr>
      </w:pPr>
      <w:r w:rsidRPr="00EE2D2F">
        <w:rPr>
          <w:rFonts w:ascii="Verdana" w:eastAsia="Times New Roman" w:hAnsi="Verdana" w:cs="Times New Roman"/>
          <w:color w:val="000000"/>
          <w:sz w:val="21"/>
          <w:szCs w:val="21"/>
          <w:lang w:eastAsia="es-MX"/>
        </w:rPr>
        <w:t xml:space="preserve">La consulta surge porque actualmente me encuentro estructurando procesos de selección abreviada de menor cuantía para mantenimiento de infraestructura </w:t>
      </w:r>
      <w:r w:rsidRPr="00EE2D2F">
        <w:rPr>
          <w:rFonts w:ascii="Verdana" w:eastAsia="Calibri" w:hAnsi="Verdana" w:cs="Arial"/>
          <w:color w:val="000000"/>
          <w:sz w:val="21"/>
          <w:szCs w:val="21"/>
          <w:lang w:val="es-ES" w:eastAsia="es-ES"/>
        </w:rPr>
        <w:t>social, bajo la modalidad de bolsa de recursos a precios unitarios y monto agotable.</w:t>
      </w:r>
    </w:p>
    <w:p w14:paraId="283F5CA4" w14:textId="77777777" w:rsidR="00EE2D2F" w:rsidRPr="00EE2D2F" w:rsidRDefault="00EE2D2F" w:rsidP="00EE2D2F">
      <w:pPr>
        <w:spacing w:after="120" w:line="240" w:lineRule="auto"/>
        <w:ind w:left="709" w:right="709"/>
        <w:jc w:val="both"/>
        <w:rPr>
          <w:rFonts w:ascii="Verdana" w:eastAsia="Calibri" w:hAnsi="Verdana" w:cs="Arial"/>
          <w:color w:val="000000"/>
          <w:sz w:val="21"/>
          <w:szCs w:val="21"/>
          <w:lang w:val="es-ES" w:eastAsia="es-ES"/>
        </w:rPr>
      </w:pPr>
      <w:r w:rsidRPr="00EE2D2F">
        <w:rPr>
          <w:rFonts w:ascii="Verdana" w:eastAsia="Calibri" w:hAnsi="Verdana" w:cs="Arial"/>
          <w:color w:val="000000"/>
          <w:sz w:val="21"/>
          <w:szCs w:val="21"/>
          <w:lang w:val="es-ES" w:eastAsia="es-ES"/>
        </w:rPr>
        <w:t>Si bien dentro del presupuesto se identifican materiales asociados a los diferentes ítems, la ejecución del contrato depende de las necesidades que se presenten durante su desarrollo, lo que genera dificultad para determinar previamente la participación porcentual de bienes nacionales relevantes dentro del valor total del contrato, requisito necesario para diligenciar la matriz señalada.</w:t>
      </w:r>
    </w:p>
    <w:p w14:paraId="21D1B8E7" w14:textId="77777777" w:rsidR="00EE2D2F" w:rsidRPr="00EE2D2F" w:rsidRDefault="00EE2D2F" w:rsidP="00EE2D2F">
      <w:pPr>
        <w:spacing w:after="120" w:line="240" w:lineRule="auto"/>
        <w:ind w:left="709" w:right="709"/>
        <w:jc w:val="both"/>
        <w:rPr>
          <w:rFonts w:ascii="Verdana" w:eastAsia="Calibri" w:hAnsi="Verdana" w:cs="Arial"/>
          <w:color w:val="000000"/>
          <w:sz w:val="21"/>
          <w:szCs w:val="21"/>
          <w:lang w:val="es-ES" w:eastAsia="es-ES"/>
        </w:rPr>
      </w:pPr>
      <w:r w:rsidRPr="00EE2D2F">
        <w:rPr>
          <w:rFonts w:ascii="Verdana" w:eastAsia="Calibri" w:hAnsi="Verdana" w:cs="Arial"/>
          <w:color w:val="000000"/>
          <w:sz w:val="21"/>
          <w:szCs w:val="21"/>
          <w:lang w:val="es-ES" w:eastAsia="es-ES"/>
        </w:rPr>
        <w:t>En este sentido, solicito su orientación sobre los siguientes aspectos:</w:t>
      </w:r>
    </w:p>
    <w:p w14:paraId="05AF27AD" w14:textId="77777777" w:rsidR="00EE2D2F" w:rsidRPr="00EE2D2F" w:rsidRDefault="00EE2D2F" w:rsidP="00EE2D2F">
      <w:pPr>
        <w:spacing w:after="120" w:line="240" w:lineRule="auto"/>
        <w:ind w:left="709" w:right="709"/>
        <w:jc w:val="both"/>
        <w:rPr>
          <w:rFonts w:ascii="Verdana" w:eastAsia="Calibri" w:hAnsi="Verdana" w:cs="Arial"/>
          <w:color w:val="000000"/>
          <w:sz w:val="21"/>
          <w:szCs w:val="21"/>
          <w:lang w:val="es-ES" w:eastAsia="es-ES"/>
        </w:rPr>
      </w:pPr>
      <w:r w:rsidRPr="00EE2D2F">
        <w:rPr>
          <w:rFonts w:ascii="Verdana" w:eastAsia="Calibri" w:hAnsi="Verdana" w:cs="Arial"/>
          <w:color w:val="000000"/>
          <w:sz w:val="21"/>
          <w:szCs w:val="21"/>
          <w:lang w:val="es-ES" w:eastAsia="es-ES"/>
        </w:rPr>
        <w:t>¿Cuál es la forma adecuada de diligenciar la matriz de bienes nacionales relevantes en procesos estructurados bajo la modalidad de bolsa de recursos a precios unitarios y monto agotable?</w:t>
      </w:r>
    </w:p>
    <w:p w14:paraId="2B91BC57" w14:textId="77777777" w:rsidR="00EE2D2F" w:rsidRPr="00EE2D2F" w:rsidRDefault="00EE2D2F" w:rsidP="00EE2D2F">
      <w:pPr>
        <w:spacing w:after="0" w:line="240" w:lineRule="auto"/>
        <w:ind w:left="709" w:right="709"/>
        <w:jc w:val="both"/>
        <w:rPr>
          <w:rFonts w:ascii="Verdana" w:eastAsia="Times New Roman" w:hAnsi="Verdana" w:cs="Times New Roman"/>
          <w:color w:val="000000"/>
          <w:sz w:val="21"/>
          <w:szCs w:val="21"/>
          <w:lang w:eastAsia="es-MX"/>
        </w:rPr>
      </w:pPr>
      <w:r w:rsidRPr="00EE2D2F">
        <w:rPr>
          <w:rFonts w:ascii="Verdana" w:eastAsia="Calibri" w:hAnsi="Verdana" w:cs="Arial"/>
          <w:color w:val="000000"/>
          <w:sz w:val="21"/>
          <w:szCs w:val="21"/>
          <w:lang w:val="es-ES" w:eastAsia="es-ES"/>
        </w:rPr>
        <w:t>En caso de que no sea posible determinar la participación porcentual de dichos bienes, ¿es procedente</w:t>
      </w:r>
      <w:r w:rsidRPr="00EE2D2F">
        <w:rPr>
          <w:rFonts w:ascii="Verdana" w:eastAsia="Times New Roman" w:hAnsi="Verdana" w:cs="Times New Roman"/>
          <w:color w:val="000000"/>
          <w:sz w:val="21"/>
          <w:szCs w:val="21"/>
          <w:lang w:eastAsia="es-MX"/>
        </w:rPr>
        <w:t xml:space="preserve"> aplicar la alternativa prevista en los pliegos tipo relacionada con la vinculación de personal colombiano para efectos de asignar el puntaje de apoyo a la industria nacional?”. </w:t>
      </w:r>
    </w:p>
    <w:p w14:paraId="10F31AB1" w14:textId="77777777" w:rsidR="00EE2D2F" w:rsidRPr="00EE2D2F" w:rsidRDefault="00EE2D2F" w:rsidP="00EE2D2F">
      <w:pPr>
        <w:spacing w:after="0" w:line="276" w:lineRule="auto"/>
        <w:ind w:firstLine="709"/>
        <w:jc w:val="both"/>
        <w:rPr>
          <w:rFonts w:ascii="Verdana" w:eastAsia="Times New Roman" w:hAnsi="Verdana" w:cs="Times New Roman"/>
          <w:color w:val="000000"/>
          <w:sz w:val="20"/>
          <w:szCs w:val="20"/>
          <w:lang w:eastAsia="es-MX"/>
        </w:rPr>
      </w:pPr>
    </w:p>
    <w:p w14:paraId="5953BDE8" w14:textId="77777777" w:rsidR="00EE2D2F" w:rsidRPr="00EE2D2F" w:rsidRDefault="00EE2D2F" w:rsidP="00EE2D2F">
      <w:pPr>
        <w:snapToGrid w:val="0"/>
        <w:spacing w:after="120" w:line="276" w:lineRule="auto"/>
        <w:ind w:firstLine="709"/>
        <w:jc w:val="both"/>
        <w:rPr>
          <w:rFonts w:ascii="Verdana" w:eastAsia="Calibri" w:hAnsi="Verdana" w:cs="Arial"/>
          <w:color w:val="000000"/>
          <w:lang w:val="es-ES" w:eastAsia="es-ES"/>
        </w:rPr>
      </w:pPr>
      <w:r w:rsidRPr="00EE2D2F">
        <w:rPr>
          <w:rFonts w:ascii="Verdana" w:eastAsia="Calibri" w:hAnsi="Verdana" w:cs="Arial"/>
          <w:color w:val="000000"/>
          <w:lang w:val="es-ES" w:eastAsia="es-ES"/>
        </w:rPr>
        <w:lastRenderedPageBreak/>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E2D2F">
        <w:rPr>
          <w:rFonts w:ascii="Verdana" w:eastAsia="Calibri" w:hAnsi="Verdana" w:cs="Arial"/>
          <w:color w:val="000000"/>
          <w:lang w:val="es-ES_tradnl" w:eastAsia="es-ES_tradnl"/>
        </w:rPr>
        <w:tab/>
      </w:r>
    </w:p>
    <w:p w14:paraId="7CA963AA" w14:textId="77777777" w:rsidR="00EE2D2F" w:rsidRPr="00EE2D2F" w:rsidRDefault="00EE2D2F" w:rsidP="00EE2D2F">
      <w:pPr>
        <w:snapToGrid w:val="0"/>
        <w:spacing w:after="0" w:line="276" w:lineRule="auto"/>
        <w:ind w:firstLine="709"/>
        <w:jc w:val="both"/>
        <w:rPr>
          <w:rFonts w:ascii="Verdana" w:eastAsia="Calibri" w:hAnsi="Verdana" w:cs="Arial"/>
          <w:color w:val="000000"/>
          <w:lang w:val="es-ES" w:eastAsia="es-ES"/>
        </w:rPr>
      </w:pPr>
      <w:r w:rsidRPr="00EE2D2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EE2D2F">
        <w:rPr>
          <w:rFonts w:ascii="Verdana" w:eastAsia="Calibri" w:hAnsi="Verdana" w:cs="Arial"/>
          <w:color w:val="7030A0"/>
          <w:lang w:val="es-ES" w:eastAsia="es-ES"/>
        </w:rPr>
        <w:t xml:space="preserve"> </w:t>
      </w:r>
      <w:r w:rsidRPr="00EE2D2F">
        <w:rPr>
          <w:rFonts w:ascii="Verdana" w:eastAsia="Calibri" w:hAnsi="Verdana" w:cs="Arial"/>
          <w:color w:val="000000"/>
          <w:lang w:val="es-ES" w:eastAsia="es-ES"/>
        </w:rPr>
        <w:t>problema</w:t>
      </w:r>
      <w:r w:rsidRPr="00EE2D2F">
        <w:rPr>
          <w:rFonts w:ascii="Verdana" w:eastAsia="Calibri" w:hAnsi="Verdana" w:cs="Arial"/>
          <w:color w:val="7030A0"/>
          <w:lang w:val="es-ES" w:eastAsia="es-ES"/>
        </w:rPr>
        <w:t xml:space="preserve"> </w:t>
      </w:r>
      <w:r w:rsidRPr="00EE2D2F">
        <w:rPr>
          <w:rFonts w:ascii="Verdana" w:eastAsia="Calibri" w:hAnsi="Verdana" w:cs="Arial"/>
          <w:color w:val="000000"/>
          <w:lang w:val="es-ES" w:eastAsia="es-ES"/>
        </w:rPr>
        <w:t>jurídico</w:t>
      </w:r>
      <w:r w:rsidRPr="00EE2D2F">
        <w:rPr>
          <w:rFonts w:ascii="Verdana" w:eastAsia="Calibri" w:hAnsi="Verdana" w:cs="Arial"/>
          <w:color w:val="7030A0"/>
          <w:lang w:val="es-ES" w:eastAsia="es-ES"/>
        </w:rPr>
        <w:t xml:space="preserve"> </w:t>
      </w:r>
      <w:r w:rsidRPr="00EE2D2F">
        <w:rPr>
          <w:rFonts w:ascii="Verdana" w:eastAsia="Calibri" w:hAnsi="Verdana" w:cs="Arial"/>
          <w:color w:val="000000"/>
          <w:lang w:val="es-ES" w:eastAsia="es-ES"/>
        </w:rPr>
        <w:t xml:space="preserve">de su consulta. </w:t>
      </w:r>
    </w:p>
    <w:p w14:paraId="096170AA" w14:textId="77777777" w:rsidR="00EE2D2F" w:rsidRPr="00EE2D2F" w:rsidRDefault="00EE2D2F" w:rsidP="00EE2D2F">
      <w:pPr>
        <w:spacing w:after="0" w:line="276" w:lineRule="auto"/>
        <w:jc w:val="both"/>
        <w:rPr>
          <w:rFonts w:ascii="Verdana" w:eastAsia="Calibri" w:hAnsi="Verdana" w:cs="Arial"/>
          <w:lang w:val="es-ES" w:eastAsia="es-ES"/>
        </w:rPr>
      </w:pPr>
    </w:p>
    <w:p w14:paraId="7A2BDFA1" w14:textId="77777777" w:rsidR="00EE2D2F" w:rsidRPr="00EE2D2F" w:rsidRDefault="00EE2D2F" w:rsidP="00EE2D2F">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EE2D2F">
        <w:rPr>
          <w:rFonts w:ascii="Verdana" w:eastAsia="Century Gothic" w:hAnsi="Verdana" w:cs="Century Gothic"/>
          <w:b/>
          <w:bCs/>
          <w:lang w:eastAsia="es-MX"/>
        </w:rPr>
        <w:t>Problema planteado:</w:t>
      </w:r>
    </w:p>
    <w:p w14:paraId="002F1456" w14:textId="77777777" w:rsidR="00EE2D2F" w:rsidRPr="00EE2D2F" w:rsidRDefault="00EE2D2F" w:rsidP="00EE2D2F">
      <w:pPr>
        <w:tabs>
          <w:tab w:val="left" w:pos="426"/>
        </w:tabs>
        <w:spacing w:after="0" w:line="276" w:lineRule="auto"/>
        <w:jc w:val="both"/>
        <w:rPr>
          <w:rFonts w:ascii="Verdana" w:eastAsia="Century Gothic" w:hAnsi="Verdana" w:cs="Century Gothic"/>
          <w:lang w:val="es-ES" w:eastAsia="es-MX"/>
        </w:rPr>
      </w:pPr>
    </w:p>
    <w:p w14:paraId="292BC97C" w14:textId="77777777" w:rsidR="00EE2D2F" w:rsidRPr="00EE2D2F" w:rsidRDefault="00EE2D2F" w:rsidP="00EE2D2F">
      <w:pPr>
        <w:spacing w:after="0" w:line="276" w:lineRule="auto"/>
        <w:jc w:val="both"/>
        <w:rPr>
          <w:rFonts w:ascii="Verdana" w:eastAsia="Calibri" w:hAnsi="Verdana" w:cs="Arial"/>
          <w:bCs/>
          <w:lang w:val="es-ES_tradnl" w:eastAsia="es-ES_tradnl"/>
        </w:rPr>
      </w:pPr>
      <w:r w:rsidRPr="00EE2D2F">
        <w:rPr>
          <w:rFonts w:ascii="Verdana" w:eastAsia="Century Gothic" w:hAnsi="Verdana" w:cs="Century Gothic"/>
          <w:lang w:eastAsia="es-MX"/>
        </w:rPr>
        <w:t xml:space="preserve">De acuerdo con el contenido de su solicitud, en relación con su solicitud, esta Agencia resolverá los siguientes problemas jurídicos: </w:t>
      </w:r>
      <w:r w:rsidRPr="00EE2D2F">
        <w:rPr>
          <w:rFonts w:ascii="Verdana" w:eastAsia="Calibri" w:hAnsi="Verdana" w:cs="Arial"/>
          <w:bCs/>
          <w:lang w:val="es-ES_tradnl" w:eastAsia="es-ES_tradnl"/>
        </w:rPr>
        <w:t xml:space="preserve">i) ¿Qué es la forma de pago por monto agotable en un contrato de obra?, </w:t>
      </w:r>
      <w:proofErr w:type="spellStart"/>
      <w:r w:rsidRPr="00EE2D2F">
        <w:rPr>
          <w:rFonts w:ascii="Verdana" w:eastAsia="Calibri" w:hAnsi="Verdana" w:cs="Arial"/>
          <w:bCs/>
          <w:lang w:val="es-ES_tradnl" w:eastAsia="es-ES_tradnl"/>
        </w:rPr>
        <w:t>ii</w:t>
      </w:r>
      <w:proofErr w:type="spellEnd"/>
      <w:r w:rsidRPr="00EE2D2F">
        <w:rPr>
          <w:rFonts w:ascii="Verdana" w:eastAsia="Calibri" w:hAnsi="Verdana" w:cs="Arial"/>
          <w:bCs/>
          <w:lang w:val="es-ES_tradnl" w:eastAsia="es-ES_tradnl"/>
        </w:rPr>
        <w:t xml:space="preserve">) ¿Cómo se determinan los bienes nacionales relevantes en un proceso de selección con los documentos tipo de selección abreviada de menor cuantía de infraestructura social?, </w:t>
      </w:r>
      <w:proofErr w:type="spellStart"/>
      <w:r w:rsidRPr="00EE2D2F">
        <w:rPr>
          <w:rFonts w:ascii="Verdana" w:eastAsia="Calibri" w:hAnsi="Verdana" w:cs="Arial"/>
          <w:bCs/>
          <w:lang w:val="es-ES_tradnl" w:eastAsia="es-ES_tradnl"/>
        </w:rPr>
        <w:t>iii</w:t>
      </w:r>
      <w:proofErr w:type="spellEnd"/>
      <w:r w:rsidRPr="00EE2D2F">
        <w:rPr>
          <w:rFonts w:ascii="Verdana" w:eastAsia="Calibri" w:hAnsi="Verdana" w:cs="Arial"/>
          <w:bCs/>
          <w:lang w:val="es-ES_tradnl" w:eastAsia="es-ES_tradnl"/>
        </w:rPr>
        <w:t xml:space="preserve">) ¿Cómo se determinan los bienes nacionales relevantes en un procesos de selección con los documentos tipo de selección abreviada de menor cuantía de infraestructura social, a precios unitarios y monto agotable?, </w:t>
      </w:r>
      <w:proofErr w:type="spellStart"/>
      <w:r w:rsidRPr="00EE2D2F">
        <w:rPr>
          <w:rFonts w:ascii="Verdana" w:eastAsia="Calibri" w:hAnsi="Verdana" w:cs="Arial"/>
          <w:bCs/>
          <w:lang w:val="es-ES_tradnl" w:eastAsia="es-ES_tradnl"/>
        </w:rPr>
        <w:t>iv</w:t>
      </w:r>
      <w:proofErr w:type="spellEnd"/>
      <w:r w:rsidRPr="00EE2D2F">
        <w:rPr>
          <w:rFonts w:ascii="Verdana" w:eastAsia="Calibri" w:hAnsi="Verdana" w:cs="Arial"/>
          <w:bCs/>
          <w:lang w:val="es-ES_tradnl" w:eastAsia="es-ES_tradnl"/>
        </w:rPr>
        <w:t>) ¿Cómo se diligencia la opción 1 del numeral 4.3.1 “Promoción de servicios nacionales o con trato nacional” contenida en el documento base de los documentos tipo de selección abreviada de menor cuantía de infraestructura social? y v) ¿Cuándo procede el diligenciamiento de la opción 2 del numeral 4.3.1 “Promoción de servicios nacionales o con trato nacional” contenida en el documento base de los documentos tipo de selección abreviada de menor cuantía de infraestructura social?</w:t>
      </w:r>
    </w:p>
    <w:p w14:paraId="0FDD7444" w14:textId="77777777" w:rsidR="00EE2D2F" w:rsidRPr="00EE2D2F" w:rsidRDefault="00EE2D2F" w:rsidP="00EE2D2F">
      <w:pPr>
        <w:spacing w:after="0" w:line="276" w:lineRule="auto"/>
        <w:jc w:val="both"/>
        <w:rPr>
          <w:rFonts w:ascii="Verdana" w:eastAsia="Century Gothic" w:hAnsi="Verdana" w:cs="Century Gothic"/>
          <w:lang w:val="es-ES_tradnl" w:eastAsia="es-MX"/>
        </w:rPr>
      </w:pPr>
    </w:p>
    <w:p w14:paraId="3DC20AE0" w14:textId="77777777" w:rsidR="00EE2D2F" w:rsidRPr="00EE2D2F" w:rsidRDefault="00EE2D2F" w:rsidP="00EE2D2F">
      <w:pPr>
        <w:tabs>
          <w:tab w:val="left" w:pos="142"/>
          <w:tab w:val="left" w:pos="284"/>
        </w:tabs>
        <w:spacing w:after="0" w:line="276" w:lineRule="auto"/>
        <w:contextualSpacing/>
        <w:jc w:val="both"/>
        <w:rPr>
          <w:rFonts w:ascii="Verdana" w:eastAsia="Century Gothic" w:hAnsi="Verdana" w:cs="Century Gothic"/>
          <w:b/>
          <w:bCs/>
          <w:lang w:val="es-ES" w:eastAsia="es-MX"/>
        </w:rPr>
      </w:pPr>
      <w:r w:rsidRPr="00EE2D2F">
        <w:rPr>
          <w:rFonts w:ascii="Verdana" w:eastAsia="Century Gothic" w:hAnsi="Verdana" w:cs="Century Gothic"/>
          <w:b/>
          <w:bCs/>
          <w:lang w:val="es-ES" w:eastAsia="es-MX"/>
        </w:rPr>
        <w:t>2. Respuestas:</w:t>
      </w:r>
    </w:p>
    <w:p w14:paraId="582819BA" w14:textId="77777777" w:rsidR="00EE2D2F" w:rsidRPr="00EE2D2F" w:rsidRDefault="00EE2D2F" w:rsidP="00EE2D2F">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E2D2F" w:rsidRPr="00EE2D2F" w14:paraId="441E9848" w14:textId="77777777" w:rsidTr="00C80FF3">
        <w:trPr>
          <w:trHeight w:val="40"/>
        </w:trPr>
        <w:tc>
          <w:tcPr>
            <w:tcW w:w="8828" w:type="dxa"/>
            <w:tcBorders>
              <w:top w:val="dotted" w:sz="4" w:space="0" w:color="auto"/>
              <w:left w:val="dotted" w:sz="4" w:space="0" w:color="auto"/>
              <w:bottom w:val="dotted" w:sz="4" w:space="0" w:color="auto"/>
              <w:right w:val="dotted" w:sz="4" w:space="0" w:color="auto"/>
            </w:tcBorders>
          </w:tcPr>
          <w:p w14:paraId="156FD30F" w14:textId="77777777" w:rsidR="00EE2D2F" w:rsidRPr="00EE2D2F" w:rsidRDefault="00EE2D2F" w:rsidP="00EE2D2F">
            <w:pPr>
              <w:spacing w:after="120" w:line="276" w:lineRule="auto"/>
              <w:jc w:val="both"/>
              <w:rPr>
                <w:rFonts w:ascii="Verdana" w:eastAsia="Calibri" w:hAnsi="Verdana" w:cs="Arial"/>
                <w:lang w:eastAsia="es-MX"/>
              </w:rPr>
            </w:pPr>
            <w:r w:rsidRPr="00EE2D2F">
              <w:rPr>
                <w:rFonts w:ascii="Verdana" w:eastAsia="Times New Roman" w:hAnsi="Verdana" w:cs="Times New Roman"/>
                <w:lang w:val="es-ES" w:eastAsia="es-MX"/>
              </w:rPr>
              <w:t xml:space="preserve">i. </w:t>
            </w:r>
            <w:r w:rsidRPr="00EE2D2F">
              <w:rPr>
                <w:rFonts w:ascii="Verdana" w:eastAsia="Calibri" w:hAnsi="Verdana" w:cs="Arial"/>
                <w:lang w:eastAsia="es-MX"/>
              </w:rPr>
              <w:t xml:space="preserve">Lo que el peticionario denomina como “Monto agotable”, en realidad puede corresponder a un contrato de suministro o de obra, donde se pacta el pago de la contraprestación a precios unitarios, conforme a unos valores asignados, que son objeto del negocio y que se entregan a la entidad, durante el plazo de ejecución del contrato, sin exceder el valor o presupuesto oficial asignado por la entidad contratante para el efecto. </w:t>
            </w:r>
          </w:p>
          <w:p w14:paraId="7E009BCB" w14:textId="77777777" w:rsidR="00EE2D2F" w:rsidRPr="00EE2D2F" w:rsidRDefault="00EE2D2F" w:rsidP="00EE2D2F">
            <w:pPr>
              <w:spacing w:after="120" w:line="276" w:lineRule="auto"/>
              <w:ind w:firstLine="708"/>
              <w:jc w:val="both"/>
              <w:rPr>
                <w:rFonts w:ascii="Verdana" w:eastAsia="Calibri" w:hAnsi="Verdana" w:cs="Arial"/>
                <w:lang w:eastAsia="es-MX"/>
              </w:rPr>
            </w:pPr>
            <w:r w:rsidRPr="00EE2D2F">
              <w:rPr>
                <w:rFonts w:ascii="Verdana" w:eastAsia="Calibri" w:hAnsi="Verdana" w:cs="Arial"/>
                <w:lang w:eastAsia="es-MX"/>
              </w:rPr>
              <w:t>Esta situación se presenta en algunos contratos de obra a precios unitarios donde, pese a que se encuentran establecidos los ítems y el valor de cada uno de ellos, las cantidades definitivas dependen de lo efectivamente ejecutado al finalizar el plazo. En este sistema las partes establecen una suma fija por cada unidad de los trabajos que debe ejecutar el contratista, por lo que el precio –a diferencia del ajuste alzado o la suma cerrada– no se determina por la totalidad de la obra, sino por cada parte, unidad o medida.</w:t>
            </w:r>
          </w:p>
          <w:p w14:paraId="7865C789" w14:textId="77777777" w:rsidR="00EE2D2F" w:rsidRPr="00EE2D2F" w:rsidRDefault="00EE2D2F" w:rsidP="00EE2D2F">
            <w:pPr>
              <w:spacing w:after="120" w:line="276" w:lineRule="auto"/>
              <w:ind w:firstLine="708"/>
              <w:jc w:val="both"/>
              <w:rPr>
                <w:rFonts w:ascii="Verdana" w:eastAsia="Calibri" w:hAnsi="Verdana" w:cs="Arial"/>
                <w:lang w:eastAsia="es-MX"/>
              </w:rPr>
            </w:pPr>
            <w:r w:rsidRPr="00EE2D2F">
              <w:rPr>
                <w:rFonts w:ascii="Verdana" w:eastAsia="Calibri" w:hAnsi="Verdana" w:cs="Arial"/>
                <w:lang w:eastAsia="es-MX"/>
              </w:rPr>
              <w:t>Para la doctrina, “Se trata de un sistema flexible en el precio y en la obra, por cuanto ambos solo van a quedar definitivamente determinados al momento de la conclusión de las obras, circunstancia en la que recién podrán conocerse con exactitud la cantidad de unidades ejecutadas por el constructor y, del mismo modo, el precio definitivo a ser pagado por el comitente”</w:t>
            </w:r>
            <w:r w:rsidRPr="00EE2D2F">
              <w:rPr>
                <w:rFonts w:ascii="Verdana" w:eastAsia="Calibri" w:hAnsi="Verdana" w:cs="Arial"/>
                <w:vertAlign w:val="superscript"/>
                <w:lang w:eastAsia="es-MX"/>
              </w:rPr>
              <w:footnoteReference w:id="1"/>
            </w:r>
            <w:r w:rsidRPr="00EE2D2F">
              <w:rPr>
                <w:rFonts w:ascii="Verdana" w:eastAsia="Calibri" w:hAnsi="Verdana" w:cs="Arial"/>
                <w:lang w:eastAsia="es-MX"/>
              </w:rPr>
              <w:t>. En este caso, también se requiere establecer un tope máximo para la adelantar las obras, ya que “[…] el precio total depende del conjunto de trabajos ejecutados según el presupuesto, pudiendo por tanto variar por nuevos trabajos adicionales […]”</w:t>
            </w:r>
            <w:r w:rsidRPr="00EE2D2F">
              <w:rPr>
                <w:rFonts w:ascii="Verdana" w:eastAsia="Calibri" w:hAnsi="Verdana" w:cs="Arial"/>
                <w:vertAlign w:val="superscript"/>
                <w:lang w:eastAsia="es-MX"/>
              </w:rPr>
              <w:footnoteReference w:id="2"/>
            </w:r>
            <w:r w:rsidRPr="00EE2D2F">
              <w:rPr>
                <w:rFonts w:ascii="Verdana" w:eastAsia="Calibri" w:hAnsi="Verdana" w:cs="Arial"/>
                <w:lang w:eastAsia="es-MX"/>
              </w:rPr>
              <w:t xml:space="preserve">. Por lo demás, a pesar de que el precio del contrato se fije por un monto agotable, este no deja de pertenecer a la tipología del artículo 32.1 del Estatuto General de Contratación de la Administración Pública, especialmente, cuando –conforme al tenor literal de la norma– la obra pública existe cualquiera que sea la modalidad de ejecución y pago.      </w:t>
            </w:r>
          </w:p>
          <w:p w14:paraId="73A4B84B" w14:textId="77777777" w:rsidR="00EE2D2F" w:rsidRPr="00EE2D2F" w:rsidRDefault="00EE2D2F" w:rsidP="00EE2D2F">
            <w:pPr>
              <w:spacing w:after="120" w:line="276" w:lineRule="auto"/>
              <w:ind w:firstLine="709"/>
              <w:jc w:val="both"/>
              <w:rPr>
                <w:rFonts w:ascii="Verdana" w:eastAsia="Aptos" w:hAnsi="Verdana" w:cs="Arial"/>
                <w:lang w:val="es-ES"/>
              </w:rPr>
            </w:pPr>
            <w:r w:rsidRPr="00EE2D2F">
              <w:rPr>
                <w:rFonts w:ascii="Verdana" w:eastAsia="Aptos" w:hAnsi="Verdana" w:cs="Arial"/>
                <w:lang w:val="es-ES"/>
              </w:rPr>
              <w:lastRenderedPageBreak/>
              <w:t xml:space="preserve">La estructuración del precio del contrato y la forma de pago a precios unitarios, según la demanda de obras, bienes o servicios requeridos por la entidad contratante durante el plazo del contrato, sin exceder el presupuesto oficial, es una modalidad de pacto contractual admisible en el contrato estatal que puede utilizarse por las entidades públicas. En efecto, puede resultar procedente si en la etapa de planeación del contrato, producto de los estudios previos y el análisis del sector y de los oferentes, se observa que la misma resulta adecuada para satisfacer de mejor manera la necesidad que se pretende satisfacer con el proceso de contratación y puede generar algún beneficio, como por ejemplo, la posibilidad de contar con precios fijos de las obras, bienes o servicios que se adquirirán durante el plazo de ejecución, controlando el gasto con el propósito de evitar el exceso en el presupuesto oficial. En todo caso, la decisión de acudir a este tipo de cláusulas, usualmente incorporadas en la “forma de pago” o en el “valor del contrato”, es de la autonomía de las entidades públicas rectoras de sus procesos de contratación porque no están prohibidas o restringidas en la contratación estatal, y podrá adoptarse previa justificación en los estudios previos que soportan el objeto y las condiciones de ejecución del contrato.  </w:t>
            </w:r>
          </w:p>
          <w:p w14:paraId="113F1A3F" w14:textId="77777777" w:rsidR="00EE2D2F" w:rsidRPr="00EE2D2F" w:rsidRDefault="00EE2D2F" w:rsidP="00EE2D2F">
            <w:pPr>
              <w:widowControl w:val="0"/>
              <w:autoSpaceDE w:val="0"/>
              <w:autoSpaceDN w:val="0"/>
              <w:spacing w:line="276" w:lineRule="auto"/>
              <w:jc w:val="both"/>
              <w:rPr>
                <w:rFonts w:ascii="Verdana" w:eastAsia="Arial" w:hAnsi="Verdana" w:cs="Arial"/>
                <w:bCs/>
                <w:lang w:eastAsia="es-ES" w:bidi="es-ES"/>
              </w:rPr>
            </w:pPr>
            <w:proofErr w:type="spellStart"/>
            <w:r w:rsidRPr="00EE2D2F">
              <w:rPr>
                <w:rFonts w:ascii="Verdana" w:eastAsia="Calibri" w:hAnsi="Verdana" w:cs="Arial"/>
                <w:color w:val="000000"/>
              </w:rPr>
              <w:t>ii</w:t>
            </w:r>
            <w:proofErr w:type="spellEnd"/>
            <w:r w:rsidRPr="00EE2D2F">
              <w:rPr>
                <w:rFonts w:ascii="Verdana" w:eastAsia="Calibri" w:hAnsi="Verdana" w:cs="Arial"/>
                <w:color w:val="000000"/>
              </w:rPr>
              <w:t>. En e</w:t>
            </w:r>
            <w:r w:rsidRPr="00EE2D2F">
              <w:rPr>
                <w:rFonts w:ascii="Verdana" w:eastAsia="Arial" w:hAnsi="Verdana" w:cs="Arial"/>
                <w:bCs/>
                <w:lang w:eastAsia="es-ES" w:bidi="es-ES"/>
              </w:rPr>
              <w:t xml:space="preserve">l numeral </w:t>
            </w:r>
            <w:r w:rsidRPr="00EE2D2F">
              <w:rPr>
                <w:rFonts w:ascii="Verdana" w:eastAsia="Calibri" w:hAnsi="Verdana" w:cs="Arial"/>
                <w:lang w:val="es-MX"/>
              </w:rPr>
              <w:t>4</w:t>
            </w:r>
            <w:r w:rsidRPr="00EE2D2F">
              <w:rPr>
                <w:rFonts w:ascii="Verdana" w:eastAsia="Arial" w:hAnsi="Verdana" w:cs="Arial"/>
                <w:bCs/>
                <w:lang w:eastAsia="es-ES" w:bidi="es-ES"/>
              </w:rPr>
              <w:t>.3.1 “Promoción de servicios nacionales o con trato nacional”, de los documentos tipo de selección abreviada de menor cuantía de obra pública de infraestructura social – Versión 1, se implementan reglas que garantizan que las entidades estatales en sus procesos de contratación definan de manera razonable y proporcional los bienes nacionales relevantes. En este sentido, en el citado numeral se establece que:</w:t>
            </w:r>
          </w:p>
          <w:p w14:paraId="3CDEA63F" w14:textId="77777777" w:rsidR="00EE2D2F" w:rsidRPr="00EE2D2F" w:rsidRDefault="00EE2D2F" w:rsidP="00EE2D2F">
            <w:pPr>
              <w:widowControl w:val="0"/>
              <w:autoSpaceDE w:val="0"/>
              <w:autoSpaceDN w:val="0"/>
              <w:spacing w:line="276" w:lineRule="auto"/>
              <w:ind w:firstLine="709"/>
              <w:jc w:val="both"/>
              <w:rPr>
                <w:rFonts w:ascii="Verdana" w:eastAsia="Arial" w:hAnsi="Verdana" w:cs="Arial"/>
                <w:bCs/>
                <w:lang w:eastAsia="es-ES" w:bidi="es-ES"/>
              </w:rPr>
            </w:pPr>
          </w:p>
          <w:p w14:paraId="449CA40A" w14:textId="77777777" w:rsidR="00EE2D2F" w:rsidRPr="00EE2D2F" w:rsidRDefault="00EE2D2F" w:rsidP="00EE2D2F">
            <w:pPr>
              <w:ind w:left="709" w:right="709"/>
              <w:jc w:val="both"/>
              <w:rPr>
                <w:rFonts w:ascii="Verdana" w:eastAsia="Calibri" w:hAnsi="Verdana" w:cs="Times New Roman"/>
                <w:color w:val="000000"/>
                <w:sz w:val="21"/>
                <w:szCs w:val="21"/>
                <w:lang w:val="es-MX"/>
              </w:rPr>
            </w:pPr>
            <w:r w:rsidRPr="00EE2D2F">
              <w:rPr>
                <w:rFonts w:ascii="Verdana" w:eastAsia="Calibri" w:hAnsi="Verdana" w:cs="Times New Roman"/>
                <w:color w:val="000000"/>
                <w:sz w:val="21"/>
                <w:szCs w:val="21"/>
                <w:highlight w:val="lightGray"/>
                <w:lang w:val="es-MX"/>
              </w:rPr>
              <w:t>[Para determinar uno o varios bienes nacionales relevantes, la Entidad debe aplicar los criterios establecidos en el artículo 2.2.1.2.4.2.9. del Decreto 1082 de 2015, lo cual constará en los estudios y documentos previos y en las reglas definidas en la Matriz 4 – Bienes nacionales relevantes para la obra pública del sector social]:</w:t>
            </w:r>
          </w:p>
          <w:p w14:paraId="484DF5B7" w14:textId="77777777" w:rsidR="00EE2D2F" w:rsidRPr="00EE2D2F" w:rsidRDefault="00EE2D2F" w:rsidP="00EE2D2F">
            <w:pPr>
              <w:widowControl w:val="0"/>
              <w:autoSpaceDE w:val="0"/>
              <w:autoSpaceDN w:val="0"/>
              <w:spacing w:line="276" w:lineRule="auto"/>
              <w:jc w:val="both"/>
              <w:rPr>
                <w:rFonts w:ascii="Verdana" w:eastAsia="Arial" w:hAnsi="Verdana" w:cs="Arial"/>
                <w:bCs/>
                <w:lang w:eastAsia="es-ES" w:bidi="es-ES"/>
              </w:rPr>
            </w:pPr>
          </w:p>
          <w:p w14:paraId="71D83E66" w14:textId="77777777" w:rsidR="00EE2D2F" w:rsidRPr="00EE2D2F" w:rsidRDefault="00EE2D2F" w:rsidP="00EE2D2F">
            <w:pPr>
              <w:widowControl w:val="0"/>
              <w:autoSpaceDE w:val="0"/>
              <w:autoSpaceDN w:val="0"/>
              <w:spacing w:after="120" w:line="276" w:lineRule="auto"/>
              <w:ind w:firstLine="709"/>
              <w:jc w:val="both"/>
              <w:rPr>
                <w:rFonts w:ascii="Verdana" w:eastAsia="Arial" w:hAnsi="Verdana" w:cs="Arial"/>
                <w:bCs/>
                <w:lang w:eastAsia="es-ES" w:bidi="es-ES"/>
              </w:rPr>
            </w:pPr>
            <w:r w:rsidRPr="00EE2D2F">
              <w:rPr>
                <w:rFonts w:ascii="Verdana" w:eastAsia="Arial" w:hAnsi="Verdana" w:cs="Arial"/>
                <w:bCs/>
                <w:lang w:eastAsia="es-ES" w:bidi="es-ES"/>
              </w:rPr>
              <w:t xml:space="preserve">Lo anterior guarda relación con los dispuesto en el artículo 2 del Decreto 680 de 2021, en donde se consagra la metodología con fundamento en la cual la entidad estatal debe definir los bienes colombianos relevantes y otorgar el puntaje de que trata el inciso 1 del artículo 2 de la Ley 816 de 2003. </w:t>
            </w:r>
          </w:p>
          <w:p w14:paraId="0FDED5DB" w14:textId="77777777" w:rsidR="00EE2D2F" w:rsidRPr="00EE2D2F" w:rsidRDefault="00EE2D2F" w:rsidP="00EE2D2F">
            <w:pPr>
              <w:widowControl w:val="0"/>
              <w:autoSpaceDE w:val="0"/>
              <w:autoSpaceDN w:val="0"/>
              <w:spacing w:after="120" w:line="276" w:lineRule="auto"/>
              <w:ind w:firstLine="709"/>
              <w:jc w:val="both"/>
              <w:rPr>
                <w:rFonts w:ascii="Verdana" w:eastAsia="Calibri" w:hAnsi="Verdana" w:cs="Arial"/>
                <w:bCs/>
                <w:color w:val="000000"/>
                <w:lang w:val="es-ES_tradnl"/>
              </w:rPr>
            </w:pPr>
            <w:r w:rsidRPr="00EE2D2F">
              <w:rPr>
                <w:rFonts w:ascii="Verdana" w:eastAsia="Arial" w:hAnsi="Verdana" w:cs="Arial"/>
                <w:bCs/>
                <w:lang w:eastAsia="es-ES" w:bidi="es-ES"/>
              </w:rPr>
              <w:lastRenderedPageBreak/>
              <w:t xml:space="preserve">Para determinar uno o varios bienes nacionales relevantes la entidad estatal debe aplicar los criterios establecidos en el artículo </w:t>
            </w:r>
            <w:r w:rsidRPr="00EE2D2F">
              <w:rPr>
                <w:rFonts w:ascii="Verdana" w:eastAsia="Arial" w:hAnsi="Verdana" w:cs="Arial"/>
                <w:lang w:val="es-419"/>
              </w:rPr>
              <w:t xml:space="preserve">2.2.1.2.4.2.9. del Decreto 1082 de 2015 </w:t>
            </w:r>
            <w:r w:rsidRPr="00EE2D2F">
              <w:rPr>
                <w:rFonts w:ascii="Verdana" w:eastAsia="Calibri" w:hAnsi="Verdana" w:cs="Arial"/>
                <w:bCs/>
                <w:color w:val="000000"/>
                <w:lang w:val="es-ES_tradnl"/>
              </w:rPr>
              <w:t xml:space="preserve">adicionado por el Decreto 680 de 2021, a saber: i) “el análisis del sector económico y de los oferentes, y, toda aquella información adicional con la que cuente la entidad estatal en la etapa de planeación del Proceso de Contratación”, </w:t>
            </w:r>
            <w:proofErr w:type="spellStart"/>
            <w:r w:rsidRPr="00EE2D2F">
              <w:rPr>
                <w:rFonts w:ascii="Verdana" w:eastAsia="Calibri" w:hAnsi="Verdana" w:cs="Arial"/>
                <w:bCs/>
                <w:color w:val="000000"/>
                <w:lang w:val="es-ES_tradnl"/>
              </w:rPr>
              <w:t>ii</w:t>
            </w:r>
            <w:proofErr w:type="spellEnd"/>
            <w:r w:rsidRPr="00EE2D2F">
              <w:rPr>
                <w:rFonts w:ascii="Verdana" w:eastAsia="Calibri" w:hAnsi="Verdana" w:cs="Arial"/>
                <w:bCs/>
                <w:color w:val="000000"/>
                <w:lang w:val="es-ES_tradnl"/>
              </w:rPr>
              <w:t xml:space="preserve">) el porcentaje de participación de los bienes en el presupuesto del Proceso de Contratación y </w:t>
            </w:r>
            <w:proofErr w:type="spellStart"/>
            <w:r w:rsidRPr="00EE2D2F">
              <w:rPr>
                <w:rFonts w:ascii="Verdana" w:eastAsia="Calibri" w:hAnsi="Verdana" w:cs="Arial"/>
                <w:bCs/>
                <w:color w:val="000000"/>
                <w:lang w:val="es-ES_tradnl"/>
              </w:rPr>
              <w:t>iii</w:t>
            </w:r>
            <w:proofErr w:type="spellEnd"/>
            <w:r w:rsidRPr="00EE2D2F">
              <w:rPr>
                <w:rFonts w:ascii="Verdana" w:eastAsia="Calibri" w:hAnsi="Verdana" w:cs="Arial"/>
                <w:bCs/>
                <w:color w:val="000000"/>
                <w:lang w:val="es-ES_tradnl"/>
              </w:rPr>
              <w:t xml:space="preserve">) la existencia de los bienes en el Registro de Productores de Bienes Nacionales, en los términos del Decreto 2680 de 2009. </w:t>
            </w:r>
            <w:r w:rsidRPr="00EE2D2F">
              <w:rPr>
                <w:rFonts w:ascii="Verdana" w:eastAsia="Arial" w:hAnsi="Verdana" w:cs="Arial"/>
                <w:lang w:val="es-419"/>
              </w:rPr>
              <w:t xml:space="preserve">Además de estos tres criterios, la entidad estatal deberá aplicar los parámetros contenidos en la </w:t>
            </w:r>
            <w:r w:rsidRPr="00EE2D2F">
              <w:rPr>
                <w:rFonts w:ascii="Verdana" w:eastAsia="Arial" w:hAnsi="Verdana" w:cs="Arial"/>
                <w:bCs/>
                <w:lang w:eastAsia="es-ES" w:bidi="es-ES"/>
              </w:rPr>
              <w:t>Matriz 4 – Bienes nacionales relevantes para la obra pública del sector social, en la que s</w:t>
            </w:r>
            <w:proofErr w:type="spellStart"/>
            <w:r w:rsidRPr="00EE2D2F">
              <w:rPr>
                <w:rFonts w:ascii="Verdana" w:eastAsia="Calibri" w:hAnsi="Verdana" w:cs="Arial"/>
                <w:bCs/>
                <w:color w:val="000000"/>
                <w:lang w:val="es-ES_tradnl"/>
              </w:rPr>
              <w:t>e</w:t>
            </w:r>
            <w:proofErr w:type="spellEnd"/>
            <w:r w:rsidRPr="00EE2D2F">
              <w:rPr>
                <w:rFonts w:ascii="Verdana" w:eastAsia="Calibri" w:hAnsi="Verdana" w:cs="Arial"/>
                <w:bCs/>
                <w:color w:val="000000"/>
                <w:lang w:val="es-ES_tradnl"/>
              </w:rPr>
              <w:t xml:space="preserve"> desarrolla una metodología para identificar los bienes nacionales relevantes para la ejecución del objeto a contratar. </w:t>
            </w:r>
          </w:p>
          <w:p w14:paraId="72BEDD57" w14:textId="77777777" w:rsidR="00EE2D2F" w:rsidRPr="00EE2D2F" w:rsidRDefault="00EE2D2F" w:rsidP="00EE2D2F">
            <w:pPr>
              <w:widowControl w:val="0"/>
              <w:autoSpaceDE w:val="0"/>
              <w:autoSpaceDN w:val="0"/>
              <w:spacing w:line="276" w:lineRule="auto"/>
              <w:ind w:firstLine="709"/>
              <w:jc w:val="both"/>
              <w:rPr>
                <w:rFonts w:ascii="Verdana" w:eastAsia="Calibri" w:hAnsi="Verdana" w:cs="Arial"/>
                <w:bCs/>
                <w:color w:val="000000"/>
                <w:lang w:val="es-ES_tradnl"/>
              </w:rPr>
            </w:pPr>
            <w:r w:rsidRPr="00EE2D2F">
              <w:rPr>
                <w:rFonts w:ascii="Verdana" w:eastAsia="Calibri" w:hAnsi="Verdana" w:cs="Arial"/>
                <w:bCs/>
                <w:color w:val="000000"/>
                <w:lang w:val="es-ES_tradnl"/>
              </w:rPr>
              <w:t xml:space="preserve">Aplicando los numerales previstos en la Matriz 4 – </w:t>
            </w:r>
            <w:r w:rsidRPr="00EE2D2F">
              <w:rPr>
                <w:rFonts w:ascii="Verdana" w:eastAsia="Arial" w:hAnsi="Verdana" w:cs="Arial"/>
                <w:bCs/>
                <w:lang w:eastAsia="es-ES" w:bidi="es-ES"/>
              </w:rPr>
              <w:t xml:space="preserve">Bienes nacionales relevantes para la obra pública del sector social –que se desarrollan en el punto </w:t>
            </w:r>
            <w:proofErr w:type="spellStart"/>
            <w:r w:rsidRPr="00EE2D2F">
              <w:rPr>
                <w:rFonts w:ascii="Verdana" w:eastAsia="Arial" w:hAnsi="Verdana" w:cs="Arial"/>
                <w:bCs/>
                <w:lang w:eastAsia="es-ES" w:bidi="es-ES"/>
              </w:rPr>
              <w:t>iv</w:t>
            </w:r>
            <w:proofErr w:type="spellEnd"/>
            <w:r w:rsidRPr="00EE2D2F">
              <w:rPr>
                <w:rFonts w:ascii="Verdana" w:eastAsia="Arial" w:hAnsi="Verdana" w:cs="Arial"/>
                <w:bCs/>
                <w:lang w:eastAsia="es-ES" w:bidi="es-ES"/>
              </w:rPr>
              <w:t xml:space="preserve"> de este concepto–, </w:t>
            </w:r>
            <w:r w:rsidRPr="00EE2D2F">
              <w:rPr>
                <w:rFonts w:ascii="Verdana" w:eastAsia="Calibri" w:hAnsi="Verdana" w:cs="Arial"/>
                <w:bCs/>
                <w:color w:val="000000"/>
                <w:lang w:val="es-ES_tradnl"/>
              </w:rPr>
              <w:t xml:space="preserve">las entidades estatales obligadas a observar los documentos tipo deben definir los bienes nacionales que resultan relevantes para el cumplimiento del objeto contractual, que, en cumplimiento de lo dispuesto en el Decreto 680 de 2021, son relevantes para considerar un servicio como nacional y, por tanto, para determinar la aplicabilidad del puntaje por apoyo a la industria nacional regulado por el artículo 2 de la Ley 816 de 2003. </w:t>
            </w:r>
          </w:p>
          <w:p w14:paraId="1F3E47F2" w14:textId="77777777" w:rsidR="00EE2D2F" w:rsidRPr="00EE2D2F" w:rsidRDefault="00EE2D2F" w:rsidP="00EE2D2F">
            <w:pPr>
              <w:widowControl w:val="0"/>
              <w:autoSpaceDE w:val="0"/>
              <w:autoSpaceDN w:val="0"/>
              <w:spacing w:line="276" w:lineRule="auto"/>
              <w:ind w:firstLine="709"/>
              <w:jc w:val="both"/>
              <w:rPr>
                <w:rFonts w:ascii="Verdana" w:eastAsia="Calibri" w:hAnsi="Verdana" w:cs="Arial"/>
                <w:bCs/>
                <w:color w:val="000000"/>
                <w:lang w:val="es-ES_tradnl"/>
              </w:rPr>
            </w:pPr>
          </w:p>
          <w:p w14:paraId="335AD3A0" w14:textId="77777777" w:rsidR="00EE2D2F" w:rsidRPr="00EE2D2F" w:rsidRDefault="00EE2D2F" w:rsidP="00EE2D2F">
            <w:pPr>
              <w:widowControl w:val="0"/>
              <w:autoSpaceDE w:val="0"/>
              <w:autoSpaceDN w:val="0"/>
              <w:spacing w:line="276" w:lineRule="auto"/>
              <w:jc w:val="both"/>
              <w:rPr>
                <w:rFonts w:ascii="Verdana" w:eastAsia="Arial" w:hAnsi="Verdana" w:cs="Arial"/>
                <w:bCs/>
                <w:iCs/>
                <w:lang w:eastAsia="es-ES" w:bidi="es-ES"/>
              </w:rPr>
            </w:pPr>
            <w:proofErr w:type="spellStart"/>
            <w:r w:rsidRPr="00EE2D2F">
              <w:rPr>
                <w:rFonts w:ascii="Verdana" w:eastAsia="Calibri" w:hAnsi="Verdana" w:cs="Arial"/>
                <w:bCs/>
                <w:color w:val="000000"/>
                <w:lang w:val="es-ES_tradnl"/>
              </w:rPr>
              <w:t>iii</w:t>
            </w:r>
            <w:proofErr w:type="spellEnd"/>
            <w:r w:rsidRPr="00EE2D2F">
              <w:rPr>
                <w:rFonts w:ascii="Verdana" w:eastAsia="Calibri" w:hAnsi="Verdana" w:cs="Arial"/>
                <w:bCs/>
                <w:color w:val="000000"/>
                <w:lang w:val="es-ES_tradnl"/>
              </w:rPr>
              <w:t>. E</w:t>
            </w:r>
            <w:r w:rsidRPr="00EE2D2F">
              <w:rPr>
                <w:rFonts w:ascii="Verdana" w:eastAsia="Arial" w:hAnsi="Verdana" w:cs="Arial"/>
                <w:bCs/>
                <w:iCs/>
                <w:lang w:eastAsia="es-ES" w:bidi="es-ES"/>
              </w:rPr>
              <w:t>n los documentos tipo de selección abreviada de menor cuantía de obra pública de infraestructura social – versión 1, que se estructuren bajo la modalidad de bolsa de recursos a precios unitarios o monto agotable, la forma adecuada de determinar uno o varios bienes nacionales relevantes de acuerdo con los criterios establecidos en el artículo 2.2.1.2.4.2.9. del Decreto 1082 de 2015 y los previstos en esta Matriz 4 –señalados en los diez (10) numerales precedentes–, parte de una premisa y es que la indeterminación de las cantidades finales no exime a la entidad que adelanta el proceso de selección del deber de aplicar integralmente la metodología señalada, ni mucho menos habilita ajustes o simplificaciones de esta.</w:t>
            </w:r>
          </w:p>
          <w:p w14:paraId="3E756A41" w14:textId="77777777" w:rsidR="00EE2D2F" w:rsidRPr="00EE2D2F" w:rsidRDefault="00EE2D2F" w:rsidP="00EE2D2F">
            <w:pPr>
              <w:widowControl w:val="0"/>
              <w:autoSpaceDE w:val="0"/>
              <w:autoSpaceDN w:val="0"/>
              <w:spacing w:before="120" w:line="276" w:lineRule="auto"/>
              <w:ind w:firstLine="709"/>
              <w:jc w:val="both"/>
              <w:rPr>
                <w:rFonts w:ascii="Verdana" w:eastAsia="Arial" w:hAnsi="Verdana" w:cs="Arial"/>
                <w:bCs/>
                <w:iCs/>
                <w:lang w:eastAsia="es-ES" w:bidi="es-ES"/>
              </w:rPr>
            </w:pPr>
            <w:r w:rsidRPr="00EE2D2F">
              <w:rPr>
                <w:rFonts w:ascii="Verdana" w:eastAsia="Arial" w:hAnsi="Verdana" w:cs="Arial"/>
                <w:bCs/>
                <w:iCs/>
                <w:lang w:eastAsia="es-ES" w:bidi="es-ES"/>
              </w:rPr>
              <w:t xml:space="preserve">En efecto, aun cuando en este tipo de contratos las cantidades de obra dependen de la ejecución efectiva durante el plazo contractual, la entidad sí </w:t>
            </w:r>
            <w:r w:rsidRPr="00EE2D2F">
              <w:rPr>
                <w:rFonts w:ascii="Verdana" w:eastAsia="Arial" w:hAnsi="Verdana" w:cs="Arial"/>
                <w:bCs/>
                <w:iCs/>
                <w:lang w:eastAsia="es-ES" w:bidi="es-ES"/>
              </w:rPr>
              <w:lastRenderedPageBreak/>
              <w:t xml:space="preserve">cuenta en la etapa de planeación con un presupuesto oficial estructurado, el cual incorpora cantidades estimadas y valores unitarios derivados de estudios previos, análisis del sector y diseños, entre otros. Así, es sobre esta base que la entidad que adelante el proceso de selección con los documentos tipo debe aplicar la totalidad de la metodología dispuesta en el numeral 4.3.1 del documento base. </w:t>
            </w:r>
          </w:p>
          <w:p w14:paraId="397A243E" w14:textId="77777777" w:rsidR="00EE2D2F" w:rsidRPr="00EE2D2F" w:rsidRDefault="00EE2D2F" w:rsidP="00EE2D2F">
            <w:pPr>
              <w:widowControl w:val="0"/>
              <w:autoSpaceDE w:val="0"/>
              <w:autoSpaceDN w:val="0"/>
              <w:spacing w:before="120" w:after="120" w:line="276" w:lineRule="auto"/>
              <w:ind w:firstLine="709"/>
              <w:jc w:val="both"/>
              <w:rPr>
                <w:rFonts w:ascii="Verdana" w:eastAsia="Arial" w:hAnsi="Verdana" w:cs="Arial"/>
                <w:bCs/>
                <w:iCs/>
                <w:lang w:eastAsia="es-ES" w:bidi="es-ES"/>
              </w:rPr>
            </w:pPr>
            <w:r w:rsidRPr="00EE2D2F">
              <w:rPr>
                <w:rFonts w:ascii="Verdana" w:eastAsia="Arial" w:hAnsi="Verdana" w:cs="Arial"/>
                <w:bCs/>
                <w:iCs/>
                <w:lang w:eastAsia="es-ES" w:bidi="es-ES"/>
              </w:rPr>
              <w:t xml:space="preserve">Desde el punto de vista jurídico, este enfoque encuentra sustento en el artículo 2.2.1.2.4.2.9. del Decreto 1082 de 2015, el cual exige que la determinación de los bienes nacionales relevantes se realice considerando el porcentaje de participación de los bienes en el presupuesto del proceso de contratación, sin distinguir entre contratos con cantidades ciertas o estimadas. </w:t>
            </w:r>
          </w:p>
          <w:p w14:paraId="1DCD3631" w14:textId="77777777" w:rsidR="00EE2D2F" w:rsidRPr="00EE2D2F" w:rsidRDefault="00EE2D2F" w:rsidP="00EE2D2F">
            <w:pPr>
              <w:widowControl w:val="0"/>
              <w:autoSpaceDE w:val="0"/>
              <w:autoSpaceDN w:val="0"/>
              <w:spacing w:after="120" w:line="276" w:lineRule="auto"/>
              <w:ind w:firstLine="709"/>
              <w:jc w:val="both"/>
              <w:rPr>
                <w:rFonts w:ascii="Verdana" w:eastAsia="Arial" w:hAnsi="Verdana" w:cs="Arial"/>
                <w:bCs/>
                <w:iCs/>
                <w:lang w:eastAsia="es-ES" w:bidi="es-ES"/>
              </w:rPr>
            </w:pPr>
            <w:r w:rsidRPr="00EE2D2F">
              <w:rPr>
                <w:rFonts w:ascii="Verdana" w:eastAsia="Arial" w:hAnsi="Verdana" w:cs="Arial"/>
                <w:bCs/>
                <w:iCs/>
                <w:lang w:eastAsia="es-ES" w:bidi="es-ES"/>
              </w:rPr>
              <w:t xml:space="preserve">En conclusión, la modalidad de bolsa de recursos a precios unitarios y por monto agotable no altera la forma de determinar los bienes nacionales relevantes en los procesos de selección que se adelanten con los documentos tipo de selección abreviada de menor cuantía de obra pública de infraestructura social – versión 1. Por lo tanto, la entidad debe ceñirse a la metodología dispuesta en la </w:t>
            </w:r>
            <w:r w:rsidRPr="00EE2D2F">
              <w:rPr>
                <w:rFonts w:ascii="Verdana" w:eastAsia="Arial" w:hAnsi="Verdana" w:cs="Arial"/>
                <w:bCs/>
                <w:lang w:eastAsia="es-ES" w:bidi="es-ES"/>
              </w:rPr>
              <w:t>“Matriz 4 - Bienes nacionales relevantes para la obra pública del sector social”</w:t>
            </w:r>
            <w:r w:rsidRPr="00EE2D2F">
              <w:rPr>
                <w:rFonts w:ascii="Verdana" w:eastAsia="Arial" w:hAnsi="Verdana" w:cs="Arial"/>
                <w:bCs/>
                <w:iCs/>
                <w:lang w:eastAsia="es-ES" w:bidi="es-ES"/>
              </w:rPr>
              <w:t xml:space="preserve">, utilizando la mejor información disponible en la etapa de planeación, garantizando así la objetividad del análisis y la correcta aplicación del puntaje por apoyo a la industria nacional.  </w:t>
            </w:r>
          </w:p>
          <w:p w14:paraId="64A4BD35" w14:textId="77777777" w:rsidR="00EE2D2F" w:rsidRPr="00EE2D2F" w:rsidRDefault="00EE2D2F" w:rsidP="00EE2D2F">
            <w:pPr>
              <w:widowControl w:val="0"/>
              <w:autoSpaceDE w:val="0"/>
              <w:autoSpaceDN w:val="0"/>
              <w:spacing w:line="276" w:lineRule="auto"/>
              <w:jc w:val="both"/>
              <w:rPr>
                <w:rFonts w:ascii="Verdana" w:eastAsia="Calibri" w:hAnsi="Verdana" w:cs="Arial"/>
                <w:bCs/>
                <w:color w:val="000000"/>
              </w:rPr>
            </w:pPr>
          </w:p>
          <w:p w14:paraId="1EFB7811" w14:textId="77777777" w:rsidR="00EE2D2F" w:rsidRPr="00EE2D2F" w:rsidRDefault="00EE2D2F" w:rsidP="00EE2D2F">
            <w:pPr>
              <w:widowControl w:val="0"/>
              <w:autoSpaceDE w:val="0"/>
              <w:autoSpaceDN w:val="0"/>
              <w:spacing w:line="276" w:lineRule="auto"/>
              <w:jc w:val="both"/>
              <w:rPr>
                <w:rFonts w:ascii="Verdana" w:eastAsia="Arial" w:hAnsi="Verdana" w:cs="Arial"/>
                <w:bCs/>
                <w:lang w:eastAsia="es-ES" w:bidi="es-ES"/>
              </w:rPr>
            </w:pPr>
            <w:proofErr w:type="spellStart"/>
            <w:r w:rsidRPr="00EE2D2F">
              <w:rPr>
                <w:rFonts w:ascii="Verdana" w:eastAsia="Calibri" w:hAnsi="Verdana" w:cs="Arial"/>
                <w:bCs/>
                <w:color w:val="000000"/>
              </w:rPr>
              <w:t>iv</w:t>
            </w:r>
            <w:proofErr w:type="spellEnd"/>
            <w:r w:rsidRPr="00EE2D2F">
              <w:rPr>
                <w:rFonts w:ascii="Verdana" w:eastAsia="Calibri" w:hAnsi="Verdana" w:cs="Arial"/>
                <w:bCs/>
                <w:color w:val="000000"/>
              </w:rPr>
              <w:t xml:space="preserve">. </w:t>
            </w:r>
            <w:r w:rsidRPr="00EE2D2F">
              <w:rPr>
                <w:rFonts w:ascii="Verdana" w:eastAsia="Arial" w:hAnsi="Verdana" w:cs="Arial"/>
                <w:bCs/>
                <w:iCs/>
                <w:lang w:eastAsia="es-ES" w:bidi="es-ES"/>
              </w:rPr>
              <w:t>Si luego de aplica</w:t>
            </w:r>
            <w:r w:rsidRPr="00EE2D2F">
              <w:rPr>
                <w:rFonts w:ascii="Verdana" w:eastAsia="Calibri" w:hAnsi="Verdana" w:cs="Arial"/>
                <w:bCs/>
                <w:color w:val="000000"/>
                <w:lang w:val="es-ES_tradnl"/>
              </w:rPr>
              <w:t xml:space="preserve">r la metodología para determinar los bienes nacionales relevantes −descrita con anterioridad−, la entidad determina uno o varios bienes nacionales relevantes para el proceso de contratación, deberá incluir la </w:t>
            </w:r>
            <w:r w:rsidRPr="00EE2D2F">
              <w:rPr>
                <w:rFonts w:ascii="Verdana" w:eastAsia="Calibri" w:hAnsi="Verdana" w:cs="Arial"/>
                <w:b/>
                <w:i/>
                <w:iCs/>
                <w:color w:val="000000"/>
                <w:lang w:val="es-ES_tradnl"/>
              </w:rPr>
              <w:t>opción 1</w:t>
            </w:r>
            <w:r w:rsidRPr="00EE2D2F">
              <w:rPr>
                <w:rFonts w:ascii="Verdana" w:eastAsia="Calibri" w:hAnsi="Verdana" w:cs="Arial"/>
                <w:bCs/>
                <w:color w:val="000000"/>
                <w:lang w:val="es-ES_tradnl"/>
              </w:rPr>
              <w:t xml:space="preserve"> del numeral </w:t>
            </w:r>
            <w:r w:rsidRPr="00EE2D2F">
              <w:rPr>
                <w:rFonts w:ascii="Verdana" w:eastAsia="Calibri" w:hAnsi="Verdana" w:cs="Arial"/>
                <w:lang w:val="es-MX"/>
              </w:rPr>
              <w:t>4</w:t>
            </w:r>
            <w:r w:rsidRPr="00EE2D2F">
              <w:rPr>
                <w:rFonts w:ascii="Verdana" w:eastAsia="Arial" w:hAnsi="Verdana" w:cs="Arial"/>
                <w:bCs/>
                <w:lang w:eastAsia="es-ES" w:bidi="es-ES"/>
              </w:rPr>
              <w:t xml:space="preserve">.3.1 “Promoción de servicios nacionales o con trato nacional”, en la que se señalarán los bienes nacionales relevantes en el proceso de contratación, diligenciando una tabla con la información tomada del Registro de Productores de Bienes Nacionales, en la que se señalará: i) el bien nacional relevante, </w:t>
            </w:r>
            <w:proofErr w:type="spellStart"/>
            <w:r w:rsidRPr="00EE2D2F">
              <w:rPr>
                <w:rFonts w:ascii="Verdana" w:eastAsia="Arial" w:hAnsi="Verdana" w:cs="Arial"/>
                <w:bCs/>
                <w:lang w:eastAsia="es-ES" w:bidi="es-ES"/>
              </w:rPr>
              <w:t>ii</w:t>
            </w:r>
            <w:proofErr w:type="spellEnd"/>
            <w:r w:rsidRPr="00EE2D2F">
              <w:rPr>
                <w:rFonts w:ascii="Verdana" w:eastAsia="Arial" w:hAnsi="Verdana" w:cs="Arial"/>
                <w:bCs/>
                <w:lang w:eastAsia="es-ES" w:bidi="es-ES"/>
              </w:rPr>
              <w:t xml:space="preserve">) la fecha de inscripción, </w:t>
            </w:r>
            <w:proofErr w:type="spellStart"/>
            <w:r w:rsidRPr="00EE2D2F">
              <w:rPr>
                <w:rFonts w:ascii="Verdana" w:eastAsia="Arial" w:hAnsi="Verdana" w:cs="Arial"/>
                <w:bCs/>
                <w:lang w:eastAsia="es-ES" w:bidi="es-ES"/>
              </w:rPr>
              <w:t>iii</w:t>
            </w:r>
            <w:proofErr w:type="spellEnd"/>
            <w:r w:rsidRPr="00EE2D2F">
              <w:rPr>
                <w:rFonts w:ascii="Verdana" w:eastAsia="Arial" w:hAnsi="Verdana" w:cs="Arial"/>
                <w:bCs/>
                <w:lang w:eastAsia="es-ES" w:bidi="es-ES"/>
              </w:rPr>
              <w:t xml:space="preserve">) la fecha de vigencia, </w:t>
            </w:r>
            <w:proofErr w:type="spellStart"/>
            <w:r w:rsidRPr="00EE2D2F">
              <w:rPr>
                <w:rFonts w:ascii="Verdana" w:eastAsia="Arial" w:hAnsi="Verdana" w:cs="Arial"/>
                <w:bCs/>
                <w:lang w:eastAsia="es-ES" w:bidi="es-ES"/>
              </w:rPr>
              <w:t>iv</w:t>
            </w:r>
            <w:proofErr w:type="spellEnd"/>
            <w:r w:rsidRPr="00EE2D2F">
              <w:rPr>
                <w:rFonts w:ascii="Verdana" w:eastAsia="Arial" w:hAnsi="Verdana" w:cs="Arial"/>
                <w:bCs/>
                <w:lang w:eastAsia="es-ES" w:bidi="es-ES"/>
              </w:rPr>
              <w:t>) el número de partida arancelaria, v) el porcentaje (%) de participación del bien y vi) el puntaje individual de cada bien, de la siguiente forma:</w:t>
            </w:r>
          </w:p>
          <w:p w14:paraId="3039E78A" w14:textId="77777777" w:rsidR="00EE2D2F" w:rsidRPr="00EE2D2F" w:rsidRDefault="00EE2D2F" w:rsidP="00EE2D2F">
            <w:pPr>
              <w:ind w:left="709" w:right="709"/>
              <w:jc w:val="both"/>
              <w:rPr>
                <w:rFonts w:ascii="Verdana" w:eastAsia="Calibri" w:hAnsi="Verdana" w:cs="Arial"/>
                <w:sz w:val="19"/>
                <w:szCs w:val="19"/>
                <w:lang w:val="es-MX"/>
              </w:rPr>
            </w:pPr>
          </w:p>
          <w:tbl>
            <w:tblPr>
              <w:tblW w:w="5693"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500"/>
              <w:gridCol w:w="1151"/>
              <w:gridCol w:w="1300"/>
              <w:gridCol w:w="1027"/>
              <w:gridCol w:w="1340"/>
              <w:gridCol w:w="1525"/>
              <w:gridCol w:w="1187"/>
            </w:tblGrid>
            <w:tr w:rsidR="00EE2D2F" w:rsidRPr="00EE2D2F" w14:paraId="6F607989" w14:textId="77777777" w:rsidTr="00C80FF3">
              <w:trPr>
                <w:trHeight w:val="248"/>
                <w:tblHeader/>
                <w:jc w:val="center"/>
              </w:trPr>
              <w:tc>
                <w:tcPr>
                  <w:tcW w:w="365" w:type="dxa"/>
                  <w:tcBorders>
                    <w:top w:val="double" w:sz="4" w:space="0" w:color="auto"/>
                    <w:left w:val="double" w:sz="4" w:space="0" w:color="auto"/>
                    <w:bottom w:val="single" w:sz="4" w:space="0" w:color="000000"/>
                    <w:right w:val="single" w:sz="6" w:space="0" w:color="auto"/>
                  </w:tcBorders>
                  <w:shd w:val="clear" w:color="auto" w:fill="3B3838"/>
                  <w:vAlign w:val="center"/>
                  <w:hideMark/>
                </w:tcPr>
                <w:p w14:paraId="387457EC" w14:textId="77777777" w:rsidR="00EE2D2F" w:rsidRPr="00EE2D2F" w:rsidRDefault="00EE2D2F" w:rsidP="00EE2D2F">
                  <w:pPr>
                    <w:jc w:val="both"/>
                    <w:rPr>
                      <w:rFonts w:ascii="Verdana" w:eastAsia="Calibri" w:hAnsi="Verdana" w:cs="Arial"/>
                      <w:b/>
                      <w:caps/>
                      <w:color w:val="FFFFFF"/>
                      <w:sz w:val="19"/>
                      <w:szCs w:val="19"/>
                    </w:rPr>
                  </w:pPr>
                  <w:r w:rsidRPr="00EE2D2F">
                    <w:rPr>
                      <w:rFonts w:ascii="Verdana" w:eastAsia="Calibri" w:hAnsi="Verdana" w:cs="Arial"/>
                      <w:b/>
                      <w:color w:val="FFFFFF"/>
                      <w:sz w:val="19"/>
                      <w:szCs w:val="19"/>
                    </w:rPr>
                    <w:lastRenderedPageBreak/>
                    <w:t>No.</w:t>
                  </w:r>
                </w:p>
              </w:tc>
              <w:tc>
                <w:tcPr>
                  <w:tcW w:w="796" w:type="dxa"/>
                  <w:tcBorders>
                    <w:top w:val="double" w:sz="4" w:space="0" w:color="auto"/>
                    <w:left w:val="single" w:sz="6" w:space="0" w:color="auto"/>
                    <w:bottom w:val="single" w:sz="4" w:space="0" w:color="000000"/>
                    <w:right w:val="single" w:sz="4" w:space="0" w:color="000000"/>
                  </w:tcBorders>
                  <w:shd w:val="clear" w:color="auto" w:fill="3B3838"/>
                  <w:vAlign w:val="center"/>
                  <w:hideMark/>
                </w:tcPr>
                <w:p w14:paraId="625DDAD0" w14:textId="77777777" w:rsidR="00EE2D2F" w:rsidRPr="00EE2D2F" w:rsidRDefault="00EE2D2F" w:rsidP="00EE2D2F">
                  <w:pPr>
                    <w:jc w:val="both"/>
                    <w:rPr>
                      <w:rFonts w:ascii="Verdana" w:eastAsia="Calibri" w:hAnsi="Verdana" w:cs="Arial"/>
                      <w:b/>
                      <w:caps/>
                      <w:color w:val="FFFFFF"/>
                      <w:sz w:val="19"/>
                      <w:szCs w:val="19"/>
                    </w:rPr>
                  </w:pPr>
                  <w:r w:rsidRPr="00EE2D2F">
                    <w:rPr>
                      <w:rFonts w:ascii="Verdana" w:eastAsia="Calibri" w:hAnsi="Verdana" w:cs="Arial"/>
                      <w:b/>
                      <w:color w:val="FFFFFF"/>
                      <w:sz w:val="19"/>
                      <w:szCs w:val="19"/>
                    </w:rPr>
                    <w:t>Bien nacional relevante</w:t>
                  </w:r>
                </w:p>
              </w:tc>
              <w:tc>
                <w:tcPr>
                  <w:tcW w:w="942" w:type="dxa"/>
                  <w:tcBorders>
                    <w:top w:val="double" w:sz="4" w:space="0" w:color="auto"/>
                    <w:left w:val="single" w:sz="6" w:space="0" w:color="auto"/>
                    <w:bottom w:val="single" w:sz="4" w:space="0" w:color="000000"/>
                    <w:right w:val="single" w:sz="4" w:space="0" w:color="000000"/>
                  </w:tcBorders>
                  <w:shd w:val="clear" w:color="auto" w:fill="3B3838"/>
                  <w:vAlign w:val="center"/>
                </w:tcPr>
                <w:p w14:paraId="45A054D9" w14:textId="77777777" w:rsidR="00EE2D2F" w:rsidRPr="00EE2D2F" w:rsidRDefault="00EE2D2F" w:rsidP="00EE2D2F">
                  <w:pPr>
                    <w:jc w:val="both"/>
                    <w:rPr>
                      <w:rFonts w:ascii="Verdana" w:eastAsia="Calibri" w:hAnsi="Verdana" w:cs="Arial"/>
                      <w:b/>
                      <w:color w:val="FFFFFF"/>
                      <w:sz w:val="19"/>
                      <w:szCs w:val="19"/>
                    </w:rPr>
                  </w:pPr>
                  <w:r w:rsidRPr="00EE2D2F">
                    <w:rPr>
                      <w:rFonts w:ascii="Verdana" w:eastAsia="Calibri" w:hAnsi="Verdana" w:cs="Arial"/>
                      <w:b/>
                      <w:color w:val="FFFFFF"/>
                      <w:sz w:val="19"/>
                      <w:szCs w:val="19"/>
                    </w:rPr>
                    <w:t>Fecha de inscripción</w:t>
                  </w:r>
                </w:p>
              </w:tc>
              <w:tc>
                <w:tcPr>
                  <w:tcW w:w="736" w:type="dxa"/>
                  <w:tcBorders>
                    <w:top w:val="double" w:sz="4" w:space="0" w:color="auto"/>
                    <w:left w:val="single" w:sz="4" w:space="0" w:color="000000"/>
                    <w:bottom w:val="single" w:sz="4" w:space="0" w:color="000000"/>
                    <w:right w:val="single" w:sz="4" w:space="0" w:color="000000"/>
                  </w:tcBorders>
                  <w:shd w:val="clear" w:color="auto" w:fill="3B3838"/>
                  <w:vAlign w:val="center"/>
                </w:tcPr>
                <w:p w14:paraId="32E3E944" w14:textId="77777777" w:rsidR="00EE2D2F" w:rsidRPr="00EE2D2F" w:rsidRDefault="00EE2D2F" w:rsidP="00EE2D2F">
                  <w:pPr>
                    <w:jc w:val="both"/>
                    <w:rPr>
                      <w:rFonts w:ascii="Verdana" w:eastAsia="Calibri" w:hAnsi="Verdana" w:cs="Arial"/>
                      <w:b/>
                      <w:color w:val="FFFFFF"/>
                      <w:sz w:val="19"/>
                      <w:szCs w:val="19"/>
                    </w:rPr>
                  </w:pPr>
                  <w:r w:rsidRPr="00EE2D2F">
                    <w:rPr>
                      <w:rFonts w:ascii="Verdana" w:eastAsia="Calibri" w:hAnsi="Verdana" w:cs="Arial"/>
                      <w:b/>
                      <w:color w:val="FFFFFF"/>
                      <w:sz w:val="19"/>
                      <w:szCs w:val="19"/>
                    </w:rPr>
                    <w:t>Fecha de vigencia</w:t>
                  </w:r>
                </w:p>
              </w:tc>
              <w:tc>
                <w:tcPr>
                  <w:tcW w:w="934" w:type="dxa"/>
                  <w:tcBorders>
                    <w:top w:val="double" w:sz="4" w:space="0" w:color="auto"/>
                    <w:left w:val="single" w:sz="4" w:space="0" w:color="000000"/>
                    <w:bottom w:val="single" w:sz="4" w:space="0" w:color="000000"/>
                    <w:right w:val="single" w:sz="4" w:space="0" w:color="000000"/>
                  </w:tcBorders>
                  <w:shd w:val="clear" w:color="auto" w:fill="3B3838"/>
                  <w:vAlign w:val="center"/>
                </w:tcPr>
                <w:p w14:paraId="6C78A6C6" w14:textId="77777777" w:rsidR="00EE2D2F" w:rsidRPr="00EE2D2F" w:rsidRDefault="00EE2D2F" w:rsidP="00EE2D2F">
                  <w:pPr>
                    <w:jc w:val="both"/>
                    <w:rPr>
                      <w:rFonts w:ascii="Verdana" w:eastAsia="Calibri" w:hAnsi="Verdana" w:cs="Arial"/>
                      <w:b/>
                      <w:color w:val="FFFFFF"/>
                      <w:sz w:val="19"/>
                      <w:szCs w:val="19"/>
                    </w:rPr>
                  </w:pPr>
                  <w:r w:rsidRPr="00EE2D2F">
                    <w:rPr>
                      <w:rFonts w:ascii="Verdana" w:eastAsia="Calibri" w:hAnsi="Verdana" w:cs="Arial"/>
                      <w:b/>
                      <w:color w:val="FFFFFF"/>
                      <w:sz w:val="19"/>
                      <w:szCs w:val="19"/>
                    </w:rPr>
                    <w:t>No. de partida arancelaria</w:t>
                  </w:r>
                </w:p>
              </w:tc>
              <w:tc>
                <w:tcPr>
                  <w:tcW w:w="1081" w:type="dxa"/>
                  <w:tcBorders>
                    <w:top w:val="double" w:sz="4" w:space="0" w:color="auto"/>
                    <w:left w:val="single" w:sz="4" w:space="0" w:color="000000"/>
                    <w:bottom w:val="single" w:sz="4" w:space="0" w:color="000000"/>
                    <w:right w:val="double" w:sz="4" w:space="0" w:color="auto"/>
                  </w:tcBorders>
                  <w:shd w:val="clear" w:color="auto" w:fill="3B3838"/>
                  <w:vAlign w:val="center"/>
                </w:tcPr>
                <w:p w14:paraId="6BA2E84C" w14:textId="77777777" w:rsidR="00EE2D2F" w:rsidRPr="00EE2D2F" w:rsidRDefault="00EE2D2F" w:rsidP="00EE2D2F">
                  <w:pPr>
                    <w:jc w:val="both"/>
                    <w:rPr>
                      <w:rFonts w:ascii="Verdana" w:eastAsia="Calibri" w:hAnsi="Verdana" w:cs="Arial"/>
                      <w:b/>
                      <w:color w:val="FFFFFF"/>
                      <w:sz w:val="19"/>
                      <w:szCs w:val="19"/>
                    </w:rPr>
                  </w:pPr>
                  <w:r w:rsidRPr="00EE2D2F">
                    <w:rPr>
                      <w:rFonts w:ascii="Verdana" w:eastAsia="Calibri" w:hAnsi="Verdana" w:cs="Arial"/>
                      <w:b/>
                      <w:color w:val="FFFFFF"/>
                      <w:sz w:val="19"/>
                      <w:szCs w:val="19"/>
                    </w:rPr>
                    <w:t>% de participación</w:t>
                  </w:r>
                </w:p>
              </w:tc>
              <w:tc>
                <w:tcPr>
                  <w:tcW w:w="839" w:type="dxa"/>
                  <w:tcBorders>
                    <w:top w:val="double" w:sz="4" w:space="0" w:color="auto"/>
                    <w:left w:val="single" w:sz="4" w:space="0" w:color="000000"/>
                    <w:bottom w:val="single" w:sz="4" w:space="0" w:color="000000"/>
                    <w:right w:val="double" w:sz="4" w:space="0" w:color="auto"/>
                  </w:tcBorders>
                  <w:shd w:val="clear" w:color="auto" w:fill="3B3838"/>
                </w:tcPr>
                <w:p w14:paraId="63B69AE0" w14:textId="77777777" w:rsidR="00EE2D2F" w:rsidRPr="00EE2D2F" w:rsidRDefault="00EE2D2F" w:rsidP="00EE2D2F">
                  <w:pPr>
                    <w:jc w:val="both"/>
                    <w:rPr>
                      <w:rFonts w:ascii="Verdana" w:eastAsia="Calibri" w:hAnsi="Verdana" w:cs="Arial"/>
                      <w:b/>
                      <w:color w:val="FFFFFF"/>
                      <w:sz w:val="19"/>
                      <w:szCs w:val="19"/>
                    </w:rPr>
                  </w:pPr>
                  <w:r w:rsidRPr="00EE2D2F">
                    <w:rPr>
                      <w:rFonts w:ascii="Verdana" w:eastAsia="Calibri" w:hAnsi="Verdana" w:cs="Arial"/>
                      <w:b/>
                      <w:color w:val="FFFFFF"/>
                      <w:sz w:val="19"/>
                      <w:szCs w:val="19"/>
                    </w:rPr>
                    <w:t xml:space="preserve">Puntaje individual de cada bien </w:t>
                  </w:r>
                </w:p>
              </w:tc>
            </w:tr>
            <w:tr w:rsidR="00EE2D2F" w:rsidRPr="00EE2D2F" w14:paraId="5298FB77" w14:textId="77777777" w:rsidTr="00C80FF3">
              <w:trPr>
                <w:trHeight w:val="177"/>
                <w:tblHeader/>
                <w:jc w:val="center"/>
              </w:trPr>
              <w:tc>
                <w:tcPr>
                  <w:tcW w:w="365" w:type="dxa"/>
                  <w:tcBorders>
                    <w:top w:val="single" w:sz="4" w:space="0" w:color="000000"/>
                    <w:left w:val="double" w:sz="4" w:space="0" w:color="auto"/>
                    <w:right w:val="single" w:sz="6" w:space="0" w:color="auto"/>
                  </w:tcBorders>
                  <w:vAlign w:val="center"/>
                </w:tcPr>
                <w:p w14:paraId="632367C4" w14:textId="77777777" w:rsidR="00EE2D2F" w:rsidRPr="00EE2D2F" w:rsidRDefault="00EE2D2F" w:rsidP="00EE2D2F">
                  <w:pPr>
                    <w:jc w:val="both"/>
                    <w:rPr>
                      <w:rFonts w:ascii="Verdana" w:eastAsia="Calibri" w:hAnsi="Verdana" w:cs="Arial"/>
                      <w:caps/>
                      <w:sz w:val="19"/>
                      <w:szCs w:val="19"/>
                    </w:rPr>
                  </w:pPr>
                  <w:r w:rsidRPr="00EE2D2F">
                    <w:rPr>
                      <w:rFonts w:ascii="Verdana" w:eastAsia="Calibri" w:hAnsi="Verdana" w:cs="Arial"/>
                      <w:caps/>
                      <w:sz w:val="19"/>
                      <w:szCs w:val="19"/>
                    </w:rPr>
                    <w:t>1.</w:t>
                  </w:r>
                </w:p>
              </w:tc>
              <w:tc>
                <w:tcPr>
                  <w:tcW w:w="796" w:type="dxa"/>
                  <w:tcBorders>
                    <w:top w:val="single" w:sz="4" w:space="0" w:color="000000"/>
                    <w:left w:val="single" w:sz="6" w:space="0" w:color="auto"/>
                    <w:right w:val="single" w:sz="4" w:space="0" w:color="000000"/>
                  </w:tcBorders>
                  <w:vAlign w:val="center"/>
                </w:tcPr>
                <w:p w14:paraId="6050B2BA" w14:textId="77777777" w:rsidR="00EE2D2F" w:rsidRPr="00EE2D2F" w:rsidRDefault="00EE2D2F" w:rsidP="00EE2D2F">
                  <w:pPr>
                    <w:jc w:val="both"/>
                    <w:rPr>
                      <w:rFonts w:ascii="Verdana" w:eastAsia="Calibri" w:hAnsi="Verdana" w:cs="Arial"/>
                      <w:b/>
                      <w:color w:val="FFFFFF"/>
                      <w:sz w:val="19"/>
                      <w:szCs w:val="19"/>
                    </w:rPr>
                  </w:pPr>
                </w:p>
              </w:tc>
              <w:tc>
                <w:tcPr>
                  <w:tcW w:w="942" w:type="dxa"/>
                  <w:tcBorders>
                    <w:top w:val="single" w:sz="4" w:space="0" w:color="000000"/>
                    <w:left w:val="single" w:sz="6" w:space="0" w:color="auto"/>
                    <w:right w:val="single" w:sz="4" w:space="0" w:color="000000"/>
                  </w:tcBorders>
                </w:tcPr>
                <w:p w14:paraId="12E57253" w14:textId="77777777" w:rsidR="00EE2D2F" w:rsidRPr="00EE2D2F" w:rsidRDefault="00EE2D2F" w:rsidP="00EE2D2F">
                  <w:pPr>
                    <w:jc w:val="both"/>
                    <w:rPr>
                      <w:rFonts w:ascii="Verdana" w:eastAsia="Calibri" w:hAnsi="Verdana" w:cs="Arial"/>
                      <w:b/>
                      <w:color w:val="FFFFFF"/>
                      <w:sz w:val="19"/>
                      <w:szCs w:val="19"/>
                    </w:rPr>
                  </w:pPr>
                </w:p>
              </w:tc>
              <w:tc>
                <w:tcPr>
                  <w:tcW w:w="736" w:type="dxa"/>
                  <w:tcBorders>
                    <w:top w:val="single" w:sz="4" w:space="0" w:color="000000"/>
                    <w:left w:val="single" w:sz="4" w:space="0" w:color="000000"/>
                    <w:right w:val="single" w:sz="4" w:space="0" w:color="000000"/>
                  </w:tcBorders>
                </w:tcPr>
                <w:p w14:paraId="075F8B16" w14:textId="77777777" w:rsidR="00EE2D2F" w:rsidRPr="00EE2D2F" w:rsidRDefault="00EE2D2F" w:rsidP="00EE2D2F">
                  <w:pPr>
                    <w:jc w:val="both"/>
                    <w:rPr>
                      <w:rFonts w:ascii="Verdana" w:eastAsia="Calibri" w:hAnsi="Verdana" w:cs="Arial"/>
                      <w:b/>
                      <w:color w:val="FFFFFF"/>
                      <w:sz w:val="19"/>
                      <w:szCs w:val="19"/>
                    </w:rPr>
                  </w:pPr>
                </w:p>
              </w:tc>
              <w:tc>
                <w:tcPr>
                  <w:tcW w:w="934" w:type="dxa"/>
                  <w:tcBorders>
                    <w:top w:val="single" w:sz="4" w:space="0" w:color="000000"/>
                    <w:left w:val="single" w:sz="4" w:space="0" w:color="000000"/>
                    <w:right w:val="single" w:sz="4" w:space="0" w:color="000000"/>
                  </w:tcBorders>
                </w:tcPr>
                <w:p w14:paraId="77676F8E" w14:textId="77777777" w:rsidR="00EE2D2F" w:rsidRPr="00EE2D2F" w:rsidRDefault="00EE2D2F" w:rsidP="00EE2D2F">
                  <w:pPr>
                    <w:jc w:val="both"/>
                    <w:rPr>
                      <w:rFonts w:ascii="Verdana" w:eastAsia="Calibri" w:hAnsi="Verdana" w:cs="Arial"/>
                      <w:b/>
                      <w:color w:val="FFFFFF"/>
                      <w:sz w:val="19"/>
                      <w:szCs w:val="19"/>
                    </w:rPr>
                  </w:pPr>
                </w:p>
              </w:tc>
              <w:tc>
                <w:tcPr>
                  <w:tcW w:w="1081" w:type="dxa"/>
                  <w:tcBorders>
                    <w:top w:val="single" w:sz="4" w:space="0" w:color="000000"/>
                    <w:left w:val="single" w:sz="4" w:space="0" w:color="000000"/>
                    <w:right w:val="double" w:sz="4" w:space="0" w:color="auto"/>
                  </w:tcBorders>
                </w:tcPr>
                <w:p w14:paraId="562F8D00" w14:textId="77777777" w:rsidR="00EE2D2F" w:rsidRPr="00EE2D2F" w:rsidRDefault="00EE2D2F" w:rsidP="00EE2D2F">
                  <w:pPr>
                    <w:jc w:val="both"/>
                    <w:rPr>
                      <w:rFonts w:ascii="Verdana" w:eastAsia="Calibri" w:hAnsi="Verdana" w:cs="Arial"/>
                      <w:b/>
                      <w:color w:val="FFFFFF"/>
                      <w:sz w:val="19"/>
                      <w:szCs w:val="19"/>
                    </w:rPr>
                  </w:pPr>
                </w:p>
              </w:tc>
              <w:tc>
                <w:tcPr>
                  <w:tcW w:w="839" w:type="dxa"/>
                  <w:tcBorders>
                    <w:top w:val="single" w:sz="4" w:space="0" w:color="000000"/>
                    <w:left w:val="single" w:sz="4" w:space="0" w:color="000000"/>
                    <w:right w:val="double" w:sz="4" w:space="0" w:color="auto"/>
                  </w:tcBorders>
                </w:tcPr>
                <w:p w14:paraId="794120EC" w14:textId="77777777" w:rsidR="00EE2D2F" w:rsidRPr="00EE2D2F" w:rsidRDefault="00EE2D2F" w:rsidP="00EE2D2F">
                  <w:pPr>
                    <w:jc w:val="both"/>
                    <w:rPr>
                      <w:rFonts w:ascii="Verdana" w:eastAsia="Calibri" w:hAnsi="Verdana" w:cs="Arial"/>
                      <w:b/>
                      <w:color w:val="FFFFFF"/>
                      <w:sz w:val="19"/>
                      <w:szCs w:val="19"/>
                    </w:rPr>
                  </w:pPr>
                </w:p>
              </w:tc>
            </w:tr>
            <w:tr w:rsidR="00EE2D2F" w:rsidRPr="00EE2D2F" w14:paraId="1941C2ED" w14:textId="77777777" w:rsidTr="00C80FF3">
              <w:trPr>
                <w:trHeight w:val="193"/>
                <w:tblHeader/>
                <w:jc w:val="center"/>
              </w:trPr>
              <w:tc>
                <w:tcPr>
                  <w:tcW w:w="365" w:type="dxa"/>
                  <w:tcBorders>
                    <w:top w:val="double" w:sz="4" w:space="0" w:color="auto"/>
                    <w:left w:val="double" w:sz="4" w:space="0" w:color="auto"/>
                    <w:bottom w:val="double" w:sz="4" w:space="0" w:color="auto"/>
                    <w:right w:val="single" w:sz="6" w:space="0" w:color="auto"/>
                  </w:tcBorders>
                  <w:vAlign w:val="center"/>
                </w:tcPr>
                <w:p w14:paraId="51F3D620" w14:textId="77777777" w:rsidR="00EE2D2F" w:rsidRPr="00EE2D2F" w:rsidRDefault="00EE2D2F" w:rsidP="00EE2D2F">
                  <w:pPr>
                    <w:jc w:val="both"/>
                    <w:rPr>
                      <w:rFonts w:ascii="Verdana" w:eastAsia="Calibri" w:hAnsi="Verdana" w:cs="Arial"/>
                      <w:b/>
                      <w:color w:val="FFFFFF"/>
                      <w:sz w:val="19"/>
                      <w:szCs w:val="19"/>
                    </w:rPr>
                  </w:pPr>
                  <w:r w:rsidRPr="00EE2D2F">
                    <w:rPr>
                      <w:rFonts w:ascii="Verdana" w:eastAsia="Calibri" w:hAnsi="Verdana" w:cs="Arial"/>
                      <w:caps/>
                      <w:sz w:val="19"/>
                      <w:szCs w:val="19"/>
                    </w:rPr>
                    <w:t>2.</w:t>
                  </w:r>
                </w:p>
              </w:tc>
              <w:tc>
                <w:tcPr>
                  <w:tcW w:w="796" w:type="dxa"/>
                  <w:tcBorders>
                    <w:top w:val="double" w:sz="4" w:space="0" w:color="auto"/>
                    <w:left w:val="single" w:sz="6" w:space="0" w:color="auto"/>
                    <w:bottom w:val="double" w:sz="4" w:space="0" w:color="auto"/>
                    <w:right w:val="single" w:sz="4" w:space="0" w:color="000000"/>
                  </w:tcBorders>
                  <w:vAlign w:val="center"/>
                </w:tcPr>
                <w:p w14:paraId="126A77EC" w14:textId="77777777" w:rsidR="00EE2D2F" w:rsidRPr="00EE2D2F" w:rsidRDefault="00EE2D2F" w:rsidP="00EE2D2F">
                  <w:pPr>
                    <w:jc w:val="both"/>
                    <w:rPr>
                      <w:rFonts w:ascii="Verdana" w:eastAsia="Calibri" w:hAnsi="Verdana" w:cs="Arial"/>
                      <w:b/>
                      <w:color w:val="FFFFFF"/>
                      <w:sz w:val="19"/>
                      <w:szCs w:val="19"/>
                    </w:rPr>
                  </w:pPr>
                </w:p>
              </w:tc>
              <w:tc>
                <w:tcPr>
                  <w:tcW w:w="942" w:type="dxa"/>
                  <w:tcBorders>
                    <w:top w:val="double" w:sz="4" w:space="0" w:color="auto"/>
                    <w:left w:val="single" w:sz="6" w:space="0" w:color="auto"/>
                    <w:bottom w:val="double" w:sz="4" w:space="0" w:color="auto"/>
                    <w:right w:val="single" w:sz="4" w:space="0" w:color="000000"/>
                  </w:tcBorders>
                </w:tcPr>
                <w:p w14:paraId="19875A99" w14:textId="77777777" w:rsidR="00EE2D2F" w:rsidRPr="00EE2D2F" w:rsidRDefault="00EE2D2F" w:rsidP="00EE2D2F">
                  <w:pPr>
                    <w:jc w:val="both"/>
                    <w:rPr>
                      <w:rFonts w:ascii="Verdana" w:eastAsia="Calibri" w:hAnsi="Verdana" w:cs="Arial"/>
                      <w:b/>
                      <w:color w:val="FFFFFF"/>
                      <w:sz w:val="19"/>
                      <w:szCs w:val="19"/>
                    </w:rPr>
                  </w:pPr>
                </w:p>
              </w:tc>
              <w:tc>
                <w:tcPr>
                  <w:tcW w:w="736" w:type="dxa"/>
                  <w:tcBorders>
                    <w:top w:val="double" w:sz="4" w:space="0" w:color="auto"/>
                    <w:left w:val="single" w:sz="4" w:space="0" w:color="000000"/>
                    <w:bottom w:val="double" w:sz="4" w:space="0" w:color="auto"/>
                    <w:right w:val="single" w:sz="4" w:space="0" w:color="000000"/>
                  </w:tcBorders>
                </w:tcPr>
                <w:p w14:paraId="78AB6C75" w14:textId="77777777" w:rsidR="00EE2D2F" w:rsidRPr="00EE2D2F" w:rsidRDefault="00EE2D2F" w:rsidP="00EE2D2F">
                  <w:pPr>
                    <w:jc w:val="both"/>
                    <w:rPr>
                      <w:rFonts w:ascii="Verdana" w:eastAsia="Calibri" w:hAnsi="Verdana" w:cs="Arial"/>
                      <w:b/>
                      <w:color w:val="FFFFFF"/>
                      <w:sz w:val="19"/>
                      <w:szCs w:val="19"/>
                    </w:rPr>
                  </w:pPr>
                </w:p>
              </w:tc>
              <w:tc>
                <w:tcPr>
                  <w:tcW w:w="934" w:type="dxa"/>
                  <w:tcBorders>
                    <w:top w:val="double" w:sz="4" w:space="0" w:color="auto"/>
                    <w:left w:val="single" w:sz="4" w:space="0" w:color="000000"/>
                    <w:bottom w:val="double" w:sz="4" w:space="0" w:color="auto"/>
                    <w:right w:val="double" w:sz="4" w:space="0" w:color="auto"/>
                  </w:tcBorders>
                </w:tcPr>
                <w:p w14:paraId="636CAC47" w14:textId="77777777" w:rsidR="00EE2D2F" w:rsidRPr="00EE2D2F" w:rsidRDefault="00EE2D2F" w:rsidP="00EE2D2F">
                  <w:pPr>
                    <w:jc w:val="both"/>
                    <w:rPr>
                      <w:rFonts w:ascii="Verdana" w:eastAsia="Calibri" w:hAnsi="Verdana" w:cs="Arial"/>
                      <w:b/>
                      <w:color w:val="FFFFFF"/>
                      <w:sz w:val="19"/>
                      <w:szCs w:val="19"/>
                    </w:rPr>
                  </w:pPr>
                </w:p>
              </w:tc>
              <w:tc>
                <w:tcPr>
                  <w:tcW w:w="1081" w:type="dxa"/>
                  <w:tcBorders>
                    <w:top w:val="double" w:sz="4" w:space="0" w:color="auto"/>
                    <w:left w:val="single" w:sz="4" w:space="0" w:color="000000"/>
                    <w:bottom w:val="double" w:sz="4" w:space="0" w:color="auto"/>
                    <w:right w:val="double" w:sz="4" w:space="0" w:color="auto"/>
                  </w:tcBorders>
                </w:tcPr>
                <w:p w14:paraId="5B1A0FA9" w14:textId="77777777" w:rsidR="00EE2D2F" w:rsidRPr="00EE2D2F" w:rsidRDefault="00EE2D2F" w:rsidP="00EE2D2F">
                  <w:pPr>
                    <w:jc w:val="both"/>
                    <w:rPr>
                      <w:rFonts w:ascii="Verdana" w:eastAsia="Calibri" w:hAnsi="Verdana" w:cs="Arial"/>
                      <w:b/>
                      <w:color w:val="FFFFFF"/>
                      <w:sz w:val="19"/>
                      <w:szCs w:val="19"/>
                    </w:rPr>
                  </w:pPr>
                </w:p>
              </w:tc>
              <w:tc>
                <w:tcPr>
                  <w:tcW w:w="839" w:type="dxa"/>
                  <w:tcBorders>
                    <w:top w:val="double" w:sz="4" w:space="0" w:color="auto"/>
                    <w:left w:val="single" w:sz="4" w:space="0" w:color="000000"/>
                    <w:bottom w:val="double" w:sz="4" w:space="0" w:color="auto"/>
                    <w:right w:val="double" w:sz="4" w:space="0" w:color="auto"/>
                  </w:tcBorders>
                </w:tcPr>
                <w:p w14:paraId="11D7A781" w14:textId="77777777" w:rsidR="00EE2D2F" w:rsidRPr="00EE2D2F" w:rsidRDefault="00EE2D2F" w:rsidP="00EE2D2F">
                  <w:pPr>
                    <w:jc w:val="both"/>
                    <w:rPr>
                      <w:rFonts w:ascii="Verdana" w:eastAsia="Calibri" w:hAnsi="Verdana" w:cs="Arial"/>
                      <w:b/>
                      <w:color w:val="FFFFFF"/>
                      <w:sz w:val="19"/>
                      <w:szCs w:val="19"/>
                    </w:rPr>
                  </w:pPr>
                </w:p>
              </w:tc>
            </w:tr>
            <w:tr w:rsidR="00EE2D2F" w:rsidRPr="00EE2D2F" w14:paraId="6D67AC16" w14:textId="77777777" w:rsidTr="00C80FF3">
              <w:trPr>
                <w:trHeight w:val="193"/>
                <w:tblHeader/>
                <w:jc w:val="center"/>
              </w:trPr>
              <w:tc>
                <w:tcPr>
                  <w:tcW w:w="365" w:type="dxa"/>
                  <w:tcBorders>
                    <w:top w:val="double" w:sz="4" w:space="0" w:color="auto"/>
                    <w:left w:val="double" w:sz="4" w:space="0" w:color="auto"/>
                    <w:bottom w:val="double" w:sz="4" w:space="0" w:color="auto"/>
                    <w:right w:val="single" w:sz="6" w:space="0" w:color="auto"/>
                  </w:tcBorders>
                  <w:vAlign w:val="center"/>
                </w:tcPr>
                <w:p w14:paraId="0ADFC762" w14:textId="77777777" w:rsidR="00EE2D2F" w:rsidRPr="00EE2D2F" w:rsidRDefault="00EE2D2F" w:rsidP="00EE2D2F">
                  <w:pPr>
                    <w:jc w:val="both"/>
                    <w:rPr>
                      <w:rFonts w:ascii="Verdana" w:eastAsia="Calibri" w:hAnsi="Verdana" w:cs="Arial"/>
                      <w:caps/>
                      <w:sz w:val="19"/>
                      <w:szCs w:val="19"/>
                    </w:rPr>
                  </w:pPr>
                  <w:r w:rsidRPr="00EE2D2F">
                    <w:rPr>
                      <w:rFonts w:ascii="Verdana" w:eastAsia="Calibri" w:hAnsi="Verdana" w:cs="Arial"/>
                      <w:caps/>
                      <w:sz w:val="19"/>
                      <w:szCs w:val="19"/>
                    </w:rPr>
                    <w:t>3</w:t>
                  </w:r>
                </w:p>
              </w:tc>
              <w:tc>
                <w:tcPr>
                  <w:tcW w:w="796" w:type="dxa"/>
                  <w:tcBorders>
                    <w:top w:val="double" w:sz="4" w:space="0" w:color="auto"/>
                    <w:left w:val="single" w:sz="6" w:space="0" w:color="auto"/>
                    <w:bottom w:val="double" w:sz="4" w:space="0" w:color="auto"/>
                    <w:right w:val="single" w:sz="4" w:space="0" w:color="000000"/>
                  </w:tcBorders>
                  <w:vAlign w:val="center"/>
                </w:tcPr>
                <w:p w14:paraId="45F0A071" w14:textId="77777777" w:rsidR="00EE2D2F" w:rsidRPr="00EE2D2F" w:rsidRDefault="00EE2D2F" w:rsidP="00EE2D2F">
                  <w:pPr>
                    <w:jc w:val="both"/>
                    <w:rPr>
                      <w:rFonts w:ascii="Verdana" w:eastAsia="Calibri" w:hAnsi="Verdana" w:cs="Arial"/>
                      <w:b/>
                      <w:color w:val="FFFFFF"/>
                      <w:sz w:val="19"/>
                      <w:szCs w:val="19"/>
                    </w:rPr>
                  </w:pPr>
                </w:p>
              </w:tc>
              <w:tc>
                <w:tcPr>
                  <w:tcW w:w="942" w:type="dxa"/>
                  <w:tcBorders>
                    <w:top w:val="double" w:sz="4" w:space="0" w:color="auto"/>
                    <w:left w:val="single" w:sz="6" w:space="0" w:color="auto"/>
                    <w:bottom w:val="double" w:sz="4" w:space="0" w:color="auto"/>
                    <w:right w:val="single" w:sz="4" w:space="0" w:color="000000"/>
                  </w:tcBorders>
                </w:tcPr>
                <w:p w14:paraId="3B47DE7A" w14:textId="77777777" w:rsidR="00EE2D2F" w:rsidRPr="00EE2D2F" w:rsidRDefault="00EE2D2F" w:rsidP="00EE2D2F">
                  <w:pPr>
                    <w:jc w:val="both"/>
                    <w:rPr>
                      <w:rFonts w:ascii="Verdana" w:eastAsia="Calibri" w:hAnsi="Verdana" w:cs="Arial"/>
                      <w:b/>
                      <w:color w:val="FFFFFF"/>
                      <w:sz w:val="19"/>
                      <w:szCs w:val="19"/>
                    </w:rPr>
                  </w:pPr>
                </w:p>
              </w:tc>
              <w:tc>
                <w:tcPr>
                  <w:tcW w:w="736" w:type="dxa"/>
                  <w:tcBorders>
                    <w:top w:val="double" w:sz="4" w:space="0" w:color="auto"/>
                    <w:left w:val="single" w:sz="4" w:space="0" w:color="000000"/>
                    <w:bottom w:val="double" w:sz="4" w:space="0" w:color="auto"/>
                    <w:right w:val="single" w:sz="4" w:space="0" w:color="000000"/>
                  </w:tcBorders>
                </w:tcPr>
                <w:p w14:paraId="4F2EB67A" w14:textId="77777777" w:rsidR="00EE2D2F" w:rsidRPr="00EE2D2F" w:rsidRDefault="00EE2D2F" w:rsidP="00EE2D2F">
                  <w:pPr>
                    <w:jc w:val="both"/>
                    <w:rPr>
                      <w:rFonts w:ascii="Verdana" w:eastAsia="Calibri" w:hAnsi="Verdana" w:cs="Arial"/>
                      <w:b/>
                      <w:color w:val="FFFFFF"/>
                      <w:sz w:val="19"/>
                      <w:szCs w:val="19"/>
                    </w:rPr>
                  </w:pPr>
                </w:p>
              </w:tc>
              <w:tc>
                <w:tcPr>
                  <w:tcW w:w="934" w:type="dxa"/>
                  <w:tcBorders>
                    <w:top w:val="double" w:sz="4" w:space="0" w:color="auto"/>
                    <w:left w:val="single" w:sz="4" w:space="0" w:color="000000"/>
                    <w:bottom w:val="double" w:sz="4" w:space="0" w:color="auto"/>
                    <w:right w:val="double" w:sz="4" w:space="0" w:color="auto"/>
                  </w:tcBorders>
                </w:tcPr>
                <w:p w14:paraId="4E1B3D16" w14:textId="77777777" w:rsidR="00EE2D2F" w:rsidRPr="00EE2D2F" w:rsidRDefault="00EE2D2F" w:rsidP="00EE2D2F">
                  <w:pPr>
                    <w:jc w:val="both"/>
                    <w:rPr>
                      <w:rFonts w:ascii="Verdana" w:eastAsia="Calibri" w:hAnsi="Verdana" w:cs="Arial"/>
                      <w:b/>
                      <w:color w:val="FFFFFF"/>
                      <w:sz w:val="19"/>
                      <w:szCs w:val="19"/>
                    </w:rPr>
                  </w:pPr>
                </w:p>
              </w:tc>
              <w:tc>
                <w:tcPr>
                  <w:tcW w:w="1081" w:type="dxa"/>
                  <w:tcBorders>
                    <w:top w:val="double" w:sz="4" w:space="0" w:color="auto"/>
                    <w:left w:val="single" w:sz="4" w:space="0" w:color="000000"/>
                    <w:bottom w:val="double" w:sz="4" w:space="0" w:color="auto"/>
                    <w:right w:val="double" w:sz="4" w:space="0" w:color="auto"/>
                  </w:tcBorders>
                </w:tcPr>
                <w:p w14:paraId="06035BDF" w14:textId="77777777" w:rsidR="00EE2D2F" w:rsidRPr="00EE2D2F" w:rsidRDefault="00EE2D2F" w:rsidP="00EE2D2F">
                  <w:pPr>
                    <w:jc w:val="both"/>
                    <w:rPr>
                      <w:rFonts w:ascii="Verdana" w:eastAsia="Calibri" w:hAnsi="Verdana" w:cs="Arial"/>
                      <w:b/>
                      <w:color w:val="FFFFFF"/>
                      <w:sz w:val="19"/>
                      <w:szCs w:val="19"/>
                    </w:rPr>
                  </w:pPr>
                </w:p>
              </w:tc>
              <w:tc>
                <w:tcPr>
                  <w:tcW w:w="839" w:type="dxa"/>
                  <w:tcBorders>
                    <w:top w:val="double" w:sz="4" w:space="0" w:color="auto"/>
                    <w:left w:val="single" w:sz="4" w:space="0" w:color="000000"/>
                    <w:bottom w:val="double" w:sz="4" w:space="0" w:color="auto"/>
                    <w:right w:val="double" w:sz="4" w:space="0" w:color="auto"/>
                  </w:tcBorders>
                </w:tcPr>
                <w:p w14:paraId="49E83C8C" w14:textId="77777777" w:rsidR="00EE2D2F" w:rsidRPr="00EE2D2F" w:rsidRDefault="00EE2D2F" w:rsidP="00EE2D2F">
                  <w:pPr>
                    <w:jc w:val="both"/>
                    <w:rPr>
                      <w:rFonts w:ascii="Verdana" w:eastAsia="Calibri" w:hAnsi="Verdana" w:cs="Arial"/>
                      <w:b/>
                      <w:color w:val="FFFFFF"/>
                      <w:sz w:val="19"/>
                      <w:szCs w:val="19"/>
                    </w:rPr>
                  </w:pPr>
                </w:p>
              </w:tc>
            </w:tr>
            <w:tr w:rsidR="00EE2D2F" w:rsidRPr="00EE2D2F" w14:paraId="2E314E45" w14:textId="77777777" w:rsidTr="00C80FF3">
              <w:trPr>
                <w:trHeight w:val="36"/>
                <w:tblHeader/>
                <w:jc w:val="center"/>
              </w:trPr>
              <w:tc>
                <w:tcPr>
                  <w:tcW w:w="365" w:type="dxa"/>
                  <w:tcBorders>
                    <w:top w:val="double" w:sz="4" w:space="0" w:color="auto"/>
                    <w:left w:val="double" w:sz="4" w:space="0" w:color="auto"/>
                    <w:right w:val="single" w:sz="6" w:space="0" w:color="auto"/>
                  </w:tcBorders>
                  <w:vAlign w:val="center"/>
                </w:tcPr>
                <w:p w14:paraId="3D41B10B" w14:textId="77777777" w:rsidR="00EE2D2F" w:rsidRPr="00EE2D2F" w:rsidRDefault="00EE2D2F" w:rsidP="00EE2D2F">
                  <w:pPr>
                    <w:jc w:val="both"/>
                    <w:rPr>
                      <w:rFonts w:ascii="Verdana" w:eastAsia="Calibri" w:hAnsi="Verdana" w:cs="Arial"/>
                      <w:caps/>
                      <w:sz w:val="19"/>
                      <w:szCs w:val="19"/>
                    </w:rPr>
                  </w:pPr>
                  <w:r w:rsidRPr="00EE2D2F">
                    <w:rPr>
                      <w:rFonts w:ascii="Verdana" w:eastAsia="Calibri" w:hAnsi="Verdana" w:cs="Arial"/>
                      <w:caps/>
                      <w:sz w:val="19"/>
                      <w:szCs w:val="19"/>
                    </w:rPr>
                    <w:t>4</w:t>
                  </w:r>
                </w:p>
              </w:tc>
              <w:tc>
                <w:tcPr>
                  <w:tcW w:w="796" w:type="dxa"/>
                  <w:tcBorders>
                    <w:top w:val="double" w:sz="4" w:space="0" w:color="auto"/>
                    <w:left w:val="single" w:sz="6" w:space="0" w:color="auto"/>
                    <w:right w:val="single" w:sz="4" w:space="0" w:color="000000"/>
                  </w:tcBorders>
                  <w:vAlign w:val="center"/>
                </w:tcPr>
                <w:p w14:paraId="1C31BFCD" w14:textId="77777777" w:rsidR="00EE2D2F" w:rsidRPr="00EE2D2F" w:rsidRDefault="00EE2D2F" w:rsidP="00EE2D2F">
                  <w:pPr>
                    <w:jc w:val="both"/>
                    <w:rPr>
                      <w:rFonts w:ascii="Verdana" w:eastAsia="Calibri" w:hAnsi="Verdana" w:cs="Arial"/>
                      <w:b/>
                      <w:i/>
                      <w:color w:val="FFFFFF"/>
                      <w:sz w:val="19"/>
                      <w:szCs w:val="19"/>
                    </w:rPr>
                  </w:pPr>
                </w:p>
              </w:tc>
              <w:tc>
                <w:tcPr>
                  <w:tcW w:w="942" w:type="dxa"/>
                  <w:tcBorders>
                    <w:top w:val="double" w:sz="4" w:space="0" w:color="auto"/>
                    <w:left w:val="single" w:sz="6" w:space="0" w:color="auto"/>
                    <w:right w:val="single" w:sz="4" w:space="0" w:color="000000"/>
                  </w:tcBorders>
                </w:tcPr>
                <w:p w14:paraId="3B97D5EB" w14:textId="77777777" w:rsidR="00EE2D2F" w:rsidRPr="00EE2D2F" w:rsidRDefault="00EE2D2F" w:rsidP="00EE2D2F">
                  <w:pPr>
                    <w:jc w:val="both"/>
                    <w:rPr>
                      <w:rFonts w:ascii="Verdana" w:eastAsia="Calibri" w:hAnsi="Verdana" w:cs="Arial"/>
                      <w:b/>
                      <w:i/>
                      <w:color w:val="FFFFFF"/>
                      <w:sz w:val="19"/>
                      <w:szCs w:val="19"/>
                    </w:rPr>
                  </w:pPr>
                </w:p>
              </w:tc>
              <w:tc>
                <w:tcPr>
                  <w:tcW w:w="736" w:type="dxa"/>
                  <w:tcBorders>
                    <w:top w:val="double" w:sz="4" w:space="0" w:color="auto"/>
                    <w:left w:val="single" w:sz="4" w:space="0" w:color="000000"/>
                    <w:right w:val="single" w:sz="4" w:space="0" w:color="000000"/>
                  </w:tcBorders>
                </w:tcPr>
                <w:p w14:paraId="4AF665EC" w14:textId="77777777" w:rsidR="00EE2D2F" w:rsidRPr="00EE2D2F" w:rsidRDefault="00EE2D2F" w:rsidP="00EE2D2F">
                  <w:pPr>
                    <w:jc w:val="both"/>
                    <w:rPr>
                      <w:rFonts w:ascii="Verdana" w:eastAsia="Calibri" w:hAnsi="Verdana" w:cs="Arial"/>
                      <w:b/>
                      <w:i/>
                      <w:color w:val="FFFFFF"/>
                      <w:sz w:val="19"/>
                      <w:szCs w:val="19"/>
                    </w:rPr>
                  </w:pPr>
                </w:p>
              </w:tc>
              <w:tc>
                <w:tcPr>
                  <w:tcW w:w="934" w:type="dxa"/>
                  <w:tcBorders>
                    <w:top w:val="double" w:sz="4" w:space="0" w:color="auto"/>
                    <w:left w:val="single" w:sz="4" w:space="0" w:color="000000"/>
                    <w:right w:val="double" w:sz="4" w:space="0" w:color="auto"/>
                  </w:tcBorders>
                </w:tcPr>
                <w:p w14:paraId="69B0E87F" w14:textId="77777777" w:rsidR="00EE2D2F" w:rsidRPr="00EE2D2F" w:rsidRDefault="00EE2D2F" w:rsidP="00EE2D2F">
                  <w:pPr>
                    <w:jc w:val="both"/>
                    <w:rPr>
                      <w:rFonts w:ascii="Verdana" w:eastAsia="Calibri" w:hAnsi="Verdana" w:cs="Arial"/>
                      <w:b/>
                      <w:i/>
                      <w:color w:val="FFFFFF"/>
                      <w:sz w:val="19"/>
                      <w:szCs w:val="19"/>
                    </w:rPr>
                  </w:pPr>
                </w:p>
              </w:tc>
              <w:tc>
                <w:tcPr>
                  <w:tcW w:w="1081" w:type="dxa"/>
                  <w:tcBorders>
                    <w:top w:val="double" w:sz="4" w:space="0" w:color="auto"/>
                    <w:left w:val="single" w:sz="4" w:space="0" w:color="000000"/>
                    <w:right w:val="double" w:sz="4" w:space="0" w:color="auto"/>
                  </w:tcBorders>
                </w:tcPr>
                <w:p w14:paraId="42D44134" w14:textId="77777777" w:rsidR="00EE2D2F" w:rsidRPr="00EE2D2F" w:rsidRDefault="00EE2D2F" w:rsidP="00EE2D2F">
                  <w:pPr>
                    <w:jc w:val="both"/>
                    <w:rPr>
                      <w:rFonts w:ascii="Verdana" w:eastAsia="Calibri" w:hAnsi="Verdana" w:cs="Arial"/>
                      <w:b/>
                      <w:i/>
                      <w:color w:val="FFFFFF"/>
                      <w:sz w:val="19"/>
                      <w:szCs w:val="19"/>
                    </w:rPr>
                  </w:pPr>
                </w:p>
              </w:tc>
              <w:tc>
                <w:tcPr>
                  <w:tcW w:w="839" w:type="dxa"/>
                  <w:tcBorders>
                    <w:top w:val="double" w:sz="4" w:space="0" w:color="auto"/>
                    <w:left w:val="single" w:sz="4" w:space="0" w:color="000000"/>
                    <w:right w:val="double" w:sz="4" w:space="0" w:color="auto"/>
                  </w:tcBorders>
                </w:tcPr>
                <w:p w14:paraId="63D64566" w14:textId="77777777" w:rsidR="00EE2D2F" w:rsidRPr="00EE2D2F" w:rsidRDefault="00EE2D2F" w:rsidP="00EE2D2F">
                  <w:pPr>
                    <w:jc w:val="both"/>
                    <w:rPr>
                      <w:rFonts w:ascii="Verdana" w:eastAsia="Calibri" w:hAnsi="Verdana" w:cs="Arial"/>
                      <w:b/>
                      <w:i/>
                      <w:color w:val="FFFFFF"/>
                      <w:sz w:val="19"/>
                      <w:szCs w:val="19"/>
                    </w:rPr>
                  </w:pPr>
                </w:p>
              </w:tc>
            </w:tr>
          </w:tbl>
          <w:p w14:paraId="34947C57" w14:textId="77777777" w:rsidR="00EE2D2F" w:rsidRPr="00EE2D2F" w:rsidRDefault="00EE2D2F" w:rsidP="00EE2D2F">
            <w:pPr>
              <w:widowControl w:val="0"/>
              <w:autoSpaceDE w:val="0"/>
              <w:autoSpaceDN w:val="0"/>
              <w:spacing w:line="276" w:lineRule="auto"/>
              <w:ind w:firstLine="709"/>
              <w:jc w:val="both"/>
              <w:rPr>
                <w:rFonts w:ascii="Verdana" w:eastAsia="Arial" w:hAnsi="Verdana" w:cs="Arial"/>
                <w:bCs/>
                <w:lang w:eastAsia="es-ES" w:bidi="es-ES"/>
              </w:rPr>
            </w:pPr>
            <w:r w:rsidRPr="00EE2D2F">
              <w:rPr>
                <w:rFonts w:ascii="Verdana" w:eastAsia="Arial" w:hAnsi="Verdana" w:cs="Arial"/>
                <w:bCs/>
                <w:lang w:eastAsia="es-ES" w:bidi="es-ES"/>
              </w:rPr>
              <w:t xml:space="preserve"> </w:t>
            </w:r>
          </w:p>
          <w:p w14:paraId="3F72F630" w14:textId="77777777" w:rsidR="00EE2D2F" w:rsidRPr="00EE2D2F" w:rsidRDefault="00EE2D2F" w:rsidP="00EE2D2F">
            <w:pPr>
              <w:spacing w:line="276" w:lineRule="auto"/>
              <w:ind w:firstLine="709"/>
              <w:jc w:val="both"/>
              <w:rPr>
                <w:rFonts w:ascii="Verdana" w:eastAsia="Aptos" w:hAnsi="Verdana" w:cs="Arial"/>
              </w:rPr>
            </w:pPr>
            <w:r w:rsidRPr="00EE2D2F">
              <w:rPr>
                <w:rFonts w:ascii="Verdana" w:eastAsia="Arial" w:hAnsi="Verdana" w:cs="Arial"/>
                <w:bCs/>
                <w:lang w:eastAsia="es-ES" w:bidi="es-ES"/>
              </w:rPr>
              <w:t xml:space="preserve">Respecto a cada “Bien nacional relevante” identificado, </w:t>
            </w:r>
            <w:r w:rsidRPr="00EE2D2F">
              <w:rPr>
                <w:rFonts w:ascii="Verdana" w:eastAsia="Aptos" w:hAnsi="Verdana" w:cs="Arial"/>
              </w:rPr>
              <w:t>para diligenciar las casillas “Fecha de inscripción” y “fecha de vigencia” en la tabla anterior, debe tenerse en cuenta que cada una corresponde a los datos contenidos en las columnas tituladas “radicado” y “fecha de vencimiento”, respectivamente, del Registro de Productores y Bienes Nacionales del Ministerio de Comercio, Industria y Turismo. Específicamente, la “fecha de inscripción” corresponde a los 8 primeros dígitos de la columna de “radicado” y, por su parte, la “fecha de vigencia” corresponde a la información de la columna “fecha de vencimiento”, según el resultado que arroja la búsqueda en la página web de la ventanilla única de comercio exterior. Por otra parte, con la consulta en el mencionado registro, también es posible acceder al “No. de partida arancelaria”. Finalmente, el “porcentaje (%) de participación” y el “puntaje individual de cada bien” se determinan con la metodología prevista en la Matriz 4 y las fórmulas previstas en el pliego de condiciones.</w:t>
            </w:r>
          </w:p>
          <w:p w14:paraId="385B6E73" w14:textId="77777777" w:rsidR="00EE2D2F" w:rsidRPr="00EE2D2F" w:rsidRDefault="00EE2D2F" w:rsidP="00EE2D2F">
            <w:pPr>
              <w:spacing w:line="276" w:lineRule="auto"/>
              <w:ind w:firstLine="709"/>
              <w:jc w:val="both"/>
              <w:rPr>
                <w:rFonts w:ascii="Verdana" w:eastAsia="Aptos" w:hAnsi="Verdana" w:cs="Arial"/>
              </w:rPr>
            </w:pPr>
          </w:p>
          <w:p w14:paraId="26A8F18B" w14:textId="77777777" w:rsidR="00EE2D2F" w:rsidRPr="00EE2D2F" w:rsidRDefault="00EE2D2F" w:rsidP="00EE2D2F">
            <w:pPr>
              <w:widowControl w:val="0"/>
              <w:tabs>
                <w:tab w:val="left" w:pos="2143"/>
              </w:tabs>
              <w:autoSpaceDE w:val="0"/>
              <w:autoSpaceDN w:val="0"/>
              <w:spacing w:line="276" w:lineRule="auto"/>
              <w:jc w:val="both"/>
              <w:rPr>
                <w:rFonts w:ascii="Verdana" w:eastAsia="Arial" w:hAnsi="Verdana" w:cs="Arial"/>
                <w:bCs/>
                <w:lang w:eastAsia="es-ES" w:bidi="es-ES"/>
              </w:rPr>
            </w:pPr>
            <w:r w:rsidRPr="00EE2D2F">
              <w:rPr>
                <w:rFonts w:ascii="Verdana" w:eastAsia="Aptos" w:hAnsi="Verdana" w:cs="Arial"/>
              </w:rPr>
              <w:t>v. L</w:t>
            </w:r>
            <w:r w:rsidRPr="00EE2D2F">
              <w:rPr>
                <w:rFonts w:ascii="Verdana" w:eastAsia="Arial" w:hAnsi="Verdana" w:cs="Arial"/>
                <w:bCs/>
                <w:lang w:eastAsia="es-ES" w:bidi="es-ES"/>
              </w:rPr>
              <w:t xml:space="preserve">a </w:t>
            </w:r>
            <w:r w:rsidRPr="00EE2D2F">
              <w:rPr>
                <w:rFonts w:ascii="Verdana" w:eastAsia="Arial" w:hAnsi="Verdana" w:cs="Arial"/>
                <w:b/>
                <w:i/>
                <w:iCs/>
                <w:lang w:eastAsia="es-ES" w:bidi="es-ES"/>
              </w:rPr>
              <w:t>opción 2</w:t>
            </w:r>
            <w:r w:rsidRPr="00EE2D2F">
              <w:rPr>
                <w:rFonts w:ascii="Verdana" w:eastAsia="Arial" w:hAnsi="Verdana" w:cs="Arial"/>
                <w:bCs/>
                <w:lang w:eastAsia="es-ES" w:bidi="es-ES"/>
              </w:rPr>
              <w:t xml:space="preserve"> del numeral 4.3.1 “Promoción de servicios nacionales o con trato nacional” del documento base de los documentos tipo de selección abreviada de menor cuantía de infraestructura social – versión 1, deberá diligenciarse por parte de la Entidad que adelanta el proceso, si luego de aplicar la metodología para identificar los bienes nacionales relevantes, prevista en la “Matriz 4 - Bienes nacionales relevantes para la obra pública del sector social” –desarrollada en el numeral </w:t>
            </w:r>
            <w:proofErr w:type="spellStart"/>
            <w:r w:rsidRPr="00EE2D2F">
              <w:rPr>
                <w:rFonts w:ascii="Verdana" w:eastAsia="Arial" w:hAnsi="Verdana" w:cs="Arial"/>
                <w:bCs/>
                <w:lang w:eastAsia="es-ES" w:bidi="es-ES"/>
              </w:rPr>
              <w:t>iv</w:t>
            </w:r>
            <w:proofErr w:type="spellEnd"/>
            <w:r w:rsidRPr="00EE2D2F">
              <w:rPr>
                <w:rFonts w:ascii="Verdana" w:eastAsia="Arial" w:hAnsi="Verdana" w:cs="Arial"/>
                <w:bCs/>
                <w:lang w:eastAsia="es-ES" w:bidi="es-ES"/>
              </w:rPr>
              <w:t xml:space="preserve"> de este concepto–, demuestra que los bienes nacionales relevantes no están registrados en el Registro de Productos de Bienes Nacionales Relevantes. Así, la entidad, otorgará el puntaje a los proponentes que se comprometan a vincular al desarrollo del objeto </w:t>
            </w:r>
            <w:r w:rsidRPr="00EE2D2F">
              <w:rPr>
                <w:rFonts w:ascii="Verdana" w:eastAsia="Arial" w:hAnsi="Verdana" w:cs="Arial"/>
                <w:bCs/>
                <w:lang w:eastAsia="es-ES" w:bidi="es-ES"/>
              </w:rPr>
              <w:lastRenderedPageBreak/>
              <w:t xml:space="preserve">contractual un porcentaje de empleados o contratistas por prestación de servicios colombianos de al menos el cuarenta (40%) del personal requerido para el cumplimento del contrato, y deberá incluir los párrafos previstos para esa opción. </w:t>
            </w:r>
          </w:p>
          <w:p w14:paraId="3A472B14" w14:textId="77777777" w:rsidR="00EE2D2F" w:rsidRPr="00EE2D2F" w:rsidRDefault="00EE2D2F" w:rsidP="00EE2D2F">
            <w:pPr>
              <w:spacing w:line="276" w:lineRule="auto"/>
              <w:jc w:val="both"/>
              <w:rPr>
                <w:rFonts w:ascii="Verdana" w:eastAsia="Aptos" w:hAnsi="Verdana" w:cs="Arial"/>
                <w:kern w:val="2"/>
                <w14:ligatures w14:val="standardContextual"/>
              </w:rPr>
            </w:pPr>
          </w:p>
          <w:p w14:paraId="574C5FFA" w14:textId="77777777" w:rsidR="00EE2D2F" w:rsidRPr="00EE2D2F" w:rsidRDefault="00EE2D2F" w:rsidP="00EE2D2F">
            <w:pPr>
              <w:spacing w:after="120" w:line="276" w:lineRule="auto"/>
              <w:jc w:val="both"/>
              <w:rPr>
                <w:rFonts w:ascii="Verdana" w:eastAsia="Times New Roman" w:hAnsi="Verdana" w:cs="Times New Roman"/>
                <w:lang w:eastAsia="es-MX"/>
              </w:rPr>
            </w:pPr>
            <w:r w:rsidRPr="00EE2D2F">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80ADF20" w14:textId="77777777" w:rsidR="00EE2D2F" w:rsidRPr="00EE2D2F" w:rsidRDefault="00EE2D2F" w:rsidP="00EE2D2F">
            <w:pPr>
              <w:spacing w:line="276" w:lineRule="auto"/>
              <w:ind w:firstLine="708"/>
              <w:jc w:val="both"/>
              <w:rPr>
                <w:rFonts w:ascii="Verdana" w:eastAsia="Calibri" w:hAnsi="Verdana" w:cs="Arial"/>
                <w:bCs/>
                <w:color w:val="000000"/>
                <w:lang w:eastAsia="es-MX"/>
              </w:rPr>
            </w:pPr>
            <w:r w:rsidRPr="00EE2D2F">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64C4CAD6" w14:textId="77777777" w:rsidR="00EE2D2F" w:rsidRPr="00EE2D2F" w:rsidRDefault="00EE2D2F" w:rsidP="00EE2D2F">
      <w:pPr>
        <w:tabs>
          <w:tab w:val="left" w:pos="142"/>
          <w:tab w:val="left" w:pos="284"/>
        </w:tabs>
        <w:spacing w:after="0" w:line="276" w:lineRule="auto"/>
        <w:jc w:val="both"/>
        <w:rPr>
          <w:rFonts w:ascii="Verdana" w:eastAsia="Century Gothic" w:hAnsi="Verdana" w:cs="Century Gothic"/>
          <w:b/>
          <w:bCs/>
          <w:lang w:val="es-ES" w:eastAsia="es-MX"/>
        </w:rPr>
      </w:pPr>
    </w:p>
    <w:p w14:paraId="6CA654EC" w14:textId="77777777" w:rsidR="00EE2D2F" w:rsidRPr="00EE2D2F" w:rsidRDefault="00EE2D2F" w:rsidP="00EE2D2F">
      <w:pPr>
        <w:tabs>
          <w:tab w:val="left" w:pos="142"/>
          <w:tab w:val="left" w:pos="284"/>
        </w:tabs>
        <w:spacing w:after="0" w:line="276" w:lineRule="auto"/>
        <w:jc w:val="both"/>
        <w:rPr>
          <w:rFonts w:ascii="Verdana" w:eastAsia="Century Gothic" w:hAnsi="Verdana" w:cs="Century Gothic"/>
          <w:b/>
          <w:bCs/>
          <w:lang w:val="es-ES" w:eastAsia="es-MX"/>
        </w:rPr>
      </w:pPr>
      <w:r w:rsidRPr="00EE2D2F">
        <w:rPr>
          <w:rFonts w:ascii="Verdana" w:eastAsia="Century Gothic" w:hAnsi="Verdana" w:cs="Century Gothic"/>
          <w:b/>
          <w:bCs/>
          <w:lang w:val="es-ES" w:eastAsia="es-MX"/>
        </w:rPr>
        <w:t>3. Razones de la respuesta:</w:t>
      </w:r>
    </w:p>
    <w:p w14:paraId="4414D220" w14:textId="77777777" w:rsidR="00EE2D2F" w:rsidRPr="00EE2D2F" w:rsidRDefault="00EE2D2F" w:rsidP="00EE2D2F">
      <w:pPr>
        <w:spacing w:after="0" w:line="276" w:lineRule="auto"/>
        <w:jc w:val="both"/>
        <w:rPr>
          <w:rFonts w:ascii="Verdana" w:eastAsia="Calibri" w:hAnsi="Verdana" w:cs="Arial"/>
          <w:lang w:val="es-ES" w:eastAsia="es-MX"/>
        </w:rPr>
      </w:pPr>
    </w:p>
    <w:p w14:paraId="6DCE0125" w14:textId="77777777" w:rsidR="00EE2D2F" w:rsidRPr="00EE2D2F" w:rsidRDefault="00EE2D2F" w:rsidP="00EE2D2F">
      <w:pPr>
        <w:spacing w:after="0" w:line="276" w:lineRule="auto"/>
        <w:jc w:val="both"/>
        <w:rPr>
          <w:rFonts w:ascii="Verdana" w:eastAsia="Calibri" w:hAnsi="Verdana" w:cs="Arial"/>
          <w:lang w:val="es-ES" w:eastAsia="es-MX"/>
        </w:rPr>
      </w:pPr>
      <w:r w:rsidRPr="00EE2D2F">
        <w:rPr>
          <w:rFonts w:ascii="Verdana" w:eastAsia="Calibri" w:hAnsi="Verdana" w:cs="Arial"/>
          <w:lang w:val="es-ES" w:eastAsia="es-MX"/>
        </w:rPr>
        <w:t xml:space="preserve">Lo anterior se sustenta en las siguientes consideraciones: </w:t>
      </w:r>
    </w:p>
    <w:p w14:paraId="130EDB62" w14:textId="77777777" w:rsidR="00EE2D2F" w:rsidRPr="00EE2D2F" w:rsidRDefault="00EE2D2F" w:rsidP="00EE2D2F">
      <w:pPr>
        <w:spacing w:after="0" w:line="276" w:lineRule="auto"/>
        <w:jc w:val="both"/>
        <w:rPr>
          <w:rFonts w:ascii="Verdana" w:eastAsia="Calibri" w:hAnsi="Verdana" w:cs="Arial"/>
          <w:lang w:val="es-ES" w:eastAsia="es-MX"/>
        </w:rPr>
      </w:pPr>
    </w:p>
    <w:p w14:paraId="3C030A81" w14:textId="77777777" w:rsidR="00EE2D2F" w:rsidRPr="00EE2D2F" w:rsidRDefault="00EE2D2F" w:rsidP="00EE2D2F">
      <w:pPr>
        <w:spacing w:after="120" w:line="276" w:lineRule="auto"/>
        <w:jc w:val="both"/>
        <w:rPr>
          <w:rFonts w:ascii="Verdana" w:eastAsia="Aptos" w:hAnsi="Verdana" w:cs="Arial"/>
          <w:lang w:eastAsia="es-MX"/>
        </w:rPr>
      </w:pPr>
      <w:r w:rsidRPr="00EE2D2F">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5BB6D0C7" w14:textId="77777777" w:rsidR="00EE2D2F" w:rsidRPr="00EE2D2F" w:rsidRDefault="00EE2D2F" w:rsidP="00EE2D2F">
      <w:pPr>
        <w:spacing w:after="120" w:line="276" w:lineRule="auto"/>
        <w:ind w:firstLine="708"/>
        <w:jc w:val="both"/>
        <w:rPr>
          <w:rFonts w:ascii="Verdana" w:eastAsia="Aptos" w:hAnsi="Verdana" w:cs="Arial"/>
          <w:lang w:eastAsia="es-MX"/>
        </w:rPr>
      </w:pPr>
      <w:r w:rsidRPr="00EE2D2F">
        <w:rPr>
          <w:rFonts w:ascii="Verdana" w:eastAsia="Aptos" w:hAnsi="Verdana" w:cs="Arial"/>
          <w:lang w:val="es-ES" w:eastAsia="es-MX"/>
        </w:rPr>
        <w:lastRenderedPageBreak/>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F743AF0" w14:textId="77777777" w:rsidR="00EE2D2F" w:rsidRPr="00EE2D2F" w:rsidRDefault="00EE2D2F" w:rsidP="00EE2D2F">
      <w:pPr>
        <w:spacing w:after="120" w:line="276" w:lineRule="auto"/>
        <w:ind w:firstLine="708"/>
        <w:jc w:val="both"/>
        <w:rPr>
          <w:rFonts w:ascii="Verdana" w:eastAsia="Times New Roman" w:hAnsi="Verdana" w:cs="Times New Roman"/>
          <w:color w:val="000000"/>
          <w:lang w:eastAsia="es-CO"/>
        </w:rPr>
      </w:pPr>
      <w:r w:rsidRPr="00EE2D2F">
        <w:rPr>
          <w:rFonts w:ascii="Verdana" w:eastAsia="Aptos" w:hAnsi="Verdana" w:cs="Arial"/>
          <w:lang w:eastAsia="es-MX"/>
        </w:rPr>
        <w:t xml:space="preserve">En el sector social, </w:t>
      </w:r>
      <w:r w:rsidRPr="00EE2D2F">
        <w:rPr>
          <w:rFonts w:ascii="Verdana" w:eastAsia="Calibri" w:hAnsi="Verdana" w:cs="Arial"/>
          <w:lang w:val="es-MX" w:eastAsia="es-MX"/>
        </w:rPr>
        <w:t xml:space="preserve">la Agencia Nacional de Contratación Pública – Colombia Compra </w:t>
      </w:r>
      <w:r w:rsidRPr="00EE2D2F">
        <w:rPr>
          <w:rFonts w:ascii="Verdana" w:eastAsia="Calibri" w:hAnsi="Verdana" w:cs="Arial"/>
          <w:lang w:eastAsia="es-MX"/>
        </w:rPr>
        <w:t xml:space="preserve">Eficiente </w:t>
      </w:r>
      <w:r w:rsidRPr="00EE2D2F">
        <w:rPr>
          <w:rFonts w:ascii="Verdana" w:eastAsia="Times New Roman" w:hAnsi="Verdana" w:cs="Times New Roman"/>
          <w:color w:val="000000"/>
          <w:lang w:eastAsia="es-CO"/>
        </w:rPr>
        <w:t>en el segundo semestre del año 2025 adoptó las siguientes Resoluciones para contratar obra pública y concurso de méritos:</w:t>
      </w:r>
    </w:p>
    <w:p w14:paraId="7905B817" w14:textId="77777777" w:rsidR="00EE2D2F" w:rsidRPr="00EE2D2F" w:rsidRDefault="00EE2D2F" w:rsidP="00EE2D2F">
      <w:pPr>
        <w:spacing w:after="120" w:line="276" w:lineRule="auto"/>
        <w:ind w:firstLine="708"/>
        <w:jc w:val="both"/>
        <w:rPr>
          <w:rFonts w:ascii="Verdana" w:eastAsia="Times New Roman" w:hAnsi="Verdana" w:cs="Times New Roman"/>
          <w:color w:val="000000"/>
          <w:lang w:eastAsia="es-CO"/>
        </w:rPr>
      </w:pPr>
      <w:r w:rsidRPr="00EE2D2F">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6B743F51" w14:textId="77777777" w:rsidR="00EE2D2F" w:rsidRPr="00EE2D2F" w:rsidRDefault="00EE2D2F" w:rsidP="00EE2D2F">
      <w:pPr>
        <w:spacing w:after="120" w:line="276" w:lineRule="auto"/>
        <w:ind w:firstLine="708"/>
        <w:jc w:val="both"/>
        <w:rPr>
          <w:rFonts w:ascii="Verdana" w:eastAsia="Times New Roman" w:hAnsi="Verdana" w:cs="Times New Roman"/>
          <w:color w:val="000000"/>
          <w:lang w:eastAsia="es-CO"/>
        </w:rPr>
      </w:pPr>
      <w:r w:rsidRPr="00EE2D2F">
        <w:rPr>
          <w:rFonts w:ascii="Verdana" w:eastAsia="Times New Roman" w:hAnsi="Verdana" w:cs="Times New Roman"/>
          <w:color w:val="000000"/>
          <w:lang w:eastAsia="es-CO"/>
        </w:rPr>
        <w:t xml:space="preserve"> </w:t>
      </w:r>
      <w:proofErr w:type="spellStart"/>
      <w:r w:rsidRPr="00EE2D2F">
        <w:rPr>
          <w:rFonts w:ascii="Verdana" w:eastAsia="Times New Roman" w:hAnsi="Verdana" w:cs="Times New Roman"/>
          <w:color w:val="000000"/>
          <w:lang w:eastAsia="es-CO"/>
        </w:rPr>
        <w:t>ii</w:t>
      </w:r>
      <w:proofErr w:type="spellEnd"/>
      <w:r w:rsidRPr="00EE2D2F">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5ADF518" w14:textId="77777777" w:rsidR="00EE2D2F" w:rsidRPr="00EE2D2F" w:rsidRDefault="00EE2D2F" w:rsidP="00EE2D2F">
      <w:pPr>
        <w:spacing w:after="120" w:line="276" w:lineRule="auto"/>
        <w:ind w:firstLine="708"/>
        <w:jc w:val="both"/>
        <w:rPr>
          <w:rFonts w:ascii="Verdana" w:eastAsia="Times New Roman" w:hAnsi="Verdana" w:cs="Times New Roman"/>
          <w:color w:val="000000"/>
          <w:lang w:eastAsia="es-CO"/>
        </w:rPr>
      </w:pPr>
      <w:proofErr w:type="spellStart"/>
      <w:r w:rsidRPr="00EE2D2F">
        <w:rPr>
          <w:rFonts w:ascii="Verdana" w:eastAsia="Times New Roman" w:hAnsi="Verdana" w:cs="Times New Roman"/>
          <w:color w:val="000000"/>
          <w:lang w:eastAsia="es-CO"/>
        </w:rPr>
        <w:t>iii</w:t>
      </w:r>
      <w:proofErr w:type="spellEnd"/>
      <w:r w:rsidRPr="00EE2D2F">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5DA07E7F" w14:textId="77777777" w:rsidR="00EE2D2F" w:rsidRPr="00EE2D2F" w:rsidRDefault="00EE2D2F" w:rsidP="00EE2D2F">
      <w:pPr>
        <w:spacing w:after="120" w:line="276" w:lineRule="auto"/>
        <w:ind w:firstLine="708"/>
        <w:jc w:val="both"/>
        <w:rPr>
          <w:rFonts w:ascii="Verdana" w:eastAsia="Times New Roman" w:hAnsi="Verdana" w:cs="Times New Roman"/>
          <w:color w:val="000000"/>
          <w:lang w:eastAsia="es-CO"/>
        </w:rPr>
      </w:pPr>
      <w:proofErr w:type="spellStart"/>
      <w:r w:rsidRPr="00EE2D2F">
        <w:rPr>
          <w:rFonts w:ascii="Verdana" w:eastAsia="Times New Roman" w:hAnsi="Verdana" w:cs="Times New Roman"/>
          <w:color w:val="000000"/>
          <w:lang w:eastAsia="es-CO"/>
        </w:rPr>
        <w:lastRenderedPageBreak/>
        <w:t>iv</w:t>
      </w:r>
      <w:proofErr w:type="spellEnd"/>
      <w:r w:rsidRPr="00EE2D2F">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7121B3BD" w14:textId="77777777" w:rsidR="00EE2D2F" w:rsidRPr="00EE2D2F" w:rsidRDefault="00EE2D2F" w:rsidP="00EE2D2F">
      <w:pPr>
        <w:spacing w:after="120" w:line="276" w:lineRule="auto"/>
        <w:ind w:firstLine="708"/>
        <w:jc w:val="both"/>
        <w:rPr>
          <w:rFonts w:ascii="Verdana" w:eastAsia="Times New Roman" w:hAnsi="Verdana" w:cs="Times New Roman"/>
          <w:color w:val="000000"/>
          <w:lang w:eastAsia="es-CO"/>
        </w:rPr>
      </w:pPr>
      <w:r w:rsidRPr="00EE2D2F">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EE2D2F">
        <w:rPr>
          <w:rFonts w:ascii="Verdana" w:eastAsia="Aptos" w:hAnsi="Verdana" w:cs="Times New Roman"/>
          <w:lang w:eastAsia="es-MX"/>
        </w:rPr>
        <w:t xml:space="preserve"> </w:t>
      </w:r>
    </w:p>
    <w:p w14:paraId="34F93F30" w14:textId="77777777" w:rsidR="00EE2D2F" w:rsidRPr="00EE2D2F" w:rsidRDefault="00EE2D2F" w:rsidP="00EE2D2F">
      <w:pPr>
        <w:spacing w:after="120" w:line="276" w:lineRule="auto"/>
        <w:ind w:firstLine="708"/>
        <w:jc w:val="both"/>
        <w:textAlignment w:val="baseline"/>
        <w:rPr>
          <w:rFonts w:ascii="Verdana" w:eastAsia="Calibri" w:hAnsi="Verdana" w:cs="Arial"/>
          <w:lang w:eastAsia="es-MX"/>
        </w:rPr>
      </w:pPr>
      <w:r w:rsidRPr="00EE2D2F">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EE2D2F">
        <w:rPr>
          <w:rFonts w:ascii="Verdana" w:eastAsia="Calibri" w:hAnsi="Verdana" w:cs="Arial"/>
          <w:vertAlign w:val="superscript"/>
          <w:lang w:eastAsia="es-MX"/>
        </w:rPr>
        <w:footnoteReference w:id="3"/>
      </w:r>
      <w:r w:rsidRPr="00EE2D2F">
        <w:rPr>
          <w:rFonts w:ascii="Verdana" w:eastAsia="Calibri" w:hAnsi="Verdana" w:cs="Arial"/>
          <w:lang w:eastAsia="es-MX"/>
        </w:rPr>
        <w:t>.</w:t>
      </w:r>
    </w:p>
    <w:p w14:paraId="58F9F312" w14:textId="77777777" w:rsidR="00EE2D2F" w:rsidRPr="00EE2D2F" w:rsidRDefault="00EE2D2F" w:rsidP="00EE2D2F">
      <w:pPr>
        <w:widowControl w:val="0"/>
        <w:autoSpaceDE w:val="0"/>
        <w:autoSpaceDN w:val="0"/>
        <w:spacing w:after="120" w:line="276" w:lineRule="auto"/>
        <w:ind w:firstLine="708"/>
        <w:jc w:val="both"/>
        <w:rPr>
          <w:rFonts w:ascii="Verdana" w:eastAsia="Calibri" w:hAnsi="Verdana" w:cs="Times New Roman"/>
          <w:lang w:val="es-ES" w:eastAsia="es-MX"/>
        </w:rPr>
      </w:pPr>
      <w:r w:rsidRPr="00EE2D2F">
        <w:rPr>
          <w:rFonts w:ascii="Verdana" w:eastAsia="Calibri" w:hAnsi="Verdana" w:cs="Times New Roman"/>
          <w:lang w:val="es-ES" w:eastAsia="es-MX"/>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EE2D2F">
        <w:rPr>
          <w:rFonts w:ascii="Verdana" w:eastAsia="Calibri" w:hAnsi="Verdana" w:cs="Times New Roman"/>
          <w:shd w:val="clear" w:color="auto" w:fill="E8E8E8"/>
          <w:lang w:val="es-ES" w:eastAsia="es-MX"/>
        </w:rPr>
        <w:t>–[texto]–,</w:t>
      </w:r>
      <w:r w:rsidRPr="00EE2D2F">
        <w:rPr>
          <w:rFonts w:ascii="Verdana" w:eastAsia="Calibri" w:hAnsi="Verdana" w:cs="Times New Roman"/>
          <w:lang w:val="es-ES" w:eastAsia="es-MX"/>
        </w:rPr>
        <w:t xml:space="preserve"> para lo cual deberán observarse las instrucciones contenidas en los mismos para su diligenciamiento.</w:t>
      </w:r>
    </w:p>
    <w:p w14:paraId="07EEE331" w14:textId="77777777" w:rsidR="00EE2D2F" w:rsidRPr="00EE2D2F" w:rsidRDefault="00EE2D2F" w:rsidP="00EE2D2F">
      <w:pPr>
        <w:widowControl w:val="0"/>
        <w:autoSpaceDE w:val="0"/>
        <w:autoSpaceDN w:val="0"/>
        <w:spacing w:after="120" w:line="276" w:lineRule="auto"/>
        <w:ind w:firstLine="708"/>
        <w:jc w:val="both"/>
        <w:rPr>
          <w:rFonts w:ascii="Verdana" w:eastAsia="Calibri" w:hAnsi="Verdana" w:cs="Times New Roman"/>
          <w:lang w:val="es-ES" w:eastAsia="es-MX"/>
        </w:rPr>
      </w:pPr>
      <w:r w:rsidRPr="00EE2D2F">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728E869F" w14:textId="77777777" w:rsidR="00EE2D2F" w:rsidRPr="00EE2D2F" w:rsidRDefault="00EE2D2F" w:rsidP="00EE2D2F">
      <w:pPr>
        <w:widowControl w:val="0"/>
        <w:autoSpaceDE w:val="0"/>
        <w:autoSpaceDN w:val="0"/>
        <w:spacing w:after="120" w:line="276" w:lineRule="auto"/>
        <w:ind w:firstLine="708"/>
        <w:jc w:val="both"/>
        <w:rPr>
          <w:rFonts w:ascii="Verdana" w:eastAsia="Calibri" w:hAnsi="Verdana" w:cs="Times New Roman"/>
          <w:lang w:val="es-ES" w:eastAsia="es-MX"/>
        </w:rPr>
      </w:pPr>
      <w:r w:rsidRPr="00EE2D2F">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0CF67F6" w14:textId="77777777" w:rsidR="00EE2D2F" w:rsidRPr="00EE2D2F" w:rsidRDefault="00EE2D2F" w:rsidP="00EE2D2F">
      <w:pPr>
        <w:widowControl w:val="0"/>
        <w:autoSpaceDE w:val="0"/>
        <w:autoSpaceDN w:val="0"/>
        <w:spacing w:after="120" w:line="276" w:lineRule="auto"/>
        <w:ind w:firstLine="708"/>
        <w:jc w:val="both"/>
        <w:rPr>
          <w:rFonts w:ascii="Verdana" w:eastAsia="Calibri" w:hAnsi="Verdana" w:cs="Times New Roman"/>
          <w:lang w:val="es-ES" w:eastAsia="es-MX"/>
        </w:rPr>
      </w:pPr>
      <w:r w:rsidRPr="00EE2D2F">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0FD43F48" w14:textId="77777777" w:rsidR="00EE2D2F" w:rsidRPr="00EE2D2F" w:rsidRDefault="00EE2D2F" w:rsidP="00EE2D2F">
      <w:pPr>
        <w:widowControl w:val="0"/>
        <w:autoSpaceDE w:val="0"/>
        <w:autoSpaceDN w:val="0"/>
        <w:spacing w:after="120" w:line="276" w:lineRule="auto"/>
        <w:ind w:firstLine="708"/>
        <w:jc w:val="both"/>
        <w:rPr>
          <w:rFonts w:ascii="Verdana" w:eastAsia="Calibri" w:hAnsi="Verdana" w:cs="Times New Roman"/>
          <w:lang w:val="es-ES" w:eastAsia="es-MX"/>
        </w:rPr>
      </w:pPr>
      <w:r w:rsidRPr="00EE2D2F">
        <w:rPr>
          <w:rFonts w:ascii="Verdana" w:eastAsia="Calibri" w:hAnsi="Verdana" w:cs="Times New Roman"/>
          <w:lang w:val="es-ES" w:eastAsia="es-MX"/>
        </w:rPr>
        <w:t xml:space="preserve">La Matriz – Experiencia, cumple una doble función: Por un lado, sirve para </w:t>
      </w:r>
      <w:r w:rsidRPr="00EE2D2F">
        <w:rPr>
          <w:rFonts w:ascii="Verdana" w:eastAsia="Calibri" w:hAnsi="Verdana" w:cs="Times New Roman"/>
          <w:lang w:val="es-ES" w:eastAsia="es-MX"/>
        </w:rPr>
        <w:lastRenderedPageBreak/>
        <w:t>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5C8C6ABF" w14:textId="77777777" w:rsidR="00EE2D2F" w:rsidRPr="00EE2D2F" w:rsidRDefault="00EE2D2F" w:rsidP="00EE2D2F">
      <w:pPr>
        <w:widowControl w:val="0"/>
        <w:autoSpaceDE w:val="0"/>
        <w:autoSpaceDN w:val="0"/>
        <w:spacing w:after="0" w:line="276" w:lineRule="auto"/>
        <w:ind w:firstLine="708"/>
        <w:jc w:val="both"/>
        <w:rPr>
          <w:rFonts w:ascii="Verdana" w:eastAsia="Calibri" w:hAnsi="Verdana" w:cs="Times New Roman"/>
          <w:lang w:val="es-ES" w:eastAsia="es-MX"/>
        </w:rPr>
      </w:pPr>
      <w:r w:rsidRPr="00EE2D2F">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11E80711" w14:textId="77777777" w:rsidR="00EE2D2F" w:rsidRPr="00EE2D2F" w:rsidRDefault="00EE2D2F" w:rsidP="00EE2D2F">
      <w:pPr>
        <w:spacing w:after="0" w:line="278" w:lineRule="auto"/>
        <w:jc w:val="both"/>
        <w:rPr>
          <w:rFonts w:ascii="Verdana" w:eastAsia="Calibri" w:hAnsi="Verdana" w:cs="Arial"/>
          <w:bCs/>
          <w:color w:val="000000"/>
          <w:kern w:val="2"/>
          <w14:ligatures w14:val="standardContextual"/>
        </w:rPr>
      </w:pPr>
    </w:p>
    <w:p w14:paraId="0D63DD50" w14:textId="77777777" w:rsidR="00EE2D2F" w:rsidRPr="00EE2D2F" w:rsidRDefault="00EE2D2F" w:rsidP="00EE2D2F">
      <w:pPr>
        <w:spacing w:after="120" w:line="276" w:lineRule="auto"/>
        <w:jc w:val="both"/>
        <w:rPr>
          <w:rFonts w:ascii="Verdana" w:eastAsia="Calibri" w:hAnsi="Verdana" w:cs="Arial"/>
          <w:lang w:eastAsia="es-MX"/>
        </w:rPr>
      </w:pPr>
      <w:proofErr w:type="spellStart"/>
      <w:r w:rsidRPr="00EE2D2F">
        <w:rPr>
          <w:rFonts w:ascii="Verdana" w:eastAsia="Calibri" w:hAnsi="Verdana" w:cs="Arial"/>
          <w:lang w:eastAsia="es-MX"/>
        </w:rPr>
        <w:t>ii</w:t>
      </w:r>
      <w:proofErr w:type="spellEnd"/>
      <w:r w:rsidRPr="00EE2D2F">
        <w:rPr>
          <w:rFonts w:ascii="Verdana" w:eastAsia="Calibri" w:hAnsi="Verdana" w:cs="Arial"/>
          <w:lang w:eastAsia="es-MX"/>
        </w:rPr>
        <w:t xml:space="preserve">. Lo que el peticionario denomina como “Monto agotable”, en realidad puede corresponder a un contrato de suministro o de obra, donde se pacta el pago de la contraprestación a precios unitarios, conforme a unos valores asignados, que son objeto del negocio y que se entregan a la entidad, durante el plazo de ejecución del contrato, sin exceder el valor o presupuesto oficial asignado por la entidad contratante para el efecto. </w:t>
      </w:r>
    </w:p>
    <w:p w14:paraId="4B2DFA23" w14:textId="77777777" w:rsidR="00EE2D2F" w:rsidRPr="00EE2D2F" w:rsidRDefault="00EE2D2F" w:rsidP="00EE2D2F">
      <w:pPr>
        <w:spacing w:after="120" w:line="276" w:lineRule="auto"/>
        <w:ind w:firstLine="708"/>
        <w:jc w:val="both"/>
        <w:rPr>
          <w:rFonts w:ascii="Verdana" w:eastAsia="Calibri" w:hAnsi="Verdana" w:cs="Arial"/>
          <w:lang w:eastAsia="es-MX"/>
        </w:rPr>
      </w:pPr>
      <w:r w:rsidRPr="00EE2D2F">
        <w:rPr>
          <w:rFonts w:ascii="Verdana" w:eastAsia="Calibri" w:hAnsi="Verdana" w:cs="Arial"/>
          <w:lang w:eastAsia="es-MX"/>
        </w:rPr>
        <w:t>Esta situación se presenta en algunos contratos de obra a precios unitarios donde, pese a que se encuentran establecidos los ítems y el valor de cada uno de ellos, las cantidades definitivas dependen de lo efectivamente ejecutado al finalizar el plazo</w:t>
      </w:r>
      <w:r w:rsidRPr="00EE2D2F">
        <w:rPr>
          <w:rFonts w:ascii="Verdana" w:eastAsia="Calibri" w:hAnsi="Verdana" w:cs="Arial"/>
          <w:vertAlign w:val="superscript"/>
          <w:lang w:eastAsia="es-MX"/>
        </w:rPr>
        <w:footnoteReference w:id="4"/>
      </w:r>
      <w:r w:rsidRPr="00EE2D2F">
        <w:rPr>
          <w:rFonts w:ascii="Verdana" w:eastAsia="Calibri" w:hAnsi="Verdana" w:cs="Arial"/>
          <w:lang w:eastAsia="es-MX"/>
        </w:rPr>
        <w:t>. En este sistema las partes establecen una suma fija por cada unidad de los trabajos que debe ejecutar el contratista, por lo que el precio –a diferencia del ajuste alzado o la suma cerrada– no se determina por la totalidad de la obra, sino por cada parte, unidad o medida.</w:t>
      </w:r>
    </w:p>
    <w:p w14:paraId="3DE1F3C5" w14:textId="77777777" w:rsidR="00EE2D2F" w:rsidRPr="00EE2D2F" w:rsidRDefault="00EE2D2F" w:rsidP="00EE2D2F">
      <w:pPr>
        <w:spacing w:after="120" w:line="276" w:lineRule="auto"/>
        <w:ind w:firstLine="708"/>
        <w:jc w:val="both"/>
        <w:rPr>
          <w:rFonts w:ascii="Verdana" w:eastAsia="Calibri" w:hAnsi="Verdana" w:cs="Arial"/>
          <w:lang w:eastAsia="es-MX"/>
        </w:rPr>
      </w:pPr>
      <w:r w:rsidRPr="00EE2D2F">
        <w:rPr>
          <w:rFonts w:ascii="Verdana" w:eastAsia="Calibri" w:hAnsi="Verdana" w:cs="Arial"/>
          <w:lang w:eastAsia="es-MX"/>
        </w:rPr>
        <w:t xml:space="preserve">Para la doctrina, “Se trata de un sistema flexible en el precio y en la obra, por cuanto ambos solo van a quedar definitivamente determinados al momento de la conclusión de las obras, circunstancia en la que recién podrán conocerse con exactitud la cantidad de unidades ejecutadas por el constructor y, del mismo </w:t>
      </w:r>
      <w:r w:rsidRPr="00EE2D2F">
        <w:rPr>
          <w:rFonts w:ascii="Verdana" w:eastAsia="Calibri" w:hAnsi="Verdana" w:cs="Arial"/>
          <w:lang w:eastAsia="es-MX"/>
        </w:rPr>
        <w:lastRenderedPageBreak/>
        <w:t>modo, el precio definitivo a ser pagado por el comitente”</w:t>
      </w:r>
      <w:r w:rsidRPr="00EE2D2F">
        <w:rPr>
          <w:rFonts w:ascii="Verdana" w:eastAsia="Calibri" w:hAnsi="Verdana" w:cs="Arial"/>
          <w:vertAlign w:val="superscript"/>
          <w:lang w:eastAsia="es-MX"/>
        </w:rPr>
        <w:footnoteReference w:id="5"/>
      </w:r>
      <w:r w:rsidRPr="00EE2D2F">
        <w:rPr>
          <w:rFonts w:ascii="Verdana" w:eastAsia="Calibri" w:hAnsi="Verdana" w:cs="Arial"/>
          <w:lang w:eastAsia="es-MX"/>
        </w:rPr>
        <w:t>. En este caso, también se requiere establecer un tope máximo para la adelantar las obras, ya que “[…] el precio total depende del conjunto de trabajos ejecutados según el presupuesto, pudiendo por tanto variar por nuevos trabajos adicionales […]”</w:t>
      </w:r>
      <w:r w:rsidRPr="00EE2D2F">
        <w:rPr>
          <w:rFonts w:ascii="Verdana" w:eastAsia="Calibri" w:hAnsi="Verdana" w:cs="Arial"/>
          <w:vertAlign w:val="superscript"/>
          <w:lang w:eastAsia="es-MX"/>
        </w:rPr>
        <w:footnoteReference w:id="6"/>
      </w:r>
      <w:r w:rsidRPr="00EE2D2F">
        <w:rPr>
          <w:rFonts w:ascii="Verdana" w:eastAsia="Calibri" w:hAnsi="Verdana" w:cs="Arial"/>
          <w:lang w:eastAsia="es-MX"/>
        </w:rPr>
        <w:t xml:space="preserve">. Por lo demás, a pesar de que el precio del contrato se fije por un monto agotable, este no deja de pertenecer a la tipología del artículo 32.1 del Estatuto General de Contratación de la Administración Pública, especialmente, cuando –conforme al tenor literal de la norma– la obra pública existe cualquiera que sea la modalidad de ejecución y pago.      </w:t>
      </w:r>
    </w:p>
    <w:p w14:paraId="2051AB5A" w14:textId="77777777" w:rsidR="00EE2D2F" w:rsidRPr="00EE2D2F" w:rsidRDefault="00EE2D2F" w:rsidP="00EE2D2F">
      <w:pPr>
        <w:spacing w:after="0" w:line="276" w:lineRule="auto"/>
        <w:ind w:firstLine="709"/>
        <w:jc w:val="both"/>
        <w:rPr>
          <w:rFonts w:ascii="Verdana" w:eastAsia="Aptos" w:hAnsi="Verdana" w:cs="Arial"/>
          <w:kern w:val="2"/>
          <w:lang w:val="es-ES"/>
          <w14:ligatures w14:val="standardContextual"/>
        </w:rPr>
      </w:pPr>
      <w:r w:rsidRPr="00EE2D2F">
        <w:rPr>
          <w:rFonts w:ascii="Verdana" w:eastAsia="Aptos" w:hAnsi="Verdana" w:cs="Arial"/>
          <w:kern w:val="2"/>
          <w:lang w:val="es-ES"/>
          <w14:ligatures w14:val="standardContextual"/>
        </w:rPr>
        <w:t xml:space="preserve">La estructuración del precio del contrato y la forma de pago a precios unitarios, según la demanda de obras, bienes o servicios requeridos por la entidad contratante durante el plazo del contrato, sin exceder el presupuesto oficial, es una modalidad de pacto contractual admisible en el contrato estatal que puede utilizarse por las entidades públicas. En efecto, puede resultar procedente si en la etapa de planeación del contrato, producto de los estudios previos y el análisis del sector y de los oferentes, se observa que la misma resulta adecuada para satisfacer de mejor manera la necesidad que se pretende satisfacer con el proceso de contratación y puede generar algún beneficio, como por ejemplo, la posibilidad de contar con precios fijos de las obras, bienes o servicios que se adquirirán durante el plazo de ejecución, controlando el gasto con el propósito de evitar el exceso en el presupuesto oficial. En todo caso, la decisión de acudir a este tipo de cláusulas, usualmente incorporadas en la “forma de pago” o en el “valor del contrato”, es de la autonomía de las entidades públicas rectoras de sus procesos de contratación porque no están prohibidas o restringidas en la contratación estatal, y podrá adoptarse previa justificación en los estudios previos que soportan el objeto y las condiciones de ejecución del contrato.  </w:t>
      </w:r>
    </w:p>
    <w:p w14:paraId="78276CEA" w14:textId="77777777" w:rsidR="00EE2D2F" w:rsidRPr="00EE2D2F" w:rsidRDefault="00EE2D2F" w:rsidP="00EE2D2F">
      <w:pPr>
        <w:tabs>
          <w:tab w:val="center" w:pos="4244"/>
        </w:tabs>
        <w:spacing w:after="0" w:line="276" w:lineRule="auto"/>
        <w:jc w:val="both"/>
        <w:rPr>
          <w:rFonts w:ascii="Verdana" w:eastAsia="Calibri" w:hAnsi="Verdana" w:cs="Arial"/>
          <w:kern w:val="2"/>
          <w14:ligatures w14:val="standardContextual"/>
        </w:rPr>
      </w:pPr>
    </w:p>
    <w:p w14:paraId="1B8A4951" w14:textId="77777777" w:rsidR="00EE2D2F" w:rsidRPr="00EE2D2F" w:rsidRDefault="00EE2D2F" w:rsidP="00EE2D2F">
      <w:pPr>
        <w:snapToGrid w:val="0"/>
        <w:spacing w:after="0" w:line="276" w:lineRule="auto"/>
        <w:jc w:val="both"/>
        <w:rPr>
          <w:rFonts w:ascii="Verdana" w:eastAsia="Calibri" w:hAnsi="Verdana" w:cs="Arial"/>
          <w:lang w:val="es-MX"/>
        </w:rPr>
      </w:pPr>
      <w:proofErr w:type="spellStart"/>
      <w:r w:rsidRPr="00EE2D2F">
        <w:rPr>
          <w:rFonts w:ascii="Verdana" w:eastAsia="Calibri" w:hAnsi="Verdana" w:cs="Arial"/>
          <w:kern w:val="2"/>
          <w14:ligatures w14:val="standardContextual"/>
        </w:rPr>
        <w:t>iii</w:t>
      </w:r>
      <w:proofErr w:type="spellEnd"/>
      <w:r w:rsidRPr="00EE2D2F">
        <w:rPr>
          <w:rFonts w:ascii="Verdana" w:eastAsia="Calibri" w:hAnsi="Verdana" w:cs="Arial"/>
          <w:kern w:val="2"/>
          <w14:ligatures w14:val="standardContextual"/>
        </w:rPr>
        <w:t xml:space="preserve">. </w:t>
      </w:r>
      <w:r w:rsidRPr="00EE2D2F">
        <w:rPr>
          <w:rFonts w:ascii="Verdana" w:eastAsia="Arial" w:hAnsi="Verdana" w:cs="Arial"/>
          <w:color w:val="000000"/>
          <w:lang w:val="es-ES" w:eastAsia="es-CO"/>
        </w:rPr>
        <w:t xml:space="preserve">La Ley 816 de 2003 “Por medio de la cual se apoya a la industria nacional a través de la contratación pública”, tiene como objetivo promover una mayor participación de los proveedores de bienes y servicios de origen colombiano en </w:t>
      </w:r>
      <w:r w:rsidRPr="00EE2D2F">
        <w:rPr>
          <w:rFonts w:ascii="Verdana" w:eastAsia="Arial" w:hAnsi="Verdana" w:cs="Arial"/>
          <w:color w:val="000000"/>
          <w:lang w:val="es-ES" w:eastAsia="es-CO"/>
        </w:rPr>
        <w:lastRenderedPageBreak/>
        <w:t>las compras de las entidades públicas. De igual manera, se adoptó con el propósito de crear un factor de preferencia para las propuestas que ofrezcan productos o servicios nacionales</w:t>
      </w:r>
      <w:r w:rsidRPr="00EE2D2F">
        <w:rPr>
          <w:rFonts w:ascii="Verdana" w:eastAsia="Arial" w:hAnsi="Verdana" w:cs="Arial"/>
          <w:color w:val="000000"/>
          <w:vertAlign w:val="superscript"/>
          <w:lang w:eastAsia="es-CO"/>
        </w:rPr>
        <w:footnoteReference w:id="7"/>
      </w:r>
      <w:r w:rsidRPr="00EE2D2F">
        <w:rPr>
          <w:rFonts w:ascii="Verdana" w:eastAsia="Arial" w:hAnsi="Verdana" w:cs="Arial"/>
          <w:color w:val="000000"/>
          <w:lang w:val="es-ES" w:eastAsia="es-CO"/>
        </w:rPr>
        <w:t xml:space="preserve">. </w:t>
      </w:r>
      <w:r w:rsidRPr="00EE2D2F">
        <w:rPr>
          <w:rFonts w:ascii="Verdana" w:eastAsia="Calibri" w:hAnsi="Verdana" w:cs="Arial"/>
          <w:bCs/>
          <w:color w:val="000000"/>
          <w:lang w:val="es-ES_tradnl"/>
        </w:rPr>
        <w:t>Para ello, el artículo 1 dispone que las entidades estatales, en los procedimientos de selección que realicen e independientemente del régimen contractual que les sea aplicable, deben adoptar criterios que apoyen la industria nacional. En consonancia con lo anterior, el parágrafo de dicho artículo indica que:</w:t>
      </w:r>
    </w:p>
    <w:p w14:paraId="232B6917" w14:textId="77777777" w:rsidR="00EE2D2F" w:rsidRPr="00EE2D2F" w:rsidRDefault="00EE2D2F" w:rsidP="00EE2D2F">
      <w:pPr>
        <w:tabs>
          <w:tab w:val="left" w:pos="0"/>
        </w:tabs>
        <w:spacing w:after="0" w:line="276" w:lineRule="auto"/>
        <w:ind w:left="709" w:right="709"/>
        <w:jc w:val="both"/>
        <w:rPr>
          <w:rFonts w:ascii="Verdana" w:eastAsia="Calibri" w:hAnsi="Verdana" w:cs="Arial"/>
          <w:bCs/>
          <w:color w:val="000000"/>
          <w:lang w:val="es-ES_tradnl"/>
        </w:rPr>
      </w:pPr>
    </w:p>
    <w:p w14:paraId="536B67D4" w14:textId="77777777" w:rsidR="00EE2D2F" w:rsidRPr="00EE2D2F" w:rsidRDefault="00EE2D2F" w:rsidP="00EE2D2F">
      <w:pPr>
        <w:tabs>
          <w:tab w:val="left" w:pos="0"/>
        </w:tabs>
        <w:spacing w:after="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“Se otorgará tratamiento de bienes y servicios nacionales a aquellos bienes y servicios originarios de los países con los que Colombia ha negociado trato nacional en materia de compras estatales y de aquellos países en los cuales a las ofertas de bienes y servicios colombianos se les conceda el mismo tratamiento otorgado a sus bienes y servicios nacionales. La acreditación o demostración de tal circunstancia se hará en los términos que señale el reglamento”.</w:t>
      </w:r>
    </w:p>
    <w:p w14:paraId="5A7B0D00" w14:textId="77777777" w:rsidR="00EE2D2F" w:rsidRPr="00EE2D2F" w:rsidRDefault="00EE2D2F" w:rsidP="00EE2D2F">
      <w:pPr>
        <w:tabs>
          <w:tab w:val="left" w:pos="0"/>
        </w:tabs>
        <w:spacing w:after="0" w:line="276" w:lineRule="auto"/>
        <w:jc w:val="both"/>
        <w:rPr>
          <w:rFonts w:ascii="Verdana" w:eastAsia="Calibri" w:hAnsi="Verdana" w:cs="Arial"/>
          <w:bCs/>
          <w:color w:val="000000"/>
          <w:lang w:val="es-ES_tradnl"/>
        </w:rPr>
      </w:pPr>
    </w:p>
    <w:p w14:paraId="3DAEA2CD" w14:textId="77777777" w:rsidR="00EE2D2F" w:rsidRPr="00EE2D2F" w:rsidRDefault="00EE2D2F" w:rsidP="00EE2D2F">
      <w:pPr>
        <w:tabs>
          <w:tab w:val="left" w:pos="0"/>
        </w:tabs>
        <w:spacing w:after="0" w:line="276" w:lineRule="auto"/>
        <w:ind w:firstLine="709"/>
        <w:jc w:val="both"/>
        <w:rPr>
          <w:rFonts w:ascii="Verdana" w:eastAsia="Calibri" w:hAnsi="Verdana" w:cs="Arial"/>
          <w:bCs/>
          <w:color w:val="000000"/>
          <w:lang w:val="es-ES_tradnl"/>
        </w:rPr>
      </w:pPr>
      <w:r w:rsidRPr="00EE2D2F">
        <w:rPr>
          <w:rFonts w:ascii="Verdana" w:eastAsia="Calibri" w:hAnsi="Verdana" w:cs="Arial"/>
          <w:bCs/>
          <w:color w:val="000000"/>
          <w:lang w:val="es-ES_tradnl"/>
        </w:rPr>
        <w:t>En materia de contratación pública, dicho trato nacional es aplicable a los proponentes que ofrezcan bienes y servicios nacionales, de conformidad con las definiciones del artículo 2.2.1.1.1.3.1 del Decreto 1082 de 2015, así como a los extranjeros que cumplan con los criterios que se encuentran regulados en el artículo 2.2.1.2.4.1.3. del mismo Decreto</w:t>
      </w:r>
      <w:r w:rsidRPr="00EE2D2F">
        <w:rPr>
          <w:rFonts w:ascii="Verdana" w:eastAsia="Calibri" w:hAnsi="Verdana" w:cs="Arial"/>
          <w:bCs/>
          <w:color w:val="000000"/>
          <w:vertAlign w:val="superscript"/>
          <w:lang w:val="es-ES_tradnl"/>
        </w:rPr>
        <w:footnoteReference w:id="8"/>
      </w:r>
      <w:r w:rsidRPr="00EE2D2F">
        <w:rPr>
          <w:rFonts w:ascii="Verdana" w:eastAsia="Calibri" w:hAnsi="Verdana" w:cs="Arial"/>
          <w:bCs/>
          <w:color w:val="000000"/>
          <w:lang w:val="es-ES_tradnl"/>
        </w:rPr>
        <w:t xml:space="preserve">, en el que se establece la forma como </w:t>
      </w:r>
      <w:r w:rsidRPr="00EE2D2F">
        <w:rPr>
          <w:rFonts w:ascii="Verdana" w:eastAsia="Calibri" w:hAnsi="Verdana" w:cs="Arial"/>
          <w:bCs/>
          <w:color w:val="000000"/>
          <w:lang w:val="es-ES_tradnl"/>
        </w:rPr>
        <w:lastRenderedPageBreak/>
        <w:t>se debe acreditar la existencia de trato nacional para extranjeros, dependiendo del fundamento de este y exigiendo el certificado expedido por el Ministerio de Relaciones Exteriores, cuando no exista tratado, ni regulación andina aplicable. Por otra parte, las entidades estatales deben aplicar en sus procedimientos de selección lo previsto en el artículo 2 de la Ley 816 de 2003, que establece un criterio de calificación diferencial, en los siguientes términos:</w:t>
      </w:r>
    </w:p>
    <w:p w14:paraId="6FA8583A" w14:textId="77777777" w:rsidR="00EE2D2F" w:rsidRPr="00EE2D2F" w:rsidRDefault="00EE2D2F" w:rsidP="00EE2D2F">
      <w:pPr>
        <w:tabs>
          <w:tab w:val="left" w:pos="0"/>
        </w:tabs>
        <w:spacing w:after="0" w:line="276" w:lineRule="auto"/>
        <w:ind w:left="709" w:right="709"/>
        <w:jc w:val="both"/>
        <w:rPr>
          <w:rFonts w:ascii="Verdana" w:eastAsia="Calibri" w:hAnsi="Verdana" w:cs="Arial"/>
          <w:bCs/>
          <w:color w:val="000000"/>
          <w:lang w:val="es-ES_tradnl"/>
        </w:rPr>
      </w:pPr>
    </w:p>
    <w:p w14:paraId="284DAD65" w14:textId="77777777" w:rsidR="00EE2D2F" w:rsidRPr="00EE2D2F" w:rsidRDefault="00EE2D2F" w:rsidP="00EE2D2F">
      <w:pPr>
        <w:tabs>
          <w:tab w:val="left" w:pos="0"/>
        </w:tabs>
        <w:spacing w:after="12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“Las entidades de que trata el artículo 1o asignarán, dentro de los criterios de calificación de las propuestas, un puntaje comprendido entre el diez (10) y el veinte por ciento (20%), para estimular la industria colombiana cuando los proponentes oferten bienes o servicios nacionales.</w:t>
      </w:r>
    </w:p>
    <w:p w14:paraId="4701CCFD" w14:textId="77777777" w:rsidR="00EE2D2F" w:rsidRPr="00EE2D2F" w:rsidRDefault="00EE2D2F" w:rsidP="00EE2D2F">
      <w:pPr>
        <w:tabs>
          <w:tab w:val="left" w:pos="0"/>
        </w:tabs>
        <w:spacing w:after="12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Tratándose de bienes o servicios extranjeros, la entidad contratante establecerá un puntaje comprendido entre el cinco (5) y el quince por ciento (15%), para incentivar la incorporación de componente colombiano de bienes y servicios profesionales, técnicos y operativos.</w:t>
      </w:r>
    </w:p>
    <w:p w14:paraId="2B21E2D3" w14:textId="77777777" w:rsidR="00EE2D2F" w:rsidRPr="00EE2D2F" w:rsidRDefault="00EE2D2F" w:rsidP="00EE2D2F">
      <w:pPr>
        <w:tabs>
          <w:tab w:val="left" w:pos="0"/>
        </w:tabs>
        <w:spacing w:after="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Si una vez efectuada la calificación correspondiente, la oferta de un proponente extranjero se encuentra en igualdad de condiciones con la de un proponente nacional, se adjudicará al nacional”.</w:t>
      </w:r>
    </w:p>
    <w:p w14:paraId="4E07751E" w14:textId="77777777" w:rsidR="00EE2D2F" w:rsidRPr="00EE2D2F" w:rsidRDefault="00EE2D2F" w:rsidP="00EE2D2F">
      <w:pPr>
        <w:tabs>
          <w:tab w:val="left" w:pos="0"/>
        </w:tabs>
        <w:spacing w:after="0" w:line="276" w:lineRule="auto"/>
        <w:jc w:val="both"/>
        <w:rPr>
          <w:rFonts w:ascii="Verdana" w:eastAsia="Calibri" w:hAnsi="Verdana" w:cs="Arial"/>
          <w:bCs/>
          <w:color w:val="000000"/>
          <w:lang w:val="es-ES_tradnl"/>
        </w:rPr>
      </w:pPr>
      <w:r w:rsidRPr="00EE2D2F">
        <w:rPr>
          <w:rFonts w:ascii="Verdana" w:eastAsia="Calibri" w:hAnsi="Verdana" w:cs="Arial"/>
          <w:bCs/>
          <w:color w:val="000000"/>
          <w:lang w:val="es-ES_tradnl"/>
        </w:rPr>
        <w:tab/>
      </w:r>
    </w:p>
    <w:p w14:paraId="0F24F025" w14:textId="77777777" w:rsidR="00EE2D2F" w:rsidRPr="00EE2D2F" w:rsidRDefault="00EE2D2F" w:rsidP="00EE2D2F">
      <w:pPr>
        <w:tabs>
          <w:tab w:val="left" w:pos="0"/>
        </w:tabs>
        <w:spacing w:after="0" w:line="276" w:lineRule="auto"/>
        <w:jc w:val="both"/>
        <w:rPr>
          <w:rFonts w:ascii="Verdana" w:eastAsia="Calibri" w:hAnsi="Verdana" w:cs="Arial"/>
          <w:bCs/>
          <w:color w:val="000000"/>
          <w:lang w:val="es-ES_tradnl"/>
        </w:rPr>
      </w:pPr>
      <w:r w:rsidRPr="00EE2D2F">
        <w:rPr>
          <w:rFonts w:ascii="Verdana" w:eastAsia="Calibri" w:hAnsi="Verdana" w:cs="Arial"/>
          <w:bCs/>
          <w:color w:val="000000"/>
          <w:lang w:val="es-ES_tradnl"/>
        </w:rPr>
        <w:tab/>
        <w:t xml:space="preserve">De acuerdo con esta norma, las ofertas de bienes y servicios nacionales –o extranjeros con derecho a trato nacional– deberán beneficiarse de la obtención de un puntaje comprendido entre el 10 y el 20% del total de los puntos, según lo haya definido la entidad estatal contratante en el pliego de condiciones o documento equivalente, con la finalidad de incentivar la industria nacional. Al respecto, conviene señalar que es la entidad pública la que, en el pliego de condiciones, debe fijar los criterios de asignación de puntaje –o factores de </w:t>
      </w:r>
      <w:r w:rsidRPr="00EE2D2F">
        <w:rPr>
          <w:rFonts w:ascii="Verdana" w:eastAsia="Calibri" w:hAnsi="Verdana" w:cs="Arial"/>
          <w:bCs/>
          <w:color w:val="000000"/>
          <w:lang w:val="es-ES_tradnl"/>
        </w:rPr>
        <w:lastRenderedPageBreak/>
        <w:t>evaluación–. De este modo, cuenta con la discrecionalidad administrativa para determinar a partir de qué elementos o circunstancias realizará la calificación de las propuestas. Por supuesto, tal discrecionalidad no es absoluta, sino que está limitada por las normas de orden público, que incluyen reglas imperativas para la elaboración del pliego de condiciones y el deber de selección objetiva.</w:t>
      </w:r>
    </w:p>
    <w:p w14:paraId="171D72AB" w14:textId="77777777" w:rsidR="00EE2D2F" w:rsidRPr="00EE2D2F" w:rsidRDefault="00EE2D2F" w:rsidP="00EE2D2F">
      <w:pPr>
        <w:tabs>
          <w:tab w:val="left" w:pos="0"/>
        </w:tabs>
        <w:spacing w:before="120" w:after="120" w:line="276" w:lineRule="auto"/>
        <w:jc w:val="both"/>
        <w:rPr>
          <w:rFonts w:ascii="Verdana" w:eastAsia="Calibri" w:hAnsi="Verdana" w:cs="Arial"/>
          <w:bCs/>
          <w:color w:val="000000"/>
          <w:lang w:val="es-ES_tradnl"/>
        </w:rPr>
      </w:pPr>
      <w:r w:rsidRPr="00EE2D2F">
        <w:rPr>
          <w:rFonts w:ascii="Verdana" w:eastAsia="Calibri" w:hAnsi="Verdana" w:cs="Arial"/>
          <w:bCs/>
          <w:color w:val="000000"/>
          <w:lang w:val="es-ES_tradnl"/>
        </w:rPr>
        <w:tab/>
        <w:t>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sidRPr="00EE2D2F">
        <w:rPr>
          <w:rFonts w:ascii="Verdana" w:eastAsia="Calibri" w:hAnsi="Verdana" w:cs="Arial"/>
          <w:lang w:val="es-ES_tradnl"/>
        </w:rPr>
        <w:t xml:space="preserve">(…) </w:t>
      </w:r>
      <w:r w:rsidRPr="00EE2D2F">
        <w:rPr>
          <w:rFonts w:ascii="Verdana" w:eastAsia="Calibri" w:hAnsi="Verdana" w:cs="Arial"/>
          <w:bCs/>
          <w:color w:val="000000"/>
          <w:lang w:val="es-ES_tradnl"/>
        </w:rPr>
        <w:t xml:space="preserve">un puntaje comprendido entre el diez (10) y el veinte por ciento (20%)” para estimular la industria nacional, cuando se oferten bienes o servicios nacionales” –inciso primero o “Franja 1”–. Adicionalmente, la norma indica </w:t>
      </w:r>
      <w:proofErr w:type="gramStart"/>
      <w:r w:rsidRPr="00EE2D2F">
        <w:rPr>
          <w:rFonts w:ascii="Verdana" w:eastAsia="Calibri" w:hAnsi="Verdana" w:cs="Arial"/>
          <w:bCs/>
          <w:color w:val="000000"/>
          <w:lang w:val="es-ES_tradnl"/>
        </w:rPr>
        <w:t>que</w:t>
      </w:r>
      <w:proofErr w:type="gramEnd"/>
      <w:r w:rsidRPr="00EE2D2F">
        <w:rPr>
          <w:rFonts w:ascii="Verdana" w:eastAsia="Calibri" w:hAnsi="Verdana" w:cs="Arial"/>
          <w:bCs/>
          <w:color w:val="000000"/>
          <w:lang w:val="es-ES_tradnl"/>
        </w:rPr>
        <w:t xml:space="preserve"> si no se ofertan bienes o servicios nacionales, sino bienes o servicios </w:t>
      </w:r>
      <w:r w:rsidRPr="00EE2D2F">
        <w:rPr>
          <w:rFonts w:ascii="Verdana" w:eastAsia="Calibri" w:hAnsi="Verdana" w:cs="Arial"/>
          <w:bCs/>
          <w:i/>
          <w:iCs/>
          <w:color w:val="000000"/>
          <w:lang w:val="es-ES_tradnl"/>
        </w:rPr>
        <w:t>extranjeros</w:t>
      </w:r>
      <w:r w:rsidRPr="00EE2D2F">
        <w:rPr>
          <w:rFonts w:ascii="Verdana" w:eastAsia="Calibri" w:hAnsi="Verdana" w:cs="Arial"/>
          <w:bCs/>
          <w:color w:val="000000"/>
          <w:lang w:val="es-ES_tradnl"/>
        </w:rPr>
        <w:t xml:space="preserve">, “(…) la entidad contratante establecerá un puntaje comprendido entre el cinco (5) y el quince por ciento (15%), para incentivar la incorporación de componente colombiano de bienes y servicios profesionales, técnicos y operativos” –inciso segundo o </w:t>
      </w:r>
      <w:r w:rsidRPr="00EE2D2F">
        <w:rPr>
          <w:rFonts w:ascii="Verdana" w:eastAsia="Calibri" w:hAnsi="Verdana" w:cs="Arial"/>
          <w:bCs/>
          <w:color w:val="000000"/>
        </w:rPr>
        <w:t>“</w:t>
      </w:r>
      <w:r w:rsidRPr="00EE2D2F">
        <w:rPr>
          <w:rFonts w:ascii="Verdana" w:eastAsia="Calibri" w:hAnsi="Verdana" w:cs="Arial"/>
          <w:bCs/>
          <w:color w:val="000000"/>
          <w:lang w:val="es-ES_tradnl"/>
        </w:rPr>
        <w:t xml:space="preserve">Franja 2”–. </w:t>
      </w:r>
    </w:p>
    <w:p w14:paraId="5FC4B893" w14:textId="77777777" w:rsidR="00EE2D2F" w:rsidRPr="00EE2D2F" w:rsidRDefault="00EE2D2F" w:rsidP="00EE2D2F">
      <w:pPr>
        <w:spacing w:after="0" w:line="276" w:lineRule="auto"/>
        <w:jc w:val="both"/>
        <w:rPr>
          <w:rFonts w:ascii="Verdana" w:eastAsia="Calibri" w:hAnsi="Verdana" w:cs="Arial"/>
          <w:color w:val="000000"/>
          <w:lang w:val="es-ES"/>
        </w:rPr>
      </w:pPr>
      <w:r w:rsidRPr="00EE2D2F">
        <w:rPr>
          <w:rFonts w:ascii="Verdana" w:eastAsia="Calibri" w:hAnsi="Verdana" w:cs="Arial"/>
          <w:bCs/>
          <w:color w:val="000000"/>
          <w:lang w:val="es-ES_tradnl"/>
        </w:rPr>
        <w:tab/>
      </w:r>
      <w:r w:rsidRPr="00EE2D2F">
        <w:rPr>
          <w:rFonts w:ascii="Verdana" w:eastAsia="Calibri" w:hAnsi="Verdana" w:cs="Arial"/>
          <w:color w:val="000000"/>
          <w:lang w:val="es-ES"/>
        </w:rPr>
        <w:t xml:space="preserve">Aclarado el alcance de la norma que promueve el factor de evaluación de apoyo a la industria nacional en las compras públicas, es importante señalar que la aplicación del puntaje al que se refiere el artículo 2 de la Ley 816 de 2003 fue reglamentado mediante el Decreto 680 de 2021. Por lo tanto, ha de tenerse en cuenta la nueva regulación de la regla de origen contemplada en este Decreto. En primer lugar, el artículo 1 del mencionado Decreto modificó parcialmente el artículo 2.2.1.1.1.3.1. del Decreto 1082 de 2015, para definir los </w:t>
      </w:r>
      <w:r w:rsidRPr="00EE2D2F">
        <w:rPr>
          <w:rFonts w:ascii="Verdana" w:eastAsia="Calibri" w:hAnsi="Verdana" w:cs="Arial"/>
          <w:i/>
          <w:iCs/>
          <w:color w:val="000000"/>
          <w:lang w:val="es-ES"/>
        </w:rPr>
        <w:t>Servicios Nacionales</w:t>
      </w:r>
      <w:r w:rsidRPr="00EE2D2F">
        <w:rPr>
          <w:rFonts w:ascii="Verdana" w:eastAsia="Calibri" w:hAnsi="Verdana" w:cs="Arial"/>
          <w:color w:val="000000"/>
          <w:lang w:val="es-ES"/>
        </w:rPr>
        <w:t xml:space="preserve"> en forma distinta, así:</w:t>
      </w:r>
    </w:p>
    <w:p w14:paraId="18E9D0EC" w14:textId="77777777" w:rsidR="00EE2D2F" w:rsidRPr="00EE2D2F" w:rsidRDefault="00EE2D2F" w:rsidP="00EE2D2F">
      <w:pPr>
        <w:spacing w:after="0" w:line="276" w:lineRule="auto"/>
        <w:jc w:val="both"/>
        <w:rPr>
          <w:rFonts w:ascii="Verdana" w:eastAsia="Calibri" w:hAnsi="Verdana" w:cs="Arial"/>
          <w:bCs/>
          <w:color w:val="000000"/>
          <w:lang w:val="es-ES_tradnl"/>
        </w:rPr>
      </w:pPr>
    </w:p>
    <w:p w14:paraId="5D00A854" w14:textId="77777777" w:rsidR="00EE2D2F" w:rsidRPr="00EE2D2F" w:rsidRDefault="00EE2D2F" w:rsidP="00EE2D2F">
      <w:pPr>
        <w:tabs>
          <w:tab w:val="left" w:pos="0"/>
        </w:tabs>
        <w:spacing w:after="12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“Servicios Nacionales. En los contratos que deban cumplirse en Colombia, un servicio es colombiano si además de ser prestado por una persona natural colombiana o por un residente en Colombia, por 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w:t>
      </w:r>
    </w:p>
    <w:p w14:paraId="7D467A00" w14:textId="77777777" w:rsidR="00EE2D2F" w:rsidRPr="00EE2D2F" w:rsidRDefault="00EE2D2F" w:rsidP="00EE2D2F">
      <w:pPr>
        <w:tabs>
          <w:tab w:val="left" w:pos="0"/>
        </w:tabs>
        <w:spacing w:after="12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lastRenderedPageBreak/>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14:paraId="13C349E3" w14:textId="77777777" w:rsidR="00EE2D2F" w:rsidRPr="00EE2D2F" w:rsidRDefault="00EE2D2F" w:rsidP="00EE2D2F">
      <w:pPr>
        <w:tabs>
          <w:tab w:val="left" w:pos="0"/>
        </w:tabs>
        <w:spacing w:after="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Los extranjeros con trato nacional que participen en el Proceso de Contratación de manera singular o mediante la conformación de un proponente plural, podrán definir en su oferta si aplican la regla de origen aquí prevista, o cualquiera de las reglas de origen aplicables según el Acuerdo Comercial o la normativa comunitaria que corresponda. En aquellos casos en que no se indique en la oferta la regla de origen a aplicar, la Entidad Estatal deberá evaluar la oferta de acuerdo con la regla de origen aquí prevista”.</w:t>
      </w:r>
    </w:p>
    <w:p w14:paraId="45F654EB" w14:textId="77777777" w:rsidR="00EE2D2F" w:rsidRPr="00EE2D2F" w:rsidRDefault="00EE2D2F" w:rsidP="00EE2D2F">
      <w:pPr>
        <w:tabs>
          <w:tab w:val="left" w:pos="0"/>
        </w:tabs>
        <w:spacing w:after="0" w:line="278" w:lineRule="auto"/>
        <w:ind w:left="709" w:right="709"/>
        <w:jc w:val="both"/>
        <w:rPr>
          <w:rFonts w:ascii="Verdana" w:eastAsia="Calibri" w:hAnsi="Verdana" w:cs="Arial"/>
          <w:bCs/>
          <w:color w:val="000000"/>
          <w:lang w:val="es-ES_tradnl"/>
        </w:rPr>
      </w:pPr>
    </w:p>
    <w:p w14:paraId="162491D7" w14:textId="77777777" w:rsidR="00EE2D2F" w:rsidRPr="00EE2D2F" w:rsidRDefault="00EE2D2F" w:rsidP="00EE2D2F">
      <w:pPr>
        <w:tabs>
          <w:tab w:val="left" w:pos="0"/>
        </w:tabs>
        <w:spacing w:after="0" w:line="276" w:lineRule="auto"/>
        <w:ind w:firstLine="709"/>
        <w:jc w:val="both"/>
        <w:rPr>
          <w:rFonts w:ascii="Verdana" w:eastAsia="Calibri" w:hAnsi="Verdana" w:cs="Arial"/>
          <w:bCs/>
          <w:color w:val="000000"/>
          <w:lang w:val="es-ES_tradnl"/>
        </w:rPr>
      </w:pPr>
      <w:bookmarkStart w:id="3" w:name="_Hlk86820071"/>
      <w:r w:rsidRPr="00EE2D2F">
        <w:rPr>
          <w:rFonts w:ascii="Verdana" w:eastAsia="Calibri" w:hAnsi="Verdana" w:cs="Arial"/>
          <w:bCs/>
          <w:color w:val="000000"/>
          <w:lang w:val="es-ES_tradnl"/>
        </w:rPr>
        <w:t xml:space="preserve">De acuerdo con lo anterior, la noción de </w:t>
      </w:r>
      <w:r w:rsidRPr="00EE2D2F">
        <w:rPr>
          <w:rFonts w:ascii="Verdana" w:eastAsia="Calibri" w:hAnsi="Verdana" w:cs="Arial"/>
          <w:bCs/>
          <w:i/>
          <w:iCs/>
          <w:color w:val="000000"/>
          <w:lang w:val="es-ES_tradnl"/>
        </w:rPr>
        <w:t>Servicios Nacionales</w:t>
      </w:r>
      <w:r w:rsidRPr="00EE2D2F">
        <w:rPr>
          <w:rFonts w:ascii="Verdana" w:eastAsia="Calibri" w:hAnsi="Verdana" w:cs="Arial"/>
          <w:bCs/>
          <w:color w:val="000000"/>
          <w:lang w:val="es-ES_tradnl"/>
        </w:rPr>
        <w:t xml:space="preserve"> no está determinada únicamente por la naturaleza jurídica de su prestador, ya que además de tratarse de una persona natural colombiana o jurídica conformada según la ley colombiana, se requiere que la propuesta, en principio, incluya en la ejecución del contrato la utilización de los bienes nacionales relevantes. En ese sentido, la definición de </w:t>
      </w:r>
      <w:r w:rsidRPr="00EE2D2F">
        <w:rPr>
          <w:rFonts w:ascii="Verdana" w:eastAsia="Calibri" w:hAnsi="Verdana" w:cs="Arial"/>
          <w:bCs/>
          <w:i/>
          <w:iCs/>
          <w:color w:val="000000"/>
          <w:lang w:val="es-ES_tradnl"/>
        </w:rPr>
        <w:t xml:space="preserve">Servicios Nacionales </w:t>
      </w:r>
      <w:r w:rsidRPr="00EE2D2F">
        <w:rPr>
          <w:rFonts w:ascii="Verdana" w:eastAsia="Calibri" w:hAnsi="Verdana" w:cs="Arial"/>
          <w:bCs/>
          <w:color w:val="000000"/>
          <w:lang w:val="es-ES_tradnl"/>
        </w:rPr>
        <w:t xml:space="preserve">remite a la noción de </w:t>
      </w:r>
      <w:r w:rsidRPr="00EE2D2F">
        <w:rPr>
          <w:rFonts w:ascii="Verdana" w:eastAsia="Calibri" w:hAnsi="Verdana" w:cs="Arial"/>
          <w:bCs/>
          <w:i/>
          <w:iCs/>
          <w:color w:val="000000"/>
          <w:lang w:val="es-ES_tradnl"/>
        </w:rPr>
        <w:t>Bienes Nacionales</w:t>
      </w:r>
      <w:r w:rsidRPr="00EE2D2F">
        <w:rPr>
          <w:rFonts w:ascii="Verdana" w:eastAsia="Calibri" w:hAnsi="Verdana" w:cs="Arial"/>
          <w:bCs/>
          <w:color w:val="000000"/>
          <w:lang w:val="es-ES_tradnl"/>
        </w:rPr>
        <w:t xml:space="preserve"> establecida en el mismo artículo 2.2.1.1.1.3.1. del Decreto 1082 de 2015, que dispone que son aquellos “Bienes definidos como nacionales en el Registro de Productores de Bienes Nacionales, de conformidad con el Decreto 2680 de 2009 o las normas que lo modifiquen, aclaren, adicionen o sustituyan”. El artículo 1 del Decreto 2680 de 2009 dispone que “Se entiende como bienes nacionales, aquellos bienes totalmente obtenidos, bienes elaborados con materiales nacionales o productos que sufran una transformación sustancial de conformidad con lo previsto en el presente decreto</w:t>
      </w:r>
      <w:bookmarkEnd w:id="3"/>
      <w:r w:rsidRPr="00EE2D2F">
        <w:rPr>
          <w:rFonts w:ascii="Verdana" w:eastAsia="Calibri" w:hAnsi="Verdana" w:cs="Arial"/>
          <w:bCs/>
          <w:color w:val="000000"/>
          <w:lang w:val="es-ES_tradnl"/>
        </w:rPr>
        <w:t>”.</w:t>
      </w:r>
    </w:p>
    <w:p w14:paraId="13FBB01D" w14:textId="77777777" w:rsidR="00EE2D2F" w:rsidRPr="00EE2D2F" w:rsidRDefault="00EE2D2F" w:rsidP="00EE2D2F">
      <w:pPr>
        <w:tabs>
          <w:tab w:val="left" w:pos="0"/>
        </w:tabs>
        <w:spacing w:before="120" w:after="120" w:line="276" w:lineRule="auto"/>
        <w:ind w:firstLine="709"/>
        <w:jc w:val="both"/>
        <w:rPr>
          <w:rFonts w:ascii="Verdana" w:eastAsia="Calibri" w:hAnsi="Verdana" w:cs="Arial"/>
          <w:bCs/>
          <w:color w:val="000000"/>
          <w:lang w:val="es-ES_tradnl"/>
        </w:rPr>
      </w:pPr>
      <w:r w:rsidRPr="00EE2D2F">
        <w:rPr>
          <w:rFonts w:ascii="Verdana" w:eastAsia="Calibri" w:hAnsi="Verdana" w:cs="Arial"/>
          <w:bCs/>
          <w:color w:val="000000"/>
          <w:lang w:val="es-ES_tradnl"/>
        </w:rPr>
        <w:t xml:space="preserve">En consecuencia, si el contrato debe cumplirse en Colombia, la entidad estatal debe definir los bienes nacionales relevantes, pues el uso de estos por parte del proponente es uno de los criterios que permiten establecer si el servicio puede calificarse como nacional –el otro criterio es la vinculación del porcentaje mínimo de personal colombiano, según corresponda–. Si el contrato no debe cumplirse en Colombia, para que el servicio sea nacional, no es necesario que se usen bienes o personal colombianos, sino que basta con que sea prestado </w:t>
      </w:r>
      <w:r w:rsidRPr="00EE2D2F">
        <w:rPr>
          <w:rFonts w:ascii="Verdana" w:eastAsia="Calibri" w:hAnsi="Verdana" w:cs="Arial"/>
          <w:bCs/>
          <w:color w:val="000000"/>
          <w:lang w:val="es-ES_tradnl"/>
        </w:rPr>
        <w:lastRenderedPageBreak/>
        <w:t>“por una persona natural colombiana o por un residente en Colombia, por una persona jurídica constituida de conformidad con la legislación colombiana o un proponente plural conformado por estos”. Lo anterior en consonancia con el artículo 1 del Decreto 680 de 2021.</w:t>
      </w:r>
    </w:p>
    <w:p w14:paraId="399FF531" w14:textId="77777777" w:rsidR="00EE2D2F" w:rsidRPr="00EE2D2F" w:rsidRDefault="00EE2D2F" w:rsidP="00EE2D2F">
      <w:pPr>
        <w:tabs>
          <w:tab w:val="left" w:pos="0"/>
        </w:tabs>
        <w:spacing w:before="120" w:after="120" w:line="276" w:lineRule="auto"/>
        <w:ind w:firstLine="709"/>
        <w:jc w:val="both"/>
        <w:rPr>
          <w:rFonts w:ascii="Verdana" w:eastAsia="Calibri" w:hAnsi="Verdana" w:cs="Arial"/>
          <w:bCs/>
          <w:color w:val="000000"/>
          <w:lang w:val="es-ES_tradnl"/>
        </w:rPr>
      </w:pPr>
      <w:r w:rsidRPr="00EE2D2F">
        <w:rPr>
          <w:rFonts w:ascii="Verdana" w:eastAsia="Calibri" w:hAnsi="Verdana" w:cs="Arial"/>
          <w:bCs/>
          <w:color w:val="000000"/>
          <w:lang w:val="es-ES_tradnl"/>
        </w:rPr>
        <w:t xml:space="preserve">De otra parte, el último inciso de la definición transcrita establece una prerrogativa aplicable solo a los proponentes extranjeros con derecho a trato nacional. Conforme a esta, es posible establecer si se acoge la regla de origen establecida en el Decreto 1082 de 2015, o si por el contrario se acredita el origen de los servicios conforme a las reglas de sus correspondientes países o las contemplada en los respectivos Acuerdos Comerciales. Esto es aplicable oferentes de países con Acuerdos Comerciales vigentes, los provenientes de países que tengan trato nacional por reciprocidad y a los miembros de la Comunidad Andina de Naciones.  </w:t>
      </w:r>
    </w:p>
    <w:p w14:paraId="488E3C88" w14:textId="77777777" w:rsidR="00EE2D2F" w:rsidRPr="00EE2D2F" w:rsidRDefault="00EE2D2F" w:rsidP="00EE2D2F">
      <w:pPr>
        <w:tabs>
          <w:tab w:val="left" w:pos="0"/>
        </w:tabs>
        <w:spacing w:after="0" w:line="276" w:lineRule="auto"/>
        <w:ind w:firstLine="709"/>
        <w:jc w:val="both"/>
        <w:rPr>
          <w:rFonts w:ascii="Verdana" w:eastAsia="Calibri" w:hAnsi="Verdana" w:cs="Arial"/>
          <w:bCs/>
          <w:color w:val="000000"/>
          <w:lang w:val="es-ES_tradnl"/>
        </w:rPr>
      </w:pPr>
      <w:r w:rsidRPr="00EE2D2F">
        <w:rPr>
          <w:rFonts w:ascii="Verdana" w:eastAsia="Calibri" w:hAnsi="Verdana" w:cs="Arial"/>
          <w:bCs/>
          <w:color w:val="000000"/>
          <w:lang w:val="es-ES_tradnl"/>
        </w:rPr>
        <w:t xml:space="preserve">De otra parte, el Decreto 680 de 2021 consagra, en el artículo 2, unos lineamientos que deben seguir las entidades estatales para definir los </w:t>
      </w:r>
      <w:r w:rsidRPr="00EE2D2F">
        <w:rPr>
          <w:rFonts w:ascii="Verdana" w:eastAsia="Calibri" w:hAnsi="Verdana" w:cs="Arial"/>
          <w:bCs/>
          <w:i/>
          <w:iCs/>
          <w:color w:val="000000"/>
          <w:lang w:val="es-ES_tradnl"/>
        </w:rPr>
        <w:t>bienes colombianos relevantes</w:t>
      </w:r>
      <w:r w:rsidRPr="00EE2D2F">
        <w:rPr>
          <w:rFonts w:ascii="Verdana" w:eastAsia="Calibri" w:hAnsi="Verdana" w:cs="Arial"/>
          <w:bCs/>
          <w:color w:val="000000"/>
          <w:lang w:val="es-ES_tradnl"/>
        </w:rPr>
        <w:t xml:space="preserve"> y otorgar el puntaje de que trata el inciso 1 del artículo 2 de la Ley 816 de 2003. En efecto, el artículo 2 del Decreto en comento, establece: </w:t>
      </w:r>
    </w:p>
    <w:p w14:paraId="13B4FE2F" w14:textId="77777777" w:rsidR="00EE2D2F" w:rsidRPr="00EE2D2F" w:rsidRDefault="00EE2D2F" w:rsidP="00EE2D2F">
      <w:pPr>
        <w:tabs>
          <w:tab w:val="left" w:pos="0"/>
        </w:tabs>
        <w:spacing w:after="0" w:line="276" w:lineRule="auto"/>
        <w:ind w:left="709" w:right="709"/>
        <w:jc w:val="both"/>
        <w:rPr>
          <w:rFonts w:ascii="Verdana" w:eastAsia="Calibri" w:hAnsi="Verdana" w:cs="Arial"/>
          <w:bCs/>
          <w:color w:val="000000"/>
          <w:lang w:val="es-ES_tradnl"/>
        </w:rPr>
      </w:pPr>
    </w:p>
    <w:p w14:paraId="2187FD36" w14:textId="77777777" w:rsidR="00EE2D2F" w:rsidRPr="00EE2D2F" w:rsidRDefault="00EE2D2F" w:rsidP="00EE2D2F">
      <w:pPr>
        <w:tabs>
          <w:tab w:val="left" w:pos="0"/>
        </w:tabs>
        <w:spacing w:after="12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“Adiciónese el artículo 2.2.1.2.4.2.9. a la Subsección 2 de la Sección 4 del Capítulo 2 del Título 1 de la Parte 2 del Libro 2 del Decreto 1082 de 2015, Único Reglamentario del Sector Administrativo de Planeación Nacional, cuyo texto será el siguiente:</w:t>
      </w:r>
    </w:p>
    <w:p w14:paraId="7909B391" w14:textId="77777777" w:rsidR="00EE2D2F" w:rsidRPr="00EE2D2F" w:rsidRDefault="00EE2D2F" w:rsidP="00EE2D2F">
      <w:pPr>
        <w:tabs>
          <w:tab w:val="left" w:pos="0"/>
        </w:tabs>
        <w:spacing w:after="12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ARTÍCULO 2.2.1.2.4.2.9. Puntaje para la promoción de la industria nacional en los Procesos de Contratación de servicios. La Entidad Estatal en los Procesos de Contratación de servicios, otorgará el puntaje de que trata el inciso primero del artículo 2 de la Ley 816 de 2003 al proponente que oferte Servicios Nacionales o servicios extranjeros con trato nacional de acuerdo con la regla de origen aplicable.</w:t>
      </w:r>
    </w:p>
    <w:p w14:paraId="043AAF4D" w14:textId="77777777" w:rsidR="00EE2D2F" w:rsidRPr="00EE2D2F" w:rsidRDefault="00EE2D2F" w:rsidP="00EE2D2F">
      <w:pPr>
        <w:tabs>
          <w:tab w:val="left" w:pos="0"/>
        </w:tabs>
        <w:spacing w:after="12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En los contratos que deban cumplirse en Colombia, la Entidad Estatal definirá de manera razonable y proporcionada los bienes colombianos relevantes teniendo en cuenta:</w:t>
      </w:r>
    </w:p>
    <w:p w14:paraId="5A63C68E" w14:textId="77777777" w:rsidR="00EE2D2F" w:rsidRPr="00EE2D2F" w:rsidRDefault="00EE2D2F" w:rsidP="00EE2D2F">
      <w:pPr>
        <w:tabs>
          <w:tab w:val="left" w:pos="0"/>
        </w:tabs>
        <w:spacing w:after="12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1. El análisis del sector económico y de los oferentes, y, toda aquella información adicional con la que cuente la Entidad Estatal en la etapa de planeación del Proceso de Contratación;</w:t>
      </w:r>
    </w:p>
    <w:p w14:paraId="40C52E85" w14:textId="77777777" w:rsidR="00EE2D2F" w:rsidRPr="00EE2D2F" w:rsidRDefault="00EE2D2F" w:rsidP="00EE2D2F">
      <w:pPr>
        <w:tabs>
          <w:tab w:val="left" w:pos="0"/>
        </w:tabs>
        <w:spacing w:after="12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lastRenderedPageBreak/>
        <w:t>2. El porcentaje de participación de los bienes en el presupuesto del Proceso de Contratación; y</w:t>
      </w:r>
    </w:p>
    <w:p w14:paraId="67968499" w14:textId="77777777" w:rsidR="00EE2D2F" w:rsidRPr="00EE2D2F" w:rsidRDefault="00EE2D2F" w:rsidP="00EE2D2F">
      <w:pPr>
        <w:tabs>
          <w:tab w:val="left" w:pos="0"/>
        </w:tabs>
        <w:spacing w:after="12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3. La existencia de los bienes en el Registro de Productores de Bienes Nacionales, en los términos del Decreto 2680 de 2009 o las normas que lo modifiquen, aclaren, adicionen o sustituyan.</w:t>
      </w:r>
    </w:p>
    <w:p w14:paraId="1469CB16" w14:textId="77777777" w:rsidR="00EE2D2F" w:rsidRPr="00EE2D2F" w:rsidRDefault="00EE2D2F" w:rsidP="00EE2D2F">
      <w:pPr>
        <w:tabs>
          <w:tab w:val="left" w:pos="0"/>
        </w:tabs>
        <w:spacing w:after="12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En aquellos casos en que, de acuerdo con el objeto contractual, no existan bienes colombianos relevantes o no exista oferta nacional de los mismos en el Registro de Productores de Bienes Nacionales, la Entidad Estatal otorgará el puntaje de que trata el inciso primero del artículo 2 de la Ley 816 de 2003 al proponente que vincule el porcentaje mínimo establecido por la Entidad Estatal de empleados o contratistas por prestación de servicios colombianos, que no podrá ser inferior al 40% del total de empleados y contratistas asociados al cumplimiento del contrato.</w:t>
      </w:r>
    </w:p>
    <w:p w14:paraId="39A0B4E1" w14:textId="77777777" w:rsidR="00EE2D2F" w:rsidRPr="00EE2D2F" w:rsidRDefault="00EE2D2F" w:rsidP="00EE2D2F">
      <w:pPr>
        <w:tabs>
          <w:tab w:val="left" w:pos="0"/>
        </w:tabs>
        <w:spacing w:after="0"/>
        <w:ind w:left="709" w:right="709"/>
        <w:jc w:val="both"/>
        <w:rPr>
          <w:rFonts w:ascii="Verdana" w:eastAsia="Calibri" w:hAnsi="Verdana" w:cs="Arial"/>
          <w:bCs/>
          <w:color w:val="000000"/>
          <w:sz w:val="21"/>
          <w:szCs w:val="21"/>
          <w:lang w:val="es-ES_tradnl"/>
        </w:rPr>
      </w:pPr>
      <w:r w:rsidRPr="00EE2D2F">
        <w:rPr>
          <w:rFonts w:ascii="Verdana" w:eastAsia="Calibri" w:hAnsi="Verdana" w:cs="Arial"/>
          <w:bCs/>
          <w:color w:val="000000"/>
          <w:sz w:val="21"/>
          <w:szCs w:val="21"/>
          <w:lang w:val="es-ES_tradnl"/>
        </w:rPr>
        <w:t>La Entidad Estatal documentará este análisis y dejará constancia en los Documentos del Proceso”.</w:t>
      </w:r>
    </w:p>
    <w:p w14:paraId="6547E3D1" w14:textId="77777777" w:rsidR="00EE2D2F" w:rsidRPr="00EE2D2F" w:rsidRDefault="00EE2D2F" w:rsidP="00EE2D2F">
      <w:pPr>
        <w:tabs>
          <w:tab w:val="left" w:pos="0"/>
        </w:tabs>
        <w:spacing w:after="0" w:line="276" w:lineRule="auto"/>
        <w:ind w:left="709" w:right="709"/>
        <w:jc w:val="both"/>
        <w:rPr>
          <w:rFonts w:ascii="Verdana" w:eastAsia="Calibri" w:hAnsi="Verdana" w:cs="Arial"/>
          <w:bCs/>
          <w:color w:val="000000"/>
          <w:lang w:val="es-ES_tradnl"/>
        </w:rPr>
      </w:pPr>
    </w:p>
    <w:p w14:paraId="11FBBF17" w14:textId="77777777" w:rsidR="00EE2D2F" w:rsidRPr="00EE2D2F" w:rsidRDefault="00EE2D2F" w:rsidP="00EE2D2F">
      <w:pPr>
        <w:tabs>
          <w:tab w:val="left" w:pos="0"/>
        </w:tabs>
        <w:spacing w:after="120" w:line="276" w:lineRule="auto"/>
        <w:ind w:firstLine="709"/>
        <w:jc w:val="both"/>
        <w:rPr>
          <w:rFonts w:ascii="Verdana" w:eastAsia="Calibri" w:hAnsi="Verdana" w:cs="Arial"/>
          <w:color w:val="000000"/>
          <w:lang w:val="es-ES"/>
        </w:rPr>
      </w:pPr>
      <w:bookmarkStart w:id="4" w:name="_Hlk86820149"/>
      <w:bookmarkStart w:id="5" w:name="_Hlk87025682"/>
      <w:r w:rsidRPr="00EE2D2F">
        <w:rPr>
          <w:rFonts w:ascii="Verdana" w:eastAsia="Calibri" w:hAnsi="Verdana" w:cs="Arial"/>
          <w:color w:val="000000"/>
          <w:lang w:val="es-ES"/>
        </w:rPr>
        <w:t xml:space="preserve">Según el artículo 2.2.1.2.4.2.9 del Decreto 1082 de 2015, adicionado por el Decreto 680 de 2021, que desarrolla lo establecido en la Ley 816 de 2003, para definir los bienes colombianos relevantes, la entidad estatal debe tener en cuenta tres criterios, a saber: i) el análisis del sector económico y, toda la  aquella información recabada en la etapa de planeación proceso, </w:t>
      </w:r>
      <w:proofErr w:type="spellStart"/>
      <w:r w:rsidRPr="00EE2D2F">
        <w:rPr>
          <w:rFonts w:ascii="Verdana" w:eastAsia="Calibri" w:hAnsi="Verdana" w:cs="Arial"/>
          <w:color w:val="000000"/>
          <w:lang w:val="es-ES"/>
        </w:rPr>
        <w:t>ii</w:t>
      </w:r>
      <w:proofErr w:type="spellEnd"/>
      <w:r w:rsidRPr="00EE2D2F">
        <w:rPr>
          <w:rFonts w:ascii="Verdana" w:eastAsia="Calibri" w:hAnsi="Verdana" w:cs="Arial"/>
          <w:color w:val="000000"/>
          <w:lang w:val="es-ES"/>
        </w:rPr>
        <w:t xml:space="preserve">) el porcentaje de participación de los bienes en el presupuesto del contratos y </w:t>
      </w:r>
      <w:proofErr w:type="spellStart"/>
      <w:r w:rsidRPr="00EE2D2F">
        <w:rPr>
          <w:rFonts w:ascii="Verdana" w:eastAsia="Calibri" w:hAnsi="Verdana" w:cs="Arial"/>
          <w:color w:val="000000"/>
          <w:lang w:val="es-ES"/>
        </w:rPr>
        <w:t>iii</w:t>
      </w:r>
      <w:proofErr w:type="spellEnd"/>
      <w:r w:rsidRPr="00EE2D2F">
        <w:rPr>
          <w:rFonts w:ascii="Verdana" w:eastAsia="Calibri" w:hAnsi="Verdana" w:cs="Arial"/>
          <w:color w:val="000000"/>
          <w:lang w:val="es-ES"/>
        </w:rPr>
        <w:t xml:space="preserve">) la existencia de los bienes en el Registro de Productores de Bienes Nacionales, en los términos del Decreto 2680 de 2009. Las entidades estatales deben valerse de estos criterios para analizar los insumos requeridos para la ejecución del objeto contractual ofertado y establecer cuales constituyen los bienes nacionales relevantes, análisis que debe constar en los Documentos del Proceso.  Se considera importante que en los pliegos de condiciones o documentos equivalentes se establezca con claridad que bienes colombianos deben incluir en las propuestas para que puedan ser consideradas de origen nacional, y, en consecuencia, optar al puntaje por apoyo a la industria nacional.   </w:t>
      </w:r>
    </w:p>
    <w:bookmarkEnd w:id="4"/>
    <w:p w14:paraId="01DE99FE" w14:textId="77777777" w:rsidR="00EE2D2F" w:rsidRPr="00EE2D2F" w:rsidRDefault="00EE2D2F" w:rsidP="00EE2D2F">
      <w:pPr>
        <w:tabs>
          <w:tab w:val="left" w:pos="0"/>
        </w:tabs>
        <w:spacing w:after="120" w:line="276" w:lineRule="auto"/>
        <w:ind w:firstLine="709"/>
        <w:jc w:val="both"/>
        <w:rPr>
          <w:rFonts w:ascii="Verdana" w:eastAsia="Calibri" w:hAnsi="Verdana" w:cs="Arial"/>
          <w:bCs/>
          <w:color w:val="000000"/>
          <w:lang w:val="es-ES_tradnl"/>
        </w:rPr>
      </w:pPr>
      <w:r w:rsidRPr="00EE2D2F">
        <w:rPr>
          <w:rFonts w:ascii="Verdana" w:eastAsia="Calibri" w:hAnsi="Verdana" w:cs="Arial"/>
          <w:bCs/>
          <w:color w:val="000000"/>
          <w:lang w:val="es-ES_tradnl"/>
        </w:rPr>
        <w:t xml:space="preserve">El penúltimo inciso del artículo del 2.2.1.2.4.2.9 del Decreto 1082 de 2015, adicionado por el Decreto 680 de 2021, establece una regla subsidiaria para otorgar el puntaje de industria nacional en procesos de contratación en los que, en atención al objeto contractual no existan bienes colombianos relevantes </w:t>
      </w:r>
      <w:r w:rsidRPr="00EE2D2F">
        <w:rPr>
          <w:rFonts w:ascii="Verdana" w:eastAsia="Calibri" w:hAnsi="Verdana" w:cs="Arial"/>
          <w:bCs/>
          <w:color w:val="000000"/>
          <w:lang w:val="es-ES_tradnl"/>
        </w:rPr>
        <w:lastRenderedPageBreak/>
        <w:t xml:space="preserve">o no exista oferta nacional de los bienes relevantes en el Registro de Productores de Bienes Nacionales. Esta regla consiste en otorgar el puntaje, al proponente que vincule el porcentaje mínimo de empleados o contratistas por prestación de servicios colombianos establecido por la entidad estatal, el cual no podrá ser inferior al 40% del total de empleados y contratistas asociados al cumplimiento del contrato. Conforme a esta regla residual, cuando en el marco de la planeación, la entidad estatal no logre establecer que el objeto contractual requiera de bienes nacionales que se ajusten a los referidos criterios, deberá otorgar el puntaje por apoyo a la industria nacional a los proponentes que ejecuten el contrato garantizando la participación de personal colombiano en el correspondiente porcentaje mínimo.    </w:t>
      </w:r>
    </w:p>
    <w:bookmarkEnd w:id="5"/>
    <w:p w14:paraId="53C6676F" w14:textId="77777777" w:rsidR="00EE2D2F" w:rsidRPr="00EE2D2F" w:rsidRDefault="00EE2D2F" w:rsidP="00EE2D2F">
      <w:pPr>
        <w:tabs>
          <w:tab w:val="left" w:pos="0"/>
        </w:tabs>
        <w:spacing w:before="120" w:line="276" w:lineRule="auto"/>
        <w:jc w:val="both"/>
        <w:rPr>
          <w:rFonts w:ascii="Verdana" w:eastAsia="Calibri" w:hAnsi="Verdana" w:cs="Arial"/>
          <w:bCs/>
          <w:color w:val="000000"/>
        </w:rPr>
      </w:pPr>
      <w:r w:rsidRPr="00EE2D2F">
        <w:rPr>
          <w:rFonts w:ascii="Verdana" w:eastAsia="Calibri" w:hAnsi="Verdana" w:cs="Arial"/>
          <w:bCs/>
          <w:color w:val="000000"/>
        </w:rPr>
        <w:tab/>
        <w:t>De acuerdo con lo anterior, corresponde a las entidades estatales dentro de la planeación de los procesos de selección competitivos que adelantan, establecer cuál de las dos alternativas para el otorgamiento de puntaje por apoyo a la industria nacional tendrá aplicación, para lo cual deben realizar un análisis que conste en los Documentos del Proceso. Adicionalmente, en la medida en que el Decreto 680 de 2021 no establece ninguna regla especifica al respecto, se estima indispensable que las entidades estatales, de conformidad con el artículo 2.2.1.1.2.1.3 del Decreto 1082 de 2015</w:t>
      </w:r>
      <w:r w:rsidRPr="00EE2D2F">
        <w:rPr>
          <w:rFonts w:ascii="Verdana" w:eastAsia="Calibri" w:hAnsi="Verdana" w:cs="Arial"/>
          <w:bCs/>
          <w:color w:val="000000"/>
          <w:vertAlign w:val="superscript"/>
        </w:rPr>
        <w:footnoteReference w:id="9"/>
      </w:r>
      <w:r w:rsidRPr="00EE2D2F">
        <w:rPr>
          <w:rFonts w:ascii="Verdana" w:eastAsia="Calibri" w:hAnsi="Verdana" w:cs="Arial"/>
          <w:bCs/>
          <w:color w:val="000000"/>
        </w:rPr>
        <w:t xml:space="preserve">, establezcan en los pliegos de condiciones las reglas por las que deben seguirse los proponentes al momento de presentar sus ofertas para poder obtener el puntaje por apoyo a la industria nacional. </w:t>
      </w:r>
    </w:p>
    <w:p w14:paraId="7D7AF613" w14:textId="77777777" w:rsidR="00EE2D2F" w:rsidRPr="00EE2D2F" w:rsidRDefault="00EE2D2F" w:rsidP="00EE2D2F">
      <w:pPr>
        <w:tabs>
          <w:tab w:val="left" w:pos="0"/>
        </w:tabs>
        <w:spacing w:before="120" w:line="276" w:lineRule="auto"/>
        <w:jc w:val="both"/>
        <w:rPr>
          <w:rFonts w:ascii="Verdana" w:eastAsia="Calibri" w:hAnsi="Verdana" w:cs="Arial"/>
          <w:bCs/>
          <w:color w:val="000000"/>
        </w:rPr>
      </w:pPr>
      <w:r w:rsidRPr="00EE2D2F">
        <w:rPr>
          <w:rFonts w:ascii="Verdana" w:eastAsia="Calibri" w:hAnsi="Verdana" w:cs="Arial"/>
          <w:bCs/>
          <w:color w:val="000000"/>
        </w:rPr>
        <w:tab/>
        <w:t xml:space="preserve">En consonancia con lo aquí explicado, tales reglas aplicables a la asignación del puntaje por apoyo a la industria nacional no solo deberán reparar en si el oferente es una persona natural colombiana, una persona jurídica constituida conforme a la ley nacional, un proponente extranjero con derecho a </w:t>
      </w:r>
      <w:r w:rsidRPr="00EE2D2F">
        <w:rPr>
          <w:rFonts w:ascii="Verdana" w:eastAsia="Calibri" w:hAnsi="Verdana" w:cs="Arial"/>
          <w:bCs/>
          <w:color w:val="000000"/>
        </w:rPr>
        <w:lastRenderedPageBreak/>
        <w:t xml:space="preserve">trata nacional o un proponente plural conformado por estos, sino que además deben procurar en que se satisfaga el criterio adicional necesario para hablar de </w:t>
      </w:r>
      <w:r w:rsidRPr="00EE2D2F">
        <w:rPr>
          <w:rFonts w:ascii="Verdana" w:eastAsia="Calibri" w:hAnsi="Verdana" w:cs="Arial"/>
          <w:bCs/>
          <w:i/>
          <w:iCs/>
          <w:color w:val="000000"/>
        </w:rPr>
        <w:t>Servicio Nacional</w:t>
      </w:r>
      <w:r w:rsidRPr="00EE2D2F">
        <w:rPr>
          <w:rFonts w:ascii="Verdana" w:eastAsia="Calibri" w:hAnsi="Verdana" w:cs="Arial"/>
          <w:bCs/>
          <w:color w:val="000000"/>
        </w:rPr>
        <w:t xml:space="preserve">, en cualquiera de las dos alternativas por las que se haya decantado la entidad tras aplicar el </w:t>
      </w:r>
      <w:r w:rsidRPr="00EE2D2F">
        <w:rPr>
          <w:rFonts w:ascii="Verdana" w:eastAsia="Calibri" w:hAnsi="Verdana" w:cs="Arial"/>
          <w:bCs/>
          <w:color w:val="000000"/>
          <w:lang w:val="es-ES_tradnl"/>
        </w:rPr>
        <w:t xml:space="preserve">artículo del 2.2.1.2.4.2.9 del Decreto 1082 de 2015, adicionado por el Decreto 680 de 2021. En ese sentido, si se determinó que existen bienes con una participación importante en el presupuesto incluidos en el Registro de Productores de Bienes Nacionales, para otorgar el puntaje la entidad deberá verificar que el oferente efectivamente se haya comprometido a hacer uso de esos bienes en la ejecución del contrato en caso de resultar adjudicatario, o en su defecto, que se haya hecho el compromiso de vincular el personal mínimo establecido por la entidad, el cual, se reitera, no podrá ser inferior al 40%.    </w:t>
      </w:r>
    </w:p>
    <w:p w14:paraId="713F2532" w14:textId="77777777" w:rsidR="00EE2D2F" w:rsidRPr="00EE2D2F" w:rsidRDefault="00EE2D2F" w:rsidP="00EE2D2F">
      <w:pPr>
        <w:tabs>
          <w:tab w:val="left" w:pos="0"/>
        </w:tabs>
        <w:spacing w:after="0" w:line="276" w:lineRule="auto"/>
        <w:jc w:val="both"/>
        <w:rPr>
          <w:rFonts w:ascii="Verdana" w:eastAsia="Calibri" w:hAnsi="Verdana" w:cs="Arial"/>
          <w:bCs/>
          <w:color w:val="000000"/>
          <w:lang w:val="es-ES_tradnl"/>
        </w:rPr>
      </w:pPr>
      <w:r w:rsidRPr="00EE2D2F">
        <w:rPr>
          <w:rFonts w:ascii="Verdana" w:eastAsia="Calibri" w:hAnsi="Verdana" w:cs="Arial"/>
          <w:bCs/>
          <w:color w:val="000000"/>
        </w:rPr>
        <w:tab/>
        <w:t xml:space="preserve">Ahora bien, bajo el marco normativo establecido con anterioridad, para efectos del problema jurídico planteado en este concepto, es pertinente referirse a la </w:t>
      </w:r>
      <w:r w:rsidRPr="00EE2D2F">
        <w:rPr>
          <w:rFonts w:ascii="Verdana" w:eastAsia="Calibri" w:hAnsi="Verdana" w:cs="Arial"/>
          <w:bCs/>
          <w:color w:val="000000"/>
          <w:lang w:val="es-ES_tradnl"/>
        </w:rPr>
        <w:t xml:space="preserve">regulación del puntaje por apoyo a la industria nacional en procesos adelantados con documentos </w:t>
      </w:r>
      <w:proofErr w:type="gramStart"/>
      <w:r w:rsidRPr="00EE2D2F">
        <w:rPr>
          <w:rFonts w:ascii="Verdana" w:eastAsia="Calibri" w:hAnsi="Verdana" w:cs="Arial"/>
          <w:bCs/>
          <w:color w:val="000000"/>
          <w:lang w:val="es-ES_tradnl"/>
        </w:rPr>
        <w:t>tipo .</w:t>
      </w:r>
      <w:proofErr w:type="gramEnd"/>
    </w:p>
    <w:p w14:paraId="1E82D764" w14:textId="77777777" w:rsidR="00EE2D2F" w:rsidRPr="00EE2D2F" w:rsidRDefault="00EE2D2F" w:rsidP="00EE2D2F">
      <w:pPr>
        <w:tabs>
          <w:tab w:val="center" w:pos="4244"/>
        </w:tabs>
        <w:spacing w:after="0" w:line="276" w:lineRule="auto"/>
        <w:jc w:val="both"/>
        <w:rPr>
          <w:rFonts w:ascii="Verdana" w:eastAsia="Calibri" w:hAnsi="Verdana" w:cs="Arial"/>
          <w:kern w:val="2"/>
          <w:lang w:val="es-ES_tradnl"/>
          <w14:ligatures w14:val="standardContextual"/>
        </w:rPr>
      </w:pPr>
    </w:p>
    <w:p w14:paraId="1C8DE448" w14:textId="77777777" w:rsidR="00EE2D2F" w:rsidRPr="00EE2D2F" w:rsidRDefault="00EE2D2F" w:rsidP="00EE2D2F">
      <w:pPr>
        <w:spacing w:after="0" w:line="276" w:lineRule="auto"/>
        <w:jc w:val="both"/>
        <w:rPr>
          <w:rFonts w:ascii="Verdana" w:eastAsia="Calibri" w:hAnsi="Verdana" w:cs="Arial"/>
          <w:color w:val="000000"/>
        </w:rPr>
      </w:pPr>
      <w:proofErr w:type="spellStart"/>
      <w:r w:rsidRPr="00EE2D2F">
        <w:rPr>
          <w:rFonts w:ascii="Verdana" w:eastAsia="Calibri" w:hAnsi="Verdana" w:cs="Arial"/>
          <w:kern w:val="2"/>
          <w14:ligatures w14:val="standardContextual"/>
        </w:rPr>
        <w:t>iv</w:t>
      </w:r>
      <w:proofErr w:type="spellEnd"/>
      <w:r w:rsidRPr="00EE2D2F">
        <w:rPr>
          <w:rFonts w:ascii="Verdana" w:eastAsia="Calibri" w:hAnsi="Verdana" w:cs="Arial"/>
          <w:kern w:val="2"/>
          <w14:ligatures w14:val="standardContextual"/>
        </w:rPr>
        <w:t xml:space="preserve">. </w:t>
      </w:r>
      <w:r w:rsidRPr="00EE2D2F">
        <w:rPr>
          <w:rFonts w:ascii="Verdana" w:eastAsia="Calibri" w:hAnsi="Verdana" w:cs="Arial"/>
          <w:color w:val="000000"/>
        </w:rPr>
        <w:t xml:space="preserve">El numeral 4.3 </w:t>
      </w:r>
      <w:r w:rsidRPr="00EE2D2F">
        <w:rPr>
          <w:rFonts w:ascii="Verdana" w:eastAsia="Calibri" w:hAnsi="Verdana" w:cs="Arial"/>
          <w:i/>
          <w:iCs/>
          <w:color w:val="000000"/>
        </w:rPr>
        <w:t>“Apoyo a la Industria Nacional”</w:t>
      </w:r>
      <w:r w:rsidRPr="00EE2D2F">
        <w:rPr>
          <w:rFonts w:ascii="Verdana" w:eastAsia="Calibri" w:hAnsi="Verdana" w:cs="Arial"/>
          <w:color w:val="000000"/>
        </w:rPr>
        <w:t xml:space="preserve"> del documento base de los documentos tipo de selección abreviada de menor cuantía de obra pública de infraestructura social – versión 1 indica que, </w:t>
      </w:r>
      <w:r w:rsidRPr="00EE2D2F">
        <w:rPr>
          <w:rFonts w:ascii="Verdana" w:eastAsia="Calibri" w:hAnsi="Verdana" w:cs="Arial"/>
          <w:i/>
          <w:iCs/>
          <w:color w:val="000000"/>
        </w:rPr>
        <w:t xml:space="preserve">“los proponentes pueden obtener puntaje de apoyo a la industria nacional por: i) Servicios Nacionales o con Trato Nacional o por </w:t>
      </w:r>
      <w:proofErr w:type="spellStart"/>
      <w:r w:rsidRPr="00EE2D2F">
        <w:rPr>
          <w:rFonts w:ascii="Verdana" w:eastAsia="Calibri" w:hAnsi="Verdana" w:cs="Arial"/>
          <w:i/>
          <w:iCs/>
          <w:color w:val="000000"/>
        </w:rPr>
        <w:t>ii</w:t>
      </w:r>
      <w:proofErr w:type="spellEnd"/>
      <w:r w:rsidRPr="00EE2D2F">
        <w:rPr>
          <w:rFonts w:ascii="Verdana" w:eastAsia="Calibri" w:hAnsi="Verdana" w:cs="Arial"/>
          <w:i/>
          <w:iCs/>
          <w:color w:val="000000"/>
        </w:rPr>
        <w:t xml:space="preserve">) la incorporación de componente nacional en servicios extranjeros […]”, </w:t>
      </w:r>
      <w:r w:rsidRPr="00EE2D2F">
        <w:rPr>
          <w:rFonts w:ascii="Verdana" w:eastAsia="Calibri" w:hAnsi="Verdana" w:cs="Arial"/>
          <w:color w:val="000000"/>
        </w:rPr>
        <w:t>es decir, que el proponente deberá verificar en primer lugar si accederá al referido puntaje mediante alguno de los dos conceptos mencionados que se relacionan así en la siguiente tabla:</w:t>
      </w:r>
    </w:p>
    <w:p w14:paraId="0A7B668A" w14:textId="77777777" w:rsidR="00EE2D2F" w:rsidRPr="00EE2D2F" w:rsidRDefault="00EE2D2F" w:rsidP="00EE2D2F">
      <w:pPr>
        <w:spacing w:after="0" w:line="276" w:lineRule="auto"/>
        <w:ind w:firstLine="709"/>
        <w:jc w:val="both"/>
        <w:rPr>
          <w:rFonts w:ascii="Verdana" w:eastAsia="Calibri" w:hAnsi="Verdana" w:cs="Arial"/>
          <w:color w:val="000000"/>
        </w:rPr>
      </w:pP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EE2D2F" w:rsidRPr="00EE2D2F" w14:paraId="5B0DCC56" w14:textId="77777777" w:rsidTr="00C80FF3">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vAlign w:val="center"/>
            <w:hideMark/>
          </w:tcPr>
          <w:p w14:paraId="3B198171" w14:textId="77777777" w:rsidR="00EE2D2F" w:rsidRPr="00EE2D2F" w:rsidRDefault="00EE2D2F" w:rsidP="00EE2D2F">
            <w:pPr>
              <w:spacing w:line="276" w:lineRule="auto"/>
              <w:jc w:val="center"/>
              <w:rPr>
                <w:rFonts w:ascii="Verdana" w:eastAsia="Calibri" w:hAnsi="Verdana" w:cs="Arial"/>
                <w:b/>
                <w:caps/>
                <w:noProof/>
                <w:sz w:val="20"/>
                <w:szCs w:val="18"/>
                <w:lang w:val="es-ES"/>
              </w:rPr>
            </w:pPr>
            <w:r w:rsidRPr="00EE2D2F">
              <w:rPr>
                <w:rFonts w:ascii="Verdana" w:eastAsia="Calibri" w:hAnsi="Verdana" w:cs="Arial"/>
                <w:b/>
                <w:bCs/>
                <w:noProof/>
                <w:sz w:val="20"/>
                <w:szCs w:val="18"/>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vAlign w:val="center"/>
            <w:hideMark/>
          </w:tcPr>
          <w:p w14:paraId="5C87A690" w14:textId="77777777" w:rsidR="00EE2D2F" w:rsidRPr="00EE2D2F" w:rsidRDefault="00EE2D2F" w:rsidP="00EE2D2F">
            <w:pPr>
              <w:spacing w:line="276" w:lineRule="auto"/>
              <w:jc w:val="center"/>
              <w:rPr>
                <w:rFonts w:ascii="Verdana" w:eastAsia="Calibri" w:hAnsi="Verdana" w:cs="Arial"/>
                <w:b/>
                <w:caps/>
                <w:noProof/>
                <w:sz w:val="20"/>
                <w:szCs w:val="18"/>
                <w:lang w:val="es-ES"/>
              </w:rPr>
            </w:pPr>
            <w:r w:rsidRPr="00EE2D2F">
              <w:rPr>
                <w:rFonts w:ascii="Verdana" w:eastAsia="Calibri" w:hAnsi="Verdana" w:cs="Arial"/>
                <w:b/>
                <w:bCs/>
                <w:noProof/>
                <w:sz w:val="20"/>
                <w:szCs w:val="18"/>
                <w:lang w:val="es-ES"/>
              </w:rPr>
              <w:t>Puntaje</w:t>
            </w:r>
          </w:p>
        </w:tc>
      </w:tr>
      <w:tr w:rsidR="00EE2D2F" w:rsidRPr="00EE2D2F" w14:paraId="08F90C2A" w14:textId="77777777" w:rsidTr="00C80FF3">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3B64D9E8" w14:textId="77777777" w:rsidR="00EE2D2F" w:rsidRPr="00EE2D2F" w:rsidRDefault="00EE2D2F" w:rsidP="00EE2D2F">
            <w:pPr>
              <w:spacing w:line="276" w:lineRule="auto"/>
              <w:jc w:val="both"/>
              <w:rPr>
                <w:rFonts w:ascii="Verdana" w:eastAsia="Calibri" w:hAnsi="Verdana" w:cs="Arial"/>
                <w:caps/>
                <w:sz w:val="20"/>
                <w:szCs w:val="18"/>
                <w:lang w:val="es-ES"/>
              </w:rPr>
            </w:pPr>
            <w:r w:rsidRPr="00EE2D2F">
              <w:rPr>
                <w:rFonts w:ascii="Verdana" w:eastAsia="Calibri" w:hAnsi="Verdana" w:cs="Arial"/>
                <w:sz w:val="20"/>
                <w:szCs w:val="18"/>
                <w:lang w:val="es-ES"/>
              </w:rPr>
              <w:t>Promoción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27086AE1" w14:textId="77777777" w:rsidR="00EE2D2F" w:rsidRPr="00EE2D2F" w:rsidRDefault="00EE2D2F" w:rsidP="00EE2D2F">
            <w:pPr>
              <w:spacing w:line="276" w:lineRule="auto"/>
              <w:jc w:val="center"/>
              <w:rPr>
                <w:rFonts w:ascii="Verdana" w:eastAsia="Calibri" w:hAnsi="Verdana" w:cs="Arial"/>
                <w:caps/>
                <w:sz w:val="20"/>
                <w:szCs w:val="18"/>
                <w:lang w:val="es-ES"/>
              </w:rPr>
            </w:pPr>
            <w:r w:rsidRPr="00EE2D2F">
              <w:rPr>
                <w:rFonts w:ascii="Verdana" w:eastAsia="Calibri" w:hAnsi="Verdana" w:cs="Arial"/>
                <w:sz w:val="20"/>
                <w:szCs w:val="18"/>
                <w:lang w:val="es-ES"/>
              </w:rPr>
              <w:t>20</w:t>
            </w:r>
          </w:p>
        </w:tc>
      </w:tr>
      <w:tr w:rsidR="00EE2D2F" w:rsidRPr="00EE2D2F" w14:paraId="66CF396A" w14:textId="77777777" w:rsidTr="00C80FF3">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5554533D" w14:textId="77777777" w:rsidR="00EE2D2F" w:rsidRPr="00EE2D2F" w:rsidRDefault="00EE2D2F" w:rsidP="00EE2D2F">
            <w:pPr>
              <w:spacing w:after="0" w:line="276" w:lineRule="auto"/>
              <w:jc w:val="both"/>
              <w:rPr>
                <w:rFonts w:ascii="Verdana" w:eastAsia="Calibri" w:hAnsi="Verdana" w:cs="Arial"/>
                <w:caps/>
                <w:noProof/>
                <w:sz w:val="20"/>
                <w:szCs w:val="18"/>
                <w:lang w:val="es-ES"/>
              </w:rPr>
            </w:pPr>
            <w:r w:rsidRPr="00EE2D2F">
              <w:rPr>
                <w:rFonts w:ascii="Verdana" w:eastAsia="Calibri" w:hAnsi="Verdana" w:cs="Arial"/>
                <w:noProof/>
                <w:sz w:val="20"/>
                <w:szCs w:val="18"/>
                <w:lang w:val="es-ES"/>
              </w:rPr>
              <w:t>Incorporación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1F0A3CE7" w14:textId="77777777" w:rsidR="00EE2D2F" w:rsidRPr="00EE2D2F" w:rsidRDefault="00EE2D2F" w:rsidP="00EE2D2F">
            <w:pPr>
              <w:spacing w:after="0" w:line="276" w:lineRule="auto"/>
              <w:jc w:val="center"/>
              <w:rPr>
                <w:rFonts w:ascii="Verdana" w:eastAsia="Calibri" w:hAnsi="Verdana" w:cs="Arial"/>
                <w:caps/>
                <w:noProof/>
                <w:sz w:val="20"/>
                <w:szCs w:val="18"/>
                <w:lang w:val="es-ES"/>
              </w:rPr>
            </w:pPr>
            <w:r w:rsidRPr="00EE2D2F">
              <w:rPr>
                <w:rFonts w:ascii="Verdana" w:eastAsia="Calibri" w:hAnsi="Verdana" w:cs="Arial"/>
                <w:noProof/>
                <w:sz w:val="20"/>
                <w:szCs w:val="18"/>
                <w:lang w:val="es-ES"/>
              </w:rPr>
              <w:t>5</w:t>
            </w:r>
          </w:p>
        </w:tc>
      </w:tr>
    </w:tbl>
    <w:p w14:paraId="36DA8CFF" w14:textId="77777777" w:rsidR="00EE2D2F" w:rsidRPr="00EE2D2F" w:rsidRDefault="00EE2D2F" w:rsidP="00EE2D2F">
      <w:pPr>
        <w:widowControl w:val="0"/>
        <w:autoSpaceDE w:val="0"/>
        <w:autoSpaceDN w:val="0"/>
        <w:spacing w:after="120" w:line="276" w:lineRule="auto"/>
        <w:jc w:val="both"/>
        <w:rPr>
          <w:rFonts w:ascii="Verdana" w:eastAsia="Calibri" w:hAnsi="Verdana" w:cs="Arial"/>
          <w:kern w:val="2"/>
          <w14:ligatures w14:val="standardContextual"/>
        </w:rPr>
      </w:pPr>
    </w:p>
    <w:p w14:paraId="795FE548" w14:textId="77777777" w:rsidR="00EE2D2F" w:rsidRPr="00EE2D2F" w:rsidRDefault="00EE2D2F" w:rsidP="00EE2D2F">
      <w:pPr>
        <w:widowControl w:val="0"/>
        <w:autoSpaceDE w:val="0"/>
        <w:autoSpaceDN w:val="0"/>
        <w:spacing w:after="120" w:line="276" w:lineRule="auto"/>
        <w:ind w:firstLine="708"/>
        <w:jc w:val="both"/>
        <w:rPr>
          <w:rFonts w:ascii="Verdana" w:eastAsia="Arial" w:hAnsi="Verdana" w:cs="Arial"/>
          <w:bCs/>
          <w:lang w:eastAsia="es-ES" w:bidi="es-ES"/>
        </w:rPr>
      </w:pPr>
      <w:r w:rsidRPr="00EE2D2F">
        <w:rPr>
          <w:rFonts w:ascii="Verdana" w:eastAsia="Calibri" w:hAnsi="Verdana" w:cs="Arial"/>
          <w:kern w:val="2"/>
          <w14:ligatures w14:val="standardContextual"/>
        </w:rPr>
        <w:t xml:space="preserve">Concretamente, </w:t>
      </w:r>
      <w:r w:rsidRPr="00EE2D2F">
        <w:rPr>
          <w:rFonts w:ascii="Verdana" w:eastAsia="Arial" w:hAnsi="Verdana" w:cs="Arial"/>
          <w:bCs/>
          <w:lang w:eastAsia="es-ES" w:bidi="es-ES"/>
        </w:rPr>
        <w:t xml:space="preserve">teniendo en cuenta que en su consulta usted indaga sobre </w:t>
      </w:r>
      <w:r w:rsidRPr="00EE2D2F">
        <w:rPr>
          <w:rFonts w:ascii="Verdana" w:eastAsia="Arial" w:hAnsi="Verdana" w:cs="Arial"/>
          <w:bCs/>
          <w:lang w:eastAsia="es-ES" w:bidi="es-ES"/>
        </w:rPr>
        <w:lastRenderedPageBreak/>
        <w:t xml:space="preserve">el modo de aplicación del numeral “4.3.1 Promoción de servicios nacionales o con trato nacional”, de los documentos tipo de selección abreviada de menor cuantía de obra pública de infraestructura social – versión 1, a continuación, se analizará el alcance de ese numeral. </w:t>
      </w:r>
    </w:p>
    <w:p w14:paraId="6EEBE268" w14:textId="77777777" w:rsidR="00EE2D2F" w:rsidRPr="00EE2D2F" w:rsidRDefault="00EE2D2F" w:rsidP="00EE2D2F">
      <w:pPr>
        <w:widowControl w:val="0"/>
        <w:autoSpaceDE w:val="0"/>
        <w:autoSpaceDN w:val="0"/>
        <w:spacing w:after="0" w:line="276" w:lineRule="auto"/>
        <w:ind w:firstLine="708"/>
        <w:jc w:val="both"/>
        <w:rPr>
          <w:rFonts w:ascii="Verdana" w:eastAsia="Arial" w:hAnsi="Verdana" w:cs="Arial"/>
          <w:bCs/>
          <w:lang w:eastAsia="es-ES" w:bidi="es-ES"/>
        </w:rPr>
      </w:pPr>
      <w:r w:rsidRPr="00EE2D2F">
        <w:rPr>
          <w:rFonts w:ascii="Verdana" w:eastAsia="Arial" w:hAnsi="Verdana" w:cs="Arial"/>
          <w:bCs/>
          <w:lang w:eastAsia="es-ES" w:bidi="es-ES"/>
        </w:rPr>
        <w:t xml:space="preserve">El numeral “4.3.1 Promoción de servicios nacionales o con trato nacional”, de los documentos tipo señalados, en sus tres (3) primeros incisos, </w:t>
      </w:r>
      <w:r w:rsidRPr="00EE2D2F">
        <w:rPr>
          <w:rFonts w:ascii="Verdana" w:eastAsia="Calibri" w:hAnsi="Verdana" w:cs="Arial"/>
          <w:bCs/>
          <w:color w:val="000000"/>
          <w:lang w:val="es-ES_tradnl"/>
        </w:rPr>
        <w:t xml:space="preserve">dispone la modificación parcial que introdujo el artículo 1 del Decreto 680 de 2021 al artículo 2.2.1.1.1.3.1. del Decreto 1082 de 2015, para definir los </w:t>
      </w:r>
      <w:r w:rsidRPr="00EE2D2F">
        <w:rPr>
          <w:rFonts w:ascii="Verdana" w:eastAsia="Calibri" w:hAnsi="Verdana" w:cs="Arial"/>
          <w:bCs/>
          <w:i/>
          <w:iCs/>
          <w:color w:val="000000"/>
          <w:lang w:val="es-ES_tradnl"/>
        </w:rPr>
        <w:t>servicios nacionales</w:t>
      </w:r>
      <w:r w:rsidRPr="00EE2D2F">
        <w:rPr>
          <w:rFonts w:ascii="Verdana" w:eastAsia="Calibri" w:hAnsi="Verdana" w:cs="Arial"/>
          <w:bCs/>
          <w:color w:val="000000"/>
          <w:lang w:val="es-ES_tradnl"/>
        </w:rPr>
        <w:t xml:space="preserve"> en forma distinta, así:</w:t>
      </w:r>
    </w:p>
    <w:p w14:paraId="6A599528" w14:textId="77777777" w:rsidR="00EE2D2F" w:rsidRPr="00EE2D2F" w:rsidRDefault="00EE2D2F" w:rsidP="00EE2D2F">
      <w:pPr>
        <w:widowControl w:val="0"/>
        <w:autoSpaceDE w:val="0"/>
        <w:autoSpaceDN w:val="0"/>
        <w:spacing w:after="0" w:line="276" w:lineRule="auto"/>
        <w:jc w:val="both"/>
        <w:rPr>
          <w:rFonts w:ascii="Verdana" w:eastAsia="Arial" w:hAnsi="Verdana" w:cs="Arial"/>
          <w:bCs/>
          <w:lang w:eastAsia="es-ES" w:bidi="es-ES"/>
        </w:rPr>
      </w:pPr>
    </w:p>
    <w:p w14:paraId="09BC1699" w14:textId="77777777" w:rsidR="00EE2D2F" w:rsidRPr="00EE2D2F" w:rsidRDefault="00EE2D2F" w:rsidP="00EE2D2F">
      <w:pPr>
        <w:widowControl w:val="0"/>
        <w:autoSpaceDE w:val="0"/>
        <w:autoSpaceDN w:val="0"/>
        <w:spacing w:after="120" w:line="240" w:lineRule="auto"/>
        <w:ind w:left="709" w:right="709"/>
        <w:jc w:val="both"/>
        <w:rPr>
          <w:rFonts w:ascii="Verdana" w:eastAsia="Calibri" w:hAnsi="Verdana" w:cs="Arial"/>
          <w:b/>
          <w:bCs/>
          <w:sz w:val="21"/>
          <w:szCs w:val="21"/>
          <w:lang w:val="es-MX"/>
        </w:rPr>
      </w:pPr>
      <w:r w:rsidRPr="00EE2D2F">
        <w:rPr>
          <w:rFonts w:ascii="Verdana" w:eastAsia="Calibri" w:hAnsi="Verdana" w:cs="Arial"/>
          <w:b/>
          <w:bCs/>
          <w:sz w:val="21"/>
          <w:szCs w:val="21"/>
          <w:lang w:val="es-MX"/>
        </w:rPr>
        <w:t>4.3.1 Promoción de servicios nacionales o con trato nacional</w:t>
      </w:r>
    </w:p>
    <w:p w14:paraId="0FBB90C0" w14:textId="77777777" w:rsidR="00EE2D2F" w:rsidRPr="00EE2D2F" w:rsidRDefault="00EE2D2F" w:rsidP="00EE2D2F">
      <w:pPr>
        <w:spacing w:line="240" w:lineRule="auto"/>
        <w:ind w:left="709" w:right="709"/>
        <w:jc w:val="both"/>
        <w:rPr>
          <w:rFonts w:ascii="Verdana" w:eastAsia="Aptos" w:hAnsi="Verdana" w:cs="Arial"/>
          <w:kern w:val="2"/>
          <w:sz w:val="21"/>
          <w:szCs w:val="21"/>
          <w:lang w:val="es-MX"/>
          <w14:ligatures w14:val="standardContextual"/>
        </w:rPr>
      </w:pPr>
      <w:r w:rsidRPr="00EE2D2F">
        <w:rPr>
          <w:rFonts w:ascii="Verdana" w:eastAsia="Aptos" w:hAnsi="Verdana" w:cs="Arial"/>
          <w:kern w:val="2"/>
          <w:sz w:val="21"/>
          <w:szCs w:val="21"/>
          <w:lang w:val="es-MX"/>
          <w14:ligatures w14:val="standardContextual"/>
        </w:rPr>
        <w:t>En los Contratos que deban cumplirse en Colombia, el servicio es nacional cuando además de ofertarse por una persona natural colombiana o por un residente en Colombia, por una persona jurídica constituida de conformidad con la legislación colombiana o por un Proponente Plural conformado por estos o por estos y un extranjero con Trato Nacional, (i) usa el o los bienes nacionales relevantes definidos por la Entidad para el desarrollo de la obra o (</w:t>
      </w:r>
      <w:proofErr w:type="spellStart"/>
      <w:r w:rsidRPr="00EE2D2F">
        <w:rPr>
          <w:rFonts w:ascii="Verdana" w:eastAsia="Aptos" w:hAnsi="Verdana" w:cs="Arial"/>
          <w:kern w:val="2"/>
          <w:sz w:val="21"/>
          <w:szCs w:val="21"/>
          <w:lang w:val="es-MX"/>
          <w14:ligatures w14:val="standardContextual"/>
        </w:rPr>
        <w:t>ii</w:t>
      </w:r>
      <w:proofErr w:type="spellEnd"/>
      <w:r w:rsidRPr="00EE2D2F">
        <w:rPr>
          <w:rFonts w:ascii="Verdana" w:eastAsia="Aptos" w:hAnsi="Verdana" w:cs="Arial"/>
          <w:kern w:val="2"/>
          <w:sz w:val="21"/>
          <w:szCs w:val="21"/>
          <w:lang w:val="es-MX"/>
          <w14:ligatures w14:val="standardContextual"/>
        </w:rPr>
        <w:t>) vincula el porcentaje mínimo de personal colombiano, según corresponda.</w:t>
      </w:r>
    </w:p>
    <w:p w14:paraId="29ACCCD3" w14:textId="77777777" w:rsidR="00EE2D2F" w:rsidRPr="00EE2D2F" w:rsidRDefault="00EE2D2F" w:rsidP="00EE2D2F">
      <w:pPr>
        <w:spacing w:line="240" w:lineRule="auto"/>
        <w:ind w:left="709" w:right="709"/>
        <w:jc w:val="both"/>
        <w:rPr>
          <w:rFonts w:ascii="Verdana" w:eastAsia="Aptos" w:hAnsi="Verdana" w:cs="Arial"/>
          <w:kern w:val="2"/>
          <w:sz w:val="21"/>
          <w:szCs w:val="21"/>
          <w:lang w:val="es-MX"/>
          <w14:ligatures w14:val="standardContextual"/>
        </w:rPr>
      </w:pPr>
      <w:r w:rsidRPr="00EE2D2F">
        <w:rPr>
          <w:rFonts w:ascii="Verdana" w:eastAsia="Aptos" w:hAnsi="Verdana" w:cs="Arial"/>
          <w:kern w:val="2"/>
          <w:sz w:val="21"/>
          <w:szCs w:val="21"/>
          <w:lang w:val="es-MX"/>
          <w14:ligatures w14:val="standardContextual"/>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por un Proponente Plural conformado por estos, sin que sea necesario el uso de bienes colombianos o la vinculación de personal colombiano.</w:t>
      </w:r>
    </w:p>
    <w:p w14:paraId="653A8188" w14:textId="77777777" w:rsidR="00EE2D2F" w:rsidRPr="00EE2D2F" w:rsidRDefault="00EE2D2F" w:rsidP="00EE2D2F">
      <w:pPr>
        <w:spacing w:line="240" w:lineRule="auto"/>
        <w:ind w:left="709" w:right="709"/>
        <w:jc w:val="both"/>
        <w:rPr>
          <w:rFonts w:ascii="Verdana" w:eastAsia="Aptos" w:hAnsi="Verdana" w:cs="Arial"/>
          <w:kern w:val="2"/>
          <w:sz w:val="21"/>
          <w:szCs w:val="21"/>
          <w:lang w:val="es-MX"/>
          <w14:ligatures w14:val="standardContextual"/>
        </w:rPr>
      </w:pPr>
      <w:r w:rsidRPr="00EE2D2F">
        <w:rPr>
          <w:rFonts w:ascii="Verdana" w:eastAsia="Aptos" w:hAnsi="Verdana" w:cs="Arial"/>
          <w:kern w:val="2"/>
          <w:sz w:val="21"/>
          <w:szCs w:val="21"/>
          <w:lang w:val="es-MX"/>
          <w14:ligatures w14:val="standardContextual"/>
        </w:rPr>
        <w:t xml:space="preserve">En el caso de los Proponentes extranjeros con trato nacional que participen en el Proceso de Contratación de manera singular o mediante la conformación de un Proponente Plural podrán definir si aplican las reglas previstas en este numeral o, </w:t>
      </w:r>
      <w:proofErr w:type="gramStart"/>
      <w:r w:rsidRPr="00EE2D2F">
        <w:rPr>
          <w:rFonts w:ascii="Verdana" w:eastAsia="Aptos" w:hAnsi="Verdana" w:cs="Arial"/>
          <w:kern w:val="2"/>
          <w:sz w:val="21"/>
          <w:szCs w:val="21"/>
          <w:lang w:val="es-MX"/>
          <w14:ligatures w14:val="standardContextual"/>
        </w:rPr>
        <w:t>si</w:t>
      </w:r>
      <w:proofErr w:type="gramEnd"/>
      <w:r w:rsidRPr="00EE2D2F">
        <w:rPr>
          <w:rFonts w:ascii="Verdana" w:eastAsia="Aptos" w:hAnsi="Verdana" w:cs="Arial"/>
          <w:kern w:val="2"/>
          <w:sz w:val="21"/>
          <w:szCs w:val="21"/>
          <w:lang w:val="es-MX"/>
          <w14:ligatures w14:val="standardContextual"/>
        </w:rPr>
        <w:t xml:space="preserve"> por el contrario, deciden acogerse a la regla de origen de su país. Para definir la regla aplicable al proceso, el Proponente extranjero con trato nacional así lo manifestará con el diligenciamiento de la opción 3 del Formato 9A – Promoción de Servicios Nacionales o con Trato Nacional. En el caso que no se diligencie la opción 3 del Formato 9A – Promoción de Servicios Nacionales o con Trato Nacional, la Entidad deberá evaluar la oferta de acuerdo con las reglas previstas en este numeral. </w:t>
      </w:r>
    </w:p>
    <w:p w14:paraId="1088382B" w14:textId="77777777" w:rsidR="00EE2D2F" w:rsidRPr="00EE2D2F" w:rsidRDefault="00EE2D2F" w:rsidP="00EE2D2F">
      <w:pPr>
        <w:spacing w:after="120" w:line="240" w:lineRule="auto"/>
        <w:ind w:left="709" w:right="709"/>
        <w:jc w:val="both"/>
        <w:rPr>
          <w:rFonts w:ascii="Verdana" w:eastAsia="Calibri" w:hAnsi="Verdana" w:cs="Arial"/>
          <w:sz w:val="21"/>
          <w:szCs w:val="21"/>
          <w:lang w:val="es-MX"/>
        </w:rPr>
      </w:pPr>
      <w:r w:rsidRPr="00EE2D2F">
        <w:rPr>
          <w:rFonts w:ascii="Verdana" w:eastAsia="Calibri" w:hAnsi="Verdana" w:cs="Arial"/>
          <w:sz w:val="21"/>
          <w:szCs w:val="21"/>
          <w:lang w:val="es-MX"/>
        </w:rPr>
        <w:t>(…)”.</w:t>
      </w:r>
    </w:p>
    <w:p w14:paraId="54DF8377" w14:textId="77777777" w:rsidR="00EE2D2F" w:rsidRPr="00EE2D2F" w:rsidRDefault="00EE2D2F" w:rsidP="00EE2D2F">
      <w:pPr>
        <w:spacing w:after="0"/>
        <w:ind w:left="708"/>
        <w:jc w:val="both"/>
        <w:rPr>
          <w:rFonts w:ascii="Verdana" w:eastAsia="Calibri" w:hAnsi="Verdana" w:cs="Times New Roman"/>
          <w:lang w:val="es-MX"/>
        </w:rPr>
      </w:pPr>
    </w:p>
    <w:p w14:paraId="1DC34EC3" w14:textId="77777777" w:rsidR="00EE2D2F" w:rsidRPr="00EE2D2F" w:rsidRDefault="00EE2D2F" w:rsidP="00EE2D2F">
      <w:pPr>
        <w:widowControl w:val="0"/>
        <w:autoSpaceDE w:val="0"/>
        <w:autoSpaceDN w:val="0"/>
        <w:spacing w:after="120" w:line="276" w:lineRule="auto"/>
        <w:jc w:val="both"/>
        <w:rPr>
          <w:rFonts w:ascii="Verdana" w:eastAsia="Calibri" w:hAnsi="Verdana" w:cs="Arial"/>
          <w:bCs/>
          <w:color w:val="000000"/>
          <w:lang w:val="es-ES_tradnl"/>
        </w:rPr>
      </w:pPr>
      <w:r w:rsidRPr="00EE2D2F">
        <w:rPr>
          <w:rFonts w:ascii="Verdana" w:eastAsia="Arial" w:hAnsi="Verdana" w:cs="Arial"/>
          <w:bCs/>
          <w:lang w:eastAsia="es-ES" w:bidi="es-ES"/>
        </w:rPr>
        <w:tab/>
        <w:t>Conforme con lo anterior, en los documentos tipo de selección abreviada de menor cuantía de obra pública de infraestructura social – versión 1 se otorgará el puntaje de industria nacional a los proponentes que presten servicios nacionales en los términos del Decreto 680 de 2021. Así</w:t>
      </w:r>
      <w:r w:rsidRPr="00EE2D2F">
        <w:rPr>
          <w:rFonts w:ascii="Verdana" w:eastAsia="Calibri" w:hAnsi="Verdana" w:cs="Arial"/>
          <w:bCs/>
          <w:color w:val="000000"/>
          <w:lang w:val="es-ES_tradnl"/>
        </w:rPr>
        <w:t>, la noción de Servicios Nacionales no está determinada únicamente por la naturaleza jurídica de su prestador, ya que, además de tratarse de una persona natural colombiana o jurídica conformada según la ley colombiana, se requiere que la propuesta, en principio, incluya en la ejecución del contrato la utilización de los bienes nacionales relevantes. En consecuencia, si el contrato debe cumplirse en Colombia, la entidad estatal debe definir los bienes nacionales relevantes, pues el uso de estos por parte del proponente es uno de los criterios que permiten establecer si el servicio puede calificarse como nacional –el otro criterio es la vinculación del porcentaje mínimo de personal colombiano, según corresponda–. Si el contrato no debe cumplirse en Colombia, no es necesario que se usen bienes o personal colombianos, para que el servicio sea nacional, sino que basta con que sea prestado “por una persona natural colombiana o por un residente en Colombia, por una persona jurídica constituida de conformidad con la legislación colombiana o un proponente plural conformado por estos”. Lo anterior en consonancia con el artículo 1 del Decreto 680 de 2021.</w:t>
      </w:r>
    </w:p>
    <w:p w14:paraId="68B16335" w14:textId="77777777" w:rsidR="00EE2D2F" w:rsidRPr="00EE2D2F" w:rsidRDefault="00EE2D2F" w:rsidP="00EE2D2F">
      <w:pPr>
        <w:spacing w:after="120" w:line="276" w:lineRule="auto"/>
        <w:ind w:firstLine="708"/>
        <w:jc w:val="both"/>
        <w:rPr>
          <w:rFonts w:ascii="Verdana" w:eastAsia="Calibri" w:hAnsi="Verdana" w:cs="Arial"/>
          <w:lang w:val="es-MX"/>
        </w:rPr>
      </w:pPr>
      <w:r w:rsidRPr="00EE2D2F">
        <w:rPr>
          <w:rFonts w:ascii="Verdana" w:eastAsia="Arial" w:hAnsi="Verdana" w:cs="Arial"/>
          <w:bCs/>
          <w:lang w:eastAsia="es-ES" w:bidi="es-ES"/>
        </w:rPr>
        <w:t xml:space="preserve">Para los </w:t>
      </w:r>
      <w:r w:rsidRPr="00EE2D2F">
        <w:rPr>
          <w:rFonts w:ascii="Verdana" w:eastAsia="Calibri" w:hAnsi="Verdana" w:cs="Arial"/>
          <w:lang w:val="es-MX"/>
        </w:rPr>
        <w:t>Proponentes extranjeros con trato nacional que participen en el Proceso de Contratación de manera singular o mediante la conformación de un Proponente Plural −según se dispone en el inciso tercero del numeral 4.3.1−, estos podrán definir si aplican las reglas previstas en el numeral 4</w:t>
      </w:r>
      <w:r w:rsidRPr="00EE2D2F">
        <w:rPr>
          <w:rFonts w:ascii="Verdana" w:eastAsia="Arial" w:hAnsi="Verdana" w:cs="Arial"/>
          <w:bCs/>
          <w:lang w:eastAsia="es-ES" w:bidi="es-ES"/>
        </w:rPr>
        <w:t xml:space="preserve">.3.1 “Promoción de servicios nacionales o con trato nacional”, de los documentos tipo de selección abreviada de menor cuantía de obra pública de infraestructura social – Versión 1, </w:t>
      </w:r>
      <w:r w:rsidRPr="00EE2D2F">
        <w:rPr>
          <w:rFonts w:ascii="Verdana" w:eastAsia="Calibri" w:hAnsi="Verdana" w:cs="Arial"/>
          <w:lang w:val="es-MX"/>
        </w:rPr>
        <w:t xml:space="preserve">o, si por el contrario, se acogen a la regla de origen de su país. Para definir la regla aplicable al proceso, los Proponentes extranjeros deben manifestarlo con el diligenciamiento de la opción 3 del Formato 9A – Promoción de Servicios Nacionales o con Trato Nacional, en la que manifiestan su voluntad de acogerse a la regla de origen de su país. Por otra parte, si no se diligencia este formato, la Entidad Estatal deberá evaluar la oferta de acuerdo con las reglas previstas en el numeral </w:t>
      </w:r>
      <w:r w:rsidRPr="00EE2D2F">
        <w:rPr>
          <w:rFonts w:ascii="Verdana" w:eastAsia="Arial" w:hAnsi="Verdana" w:cs="Arial"/>
          <w:bCs/>
          <w:lang w:eastAsia="es-ES" w:bidi="es-ES"/>
        </w:rPr>
        <w:t>4.3.1 “Promoción de servicios nacionales o con trato nacional” del documento base o pliego tipo.</w:t>
      </w:r>
    </w:p>
    <w:p w14:paraId="7837D652" w14:textId="77777777" w:rsidR="00EE2D2F" w:rsidRPr="00EE2D2F" w:rsidRDefault="00EE2D2F" w:rsidP="00EE2D2F">
      <w:pPr>
        <w:widowControl w:val="0"/>
        <w:autoSpaceDE w:val="0"/>
        <w:autoSpaceDN w:val="0"/>
        <w:spacing w:after="0" w:line="276" w:lineRule="auto"/>
        <w:ind w:firstLine="709"/>
        <w:jc w:val="both"/>
        <w:rPr>
          <w:rFonts w:ascii="Verdana" w:eastAsia="Arial" w:hAnsi="Verdana" w:cs="Arial"/>
          <w:bCs/>
          <w:lang w:eastAsia="es-ES" w:bidi="es-ES"/>
        </w:rPr>
      </w:pPr>
      <w:r w:rsidRPr="00EE2D2F">
        <w:rPr>
          <w:rFonts w:ascii="Verdana" w:eastAsia="Arial" w:hAnsi="Verdana" w:cs="Arial"/>
          <w:bCs/>
          <w:lang w:eastAsia="es-ES" w:bidi="es-ES"/>
        </w:rPr>
        <w:t xml:space="preserve">Asimismo, en el numeral </w:t>
      </w:r>
      <w:r w:rsidRPr="00EE2D2F">
        <w:rPr>
          <w:rFonts w:ascii="Verdana" w:eastAsia="Calibri" w:hAnsi="Verdana" w:cs="Arial"/>
          <w:lang w:val="es-MX"/>
        </w:rPr>
        <w:t>4</w:t>
      </w:r>
      <w:r w:rsidRPr="00EE2D2F">
        <w:rPr>
          <w:rFonts w:ascii="Verdana" w:eastAsia="Arial" w:hAnsi="Verdana" w:cs="Arial"/>
          <w:bCs/>
          <w:lang w:eastAsia="es-ES" w:bidi="es-ES"/>
        </w:rPr>
        <w:t xml:space="preserve">.3.1 “Promoción de servicios nacionales o con trato nacional”, de los documentos tipo de selección abreviada de menor cuantía </w:t>
      </w:r>
      <w:r w:rsidRPr="00EE2D2F">
        <w:rPr>
          <w:rFonts w:ascii="Verdana" w:eastAsia="Arial" w:hAnsi="Verdana" w:cs="Arial"/>
          <w:bCs/>
          <w:lang w:eastAsia="es-ES" w:bidi="es-ES"/>
        </w:rPr>
        <w:lastRenderedPageBreak/>
        <w:t>de obra pública de infraestructura social – Versión 1, se implementan reglas que garantizan que las entidades estatales en sus procesos de contratación definan de manera razonable y proporcional los bienes nacionales relevantes. En este sentido, en el citado numeral se establece que:</w:t>
      </w:r>
    </w:p>
    <w:p w14:paraId="1126017A" w14:textId="77777777" w:rsidR="00EE2D2F" w:rsidRPr="00EE2D2F" w:rsidRDefault="00EE2D2F" w:rsidP="00EE2D2F">
      <w:pPr>
        <w:widowControl w:val="0"/>
        <w:autoSpaceDE w:val="0"/>
        <w:autoSpaceDN w:val="0"/>
        <w:spacing w:after="0" w:line="276" w:lineRule="auto"/>
        <w:ind w:firstLine="709"/>
        <w:jc w:val="both"/>
        <w:rPr>
          <w:rFonts w:ascii="Verdana" w:eastAsia="Arial" w:hAnsi="Verdana" w:cs="Arial"/>
          <w:bCs/>
          <w:lang w:eastAsia="es-ES" w:bidi="es-ES"/>
        </w:rPr>
      </w:pPr>
    </w:p>
    <w:p w14:paraId="7A135832" w14:textId="77777777" w:rsidR="00EE2D2F" w:rsidRPr="00EE2D2F" w:rsidRDefault="00EE2D2F" w:rsidP="00EE2D2F">
      <w:pPr>
        <w:spacing w:after="0"/>
        <w:ind w:left="709" w:right="709"/>
        <w:jc w:val="both"/>
        <w:rPr>
          <w:rFonts w:ascii="Verdana" w:eastAsia="Calibri" w:hAnsi="Verdana" w:cs="Times New Roman"/>
          <w:color w:val="000000"/>
          <w:sz w:val="21"/>
          <w:szCs w:val="21"/>
          <w:lang w:val="es-MX"/>
        </w:rPr>
      </w:pPr>
      <w:r w:rsidRPr="00EE2D2F">
        <w:rPr>
          <w:rFonts w:ascii="Verdana" w:eastAsia="Calibri" w:hAnsi="Verdana" w:cs="Times New Roman"/>
          <w:color w:val="000000"/>
          <w:sz w:val="21"/>
          <w:szCs w:val="21"/>
          <w:highlight w:val="lightGray"/>
          <w:lang w:val="es-MX"/>
        </w:rPr>
        <w:t>[Para determinar uno o varios bienes nacionales relevantes, la Entidad debe aplicar los criterios establecidos en el artículo 2.2.1.2.4.2.9. del Decreto 1082 de 2015, lo cual constará en los estudios y documentos previos y en las reglas definidas en la Matriz 4 – Bienes nacionales relevantes para la obra pública del sector social]:</w:t>
      </w:r>
    </w:p>
    <w:p w14:paraId="532B5CD1" w14:textId="77777777" w:rsidR="00EE2D2F" w:rsidRPr="00EE2D2F" w:rsidRDefault="00EE2D2F" w:rsidP="00EE2D2F">
      <w:pPr>
        <w:widowControl w:val="0"/>
        <w:autoSpaceDE w:val="0"/>
        <w:autoSpaceDN w:val="0"/>
        <w:spacing w:after="0" w:line="276" w:lineRule="auto"/>
        <w:jc w:val="both"/>
        <w:rPr>
          <w:rFonts w:ascii="Verdana" w:eastAsia="Arial" w:hAnsi="Verdana" w:cs="Arial"/>
          <w:bCs/>
          <w:lang w:eastAsia="es-ES" w:bidi="es-ES"/>
        </w:rPr>
      </w:pPr>
    </w:p>
    <w:p w14:paraId="419491EC" w14:textId="77777777" w:rsidR="00EE2D2F" w:rsidRPr="00EE2D2F" w:rsidRDefault="00EE2D2F" w:rsidP="00EE2D2F">
      <w:pPr>
        <w:widowControl w:val="0"/>
        <w:autoSpaceDE w:val="0"/>
        <w:autoSpaceDN w:val="0"/>
        <w:spacing w:after="120" w:line="276" w:lineRule="auto"/>
        <w:ind w:firstLine="709"/>
        <w:jc w:val="both"/>
        <w:rPr>
          <w:rFonts w:ascii="Verdana" w:eastAsia="Arial" w:hAnsi="Verdana" w:cs="Arial"/>
          <w:bCs/>
          <w:lang w:eastAsia="es-ES" w:bidi="es-ES"/>
        </w:rPr>
      </w:pPr>
      <w:r w:rsidRPr="00EE2D2F">
        <w:rPr>
          <w:rFonts w:ascii="Verdana" w:eastAsia="Arial" w:hAnsi="Verdana" w:cs="Arial"/>
          <w:bCs/>
          <w:lang w:eastAsia="es-ES" w:bidi="es-ES"/>
        </w:rPr>
        <w:t xml:space="preserve">Lo anterior guarda relación con los dispuesto en el artículo 2 del Decreto 680 de 2021, en donde se consagra la metodología con fundamento en la cual la entidad estatal debe definir los bienes colombianos relevantes y otorgar el puntaje de que trata el inciso 1 del artículo 2 de la Ley 816 de 2003. </w:t>
      </w:r>
    </w:p>
    <w:p w14:paraId="7BAED5F6" w14:textId="77777777" w:rsidR="00EE2D2F" w:rsidRPr="00EE2D2F" w:rsidRDefault="00EE2D2F" w:rsidP="00EE2D2F">
      <w:pPr>
        <w:widowControl w:val="0"/>
        <w:autoSpaceDE w:val="0"/>
        <w:autoSpaceDN w:val="0"/>
        <w:spacing w:after="120" w:line="276" w:lineRule="auto"/>
        <w:ind w:firstLine="709"/>
        <w:jc w:val="both"/>
        <w:rPr>
          <w:rFonts w:ascii="Verdana" w:eastAsia="Calibri" w:hAnsi="Verdana" w:cs="Arial"/>
          <w:bCs/>
          <w:color w:val="000000"/>
          <w:lang w:val="es-ES_tradnl"/>
        </w:rPr>
      </w:pPr>
      <w:r w:rsidRPr="00EE2D2F">
        <w:rPr>
          <w:rFonts w:ascii="Verdana" w:eastAsia="Arial" w:hAnsi="Verdana" w:cs="Arial"/>
          <w:bCs/>
          <w:lang w:eastAsia="es-ES" w:bidi="es-ES"/>
        </w:rPr>
        <w:t xml:space="preserve">Para determinar uno o varios bienes nacionales relevantes la entidad estatal debe aplicar los criterios establecidos en el artículo </w:t>
      </w:r>
      <w:r w:rsidRPr="00EE2D2F">
        <w:rPr>
          <w:rFonts w:ascii="Verdana" w:eastAsia="Arial" w:hAnsi="Verdana" w:cs="Arial"/>
          <w:lang w:val="es-419"/>
        </w:rPr>
        <w:t xml:space="preserve">2.2.1.2.4.2.9. del Decreto 1082 de 2015 </w:t>
      </w:r>
      <w:r w:rsidRPr="00EE2D2F">
        <w:rPr>
          <w:rFonts w:ascii="Verdana" w:eastAsia="Calibri" w:hAnsi="Verdana" w:cs="Arial"/>
          <w:bCs/>
          <w:color w:val="000000"/>
          <w:lang w:val="es-ES_tradnl"/>
        </w:rPr>
        <w:t xml:space="preserve">adicionado por el Decreto 680 de 2021, a saber: i) “el análisis del sector económico y de los oferentes, y, toda aquella información adicional con la que cuente la entidad estatal en la etapa de planeación del Proceso de Contratación”, </w:t>
      </w:r>
      <w:proofErr w:type="spellStart"/>
      <w:r w:rsidRPr="00EE2D2F">
        <w:rPr>
          <w:rFonts w:ascii="Verdana" w:eastAsia="Calibri" w:hAnsi="Verdana" w:cs="Arial"/>
          <w:bCs/>
          <w:color w:val="000000"/>
          <w:lang w:val="es-ES_tradnl"/>
        </w:rPr>
        <w:t>ii</w:t>
      </w:r>
      <w:proofErr w:type="spellEnd"/>
      <w:r w:rsidRPr="00EE2D2F">
        <w:rPr>
          <w:rFonts w:ascii="Verdana" w:eastAsia="Calibri" w:hAnsi="Verdana" w:cs="Arial"/>
          <w:bCs/>
          <w:color w:val="000000"/>
          <w:lang w:val="es-ES_tradnl"/>
        </w:rPr>
        <w:t xml:space="preserve">) el porcentaje de participación de los bienes en el presupuesto del Proceso de Contratación y </w:t>
      </w:r>
      <w:proofErr w:type="spellStart"/>
      <w:r w:rsidRPr="00EE2D2F">
        <w:rPr>
          <w:rFonts w:ascii="Verdana" w:eastAsia="Calibri" w:hAnsi="Verdana" w:cs="Arial"/>
          <w:bCs/>
          <w:color w:val="000000"/>
          <w:lang w:val="es-ES_tradnl"/>
        </w:rPr>
        <w:t>iii</w:t>
      </w:r>
      <w:proofErr w:type="spellEnd"/>
      <w:r w:rsidRPr="00EE2D2F">
        <w:rPr>
          <w:rFonts w:ascii="Verdana" w:eastAsia="Calibri" w:hAnsi="Verdana" w:cs="Arial"/>
          <w:bCs/>
          <w:color w:val="000000"/>
          <w:lang w:val="es-ES_tradnl"/>
        </w:rPr>
        <w:t xml:space="preserve">) la existencia de los bienes en el Registro de Productores de Bienes Nacionales, en los términos del Decreto 2680 de 2009. </w:t>
      </w:r>
      <w:r w:rsidRPr="00EE2D2F">
        <w:rPr>
          <w:rFonts w:ascii="Verdana" w:eastAsia="Arial" w:hAnsi="Verdana" w:cs="Arial"/>
          <w:lang w:val="es-419"/>
        </w:rPr>
        <w:t xml:space="preserve">Además de estos tres criterios, la entidad estatal deberá aplicar los parámetros contenidos en la </w:t>
      </w:r>
      <w:r w:rsidRPr="00EE2D2F">
        <w:rPr>
          <w:rFonts w:ascii="Verdana" w:eastAsia="Arial" w:hAnsi="Verdana" w:cs="Arial"/>
          <w:bCs/>
          <w:lang w:eastAsia="es-ES" w:bidi="es-ES"/>
        </w:rPr>
        <w:t>Matriz 4 – Bienes nacionales relevantes para la obra pública del sector social, en la que s</w:t>
      </w:r>
      <w:proofErr w:type="spellStart"/>
      <w:r w:rsidRPr="00EE2D2F">
        <w:rPr>
          <w:rFonts w:ascii="Verdana" w:eastAsia="Calibri" w:hAnsi="Verdana" w:cs="Arial"/>
          <w:bCs/>
          <w:color w:val="000000"/>
          <w:lang w:val="es-ES_tradnl"/>
        </w:rPr>
        <w:t>e</w:t>
      </w:r>
      <w:proofErr w:type="spellEnd"/>
      <w:r w:rsidRPr="00EE2D2F">
        <w:rPr>
          <w:rFonts w:ascii="Verdana" w:eastAsia="Calibri" w:hAnsi="Verdana" w:cs="Arial"/>
          <w:bCs/>
          <w:color w:val="000000"/>
          <w:lang w:val="es-ES_tradnl"/>
        </w:rPr>
        <w:t xml:space="preserve"> desarrolla una metodología para identificar los bienes nacionales relevantes para la ejecución del objeto a contratar. </w:t>
      </w:r>
    </w:p>
    <w:p w14:paraId="7D53264A" w14:textId="77777777" w:rsidR="00EE2D2F" w:rsidRPr="00EE2D2F" w:rsidRDefault="00EE2D2F" w:rsidP="00EE2D2F">
      <w:pPr>
        <w:autoSpaceDE w:val="0"/>
        <w:autoSpaceDN w:val="0"/>
        <w:adjustRightInd w:val="0"/>
        <w:spacing w:after="0" w:line="240" w:lineRule="auto"/>
        <w:ind w:firstLine="708"/>
        <w:jc w:val="both"/>
        <w:rPr>
          <w:rFonts w:ascii="Verdana" w:eastAsia="Calibri" w:hAnsi="Verdana" w:cs="Arial"/>
          <w:bCs/>
          <w:color w:val="000000"/>
          <w:lang w:val="es-ES_tradnl"/>
        </w:rPr>
      </w:pPr>
      <w:r w:rsidRPr="00EE2D2F">
        <w:rPr>
          <w:rFonts w:ascii="Verdana" w:eastAsia="Calibri" w:hAnsi="Verdana" w:cs="Arial"/>
          <w:bCs/>
          <w:color w:val="000000"/>
          <w:lang w:val="es-ES_tradnl"/>
        </w:rPr>
        <w:t>A continuación, se enuncian los pasos a seguir que contiene la Matriz 4 – Bienes nacionales relevantes para la obra pública del sector social, para la identificación de los bienes nacionales relevantes:</w:t>
      </w:r>
    </w:p>
    <w:p w14:paraId="79F0E2AF" w14:textId="77777777" w:rsidR="00EE2D2F" w:rsidRPr="00EE2D2F" w:rsidRDefault="00EE2D2F" w:rsidP="00EE2D2F">
      <w:pPr>
        <w:autoSpaceDE w:val="0"/>
        <w:autoSpaceDN w:val="0"/>
        <w:adjustRightInd w:val="0"/>
        <w:spacing w:after="0" w:line="240" w:lineRule="auto"/>
        <w:ind w:firstLine="708"/>
        <w:jc w:val="both"/>
        <w:rPr>
          <w:rFonts w:ascii="Verdana" w:eastAsia="Calibri" w:hAnsi="Verdana" w:cs="Arial"/>
          <w:bCs/>
          <w:color w:val="000000"/>
          <w:lang w:val="es-ES_tradnl"/>
        </w:rPr>
      </w:pPr>
    </w:p>
    <w:p w14:paraId="293552E1" w14:textId="77777777" w:rsidR="00EE2D2F" w:rsidRPr="00EE2D2F" w:rsidRDefault="00EE2D2F" w:rsidP="00EE2D2F">
      <w:pPr>
        <w:numPr>
          <w:ilvl w:val="0"/>
          <w:numId w:val="18"/>
        </w:numPr>
        <w:tabs>
          <w:tab w:val="left" w:pos="1134"/>
        </w:tabs>
        <w:spacing w:after="0" w:line="240" w:lineRule="auto"/>
        <w:ind w:left="1069" w:right="709"/>
        <w:contextualSpacing/>
        <w:jc w:val="both"/>
        <w:rPr>
          <w:rFonts w:ascii="Verdana" w:eastAsia="Arial" w:hAnsi="Verdana" w:cs="Arial"/>
          <w:i/>
          <w:color w:val="000000"/>
          <w:sz w:val="19"/>
          <w:szCs w:val="19"/>
        </w:rPr>
      </w:pPr>
      <w:r w:rsidRPr="00EE2D2F">
        <w:rPr>
          <w:rFonts w:ascii="Verdana" w:eastAsia="Arial" w:hAnsi="Verdana" w:cs="Arial"/>
          <w:iCs/>
          <w:color w:val="000000"/>
          <w:sz w:val="19"/>
          <w:szCs w:val="19"/>
        </w:rPr>
        <w:t xml:space="preserve">Identificar dentro del Presupuesto </w:t>
      </w:r>
      <w:r w:rsidRPr="00EE2D2F">
        <w:rPr>
          <w:rFonts w:ascii="Verdana" w:eastAsia="Arial" w:hAnsi="Verdana" w:cs="Arial"/>
          <w:color w:val="000000"/>
          <w:sz w:val="19"/>
          <w:szCs w:val="19"/>
        </w:rPr>
        <w:t>O</w:t>
      </w:r>
      <w:r w:rsidRPr="00EE2D2F">
        <w:rPr>
          <w:rFonts w:ascii="Verdana" w:eastAsia="Arial" w:hAnsi="Verdana" w:cs="Arial"/>
          <w:iCs/>
          <w:color w:val="000000"/>
          <w:sz w:val="19"/>
          <w:szCs w:val="19"/>
        </w:rPr>
        <w:t>ficial los bienes o insumos requeridos para la ejecución del proyecto.</w:t>
      </w:r>
    </w:p>
    <w:p w14:paraId="7DB94C97" w14:textId="77777777" w:rsidR="00EE2D2F" w:rsidRPr="00EE2D2F" w:rsidRDefault="00EE2D2F" w:rsidP="00EE2D2F">
      <w:pPr>
        <w:tabs>
          <w:tab w:val="left" w:pos="1134"/>
        </w:tabs>
        <w:spacing w:after="0" w:line="240" w:lineRule="auto"/>
        <w:ind w:left="1069" w:right="709"/>
        <w:contextualSpacing/>
        <w:jc w:val="both"/>
        <w:rPr>
          <w:rFonts w:ascii="Verdana" w:eastAsia="Arial" w:hAnsi="Verdana" w:cs="Arial"/>
          <w:i/>
          <w:color w:val="000000"/>
          <w:sz w:val="19"/>
          <w:szCs w:val="19"/>
        </w:rPr>
      </w:pPr>
    </w:p>
    <w:p w14:paraId="48BC284D" w14:textId="77777777" w:rsidR="00EE2D2F" w:rsidRPr="00EE2D2F" w:rsidRDefault="00EE2D2F" w:rsidP="00EE2D2F">
      <w:pPr>
        <w:numPr>
          <w:ilvl w:val="0"/>
          <w:numId w:val="18"/>
        </w:numPr>
        <w:tabs>
          <w:tab w:val="left" w:pos="1134"/>
        </w:tabs>
        <w:spacing w:after="0" w:line="240" w:lineRule="auto"/>
        <w:ind w:left="1069" w:right="709"/>
        <w:contextualSpacing/>
        <w:jc w:val="both"/>
        <w:rPr>
          <w:rFonts w:ascii="Verdana" w:eastAsia="Calibri" w:hAnsi="Verdana" w:cs="Arial"/>
          <w:i/>
          <w:color w:val="000000"/>
          <w:sz w:val="19"/>
          <w:szCs w:val="19"/>
        </w:rPr>
      </w:pPr>
      <w:r w:rsidRPr="00EE2D2F">
        <w:rPr>
          <w:rFonts w:ascii="Verdana" w:eastAsia="Calibri" w:hAnsi="Verdana" w:cs="Arial"/>
          <w:color w:val="000000"/>
          <w:sz w:val="19"/>
          <w:szCs w:val="19"/>
        </w:rPr>
        <w:t xml:space="preserve">Calcular el </w:t>
      </w:r>
      <w:r w:rsidRPr="00EE2D2F">
        <w:rPr>
          <w:rFonts w:ascii="Verdana" w:eastAsia="Calibri" w:hAnsi="Verdana" w:cs="Arial"/>
          <w:b/>
          <w:i/>
          <w:color w:val="000000"/>
          <w:sz w:val="19"/>
          <w:szCs w:val="19"/>
        </w:rPr>
        <w:t xml:space="preserve">valor parcial </w:t>
      </w:r>
      <w:r w:rsidRPr="00EE2D2F">
        <w:rPr>
          <w:rFonts w:ascii="Verdana" w:eastAsia="Calibri" w:hAnsi="Verdana" w:cs="Arial"/>
          <w:color w:val="000000"/>
          <w:sz w:val="19"/>
          <w:szCs w:val="19"/>
        </w:rPr>
        <w:t>de los bienes o insumos identificados, para lo cual se deberá multiplicar el valor unitario de cada uno por la cantidad requerida.</w:t>
      </w:r>
    </w:p>
    <w:p w14:paraId="7562FDF1" w14:textId="77777777" w:rsidR="00EE2D2F" w:rsidRPr="00EE2D2F" w:rsidRDefault="00EE2D2F" w:rsidP="00EE2D2F">
      <w:pPr>
        <w:spacing w:after="120" w:line="240" w:lineRule="auto"/>
        <w:ind w:left="709" w:right="709"/>
        <w:contextualSpacing/>
        <w:jc w:val="both"/>
        <w:rPr>
          <w:rFonts w:ascii="Verdana" w:eastAsia="Calibri" w:hAnsi="Verdana" w:cs="Arial"/>
          <w:i/>
          <w:color w:val="000000"/>
          <w:sz w:val="19"/>
          <w:szCs w:val="19"/>
        </w:rPr>
      </w:pPr>
    </w:p>
    <w:p w14:paraId="71B4FCEF" w14:textId="77777777" w:rsidR="00EE2D2F" w:rsidRPr="00EE2D2F" w:rsidRDefault="00EE2D2F" w:rsidP="00EE2D2F">
      <w:pPr>
        <w:numPr>
          <w:ilvl w:val="0"/>
          <w:numId w:val="18"/>
        </w:numPr>
        <w:tabs>
          <w:tab w:val="left" w:pos="1134"/>
        </w:tabs>
        <w:spacing w:after="120" w:line="240" w:lineRule="auto"/>
        <w:ind w:left="1069" w:right="709"/>
        <w:contextualSpacing/>
        <w:jc w:val="both"/>
        <w:rPr>
          <w:rFonts w:ascii="Verdana" w:eastAsia="Calibri" w:hAnsi="Verdana" w:cs="Arial"/>
          <w:i/>
          <w:color w:val="000000"/>
          <w:sz w:val="19"/>
          <w:szCs w:val="19"/>
        </w:rPr>
      </w:pPr>
      <w:r w:rsidRPr="00EE2D2F">
        <w:rPr>
          <w:rFonts w:ascii="Verdana" w:eastAsia="Calibri" w:hAnsi="Verdana" w:cs="Arial"/>
          <w:color w:val="000000"/>
          <w:sz w:val="19"/>
          <w:szCs w:val="19"/>
        </w:rPr>
        <w:lastRenderedPageBreak/>
        <w:t>Calcular el</w:t>
      </w:r>
      <w:r w:rsidRPr="00EE2D2F">
        <w:rPr>
          <w:rFonts w:ascii="Verdana" w:eastAsia="Calibri" w:hAnsi="Verdana" w:cs="Arial"/>
          <w:b/>
          <w:i/>
          <w:color w:val="000000"/>
          <w:sz w:val="19"/>
          <w:szCs w:val="19"/>
        </w:rPr>
        <w:t xml:space="preserve"> valor total</w:t>
      </w:r>
      <w:r w:rsidRPr="00EE2D2F">
        <w:rPr>
          <w:rFonts w:ascii="Verdana" w:eastAsia="Calibri" w:hAnsi="Verdana" w:cs="Arial"/>
          <w:bCs/>
          <w:iCs/>
          <w:color w:val="000000"/>
          <w:sz w:val="19"/>
          <w:szCs w:val="19"/>
        </w:rPr>
        <w:t xml:space="preserve"> </w:t>
      </w:r>
      <w:r w:rsidRPr="00EE2D2F">
        <w:rPr>
          <w:rFonts w:ascii="Verdana" w:eastAsia="Calibri" w:hAnsi="Verdana" w:cs="Arial"/>
          <w:color w:val="000000"/>
          <w:sz w:val="19"/>
          <w:szCs w:val="19"/>
        </w:rPr>
        <w:t>realizando la sumatoria</w:t>
      </w:r>
      <w:r w:rsidRPr="00EE2D2F">
        <w:rPr>
          <w:rFonts w:ascii="Verdana" w:eastAsia="Calibri" w:hAnsi="Verdana" w:cs="Arial"/>
          <w:b/>
          <w:i/>
          <w:color w:val="000000"/>
          <w:sz w:val="19"/>
          <w:szCs w:val="19"/>
        </w:rPr>
        <w:t xml:space="preserve"> </w:t>
      </w:r>
      <w:r w:rsidRPr="00EE2D2F">
        <w:rPr>
          <w:rFonts w:ascii="Verdana" w:eastAsia="Calibri" w:hAnsi="Verdana" w:cs="Arial"/>
          <w:color w:val="000000"/>
          <w:sz w:val="19"/>
          <w:szCs w:val="19"/>
        </w:rPr>
        <w:t xml:space="preserve">de los </w:t>
      </w:r>
      <w:r w:rsidRPr="00EE2D2F">
        <w:rPr>
          <w:rFonts w:ascii="Verdana" w:eastAsia="Calibri" w:hAnsi="Verdana" w:cs="Arial"/>
          <w:b/>
          <w:i/>
          <w:color w:val="000000"/>
          <w:sz w:val="19"/>
          <w:szCs w:val="19"/>
        </w:rPr>
        <w:t>valores parciales</w:t>
      </w:r>
      <w:r w:rsidRPr="00EE2D2F">
        <w:rPr>
          <w:rFonts w:ascii="Verdana" w:eastAsia="Calibri" w:hAnsi="Verdana" w:cs="Arial"/>
          <w:color w:val="000000"/>
          <w:sz w:val="19"/>
          <w:szCs w:val="19"/>
        </w:rPr>
        <w:t xml:space="preserve"> de los bienes o insumos requeridos en el proyecto.</w:t>
      </w:r>
    </w:p>
    <w:p w14:paraId="47585CBA" w14:textId="77777777" w:rsidR="00EE2D2F" w:rsidRPr="00EE2D2F" w:rsidRDefault="00EE2D2F" w:rsidP="00EE2D2F">
      <w:pPr>
        <w:spacing w:after="120" w:line="240" w:lineRule="auto"/>
        <w:ind w:left="709" w:right="709"/>
        <w:contextualSpacing/>
        <w:jc w:val="both"/>
        <w:rPr>
          <w:rFonts w:ascii="Verdana" w:eastAsia="Calibri" w:hAnsi="Verdana" w:cs="Arial"/>
          <w:i/>
          <w:color w:val="000000"/>
          <w:sz w:val="19"/>
          <w:szCs w:val="19"/>
        </w:rPr>
      </w:pPr>
    </w:p>
    <w:p w14:paraId="23EA27CF" w14:textId="77777777" w:rsidR="00EE2D2F" w:rsidRPr="00EE2D2F" w:rsidRDefault="00EE2D2F" w:rsidP="00EE2D2F">
      <w:pPr>
        <w:numPr>
          <w:ilvl w:val="0"/>
          <w:numId w:val="18"/>
        </w:numPr>
        <w:tabs>
          <w:tab w:val="left" w:pos="1134"/>
        </w:tabs>
        <w:spacing w:after="120" w:line="240" w:lineRule="auto"/>
        <w:ind w:left="1069" w:right="709"/>
        <w:contextualSpacing/>
        <w:jc w:val="both"/>
        <w:rPr>
          <w:rFonts w:ascii="Verdana" w:eastAsia="Calibri" w:hAnsi="Verdana" w:cs="Arial"/>
          <w:i/>
          <w:color w:val="000000"/>
          <w:sz w:val="19"/>
          <w:szCs w:val="19"/>
        </w:rPr>
      </w:pPr>
      <w:r w:rsidRPr="00EE2D2F">
        <w:rPr>
          <w:rFonts w:ascii="Verdana" w:eastAsia="Calibri" w:hAnsi="Verdana" w:cs="Arial"/>
          <w:color w:val="000000"/>
          <w:sz w:val="19"/>
          <w:szCs w:val="19"/>
        </w:rPr>
        <w:t xml:space="preserve">Determinar el </w:t>
      </w:r>
      <w:r w:rsidRPr="00EE2D2F">
        <w:rPr>
          <w:rFonts w:ascii="Verdana" w:eastAsia="Calibri" w:hAnsi="Verdana" w:cs="Arial"/>
          <w:b/>
          <w:i/>
          <w:color w:val="000000"/>
          <w:sz w:val="19"/>
          <w:szCs w:val="19"/>
        </w:rPr>
        <w:t>porcentaje de participación</w:t>
      </w:r>
      <w:r w:rsidRPr="00EE2D2F">
        <w:rPr>
          <w:rFonts w:ascii="Verdana" w:eastAsia="Calibri" w:hAnsi="Verdana" w:cs="Arial"/>
          <w:i/>
          <w:color w:val="000000"/>
          <w:sz w:val="19"/>
          <w:szCs w:val="19"/>
        </w:rPr>
        <w:t xml:space="preserve"> </w:t>
      </w:r>
      <w:r w:rsidRPr="00EE2D2F">
        <w:rPr>
          <w:rFonts w:ascii="Verdana" w:eastAsia="Calibri" w:hAnsi="Verdana" w:cs="Arial"/>
          <w:color w:val="000000"/>
          <w:sz w:val="19"/>
          <w:szCs w:val="19"/>
        </w:rPr>
        <w:t xml:space="preserve">de cada bien o insumo usando su </w:t>
      </w:r>
      <w:r w:rsidRPr="00EE2D2F">
        <w:rPr>
          <w:rFonts w:ascii="Verdana" w:eastAsia="Calibri" w:hAnsi="Verdana" w:cs="Arial"/>
          <w:b/>
          <w:i/>
          <w:color w:val="000000"/>
          <w:sz w:val="19"/>
          <w:szCs w:val="19"/>
        </w:rPr>
        <w:t>valor parcial</w:t>
      </w:r>
      <w:r w:rsidRPr="00EE2D2F">
        <w:rPr>
          <w:rFonts w:ascii="Verdana" w:eastAsia="Calibri" w:hAnsi="Verdana" w:cs="Arial"/>
          <w:color w:val="000000"/>
          <w:sz w:val="19"/>
          <w:szCs w:val="19"/>
        </w:rPr>
        <w:t xml:space="preserve"> divido por el </w:t>
      </w:r>
      <w:r w:rsidRPr="00EE2D2F">
        <w:rPr>
          <w:rFonts w:ascii="Verdana" w:eastAsia="Calibri" w:hAnsi="Verdana" w:cs="Arial"/>
          <w:b/>
          <w:i/>
          <w:color w:val="000000"/>
          <w:sz w:val="19"/>
          <w:szCs w:val="19"/>
        </w:rPr>
        <w:t>valor total</w:t>
      </w:r>
      <w:r w:rsidRPr="00EE2D2F">
        <w:rPr>
          <w:rFonts w:ascii="Verdana" w:eastAsia="Calibri" w:hAnsi="Verdana" w:cs="Arial"/>
          <w:color w:val="000000"/>
          <w:sz w:val="19"/>
          <w:szCs w:val="19"/>
        </w:rPr>
        <w:t>, cociente que deberá ser multiplicado por cien (100). Para esto se aplicará la siguiente fórmula:</w:t>
      </w:r>
    </w:p>
    <w:p w14:paraId="6905FAAD" w14:textId="77777777" w:rsidR="00EE2D2F" w:rsidRPr="00EE2D2F" w:rsidRDefault="00EE2D2F" w:rsidP="00EE2D2F">
      <w:pPr>
        <w:tabs>
          <w:tab w:val="left" w:pos="1134"/>
        </w:tabs>
        <w:spacing w:after="120" w:line="240" w:lineRule="auto"/>
        <w:ind w:left="709" w:right="709"/>
        <w:contextualSpacing/>
        <w:jc w:val="both"/>
        <w:rPr>
          <w:rFonts w:ascii="Verdana" w:eastAsia="Calibri" w:hAnsi="Verdana" w:cs="Arial"/>
          <w:i/>
          <w:color w:val="000000"/>
          <w:sz w:val="19"/>
          <w:szCs w:val="19"/>
        </w:rPr>
      </w:pPr>
    </w:p>
    <w:p w14:paraId="256EADD2" w14:textId="77777777" w:rsidR="00EE2D2F" w:rsidRPr="00EE2D2F" w:rsidRDefault="00EE2D2F" w:rsidP="00EE2D2F">
      <w:pPr>
        <w:tabs>
          <w:tab w:val="left" w:pos="1134"/>
        </w:tabs>
        <w:spacing w:after="120" w:line="240" w:lineRule="auto"/>
        <w:ind w:left="709" w:right="709"/>
        <w:contextualSpacing/>
        <w:jc w:val="center"/>
        <w:rPr>
          <w:rFonts w:ascii="Verdana" w:eastAsia="Arial" w:hAnsi="Verdana" w:cs="Arial"/>
          <w:i/>
          <w:color w:val="000000"/>
          <w:sz w:val="19"/>
          <w:szCs w:val="19"/>
        </w:rPr>
      </w:pPr>
      <w:r w:rsidRPr="00EE2D2F">
        <w:rPr>
          <w:rFonts w:ascii="Verdana" w:eastAsia="Calibri" w:hAnsi="Verdana" w:cs="Arial"/>
          <w:noProof/>
          <w:sz w:val="19"/>
          <w:szCs w:val="19"/>
        </w:rPr>
        <w:drawing>
          <wp:inline distT="0" distB="0" distL="0" distR="0" wp14:anchorId="2BB3D63B" wp14:editId="2D2E5AF8">
            <wp:extent cx="2668905" cy="42545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68905" cy="425450"/>
                    </a:xfrm>
                    <a:prstGeom prst="rect">
                      <a:avLst/>
                    </a:prstGeom>
                    <a:noFill/>
                    <a:ln>
                      <a:noFill/>
                    </a:ln>
                  </pic:spPr>
                </pic:pic>
              </a:graphicData>
            </a:graphic>
          </wp:inline>
        </w:drawing>
      </w:r>
    </w:p>
    <w:p w14:paraId="220F0524" w14:textId="77777777" w:rsidR="00EE2D2F" w:rsidRPr="00EE2D2F" w:rsidRDefault="00EE2D2F" w:rsidP="00EE2D2F">
      <w:pPr>
        <w:spacing w:after="120" w:line="240" w:lineRule="auto"/>
        <w:ind w:left="709" w:right="709"/>
        <w:rPr>
          <w:rFonts w:ascii="Verdana" w:eastAsia="Calibri" w:hAnsi="Verdana" w:cs="Arial"/>
          <w:sz w:val="19"/>
          <w:szCs w:val="19"/>
          <w:lang w:val="es-ES"/>
        </w:rPr>
      </w:pPr>
    </w:p>
    <w:p w14:paraId="3545043B" w14:textId="77777777" w:rsidR="00EE2D2F" w:rsidRPr="00EE2D2F" w:rsidRDefault="00EE2D2F" w:rsidP="00EE2D2F">
      <w:pPr>
        <w:numPr>
          <w:ilvl w:val="0"/>
          <w:numId w:val="18"/>
        </w:numPr>
        <w:tabs>
          <w:tab w:val="left" w:pos="1134"/>
        </w:tabs>
        <w:spacing w:after="120" w:line="240" w:lineRule="auto"/>
        <w:ind w:left="1069" w:right="709"/>
        <w:contextualSpacing/>
        <w:jc w:val="both"/>
        <w:rPr>
          <w:rFonts w:ascii="Verdana" w:eastAsia="Arial" w:hAnsi="Verdana" w:cs="Arial"/>
          <w:iCs/>
          <w:color w:val="000000"/>
          <w:sz w:val="19"/>
          <w:szCs w:val="19"/>
        </w:rPr>
      </w:pPr>
      <w:r w:rsidRPr="00EE2D2F">
        <w:rPr>
          <w:rFonts w:ascii="Verdana" w:eastAsia="Arial" w:hAnsi="Verdana" w:cs="Arial"/>
          <w:color w:val="000000"/>
          <w:sz w:val="19"/>
          <w:szCs w:val="19"/>
        </w:rPr>
        <w:t>Determinar el</w:t>
      </w:r>
      <w:r w:rsidRPr="00EE2D2F">
        <w:rPr>
          <w:rFonts w:ascii="Verdana" w:eastAsia="Arial" w:hAnsi="Verdana" w:cs="Arial"/>
          <w:b/>
          <w:i/>
          <w:color w:val="000000"/>
          <w:sz w:val="19"/>
          <w:szCs w:val="19"/>
        </w:rPr>
        <w:t xml:space="preserve"> porcentaje acumulado </w:t>
      </w:r>
      <w:r w:rsidRPr="00EE2D2F">
        <w:rPr>
          <w:rFonts w:ascii="Verdana" w:eastAsia="Arial" w:hAnsi="Verdana" w:cs="Arial"/>
          <w:bCs/>
          <w:iCs/>
          <w:color w:val="000000"/>
          <w:sz w:val="19"/>
          <w:szCs w:val="19"/>
        </w:rPr>
        <w:t>entendido como la sumatoria de los porcentajes de participación definidos en el numeral anterior. P</w:t>
      </w:r>
      <w:r w:rsidRPr="00EE2D2F">
        <w:rPr>
          <w:rFonts w:ascii="Verdana" w:eastAsia="Arial" w:hAnsi="Verdana" w:cs="Arial"/>
          <w:color w:val="000000"/>
          <w:sz w:val="19"/>
          <w:szCs w:val="19"/>
        </w:rPr>
        <w:t xml:space="preserve">ara lo cual, se sugiere, organizar los bienes en una tabla, en orden descendente según su </w:t>
      </w:r>
      <w:r w:rsidRPr="00EE2D2F">
        <w:rPr>
          <w:rFonts w:ascii="Verdana" w:eastAsia="Arial" w:hAnsi="Verdana" w:cs="Arial"/>
          <w:b/>
          <w:i/>
          <w:color w:val="000000"/>
          <w:sz w:val="19"/>
          <w:szCs w:val="19"/>
        </w:rPr>
        <w:t>porcentaje de participación,</w:t>
      </w:r>
      <w:r w:rsidRPr="00EE2D2F">
        <w:rPr>
          <w:rFonts w:ascii="Verdana" w:eastAsia="Arial" w:hAnsi="Verdana" w:cs="Arial"/>
          <w:color w:val="000000"/>
          <w:sz w:val="19"/>
          <w:szCs w:val="19"/>
        </w:rPr>
        <w:t xml:space="preserve"> disponiendo una fila por cada bien, una columna para el nombre o descripción del bien, otra para el </w:t>
      </w:r>
      <w:r w:rsidRPr="00EE2D2F">
        <w:rPr>
          <w:rFonts w:ascii="Verdana" w:eastAsia="Arial" w:hAnsi="Verdana" w:cs="Arial"/>
          <w:b/>
          <w:i/>
          <w:color w:val="000000"/>
          <w:sz w:val="19"/>
          <w:szCs w:val="19"/>
        </w:rPr>
        <w:t>porcentaje de participación</w:t>
      </w:r>
      <w:r w:rsidRPr="00EE2D2F">
        <w:rPr>
          <w:rFonts w:ascii="Verdana" w:eastAsia="Arial" w:hAnsi="Verdana" w:cs="Arial"/>
          <w:b/>
          <w:color w:val="000000"/>
          <w:sz w:val="19"/>
          <w:szCs w:val="19"/>
        </w:rPr>
        <w:t xml:space="preserve"> </w:t>
      </w:r>
      <w:r w:rsidRPr="00EE2D2F">
        <w:rPr>
          <w:rFonts w:ascii="Verdana" w:eastAsia="Arial" w:hAnsi="Verdana" w:cs="Arial"/>
          <w:color w:val="000000"/>
          <w:sz w:val="19"/>
          <w:szCs w:val="19"/>
        </w:rPr>
        <w:t xml:space="preserve">y otra en la que se consignará el </w:t>
      </w:r>
      <w:r w:rsidRPr="00EE2D2F">
        <w:rPr>
          <w:rFonts w:ascii="Verdana" w:eastAsia="Arial" w:hAnsi="Verdana" w:cs="Arial"/>
          <w:b/>
          <w:i/>
          <w:color w:val="000000"/>
          <w:sz w:val="19"/>
          <w:szCs w:val="19"/>
        </w:rPr>
        <w:t>porcentaje acumulado.</w:t>
      </w:r>
      <w:r w:rsidRPr="00EE2D2F">
        <w:rPr>
          <w:rFonts w:ascii="Verdana" w:eastAsia="Arial" w:hAnsi="Verdana" w:cs="Arial"/>
          <w:b/>
          <w:color w:val="000000"/>
          <w:sz w:val="19"/>
          <w:szCs w:val="19"/>
        </w:rPr>
        <w:t xml:space="preserve"> </w:t>
      </w:r>
    </w:p>
    <w:p w14:paraId="33C01038" w14:textId="77777777" w:rsidR="00EE2D2F" w:rsidRPr="00EE2D2F" w:rsidRDefault="00EE2D2F" w:rsidP="00EE2D2F">
      <w:pPr>
        <w:tabs>
          <w:tab w:val="left" w:pos="1134"/>
        </w:tabs>
        <w:spacing w:after="120" w:line="240" w:lineRule="auto"/>
        <w:ind w:left="709" w:right="709"/>
        <w:contextualSpacing/>
        <w:jc w:val="both"/>
        <w:rPr>
          <w:rFonts w:ascii="Verdana" w:eastAsia="Arial" w:hAnsi="Verdana" w:cs="Arial"/>
          <w:iCs/>
          <w:color w:val="000000"/>
          <w:sz w:val="19"/>
          <w:szCs w:val="19"/>
        </w:rPr>
      </w:pPr>
    </w:p>
    <w:p w14:paraId="6A3B0471" w14:textId="77777777" w:rsidR="00EE2D2F" w:rsidRPr="00EE2D2F" w:rsidRDefault="00EE2D2F" w:rsidP="00EE2D2F">
      <w:pPr>
        <w:tabs>
          <w:tab w:val="left" w:pos="1134"/>
        </w:tabs>
        <w:spacing w:after="120" w:line="240" w:lineRule="auto"/>
        <w:ind w:left="1069" w:right="709"/>
        <w:contextualSpacing/>
        <w:jc w:val="both"/>
        <w:rPr>
          <w:rFonts w:ascii="Verdana" w:eastAsia="Arial" w:hAnsi="Verdana" w:cs="Arial"/>
          <w:color w:val="000000"/>
          <w:sz w:val="19"/>
          <w:szCs w:val="19"/>
        </w:rPr>
      </w:pPr>
      <w:r w:rsidRPr="00EE2D2F">
        <w:rPr>
          <w:rFonts w:ascii="Verdana" w:eastAsia="Arial" w:hAnsi="Verdana" w:cs="Arial"/>
          <w:color w:val="000000"/>
          <w:sz w:val="19"/>
          <w:szCs w:val="19"/>
        </w:rPr>
        <w:t xml:space="preserve">Al bien o insumo que tiene la mayor participación, es decir, el que ocupa el primer lugar en el listado, le corresponderá como </w:t>
      </w:r>
      <w:r w:rsidRPr="00EE2D2F">
        <w:rPr>
          <w:rFonts w:ascii="Verdana" w:eastAsia="Arial" w:hAnsi="Verdana" w:cs="Arial"/>
          <w:b/>
          <w:i/>
          <w:color w:val="000000"/>
          <w:sz w:val="19"/>
          <w:szCs w:val="19"/>
        </w:rPr>
        <w:t>porcentaje acumulado</w:t>
      </w:r>
      <w:r w:rsidRPr="00EE2D2F">
        <w:rPr>
          <w:rFonts w:ascii="Verdana" w:eastAsia="Arial" w:hAnsi="Verdana" w:cs="Arial"/>
          <w:color w:val="000000"/>
          <w:sz w:val="19"/>
          <w:szCs w:val="19"/>
        </w:rPr>
        <w:t xml:space="preserve"> el valor asignado como </w:t>
      </w:r>
      <w:r w:rsidRPr="00EE2D2F">
        <w:rPr>
          <w:rFonts w:ascii="Verdana" w:eastAsia="Arial" w:hAnsi="Verdana" w:cs="Arial"/>
          <w:b/>
          <w:i/>
          <w:color w:val="000000"/>
          <w:sz w:val="19"/>
          <w:szCs w:val="19"/>
        </w:rPr>
        <w:t>porcentaje de participación</w:t>
      </w:r>
      <w:r w:rsidRPr="00EE2D2F">
        <w:rPr>
          <w:rFonts w:ascii="Verdana" w:eastAsia="Arial" w:hAnsi="Verdana" w:cs="Arial"/>
          <w:color w:val="000000"/>
          <w:sz w:val="19"/>
          <w:szCs w:val="19"/>
        </w:rPr>
        <w:t xml:space="preserve">. Para el segundo bien el </w:t>
      </w:r>
      <w:r w:rsidRPr="00EE2D2F">
        <w:rPr>
          <w:rFonts w:ascii="Verdana" w:eastAsia="Arial" w:hAnsi="Verdana" w:cs="Arial"/>
          <w:b/>
          <w:bCs/>
          <w:i/>
          <w:iCs/>
          <w:color w:val="000000"/>
          <w:sz w:val="19"/>
          <w:szCs w:val="19"/>
        </w:rPr>
        <w:t xml:space="preserve">porcentaje acumulado </w:t>
      </w:r>
      <w:r w:rsidRPr="00EE2D2F">
        <w:rPr>
          <w:rFonts w:ascii="Verdana" w:eastAsia="Arial" w:hAnsi="Verdana" w:cs="Arial"/>
          <w:color w:val="000000"/>
          <w:sz w:val="19"/>
          <w:szCs w:val="19"/>
        </w:rPr>
        <w:t xml:space="preserve">será la suma de su porcentaje de participación con el </w:t>
      </w:r>
      <w:r w:rsidRPr="00EE2D2F">
        <w:rPr>
          <w:rFonts w:ascii="Verdana" w:eastAsia="Arial" w:hAnsi="Verdana" w:cs="Arial"/>
          <w:b/>
          <w:bCs/>
          <w:i/>
          <w:iCs/>
          <w:color w:val="000000"/>
          <w:sz w:val="19"/>
          <w:szCs w:val="19"/>
        </w:rPr>
        <w:t>porcentaje acumulado</w:t>
      </w:r>
      <w:r w:rsidRPr="00EE2D2F">
        <w:rPr>
          <w:rFonts w:ascii="Verdana" w:eastAsia="Arial" w:hAnsi="Verdana" w:cs="Arial"/>
          <w:color w:val="000000"/>
          <w:sz w:val="19"/>
          <w:szCs w:val="19"/>
        </w:rPr>
        <w:t xml:space="preserve"> asignado al bien que lo antecede en el listado. Del mismo modo, para el tercer bien el </w:t>
      </w:r>
      <w:r w:rsidRPr="00EE2D2F">
        <w:rPr>
          <w:rFonts w:ascii="Verdana" w:eastAsia="Arial" w:hAnsi="Verdana" w:cs="Arial"/>
          <w:b/>
          <w:bCs/>
          <w:i/>
          <w:iCs/>
          <w:color w:val="000000"/>
          <w:sz w:val="19"/>
          <w:szCs w:val="19"/>
        </w:rPr>
        <w:t>porcentaje acumulado</w:t>
      </w:r>
      <w:r w:rsidRPr="00EE2D2F">
        <w:rPr>
          <w:rFonts w:ascii="Verdana" w:eastAsia="Arial" w:hAnsi="Verdana" w:cs="Arial"/>
          <w:color w:val="000000"/>
          <w:sz w:val="19"/>
          <w:szCs w:val="19"/>
        </w:rPr>
        <w:t xml:space="preserve"> será la suma de su porcentaje de participación con el </w:t>
      </w:r>
      <w:r w:rsidRPr="00EE2D2F">
        <w:rPr>
          <w:rFonts w:ascii="Verdana" w:eastAsia="Arial" w:hAnsi="Verdana" w:cs="Arial"/>
          <w:b/>
          <w:bCs/>
          <w:i/>
          <w:iCs/>
          <w:color w:val="000000"/>
          <w:sz w:val="19"/>
          <w:szCs w:val="19"/>
        </w:rPr>
        <w:t>porcentaje acumulado</w:t>
      </w:r>
      <w:r w:rsidRPr="00EE2D2F">
        <w:rPr>
          <w:rFonts w:ascii="Verdana" w:eastAsia="Arial" w:hAnsi="Verdana" w:cs="Arial"/>
          <w:color w:val="000000"/>
          <w:sz w:val="19"/>
          <w:szCs w:val="19"/>
        </w:rPr>
        <w:t xml:space="preserve"> calculado para el anterior bien, y así sucesivamente deberá procederse respecto de los demás bienes hasta completar todos los porcentajes acumulados. Para mayor claridad se aplicará la siguiente fórmula.</w:t>
      </w:r>
    </w:p>
    <w:p w14:paraId="7526438E" w14:textId="77777777" w:rsidR="00EE2D2F" w:rsidRPr="00EE2D2F" w:rsidRDefault="00EE2D2F" w:rsidP="00EE2D2F">
      <w:pPr>
        <w:tabs>
          <w:tab w:val="left" w:pos="1134"/>
        </w:tabs>
        <w:spacing w:after="120" w:line="240" w:lineRule="auto"/>
        <w:ind w:left="709" w:right="709"/>
        <w:contextualSpacing/>
        <w:jc w:val="both"/>
        <w:rPr>
          <w:rFonts w:ascii="Verdana" w:eastAsia="Arial" w:hAnsi="Verdana" w:cs="Arial"/>
          <w:color w:val="000000"/>
          <w:sz w:val="19"/>
          <w:szCs w:val="19"/>
        </w:rPr>
      </w:pPr>
    </w:p>
    <w:p w14:paraId="57FA9CFD" w14:textId="77777777" w:rsidR="00EE2D2F" w:rsidRPr="00EE2D2F" w:rsidRDefault="00EE2D2F" w:rsidP="00EE2D2F">
      <w:pPr>
        <w:tabs>
          <w:tab w:val="left" w:pos="1134"/>
        </w:tabs>
        <w:spacing w:after="120" w:line="240" w:lineRule="auto"/>
        <w:ind w:left="709" w:right="709"/>
        <w:contextualSpacing/>
        <w:jc w:val="center"/>
        <w:rPr>
          <w:rFonts w:ascii="Verdana" w:eastAsia="Arial" w:hAnsi="Verdana" w:cs="Arial"/>
          <w:iCs/>
          <w:color w:val="000000"/>
          <w:sz w:val="19"/>
          <w:szCs w:val="19"/>
        </w:rPr>
      </w:pPr>
      <w:r w:rsidRPr="00EE2D2F">
        <w:rPr>
          <w:rFonts w:ascii="Verdana" w:eastAsia="Calibri" w:hAnsi="Verdana" w:cs="Arial"/>
          <w:noProof/>
          <w:sz w:val="19"/>
          <w:szCs w:val="19"/>
        </w:rPr>
        <w:drawing>
          <wp:inline distT="0" distB="0" distL="0" distR="0" wp14:anchorId="6664A526" wp14:editId="3E208077">
            <wp:extent cx="3061970" cy="510540"/>
            <wp:effectExtent l="0" t="0" r="5080" b="3810"/>
            <wp:docPr id="6" name="Imagen 6" descr="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ibujo de una persona&#10;&#10;Descripción generada automáticamente con confianza medi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61970" cy="510540"/>
                    </a:xfrm>
                    <a:prstGeom prst="rect">
                      <a:avLst/>
                    </a:prstGeom>
                    <a:noFill/>
                    <a:ln>
                      <a:noFill/>
                    </a:ln>
                  </pic:spPr>
                </pic:pic>
              </a:graphicData>
            </a:graphic>
          </wp:inline>
        </w:drawing>
      </w:r>
    </w:p>
    <w:p w14:paraId="4465803C" w14:textId="77777777" w:rsidR="00EE2D2F" w:rsidRPr="00EE2D2F" w:rsidRDefault="00EE2D2F" w:rsidP="00EE2D2F">
      <w:pPr>
        <w:tabs>
          <w:tab w:val="left" w:pos="1134"/>
        </w:tabs>
        <w:spacing w:after="120" w:line="240" w:lineRule="auto"/>
        <w:ind w:left="709" w:right="709"/>
        <w:contextualSpacing/>
        <w:jc w:val="center"/>
        <w:rPr>
          <w:rFonts w:ascii="Verdana" w:eastAsia="Arial" w:hAnsi="Verdana" w:cs="Arial"/>
          <w:iCs/>
          <w:color w:val="000000"/>
          <w:sz w:val="19"/>
          <w:szCs w:val="19"/>
        </w:rPr>
      </w:pPr>
    </w:p>
    <w:p w14:paraId="04F54DF9" w14:textId="77777777" w:rsidR="00EE2D2F" w:rsidRPr="00EE2D2F" w:rsidRDefault="00EE2D2F" w:rsidP="00EE2D2F">
      <w:pPr>
        <w:tabs>
          <w:tab w:val="left" w:pos="1134"/>
        </w:tabs>
        <w:spacing w:after="120" w:line="240" w:lineRule="auto"/>
        <w:ind w:left="1134" w:right="709"/>
        <w:contextualSpacing/>
        <w:jc w:val="both"/>
        <w:rPr>
          <w:rFonts w:ascii="Verdana" w:eastAsia="Arial" w:hAnsi="Verdana" w:cs="Arial"/>
          <w:color w:val="000000"/>
          <w:sz w:val="19"/>
          <w:szCs w:val="19"/>
        </w:rPr>
      </w:pPr>
      <w:r w:rsidRPr="00EE2D2F">
        <w:rPr>
          <w:rFonts w:ascii="Verdana" w:eastAsia="Arial" w:hAnsi="Verdana" w:cs="Arial"/>
          <w:color w:val="000000"/>
          <w:sz w:val="19"/>
          <w:szCs w:val="19"/>
        </w:rPr>
        <w:t xml:space="preserve">Donde </w:t>
      </w:r>
      <m:oMath>
        <m:sSub>
          <m:sSubPr>
            <m:ctrlPr>
              <w:rPr>
                <w:rFonts w:ascii="Cambria Math" w:eastAsia="Arial" w:hAnsi="Cambria Math" w:cs="Arial"/>
                <w:color w:val="000000"/>
                <w:sz w:val="19"/>
                <w:szCs w:val="19"/>
              </w:rPr>
            </m:ctrlPr>
          </m:sSubPr>
          <m:e>
            <m:r>
              <w:rPr>
                <w:rFonts w:ascii="Cambria Math" w:eastAsia="Arial" w:hAnsi="Cambria Math" w:cs="Arial"/>
                <w:color w:val="000000"/>
                <w:sz w:val="19"/>
                <w:szCs w:val="19"/>
              </w:rPr>
              <m:t>participacion</m:t>
            </m:r>
            <m:r>
              <m:rPr>
                <m:sty m:val="p"/>
              </m:rPr>
              <w:rPr>
                <w:rFonts w:ascii="Cambria Math" w:eastAsia="Arial" w:hAnsi="Cambria Math" w:cs="Arial"/>
                <w:color w:val="000000"/>
                <w:sz w:val="19"/>
                <w:szCs w:val="19"/>
              </w:rPr>
              <m:t xml:space="preserve"> (%)</m:t>
            </m:r>
          </m:e>
          <m:sub>
            <m:r>
              <w:rPr>
                <w:rFonts w:ascii="Cambria Math" w:eastAsia="Arial" w:hAnsi="Cambria Math" w:cs="Arial"/>
                <w:color w:val="000000"/>
                <w:sz w:val="19"/>
                <w:szCs w:val="19"/>
              </w:rPr>
              <m:t>i</m:t>
            </m:r>
          </m:sub>
        </m:sSub>
      </m:oMath>
      <w:r w:rsidRPr="00EE2D2F">
        <w:rPr>
          <w:rFonts w:ascii="Verdana" w:eastAsia="Arial" w:hAnsi="Verdana" w:cs="Arial"/>
          <w:color w:val="000000"/>
          <w:sz w:val="19"/>
          <w:szCs w:val="19"/>
        </w:rPr>
        <w:t xml:space="preserve"> son las frecuencias acumuladas o porcentaje de participación (%) calculado.</w:t>
      </w:r>
    </w:p>
    <w:p w14:paraId="51BD0A92" w14:textId="77777777" w:rsidR="00EE2D2F" w:rsidRPr="00EE2D2F" w:rsidRDefault="00EE2D2F" w:rsidP="00EE2D2F">
      <w:pPr>
        <w:tabs>
          <w:tab w:val="left" w:pos="1134"/>
        </w:tabs>
        <w:spacing w:after="120" w:line="240" w:lineRule="auto"/>
        <w:ind w:left="709" w:right="709"/>
        <w:contextualSpacing/>
        <w:jc w:val="both"/>
        <w:rPr>
          <w:rFonts w:ascii="Verdana" w:eastAsia="Arial" w:hAnsi="Verdana" w:cs="Arial"/>
          <w:iCs/>
          <w:color w:val="000000"/>
          <w:sz w:val="19"/>
          <w:szCs w:val="19"/>
        </w:rPr>
      </w:pPr>
    </w:p>
    <w:p w14:paraId="5C4B56F5" w14:textId="77777777" w:rsidR="00EE2D2F" w:rsidRPr="00EE2D2F" w:rsidRDefault="00EE2D2F" w:rsidP="00EE2D2F">
      <w:pPr>
        <w:numPr>
          <w:ilvl w:val="0"/>
          <w:numId w:val="18"/>
        </w:numPr>
        <w:tabs>
          <w:tab w:val="left" w:pos="1134"/>
        </w:tabs>
        <w:spacing w:after="120" w:line="240" w:lineRule="auto"/>
        <w:ind w:left="1069" w:right="709"/>
        <w:contextualSpacing/>
        <w:jc w:val="both"/>
        <w:rPr>
          <w:rFonts w:ascii="Verdana" w:eastAsia="Arial" w:hAnsi="Verdana" w:cs="Arial"/>
          <w:iCs/>
          <w:color w:val="000000"/>
          <w:sz w:val="19"/>
          <w:szCs w:val="19"/>
        </w:rPr>
      </w:pPr>
      <w:r w:rsidRPr="00EE2D2F">
        <w:rPr>
          <w:rFonts w:ascii="Verdana" w:eastAsia="Arial" w:hAnsi="Verdana" w:cs="Arial"/>
          <w:iCs/>
          <w:color w:val="000000"/>
          <w:sz w:val="19"/>
          <w:szCs w:val="19"/>
        </w:rPr>
        <w:t>Identificar los bienes o insumos cuyo porcentaje acumulado esté dentro del ochenta por ciento (80%) o un valor aproximado por debajo.</w:t>
      </w:r>
    </w:p>
    <w:p w14:paraId="5153DFA0" w14:textId="77777777" w:rsidR="00EE2D2F" w:rsidRPr="00EE2D2F" w:rsidRDefault="00EE2D2F" w:rsidP="00EE2D2F">
      <w:pPr>
        <w:tabs>
          <w:tab w:val="left" w:pos="1134"/>
        </w:tabs>
        <w:spacing w:after="120" w:line="240" w:lineRule="auto"/>
        <w:ind w:left="709" w:right="709"/>
        <w:contextualSpacing/>
        <w:jc w:val="both"/>
        <w:rPr>
          <w:rFonts w:ascii="Verdana" w:eastAsia="Arial" w:hAnsi="Verdana" w:cs="Arial"/>
          <w:iCs/>
          <w:color w:val="000000"/>
          <w:sz w:val="19"/>
          <w:szCs w:val="19"/>
        </w:rPr>
      </w:pPr>
    </w:p>
    <w:p w14:paraId="19B6E92D" w14:textId="77777777" w:rsidR="00EE2D2F" w:rsidRPr="00EE2D2F" w:rsidRDefault="00EE2D2F" w:rsidP="00EE2D2F">
      <w:pPr>
        <w:numPr>
          <w:ilvl w:val="0"/>
          <w:numId w:val="18"/>
        </w:numPr>
        <w:tabs>
          <w:tab w:val="left" w:pos="1134"/>
        </w:tabs>
        <w:spacing w:after="120" w:line="240" w:lineRule="auto"/>
        <w:ind w:left="1069" w:right="709"/>
        <w:contextualSpacing/>
        <w:jc w:val="both"/>
        <w:rPr>
          <w:rFonts w:ascii="Verdana" w:eastAsia="Arial" w:hAnsi="Verdana" w:cs="Arial"/>
          <w:iCs/>
          <w:color w:val="000000"/>
          <w:sz w:val="19"/>
          <w:szCs w:val="19"/>
        </w:rPr>
      </w:pPr>
      <w:r w:rsidRPr="00EE2D2F">
        <w:rPr>
          <w:rFonts w:ascii="Verdana" w:eastAsia="Arial" w:hAnsi="Verdana" w:cs="Arial"/>
          <w:iCs/>
          <w:color w:val="000000"/>
          <w:sz w:val="19"/>
          <w:szCs w:val="19"/>
        </w:rPr>
        <w:t xml:space="preserve">Identificar los bienes o insumos que cumplan con la condición anterior y en relación con estos se calculará el promedio de su porcentaje de participación. El promedio se calculará realizando la sumatoria de los porcentajes de participación de cada bien, resultado que luego se dividirá entre el número de bienes que se promedian. </w:t>
      </w:r>
    </w:p>
    <w:p w14:paraId="191C13FB" w14:textId="77777777" w:rsidR="00EE2D2F" w:rsidRPr="00EE2D2F" w:rsidRDefault="00EE2D2F" w:rsidP="00EE2D2F">
      <w:pPr>
        <w:tabs>
          <w:tab w:val="left" w:pos="1134"/>
        </w:tabs>
        <w:spacing w:after="120" w:line="240" w:lineRule="auto"/>
        <w:ind w:left="709" w:right="709"/>
        <w:contextualSpacing/>
        <w:jc w:val="both"/>
        <w:rPr>
          <w:rFonts w:ascii="Verdana" w:eastAsia="Arial" w:hAnsi="Verdana" w:cs="Arial"/>
          <w:iCs/>
          <w:color w:val="000000"/>
          <w:sz w:val="19"/>
          <w:szCs w:val="19"/>
        </w:rPr>
      </w:pPr>
    </w:p>
    <w:p w14:paraId="6537333D" w14:textId="77777777" w:rsidR="00EE2D2F" w:rsidRPr="00EE2D2F" w:rsidRDefault="00EE2D2F" w:rsidP="00EE2D2F">
      <w:pPr>
        <w:numPr>
          <w:ilvl w:val="0"/>
          <w:numId w:val="18"/>
        </w:numPr>
        <w:tabs>
          <w:tab w:val="left" w:pos="1134"/>
        </w:tabs>
        <w:spacing w:after="120" w:line="240" w:lineRule="auto"/>
        <w:ind w:left="1069" w:right="709"/>
        <w:contextualSpacing/>
        <w:jc w:val="both"/>
        <w:rPr>
          <w:rFonts w:ascii="Verdana" w:eastAsia="Arial" w:hAnsi="Verdana" w:cs="Arial"/>
          <w:iCs/>
          <w:color w:val="000000"/>
          <w:sz w:val="19"/>
          <w:szCs w:val="19"/>
        </w:rPr>
      </w:pPr>
      <w:r w:rsidRPr="00EE2D2F">
        <w:rPr>
          <w:rFonts w:ascii="Verdana" w:eastAsia="Arial" w:hAnsi="Verdana" w:cs="Arial"/>
          <w:iCs/>
          <w:color w:val="000000"/>
          <w:sz w:val="19"/>
          <w:szCs w:val="19"/>
        </w:rPr>
        <w:lastRenderedPageBreak/>
        <w:t xml:space="preserve">Los bienes relevantes serán aquellos cuyo porcentaje de participación sea igual o superior al promedio calculado en el paso anterior. </w:t>
      </w:r>
    </w:p>
    <w:p w14:paraId="11B587B3" w14:textId="77777777" w:rsidR="00EE2D2F" w:rsidRPr="00EE2D2F" w:rsidRDefault="00EE2D2F" w:rsidP="00EE2D2F">
      <w:pPr>
        <w:tabs>
          <w:tab w:val="left" w:pos="1134"/>
        </w:tabs>
        <w:spacing w:after="120" w:line="240" w:lineRule="auto"/>
        <w:ind w:left="709" w:right="709"/>
        <w:contextualSpacing/>
        <w:jc w:val="both"/>
        <w:rPr>
          <w:rFonts w:ascii="Verdana" w:eastAsia="Arial" w:hAnsi="Verdana" w:cs="Arial"/>
          <w:iCs/>
          <w:color w:val="000000"/>
          <w:sz w:val="19"/>
          <w:szCs w:val="19"/>
        </w:rPr>
      </w:pPr>
    </w:p>
    <w:p w14:paraId="7C239E03" w14:textId="77777777" w:rsidR="00EE2D2F" w:rsidRPr="00EE2D2F" w:rsidRDefault="00EE2D2F" w:rsidP="00EE2D2F">
      <w:pPr>
        <w:numPr>
          <w:ilvl w:val="0"/>
          <w:numId w:val="18"/>
        </w:numPr>
        <w:tabs>
          <w:tab w:val="left" w:pos="1134"/>
        </w:tabs>
        <w:spacing w:after="120" w:line="240" w:lineRule="auto"/>
        <w:ind w:left="1069" w:right="709"/>
        <w:contextualSpacing/>
        <w:jc w:val="both"/>
        <w:rPr>
          <w:rFonts w:ascii="Verdana" w:eastAsia="Arial" w:hAnsi="Verdana" w:cs="Arial"/>
          <w:iCs/>
          <w:color w:val="000000"/>
          <w:sz w:val="19"/>
          <w:szCs w:val="19"/>
        </w:rPr>
      </w:pPr>
      <w:r w:rsidRPr="00EE2D2F">
        <w:rPr>
          <w:rFonts w:ascii="Verdana" w:eastAsia="Arial" w:hAnsi="Verdana" w:cs="Arial"/>
          <w:iCs/>
          <w:color w:val="000000"/>
          <w:sz w:val="19"/>
          <w:szCs w:val="19"/>
        </w:rPr>
        <w:t>Verificar si uno o varios bienes que cumplan con lo previsto en el numeral anterior se encuentran incluidos en el Registro de Productores de Bienes Nacionales, en los términos del Decreto 2680 de 2009. De estar incorporados, la Entidad Estatal verificará al momento de publicar el pliego de condiciones definitivo que el registro del bien o insumo esté vigente hasta una fecha posterior a la del cierre del proceso. Para tal efecto, se entiende por fecha del cierre la publicada en el pliego de condiciones definitivo. Verificada la fecha de registro de estos bienes estos serán los que incluya en el numeral 4.3.1 del Pliego de Condiciones.</w:t>
      </w:r>
    </w:p>
    <w:p w14:paraId="7D71DDEF" w14:textId="77777777" w:rsidR="00EE2D2F" w:rsidRPr="00EE2D2F" w:rsidRDefault="00EE2D2F" w:rsidP="00EE2D2F">
      <w:pPr>
        <w:tabs>
          <w:tab w:val="left" w:pos="1134"/>
        </w:tabs>
        <w:spacing w:after="120" w:line="240" w:lineRule="auto"/>
        <w:ind w:left="709" w:right="709"/>
        <w:contextualSpacing/>
        <w:jc w:val="both"/>
        <w:rPr>
          <w:rFonts w:ascii="Verdana" w:eastAsia="Arial" w:hAnsi="Verdana" w:cs="Arial"/>
          <w:iCs/>
          <w:color w:val="000000"/>
          <w:sz w:val="19"/>
          <w:szCs w:val="19"/>
        </w:rPr>
      </w:pPr>
    </w:p>
    <w:p w14:paraId="145C1BFA" w14:textId="77777777" w:rsidR="00EE2D2F" w:rsidRPr="00EE2D2F" w:rsidRDefault="00EE2D2F" w:rsidP="00EE2D2F">
      <w:pPr>
        <w:numPr>
          <w:ilvl w:val="0"/>
          <w:numId w:val="18"/>
        </w:numPr>
        <w:spacing w:after="120" w:line="240" w:lineRule="auto"/>
        <w:ind w:left="1069" w:right="709"/>
        <w:contextualSpacing/>
        <w:jc w:val="both"/>
        <w:rPr>
          <w:rFonts w:ascii="Verdana" w:eastAsia="Arial" w:hAnsi="Verdana" w:cs="Arial"/>
          <w:sz w:val="19"/>
          <w:szCs w:val="19"/>
        </w:rPr>
      </w:pPr>
      <w:r w:rsidRPr="00EE2D2F">
        <w:rPr>
          <w:rFonts w:ascii="Verdana" w:eastAsia="Arial" w:hAnsi="Verdana" w:cs="Arial"/>
          <w:color w:val="000000"/>
          <w:sz w:val="19"/>
          <w:szCs w:val="19"/>
        </w:rPr>
        <w:t xml:space="preserve">Si </w:t>
      </w:r>
      <w:proofErr w:type="gramStart"/>
      <w:r w:rsidRPr="00EE2D2F">
        <w:rPr>
          <w:rFonts w:ascii="Verdana" w:eastAsia="Arial" w:hAnsi="Verdana" w:cs="Arial"/>
          <w:color w:val="000000"/>
          <w:sz w:val="19"/>
          <w:szCs w:val="19"/>
        </w:rPr>
        <w:t>ninguno de los bienes relevantes están</w:t>
      </w:r>
      <w:proofErr w:type="gramEnd"/>
      <w:r w:rsidRPr="00EE2D2F">
        <w:rPr>
          <w:rFonts w:ascii="Verdana" w:eastAsia="Arial" w:hAnsi="Verdana" w:cs="Arial"/>
          <w:color w:val="000000"/>
          <w:sz w:val="19"/>
          <w:szCs w:val="19"/>
        </w:rPr>
        <w:t xml:space="preserve"> incluidos en el Registro de Productores de Bienes Nacionales, la Entidad Estatal otorgará el puntaje a los Proponentes que se comprometan a vincular un porcentaje de empleados o contratistas por prestación de servicios colombianos de al menos el </w:t>
      </w:r>
      <w:r w:rsidRPr="00EE2D2F">
        <w:rPr>
          <w:rFonts w:ascii="Verdana" w:eastAsia="Arial" w:hAnsi="Verdana" w:cs="Arial"/>
          <w:color w:val="000000"/>
          <w:sz w:val="19"/>
          <w:szCs w:val="19"/>
          <w:highlight w:val="lightGray"/>
        </w:rPr>
        <w:t>[</w:t>
      </w:r>
      <w:r w:rsidRPr="00EE2D2F">
        <w:rPr>
          <w:rFonts w:ascii="Verdana" w:eastAsia="Arial" w:hAnsi="Verdana" w:cs="Arial"/>
          <w:sz w:val="19"/>
          <w:szCs w:val="19"/>
          <w:highlight w:val="lightGray"/>
          <w:lang w:val="es-MX" w:bidi="en-US"/>
        </w:rPr>
        <w:t>l</w:t>
      </w:r>
      <w:r w:rsidRPr="00EE2D2F">
        <w:rPr>
          <w:rFonts w:ascii="Verdana" w:eastAsia="Arial" w:hAnsi="Verdana" w:cs="Arial"/>
          <w:color w:val="000000"/>
          <w:sz w:val="19"/>
          <w:szCs w:val="19"/>
          <w:highlight w:val="lightGray"/>
        </w:rPr>
        <w:t>a Entidad Estatal incluirá el porcentaje definido en el numeral 4.3.1 del documento base]</w:t>
      </w:r>
      <w:r w:rsidRPr="00EE2D2F">
        <w:rPr>
          <w:rFonts w:ascii="Verdana" w:eastAsia="Arial" w:hAnsi="Verdana" w:cs="Arial"/>
          <w:color w:val="000000"/>
          <w:sz w:val="19"/>
          <w:szCs w:val="19"/>
        </w:rPr>
        <w:t xml:space="preserve"> del personal requerido para el cumplimiento del contrato. </w:t>
      </w:r>
    </w:p>
    <w:p w14:paraId="2CAA0CEE" w14:textId="77777777" w:rsidR="00EE2D2F" w:rsidRPr="00EE2D2F" w:rsidRDefault="00EE2D2F" w:rsidP="00EE2D2F">
      <w:pPr>
        <w:autoSpaceDE w:val="0"/>
        <w:autoSpaceDN w:val="0"/>
        <w:adjustRightInd w:val="0"/>
        <w:spacing w:after="0" w:line="240" w:lineRule="auto"/>
        <w:jc w:val="both"/>
        <w:rPr>
          <w:rFonts w:ascii="Verdana" w:eastAsia="Calibri" w:hAnsi="Verdana" w:cs="Arial"/>
          <w:bCs/>
          <w:color w:val="000000"/>
          <w:lang w:val="es-ES_tradnl"/>
        </w:rPr>
      </w:pPr>
    </w:p>
    <w:p w14:paraId="12BEC867" w14:textId="77777777" w:rsidR="00EE2D2F" w:rsidRPr="00EE2D2F" w:rsidRDefault="00EE2D2F" w:rsidP="00EE2D2F">
      <w:pPr>
        <w:widowControl w:val="0"/>
        <w:autoSpaceDE w:val="0"/>
        <w:autoSpaceDN w:val="0"/>
        <w:spacing w:after="120" w:line="276" w:lineRule="auto"/>
        <w:ind w:firstLine="709"/>
        <w:jc w:val="both"/>
        <w:rPr>
          <w:rFonts w:ascii="Verdana" w:eastAsia="Calibri" w:hAnsi="Verdana" w:cs="Arial"/>
          <w:bCs/>
          <w:color w:val="000000"/>
          <w:lang w:val="es-ES_tradnl"/>
        </w:rPr>
      </w:pPr>
      <w:r w:rsidRPr="00EE2D2F">
        <w:rPr>
          <w:rFonts w:ascii="Verdana" w:eastAsia="Calibri" w:hAnsi="Verdana" w:cs="Arial"/>
          <w:bCs/>
          <w:color w:val="000000"/>
          <w:lang w:val="es-ES_tradnl"/>
        </w:rPr>
        <w:t xml:space="preserve">Aplicando estos numerales las entidades estatales obligadas a observar los documentos tipo </w:t>
      </w:r>
      <w:bookmarkStart w:id="6" w:name="_Hlk89626908"/>
      <w:r w:rsidRPr="00EE2D2F">
        <w:rPr>
          <w:rFonts w:ascii="Verdana" w:eastAsia="Calibri" w:hAnsi="Verdana" w:cs="Arial"/>
          <w:bCs/>
          <w:color w:val="000000"/>
          <w:lang w:val="es-ES_tradnl"/>
        </w:rPr>
        <w:t>deben definir los bienes nacionales que resultan relevantes para el cumplimiento del objeto contractual, que, en cumplimiento de lo dispuesto en el Decreto 680 de 2021, son relevantes para considerar un servicio como nacional y, por tanto, para determinar la aplicabilidad del puntaje por apoyo a la industria nacional regulado por el artículo 2 de la Ley 816 de 2003</w:t>
      </w:r>
      <w:bookmarkEnd w:id="6"/>
      <w:r w:rsidRPr="00EE2D2F">
        <w:rPr>
          <w:rFonts w:ascii="Verdana" w:eastAsia="Calibri" w:hAnsi="Verdana" w:cs="Arial"/>
          <w:bCs/>
          <w:color w:val="000000"/>
          <w:lang w:val="es-ES_tradnl"/>
        </w:rPr>
        <w:t xml:space="preserve">. </w:t>
      </w:r>
    </w:p>
    <w:p w14:paraId="3C1AC4E6" w14:textId="77777777" w:rsidR="00EE2D2F" w:rsidRPr="00EE2D2F" w:rsidRDefault="00EE2D2F" w:rsidP="00EE2D2F">
      <w:pPr>
        <w:widowControl w:val="0"/>
        <w:autoSpaceDE w:val="0"/>
        <w:autoSpaceDN w:val="0"/>
        <w:spacing w:before="120" w:after="0" w:line="276" w:lineRule="auto"/>
        <w:ind w:firstLine="709"/>
        <w:jc w:val="both"/>
        <w:rPr>
          <w:rFonts w:ascii="Verdana" w:eastAsia="Arial" w:hAnsi="Verdana" w:cs="Arial"/>
          <w:bCs/>
          <w:lang w:eastAsia="es-ES" w:bidi="es-ES"/>
        </w:rPr>
      </w:pPr>
      <w:r w:rsidRPr="00EE2D2F">
        <w:rPr>
          <w:rFonts w:ascii="Verdana" w:eastAsia="Arial" w:hAnsi="Verdana" w:cs="Arial"/>
          <w:bCs/>
          <w:lang w:eastAsia="es-ES" w:bidi="es-ES"/>
        </w:rPr>
        <w:t xml:space="preserve">De conformidad la metodología expuesta, como primer paso la entidad estatal deberá identificar dentro del presupuesto oficial todos los bienes o insumos requeridos para la ejecución del proyecto y con base en esta información aplicará los siguientes pasos descritos en los numerales 2 a 10 de la matriz. Lo anterior encuentra fundamento en el mismo artículo </w:t>
      </w:r>
      <w:r w:rsidRPr="00EE2D2F">
        <w:rPr>
          <w:rFonts w:ascii="Verdana" w:eastAsia="Arial" w:hAnsi="Verdana" w:cs="Arial"/>
          <w:lang w:val="es-419"/>
        </w:rPr>
        <w:t xml:space="preserve">2.2.1.2.4.2.9. del Decreto 1082 de 2015 </w:t>
      </w:r>
      <w:r w:rsidRPr="00EE2D2F">
        <w:rPr>
          <w:rFonts w:ascii="Verdana" w:eastAsia="Calibri" w:hAnsi="Verdana" w:cs="Arial"/>
          <w:bCs/>
          <w:color w:val="000000"/>
          <w:lang w:val="es-ES_tradnl"/>
        </w:rPr>
        <w:t xml:space="preserve">adicionado por el Decreto 680 de 2021, en el cual se contempla la obligación de la entidad estatal de determinar de manera razonable y proporcionada los bienes nacionales relevantes teniendo en cuenta </w:t>
      </w:r>
      <w:r w:rsidRPr="00EE2D2F">
        <w:rPr>
          <w:rFonts w:ascii="Verdana" w:eastAsia="Arial" w:hAnsi="Verdana" w:cs="Arial"/>
          <w:bCs/>
          <w:lang w:eastAsia="es-ES" w:bidi="es-ES"/>
        </w:rPr>
        <w:t xml:space="preserve">“el porcentaje de participación de los bienes en el presupuesto del Proceso de Contratación”. Según se evidencia, la norma se refiere de forma general a los bienes que se incluyen en el presupuesto del proceso de contratación y no hace distinción si estos bienes deben ser considerados </w:t>
      </w:r>
      <w:proofErr w:type="gramStart"/>
      <w:r w:rsidRPr="00EE2D2F">
        <w:rPr>
          <w:rFonts w:ascii="Verdana" w:eastAsia="Arial" w:hAnsi="Verdana" w:cs="Arial"/>
          <w:bCs/>
          <w:lang w:eastAsia="es-ES" w:bidi="es-ES"/>
        </w:rPr>
        <w:t>en razón de</w:t>
      </w:r>
      <w:proofErr w:type="gramEnd"/>
      <w:r w:rsidRPr="00EE2D2F">
        <w:rPr>
          <w:rFonts w:ascii="Verdana" w:eastAsia="Arial" w:hAnsi="Verdana" w:cs="Arial"/>
          <w:bCs/>
          <w:lang w:eastAsia="es-ES" w:bidi="es-ES"/>
        </w:rPr>
        <w:t xml:space="preserve"> las actividades relevantes del proyecto. </w:t>
      </w:r>
    </w:p>
    <w:p w14:paraId="6A008F35" w14:textId="77777777" w:rsidR="00EE2D2F" w:rsidRPr="00EE2D2F" w:rsidRDefault="00EE2D2F" w:rsidP="00EE2D2F">
      <w:pPr>
        <w:widowControl w:val="0"/>
        <w:autoSpaceDE w:val="0"/>
        <w:autoSpaceDN w:val="0"/>
        <w:spacing w:before="120" w:after="0" w:line="276" w:lineRule="auto"/>
        <w:ind w:firstLine="709"/>
        <w:jc w:val="both"/>
        <w:rPr>
          <w:rFonts w:ascii="Verdana" w:eastAsia="Arial" w:hAnsi="Verdana" w:cs="Arial"/>
          <w:bCs/>
          <w:iCs/>
          <w:lang w:eastAsia="es-ES" w:bidi="es-ES"/>
        </w:rPr>
      </w:pPr>
      <w:r w:rsidRPr="00EE2D2F">
        <w:rPr>
          <w:rFonts w:ascii="Verdana" w:eastAsia="Arial" w:hAnsi="Verdana" w:cs="Arial"/>
          <w:bCs/>
          <w:lang w:eastAsia="es-ES" w:bidi="es-ES"/>
        </w:rPr>
        <w:t xml:space="preserve">Por tanto, para identificar los bienes o servicios relevantes para la </w:t>
      </w:r>
      <w:r w:rsidRPr="00EE2D2F">
        <w:rPr>
          <w:rFonts w:ascii="Verdana" w:eastAsia="Arial" w:hAnsi="Verdana" w:cs="Arial"/>
          <w:bCs/>
          <w:lang w:eastAsia="es-ES" w:bidi="es-ES"/>
        </w:rPr>
        <w:lastRenderedPageBreak/>
        <w:t xml:space="preserve">ejecución del objeto a contratar, la entidad debe tener en cuenta todos los bienes o insumos requeridos para el proyecto dentro del presupuesto oficial y no podrá considerar aspectos distintos a estos o determinar únicamente los bienes de las actividades de obra relevante. En tal sentido, atendiendo la consulta planteada, en virtud de la regla de inalterabilidad de los documentos tipo, la entidad no podrá modificar la metodología establecida en dicha matriz, de manera que, en el primer paso a aplicar deberá identificar </w:t>
      </w:r>
      <w:r w:rsidRPr="00EE2D2F">
        <w:rPr>
          <w:rFonts w:ascii="Verdana" w:eastAsia="Arial" w:hAnsi="Verdana" w:cs="Arial"/>
          <w:bCs/>
          <w:iCs/>
          <w:lang w:eastAsia="es-ES" w:bidi="es-ES"/>
        </w:rPr>
        <w:t xml:space="preserve">dentro del presupuesto </w:t>
      </w:r>
      <w:r w:rsidRPr="00EE2D2F">
        <w:rPr>
          <w:rFonts w:ascii="Verdana" w:eastAsia="Arial" w:hAnsi="Verdana" w:cs="Arial"/>
          <w:bCs/>
          <w:lang w:eastAsia="es-ES" w:bidi="es-ES"/>
        </w:rPr>
        <w:t>o</w:t>
      </w:r>
      <w:r w:rsidRPr="00EE2D2F">
        <w:rPr>
          <w:rFonts w:ascii="Verdana" w:eastAsia="Arial" w:hAnsi="Verdana" w:cs="Arial"/>
          <w:bCs/>
          <w:iCs/>
          <w:lang w:eastAsia="es-ES" w:bidi="es-ES"/>
        </w:rPr>
        <w:t>ficial los bienes o insumos requeridos para la ejecución del proyecto.</w:t>
      </w:r>
    </w:p>
    <w:p w14:paraId="3282D46C" w14:textId="77777777" w:rsidR="00EE2D2F" w:rsidRPr="00EE2D2F" w:rsidRDefault="00EE2D2F" w:rsidP="00EE2D2F">
      <w:pPr>
        <w:widowControl w:val="0"/>
        <w:autoSpaceDE w:val="0"/>
        <w:autoSpaceDN w:val="0"/>
        <w:spacing w:before="120" w:after="0" w:line="276" w:lineRule="auto"/>
        <w:ind w:firstLine="709"/>
        <w:jc w:val="both"/>
        <w:rPr>
          <w:rFonts w:ascii="Verdana" w:eastAsia="Arial" w:hAnsi="Verdana" w:cs="Arial"/>
          <w:bCs/>
          <w:iCs/>
          <w:lang w:eastAsia="es-ES" w:bidi="es-ES"/>
        </w:rPr>
      </w:pPr>
      <w:r w:rsidRPr="00EE2D2F">
        <w:rPr>
          <w:rFonts w:ascii="Verdana" w:eastAsia="Arial" w:hAnsi="Verdana" w:cs="Arial"/>
          <w:bCs/>
          <w:iCs/>
          <w:lang w:eastAsia="es-ES" w:bidi="es-ES"/>
        </w:rPr>
        <w:t>De acuerdo con lo anterior, en relación con uno de los problemas jurídicos planteados en este concepto, debe indicarse que, en los documentos tipo de selección abreviada de menor cuantía de obra pública de infraestructura social – versión 1, que se estructuren bajo la modalidad de bolsa de recursos a precios unitarios o monto agotable, la forma adecuada de determinar uno o varios bienes nacionales relevantes de acuerdo con los criterios establecidos en el artículo 2.2.1.2.4.2.9. del Decreto 1082 de 2015 y los previstos en esta Matriz 4 –señalados en los diez (10) numerales precedentes–, parte de una premisa y es que la indeterminación de las cantidades finales no exime a la entidad que adelanta el proceso de selección del deber de aplicar integralmente la metodología señalada, ni mucho menos habilita ajustes o simplificaciones de esta.</w:t>
      </w:r>
    </w:p>
    <w:p w14:paraId="601C09DA" w14:textId="77777777" w:rsidR="00EE2D2F" w:rsidRPr="00EE2D2F" w:rsidRDefault="00EE2D2F" w:rsidP="00EE2D2F">
      <w:pPr>
        <w:widowControl w:val="0"/>
        <w:autoSpaceDE w:val="0"/>
        <w:autoSpaceDN w:val="0"/>
        <w:spacing w:before="120" w:after="0" w:line="276" w:lineRule="auto"/>
        <w:ind w:firstLine="709"/>
        <w:jc w:val="both"/>
        <w:rPr>
          <w:rFonts w:ascii="Verdana" w:eastAsia="Arial" w:hAnsi="Verdana" w:cs="Arial"/>
          <w:bCs/>
          <w:iCs/>
          <w:lang w:eastAsia="es-ES" w:bidi="es-ES"/>
        </w:rPr>
      </w:pPr>
      <w:r w:rsidRPr="00EE2D2F">
        <w:rPr>
          <w:rFonts w:ascii="Verdana" w:eastAsia="Arial" w:hAnsi="Verdana" w:cs="Arial"/>
          <w:bCs/>
          <w:iCs/>
          <w:lang w:eastAsia="es-ES" w:bidi="es-ES"/>
        </w:rPr>
        <w:t xml:space="preserve">En efecto, aun cuando en este tipo de contratos las cantidades de obra dependen de la ejecución efectiva durante el plazo contractual, la entidad sí cuenta en la etapa de planeación con un presupuesto oficial estructurado, el cual incorpora cantidades estimadas y valores unitarios derivados de estudios previos, análisis del sector y diseños, entre otros. Así, es sobre esta base que la entidad que adelante el proceso de selección con los documentos tipo debe aplicar la totalidad de la metodología dispuesta en el numeral 4.3.1 del documento base. </w:t>
      </w:r>
    </w:p>
    <w:p w14:paraId="2EB2C923" w14:textId="77777777" w:rsidR="00EE2D2F" w:rsidRPr="00EE2D2F" w:rsidRDefault="00EE2D2F" w:rsidP="00EE2D2F">
      <w:pPr>
        <w:widowControl w:val="0"/>
        <w:autoSpaceDE w:val="0"/>
        <w:autoSpaceDN w:val="0"/>
        <w:spacing w:before="120" w:after="0" w:line="276" w:lineRule="auto"/>
        <w:ind w:firstLine="709"/>
        <w:jc w:val="both"/>
        <w:rPr>
          <w:rFonts w:ascii="Verdana" w:eastAsia="Arial" w:hAnsi="Verdana" w:cs="Arial"/>
          <w:bCs/>
          <w:iCs/>
          <w:lang w:eastAsia="es-ES" w:bidi="es-ES"/>
        </w:rPr>
      </w:pPr>
      <w:r w:rsidRPr="00EE2D2F">
        <w:rPr>
          <w:rFonts w:ascii="Verdana" w:eastAsia="Arial" w:hAnsi="Verdana" w:cs="Arial"/>
          <w:bCs/>
          <w:iCs/>
          <w:lang w:eastAsia="es-ES" w:bidi="es-ES"/>
        </w:rPr>
        <w:t xml:space="preserve">Desde el punto de vista jurídico, este enfoque encuentra sustento en el artículo 2.2.1.2.4.2.9. del Decreto 1082 de 2015, el cual exige que la determinación de los bienes nacionales relevantes se realice considerando el porcentaje de participación de los bienes en el presupuesto del proceso de contratación, sin distinguir entre contratos con cantidades ciertas o estimadas. </w:t>
      </w:r>
    </w:p>
    <w:p w14:paraId="1BDB0E7F" w14:textId="77777777" w:rsidR="00EE2D2F" w:rsidRPr="00EE2D2F" w:rsidRDefault="00EE2D2F" w:rsidP="00EE2D2F">
      <w:pPr>
        <w:widowControl w:val="0"/>
        <w:autoSpaceDE w:val="0"/>
        <w:autoSpaceDN w:val="0"/>
        <w:spacing w:before="120" w:after="0" w:line="276" w:lineRule="auto"/>
        <w:ind w:firstLine="709"/>
        <w:jc w:val="both"/>
        <w:rPr>
          <w:rFonts w:ascii="Verdana" w:eastAsia="Arial" w:hAnsi="Verdana" w:cs="Arial"/>
          <w:bCs/>
          <w:iCs/>
          <w:lang w:eastAsia="es-ES" w:bidi="es-ES"/>
        </w:rPr>
      </w:pPr>
      <w:r w:rsidRPr="00EE2D2F">
        <w:rPr>
          <w:rFonts w:ascii="Verdana" w:eastAsia="Arial" w:hAnsi="Verdana" w:cs="Arial"/>
          <w:bCs/>
          <w:iCs/>
          <w:lang w:eastAsia="es-ES" w:bidi="es-ES"/>
        </w:rPr>
        <w:t xml:space="preserve">En conclusión, la modalidad de bolsa de recursos a precios unitarios y por monto agotable no altera la forma de determinar los bienes nacionales </w:t>
      </w:r>
      <w:r w:rsidRPr="00EE2D2F">
        <w:rPr>
          <w:rFonts w:ascii="Verdana" w:eastAsia="Arial" w:hAnsi="Verdana" w:cs="Arial"/>
          <w:bCs/>
          <w:iCs/>
          <w:lang w:eastAsia="es-ES" w:bidi="es-ES"/>
        </w:rPr>
        <w:lastRenderedPageBreak/>
        <w:t xml:space="preserve">relevantes en los procesos de selección que se adelanten con los documentos tipo de selección abreviada de menor cuantía de obra pública de infraestructura social – versión 1. Por lo tanto, la entidad debe ceñirse a la metodología dispuesta en la </w:t>
      </w:r>
      <w:r w:rsidRPr="00EE2D2F">
        <w:rPr>
          <w:rFonts w:ascii="Verdana" w:eastAsia="Arial" w:hAnsi="Verdana" w:cs="Arial"/>
          <w:bCs/>
          <w:lang w:eastAsia="es-ES" w:bidi="es-ES"/>
        </w:rPr>
        <w:t>“Matriz 4 - Bienes nacionales relevantes para la obra pública del sector social”</w:t>
      </w:r>
      <w:r w:rsidRPr="00EE2D2F">
        <w:rPr>
          <w:rFonts w:ascii="Verdana" w:eastAsia="Arial" w:hAnsi="Verdana" w:cs="Arial"/>
          <w:bCs/>
          <w:iCs/>
          <w:lang w:eastAsia="es-ES" w:bidi="es-ES"/>
        </w:rPr>
        <w:t xml:space="preserve">, utilizando la mejor información disponible en la etapa de planeación, garantizando así la objetividad del análisis y la correcta aplicación del puntaje por apoyo a la industria nacional.  </w:t>
      </w:r>
    </w:p>
    <w:p w14:paraId="3DC7DC41" w14:textId="77777777" w:rsidR="00EE2D2F" w:rsidRPr="00EE2D2F" w:rsidRDefault="00EE2D2F" w:rsidP="00EE2D2F">
      <w:pPr>
        <w:widowControl w:val="0"/>
        <w:autoSpaceDE w:val="0"/>
        <w:autoSpaceDN w:val="0"/>
        <w:spacing w:before="120" w:after="0" w:line="276" w:lineRule="auto"/>
        <w:ind w:firstLine="709"/>
        <w:jc w:val="both"/>
        <w:rPr>
          <w:rFonts w:ascii="Verdana" w:eastAsia="Arial" w:hAnsi="Verdana" w:cs="Arial"/>
          <w:bCs/>
          <w:lang w:eastAsia="es-ES" w:bidi="es-ES"/>
        </w:rPr>
      </w:pPr>
      <w:r w:rsidRPr="00EE2D2F">
        <w:rPr>
          <w:rFonts w:ascii="Verdana" w:eastAsia="Arial" w:hAnsi="Verdana" w:cs="Arial"/>
          <w:bCs/>
          <w:iCs/>
          <w:lang w:eastAsia="es-ES" w:bidi="es-ES"/>
        </w:rPr>
        <w:t>Si luego de aplica</w:t>
      </w:r>
      <w:r w:rsidRPr="00EE2D2F">
        <w:rPr>
          <w:rFonts w:ascii="Verdana" w:eastAsia="Calibri" w:hAnsi="Verdana" w:cs="Arial"/>
          <w:bCs/>
          <w:color w:val="000000"/>
          <w:lang w:val="es-ES_tradnl"/>
        </w:rPr>
        <w:t xml:space="preserve">r la metodología para determinar los bienes nacionales relevantes −descrita con anterioridad−, la entidad determina uno o varios bienes nacionales relevantes para el proceso de contratación, deberá incluir la </w:t>
      </w:r>
      <w:r w:rsidRPr="00EE2D2F">
        <w:rPr>
          <w:rFonts w:ascii="Verdana" w:eastAsia="Calibri" w:hAnsi="Verdana" w:cs="Arial"/>
          <w:b/>
          <w:i/>
          <w:iCs/>
          <w:color w:val="000000"/>
          <w:lang w:val="es-ES_tradnl"/>
        </w:rPr>
        <w:t>opción 1</w:t>
      </w:r>
      <w:r w:rsidRPr="00EE2D2F">
        <w:rPr>
          <w:rFonts w:ascii="Verdana" w:eastAsia="Calibri" w:hAnsi="Verdana" w:cs="Arial"/>
          <w:bCs/>
          <w:color w:val="000000"/>
          <w:lang w:val="es-ES_tradnl"/>
        </w:rPr>
        <w:t xml:space="preserve"> del numeral </w:t>
      </w:r>
      <w:r w:rsidRPr="00EE2D2F">
        <w:rPr>
          <w:rFonts w:ascii="Verdana" w:eastAsia="Calibri" w:hAnsi="Verdana" w:cs="Arial"/>
          <w:lang w:val="es-MX"/>
        </w:rPr>
        <w:t>4</w:t>
      </w:r>
      <w:r w:rsidRPr="00EE2D2F">
        <w:rPr>
          <w:rFonts w:ascii="Verdana" w:eastAsia="Arial" w:hAnsi="Verdana" w:cs="Arial"/>
          <w:bCs/>
          <w:lang w:eastAsia="es-ES" w:bidi="es-ES"/>
        </w:rPr>
        <w:t xml:space="preserve">.3.1 “Promoción de servicios nacionales o con trato nacional”, en la que se señalarán los bienes nacionales relevantes en el proceso de contratación, diligenciando una tabla con la información tomada del Registro de Productores de Bienes Nacionales, en la que se señalará: i) el bien nacional relevante, </w:t>
      </w:r>
      <w:proofErr w:type="spellStart"/>
      <w:r w:rsidRPr="00EE2D2F">
        <w:rPr>
          <w:rFonts w:ascii="Verdana" w:eastAsia="Arial" w:hAnsi="Verdana" w:cs="Arial"/>
          <w:bCs/>
          <w:lang w:eastAsia="es-ES" w:bidi="es-ES"/>
        </w:rPr>
        <w:t>ii</w:t>
      </w:r>
      <w:proofErr w:type="spellEnd"/>
      <w:r w:rsidRPr="00EE2D2F">
        <w:rPr>
          <w:rFonts w:ascii="Verdana" w:eastAsia="Arial" w:hAnsi="Verdana" w:cs="Arial"/>
          <w:bCs/>
          <w:lang w:eastAsia="es-ES" w:bidi="es-ES"/>
        </w:rPr>
        <w:t xml:space="preserve">) la fecha de inscripción, </w:t>
      </w:r>
      <w:proofErr w:type="spellStart"/>
      <w:r w:rsidRPr="00EE2D2F">
        <w:rPr>
          <w:rFonts w:ascii="Verdana" w:eastAsia="Arial" w:hAnsi="Verdana" w:cs="Arial"/>
          <w:bCs/>
          <w:lang w:eastAsia="es-ES" w:bidi="es-ES"/>
        </w:rPr>
        <w:t>iii</w:t>
      </w:r>
      <w:proofErr w:type="spellEnd"/>
      <w:r w:rsidRPr="00EE2D2F">
        <w:rPr>
          <w:rFonts w:ascii="Verdana" w:eastAsia="Arial" w:hAnsi="Verdana" w:cs="Arial"/>
          <w:bCs/>
          <w:lang w:eastAsia="es-ES" w:bidi="es-ES"/>
        </w:rPr>
        <w:t xml:space="preserve">) la fecha de vigencia, </w:t>
      </w:r>
      <w:proofErr w:type="spellStart"/>
      <w:r w:rsidRPr="00EE2D2F">
        <w:rPr>
          <w:rFonts w:ascii="Verdana" w:eastAsia="Arial" w:hAnsi="Verdana" w:cs="Arial"/>
          <w:bCs/>
          <w:lang w:eastAsia="es-ES" w:bidi="es-ES"/>
        </w:rPr>
        <w:t>iv</w:t>
      </w:r>
      <w:proofErr w:type="spellEnd"/>
      <w:r w:rsidRPr="00EE2D2F">
        <w:rPr>
          <w:rFonts w:ascii="Verdana" w:eastAsia="Arial" w:hAnsi="Verdana" w:cs="Arial"/>
          <w:bCs/>
          <w:lang w:eastAsia="es-ES" w:bidi="es-ES"/>
        </w:rPr>
        <w:t>) el número de partida arancelaria, v) el porcentaje (%) de participación del bien y vi) el puntaje individual de cada bien, de la siguiente forma:</w:t>
      </w:r>
    </w:p>
    <w:p w14:paraId="37597358" w14:textId="77777777" w:rsidR="00EE2D2F" w:rsidRPr="00EE2D2F" w:rsidRDefault="00EE2D2F" w:rsidP="00EE2D2F">
      <w:pPr>
        <w:widowControl w:val="0"/>
        <w:autoSpaceDE w:val="0"/>
        <w:autoSpaceDN w:val="0"/>
        <w:spacing w:before="120" w:after="0" w:line="276" w:lineRule="auto"/>
        <w:ind w:firstLine="709"/>
        <w:jc w:val="both"/>
        <w:rPr>
          <w:rFonts w:ascii="Verdana" w:eastAsia="Arial" w:hAnsi="Verdana" w:cs="Arial"/>
          <w:bCs/>
          <w:lang w:eastAsia="es-ES" w:bidi="es-ES"/>
        </w:rPr>
      </w:pPr>
    </w:p>
    <w:p w14:paraId="7DAAC69D" w14:textId="77777777" w:rsidR="00EE2D2F" w:rsidRPr="00EE2D2F" w:rsidRDefault="00EE2D2F" w:rsidP="00EE2D2F">
      <w:pPr>
        <w:ind w:left="709" w:right="709"/>
        <w:jc w:val="both"/>
        <w:rPr>
          <w:rFonts w:ascii="Verdana" w:eastAsia="Calibri" w:hAnsi="Verdana" w:cs="Arial"/>
          <w:sz w:val="19"/>
          <w:szCs w:val="19"/>
          <w:lang w:val="es-MX"/>
        </w:rPr>
      </w:pPr>
      <w:r w:rsidRPr="00EE2D2F">
        <w:rPr>
          <w:rFonts w:ascii="Verdana" w:eastAsia="Calibri" w:hAnsi="Verdana" w:cs="Arial"/>
          <w:sz w:val="19"/>
          <w:szCs w:val="19"/>
          <w:highlight w:val="lightGray"/>
          <w:lang w:val="es-MX"/>
        </w:rPr>
        <w:t>[</w:t>
      </w:r>
      <w:r w:rsidRPr="00EE2D2F">
        <w:rPr>
          <w:rFonts w:ascii="Verdana" w:eastAsia="Calibri" w:hAnsi="Verdana" w:cs="Arial"/>
          <w:b/>
          <w:bCs/>
          <w:sz w:val="19"/>
          <w:szCs w:val="19"/>
          <w:highlight w:val="lightGray"/>
          <w:lang w:val="es-MX"/>
        </w:rPr>
        <w:t>Opción 1.</w:t>
      </w:r>
      <w:r w:rsidRPr="00EE2D2F">
        <w:rPr>
          <w:rFonts w:ascii="Verdana" w:eastAsia="Calibri" w:hAnsi="Verdana" w:cs="Arial"/>
          <w:sz w:val="19"/>
          <w:szCs w:val="19"/>
          <w:highlight w:val="lightGray"/>
          <w:lang w:val="es-MX"/>
        </w:rPr>
        <w:t xml:space="preserve"> Si la Entidad Estatal luego de aplicar la metodología para identificar los bienes nacionales relevantes prevista en la Matriz 4, determina uno o varios bienes nacionales relevantes para el Proceso de Contratación, incluirá los siguientes párrafos:]</w:t>
      </w:r>
    </w:p>
    <w:p w14:paraId="1B927876" w14:textId="77777777" w:rsidR="00EE2D2F" w:rsidRPr="00EE2D2F" w:rsidRDefault="00EE2D2F" w:rsidP="00EE2D2F">
      <w:pPr>
        <w:ind w:left="709" w:right="709"/>
        <w:jc w:val="both"/>
        <w:rPr>
          <w:rFonts w:ascii="Verdana" w:eastAsia="Calibri" w:hAnsi="Verdana" w:cs="Arial"/>
          <w:sz w:val="19"/>
          <w:szCs w:val="19"/>
          <w:lang w:val="es-MX"/>
        </w:rPr>
      </w:pPr>
      <w:r w:rsidRPr="00EE2D2F">
        <w:rPr>
          <w:rFonts w:ascii="Verdana" w:eastAsia="Calibri" w:hAnsi="Verdana" w:cs="Arial"/>
          <w:sz w:val="19"/>
          <w:szCs w:val="19"/>
          <w:lang w:val="es-MX"/>
        </w:rPr>
        <w:t xml:space="preserve">En el presente Proceso de Contratación los bienes nacionales relevantes son: </w:t>
      </w:r>
    </w:p>
    <w:p w14:paraId="5D241145" w14:textId="77777777" w:rsidR="00EE2D2F" w:rsidRPr="00EE2D2F" w:rsidRDefault="00EE2D2F" w:rsidP="00EE2D2F">
      <w:pPr>
        <w:ind w:left="709" w:right="709"/>
        <w:jc w:val="both"/>
        <w:rPr>
          <w:rFonts w:ascii="Verdana" w:eastAsia="Calibri" w:hAnsi="Verdana" w:cs="Arial"/>
          <w:sz w:val="19"/>
          <w:szCs w:val="19"/>
          <w:lang w:val="es-MX"/>
        </w:rPr>
      </w:pPr>
      <w:r w:rsidRPr="00EE2D2F">
        <w:rPr>
          <w:rFonts w:ascii="Verdana" w:eastAsia="Calibri" w:hAnsi="Verdana" w:cs="Arial"/>
          <w:sz w:val="19"/>
          <w:szCs w:val="19"/>
          <w:highlight w:val="lightGray"/>
          <w:lang w:val="es-MX"/>
        </w:rPr>
        <w:t>[La Entidad debe diligenciar la siguiente tabla con la información tomada del Registro de Productores de Bienes Nacionales]</w:t>
      </w:r>
    </w:p>
    <w:tbl>
      <w:tblPr>
        <w:tblW w:w="5693"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500"/>
        <w:gridCol w:w="1151"/>
        <w:gridCol w:w="1300"/>
        <w:gridCol w:w="1027"/>
        <w:gridCol w:w="1340"/>
        <w:gridCol w:w="1525"/>
        <w:gridCol w:w="1187"/>
      </w:tblGrid>
      <w:tr w:rsidR="00EE2D2F" w:rsidRPr="00EE2D2F" w14:paraId="2C8823E8" w14:textId="77777777" w:rsidTr="00C80FF3">
        <w:trPr>
          <w:trHeight w:val="248"/>
          <w:tblHeader/>
          <w:jc w:val="center"/>
        </w:trPr>
        <w:tc>
          <w:tcPr>
            <w:tcW w:w="365" w:type="dxa"/>
            <w:tcBorders>
              <w:top w:val="double" w:sz="4" w:space="0" w:color="auto"/>
              <w:left w:val="double" w:sz="4" w:space="0" w:color="auto"/>
              <w:bottom w:val="single" w:sz="4" w:space="0" w:color="000000"/>
              <w:right w:val="single" w:sz="6" w:space="0" w:color="auto"/>
            </w:tcBorders>
            <w:shd w:val="clear" w:color="auto" w:fill="3B3838"/>
            <w:vAlign w:val="center"/>
            <w:hideMark/>
          </w:tcPr>
          <w:p w14:paraId="4BB76C11" w14:textId="77777777" w:rsidR="00EE2D2F" w:rsidRPr="00EE2D2F" w:rsidRDefault="00EE2D2F" w:rsidP="00EE2D2F">
            <w:pPr>
              <w:jc w:val="both"/>
              <w:rPr>
                <w:rFonts w:ascii="Verdana" w:eastAsia="Calibri" w:hAnsi="Verdana" w:cs="Arial"/>
                <w:b/>
                <w:caps/>
                <w:color w:val="FFFFFF"/>
                <w:sz w:val="19"/>
                <w:szCs w:val="19"/>
              </w:rPr>
            </w:pPr>
            <w:r w:rsidRPr="00EE2D2F">
              <w:rPr>
                <w:rFonts w:ascii="Verdana" w:eastAsia="Calibri" w:hAnsi="Verdana" w:cs="Arial"/>
                <w:b/>
                <w:color w:val="FFFFFF"/>
                <w:sz w:val="19"/>
                <w:szCs w:val="19"/>
              </w:rPr>
              <w:t>No.</w:t>
            </w:r>
          </w:p>
        </w:tc>
        <w:tc>
          <w:tcPr>
            <w:tcW w:w="796" w:type="dxa"/>
            <w:tcBorders>
              <w:top w:val="double" w:sz="4" w:space="0" w:color="auto"/>
              <w:left w:val="single" w:sz="6" w:space="0" w:color="auto"/>
              <w:bottom w:val="single" w:sz="4" w:space="0" w:color="000000"/>
              <w:right w:val="single" w:sz="4" w:space="0" w:color="000000"/>
            </w:tcBorders>
            <w:shd w:val="clear" w:color="auto" w:fill="3B3838"/>
            <w:vAlign w:val="center"/>
            <w:hideMark/>
          </w:tcPr>
          <w:p w14:paraId="56B9A682" w14:textId="77777777" w:rsidR="00EE2D2F" w:rsidRPr="00EE2D2F" w:rsidRDefault="00EE2D2F" w:rsidP="00EE2D2F">
            <w:pPr>
              <w:jc w:val="both"/>
              <w:rPr>
                <w:rFonts w:ascii="Verdana" w:eastAsia="Calibri" w:hAnsi="Verdana" w:cs="Arial"/>
                <w:b/>
                <w:caps/>
                <w:color w:val="FFFFFF"/>
                <w:sz w:val="19"/>
                <w:szCs w:val="19"/>
              </w:rPr>
            </w:pPr>
            <w:r w:rsidRPr="00EE2D2F">
              <w:rPr>
                <w:rFonts w:ascii="Verdana" w:eastAsia="Calibri" w:hAnsi="Verdana" w:cs="Arial"/>
                <w:b/>
                <w:color w:val="FFFFFF"/>
                <w:sz w:val="19"/>
                <w:szCs w:val="19"/>
              </w:rPr>
              <w:t>Bien nacional relevante</w:t>
            </w:r>
          </w:p>
        </w:tc>
        <w:tc>
          <w:tcPr>
            <w:tcW w:w="942" w:type="dxa"/>
            <w:tcBorders>
              <w:top w:val="double" w:sz="4" w:space="0" w:color="auto"/>
              <w:left w:val="single" w:sz="6" w:space="0" w:color="auto"/>
              <w:bottom w:val="single" w:sz="4" w:space="0" w:color="000000"/>
              <w:right w:val="single" w:sz="4" w:space="0" w:color="000000"/>
            </w:tcBorders>
            <w:shd w:val="clear" w:color="auto" w:fill="3B3838"/>
            <w:vAlign w:val="center"/>
          </w:tcPr>
          <w:p w14:paraId="2B35BD5E" w14:textId="77777777" w:rsidR="00EE2D2F" w:rsidRPr="00EE2D2F" w:rsidRDefault="00EE2D2F" w:rsidP="00EE2D2F">
            <w:pPr>
              <w:jc w:val="both"/>
              <w:rPr>
                <w:rFonts w:ascii="Verdana" w:eastAsia="Calibri" w:hAnsi="Verdana" w:cs="Arial"/>
                <w:b/>
                <w:color w:val="FFFFFF"/>
                <w:sz w:val="19"/>
                <w:szCs w:val="19"/>
              </w:rPr>
            </w:pPr>
            <w:r w:rsidRPr="00EE2D2F">
              <w:rPr>
                <w:rFonts w:ascii="Verdana" w:eastAsia="Calibri" w:hAnsi="Verdana" w:cs="Arial"/>
                <w:b/>
                <w:color w:val="FFFFFF"/>
                <w:sz w:val="19"/>
                <w:szCs w:val="19"/>
              </w:rPr>
              <w:t>Fecha de inscripción</w:t>
            </w:r>
          </w:p>
        </w:tc>
        <w:tc>
          <w:tcPr>
            <w:tcW w:w="736" w:type="dxa"/>
            <w:tcBorders>
              <w:top w:val="double" w:sz="4" w:space="0" w:color="auto"/>
              <w:left w:val="single" w:sz="4" w:space="0" w:color="000000"/>
              <w:bottom w:val="single" w:sz="4" w:space="0" w:color="000000"/>
              <w:right w:val="single" w:sz="4" w:space="0" w:color="000000"/>
            </w:tcBorders>
            <w:shd w:val="clear" w:color="auto" w:fill="3B3838"/>
            <w:vAlign w:val="center"/>
          </w:tcPr>
          <w:p w14:paraId="47AE8774" w14:textId="77777777" w:rsidR="00EE2D2F" w:rsidRPr="00EE2D2F" w:rsidRDefault="00EE2D2F" w:rsidP="00EE2D2F">
            <w:pPr>
              <w:jc w:val="both"/>
              <w:rPr>
                <w:rFonts w:ascii="Verdana" w:eastAsia="Calibri" w:hAnsi="Verdana" w:cs="Arial"/>
                <w:b/>
                <w:color w:val="FFFFFF"/>
                <w:sz w:val="19"/>
                <w:szCs w:val="19"/>
              </w:rPr>
            </w:pPr>
            <w:r w:rsidRPr="00EE2D2F">
              <w:rPr>
                <w:rFonts w:ascii="Verdana" w:eastAsia="Calibri" w:hAnsi="Verdana" w:cs="Arial"/>
                <w:b/>
                <w:color w:val="FFFFFF"/>
                <w:sz w:val="19"/>
                <w:szCs w:val="19"/>
              </w:rPr>
              <w:t>Fecha de vigencia</w:t>
            </w:r>
          </w:p>
        </w:tc>
        <w:tc>
          <w:tcPr>
            <w:tcW w:w="934" w:type="dxa"/>
            <w:tcBorders>
              <w:top w:val="double" w:sz="4" w:space="0" w:color="auto"/>
              <w:left w:val="single" w:sz="4" w:space="0" w:color="000000"/>
              <w:bottom w:val="single" w:sz="4" w:space="0" w:color="000000"/>
              <w:right w:val="single" w:sz="4" w:space="0" w:color="000000"/>
            </w:tcBorders>
            <w:shd w:val="clear" w:color="auto" w:fill="3B3838"/>
            <w:vAlign w:val="center"/>
          </w:tcPr>
          <w:p w14:paraId="0D8F51D9" w14:textId="77777777" w:rsidR="00EE2D2F" w:rsidRPr="00EE2D2F" w:rsidRDefault="00EE2D2F" w:rsidP="00EE2D2F">
            <w:pPr>
              <w:jc w:val="both"/>
              <w:rPr>
                <w:rFonts w:ascii="Verdana" w:eastAsia="Calibri" w:hAnsi="Verdana" w:cs="Arial"/>
                <w:b/>
                <w:color w:val="FFFFFF"/>
                <w:sz w:val="19"/>
                <w:szCs w:val="19"/>
              </w:rPr>
            </w:pPr>
            <w:r w:rsidRPr="00EE2D2F">
              <w:rPr>
                <w:rFonts w:ascii="Verdana" w:eastAsia="Calibri" w:hAnsi="Verdana" w:cs="Arial"/>
                <w:b/>
                <w:color w:val="FFFFFF"/>
                <w:sz w:val="19"/>
                <w:szCs w:val="19"/>
              </w:rPr>
              <w:t>No. de partida arancelaria</w:t>
            </w:r>
          </w:p>
        </w:tc>
        <w:tc>
          <w:tcPr>
            <w:tcW w:w="1081" w:type="dxa"/>
            <w:tcBorders>
              <w:top w:val="double" w:sz="4" w:space="0" w:color="auto"/>
              <w:left w:val="single" w:sz="4" w:space="0" w:color="000000"/>
              <w:bottom w:val="single" w:sz="4" w:space="0" w:color="000000"/>
              <w:right w:val="double" w:sz="4" w:space="0" w:color="auto"/>
            </w:tcBorders>
            <w:shd w:val="clear" w:color="auto" w:fill="3B3838"/>
            <w:vAlign w:val="center"/>
          </w:tcPr>
          <w:p w14:paraId="4E43AA1A" w14:textId="77777777" w:rsidR="00EE2D2F" w:rsidRPr="00EE2D2F" w:rsidRDefault="00EE2D2F" w:rsidP="00EE2D2F">
            <w:pPr>
              <w:jc w:val="both"/>
              <w:rPr>
                <w:rFonts w:ascii="Verdana" w:eastAsia="Calibri" w:hAnsi="Verdana" w:cs="Arial"/>
                <w:b/>
                <w:color w:val="FFFFFF"/>
                <w:sz w:val="19"/>
                <w:szCs w:val="19"/>
              </w:rPr>
            </w:pPr>
            <w:r w:rsidRPr="00EE2D2F">
              <w:rPr>
                <w:rFonts w:ascii="Verdana" w:eastAsia="Calibri" w:hAnsi="Verdana" w:cs="Arial"/>
                <w:b/>
                <w:color w:val="FFFFFF"/>
                <w:sz w:val="19"/>
                <w:szCs w:val="19"/>
              </w:rPr>
              <w:t>% de participación</w:t>
            </w:r>
          </w:p>
        </w:tc>
        <w:tc>
          <w:tcPr>
            <w:tcW w:w="839" w:type="dxa"/>
            <w:tcBorders>
              <w:top w:val="double" w:sz="4" w:space="0" w:color="auto"/>
              <w:left w:val="single" w:sz="4" w:space="0" w:color="000000"/>
              <w:bottom w:val="single" w:sz="4" w:space="0" w:color="000000"/>
              <w:right w:val="double" w:sz="4" w:space="0" w:color="auto"/>
            </w:tcBorders>
            <w:shd w:val="clear" w:color="auto" w:fill="3B3838"/>
          </w:tcPr>
          <w:p w14:paraId="14E19119" w14:textId="77777777" w:rsidR="00EE2D2F" w:rsidRPr="00EE2D2F" w:rsidRDefault="00EE2D2F" w:rsidP="00EE2D2F">
            <w:pPr>
              <w:jc w:val="both"/>
              <w:rPr>
                <w:rFonts w:ascii="Verdana" w:eastAsia="Calibri" w:hAnsi="Verdana" w:cs="Arial"/>
                <w:b/>
                <w:color w:val="FFFFFF"/>
                <w:sz w:val="19"/>
                <w:szCs w:val="19"/>
              </w:rPr>
            </w:pPr>
            <w:r w:rsidRPr="00EE2D2F">
              <w:rPr>
                <w:rFonts w:ascii="Verdana" w:eastAsia="Calibri" w:hAnsi="Verdana" w:cs="Arial"/>
                <w:b/>
                <w:color w:val="FFFFFF"/>
                <w:sz w:val="19"/>
                <w:szCs w:val="19"/>
              </w:rPr>
              <w:t xml:space="preserve">Puntaje individual de cada bien </w:t>
            </w:r>
          </w:p>
        </w:tc>
      </w:tr>
      <w:tr w:rsidR="00EE2D2F" w:rsidRPr="00EE2D2F" w14:paraId="61709889" w14:textId="77777777" w:rsidTr="00C80FF3">
        <w:trPr>
          <w:trHeight w:val="177"/>
          <w:tblHeader/>
          <w:jc w:val="center"/>
        </w:trPr>
        <w:tc>
          <w:tcPr>
            <w:tcW w:w="365" w:type="dxa"/>
            <w:tcBorders>
              <w:top w:val="single" w:sz="4" w:space="0" w:color="000000"/>
              <w:left w:val="double" w:sz="4" w:space="0" w:color="auto"/>
              <w:right w:val="single" w:sz="6" w:space="0" w:color="auto"/>
            </w:tcBorders>
            <w:vAlign w:val="center"/>
          </w:tcPr>
          <w:p w14:paraId="7DD63B1E" w14:textId="77777777" w:rsidR="00EE2D2F" w:rsidRPr="00EE2D2F" w:rsidRDefault="00EE2D2F" w:rsidP="00EE2D2F">
            <w:pPr>
              <w:jc w:val="both"/>
              <w:rPr>
                <w:rFonts w:ascii="Verdana" w:eastAsia="Calibri" w:hAnsi="Verdana" w:cs="Arial"/>
                <w:caps/>
                <w:sz w:val="19"/>
                <w:szCs w:val="19"/>
              </w:rPr>
            </w:pPr>
            <w:r w:rsidRPr="00EE2D2F">
              <w:rPr>
                <w:rFonts w:ascii="Verdana" w:eastAsia="Calibri" w:hAnsi="Verdana" w:cs="Arial"/>
                <w:caps/>
                <w:sz w:val="19"/>
                <w:szCs w:val="19"/>
              </w:rPr>
              <w:t>1.</w:t>
            </w:r>
          </w:p>
        </w:tc>
        <w:tc>
          <w:tcPr>
            <w:tcW w:w="796" w:type="dxa"/>
            <w:tcBorders>
              <w:top w:val="single" w:sz="4" w:space="0" w:color="000000"/>
              <w:left w:val="single" w:sz="6" w:space="0" w:color="auto"/>
              <w:right w:val="single" w:sz="4" w:space="0" w:color="000000"/>
            </w:tcBorders>
            <w:vAlign w:val="center"/>
          </w:tcPr>
          <w:p w14:paraId="1EA6E4D0" w14:textId="77777777" w:rsidR="00EE2D2F" w:rsidRPr="00EE2D2F" w:rsidRDefault="00EE2D2F" w:rsidP="00EE2D2F">
            <w:pPr>
              <w:jc w:val="both"/>
              <w:rPr>
                <w:rFonts w:ascii="Verdana" w:eastAsia="Calibri" w:hAnsi="Verdana" w:cs="Arial"/>
                <w:b/>
                <w:color w:val="FFFFFF"/>
                <w:sz w:val="19"/>
                <w:szCs w:val="19"/>
              </w:rPr>
            </w:pPr>
          </w:p>
        </w:tc>
        <w:tc>
          <w:tcPr>
            <w:tcW w:w="942" w:type="dxa"/>
            <w:tcBorders>
              <w:top w:val="single" w:sz="4" w:space="0" w:color="000000"/>
              <w:left w:val="single" w:sz="6" w:space="0" w:color="auto"/>
              <w:right w:val="single" w:sz="4" w:space="0" w:color="000000"/>
            </w:tcBorders>
          </w:tcPr>
          <w:p w14:paraId="03A4BD3C" w14:textId="77777777" w:rsidR="00EE2D2F" w:rsidRPr="00EE2D2F" w:rsidRDefault="00EE2D2F" w:rsidP="00EE2D2F">
            <w:pPr>
              <w:jc w:val="both"/>
              <w:rPr>
                <w:rFonts w:ascii="Verdana" w:eastAsia="Calibri" w:hAnsi="Verdana" w:cs="Arial"/>
                <w:b/>
                <w:color w:val="FFFFFF"/>
                <w:sz w:val="19"/>
                <w:szCs w:val="19"/>
              </w:rPr>
            </w:pPr>
          </w:p>
        </w:tc>
        <w:tc>
          <w:tcPr>
            <w:tcW w:w="736" w:type="dxa"/>
            <w:tcBorders>
              <w:top w:val="single" w:sz="4" w:space="0" w:color="000000"/>
              <w:left w:val="single" w:sz="4" w:space="0" w:color="000000"/>
              <w:right w:val="single" w:sz="4" w:space="0" w:color="000000"/>
            </w:tcBorders>
          </w:tcPr>
          <w:p w14:paraId="61FC46B7" w14:textId="77777777" w:rsidR="00EE2D2F" w:rsidRPr="00EE2D2F" w:rsidRDefault="00EE2D2F" w:rsidP="00EE2D2F">
            <w:pPr>
              <w:jc w:val="both"/>
              <w:rPr>
                <w:rFonts w:ascii="Verdana" w:eastAsia="Calibri" w:hAnsi="Verdana" w:cs="Arial"/>
                <w:b/>
                <w:color w:val="FFFFFF"/>
                <w:sz w:val="19"/>
                <w:szCs w:val="19"/>
              </w:rPr>
            </w:pPr>
          </w:p>
        </w:tc>
        <w:tc>
          <w:tcPr>
            <w:tcW w:w="934" w:type="dxa"/>
            <w:tcBorders>
              <w:top w:val="single" w:sz="4" w:space="0" w:color="000000"/>
              <w:left w:val="single" w:sz="4" w:space="0" w:color="000000"/>
              <w:right w:val="single" w:sz="4" w:space="0" w:color="000000"/>
            </w:tcBorders>
          </w:tcPr>
          <w:p w14:paraId="2631C2DC" w14:textId="77777777" w:rsidR="00EE2D2F" w:rsidRPr="00EE2D2F" w:rsidRDefault="00EE2D2F" w:rsidP="00EE2D2F">
            <w:pPr>
              <w:jc w:val="both"/>
              <w:rPr>
                <w:rFonts w:ascii="Verdana" w:eastAsia="Calibri" w:hAnsi="Verdana" w:cs="Arial"/>
                <w:b/>
                <w:color w:val="FFFFFF"/>
                <w:sz w:val="19"/>
                <w:szCs w:val="19"/>
              </w:rPr>
            </w:pPr>
          </w:p>
        </w:tc>
        <w:tc>
          <w:tcPr>
            <w:tcW w:w="1081" w:type="dxa"/>
            <w:tcBorders>
              <w:top w:val="single" w:sz="4" w:space="0" w:color="000000"/>
              <w:left w:val="single" w:sz="4" w:space="0" w:color="000000"/>
              <w:right w:val="double" w:sz="4" w:space="0" w:color="auto"/>
            </w:tcBorders>
          </w:tcPr>
          <w:p w14:paraId="5E0D265F" w14:textId="77777777" w:rsidR="00EE2D2F" w:rsidRPr="00EE2D2F" w:rsidRDefault="00EE2D2F" w:rsidP="00EE2D2F">
            <w:pPr>
              <w:jc w:val="both"/>
              <w:rPr>
                <w:rFonts w:ascii="Verdana" w:eastAsia="Calibri" w:hAnsi="Verdana" w:cs="Arial"/>
                <w:b/>
                <w:color w:val="FFFFFF"/>
                <w:sz w:val="19"/>
                <w:szCs w:val="19"/>
              </w:rPr>
            </w:pPr>
          </w:p>
        </w:tc>
        <w:tc>
          <w:tcPr>
            <w:tcW w:w="839" w:type="dxa"/>
            <w:tcBorders>
              <w:top w:val="single" w:sz="4" w:space="0" w:color="000000"/>
              <w:left w:val="single" w:sz="4" w:space="0" w:color="000000"/>
              <w:right w:val="double" w:sz="4" w:space="0" w:color="auto"/>
            </w:tcBorders>
          </w:tcPr>
          <w:p w14:paraId="3985EA0C" w14:textId="77777777" w:rsidR="00EE2D2F" w:rsidRPr="00EE2D2F" w:rsidRDefault="00EE2D2F" w:rsidP="00EE2D2F">
            <w:pPr>
              <w:jc w:val="both"/>
              <w:rPr>
                <w:rFonts w:ascii="Verdana" w:eastAsia="Calibri" w:hAnsi="Verdana" w:cs="Arial"/>
                <w:b/>
                <w:color w:val="FFFFFF"/>
                <w:sz w:val="19"/>
                <w:szCs w:val="19"/>
              </w:rPr>
            </w:pPr>
          </w:p>
        </w:tc>
      </w:tr>
      <w:tr w:rsidR="00EE2D2F" w:rsidRPr="00EE2D2F" w14:paraId="0D56AFFF" w14:textId="77777777" w:rsidTr="00C80FF3">
        <w:trPr>
          <w:trHeight w:val="193"/>
          <w:tblHeader/>
          <w:jc w:val="center"/>
        </w:trPr>
        <w:tc>
          <w:tcPr>
            <w:tcW w:w="365" w:type="dxa"/>
            <w:tcBorders>
              <w:top w:val="double" w:sz="4" w:space="0" w:color="auto"/>
              <w:left w:val="double" w:sz="4" w:space="0" w:color="auto"/>
              <w:bottom w:val="double" w:sz="4" w:space="0" w:color="auto"/>
              <w:right w:val="single" w:sz="6" w:space="0" w:color="auto"/>
            </w:tcBorders>
            <w:vAlign w:val="center"/>
          </w:tcPr>
          <w:p w14:paraId="3798B93B" w14:textId="77777777" w:rsidR="00EE2D2F" w:rsidRPr="00EE2D2F" w:rsidRDefault="00EE2D2F" w:rsidP="00EE2D2F">
            <w:pPr>
              <w:jc w:val="both"/>
              <w:rPr>
                <w:rFonts w:ascii="Verdana" w:eastAsia="Calibri" w:hAnsi="Verdana" w:cs="Arial"/>
                <w:b/>
                <w:color w:val="FFFFFF"/>
                <w:sz w:val="19"/>
                <w:szCs w:val="19"/>
              </w:rPr>
            </w:pPr>
            <w:r w:rsidRPr="00EE2D2F">
              <w:rPr>
                <w:rFonts w:ascii="Verdana" w:eastAsia="Calibri" w:hAnsi="Verdana" w:cs="Arial"/>
                <w:caps/>
                <w:sz w:val="19"/>
                <w:szCs w:val="19"/>
              </w:rPr>
              <w:t>2.</w:t>
            </w:r>
          </w:p>
        </w:tc>
        <w:tc>
          <w:tcPr>
            <w:tcW w:w="796" w:type="dxa"/>
            <w:tcBorders>
              <w:top w:val="double" w:sz="4" w:space="0" w:color="auto"/>
              <w:left w:val="single" w:sz="6" w:space="0" w:color="auto"/>
              <w:bottom w:val="double" w:sz="4" w:space="0" w:color="auto"/>
              <w:right w:val="single" w:sz="4" w:space="0" w:color="000000"/>
            </w:tcBorders>
            <w:vAlign w:val="center"/>
          </w:tcPr>
          <w:p w14:paraId="7906D0C4" w14:textId="77777777" w:rsidR="00EE2D2F" w:rsidRPr="00EE2D2F" w:rsidRDefault="00EE2D2F" w:rsidP="00EE2D2F">
            <w:pPr>
              <w:jc w:val="both"/>
              <w:rPr>
                <w:rFonts w:ascii="Verdana" w:eastAsia="Calibri" w:hAnsi="Verdana" w:cs="Arial"/>
                <w:b/>
                <w:color w:val="FFFFFF"/>
                <w:sz w:val="19"/>
                <w:szCs w:val="19"/>
              </w:rPr>
            </w:pPr>
          </w:p>
        </w:tc>
        <w:tc>
          <w:tcPr>
            <w:tcW w:w="942" w:type="dxa"/>
            <w:tcBorders>
              <w:top w:val="double" w:sz="4" w:space="0" w:color="auto"/>
              <w:left w:val="single" w:sz="6" w:space="0" w:color="auto"/>
              <w:bottom w:val="double" w:sz="4" w:space="0" w:color="auto"/>
              <w:right w:val="single" w:sz="4" w:space="0" w:color="000000"/>
            </w:tcBorders>
          </w:tcPr>
          <w:p w14:paraId="1583E239" w14:textId="77777777" w:rsidR="00EE2D2F" w:rsidRPr="00EE2D2F" w:rsidRDefault="00EE2D2F" w:rsidP="00EE2D2F">
            <w:pPr>
              <w:jc w:val="both"/>
              <w:rPr>
                <w:rFonts w:ascii="Verdana" w:eastAsia="Calibri" w:hAnsi="Verdana" w:cs="Arial"/>
                <w:b/>
                <w:color w:val="FFFFFF"/>
                <w:sz w:val="19"/>
                <w:szCs w:val="19"/>
              </w:rPr>
            </w:pPr>
          </w:p>
        </w:tc>
        <w:tc>
          <w:tcPr>
            <w:tcW w:w="736" w:type="dxa"/>
            <w:tcBorders>
              <w:top w:val="double" w:sz="4" w:space="0" w:color="auto"/>
              <w:left w:val="single" w:sz="4" w:space="0" w:color="000000"/>
              <w:bottom w:val="double" w:sz="4" w:space="0" w:color="auto"/>
              <w:right w:val="single" w:sz="4" w:space="0" w:color="000000"/>
            </w:tcBorders>
          </w:tcPr>
          <w:p w14:paraId="7F8A5149" w14:textId="77777777" w:rsidR="00EE2D2F" w:rsidRPr="00EE2D2F" w:rsidRDefault="00EE2D2F" w:rsidP="00EE2D2F">
            <w:pPr>
              <w:jc w:val="both"/>
              <w:rPr>
                <w:rFonts w:ascii="Verdana" w:eastAsia="Calibri" w:hAnsi="Verdana" w:cs="Arial"/>
                <w:b/>
                <w:color w:val="FFFFFF"/>
                <w:sz w:val="19"/>
                <w:szCs w:val="19"/>
              </w:rPr>
            </w:pPr>
          </w:p>
        </w:tc>
        <w:tc>
          <w:tcPr>
            <w:tcW w:w="934" w:type="dxa"/>
            <w:tcBorders>
              <w:top w:val="double" w:sz="4" w:space="0" w:color="auto"/>
              <w:left w:val="single" w:sz="4" w:space="0" w:color="000000"/>
              <w:bottom w:val="double" w:sz="4" w:space="0" w:color="auto"/>
              <w:right w:val="double" w:sz="4" w:space="0" w:color="auto"/>
            </w:tcBorders>
          </w:tcPr>
          <w:p w14:paraId="785D60A4" w14:textId="77777777" w:rsidR="00EE2D2F" w:rsidRPr="00EE2D2F" w:rsidRDefault="00EE2D2F" w:rsidP="00EE2D2F">
            <w:pPr>
              <w:jc w:val="both"/>
              <w:rPr>
                <w:rFonts w:ascii="Verdana" w:eastAsia="Calibri" w:hAnsi="Verdana" w:cs="Arial"/>
                <w:b/>
                <w:color w:val="FFFFFF"/>
                <w:sz w:val="19"/>
                <w:szCs w:val="19"/>
              </w:rPr>
            </w:pPr>
          </w:p>
        </w:tc>
        <w:tc>
          <w:tcPr>
            <w:tcW w:w="1081" w:type="dxa"/>
            <w:tcBorders>
              <w:top w:val="double" w:sz="4" w:space="0" w:color="auto"/>
              <w:left w:val="single" w:sz="4" w:space="0" w:color="000000"/>
              <w:bottom w:val="double" w:sz="4" w:space="0" w:color="auto"/>
              <w:right w:val="double" w:sz="4" w:space="0" w:color="auto"/>
            </w:tcBorders>
          </w:tcPr>
          <w:p w14:paraId="31516ED6" w14:textId="77777777" w:rsidR="00EE2D2F" w:rsidRPr="00EE2D2F" w:rsidRDefault="00EE2D2F" w:rsidP="00EE2D2F">
            <w:pPr>
              <w:jc w:val="both"/>
              <w:rPr>
                <w:rFonts w:ascii="Verdana" w:eastAsia="Calibri" w:hAnsi="Verdana" w:cs="Arial"/>
                <w:b/>
                <w:color w:val="FFFFFF"/>
                <w:sz w:val="19"/>
                <w:szCs w:val="19"/>
              </w:rPr>
            </w:pPr>
          </w:p>
        </w:tc>
        <w:tc>
          <w:tcPr>
            <w:tcW w:w="839" w:type="dxa"/>
            <w:tcBorders>
              <w:top w:val="double" w:sz="4" w:space="0" w:color="auto"/>
              <w:left w:val="single" w:sz="4" w:space="0" w:color="000000"/>
              <w:bottom w:val="double" w:sz="4" w:space="0" w:color="auto"/>
              <w:right w:val="double" w:sz="4" w:space="0" w:color="auto"/>
            </w:tcBorders>
          </w:tcPr>
          <w:p w14:paraId="1C15D9F1" w14:textId="77777777" w:rsidR="00EE2D2F" w:rsidRPr="00EE2D2F" w:rsidRDefault="00EE2D2F" w:rsidP="00EE2D2F">
            <w:pPr>
              <w:jc w:val="both"/>
              <w:rPr>
                <w:rFonts w:ascii="Verdana" w:eastAsia="Calibri" w:hAnsi="Verdana" w:cs="Arial"/>
                <w:b/>
                <w:color w:val="FFFFFF"/>
                <w:sz w:val="19"/>
                <w:szCs w:val="19"/>
              </w:rPr>
            </w:pPr>
          </w:p>
        </w:tc>
      </w:tr>
      <w:tr w:rsidR="00EE2D2F" w:rsidRPr="00EE2D2F" w14:paraId="275179F1" w14:textId="77777777" w:rsidTr="00C80FF3">
        <w:trPr>
          <w:trHeight w:val="193"/>
          <w:tblHeader/>
          <w:jc w:val="center"/>
        </w:trPr>
        <w:tc>
          <w:tcPr>
            <w:tcW w:w="365" w:type="dxa"/>
            <w:tcBorders>
              <w:top w:val="double" w:sz="4" w:space="0" w:color="auto"/>
              <w:left w:val="double" w:sz="4" w:space="0" w:color="auto"/>
              <w:bottom w:val="double" w:sz="4" w:space="0" w:color="auto"/>
              <w:right w:val="single" w:sz="6" w:space="0" w:color="auto"/>
            </w:tcBorders>
            <w:vAlign w:val="center"/>
          </w:tcPr>
          <w:p w14:paraId="51AA7B04" w14:textId="77777777" w:rsidR="00EE2D2F" w:rsidRPr="00EE2D2F" w:rsidRDefault="00EE2D2F" w:rsidP="00EE2D2F">
            <w:pPr>
              <w:jc w:val="both"/>
              <w:rPr>
                <w:rFonts w:ascii="Verdana" w:eastAsia="Calibri" w:hAnsi="Verdana" w:cs="Arial"/>
                <w:caps/>
                <w:sz w:val="19"/>
                <w:szCs w:val="19"/>
              </w:rPr>
            </w:pPr>
            <w:r w:rsidRPr="00EE2D2F">
              <w:rPr>
                <w:rFonts w:ascii="Verdana" w:eastAsia="Calibri" w:hAnsi="Verdana" w:cs="Arial"/>
                <w:caps/>
                <w:sz w:val="19"/>
                <w:szCs w:val="19"/>
              </w:rPr>
              <w:t>3</w:t>
            </w:r>
          </w:p>
        </w:tc>
        <w:tc>
          <w:tcPr>
            <w:tcW w:w="796" w:type="dxa"/>
            <w:tcBorders>
              <w:top w:val="double" w:sz="4" w:space="0" w:color="auto"/>
              <w:left w:val="single" w:sz="6" w:space="0" w:color="auto"/>
              <w:bottom w:val="double" w:sz="4" w:space="0" w:color="auto"/>
              <w:right w:val="single" w:sz="4" w:space="0" w:color="000000"/>
            </w:tcBorders>
            <w:vAlign w:val="center"/>
          </w:tcPr>
          <w:p w14:paraId="143E16D5" w14:textId="77777777" w:rsidR="00EE2D2F" w:rsidRPr="00EE2D2F" w:rsidRDefault="00EE2D2F" w:rsidP="00EE2D2F">
            <w:pPr>
              <w:jc w:val="both"/>
              <w:rPr>
                <w:rFonts w:ascii="Verdana" w:eastAsia="Calibri" w:hAnsi="Verdana" w:cs="Arial"/>
                <w:b/>
                <w:color w:val="FFFFFF"/>
                <w:sz w:val="19"/>
                <w:szCs w:val="19"/>
              </w:rPr>
            </w:pPr>
          </w:p>
        </w:tc>
        <w:tc>
          <w:tcPr>
            <w:tcW w:w="942" w:type="dxa"/>
            <w:tcBorders>
              <w:top w:val="double" w:sz="4" w:space="0" w:color="auto"/>
              <w:left w:val="single" w:sz="6" w:space="0" w:color="auto"/>
              <w:bottom w:val="double" w:sz="4" w:space="0" w:color="auto"/>
              <w:right w:val="single" w:sz="4" w:space="0" w:color="000000"/>
            </w:tcBorders>
          </w:tcPr>
          <w:p w14:paraId="2CFE9CB5" w14:textId="77777777" w:rsidR="00EE2D2F" w:rsidRPr="00EE2D2F" w:rsidRDefault="00EE2D2F" w:rsidP="00EE2D2F">
            <w:pPr>
              <w:jc w:val="both"/>
              <w:rPr>
                <w:rFonts w:ascii="Verdana" w:eastAsia="Calibri" w:hAnsi="Verdana" w:cs="Arial"/>
                <w:b/>
                <w:color w:val="FFFFFF"/>
                <w:sz w:val="19"/>
                <w:szCs w:val="19"/>
              </w:rPr>
            </w:pPr>
          </w:p>
        </w:tc>
        <w:tc>
          <w:tcPr>
            <w:tcW w:w="736" w:type="dxa"/>
            <w:tcBorders>
              <w:top w:val="double" w:sz="4" w:space="0" w:color="auto"/>
              <w:left w:val="single" w:sz="4" w:space="0" w:color="000000"/>
              <w:bottom w:val="double" w:sz="4" w:space="0" w:color="auto"/>
              <w:right w:val="single" w:sz="4" w:space="0" w:color="000000"/>
            </w:tcBorders>
          </w:tcPr>
          <w:p w14:paraId="3ECE8F7D" w14:textId="77777777" w:rsidR="00EE2D2F" w:rsidRPr="00EE2D2F" w:rsidRDefault="00EE2D2F" w:rsidP="00EE2D2F">
            <w:pPr>
              <w:jc w:val="both"/>
              <w:rPr>
                <w:rFonts w:ascii="Verdana" w:eastAsia="Calibri" w:hAnsi="Verdana" w:cs="Arial"/>
                <w:b/>
                <w:color w:val="FFFFFF"/>
                <w:sz w:val="19"/>
                <w:szCs w:val="19"/>
              </w:rPr>
            </w:pPr>
          </w:p>
        </w:tc>
        <w:tc>
          <w:tcPr>
            <w:tcW w:w="934" w:type="dxa"/>
            <w:tcBorders>
              <w:top w:val="double" w:sz="4" w:space="0" w:color="auto"/>
              <w:left w:val="single" w:sz="4" w:space="0" w:color="000000"/>
              <w:bottom w:val="double" w:sz="4" w:space="0" w:color="auto"/>
              <w:right w:val="double" w:sz="4" w:space="0" w:color="auto"/>
            </w:tcBorders>
          </w:tcPr>
          <w:p w14:paraId="1563900B" w14:textId="77777777" w:rsidR="00EE2D2F" w:rsidRPr="00EE2D2F" w:rsidRDefault="00EE2D2F" w:rsidP="00EE2D2F">
            <w:pPr>
              <w:jc w:val="both"/>
              <w:rPr>
                <w:rFonts w:ascii="Verdana" w:eastAsia="Calibri" w:hAnsi="Verdana" w:cs="Arial"/>
                <w:b/>
                <w:color w:val="FFFFFF"/>
                <w:sz w:val="19"/>
                <w:szCs w:val="19"/>
              </w:rPr>
            </w:pPr>
          </w:p>
        </w:tc>
        <w:tc>
          <w:tcPr>
            <w:tcW w:w="1081" w:type="dxa"/>
            <w:tcBorders>
              <w:top w:val="double" w:sz="4" w:space="0" w:color="auto"/>
              <w:left w:val="single" w:sz="4" w:space="0" w:color="000000"/>
              <w:bottom w:val="double" w:sz="4" w:space="0" w:color="auto"/>
              <w:right w:val="double" w:sz="4" w:space="0" w:color="auto"/>
            </w:tcBorders>
          </w:tcPr>
          <w:p w14:paraId="2799C379" w14:textId="77777777" w:rsidR="00EE2D2F" w:rsidRPr="00EE2D2F" w:rsidRDefault="00EE2D2F" w:rsidP="00EE2D2F">
            <w:pPr>
              <w:jc w:val="both"/>
              <w:rPr>
                <w:rFonts w:ascii="Verdana" w:eastAsia="Calibri" w:hAnsi="Verdana" w:cs="Arial"/>
                <w:b/>
                <w:color w:val="FFFFFF"/>
                <w:sz w:val="19"/>
                <w:szCs w:val="19"/>
              </w:rPr>
            </w:pPr>
          </w:p>
        </w:tc>
        <w:tc>
          <w:tcPr>
            <w:tcW w:w="839" w:type="dxa"/>
            <w:tcBorders>
              <w:top w:val="double" w:sz="4" w:space="0" w:color="auto"/>
              <w:left w:val="single" w:sz="4" w:space="0" w:color="000000"/>
              <w:bottom w:val="double" w:sz="4" w:space="0" w:color="auto"/>
              <w:right w:val="double" w:sz="4" w:space="0" w:color="auto"/>
            </w:tcBorders>
          </w:tcPr>
          <w:p w14:paraId="50ECCBC1" w14:textId="77777777" w:rsidR="00EE2D2F" w:rsidRPr="00EE2D2F" w:rsidRDefault="00EE2D2F" w:rsidP="00EE2D2F">
            <w:pPr>
              <w:jc w:val="both"/>
              <w:rPr>
                <w:rFonts w:ascii="Verdana" w:eastAsia="Calibri" w:hAnsi="Verdana" w:cs="Arial"/>
                <w:b/>
                <w:color w:val="FFFFFF"/>
                <w:sz w:val="19"/>
                <w:szCs w:val="19"/>
              </w:rPr>
            </w:pPr>
          </w:p>
        </w:tc>
      </w:tr>
      <w:tr w:rsidR="00EE2D2F" w:rsidRPr="00EE2D2F" w14:paraId="37F94D99" w14:textId="77777777" w:rsidTr="00C80FF3">
        <w:trPr>
          <w:trHeight w:val="36"/>
          <w:tblHeader/>
          <w:jc w:val="center"/>
        </w:trPr>
        <w:tc>
          <w:tcPr>
            <w:tcW w:w="365" w:type="dxa"/>
            <w:tcBorders>
              <w:top w:val="double" w:sz="4" w:space="0" w:color="auto"/>
              <w:left w:val="double" w:sz="4" w:space="0" w:color="auto"/>
              <w:right w:val="single" w:sz="6" w:space="0" w:color="auto"/>
            </w:tcBorders>
            <w:vAlign w:val="center"/>
          </w:tcPr>
          <w:p w14:paraId="7BBFC952" w14:textId="77777777" w:rsidR="00EE2D2F" w:rsidRPr="00EE2D2F" w:rsidRDefault="00EE2D2F" w:rsidP="00EE2D2F">
            <w:pPr>
              <w:jc w:val="both"/>
              <w:rPr>
                <w:rFonts w:ascii="Verdana" w:eastAsia="Calibri" w:hAnsi="Verdana" w:cs="Arial"/>
                <w:caps/>
                <w:sz w:val="19"/>
                <w:szCs w:val="19"/>
              </w:rPr>
            </w:pPr>
            <w:r w:rsidRPr="00EE2D2F">
              <w:rPr>
                <w:rFonts w:ascii="Verdana" w:eastAsia="Calibri" w:hAnsi="Verdana" w:cs="Arial"/>
                <w:caps/>
                <w:sz w:val="19"/>
                <w:szCs w:val="19"/>
              </w:rPr>
              <w:t>4</w:t>
            </w:r>
          </w:p>
        </w:tc>
        <w:tc>
          <w:tcPr>
            <w:tcW w:w="796" w:type="dxa"/>
            <w:tcBorders>
              <w:top w:val="double" w:sz="4" w:space="0" w:color="auto"/>
              <w:left w:val="single" w:sz="6" w:space="0" w:color="auto"/>
              <w:right w:val="single" w:sz="4" w:space="0" w:color="000000"/>
            </w:tcBorders>
            <w:vAlign w:val="center"/>
          </w:tcPr>
          <w:p w14:paraId="079B4687" w14:textId="77777777" w:rsidR="00EE2D2F" w:rsidRPr="00EE2D2F" w:rsidRDefault="00EE2D2F" w:rsidP="00EE2D2F">
            <w:pPr>
              <w:jc w:val="both"/>
              <w:rPr>
                <w:rFonts w:ascii="Verdana" w:eastAsia="Calibri" w:hAnsi="Verdana" w:cs="Arial"/>
                <w:b/>
                <w:i/>
                <w:color w:val="FFFFFF"/>
                <w:sz w:val="19"/>
                <w:szCs w:val="19"/>
              </w:rPr>
            </w:pPr>
          </w:p>
        </w:tc>
        <w:tc>
          <w:tcPr>
            <w:tcW w:w="942" w:type="dxa"/>
            <w:tcBorders>
              <w:top w:val="double" w:sz="4" w:space="0" w:color="auto"/>
              <w:left w:val="single" w:sz="6" w:space="0" w:color="auto"/>
              <w:right w:val="single" w:sz="4" w:space="0" w:color="000000"/>
            </w:tcBorders>
          </w:tcPr>
          <w:p w14:paraId="6AED668F" w14:textId="77777777" w:rsidR="00EE2D2F" w:rsidRPr="00EE2D2F" w:rsidRDefault="00EE2D2F" w:rsidP="00EE2D2F">
            <w:pPr>
              <w:jc w:val="both"/>
              <w:rPr>
                <w:rFonts w:ascii="Verdana" w:eastAsia="Calibri" w:hAnsi="Verdana" w:cs="Arial"/>
                <w:b/>
                <w:i/>
                <w:color w:val="FFFFFF"/>
                <w:sz w:val="19"/>
                <w:szCs w:val="19"/>
              </w:rPr>
            </w:pPr>
          </w:p>
        </w:tc>
        <w:tc>
          <w:tcPr>
            <w:tcW w:w="736" w:type="dxa"/>
            <w:tcBorders>
              <w:top w:val="double" w:sz="4" w:space="0" w:color="auto"/>
              <w:left w:val="single" w:sz="4" w:space="0" w:color="000000"/>
              <w:right w:val="single" w:sz="4" w:space="0" w:color="000000"/>
            </w:tcBorders>
          </w:tcPr>
          <w:p w14:paraId="30845AA9" w14:textId="77777777" w:rsidR="00EE2D2F" w:rsidRPr="00EE2D2F" w:rsidRDefault="00EE2D2F" w:rsidP="00EE2D2F">
            <w:pPr>
              <w:jc w:val="both"/>
              <w:rPr>
                <w:rFonts w:ascii="Verdana" w:eastAsia="Calibri" w:hAnsi="Verdana" w:cs="Arial"/>
                <w:b/>
                <w:i/>
                <w:color w:val="FFFFFF"/>
                <w:sz w:val="19"/>
                <w:szCs w:val="19"/>
              </w:rPr>
            </w:pPr>
          </w:p>
        </w:tc>
        <w:tc>
          <w:tcPr>
            <w:tcW w:w="934" w:type="dxa"/>
            <w:tcBorders>
              <w:top w:val="double" w:sz="4" w:space="0" w:color="auto"/>
              <w:left w:val="single" w:sz="4" w:space="0" w:color="000000"/>
              <w:right w:val="double" w:sz="4" w:space="0" w:color="auto"/>
            </w:tcBorders>
          </w:tcPr>
          <w:p w14:paraId="6096CFA6" w14:textId="77777777" w:rsidR="00EE2D2F" w:rsidRPr="00EE2D2F" w:rsidRDefault="00EE2D2F" w:rsidP="00EE2D2F">
            <w:pPr>
              <w:jc w:val="both"/>
              <w:rPr>
                <w:rFonts w:ascii="Verdana" w:eastAsia="Calibri" w:hAnsi="Verdana" w:cs="Arial"/>
                <w:b/>
                <w:i/>
                <w:color w:val="FFFFFF"/>
                <w:sz w:val="19"/>
                <w:szCs w:val="19"/>
              </w:rPr>
            </w:pPr>
          </w:p>
        </w:tc>
        <w:tc>
          <w:tcPr>
            <w:tcW w:w="1081" w:type="dxa"/>
            <w:tcBorders>
              <w:top w:val="double" w:sz="4" w:space="0" w:color="auto"/>
              <w:left w:val="single" w:sz="4" w:space="0" w:color="000000"/>
              <w:right w:val="double" w:sz="4" w:space="0" w:color="auto"/>
            </w:tcBorders>
          </w:tcPr>
          <w:p w14:paraId="14A8ED5F" w14:textId="77777777" w:rsidR="00EE2D2F" w:rsidRPr="00EE2D2F" w:rsidRDefault="00EE2D2F" w:rsidP="00EE2D2F">
            <w:pPr>
              <w:jc w:val="both"/>
              <w:rPr>
                <w:rFonts w:ascii="Verdana" w:eastAsia="Calibri" w:hAnsi="Verdana" w:cs="Arial"/>
                <w:b/>
                <w:i/>
                <w:color w:val="FFFFFF"/>
                <w:sz w:val="19"/>
                <w:szCs w:val="19"/>
              </w:rPr>
            </w:pPr>
          </w:p>
        </w:tc>
        <w:tc>
          <w:tcPr>
            <w:tcW w:w="839" w:type="dxa"/>
            <w:tcBorders>
              <w:top w:val="double" w:sz="4" w:space="0" w:color="auto"/>
              <w:left w:val="single" w:sz="4" w:space="0" w:color="000000"/>
              <w:right w:val="double" w:sz="4" w:space="0" w:color="auto"/>
            </w:tcBorders>
          </w:tcPr>
          <w:p w14:paraId="2FA715BA" w14:textId="77777777" w:rsidR="00EE2D2F" w:rsidRPr="00EE2D2F" w:rsidRDefault="00EE2D2F" w:rsidP="00EE2D2F">
            <w:pPr>
              <w:jc w:val="both"/>
              <w:rPr>
                <w:rFonts w:ascii="Verdana" w:eastAsia="Calibri" w:hAnsi="Verdana" w:cs="Arial"/>
                <w:b/>
                <w:i/>
                <w:color w:val="FFFFFF"/>
                <w:sz w:val="19"/>
                <w:szCs w:val="19"/>
              </w:rPr>
            </w:pPr>
          </w:p>
        </w:tc>
      </w:tr>
    </w:tbl>
    <w:p w14:paraId="7222B5EE" w14:textId="77777777" w:rsidR="00EE2D2F" w:rsidRPr="00EE2D2F" w:rsidRDefault="00EE2D2F" w:rsidP="00EE2D2F">
      <w:pPr>
        <w:widowControl w:val="0"/>
        <w:autoSpaceDE w:val="0"/>
        <w:autoSpaceDN w:val="0"/>
        <w:spacing w:after="0" w:line="276" w:lineRule="auto"/>
        <w:ind w:firstLine="709"/>
        <w:jc w:val="both"/>
        <w:rPr>
          <w:rFonts w:ascii="Verdana" w:eastAsia="Arial" w:hAnsi="Verdana" w:cs="Arial"/>
          <w:bCs/>
          <w:lang w:eastAsia="es-ES" w:bidi="es-ES"/>
        </w:rPr>
      </w:pPr>
      <w:r w:rsidRPr="00EE2D2F">
        <w:rPr>
          <w:rFonts w:ascii="Verdana" w:eastAsia="Arial" w:hAnsi="Verdana" w:cs="Arial"/>
          <w:bCs/>
          <w:lang w:eastAsia="es-ES" w:bidi="es-ES"/>
        </w:rPr>
        <w:t xml:space="preserve"> </w:t>
      </w:r>
    </w:p>
    <w:p w14:paraId="38AA5303" w14:textId="77777777" w:rsidR="00EE2D2F" w:rsidRPr="00EE2D2F" w:rsidRDefault="00EE2D2F" w:rsidP="00EE2D2F">
      <w:pPr>
        <w:spacing w:after="120" w:line="276" w:lineRule="auto"/>
        <w:ind w:firstLine="709"/>
        <w:jc w:val="both"/>
        <w:rPr>
          <w:rFonts w:ascii="Verdana" w:eastAsia="Aptos" w:hAnsi="Verdana" w:cs="Arial"/>
          <w:kern w:val="2"/>
          <w14:ligatures w14:val="standardContextual"/>
        </w:rPr>
      </w:pPr>
      <w:r w:rsidRPr="00EE2D2F">
        <w:rPr>
          <w:rFonts w:ascii="Verdana" w:eastAsia="Arial" w:hAnsi="Verdana" w:cs="Arial"/>
          <w:bCs/>
          <w:kern w:val="2"/>
          <w:lang w:eastAsia="es-ES" w:bidi="es-ES"/>
          <w14:ligatures w14:val="standardContextual"/>
        </w:rPr>
        <w:lastRenderedPageBreak/>
        <w:t xml:space="preserve">Respecto a cada “Bien nacional relevante” identificado, </w:t>
      </w:r>
      <w:r w:rsidRPr="00EE2D2F">
        <w:rPr>
          <w:rFonts w:ascii="Verdana" w:eastAsia="Aptos" w:hAnsi="Verdana" w:cs="Arial"/>
          <w:kern w:val="2"/>
          <w14:ligatures w14:val="standardContextual"/>
        </w:rPr>
        <w:t>para diligenciar las casillas “Fecha de inscripción” y “fecha de vigencia” en la tabla anterior, debe tenerse en cuenta que cada una corresponde a los datos contenidos en las columnas tituladas “radicado” y “fecha de vencimiento”, respectivamente, del Registro de Productores y Bienes Nacionales del Ministerio de Comercio, Industria y Turismo. Específicamente, la “fecha de inscripción” corresponde a los 8 primeros dígitos de la columna de “radicado” y, por su parte, la “fecha de vigencia” corresponde a la información de la columna “fecha de vencimiento”, según el resultado que arroja la búsqueda en la página web de la ventanilla única de comercio exterior. Por otra parte, con la consulta en el mencionado registro, también es posible acceder al “No. de partida arancelaria”. Finalmente, el “porcentaje (%) de participación” y el “puntaje individual de cada bien” se determinan con la metodología prevista en la Matriz 4 y las fórmulas previstas en el pliego de condiciones.</w:t>
      </w:r>
    </w:p>
    <w:p w14:paraId="793F74FA" w14:textId="77777777" w:rsidR="00EE2D2F" w:rsidRPr="00EE2D2F" w:rsidRDefault="00EE2D2F" w:rsidP="00EE2D2F">
      <w:pPr>
        <w:widowControl w:val="0"/>
        <w:tabs>
          <w:tab w:val="left" w:pos="2143"/>
        </w:tabs>
        <w:autoSpaceDE w:val="0"/>
        <w:autoSpaceDN w:val="0"/>
        <w:spacing w:after="120" w:line="276" w:lineRule="auto"/>
        <w:ind w:firstLine="709"/>
        <w:jc w:val="both"/>
        <w:rPr>
          <w:rFonts w:ascii="Verdana" w:eastAsia="Calibri" w:hAnsi="Verdana" w:cs="Arial"/>
          <w:iCs/>
        </w:rPr>
      </w:pPr>
      <w:r w:rsidRPr="00EE2D2F">
        <w:rPr>
          <w:rFonts w:ascii="Verdana" w:eastAsia="Arial" w:hAnsi="Verdana" w:cs="Arial"/>
          <w:bCs/>
          <w:lang w:eastAsia="es-ES" w:bidi="es-ES"/>
        </w:rPr>
        <w:t xml:space="preserve">Para la asignación de puntajes por apoyo a la industria nacional por promoción de servicios o con trato nacional, la entidad estatal deberá tener en cuenta que: i) el puntaje se asignará a los proponentes que se comprometan a adquirir uno, varios o todos los bienes nacionales relevantes, sin someter a condicionamientos la oferta, </w:t>
      </w:r>
      <w:proofErr w:type="spellStart"/>
      <w:r w:rsidRPr="00EE2D2F">
        <w:rPr>
          <w:rFonts w:ascii="Verdana" w:eastAsia="Arial" w:hAnsi="Verdana" w:cs="Arial"/>
          <w:bCs/>
          <w:lang w:eastAsia="es-ES" w:bidi="es-ES"/>
        </w:rPr>
        <w:t>ii</w:t>
      </w:r>
      <w:proofErr w:type="spellEnd"/>
      <w:r w:rsidRPr="00EE2D2F">
        <w:rPr>
          <w:rFonts w:ascii="Verdana" w:eastAsia="Arial" w:hAnsi="Verdana" w:cs="Arial"/>
          <w:bCs/>
          <w:lang w:eastAsia="es-ES" w:bidi="es-ES"/>
        </w:rPr>
        <w:t xml:space="preserve">) si la entidad determina la existencia de bienes nacionales relevantes, no se otorgará puntaje si el proponente no oferta alguno de esos bienes, </w:t>
      </w:r>
      <w:proofErr w:type="spellStart"/>
      <w:r w:rsidRPr="00EE2D2F">
        <w:rPr>
          <w:rFonts w:ascii="Verdana" w:eastAsia="Arial" w:hAnsi="Verdana" w:cs="Arial"/>
          <w:bCs/>
          <w:lang w:eastAsia="es-ES" w:bidi="es-ES"/>
        </w:rPr>
        <w:t>iii</w:t>
      </w:r>
      <w:proofErr w:type="spellEnd"/>
      <w:r w:rsidRPr="00EE2D2F">
        <w:rPr>
          <w:rFonts w:ascii="Verdana" w:eastAsia="Arial" w:hAnsi="Verdana" w:cs="Arial"/>
          <w:bCs/>
          <w:lang w:eastAsia="es-ES" w:bidi="es-ES"/>
        </w:rPr>
        <w:t xml:space="preserve">) si hay más de un bien nacional relevante, se otorgará el puntaje de forma proporcional a la cantidad de estos bienes −que el proponente se comprometa a incorporar a la ejecución del contrato− y dependiendo del porcentaje de participación de estos en el proceso de contratación, así mismo, una vez definido el porcentaje de participación de cada bien nacional relevante, entidad estatal otorgará el puntaje a cada proponente, </w:t>
      </w:r>
      <w:r w:rsidRPr="00EE2D2F">
        <w:rPr>
          <w:rFonts w:ascii="Verdana" w:eastAsia="Calibri" w:hAnsi="Verdana" w:cs="Arial"/>
          <w:iCs/>
        </w:rPr>
        <w:t xml:space="preserve">dependiendo de la cantidad de bienes nacionales relevantes ofertados y el puntaje individual asignado a cada uno de ello, sin que supere los veinte (20) puntos, y </w:t>
      </w:r>
      <w:proofErr w:type="spellStart"/>
      <w:r w:rsidRPr="00EE2D2F">
        <w:rPr>
          <w:rFonts w:ascii="Verdana" w:eastAsia="Calibri" w:hAnsi="Verdana" w:cs="Arial"/>
          <w:iCs/>
        </w:rPr>
        <w:t>iv</w:t>
      </w:r>
      <w:proofErr w:type="spellEnd"/>
      <w:r w:rsidRPr="00EE2D2F">
        <w:rPr>
          <w:rFonts w:ascii="Verdana" w:eastAsia="Calibri" w:hAnsi="Verdana" w:cs="Arial"/>
          <w:iCs/>
        </w:rPr>
        <w:t xml:space="preserve">) para el caso de los proponentes plurales, todos, varios o cualquiera de sus integrantes podrán incorporar todos o algunos de los bienes nacionales relevantes, además su composición, deberá estar acorde con la definición de Servicios Nacionales prevista en el artículo 2.2.1.1.1.3.1 del Decreto 1082 de 2015, de lo que dependerá la franja del puntaje aplicable en lo referente con el apoyo de la </w:t>
      </w:r>
      <w:r w:rsidRPr="00EE2D2F">
        <w:rPr>
          <w:rFonts w:ascii="Verdana" w:eastAsia="Calibri" w:hAnsi="Verdana" w:cs="Arial"/>
          <w:iCs/>
        </w:rPr>
        <w:lastRenderedPageBreak/>
        <w:t>industria nacional</w:t>
      </w:r>
      <w:r w:rsidRPr="00EE2D2F">
        <w:rPr>
          <w:rFonts w:ascii="Verdana" w:eastAsia="Calibri" w:hAnsi="Verdana" w:cs="Arial"/>
          <w:iCs/>
          <w:vertAlign w:val="superscript"/>
        </w:rPr>
        <w:footnoteReference w:id="10"/>
      </w:r>
      <w:r w:rsidRPr="00EE2D2F">
        <w:rPr>
          <w:rFonts w:ascii="Verdana" w:eastAsia="Calibri" w:hAnsi="Verdana" w:cs="Arial"/>
          <w:iCs/>
        </w:rPr>
        <w:t>.</w:t>
      </w:r>
      <w:r w:rsidRPr="00EE2D2F">
        <w:rPr>
          <w:rFonts w:ascii="Verdana" w:eastAsia="Calibri" w:hAnsi="Verdana" w:cs="Times New Roman"/>
          <w:iCs/>
        </w:rPr>
        <w:t xml:space="preserve"> </w:t>
      </w:r>
    </w:p>
    <w:p w14:paraId="12778153" w14:textId="77777777" w:rsidR="00EE2D2F" w:rsidRPr="00EE2D2F" w:rsidRDefault="00EE2D2F" w:rsidP="00EE2D2F">
      <w:pPr>
        <w:widowControl w:val="0"/>
        <w:tabs>
          <w:tab w:val="left" w:pos="2143"/>
        </w:tabs>
        <w:autoSpaceDE w:val="0"/>
        <w:autoSpaceDN w:val="0"/>
        <w:spacing w:after="0" w:line="276" w:lineRule="auto"/>
        <w:ind w:firstLine="709"/>
        <w:jc w:val="both"/>
        <w:rPr>
          <w:rFonts w:ascii="Verdana" w:eastAsia="Arial" w:hAnsi="Verdana" w:cs="Arial"/>
          <w:bCs/>
          <w:lang w:eastAsia="es-ES" w:bidi="es-ES"/>
        </w:rPr>
      </w:pPr>
      <w:r w:rsidRPr="00EE2D2F">
        <w:rPr>
          <w:rFonts w:ascii="Verdana" w:eastAsia="Arial" w:hAnsi="Verdana" w:cs="Arial"/>
          <w:bCs/>
          <w:lang w:eastAsia="es-ES" w:bidi="es-ES"/>
        </w:rPr>
        <w:t xml:space="preserve">Por otra parte, si luego de aplicar la metodología para identificar los bienes nacionales relevantes, prevista en la “Matriz 4 - Bienes nacionales relevantes para la obra pública del sector social”, la entidad estatal demuestra que los bienes nacionales relevantes no están registrados en el Registro de Productos de Bienes Nacionales Relevantes, deberá aplicar la </w:t>
      </w:r>
      <w:r w:rsidRPr="00EE2D2F">
        <w:rPr>
          <w:rFonts w:ascii="Verdana" w:eastAsia="Arial" w:hAnsi="Verdana" w:cs="Arial"/>
          <w:b/>
          <w:i/>
          <w:iCs/>
          <w:lang w:eastAsia="es-ES" w:bidi="es-ES"/>
        </w:rPr>
        <w:t>opción 2</w:t>
      </w:r>
      <w:r w:rsidRPr="00EE2D2F">
        <w:rPr>
          <w:rFonts w:ascii="Verdana" w:eastAsia="Arial" w:hAnsi="Verdana" w:cs="Arial"/>
          <w:bCs/>
          <w:lang w:eastAsia="es-ES" w:bidi="es-ES"/>
        </w:rPr>
        <w:t xml:space="preserve"> del numeral 4.3.1 “Promoción de servicios nacionales o con trato nacional”. Así, la entidad, otorgará el puntaje a los proponentes que se comprometan a vincular al desarrollo del objeto contractual un porcentaje de empleados o contratistas por prestación de servicios colombianos de al menos el cuarenta (40%) del personal requerido para el cumplimento del contrato, y deberá incluir los siguientes párrafos:</w:t>
      </w:r>
    </w:p>
    <w:p w14:paraId="0DA91337" w14:textId="77777777" w:rsidR="00EE2D2F" w:rsidRPr="00EE2D2F" w:rsidRDefault="00EE2D2F" w:rsidP="00EE2D2F">
      <w:pPr>
        <w:widowControl w:val="0"/>
        <w:tabs>
          <w:tab w:val="left" w:pos="2143"/>
        </w:tabs>
        <w:autoSpaceDE w:val="0"/>
        <w:autoSpaceDN w:val="0"/>
        <w:spacing w:after="0" w:line="276" w:lineRule="auto"/>
        <w:jc w:val="both"/>
        <w:rPr>
          <w:rFonts w:ascii="Verdana" w:eastAsia="Arial" w:hAnsi="Verdana" w:cs="Arial"/>
          <w:bCs/>
          <w:lang w:eastAsia="es-ES" w:bidi="es-ES"/>
        </w:rPr>
      </w:pPr>
      <w:r w:rsidRPr="00EE2D2F">
        <w:rPr>
          <w:rFonts w:ascii="Verdana" w:eastAsia="Arial" w:hAnsi="Verdana" w:cs="Arial"/>
          <w:bCs/>
          <w:lang w:eastAsia="es-ES" w:bidi="es-ES"/>
        </w:rPr>
        <w:tab/>
      </w:r>
    </w:p>
    <w:p w14:paraId="2A52D217" w14:textId="77777777" w:rsidR="00EE2D2F" w:rsidRPr="00EE2D2F" w:rsidRDefault="00EE2D2F" w:rsidP="00EE2D2F">
      <w:pPr>
        <w:spacing w:before="12" w:after="0" w:line="240" w:lineRule="auto"/>
        <w:ind w:left="709" w:right="709"/>
        <w:jc w:val="both"/>
        <w:rPr>
          <w:rFonts w:ascii="Verdana" w:eastAsia="Aptos" w:hAnsi="Verdana" w:cs="Arial"/>
          <w:kern w:val="2"/>
          <w:szCs w:val="24"/>
          <w14:ligatures w14:val="standardContextual"/>
        </w:rPr>
      </w:pPr>
      <w:r w:rsidRPr="00EE2D2F">
        <w:rPr>
          <w:rFonts w:ascii="Verdana" w:eastAsia="Aptos" w:hAnsi="Verdana" w:cs="Arial"/>
          <w:color w:val="000000"/>
          <w:kern w:val="2"/>
          <w:szCs w:val="24"/>
          <w14:ligatures w14:val="standardContextual"/>
        </w:rPr>
        <w:t xml:space="preserve">“De conformidad con la consulta del Registro de Productores de Bienes Nacionales, realizada en fecha </w:t>
      </w:r>
      <w:r w:rsidRPr="00EE2D2F">
        <w:rPr>
          <w:rFonts w:ascii="Verdana" w:eastAsia="Aptos" w:hAnsi="Verdana" w:cs="Arial"/>
          <w:color w:val="000000"/>
          <w:kern w:val="2"/>
          <w:szCs w:val="24"/>
          <w:highlight w:val="lightGray"/>
          <w14:ligatures w14:val="standardContextual"/>
        </w:rPr>
        <w:t>[Ingresar fecha en formato DD/MM/AAAA],</w:t>
      </w:r>
      <w:r w:rsidRPr="00EE2D2F">
        <w:rPr>
          <w:rFonts w:ascii="Verdana" w:eastAsia="Aptos" w:hAnsi="Verdana" w:cs="Arial"/>
          <w:color w:val="000000"/>
          <w:kern w:val="2"/>
          <w:szCs w:val="24"/>
          <w14:ligatures w14:val="standardContextual"/>
        </w:rPr>
        <w:t xml:space="preserve"> se determinó que los bienes relevantes para el desarrollo de la obra no se encuentran incluidos en dicho registro de conformidad con el numeral 3 del artículo 2.2.1.2.4.2.9. del Decreto 1082 de 2015. Por tal motivo, se otorgará el puntaje de apoyo a la industria nacional a los Proponentes que se comprometan a vincular al desarrollo del objeto contractual un porcentaje de empleados o contratistas por prestación de servicios colombianos, de al menos el </w:t>
      </w:r>
      <w:r w:rsidRPr="00EE2D2F">
        <w:rPr>
          <w:rFonts w:ascii="Verdana" w:eastAsia="Aptos" w:hAnsi="Verdana" w:cs="Arial"/>
          <w:color w:val="000000"/>
          <w:kern w:val="2"/>
          <w:szCs w:val="24"/>
          <w:highlight w:val="lightGray"/>
          <w14:ligatures w14:val="standardContextual"/>
        </w:rPr>
        <w:t xml:space="preserve">[la Entidad definirá el porcentaje </w:t>
      </w:r>
      <w:r w:rsidRPr="00EE2D2F">
        <w:rPr>
          <w:rFonts w:ascii="Verdana" w:eastAsia="Aptos" w:hAnsi="Verdana" w:cs="Arial"/>
          <w:color w:val="000000"/>
          <w:kern w:val="2"/>
          <w:szCs w:val="24"/>
          <w:highlight w:val="lightGray"/>
          <w14:ligatures w14:val="standardContextual"/>
        </w:rPr>
        <w:lastRenderedPageBreak/>
        <w:t>requerido que sea por lo menos del cuarenta por ciento (40 %), sin perjuicio de incluir uno superior]</w:t>
      </w:r>
      <w:r w:rsidRPr="00EE2D2F">
        <w:rPr>
          <w:rFonts w:ascii="Verdana" w:eastAsia="Aptos" w:hAnsi="Verdana" w:cs="Arial"/>
          <w:color w:val="000000"/>
          <w:kern w:val="2"/>
          <w:szCs w:val="24"/>
          <w14:ligatures w14:val="standardContextual"/>
        </w:rPr>
        <w:t xml:space="preserve"> del personal requerido para el cumplimiento </w:t>
      </w:r>
      <w:r w:rsidRPr="00EE2D2F">
        <w:rPr>
          <w:rFonts w:ascii="Verdana" w:eastAsia="Aptos" w:hAnsi="Verdana" w:cs="Arial"/>
          <w:kern w:val="2"/>
          <w:szCs w:val="24"/>
          <w14:ligatures w14:val="standardContextual"/>
        </w:rPr>
        <w:t xml:space="preserve">del Contrato. </w:t>
      </w:r>
    </w:p>
    <w:p w14:paraId="46527D2B" w14:textId="77777777" w:rsidR="00EE2D2F" w:rsidRPr="00EE2D2F" w:rsidRDefault="00EE2D2F" w:rsidP="00EE2D2F">
      <w:pPr>
        <w:spacing w:before="12" w:after="0" w:line="240" w:lineRule="auto"/>
        <w:ind w:left="709" w:right="709"/>
        <w:jc w:val="both"/>
        <w:rPr>
          <w:rFonts w:ascii="Verdana" w:eastAsia="Times New Roman" w:hAnsi="Verdana" w:cs="Arial"/>
          <w:kern w:val="2"/>
          <w:szCs w:val="24"/>
          <w14:ligatures w14:val="standardContextual"/>
        </w:rPr>
      </w:pPr>
      <w:r w:rsidRPr="00EE2D2F">
        <w:rPr>
          <w:rFonts w:ascii="Verdana" w:eastAsia="Times New Roman" w:hAnsi="Verdana" w:cs="Arial"/>
          <w:kern w:val="2"/>
          <w:szCs w:val="24"/>
          <w14:ligatures w14:val="standardContextual"/>
        </w:rPr>
        <w:t xml:space="preserve">En el caso de Proponentes Plurales, </w:t>
      </w:r>
      <w:r w:rsidRPr="00EE2D2F">
        <w:rPr>
          <w:rFonts w:ascii="Verdana" w:eastAsia="Arial Narrow" w:hAnsi="Verdana" w:cs="Arial"/>
          <w:kern w:val="2"/>
          <w:szCs w:val="24"/>
          <w:lang w:eastAsia="es-ES"/>
          <w14:ligatures w14:val="standardContextual"/>
        </w:rPr>
        <w:t xml:space="preserve">todos, varios o cualquiera </w:t>
      </w:r>
      <w:r w:rsidRPr="00EE2D2F">
        <w:rPr>
          <w:rFonts w:ascii="Verdana" w:eastAsia="Times New Roman" w:hAnsi="Verdana" w:cs="Arial"/>
          <w:kern w:val="2"/>
          <w:szCs w:val="24"/>
          <w14:ligatures w14:val="standardContextual"/>
        </w:rPr>
        <w:t xml:space="preserve">de sus integrantes podrá vincular un porcentaje de empleados o contratistas por prestación de servicios colombianos, de al menos el </w:t>
      </w:r>
      <w:r w:rsidRPr="00EE2D2F">
        <w:rPr>
          <w:rFonts w:ascii="Verdana" w:eastAsia="Times New Roman" w:hAnsi="Verdana" w:cs="Arial"/>
          <w:kern w:val="2"/>
          <w:szCs w:val="24"/>
          <w:highlight w:val="lightGray"/>
          <w14:ligatures w14:val="standardContextual"/>
        </w:rPr>
        <w:t>[la Entidad definirá el porcentaje requerido que sea por lo menos del cuarenta por ciento (40 %), sin perjuicio de incluir uno superior]</w:t>
      </w:r>
      <w:r w:rsidRPr="00EE2D2F">
        <w:rPr>
          <w:rFonts w:ascii="Verdana" w:eastAsia="Times New Roman" w:hAnsi="Verdana" w:cs="Arial"/>
          <w:kern w:val="2"/>
          <w:szCs w:val="24"/>
          <w14:ligatures w14:val="standardContextual"/>
        </w:rPr>
        <w:t xml:space="preserve"> del personal requerido para el cumplimiento del Contrato”. </w:t>
      </w:r>
    </w:p>
    <w:p w14:paraId="6598B907" w14:textId="77777777" w:rsidR="00EE2D2F" w:rsidRPr="00EE2D2F" w:rsidRDefault="00EE2D2F" w:rsidP="00EE2D2F">
      <w:pPr>
        <w:spacing w:after="0" w:line="240" w:lineRule="auto"/>
        <w:ind w:right="709"/>
        <w:jc w:val="both"/>
        <w:rPr>
          <w:rFonts w:ascii="Verdana" w:eastAsia="Calibri" w:hAnsi="Verdana" w:cs="Arial"/>
          <w:iCs/>
          <w:color w:val="000000"/>
          <w:sz w:val="20"/>
          <w:szCs w:val="20"/>
        </w:rPr>
      </w:pPr>
    </w:p>
    <w:p w14:paraId="2EFF3CA7" w14:textId="77777777" w:rsidR="00EE2D2F" w:rsidRPr="00EE2D2F" w:rsidRDefault="00EE2D2F" w:rsidP="00EE2D2F">
      <w:pPr>
        <w:spacing w:after="0" w:line="276" w:lineRule="auto"/>
        <w:ind w:firstLine="708"/>
        <w:jc w:val="both"/>
        <w:rPr>
          <w:rFonts w:ascii="Verdana" w:eastAsia="Calibri" w:hAnsi="Verdana" w:cs="Arial"/>
          <w:iCs/>
          <w:color w:val="000000"/>
        </w:rPr>
      </w:pPr>
      <w:r w:rsidRPr="00EE2D2F">
        <w:rPr>
          <w:rFonts w:ascii="Verdana" w:eastAsia="Calibri" w:hAnsi="Verdana" w:cs="Arial"/>
          <w:iCs/>
          <w:color w:val="000000"/>
        </w:rPr>
        <w:t xml:space="preserve">Para el caso de los Proponentes Plurales, todos, varios o cualquiera de sus integrantes podrá vincular un porcentaje de empleados o contratistas </w:t>
      </w:r>
      <w:r w:rsidRPr="00EE2D2F">
        <w:rPr>
          <w:rFonts w:ascii="Verdana" w:eastAsia="Arial" w:hAnsi="Verdana" w:cs="Arial"/>
          <w:bCs/>
          <w:lang w:eastAsia="es-ES" w:bidi="es-ES"/>
        </w:rPr>
        <w:t xml:space="preserve">por prestación de servicios colombianos de al menos el cuarenta (40%) del personal requerido para el cumplimento del contrato. </w:t>
      </w:r>
      <w:r w:rsidRPr="00EE2D2F">
        <w:rPr>
          <w:rFonts w:ascii="Verdana" w:eastAsia="Times New Roman" w:hAnsi="Verdana" w:cs="Arial"/>
          <w:iCs/>
          <w:color w:val="000000"/>
        </w:rPr>
        <w:t xml:space="preserve">Así mismo, </w:t>
      </w:r>
      <w:r w:rsidRPr="00EE2D2F">
        <w:rPr>
          <w:rFonts w:ascii="Verdana" w:eastAsia="Arial" w:hAnsi="Verdana" w:cs="Arial"/>
          <w:bCs/>
          <w:lang w:eastAsia="es-ES" w:bidi="es-ES"/>
        </w:rPr>
        <w:t xml:space="preserve">su composición deberá estar acorde con lo exigido por la noción de Servicios Nacionales prevista en el </w:t>
      </w:r>
      <w:r w:rsidRPr="00EE2D2F">
        <w:rPr>
          <w:rFonts w:ascii="Verdana" w:eastAsia="Calibri" w:hAnsi="Verdana" w:cs="Arial"/>
          <w:iCs/>
          <w:color w:val="000000"/>
        </w:rPr>
        <w:t xml:space="preserve">en el artículo 2.2.1.1.1.3.1 del Decreto 1082 de 2015, de lo que dependerá la franja del puntaje aplicable en lo referente al apoyo de la industria nacional. </w:t>
      </w:r>
    </w:p>
    <w:p w14:paraId="10C696DB" w14:textId="77777777" w:rsidR="00EE2D2F" w:rsidRPr="00EE2D2F" w:rsidRDefault="00EE2D2F" w:rsidP="00EE2D2F">
      <w:pPr>
        <w:spacing w:after="0" w:line="276" w:lineRule="auto"/>
        <w:ind w:firstLine="708"/>
        <w:jc w:val="both"/>
        <w:rPr>
          <w:rFonts w:ascii="Verdana" w:eastAsia="Calibri" w:hAnsi="Verdana" w:cs="Arial"/>
          <w:kern w:val="2"/>
          <w14:ligatures w14:val="standardContextual"/>
        </w:rPr>
      </w:pPr>
    </w:p>
    <w:p w14:paraId="2D960E46" w14:textId="77777777" w:rsidR="00EE2D2F" w:rsidRPr="00EE2D2F" w:rsidRDefault="00EE2D2F" w:rsidP="00EE2D2F">
      <w:pPr>
        <w:spacing w:after="120" w:line="276" w:lineRule="auto"/>
        <w:jc w:val="both"/>
        <w:rPr>
          <w:rFonts w:ascii="Verdana" w:eastAsia="Times New Roman" w:hAnsi="Verdana" w:cs="Times New Roman"/>
          <w:lang w:eastAsia="es-MX"/>
        </w:rPr>
      </w:pPr>
      <w:r w:rsidRPr="00EE2D2F">
        <w:rPr>
          <w:rFonts w:ascii="Verdana" w:eastAsia="Calibri" w:hAnsi="Verdana" w:cs="Arial"/>
          <w:lang w:eastAsia="es-MX"/>
        </w:rPr>
        <w:t xml:space="preserve">v. </w:t>
      </w:r>
      <w:r w:rsidRPr="00EE2D2F">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0AE6E8A" w14:textId="77777777" w:rsidR="00EE2D2F" w:rsidRPr="00EE2D2F" w:rsidRDefault="00EE2D2F" w:rsidP="00EE2D2F">
      <w:pPr>
        <w:spacing w:after="0" w:line="276" w:lineRule="auto"/>
        <w:ind w:firstLine="708"/>
        <w:jc w:val="both"/>
        <w:rPr>
          <w:rFonts w:ascii="Verdana" w:eastAsia="Calibri" w:hAnsi="Verdana" w:cs="Arial"/>
          <w:bCs/>
          <w:color w:val="000000"/>
          <w:lang w:eastAsia="es-MX"/>
        </w:rPr>
      </w:pPr>
      <w:r w:rsidRPr="00EE2D2F">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ED39F8A" w14:textId="77777777" w:rsidR="00EE2D2F" w:rsidRPr="00EE2D2F" w:rsidRDefault="00EE2D2F" w:rsidP="00EE2D2F">
      <w:pPr>
        <w:spacing w:after="0" w:line="276" w:lineRule="auto"/>
        <w:jc w:val="both"/>
        <w:rPr>
          <w:rFonts w:ascii="Verdana" w:eastAsia="Calibri" w:hAnsi="Verdana" w:cs="Times New Roman"/>
          <w:lang w:eastAsia="es-MX"/>
        </w:rPr>
      </w:pPr>
    </w:p>
    <w:p w14:paraId="479C5144" w14:textId="77777777" w:rsidR="00EE2D2F" w:rsidRPr="00EE2D2F" w:rsidRDefault="00EE2D2F" w:rsidP="00EE2D2F">
      <w:pPr>
        <w:tabs>
          <w:tab w:val="left" w:pos="142"/>
          <w:tab w:val="left" w:pos="284"/>
        </w:tabs>
        <w:spacing w:after="0" w:line="276" w:lineRule="auto"/>
        <w:jc w:val="both"/>
        <w:rPr>
          <w:rFonts w:ascii="Verdana" w:eastAsia="Century Gothic" w:hAnsi="Verdana" w:cs="Century Gothic"/>
          <w:b/>
          <w:bCs/>
          <w:lang w:val="es-ES_tradnl" w:eastAsia="es-MX"/>
        </w:rPr>
      </w:pPr>
      <w:r w:rsidRPr="00EE2D2F">
        <w:rPr>
          <w:rFonts w:ascii="Verdana" w:eastAsia="Century Gothic" w:hAnsi="Verdana" w:cs="Century Gothic"/>
          <w:b/>
          <w:bCs/>
          <w:lang w:val="es-ES_tradnl" w:eastAsia="es-MX"/>
        </w:rPr>
        <w:t>4. Referencias normativas, jurisprudenciales y otras fuentes:</w:t>
      </w:r>
    </w:p>
    <w:p w14:paraId="52E67957" w14:textId="77777777" w:rsidR="00EE2D2F" w:rsidRPr="00EE2D2F" w:rsidRDefault="00EE2D2F" w:rsidP="00EE2D2F">
      <w:pPr>
        <w:spacing w:after="0"/>
        <w:ind w:left="-15840"/>
        <w:jc w:val="both"/>
        <w:rPr>
          <w:rFonts w:ascii="Verdana" w:eastAsia="Calibri" w:hAnsi="Verdana" w:cs="Arial"/>
          <w:b/>
          <w:bCs/>
          <w:lang w:eastAsia="es-MX"/>
        </w:rPr>
      </w:pPr>
      <w:r w:rsidRPr="00EE2D2F">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E2D2F" w:rsidRPr="00EE2D2F" w14:paraId="1FD96456" w14:textId="77777777" w:rsidTr="00C80FF3">
        <w:trPr>
          <w:trHeight w:val="870"/>
        </w:trPr>
        <w:tc>
          <w:tcPr>
            <w:tcW w:w="8647" w:type="dxa"/>
            <w:tcBorders>
              <w:top w:val="dotted" w:sz="4" w:space="0" w:color="auto"/>
              <w:left w:val="dotted" w:sz="4" w:space="0" w:color="auto"/>
              <w:bottom w:val="dotted" w:sz="4" w:space="0" w:color="auto"/>
              <w:right w:val="dotted" w:sz="4" w:space="0" w:color="auto"/>
            </w:tcBorders>
          </w:tcPr>
          <w:p w14:paraId="6EC9DE10" w14:textId="77777777" w:rsidR="00EE2D2F" w:rsidRPr="00EE2D2F" w:rsidRDefault="00EE2D2F" w:rsidP="00EE2D2F">
            <w:pPr>
              <w:contextualSpacing/>
              <w:jc w:val="both"/>
              <w:rPr>
                <w:rFonts w:ascii="Verdana" w:eastAsia="Calibri" w:hAnsi="Verdana" w:cs="Arial"/>
                <w:bCs/>
                <w:lang w:eastAsia="es-MX"/>
              </w:rPr>
            </w:pPr>
          </w:p>
          <w:p w14:paraId="5158F563" w14:textId="77777777" w:rsidR="00EE2D2F" w:rsidRPr="00EE2D2F" w:rsidRDefault="00EE2D2F" w:rsidP="00EE2D2F">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EE2D2F">
              <w:rPr>
                <w:rFonts w:ascii="Verdana" w:eastAsia="Calibri" w:hAnsi="Verdana" w:cs="Arial"/>
                <w:lang w:val="es-ES_tradnl" w:eastAsia="es-MX"/>
              </w:rPr>
              <w:t xml:space="preserve">Ley 2022 de 2020, artículo 1. </w:t>
            </w:r>
          </w:p>
          <w:p w14:paraId="5CCAAE41" w14:textId="77777777" w:rsidR="00EE2D2F" w:rsidRPr="00EE2D2F" w:rsidRDefault="00EE2D2F" w:rsidP="00EE2D2F">
            <w:pPr>
              <w:widowControl w:val="0"/>
              <w:numPr>
                <w:ilvl w:val="0"/>
                <w:numId w:val="16"/>
              </w:numPr>
              <w:autoSpaceDE w:val="0"/>
              <w:autoSpaceDN w:val="0"/>
              <w:spacing w:line="276" w:lineRule="auto"/>
              <w:jc w:val="both"/>
              <w:rPr>
                <w:rFonts w:ascii="Verdana" w:eastAsia="Calibri" w:hAnsi="Verdana" w:cs="Arial"/>
                <w:lang w:eastAsia="es-MX"/>
              </w:rPr>
            </w:pPr>
            <w:r w:rsidRPr="00EE2D2F">
              <w:rPr>
                <w:rFonts w:ascii="Verdana" w:eastAsia="Calibri" w:hAnsi="Verdana" w:cs="Arial"/>
                <w:lang w:eastAsia="es-MX"/>
              </w:rPr>
              <w:t>Ley 1150 de 2007, artículo 2.</w:t>
            </w:r>
          </w:p>
          <w:p w14:paraId="668BE4E7" w14:textId="77777777" w:rsidR="00EE2D2F" w:rsidRPr="00EE2D2F" w:rsidRDefault="00EE2D2F" w:rsidP="00EE2D2F">
            <w:pPr>
              <w:widowControl w:val="0"/>
              <w:numPr>
                <w:ilvl w:val="0"/>
                <w:numId w:val="16"/>
              </w:numPr>
              <w:autoSpaceDE w:val="0"/>
              <w:autoSpaceDN w:val="0"/>
              <w:spacing w:line="276" w:lineRule="auto"/>
              <w:contextualSpacing/>
              <w:jc w:val="both"/>
              <w:rPr>
                <w:rFonts w:ascii="Verdana" w:eastAsia="Calibri" w:hAnsi="Verdana" w:cs="Arial"/>
                <w:lang w:eastAsia="es-MX"/>
              </w:rPr>
            </w:pPr>
            <w:r w:rsidRPr="00EE2D2F">
              <w:rPr>
                <w:rFonts w:ascii="Verdana" w:eastAsia="Calibri" w:hAnsi="Verdana" w:cs="Arial"/>
                <w:lang w:val="es-ES_tradnl" w:eastAsia="es-MX"/>
              </w:rPr>
              <w:t xml:space="preserve">Documentos Tipo. Disponibles en: </w:t>
            </w:r>
            <w:hyperlink r:id="rId14" w:history="1">
              <w:r w:rsidRPr="00EE2D2F">
                <w:rPr>
                  <w:rFonts w:ascii="Verdana" w:eastAsia="Calibri" w:hAnsi="Verdana" w:cs="Arial"/>
                  <w:color w:val="0000FF"/>
                  <w:u w:val="single"/>
                  <w:lang w:val="es-ES_tradnl" w:eastAsia="es-MX"/>
                </w:rPr>
                <w:t>https://www.colombiacompra.gov.co/documentos-tipo/documentos-tipo</w:t>
              </w:r>
            </w:hyperlink>
            <w:r w:rsidRPr="00EE2D2F">
              <w:rPr>
                <w:rFonts w:ascii="Verdana" w:eastAsia="Calibri" w:hAnsi="Verdana" w:cs="Arial"/>
                <w:lang w:val="es-ES_tradnl" w:eastAsia="es-MX"/>
              </w:rPr>
              <w:t>.</w:t>
            </w:r>
            <w:r w:rsidRPr="00EE2D2F">
              <w:rPr>
                <w:rFonts w:ascii="Verdana" w:eastAsia="Aptos" w:hAnsi="Verdana" w:cs="Arial"/>
              </w:rPr>
              <w:t xml:space="preserve"> </w:t>
            </w:r>
          </w:p>
        </w:tc>
      </w:tr>
    </w:tbl>
    <w:p w14:paraId="71EAF8BA" w14:textId="77777777" w:rsidR="00EE2D2F" w:rsidRPr="00EE2D2F" w:rsidRDefault="00EE2D2F" w:rsidP="00EE2D2F">
      <w:pPr>
        <w:tabs>
          <w:tab w:val="left" w:pos="142"/>
          <w:tab w:val="left" w:pos="284"/>
        </w:tabs>
        <w:spacing w:after="0" w:line="276" w:lineRule="auto"/>
        <w:jc w:val="both"/>
        <w:rPr>
          <w:rFonts w:ascii="Verdana" w:eastAsia="Calibri" w:hAnsi="Verdana" w:cs="Arial"/>
          <w:lang w:eastAsia="es-MX"/>
        </w:rPr>
      </w:pPr>
    </w:p>
    <w:p w14:paraId="5E54EE55" w14:textId="77777777" w:rsidR="00EE2D2F" w:rsidRPr="00EE2D2F" w:rsidRDefault="00EE2D2F" w:rsidP="00EE2D2F">
      <w:pPr>
        <w:tabs>
          <w:tab w:val="left" w:pos="142"/>
          <w:tab w:val="left" w:pos="284"/>
        </w:tabs>
        <w:spacing w:after="0" w:line="276" w:lineRule="auto"/>
        <w:jc w:val="both"/>
        <w:rPr>
          <w:rFonts w:ascii="Verdana" w:eastAsia="Century Gothic" w:hAnsi="Verdana" w:cs="Century Gothic"/>
          <w:b/>
          <w:bCs/>
          <w:lang w:val="es-ES" w:eastAsia="es-MX"/>
        </w:rPr>
      </w:pPr>
      <w:r w:rsidRPr="00EE2D2F">
        <w:rPr>
          <w:rFonts w:ascii="Verdana" w:eastAsia="Calibri" w:hAnsi="Verdana" w:cs="Arial"/>
          <w:b/>
          <w:bCs/>
          <w:lang w:eastAsia="es-MX"/>
        </w:rPr>
        <w:t>5</w:t>
      </w:r>
      <w:r w:rsidRPr="00EE2D2F">
        <w:rPr>
          <w:rFonts w:ascii="Verdana" w:eastAsia="Calibri" w:hAnsi="Verdana" w:cs="Arial"/>
          <w:lang w:eastAsia="es-MX"/>
        </w:rPr>
        <w:t>.</w:t>
      </w:r>
      <w:r w:rsidRPr="00EE2D2F">
        <w:rPr>
          <w:rFonts w:ascii="Verdana" w:eastAsia="Century Gothic" w:hAnsi="Verdana" w:cs="Century Gothic"/>
          <w:b/>
          <w:bCs/>
          <w:lang w:val="es-ES" w:eastAsia="es-MX"/>
        </w:rPr>
        <w:t>Doctrina de la Agencia Nacional de Contratación Pública:</w:t>
      </w:r>
    </w:p>
    <w:p w14:paraId="7B4808F8" w14:textId="77777777" w:rsidR="00EE2D2F" w:rsidRPr="00EE2D2F" w:rsidRDefault="00EE2D2F" w:rsidP="00EE2D2F">
      <w:pPr>
        <w:widowControl w:val="0"/>
        <w:autoSpaceDE w:val="0"/>
        <w:autoSpaceDN w:val="0"/>
        <w:spacing w:after="0" w:line="276" w:lineRule="auto"/>
        <w:jc w:val="both"/>
        <w:rPr>
          <w:rFonts w:ascii="Verdana" w:eastAsia="Calibri" w:hAnsi="Verdana" w:cs="Arial"/>
          <w:lang w:eastAsia="es-MX"/>
        </w:rPr>
      </w:pPr>
    </w:p>
    <w:p w14:paraId="158D06FC" w14:textId="77777777" w:rsidR="00EE2D2F" w:rsidRPr="00EE2D2F" w:rsidRDefault="00EE2D2F" w:rsidP="00EE2D2F">
      <w:pPr>
        <w:spacing w:after="0" w:line="276" w:lineRule="auto"/>
        <w:jc w:val="both"/>
        <w:rPr>
          <w:rFonts w:ascii="Verdana" w:eastAsia="Calibri" w:hAnsi="Verdana" w:cs="Arial"/>
          <w:shd w:val="clear" w:color="auto" w:fill="FFFFFF"/>
          <w:lang w:val="es-ES" w:eastAsia="es-MX"/>
        </w:rPr>
      </w:pPr>
      <w:r w:rsidRPr="00EE2D2F">
        <w:rPr>
          <w:rFonts w:ascii="Verdana" w:eastAsia="Calibri" w:hAnsi="Verdana" w:cs="Arial"/>
          <w:shd w:val="clear" w:color="auto" w:fill="FFFFFF"/>
          <w:lang w:val="es-ES" w:eastAsia="es-MX"/>
        </w:rPr>
        <w:t>La Agencia Nacional de Contratación Pública – Colombia Compra Eficiente se pronunció</w:t>
      </w:r>
      <w:r w:rsidRPr="00EE2D2F">
        <w:rPr>
          <w:rFonts w:ascii="Verdana" w:eastAsia="Calibri" w:hAnsi="Verdana" w:cs="Times New Roman"/>
          <w:lang w:eastAsia="es-MX"/>
        </w:rPr>
        <w:t xml:space="preserve"> </w:t>
      </w:r>
      <w:r w:rsidRPr="00EE2D2F">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EE2D2F">
        <w:rPr>
          <w:rFonts w:ascii="Verdana" w:eastAsia="Calibri" w:hAnsi="Verdana" w:cs="Arial"/>
          <w:shd w:val="clear" w:color="auto" w:fill="FFFFFF"/>
          <w:lang w:val="es-ES" w:eastAsia="es-MX"/>
        </w:rPr>
        <w:tab/>
        <w:t xml:space="preserve">C-636 del 1 de noviembre de 2024, C-777 del 9 de diciembre de 2024, C-971 del 21 de enero de 2025 y C-1813 del 31 de diciembre de 2025, entre otros. </w:t>
      </w:r>
    </w:p>
    <w:p w14:paraId="5E51B2CF" w14:textId="77777777" w:rsidR="00EE2D2F" w:rsidRPr="00EE2D2F" w:rsidRDefault="00EE2D2F" w:rsidP="00EE2D2F">
      <w:pPr>
        <w:spacing w:after="0" w:line="276" w:lineRule="auto"/>
        <w:jc w:val="both"/>
        <w:rPr>
          <w:rFonts w:ascii="Verdana" w:eastAsia="Calibri" w:hAnsi="Verdana" w:cs="Arial"/>
          <w:shd w:val="clear" w:color="auto" w:fill="FFFFFF"/>
          <w:lang w:val="es-ES" w:eastAsia="es-MX"/>
        </w:rPr>
      </w:pPr>
    </w:p>
    <w:p w14:paraId="7F45910D" w14:textId="77777777" w:rsidR="00EE2D2F" w:rsidRPr="00EE2D2F" w:rsidRDefault="00EE2D2F" w:rsidP="00EE2D2F">
      <w:pPr>
        <w:spacing w:after="0" w:line="278" w:lineRule="auto"/>
        <w:jc w:val="both"/>
        <w:rPr>
          <w:rFonts w:ascii="Verdana" w:eastAsia="Calibri" w:hAnsi="Verdana" w:cs="Arial"/>
          <w:shd w:val="clear" w:color="auto" w:fill="FFFFFF"/>
          <w:lang w:val="es-ES" w:eastAsia="es-MX"/>
        </w:rPr>
      </w:pPr>
      <w:r w:rsidRPr="00EE2D2F">
        <w:rPr>
          <w:rFonts w:ascii="Verdana" w:eastAsia="Calibri" w:hAnsi="Verdana" w:cs="Arial"/>
          <w:shd w:val="clear" w:color="auto" w:fill="FFFFFF"/>
          <w:lang w:val="es-ES" w:eastAsia="es-MX"/>
        </w:rPr>
        <w:t xml:space="preserve">Por otra parte, esta subdirección se pronunció sobre los contratos a monto agotable en los siguientes conceptos C-768 del 26 de diciembre de 2024, C-609 del 25 de octubre de 2024 y C-1300 del 29 de septiembre de 2025, entre otros. </w:t>
      </w:r>
    </w:p>
    <w:p w14:paraId="2ADAA878" w14:textId="77777777" w:rsidR="00EE2D2F" w:rsidRPr="00EE2D2F" w:rsidRDefault="00EE2D2F" w:rsidP="00EE2D2F">
      <w:pPr>
        <w:spacing w:after="0" w:line="278" w:lineRule="auto"/>
        <w:jc w:val="both"/>
        <w:rPr>
          <w:rFonts w:ascii="Verdana" w:eastAsia="Calibri" w:hAnsi="Verdana" w:cs="Arial"/>
          <w:shd w:val="clear" w:color="auto" w:fill="FFFFFF"/>
          <w:lang w:val="es-ES" w:eastAsia="es-MX"/>
        </w:rPr>
      </w:pPr>
    </w:p>
    <w:p w14:paraId="217DCA1A" w14:textId="77777777" w:rsidR="00EE2D2F" w:rsidRPr="00EE2D2F" w:rsidRDefault="00EE2D2F" w:rsidP="00EE2D2F">
      <w:pPr>
        <w:widowControl w:val="0"/>
        <w:autoSpaceDE w:val="0"/>
        <w:autoSpaceDN w:val="0"/>
        <w:spacing w:after="0" w:line="276" w:lineRule="auto"/>
        <w:jc w:val="both"/>
        <w:rPr>
          <w:rFonts w:ascii="Verdana" w:eastAsia="Calibri" w:hAnsi="Verdana" w:cs="Arial"/>
          <w:kern w:val="2"/>
          <w:lang w:val="es-MX"/>
          <w14:ligatures w14:val="standardContextual"/>
        </w:rPr>
      </w:pPr>
      <w:r w:rsidRPr="00EE2D2F">
        <w:rPr>
          <w:rFonts w:ascii="Verdana" w:eastAsia="Calibri" w:hAnsi="Verdana" w:cs="Arial"/>
          <w:shd w:val="clear" w:color="auto" w:fill="FFFFFF"/>
          <w:lang w:val="es-ES" w:eastAsia="es-MX"/>
        </w:rPr>
        <w:t xml:space="preserve">Finalmente, esta Agencia </w:t>
      </w:r>
      <w:r w:rsidRPr="00EE2D2F">
        <w:rPr>
          <w:rFonts w:ascii="Verdana" w:eastAsia="Calibri" w:hAnsi="Verdana" w:cs="Arial"/>
          <w:kern w:val="2"/>
          <w:lang w:val="es-MX"/>
          <w14:ligatures w14:val="standardContextual"/>
        </w:rPr>
        <w:t xml:space="preserve">analizó la aplicación del Decreto 680 de 2021 y el otorgamiento del puntaje por apoyo a la industria nacional en los procedimientos de selección con documentos tipo, en los conceptos: C-020 del 22 de febrero de 2022, C-166 del 5 de abril de 2022, C-196 del 13 de abril de 2022, C-201 del 13 de abril de 2022, C-327 del 23 de mayo de 2022, C-352 del 2 de junio de 2022, C-470 del 27 de julio de 2022, C-571 del 14 de septiembre de 2022, C-291 del 21 de julio de 2023, C-292 del 24 de julio de 2023, C-409 del 20 de noviembre de 2023, C-467 del 5 de diciembre de 2023 y C-382 del 6 de mayo de 2022, C-543 del 11 de octubre de 2024, C-1636 del 10 de diciembre de 2026, C-218 del </w:t>
      </w:r>
      <w:r w:rsidRPr="00EE2D2F">
        <w:rPr>
          <w:rFonts w:ascii="Verdana" w:eastAsia="Calibri" w:hAnsi="Verdana" w:cs="Arial"/>
          <w:kern w:val="2"/>
          <w:lang w:val="es-MX"/>
          <w14:ligatures w14:val="standardContextual"/>
        </w:rPr>
        <w:lastRenderedPageBreak/>
        <w:t xml:space="preserve">20 de marzo de 2026, C-032 del 18 de marzo de 2026 y C-100 del 5 de marzo de 2026entre otros. </w:t>
      </w:r>
    </w:p>
    <w:p w14:paraId="71BF1E5C" w14:textId="77777777" w:rsidR="00EE2D2F" w:rsidRPr="00EE2D2F" w:rsidRDefault="00EE2D2F" w:rsidP="00EE2D2F">
      <w:pPr>
        <w:spacing w:after="0" w:line="240" w:lineRule="auto"/>
        <w:jc w:val="both"/>
        <w:rPr>
          <w:rFonts w:ascii="Verdana" w:eastAsia="Calibri" w:hAnsi="Verdana" w:cs="Arial"/>
          <w:color w:val="000000"/>
          <w:shd w:val="clear" w:color="auto" w:fill="FFFFFF"/>
          <w:lang w:val="es-ES" w:eastAsia="es-MX"/>
        </w:rPr>
      </w:pPr>
    </w:p>
    <w:p w14:paraId="4BFCA43C" w14:textId="77777777" w:rsidR="00EE2D2F" w:rsidRPr="00EE2D2F" w:rsidRDefault="00EE2D2F" w:rsidP="00EE2D2F">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EE2D2F">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tgtFrame="_blank" w:tooltip="Dirección URL original: https://relatoria.colombiacompra.gov.co/. Haga clic o pulse si confía en este vínculo." w:history="1">
        <w:r w:rsidRPr="00EE2D2F">
          <w:rPr>
            <w:rFonts w:ascii="Verdana" w:eastAsia="Calibri" w:hAnsi="Verdana" w:cs="Arial"/>
            <w:color w:val="0000FF"/>
            <w:u w:val="single"/>
            <w:shd w:val="clear" w:color="auto" w:fill="FFFFFF"/>
            <w:lang w:eastAsia="es-MX"/>
          </w:rPr>
          <w:t>https://relatoria.colombiacompra.gov.co/</w:t>
        </w:r>
      </w:hyperlink>
      <w:r w:rsidRPr="00EE2D2F">
        <w:rPr>
          <w:rFonts w:ascii="Verdana" w:eastAsia="Calibri" w:hAnsi="Verdana" w:cs="Arial"/>
          <w:color w:val="0000FF"/>
          <w:u w:val="single"/>
          <w:shd w:val="clear" w:color="auto" w:fill="FFFFFF"/>
          <w:lang w:eastAsia="es-MX"/>
        </w:rPr>
        <w:t> .</w:t>
      </w:r>
    </w:p>
    <w:p w14:paraId="36357288" w14:textId="77777777" w:rsidR="00EE2D2F" w:rsidRPr="00EE2D2F" w:rsidRDefault="00EE2D2F" w:rsidP="00EE2D2F">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3B7791FD" w14:textId="77777777" w:rsidR="00EE2D2F" w:rsidRPr="00EE2D2F" w:rsidRDefault="00EE2D2F" w:rsidP="00EE2D2F">
      <w:pPr>
        <w:spacing w:after="0" w:line="276" w:lineRule="auto"/>
        <w:jc w:val="both"/>
        <w:rPr>
          <w:rFonts w:ascii="Verdana" w:eastAsia="Times New Roman" w:hAnsi="Verdana" w:cs="Arial"/>
          <w:lang w:eastAsia="es-MX"/>
        </w:rPr>
      </w:pPr>
      <w:r w:rsidRPr="00EE2D2F">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EE2D2F">
        <w:rPr>
          <w:rFonts w:ascii="Verdana" w:eastAsia="Times New Roman" w:hAnsi="Verdana" w:cs="Arial"/>
          <w:b/>
          <w:bCs/>
          <w:lang w:eastAsia="es-MX"/>
        </w:rPr>
        <w:t>Curso de Contratación Pública Sostenible y Socialmente Responsable</w:t>
      </w:r>
      <w:r w:rsidRPr="00EE2D2F">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EE2D2F">
        <w:rPr>
          <w:rFonts w:ascii="Verdana" w:eastAsia="Times New Roman" w:hAnsi="Verdana" w:cs="Arial"/>
          <w:lang w:eastAsia="es-MX"/>
        </w:rPr>
        <w:br/>
      </w:r>
      <w:hyperlink r:id="rId16" w:tgtFrame="_new" w:history="1">
        <w:r w:rsidRPr="00EE2D2F">
          <w:rPr>
            <w:rFonts w:ascii="Verdana" w:eastAsia="Times New Roman" w:hAnsi="Verdana" w:cs="Arial"/>
            <w:color w:val="0000FF"/>
            <w:u w:val="single"/>
            <w:lang w:eastAsia="es-MX"/>
          </w:rPr>
          <w:t>https://formacionvirtual.colombiacompra.gov.co/mod/page/view.php?id=3718</w:t>
        </w:r>
      </w:hyperlink>
    </w:p>
    <w:p w14:paraId="752874CB" w14:textId="77777777" w:rsidR="00EE2D2F" w:rsidRPr="00EE2D2F" w:rsidRDefault="00EE2D2F" w:rsidP="00EE2D2F">
      <w:pPr>
        <w:spacing w:after="0" w:line="276" w:lineRule="auto"/>
        <w:jc w:val="both"/>
        <w:rPr>
          <w:rFonts w:ascii="Verdana" w:eastAsia="Times New Roman" w:hAnsi="Verdana" w:cs="Arial"/>
          <w:lang w:eastAsia="es-MX"/>
        </w:rPr>
      </w:pPr>
      <w:r w:rsidRPr="00EE2D2F">
        <w:rPr>
          <w:rFonts w:ascii="Verdana" w:eastAsia="Times New Roman" w:hAnsi="Verdana" w:cs="Arial"/>
          <w:lang w:eastAsia="es-MX"/>
        </w:rPr>
        <w:t xml:space="preserve">De otro lado, te contamos que esta Agencia ha da un paso decisivo en la estandarización y modernización del </w:t>
      </w:r>
      <w:r w:rsidRPr="00EE2D2F">
        <w:rPr>
          <w:rFonts w:ascii="Verdana" w:eastAsia="Times New Roman" w:hAnsi="Verdana" w:cs="Arial"/>
          <w:b/>
          <w:bCs/>
          <w:lang w:eastAsia="es-MX"/>
        </w:rPr>
        <w:t>sector  social</w:t>
      </w:r>
      <w:r w:rsidRPr="00EE2D2F">
        <w:rPr>
          <w:rFonts w:ascii="Verdana" w:eastAsia="Times New Roman" w:hAnsi="Verdana" w:cs="Arial"/>
          <w:lang w:eastAsia="es-MX"/>
        </w:rPr>
        <w:t xml:space="preserve"> con la expedición de las </w:t>
      </w:r>
      <w:r w:rsidRPr="00EE2D2F">
        <w:rPr>
          <w:rFonts w:ascii="Verdana" w:eastAsia="Times New Roman" w:hAnsi="Verdana" w:cs="Arial"/>
          <w:b/>
          <w:bCs/>
          <w:lang w:eastAsia="es-MX"/>
        </w:rPr>
        <w:t>Resoluciones 539, 540, 541, 952 y 953 de 2025</w:t>
      </w:r>
      <w:r w:rsidRPr="00EE2D2F">
        <w:rPr>
          <w:rFonts w:ascii="Verdana" w:eastAsia="Times New Roman" w:hAnsi="Verdana" w:cs="Arial"/>
          <w:lang w:eastAsia="es-MX"/>
        </w:rPr>
        <w:t xml:space="preserve">, </w:t>
      </w:r>
      <w:r w:rsidRPr="00EE2D2F">
        <w:rPr>
          <w:rFonts w:ascii="Verdana" w:eastAsia="Times New Roman" w:hAnsi="Verdana" w:cs="Arial"/>
          <w:b/>
          <w:bCs/>
          <w:lang w:eastAsia="es-MX"/>
        </w:rPr>
        <w:t>mediante las cuales adoptó Documentos Tipo</w:t>
      </w:r>
      <w:r w:rsidRPr="00EE2D2F">
        <w:rPr>
          <w:rFonts w:ascii="Verdana" w:eastAsia="Times New Roman" w:hAnsi="Verdana" w:cs="Arial"/>
          <w:lang w:eastAsia="es-MX"/>
        </w:rPr>
        <w:t xml:space="preserve"> para las modalidades de selección de</w:t>
      </w:r>
      <w:r w:rsidRPr="00EE2D2F">
        <w:rPr>
          <w:rFonts w:ascii="Verdana" w:eastAsia="Times New Roman" w:hAnsi="Verdana" w:cs="Arial"/>
          <w:b/>
          <w:bCs/>
          <w:lang w:eastAsia="es-MX"/>
        </w:rPr>
        <w:t xml:space="preserve"> licitación pública (versión 2), selección abreviada de menor cuantía, mínima cuantía, consultoría e interventoría</w:t>
      </w:r>
      <w:r w:rsidRPr="00EE2D2F">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EE2D2F">
          <w:rPr>
            <w:rFonts w:ascii="Verdana" w:eastAsia="Times New Roman" w:hAnsi="Verdana" w:cs="Arial"/>
            <w:color w:val="0000FF"/>
            <w:u w:val="single"/>
            <w:lang w:eastAsia="es-MX"/>
          </w:rPr>
          <w:t>https://www.colombiacompra.gov.co/normativa-y-relatoria/documentos-tipo</w:t>
        </w:r>
      </w:hyperlink>
    </w:p>
    <w:p w14:paraId="2C158071" w14:textId="77777777" w:rsidR="00EE2D2F" w:rsidRPr="00EE2D2F" w:rsidRDefault="00EE2D2F" w:rsidP="00EE2D2F">
      <w:pPr>
        <w:spacing w:after="0" w:line="276" w:lineRule="auto"/>
        <w:jc w:val="both"/>
        <w:rPr>
          <w:rFonts w:ascii="Verdana" w:eastAsia="Times New Roman" w:hAnsi="Verdana" w:cs="Arial"/>
          <w:lang w:eastAsia="es-MX"/>
        </w:rPr>
      </w:pPr>
    </w:p>
    <w:p w14:paraId="4FED29B8" w14:textId="77777777" w:rsidR="00EE2D2F" w:rsidRPr="00EE2D2F" w:rsidRDefault="00EE2D2F" w:rsidP="00EE2D2F">
      <w:pPr>
        <w:spacing w:after="0" w:line="276" w:lineRule="auto"/>
        <w:jc w:val="both"/>
        <w:rPr>
          <w:rFonts w:ascii="Verdana" w:eastAsia="Times New Roman" w:hAnsi="Verdana" w:cs="Arial"/>
          <w:lang w:eastAsia="es-MX"/>
        </w:rPr>
      </w:pPr>
      <w:r w:rsidRPr="00EE2D2F">
        <w:rPr>
          <w:rFonts w:ascii="Verdana" w:eastAsia="Times New Roman" w:hAnsi="Verdana" w:cs="Arial"/>
          <w:lang w:eastAsia="es-MX"/>
        </w:rPr>
        <w:t xml:space="preserve">Si quieres conocer más sobre la aplicación de Documentos Tipo puedes consultar la última versión de la </w:t>
      </w:r>
      <w:r w:rsidRPr="00EE2D2F">
        <w:rPr>
          <w:rFonts w:ascii="Verdana" w:eastAsia="Times New Roman" w:hAnsi="Verdana" w:cs="Arial"/>
          <w:b/>
          <w:bCs/>
          <w:lang w:eastAsia="es-MX"/>
        </w:rPr>
        <w:t>Guía para la comprensión e implementación de los Documentos Tipo de obra pública de infraestructura de transporte</w:t>
      </w:r>
      <w:r w:rsidRPr="00EE2D2F">
        <w:rPr>
          <w:rFonts w:ascii="Verdana" w:eastAsia="Times New Roman" w:hAnsi="Verdana" w:cs="Arial"/>
          <w:lang w:eastAsia="es-MX"/>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w:t>
      </w:r>
      <w:r w:rsidRPr="00EE2D2F">
        <w:rPr>
          <w:rFonts w:ascii="Verdana" w:eastAsia="Times New Roman" w:hAnsi="Verdana" w:cs="Arial"/>
          <w:lang w:eastAsia="es-MX"/>
        </w:rPr>
        <w:lastRenderedPageBreak/>
        <w:t>documentos tipo: Consulta la guía aquí:</w:t>
      </w:r>
      <w:r w:rsidRPr="00EE2D2F">
        <w:rPr>
          <w:rFonts w:ascii="Verdana" w:eastAsia="Times New Roman" w:hAnsi="Verdana" w:cs="Arial"/>
          <w:lang w:eastAsia="es-MX"/>
        </w:rPr>
        <w:br/>
      </w:r>
      <w:hyperlink r:id="rId18" w:tgtFrame="_new" w:history="1">
        <w:r w:rsidRPr="00EE2D2F">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58665A4C" w14:textId="77777777" w:rsidR="00EE2D2F" w:rsidRPr="00EE2D2F" w:rsidRDefault="00EE2D2F" w:rsidP="00EE2D2F">
      <w:pPr>
        <w:spacing w:after="0"/>
        <w:jc w:val="both"/>
        <w:rPr>
          <w:rFonts w:ascii="Verdana" w:eastAsia="Aptos" w:hAnsi="Verdana" w:cs="Times New Roman"/>
          <w:color w:val="212121"/>
          <w:lang w:eastAsia="es-MX"/>
        </w:rPr>
      </w:pPr>
    </w:p>
    <w:p w14:paraId="69A3095F" w14:textId="77777777" w:rsidR="00EE2D2F" w:rsidRPr="00EE2D2F" w:rsidRDefault="00EE2D2F" w:rsidP="00EE2D2F">
      <w:pPr>
        <w:spacing w:after="0" w:line="240" w:lineRule="auto"/>
        <w:jc w:val="both"/>
        <w:rPr>
          <w:rFonts w:ascii="Verdana" w:eastAsia="Calibri" w:hAnsi="Verdana" w:cs="Times New Roman"/>
          <w:lang w:eastAsia="es-MX"/>
        </w:rPr>
      </w:pPr>
      <w:r w:rsidRPr="00EE2D2F">
        <w:rPr>
          <w:rFonts w:ascii="Verdana" w:eastAsia="Aptos" w:hAnsi="Verdana" w:cs="Times New Roman"/>
          <w:lang w:eastAsia="es-MX"/>
        </w:rPr>
        <w:t xml:space="preserve">Por último, lo invitamos a seguirnos en las redes sociales en las cuales se difunde información institucional: </w:t>
      </w:r>
    </w:p>
    <w:p w14:paraId="2EAB73B4" w14:textId="77777777" w:rsidR="00EE2D2F" w:rsidRPr="00EE2D2F" w:rsidRDefault="00EE2D2F" w:rsidP="00EE2D2F">
      <w:pPr>
        <w:spacing w:after="0" w:line="240" w:lineRule="auto"/>
        <w:jc w:val="both"/>
        <w:rPr>
          <w:rFonts w:ascii="Verdana" w:eastAsia="Aptos" w:hAnsi="Verdana" w:cs="Times New Roman"/>
          <w:lang w:eastAsia="es-MX"/>
        </w:rPr>
      </w:pPr>
    </w:p>
    <w:p w14:paraId="02829357" w14:textId="77777777" w:rsidR="00EE2D2F" w:rsidRPr="00EE2D2F" w:rsidRDefault="00EE2D2F" w:rsidP="00EE2D2F">
      <w:pPr>
        <w:spacing w:after="0" w:line="240" w:lineRule="auto"/>
        <w:jc w:val="both"/>
        <w:rPr>
          <w:rFonts w:ascii="Verdana" w:eastAsia="Aptos" w:hAnsi="Verdana" w:cs="Times New Roman"/>
          <w:lang w:eastAsia="es-MX"/>
        </w:rPr>
      </w:pPr>
      <w:r w:rsidRPr="00EE2D2F">
        <w:rPr>
          <w:rFonts w:ascii="Verdana" w:eastAsia="Aptos" w:hAnsi="Verdana" w:cs="Times New Roman"/>
          <w:lang w:eastAsia="es-MX"/>
        </w:rPr>
        <w:t xml:space="preserve">Twitter: </w:t>
      </w:r>
      <w:r w:rsidRPr="00EE2D2F">
        <w:rPr>
          <w:rFonts w:ascii="Verdana" w:eastAsia="Calibri" w:hAnsi="Verdana" w:cs="Times New Roman"/>
          <w:color w:val="156082"/>
          <w:u w:val="single"/>
          <w:lang w:eastAsia="es-MX"/>
        </w:rPr>
        <w:t>@colombiacompra</w:t>
      </w:r>
      <w:r w:rsidRPr="00EE2D2F">
        <w:rPr>
          <w:rFonts w:ascii="Verdana" w:eastAsia="Calibri" w:hAnsi="Verdana" w:cs="Times New Roman"/>
          <w:color w:val="156082"/>
          <w:lang w:eastAsia="es-MX"/>
        </w:rPr>
        <w:t xml:space="preserve"> </w:t>
      </w:r>
    </w:p>
    <w:p w14:paraId="665B2700" w14:textId="77777777" w:rsidR="00EE2D2F" w:rsidRPr="00EE2D2F" w:rsidRDefault="00EE2D2F" w:rsidP="00EE2D2F">
      <w:pPr>
        <w:spacing w:after="0" w:line="240" w:lineRule="auto"/>
        <w:jc w:val="both"/>
        <w:rPr>
          <w:rFonts w:ascii="Verdana" w:eastAsia="Aptos" w:hAnsi="Verdana" w:cs="Times New Roman"/>
          <w:lang w:eastAsia="es-MX"/>
        </w:rPr>
      </w:pPr>
      <w:r w:rsidRPr="00EE2D2F">
        <w:rPr>
          <w:rFonts w:ascii="Verdana" w:eastAsia="Aptos" w:hAnsi="Verdana" w:cs="Times New Roman"/>
          <w:lang w:eastAsia="es-MX"/>
        </w:rPr>
        <w:t xml:space="preserve">Facebook: </w:t>
      </w:r>
      <w:proofErr w:type="spellStart"/>
      <w:r w:rsidRPr="00EE2D2F">
        <w:rPr>
          <w:rFonts w:ascii="Verdana" w:eastAsia="Calibri" w:hAnsi="Verdana" w:cs="Times New Roman"/>
          <w:color w:val="156082"/>
          <w:u w:val="single"/>
          <w:lang w:eastAsia="es-MX"/>
        </w:rPr>
        <w:t>ColombiaCompraEficiente</w:t>
      </w:r>
      <w:proofErr w:type="spellEnd"/>
    </w:p>
    <w:p w14:paraId="51F42642" w14:textId="77777777" w:rsidR="00EE2D2F" w:rsidRPr="00EE2D2F" w:rsidRDefault="00EE2D2F" w:rsidP="00EE2D2F">
      <w:pPr>
        <w:spacing w:after="0" w:line="240" w:lineRule="auto"/>
        <w:jc w:val="both"/>
        <w:rPr>
          <w:rFonts w:ascii="Verdana" w:eastAsia="Aptos" w:hAnsi="Verdana" w:cs="Times New Roman"/>
          <w:lang w:eastAsia="es-MX"/>
        </w:rPr>
      </w:pPr>
      <w:r w:rsidRPr="00EE2D2F">
        <w:rPr>
          <w:rFonts w:ascii="Verdana" w:eastAsia="Aptos" w:hAnsi="Verdana" w:cs="Times New Roman"/>
          <w:lang w:eastAsia="es-MX"/>
        </w:rPr>
        <w:t xml:space="preserve">LinkedIn: </w:t>
      </w:r>
      <w:r w:rsidRPr="00EE2D2F">
        <w:rPr>
          <w:rFonts w:ascii="Verdana" w:eastAsia="Calibri" w:hAnsi="Verdana" w:cs="Times New Roman"/>
          <w:color w:val="156082"/>
          <w:u w:val="single"/>
          <w:lang w:eastAsia="es-MX"/>
        </w:rPr>
        <w:t>Agencia Nacional de Contratación Pública - Colombia Compra Eficiente</w:t>
      </w:r>
      <w:r w:rsidRPr="00EE2D2F">
        <w:rPr>
          <w:rFonts w:ascii="Verdana" w:eastAsia="Calibri" w:hAnsi="Verdana" w:cs="Times New Roman"/>
          <w:color w:val="156082"/>
          <w:lang w:eastAsia="es-MX"/>
        </w:rPr>
        <w:t xml:space="preserve"> </w:t>
      </w:r>
      <w:r w:rsidRPr="00EE2D2F">
        <w:rPr>
          <w:rFonts w:ascii="Verdana" w:eastAsia="Aptos" w:hAnsi="Verdana" w:cs="Times New Roman"/>
          <w:lang w:eastAsia="es-MX"/>
        </w:rPr>
        <w:t xml:space="preserve">Instagram: </w:t>
      </w:r>
      <w:r w:rsidRPr="00EE2D2F">
        <w:rPr>
          <w:rFonts w:ascii="Verdana" w:eastAsia="Calibri" w:hAnsi="Verdana" w:cs="Times New Roman"/>
          <w:color w:val="156082"/>
          <w:u w:val="single"/>
          <w:lang w:eastAsia="es-MX"/>
        </w:rPr>
        <w:t>@colombiacompraeficiente_cce</w:t>
      </w:r>
    </w:p>
    <w:p w14:paraId="1E6C9B1A" w14:textId="77777777" w:rsidR="00EE2D2F" w:rsidRPr="00EE2D2F" w:rsidRDefault="00EE2D2F" w:rsidP="00EE2D2F">
      <w:pPr>
        <w:spacing w:after="0" w:line="276" w:lineRule="auto"/>
        <w:jc w:val="both"/>
        <w:rPr>
          <w:rFonts w:ascii="Verdana" w:eastAsia="Aptos" w:hAnsi="Verdana" w:cs="Times New Roman"/>
          <w:lang w:eastAsia="es-MX"/>
        </w:rPr>
      </w:pPr>
    </w:p>
    <w:p w14:paraId="47870837" w14:textId="77777777" w:rsidR="00EE2D2F" w:rsidRPr="00EE2D2F" w:rsidRDefault="00EE2D2F" w:rsidP="00EE2D2F">
      <w:pPr>
        <w:spacing w:after="0" w:line="276" w:lineRule="auto"/>
        <w:jc w:val="both"/>
        <w:rPr>
          <w:rFonts w:ascii="Verdana" w:eastAsia="Calibri" w:hAnsi="Verdana" w:cs="Times New Roman"/>
          <w:bCs/>
          <w:lang w:val="es-ES_tradnl" w:eastAsia="es-MX"/>
        </w:rPr>
      </w:pPr>
      <w:r w:rsidRPr="00EE2D2F">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25302AB" w14:textId="77777777" w:rsidR="00EE2D2F" w:rsidRPr="00EE2D2F" w:rsidRDefault="00EE2D2F" w:rsidP="00EE2D2F">
      <w:pPr>
        <w:spacing w:after="0" w:line="276" w:lineRule="auto"/>
        <w:jc w:val="both"/>
        <w:rPr>
          <w:rFonts w:ascii="Verdana" w:eastAsia="Calibri" w:hAnsi="Verdana" w:cs="Times New Roman"/>
          <w:lang w:eastAsia="es-MX"/>
        </w:rPr>
      </w:pPr>
    </w:p>
    <w:p w14:paraId="659A280B" w14:textId="77777777" w:rsidR="00EE2D2F" w:rsidRPr="00EE2D2F" w:rsidRDefault="00EE2D2F" w:rsidP="00EE2D2F">
      <w:pPr>
        <w:spacing w:after="0" w:line="276" w:lineRule="auto"/>
        <w:jc w:val="both"/>
        <w:rPr>
          <w:rFonts w:ascii="Verdana" w:eastAsia="Calibri" w:hAnsi="Verdana" w:cs="Times New Roman"/>
          <w:lang w:eastAsia="es-MX"/>
        </w:rPr>
      </w:pPr>
      <w:r w:rsidRPr="00EE2D2F">
        <w:rPr>
          <w:rFonts w:ascii="Verdana" w:eastAsia="Calibri" w:hAnsi="Verdana" w:cs="Times New Roman"/>
          <w:lang w:eastAsia="es-MX"/>
        </w:rPr>
        <w:t>Atentamente,</w:t>
      </w:r>
    </w:p>
    <w:p w14:paraId="1A249F2B" w14:textId="77777777" w:rsidR="00EE2D2F" w:rsidRPr="00EE2D2F" w:rsidRDefault="00EE2D2F" w:rsidP="008B0707">
      <w:pPr>
        <w:tabs>
          <w:tab w:val="left" w:pos="1320"/>
        </w:tabs>
        <w:spacing w:after="0"/>
        <w:rPr>
          <w:rFonts w:ascii="Verdana" w:eastAsia="Calibri" w:hAnsi="Verdana" w:cs="Times New Roman"/>
          <w:lang w:eastAsia="es-MX"/>
        </w:rPr>
      </w:pPr>
    </w:p>
    <w:p w14:paraId="09FAF0DE" w14:textId="6DB9258F" w:rsidR="00EE2D2F" w:rsidRPr="00EE2D2F" w:rsidRDefault="008B0707" w:rsidP="00EE2D2F">
      <w:pPr>
        <w:tabs>
          <w:tab w:val="left" w:pos="1320"/>
        </w:tabs>
        <w:spacing w:after="0"/>
        <w:jc w:val="center"/>
        <w:rPr>
          <w:rFonts w:ascii="Verdana" w:eastAsia="Calibri" w:hAnsi="Verdana" w:cs="Times New Roman"/>
          <w:lang w:eastAsia="es-MX"/>
        </w:rPr>
      </w:pPr>
      <w:r w:rsidRPr="004D5C25">
        <w:rPr>
          <w:rFonts w:ascii="Century Gothic" w:hAnsi="Century Gothic"/>
          <w:noProof/>
        </w:rPr>
        <w:drawing>
          <wp:inline distT="0" distB="0" distL="0" distR="0" wp14:anchorId="72E2C3BA" wp14:editId="7C05ADEB">
            <wp:extent cx="2629225" cy="1128741"/>
            <wp:effectExtent l="0" t="0" r="0" b="190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9"/>
                    <a:stretch>
                      <a:fillRect/>
                    </a:stretch>
                  </pic:blipFill>
                  <pic:spPr>
                    <a:xfrm>
                      <a:off x="0" y="0"/>
                      <a:ext cx="2696757" cy="1157733"/>
                    </a:xfrm>
                    <a:prstGeom prst="rect">
                      <a:avLst/>
                    </a:prstGeom>
                  </pic:spPr>
                </pic:pic>
              </a:graphicData>
            </a:graphic>
          </wp:inline>
        </w:drawing>
      </w:r>
    </w:p>
    <w:p w14:paraId="7AF7299F" w14:textId="77777777" w:rsidR="00EE2D2F" w:rsidRPr="00EE2D2F" w:rsidRDefault="00EE2D2F" w:rsidP="00EE2D2F">
      <w:pPr>
        <w:tabs>
          <w:tab w:val="left" w:pos="1320"/>
        </w:tabs>
        <w:spacing w:after="0"/>
        <w:jc w:val="center"/>
        <w:rPr>
          <w:rFonts w:ascii="Verdana" w:eastAsia="Calibri" w:hAnsi="Verdana"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EE2D2F" w:rsidRPr="00EE2D2F" w14:paraId="31A73EA6" w14:textId="77777777" w:rsidTr="00C80FF3">
        <w:trPr>
          <w:trHeight w:val="323"/>
        </w:trPr>
        <w:tc>
          <w:tcPr>
            <w:tcW w:w="1041" w:type="dxa"/>
            <w:vAlign w:val="center"/>
            <w:hideMark/>
          </w:tcPr>
          <w:p w14:paraId="7704A2B5" w14:textId="77777777" w:rsidR="00EE2D2F" w:rsidRPr="00EE2D2F" w:rsidRDefault="00EE2D2F" w:rsidP="00EE2D2F">
            <w:pPr>
              <w:rPr>
                <w:rFonts w:ascii="Verdana" w:eastAsia="Calibri" w:hAnsi="Verdana" w:cs="Arial"/>
                <w:sz w:val="16"/>
                <w:szCs w:val="16"/>
                <w:lang w:val="es-ES_tradnl" w:eastAsia="es-ES"/>
              </w:rPr>
            </w:pPr>
            <w:r w:rsidRPr="00EE2D2F">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07E2F3D1" w14:textId="77777777" w:rsidR="00EE2D2F" w:rsidRPr="00EE2D2F" w:rsidRDefault="00EE2D2F" w:rsidP="00EE2D2F">
            <w:pPr>
              <w:rPr>
                <w:rFonts w:ascii="Verdana" w:eastAsia="Arial" w:hAnsi="Verdana" w:cs="Arial"/>
                <w:sz w:val="16"/>
                <w:szCs w:val="16"/>
                <w:lang w:val="es-ES" w:eastAsia="es-MX"/>
              </w:rPr>
            </w:pPr>
            <w:r w:rsidRPr="00EE2D2F">
              <w:rPr>
                <w:rFonts w:ascii="Verdana" w:eastAsia="Arial" w:hAnsi="Verdana" w:cs="Arial"/>
                <w:sz w:val="16"/>
                <w:szCs w:val="16"/>
                <w:lang w:val="es-ES" w:eastAsia="es-MX"/>
              </w:rPr>
              <w:t xml:space="preserve">Carlos Mario Castrillón Endo </w:t>
            </w:r>
          </w:p>
          <w:p w14:paraId="28B0485B" w14:textId="77777777" w:rsidR="00EE2D2F" w:rsidRPr="00EE2D2F" w:rsidRDefault="00EE2D2F" w:rsidP="00EE2D2F">
            <w:pPr>
              <w:rPr>
                <w:rFonts w:ascii="Verdana" w:eastAsia="Arial" w:hAnsi="Verdana" w:cs="Arial"/>
                <w:sz w:val="16"/>
                <w:szCs w:val="16"/>
                <w:lang w:val="es-ES_tradnl" w:eastAsia="es-MX"/>
              </w:rPr>
            </w:pPr>
            <w:r w:rsidRPr="00EE2D2F">
              <w:rPr>
                <w:rFonts w:ascii="Verdana" w:eastAsia="Arial" w:hAnsi="Verdana" w:cs="Arial"/>
                <w:sz w:val="16"/>
                <w:szCs w:val="16"/>
                <w:lang w:val="es-ES_tradnl" w:eastAsia="es-MX"/>
              </w:rPr>
              <w:t>Contratista de la Subdirección de Gestión Contractual</w:t>
            </w:r>
          </w:p>
          <w:p w14:paraId="0DD4A414" w14:textId="77777777" w:rsidR="00EE2D2F" w:rsidRPr="00EE2D2F" w:rsidRDefault="00EE2D2F" w:rsidP="00EE2D2F">
            <w:pPr>
              <w:rPr>
                <w:rFonts w:ascii="Verdana" w:eastAsia="Arial" w:hAnsi="Verdana" w:cs="Arial"/>
                <w:sz w:val="16"/>
                <w:szCs w:val="16"/>
                <w:lang w:val="es-ES_tradnl" w:eastAsia="es-MX"/>
              </w:rPr>
            </w:pPr>
          </w:p>
        </w:tc>
      </w:tr>
      <w:tr w:rsidR="00EE2D2F" w:rsidRPr="00EE2D2F" w14:paraId="2DE49053" w14:textId="77777777" w:rsidTr="00C80FF3">
        <w:trPr>
          <w:trHeight w:val="338"/>
        </w:trPr>
        <w:tc>
          <w:tcPr>
            <w:tcW w:w="1041" w:type="dxa"/>
            <w:vAlign w:val="center"/>
            <w:hideMark/>
          </w:tcPr>
          <w:p w14:paraId="781B46A9" w14:textId="77777777" w:rsidR="00EE2D2F" w:rsidRPr="00EE2D2F" w:rsidRDefault="00EE2D2F" w:rsidP="00EE2D2F">
            <w:pPr>
              <w:rPr>
                <w:rFonts w:ascii="Verdana" w:eastAsia="Calibri" w:hAnsi="Verdana" w:cs="Arial"/>
                <w:sz w:val="16"/>
                <w:szCs w:val="16"/>
                <w:lang w:val="es-ES_tradnl" w:eastAsia="es-ES"/>
              </w:rPr>
            </w:pPr>
            <w:r w:rsidRPr="00EE2D2F">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4972B1DD" w14:textId="77777777" w:rsidR="00EE2D2F" w:rsidRPr="00EE2D2F" w:rsidRDefault="00EE2D2F" w:rsidP="00EE2D2F">
            <w:pPr>
              <w:rPr>
                <w:rFonts w:ascii="Verdana" w:eastAsia="Arial" w:hAnsi="Verdana" w:cs="Arial"/>
                <w:sz w:val="16"/>
                <w:szCs w:val="16"/>
                <w:lang w:val="es-ES" w:eastAsia="es-MX"/>
              </w:rPr>
            </w:pPr>
            <w:r w:rsidRPr="00EE2D2F">
              <w:rPr>
                <w:rFonts w:ascii="Verdana" w:eastAsia="Arial" w:hAnsi="Verdana" w:cs="Arial"/>
                <w:sz w:val="16"/>
                <w:szCs w:val="16"/>
                <w:lang w:val="es-ES" w:eastAsia="es-MX"/>
              </w:rPr>
              <w:t xml:space="preserve">Lida Milena </w:t>
            </w:r>
            <w:proofErr w:type="spellStart"/>
            <w:r w:rsidRPr="00EE2D2F">
              <w:rPr>
                <w:rFonts w:ascii="Verdana" w:eastAsia="Arial" w:hAnsi="Verdana" w:cs="Arial"/>
                <w:sz w:val="16"/>
                <w:szCs w:val="16"/>
                <w:lang w:val="es-ES" w:eastAsia="es-MX"/>
              </w:rPr>
              <w:t>Guanumen</w:t>
            </w:r>
            <w:proofErr w:type="spellEnd"/>
            <w:r w:rsidRPr="00EE2D2F">
              <w:rPr>
                <w:rFonts w:ascii="Verdana" w:eastAsia="Arial" w:hAnsi="Verdana" w:cs="Arial"/>
                <w:sz w:val="16"/>
                <w:szCs w:val="16"/>
                <w:lang w:val="es-ES" w:eastAsia="es-MX"/>
              </w:rPr>
              <w:t xml:space="preserve"> Pacheco</w:t>
            </w:r>
          </w:p>
          <w:p w14:paraId="501E377D" w14:textId="77777777" w:rsidR="00EE2D2F" w:rsidRPr="00EE2D2F" w:rsidRDefault="00EE2D2F" w:rsidP="00EE2D2F">
            <w:pPr>
              <w:rPr>
                <w:rFonts w:ascii="Verdana" w:eastAsia="Arial" w:hAnsi="Verdana" w:cs="Arial"/>
                <w:sz w:val="16"/>
                <w:szCs w:val="16"/>
                <w:lang w:val="es-ES_tradnl" w:eastAsia="es-MX"/>
              </w:rPr>
            </w:pPr>
            <w:r w:rsidRPr="00EE2D2F">
              <w:rPr>
                <w:rFonts w:ascii="Verdana" w:eastAsia="Arial" w:hAnsi="Verdana" w:cs="Arial"/>
                <w:sz w:val="16"/>
                <w:szCs w:val="16"/>
                <w:lang w:val="es-ES_tradnl" w:eastAsia="es-MX"/>
              </w:rPr>
              <w:t>Contratista de la Subdirección de Gestión Contractual</w:t>
            </w:r>
          </w:p>
          <w:p w14:paraId="324385D6" w14:textId="77777777" w:rsidR="00EE2D2F" w:rsidRPr="00EE2D2F" w:rsidRDefault="00EE2D2F" w:rsidP="00EE2D2F">
            <w:pPr>
              <w:rPr>
                <w:rFonts w:ascii="Verdana" w:eastAsia="Arial" w:hAnsi="Verdana" w:cs="Arial"/>
                <w:sz w:val="16"/>
                <w:szCs w:val="16"/>
                <w:lang w:val="es-ES_tradnl" w:eastAsia="es-MX"/>
              </w:rPr>
            </w:pPr>
            <w:r w:rsidRPr="00EE2D2F">
              <w:rPr>
                <w:rFonts w:ascii="Verdana" w:eastAsia="Arial" w:hAnsi="Verdana" w:cs="Arial"/>
                <w:sz w:val="16"/>
                <w:szCs w:val="16"/>
                <w:lang w:val="es-ES_tradnl" w:eastAsia="es-MX"/>
              </w:rPr>
              <w:t xml:space="preserve">Adriana Katherine López Rodríguez </w:t>
            </w:r>
          </w:p>
          <w:p w14:paraId="63722AE5" w14:textId="77777777" w:rsidR="00EE2D2F" w:rsidRPr="00EE2D2F" w:rsidRDefault="00EE2D2F" w:rsidP="00EE2D2F">
            <w:pPr>
              <w:rPr>
                <w:rFonts w:ascii="Verdana" w:eastAsia="Arial" w:hAnsi="Verdana" w:cs="Arial"/>
                <w:sz w:val="16"/>
                <w:szCs w:val="16"/>
                <w:lang w:val="es-ES_tradnl" w:eastAsia="es-MX"/>
              </w:rPr>
            </w:pPr>
            <w:r w:rsidRPr="00EE2D2F">
              <w:rPr>
                <w:rFonts w:ascii="Verdana" w:eastAsia="Arial" w:hAnsi="Verdana" w:cs="Arial"/>
                <w:sz w:val="16"/>
                <w:szCs w:val="16"/>
                <w:lang w:val="es-ES_tradnl" w:eastAsia="es-MX"/>
              </w:rPr>
              <w:t>Contratista de la Subdirección de Gestión Contractual</w:t>
            </w:r>
          </w:p>
        </w:tc>
      </w:tr>
      <w:tr w:rsidR="00EE2D2F" w:rsidRPr="00EE2D2F" w14:paraId="169BC907" w14:textId="77777777" w:rsidTr="00C80FF3">
        <w:trPr>
          <w:trHeight w:val="308"/>
        </w:trPr>
        <w:tc>
          <w:tcPr>
            <w:tcW w:w="1041" w:type="dxa"/>
            <w:vAlign w:val="center"/>
          </w:tcPr>
          <w:p w14:paraId="348180AB" w14:textId="77777777" w:rsidR="00EE2D2F" w:rsidRPr="00EE2D2F" w:rsidRDefault="00EE2D2F" w:rsidP="00EE2D2F">
            <w:pPr>
              <w:rPr>
                <w:rFonts w:ascii="Verdana" w:eastAsia="Calibri" w:hAnsi="Verdana" w:cs="Arial"/>
                <w:sz w:val="16"/>
                <w:szCs w:val="16"/>
                <w:lang w:val="es-ES_tradnl" w:eastAsia="es-ES"/>
              </w:rPr>
            </w:pPr>
            <w:r w:rsidRPr="00EE2D2F">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6731E2A8" w14:textId="77777777" w:rsidR="00EE2D2F" w:rsidRPr="00EE2D2F" w:rsidRDefault="00EE2D2F" w:rsidP="00EE2D2F">
            <w:pPr>
              <w:rPr>
                <w:rFonts w:ascii="Verdana" w:eastAsia="Calibri" w:hAnsi="Verdana" w:cs="Arial"/>
                <w:sz w:val="16"/>
                <w:szCs w:val="16"/>
                <w:lang w:val="es-ES" w:eastAsia="es-ES"/>
              </w:rPr>
            </w:pPr>
            <w:r w:rsidRPr="00EE2D2F">
              <w:rPr>
                <w:rFonts w:ascii="Verdana" w:eastAsia="Calibri" w:hAnsi="Verdana" w:cs="Arial"/>
                <w:sz w:val="16"/>
                <w:szCs w:val="16"/>
                <w:lang w:val="es-ES" w:eastAsia="es-ES"/>
              </w:rPr>
              <w:t>Carolina Quintero Gacharná</w:t>
            </w:r>
          </w:p>
          <w:p w14:paraId="7FD12C41" w14:textId="77777777" w:rsidR="00EE2D2F" w:rsidRPr="00EE2D2F" w:rsidRDefault="00EE2D2F" w:rsidP="00EE2D2F">
            <w:pPr>
              <w:rPr>
                <w:rFonts w:ascii="Verdana" w:eastAsia="Calibri" w:hAnsi="Verdana" w:cs="Arial"/>
                <w:sz w:val="16"/>
                <w:szCs w:val="16"/>
                <w:lang w:val="es-ES_tradnl" w:eastAsia="es-ES"/>
              </w:rPr>
            </w:pPr>
            <w:r w:rsidRPr="00EE2D2F">
              <w:rPr>
                <w:rFonts w:ascii="Verdana" w:eastAsia="Calibri" w:hAnsi="Verdana" w:cs="Arial"/>
                <w:sz w:val="16"/>
                <w:szCs w:val="16"/>
                <w:lang w:val="es-ES_tradnl" w:eastAsia="es-ES"/>
              </w:rPr>
              <w:t>Subdirectora de Gestión Contractual ANCP – CCE</w:t>
            </w:r>
          </w:p>
        </w:tc>
      </w:tr>
    </w:tbl>
    <w:p w14:paraId="717BDE57" w14:textId="77777777" w:rsidR="00EE2D2F" w:rsidRPr="00EE2D2F" w:rsidRDefault="00EE2D2F" w:rsidP="00EE2D2F">
      <w:pPr>
        <w:spacing w:after="0" w:line="240" w:lineRule="auto"/>
        <w:jc w:val="both"/>
        <w:textAlignment w:val="baseline"/>
        <w:rPr>
          <w:rFonts w:ascii="Verdana" w:eastAsia="Verdana" w:hAnsi="Verdana" w:cs="Verdana"/>
          <w:lang w:eastAsia="es-CO"/>
        </w:rPr>
      </w:pPr>
    </w:p>
    <w:p w14:paraId="380DB6C7" w14:textId="69CD4BC4" w:rsidR="00EE2D2F" w:rsidRPr="00EE2D2F" w:rsidRDefault="00EE2D2F" w:rsidP="00EE2D2F">
      <w:pPr>
        <w:spacing w:after="0" w:line="240" w:lineRule="auto"/>
        <w:textAlignment w:val="baseline"/>
        <w:rPr>
          <w:rFonts w:ascii="Verdana" w:eastAsia="Verdana" w:hAnsi="Verdana" w:cs="Verdana"/>
          <w:lang w:eastAsia="es-CO"/>
        </w:rPr>
      </w:pPr>
      <w:r w:rsidRPr="00EE2D2F">
        <w:rPr>
          <w:rFonts w:ascii="Verdana" w:eastAsia="Verdana" w:hAnsi="Verdana" w:cs="Verdana"/>
          <w:lang w:eastAsia="es-CO"/>
        </w:rPr>
        <w:t> </w:t>
      </w:r>
    </w:p>
    <w:bookmarkEnd w:id="0"/>
    <w:p w14:paraId="0F293BF4" w14:textId="1B650016" w:rsidR="00127233" w:rsidRPr="00EE2D2F" w:rsidRDefault="00127233" w:rsidP="00EE2D2F"/>
    <w:sectPr w:rsidR="00127233" w:rsidRPr="00EE2D2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1EB46" w14:textId="77777777" w:rsidR="00CC380A" w:rsidRDefault="00CC380A" w:rsidP="004A1847">
      <w:pPr>
        <w:spacing w:after="0" w:line="240" w:lineRule="auto"/>
      </w:pPr>
      <w:r>
        <w:separator/>
      </w:r>
    </w:p>
  </w:endnote>
  <w:endnote w:type="continuationSeparator" w:id="0">
    <w:p w14:paraId="47973509" w14:textId="77777777" w:rsidR="00CC380A" w:rsidRDefault="00CC380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EE2D2F">
      <w:rPr>
        <w:rFonts w:ascii="Verdana" w:eastAsia="Verdana" w:hAnsi="Verdana" w:cs="Verdana"/>
        <w:b/>
        <w:bCs/>
        <w:color w:val="000000"/>
        <w:sz w:val="18"/>
        <w:szCs w:val="18"/>
        <w:lang w:eastAsia="es-CO"/>
      </w:rPr>
      <w:t xml:space="preserve">Código: </w:t>
    </w:r>
    <w:r w:rsidRPr="00EE2D2F">
      <w:rPr>
        <w:rFonts w:ascii="Verdana" w:eastAsia="Verdana" w:hAnsi="Verdana" w:cs="Verdana"/>
        <w:color w:val="000000"/>
        <w:sz w:val="18"/>
        <w:szCs w:val="18"/>
        <w:lang w:eastAsia="es-CO"/>
      </w:rPr>
      <w:t xml:space="preserve">CCE-REC-FM-17 </w:t>
    </w:r>
    <w:r w:rsidRPr="00EE2D2F">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6DC34" w14:textId="77777777" w:rsidR="00CC380A" w:rsidRDefault="00CC380A" w:rsidP="004A1847">
      <w:pPr>
        <w:spacing w:after="0" w:line="240" w:lineRule="auto"/>
      </w:pPr>
      <w:r>
        <w:separator/>
      </w:r>
    </w:p>
  </w:footnote>
  <w:footnote w:type="continuationSeparator" w:id="0">
    <w:p w14:paraId="43027974" w14:textId="77777777" w:rsidR="00CC380A" w:rsidRDefault="00CC380A" w:rsidP="004A1847">
      <w:pPr>
        <w:spacing w:after="0" w:line="240" w:lineRule="auto"/>
      </w:pPr>
      <w:r>
        <w:continuationSeparator/>
      </w:r>
    </w:p>
  </w:footnote>
  <w:footnote w:id="1">
    <w:p w14:paraId="467DD9FD" w14:textId="77777777" w:rsidR="00EE2D2F" w:rsidRPr="00EA7933" w:rsidRDefault="00EE2D2F" w:rsidP="00EE2D2F">
      <w:pPr>
        <w:pStyle w:val="Textonotapie"/>
        <w:ind w:firstLine="708"/>
        <w:jc w:val="both"/>
        <w:rPr>
          <w:rFonts w:ascii="Verdana" w:hAnsi="Verdana" w:cs="Arial"/>
          <w:sz w:val="18"/>
          <w:szCs w:val="18"/>
        </w:rPr>
      </w:pPr>
      <w:r w:rsidRPr="00EA7933">
        <w:rPr>
          <w:rStyle w:val="Refdenotaalpie"/>
          <w:rFonts w:ascii="Verdana" w:hAnsi="Verdana"/>
          <w:sz w:val="18"/>
          <w:szCs w:val="18"/>
        </w:rPr>
        <w:footnoteRef/>
      </w:r>
      <w:r w:rsidRPr="00EA7933">
        <w:rPr>
          <w:rFonts w:ascii="Verdana" w:hAnsi="Verdana"/>
          <w:sz w:val="18"/>
          <w:szCs w:val="18"/>
        </w:rPr>
        <w:t xml:space="preserve"> </w:t>
      </w:r>
      <w:r w:rsidRPr="00EA7933">
        <w:rPr>
          <w:rFonts w:ascii="Verdana" w:hAnsi="Verdana" w:cs="Arial"/>
          <w:sz w:val="18"/>
          <w:szCs w:val="18"/>
        </w:rPr>
        <w:t>PODETTI, Humberto. El contrato de construcción. Buenos Aires: Astrea, 2004. Pp. 254-255.</w:t>
      </w:r>
    </w:p>
    <w:p w14:paraId="65208C3C" w14:textId="77777777" w:rsidR="00EE2D2F" w:rsidRPr="00EA7933" w:rsidRDefault="00EE2D2F" w:rsidP="00EE2D2F">
      <w:pPr>
        <w:pStyle w:val="Textonotapie"/>
        <w:ind w:firstLine="708"/>
        <w:jc w:val="both"/>
        <w:rPr>
          <w:rFonts w:ascii="Verdana" w:hAnsi="Verdana"/>
          <w:sz w:val="18"/>
          <w:szCs w:val="18"/>
          <w:lang w:val="es-ES_tradnl"/>
        </w:rPr>
      </w:pPr>
    </w:p>
  </w:footnote>
  <w:footnote w:id="2">
    <w:p w14:paraId="2CB0C505" w14:textId="77777777" w:rsidR="00EE2D2F" w:rsidRPr="00EA7933" w:rsidRDefault="00EE2D2F" w:rsidP="00EE2D2F">
      <w:pPr>
        <w:pStyle w:val="Textonotapie"/>
        <w:ind w:firstLine="708"/>
        <w:jc w:val="both"/>
        <w:rPr>
          <w:rFonts w:ascii="Verdana" w:hAnsi="Verdana" w:cs="Arial"/>
          <w:sz w:val="18"/>
          <w:szCs w:val="18"/>
        </w:rPr>
      </w:pPr>
      <w:r w:rsidRPr="00EA7933">
        <w:rPr>
          <w:rStyle w:val="Refdenotaalpie"/>
          <w:rFonts w:ascii="Verdana" w:hAnsi="Verdana"/>
          <w:sz w:val="18"/>
          <w:szCs w:val="18"/>
        </w:rPr>
        <w:footnoteRef/>
      </w:r>
      <w:r w:rsidRPr="00EA7933">
        <w:rPr>
          <w:rFonts w:ascii="Verdana" w:hAnsi="Verdana"/>
          <w:sz w:val="18"/>
          <w:szCs w:val="18"/>
        </w:rPr>
        <w:t xml:space="preserve"> </w:t>
      </w:r>
      <w:r w:rsidRPr="00EA7933">
        <w:rPr>
          <w:rFonts w:ascii="Verdana" w:hAnsi="Verdana" w:cs="Arial"/>
          <w:sz w:val="18"/>
          <w:szCs w:val="18"/>
        </w:rPr>
        <w:t xml:space="preserve">PLANIOL, Marcel &amp; RIPERT, Jeorge. Tratado práctico de derecho civil francés. Tomo XI. La Habana: Cultural SA, 1940. p. 163. </w:t>
      </w:r>
    </w:p>
    <w:p w14:paraId="148327E3" w14:textId="77777777" w:rsidR="00EE2D2F" w:rsidRPr="00EA7933" w:rsidRDefault="00EE2D2F" w:rsidP="00EE2D2F">
      <w:pPr>
        <w:pStyle w:val="Textonotapie"/>
        <w:jc w:val="both"/>
        <w:rPr>
          <w:rFonts w:ascii="Verdana" w:hAnsi="Verdana"/>
          <w:sz w:val="18"/>
          <w:szCs w:val="18"/>
          <w:lang w:val="es-ES_tradnl"/>
        </w:rPr>
      </w:pPr>
    </w:p>
  </w:footnote>
  <w:footnote w:id="3">
    <w:p w14:paraId="069DE57E" w14:textId="77777777" w:rsidR="00EE2D2F" w:rsidRPr="00EA7933" w:rsidRDefault="00EE2D2F" w:rsidP="00EE2D2F">
      <w:pPr>
        <w:pStyle w:val="Textonotapie"/>
        <w:ind w:firstLine="708"/>
        <w:jc w:val="both"/>
        <w:rPr>
          <w:rFonts w:ascii="Verdana" w:hAnsi="Verdana"/>
          <w:sz w:val="18"/>
          <w:szCs w:val="18"/>
        </w:rPr>
      </w:pPr>
      <w:r w:rsidRPr="00EA7933">
        <w:rPr>
          <w:rStyle w:val="Refdenotaalpie"/>
          <w:rFonts w:ascii="Verdana" w:hAnsi="Verdana"/>
          <w:sz w:val="18"/>
          <w:szCs w:val="18"/>
        </w:rPr>
        <w:footnoteRef/>
      </w:r>
      <w:r w:rsidRPr="00EA7933">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7279C4D3" w14:textId="77777777" w:rsidR="00EE2D2F" w:rsidRPr="00EA7933" w:rsidRDefault="00EE2D2F" w:rsidP="00EE2D2F">
      <w:pPr>
        <w:pStyle w:val="Textonotapie"/>
        <w:ind w:firstLine="708"/>
        <w:jc w:val="both"/>
        <w:rPr>
          <w:rFonts w:ascii="Verdana" w:hAnsi="Verdana"/>
          <w:sz w:val="18"/>
          <w:szCs w:val="18"/>
        </w:rPr>
      </w:pPr>
    </w:p>
    <w:p w14:paraId="4480B961" w14:textId="77777777" w:rsidR="00EE2D2F" w:rsidRPr="00EA7933" w:rsidRDefault="00EE2D2F" w:rsidP="00EE2D2F">
      <w:pPr>
        <w:pStyle w:val="Textonotapie"/>
        <w:ind w:firstLine="708"/>
        <w:jc w:val="both"/>
        <w:rPr>
          <w:rFonts w:ascii="Verdana" w:hAnsi="Verdana"/>
          <w:sz w:val="18"/>
          <w:szCs w:val="18"/>
        </w:rPr>
      </w:pPr>
      <w:r w:rsidRPr="00EA7933">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19549947" w14:textId="77777777" w:rsidR="00EE2D2F" w:rsidRPr="00EA7933" w:rsidRDefault="00EE2D2F" w:rsidP="00EE2D2F">
      <w:pPr>
        <w:pStyle w:val="Textonotapie"/>
        <w:ind w:firstLine="708"/>
        <w:jc w:val="both"/>
        <w:rPr>
          <w:rFonts w:ascii="Verdana" w:hAnsi="Verdana"/>
          <w:sz w:val="18"/>
          <w:szCs w:val="18"/>
        </w:rPr>
      </w:pPr>
    </w:p>
    <w:p w14:paraId="5D8906DE" w14:textId="77777777" w:rsidR="00EE2D2F" w:rsidRPr="00EA7933" w:rsidRDefault="00EE2D2F" w:rsidP="00EE2D2F">
      <w:pPr>
        <w:pStyle w:val="Textonotapie"/>
        <w:ind w:firstLine="708"/>
        <w:jc w:val="both"/>
        <w:rPr>
          <w:rFonts w:ascii="Verdana" w:hAnsi="Verdana"/>
          <w:sz w:val="18"/>
          <w:szCs w:val="18"/>
        </w:rPr>
      </w:pPr>
      <w:r w:rsidRPr="00EA7933">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6CD956D3" w14:textId="77777777" w:rsidR="00EE2D2F" w:rsidRPr="00EA7933" w:rsidRDefault="00EE2D2F" w:rsidP="00EE2D2F">
      <w:pPr>
        <w:pStyle w:val="Textonotapie"/>
        <w:ind w:firstLine="708"/>
        <w:jc w:val="both"/>
        <w:rPr>
          <w:rFonts w:ascii="Verdana" w:hAnsi="Verdana"/>
          <w:sz w:val="18"/>
          <w:szCs w:val="18"/>
        </w:rPr>
      </w:pPr>
    </w:p>
    <w:p w14:paraId="68E4D73C" w14:textId="77777777" w:rsidR="00EE2D2F" w:rsidRPr="00EA7933" w:rsidRDefault="00EE2D2F" w:rsidP="00EE2D2F">
      <w:pPr>
        <w:pStyle w:val="Textonotapie"/>
        <w:ind w:firstLine="708"/>
        <w:jc w:val="both"/>
        <w:rPr>
          <w:rFonts w:ascii="Verdana" w:hAnsi="Verdana"/>
          <w:sz w:val="18"/>
          <w:szCs w:val="18"/>
        </w:rPr>
      </w:pPr>
      <w:r w:rsidRPr="00EA7933">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2E21F8EE" w14:textId="77777777" w:rsidR="00EE2D2F" w:rsidRPr="00EA7933" w:rsidRDefault="00EE2D2F" w:rsidP="00EE2D2F">
      <w:pPr>
        <w:pStyle w:val="Textonotapie"/>
        <w:ind w:firstLine="708"/>
        <w:jc w:val="both"/>
        <w:rPr>
          <w:rFonts w:ascii="Verdana" w:hAnsi="Verdana"/>
          <w:sz w:val="18"/>
          <w:szCs w:val="18"/>
        </w:rPr>
      </w:pPr>
    </w:p>
    <w:p w14:paraId="68579E05" w14:textId="77777777" w:rsidR="00EE2D2F" w:rsidRPr="00EA7933" w:rsidRDefault="00EE2D2F" w:rsidP="00EE2D2F">
      <w:pPr>
        <w:pStyle w:val="Textonotapie"/>
        <w:ind w:firstLine="708"/>
        <w:jc w:val="both"/>
        <w:rPr>
          <w:rFonts w:ascii="Verdana" w:hAnsi="Verdana"/>
          <w:sz w:val="18"/>
          <w:szCs w:val="18"/>
        </w:rPr>
      </w:pPr>
      <w:r w:rsidRPr="00EA7933">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4">
    <w:p w14:paraId="045624AD" w14:textId="77777777" w:rsidR="00EE2D2F" w:rsidRPr="00EA7933" w:rsidRDefault="00EE2D2F" w:rsidP="00EE2D2F">
      <w:pPr>
        <w:pStyle w:val="Textonotapie"/>
        <w:ind w:firstLine="708"/>
        <w:jc w:val="both"/>
        <w:rPr>
          <w:rFonts w:ascii="Verdana" w:hAnsi="Verdana"/>
          <w:sz w:val="18"/>
          <w:szCs w:val="18"/>
          <w:lang w:val="es-ES_tradnl"/>
        </w:rPr>
      </w:pPr>
      <w:r w:rsidRPr="00EA7933">
        <w:rPr>
          <w:rStyle w:val="Refdenotaalpie"/>
          <w:rFonts w:ascii="Verdana" w:hAnsi="Verdana"/>
          <w:sz w:val="18"/>
          <w:szCs w:val="18"/>
        </w:rPr>
        <w:footnoteRef/>
      </w:r>
      <w:r w:rsidRPr="00EA7933">
        <w:rPr>
          <w:rFonts w:ascii="Verdana" w:hAnsi="Verdana"/>
          <w:sz w:val="18"/>
          <w:szCs w:val="18"/>
        </w:rPr>
        <w:t xml:space="preserve"> </w:t>
      </w:r>
      <w:r w:rsidRPr="00EA7933">
        <w:rPr>
          <w:rFonts w:ascii="Verdana" w:hAnsi="Verdana" w:cs="Arial"/>
          <w:sz w:val="18"/>
          <w:szCs w:val="18"/>
        </w:rPr>
        <w:t>Cfr. MARTÍNEZ MAS, Francisco. La terminación, entrega, recepción, y liquidación en el contrato de obra. Madrid: Dykinson, 2001. pp. 176-177.</w:t>
      </w:r>
    </w:p>
  </w:footnote>
  <w:footnote w:id="5">
    <w:p w14:paraId="77C9A1D0" w14:textId="77777777" w:rsidR="00EE2D2F" w:rsidRPr="00EA7933" w:rsidRDefault="00EE2D2F" w:rsidP="00EE2D2F">
      <w:pPr>
        <w:pStyle w:val="Textonotapie"/>
        <w:ind w:firstLine="708"/>
        <w:jc w:val="both"/>
        <w:rPr>
          <w:rFonts w:ascii="Verdana" w:hAnsi="Verdana" w:cs="Arial"/>
          <w:sz w:val="18"/>
          <w:szCs w:val="18"/>
        </w:rPr>
      </w:pPr>
      <w:r w:rsidRPr="00EA7933">
        <w:rPr>
          <w:rStyle w:val="Refdenotaalpie"/>
          <w:rFonts w:ascii="Verdana" w:hAnsi="Verdana"/>
          <w:sz w:val="18"/>
          <w:szCs w:val="18"/>
        </w:rPr>
        <w:footnoteRef/>
      </w:r>
      <w:r w:rsidRPr="00EA7933">
        <w:rPr>
          <w:rFonts w:ascii="Verdana" w:hAnsi="Verdana"/>
          <w:sz w:val="18"/>
          <w:szCs w:val="18"/>
        </w:rPr>
        <w:t xml:space="preserve"> </w:t>
      </w:r>
      <w:r w:rsidRPr="00EA7933">
        <w:rPr>
          <w:rFonts w:ascii="Verdana" w:hAnsi="Verdana" w:cs="Arial"/>
          <w:sz w:val="18"/>
          <w:szCs w:val="18"/>
        </w:rPr>
        <w:t>PODETTI, Humberto. El contrato de construcción. Buenos Aires: Astrea, 2004. Pp. 254-255.</w:t>
      </w:r>
    </w:p>
    <w:p w14:paraId="0D51A5C5" w14:textId="77777777" w:rsidR="00EE2D2F" w:rsidRPr="00EA7933" w:rsidRDefault="00EE2D2F" w:rsidP="00EE2D2F">
      <w:pPr>
        <w:pStyle w:val="Textonotapie"/>
        <w:ind w:firstLine="708"/>
        <w:jc w:val="both"/>
        <w:rPr>
          <w:rFonts w:ascii="Verdana" w:hAnsi="Verdana"/>
          <w:sz w:val="18"/>
          <w:szCs w:val="18"/>
          <w:lang w:val="es-ES_tradnl"/>
        </w:rPr>
      </w:pPr>
    </w:p>
  </w:footnote>
  <w:footnote w:id="6">
    <w:p w14:paraId="10513E20" w14:textId="77777777" w:rsidR="00EE2D2F" w:rsidRPr="00EA7933" w:rsidRDefault="00EE2D2F" w:rsidP="00EE2D2F">
      <w:pPr>
        <w:pStyle w:val="Textonotapie"/>
        <w:ind w:firstLine="708"/>
        <w:jc w:val="both"/>
        <w:rPr>
          <w:rFonts w:ascii="Verdana" w:hAnsi="Verdana" w:cs="Arial"/>
          <w:sz w:val="18"/>
          <w:szCs w:val="18"/>
        </w:rPr>
      </w:pPr>
      <w:r w:rsidRPr="00EA7933">
        <w:rPr>
          <w:rStyle w:val="Refdenotaalpie"/>
          <w:rFonts w:ascii="Verdana" w:hAnsi="Verdana"/>
          <w:sz w:val="18"/>
          <w:szCs w:val="18"/>
        </w:rPr>
        <w:footnoteRef/>
      </w:r>
      <w:r w:rsidRPr="00EA7933">
        <w:rPr>
          <w:rFonts w:ascii="Verdana" w:hAnsi="Verdana"/>
          <w:sz w:val="18"/>
          <w:szCs w:val="18"/>
        </w:rPr>
        <w:t xml:space="preserve"> </w:t>
      </w:r>
      <w:r w:rsidRPr="00EA7933">
        <w:rPr>
          <w:rFonts w:ascii="Verdana" w:hAnsi="Verdana" w:cs="Arial"/>
          <w:sz w:val="18"/>
          <w:szCs w:val="18"/>
        </w:rPr>
        <w:t xml:space="preserve">PLANIOL, Marcel &amp; RIPERT, Jeorge. Tratado práctico de derecho civil francés. Tomo XI. La Habana: Cultural SA, 1940. p. 163. </w:t>
      </w:r>
    </w:p>
    <w:p w14:paraId="17C91703" w14:textId="77777777" w:rsidR="00EE2D2F" w:rsidRPr="00EA7933" w:rsidRDefault="00EE2D2F" w:rsidP="00EE2D2F">
      <w:pPr>
        <w:pStyle w:val="Textonotapie"/>
        <w:jc w:val="both"/>
        <w:rPr>
          <w:rFonts w:ascii="Verdana" w:hAnsi="Verdana"/>
          <w:sz w:val="18"/>
          <w:szCs w:val="18"/>
          <w:lang w:val="es-ES_tradnl"/>
        </w:rPr>
      </w:pPr>
    </w:p>
  </w:footnote>
  <w:footnote w:id="7">
    <w:p w14:paraId="18848936" w14:textId="77777777" w:rsidR="00EE2D2F" w:rsidRPr="00EA7933" w:rsidRDefault="00EE2D2F" w:rsidP="00EE2D2F">
      <w:pPr>
        <w:pStyle w:val="Textonotapie"/>
        <w:ind w:firstLine="708"/>
        <w:jc w:val="both"/>
        <w:rPr>
          <w:rFonts w:ascii="Verdana" w:hAnsi="Verdana" w:cs="Arial"/>
          <w:color w:val="000000"/>
          <w:sz w:val="18"/>
          <w:szCs w:val="18"/>
          <w:lang w:val="es-ES"/>
        </w:rPr>
      </w:pPr>
      <w:r w:rsidRPr="00EA7933">
        <w:rPr>
          <w:rStyle w:val="Refdenotaalpie"/>
          <w:rFonts w:ascii="Verdana" w:hAnsi="Verdana" w:cs="Arial"/>
          <w:color w:val="000000"/>
          <w:sz w:val="18"/>
          <w:szCs w:val="18"/>
        </w:rPr>
        <w:footnoteRef/>
      </w:r>
      <w:r w:rsidRPr="00EA7933">
        <w:rPr>
          <w:rFonts w:ascii="Verdana" w:hAnsi="Verdana" w:cs="Arial"/>
          <w:color w:val="000000"/>
          <w:sz w:val="18"/>
          <w:szCs w:val="18"/>
        </w:rPr>
        <w:t xml:space="preserve"> </w:t>
      </w:r>
      <w:r w:rsidRPr="00EA7933">
        <w:rPr>
          <w:rFonts w:ascii="Verdana" w:hAnsi="Verdana" w:cs="Arial"/>
          <w:color w:val="000000"/>
          <w:sz w:val="18"/>
          <w:szCs w:val="18"/>
          <w:lang w:val="es-ES"/>
        </w:rPr>
        <w:t xml:space="preserve">Gaceta del Congreso. Cámara de Representantes. Año X – No. 642, 11 de diciembre de 2001. Disponible en: </w:t>
      </w:r>
      <w:hyperlink r:id="rId1" w:history="1">
        <w:r w:rsidRPr="00EA7933">
          <w:rPr>
            <w:rFonts w:ascii="Verdana" w:hAnsi="Verdana" w:cs="Arial"/>
            <w:color w:val="000000"/>
            <w:sz w:val="18"/>
            <w:szCs w:val="18"/>
            <w:lang w:val="es-ES"/>
          </w:rPr>
          <w:t>GACETAS DEL CONGRESO (imprenta.gov.co)</w:t>
        </w:r>
      </w:hyperlink>
    </w:p>
  </w:footnote>
  <w:footnote w:id="8">
    <w:p w14:paraId="2F909C28" w14:textId="77777777" w:rsidR="00EE2D2F" w:rsidRPr="00EA7933" w:rsidRDefault="00EE2D2F" w:rsidP="00EE2D2F">
      <w:pPr>
        <w:pStyle w:val="NormalWeb"/>
        <w:shd w:val="clear" w:color="auto" w:fill="FFFFFF"/>
        <w:spacing w:after="120"/>
        <w:ind w:firstLine="709"/>
        <w:jc w:val="both"/>
        <w:rPr>
          <w:rFonts w:ascii="Verdana" w:hAnsi="Verdana" w:cs="Arial"/>
          <w:color w:val="000000"/>
          <w:sz w:val="18"/>
          <w:szCs w:val="18"/>
        </w:rPr>
      </w:pPr>
      <w:r w:rsidRPr="00EA7933">
        <w:rPr>
          <w:rStyle w:val="Refdenotaalpie"/>
          <w:rFonts w:ascii="Verdana" w:hAnsi="Verdana" w:cs="Arial"/>
          <w:color w:val="000000"/>
          <w:sz w:val="18"/>
          <w:szCs w:val="18"/>
        </w:rPr>
        <w:footnoteRef/>
      </w:r>
      <w:r w:rsidRPr="00EA7933">
        <w:rPr>
          <w:rFonts w:ascii="Verdana" w:hAnsi="Verdana" w:cs="Arial"/>
          <w:color w:val="000000"/>
          <w:sz w:val="18"/>
          <w:szCs w:val="18"/>
        </w:rPr>
        <w:t xml:space="preserve"> Decreto 1082 de 2015: “Artículo </w:t>
      </w:r>
      <w:bookmarkStart w:id="2" w:name="2.2.1.2.4.1.3"/>
      <w:bookmarkEnd w:id="2"/>
      <w:r w:rsidRPr="00EA7933">
        <w:rPr>
          <w:rFonts w:ascii="Verdana" w:hAnsi="Verdana" w:cs="Arial"/>
          <w:color w:val="000000"/>
          <w:sz w:val="18"/>
          <w:szCs w:val="18"/>
        </w:rPr>
        <w:t>2.2.1.2.4.1.3.</w:t>
      </w:r>
      <w:r w:rsidRPr="00EA7933">
        <w:rPr>
          <w:rFonts w:ascii="Verdana" w:hAnsi="Verdana" w:cs="Arial"/>
          <w:i/>
          <w:iCs/>
          <w:color w:val="000000"/>
          <w:sz w:val="18"/>
          <w:szCs w:val="18"/>
        </w:rPr>
        <w:t> </w:t>
      </w:r>
      <w:r w:rsidRPr="00EA7933">
        <w:rPr>
          <w:rFonts w:ascii="Verdana" w:hAnsi="Verdana" w:cs="Arial"/>
          <w:color w:val="000000"/>
          <w:sz w:val="18"/>
          <w:szCs w:val="18"/>
        </w:rPr>
        <w:t> 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(e) a los servicios prestados por oferentes miembros de la Comunidad Andina de Naciones teniendo en cuenta la regulación andina aplicable a la materia.</w:t>
      </w:r>
    </w:p>
    <w:p w14:paraId="59C38591" w14:textId="77777777" w:rsidR="00EE2D2F" w:rsidRPr="00EA7933" w:rsidRDefault="00EE2D2F" w:rsidP="00EE2D2F">
      <w:pPr>
        <w:shd w:val="clear" w:color="auto" w:fill="FFFFFF"/>
        <w:spacing w:after="120" w:line="240" w:lineRule="auto"/>
        <w:ind w:firstLine="709"/>
        <w:jc w:val="both"/>
        <w:rPr>
          <w:rFonts w:ascii="Verdana" w:hAnsi="Verdana" w:cs="Arial"/>
          <w:color w:val="000000"/>
          <w:sz w:val="18"/>
          <w:szCs w:val="18"/>
          <w:lang w:eastAsia="es-CO"/>
        </w:rPr>
      </w:pPr>
      <w:r w:rsidRPr="00EA7933">
        <w:rPr>
          <w:rFonts w:ascii="Verdana" w:hAnsi="Verdana" w:cs="Arial"/>
          <w:color w:val="000000"/>
          <w:sz w:val="18"/>
          <w:szCs w:val="18"/>
          <w:lang w:eastAsia="es-CO"/>
        </w:rPr>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14:paraId="3CE8001D" w14:textId="77777777" w:rsidR="00EE2D2F" w:rsidRPr="00EA7933" w:rsidRDefault="00EE2D2F" w:rsidP="00EE2D2F">
      <w:pPr>
        <w:shd w:val="clear" w:color="auto" w:fill="FFFFFF"/>
        <w:spacing w:line="240" w:lineRule="auto"/>
        <w:ind w:firstLine="708"/>
        <w:jc w:val="both"/>
        <w:rPr>
          <w:rFonts w:ascii="Verdana" w:hAnsi="Verdana" w:cs="Arial"/>
          <w:color w:val="000000"/>
          <w:sz w:val="18"/>
          <w:szCs w:val="18"/>
          <w:lang w:eastAsia="es-CO"/>
        </w:rPr>
      </w:pPr>
      <w:r w:rsidRPr="00EA7933">
        <w:rPr>
          <w:rFonts w:ascii="Verdana" w:hAnsi="Verdana" w:cs="Arial"/>
          <w:color w:val="000000"/>
          <w:sz w:val="18"/>
          <w:szCs w:val="18"/>
          <w:lang w:eastAsia="es-CO"/>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p>
  </w:footnote>
  <w:footnote w:id="9">
    <w:p w14:paraId="2B593CB7" w14:textId="77777777" w:rsidR="00EE2D2F" w:rsidRPr="00EA7933" w:rsidRDefault="00EE2D2F" w:rsidP="00EE2D2F">
      <w:pPr>
        <w:spacing w:line="240" w:lineRule="auto"/>
        <w:ind w:firstLine="708"/>
        <w:jc w:val="both"/>
        <w:rPr>
          <w:rFonts w:ascii="Verdana" w:hAnsi="Verdana" w:cs="Arial"/>
          <w:color w:val="000000"/>
          <w:sz w:val="18"/>
          <w:szCs w:val="18"/>
          <w:lang w:eastAsia="es-CO"/>
        </w:rPr>
      </w:pPr>
      <w:r w:rsidRPr="00EA7933">
        <w:rPr>
          <w:rStyle w:val="Refdenotaalpie"/>
          <w:rFonts w:ascii="Verdana" w:hAnsi="Verdana" w:cs="Arial"/>
          <w:color w:val="000000"/>
          <w:sz w:val="18"/>
          <w:szCs w:val="18"/>
        </w:rPr>
        <w:footnoteRef/>
      </w:r>
      <w:r w:rsidRPr="00EA7933">
        <w:rPr>
          <w:rFonts w:ascii="Verdana" w:hAnsi="Verdana" w:cs="Arial"/>
          <w:color w:val="000000"/>
          <w:sz w:val="18"/>
          <w:szCs w:val="18"/>
        </w:rPr>
        <w:t xml:space="preserve"> Decreto 1082 de 2015: </w:t>
      </w:r>
      <w:r w:rsidRPr="00EA7933">
        <w:rPr>
          <w:rFonts w:ascii="Verdana" w:hAnsi="Verdana" w:cs="Arial"/>
          <w:b/>
          <w:bCs/>
          <w:color w:val="000000"/>
          <w:sz w:val="18"/>
          <w:szCs w:val="18"/>
          <w:lang w:eastAsia="es-CO"/>
        </w:rPr>
        <w:t>“</w:t>
      </w:r>
      <w:r w:rsidRPr="00EA7933">
        <w:rPr>
          <w:rFonts w:ascii="Verdana" w:hAnsi="Verdana" w:cs="Arial"/>
          <w:color w:val="000000"/>
          <w:sz w:val="18"/>
          <w:szCs w:val="18"/>
          <w:lang w:eastAsia="es-CO"/>
        </w:rPr>
        <w:t>Artículo 2.2.1.1.2.1.3. Pliegos de condiciones. Los pliegos de condiciones deben contener por lo menos la siguiente información: </w:t>
      </w:r>
    </w:p>
    <w:p w14:paraId="197B0CB4" w14:textId="77777777" w:rsidR="00EE2D2F" w:rsidRPr="00EA7933" w:rsidRDefault="00EE2D2F" w:rsidP="00EE2D2F">
      <w:pPr>
        <w:spacing w:line="240" w:lineRule="auto"/>
        <w:ind w:firstLine="708"/>
        <w:jc w:val="both"/>
        <w:rPr>
          <w:rFonts w:ascii="Verdana" w:hAnsi="Verdana" w:cs="Arial"/>
          <w:color w:val="000000"/>
          <w:sz w:val="18"/>
          <w:szCs w:val="18"/>
          <w:lang w:eastAsia="es-CO"/>
        </w:rPr>
      </w:pPr>
      <w:r w:rsidRPr="00EA7933">
        <w:rPr>
          <w:rFonts w:ascii="Verdana" w:hAnsi="Verdana" w:cs="Arial"/>
          <w:color w:val="000000"/>
          <w:sz w:val="18"/>
          <w:szCs w:val="18"/>
          <w:lang w:eastAsia="es-CO"/>
        </w:rPr>
        <w:t>[…]</w:t>
      </w:r>
    </w:p>
    <w:p w14:paraId="20A30F2A" w14:textId="77777777" w:rsidR="00EE2D2F" w:rsidRPr="00EA7933" w:rsidRDefault="00EE2D2F" w:rsidP="00EE2D2F">
      <w:pPr>
        <w:spacing w:line="240" w:lineRule="auto"/>
        <w:jc w:val="both"/>
        <w:rPr>
          <w:rFonts w:ascii="Verdana" w:hAnsi="Verdana" w:cs="Arial"/>
          <w:color w:val="000000"/>
          <w:sz w:val="18"/>
          <w:szCs w:val="18"/>
          <w:lang w:eastAsia="es-CO"/>
        </w:rPr>
      </w:pPr>
      <w:r w:rsidRPr="00EA7933">
        <w:rPr>
          <w:rFonts w:ascii="Verdana" w:hAnsi="Verdana" w:cs="Arial"/>
          <w:color w:val="000000"/>
          <w:sz w:val="18"/>
          <w:szCs w:val="18"/>
          <w:lang w:eastAsia="es-CO"/>
        </w:rPr>
        <w:t>  </w:t>
      </w:r>
      <w:r w:rsidRPr="00EA7933">
        <w:rPr>
          <w:rFonts w:ascii="Verdana" w:hAnsi="Verdana" w:cs="Arial"/>
          <w:color w:val="000000"/>
          <w:sz w:val="18"/>
          <w:szCs w:val="18"/>
          <w:lang w:eastAsia="es-CO"/>
        </w:rPr>
        <w:tab/>
        <w:t>3. Los criterios de selección, incluyendo los factores de desempate y los incentivos cuando a ello haya lugar. </w:t>
      </w:r>
    </w:p>
    <w:p w14:paraId="2A897375" w14:textId="77777777" w:rsidR="00EE2D2F" w:rsidRPr="00EA7933" w:rsidRDefault="00EE2D2F" w:rsidP="00EE2D2F">
      <w:pPr>
        <w:spacing w:line="240" w:lineRule="auto"/>
        <w:jc w:val="both"/>
        <w:rPr>
          <w:rFonts w:ascii="Verdana" w:hAnsi="Verdana" w:cs="Arial"/>
          <w:color w:val="000000"/>
          <w:sz w:val="18"/>
          <w:szCs w:val="18"/>
          <w:lang w:eastAsia="es-CO"/>
        </w:rPr>
      </w:pPr>
      <w:r w:rsidRPr="00EA7933">
        <w:rPr>
          <w:rFonts w:ascii="Verdana" w:hAnsi="Verdana" w:cs="Arial"/>
          <w:color w:val="000000"/>
          <w:sz w:val="18"/>
          <w:szCs w:val="18"/>
          <w:lang w:eastAsia="es-CO"/>
        </w:rPr>
        <w:t>  </w:t>
      </w:r>
      <w:r w:rsidRPr="00EA7933">
        <w:rPr>
          <w:rFonts w:ascii="Verdana" w:hAnsi="Verdana" w:cs="Arial"/>
          <w:color w:val="000000"/>
          <w:sz w:val="18"/>
          <w:szCs w:val="18"/>
          <w:lang w:eastAsia="es-CO"/>
        </w:rPr>
        <w:tab/>
        <w:t>[…]</w:t>
      </w:r>
    </w:p>
    <w:p w14:paraId="761F27FE" w14:textId="77777777" w:rsidR="00EE2D2F" w:rsidRPr="00EA7933" w:rsidRDefault="00EE2D2F" w:rsidP="00EE2D2F">
      <w:pPr>
        <w:spacing w:line="240" w:lineRule="auto"/>
        <w:ind w:firstLine="708"/>
        <w:jc w:val="both"/>
        <w:rPr>
          <w:rFonts w:ascii="Verdana" w:hAnsi="Verdana" w:cs="Arial"/>
          <w:color w:val="000000"/>
          <w:sz w:val="18"/>
          <w:szCs w:val="18"/>
          <w:lang w:eastAsia="es-CO"/>
        </w:rPr>
      </w:pPr>
      <w:r w:rsidRPr="00EA7933">
        <w:rPr>
          <w:rFonts w:ascii="Verdana" w:hAnsi="Verdana" w:cs="Arial"/>
          <w:color w:val="000000"/>
          <w:sz w:val="18"/>
          <w:szCs w:val="18"/>
          <w:lang w:eastAsia="es-CO"/>
        </w:rPr>
        <w:t>5. Las reglas aplicables a la presentación de las ofertas, su evaluación y a la adjudicación del contrato […]”.</w:t>
      </w:r>
    </w:p>
  </w:footnote>
  <w:footnote w:id="10">
    <w:p w14:paraId="244E28F8" w14:textId="77777777" w:rsidR="00EE2D2F" w:rsidRPr="00EA7933" w:rsidRDefault="00EE2D2F" w:rsidP="00EE2D2F">
      <w:pPr>
        <w:ind w:firstLine="708"/>
        <w:jc w:val="both"/>
        <w:rPr>
          <w:rFonts w:ascii="Verdana" w:hAnsi="Verdana" w:cs="Arial"/>
          <w:iCs/>
          <w:sz w:val="18"/>
          <w:szCs w:val="18"/>
        </w:rPr>
      </w:pPr>
      <w:r w:rsidRPr="00EA7933">
        <w:rPr>
          <w:rStyle w:val="Refdenotaalpie"/>
          <w:rFonts w:ascii="Verdana" w:hAnsi="Verdana" w:cs="Arial"/>
          <w:sz w:val="18"/>
          <w:szCs w:val="18"/>
        </w:rPr>
        <w:footnoteRef/>
      </w:r>
      <w:r w:rsidRPr="00EA7933">
        <w:rPr>
          <w:rFonts w:ascii="Verdana" w:hAnsi="Verdana" w:cs="Arial"/>
          <w:sz w:val="18"/>
          <w:szCs w:val="18"/>
        </w:rPr>
        <w:t xml:space="preserve"> </w:t>
      </w:r>
      <w:r w:rsidRPr="00EA7933">
        <w:rPr>
          <w:rFonts w:ascii="Verdana" w:hAnsi="Verdana" w:cs="Arial"/>
          <w:iCs/>
          <w:sz w:val="18"/>
          <w:szCs w:val="18"/>
        </w:rPr>
        <w:t xml:space="preserve">Para asignar el puntaje deberán tenerse en cuenta las siguientes consideraciones: </w:t>
      </w:r>
    </w:p>
    <w:p w14:paraId="658688EF" w14:textId="77777777" w:rsidR="00EE2D2F" w:rsidRPr="00EA7933" w:rsidRDefault="00EE2D2F" w:rsidP="00EE2D2F">
      <w:pPr>
        <w:jc w:val="both"/>
        <w:rPr>
          <w:rFonts w:ascii="Verdana" w:hAnsi="Verdana" w:cs="Arial"/>
          <w:iCs/>
          <w:sz w:val="18"/>
          <w:szCs w:val="18"/>
        </w:rPr>
      </w:pPr>
      <w:r w:rsidRPr="00EA7933">
        <w:rPr>
          <w:rFonts w:ascii="Verdana" w:hAnsi="Verdana" w:cs="Arial"/>
          <w:iCs/>
          <w:sz w:val="18"/>
          <w:szCs w:val="18"/>
        </w:rPr>
        <w:t>A. Los puntajes por apoyo a la industria nacional por promoción de Servicios Nacionales o con Trato Nacional solo se otorgarán a los Proponentes que se comprometan a adquirir uno, varios o todos los bienes nacionales relevantes para el cumplimiento del contrato. Para efectos de obtener el puntaje, la oferta respectiva no podrá someterse a condicionamientos.</w:t>
      </w:r>
    </w:p>
    <w:p w14:paraId="754026AB" w14:textId="77777777" w:rsidR="00EE2D2F" w:rsidRPr="00EA7933" w:rsidRDefault="00EE2D2F" w:rsidP="00EE2D2F">
      <w:pPr>
        <w:jc w:val="both"/>
        <w:rPr>
          <w:rFonts w:ascii="Verdana" w:hAnsi="Verdana" w:cs="Arial"/>
          <w:iCs/>
          <w:sz w:val="18"/>
          <w:szCs w:val="18"/>
        </w:rPr>
      </w:pPr>
      <w:r w:rsidRPr="00EA7933">
        <w:rPr>
          <w:rFonts w:ascii="Verdana" w:hAnsi="Verdana" w:cs="Arial"/>
          <w:iCs/>
          <w:sz w:val="18"/>
          <w:szCs w:val="18"/>
        </w:rPr>
        <w:t>B. Cuando se determine la existencia de oferta de los bienes nacionales relevantes requeridos para el desarrollo del presente objeto contractual dentro del Registro de Productores de Bienes Nacionales, no se otorgará puntaje a los Proponentes que no ofrezcan alguno de los bienes mencionados. Esto aunque se comprometan a vincular al cumplimiento del objeto contractual un porcentaje de empleados o contratistas por prestación de servicios colombianos.</w:t>
      </w:r>
    </w:p>
    <w:p w14:paraId="391852E7" w14:textId="77777777" w:rsidR="00EE2D2F" w:rsidRPr="00262DB7" w:rsidRDefault="00EE2D2F" w:rsidP="00EE2D2F">
      <w:pPr>
        <w:jc w:val="both"/>
      </w:pPr>
      <w:r w:rsidRPr="00EA7933">
        <w:rPr>
          <w:rFonts w:ascii="Verdana" w:hAnsi="Verdana" w:cs="Arial"/>
          <w:iCs/>
          <w:sz w:val="18"/>
          <w:szCs w:val="18"/>
        </w:rPr>
        <w:t>C. Cuando la Entidad Estatal haya determinado la existencia de más de un bien nacional relevante, se otorgará el puntaje de manera proporcional a la cantidad de bienes nacionales relevantes que los Proponentes se comprometan a incorporar durante la ejecución del contrato y dependiendo del porcentaje de participación de estos bienes, en los términos de la Matriz 4 – Bienes nacionales relevantes para la obra pública del sector</w:t>
      </w:r>
      <w:r>
        <w:rPr>
          <w:rFonts w:ascii="Verdana" w:hAnsi="Verdana" w:cs="Arial"/>
          <w:iCs/>
          <w:sz w:val="18"/>
          <w:szCs w:val="18"/>
        </w:rPr>
        <w:t xml:space="preserve"> social (…).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81B32BE"/>
    <w:multiLevelType w:val="hybridMultilevel"/>
    <w:tmpl w:val="1648147C"/>
    <w:lvl w:ilvl="0" w:tplc="1D164DA4">
      <w:start w:val="1"/>
      <w:numFmt w:val="decimal"/>
      <w:lvlText w:val="%1."/>
      <w:lvlJc w:val="left"/>
      <w:pPr>
        <w:ind w:left="502" w:hanging="360"/>
      </w:pPr>
      <w:rPr>
        <w:rFonts w:ascii="Arial" w:eastAsiaTheme="minorHAnsi" w:hAnsi="Arial" w:cs="Arial" w:hint="default"/>
        <w:b/>
        <w:bCs/>
        <w:i w:val="0"/>
        <w:iCs/>
        <w:sz w:val="20"/>
        <w:szCs w:val="20"/>
      </w:rPr>
    </w:lvl>
    <w:lvl w:ilvl="1" w:tplc="240A0019">
      <w:start w:val="1"/>
      <w:numFmt w:val="lowerLetter"/>
      <w:lvlText w:val="%2."/>
      <w:lvlJc w:val="left"/>
      <w:pPr>
        <w:ind w:left="1222" w:hanging="360"/>
      </w:pPr>
    </w:lvl>
    <w:lvl w:ilvl="2" w:tplc="240A001B">
      <w:start w:val="1"/>
      <w:numFmt w:val="lowerRoman"/>
      <w:lvlText w:val="%3."/>
      <w:lvlJc w:val="right"/>
      <w:pPr>
        <w:ind w:left="1942" w:hanging="180"/>
      </w:pPr>
    </w:lvl>
    <w:lvl w:ilvl="3" w:tplc="240A000F">
      <w:start w:val="1"/>
      <w:numFmt w:val="decimal"/>
      <w:lvlText w:val="%4."/>
      <w:lvlJc w:val="left"/>
      <w:pPr>
        <w:ind w:left="2662" w:hanging="360"/>
      </w:pPr>
    </w:lvl>
    <w:lvl w:ilvl="4" w:tplc="240A0019">
      <w:start w:val="1"/>
      <w:numFmt w:val="lowerLetter"/>
      <w:lvlText w:val="%5."/>
      <w:lvlJc w:val="left"/>
      <w:pPr>
        <w:ind w:left="3382" w:hanging="360"/>
      </w:pPr>
    </w:lvl>
    <w:lvl w:ilvl="5" w:tplc="240A001B">
      <w:start w:val="1"/>
      <w:numFmt w:val="lowerRoman"/>
      <w:lvlText w:val="%6."/>
      <w:lvlJc w:val="right"/>
      <w:pPr>
        <w:ind w:left="4102" w:hanging="180"/>
      </w:pPr>
    </w:lvl>
    <w:lvl w:ilvl="6" w:tplc="240A000F">
      <w:start w:val="1"/>
      <w:numFmt w:val="decimal"/>
      <w:lvlText w:val="%7."/>
      <w:lvlJc w:val="left"/>
      <w:pPr>
        <w:ind w:left="4822" w:hanging="360"/>
      </w:pPr>
    </w:lvl>
    <w:lvl w:ilvl="7" w:tplc="240A0019">
      <w:start w:val="1"/>
      <w:numFmt w:val="lowerLetter"/>
      <w:lvlText w:val="%8."/>
      <w:lvlJc w:val="left"/>
      <w:pPr>
        <w:ind w:left="5542" w:hanging="360"/>
      </w:pPr>
    </w:lvl>
    <w:lvl w:ilvl="8" w:tplc="240A001B">
      <w:start w:val="1"/>
      <w:numFmt w:val="lowerRoman"/>
      <w:lvlText w:val="%9."/>
      <w:lvlJc w:val="right"/>
      <w:pPr>
        <w:ind w:left="6262" w:hanging="18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827985604">
    <w:abstractNumId w:val="10"/>
  </w:num>
  <w:num w:numId="17" w16cid:durableId="341274352">
    <w:abstractNumId w:val="0"/>
  </w:num>
  <w:num w:numId="18" w16cid:durableId="17619440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970F3"/>
    <w:rsid w:val="001A33BF"/>
    <w:rsid w:val="001E4177"/>
    <w:rsid w:val="001F0B24"/>
    <w:rsid w:val="001F7DC6"/>
    <w:rsid w:val="0022400B"/>
    <w:rsid w:val="002421BB"/>
    <w:rsid w:val="0025796E"/>
    <w:rsid w:val="0026224E"/>
    <w:rsid w:val="002707A2"/>
    <w:rsid w:val="002951A0"/>
    <w:rsid w:val="002962BC"/>
    <w:rsid w:val="002A093D"/>
    <w:rsid w:val="002A0DD0"/>
    <w:rsid w:val="002A49AC"/>
    <w:rsid w:val="002A64FD"/>
    <w:rsid w:val="002C7A84"/>
    <w:rsid w:val="002D4E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142A9"/>
    <w:rsid w:val="005566E8"/>
    <w:rsid w:val="00574867"/>
    <w:rsid w:val="00591460"/>
    <w:rsid w:val="005A3A78"/>
    <w:rsid w:val="005A65E0"/>
    <w:rsid w:val="005C3777"/>
    <w:rsid w:val="005C5CDC"/>
    <w:rsid w:val="005D476C"/>
    <w:rsid w:val="006200BF"/>
    <w:rsid w:val="006219F8"/>
    <w:rsid w:val="006302F7"/>
    <w:rsid w:val="00646B9F"/>
    <w:rsid w:val="00665D70"/>
    <w:rsid w:val="00680B7D"/>
    <w:rsid w:val="006900D9"/>
    <w:rsid w:val="00706C16"/>
    <w:rsid w:val="00730FC4"/>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0707"/>
    <w:rsid w:val="008B25F1"/>
    <w:rsid w:val="008D180B"/>
    <w:rsid w:val="008F0EA7"/>
    <w:rsid w:val="00923EEF"/>
    <w:rsid w:val="009419F9"/>
    <w:rsid w:val="0095685E"/>
    <w:rsid w:val="00961B09"/>
    <w:rsid w:val="00965334"/>
    <w:rsid w:val="0097093E"/>
    <w:rsid w:val="00972A9B"/>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97E3A"/>
    <w:rsid w:val="00CB6357"/>
    <w:rsid w:val="00CC1B26"/>
    <w:rsid w:val="00CC380A"/>
    <w:rsid w:val="00D361FD"/>
    <w:rsid w:val="00D423A2"/>
    <w:rsid w:val="00D44E26"/>
    <w:rsid w:val="00D520D8"/>
    <w:rsid w:val="00D63AC2"/>
    <w:rsid w:val="00D7383B"/>
    <w:rsid w:val="00D7788A"/>
    <w:rsid w:val="00DA20C0"/>
    <w:rsid w:val="00DA231B"/>
    <w:rsid w:val="00DC39FC"/>
    <w:rsid w:val="00DF5254"/>
    <w:rsid w:val="00E02524"/>
    <w:rsid w:val="00E06AB2"/>
    <w:rsid w:val="00E16408"/>
    <w:rsid w:val="00E20894"/>
    <w:rsid w:val="00E245AB"/>
    <w:rsid w:val="00E2764C"/>
    <w:rsid w:val="00E27F2E"/>
    <w:rsid w:val="00E50AFE"/>
    <w:rsid w:val="00E75C92"/>
    <w:rsid w:val="00E771DC"/>
    <w:rsid w:val="00E8772A"/>
    <w:rsid w:val="00E90F6B"/>
    <w:rsid w:val="00E92C27"/>
    <w:rsid w:val="00EA0E3D"/>
    <w:rsid w:val="00EB5CB0"/>
    <w:rsid w:val="00EC38A7"/>
    <w:rsid w:val="00EE1AA8"/>
    <w:rsid w:val="00EE2D2F"/>
    <w:rsid w:val="00EE496C"/>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EE2D2F"/>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EE2D2F"/>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EE2D2F"/>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EE2D2F"/>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EE2D2F"/>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EE2D2F"/>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EE2D2F"/>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EE2D2F"/>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EE2D2F"/>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EE2D2F"/>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EE2D2F"/>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EE2D2F"/>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EE2D2F"/>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EE2D2F"/>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EE2D2F"/>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EE2D2F"/>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EE2D2F"/>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EE2D2F"/>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EE2D2F"/>
  </w:style>
  <w:style w:type="character" w:customStyle="1" w:styleId="Ttulo1Car">
    <w:name w:val="Título 1 Car"/>
    <w:basedOn w:val="Fuentedeprrafopredeter"/>
    <w:link w:val="Ttulo1"/>
    <w:uiPriority w:val="9"/>
    <w:rsid w:val="00EE2D2F"/>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EE2D2F"/>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EE2D2F"/>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EE2D2F"/>
    <w:rPr>
      <w:rFonts w:eastAsia="Times New Roman" w:cs="Times New Roman"/>
      <w:i/>
      <w:iCs/>
      <w:color w:val="0F4761"/>
    </w:rPr>
  </w:style>
  <w:style w:type="character" w:customStyle="1" w:styleId="Ttulo5Car">
    <w:name w:val="Título 5 Car"/>
    <w:basedOn w:val="Fuentedeprrafopredeter"/>
    <w:link w:val="Ttulo5"/>
    <w:uiPriority w:val="9"/>
    <w:semiHidden/>
    <w:rsid w:val="00EE2D2F"/>
    <w:rPr>
      <w:rFonts w:eastAsia="Times New Roman" w:cs="Times New Roman"/>
      <w:color w:val="0F4761"/>
    </w:rPr>
  </w:style>
  <w:style w:type="character" w:customStyle="1" w:styleId="Ttulo6Car">
    <w:name w:val="Título 6 Car"/>
    <w:basedOn w:val="Fuentedeprrafopredeter"/>
    <w:link w:val="Ttulo6"/>
    <w:uiPriority w:val="9"/>
    <w:semiHidden/>
    <w:rsid w:val="00EE2D2F"/>
    <w:rPr>
      <w:rFonts w:eastAsia="Times New Roman" w:cs="Times New Roman"/>
      <w:i/>
      <w:iCs/>
      <w:color w:val="595959"/>
    </w:rPr>
  </w:style>
  <w:style w:type="character" w:customStyle="1" w:styleId="Ttulo7Car">
    <w:name w:val="Título 7 Car"/>
    <w:basedOn w:val="Fuentedeprrafopredeter"/>
    <w:link w:val="Ttulo7"/>
    <w:uiPriority w:val="9"/>
    <w:semiHidden/>
    <w:rsid w:val="00EE2D2F"/>
    <w:rPr>
      <w:rFonts w:eastAsia="Times New Roman" w:cs="Times New Roman"/>
      <w:color w:val="595959"/>
    </w:rPr>
  </w:style>
  <w:style w:type="character" w:customStyle="1" w:styleId="Ttulo8Car">
    <w:name w:val="Título 8 Car"/>
    <w:basedOn w:val="Fuentedeprrafopredeter"/>
    <w:link w:val="Ttulo8"/>
    <w:uiPriority w:val="9"/>
    <w:semiHidden/>
    <w:rsid w:val="00EE2D2F"/>
    <w:rPr>
      <w:rFonts w:eastAsia="Times New Roman" w:cs="Times New Roman"/>
      <w:i/>
      <w:iCs/>
      <w:color w:val="272727"/>
    </w:rPr>
  </w:style>
  <w:style w:type="character" w:customStyle="1" w:styleId="Ttulo9Car">
    <w:name w:val="Título 9 Car"/>
    <w:basedOn w:val="Fuentedeprrafopredeter"/>
    <w:link w:val="Ttulo9"/>
    <w:uiPriority w:val="9"/>
    <w:semiHidden/>
    <w:rsid w:val="00EE2D2F"/>
    <w:rPr>
      <w:rFonts w:eastAsia="Times New Roman" w:cs="Times New Roman"/>
      <w:color w:val="272727"/>
    </w:rPr>
  </w:style>
  <w:style w:type="paragraph" w:customStyle="1" w:styleId="Subttulo1">
    <w:name w:val="Subtítulo1"/>
    <w:basedOn w:val="Normal"/>
    <w:next w:val="Normal"/>
    <w:uiPriority w:val="11"/>
    <w:qFormat/>
    <w:rsid w:val="00EE2D2F"/>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EE2D2F"/>
    <w:rPr>
      <w:rFonts w:eastAsia="Times New Roman" w:cs="Times New Roman"/>
      <w:color w:val="595959"/>
      <w:spacing w:val="15"/>
      <w:sz w:val="28"/>
      <w:szCs w:val="28"/>
    </w:rPr>
  </w:style>
  <w:style w:type="paragraph" w:customStyle="1" w:styleId="Cita1">
    <w:name w:val="Cita1"/>
    <w:basedOn w:val="Normal"/>
    <w:next w:val="Normal"/>
    <w:uiPriority w:val="29"/>
    <w:qFormat/>
    <w:rsid w:val="00EE2D2F"/>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EE2D2F"/>
    <w:rPr>
      <w:i/>
      <w:iCs/>
      <w:color w:val="404040"/>
    </w:rPr>
  </w:style>
  <w:style w:type="character" w:customStyle="1" w:styleId="nfasisintenso1">
    <w:name w:val="Énfasis intenso1"/>
    <w:basedOn w:val="Fuentedeprrafopredeter"/>
    <w:uiPriority w:val="21"/>
    <w:qFormat/>
    <w:rsid w:val="00EE2D2F"/>
    <w:rPr>
      <w:i/>
      <w:iCs/>
      <w:color w:val="0F4761"/>
    </w:rPr>
  </w:style>
  <w:style w:type="paragraph" w:customStyle="1" w:styleId="Citadestacada1">
    <w:name w:val="Cita destacada1"/>
    <w:basedOn w:val="Normal"/>
    <w:next w:val="Normal"/>
    <w:uiPriority w:val="30"/>
    <w:qFormat/>
    <w:rsid w:val="00EE2D2F"/>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EE2D2F"/>
    <w:rPr>
      <w:i/>
      <w:iCs/>
      <w:color w:val="0F4761"/>
    </w:rPr>
  </w:style>
  <w:style w:type="character" w:customStyle="1" w:styleId="Referenciaintensa1">
    <w:name w:val="Referencia intensa1"/>
    <w:basedOn w:val="Fuentedeprrafopredeter"/>
    <w:uiPriority w:val="32"/>
    <w:qFormat/>
    <w:rsid w:val="00EE2D2F"/>
    <w:rPr>
      <w:b/>
      <w:bCs/>
      <w:smallCaps/>
      <w:color w:val="0F4761"/>
      <w:spacing w:val="5"/>
    </w:rPr>
  </w:style>
  <w:style w:type="table" w:customStyle="1" w:styleId="Tablaconcuadrcula1">
    <w:name w:val="Tabla con cuadrícula1"/>
    <w:basedOn w:val="Tablanormal"/>
    <w:next w:val="Tablaconcuadrcula"/>
    <w:uiPriority w:val="39"/>
    <w:qFormat/>
    <w:rsid w:val="00EE2D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E2D2F"/>
    <w:pPr>
      <w:spacing w:after="0" w:line="240" w:lineRule="exact"/>
    </w:pPr>
    <w:rPr>
      <w:vertAlign w:val="superscript"/>
    </w:rPr>
  </w:style>
  <w:style w:type="character" w:customStyle="1" w:styleId="Ttulo1Car1">
    <w:name w:val="Título 1 Car1"/>
    <w:basedOn w:val="Fuentedeprrafopredeter"/>
    <w:uiPriority w:val="9"/>
    <w:rsid w:val="00EE2D2F"/>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EE2D2F"/>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EE2D2F"/>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EE2D2F"/>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EE2D2F"/>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EE2D2F"/>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EE2D2F"/>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EE2D2F"/>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EE2D2F"/>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EE2D2F"/>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EE2D2F"/>
    <w:rPr>
      <w:rFonts w:eastAsiaTheme="minorEastAsia"/>
      <w:color w:val="5A5A5A" w:themeColor="text1" w:themeTint="A5"/>
      <w:spacing w:val="15"/>
    </w:rPr>
  </w:style>
  <w:style w:type="paragraph" w:styleId="Cita">
    <w:name w:val="Quote"/>
    <w:basedOn w:val="Normal"/>
    <w:next w:val="Normal"/>
    <w:link w:val="CitaCar"/>
    <w:uiPriority w:val="29"/>
    <w:qFormat/>
    <w:rsid w:val="00EE2D2F"/>
    <w:pPr>
      <w:spacing w:before="200"/>
      <w:ind w:left="864" w:right="864"/>
      <w:jc w:val="center"/>
    </w:pPr>
    <w:rPr>
      <w:i/>
      <w:iCs/>
      <w:color w:val="404040"/>
    </w:rPr>
  </w:style>
  <w:style w:type="character" w:customStyle="1" w:styleId="CitaCar1">
    <w:name w:val="Cita Car1"/>
    <w:basedOn w:val="Fuentedeprrafopredeter"/>
    <w:uiPriority w:val="29"/>
    <w:rsid w:val="00EE2D2F"/>
    <w:rPr>
      <w:i/>
      <w:iCs/>
      <w:color w:val="404040" w:themeColor="text1" w:themeTint="BF"/>
    </w:rPr>
  </w:style>
  <w:style w:type="character" w:styleId="nfasisintenso">
    <w:name w:val="Intense Emphasis"/>
    <w:basedOn w:val="Fuentedeprrafopredeter"/>
    <w:uiPriority w:val="21"/>
    <w:qFormat/>
    <w:rsid w:val="00EE2D2F"/>
    <w:rPr>
      <w:i/>
      <w:iCs/>
      <w:color w:val="4472C4" w:themeColor="accent1"/>
    </w:rPr>
  </w:style>
  <w:style w:type="paragraph" w:styleId="Citadestacada">
    <w:name w:val="Intense Quote"/>
    <w:basedOn w:val="Normal"/>
    <w:next w:val="Normal"/>
    <w:link w:val="CitadestacadaCar"/>
    <w:uiPriority w:val="30"/>
    <w:qFormat/>
    <w:rsid w:val="00EE2D2F"/>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EE2D2F"/>
    <w:rPr>
      <w:i/>
      <w:iCs/>
      <w:color w:val="4472C4" w:themeColor="accent1"/>
    </w:rPr>
  </w:style>
  <w:style w:type="character" w:styleId="Referenciaintensa">
    <w:name w:val="Intense Reference"/>
    <w:basedOn w:val="Fuentedeprrafopredeter"/>
    <w:uiPriority w:val="32"/>
    <w:qFormat/>
    <w:rsid w:val="00EE2D2F"/>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png"/><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6.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documentos-tipo/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vrpubindc.imprenta.gov.co/senad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92E200A-D309-4370-9438-FCDAB1F8E2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40</Pages>
  <Words>13794</Words>
  <Characters>75872</Characters>
  <Application>Microsoft Office Word</Application>
  <DocSecurity>0</DocSecurity>
  <Lines>632</Lines>
  <Paragraphs>178</Paragraphs>
  <ScaleCrop>false</ScaleCrop>
  <Company/>
  <LinksUpToDate>false</LinksUpToDate>
  <CharactersWithSpaces>89488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2026-04-28T15:40:00Z</dcterms:created>
  <dcterms:modified xsi:type="dcterms:W3CDTF">2026-04-28T20:23:00Z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